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B7214C" w:rsidRPr="00E07116">
        <w:tblPrEx>
          <w:tblCellMar>
            <w:top w:w="0" w:type="dxa"/>
            <w:bottom w:w="0" w:type="dxa"/>
          </w:tblCellMar>
        </w:tblPrEx>
        <w:tc>
          <w:tcPr>
            <w:tcW w:w="9160" w:type="dxa"/>
            <w:shd w:val="clear" w:color="auto" w:fill="DDD9C3"/>
          </w:tcPr>
          <w:p w:rsidR="00B7214C" w:rsidRPr="00E07116" w:rsidRDefault="00B7214C" w:rsidP="00B7214C">
            <w:pPr>
              <w:pStyle w:val="En-tte"/>
              <w:tabs>
                <w:tab w:val="clear" w:pos="4320"/>
                <w:tab w:val="clear" w:pos="8640"/>
              </w:tabs>
              <w:rPr>
                <w:rFonts w:ascii="Times New Roman" w:hAnsi="Times New Roman"/>
                <w:sz w:val="28"/>
                <w:lang w:val="en-CA" w:bidi="ar-SA"/>
              </w:rPr>
            </w:pPr>
            <w:bookmarkStart w:id="0" w:name="_GoBack"/>
            <w:bookmarkEnd w:id="0"/>
          </w:p>
          <w:p w:rsidR="00B7214C" w:rsidRPr="00E07116" w:rsidRDefault="00B7214C">
            <w:pPr>
              <w:ind w:firstLine="0"/>
              <w:jc w:val="center"/>
              <w:rPr>
                <w:b/>
                <w:lang w:bidi="ar-SA"/>
              </w:rPr>
            </w:pPr>
          </w:p>
          <w:p w:rsidR="00B7214C" w:rsidRDefault="00B7214C" w:rsidP="00B7214C">
            <w:pPr>
              <w:ind w:firstLine="0"/>
              <w:jc w:val="center"/>
              <w:rPr>
                <w:b/>
                <w:sz w:val="20"/>
                <w:lang w:bidi="ar-SA"/>
              </w:rPr>
            </w:pPr>
          </w:p>
          <w:p w:rsidR="00B7214C" w:rsidRDefault="00B7214C" w:rsidP="00B7214C">
            <w:pPr>
              <w:ind w:firstLine="0"/>
              <w:jc w:val="center"/>
              <w:rPr>
                <w:b/>
                <w:sz w:val="20"/>
                <w:lang w:bidi="ar-SA"/>
              </w:rPr>
            </w:pPr>
          </w:p>
          <w:p w:rsidR="00B7214C" w:rsidRPr="0027562B" w:rsidRDefault="00B7214C" w:rsidP="00B7214C">
            <w:pPr>
              <w:ind w:firstLine="0"/>
              <w:jc w:val="center"/>
              <w:rPr>
                <w:sz w:val="24"/>
              </w:rPr>
            </w:pPr>
            <w:r w:rsidRPr="0027562B">
              <w:rPr>
                <w:sz w:val="24"/>
              </w:rPr>
              <w:t>SOUS LA DIRECTION DE</w:t>
            </w:r>
          </w:p>
          <w:p w:rsidR="00B7214C" w:rsidRPr="0027562B" w:rsidRDefault="00B7214C" w:rsidP="00B7214C">
            <w:pPr>
              <w:ind w:firstLine="0"/>
              <w:jc w:val="center"/>
              <w:rPr>
                <w:b/>
                <w:sz w:val="36"/>
              </w:rPr>
            </w:pPr>
            <w:r w:rsidRPr="0027562B">
              <w:rPr>
                <w:sz w:val="36"/>
              </w:rPr>
              <w:t>Françoise-Romaine OUELLETTE</w:t>
            </w:r>
            <w:r w:rsidRPr="0027562B">
              <w:rPr>
                <w:sz w:val="36"/>
              </w:rPr>
              <w:br/>
              <w:t>et Claude BARITEAU</w:t>
            </w:r>
          </w:p>
          <w:p w:rsidR="00B7214C" w:rsidRPr="001E7979" w:rsidRDefault="00B7214C" w:rsidP="00B7214C">
            <w:pPr>
              <w:ind w:firstLine="0"/>
              <w:jc w:val="center"/>
              <w:rPr>
                <w:sz w:val="20"/>
                <w:lang w:bidi="ar-SA"/>
              </w:rPr>
            </w:pPr>
          </w:p>
          <w:p w:rsidR="00B7214C" w:rsidRPr="00AA0F60" w:rsidRDefault="00B7214C" w:rsidP="00B7214C">
            <w:pPr>
              <w:pStyle w:val="Corpsdetexte"/>
              <w:widowControl w:val="0"/>
              <w:spacing w:before="0" w:after="0"/>
              <w:rPr>
                <w:sz w:val="44"/>
                <w:lang w:bidi="ar-SA"/>
              </w:rPr>
            </w:pPr>
            <w:r w:rsidRPr="00AA0F60">
              <w:rPr>
                <w:sz w:val="44"/>
                <w:lang w:bidi="ar-SA"/>
              </w:rPr>
              <w:t>(</w:t>
            </w:r>
            <w:r>
              <w:rPr>
                <w:sz w:val="44"/>
                <w:lang w:bidi="ar-SA"/>
              </w:rPr>
              <w:t>1994</w:t>
            </w:r>
            <w:r w:rsidRPr="00AA0F60">
              <w:rPr>
                <w:sz w:val="44"/>
                <w:lang w:bidi="ar-SA"/>
              </w:rPr>
              <w:t>)</w:t>
            </w:r>
          </w:p>
          <w:p w:rsidR="00B7214C" w:rsidRDefault="00B7214C" w:rsidP="00B7214C">
            <w:pPr>
              <w:pStyle w:val="Corpsdetexte"/>
              <w:widowControl w:val="0"/>
              <w:spacing w:before="0" w:after="0"/>
              <w:rPr>
                <w:color w:val="FF0000"/>
                <w:sz w:val="24"/>
                <w:lang w:bidi="ar-SA"/>
              </w:rPr>
            </w:pPr>
          </w:p>
          <w:p w:rsidR="00B7214C" w:rsidRDefault="00B7214C" w:rsidP="00B7214C">
            <w:pPr>
              <w:pStyle w:val="Corpsdetexte"/>
              <w:widowControl w:val="0"/>
              <w:spacing w:before="0" w:after="0"/>
              <w:rPr>
                <w:color w:val="FF0000"/>
                <w:sz w:val="24"/>
                <w:lang w:bidi="ar-SA"/>
              </w:rPr>
            </w:pPr>
          </w:p>
          <w:p w:rsidR="00B7214C" w:rsidRPr="00C84EA1" w:rsidRDefault="00B7214C" w:rsidP="00B7214C">
            <w:pPr>
              <w:pStyle w:val="Titlest"/>
            </w:pPr>
            <w:r>
              <w:t>Entre tradition</w:t>
            </w:r>
            <w:r>
              <w:br/>
              <w:t>et univers</w:t>
            </w:r>
            <w:r>
              <w:t>a</w:t>
            </w:r>
            <w:r>
              <w:t>lisme</w:t>
            </w:r>
          </w:p>
          <w:p w:rsidR="00B7214C" w:rsidRPr="0027562B" w:rsidRDefault="00B7214C" w:rsidP="00B7214C">
            <w:pPr>
              <w:pStyle w:val="Titlesti"/>
              <w:rPr>
                <w:sz w:val="36"/>
                <w:lang w:bidi="ar-SA"/>
              </w:rPr>
            </w:pPr>
            <w:r w:rsidRPr="0027562B">
              <w:rPr>
                <w:sz w:val="36"/>
                <w:lang w:bidi="ar-SA"/>
              </w:rPr>
              <w:t>Recueil d’articles suite au Colloque</w:t>
            </w:r>
            <w:r w:rsidRPr="0027562B">
              <w:rPr>
                <w:sz w:val="36"/>
                <w:lang w:bidi="ar-SA"/>
              </w:rPr>
              <w:br/>
              <w:t>Entre tradition et universalisme</w:t>
            </w:r>
            <w:r w:rsidRPr="0027562B">
              <w:rPr>
                <w:sz w:val="36"/>
                <w:lang w:bidi="ar-SA"/>
              </w:rPr>
              <w:br/>
              <w:t>tenu par l’ACSALF</w:t>
            </w:r>
            <w:r w:rsidRPr="0027562B">
              <w:rPr>
                <w:sz w:val="36"/>
                <w:lang w:bidi="ar-SA"/>
              </w:rPr>
              <w:br/>
              <w:t>du 18 au 20 mai 1993.</w:t>
            </w:r>
          </w:p>
          <w:p w:rsidR="00B7214C" w:rsidRDefault="00B7214C" w:rsidP="00B7214C">
            <w:pPr>
              <w:widowControl w:val="0"/>
              <w:ind w:firstLine="0"/>
              <w:jc w:val="center"/>
              <w:rPr>
                <w:lang w:bidi="ar-SA"/>
              </w:rPr>
            </w:pPr>
          </w:p>
          <w:p w:rsidR="00B7214C" w:rsidRDefault="00B7214C" w:rsidP="00B7214C">
            <w:pPr>
              <w:widowControl w:val="0"/>
              <w:ind w:firstLine="0"/>
              <w:jc w:val="center"/>
              <w:rPr>
                <w:lang w:bidi="ar-SA"/>
              </w:rPr>
            </w:pPr>
          </w:p>
          <w:p w:rsidR="00B7214C" w:rsidRDefault="00B7214C" w:rsidP="00B7214C">
            <w:pPr>
              <w:widowControl w:val="0"/>
              <w:ind w:firstLine="0"/>
              <w:jc w:val="center"/>
              <w:rPr>
                <w:sz w:val="20"/>
                <w:lang w:bidi="ar-SA"/>
              </w:rPr>
            </w:pPr>
          </w:p>
          <w:p w:rsidR="00B7214C" w:rsidRPr="00384B20" w:rsidRDefault="00B7214C">
            <w:pPr>
              <w:widowControl w:val="0"/>
              <w:ind w:firstLine="0"/>
              <w:jc w:val="center"/>
              <w:rPr>
                <w:sz w:val="20"/>
                <w:lang w:bidi="ar-SA"/>
              </w:rPr>
            </w:pPr>
          </w:p>
          <w:p w:rsidR="00B7214C" w:rsidRPr="00384B20" w:rsidRDefault="00B7214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B7214C" w:rsidRPr="00E07116" w:rsidRDefault="00B7214C">
            <w:pPr>
              <w:widowControl w:val="0"/>
              <w:ind w:firstLine="0"/>
              <w:jc w:val="both"/>
              <w:rPr>
                <w:lang w:bidi="ar-SA"/>
              </w:rPr>
            </w:pPr>
          </w:p>
          <w:p w:rsidR="00B7214C" w:rsidRPr="00E07116" w:rsidRDefault="00B7214C">
            <w:pPr>
              <w:widowControl w:val="0"/>
              <w:ind w:firstLine="0"/>
              <w:jc w:val="both"/>
              <w:rPr>
                <w:lang w:bidi="ar-SA"/>
              </w:rPr>
            </w:pPr>
          </w:p>
          <w:p w:rsidR="00B7214C" w:rsidRPr="00E07116" w:rsidRDefault="00B7214C">
            <w:pPr>
              <w:widowControl w:val="0"/>
              <w:ind w:firstLine="0"/>
              <w:jc w:val="both"/>
              <w:rPr>
                <w:lang w:bidi="ar-SA"/>
              </w:rPr>
            </w:pPr>
          </w:p>
          <w:p w:rsidR="00B7214C" w:rsidRPr="00E07116" w:rsidRDefault="00B7214C">
            <w:pPr>
              <w:widowControl w:val="0"/>
              <w:ind w:firstLine="0"/>
              <w:jc w:val="both"/>
              <w:rPr>
                <w:lang w:bidi="ar-SA"/>
              </w:rPr>
            </w:pPr>
          </w:p>
          <w:p w:rsidR="00B7214C" w:rsidRDefault="00B7214C">
            <w:pPr>
              <w:widowControl w:val="0"/>
              <w:ind w:firstLine="0"/>
              <w:jc w:val="both"/>
              <w:rPr>
                <w:lang w:bidi="ar-SA"/>
              </w:rPr>
            </w:pPr>
          </w:p>
          <w:p w:rsidR="00B7214C" w:rsidRPr="00E07116" w:rsidRDefault="00B7214C">
            <w:pPr>
              <w:widowControl w:val="0"/>
              <w:ind w:firstLine="0"/>
              <w:jc w:val="both"/>
              <w:rPr>
                <w:lang w:bidi="ar-SA"/>
              </w:rPr>
            </w:pPr>
          </w:p>
          <w:p w:rsidR="00B7214C" w:rsidRPr="00E07116" w:rsidRDefault="00B7214C">
            <w:pPr>
              <w:ind w:firstLine="0"/>
              <w:jc w:val="both"/>
              <w:rPr>
                <w:lang w:bidi="ar-SA"/>
              </w:rPr>
            </w:pPr>
          </w:p>
        </w:tc>
      </w:tr>
    </w:tbl>
    <w:p w:rsidR="00B7214C" w:rsidRDefault="00B7214C" w:rsidP="00B7214C">
      <w:pPr>
        <w:ind w:firstLine="0"/>
        <w:jc w:val="both"/>
      </w:pPr>
      <w:r w:rsidRPr="00E07116">
        <w:br w:type="page"/>
      </w:r>
    </w:p>
    <w:p w:rsidR="00B7214C" w:rsidRDefault="00B7214C" w:rsidP="00B7214C">
      <w:pPr>
        <w:ind w:firstLine="0"/>
        <w:jc w:val="both"/>
      </w:pPr>
    </w:p>
    <w:p w:rsidR="00B7214C" w:rsidRDefault="00B7214C" w:rsidP="00B7214C">
      <w:pPr>
        <w:ind w:firstLine="0"/>
        <w:jc w:val="both"/>
      </w:pPr>
    </w:p>
    <w:p w:rsidR="00B7214C" w:rsidRDefault="00B7214C" w:rsidP="00B7214C">
      <w:pPr>
        <w:ind w:firstLine="0"/>
        <w:jc w:val="both"/>
      </w:pPr>
    </w:p>
    <w:p w:rsidR="00B7214C" w:rsidRDefault="00481548" w:rsidP="00B7214C">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B7214C" w:rsidRDefault="00B7214C" w:rsidP="00B7214C">
      <w:pPr>
        <w:ind w:firstLine="0"/>
        <w:jc w:val="right"/>
      </w:pPr>
      <w:hyperlink r:id="rId9" w:history="1">
        <w:r w:rsidRPr="00302466">
          <w:rPr>
            <w:rStyle w:val="Lienhypertexte"/>
          </w:rPr>
          <w:t>http://classiques.uqac.ca/</w:t>
        </w:r>
      </w:hyperlink>
      <w:r>
        <w:t xml:space="preserve"> </w:t>
      </w:r>
    </w:p>
    <w:p w:rsidR="00B7214C" w:rsidRDefault="00B7214C" w:rsidP="00B7214C">
      <w:pPr>
        <w:ind w:firstLine="0"/>
        <w:jc w:val="both"/>
      </w:pPr>
    </w:p>
    <w:p w:rsidR="00B7214C" w:rsidRDefault="00B7214C" w:rsidP="00B7214C">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B7214C" w:rsidRDefault="00B7214C" w:rsidP="00B7214C">
      <w:pPr>
        <w:ind w:firstLine="0"/>
        <w:jc w:val="both"/>
      </w:pPr>
    </w:p>
    <w:p w:rsidR="00B7214C" w:rsidRDefault="00B7214C" w:rsidP="00B7214C">
      <w:pPr>
        <w:ind w:firstLine="0"/>
        <w:jc w:val="both"/>
      </w:pPr>
    </w:p>
    <w:p w:rsidR="00B7214C" w:rsidRDefault="00481548" w:rsidP="00B7214C">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B7214C" w:rsidRDefault="00B7214C" w:rsidP="00B7214C">
      <w:pPr>
        <w:ind w:firstLine="0"/>
        <w:jc w:val="both"/>
      </w:pPr>
      <w:hyperlink r:id="rId11" w:history="1">
        <w:r w:rsidRPr="00302466">
          <w:rPr>
            <w:rStyle w:val="Lienhypertexte"/>
          </w:rPr>
          <w:t>http://bibliotheque.uqac.ca/</w:t>
        </w:r>
      </w:hyperlink>
      <w:r>
        <w:t xml:space="preserve"> </w:t>
      </w:r>
    </w:p>
    <w:p w:rsidR="00B7214C" w:rsidRDefault="00B7214C" w:rsidP="00B7214C">
      <w:pPr>
        <w:ind w:firstLine="0"/>
        <w:jc w:val="both"/>
      </w:pPr>
    </w:p>
    <w:p w:rsidR="00B7214C" w:rsidRDefault="00B7214C" w:rsidP="00B7214C">
      <w:pPr>
        <w:ind w:firstLine="0"/>
        <w:jc w:val="both"/>
      </w:pPr>
    </w:p>
    <w:p w:rsidR="00B7214C" w:rsidRDefault="00B7214C" w:rsidP="00B7214C">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B7214C" w:rsidRPr="00E07116" w:rsidRDefault="00B7214C" w:rsidP="00B7214C">
      <w:pPr>
        <w:widowControl w:val="0"/>
        <w:autoSpaceDE w:val="0"/>
        <w:autoSpaceDN w:val="0"/>
        <w:adjustRightInd w:val="0"/>
        <w:rPr>
          <w:szCs w:val="32"/>
        </w:rPr>
      </w:pPr>
      <w:r w:rsidRPr="00E07116">
        <w:br w:type="page"/>
      </w:r>
    </w:p>
    <w:p w:rsidR="00B7214C" w:rsidRPr="00C0273B" w:rsidRDefault="00B7214C">
      <w:pPr>
        <w:widowControl w:val="0"/>
        <w:autoSpaceDE w:val="0"/>
        <w:autoSpaceDN w:val="0"/>
        <w:adjustRightInd w:val="0"/>
        <w:jc w:val="center"/>
        <w:rPr>
          <w:color w:val="008B00"/>
          <w:sz w:val="40"/>
          <w:szCs w:val="36"/>
        </w:rPr>
      </w:pPr>
      <w:r w:rsidRPr="00C0273B">
        <w:rPr>
          <w:color w:val="008B00"/>
          <w:sz w:val="40"/>
          <w:szCs w:val="36"/>
        </w:rPr>
        <w:t>Politique d'utilisation</w:t>
      </w:r>
      <w:r w:rsidRPr="00C0273B">
        <w:rPr>
          <w:color w:val="008B00"/>
          <w:sz w:val="40"/>
          <w:szCs w:val="36"/>
        </w:rPr>
        <w:br/>
        <w:t>de la bibliothèque des Classiques</w:t>
      </w:r>
    </w:p>
    <w:p w:rsidR="00B7214C" w:rsidRPr="00E07116" w:rsidRDefault="00B7214C">
      <w:pPr>
        <w:widowControl w:val="0"/>
        <w:autoSpaceDE w:val="0"/>
        <w:autoSpaceDN w:val="0"/>
        <w:adjustRightInd w:val="0"/>
        <w:rPr>
          <w:szCs w:val="32"/>
        </w:rPr>
      </w:pPr>
    </w:p>
    <w:p w:rsidR="00B7214C" w:rsidRPr="00E07116" w:rsidRDefault="00B7214C">
      <w:pPr>
        <w:widowControl w:val="0"/>
        <w:autoSpaceDE w:val="0"/>
        <w:autoSpaceDN w:val="0"/>
        <w:adjustRightInd w:val="0"/>
        <w:jc w:val="both"/>
        <w:rPr>
          <w:color w:val="1C1C1C"/>
          <w:szCs w:val="26"/>
        </w:rPr>
      </w:pPr>
    </w:p>
    <w:p w:rsidR="00B7214C" w:rsidRPr="00E07116" w:rsidRDefault="00B7214C">
      <w:pPr>
        <w:widowControl w:val="0"/>
        <w:autoSpaceDE w:val="0"/>
        <w:autoSpaceDN w:val="0"/>
        <w:adjustRightInd w:val="0"/>
        <w:jc w:val="both"/>
        <w:rPr>
          <w:color w:val="1C1C1C"/>
          <w:szCs w:val="26"/>
        </w:rPr>
      </w:pPr>
    </w:p>
    <w:p w:rsidR="00B7214C" w:rsidRPr="00E07116" w:rsidRDefault="00B7214C">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B7214C" w:rsidRPr="00E07116" w:rsidRDefault="00B7214C">
      <w:pPr>
        <w:widowControl w:val="0"/>
        <w:autoSpaceDE w:val="0"/>
        <w:autoSpaceDN w:val="0"/>
        <w:adjustRightInd w:val="0"/>
        <w:jc w:val="both"/>
        <w:rPr>
          <w:color w:val="1C1C1C"/>
          <w:szCs w:val="26"/>
        </w:rPr>
      </w:pPr>
    </w:p>
    <w:p w:rsidR="00B7214C" w:rsidRPr="00E07116" w:rsidRDefault="00B7214C" w:rsidP="00B7214C">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B7214C" w:rsidRPr="00E07116" w:rsidRDefault="00B7214C" w:rsidP="00B7214C">
      <w:pPr>
        <w:widowControl w:val="0"/>
        <w:autoSpaceDE w:val="0"/>
        <w:autoSpaceDN w:val="0"/>
        <w:adjustRightInd w:val="0"/>
        <w:jc w:val="both"/>
        <w:rPr>
          <w:color w:val="1C1C1C"/>
          <w:szCs w:val="26"/>
        </w:rPr>
      </w:pPr>
    </w:p>
    <w:p w:rsidR="00B7214C" w:rsidRPr="00E07116" w:rsidRDefault="00B7214C" w:rsidP="00B7214C">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B7214C" w:rsidRPr="00E07116" w:rsidRDefault="00B7214C" w:rsidP="00B7214C">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B7214C" w:rsidRPr="00E07116" w:rsidRDefault="00B7214C" w:rsidP="00B7214C">
      <w:pPr>
        <w:widowControl w:val="0"/>
        <w:autoSpaceDE w:val="0"/>
        <w:autoSpaceDN w:val="0"/>
        <w:adjustRightInd w:val="0"/>
        <w:jc w:val="both"/>
        <w:rPr>
          <w:color w:val="1C1C1C"/>
          <w:szCs w:val="26"/>
        </w:rPr>
      </w:pPr>
    </w:p>
    <w:p w:rsidR="00B7214C" w:rsidRPr="00E07116" w:rsidRDefault="00B7214C">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B7214C" w:rsidRPr="00E07116" w:rsidRDefault="00B7214C">
      <w:pPr>
        <w:widowControl w:val="0"/>
        <w:autoSpaceDE w:val="0"/>
        <w:autoSpaceDN w:val="0"/>
        <w:adjustRightInd w:val="0"/>
        <w:jc w:val="both"/>
        <w:rPr>
          <w:color w:val="1C1C1C"/>
          <w:szCs w:val="26"/>
        </w:rPr>
      </w:pPr>
    </w:p>
    <w:p w:rsidR="00B7214C" w:rsidRPr="00E07116" w:rsidRDefault="00B7214C">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B7214C" w:rsidRPr="00E07116" w:rsidRDefault="00B7214C">
      <w:pPr>
        <w:rPr>
          <w:b/>
          <w:color w:val="1C1C1C"/>
          <w:szCs w:val="26"/>
        </w:rPr>
      </w:pPr>
    </w:p>
    <w:p w:rsidR="00B7214C" w:rsidRPr="00E07116" w:rsidRDefault="00B7214C">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B7214C" w:rsidRPr="00E07116" w:rsidRDefault="00B7214C">
      <w:pPr>
        <w:rPr>
          <w:b/>
          <w:color w:val="1C1C1C"/>
          <w:szCs w:val="26"/>
        </w:rPr>
      </w:pPr>
    </w:p>
    <w:p w:rsidR="00B7214C" w:rsidRPr="00E07116" w:rsidRDefault="00B7214C">
      <w:pPr>
        <w:rPr>
          <w:color w:val="1C1C1C"/>
          <w:szCs w:val="26"/>
        </w:rPr>
      </w:pPr>
      <w:r w:rsidRPr="00E07116">
        <w:rPr>
          <w:color w:val="1C1C1C"/>
          <w:szCs w:val="26"/>
        </w:rPr>
        <w:t>Jean-Marie Tremblay, sociologue</w:t>
      </w:r>
    </w:p>
    <w:p w:rsidR="00B7214C" w:rsidRPr="00E07116" w:rsidRDefault="00B7214C">
      <w:pPr>
        <w:rPr>
          <w:color w:val="1C1C1C"/>
          <w:szCs w:val="26"/>
        </w:rPr>
      </w:pPr>
      <w:r w:rsidRPr="00E07116">
        <w:rPr>
          <w:color w:val="1C1C1C"/>
          <w:szCs w:val="26"/>
        </w:rPr>
        <w:t>Fondateur et Président-directeur général,</w:t>
      </w:r>
    </w:p>
    <w:p w:rsidR="00B7214C" w:rsidRPr="00E07116" w:rsidRDefault="00B7214C">
      <w:pPr>
        <w:rPr>
          <w:color w:val="000080"/>
        </w:rPr>
      </w:pPr>
      <w:r w:rsidRPr="00E07116">
        <w:rPr>
          <w:color w:val="000080"/>
          <w:szCs w:val="26"/>
        </w:rPr>
        <w:t>LES CLASSIQUES DES SCIENCES SOCIALES.</w:t>
      </w:r>
    </w:p>
    <w:p w:rsidR="00B7214C" w:rsidRPr="00CF4C8E" w:rsidRDefault="00B7214C" w:rsidP="00B7214C">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B7214C" w:rsidRPr="00CF4C8E" w:rsidRDefault="00B7214C" w:rsidP="00B7214C">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B7214C" w:rsidRPr="00CF4C8E" w:rsidRDefault="00B7214C" w:rsidP="00B7214C">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B7214C" w:rsidRPr="00CF4C8E" w:rsidRDefault="00B7214C" w:rsidP="00B7214C">
      <w:pPr>
        <w:ind w:left="20" w:hanging="20"/>
        <w:jc w:val="both"/>
        <w:rPr>
          <w:sz w:val="24"/>
        </w:rPr>
      </w:pPr>
      <w:r w:rsidRPr="00CF4C8E">
        <w:rPr>
          <w:sz w:val="24"/>
        </w:rPr>
        <w:t>à partir du texte de :</w:t>
      </w:r>
    </w:p>
    <w:p w:rsidR="00B7214C" w:rsidRPr="00384B20" w:rsidRDefault="00B7214C" w:rsidP="00B7214C">
      <w:pPr>
        <w:ind w:firstLine="0"/>
        <w:jc w:val="both"/>
        <w:rPr>
          <w:sz w:val="24"/>
        </w:rPr>
      </w:pPr>
    </w:p>
    <w:p w:rsidR="00B7214C" w:rsidRPr="00E07116" w:rsidRDefault="00B7214C" w:rsidP="00B7214C">
      <w:pPr>
        <w:ind w:left="20" w:hanging="20"/>
        <w:jc w:val="both"/>
      </w:pPr>
      <w:r>
        <w:t xml:space="preserve">Sous la direction </w:t>
      </w:r>
      <w:r>
        <w:br/>
        <w:t>de Françoise-Romaine Ouellette et Claude Bar</w:t>
      </w:r>
      <w:r>
        <w:t>i</w:t>
      </w:r>
      <w:r>
        <w:t>teau</w:t>
      </w:r>
    </w:p>
    <w:p w:rsidR="00B7214C" w:rsidRPr="00E07116" w:rsidRDefault="00B7214C" w:rsidP="00B7214C">
      <w:pPr>
        <w:ind w:left="20" w:firstLine="340"/>
        <w:jc w:val="both"/>
      </w:pPr>
    </w:p>
    <w:p w:rsidR="00B7214C" w:rsidRPr="0027562B" w:rsidRDefault="00B7214C" w:rsidP="00B7214C">
      <w:pPr>
        <w:ind w:hanging="20"/>
        <w:jc w:val="both"/>
        <w:rPr>
          <w:b/>
          <w:color w:val="000080"/>
        </w:rPr>
      </w:pPr>
      <w:r w:rsidRPr="0027562B">
        <w:rPr>
          <w:b/>
          <w:color w:val="000080"/>
        </w:rPr>
        <w:t>Entre tradition</w:t>
      </w:r>
      <w:r>
        <w:rPr>
          <w:b/>
          <w:color w:val="000080"/>
        </w:rPr>
        <w:t xml:space="preserve"> </w:t>
      </w:r>
      <w:r w:rsidRPr="0027562B">
        <w:rPr>
          <w:b/>
          <w:color w:val="000080"/>
        </w:rPr>
        <w:t>et universalisme</w:t>
      </w:r>
      <w:r>
        <w:rPr>
          <w:b/>
          <w:color w:val="000080"/>
        </w:rPr>
        <w:t xml:space="preserve">. </w:t>
      </w:r>
    </w:p>
    <w:p w:rsidR="00B7214C" w:rsidRPr="0027562B" w:rsidRDefault="00B7214C" w:rsidP="00B7214C">
      <w:pPr>
        <w:ind w:hanging="20"/>
        <w:jc w:val="both"/>
        <w:rPr>
          <w:b/>
          <w:color w:val="000080"/>
        </w:rPr>
      </w:pPr>
      <w:r w:rsidRPr="0027562B">
        <w:rPr>
          <w:color w:val="000080"/>
        </w:rPr>
        <w:t xml:space="preserve">Recueil d’articles suite au Colloque </w:t>
      </w:r>
      <w:r w:rsidRPr="0027562B">
        <w:rPr>
          <w:i/>
          <w:color w:val="000080"/>
        </w:rPr>
        <w:t>Entre tradition et universali</w:t>
      </w:r>
      <w:r w:rsidRPr="0027562B">
        <w:rPr>
          <w:i/>
          <w:color w:val="000080"/>
        </w:rPr>
        <w:t>s</w:t>
      </w:r>
      <w:r w:rsidRPr="0027562B">
        <w:rPr>
          <w:i/>
          <w:color w:val="000080"/>
        </w:rPr>
        <w:t>me</w:t>
      </w:r>
      <w:r w:rsidRPr="0027562B">
        <w:rPr>
          <w:color w:val="000080"/>
        </w:rPr>
        <w:t xml:space="preserve"> tenu </w:t>
      </w:r>
      <w:r>
        <w:rPr>
          <w:color w:val="000080"/>
        </w:rPr>
        <w:t xml:space="preserve">à Rimouski </w:t>
      </w:r>
      <w:r w:rsidRPr="0027562B">
        <w:rPr>
          <w:color w:val="000080"/>
        </w:rPr>
        <w:t>par l’ACSALF</w:t>
      </w:r>
      <w:r>
        <w:rPr>
          <w:color w:val="000080"/>
        </w:rPr>
        <w:t xml:space="preserve"> </w:t>
      </w:r>
      <w:r w:rsidRPr="0027562B">
        <w:rPr>
          <w:color w:val="000080"/>
        </w:rPr>
        <w:t>du 18 au 20 mai 1993.</w:t>
      </w:r>
    </w:p>
    <w:p w:rsidR="00B7214C" w:rsidRPr="00E07116" w:rsidRDefault="00B7214C" w:rsidP="00B7214C">
      <w:pPr>
        <w:jc w:val="both"/>
      </w:pPr>
    </w:p>
    <w:p w:rsidR="00B7214C" w:rsidRPr="00384B20" w:rsidRDefault="00B7214C" w:rsidP="00B7214C">
      <w:pPr>
        <w:ind w:firstLine="0"/>
        <w:jc w:val="both"/>
        <w:rPr>
          <w:sz w:val="24"/>
        </w:rPr>
      </w:pPr>
      <w:r>
        <w:rPr>
          <w:sz w:val="24"/>
        </w:rPr>
        <w:t>Québec : Institut québécois de recherche sur la culture (IQRC), 1994, 574 pp.</w:t>
      </w:r>
    </w:p>
    <w:p w:rsidR="00B7214C" w:rsidRPr="00384B20" w:rsidRDefault="00B7214C" w:rsidP="00B7214C">
      <w:pPr>
        <w:jc w:val="both"/>
        <w:rPr>
          <w:sz w:val="24"/>
        </w:rPr>
      </w:pPr>
    </w:p>
    <w:p w:rsidR="00B7214C" w:rsidRPr="00384B20" w:rsidRDefault="00B7214C" w:rsidP="00B7214C">
      <w:pPr>
        <w:jc w:val="both"/>
        <w:rPr>
          <w:sz w:val="24"/>
        </w:rPr>
      </w:pPr>
    </w:p>
    <w:p w:rsidR="00B7214C" w:rsidRPr="00384B20" w:rsidRDefault="00B7214C" w:rsidP="00B7214C">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B7214C" w:rsidRPr="00384B20" w:rsidRDefault="00B7214C" w:rsidP="00B7214C">
      <w:pPr>
        <w:jc w:val="both"/>
        <w:rPr>
          <w:sz w:val="24"/>
        </w:rPr>
      </w:pPr>
    </w:p>
    <w:p w:rsidR="00B7214C" w:rsidRDefault="00481548" w:rsidP="00B7214C">
      <w:pPr>
        <w:tabs>
          <w:tab w:val="left" w:pos="3150"/>
        </w:tabs>
        <w:ind w:firstLine="0"/>
        <w:rPr>
          <w:sz w:val="24"/>
        </w:rPr>
      </w:pPr>
      <w:r w:rsidRPr="00384B20">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B7214C" w:rsidRPr="00384B20">
        <w:rPr>
          <w:sz w:val="24"/>
        </w:rPr>
        <w:t xml:space="preserve"> Courriels : </w:t>
      </w:r>
    </w:p>
    <w:p w:rsidR="00B7214C" w:rsidRDefault="00B7214C" w:rsidP="00B7214C">
      <w:pPr>
        <w:tabs>
          <w:tab w:val="left" w:pos="3150"/>
        </w:tabs>
        <w:ind w:firstLine="0"/>
        <w:rPr>
          <w:sz w:val="24"/>
        </w:rPr>
      </w:pPr>
      <w:r>
        <w:rPr>
          <w:sz w:val="24"/>
        </w:rPr>
        <w:t xml:space="preserve">Françoise-Romaine Ouellette : </w:t>
      </w:r>
      <w:r w:rsidRPr="00337B6F">
        <w:rPr>
          <w:sz w:val="24"/>
        </w:rPr>
        <w:t xml:space="preserve"> </w:t>
      </w:r>
      <w:hyperlink r:id="rId15" w:history="1">
        <w:r w:rsidRPr="00BC1A3D">
          <w:rPr>
            <w:rStyle w:val="Lienhypertexte"/>
            <w:sz w:val="24"/>
          </w:rPr>
          <w:t>francoise-romaine.ouellette@ucs.inrs.ca</w:t>
        </w:r>
      </w:hyperlink>
      <w:r>
        <w:rPr>
          <w:sz w:val="24"/>
        </w:rPr>
        <w:t xml:space="preserve"> </w:t>
      </w:r>
    </w:p>
    <w:p w:rsidR="00B7214C" w:rsidRPr="00384B20" w:rsidRDefault="00B7214C" w:rsidP="00B7214C">
      <w:pPr>
        <w:tabs>
          <w:tab w:val="left" w:pos="3150"/>
        </w:tabs>
        <w:ind w:firstLine="0"/>
        <w:rPr>
          <w:sz w:val="24"/>
        </w:rPr>
      </w:pPr>
      <w:r>
        <w:rPr>
          <w:sz w:val="24"/>
        </w:rPr>
        <w:t xml:space="preserve">Claude Bariteau : </w:t>
      </w:r>
      <w:hyperlink r:id="rId16" w:history="1">
        <w:r w:rsidRPr="00BC1A3D">
          <w:rPr>
            <w:rStyle w:val="Lienhypertexte"/>
            <w:sz w:val="24"/>
          </w:rPr>
          <w:t>Claude.Bariteau@ant.ulaval.ca</w:t>
        </w:r>
      </w:hyperlink>
      <w:r>
        <w:rPr>
          <w:sz w:val="24"/>
        </w:rPr>
        <w:t xml:space="preserve"> </w:t>
      </w:r>
    </w:p>
    <w:p w:rsidR="00B7214C" w:rsidRPr="00384B20" w:rsidRDefault="00B7214C" w:rsidP="00B7214C">
      <w:pPr>
        <w:tabs>
          <w:tab w:val="left" w:pos="450"/>
          <w:tab w:val="left" w:pos="3150"/>
        </w:tabs>
        <w:ind w:left="20" w:hanging="20"/>
        <w:jc w:val="both"/>
        <w:rPr>
          <w:sz w:val="24"/>
        </w:rPr>
      </w:pPr>
      <w:r w:rsidRPr="00384B20">
        <w:rPr>
          <w:sz w:val="24"/>
        </w:rPr>
        <w:tab/>
      </w:r>
      <w:r>
        <w:rPr>
          <w:sz w:val="24"/>
        </w:rPr>
        <w:t xml:space="preserve">La présidente de l’ACSALF, Marguerite Soulière : professeure, École de Service sociale, Université d’Ottawa : </w:t>
      </w:r>
      <w:hyperlink r:id="rId17" w:history="1">
        <w:r w:rsidRPr="00BC1A3D">
          <w:rPr>
            <w:rStyle w:val="Lienhypertexte"/>
            <w:sz w:val="24"/>
          </w:rPr>
          <w:t>marguerite.souliere@uOttawa.ca</w:t>
        </w:r>
      </w:hyperlink>
      <w:r>
        <w:rPr>
          <w:sz w:val="24"/>
        </w:rPr>
        <w:t xml:space="preserve"> </w:t>
      </w:r>
    </w:p>
    <w:p w:rsidR="00B7214C" w:rsidRPr="00384B20" w:rsidRDefault="00B7214C" w:rsidP="00B7214C">
      <w:pPr>
        <w:ind w:left="20"/>
        <w:jc w:val="both"/>
        <w:rPr>
          <w:sz w:val="24"/>
        </w:rPr>
      </w:pPr>
    </w:p>
    <w:p w:rsidR="00B7214C" w:rsidRPr="00384B20" w:rsidRDefault="00B7214C">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B7214C" w:rsidRPr="00384B20" w:rsidRDefault="00B7214C">
      <w:pPr>
        <w:ind w:right="1800" w:firstLine="0"/>
        <w:jc w:val="both"/>
        <w:rPr>
          <w:sz w:val="24"/>
        </w:rPr>
      </w:pPr>
    </w:p>
    <w:p w:rsidR="00B7214C" w:rsidRPr="00384B20" w:rsidRDefault="00B7214C" w:rsidP="00B7214C">
      <w:pPr>
        <w:ind w:left="360" w:right="360" w:firstLine="0"/>
        <w:jc w:val="both"/>
        <w:rPr>
          <w:sz w:val="24"/>
        </w:rPr>
      </w:pPr>
      <w:r w:rsidRPr="00384B20">
        <w:rPr>
          <w:sz w:val="24"/>
        </w:rPr>
        <w:t>Pour le texte: Times New Roman, 14 points.</w:t>
      </w:r>
    </w:p>
    <w:p w:rsidR="00B7214C" w:rsidRPr="00384B20" w:rsidRDefault="00B7214C" w:rsidP="00B7214C">
      <w:pPr>
        <w:ind w:left="360" w:right="360" w:firstLine="0"/>
        <w:jc w:val="both"/>
        <w:rPr>
          <w:sz w:val="24"/>
        </w:rPr>
      </w:pPr>
      <w:r w:rsidRPr="00384B20">
        <w:rPr>
          <w:sz w:val="24"/>
        </w:rPr>
        <w:t>Pour les notes de bas de page : Times New Roman, 12 points.</w:t>
      </w:r>
    </w:p>
    <w:p w:rsidR="00B7214C" w:rsidRPr="00384B20" w:rsidRDefault="00B7214C">
      <w:pPr>
        <w:ind w:left="360" w:right="1800" w:firstLine="0"/>
        <w:jc w:val="both"/>
        <w:rPr>
          <w:sz w:val="24"/>
        </w:rPr>
      </w:pPr>
    </w:p>
    <w:p w:rsidR="00B7214C" w:rsidRPr="00384B20" w:rsidRDefault="00B7214C">
      <w:pPr>
        <w:ind w:right="360" w:firstLine="0"/>
        <w:jc w:val="both"/>
        <w:rPr>
          <w:sz w:val="24"/>
        </w:rPr>
      </w:pPr>
      <w:r w:rsidRPr="00384B20">
        <w:rPr>
          <w:sz w:val="24"/>
        </w:rPr>
        <w:t>Édition électronique réalisée avec le traitement de textes Microsoft Word 2008 pour Macintosh.</w:t>
      </w:r>
    </w:p>
    <w:p w:rsidR="00B7214C" w:rsidRPr="00384B20" w:rsidRDefault="00B7214C">
      <w:pPr>
        <w:ind w:right="1800" w:firstLine="0"/>
        <w:jc w:val="both"/>
        <w:rPr>
          <w:sz w:val="24"/>
        </w:rPr>
      </w:pPr>
    </w:p>
    <w:p w:rsidR="00B7214C" w:rsidRPr="00384B20" w:rsidRDefault="00B7214C" w:rsidP="00B7214C">
      <w:pPr>
        <w:ind w:right="540" w:firstLine="0"/>
        <w:jc w:val="both"/>
        <w:rPr>
          <w:sz w:val="24"/>
        </w:rPr>
      </w:pPr>
      <w:r w:rsidRPr="00384B20">
        <w:rPr>
          <w:sz w:val="24"/>
        </w:rPr>
        <w:t>Mise en page sur papier format : LETTRE US, 8.5’’ x 11’’.</w:t>
      </w:r>
    </w:p>
    <w:p w:rsidR="00B7214C" w:rsidRPr="00384B20" w:rsidRDefault="00B7214C">
      <w:pPr>
        <w:ind w:right="1800" w:firstLine="0"/>
        <w:jc w:val="both"/>
        <w:rPr>
          <w:sz w:val="24"/>
        </w:rPr>
      </w:pPr>
    </w:p>
    <w:p w:rsidR="00B7214C" w:rsidRPr="00384B20" w:rsidRDefault="00B7214C" w:rsidP="00B7214C">
      <w:pPr>
        <w:ind w:firstLine="0"/>
        <w:jc w:val="both"/>
        <w:rPr>
          <w:sz w:val="24"/>
        </w:rPr>
      </w:pPr>
      <w:r w:rsidRPr="00384B20">
        <w:rPr>
          <w:sz w:val="24"/>
        </w:rPr>
        <w:t xml:space="preserve">Édition numérique réalisée le </w:t>
      </w:r>
      <w:r>
        <w:rPr>
          <w:sz w:val="24"/>
        </w:rPr>
        <w:t>14 avril 1919 à Chicoutimi</w:t>
      </w:r>
      <w:r w:rsidRPr="00384B20">
        <w:rPr>
          <w:sz w:val="24"/>
        </w:rPr>
        <w:t>, Qu</w:t>
      </w:r>
      <w:r w:rsidRPr="00384B20">
        <w:rPr>
          <w:sz w:val="24"/>
        </w:rPr>
        <w:t>é</w:t>
      </w:r>
      <w:r w:rsidRPr="00384B20">
        <w:rPr>
          <w:sz w:val="24"/>
        </w:rPr>
        <w:t>bec.</w:t>
      </w:r>
    </w:p>
    <w:p w:rsidR="00B7214C" w:rsidRPr="00384B20" w:rsidRDefault="00B7214C">
      <w:pPr>
        <w:ind w:right="1800" w:firstLine="0"/>
        <w:jc w:val="both"/>
        <w:rPr>
          <w:sz w:val="24"/>
        </w:rPr>
      </w:pPr>
    </w:p>
    <w:p w:rsidR="00B7214C" w:rsidRPr="00E07116" w:rsidRDefault="00481548">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B7214C" w:rsidRDefault="00B7214C" w:rsidP="00B7214C">
      <w:pPr>
        <w:ind w:firstLine="0"/>
        <w:jc w:val="center"/>
      </w:pPr>
      <w:r w:rsidRPr="00E07116">
        <w:br w:type="page"/>
      </w:r>
    </w:p>
    <w:p w:rsidR="00B7214C" w:rsidRPr="0027562B" w:rsidRDefault="00B7214C" w:rsidP="00B7214C">
      <w:pPr>
        <w:ind w:firstLine="0"/>
        <w:jc w:val="center"/>
        <w:rPr>
          <w:sz w:val="24"/>
        </w:rPr>
      </w:pPr>
      <w:r w:rsidRPr="0027562B">
        <w:rPr>
          <w:sz w:val="24"/>
        </w:rPr>
        <w:t>SOUS LA DIRECTION DE</w:t>
      </w:r>
    </w:p>
    <w:p w:rsidR="00B7214C" w:rsidRPr="008B4504" w:rsidRDefault="00B7214C" w:rsidP="00B7214C">
      <w:pPr>
        <w:ind w:left="20"/>
        <w:jc w:val="center"/>
        <w:rPr>
          <w:sz w:val="32"/>
        </w:rPr>
      </w:pPr>
      <w:r w:rsidRPr="008B4504">
        <w:rPr>
          <w:sz w:val="32"/>
        </w:rPr>
        <w:t>Françoise-Romaine OUELLETTE</w:t>
      </w:r>
      <w:r w:rsidRPr="008B4504">
        <w:rPr>
          <w:sz w:val="32"/>
        </w:rPr>
        <w:br/>
        <w:t>et Claude BARITEAU</w:t>
      </w:r>
    </w:p>
    <w:p w:rsidR="00B7214C" w:rsidRPr="00E07116" w:rsidRDefault="00B7214C" w:rsidP="00B7214C">
      <w:pPr>
        <w:ind w:firstLine="0"/>
        <w:jc w:val="center"/>
      </w:pPr>
    </w:p>
    <w:p w:rsidR="00B7214C" w:rsidRPr="008B4504" w:rsidRDefault="00B7214C" w:rsidP="00B7214C">
      <w:pPr>
        <w:ind w:firstLine="0"/>
        <w:jc w:val="center"/>
        <w:rPr>
          <w:b/>
          <w:color w:val="000080"/>
          <w:sz w:val="36"/>
        </w:rPr>
      </w:pPr>
      <w:r w:rsidRPr="008B4504">
        <w:rPr>
          <w:b/>
          <w:color w:val="000080"/>
          <w:sz w:val="36"/>
        </w:rPr>
        <w:t xml:space="preserve">Entre tradition et universalisme. </w:t>
      </w:r>
    </w:p>
    <w:p w:rsidR="00B7214C" w:rsidRPr="008B4504" w:rsidRDefault="00B7214C" w:rsidP="00B7214C">
      <w:pPr>
        <w:ind w:firstLine="0"/>
        <w:jc w:val="center"/>
        <w:rPr>
          <w:color w:val="000080"/>
        </w:rPr>
      </w:pPr>
      <w:r w:rsidRPr="008B4504">
        <w:rPr>
          <w:color w:val="000080"/>
        </w:rPr>
        <w:t>Recueil d’articles suite au Colloque Entre tradition et universalisme tenu à Rimouski par l’ACSALF du 18 au 20 mai 1993.</w:t>
      </w:r>
    </w:p>
    <w:p w:rsidR="00B7214C" w:rsidRPr="00E07116" w:rsidRDefault="00B7214C" w:rsidP="00B7214C">
      <w:pPr>
        <w:ind w:firstLine="0"/>
        <w:jc w:val="center"/>
      </w:pPr>
    </w:p>
    <w:p w:rsidR="00B7214C" w:rsidRDefault="00481548" w:rsidP="00B7214C">
      <w:pPr>
        <w:ind w:firstLine="0"/>
        <w:jc w:val="center"/>
      </w:pPr>
      <w:r>
        <w:rPr>
          <w:noProof/>
        </w:rPr>
        <w:drawing>
          <wp:inline distT="0" distB="0" distL="0" distR="0">
            <wp:extent cx="3517900" cy="4937760"/>
            <wp:effectExtent l="25400" t="25400" r="12700" b="15240"/>
            <wp:docPr id="5" name="Image 5" descr="Entre_tradition_et_universalisme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ntre_tradition_et_universalisme_L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7900" cy="4937760"/>
                    </a:xfrm>
                    <a:prstGeom prst="rect">
                      <a:avLst/>
                    </a:prstGeom>
                    <a:noFill/>
                    <a:ln w="19050" cmpd="sng">
                      <a:solidFill>
                        <a:srgbClr val="000000"/>
                      </a:solidFill>
                      <a:miter lim="800000"/>
                      <a:headEnd/>
                      <a:tailEnd/>
                    </a:ln>
                    <a:effectLst/>
                  </pic:spPr>
                </pic:pic>
              </a:graphicData>
            </a:graphic>
          </wp:inline>
        </w:drawing>
      </w:r>
    </w:p>
    <w:p w:rsidR="00B7214C" w:rsidRPr="00E07116" w:rsidRDefault="00B7214C" w:rsidP="00B7214C">
      <w:pPr>
        <w:ind w:firstLine="0"/>
        <w:jc w:val="center"/>
      </w:pPr>
    </w:p>
    <w:p w:rsidR="00B7214C" w:rsidRPr="00384B20" w:rsidRDefault="00B7214C" w:rsidP="00B7214C">
      <w:pPr>
        <w:ind w:firstLine="0"/>
        <w:jc w:val="center"/>
        <w:rPr>
          <w:sz w:val="24"/>
        </w:rPr>
      </w:pPr>
      <w:r>
        <w:rPr>
          <w:sz w:val="24"/>
        </w:rPr>
        <w:t>Québec : Institut québécois de recherche sur la culture (IQRC), 1994, 574 pp.</w:t>
      </w:r>
    </w:p>
    <w:p w:rsidR="00B7214C" w:rsidRDefault="00B7214C" w:rsidP="00B7214C">
      <w:pPr>
        <w:spacing w:before="120" w:after="120"/>
        <w:ind w:firstLine="0"/>
        <w:jc w:val="center"/>
      </w:pPr>
      <w:r w:rsidRPr="00E07116">
        <w:br w:type="page"/>
      </w:r>
    </w:p>
    <w:p w:rsidR="00B7214C" w:rsidRPr="0090190D" w:rsidRDefault="00B7214C" w:rsidP="00B7214C">
      <w:pPr>
        <w:spacing w:before="120" w:after="120"/>
        <w:ind w:firstLine="0"/>
        <w:jc w:val="center"/>
      </w:pPr>
    </w:p>
    <w:p w:rsidR="00B7214C" w:rsidRPr="0090190D" w:rsidRDefault="00B7214C" w:rsidP="00B7214C">
      <w:pPr>
        <w:spacing w:before="120" w:after="120"/>
        <w:ind w:firstLine="0"/>
        <w:jc w:val="center"/>
        <w:rPr>
          <w:sz w:val="72"/>
        </w:rPr>
      </w:pPr>
      <w:r w:rsidRPr="0090190D">
        <w:rPr>
          <w:sz w:val="72"/>
        </w:rPr>
        <w:t>Entre tradition</w:t>
      </w:r>
      <w:r w:rsidRPr="0090190D">
        <w:rPr>
          <w:sz w:val="72"/>
        </w:rPr>
        <w:br/>
        <w:t>et universalisme</w:t>
      </w:r>
    </w:p>
    <w:p w:rsidR="00B7214C" w:rsidRDefault="00B7214C" w:rsidP="00B7214C">
      <w:pPr>
        <w:spacing w:before="120" w:after="120"/>
        <w:ind w:firstLine="0"/>
        <w:jc w:val="center"/>
      </w:pPr>
    </w:p>
    <w:p w:rsidR="00B7214C" w:rsidRDefault="00B7214C" w:rsidP="00B7214C">
      <w:pPr>
        <w:spacing w:before="120" w:after="120"/>
        <w:ind w:firstLine="0"/>
        <w:jc w:val="center"/>
      </w:pPr>
    </w:p>
    <w:p w:rsidR="00B7214C" w:rsidRPr="0090190D" w:rsidRDefault="00B7214C" w:rsidP="00B7214C">
      <w:pPr>
        <w:spacing w:before="120" w:after="120"/>
        <w:ind w:firstLine="0"/>
        <w:jc w:val="center"/>
      </w:pPr>
    </w:p>
    <w:p w:rsidR="00B7214C" w:rsidRPr="0090190D" w:rsidRDefault="00B7214C" w:rsidP="00B7214C">
      <w:pPr>
        <w:spacing w:before="120" w:after="120"/>
        <w:ind w:firstLine="0"/>
        <w:jc w:val="center"/>
        <w:rPr>
          <w:sz w:val="36"/>
        </w:rPr>
      </w:pPr>
      <w:r w:rsidRPr="0090190D">
        <w:rPr>
          <w:sz w:val="36"/>
        </w:rPr>
        <w:t>Sous</w:t>
      </w:r>
      <w:r w:rsidRPr="0090190D">
        <w:rPr>
          <w:sz w:val="36"/>
        </w:rPr>
        <w:br/>
        <w:t>la direction de</w:t>
      </w:r>
      <w:r w:rsidRPr="0090190D">
        <w:rPr>
          <w:sz w:val="36"/>
        </w:rPr>
        <w:br/>
        <w:t>Françoise-Romaine Ouellette</w:t>
      </w:r>
      <w:r w:rsidRPr="0090190D">
        <w:rPr>
          <w:sz w:val="36"/>
        </w:rPr>
        <w:br/>
        <w:t>et Claude Bariteau</w:t>
      </w:r>
    </w:p>
    <w:p w:rsidR="00B7214C" w:rsidRPr="0090190D" w:rsidRDefault="00B7214C" w:rsidP="00B7214C">
      <w:pPr>
        <w:spacing w:before="120" w:after="120"/>
        <w:ind w:firstLine="0"/>
        <w:jc w:val="center"/>
      </w:pPr>
      <w:r w:rsidRPr="0090190D">
        <w:rPr>
          <w:sz w:val="48"/>
        </w:rPr>
        <w:t>ACSALF</w:t>
      </w:r>
    </w:p>
    <w:p w:rsidR="00B7214C" w:rsidRDefault="00B7214C" w:rsidP="00B7214C">
      <w:pPr>
        <w:spacing w:before="120" w:after="120"/>
        <w:ind w:firstLine="0"/>
        <w:jc w:val="center"/>
      </w:pPr>
    </w:p>
    <w:p w:rsidR="00B7214C" w:rsidRDefault="00B7214C" w:rsidP="00B7214C">
      <w:pPr>
        <w:spacing w:before="120" w:after="120"/>
        <w:ind w:firstLine="0"/>
        <w:jc w:val="center"/>
      </w:pPr>
    </w:p>
    <w:p w:rsidR="00B7214C" w:rsidRDefault="00B7214C" w:rsidP="00B7214C">
      <w:pPr>
        <w:spacing w:before="120" w:after="120"/>
        <w:ind w:firstLine="0"/>
        <w:jc w:val="center"/>
      </w:pPr>
    </w:p>
    <w:p w:rsidR="00B7214C" w:rsidRDefault="00B7214C" w:rsidP="00B7214C">
      <w:pPr>
        <w:spacing w:before="120" w:after="120"/>
        <w:ind w:firstLine="0"/>
        <w:jc w:val="center"/>
      </w:pPr>
    </w:p>
    <w:p w:rsidR="00B7214C" w:rsidRDefault="00B7214C" w:rsidP="00B7214C">
      <w:pPr>
        <w:spacing w:before="120" w:after="120"/>
        <w:ind w:firstLine="0"/>
        <w:jc w:val="center"/>
      </w:pPr>
    </w:p>
    <w:p w:rsidR="00B7214C" w:rsidRPr="0090190D" w:rsidRDefault="00B7214C" w:rsidP="00B7214C">
      <w:pPr>
        <w:spacing w:before="120" w:after="120"/>
        <w:ind w:firstLine="0"/>
        <w:jc w:val="center"/>
      </w:pPr>
    </w:p>
    <w:p w:rsidR="00B7214C" w:rsidRPr="0090190D" w:rsidRDefault="00B7214C" w:rsidP="00B7214C">
      <w:pPr>
        <w:spacing w:before="120" w:after="120"/>
        <w:ind w:firstLine="0"/>
        <w:jc w:val="center"/>
      </w:pPr>
      <w:r w:rsidRPr="0090190D">
        <w:t>IQRC</w:t>
      </w:r>
    </w:p>
    <w:p w:rsidR="00B7214C" w:rsidRDefault="00B7214C" w:rsidP="00B7214C">
      <w:pPr>
        <w:spacing w:before="120" w:after="120"/>
        <w:ind w:firstLine="0"/>
        <w:jc w:val="center"/>
      </w:pPr>
    </w:p>
    <w:p w:rsidR="00B7214C" w:rsidRDefault="00B7214C" w:rsidP="00B7214C">
      <w:pPr>
        <w:spacing w:before="120" w:after="120"/>
        <w:ind w:firstLine="0"/>
        <w:jc w:val="center"/>
      </w:pPr>
      <w:r w:rsidRPr="0090190D">
        <w:t>1994</w:t>
      </w:r>
    </w:p>
    <w:p w:rsidR="00B7214C" w:rsidRDefault="00B7214C" w:rsidP="00B7214C">
      <w:pPr>
        <w:spacing w:before="120" w:after="120"/>
        <w:ind w:firstLine="0"/>
        <w:jc w:val="center"/>
      </w:pPr>
      <w:r w:rsidRPr="0090190D">
        <w:t>INSTITUT QUÉBÉCOIS DE RECHERCHE SUR LA CULTURE</w:t>
      </w:r>
    </w:p>
    <w:p w:rsidR="00B7214C" w:rsidRDefault="00B7214C" w:rsidP="00B7214C">
      <w:pPr>
        <w:pStyle w:val="p"/>
      </w:pPr>
      <w:r w:rsidRPr="00BC632B">
        <w:br w:type="page"/>
      </w:r>
    </w:p>
    <w:p w:rsidR="00B7214C" w:rsidRDefault="00B7214C" w:rsidP="00B7214C">
      <w:pPr>
        <w:pStyle w:val="p"/>
      </w:pPr>
    </w:p>
    <w:p w:rsidR="00B7214C" w:rsidRDefault="00B7214C" w:rsidP="00B7214C">
      <w:pPr>
        <w:pStyle w:val="p"/>
      </w:pPr>
    </w:p>
    <w:p w:rsidR="00B7214C" w:rsidRDefault="00481548" w:rsidP="00B7214C">
      <w:pPr>
        <w:pStyle w:val="p"/>
      </w:pPr>
      <w:r>
        <w:rPr>
          <w:noProof/>
        </w:rPr>
        <w:drawing>
          <wp:inline distT="0" distB="0" distL="0" distR="0">
            <wp:extent cx="2442210" cy="1635125"/>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2210" cy="1635125"/>
                    </a:xfrm>
                    <a:prstGeom prst="rect">
                      <a:avLst/>
                    </a:prstGeom>
                    <a:noFill/>
                    <a:ln>
                      <a:noFill/>
                    </a:ln>
                  </pic:spPr>
                </pic:pic>
              </a:graphicData>
            </a:graphic>
          </wp:inline>
        </w:drawing>
      </w:r>
    </w:p>
    <w:p w:rsidR="00B7214C" w:rsidRDefault="00B7214C" w:rsidP="00B7214C">
      <w:pPr>
        <w:pStyle w:val="p"/>
      </w:pPr>
    </w:p>
    <w:p w:rsidR="00B7214C" w:rsidRPr="00384B20" w:rsidRDefault="00B7214C" w:rsidP="00B7214C">
      <w:pPr>
        <w:ind w:left="20"/>
        <w:jc w:val="both"/>
        <w:rPr>
          <w:sz w:val="24"/>
        </w:rPr>
      </w:pPr>
      <w:r>
        <w:rPr>
          <w:sz w:val="24"/>
        </w:rPr>
        <w:t>La présidente de l’ACSALF, Mme Marguerite Soulière, nous a accordé le 20 août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rsidR="00B7214C" w:rsidRDefault="00B7214C" w:rsidP="00B7214C">
      <w:pPr>
        <w:jc w:val="both"/>
        <w:rPr>
          <w:sz w:val="24"/>
        </w:rPr>
      </w:pPr>
    </w:p>
    <w:p w:rsidR="00B7214C" w:rsidRPr="00384B20" w:rsidRDefault="00B7214C" w:rsidP="00B7214C">
      <w:pPr>
        <w:jc w:val="both"/>
        <w:rPr>
          <w:sz w:val="24"/>
        </w:rPr>
      </w:pPr>
    </w:p>
    <w:p w:rsidR="00B7214C" w:rsidRDefault="00481548" w:rsidP="00B7214C">
      <w:pPr>
        <w:tabs>
          <w:tab w:val="left" w:pos="3150"/>
        </w:tabs>
        <w:ind w:firstLine="0"/>
        <w:rPr>
          <w:sz w:val="24"/>
        </w:rPr>
      </w:pPr>
      <w:r w:rsidRPr="00384B20">
        <w:rPr>
          <w:noProof/>
          <w:sz w:val="24"/>
        </w:rPr>
        <w:drawing>
          <wp:inline distT="0" distB="0" distL="0" distR="0">
            <wp:extent cx="258445" cy="258445"/>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B7214C">
        <w:rPr>
          <w:sz w:val="24"/>
        </w:rPr>
        <w:t xml:space="preserve"> Courriel</w:t>
      </w:r>
      <w:r w:rsidR="00B7214C" w:rsidRPr="00384B20">
        <w:rPr>
          <w:sz w:val="24"/>
        </w:rPr>
        <w:t xml:space="preserve"> : </w:t>
      </w:r>
    </w:p>
    <w:p w:rsidR="00B7214C" w:rsidRDefault="00B7214C" w:rsidP="00B7214C">
      <w:pPr>
        <w:pStyle w:val="p"/>
        <w:rPr>
          <w:sz w:val="24"/>
        </w:rPr>
      </w:pPr>
    </w:p>
    <w:p w:rsidR="00B7214C" w:rsidRDefault="00B7214C" w:rsidP="00B7214C">
      <w:pPr>
        <w:pStyle w:val="p"/>
      </w:pPr>
      <w:r>
        <w:rPr>
          <w:sz w:val="24"/>
        </w:rPr>
        <w:t xml:space="preserve">La présidente de l’ACSALF, Marguerite Soulière : professeure, École de Service sociale, Université d’Ottawa : </w:t>
      </w:r>
      <w:hyperlink r:id="rId21" w:history="1">
        <w:r w:rsidRPr="00BC1A3D">
          <w:rPr>
            <w:rStyle w:val="Lienhypertexte"/>
            <w:sz w:val="24"/>
          </w:rPr>
          <w:t>marguerite.souliere@uOttawa.ca</w:t>
        </w:r>
      </w:hyperlink>
      <w:r>
        <w:rPr>
          <w:sz w:val="24"/>
        </w:rPr>
        <w:t xml:space="preserve"> </w:t>
      </w:r>
    </w:p>
    <w:p w:rsidR="00B7214C" w:rsidRPr="00E07116" w:rsidRDefault="00B7214C" w:rsidP="00B7214C">
      <w:pPr>
        <w:pStyle w:val="p"/>
      </w:pPr>
      <w:r w:rsidRPr="00BC632B">
        <w:br w:type="page"/>
      </w: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 w:name="Entre_tradition_couverture"/>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E07116" w:rsidRDefault="00B7214C" w:rsidP="00B7214C">
      <w:pPr>
        <w:pStyle w:val="planchest"/>
      </w:pPr>
      <w:r w:rsidRPr="00E07116">
        <w:t>Quatrième de couverture</w:t>
      </w:r>
    </w:p>
    <w:bookmarkEnd w:id="1"/>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BC632B" w:rsidRDefault="00B7214C" w:rsidP="00B7214C">
      <w:pPr>
        <w:spacing w:before="120" w:after="120"/>
        <w:jc w:val="both"/>
      </w:pPr>
      <w:r w:rsidRPr="00BC632B">
        <w:t>Alors que la mondialisation donne le ton à des aménagements pl</w:t>
      </w:r>
      <w:r w:rsidRPr="00BC632B">
        <w:t>a</w:t>
      </w:r>
      <w:r w:rsidRPr="00BC632B">
        <w:t>nétaires inédits, des fragmentations multiples s’expriment et d</w:t>
      </w:r>
      <w:r w:rsidRPr="00BC632B">
        <w:t>é</w:t>
      </w:r>
      <w:r w:rsidRPr="00BC632B">
        <w:t>voilent autant la déstabilisation de construits nationaux que des br</w:t>
      </w:r>
      <w:r w:rsidRPr="00BC632B">
        <w:t>i</w:t>
      </w:r>
      <w:r w:rsidRPr="00BC632B">
        <w:t xml:space="preserve">colages identitaires nouveau genre. Du coup, </w:t>
      </w:r>
      <w:r w:rsidRPr="0090190D">
        <w:rPr>
          <w:bCs/>
          <w:i/>
        </w:rPr>
        <w:t>Tradition et universalisme</w:t>
      </w:r>
      <w:r w:rsidRPr="0090190D">
        <w:rPr>
          <w:b/>
          <w:bCs/>
        </w:rPr>
        <w:t xml:space="preserve"> </w:t>
      </w:r>
      <w:r w:rsidRPr="00BC632B">
        <w:t>se retrouvent à l’avant-scène. Ce recueil de textes témoigne des r</w:t>
      </w:r>
      <w:r w:rsidRPr="00BC632B">
        <w:t>é</w:t>
      </w:r>
      <w:r w:rsidRPr="00BC632B">
        <w:t>flexions d’anthropologues et de sociologues qui ont débattu de ce thè</w:t>
      </w:r>
      <w:r>
        <w:t>me à l’occasion du colloque de l’</w:t>
      </w:r>
      <w:r w:rsidRPr="00BC632B">
        <w:t>ACSALF tenu à Rimouski en mai 1993.</w:t>
      </w:r>
    </w:p>
    <w:p w:rsidR="00B7214C" w:rsidRPr="00BC632B" w:rsidRDefault="00B7214C" w:rsidP="00B7214C">
      <w:pPr>
        <w:spacing w:before="120" w:after="120"/>
        <w:jc w:val="both"/>
      </w:pPr>
      <w:r w:rsidRPr="00BC632B">
        <w:t>D’entrée de jeu, l’anthropologue Marc Augé questionne l’impact de la « délocalisation » du social dont l’une des conséquences serait la perte du sens d’hier. Il interroge aussi les nouvelles constructions de sens associées à une accélération sans précédent de l’histoire. Ce</w:t>
      </w:r>
      <w:r w:rsidRPr="00BC632B">
        <w:t>t</w:t>
      </w:r>
      <w:r w:rsidRPr="00BC632B">
        <w:t>te idée est le fil conducteur des trois sections de l’ouvrage. Elle app</w:t>
      </w:r>
      <w:r w:rsidRPr="00BC632B">
        <w:t>a</w:t>
      </w:r>
      <w:r w:rsidRPr="00BC632B">
        <w:t xml:space="preserve">raît constamment en toile de fond dès que les concepts </w:t>
      </w:r>
      <w:r w:rsidRPr="000D1A32">
        <w:t>« nations et cult</w:t>
      </w:r>
      <w:r w:rsidRPr="000D1A32">
        <w:t>u</w:t>
      </w:r>
      <w:r w:rsidRPr="000D1A32">
        <w:t>res »</w:t>
      </w:r>
      <w:r w:rsidRPr="000D1A32">
        <w:rPr>
          <w:b/>
          <w:bCs/>
        </w:rPr>
        <w:t xml:space="preserve"> </w:t>
      </w:r>
      <w:r w:rsidRPr="00BC632B">
        <w:t>se conjuguent sous l’angle du pouvoir, de l’ethnicité, de l’identité culturelle ou de l’intégration sociale. Lorsque l’on questio</w:t>
      </w:r>
      <w:r w:rsidRPr="00BC632B">
        <w:t>n</w:t>
      </w:r>
      <w:r w:rsidRPr="00BC632B">
        <w:t>ne la filiation, les droits, le don et les pratiques de solidarité qui fo</w:t>
      </w:r>
      <w:r w:rsidRPr="00BC632B">
        <w:t>n</w:t>
      </w:r>
      <w:r w:rsidRPr="00BC632B">
        <w:t xml:space="preserve">dent </w:t>
      </w:r>
      <w:r w:rsidRPr="0090190D">
        <w:rPr>
          <w:bCs/>
        </w:rPr>
        <w:t>« </w:t>
      </w:r>
      <w:r w:rsidRPr="0090190D">
        <w:rPr>
          <w:bCs/>
          <w:i/>
        </w:rPr>
        <w:t>le lien social </w:t>
      </w:r>
      <w:r w:rsidRPr="0090190D">
        <w:rPr>
          <w:bCs/>
        </w:rPr>
        <w:t>»,</w:t>
      </w:r>
      <w:r w:rsidRPr="0090190D">
        <w:rPr>
          <w:b/>
          <w:bCs/>
        </w:rPr>
        <w:t xml:space="preserve"> </w:t>
      </w:r>
      <w:r w:rsidRPr="00BC632B">
        <w:t>elle resurgit aussi tant ces thématiques sont en proie à des r</w:t>
      </w:r>
      <w:r w:rsidRPr="00BC632B">
        <w:t>é</w:t>
      </w:r>
      <w:r w:rsidRPr="00BC632B">
        <w:t>équilibrages constamment alimentés par les légitimations aux ancr</w:t>
      </w:r>
      <w:r w:rsidRPr="00BC632B">
        <w:t>a</w:t>
      </w:r>
      <w:r w:rsidRPr="00BC632B">
        <w:t xml:space="preserve">ges multiples mises de l’avant par les acteurs sociaux, les chercheurs y compris. S’il s’agit de </w:t>
      </w:r>
      <w:r w:rsidRPr="0090190D">
        <w:rPr>
          <w:bCs/>
        </w:rPr>
        <w:t>«</w:t>
      </w:r>
      <w:r w:rsidRPr="0090190D">
        <w:rPr>
          <w:b/>
          <w:bCs/>
        </w:rPr>
        <w:t> </w:t>
      </w:r>
      <w:r w:rsidRPr="0090190D">
        <w:rPr>
          <w:bCs/>
          <w:i/>
        </w:rPr>
        <w:t>lieux des identités et de produ</w:t>
      </w:r>
      <w:r w:rsidRPr="0090190D">
        <w:rPr>
          <w:bCs/>
          <w:i/>
        </w:rPr>
        <w:t>c</w:t>
      </w:r>
      <w:r w:rsidRPr="0090190D">
        <w:rPr>
          <w:bCs/>
          <w:i/>
        </w:rPr>
        <w:t>tion de la mémoire </w:t>
      </w:r>
      <w:r w:rsidRPr="0090190D">
        <w:rPr>
          <w:bCs/>
        </w:rPr>
        <w:t>»,</w:t>
      </w:r>
      <w:r w:rsidRPr="0090190D">
        <w:rPr>
          <w:b/>
          <w:bCs/>
        </w:rPr>
        <w:t xml:space="preserve"> </w:t>
      </w:r>
      <w:r w:rsidRPr="00BC632B">
        <w:t xml:space="preserve">elle ressort avec encore plus de visibilité. Les événements culturels en région en sont l’expression, tout autant </w:t>
      </w:r>
      <w:r w:rsidRPr="00BC632B">
        <w:lastRenderedPageBreak/>
        <w:t>que les questionnements qui animent les archéologues et les muséol</w:t>
      </w:r>
      <w:r w:rsidRPr="00BC632B">
        <w:t>o</w:t>
      </w:r>
      <w:r w:rsidRPr="00BC632B">
        <w:t>gues.</w:t>
      </w:r>
    </w:p>
    <w:p w:rsidR="00B7214C" w:rsidRDefault="00B7214C" w:rsidP="00B7214C">
      <w:pPr>
        <w:spacing w:before="120" w:after="120"/>
        <w:jc w:val="both"/>
        <w:rPr>
          <w:rFonts w:eastAsia="AppleGothic"/>
        </w:rPr>
      </w:pPr>
      <w:r w:rsidRPr="00BC632B">
        <w:rPr>
          <w:rFonts w:eastAsia="AppleGothic"/>
        </w:rPr>
        <w:t>Ces actes témoignent des préoccupations qui animent anthropol</w:t>
      </w:r>
      <w:r w:rsidRPr="00BC632B">
        <w:rPr>
          <w:rFonts w:eastAsia="AppleGothic"/>
        </w:rPr>
        <w:t>o</w:t>
      </w:r>
      <w:r w:rsidRPr="00BC632B">
        <w:rPr>
          <w:rFonts w:eastAsia="AppleGothic"/>
        </w:rPr>
        <w:t>gues et sociologues en regard des poussées universalistes et tradition</w:t>
      </w:r>
      <w:r w:rsidRPr="00BC632B">
        <w:rPr>
          <w:rFonts w:eastAsia="AppleGothic"/>
        </w:rPr>
        <w:t>a</w:t>
      </w:r>
      <w:r w:rsidRPr="00BC632B">
        <w:rPr>
          <w:rFonts w:eastAsia="AppleGothic"/>
        </w:rPr>
        <w:t>listes qui traversent les sociétés modernes. Ils constituent un regard décapant sur le Québec d’aujourd’hui, mais incitent également à des regards critiques, parfois inquisiteurs, sur d’autres dynamiques soci</w:t>
      </w:r>
      <w:r w:rsidRPr="00BC632B">
        <w:rPr>
          <w:rFonts w:eastAsia="AppleGothic"/>
        </w:rPr>
        <w:t>a</w:t>
      </w:r>
      <w:r w:rsidRPr="00BC632B">
        <w:rPr>
          <w:rFonts w:eastAsia="AppleGothic"/>
        </w:rPr>
        <w:t>les. Aussi, sont-ils un apport à l’appréhension de ce qui a cours, en des lieux précis, dans le sillon des reconstructions provoquées par le pari de la mondialisation.</w:t>
      </w:r>
    </w:p>
    <w:p w:rsidR="00B7214C" w:rsidRPr="00E07116" w:rsidRDefault="00B7214C" w:rsidP="00B7214C">
      <w:pPr>
        <w:jc w:val="both"/>
      </w:pPr>
    </w:p>
    <w:p w:rsidR="00B7214C" w:rsidRPr="00E07116" w:rsidRDefault="00B7214C" w:rsidP="00B7214C">
      <w:pPr>
        <w:ind w:firstLine="0"/>
        <w:jc w:val="center"/>
      </w:pPr>
      <w:r w:rsidRPr="00E07116">
        <w:br w:type="page"/>
      </w: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E07116" w:rsidRDefault="00B7214C" w:rsidP="00B7214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B7214C" w:rsidRPr="00E07116" w:rsidRDefault="00B7214C" w:rsidP="00B7214C">
      <w:pPr>
        <w:pStyle w:val="NormalWeb"/>
        <w:spacing w:before="2" w:after="2"/>
        <w:jc w:val="both"/>
        <w:rPr>
          <w:rFonts w:ascii="Times New Roman" w:hAnsi="Times New Roman"/>
          <w:sz w:val="28"/>
        </w:rPr>
      </w:pPr>
    </w:p>
    <w:p w:rsidR="00B7214C" w:rsidRPr="00E07116" w:rsidRDefault="00B7214C" w:rsidP="00B7214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B7214C" w:rsidRPr="00E07116" w:rsidRDefault="00B7214C" w:rsidP="00B7214C">
      <w:pPr>
        <w:jc w:val="both"/>
        <w:rPr>
          <w:szCs w:val="19"/>
        </w:rPr>
      </w:pPr>
    </w:p>
    <w:p w:rsidR="00B7214C" w:rsidRPr="00E07116" w:rsidRDefault="00B7214C">
      <w:pPr>
        <w:jc w:val="both"/>
        <w:rPr>
          <w:szCs w:val="19"/>
        </w:rPr>
      </w:pPr>
    </w:p>
    <w:p w:rsidR="00B7214C" w:rsidRDefault="00B7214C" w:rsidP="00B7214C">
      <w:pPr>
        <w:pStyle w:val="p"/>
      </w:pPr>
      <w:r w:rsidRPr="00E07116">
        <w:br w:type="page"/>
      </w:r>
      <w:r>
        <w:t>[6]</w:t>
      </w:r>
    </w:p>
    <w:p w:rsidR="00B7214C" w:rsidRDefault="00B7214C" w:rsidP="00B7214C">
      <w:pPr>
        <w:spacing w:before="120" w:after="120"/>
        <w:jc w:val="both"/>
      </w:pPr>
    </w:p>
    <w:p w:rsidR="00B7214C" w:rsidRPr="00BC632B" w:rsidRDefault="00B7214C" w:rsidP="00B7214C">
      <w:pPr>
        <w:spacing w:before="60" w:after="60"/>
        <w:jc w:val="both"/>
      </w:pPr>
      <w:r w:rsidRPr="00BC632B">
        <w:t>Données de catalogage avant publication (Canada)</w:t>
      </w:r>
    </w:p>
    <w:p w:rsidR="00B7214C" w:rsidRPr="00BC632B" w:rsidRDefault="00B7214C" w:rsidP="00B7214C">
      <w:pPr>
        <w:spacing w:before="60" w:after="60"/>
        <w:jc w:val="both"/>
      </w:pPr>
      <w:r w:rsidRPr="00BC632B">
        <w:t>Vedette principale au titre :</w:t>
      </w:r>
    </w:p>
    <w:p w:rsidR="00B7214C" w:rsidRPr="00BC632B" w:rsidRDefault="00B7214C" w:rsidP="00B7214C">
      <w:pPr>
        <w:spacing w:before="60" w:after="60"/>
        <w:jc w:val="both"/>
      </w:pPr>
      <w:r w:rsidRPr="00BC632B">
        <w:t>Entre tradition et universalisme</w:t>
      </w:r>
    </w:p>
    <w:p w:rsidR="00B7214C" w:rsidRDefault="00B7214C" w:rsidP="00B7214C">
      <w:pPr>
        <w:spacing w:before="60" w:after="60"/>
        <w:jc w:val="both"/>
      </w:pPr>
    </w:p>
    <w:p w:rsidR="00B7214C" w:rsidRPr="00BC632B" w:rsidRDefault="00B7214C" w:rsidP="00B7214C">
      <w:pPr>
        <w:spacing w:before="60" w:after="60"/>
        <w:jc w:val="both"/>
      </w:pPr>
      <w:r w:rsidRPr="00BC632B">
        <w:t>« Recueil d'articles qui fait suite au Colloque Entre tradition et universalisme tenu par l'Association canadienne des sociologues et anthropologues de langue française (ACSALF), à Rimouski, du 18 au 20 mai 1993 » - Présentation.</w:t>
      </w:r>
    </w:p>
    <w:p w:rsidR="00B7214C" w:rsidRPr="00BC632B" w:rsidRDefault="00B7214C" w:rsidP="00B7214C">
      <w:pPr>
        <w:spacing w:before="60" w:after="60"/>
        <w:jc w:val="both"/>
      </w:pPr>
      <w:r w:rsidRPr="00BC632B">
        <w:t>Comprend des références bibliographiques.</w:t>
      </w:r>
    </w:p>
    <w:p w:rsidR="00B7214C" w:rsidRPr="00BC632B" w:rsidRDefault="00B7214C" w:rsidP="00B7214C">
      <w:pPr>
        <w:spacing w:before="60" w:after="60"/>
        <w:jc w:val="both"/>
      </w:pPr>
      <w:r w:rsidRPr="00BC632B">
        <w:t>ISBN 2-89224-197-9</w:t>
      </w:r>
    </w:p>
    <w:p w:rsidR="00B7214C" w:rsidRPr="00BC632B" w:rsidRDefault="00B7214C" w:rsidP="00B7214C">
      <w:pPr>
        <w:spacing w:before="60" w:after="60"/>
        <w:jc w:val="both"/>
      </w:pPr>
      <w:r w:rsidRPr="00BC632B">
        <w:t>1. Sociologie - Congrès. 2. Anthropologie - Congrès. 3. Ethnicité - Congrès. 4. Nationalisme - Congrès. 5. Intégration sociale - Congrès. 6. Relations humaines - Congrès. I. Ouellette, Françoise-Romaine. II. Bariteau, Claude. III. Institut québécois de recherche sur la culture. IV. Colloque Entre tradition et universalisme (1993 : Rimouski, Qu</w:t>
      </w:r>
      <w:r w:rsidRPr="00BC632B">
        <w:t>é</w:t>
      </w:r>
      <w:r w:rsidRPr="00BC632B">
        <w:t>bec). V. Association canadienne des sociologues et a</w:t>
      </w:r>
      <w:r w:rsidRPr="00BC632B">
        <w:t>n</w:t>
      </w:r>
      <w:r w:rsidRPr="00BC632B">
        <w:t>thropologues de langue française.</w:t>
      </w:r>
    </w:p>
    <w:p w:rsidR="00B7214C" w:rsidRPr="00BC632B" w:rsidRDefault="00B7214C" w:rsidP="00B7214C">
      <w:pPr>
        <w:spacing w:before="60" w:after="60"/>
        <w:jc w:val="both"/>
      </w:pPr>
      <w:r w:rsidRPr="00BC632B">
        <w:t>HM13.E57 1994</w:t>
      </w:r>
      <w:r w:rsidRPr="00BC632B">
        <w:tab/>
        <w:t>301</w:t>
      </w:r>
      <w:r w:rsidRPr="00BC632B">
        <w:tab/>
        <w:t>C94-940385-7</w:t>
      </w:r>
    </w:p>
    <w:p w:rsidR="00B7214C" w:rsidRDefault="00B7214C" w:rsidP="00B7214C">
      <w:pPr>
        <w:spacing w:before="60" w:after="60"/>
        <w:jc w:val="both"/>
      </w:pPr>
    </w:p>
    <w:p w:rsidR="00B7214C" w:rsidRDefault="00B7214C" w:rsidP="00B7214C">
      <w:pPr>
        <w:spacing w:before="60" w:after="60"/>
        <w:jc w:val="both"/>
      </w:pPr>
      <w:r w:rsidRPr="001F68CF">
        <w:t>Le 1er janvier 1994, l'Institut québécois de recherche sur la culture est devenu, en vertu de la Loi 109, le huitième Centre de recherche de l'Institut national de la recherche scientifique (INRS).</w:t>
      </w:r>
    </w:p>
    <w:p w:rsidR="00B7214C" w:rsidRDefault="00B7214C" w:rsidP="00B7214C">
      <w:pPr>
        <w:spacing w:before="60" w:after="60"/>
        <w:ind w:firstLine="0"/>
        <w:jc w:val="both"/>
      </w:pPr>
    </w:p>
    <w:p w:rsidR="00B7214C" w:rsidRDefault="00B7214C" w:rsidP="00B7214C">
      <w:pPr>
        <w:spacing w:before="60" w:after="60"/>
        <w:ind w:firstLine="0"/>
        <w:jc w:val="both"/>
      </w:pPr>
      <w:r w:rsidRPr="00BC632B">
        <w:t>Conception graphique de la couverture : Gilles Caron</w:t>
      </w:r>
    </w:p>
    <w:p w:rsidR="00B7214C" w:rsidRPr="00BC632B" w:rsidRDefault="00B7214C" w:rsidP="00B7214C">
      <w:pPr>
        <w:spacing w:before="60" w:after="60"/>
        <w:ind w:firstLine="0"/>
        <w:jc w:val="both"/>
      </w:pPr>
      <w:r w:rsidRPr="00BC632B">
        <w:t>ISBN 2-89224-197-9</w:t>
      </w:r>
    </w:p>
    <w:p w:rsidR="00B7214C" w:rsidRDefault="00B7214C" w:rsidP="00B7214C">
      <w:pPr>
        <w:spacing w:before="60" w:after="60"/>
        <w:ind w:firstLine="0"/>
        <w:jc w:val="both"/>
      </w:pPr>
    </w:p>
    <w:p w:rsidR="00B7214C" w:rsidRDefault="00B7214C" w:rsidP="00B7214C">
      <w:pPr>
        <w:spacing w:before="60" w:after="60"/>
        <w:ind w:firstLine="0"/>
        <w:jc w:val="both"/>
      </w:pPr>
      <w:r w:rsidRPr="00BC632B">
        <w:t>Dépôt légal, 1994 - Bibliothèque nationale du Québec</w:t>
      </w:r>
    </w:p>
    <w:p w:rsidR="00B7214C" w:rsidRPr="00BC632B" w:rsidRDefault="00B7214C" w:rsidP="00B7214C">
      <w:pPr>
        <w:spacing w:before="60" w:after="60"/>
        <w:ind w:firstLine="0"/>
        <w:jc w:val="both"/>
      </w:pPr>
      <w:r w:rsidRPr="00BC632B">
        <w:t>©Tous droits réservés</w:t>
      </w:r>
    </w:p>
    <w:p w:rsidR="00B7214C" w:rsidRDefault="00B7214C" w:rsidP="00B7214C">
      <w:pPr>
        <w:spacing w:before="60" w:after="60"/>
        <w:ind w:firstLine="0"/>
        <w:jc w:val="both"/>
      </w:pPr>
      <w:r w:rsidRPr="00BC632B">
        <w:t>Institut québécois de recherche sur la culture</w:t>
      </w:r>
    </w:p>
    <w:p w:rsidR="00B7214C" w:rsidRDefault="00B7214C" w:rsidP="00B7214C">
      <w:pPr>
        <w:spacing w:before="60" w:after="60"/>
        <w:ind w:firstLine="0"/>
        <w:jc w:val="both"/>
      </w:pPr>
      <w:r w:rsidRPr="00BC632B">
        <w:t>14, rue Hal</w:t>
      </w:r>
      <w:r>
        <w:t>dimand, Québec (Québec) GIR 4N4</w:t>
      </w:r>
    </w:p>
    <w:p w:rsidR="00B7214C" w:rsidRDefault="00B7214C" w:rsidP="00B7214C">
      <w:pPr>
        <w:spacing w:before="60" w:after="60"/>
        <w:ind w:firstLine="0"/>
        <w:jc w:val="both"/>
      </w:pPr>
      <w:r w:rsidRPr="00BC632B">
        <w:t>Téléphone : (418) 643-4695 - Téléc</w:t>
      </w:r>
      <w:r w:rsidRPr="00BC632B">
        <w:t>o</w:t>
      </w:r>
      <w:r w:rsidRPr="00BC632B">
        <w:t>pieur : (418) 646-3317</w:t>
      </w:r>
    </w:p>
    <w:p w:rsidR="00B7214C" w:rsidRPr="00E07116" w:rsidRDefault="00481548" w:rsidP="00B7214C">
      <w:pPr>
        <w:jc w:val="both"/>
      </w:pPr>
      <w:r w:rsidRPr="00BC632B">
        <w:rPr>
          <w:noProof/>
        </w:rPr>
        <mc:AlternateContent>
          <mc:Choice Requires="wps">
            <w:drawing>
              <wp:anchor distT="0" distB="0" distL="63500" distR="63500" simplePos="0" relativeHeight="251657216" behindDoc="0" locked="0" layoutInCell="1" allowOverlap="1">
                <wp:simplePos x="0" y="0"/>
                <wp:positionH relativeFrom="margin">
                  <wp:posOffset>-111125</wp:posOffset>
                </wp:positionH>
                <wp:positionV relativeFrom="paragraph">
                  <wp:posOffset>0</wp:posOffset>
                </wp:positionV>
                <wp:extent cx="187960" cy="17970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14C" w:rsidRDefault="00B7214C" w:rsidP="00B7214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0;width:14.8pt;height:14.1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" filled="f" stroked="f">
                <v:path arrowok="t"/>
                <v:textbox style="layout-flow:vertical;mso-layout-flow-alt:bottom-to-top" inset="0,0,0,0">
                  <w:txbxContent>
                    <w:p w:rsidR="00B7214C" w:rsidRDefault="00B7214C" w:rsidP="00B7214C"/>
                  </w:txbxContent>
                </v:textbox>
                <w10:wrap anchorx="margin"/>
              </v:shape>
            </w:pict>
          </mc:Fallback>
        </mc:AlternateContent>
      </w:r>
      <w:r w:rsidR="00B7214C" w:rsidRPr="00BC632B">
        <w:br w:type="page"/>
      </w:r>
      <w:r w:rsidR="00B7214C">
        <w:t>[7]</w:t>
      </w:r>
    </w:p>
    <w:p w:rsidR="00B7214C" w:rsidRDefault="00B7214C">
      <w:pPr>
        <w:jc w:val="both"/>
      </w:pPr>
    </w:p>
    <w:p w:rsidR="00B7214C" w:rsidRDefault="00B7214C">
      <w:pPr>
        <w:jc w:val="both"/>
      </w:pPr>
    </w:p>
    <w:p w:rsidR="00B7214C" w:rsidRPr="00124590" w:rsidRDefault="00B7214C" w:rsidP="00B7214C">
      <w:pPr>
        <w:ind w:hanging="20"/>
        <w:jc w:val="center"/>
        <w:rPr>
          <w:b/>
          <w:sz w:val="24"/>
        </w:rPr>
      </w:pPr>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384B20" w:rsidRDefault="00B7214C" w:rsidP="00B7214C">
      <w:pPr>
        <w:pStyle w:val="planchest"/>
      </w:pPr>
      <w:bookmarkStart w:id="2" w:name="tdm"/>
      <w:r w:rsidRPr="00384B20">
        <w:t>Table des matières</w:t>
      </w:r>
      <w:bookmarkEnd w:id="2"/>
    </w:p>
    <w:p w:rsidR="00B7214C" w:rsidRPr="00E07116" w:rsidRDefault="00B7214C">
      <w:pPr>
        <w:ind w:firstLine="0"/>
      </w:pPr>
    </w:p>
    <w:p w:rsidR="00B7214C" w:rsidRPr="00E07116" w:rsidRDefault="00B7214C">
      <w:pPr>
        <w:ind w:firstLine="0"/>
      </w:pPr>
    </w:p>
    <w:p w:rsidR="00B7214C" w:rsidRPr="005F6132" w:rsidRDefault="00B7214C" w:rsidP="00B7214C">
      <w:pPr>
        <w:ind w:left="540" w:hanging="540"/>
        <w:rPr>
          <w:sz w:val="24"/>
        </w:rPr>
      </w:pPr>
      <w:hyperlink w:anchor="Entre_tradition_couverture" w:history="1">
        <w:r w:rsidRPr="0012264F">
          <w:rPr>
            <w:rStyle w:val="Lienhypertexte"/>
            <w:sz w:val="24"/>
          </w:rPr>
          <w:t>Quatrième de couverture</w:t>
        </w:r>
      </w:hyperlink>
    </w:p>
    <w:p w:rsidR="00B7214C" w:rsidRPr="005F6132" w:rsidRDefault="00B7214C" w:rsidP="00B7214C">
      <w:pPr>
        <w:spacing w:before="120" w:after="120"/>
        <w:ind w:firstLine="0"/>
        <w:jc w:val="both"/>
        <w:rPr>
          <w:sz w:val="24"/>
        </w:rPr>
      </w:pPr>
      <w:r w:rsidRPr="005F6132">
        <w:rPr>
          <w:sz w:val="24"/>
        </w:rPr>
        <w:t xml:space="preserve">Françoise-Romaine OUELLETTE, </w:t>
      </w:r>
      <w:hyperlink w:anchor="Entre_tradition_presentation" w:history="1">
        <w:r w:rsidRPr="0012264F">
          <w:rPr>
            <w:rStyle w:val="Lienhypertexte"/>
            <w:sz w:val="24"/>
          </w:rPr>
          <w:t>Présentation</w:t>
        </w:r>
      </w:hyperlink>
      <w:r w:rsidRPr="005F6132">
        <w:rPr>
          <w:sz w:val="24"/>
        </w:rPr>
        <w:t xml:space="preserve"> [11]</w:t>
      </w:r>
    </w:p>
    <w:p w:rsidR="00B7214C" w:rsidRPr="005F6132" w:rsidRDefault="00B7214C" w:rsidP="00B7214C">
      <w:pPr>
        <w:spacing w:before="120" w:after="120"/>
        <w:ind w:firstLine="0"/>
        <w:jc w:val="both"/>
        <w:rPr>
          <w:sz w:val="24"/>
        </w:rPr>
      </w:pPr>
      <w:r w:rsidRPr="005F6132">
        <w:rPr>
          <w:sz w:val="24"/>
        </w:rPr>
        <w:t>Marc AUGÉ, “</w:t>
      </w:r>
      <w:hyperlink w:anchor="Entre_tradition_intro" w:history="1">
        <w:r w:rsidRPr="0012264F">
          <w:rPr>
            <w:rStyle w:val="Lienhypertexte"/>
            <w:sz w:val="24"/>
          </w:rPr>
          <w:t>Introduc</w:t>
        </w:r>
        <w:r w:rsidRPr="0012264F">
          <w:rPr>
            <w:rStyle w:val="Lienhypertexte"/>
            <w:sz w:val="24"/>
          </w:rPr>
          <w:t>t</w:t>
        </w:r>
        <w:r w:rsidRPr="0012264F">
          <w:rPr>
            <w:rStyle w:val="Lienhypertexte"/>
            <w:sz w:val="24"/>
          </w:rPr>
          <w:t>ion. ESPACE ET ALTÉRITÉ</w:t>
        </w:r>
      </w:hyperlink>
      <w:r w:rsidRPr="005F6132">
        <w:rPr>
          <w:sz w:val="24"/>
        </w:rPr>
        <w:t>.” [19]</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center"/>
        <w:rPr>
          <w:sz w:val="24"/>
        </w:rPr>
      </w:pPr>
      <w:r w:rsidRPr="005F6132">
        <w:rPr>
          <w:b/>
          <w:color w:val="FF0000"/>
          <w:sz w:val="24"/>
        </w:rPr>
        <w:t>Partie I</w:t>
      </w:r>
      <w:r w:rsidRPr="005F6132">
        <w:rPr>
          <w:b/>
          <w:sz w:val="24"/>
        </w:rPr>
        <w:t>.</w:t>
      </w:r>
      <w:r w:rsidRPr="005F6132">
        <w:rPr>
          <w:b/>
          <w:sz w:val="24"/>
        </w:rPr>
        <w:br/>
      </w:r>
      <w:hyperlink w:anchor="Entre_tradition_pt_1" w:history="1">
        <w:r w:rsidRPr="0012264F">
          <w:rPr>
            <w:rStyle w:val="Lienhypertexte"/>
            <w:b/>
            <w:sz w:val="24"/>
          </w:rPr>
          <w:t>NATIONS ET CULTURES</w:t>
        </w:r>
      </w:hyperlink>
      <w:r w:rsidRPr="005F6132">
        <w:rPr>
          <w:sz w:val="24"/>
        </w:rPr>
        <w:t xml:space="preserve"> [35]</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hyperlink w:anchor="Entre_tradition_pt_1_A" w:history="1">
        <w:r w:rsidRPr="0012264F">
          <w:rPr>
            <w:rStyle w:val="Lienhypertexte"/>
            <w:sz w:val="24"/>
          </w:rPr>
          <w:t>ETHNICITÉ, NATIONALISME, POUVOIR</w:t>
        </w:r>
      </w:hyperlink>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left="900" w:hanging="540"/>
        <w:jc w:val="both"/>
        <w:rPr>
          <w:sz w:val="24"/>
        </w:rPr>
      </w:pPr>
      <w:r w:rsidRPr="005F6132">
        <w:rPr>
          <w:sz w:val="24"/>
        </w:rPr>
        <w:t>Micheline LABELLE, “</w:t>
      </w:r>
      <w:hyperlink w:anchor="Entre_tradition_pt_1_texte_01" w:history="1">
        <w:r w:rsidRPr="0012264F">
          <w:rPr>
            <w:rStyle w:val="Lienhypertexte"/>
            <w:sz w:val="24"/>
          </w:rPr>
          <w:t>Nation et ethnicité. Perspectives théoriques à propos du Québec</w:t>
        </w:r>
      </w:hyperlink>
      <w:r w:rsidRPr="005F6132">
        <w:rPr>
          <w:sz w:val="24"/>
        </w:rPr>
        <w:t>.” [37]</w:t>
      </w:r>
    </w:p>
    <w:p w:rsidR="00B7214C" w:rsidRPr="005F6132" w:rsidRDefault="00B7214C" w:rsidP="00B7214C">
      <w:pPr>
        <w:spacing w:before="120" w:after="120"/>
        <w:ind w:left="900" w:hanging="540"/>
        <w:jc w:val="both"/>
        <w:rPr>
          <w:sz w:val="24"/>
        </w:rPr>
      </w:pPr>
      <w:r w:rsidRPr="005F6132">
        <w:rPr>
          <w:sz w:val="24"/>
        </w:rPr>
        <w:t>Louise FONTAINE, “</w:t>
      </w:r>
      <w:hyperlink w:anchor="Entre_tradition_pt_1_texte_02" w:history="1">
        <w:r w:rsidRPr="0012264F">
          <w:rPr>
            <w:rStyle w:val="Lienhypertexte"/>
            <w:sz w:val="24"/>
          </w:rPr>
          <w:t>Question ethnique/question nationale : au confluent de multiples référents identitaires</w:t>
        </w:r>
      </w:hyperlink>
      <w:r w:rsidRPr="005F6132">
        <w:rPr>
          <w:sz w:val="24"/>
        </w:rPr>
        <w:t>.” (commentaire sur le texte de Micheline Labelle) [75]</w:t>
      </w:r>
    </w:p>
    <w:p w:rsidR="00B7214C" w:rsidRPr="005F6132" w:rsidRDefault="00B7214C" w:rsidP="00B7214C">
      <w:pPr>
        <w:spacing w:before="120" w:after="120"/>
        <w:ind w:left="900" w:hanging="540"/>
        <w:jc w:val="both"/>
        <w:rPr>
          <w:sz w:val="24"/>
        </w:rPr>
      </w:pPr>
      <w:r w:rsidRPr="005F6132">
        <w:rPr>
          <w:sz w:val="24"/>
        </w:rPr>
        <w:t>Paul R. BÉLANGER et Benoît LÉVESQUE, “</w:t>
      </w:r>
      <w:hyperlink w:anchor="Entre_tradition_pt_1_texte_03" w:history="1">
        <w:r w:rsidRPr="0012264F">
          <w:rPr>
            <w:rStyle w:val="Lienhypertexte"/>
            <w:sz w:val="24"/>
          </w:rPr>
          <w:t>La modernité par les particul</w:t>
        </w:r>
        <w:r w:rsidRPr="0012264F">
          <w:rPr>
            <w:rStyle w:val="Lienhypertexte"/>
            <w:sz w:val="24"/>
          </w:rPr>
          <w:t>a</w:t>
        </w:r>
        <w:r w:rsidRPr="0012264F">
          <w:rPr>
            <w:rStyle w:val="Lienhypertexte"/>
            <w:sz w:val="24"/>
          </w:rPr>
          <w:t>rismes. Le modèle québécois de développement économique</w:t>
        </w:r>
      </w:hyperlink>
      <w:r w:rsidRPr="005F6132">
        <w:rPr>
          <w:sz w:val="24"/>
        </w:rPr>
        <w:t>.” [79]</w:t>
      </w:r>
    </w:p>
    <w:p w:rsidR="00B7214C" w:rsidRPr="005F6132" w:rsidRDefault="00B7214C" w:rsidP="00B7214C">
      <w:pPr>
        <w:spacing w:before="120" w:after="120"/>
        <w:ind w:left="900" w:hanging="540"/>
        <w:jc w:val="both"/>
        <w:rPr>
          <w:sz w:val="24"/>
        </w:rPr>
      </w:pPr>
      <w:r w:rsidRPr="005F6132">
        <w:rPr>
          <w:sz w:val="24"/>
        </w:rPr>
        <w:t>Claude BARITEAU, “</w:t>
      </w:r>
      <w:hyperlink w:anchor="Entre_tradition_pt_1_texte_04" w:history="1">
        <w:r w:rsidRPr="0012264F">
          <w:rPr>
            <w:rStyle w:val="Lienhypertexte"/>
            <w:sz w:val="24"/>
          </w:rPr>
          <w:t>Impasse des nationalismes au Québec</w:t>
        </w:r>
      </w:hyperlink>
      <w:r w:rsidRPr="005F6132">
        <w:rPr>
          <w:sz w:val="24"/>
        </w:rPr>
        <w:t>.” [97]</w:t>
      </w:r>
    </w:p>
    <w:p w:rsidR="00B7214C" w:rsidRPr="005F6132" w:rsidRDefault="00B7214C" w:rsidP="00B7214C">
      <w:pPr>
        <w:spacing w:before="120" w:after="120"/>
        <w:ind w:left="900" w:hanging="540"/>
        <w:jc w:val="both"/>
        <w:rPr>
          <w:sz w:val="24"/>
        </w:rPr>
      </w:pPr>
      <w:r w:rsidRPr="005F6132">
        <w:rPr>
          <w:sz w:val="24"/>
        </w:rPr>
        <w:t>Serge LAROSE, “</w:t>
      </w:r>
      <w:hyperlink w:anchor="Entre_tradition_pt_1_texte_05" w:history="1">
        <w:r w:rsidRPr="0012264F">
          <w:rPr>
            <w:rStyle w:val="Lienhypertexte"/>
            <w:sz w:val="24"/>
          </w:rPr>
          <w:t>Religion et politique en Haïti</w:t>
        </w:r>
      </w:hyperlink>
      <w:r w:rsidRPr="005F6132">
        <w:rPr>
          <w:sz w:val="24"/>
        </w:rPr>
        <w:t>.” [117]</w:t>
      </w:r>
    </w:p>
    <w:p w:rsidR="00B7214C" w:rsidRPr="005F6132" w:rsidRDefault="00B7214C" w:rsidP="00B7214C">
      <w:pPr>
        <w:spacing w:before="120" w:after="120"/>
        <w:ind w:left="900" w:hanging="540"/>
        <w:jc w:val="both"/>
        <w:rPr>
          <w:sz w:val="24"/>
        </w:rPr>
      </w:pPr>
      <w:r w:rsidRPr="005F6132">
        <w:rPr>
          <w:sz w:val="24"/>
        </w:rPr>
        <w:t>Emerson DOUYON, “</w:t>
      </w:r>
      <w:hyperlink w:anchor="Entre_tradition_pt_1_texte_06" w:history="1">
        <w:r w:rsidRPr="0012264F">
          <w:rPr>
            <w:rStyle w:val="Lienhypertexte"/>
            <w:sz w:val="24"/>
          </w:rPr>
          <w:t>Regard critique sur le drame haïtien</w:t>
        </w:r>
      </w:hyperlink>
      <w:r w:rsidRPr="005F6132">
        <w:rPr>
          <w:sz w:val="24"/>
        </w:rPr>
        <w:t>.” (comme</w:t>
      </w:r>
      <w:r w:rsidRPr="005F6132">
        <w:rPr>
          <w:sz w:val="24"/>
        </w:rPr>
        <w:t>n</w:t>
      </w:r>
      <w:r w:rsidRPr="005F6132">
        <w:rPr>
          <w:sz w:val="24"/>
        </w:rPr>
        <w:t>taire sur le texte de Serge Larose). [135]</w:t>
      </w:r>
    </w:p>
    <w:p w:rsidR="00B7214C"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hyperlink w:anchor="Entre_tradition_pt_1_B" w:history="1">
        <w:r w:rsidRPr="0012264F">
          <w:rPr>
            <w:rStyle w:val="Lienhypertexte"/>
            <w:sz w:val="24"/>
          </w:rPr>
          <w:t>IDENTITÉS CULTURELLES ET INTÉGRATION SOCIALE</w:t>
        </w:r>
      </w:hyperlink>
    </w:p>
    <w:p w:rsidR="00B7214C" w:rsidRPr="005F6132" w:rsidRDefault="00B7214C" w:rsidP="00B7214C">
      <w:pPr>
        <w:spacing w:before="120" w:after="120"/>
        <w:ind w:left="900" w:hanging="540"/>
        <w:jc w:val="both"/>
        <w:rPr>
          <w:sz w:val="24"/>
        </w:rPr>
      </w:pPr>
    </w:p>
    <w:p w:rsidR="00B7214C" w:rsidRPr="005F6132" w:rsidRDefault="00B7214C" w:rsidP="00B7214C">
      <w:pPr>
        <w:spacing w:before="120" w:after="120"/>
        <w:ind w:left="900" w:hanging="540"/>
        <w:jc w:val="both"/>
        <w:rPr>
          <w:sz w:val="24"/>
        </w:rPr>
      </w:pPr>
      <w:r w:rsidRPr="005F6132">
        <w:rPr>
          <w:sz w:val="24"/>
        </w:rPr>
        <w:t>Yves BONNY, “</w:t>
      </w:r>
      <w:hyperlink w:anchor="Entre_tradition_pt_1_texte_07" w:history="1">
        <w:r w:rsidRPr="0012264F">
          <w:rPr>
            <w:rStyle w:val="Lienhypertexte"/>
            <w:sz w:val="24"/>
          </w:rPr>
          <w:t>Réflexions sur les identités culturelles et la postmodernité</w:t>
        </w:r>
      </w:hyperlink>
      <w:r w:rsidRPr="005F6132">
        <w:rPr>
          <w:sz w:val="24"/>
        </w:rPr>
        <w:t>.” [141]</w:t>
      </w:r>
    </w:p>
    <w:p w:rsidR="00B7214C" w:rsidRPr="005F6132" w:rsidRDefault="00B7214C" w:rsidP="00B7214C">
      <w:pPr>
        <w:spacing w:before="120" w:after="120"/>
        <w:ind w:left="900" w:hanging="540"/>
        <w:jc w:val="both"/>
        <w:rPr>
          <w:sz w:val="24"/>
        </w:rPr>
      </w:pPr>
      <w:r w:rsidRPr="005F6132">
        <w:rPr>
          <w:sz w:val="24"/>
        </w:rPr>
        <w:t>Fernand OUELLET, “</w:t>
      </w:r>
      <w:hyperlink w:anchor="Entre_tradition_pt_1_texte_08" w:history="1">
        <w:r w:rsidRPr="0012264F">
          <w:rPr>
            <w:rStyle w:val="Lienhypertexte"/>
            <w:sz w:val="24"/>
          </w:rPr>
          <w:t>Pour éviter les pièges du relativisme culturel</w:t>
        </w:r>
      </w:hyperlink>
      <w:r w:rsidRPr="005F6132">
        <w:rPr>
          <w:sz w:val="24"/>
        </w:rPr>
        <w:t>.” [151]</w:t>
      </w:r>
    </w:p>
    <w:p w:rsidR="00B7214C" w:rsidRPr="005F6132" w:rsidRDefault="00B7214C" w:rsidP="00B7214C">
      <w:pPr>
        <w:spacing w:before="120" w:after="120"/>
        <w:ind w:left="900" w:hanging="540"/>
        <w:jc w:val="both"/>
        <w:rPr>
          <w:sz w:val="24"/>
        </w:rPr>
      </w:pPr>
      <w:r w:rsidRPr="005F6132">
        <w:rPr>
          <w:sz w:val="24"/>
        </w:rPr>
        <w:t>André JACOB, Joseph J. LÉVY, en collaboration avec Jocelyne BERTOT, Hector POBLETE et Sonia SAUVÉ, “</w:t>
      </w:r>
      <w:hyperlink w:anchor="Entre_tradition_pt_1_texte_09" w:history="1">
        <w:r w:rsidRPr="0012264F">
          <w:rPr>
            <w:rStyle w:val="Lienhypertexte"/>
            <w:sz w:val="24"/>
          </w:rPr>
          <w:t>Du départ forcé à l'intégration manquée</w:t>
        </w:r>
      </w:hyperlink>
      <w:r w:rsidRPr="005F6132">
        <w:rPr>
          <w:sz w:val="24"/>
        </w:rPr>
        <w:t>.” [171]</w:t>
      </w:r>
    </w:p>
    <w:p w:rsidR="00B7214C" w:rsidRPr="005F6132" w:rsidRDefault="00B7214C" w:rsidP="00B7214C">
      <w:pPr>
        <w:spacing w:before="120" w:after="120"/>
        <w:ind w:left="900" w:hanging="540"/>
        <w:jc w:val="both"/>
        <w:rPr>
          <w:sz w:val="24"/>
        </w:rPr>
      </w:pPr>
      <w:r w:rsidRPr="005F6132">
        <w:rPr>
          <w:sz w:val="24"/>
        </w:rPr>
        <w:t>Calvin VELTMAN, “</w:t>
      </w:r>
      <w:hyperlink w:anchor="Entre_tradition_pt_1_texte_10" w:history="1">
        <w:r w:rsidRPr="0012264F">
          <w:rPr>
            <w:rStyle w:val="Lienhypertexte"/>
            <w:sz w:val="24"/>
          </w:rPr>
          <w:t>Entre langues d'origine et langues d'accueil</w:t>
        </w:r>
      </w:hyperlink>
      <w:r w:rsidRPr="005F6132">
        <w:rPr>
          <w:sz w:val="24"/>
        </w:rPr>
        <w:t>.” [181]</w:t>
      </w:r>
    </w:p>
    <w:p w:rsidR="00B7214C" w:rsidRPr="005F6132" w:rsidRDefault="00B7214C" w:rsidP="00B7214C">
      <w:pPr>
        <w:spacing w:before="120" w:after="120"/>
        <w:ind w:left="900" w:hanging="540"/>
        <w:jc w:val="both"/>
        <w:rPr>
          <w:sz w:val="24"/>
        </w:rPr>
      </w:pPr>
      <w:r w:rsidRPr="005F6132">
        <w:rPr>
          <w:sz w:val="24"/>
        </w:rPr>
        <w:t>Milagros ORTIZ, “</w:t>
      </w:r>
      <w:hyperlink w:anchor="Entre_tradition_pt_1_texte_11" w:history="1">
        <w:r w:rsidRPr="0012264F">
          <w:rPr>
            <w:rStyle w:val="Lienhypertexte"/>
            <w:sz w:val="24"/>
          </w:rPr>
          <w:t>L'indien du sud au nord: perception et changement</w:t>
        </w:r>
      </w:hyperlink>
      <w:r w:rsidRPr="005F6132">
        <w:rPr>
          <w:sz w:val="24"/>
        </w:rPr>
        <w:t xml:space="preserve"> [191]</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center"/>
        <w:rPr>
          <w:sz w:val="24"/>
        </w:rPr>
      </w:pPr>
      <w:r w:rsidRPr="005F6132">
        <w:rPr>
          <w:b/>
          <w:color w:val="FF0000"/>
          <w:sz w:val="24"/>
        </w:rPr>
        <w:t>Partie II</w:t>
      </w:r>
      <w:r w:rsidRPr="005F6132">
        <w:rPr>
          <w:b/>
          <w:sz w:val="24"/>
        </w:rPr>
        <w:t>.</w:t>
      </w:r>
      <w:r w:rsidRPr="005F6132">
        <w:rPr>
          <w:b/>
          <w:sz w:val="24"/>
        </w:rPr>
        <w:br/>
      </w:r>
      <w:hyperlink w:anchor="Entre_tradition_pt_2" w:history="1">
        <w:r w:rsidRPr="0012264F">
          <w:rPr>
            <w:rStyle w:val="Lienhypertexte"/>
            <w:b/>
            <w:sz w:val="24"/>
          </w:rPr>
          <w:t>LE LIEN SOCIAL</w:t>
        </w:r>
      </w:hyperlink>
      <w:r w:rsidRPr="005F6132">
        <w:rPr>
          <w:sz w:val="24"/>
        </w:rPr>
        <w:t xml:space="preserve"> [201]</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r w:rsidRPr="005F6132">
        <w:rPr>
          <w:sz w:val="24"/>
        </w:rPr>
        <w:t>Greg Marc NIELSEN, “</w:t>
      </w:r>
      <w:hyperlink w:anchor="Entre_tradition_pt_1_texte_12" w:history="1">
        <w:r w:rsidRPr="0012264F">
          <w:rPr>
            <w:rStyle w:val="Lienhypertexte"/>
            <w:sz w:val="24"/>
          </w:rPr>
          <w:t>L'éthique de la communication chez Bakhtine et Habe</w:t>
        </w:r>
        <w:r w:rsidRPr="0012264F">
          <w:rPr>
            <w:rStyle w:val="Lienhypertexte"/>
            <w:sz w:val="24"/>
          </w:rPr>
          <w:t>r</w:t>
        </w:r>
        <w:r w:rsidRPr="0012264F">
          <w:rPr>
            <w:rStyle w:val="Lienhypertexte"/>
            <w:sz w:val="24"/>
          </w:rPr>
          <w:t>mas : entre tradition et universalisme ?</w:t>
        </w:r>
      </w:hyperlink>
      <w:r w:rsidRPr="005F6132">
        <w:rPr>
          <w:sz w:val="24"/>
        </w:rPr>
        <w:t>” [203]</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hyperlink w:anchor="Entre_tradition_pt_2_A" w:history="1">
        <w:r w:rsidRPr="0012264F">
          <w:rPr>
            <w:rStyle w:val="Lienhypertexte"/>
            <w:sz w:val="24"/>
          </w:rPr>
          <w:t>LA FILIATION</w:t>
        </w:r>
      </w:hyperlink>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left="900" w:hanging="540"/>
        <w:jc w:val="both"/>
        <w:rPr>
          <w:sz w:val="24"/>
        </w:rPr>
      </w:pPr>
      <w:r w:rsidRPr="005F6132">
        <w:rPr>
          <w:sz w:val="24"/>
        </w:rPr>
        <w:t>Marie-Blanche TAHON, “</w:t>
      </w:r>
      <w:hyperlink w:anchor="Entre_tradition_pt_2_texte_13" w:history="1">
        <w:r w:rsidRPr="0012264F">
          <w:rPr>
            <w:rStyle w:val="Lienhypertexte"/>
            <w:sz w:val="24"/>
          </w:rPr>
          <w:t>Une anomalie alg</w:t>
        </w:r>
        <w:r w:rsidRPr="0012264F">
          <w:rPr>
            <w:rStyle w:val="Lienhypertexte"/>
            <w:sz w:val="24"/>
          </w:rPr>
          <w:t>é</w:t>
        </w:r>
        <w:r w:rsidRPr="0012264F">
          <w:rPr>
            <w:rStyle w:val="Lienhypertexte"/>
            <w:sz w:val="24"/>
          </w:rPr>
          <w:t>rienne ? Femmes et islamisme</w:t>
        </w:r>
      </w:hyperlink>
      <w:r w:rsidRPr="005F6132">
        <w:rPr>
          <w:sz w:val="24"/>
        </w:rPr>
        <w:t>.” [215]</w:t>
      </w:r>
    </w:p>
    <w:p w:rsidR="00B7214C" w:rsidRPr="005F6132" w:rsidRDefault="00B7214C" w:rsidP="00B7214C">
      <w:pPr>
        <w:spacing w:before="120" w:after="120"/>
        <w:ind w:left="900" w:hanging="540"/>
        <w:jc w:val="both"/>
        <w:rPr>
          <w:sz w:val="24"/>
        </w:rPr>
      </w:pPr>
      <w:r w:rsidRPr="005F6132">
        <w:rPr>
          <w:sz w:val="24"/>
        </w:rPr>
        <w:t>Ratiba HADJ-MOUSSA, “</w:t>
      </w:r>
      <w:hyperlink w:anchor="Entre_tradition_pt_2_texte_14" w:history="1">
        <w:r w:rsidRPr="0012264F">
          <w:rPr>
            <w:rStyle w:val="Lienhypertexte"/>
            <w:sz w:val="24"/>
          </w:rPr>
          <w:t>Les femmes algériennes: enjeux et actrices</w:t>
        </w:r>
      </w:hyperlink>
      <w:r w:rsidRPr="005F6132">
        <w:rPr>
          <w:sz w:val="24"/>
        </w:rPr>
        <w:t>.” (commentaire sur le texte de Marie-Blanche Tahon) [237]</w:t>
      </w:r>
    </w:p>
    <w:p w:rsidR="00B7214C" w:rsidRPr="005F6132" w:rsidRDefault="00B7214C" w:rsidP="00B7214C">
      <w:pPr>
        <w:spacing w:before="120" w:after="120"/>
        <w:ind w:left="900" w:hanging="540"/>
        <w:jc w:val="both"/>
        <w:rPr>
          <w:sz w:val="24"/>
        </w:rPr>
      </w:pPr>
      <w:r w:rsidRPr="005F6132">
        <w:rPr>
          <w:sz w:val="24"/>
        </w:rPr>
        <w:t>Renée JOYAL, “</w:t>
      </w:r>
      <w:hyperlink w:anchor="Entre_tradition_pt_2_texte_15" w:history="1">
        <w:r w:rsidRPr="0012264F">
          <w:rPr>
            <w:rStyle w:val="Lienhypertexte"/>
            <w:sz w:val="24"/>
          </w:rPr>
          <w:t>L'évolution des modes de contrôle de l'autorité parentale et son impact sur les relations entre parents et enfants dans la société qu</w:t>
        </w:r>
        <w:r w:rsidRPr="0012264F">
          <w:rPr>
            <w:rStyle w:val="Lienhypertexte"/>
            <w:sz w:val="24"/>
          </w:rPr>
          <w:t>é</w:t>
        </w:r>
        <w:r w:rsidRPr="0012264F">
          <w:rPr>
            <w:rStyle w:val="Lienhypertexte"/>
            <w:sz w:val="24"/>
          </w:rPr>
          <w:t>bécoise</w:t>
        </w:r>
      </w:hyperlink>
      <w:r w:rsidRPr="005F6132">
        <w:rPr>
          <w:sz w:val="24"/>
        </w:rPr>
        <w:t>.” [245]</w:t>
      </w:r>
    </w:p>
    <w:p w:rsidR="00B7214C" w:rsidRPr="005F6132" w:rsidRDefault="00B7214C" w:rsidP="00B7214C">
      <w:pPr>
        <w:spacing w:before="120" w:after="120"/>
        <w:ind w:left="900" w:hanging="540"/>
        <w:jc w:val="both"/>
        <w:rPr>
          <w:sz w:val="24"/>
        </w:rPr>
      </w:pPr>
      <w:r w:rsidRPr="005F6132">
        <w:rPr>
          <w:sz w:val="24"/>
        </w:rPr>
        <w:t>Françoise-Romaine OUELLETTE, “</w:t>
      </w:r>
      <w:hyperlink w:anchor="Entre_tradition_pt_2_texte_16" w:history="1">
        <w:r w:rsidRPr="0012264F">
          <w:rPr>
            <w:rStyle w:val="Lienhypertexte"/>
            <w:sz w:val="24"/>
          </w:rPr>
          <w:t>Modernité, filiation et pratiques d'ado</w:t>
        </w:r>
        <w:r w:rsidRPr="0012264F">
          <w:rPr>
            <w:rStyle w:val="Lienhypertexte"/>
            <w:sz w:val="24"/>
          </w:rPr>
          <w:t>p</w:t>
        </w:r>
        <w:r w:rsidRPr="0012264F">
          <w:rPr>
            <w:rStyle w:val="Lienhypertexte"/>
            <w:sz w:val="24"/>
          </w:rPr>
          <w:t>tion</w:t>
        </w:r>
      </w:hyperlink>
      <w:r w:rsidRPr="005F6132">
        <w:rPr>
          <w:sz w:val="24"/>
        </w:rPr>
        <w:t>.” [259]</w:t>
      </w:r>
    </w:p>
    <w:p w:rsidR="00B7214C" w:rsidRPr="005F6132" w:rsidRDefault="00B7214C" w:rsidP="00B7214C">
      <w:pPr>
        <w:spacing w:before="120" w:after="120"/>
        <w:ind w:left="900" w:hanging="540"/>
        <w:jc w:val="both"/>
        <w:rPr>
          <w:sz w:val="24"/>
        </w:rPr>
      </w:pPr>
      <w:r w:rsidRPr="005F6132">
        <w:rPr>
          <w:sz w:val="24"/>
        </w:rPr>
        <w:t>Hélène BELLEAU, “</w:t>
      </w:r>
      <w:hyperlink w:anchor="Entre_tradition_pt_2_texte_17" w:history="1">
        <w:r w:rsidRPr="0012264F">
          <w:rPr>
            <w:rStyle w:val="Lienhypertexte"/>
            <w:sz w:val="24"/>
          </w:rPr>
          <w:t>L'articulation des rapports individu/famille/État dans les représentations du lien parental</w:t>
        </w:r>
      </w:hyperlink>
      <w:r w:rsidRPr="005F6132">
        <w:rPr>
          <w:sz w:val="24"/>
        </w:rPr>
        <w:t>.” [273]</w:t>
      </w:r>
    </w:p>
    <w:p w:rsidR="00B7214C" w:rsidRPr="005F6132" w:rsidRDefault="00B7214C" w:rsidP="00B7214C">
      <w:pPr>
        <w:spacing w:before="120" w:after="120"/>
        <w:ind w:left="900" w:hanging="540"/>
        <w:jc w:val="both"/>
        <w:rPr>
          <w:sz w:val="24"/>
        </w:rPr>
      </w:pPr>
      <w:r w:rsidRPr="005F6132">
        <w:rPr>
          <w:sz w:val="24"/>
        </w:rPr>
        <w:t>Alain JOYAL, “</w:t>
      </w:r>
      <w:hyperlink w:anchor="Entre_tradition_pt_2_texte_18" w:history="1">
        <w:r w:rsidRPr="0012264F">
          <w:rPr>
            <w:rStyle w:val="Lienhypertexte"/>
            <w:sz w:val="24"/>
          </w:rPr>
          <w:t>Pour une problématisation sociologique du rapport fami</w:t>
        </w:r>
        <w:r w:rsidRPr="0012264F">
          <w:rPr>
            <w:rStyle w:val="Lienhypertexte"/>
            <w:sz w:val="24"/>
          </w:rPr>
          <w:t>l</w:t>
        </w:r>
        <w:r w:rsidRPr="0012264F">
          <w:rPr>
            <w:rStyle w:val="Lienhypertexte"/>
            <w:sz w:val="24"/>
          </w:rPr>
          <w:t>le/parentalité</w:t>
        </w:r>
      </w:hyperlink>
      <w:r w:rsidRPr="005F6132">
        <w:rPr>
          <w:sz w:val="24"/>
        </w:rPr>
        <w:t>.” [285]</w:t>
      </w:r>
    </w:p>
    <w:p w:rsidR="00B7214C"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hyperlink w:anchor="Entre_tradition_pt_2_B" w:history="1">
        <w:r w:rsidRPr="0012264F">
          <w:rPr>
            <w:rStyle w:val="Lienhypertexte"/>
            <w:sz w:val="24"/>
          </w:rPr>
          <w:t>LE DON (AUTOUR DE L'ESPRIT DU DON</w:t>
        </w:r>
        <w:r w:rsidRPr="0012264F">
          <w:rPr>
            <w:rStyle w:val="Lienhypertexte"/>
            <w:sz w:val="24"/>
          </w:rPr>
          <w:br/>
          <w:t>DE JACQUES T. GODBOUT)</w:t>
        </w:r>
      </w:hyperlink>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left="900" w:hanging="540"/>
        <w:jc w:val="both"/>
        <w:rPr>
          <w:sz w:val="24"/>
        </w:rPr>
      </w:pPr>
      <w:r w:rsidRPr="005F6132">
        <w:rPr>
          <w:sz w:val="24"/>
        </w:rPr>
        <w:t>Jacques T. GODBOUT, “</w:t>
      </w:r>
      <w:hyperlink w:anchor="Entre_tradition_pt_2_texte_19" w:history="1">
        <w:r w:rsidRPr="0012264F">
          <w:rPr>
            <w:rStyle w:val="Lienhypertexte"/>
            <w:sz w:val="24"/>
          </w:rPr>
          <w:t>Libre et obligatoire: l'esprit du don</w:t>
        </w:r>
      </w:hyperlink>
      <w:r w:rsidRPr="005F6132">
        <w:rPr>
          <w:sz w:val="24"/>
        </w:rPr>
        <w:t>.” [297]</w:t>
      </w:r>
    </w:p>
    <w:p w:rsidR="00B7214C" w:rsidRPr="005F6132" w:rsidRDefault="00B7214C" w:rsidP="00B7214C">
      <w:pPr>
        <w:spacing w:before="120" w:after="120"/>
        <w:ind w:left="900" w:hanging="540"/>
        <w:jc w:val="both"/>
        <w:rPr>
          <w:sz w:val="24"/>
        </w:rPr>
      </w:pPr>
      <w:r w:rsidRPr="005F6132">
        <w:rPr>
          <w:sz w:val="24"/>
        </w:rPr>
        <w:t>Aline CHARLES, “</w:t>
      </w:r>
      <w:hyperlink w:anchor="Entre_tradition_pt_2_texte_20" w:history="1">
        <w:r w:rsidRPr="0012264F">
          <w:rPr>
            <w:rStyle w:val="Lienhypertexte"/>
            <w:sz w:val="24"/>
          </w:rPr>
          <w:t>Le don perverti</w:t>
        </w:r>
      </w:hyperlink>
      <w:r w:rsidRPr="005F6132">
        <w:rPr>
          <w:sz w:val="24"/>
        </w:rPr>
        <w:t>.” (commentaire sur le texte de Jacques T. Godbout) [303]</w:t>
      </w:r>
    </w:p>
    <w:p w:rsidR="00B7214C" w:rsidRPr="005F6132" w:rsidRDefault="00B7214C" w:rsidP="00B7214C">
      <w:pPr>
        <w:spacing w:before="120" w:after="120"/>
        <w:ind w:left="900" w:hanging="540"/>
        <w:jc w:val="both"/>
        <w:rPr>
          <w:sz w:val="24"/>
        </w:rPr>
      </w:pPr>
      <w:r w:rsidRPr="005F6132">
        <w:rPr>
          <w:sz w:val="24"/>
        </w:rPr>
        <w:t>Eric SCHWIMMER, “</w:t>
      </w:r>
      <w:hyperlink w:anchor="Entre_tradition_pt_2_texte_21" w:history="1">
        <w:r w:rsidRPr="0012264F">
          <w:rPr>
            <w:rStyle w:val="Lienhypertexte"/>
            <w:sz w:val="24"/>
          </w:rPr>
          <w:t>Sur le don: un commentaire</w:t>
        </w:r>
      </w:hyperlink>
      <w:r w:rsidRPr="005F6132">
        <w:rPr>
          <w:sz w:val="24"/>
        </w:rPr>
        <w:t>.” [315]</w:t>
      </w:r>
    </w:p>
    <w:p w:rsidR="00B7214C" w:rsidRPr="005F6132" w:rsidRDefault="00B7214C" w:rsidP="00B7214C">
      <w:pPr>
        <w:spacing w:before="120" w:after="120"/>
        <w:ind w:left="900" w:hanging="540"/>
        <w:jc w:val="both"/>
        <w:rPr>
          <w:sz w:val="24"/>
        </w:rPr>
      </w:pPr>
      <w:r w:rsidRPr="005F6132">
        <w:rPr>
          <w:sz w:val="24"/>
        </w:rPr>
        <w:t>Gilles BIBEAU, “</w:t>
      </w:r>
      <w:hyperlink w:anchor="Entre_tradition_pt_2_texte_22" w:history="1">
        <w:r w:rsidRPr="0012264F">
          <w:rPr>
            <w:rStyle w:val="Lienhypertexte"/>
            <w:sz w:val="24"/>
          </w:rPr>
          <w:t>La loi du don n'est que l'envers du don de la Loi</w:t>
        </w:r>
      </w:hyperlink>
      <w:r w:rsidRPr="005F6132">
        <w:rPr>
          <w:sz w:val="24"/>
        </w:rPr>
        <w:t>.” (co</w:t>
      </w:r>
      <w:r w:rsidRPr="005F6132">
        <w:rPr>
          <w:sz w:val="24"/>
        </w:rPr>
        <w:t>m</w:t>
      </w:r>
      <w:r w:rsidRPr="005F6132">
        <w:rPr>
          <w:sz w:val="24"/>
        </w:rPr>
        <w:t>mentaire sur le texte de Eric Schwimmer) [327]</w:t>
      </w:r>
    </w:p>
    <w:p w:rsidR="00B7214C" w:rsidRPr="005F6132" w:rsidRDefault="00B7214C" w:rsidP="00B7214C">
      <w:pPr>
        <w:spacing w:before="120" w:after="120"/>
        <w:ind w:left="900" w:hanging="540"/>
        <w:jc w:val="both"/>
        <w:rPr>
          <w:sz w:val="24"/>
        </w:rPr>
      </w:pPr>
    </w:p>
    <w:p w:rsidR="00B7214C" w:rsidRPr="005F6132" w:rsidRDefault="00B7214C" w:rsidP="00B7214C">
      <w:pPr>
        <w:spacing w:before="120" w:after="120"/>
        <w:ind w:firstLine="0"/>
        <w:jc w:val="both"/>
        <w:rPr>
          <w:sz w:val="24"/>
        </w:rPr>
      </w:pPr>
      <w:hyperlink w:anchor="Entre_tradition_pt_2_C" w:history="1">
        <w:r w:rsidRPr="0012264F">
          <w:rPr>
            <w:rStyle w:val="Lienhypertexte"/>
            <w:sz w:val="24"/>
          </w:rPr>
          <w:t>LES SOLIDARITÉS</w:t>
        </w:r>
      </w:hyperlink>
    </w:p>
    <w:p w:rsidR="00B7214C" w:rsidRDefault="00B7214C" w:rsidP="00B7214C">
      <w:pPr>
        <w:spacing w:before="120" w:after="120"/>
        <w:ind w:left="900" w:hanging="540"/>
        <w:jc w:val="both"/>
        <w:rPr>
          <w:sz w:val="24"/>
        </w:rPr>
      </w:pPr>
    </w:p>
    <w:p w:rsidR="00B7214C" w:rsidRPr="005F6132" w:rsidRDefault="00B7214C" w:rsidP="00B7214C">
      <w:pPr>
        <w:spacing w:before="120" w:after="120"/>
        <w:ind w:left="900" w:hanging="540"/>
        <w:jc w:val="both"/>
        <w:rPr>
          <w:sz w:val="24"/>
        </w:rPr>
      </w:pPr>
      <w:r w:rsidRPr="005F6132">
        <w:rPr>
          <w:sz w:val="24"/>
        </w:rPr>
        <w:t>Marie-France LABRECQUE, “</w:t>
      </w:r>
      <w:hyperlink w:anchor="Entre_tradition_pt_2_texte_23" w:history="1">
        <w:r w:rsidRPr="0012264F">
          <w:rPr>
            <w:rStyle w:val="Lienhypertexte"/>
            <w:sz w:val="24"/>
          </w:rPr>
          <w:t>Paysannerie, recherche et changement social. Analyse d'un processus en cours dans les Andes colombiennes</w:t>
        </w:r>
      </w:hyperlink>
      <w:r w:rsidRPr="005F6132">
        <w:rPr>
          <w:sz w:val="24"/>
        </w:rPr>
        <w:t>.” [345]</w:t>
      </w:r>
    </w:p>
    <w:p w:rsidR="00B7214C" w:rsidRPr="005F6132" w:rsidRDefault="00B7214C" w:rsidP="00B7214C">
      <w:pPr>
        <w:spacing w:before="120" w:after="120"/>
        <w:ind w:left="900" w:hanging="540"/>
        <w:jc w:val="both"/>
        <w:rPr>
          <w:sz w:val="24"/>
        </w:rPr>
      </w:pPr>
      <w:r w:rsidRPr="005F6132">
        <w:rPr>
          <w:sz w:val="24"/>
        </w:rPr>
        <w:t>Pierre BEAUCAGE, “</w:t>
      </w:r>
      <w:hyperlink w:anchor="Entre_tradition_pt_2_texte_24" w:history="1">
        <w:r w:rsidRPr="0012264F">
          <w:rPr>
            <w:rStyle w:val="Lienhypertexte"/>
            <w:sz w:val="24"/>
          </w:rPr>
          <w:t>Un ethnologue et un mouvement autochtone au Mex</w:t>
        </w:r>
        <w:r w:rsidRPr="0012264F">
          <w:rPr>
            <w:rStyle w:val="Lienhypertexte"/>
            <w:sz w:val="24"/>
          </w:rPr>
          <w:t>i</w:t>
        </w:r>
        <w:r w:rsidRPr="0012264F">
          <w:rPr>
            <w:rStyle w:val="Lienhypertexte"/>
            <w:sz w:val="24"/>
          </w:rPr>
          <w:t>que : critique d'une coopération à long terme</w:t>
        </w:r>
      </w:hyperlink>
      <w:r w:rsidRPr="005F6132">
        <w:rPr>
          <w:sz w:val="24"/>
        </w:rPr>
        <w:t>.” [365]</w:t>
      </w:r>
    </w:p>
    <w:p w:rsidR="00B7214C" w:rsidRPr="005F6132" w:rsidRDefault="00B7214C" w:rsidP="00B7214C">
      <w:pPr>
        <w:spacing w:before="120" w:after="120"/>
        <w:ind w:left="900" w:hanging="540"/>
        <w:jc w:val="both"/>
        <w:rPr>
          <w:sz w:val="24"/>
        </w:rPr>
      </w:pPr>
      <w:r w:rsidRPr="005F6132">
        <w:rPr>
          <w:sz w:val="24"/>
        </w:rPr>
        <w:t>Marie-Andrée COUILLARD et Ginette CÔTÉ, “</w:t>
      </w:r>
      <w:hyperlink w:anchor="Entre_tradition_pt_2_texte_25" w:history="1">
        <w:r w:rsidRPr="0012264F">
          <w:rPr>
            <w:rStyle w:val="Lienhypertexte"/>
            <w:sz w:val="24"/>
          </w:rPr>
          <w:t>Solidarité de genre et po</w:t>
        </w:r>
        <w:r w:rsidRPr="0012264F">
          <w:rPr>
            <w:rStyle w:val="Lienhypertexte"/>
            <w:sz w:val="24"/>
          </w:rPr>
          <w:t>u</w:t>
        </w:r>
        <w:r w:rsidRPr="0012264F">
          <w:rPr>
            <w:rStyle w:val="Lienhypertexte"/>
            <w:sz w:val="24"/>
          </w:rPr>
          <w:t>voir de femme</w:t>
        </w:r>
      </w:hyperlink>
      <w:r w:rsidRPr="005F6132">
        <w:rPr>
          <w:sz w:val="24"/>
        </w:rPr>
        <w:t>.” [379]</w:t>
      </w:r>
    </w:p>
    <w:p w:rsidR="00B7214C" w:rsidRPr="005F6132" w:rsidRDefault="00B7214C" w:rsidP="00B7214C">
      <w:pPr>
        <w:spacing w:before="120" w:after="120"/>
        <w:ind w:left="900" w:hanging="540"/>
        <w:jc w:val="both"/>
        <w:rPr>
          <w:sz w:val="24"/>
        </w:rPr>
      </w:pPr>
    </w:p>
    <w:p w:rsidR="00B7214C" w:rsidRPr="005F6132" w:rsidRDefault="00B7214C" w:rsidP="00B7214C">
      <w:pPr>
        <w:spacing w:before="120" w:after="120"/>
        <w:ind w:firstLine="0"/>
        <w:jc w:val="both"/>
        <w:rPr>
          <w:sz w:val="24"/>
        </w:rPr>
      </w:pPr>
      <w:hyperlink w:anchor="Entre_tradition_pt_2_D" w:history="1">
        <w:r w:rsidRPr="0012264F">
          <w:rPr>
            <w:rStyle w:val="Lienhypertexte"/>
            <w:sz w:val="24"/>
          </w:rPr>
          <w:t>RELIGION DES DROITS: ENTRE COMMUNAUTARISME ET INDIVIDU</w:t>
        </w:r>
        <w:r w:rsidRPr="0012264F">
          <w:rPr>
            <w:rStyle w:val="Lienhypertexte"/>
            <w:sz w:val="24"/>
          </w:rPr>
          <w:t>A</w:t>
        </w:r>
        <w:r w:rsidRPr="0012264F">
          <w:rPr>
            <w:rStyle w:val="Lienhypertexte"/>
            <w:sz w:val="24"/>
          </w:rPr>
          <w:t>LISME</w:t>
        </w:r>
      </w:hyperlink>
    </w:p>
    <w:p w:rsidR="00B7214C" w:rsidRDefault="00B7214C" w:rsidP="00B7214C">
      <w:pPr>
        <w:spacing w:before="120" w:after="120"/>
        <w:ind w:left="900" w:hanging="540"/>
        <w:jc w:val="both"/>
        <w:rPr>
          <w:sz w:val="24"/>
        </w:rPr>
      </w:pPr>
    </w:p>
    <w:p w:rsidR="00B7214C" w:rsidRPr="005F6132" w:rsidRDefault="00B7214C" w:rsidP="00B7214C">
      <w:pPr>
        <w:spacing w:before="120" w:after="120"/>
        <w:ind w:left="900" w:hanging="540"/>
        <w:jc w:val="both"/>
        <w:rPr>
          <w:sz w:val="24"/>
        </w:rPr>
      </w:pPr>
      <w:r w:rsidRPr="005F6132">
        <w:rPr>
          <w:sz w:val="24"/>
        </w:rPr>
        <w:t>Mikhaël ELBAZ, “</w:t>
      </w:r>
      <w:hyperlink w:anchor="Entre_tradition_pt_2_texte_26" w:history="1">
        <w:r w:rsidRPr="0012264F">
          <w:rPr>
            <w:rStyle w:val="Lienhypertexte"/>
            <w:sz w:val="24"/>
          </w:rPr>
          <w:t>Présentation</w:t>
        </w:r>
      </w:hyperlink>
      <w:r w:rsidRPr="005F6132">
        <w:rPr>
          <w:sz w:val="24"/>
        </w:rPr>
        <w:t>.” [397]</w:t>
      </w:r>
    </w:p>
    <w:p w:rsidR="00B7214C" w:rsidRPr="005F6132" w:rsidRDefault="00B7214C" w:rsidP="00B7214C">
      <w:pPr>
        <w:spacing w:before="120" w:after="120"/>
        <w:ind w:left="900" w:hanging="540"/>
        <w:jc w:val="both"/>
        <w:rPr>
          <w:sz w:val="24"/>
        </w:rPr>
      </w:pPr>
      <w:r w:rsidRPr="005F6132">
        <w:rPr>
          <w:sz w:val="24"/>
        </w:rPr>
        <w:t>Yvan SIMONIS, “</w:t>
      </w:r>
      <w:hyperlink w:anchor="Entre_tradition_pt_2_texte_27" w:history="1">
        <w:r w:rsidRPr="0012264F">
          <w:rPr>
            <w:rStyle w:val="Lienhypertexte"/>
            <w:sz w:val="24"/>
          </w:rPr>
          <w:t>Droits nouveaux et raisons démocratiques</w:t>
        </w:r>
      </w:hyperlink>
      <w:r w:rsidRPr="005F6132">
        <w:rPr>
          <w:sz w:val="24"/>
        </w:rPr>
        <w:t>.” [401]</w:t>
      </w:r>
    </w:p>
    <w:p w:rsidR="00B7214C" w:rsidRPr="005F6132" w:rsidRDefault="00B7214C" w:rsidP="00B7214C">
      <w:pPr>
        <w:spacing w:before="120" w:after="120"/>
        <w:ind w:left="900" w:hanging="540"/>
        <w:jc w:val="both"/>
        <w:rPr>
          <w:sz w:val="24"/>
        </w:rPr>
      </w:pPr>
      <w:r w:rsidRPr="005F6132">
        <w:rPr>
          <w:sz w:val="24"/>
        </w:rPr>
        <w:t>Ruth MURBACH, “</w:t>
      </w:r>
      <w:hyperlink w:anchor="Entre_tradition_pt_2_texte_28" w:history="1">
        <w:r w:rsidRPr="0012264F">
          <w:rPr>
            <w:rStyle w:val="Lienhypertexte"/>
            <w:sz w:val="24"/>
          </w:rPr>
          <w:t>Droits et responsabilités dans l'arène du sida-VIH</w:t>
        </w:r>
      </w:hyperlink>
      <w:r w:rsidRPr="005F6132">
        <w:rPr>
          <w:sz w:val="24"/>
        </w:rPr>
        <w:t>.” [407]</w:t>
      </w:r>
    </w:p>
    <w:p w:rsidR="00B7214C" w:rsidRPr="005F6132" w:rsidRDefault="00B7214C" w:rsidP="00B7214C">
      <w:pPr>
        <w:spacing w:before="120" w:after="120"/>
        <w:ind w:left="900" w:hanging="540"/>
        <w:jc w:val="both"/>
        <w:rPr>
          <w:sz w:val="24"/>
        </w:rPr>
      </w:pPr>
      <w:r w:rsidRPr="005F6132">
        <w:rPr>
          <w:sz w:val="24"/>
        </w:rPr>
        <w:t>Marie-Blanche TAHON, “</w:t>
      </w:r>
      <w:hyperlink w:anchor="Entre_tradition_pt_2_texte_29" w:history="1">
        <w:r w:rsidRPr="0012264F">
          <w:rPr>
            <w:rStyle w:val="Lienhypertexte"/>
            <w:sz w:val="24"/>
          </w:rPr>
          <w:t>L'affirmation politique des femmes et le postfém</w:t>
        </w:r>
        <w:r w:rsidRPr="0012264F">
          <w:rPr>
            <w:rStyle w:val="Lienhypertexte"/>
            <w:sz w:val="24"/>
          </w:rPr>
          <w:t>i</w:t>
        </w:r>
        <w:r w:rsidRPr="0012264F">
          <w:rPr>
            <w:rStyle w:val="Lienhypertexte"/>
            <w:sz w:val="24"/>
          </w:rPr>
          <w:t>nisme</w:t>
        </w:r>
      </w:hyperlink>
      <w:r w:rsidRPr="005F6132">
        <w:rPr>
          <w:sz w:val="24"/>
        </w:rPr>
        <w:t>.” [425]</w:t>
      </w:r>
    </w:p>
    <w:p w:rsidR="00B7214C" w:rsidRPr="005F6132" w:rsidRDefault="00B7214C" w:rsidP="00B7214C">
      <w:pPr>
        <w:spacing w:before="120" w:after="120"/>
        <w:ind w:left="900" w:hanging="540"/>
        <w:jc w:val="both"/>
        <w:rPr>
          <w:sz w:val="24"/>
        </w:rPr>
      </w:pPr>
      <w:r w:rsidRPr="005F6132">
        <w:rPr>
          <w:sz w:val="24"/>
        </w:rPr>
        <w:t>Mikhaël ELBAZ, “</w:t>
      </w:r>
      <w:hyperlink w:anchor="Entre_tradition_pt_2_texte_30" w:history="1">
        <w:r w:rsidRPr="006A0A18">
          <w:rPr>
            <w:rStyle w:val="Lienhypertexte"/>
            <w:sz w:val="24"/>
          </w:rPr>
          <w:t>Hiérarchies polyethniques, justice intergénérationnelle et programmes préférentiels au Canada</w:t>
        </w:r>
      </w:hyperlink>
      <w:r w:rsidRPr="005F6132">
        <w:rPr>
          <w:sz w:val="24"/>
        </w:rPr>
        <w:t>.” [435]</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center"/>
        <w:rPr>
          <w:b/>
          <w:sz w:val="24"/>
        </w:rPr>
      </w:pPr>
      <w:r w:rsidRPr="005F6132">
        <w:rPr>
          <w:b/>
          <w:color w:val="FF0000"/>
          <w:sz w:val="24"/>
        </w:rPr>
        <w:t>Partie III</w:t>
      </w:r>
      <w:r w:rsidRPr="005F6132">
        <w:rPr>
          <w:b/>
          <w:sz w:val="24"/>
        </w:rPr>
        <w:t>.</w:t>
      </w:r>
    </w:p>
    <w:p w:rsidR="00B7214C" w:rsidRPr="005F6132" w:rsidRDefault="00B7214C" w:rsidP="00B7214C">
      <w:pPr>
        <w:spacing w:before="120" w:after="120"/>
        <w:ind w:firstLine="0"/>
        <w:jc w:val="center"/>
        <w:rPr>
          <w:sz w:val="24"/>
        </w:rPr>
      </w:pPr>
      <w:hyperlink w:anchor="Entre_tradition_pt_3" w:history="1">
        <w:r w:rsidRPr="0012264F">
          <w:rPr>
            <w:rStyle w:val="Lienhypertexte"/>
            <w:b/>
            <w:sz w:val="24"/>
          </w:rPr>
          <w:t>LIEUX DES IDENTITÉS ET DE LA MÉMOIRE</w:t>
        </w:r>
      </w:hyperlink>
      <w:r w:rsidRPr="005F6132">
        <w:rPr>
          <w:sz w:val="24"/>
        </w:rPr>
        <w:t>. [457]</w:t>
      </w:r>
    </w:p>
    <w:p w:rsidR="00B7214C" w:rsidRPr="005F6132" w:rsidRDefault="00B7214C" w:rsidP="00B7214C">
      <w:pPr>
        <w:spacing w:before="120" w:after="120"/>
        <w:ind w:firstLine="0"/>
        <w:jc w:val="both"/>
        <w:rPr>
          <w:sz w:val="24"/>
        </w:rPr>
      </w:pPr>
    </w:p>
    <w:p w:rsidR="00B7214C" w:rsidRPr="005F6132" w:rsidRDefault="00B7214C" w:rsidP="00B7214C">
      <w:pPr>
        <w:spacing w:before="120" w:after="120"/>
        <w:ind w:firstLine="0"/>
        <w:jc w:val="both"/>
        <w:rPr>
          <w:sz w:val="24"/>
        </w:rPr>
      </w:pPr>
      <w:hyperlink w:anchor="Entre_tradition_pt_3_A" w:history="1">
        <w:r w:rsidRPr="0012264F">
          <w:rPr>
            <w:rStyle w:val="Lienhypertexte"/>
            <w:sz w:val="24"/>
          </w:rPr>
          <w:t>LES ÉVÉNEMENTS CULTURELS EN RÉGION</w:t>
        </w:r>
      </w:hyperlink>
    </w:p>
    <w:p w:rsidR="00B7214C" w:rsidRDefault="00B7214C" w:rsidP="00B7214C">
      <w:pPr>
        <w:spacing w:before="120" w:after="120"/>
        <w:ind w:left="900" w:hanging="540"/>
        <w:jc w:val="both"/>
        <w:rPr>
          <w:sz w:val="24"/>
        </w:rPr>
      </w:pPr>
    </w:p>
    <w:p w:rsidR="00B7214C" w:rsidRPr="005F6132" w:rsidRDefault="00B7214C" w:rsidP="00B7214C">
      <w:pPr>
        <w:spacing w:before="120" w:after="120"/>
        <w:ind w:left="900" w:hanging="540"/>
        <w:jc w:val="both"/>
        <w:rPr>
          <w:sz w:val="24"/>
        </w:rPr>
      </w:pPr>
      <w:r w:rsidRPr="005F6132">
        <w:rPr>
          <w:sz w:val="24"/>
        </w:rPr>
        <w:t>Andrée FORTIN, “</w:t>
      </w:r>
      <w:hyperlink w:anchor="Entre_tradition_pt_3_texte_31" w:history="1">
        <w:r w:rsidRPr="006A0A18">
          <w:rPr>
            <w:rStyle w:val="Lienhypertexte"/>
            <w:sz w:val="24"/>
          </w:rPr>
          <w:t>Les événements artistiques en région, au cœur de la pos</w:t>
        </w:r>
        <w:r w:rsidRPr="006A0A18">
          <w:rPr>
            <w:rStyle w:val="Lienhypertexte"/>
            <w:sz w:val="24"/>
          </w:rPr>
          <w:t>t</w:t>
        </w:r>
        <w:r w:rsidRPr="006A0A18">
          <w:rPr>
            <w:rStyle w:val="Lienhypertexte"/>
            <w:sz w:val="24"/>
          </w:rPr>
          <w:t>modernité</w:t>
        </w:r>
      </w:hyperlink>
      <w:r w:rsidRPr="005F6132">
        <w:rPr>
          <w:sz w:val="24"/>
        </w:rPr>
        <w:t>.” [459]</w:t>
      </w:r>
    </w:p>
    <w:p w:rsidR="00B7214C" w:rsidRPr="005F6132" w:rsidRDefault="00B7214C" w:rsidP="00B7214C">
      <w:pPr>
        <w:spacing w:before="120" w:after="120"/>
        <w:ind w:left="900" w:hanging="540"/>
        <w:jc w:val="both"/>
        <w:rPr>
          <w:sz w:val="24"/>
        </w:rPr>
      </w:pPr>
      <w:r w:rsidRPr="005F6132">
        <w:rPr>
          <w:sz w:val="24"/>
        </w:rPr>
        <w:t>Andrée GENDREAU, “</w:t>
      </w:r>
      <w:hyperlink w:anchor="Entre_tradition_pt_3_texte_32" w:history="1">
        <w:r w:rsidRPr="006A0A18">
          <w:rPr>
            <w:rStyle w:val="Lienhypertexte"/>
            <w:sz w:val="24"/>
          </w:rPr>
          <w:t>De la tradition à la création</w:t>
        </w:r>
      </w:hyperlink>
      <w:r w:rsidRPr="005F6132">
        <w:rPr>
          <w:sz w:val="24"/>
        </w:rPr>
        <w:t>.” [473]</w:t>
      </w:r>
    </w:p>
    <w:p w:rsidR="00B7214C" w:rsidRPr="005F6132" w:rsidRDefault="00B7214C" w:rsidP="00B7214C">
      <w:pPr>
        <w:spacing w:before="120" w:after="120"/>
        <w:ind w:left="900" w:hanging="540"/>
        <w:jc w:val="both"/>
        <w:rPr>
          <w:sz w:val="24"/>
        </w:rPr>
      </w:pPr>
      <w:r w:rsidRPr="005F6132">
        <w:rPr>
          <w:sz w:val="24"/>
        </w:rPr>
        <w:t>Eric SCHWIMMER, “</w:t>
      </w:r>
      <w:hyperlink w:anchor="Entre_tradition_pt_3_texte_33" w:history="1">
        <w:r w:rsidRPr="006A0A18">
          <w:rPr>
            <w:rStyle w:val="Lienhypertexte"/>
            <w:sz w:val="24"/>
          </w:rPr>
          <w:t>Donner un festival</w:t>
        </w:r>
      </w:hyperlink>
      <w:r w:rsidRPr="005F6132">
        <w:rPr>
          <w:sz w:val="24"/>
        </w:rPr>
        <w:t>.” [483]</w:t>
      </w:r>
    </w:p>
    <w:p w:rsidR="00B7214C" w:rsidRPr="005F6132" w:rsidRDefault="00B7214C" w:rsidP="00B7214C">
      <w:pPr>
        <w:spacing w:before="120" w:after="120"/>
        <w:ind w:left="900" w:hanging="540"/>
        <w:jc w:val="both"/>
        <w:rPr>
          <w:sz w:val="24"/>
        </w:rPr>
      </w:pPr>
      <w:r>
        <w:rPr>
          <w:sz w:val="24"/>
        </w:rPr>
        <w:br w:type="page"/>
      </w:r>
    </w:p>
    <w:p w:rsidR="00B7214C" w:rsidRPr="005F6132" w:rsidRDefault="00B7214C" w:rsidP="00B7214C">
      <w:pPr>
        <w:spacing w:before="120" w:after="120"/>
        <w:ind w:firstLine="0"/>
        <w:jc w:val="both"/>
        <w:rPr>
          <w:sz w:val="24"/>
        </w:rPr>
      </w:pPr>
      <w:hyperlink w:anchor="Entre_tradition_pt_3_B" w:history="1">
        <w:r w:rsidRPr="0012264F">
          <w:rPr>
            <w:rStyle w:val="Lienhypertexte"/>
            <w:sz w:val="24"/>
          </w:rPr>
          <w:t>LE DISCOURS ARCHÉOLOGIQUE</w:t>
        </w:r>
      </w:hyperlink>
    </w:p>
    <w:p w:rsidR="00B7214C" w:rsidRDefault="00B7214C" w:rsidP="00B7214C">
      <w:pPr>
        <w:spacing w:before="120" w:after="120"/>
        <w:ind w:left="900" w:hanging="540"/>
        <w:jc w:val="both"/>
        <w:rPr>
          <w:sz w:val="24"/>
        </w:rPr>
      </w:pPr>
    </w:p>
    <w:p w:rsidR="00B7214C" w:rsidRPr="005F6132" w:rsidRDefault="00B7214C" w:rsidP="00B7214C">
      <w:pPr>
        <w:spacing w:before="120" w:after="120"/>
        <w:ind w:left="900" w:hanging="540"/>
        <w:jc w:val="both"/>
        <w:rPr>
          <w:sz w:val="24"/>
        </w:rPr>
      </w:pPr>
      <w:r w:rsidRPr="005F6132">
        <w:rPr>
          <w:sz w:val="24"/>
        </w:rPr>
        <w:t>Louise-Iseult PARADIS, “</w:t>
      </w:r>
      <w:hyperlink w:anchor="Entre_tradition_pt_3_texte_34" w:history="1">
        <w:r w:rsidRPr="006A0A18">
          <w:rPr>
            <w:rStyle w:val="Lienhypertexte"/>
            <w:sz w:val="24"/>
          </w:rPr>
          <w:t>Le Mexique préhispanique : discours scientifique ou vulgarisation</w:t>
        </w:r>
      </w:hyperlink>
      <w:r w:rsidRPr="005F6132">
        <w:rPr>
          <w:sz w:val="24"/>
        </w:rPr>
        <w:t>.” [493]</w:t>
      </w:r>
    </w:p>
    <w:p w:rsidR="00B7214C" w:rsidRPr="005F6132" w:rsidRDefault="00B7214C" w:rsidP="00B7214C">
      <w:pPr>
        <w:spacing w:before="120" w:after="120"/>
        <w:ind w:left="900" w:hanging="540"/>
        <w:jc w:val="both"/>
        <w:rPr>
          <w:sz w:val="24"/>
        </w:rPr>
      </w:pPr>
      <w:r w:rsidRPr="005F6132">
        <w:rPr>
          <w:sz w:val="24"/>
        </w:rPr>
        <w:t>Geneviève DUGUAY, “</w:t>
      </w:r>
      <w:hyperlink w:anchor="Entre_tradition_pt_3_texte_35" w:history="1">
        <w:r w:rsidRPr="006A0A18">
          <w:rPr>
            <w:rStyle w:val="Lienhypertexte"/>
            <w:sz w:val="24"/>
          </w:rPr>
          <w:t>Archéologie : reconstruction et construction du pa</w:t>
        </w:r>
        <w:r w:rsidRPr="006A0A18">
          <w:rPr>
            <w:rStyle w:val="Lienhypertexte"/>
            <w:sz w:val="24"/>
          </w:rPr>
          <w:t>s</w:t>
        </w:r>
        <w:r w:rsidRPr="006A0A18">
          <w:rPr>
            <w:rStyle w:val="Lienhypertexte"/>
            <w:sz w:val="24"/>
          </w:rPr>
          <w:t>sé</w:t>
        </w:r>
      </w:hyperlink>
      <w:r w:rsidRPr="005F6132">
        <w:rPr>
          <w:sz w:val="24"/>
        </w:rPr>
        <w:t>.” [499]</w:t>
      </w:r>
    </w:p>
    <w:p w:rsidR="00B7214C" w:rsidRPr="005F6132" w:rsidRDefault="00B7214C" w:rsidP="00B7214C">
      <w:pPr>
        <w:spacing w:before="120" w:after="120"/>
        <w:ind w:left="900" w:hanging="540"/>
        <w:jc w:val="both"/>
        <w:rPr>
          <w:sz w:val="24"/>
        </w:rPr>
      </w:pPr>
      <w:r w:rsidRPr="005F6132">
        <w:rPr>
          <w:sz w:val="24"/>
        </w:rPr>
        <w:t>Jean-Guy BROSSARD et Michèle GARCEAU, “</w:t>
      </w:r>
      <w:hyperlink w:anchor="Entre_tradition_pt_3_texte_36" w:history="1">
        <w:r w:rsidRPr="006A0A18">
          <w:rPr>
            <w:rStyle w:val="Lienhypertexte"/>
            <w:sz w:val="24"/>
          </w:rPr>
          <w:t>Pointe-à-Callière, musée d'archéologie et d'histoire de Montréal : les fondements du discours</w:t>
        </w:r>
      </w:hyperlink>
      <w:r w:rsidRPr="005F6132">
        <w:rPr>
          <w:sz w:val="24"/>
        </w:rPr>
        <w:t>.” [505]</w:t>
      </w:r>
    </w:p>
    <w:p w:rsidR="00B7214C" w:rsidRPr="005F6132" w:rsidRDefault="00B7214C" w:rsidP="00B7214C">
      <w:pPr>
        <w:spacing w:before="120" w:after="120"/>
        <w:ind w:left="900" w:hanging="540"/>
        <w:jc w:val="both"/>
        <w:rPr>
          <w:sz w:val="24"/>
        </w:rPr>
      </w:pPr>
      <w:r w:rsidRPr="005F6132">
        <w:rPr>
          <w:sz w:val="24"/>
        </w:rPr>
        <w:t>Claire MOUSSEAU, “</w:t>
      </w:r>
      <w:hyperlink w:anchor="Entre_tradition_pt_3_texte_37" w:history="1">
        <w:r w:rsidRPr="006A0A18">
          <w:rPr>
            <w:rStyle w:val="Lienhypertexte"/>
            <w:sz w:val="24"/>
          </w:rPr>
          <w:t>Lieu de la mémoire : la ville</w:t>
        </w:r>
      </w:hyperlink>
      <w:r w:rsidRPr="005F6132">
        <w:rPr>
          <w:sz w:val="24"/>
        </w:rPr>
        <w:t>.” [517]</w:t>
      </w:r>
    </w:p>
    <w:p w:rsidR="00B7214C" w:rsidRPr="005F6132" w:rsidRDefault="00B7214C" w:rsidP="00B7214C">
      <w:pPr>
        <w:spacing w:before="120" w:after="120"/>
        <w:ind w:left="900" w:hanging="540"/>
        <w:jc w:val="both"/>
        <w:rPr>
          <w:sz w:val="24"/>
        </w:rPr>
      </w:pPr>
    </w:p>
    <w:p w:rsidR="00B7214C" w:rsidRDefault="00B7214C" w:rsidP="00B7214C">
      <w:pPr>
        <w:spacing w:before="120" w:after="120"/>
        <w:ind w:firstLine="0"/>
        <w:jc w:val="both"/>
        <w:rPr>
          <w:sz w:val="24"/>
        </w:rPr>
      </w:pPr>
      <w:hyperlink w:anchor="Entre_tradition_pt_3_C" w:history="1">
        <w:r w:rsidRPr="0012264F">
          <w:rPr>
            <w:rStyle w:val="Lienhypertexte"/>
            <w:sz w:val="24"/>
          </w:rPr>
          <w:t>LES MUSÉES : GRENIERS PATRIMONIAUX</w:t>
        </w:r>
        <w:r w:rsidRPr="0012264F">
          <w:rPr>
            <w:rStyle w:val="Lienhypertexte"/>
            <w:sz w:val="24"/>
          </w:rPr>
          <w:br/>
          <w:t>OU INGÉNIERIE CULTURELLE</w:t>
        </w:r>
      </w:hyperlink>
    </w:p>
    <w:p w:rsidR="00B7214C" w:rsidRPr="005F6132" w:rsidRDefault="00B7214C" w:rsidP="00B7214C">
      <w:pPr>
        <w:spacing w:before="120" w:after="120"/>
        <w:ind w:firstLine="0"/>
        <w:jc w:val="both"/>
        <w:rPr>
          <w:sz w:val="24"/>
        </w:rPr>
      </w:pPr>
    </w:p>
    <w:p w:rsidR="00B7214C" w:rsidRPr="005F6132" w:rsidRDefault="00B7214C" w:rsidP="00B7214C">
      <w:pPr>
        <w:spacing w:before="120" w:after="120"/>
        <w:jc w:val="both"/>
        <w:rPr>
          <w:sz w:val="24"/>
        </w:rPr>
      </w:pPr>
      <w:r w:rsidRPr="005F6132">
        <w:rPr>
          <w:sz w:val="24"/>
        </w:rPr>
        <w:t>Mauro EERRESINI, “</w:t>
      </w:r>
      <w:hyperlink w:anchor="Entre_tradition_pt_3_texte_38" w:history="1">
        <w:r w:rsidRPr="006A0A18">
          <w:rPr>
            <w:rStyle w:val="Lienhypertexte"/>
            <w:sz w:val="24"/>
          </w:rPr>
          <w:t>Un anthropologue au musée ou le difficile passage de l’analyse à la production des identités</w:t>
        </w:r>
      </w:hyperlink>
      <w:r w:rsidRPr="005F6132">
        <w:rPr>
          <w:sz w:val="24"/>
        </w:rPr>
        <w:t>.” [523]</w:t>
      </w:r>
    </w:p>
    <w:p w:rsidR="00B7214C" w:rsidRPr="005F6132" w:rsidRDefault="00B7214C" w:rsidP="00B7214C">
      <w:pPr>
        <w:spacing w:before="120" w:after="120"/>
        <w:jc w:val="both"/>
        <w:rPr>
          <w:sz w:val="24"/>
        </w:rPr>
      </w:pPr>
      <w:r w:rsidRPr="005F6132">
        <w:rPr>
          <w:sz w:val="24"/>
        </w:rPr>
        <w:t>Jan MARONTATE et Marcel FOURNIER, “</w:t>
      </w:r>
      <w:hyperlink w:anchor="Entre_tradition_pt_3_texte_39" w:history="1">
        <w:r w:rsidRPr="006A0A18">
          <w:rPr>
            <w:rStyle w:val="Lienhypertexte"/>
            <w:sz w:val="24"/>
          </w:rPr>
          <w:t>Les frontières symboliques et le musée</w:t>
        </w:r>
      </w:hyperlink>
      <w:r w:rsidRPr="005F6132">
        <w:rPr>
          <w:sz w:val="24"/>
        </w:rPr>
        <w:t>.” [535]</w:t>
      </w:r>
    </w:p>
    <w:p w:rsidR="00B7214C" w:rsidRPr="005F6132" w:rsidRDefault="00B7214C" w:rsidP="00B7214C">
      <w:pPr>
        <w:spacing w:before="120" w:after="120"/>
        <w:jc w:val="both"/>
        <w:rPr>
          <w:sz w:val="24"/>
        </w:rPr>
      </w:pPr>
      <w:r w:rsidRPr="005F6132">
        <w:rPr>
          <w:sz w:val="24"/>
        </w:rPr>
        <w:t>Manon NIQUETTE, “</w:t>
      </w:r>
      <w:hyperlink w:anchor="Entre_tradition_pt_3_texte_40" w:history="1">
        <w:r w:rsidRPr="006A0A18">
          <w:rPr>
            <w:rStyle w:val="Lienhypertexte"/>
            <w:sz w:val="24"/>
          </w:rPr>
          <w:t>Le passé de l’actualité scientifique et le présent de la muséologie historique : une conjugaison non défective</w:t>
        </w:r>
      </w:hyperlink>
      <w:r w:rsidRPr="005F6132">
        <w:rPr>
          <w:sz w:val="24"/>
        </w:rPr>
        <w:t>.” [547]</w:t>
      </w:r>
    </w:p>
    <w:p w:rsidR="00B7214C" w:rsidRPr="005F6132" w:rsidRDefault="00B7214C" w:rsidP="00B7214C">
      <w:pPr>
        <w:spacing w:before="120" w:after="120"/>
        <w:jc w:val="both"/>
        <w:rPr>
          <w:sz w:val="24"/>
        </w:rPr>
      </w:pPr>
      <w:r w:rsidRPr="005F6132">
        <w:rPr>
          <w:sz w:val="24"/>
        </w:rPr>
        <w:t>Gérald BARIL, “</w:t>
      </w:r>
      <w:hyperlink w:anchor="Entre_tradition_pt_3_texte_41" w:history="1">
        <w:r w:rsidRPr="006A0A18">
          <w:rPr>
            <w:rStyle w:val="Lienhypertexte"/>
            <w:sz w:val="24"/>
          </w:rPr>
          <w:t>Science et technique comme objet de tourisme dans les m</w:t>
        </w:r>
        <w:r w:rsidRPr="006A0A18">
          <w:rPr>
            <w:rStyle w:val="Lienhypertexte"/>
            <w:sz w:val="24"/>
          </w:rPr>
          <w:t>u</w:t>
        </w:r>
        <w:r w:rsidRPr="006A0A18">
          <w:rPr>
            <w:rStyle w:val="Lienhypertexte"/>
            <w:sz w:val="24"/>
          </w:rPr>
          <w:t>sées du Québec</w:t>
        </w:r>
      </w:hyperlink>
      <w:r w:rsidRPr="005F6132">
        <w:rPr>
          <w:sz w:val="24"/>
        </w:rPr>
        <w:t>.” [555]</w:t>
      </w:r>
    </w:p>
    <w:p w:rsidR="00B7214C" w:rsidRDefault="00B7214C" w:rsidP="00B7214C">
      <w:pPr>
        <w:ind w:left="540" w:hanging="540"/>
      </w:pPr>
    </w:p>
    <w:p w:rsidR="00B7214C" w:rsidRDefault="00B7214C" w:rsidP="00B7214C">
      <w:pPr>
        <w:ind w:left="540" w:hanging="540"/>
        <w:rPr>
          <w:sz w:val="24"/>
        </w:rPr>
      </w:pPr>
      <w:hyperlink w:anchor="Entre_tradition_collaborateurs" w:history="1">
        <w:r w:rsidRPr="006A0A18">
          <w:rPr>
            <w:rStyle w:val="Lienhypertexte"/>
            <w:sz w:val="24"/>
          </w:rPr>
          <w:t>Collaboratrices et collaborateurs</w:t>
        </w:r>
      </w:hyperlink>
      <w:r w:rsidRPr="009F421F">
        <w:rPr>
          <w:sz w:val="24"/>
        </w:rPr>
        <w:t xml:space="preserve"> [</w:t>
      </w:r>
      <w:r>
        <w:rPr>
          <w:sz w:val="24"/>
        </w:rPr>
        <w:t>563</w:t>
      </w:r>
      <w:r w:rsidRPr="009F421F">
        <w:rPr>
          <w:sz w:val="24"/>
        </w:rPr>
        <w:t>]</w:t>
      </w:r>
    </w:p>
    <w:p w:rsidR="00B7214C" w:rsidRDefault="00B7214C" w:rsidP="00B7214C">
      <w:pPr>
        <w:ind w:left="540" w:hanging="540"/>
        <w:rPr>
          <w:sz w:val="24"/>
        </w:rPr>
      </w:pPr>
    </w:p>
    <w:p w:rsidR="00B7214C" w:rsidRPr="009F421F" w:rsidRDefault="00B7214C" w:rsidP="00B7214C">
      <w:pPr>
        <w:ind w:left="540" w:hanging="540"/>
        <w:rPr>
          <w:sz w:val="24"/>
        </w:rPr>
      </w:pPr>
      <w:hyperlink w:anchor="Entre_tradition_publications_IQRC" w:history="1">
        <w:r w:rsidRPr="006A0A18">
          <w:rPr>
            <w:rStyle w:val="Lienhypertexte"/>
            <w:sz w:val="24"/>
          </w:rPr>
          <w:t>Les publications de l’IQRC</w:t>
        </w:r>
      </w:hyperlink>
      <w:r>
        <w:rPr>
          <w:sz w:val="24"/>
        </w:rPr>
        <w:t xml:space="preserve"> [565]</w:t>
      </w:r>
    </w:p>
    <w:p w:rsidR="00B7214C" w:rsidRPr="00E07116" w:rsidRDefault="00B7214C" w:rsidP="00B7214C">
      <w:pPr>
        <w:pStyle w:val="p"/>
      </w:pPr>
      <w:r w:rsidRPr="00E07116">
        <w:br w:type="page"/>
        <w:t>[</w:t>
      </w:r>
      <w:r>
        <w:t>11</w:t>
      </w:r>
      <w:r w:rsidRPr="00E07116">
        <w:t>]</w:t>
      </w: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 w:name="Entre_tradition_presentation"/>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384B20" w:rsidRDefault="00B7214C" w:rsidP="00B7214C">
      <w:pPr>
        <w:pStyle w:val="planchest"/>
      </w:pPr>
      <w:r>
        <w:t>PRÉSENTATION</w:t>
      </w:r>
    </w:p>
    <w:bookmarkEnd w:id="3"/>
    <w:p w:rsidR="00B7214C" w:rsidRPr="00E07116" w:rsidRDefault="00B7214C" w:rsidP="00B7214C">
      <w:pPr>
        <w:jc w:val="both"/>
      </w:pPr>
    </w:p>
    <w:p w:rsidR="00B7214C" w:rsidRPr="00E07116" w:rsidRDefault="00B7214C" w:rsidP="00B7214C">
      <w:pPr>
        <w:jc w:val="both"/>
      </w:pPr>
    </w:p>
    <w:p w:rsidR="00B7214C" w:rsidRPr="00E07116" w:rsidRDefault="00B7214C" w:rsidP="00B7214C">
      <w:pPr>
        <w:pStyle w:val="suite"/>
      </w:pPr>
      <w:r>
        <w:t>Par Françoise-Romaine OUELLETTE</w:t>
      </w:r>
    </w:p>
    <w:p w:rsidR="00B7214C" w:rsidRPr="00E07116" w:rsidRDefault="00B7214C" w:rsidP="00B7214C">
      <w:pPr>
        <w:pStyle w:val="auteurst"/>
      </w:pPr>
      <w:r w:rsidRPr="008453E2">
        <w:t>Institut québécois de recherche sur la culture</w:t>
      </w: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BC632B" w:rsidRDefault="00B7214C" w:rsidP="00B7214C">
      <w:pPr>
        <w:spacing w:before="120" w:after="120"/>
        <w:jc w:val="both"/>
      </w:pPr>
      <w:r w:rsidRPr="005F6132">
        <w:rPr>
          <w:iCs/>
        </w:rPr>
        <w:t>T</w:t>
      </w:r>
      <w:r w:rsidRPr="00BC632B">
        <w:t>radition et universalisme s'inscrivent dans un rapport de tension et, souvent, de renforcement mutuel. Loin d'opposer ces deux termes, le présent ouvrage explore la dynamique de leurs interrelations. L'un</w:t>
      </w:r>
      <w:r w:rsidRPr="00BC632B">
        <w:t>i</w:t>
      </w:r>
      <w:r w:rsidRPr="00BC632B">
        <w:t>versalisme réfère aux principes démocratiques de citoyenneté, de droits individuels et de liberté de la personne. Il réfère aussi aux pr</w:t>
      </w:r>
      <w:r w:rsidRPr="00BC632B">
        <w:t>o</w:t>
      </w:r>
      <w:r w:rsidRPr="00BC632B">
        <w:t>blématiques récentes associées à des découpages de l'espace et du temps détachés des contextes locaux : la mondialisation des marchés et l'expansion des échanges, la globalisation des conditions d'existe</w:t>
      </w:r>
      <w:r w:rsidRPr="00BC632B">
        <w:t>n</w:t>
      </w:r>
      <w:r w:rsidRPr="00BC632B">
        <w:t>ce, la fragmentation des expériences, le développement des systèmes experts, etc. Les notions de rationalité et d'individu, au centre de ces problématiques, débouchent sur un questionnement du pouvoir état</w:t>
      </w:r>
      <w:r w:rsidRPr="00BC632B">
        <w:t>i</w:t>
      </w:r>
      <w:r w:rsidRPr="00BC632B">
        <w:t>que et de l'emprise des cultures comme des communautés. Elles s'art</w:t>
      </w:r>
      <w:r w:rsidRPr="00BC632B">
        <w:t>i</w:t>
      </w:r>
      <w:r w:rsidRPr="00BC632B">
        <w:t>culent aussi à une atomisation du social qui brise les solidarités et peut sapper la capacité des individus de s'affirmer comme sujets.</w:t>
      </w:r>
    </w:p>
    <w:p w:rsidR="00B7214C" w:rsidRPr="00BC632B" w:rsidRDefault="00B7214C" w:rsidP="00B7214C">
      <w:pPr>
        <w:spacing w:before="120" w:after="120"/>
        <w:jc w:val="both"/>
      </w:pPr>
      <w:r w:rsidRPr="00BC632B">
        <w:t>La tradition renvoie à une communauté sociale et culturelle spéc</w:t>
      </w:r>
      <w:r w:rsidRPr="00BC632B">
        <w:t>i</w:t>
      </w:r>
      <w:r w:rsidRPr="00BC632B">
        <w:t>fique, inscrite dans la durée. En principe, elle est affaire de transmi</w:t>
      </w:r>
      <w:r w:rsidRPr="00BC632B">
        <w:t>s</w:t>
      </w:r>
      <w:r w:rsidRPr="00BC632B">
        <w:t>sion intergénérationnelle contribuant à perpétuer des formes sociales et culturelles, mais les héritiers font aussi des choix dans ce qu'on leur a légué ; ils bricolent des références nouvelles et, ainsi, changent le monde. La tradition est aussi invention et construction. Dans la quête d'un refuge contre les excès de l'individualisme et les effets déstruct</w:t>
      </w:r>
      <w:r w:rsidRPr="00BC632B">
        <w:t>u</w:t>
      </w:r>
      <w:r w:rsidRPr="00BC632B">
        <w:t>rants d'une réorganisation mondiale des rapports économiques et pol</w:t>
      </w:r>
      <w:r w:rsidRPr="00BC632B">
        <w:t>i</w:t>
      </w:r>
      <w:r w:rsidRPr="00BC632B">
        <w:t>tiques, l'appel à la tradition reproduit les particularismes. Mais cet a</w:t>
      </w:r>
      <w:r w:rsidRPr="00BC632B">
        <w:t>p</w:t>
      </w:r>
      <w:r w:rsidRPr="00BC632B">
        <w:t>pel ne peut s'extraire de la mouvance universaliste qu'il s'efforce de contenir. S'il favorise un renforcement</w:t>
      </w:r>
      <w:r>
        <w:t xml:space="preserve"> [12] </w:t>
      </w:r>
      <w:r w:rsidRPr="00BC632B">
        <w:t>identitaire et une fermet</w:t>
      </w:r>
      <w:r w:rsidRPr="00BC632B">
        <w:t>u</w:t>
      </w:r>
      <w:r w:rsidRPr="00BC632B">
        <w:t>re à l'autre dans les frontières nation</w:t>
      </w:r>
      <w:r w:rsidRPr="00BC632B">
        <w:t>a</w:t>
      </w:r>
      <w:r w:rsidRPr="00BC632B">
        <w:t>les, il génère aussi la dissolution des assises culturelles antérieures. Il en d</w:t>
      </w:r>
      <w:r w:rsidRPr="00BC632B">
        <w:t>é</w:t>
      </w:r>
      <w:r w:rsidRPr="00BC632B">
        <w:t>coule une résurgence du communautaire qui freine l'expression des individualités tout en do</w:t>
      </w:r>
      <w:r w:rsidRPr="00BC632B">
        <w:t>n</w:t>
      </w:r>
      <w:r w:rsidRPr="00BC632B">
        <w:t>nant de nouvelles bases à l'affirmation et à l'engagement.</w:t>
      </w:r>
    </w:p>
    <w:p w:rsidR="00B7214C" w:rsidRPr="00BC632B" w:rsidRDefault="00B7214C" w:rsidP="00B7214C">
      <w:pPr>
        <w:spacing w:before="120" w:after="120"/>
        <w:jc w:val="both"/>
      </w:pPr>
      <w:r w:rsidRPr="00BC632B">
        <w:t xml:space="preserve">Cette dynamique entre tradition et universalisme a été abordée sous divers angles dans ce recueil d'articles qui fait suite au colloque </w:t>
      </w:r>
      <w:r w:rsidRPr="005F6132">
        <w:rPr>
          <w:i/>
          <w:iCs/>
        </w:rPr>
        <w:t>Entre tradition et universalisme</w:t>
      </w:r>
      <w:r w:rsidRPr="00BC632B">
        <w:t xml:space="preserve"> tenu par l'Association canadienne des sociologues et anthropologues de langue française (ACSALF), à R</w:t>
      </w:r>
      <w:r w:rsidRPr="00BC632B">
        <w:t>i</w:t>
      </w:r>
      <w:r w:rsidRPr="00BC632B">
        <w:t>mouski, du 18 au 20 mai 1993. La plupart des auteurs appuient leur réflexion théorique sur une démarche de recherche empirique ou sur l'analyse d'une situation sociale spécifique, pour mettre en relief la transform</w:t>
      </w:r>
      <w:r w:rsidRPr="00BC632B">
        <w:t>a</w:t>
      </w:r>
      <w:r w:rsidRPr="00BC632B">
        <w:t>tion contemporaine de leurs objets de recherche, mais aussi réévaluer en conséquence leurs propres pratiques scientifiques.</w:t>
      </w:r>
    </w:p>
    <w:p w:rsidR="00B7214C" w:rsidRPr="00BC632B" w:rsidRDefault="00B7214C" w:rsidP="00B7214C">
      <w:pPr>
        <w:spacing w:before="120" w:after="120"/>
        <w:jc w:val="both"/>
      </w:pPr>
      <w:r w:rsidRPr="00BC632B">
        <w:t>En introduction, Marc Augé caractérise la surmodernité par une accélération de l'histoire, un rétrécissement de l'espace et une indiv</w:t>
      </w:r>
      <w:r w:rsidRPr="00BC632B">
        <w:t>i</w:t>
      </w:r>
      <w:r w:rsidRPr="00BC632B">
        <w:t>dualisation des consciences. S'appuyant sur son itinéraire personnel, il voit dans ce triple mouvement se redéfinir les catégories de l'altér</w:t>
      </w:r>
      <w:r w:rsidRPr="00BC632B">
        <w:t>i</w:t>
      </w:r>
      <w:r w:rsidRPr="00BC632B">
        <w:t>té, comme les espaces de l'observation anthropologique en tant qu'« étude des procédures de construction du sens ». Insistant sur ce dernier point, il avance que l'observation doit désormais prendre en compte la « délocalisation » du social ainsi que la multiplicité des pratiques et des représentations dans un contexte où les médiations institutionne</w:t>
      </w:r>
      <w:r w:rsidRPr="00BC632B">
        <w:t>l</w:t>
      </w:r>
      <w:r w:rsidRPr="00BC632B">
        <w:t>les et les corps intermédiaires semblent ne plus pouvoir donner sens aux situations vécues.</w:t>
      </w:r>
    </w:p>
    <w:p w:rsidR="00B7214C" w:rsidRPr="00BC632B" w:rsidRDefault="00B7214C" w:rsidP="00B7214C">
      <w:pPr>
        <w:spacing w:before="120" w:after="120"/>
        <w:jc w:val="both"/>
      </w:pPr>
      <w:r w:rsidRPr="00BC632B">
        <w:t>Les autres textes poursuivent cette réflexion sur la complexité des processus de production de l'identité et de l'altérité dans les cond</w:t>
      </w:r>
      <w:r w:rsidRPr="00BC632B">
        <w:t>i</w:t>
      </w:r>
      <w:r w:rsidRPr="00BC632B">
        <w:t>tions de la modernité, sur le déplacement des frontières de l'espace et du temps, sur l'individualisation de la production du sens et des rel</w:t>
      </w:r>
      <w:r w:rsidRPr="00BC632B">
        <w:t>a</w:t>
      </w:r>
      <w:r w:rsidRPr="00BC632B">
        <w:t>tions au monde. Nous les avons regroupés en trois sections.</w:t>
      </w:r>
    </w:p>
    <w:p w:rsidR="00B7214C" w:rsidRDefault="00B7214C" w:rsidP="00B7214C">
      <w:pPr>
        <w:spacing w:before="120" w:after="120"/>
        <w:jc w:val="both"/>
      </w:pPr>
      <w:r>
        <w:br w:type="page"/>
      </w:r>
    </w:p>
    <w:p w:rsidR="00B7214C" w:rsidRPr="00BC632B" w:rsidRDefault="00B7214C" w:rsidP="00B7214C">
      <w:pPr>
        <w:pStyle w:val="a"/>
      </w:pPr>
      <w:r w:rsidRPr="00BC632B">
        <w:t>NATIONS ET CULTURES</w:t>
      </w:r>
    </w:p>
    <w:p w:rsidR="00B7214C" w:rsidRDefault="00B7214C" w:rsidP="00B7214C">
      <w:pPr>
        <w:spacing w:before="120" w:after="120"/>
        <w:jc w:val="both"/>
      </w:pPr>
    </w:p>
    <w:p w:rsidR="00B7214C" w:rsidRPr="00BC632B" w:rsidRDefault="00B7214C" w:rsidP="00B7214C">
      <w:pPr>
        <w:spacing w:before="120" w:after="120"/>
        <w:jc w:val="both"/>
      </w:pPr>
      <w:r w:rsidRPr="00BC632B">
        <w:t xml:space="preserve">Dans cette section, une première série d'articles, regroupés sous le titre </w:t>
      </w:r>
      <w:r w:rsidRPr="005F6132">
        <w:rPr>
          <w:i/>
          <w:iCs/>
        </w:rPr>
        <w:t>Ethnicité, nationalisme et pouvoir,</w:t>
      </w:r>
      <w:r w:rsidRPr="00BC632B">
        <w:t xml:space="preserve"> introduit la problématique de l'affi</w:t>
      </w:r>
      <w:r w:rsidRPr="00BC632B">
        <w:t>r</w:t>
      </w:r>
      <w:r w:rsidRPr="00BC632B">
        <w:t>mation nationale et de l'ethnicité comme catégorie politique dans un contexte où les différenciations particularistes se concilient diffic</w:t>
      </w:r>
      <w:r w:rsidRPr="00BC632B">
        <w:t>i</w:t>
      </w:r>
      <w:r w:rsidRPr="00BC632B">
        <w:t>lement avec les nécessités du vivre ensemble dans un État ég</w:t>
      </w:r>
      <w:r w:rsidRPr="00BC632B">
        <w:t>a</w:t>
      </w:r>
      <w:r w:rsidRPr="00BC632B">
        <w:t>litaire. Dans le texte de sa conférence plénière, commenté par Louise Fonta</w:t>
      </w:r>
      <w:r w:rsidRPr="00BC632B">
        <w:t>i</w:t>
      </w:r>
      <w:r w:rsidRPr="00BC632B">
        <w:t>ne, Micheline Labelle expose les principaux concepts et co</w:t>
      </w:r>
      <w:r w:rsidRPr="00BC632B">
        <w:t>u</w:t>
      </w:r>
      <w:r w:rsidRPr="00BC632B">
        <w:t>rants d'analyse sur le sujet, en rapport avec les dynamiques politiques can</w:t>
      </w:r>
      <w:r w:rsidRPr="00BC632B">
        <w:t>a</w:t>
      </w:r>
      <w:r w:rsidRPr="00BC632B">
        <w:t>dienne et québécoise d'intégration des</w:t>
      </w:r>
      <w:r>
        <w:t xml:space="preserve"> [13] </w:t>
      </w:r>
      <w:r w:rsidRPr="00BC632B">
        <w:t>minorités. Paul Bélanger et Benoît Lévesque abordent le versant économique du pouvoir en fa</w:t>
      </w:r>
      <w:r w:rsidRPr="00BC632B">
        <w:t>i</w:t>
      </w:r>
      <w:r w:rsidRPr="00BC632B">
        <w:t>sant une critique des analyses qui associent les particularismes québ</w:t>
      </w:r>
      <w:r w:rsidRPr="00BC632B">
        <w:t>é</w:t>
      </w:r>
      <w:r w:rsidRPr="00BC632B">
        <w:t>cois dans l'entreprise à des spécif</w:t>
      </w:r>
      <w:r w:rsidRPr="00BC632B">
        <w:t>i</w:t>
      </w:r>
      <w:r w:rsidRPr="00BC632B">
        <w:t>cités culturelles. Claude Bariteau, plus polémique, insiste sur le dépassement nécessaire des nationali</w:t>
      </w:r>
      <w:r w:rsidRPr="00BC632B">
        <w:t>s</w:t>
      </w:r>
      <w:r w:rsidRPr="00BC632B">
        <w:t>mes revendicateur, fédéraliste et indépenda</w:t>
      </w:r>
      <w:r w:rsidRPr="00BC632B">
        <w:t>n</w:t>
      </w:r>
      <w:r w:rsidRPr="00BC632B">
        <w:t>tiste au Québec. Il affirme la nécessité de rompre avec la vision ethniciste de la société québéco</w:t>
      </w:r>
      <w:r w:rsidRPr="00BC632B">
        <w:t>i</w:t>
      </w:r>
      <w:r w:rsidRPr="00BC632B">
        <w:t>se pour qu'émerge un projet indépendanti</w:t>
      </w:r>
      <w:r w:rsidRPr="00BC632B">
        <w:t>s</w:t>
      </w:r>
      <w:r w:rsidRPr="00BC632B">
        <w:t>te qui puisse s'actualiser et s'inscrire adéquatement sur la scène internationale dans une conjon</w:t>
      </w:r>
      <w:r w:rsidRPr="00BC632B">
        <w:t>c</w:t>
      </w:r>
      <w:r w:rsidRPr="00BC632B">
        <w:t>ture de mondialisation de l'économie et de disqualification des nati</w:t>
      </w:r>
      <w:r w:rsidRPr="00BC632B">
        <w:t>o</w:t>
      </w:r>
      <w:r w:rsidRPr="00BC632B">
        <w:t>nalismes d'hier. En Haïti, l'affi</w:t>
      </w:r>
      <w:r w:rsidRPr="00BC632B">
        <w:t>r</w:t>
      </w:r>
      <w:r w:rsidRPr="00BC632B">
        <w:t>mation politique prend des formes éloignées du code culturel occidental. R</w:t>
      </w:r>
      <w:r w:rsidRPr="00BC632B">
        <w:t>e</w:t>
      </w:r>
      <w:r w:rsidRPr="00BC632B">
        <w:t>traçant l'histoire sociale et politique du phénomène rel</w:t>
      </w:r>
      <w:r w:rsidRPr="00BC632B">
        <w:t>i</w:t>
      </w:r>
      <w:r w:rsidRPr="00BC632B">
        <w:t>gieux dans ce pays, Serge Larose nous ouvre une voie d'accès à la compréhension de l'émergence d'un po</w:t>
      </w:r>
      <w:r w:rsidRPr="00BC632B">
        <w:t>u</w:t>
      </w:r>
      <w:r w:rsidRPr="00BC632B">
        <w:t>voir populaire qui investit le président Aristide du pouvoir symbolique que détenait auparavant le duvali</w:t>
      </w:r>
      <w:r w:rsidRPr="00BC632B">
        <w:t>é</w:t>
      </w:r>
      <w:r w:rsidRPr="00BC632B">
        <w:t>risme. Ce processus s'appuie sur les traditions religieuses du vaudou, du cathol</w:t>
      </w:r>
      <w:r w:rsidRPr="00BC632B">
        <w:t>i</w:t>
      </w:r>
      <w:r w:rsidRPr="00BC632B">
        <w:t>cisme et du protestantisme. Son issue démocratique demeurerait ince</w:t>
      </w:r>
      <w:r w:rsidRPr="00BC632B">
        <w:t>r</w:t>
      </w:r>
      <w:r w:rsidRPr="00BC632B">
        <w:t>taine, selon Emerson Douyon qui, par son commentaire, relève l'a</w:t>
      </w:r>
      <w:r w:rsidRPr="00BC632B">
        <w:t>m</w:t>
      </w:r>
      <w:r w:rsidRPr="00BC632B">
        <w:t>biguïté de la position politico-religieuse d'Aristide et souligne que le vaudou, s'il peut con</w:t>
      </w:r>
      <w:r w:rsidRPr="00BC632B">
        <w:t>s</w:t>
      </w:r>
      <w:r w:rsidRPr="00BC632B">
        <w:t>tituer une force dans la redéfinition du rapport au pouvoir en Haïti, constitue aussi un obstacle à l'action collective à cause de ses aspects démobilisateurs et dysfonctionnels.</w:t>
      </w:r>
    </w:p>
    <w:p w:rsidR="00B7214C" w:rsidRDefault="00B7214C" w:rsidP="00B7214C">
      <w:pPr>
        <w:spacing w:before="120" w:after="120"/>
        <w:jc w:val="both"/>
      </w:pPr>
      <w:r w:rsidRPr="00BC632B">
        <w:t xml:space="preserve">Dans un autre groupe d'articles intitulé </w:t>
      </w:r>
      <w:r w:rsidRPr="005F6132">
        <w:rPr>
          <w:i/>
          <w:iCs/>
        </w:rPr>
        <w:t>Identités culturelles et int</w:t>
      </w:r>
      <w:r w:rsidRPr="005F6132">
        <w:rPr>
          <w:i/>
          <w:iCs/>
        </w:rPr>
        <w:t>é</w:t>
      </w:r>
      <w:r w:rsidRPr="005F6132">
        <w:rPr>
          <w:i/>
          <w:iCs/>
        </w:rPr>
        <w:t>gration sociale,</w:t>
      </w:r>
      <w:r w:rsidRPr="00BC632B">
        <w:t xml:space="preserve"> Yves Bonny interprète l'affirmation des particulari</w:t>
      </w:r>
      <w:r w:rsidRPr="00BC632B">
        <w:t>s</w:t>
      </w:r>
      <w:r w:rsidRPr="00BC632B">
        <w:t>mes et des identités culturelles dans les sociétés contemporaines en rapport avec la demande de reconnaissance des singularités indiv</w:t>
      </w:r>
      <w:r w:rsidRPr="00BC632B">
        <w:t>i</w:t>
      </w:r>
      <w:r w:rsidRPr="00BC632B">
        <w:t>duelles. Fernand Ouellet, de son côté, fait la critique du concept de relativisme culturel en s'appuyant en particulier sur l'analyse de la modernité d'Alain Touraine et celle des rapports entre culture et m</w:t>
      </w:r>
      <w:r w:rsidRPr="00BC632B">
        <w:t>o</w:t>
      </w:r>
      <w:r w:rsidRPr="00BC632B">
        <w:t>dernité de Jean-Jacques Simard. À l'aide d'une recherche sur le pr</w:t>
      </w:r>
      <w:r w:rsidRPr="00BC632B">
        <w:t>o</w:t>
      </w:r>
      <w:r w:rsidRPr="00BC632B">
        <w:t>cessus d'adaptation de réf</w:t>
      </w:r>
      <w:r w:rsidRPr="00BC632B">
        <w:t>u</w:t>
      </w:r>
      <w:r w:rsidRPr="00BC632B">
        <w:t>giés de quatre origines différentes, Joseph Lévy et André Jacob ce</w:t>
      </w:r>
      <w:r w:rsidRPr="00BC632B">
        <w:t>r</w:t>
      </w:r>
      <w:r w:rsidRPr="00BC632B">
        <w:t>nent les dimensions socio-économiques de leur intégration, mais également les bricolages identitaires qui résu</w:t>
      </w:r>
      <w:r w:rsidRPr="00BC632B">
        <w:t>l</w:t>
      </w:r>
      <w:r w:rsidRPr="00BC632B">
        <w:t>tent de la rencontre des trajectoires personnelles, des contraintes stru</w:t>
      </w:r>
      <w:r w:rsidRPr="00BC632B">
        <w:t>c</w:t>
      </w:r>
      <w:r w:rsidRPr="00BC632B">
        <w:t>turelles et des conditions de l'accueil. Quant à Calvin Veltman, il a</w:t>
      </w:r>
      <w:r w:rsidRPr="00BC632B">
        <w:t>p</w:t>
      </w:r>
      <w:r w:rsidRPr="00BC632B">
        <w:t>porte des données nouvelles sur l'intégration linguistique des imm</w:t>
      </w:r>
      <w:r w:rsidRPr="00BC632B">
        <w:t>i</w:t>
      </w:r>
      <w:r w:rsidRPr="00BC632B">
        <w:t>grants non francophones de la décennie 1980 alors que Milagros Ortiz compare la perception de deux groupes autochtones, tenant compte de l'évolution historique des perceptions et de leur influence sur la const</w:t>
      </w:r>
      <w:r w:rsidRPr="00BC632B">
        <w:t>i</w:t>
      </w:r>
      <w:r w:rsidRPr="00BC632B">
        <w:t>tution du mouvement a</w:t>
      </w:r>
      <w:r w:rsidRPr="00BC632B">
        <w:t>u</w:t>
      </w:r>
      <w:r w:rsidRPr="00BC632B">
        <w:t>tochtone.</w:t>
      </w:r>
    </w:p>
    <w:p w:rsidR="00B7214C" w:rsidRDefault="00B7214C" w:rsidP="00B7214C">
      <w:pPr>
        <w:spacing w:before="120" w:after="120"/>
        <w:jc w:val="both"/>
      </w:pPr>
      <w:r>
        <w:t>[14]</w:t>
      </w:r>
    </w:p>
    <w:p w:rsidR="00B7214C" w:rsidRPr="00BC632B" w:rsidRDefault="00B7214C" w:rsidP="00B7214C">
      <w:pPr>
        <w:spacing w:before="120" w:after="120"/>
        <w:jc w:val="both"/>
      </w:pPr>
    </w:p>
    <w:p w:rsidR="00B7214C" w:rsidRPr="00BC632B" w:rsidRDefault="00B7214C" w:rsidP="00B7214C">
      <w:pPr>
        <w:pStyle w:val="a"/>
      </w:pPr>
      <w:r w:rsidRPr="00BC632B">
        <w:t>LE LIEN SOCIAL</w:t>
      </w:r>
    </w:p>
    <w:p w:rsidR="00B7214C" w:rsidRDefault="00B7214C" w:rsidP="00B7214C">
      <w:pPr>
        <w:spacing w:before="120" w:after="120"/>
        <w:jc w:val="both"/>
      </w:pPr>
    </w:p>
    <w:p w:rsidR="00B7214C" w:rsidRPr="00BC632B" w:rsidRDefault="00B7214C" w:rsidP="00B7214C">
      <w:pPr>
        <w:spacing w:before="120" w:after="120"/>
        <w:jc w:val="both"/>
      </w:pPr>
      <w:r w:rsidRPr="00BC632B">
        <w:t>La deuxième partie de l'ouvrage traite de la problématisation contemporaine du lien social sous l'angle de quatre modes de mise en relation des individus à la collectivité : la filiation, le don, les droits et les pratiques de solidarité. En introduction, un article de Greg Nielsen cerne les apports possiblement complémentaires des théories, à ce</w:t>
      </w:r>
      <w:r w:rsidRPr="00BC632B">
        <w:t>r</w:t>
      </w:r>
      <w:r w:rsidRPr="00BC632B">
        <w:t>tains égards opposées, d'Habermas et de Bakhtine pour la compréhe</w:t>
      </w:r>
      <w:r w:rsidRPr="00BC632B">
        <w:t>n</w:t>
      </w:r>
      <w:r w:rsidRPr="00BC632B">
        <w:t>sion de la communication intersubjective et de la responsabil</w:t>
      </w:r>
      <w:r w:rsidRPr="00BC632B">
        <w:t>i</w:t>
      </w:r>
      <w:r w:rsidRPr="00BC632B">
        <w:t>té dans les sociétés postmodernes.</w:t>
      </w:r>
    </w:p>
    <w:p w:rsidR="00B7214C" w:rsidRPr="00BC632B" w:rsidRDefault="00B7214C" w:rsidP="00B7214C">
      <w:pPr>
        <w:spacing w:before="120" w:after="120"/>
        <w:jc w:val="both"/>
      </w:pPr>
      <w:r w:rsidRPr="00BC632B">
        <w:t xml:space="preserve">Le texte de la conférence de Marie-Blanche Tahon introduit la question de </w:t>
      </w:r>
      <w:r w:rsidRPr="005F6132">
        <w:rPr>
          <w:i/>
          <w:iCs/>
        </w:rPr>
        <w:t>la filiation.</w:t>
      </w:r>
      <w:r w:rsidRPr="00BC632B">
        <w:t xml:space="preserve"> L'auteure discute de l'islamisme et de l'excl</w:t>
      </w:r>
      <w:r w:rsidRPr="00BC632B">
        <w:t>u</w:t>
      </w:r>
      <w:r w:rsidRPr="00BC632B">
        <w:t>sion des femmes algériennes du politique, en utilisant la perspective de Legendre sur les dimensions symboliques et politiques des règles de l'alliance et de l'héritage. Dans son commentaire, Ratiba Hadj-Moussa distingue le niveau de la règle et de son interprétation de c</w:t>
      </w:r>
      <w:r w:rsidRPr="00BC632B">
        <w:t>e</w:t>
      </w:r>
      <w:r w:rsidRPr="00BC632B">
        <w:t>lui des formes historiques qui s'y rapportent. Elle inscrit les femmes et la mère dans la conception islamique du politique, critiquant l'interprét</w:t>
      </w:r>
      <w:r w:rsidRPr="00BC632B">
        <w:t>a</w:t>
      </w:r>
      <w:r w:rsidRPr="00BC632B">
        <w:t>tion que fait Marie-Blanche Tahon des idées de segmentation et d'un</w:t>
      </w:r>
      <w:r w:rsidRPr="00BC632B">
        <w:t>i</w:t>
      </w:r>
      <w:r w:rsidRPr="00BC632B">
        <w:t>té de la communauté et rappelant que la famille est une inst</w:t>
      </w:r>
      <w:r w:rsidRPr="00BC632B">
        <w:t>i</w:t>
      </w:r>
      <w:r w:rsidRPr="00BC632B">
        <w:t>tution.</w:t>
      </w:r>
    </w:p>
    <w:p w:rsidR="00B7214C" w:rsidRPr="00BC632B" w:rsidRDefault="00B7214C" w:rsidP="00B7214C">
      <w:pPr>
        <w:spacing w:before="120" w:after="120"/>
        <w:jc w:val="both"/>
      </w:pPr>
      <w:r w:rsidRPr="00BC632B">
        <w:t>Les autres articles sur la filiation portent sur le Québec. Renée Joyal détaille les étapes législatives du passage de la notion juridique de puissance paternelle à celle de l'autorité parentale et souligne que ce rééquilibrage des relations entre les sexes dans le couple et la f</w:t>
      </w:r>
      <w:r w:rsidRPr="00BC632B">
        <w:t>a</w:t>
      </w:r>
      <w:r w:rsidRPr="00BC632B">
        <w:t>mille a permis à l'État de reprendre à son compte la puissance pate</w:t>
      </w:r>
      <w:r w:rsidRPr="00BC632B">
        <w:t>r</w:t>
      </w:r>
      <w:r w:rsidRPr="00BC632B">
        <w:t>nelle, faisant ainsi une brèche dans l'autonomie des familles. Franço</w:t>
      </w:r>
      <w:r w:rsidRPr="00BC632B">
        <w:t>i</w:t>
      </w:r>
      <w:r w:rsidRPr="00BC632B">
        <w:t>se-Romaine Ouellette, à partir de l'exemple de l'adoption moderne, montre que les redéfinitions contemporaines de la filiation répondent à une logique individuelle et contractuelle, mais aussi à une logique d'État gestionnaire. Pour saisir le sens de cette réorientation, il faut aller au-delà des dénonciations de l'individualisme narcissique et de la rationalité économique et tenir compte des systèmes de légitim</w:t>
      </w:r>
      <w:r w:rsidRPr="00BC632B">
        <w:t>a</w:t>
      </w:r>
      <w:r w:rsidRPr="00BC632B">
        <w:t>tion des acteurs. Le point de vue d'Hélène Belleau et d'Alain Joyal est ce</w:t>
      </w:r>
      <w:r w:rsidRPr="00BC632B">
        <w:t>n</w:t>
      </w:r>
      <w:r w:rsidRPr="00BC632B">
        <w:t>tré sur la famille nucléaire. Hélène Belleau révèle comment les no</w:t>
      </w:r>
      <w:r w:rsidRPr="00BC632B">
        <w:t>u</w:t>
      </w:r>
      <w:r w:rsidRPr="00BC632B">
        <w:t>velles représentations de la famille pénètrent le champ politique ; la reconnaissance de l'enjeu des rapports entre hommes et femmes con</w:t>
      </w:r>
      <w:r w:rsidRPr="00BC632B">
        <w:t>s</w:t>
      </w:r>
      <w:r w:rsidRPr="00BC632B">
        <w:t>tituerait le principal point d'unanimité des groupes de pression. Alain Joyal montre que la redéfinition de la famille entraîne des réorient</w:t>
      </w:r>
      <w:r w:rsidRPr="00BC632B">
        <w:t>a</w:t>
      </w:r>
      <w:r w:rsidRPr="00BC632B">
        <w:t>tions dans le champ scientifique. Il propose de reconceptualiser la f</w:t>
      </w:r>
      <w:r w:rsidRPr="00BC632B">
        <w:t>a</w:t>
      </w:r>
      <w:r w:rsidRPr="00BC632B">
        <w:t>mille en la dissociant nettement de la parentalité.</w:t>
      </w:r>
    </w:p>
    <w:p w:rsidR="00B7214C" w:rsidRPr="00BC632B" w:rsidRDefault="00B7214C" w:rsidP="00B7214C">
      <w:pPr>
        <w:spacing w:before="120" w:after="120"/>
        <w:jc w:val="both"/>
      </w:pPr>
      <w:r w:rsidRPr="00BC632B">
        <w:t xml:space="preserve">Les textes sur </w:t>
      </w:r>
      <w:r w:rsidRPr="000D1A32">
        <w:rPr>
          <w:i/>
          <w:iCs/>
        </w:rPr>
        <w:t>le don</w:t>
      </w:r>
      <w:r w:rsidRPr="00BC632B">
        <w:t xml:space="preserve"> ont été écrits en commentaire à l'ouvrage de Jacques T. Godbout et Alain Caillé, </w:t>
      </w:r>
      <w:hyperlink r:id="rId22" w:history="1">
        <w:r w:rsidRPr="00B710E5">
          <w:rPr>
            <w:rStyle w:val="Lienhypertexte"/>
            <w:i/>
            <w:szCs w:val="22"/>
            <w:lang w:eastAsia="fr-FR" w:bidi="fr-FR"/>
          </w:rPr>
          <w:t>L'esprit du don</w:t>
        </w:r>
      </w:hyperlink>
      <w:r w:rsidRPr="00BC632B">
        <w:rPr>
          <w:rStyle w:val="Corpsdutexte2Italique"/>
        </w:rPr>
        <w:t>.</w:t>
      </w:r>
      <w:r w:rsidRPr="00BC632B">
        <w:t xml:space="preserve"> Dans son texte de présentation, Jacques T. Godbout situe la thèse de cet ouvrage sur le don</w:t>
      </w:r>
      <w:r>
        <w:t xml:space="preserve"> [15] </w:t>
      </w:r>
      <w:r w:rsidRPr="00BC632B">
        <w:t>dans les sociétés modernes, montrant que le don s'inscrit universe</w:t>
      </w:r>
      <w:r w:rsidRPr="00BC632B">
        <w:t>l</w:t>
      </w:r>
      <w:r w:rsidRPr="00BC632B">
        <w:t>lement dans un rapport de tension entre liberté et obligation qui fonde le lien social. Aline Charles insiste sur la nécessité de repl</w:t>
      </w:r>
      <w:r w:rsidRPr="00BC632B">
        <w:t>a</w:t>
      </w:r>
      <w:r w:rsidRPr="00BC632B">
        <w:t>cer le sy</w:t>
      </w:r>
      <w:r w:rsidRPr="00BC632B">
        <w:t>s</w:t>
      </w:r>
      <w:r w:rsidRPr="00BC632B">
        <w:t>tème du don en contexte et analyse ici ses interactions avec l'organis</w:t>
      </w:r>
      <w:r w:rsidRPr="00BC632B">
        <w:t>a</w:t>
      </w:r>
      <w:r w:rsidRPr="00BC632B">
        <w:t>tion du travail et les rapports sociaux entre les sexes. Alors que Godbout insiste d'abord sur le sens du geste de donner, Gilles B</w:t>
      </w:r>
      <w:r w:rsidRPr="00BC632B">
        <w:t>i</w:t>
      </w:r>
      <w:r w:rsidRPr="00BC632B">
        <w:t>beau et Eric Schwimmer questionnent aussi le sens du langage de l'i</w:t>
      </w:r>
      <w:r w:rsidRPr="00BC632B">
        <w:t>n</w:t>
      </w:r>
      <w:r w:rsidRPr="00BC632B">
        <w:t>terprét</w:t>
      </w:r>
      <w:r w:rsidRPr="00BC632B">
        <w:t>a</w:t>
      </w:r>
      <w:r w:rsidRPr="00BC632B">
        <w:t>tion du don, introduisant une perspective sémiotique et situant l'an</w:t>
      </w:r>
      <w:r w:rsidRPr="00BC632B">
        <w:t>a</w:t>
      </w:r>
      <w:r w:rsidRPr="00BC632B">
        <w:t>lyste lui-même dans la définition du problème de l'interprétation. Gilles Bibeau suggère alors de prendre appui plus explicitement et fe</w:t>
      </w:r>
      <w:r w:rsidRPr="00BC632B">
        <w:t>r</w:t>
      </w:r>
      <w:r w:rsidRPr="00BC632B">
        <w:t>mement sur la tradition judéo-chrétienne de l'Alliance pour relier le don au pardon et à la dette, allant jusqu'à accorder à cette matrice d'i</w:t>
      </w:r>
      <w:r w:rsidRPr="00BC632B">
        <w:t>n</w:t>
      </w:r>
      <w:r w:rsidRPr="00BC632B">
        <w:t>terprétation une résonance universelle. Eric Schwi</w:t>
      </w:r>
      <w:r w:rsidRPr="00BC632B">
        <w:t>m</w:t>
      </w:r>
      <w:r w:rsidRPr="00BC632B">
        <w:t>mer invite plutôt à une prise de conscience postmoderniste de visions alternatives du monde qui, comme c'est le cas en Mélanésie, se d</w:t>
      </w:r>
      <w:r w:rsidRPr="00BC632B">
        <w:t>é</w:t>
      </w:r>
      <w:r w:rsidRPr="00BC632B">
        <w:t>marquent des conceptions monothéistes de l'Alliance et ne dissocient pas le matériel du spirituel pour faire du don un « mouvement de l'âme vers autrui ».</w:t>
      </w:r>
    </w:p>
    <w:p w:rsidR="00B7214C" w:rsidRPr="00BC632B" w:rsidRDefault="00B7214C" w:rsidP="00B7214C">
      <w:pPr>
        <w:spacing w:before="120" w:after="120"/>
        <w:jc w:val="both"/>
      </w:pPr>
      <w:r w:rsidRPr="00BC632B">
        <w:t>Si l'anthropologue ne cède plus à la tentation de l'exotisme et a conscience des effets de globalisation, lui est-il pourtant possible de rompre l'effet de distanciation des différences socio-économiques et culturelles pour être solidaire des groupes étudiés ? Cette question i</w:t>
      </w:r>
      <w:r w:rsidRPr="00BC632B">
        <w:t>n</w:t>
      </w:r>
      <w:r w:rsidRPr="00BC632B">
        <w:t xml:space="preserve">troduit </w:t>
      </w:r>
      <w:r w:rsidRPr="005F6132">
        <w:rPr>
          <w:i/>
          <w:iCs/>
        </w:rPr>
        <w:t>les pratiques de solidarité.</w:t>
      </w:r>
      <w:r w:rsidRPr="00BC632B">
        <w:t xml:space="preserve"> Pour Marie-France Labrecque et Pierre Beaucage, c'est là une question d'orientation politique qui se double d'une question de méthode lorsque l'on fait des recherches dans d'a</w:t>
      </w:r>
      <w:r w:rsidRPr="00BC632B">
        <w:t>u</w:t>
      </w:r>
      <w:r w:rsidRPr="00BC632B">
        <w:t>tres sociétés. Si l'une mise sur la recherche-action-participation, l'autre souligne les obstacles que posent les médiatis</w:t>
      </w:r>
      <w:r w:rsidRPr="00BC632B">
        <w:t>a</w:t>
      </w:r>
      <w:r w:rsidRPr="00BC632B">
        <w:t>tions par des élites ou des organisations intermédiaires. Marie-Andrée Couillard et Ginette Côté traitent elles aussi de solidarité, ce</w:t>
      </w:r>
      <w:r w:rsidRPr="00BC632B">
        <w:t>t</w:t>
      </w:r>
      <w:r w:rsidRPr="00BC632B">
        <w:t>te fois à l'intérieur des mo</w:t>
      </w:r>
      <w:r w:rsidRPr="00BC632B">
        <w:t>u</w:t>
      </w:r>
      <w:r w:rsidRPr="00BC632B">
        <w:t>vements de femmes au Québec. Partant du point de vue des femmes elles-mêmes, elles montrent les contradictions au</w:t>
      </w:r>
      <w:r w:rsidRPr="00BC632B">
        <w:t>x</w:t>
      </w:r>
      <w:r w:rsidRPr="00BC632B">
        <w:t>quelles peuvent donner lieu les pratiques individuelles et collectives qui se fondent sur des principes d'entraide et de solidarité.</w:t>
      </w:r>
    </w:p>
    <w:p w:rsidR="00B7214C" w:rsidRPr="00BC632B" w:rsidRDefault="00B7214C" w:rsidP="00B7214C">
      <w:pPr>
        <w:spacing w:before="120" w:after="120"/>
        <w:jc w:val="both"/>
      </w:pPr>
      <w:r w:rsidRPr="00BC632B">
        <w:t xml:space="preserve">Quatre textes sur </w:t>
      </w:r>
      <w:r w:rsidRPr="005F6132">
        <w:rPr>
          <w:i/>
          <w:iCs/>
        </w:rPr>
        <w:t>La religion des droits,</w:t>
      </w:r>
      <w:r w:rsidRPr="00BC632B">
        <w:t xml:space="preserve"> introduits par une prése</w:t>
      </w:r>
      <w:r w:rsidRPr="00BC632B">
        <w:t>n</w:t>
      </w:r>
      <w:r w:rsidRPr="00BC632B">
        <w:t>tation de Mikhaël Elbaz, relancent les questions que soulèvent les identités culturelles et la postmodernité. Ruth Murbach et Mikhaël Elbaz arriment leur argumentation à deux sujets controversés qui so</w:t>
      </w:r>
      <w:r w:rsidRPr="00BC632B">
        <w:t>u</w:t>
      </w:r>
      <w:r w:rsidRPr="00BC632B">
        <w:t>lèvent actuellement des enjeux majeurs dans les rapports entre les i</w:t>
      </w:r>
      <w:r w:rsidRPr="00BC632B">
        <w:t>n</w:t>
      </w:r>
      <w:r w:rsidRPr="00BC632B">
        <w:t>dividus, le droit et l'État : le virus VIH et les programmes d'action p</w:t>
      </w:r>
      <w:r w:rsidRPr="00BC632B">
        <w:t>o</w:t>
      </w:r>
      <w:r w:rsidRPr="00BC632B">
        <w:t>sitive. Yvan Simonis analyse ces mêmes rapports par le biais de « la demande de droits » et plaide la reconnaissance de la primauté de l'institution comme limite à la logique contractuelle et comme lieu de la dépe</w:t>
      </w:r>
      <w:r w:rsidRPr="00BC632B">
        <w:t>n</w:t>
      </w:r>
      <w:r w:rsidRPr="00BC632B">
        <w:t>dance commune des citoyens et de l'État. Quant à Marie-Blanche T</w:t>
      </w:r>
      <w:r w:rsidRPr="00BC632B">
        <w:t>a</w:t>
      </w:r>
      <w:r w:rsidRPr="00BC632B">
        <w:t>hon, reliant la pleine capacité civique des femmes au droit à la non-maternité, elle déconstruit la logique patriarcale qui</w:t>
      </w:r>
      <w:r>
        <w:t xml:space="preserve"> [16] </w:t>
      </w:r>
      <w:r w:rsidRPr="00BC632B">
        <w:t>i</w:t>
      </w:r>
      <w:r w:rsidRPr="00BC632B">
        <w:t>n</w:t>
      </w:r>
      <w:r w:rsidRPr="00BC632B">
        <w:t>corporait la femme à la mère et bloquait ainsi l'affirmation pol</w:t>
      </w:r>
      <w:r w:rsidRPr="00BC632B">
        <w:t>i</w:t>
      </w:r>
      <w:r w:rsidRPr="00BC632B">
        <w:t>tique des femmes.</w:t>
      </w:r>
    </w:p>
    <w:p w:rsidR="00B7214C" w:rsidRDefault="00B7214C" w:rsidP="00B7214C">
      <w:pPr>
        <w:spacing w:before="120" w:after="120"/>
        <w:jc w:val="both"/>
      </w:pPr>
      <w:r>
        <w:br w:type="page"/>
      </w:r>
    </w:p>
    <w:p w:rsidR="00B7214C" w:rsidRPr="00BC632B" w:rsidRDefault="00B7214C" w:rsidP="00B7214C">
      <w:pPr>
        <w:pStyle w:val="a"/>
      </w:pPr>
      <w:r w:rsidRPr="00BC632B">
        <w:t xml:space="preserve">LIEUX DES IDENTITÉS </w:t>
      </w:r>
      <w:r>
        <w:br/>
      </w:r>
      <w:r w:rsidRPr="00BC632B">
        <w:t>ET PRODUCTION DE LA MÉMO</w:t>
      </w:r>
      <w:r w:rsidRPr="00BC632B">
        <w:t>I</w:t>
      </w:r>
      <w:r w:rsidRPr="00BC632B">
        <w:t>RE</w:t>
      </w:r>
    </w:p>
    <w:p w:rsidR="00B7214C" w:rsidRDefault="00B7214C" w:rsidP="00B7214C">
      <w:pPr>
        <w:spacing w:before="120" w:after="120"/>
        <w:jc w:val="both"/>
      </w:pPr>
    </w:p>
    <w:p w:rsidR="00B7214C" w:rsidRPr="00BC632B" w:rsidRDefault="00B7214C" w:rsidP="00B7214C">
      <w:pPr>
        <w:spacing w:before="120" w:after="120"/>
        <w:jc w:val="both"/>
      </w:pPr>
      <w:r w:rsidRPr="00BC632B">
        <w:t>La troisième section de l'ouvrage réunit trois groupes de textes qui ont trait à l'ancrage local des pratiques culturelles et au rapport des collectivités et des institutions à la création et à la tradition. Les te</w:t>
      </w:r>
      <w:r w:rsidRPr="00BC632B">
        <w:t>x</w:t>
      </w:r>
      <w:r w:rsidRPr="00BC632B">
        <w:t xml:space="preserve">tes d'Andrée Fortin, d'Eric Schwimmer et d'Andrée Gendreau parlent des </w:t>
      </w:r>
      <w:r w:rsidRPr="005F6132">
        <w:rPr>
          <w:i/>
          <w:iCs/>
        </w:rPr>
        <w:t>événements culturels en région.</w:t>
      </w:r>
      <w:r w:rsidRPr="00BC632B">
        <w:t xml:space="preserve"> Pour Andrée Fortin, l'inscription r</w:t>
      </w:r>
      <w:r w:rsidRPr="00BC632B">
        <w:t>é</w:t>
      </w:r>
      <w:r w:rsidRPr="00BC632B">
        <w:t>gionale des particularismes du monde artistique et culturel réconc</w:t>
      </w:r>
      <w:r w:rsidRPr="00BC632B">
        <w:t>i</w:t>
      </w:r>
      <w:r w:rsidRPr="00BC632B">
        <w:t>lie les ide</w:t>
      </w:r>
      <w:r w:rsidRPr="00BC632B">
        <w:t>n</w:t>
      </w:r>
      <w:r w:rsidRPr="00BC632B">
        <w:t>tités transnationales et les identités locales, l'art populaire et l'art a</w:t>
      </w:r>
      <w:r w:rsidRPr="00BC632B">
        <w:t>c</w:t>
      </w:r>
      <w:r w:rsidRPr="00BC632B">
        <w:t>tuel, en s'articulant aux entreprises culturelles et touristiques de développement régional. Andrée Gendreau examine trois lieux québ</w:t>
      </w:r>
      <w:r w:rsidRPr="00BC632B">
        <w:t>é</w:t>
      </w:r>
      <w:r w:rsidRPr="00BC632B">
        <w:t>cois de création artistique dont l'identité repose sur la mémoire d'une production esthétique traditionnelle. Elle montre que l'activité créatr</w:t>
      </w:r>
      <w:r w:rsidRPr="00BC632B">
        <w:t>i</w:t>
      </w:r>
      <w:r w:rsidRPr="00BC632B">
        <w:t>ce peut déboucher sur une esthétique abstraite et symbolique qui tr</w:t>
      </w:r>
      <w:r w:rsidRPr="00BC632B">
        <w:t>a</w:t>
      </w:r>
      <w:r w:rsidRPr="00BC632B">
        <w:t>verse les frontières qui ont permis, au départ, d'ancrer son d</w:t>
      </w:r>
      <w:r w:rsidRPr="00BC632B">
        <w:t>y</w:t>
      </w:r>
      <w:r w:rsidRPr="00BC632B">
        <w:t>namisme. Eric Schwimmer indique, quant à lui, qu'au-delà des retombées éc</w:t>
      </w:r>
      <w:r w:rsidRPr="00BC632B">
        <w:t>o</w:t>
      </w:r>
      <w:r w:rsidRPr="00BC632B">
        <w:t>nomiques limitées des festivals de la Mauricie, c'est l'e</w:t>
      </w:r>
      <w:r w:rsidRPr="00BC632B">
        <w:t>x</w:t>
      </w:r>
      <w:r w:rsidRPr="00BC632B">
        <w:t>pression communautaire qui explique leur persistance car ils perme</w:t>
      </w:r>
      <w:r w:rsidRPr="00BC632B">
        <w:t>t</w:t>
      </w:r>
      <w:r w:rsidRPr="00BC632B">
        <w:t>tent aux gens (marchands, artisans, élites locales, etc.) de mettre en œuvre une sou</w:t>
      </w:r>
      <w:r w:rsidRPr="00BC632B">
        <w:t>r</w:t>
      </w:r>
      <w:r w:rsidRPr="00BC632B">
        <w:t>ce universelle de la socialité : le don.</w:t>
      </w:r>
    </w:p>
    <w:p w:rsidR="00B7214C" w:rsidRPr="00BC632B" w:rsidRDefault="00B7214C" w:rsidP="00B7214C">
      <w:pPr>
        <w:spacing w:before="120" w:after="120"/>
        <w:jc w:val="both"/>
      </w:pPr>
      <w:r w:rsidRPr="00BC632B">
        <w:t>L'archéologie et les musées sont engagés dans des entreprises inst</w:t>
      </w:r>
      <w:r w:rsidRPr="00BC632B">
        <w:t>i</w:t>
      </w:r>
      <w:r w:rsidRPr="00BC632B">
        <w:t>tutionnelles de repérage, de préservation et de mise en valeur du p</w:t>
      </w:r>
      <w:r w:rsidRPr="00BC632B">
        <w:t>a</w:t>
      </w:r>
      <w:r w:rsidRPr="00BC632B">
        <w:t>trimoine qui relèvent de ce que l'on peut appeler l'invention de la tr</w:t>
      </w:r>
      <w:r w:rsidRPr="00BC632B">
        <w:t>a</w:t>
      </w:r>
      <w:r w:rsidRPr="00BC632B">
        <w:t>dition. Discutant de la validité relative de trois discours sur le monde aztèque, Louise I. Paradis montre les contraintes et les limites de l'i</w:t>
      </w:r>
      <w:r w:rsidRPr="00BC632B">
        <w:t>n</w:t>
      </w:r>
      <w:r w:rsidRPr="00BC632B">
        <w:t>terprétation des traces culturelles que sont les données arché</w:t>
      </w:r>
      <w:r w:rsidRPr="00BC632B">
        <w:t>o</w:t>
      </w:r>
      <w:r w:rsidRPr="00BC632B">
        <w:t>logiques. Au Québec, comme en témoignent les articles de Genevi</w:t>
      </w:r>
      <w:r w:rsidRPr="00BC632B">
        <w:t>è</w:t>
      </w:r>
      <w:r w:rsidRPr="00BC632B">
        <w:t>ve Duguay, de Claire Mousseau et de Jean-Guy Brossard et Michèle Garceau, l'a</w:t>
      </w:r>
      <w:r w:rsidRPr="00BC632B">
        <w:t>r</w:t>
      </w:r>
      <w:r w:rsidRPr="00BC632B">
        <w:t>chéologie commence, difficilement, à établir la spécificité de son a</w:t>
      </w:r>
      <w:r w:rsidRPr="00BC632B">
        <w:t>p</w:t>
      </w:r>
      <w:r w:rsidRPr="00BC632B">
        <w:t>port par rapport à l'histoire, à l'interprétation et à l'am</w:t>
      </w:r>
      <w:r w:rsidRPr="00BC632B">
        <w:t>é</w:t>
      </w:r>
      <w:r w:rsidRPr="00BC632B">
        <w:t xml:space="preserve">nagement de l'espace, notamment l'espace urbain. Le </w:t>
      </w:r>
      <w:r w:rsidRPr="005F6132">
        <w:rPr>
          <w:i/>
          <w:iCs/>
        </w:rPr>
        <w:t>discours archéologique</w:t>
      </w:r>
      <w:r w:rsidRPr="00BC632B">
        <w:t xml:space="preserve"> en éme</w:t>
      </w:r>
      <w:r w:rsidRPr="00BC632B">
        <w:t>r</w:t>
      </w:r>
      <w:r w:rsidRPr="00BC632B">
        <w:t>gence s'attache à cerner ce rapport institutionnel et scientifique à la production et à la gestion de lieux de mémoire.</w:t>
      </w:r>
    </w:p>
    <w:p w:rsidR="00B7214C" w:rsidRDefault="00B7214C" w:rsidP="00B7214C">
      <w:pPr>
        <w:spacing w:before="120" w:after="120"/>
        <w:jc w:val="both"/>
      </w:pPr>
      <w:r w:rsidRPr="00BC632B">
        <w:t>Les réflexions sur les musées et la muséologie sont rarement m</w:t>
      </w:r>
      <w:r w:rsidRPr="00BC632B">
        <w:t>e</w:t>
      </w:r>
      <w:r w:rsidRPr="00BC632B">
        <w:t>nées du point de vue spécifique des sociologues et des anthropol</w:t>
      </w:r>
      <w:r w:rsidRPr="00BC632B">
        <w:t>o</w:t>
      </w:r>
      <w:r w:rsidRPr="00BC632B">
        <w:t xml:space="preserve">gues qui œuvrent dans ce milieu ou en rapport avec lui. C'est ce point de vue qu'a voulu mettre en lumière l'atelier sur le thème </w:t>
      </w:r>
      <w:r w:rsidRPr="005F6132">
        <w:rPr>
          <w:i/>
          <w:iCs/>
        </w:rPr>
        <w:t>Les musées : greniers patrimoniaux ou ingénierie culturelle.</w:t>
      </w:r>
      <w:r w:rsidRPr="00BC632B">
        <w:t xml:space="preserve"> Pour Mauro Peressini, le musée « fabrique et</w:t>
      </w:r>
      <w:r>
        <w:t xml:space="preserve"> [17] </w:t>
      </w:r>
      <w:r w:rsidRPr="00BC632B">
        <w:t>met en circulation des identités » en pr</w:t>
      </w:r>
      <w:r w:rsidRPr="00BC632B">
        <w:t>o</w:t>
      </w:r>
      <w:r w:rsidRPr="00BC632B">
        <w:t>posant des représentations forcément simplificatrices des cultures et des groupes sociaux dont il prétend refléter la réalité. Il discute des rapports de pouvoir et d'autor</w:t>
      </w:r>
      <w:r w:rsidRPr="00BC632B">
        <w:t>i</w:t>
      </w:r>
      <w:r w:rsidRPr="00BC632B">
        <w:t>té dans ce processus de production d'identités et propose de passer de la construction à la déconstruction de manière à mettre en évide</w:t>
      </w:r>
      <w:r w:rsidRPr="00BC632B">
        <w:t>n</w:t>
      </w:r>
      <w:r w:rsidRPr="00BC632B">
        <w:t>ce l'arbitraire de toute fiction identitaire et à reconnaître que les membres d'un groupe social participent chacun d'identités multiples. Jan Marontate et Marcel Fournier rejoignent i</w:t>
      </w:r>
      <w:r w:rsidRPr="00BC632B">
        <w:t>n</w:t>
      </w:r>
      <w:r w:rsidRPr="00BC632B">
        <w:t>directement cette perspective en situant le musée dans la mouvance postmode</w:t>
      </w:r>
      <w:r>
        <w:t>rn</w:t>
      </w:r>
      <w:r w:rsidRPr="00BC632B">
        <w:t>e d'h</w:t>
      </w:r>
      <w:r w:rsidRPr="00BC632B">
        <w:t>é</w:t>
      </w:r>
      <w:r w:rsidRPr="00BC632B">
        <w:t>térogénéisation des vécus culturels. S'appuyant sur la notion de frontières symbol</w:t>
      </w:r>
      <w:r w:rsidRPr="00BC632B">
        <w:t>i</w:t>
      </w:r>
      <w:r w:rsidRPr="00BC632B">
        <w:t>ques, ils explorent les questions de la polysémie de l'objet dans le musée et des rapports public/musée. M</w:t>
      </w:r>
      <w:r w:rsidRPr="00BC632B">
        <w:t>a</w:t>
      </w:r>
      <w:r w:rsidRPr="00BC632B">
        <w:t>non Niquette fait l'analyse co</w:t>
      </w:r>
      <w:r w:rsidRPr="00BC632B">
        <w:t>m</w:t>
      </w:r>
      <w:r w:rsidRPr="00BC632B">
        <w:t>parative des relations à la dichotomie passé/présent dans deux lieux de vulgarisation scientifique qui témo</w:t>
      </w:r>
      <w:r w:rsidRPr="00BC632B">
        <w:t>i</w:t>
      </w:r>
      <w:r w:rsidRPr="00BC632B">
        <w:t>gnent, dans leurs efforts pour la survie, des conditions particulières de leur ra</w:t>
      </w:r>
      <w:r w:rsidRPr="00BC632B">
        <w:t>p</w:t>
      </w:r>
      <w:r w:rsidRPr="00BC632B">
        <w:t>port à la tradition : le musée Ramsay et le magazine Québec-Science. Gérald Baril examine le cas particulier de la muséologie scientifique et technique dont l'a</w:t>
      </w:r>
      <w:r w:rsidRPr="00BC632B">
        <w:t>p</w:t>
      </w:r>
      <w:r w:rsidRPr="00BC632B">
        <w:t>proche éducative passe par une offre d'exotisme, d'appréhension to</w:t>
      </w:r>
      <w:r w:rsidRPr="00BC632B">
        <w:t>u</w:t>
      </w:r>
      <w:r w:rsidRPr="00BC632B">
        <w:t>ristique du monde.</w:t>
      </w:r>
    </w:p>
    <w:p w:rsidR="00B7214C" w:rsidRDefault="00B7214C" w:rsidP="00B7214C">
      <w:pPr>
        <w:spacing w:before="120" w:after="120"/>
        <w:jc w:val="both"/>
      </w:pPr>
    </w:p>
    <w:p w:rsidR="00B7214C" w:rsidRDefault="00B7214C" w:rsidP="00B7214C">
      <w:pPr>
        <w:pStyle w:val="p"/>
      </w:pPr>
      <w:r>
        <w:t>[18]</w:t>
      </w:r>
    </w:p>
    <w:p w:rsidR="00B7214C" w:rsidRPr="00E07116" w:rsidRDefault="00B7214C" w:rsidP="00B7214C">
      <w:pPr>
        <w:pStyle w:val="Normal0"/>
      </w:pPr>
    </w:p>
    <w:p w:rsidR="00B7214C" w:rsidRPr="00E07116" w:rsidRDefault="00B7214C" w:rsidP="00B7214C">
      <w:pPr>
        <w:pStyle w:val="p"/>
      </w:pPr>
      <w:r w:rsidRPr="00E07116">
        <w:br w:type="page"/>
        <w:t>[</w:t>
      </w:r>
      <w:r>
        <w:t>19</w:t>
      </w:r>
      <w:r w:rsidRPr="00E07116">
        <w:t>]</w:t>
      </w: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124590" w:rsidRDefault="00B7214C" w:rsidP="00B7214C">
      <w:pPr>
        <w:ind w:hanging="20"/>
        <w:jc w:val="center"/>
        <w:rPr>
          <w:b/>
          <w:sz w:val="24"/>
        </w:rPr>
      </w:pPr>
      <w:bookmarkStart w:id="4" w:name="Entre_tradition_intro"/>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384B20" w:rsidRDefault="00B7214C" w:rsidP="00B7214C">
      <w:pPr>
        <w:pStyle w:val="planchest"/>
      </w:pPr>
      <w:r w:rsidRPr="00384B20">
        <w:t>INTRODUCTION</w:t>
      </w:r>
    </w:p>
    <w:p w:rsidR="00B7214C" w:rsidRPr="00E07116" w:rsidRDefault="00B7214C">
      <w:pPr>
        <w:jc w:val="both"/>
      </w:pPr>
    </w:p>
    <w:p w:rsidR="00B7214C" w:rsidRPr="00E07116" w:rsidRDefault="00B7214C" w:rsidP="00B7214C">
      <w:pPr>
        <w:pStyle w:val="planche"/>
      </w:pPr>
      <w:r>
        <w:t>ESPACE ET ALTÉRITÉ</w:t>
      </w:r>
    </w:p>
    <w:bookmarkEnd w:id="4"/>
    <w:p w:rsidR="00B7214C" w:rsidRPr="00E07116" w:rsidRDefault="00B7214C">
      <w:pPr>
        <w:jc w:val="both"/>
      </w:pPr>
    </w:p>
    <w:p w:rsidR="00B7214C" w:rsidRPr="00E07116" w:rsidRDefault="00B7214C" w:rsidP="00B7214C">
      <w:pPr>
        <w:pStyle w:val="suite"/>
      </w:pPr>
      <w:r>
        <w:t xml:space="preserve">Par </w:t>
      </w:r>
      <w:r w:rsidRPr="00BC632B">
        <w:t>Marc AUGÉ</w:t>
      </w:r>
    </w:p>
    <w:p w:rsidR="00B7214C" w:rsidRPr="00E07116" w:rsidRDefault="00B7214C" w:rsidP="00B7214C">
      <w:pPr>
        <w:pStyle w:val="auteurst"/>
      </w:pPr>
      <w:r w:rsidRPr="00C57CFF">
        <w:t>Président, École des Hautes études en sciences sociales</w:t>
      </w: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384B20" w:rsidRDefault="00B7214C">
      <w:pPr>
        <w:ind w:right="90" w:firstLine="0"/>
        <w:jc w:val="both"/>
        <w:rPr>
          <w:sz w:val="20"/>
        </w:rPr>
      </w:pPr>
      <w:hyperlink w:anchor="tdm" w:history="1">
        <w:r w:rsidRPr="00384B20">
          <w:rPr>
            <w:rStyle w:val="Lienhypertexte"/>
            <w:sz w:val="20"/>
          </w:rPr>
          <w:t>Retour à la table des matières</w:t>
        </w:r>
      </w:hyperlink>
    </w:p>
    <w:p w:rsidR="00B7214C" w:rsidRPr="00BC632B" w:rsidRDefault="00B7214C" w:rsidP="00B7214C">
      <w:pPr>
        <w:spacing w:before="120" w:after="120"/>
        <w:jc w:val="both"/>
      </w:pPr>
      <w:r>
        <w:t>J</w:t>
      </w:r>
      <w:r w:rsidRPr="00BC632B">
        <w:t>e voudrais d'abord vous remercier de m'avoir fait l'honneur de m'inviter à prononcer cette conférence inaugurale. J'y vois une pre</w:t>
      </w:r>
      <w:r w:rsidRPr="00BC632B">
        <w:t>u</w:t>
      </w:r>
      <w:r w:rsidRPr="00BC632B">
        <w:t>ve supplémentaire du fait que, de part et d'autre de l'Atlantique, nous continuons, si vous me passez l'expression, à nous tenir à l'œil - con</w:t>
      </w:r>
      <w:r w:rsidRPr="00BC632B">
        <w:t>s</w:t>
      </w:r>
      <w:r w:rsidRPr="00BC632B">
        <w:t>tatant du même coup qu'il n'y a plus de dérive des continents et que nous observons du même regard des évolutions ou des mutations qui nous sont communes et qui concernent au premier chef notre discipl</w:t>
      </w:r>
      <w:r w:rsidRPr="00BC632B">
        <w:t>i</w:t>
      </w:r>
      <w:r w:rsidRPr="00BC632B">
        <w:t>ne, l'anthropologie sociale.</w:t>
      </w:r>
    </w:p>
    <w:p w:rsidR="00B7214C" w:rsidRPr="00BC632B" w:rsidRDefault="00B7214C" w:rsidP="00B7214C">
      <w:pPr>
        <w:spacing w:before="120" w:after="120"/>
        <w:jc w:val="both"/>
      </w:pPr>
      <w:r w:rsidRPr="00BC632B">
        <w:t>Si j'ai souhaité centrer les quelques remarques introductives que je pouvais vous proposer autour des thèmes de l'espace et de l'altérité, c'est parce qu'ils me paraissent plus que d'autres illustrer ces évol</w:t>
      </w:r>
      <w:r w:rsidRPr="00BC632B">
        <w:t>u</w:t>
      </w:r>
      <w:r w:rsidRPr="00BC632B">
        <w:t>tions et ces mutations. C'est évident de l'espace, de l'espace terrestre qui rétrécit sous nos yeux du fait de l'accélération des moyens de ci</w:t>
      </w:r>
      <w:r w:rsidRPr="00BC632B">
        <w:t>r</w:t>
      </w:r>
      <w:r w:rsidRPr="00BC632B">
        <w:t>culation et de communication, et de la surabondance d'images qui nous assaillent quotidiennement, au point que l'anthropologue peut se demander légitimement aujourd'hui comment tracer les frontières de son terrain d'observation sans le mutiler. C'est non moins évident de l'altérité qui est pourtant l'objet anthropologique par excellence et que nous avons autant de mal à penser, aujourd'hui, que l'espace, là aussi du fait d'une surabondance qui contraste étrangement avec ce que l'on appelle parfois la mondialisation de la culture : les nationalismes, les régionalismes, les fondamentalismes, pour ne rien dire des entrepr</w:t>
      </w:r>
      <w:r w:rsidRPr="00BC632B">
        <w:t>i</w:t>
      </w:r>
      <w:r w:rsidRPr="00BC632B">
        <w:t>ses de « purification ethnique », relèvent moins d'une crise d'identité que d'un emballement des processus générateurs d'altérité.</w:t>
      </w:r>
      <w:r>
        <w:t xml:space="preserve"> [20] </w:t>
      </w:r>
      <w:r w:rsidRPr="00BC632B">
        <w:t>Comme s'ils étaient à la recherche d'un niveau pertinent d'identité co</w:t>
      </w:r>
      <w:r w:rsidRPr="00BC632B">
        <w:t>l</w:t>
      </w:r>
      <w:r w:rsidRPr="00BC632B">
        <w:t>lective (identité que par là même ils substantialisent indûment), un certain nombre de groupements humains ne cesse de sécréter de l'alt</w:t>
      </w:r>
      <w:r w:rsidRPr="00BC632B">
        <w:t>é</w:t>
      </w:r>
      <w:r w:rsidRPr="00BC632B">
        <w:t>rité, de fabriquer de l'autre (un autre impensé et donc absolu, comme si faute de concevoir l'autre on créait de l'étranger) et par là même de se d</w:t>
      </w:r>
      <w:r w:rsidRPr="00BC632B">
        <w:t>é</w:t>
      </w:r>
      <w:r w:rsidRPr="00BC632B">
        <w:t>composer, comme si, à l'inverse de la différenciation cellulaire, cette incessante différenciation sociale était porteuse de mort.</w:t>
      </w:r>
    </w:p>
    <w:p w:rsidR="00B7214C" w:rsidRPr="00BC632B" w:rsidRDefault="00B7214C" w:rsidP="00B7214C">
      <w:pPr>
        <w:spacing w:before="120" w:after="120"/>
        <w:jc w:val="both"/>
      </w:pPr>
      <w:r w:rsidRPr="00BC632B">
        <w:t>L'un des intérêts d'une rencontre comme celle que vous organisez c'est qu'elle permet des contacts, qu'elle nous permet de nous donner une information réciproque sur ce que nous faisons les uns et les a</w:t>
      </w:r>
      <w:r w:rsidRPr="00BC632B">
        <w:t>u</w:t>
      </w:r>
      <w:r w:rsidRPr="00BC632B">
        <w:t>tres, de faire le point, aussi, avec nous-mêmes parce que, après tout, les occasions ne sont pas si nombreuses d'exposer de façon synthét</w:t>
      </w:r>
      <w:r w:rsidRPr="00BC632B">
        <w:t>i</w:t>
      </w:r>
      <w:r w:rsidRPr="00BC632B">
        <w:t>que des bilans et des projets. Vous m'excuserez donc de dire, pour commencer, quelques mots de mon itinéraire personnel. L'évoquer, en effet, alors que je n'ai jamais senti comme contradictoire ou torturé le mouvement qui me faisait changer d'espaces et chercher d'autres a</w:t>
      </w:r>
      <w:r w:rsidRPr="00BC632B">
        <w:t>u</w:t>
      </w:r>
      <w:r w:rsidRPr="00BC632B">
        <w:t>tres que les Alladian de mes premiers exercices ethnologiques, c'est me permettre d'aborder devant vous, comme je les ai rencontrés, deux thèmes complémentaires et, me semble-t-il, éminemment actuels : l'i</w:t>
      </w:r>
      <w:r w:rsidRPr="00BC632B">
        <w:t>n</w:t>
      </w:r>
      <w:r w:rsidRPr="00BC632B">
        <w:t>terpénétration des lieux et des non-lieux (ce que j'ai appelé les non-lieux) dans notre contemporanéité, et la réapparition de l'individu dans notre champ d'observation avec son corollaire, au plan plus collectif : la mort de l'exotisme.</w:t>
      </w:r>
    </w:p>
    <w:p w:rsidR="00B7214C" w:rsidRPr="00BC632B" w:rsidRDefault="00B7214C" w:rsidP="00B7214C">
      <w:pPr>
        <w:spacing w:before="120" w:after="120"/>
        <w:jc w:val="both"/>
      </w:pPr>
      <w:r w:rsidRPr="00BC632B">
        <w:t>Un mot, donc, de mon itinéraire. On pourrait penser, puisque j'ut</w:t>
      </w:r>
      <w:r w:rsidRPr="00BC632B">
        <w:t>i</w:t>
      </w:r>
      <w:r w:rsidRPr="00BC632B">
        <w:t>lise le terme « itinéraire » et que mes dernières publications ont été majoritairement consacrées à l'analyse de faits ou d'espaces princip</w:t>
      </w:r>
      <w:r w:rsidRPr="00BC632B">
        <w:t>a</w:t>
      </w:r>
      <w:r w:rsidRPr="00BC632B">
        <w:t>lement européens, que je vais relater et tenter de justifier un itinéraire en forme d'aller-retour. Cette démarche (qu'on la qualifie de retour ou, comme Georges Balandier, de détour) est possible. Elle s'accommode assez du vieillissement de l'ethnologue qui perd le goût du voyage et des changements globaux d'une époque dont les évolutions accélérées teintent de nostalgie ou d'archaïsme les objets traditionnels de l'ethn</w:t>
      </w:r>
      <w:r w:rsidRPr="00BC632B">
        <w:t>o</w:t>
      </w:r>
      <w:r w:rsidRPr="00BC632B">
        <w:t>logie classique. L'heure du repli et d'un retour du regard ethnologique sur lui-même, sur lui-même et sur les réalités spécifiques du monde le plus moderne, aurait sonné.</w:t>
      </w:r>
    </w:p>
    <w:p w:rsidR="00B7214C" w:rsidRPr="00BC632B" w:rsidRDefault="00B7214C" w:rsidP="00B7214C">
      <w:pPr>
        <w:spacing w:before="120" w:after="120"/>
        <w:jc w:val="both"/>
      </w:pPr>
      <w:r w:rsidRPr="00BC632B">
        <w:t>Cette démarche, pourtant, n'est pas la mienne. Je continue, d'ai</w:t>
      </w:r>
      <w:r w:rsidRPr="00BC632B">
        <w:t>l</w:t>
      </w:r>
      <w:r w:rsidRPr="00BC632B">
        <w:t xml:space="preserve">leurs, d'aller en Afrique. Deux de mes livres </w:t>
      </w:r>
      <w:r w:rsidRPr="005F6132">
        <w:rPr>
          <w:i/>
          <w:iCs/>
        </w:rPr>
        <w:t>(Le dieu d'objet</w:t>
      </w:r>
      <w:r w:rsidRPr="00BC632B">
        <w:t xml:space="preserve"> et </w:t>
      </w:r>
      <w:r w:rsidRPr="005F6132">
        <w:rPr>
          <w:i/>
          <w:iCs/>
        </w:rPr>
        <w:t>N'Kp</w:t>
      </w:r>
      <w:r w:rsidRPr="005F6132">
        <w:rPr>
          <w:i/>
          <w:iCs/>
        </w:rPr>
        <w:t>i</w:t>
      </w:r>
      <w:r w:rsidRPr="005F6132">
        <w:rPr>
          <w:i/>
          <w:iCs/>
        </w:rPr>
        <w:t>ti, la rancune et le prophète,</w:t>
      </w:r>
      <w:r w:rsidRPr="00BC632B">
        <w:t xml:space="preserve"> l'un consacré aux religions togolaises, l'autre à un prophète guérisseur ivoirien) se sont intercalés entre les petits essais que je consacrais à certains aspects du quotidien et de l'espace français. Mais, indépendamment de ces considérations fa</w:t>
      </w:r>
      <w:r w:rsidRPr="00BC632B">
        <w:t>c</w:t>
      </w:r>
      <w:r w:rsidRPr="00BC632B">
        <w:t>tuelles, il me semble avoir toujours tenté, à partir de différents terrains o</w:t>
      </w:r>
      <w:r>
        <w:t>u objets empiriques, d'approfon</w:t>
      </w:r>
      <w:r w:rsidRPr="00BC632B">
        <w:t>dir</w:t>
      </w:r>
      <w:r>
        <w:t xml:space="preserve"> [21]</w:t>
      </w:r>
      <w:r w:rsidRPr="00BC632B">
        <w:t xml:space="preserve"> l'interrogation sur l'objet u</w:t>
      </w:r>
      <w:r w:rsidRPr="00BC632B">
        <w:t>l</w:t>
      </w:r>
      <w:r w:rsidRPr="00BC632B">
        <w:t>time de la recherche anthropolog</w:t>
      </w:r>
      <w:r w:rsidRPr="00BC632B">
        <w:t>i</w:t>
      </w:r>
      <w:r w:rsidRPr="00BC632B">
        <w:t>que, qui est, selon moi, l'étude des procédures de construction du sens à l'œuvre dans les diverses sociétés et qui dépendent à la foi d'initiat</w:t>
      </w:r>
      <w:r w:rsidRPr="00BC632B">
        <w:t>i</w:t>
      </w:r>
      <w:r w:rsidRPr="00BC632B">
        <w:t>ves individuelles et de symboliques collectives.</w:t>
      </w:r>
    </w:p>
    <w:p w:rsidR="00B7214C" w:rsidRPr="00BC632B" w:rsidRDefault="00B7214C" w:rsidP="00B7214C">
      <w:pPr>
        <w:spacing w:before="120" w:after="120"/>
        <w:jc w:val="both"/>
      </w:pPr>
      <w:r w:rsidRPr="00BC632B">
        <w:t>Je voudrais donc suggérer que l'étude attentive, en Côte-d'Ivoire puis au Togo, des systèmes de représentation auxquels se référaient les spécialistes pour interpréter les événements, notamment indiv</w:t>
      </w:r>
      <w:r w:rsidRPr="00BC632B">
        <w:t>i</w:t>
      </w:r>
      <w:r w:rsidRPr="00BC632B">
        <w:t>duels, et plus particulièrement les événements malheureux, n'est pas en soi différente de la démarche par laquelle on peut tenter d'appr</w:t>
      </w:r>
      <w:r w:rsidRPr="00BC632B">
        <w:t>é</w:t>
      </w:r>
      <w:r w:rsidRPr="00BC632B">
        <w:t>hender, dans les sociétés les plus modernes, les procédures de const</w:t>
      </w:r>
      <w:r w:rsidRPr="00BC632B">
        <w:t>i</w:t>
      </w:r>
      <w:r w:rsidRPr="00BC632B">
        <w:t>tution du sens, du sens social qui a toujours à voir avec les notions d'identité et de relation. Elles sont d'autant moins différentes que le monde lignager et le monde industriel, pour parler un peu vite, bo</w:t>
      </w:r>
      <w:r w:rsidRPr="00BC632B">
        <w:t>u</w:t>
      </w:r>
      <w:r w:rsidRPr="00BC632B">
        <w:t>gent ensemble et sont soumis à une même crise due, pour ce qui concerne leurs cohérences symboliques respectives, à la mise en rel</w:t>
      </w:r>
      <w:r w:rsidRPr="00BC632B">
        <w:t>a</w:t>
      </w:r>
      <w:r w:rsidRPr="00BC632B">
        <w:t>tion des diverses parties de l'humanité (dont la colonisation n'est qu'une des formes, même si c'est sans doute la plus agressive et la plus déstructurante) et, corrélativement, à un processus d'individualisation des consciences (ou, si l'on veut, à une solitude accrue des individus) dont témoignent un peu partout le recours à de nouvelles formes de religion ou, dans un autre registre, l'affaiblissement des rhétoriques intermédiaires et des « groupes intermédiaires » (comme les synd</w:t>
      </w:r>
      <w:r w:rsidRPr="00BC632B">
        <w:t>i</w:t>
      </w:r>
      <w:r w:rsidRPr="00BC632B">
        <w:t>cats) dans lesquels Durkheim voyait le plus sûr moyen d'intégration au monde moderne. En ce sens, le monde lignager et le monde industriel sont non seulement tous deux contemporains mais appartiennent à une même modernité.</w:t>
      </w:r>
    </w:p>
    <w:p w:rsidR="00B7214C" w:rsidRPr="00BC632B" w:rsidRDefault="00B7214C" w:rsidP="00B7214C">
      <w:pPr>
        <w:spacing w:before="120" w:after="120"/>
        <w:jc w:val="both"/>
      </w:pPr>
      <w:r w:rsidRPr="00BC632B">
        <w:t>Dans les sociétés lignagères de Côte-d'Ivoire où j'ai travaillé sy</w:t>
      </w:r>
      <w:r w:rsidRPr="00BC632B">
        <w:t>s</w:t>
      </w:r>
      <w:r w:rsidRPr="00BC632B">
        <w:t>tématiquement de 1965 à 1970 et que je n'ai pas cessé de fréquenter depuis, j'étais confronté à deux types de réalités à la fois distinctes et peu dissociables : celle des systèmes de représentation encore à l'œ</w:t>
      </w:r>
      <w:r w:rsidRPr="00BC632B">
        <w:t>u</w:t>
      </w:r>
      <w:r w:rsidRPr="00BC632B">
        <w:t>vre dans les sociétés villageoises et en fonction desquels les individus tentaient d'interpréter leur vie quotidienne et celle d'institutions très particulières, nées au début du siècle, les prophétismes. L'Afrique en général (l'Afrique coloniale) a été une terre de prophètes, de proph</w:t>
      </w:r>
      <w:r w:rsidRPr="00BC632B">
        <w:t>è</w:t>
      </w:r>
      <w:r w:rsidRPr="00BC632B">
        <w:t>tes-guérisseurs qui, amalgamant en proportions variables des éléments empruntés aux logiques lignagères et au message chrétien, s'effo</w:t>
      </w:r>
      <w:r w:rsidRPr="00BC632B">
        <w:t>r</w:t>
      </w:r>
      <w:r w:rsidRPr="00BC632B">
        <w:t>çaient de répondre efficacement aux angoisses, aux malheurs, aux m</w:t>
      </w:r>
      <w:r w:rsidRPr="00BC632B">
        <w:t>a</w:t>
      </w:r>
      <w:r w:rsidRPr="00BC632B">
        <w:t>ladies et aux incertitudes de ceux qui s'adressaient à eux. En Côte-d'Ivoire le plus célèbre fut Harris qui parcourut la région en 1913-1914 et dont se réclament la plupart des nombreux prophètes qui ne cessent de faire entendre leur voix aujourd'hui encore. Sans renier t</w:t>
      </w:r>
      <w:r w:rsidRPr="00BC632B">
        <w:t>o</w:t>
      </w:r>
      <w:r w:rsidRPr="00BC632B">
        <w:t>talement les logiques anciennes d'interprétation, les prophètes s'effo</w:t>
      </w:r>
      <w:r w:rsidRPr="00BC632B">
        <w:t>r</w:t>
      </w:r>
      <w:r w:rsidRPr="00BC632B">
        <w:t>cent de rendre compte à la fois des malheurs de type ancien (la jalo</w:t>
      </w:r>
      <w:r w:rsidRPr="00BC632B">
        <w:t>u</w:t>
      </w:r>
      <w:r w:rsidRPr="00BC632B">
        <w:t>sie, la maladie, la mort) et de tout ce qui échappe aux grilles class</w:t>
      </w:r>
      <w:r w:rsidRPr="00BC632B">
        <w:t>i</w:t>
      </w:r>
      <w:r w:rsidRPr="00BC632B">
        <w:t>ques d'interprétation : les</w:t>
      </w:r>
      <w:r>
        <w:t xml:space="preserve"> [22] </w:t>
      </w:r>
      <w:r w:rsidRPr="00BC632B">
        <w:t>nouveaux malheurs (la ville, le chôm</w:t>
      </w:r>
      <w:r w:rsidRPr="00BC632B">
        <w:t>a</w:t>
      </w:r>
      <w:r w:rsidRPr="00BC632B">
        <w:t>ge, les scolarités malheure</w:t>
      </w:r>
      <w:r w:rsidRPr="00BC632B">
        <w:t>u</w:t>
      </w:r>
      <w:r w:rsidRPr="00BC632B">
        <w:t>ses, l'échec professionnel).</w:t>
      </w:r>
    </w:p>
    <w:p w:rsidR="00B7214C" w:rsidRPr="00BC632B" w:rsidRDefault="00B7214C" w:rsidP="00B7214C">
      <w:pPr>
        <w:spacing w:before="120" w:after="120"/>
        <w:jc w:val="both"/>
      </w:pPr>
      <w:r w:rsidRPr="00BC632B">
        <w:t xml:space="preserve">Dans mon livre </w:t>
      </w:r>
      <w:r w:rsidRPr="005F6132">
        <w:rPr>
          <w:i/>
          <w:iCs/>
        </w:rPr>
        <w:t>Théorie des pouvoirs et idéologie,</w:t>
      </w:r>
      <w:r w:rsidRPr="00BC632B">
        <w:t xml:space="preserve"> consacré à une analyse comparée des sociétés lagunaires de Côte-d'Ivoire, j'avais avancé la notion d'idéo-logique pour définir à l'intérieur d'une même société, la somme du possible et du pensable, c'est-à-dire, plus concr</w:t>
      </w:r>
      <w:r w:rsidRPr="00BC632B">
        <w:t>è</w:t>
      </w:r>
      <w:r w:rsidRPr="00BC632B">
        <w:t>tement, la logique des représentations de la nature et de l'homme, du corps et de ses humeurs, de la transmission et de l'influence qui e</w:t>
      </w:r>
      <w:r w:rsidRPr="00BC632B">
        <w:t>n</w:t>
      </w:r>
      <w:r w:rsidRPr="00BC632B">
        <w:t>globent les r</w:t>
      </w:r>
      <w:r w:rsidRPr="00BC632B">
        <w:t>e</w:t>
      </w:r>
      <w:r w:rsidRPr="00BC632B">
        <w:t>présentations de la filiation et de l'alliance et les règles sociales en g</w:t>
      </w:r>
      <w:r w:rsidRPr="00BC632B">
        <w:t>é</w:t>
      </w:r>
      <w:r w:rsidRPr="00BC632B">
        <w:t>néral. La notion d'idéo-logique est différente de celle de cosmologie conçue comme somme achevée de représentations du monde et de la société. L'idéo-logique, en effet, relève de la pratique : c'est une grammaire en forme de mode d'emploi où l'énoncé même des règles syntaxiques identifie en chaque circonstance ceux qui ont le droit de l'utiliser. Tout le monde n'a pas le même droit à la parole, le droit aux mêmes mots ou au même emploi des mots, ni la même cap</w:t>
      </w:r>
      <w:r w:rsidRPr="00BC632B">
        <w:t>a</w:t>
      </w:r>
      <w:r w:rsidRPr="00BC632B">
        <w:t>cité de maîtrise du système, même lorsque, de différents points de vue, tous font référence à un même ensemble de représentations.</w:t>
      </w:r>
    </w:p>
    <w:p w:rsidR="00B7214C" w:rsidRPr="00BC632B" w:rsidRDefault="00B7214C" w:rsidP="00B7214C">
      <w:pPr>
        <w:spacing w:before="120" w:after="120"/>
        <w:jc w:val="both"/>
      </w:pPr>
      <w:r w:rsidRPr="00BC632B">
        <w:t>Les prophétismes africains font bouger l'idéo-logique lignagère dans la mesure où ils proposent des grilles d'interprétation de l'évén</w:t>
      </w:r>
      <w:r w:rsidRPr="00BC632B">
        <w:t>e</w:t>
      </w:r>
      <w:r w:rsidRPr="00BC632B">
        <w:t>ment qui dépassent le cadre d'une société ou d'une ethnie et où, co</w:t>
      </w:r>
      <w:r w:rsidRPr="00BC632B">
        <w:t>m</w:t>
      </w:r>
      <w:r w:rsidRPr="00BC632B">
        <w:t>plémentairement, ils donnent davantage la parole aux individus.</w:t>
      </w:r>
    </w:p>
    <w:p w:rsidR="00B7214C" w:rsidRPr="00BC632B" w:rsidRDefault="00B7214C" w:rsidP="00B7214C">
      <w:pPr>
        <w:spacing w:before="120" w:after="120"/>
        <w:jc w:val="both"/>
      </w:pPr>
      <w:r w:rsidRPr="00BC632B">
        <w:t>Parce qu'il correspondait à des mises en ordre syntagmatique, le concept d'idéo-logique impliquait que, aussi bien dans l'analyse qui pouvait en être faite que dans les discours ou les pratiques dont elles étaient à la fois l'élément constitutif et l'objet, des notions et des réal</w:t>
      </w:r>
      <w:r w:rsidRPr="00BC632B">
        <w:t>i</w:t>
      </w:r>
      <w:r w:rsidRPr="00BC632B">
        <w:t>tés ordinairement affectées à des domaines institutionnels distincts fussent prises dans une même continuité intellectuelle.</w:t>
      </w:r>
    </w:p>
    <w:p w:rsidR="00B7214C" w:rsidRPr="00BC632B" w:rsidRDefault="00B7214C" w:rsidP="00B7214C">
      <w:pPr>
        <w:spacing w:before="120" w:after="120"/>
        <w:jc w:val="both"/>
      </w:pPr>
      <w:r w:rsidRPr="00BC632B">
        <w:t>Chacun conjugue à sa façon les différents systèmes symboliques dont parle Lévi-Strauss dans son « Introduction à l'œuvre de Marcel Mauss » selon des procédures dont les scénarios des procès de sorce</w:t>
      </w:r>
      <w:r w:rsidRPr="00BC632B">
        <w:t>l</w:t>
      </w:r>
      <w:r w:rsidRPr="00BC632B">
        <w:t xml:space="preserve">lerie étudiés dans </w:t>
      </w:r>
      <w:r w:rsidRPr="005F6132">
        <w:rPr>
          <w:i/>
          <w:iCs/>
        </w:rPr>
        <w:t>Théorie des pouvoirs et idéologie</w:t>
      </w:r>
      <w:r w:rsidRPr="00BC632B">
        <w:t xml:space="preserve"> me fournissaient des exemples très démonstratifs : c'est par exemple pour des raisons d'o</w:t>
      </w:r>
      <w:r w:rsidRPr="00BC632B">
        <w:t>r</w:t>
      </w:r>
      <w:r w:rsidRPr="00BC632B">
        <w:t>dre économique (redistribution de la récolte ou de la pêche) que deux partenaires sociaux (par exemple un oncle maternel et un neveu ut</w:t>
      </w:r>
      <w:r w:rsidRPr="00BC632B">
        <w:t>é</w:t>
      </w:r>
      <w:r w:rsidRPr="00BC632B">
        <w:t>rin) mettent en cause leur relation, l'un d'entre eux trouvant dans les troubles physiques qui l'assaillent le signe et la preuve de l'attaque dont il se croit victime de la part de l'autre et s'adressant à ses parents paternels ou à ses camarades de classe d'âge pour qu'ils le soutiennent et fassent a</w:t>
      </w:r>
      <w:r>
        <w:t>ppel à une autorité thérapeuti</w:t>
      </w:r>
      <w:r w:rsidRPr="00BC632B">
        <w:t>co-religieuse susceptible de le défendre et de le soulager. Mais les scénarios de la sorcellerie sont, de ce point de vue, à l'image de tous les scénarios</w:t>
      </w:r>
      <w:r>
        <w:t xml:space="preserve"> [23] </w:t>
      </w:r>
      <w:r w:rsidRPr="00BC632B">
        <w:t>sociaux qui ne mettent en relation les uns et les autres qu'en me</w:t>
      </w:r>
      <w:r w:rsidRPr="00BC632B">
        <w:t>t</w:t>
      </w:r>
      <w:r w:rsidRPr="00BC632B">
        <w:t>tant en jeu des pans de réalité que le langage institutionnel distingue. Qu'il puisse être ut</w:t>
      </w:r>
      <w:r w:rsidRPr="00BC632B">
        <w:t>i</w:t>
      </w:r>
      <w:r w:rsidRPr="00BC632B">
        <w:t>le, à des fins d'analyse, de distinguer et d'abstraire des systèmes ou des champs n'ôte rien au fait que les pratiques concr</w:t>
      </w:r>
      <w:r w:rsidRPr="00BC632B">
        <w:t>è</w:t>
      </w:r>
      <w:r w:rsidRPr="00BC632B">
        <w:t>tes, à l'inverse, conjuguent ces systèmes et ces champs ou plus exa</w:t>
      </w:r>
      <w:r w:rsidRPr="00BC632B">
        <w:t>c</w:t>
      </w:r>
      <w:r w:rsidRPr="00BC632B">
        <w:t>tement (parce que ceux-ci n'ont pas d'existence concrète intégralement isolable mais co</w:t>
      </w:r>
      <w:r w:rsidRPr="00BC632B">
        <w:t>r</w:t>
      </w:r>
      <w:r w:rsidRPr="00BC632B">
        <w:t>respondent à des points de vue sur le réel) qu'elles définissent un se</w:t>
      </w:r>
      <w:r w:rsidRPr="00BC632B">
        <w:t>c</w:t>
      </w:r>
      <w:r w:rsidRPr="00BC632B">
        <w:t>teur de la réalité dont elles fixent la cohérence et établissent l'hom</w:t>
      </w:r>
      <w:r w:rsidRPr="00BC632B">
        <w:t>o</w:t>
      </w:r>
      <w:r w:rsidRPr="00BC632B">
        <w:t>généité, constituant ainsi un nouvel objet que l'an</w:t>
      </w:r>
      <w:r w:rsidRPr="00BC632B">
        <w:t>a</w:t>
      </w:r>
      <w:r w:rsidRPr="00BC632B">
        <w:t>lyse ne peut pas se contenter de découper selon le pointillé du langage institutionnel. Qu'il y ait du religieux dans le politique, de la reprodu</w:t>
      </w:r>
      <w:r w:rsidRPr="00BC632B">
        <w:t>c</w:t>
      </w:r>
      <w:r w:rsidRPr="00BC632B">
        <w:t>tion sociale dans le culturel, de l'économique dans le familial relève d'une telle évidence qu'on serait tenté de se demander si l'humanité a véritabl</w:t>
      </w:r>
      <w:r w:rsidRPr="00BC632B">
        <w:t>e</w:t>
      </w:r>
      <w:r w:rsidRPr="00BC632B">
        <w:t>ment eu besoin d'attendre les sciences sociales pour s'en rendre com</w:t>
      </w:r>
      <w:r w:rsidRPr="00BC632B">
        <w:t>p</w:t>
      </w:r>
      <w:r w:rsidRPr="00BC632B">
        <w:t>te, s'y résigner ou en jouer.</w:t>
      </w:r>
    </w:p>
    <w:p w:rsidR="00B7214C" w:rsidRPr="00BC632B" w:rsidRDefault="00B7214C" w:rsidP="00B7214C">
      <w:pPr>
        <w:spacing w:before="120" w:after="120"/>
        <w:jc w:val="both"/>
      </w:pPr>
      <w:r w:rsidRPr="00BC632B">
        <w:t>Constituer les énoncés et les pratiques en objets d'analyse de plein droit peut en revanche ouvrir une perspective dans laquelle les distin</w:t>
      </w:r>
      <w:r w:rsidRPr="00BC632B">
        <w:t>c</w:t>
      </w:r>
      <w:r w:rsidRPr="00BC632B">
        <w:t>tions institutionnelles ne sont plus au premier plan. Dans cette per</w:t>
      </w:r>
      <w:r w:rsidRPr="00BC632B">
        <w:t>s</w:t>
      </w:r>
      <w:r w:rsidRPr="00BC632B">
        <w:t>pective on peut notamment, me semble-t-il, reformuler la question du rapport entre le culturel et le social d'une part, l'individuel et le social ou le collectif d'autre part. Logique des pratiques et logique des repr</w:t>
      </w:r>
      <w:r w:rsidRPr="00BC632B">
        <w:t>é</w:t>
      </w:r>
      <w:r w:rsidRPr="00BC632B">
        <w:t>sentations, l'idéo-logique comme somme du possible et du pensable n'est réductible au culturel que si l'on entend par culture le social en tant qu'il est représenté - ce qui me paraît, de fait, correspondre à l'usage le plus attesté de ce concept dans la tradition anthropologique. Un certain nombre de représentations symboliques, parce qu'elles concernent la matière première de l'identité corporelle et de la rel</w:t>
      </w:r>
      <w:r w:rsidRPr="00BC632B">
        <w:t>a</w:t>
      </w:r>
      <w:r w:rsidRPr="00BC632B">
        <w:t>tion, parce qu'elles concernent la naissance, la sexualité, la reprodu</w:t>
      </w:r>
      <w:r w:rsidRPr="00BC632B">
        <w:t>c</w:t>
      </w:r>
      <w:r w:rsidRPr="00BC632B">
        <w:t>tion, l'hérédité, la maladie ou la mort, ont au moins en commun, dans la diversité des « cultures », cette matière première elle-même, quelle que soit sa forme dans telle ou telle d'entre elles.</w:t>
      </w:r>
    </w:p>
    <w:p w:rsidR="00B7214C" w:rsidRPr="00BC632B" w:rsidRDefault="00B7214C" w:rsidP="00B7214C">
      <w:pPr>
        <w:spacing w:before="120" w:after="120"/>
        <w:jc w:val="both"/>
      </w:pPr>
      <w:r w:rsidRPr="00BC632B">
        <w:t>À partir de là deux directions de recherche m'ont paru possibles : l'une ayant pour but l'analyse des formes et des modalités du pouvoir ; l'autre les rapports de l'individu aux formes symboliques qui donnent un sens à ses parcours. Désignant un lieu que la recherche anthropol</w:t>
      </w:r>
      <w:r w:rsidRPr="00BC632B">
        <w:t>o</w:t>
      </w:r>
      <w:r w:rsidRPr="00BC632B">
        <w:t xml:space="preserve">gique n'a pas fini d'explorer et que je devais moi-même fréquenter dans les années suivantes (je pense plus particulièrement à </w:t>
      </w:r>
      <w:r w:rsidRPr="005F6132">
        <w:rPr>
          <w:i/>
          <w:iCs/>
        </w:rPr>
        <w:t>Pouvoirs de vie, pouvoirs de mort, Génie du paganisme</w:t>
      </w:r>
      <w:r w:rsidRPr="00BC632B">
        <w:t xml:space="preserve"> et à </w:t>
      </w:r>
      <w:r w:rsidRPr="005F6132">
        <w:rPr>
          <w:i/>
          <w:iCs/>
        </w:rPr>
        <w:t>Le dieu objet),</w:t>
      </w:r>
      <w:r w:rsidRPr="00BC632B">
        <w:t xml:space="preserve"> je remarquai, dès </w:t>
      </w:r>
      <w:r w:rsidRPr="005F6132">
        <w:rPr>
          <w:i/>
          <w:iCs/>
        </w:rPr>
        <w:t xml:space="preserve">Théorie des pouvoirs, </w:t>
      </w:r>
      <w:r w:rsidRPr="00BC632B">
        <w:t>que le pouvoir se présentait to</w:t>
      </w:r>
      <w:r w:rsidRPr="00BC632B">
        <w:t>u</w:t>
      </w:r>
      <w:r w:rsidRPr="00BC632B">
        <w:t>jours comme la lim</w:t>
      </w:r>
      <w:r w:rsidRPr="00BC632B">
        <w:t>i</w:t>
      </w:r>
      <w:r w:rsidRPr="00BC632B">
        <w:t>te et même l'impensable du social : au-delà du système des différences où s'ordonne le social, au-delà des frontières et des interdits qui, très littéralement, le constituent : du côté de la transgression, de la rupture ou, si l'on veut, de l'exception qui fonde la norme. Les figures du pouvoir et de la domination - et symétriqu</w:t>
      </w:r>
      <w:r w:rsidRPr="00BC632B">
        <w:t>e</w:t>
      </w:r>
      <w:r w:rsidRPr="00BC632B">
        <w:t>ment celles de l'obéissance, du suivisme ou de l'asservissement - ne relèvent pas</w:t>
      </w:r>
      <w:r>
        <w:t xml:space="preserve"> [24] </w:t>
      </w:r>
      <w:r w:rsidRPr="00BC632B">
        <w:t>pour autant d'une logique inconsciente : dans les r</w:t>
      </w:r>
      <w:r w:rsidRPr="00BC632B">
        <w:t>i</w:t>
      </w:r>
      <w:r w:rsidRPr="00BC632B">
        <w:t>tuels dits d'i</w:t>
      </w:r>
      <w:r w:rsidRPr="00BC632B">
        <w:t>n</w:t>
      </w:r>
      <w:r w:rsidRPr="00BC632B">
        <w:t>version politique ou sexuelle, les catégories dominées crient la vérité des rapports sociaux et de la domination, inversant moins le rapport des forces qu'elles n'en grossissent et caricaturent les manifestations. Les figures de l'inversion (que j'ai suggéré pour cette raison d'appeler inversion-perversion) ne sont ni l'instrument cynique et aliénant de la récupération, ni la forme pure de la subversion : partie prenante et constitutive d'une idéo-logique plus globale, elles assi</w:t>
      </w:r>
      <w:r w:rsidRPr="00BC632B">
        <w:t>è</w:t>
      </w:r>
      <w:r w:rsidRPr="00BC632B">
        <w:t>gent et protègent tout à la fois l'espace toujours historiquement men</w:t>
      </w:r>
      <w:r w:rsidRPr="00BC632B">
        <w:t>a</w:t>
      </w:r>
      <w:r w:rsidRPr="00BC632B">
        <w:t>cé du pouvoir. Les figures du prophétisme sont du même ordre, et il était déjà très remarquable, dans les années 1960, de pouvoir constater que le di</w:t>
      </w:r>
      <w:r w:rsidRPr="00BC632B">
        <w:t>s</w:t>
      </w:r>
      <w:r w:rsidRPr="00BC632B">
        <w:t>cours et la pratique du prophète le plus connu de Côte-d'Ivoire, Albert Atcho, selon les moments ou selon l'angle d'analyse retenu, pouvaient apparaître soit comme un modèle d'aliénation à l'o</w:t>
      </w:r>
      <w:r w:rsidRPr="00BC632B">
        <w:t>r</w:t>
      </w:r>
      <w:r w:rsidRPr="00BC632B">
        <w:t>dre des choses existant, soit comme une expression radicale de la contestation, de la dénonciation et du refus.</w:t>
      </w:r>
    </w:p>
    <w:p w:rsidR="00B7214C" w:rsidRPr="00BC632B" w:rsidRDefault="00B7214C" w:rsidP="00B7214C">
      <w:pPr>
        <w:spacing w:before="120" w:after="120"/>
        <w:jc w:val="both"/>
      </w:pPr>
      <w:r w:rsidRPr="00BC632B">
        <w:t>Aujourd'hui, alors que se multiplient les mouvements prophétiques - cette multiplication par elle-même étant un signe subversif -, les d</w:t>
      </w:r>
      <w:r w:rsidRPr="00BC632B">
        <w:t>é</w:t>
      </w:r>
      <w:r w:rsidRPr="00BC632B">
        <w:t>clarations d'allégeance au pouvoir, la volonté affirmée d'encourager les travailleurs entreprenants et de stimuler le développement sont i</w:t>
      </w:r>
      <w:r w:rsidRPr="00BC632B">
        <w:t>n</w:t>
      </w:r>
      <w:r w:rsidRPr="00BC632B">
        <w:t>séparables d'un constat de carence qui en relativise la portée et en m</w:t>
      </w:r>
      <w:r w:rsidRPr="00BC632B">
        <w:t>o</w:t>
      </w:r>
      <w:r w:rsidRPr="00BC632B">
        <w:t>difie le sens : la parole du prophète ne signifierait rien, en effet, si elle n'était d'abord une réponse au mal-être, au malheur, à la misère et à la maladie. Si conventionnel que puisse être leur propos, les prophètes, de par leur seule existence, se situent au lieu où l'idéo-logique offre prise à l'histoire, aux reformulations, aux recompositions. Leur amb</w:t>
      </w:r>
      <w:r w:rsidRPr="00BC632B">
        <w:t>i</w:t>
      </w:r>
      <w:r w:rsidRPr="00BC632B">
        <w:t>guïté est à l'image de la situation qu'ils essaient de comprendre et dans laquelle ils tentent d'inscrire leur présence et leur action. Et le pouvoir ne s'y trompe pas, veillant à les cantonner dans une activité strict</w:t>
      </w:r>
      <w:r w:rsidRPr="00BC632B">
        <w:t>e</w:t>
      </w:r>
      <w:r w:rsidRPr="00BC632B">
        <w:t>ment thérapeutique et religieuse, quitte à intervenir lorsqu'ils semblent vouloir mettre en question cette assignation à résidence et proposer des mises en cause plus générales.</w:t>
      </w:r>
    </w:p>
    <w:p w:rsidR="00B7214C" w:rsidRDefault="00B7214C" w:rsidP="00B7214C">
      <w:pPr>
        <w:spacing w:before="120" w:after="120"/>
        <w:jc w:val="both"/>
      </w:pPr>
      <w:r w:rsidRPr="00BC632B">
        <w:t>Du côté des parcours individuels, mon analyse s'est déroulée sur deux plans. Dans la continuité de mes travaux africanistes, j'ai proposé la notion d'itinéraire thérapeutique. Elle s'appliquait en premier lieu aux parcours des patients africains qui ont recours alternativement à différents guérisseurs, à différents prophètes mais aussi à l'hôpital et aux représentants (souvent démunis) de la médecine biologique. Ces parcours sont exemplaires pour plusieurs raisons : 1) ils correspondent à une quête de sens individuel pour laquelle l'enjeu corporel et le rét</w:t>
      </w:r>
      <w:r w:rsidRPr="00BC632B">
        <w:t>a</w:t>
      </w:r>
      <w:r w:rsidRPr="00BC632B">
        <w:t>blissement du lien social ne sont pas distingués ; 2) ils correspondent à un état de société dans lequel les repères de l'identité et de la relation ne sont plus évidents.</w:t>
      </w:r>
    </w:p>
    <w:p w:rsidR="00B7214C" w:rsidRPr="00BC632B" w:rsidRDefault="00B7214C" w:rsidP="00B7214C">
      <w:pPr>
        <w:spacing w:before="120" w:after="120"/>
        <w:jc w:val="both"/>
      </w:pPr>
      <w:r w:rsidRPr="00BC632B">
        <w:br w:type="page"/>
      </w:r>
      <w:r>
        <w:t>[25]</w:t>
      </w:r>
    </w:p>
    <w:p w:rsidR="00B7214C" w:rsidRPr="00BC632B" w:rsidRDefault="00B7214C" w:rsidP="00B7214C">
      <w:pPr>
        <w:spacing w:before="120" w:after="120"/>
        <w:jc w:val="both"/>
      </w:pPr>
      <w:r w:rsidRPr="00BC632B">
        <w:t xml:space="preserve">Ces deux considérations s'appliquent exemplairement à la société industrielle moderne. J'ai ainsi été naturellement amené à évoquer dans quelques essais les modalités ordinaires de construction du sens quotidien (dans </w:t>
      </w:r>
      <w:r w:rsidRPr="005F6132">
        <w:rPr>
          <w:i/>
          <w:iCs/>
        </w:rPr>
        <w:t>La traversée du Luxembourg),</w:t>
      </w:r>
      <w:r w:rsidRPr="00BC632B">
        <w:t xml:space="preserve"> puis à conduire une réflexion sur les différents types d'espaces auxquels nous faisons a</w:t>
      </w:r>
      <w:r w:rsidRPr="00BC632B">
        <w:t>u</w:t>
      </w:r>
      <w:r w:rsidRPr="00BC632B">
        <w:t xml:space="preserve">jourd'hui volontiers référence : l'espace de la ville (dans </w:t>
      </w:r>
      <w:r w:rsidRPr="005F6132">
        <w:rPr>
          <w:i/>
          <w:iCs/>
        </w:rPr>
        <w:t>Un ethnol</w:t>
      </w:r>
      <w:r w:rsidRPr="005F6132">
        <w:rPr>
          <w:i/>
          <w:iCs/>
        </w:rPr>
        <w:t>o</w:t>
      </w:r>
      <w:r w:rsidRPr="005F6132">
        <w:rPr>
          <w:i/>
          <w:iCs/>
        </w:rPr>
        <w:t>gue dans le métro),</w:t>
      </w:r>
      <w:r w:rsidRPr="00BC632B">
        <w:t xml:space="preserve"> l'espace souvent mythique du terroir et du territo</w:t>
      </w:r>
      <w:r w:rsidRPr="00BC632B">
        <w:t>i</w:t>
      </w:r>
      <w:r w:rsidRPr="00BC632B">
        <w:t xml:space="preserve">re (dans </w:t>
      </w:r>
      <w:r w:rsidRPr="005F6132">
        <w:rPr>
          <w:i/>
          <w:iCs/>
        </w:rPr>
        <w:t>Domaines et Châteaux),</w:t>
      </w:r>
      <w:r w:rsidRPr="00BC632B">
        <w:t xml:space="preserve"> les espaces du transport et de la communication caractéristiques de notre époque (aéroports, autoro</w:t>
      </w:r>
      <w:r w:rsidRPr="00BC632B">
        <w:t>u</w:t>
      </w:r>
      <w:r w:rsidRPr="00BC632B">
        <w:t>tes, échangeurs, grandes surfaces, réseaux divers de transmission et de communication) à pr</w:t>
      </w:r>
      <w:r w:rsidRPr="00BC632B">
        <w:t>o</w:t>
      </w:r>
      <w:r w:rsidRPr="00BC632B">
        <w:t xml:space="preserve">pos desquels on serait tenté d'imaginer ce que pourrait être ce que j'ai appelé, d'un terme paradoxal et contradictoire, une ethnologie de la solitude. Ces espaces (que j'ai analysés dans mon livre </w:t>
      </w:r>
      <w:r w:rsidRPr="005F6132">
        <w:rPr>
          <w:i/>
          <w:iCs/>
        </w:rPr>
        <w:t>Non-lieux)</w:t>
      </w:r>
      <w:r w:rsidRPr="00BC632B">
        <w:t xml:space="preserve"> correspondent à une situation de </w:t>
      </w:r>
      <w:r w:rsidRPr="005F6132">
        <w:rPr>
          <w:i/>
          <w:iCs/>
        </w:rPr>
        <w:t>surmodernité</w:t>
      </w:r>
      <w:r w:rsidRPr="00BC632B">
        <w:t xml:space="preserve"> cara</w:t>
      </w:r>
      <w:r w:rsidRPr="00BC632B">
        <w:t>c</w:t>
      </w:r>
      <w:r w:rsidRPr="00BC632B">
        <w:t>térisée par le triple e</w:t>
      </w:r>
      <w:r w:rsidRPr="00BC632B">
        <w:t>x</w:t>
      </w:r>
      <w:r w:rsidRPr="00BC632B">
        <w:t>cès mentionné plus haut : excès événementiel, lié à l'influence des médias, excès d'images, sous la même influence, excès d'individualisation, lié à l'affaissement des cosmologies colle</w:t>
      </w:r>
      <w:r w:rsidRPr="00BC632B">
        <w:t>c</w:t>
      </w:r>
      <w:r w:rsidRPr="00BC632B">
        <w:t>tives.</w:t>
      </w:r>
    </w:p>
    <w:p w:rsidR="00B7214C" w:rsidRPr="00BC632B" w:rsidRDefault="00B7214C" w:rsidP="00B7214C">
      <w:pPr>
        <w:spacing w:before="120" w:after="120"/>
        <w:jc w:val="both"/>
      </w:pPr>
      <w:r w:rsidRPr="00BC632B">
        <w:t>L'analyse de l'espace est ici décisive. L'ethnologie du proche, de l'Europe et spécialement de la France n'a accédé à la dignité de l'et</w:t>
      </w:r>
      <w:r w:rsidRPr="00BC632B">
        <w:t>h</w:t>
      </w:r>
      <w:r w:rsidRPr="00BC632B">
        <w:t>nologie « exotique », l'ethnologie des lointains, qu'en inscrivant ses analyses dans l'espace, substituant ainsi la rigueur prosaïque de l'a</w:t>
      </w:r>
      <w:r w:rsidRPr="00BC632B">
        <w:t>p</w:t>
      </w:r>
      <w:r w:rsidRPr="00BC632B">
        <w:t>proche monographique aux nostalgies et parfois aux dérives de l'a</w:t>
      </w:r>
      <w:r w:rsidRPr="00BC632B">
        <w:t>p</w:t>
      </w:r>
      <w:r w:rsidRPr="00BC632B">
        <w:t>proche folkloriste. L'ethnologie du proche s'est ainsi assignée des lieux d'étude qui constituaient autant d'objets d'analyse. Mais la contemporanéité qu'affronte aujourd'hui l'analyse anthropologique n'est pas essentiellement constituée de lieux. Le lieu, le lieu anthrop</w:t>
      </w:r>
      <w:r w:rsidRPr="00BC632B">
        <w:t>o</w:t>
      </w:r>
      <w:r w:rsidRPr="00BC632B">
        <w:t>logique, c'est un espace où sont symbolisées des identités, des rel</w:t>
      </w:r>
      <w:r w:rsidRPr="00BC632B">
        <w:t>a</w:t>
      </w:r>
      <w:r w:rsidRPr="00BC632B">
        <w:t>tions et une histoire ; pour Mauss et pour toute une tradition anthrop</w:t>
      </w:r>
      <w:r w:rsidRPr="00BC632B">
        <w:t>o</w:t>
      </w:r>
      <w:r w:rsidRPr="00BC632B">
        <w:t>logique qui trouve son expression la plus achevée dans le culturali</w:t>
      </w:r>
      <w:r w:rsidRPr="00BC632B">
        <w:t>s</w:t>
      </w:r>
      <w:r w:rsidRPr="00BC632B">
        <w:t>me, toute culture est localisée dans le temps et l'espace, et c'est d'ai</w:t>
      </w:r>
      <w:r w:rsidRPr="00BC632B">
        <w:t>l</w:t>
      </w:r>
      <w:r w:rsidRPr="00BC632B">
        <w:t>leurs ce qui permet à l'ethnologue de l'étudier comme si, par une sorte d'harmonie préétablie, l'activité de symbolisation et de marquage de l'espace (espace sauvage/espace cultivé, espace profane/espace sacré, systèmes de moitiés, règles de résidence, compartimentation de l'esp</w:t>
      </w:r>
      <w:r w:rsidRPr="00BC632B">
        <w:t>a</w:t>
      </w:r>
      <w:r w:rsidRPr="00BC632B">
        <w:t>ce domestique) avait procédé au rebours de ce que serait ultérieur</w:t>
      </w:r>
      <w:r w:rsidRPr="00BC632B">
        <w:t>e</w:t>
      </w:r>
      <w:r w:rsidRPr="00BC632B">
        <w:t>ment le décryptage de l'ethnologue appelé à lire à travers l'organis</w:t>
      </w:r>
      <w:r w:rsidRPr="00BC632B">
        <w:t>a</w:t>
      </w:r>
      <w:r w:rsidRPr="00BC632B">
        <w:t>tion spatiale les subtilités de la logique symbolique et de l'ordre social. Dans les non-lieux caractéristiques de la modernité contemporaine, au contraire, on ne peut lire ni identité, ni relation, ni histoire ; on ne peut retrouver, comme dans les lieux classiquement étudiés par l'ethnol</w:t>
      </w:r>
      <w:r w:rsidRPr="00BC632B">
        <w:t>o</w:t>
      </w:r>
      <w:r w:rsidRPr="00BC632B">
        <w:t>gie, les repères et les symboles des identités partagées. L'extension des non-lieux à la terre entière, dans des proportions encore inégales, l'a</w:t>
      </w:r>
      <w:r w:rsidRPr="00BC632B">
        <w:t>f</w:t>
      </w:r>
      <w:r w:rsidRPr="00BC632B">
        <w:t>faiblissement parallèle des cosmologies ou des rhétoriques interm</w:t>
      </w:r>
      <w:r w:rsidRPr="00BC632B">
        <w:t>é</w:t>
      </w:r>
      <w:r w:rsidRPr="00BC632B">
        <w:t>diaires, qui reposaient sur la pérennité et la symbolisation du lieu, et la dissolution consécutive des liens sociaux qui y correspondaient, au total un certain rapport solitaire au monde caractérisent ainsi</w:t>
      </w:r>
      <w:r>
        <w:t xml:space="preserve"> [26] </w:t>
      </w:r>
      <w:r w:rsidRPr="00BC632B">
        <w:t>la modernité contemporaine. Mais nombre de phénomènes étudiés par l'ethnologie classique et, plus spécifiquement, les phénomènes dits de « contact culturel » préfiguraient cette « délocalisation » du social.</w:t>
      </w:r>
    </w:p>
    <w:p w:rsidR="00B7214C" w:rsidRPr="00BC632B" w:rsidRDefault="00B7214C" w:rsidP="00B7214C">
      <w:pPr>
        <w:spacing w:before="120" w:after="120"/>
        <w:jc w:val="both"/>
      </w:pPr>
      <w:r w:rsidRPr="00BC632B">
        <w:t xml:space="preserve">Nous avons toujours eu tendance à étudier ces phénomènes en fonction des urgences du moment où ils apparaissaient et par rapport aux modèles passés qu'ils modifiaient et adaptaient. C'est encore ce que fait Sahlins dans son livre </w:t>
      </w:r>
      <w:r w:rsidRPr="005F6132">
        <w:rPr>
          <w:i/>
          <w:iCs/>
        </w:rPr>
        <w:t>Islands of History</w:t>
      </w:r>
      <w:r w:rsidRPr="00BC632B">
        <w:t xml:space="preserve"> (Chicago Press, 1985 ; Gallimard/Le Seuil, 1989) lorsqu'il remarque, à propos d'H</w:t>
      </w:r>
      <w:r w:rsidRPr="00BC632B">
        <w:t>a</w:t>
      </w:r>
      <w:r w:rsidRPr="00BC632B">
        <w:t>waï, qu'en plaçant leurs concepts et leurs catégories « en relation o</w:t>
      </w:r>
      <w:r w:rsidRPr="00BC632B">
        <w:t>s</w:t>
      </w:r>
      <w:r w:rsidRPr="00BC632B">
        <w:t>tensible avec le monde », les sociétés s'exposaient à leur voir subir une « réévaluation fonctionnelle ». Les termes et parfois les instit</w:t>
      </w:r>
      <w:r w:rsidRPr="00BC632B">
        <w:t>u</w:t>
      </w:r>
      <w:r w:rsidRPr="00BC632B">
        <w:t>tions demeurent mais elles changent de signification. Ainsi la notion de tabou, qui désignait la qualité spécifique des biens réservés à la d</w:t>
      </w:r>
      <w:r w:rsidRPr="00BC632B">
        <w:t>i</w:t>
      </w:r>
      <w:r w:rsidRPr="00BC632B">
        <w:t>vinité, est devenue, à l'épreuve du contact européen, le simple signe d'un droit de prospérité matérielle.</w:t>
      </w:r>
    </w:p>
    <w:p w:rsidR="00B7214C" w:rsidRPr="00BC632B" w:rsidRDefault="00B7214C" w:rsidP="00B7214C">
      <w:pPr>
        <w:spacing w:before="120" w:after="120"/>
        <w:jc w:val="both"/>
      </w:pPr>
      <w:r w:rsidRPr="00BC632B">
        <w:t>Cette démarche est incontestablement légitime mais le moment est peut-être venu de considérer les phénomènes de contact, y compris sous leurs formes les plus spectaculaires (prophétismes, messiani</w:t>
      </w:r>
      <w:r w:rsidRPr="00BC632B">
        <w:t>s</w:t>
      </w:r>
      <w:r w:rsidRPr="00BC632B">
        <w:t>mes), d'un autre point de vue : non plus simplement comme des mod</w:t>
      </w:r>
      <w:r w:rsidRPr="00BC632B">
        <w:t>i</w:t>
      </w:r>
      <w:r w:rsidRPr="00BC632B">
        <w:t>fications du passé et des adaptations à une situation particulière mais comme une anticipation de ce qui est devenu aujourd'hui notre lot commun, notre contemporanéité. Les sociétés colonisées ont été les premières à subir le choc d'une mondialisation aujourd'hui parvenue à son terme. Leurs utopies sont à cet égard parlantes et les prophètes s'efforcent visiblement de reconstruire des lieux, des cosmologies et un langage. Mais par leur effort pour retenir auprès d'eux des patients et des fidèles peu patients et peu fidèles, pressés de trouver un remède à leurs maux en se précipitant d'un guérisseur à l'autre en passant par l'hôpital ou le dispensaire, ils soulignent le caractère singulier, indiv</w:t>
      </w:r>
      <w:r w:rsidRPr="00BC632B">
        <w:t>i</w:t>
      </w:r>
      <w:r w:rsidRPr="00BC632B">
        <w:t>duel et solitaire des parcours thérapeutiques et religieux. Et l'ethnol</w:t>
      </w:r>
      <w:r w:rsidRPr="00BC632B">
        <w:t>o</w:t>
      </w:r>
      <w:r w:rsidRPr="00BC632B">
        <w:t>gue qui étudie telle ou telle institution médico-religieuse est ainsi inv</w:t>
      </w:r>
      <w:r w:rsidRPr="00BC632B">
        <w:t>i</w:t>
      </w:r>
      <w:r w:rsidRPr="00BC632B">
        <w:t>té à ne pas limiter son observation à la communauté dont rêve le gu</w:t>
      </w:r>
      <w:r w:rsidRPr="00BC632B">
        <w:t>é</w:t>
      </w:r>
      <w:r w:rsidRPr="00BC632B">
        <w:t>risseur ou le prophète mais à prendre en considération la multiplicité des parcours individuels qui y convergent de façon plus ou moins d</w:t>
      </w:r>
      <w:r w:rsidRPr="00BC632B">
        <w:t>u</w:t>
      </w:r>
      <w:r w:rsidRPr="00BC632B">
        <w:t>rable ou éphémère.</w:t>
      </w:r>
    </w:p>
    <w:p w:rsidR="00B7214C" w:rsidRDefault="00B7214C" w:rsidP="00B7214C">
      <w:pPr>
        <w:spacing w:before="120" w:after="120"/>
        <w:jc w:val="both"/>
      </w:pPr>
      <w:r w:rsidRPr="00BC632B">
        <w:t>Depuis Durkheim il pourrait sembler que la place de l'individu dans la recherche socio-anthropologique est définie négativement : les sciences de la société n'ont pas à connaître l'individu. Considérer les faits sociaux comme des choses, c'est admettre qu'il y a un niveau d'observation et d'analyse depuis lequel on peut et doit faire abstra</w:t>
      </w:r>
      <w:r w:rsidRPr="00BC632B">
        <w:t>c</w:t>
      </w:r>
      <w:r w:rsidRPr="00BC632B">
        <w:t>tion des intentions et des particularités individuelles. Les plus hautes ambitions des sciences sociales se sont inscrites dans ce courant de pensée qui a trouvé l'une de ses réalisations les plus achevées dans l'ensemble de réflexions et de théories parfois abusivement unifié sous le terme « structuralisme ».</w:t>
      </w:r>
    </w:p>
    <w:p w:rsidR="00B7214C" w:rsidRPr="00BC632B" w:rsidRDefault="00B7214C" w:rsidP="00B7214C">
      <w:pPr>
        <w:spacing w:before="120" w:after="120"/>
        <w:jc w:val="both"/>
      </w:pPr>
      <w:r>
        <w:t>[27]</w:t>
      </w:r>
    </w:p>
    <w:p w:rsidR="00B7214C" w:rsidRPr="00BC632B" w:rsidRDefault="00B7214C" w:rsidP="00B7214C">
      <w:pPr>
        <w:spacing w:before="120" w:after="120"/>
        <w:jc w:val="both"/>
      </w:pPr>
      <w:r w:rsidRPr="00BC632B">
        <w:t>Mais plusieurs aspects et plusieurs étapes se laissent ici distinguer. La sociologie durkheimienne n'ignore ni la diversité du social, ni l'e</w:t>
      </w:r>
      <w:r w:rsidRPr="00BC632B">
        <w:t>f</w:t>
      </w:r>
      <w:r w:rsidRPr="00BC632B">
        <w:t xml:space="preserve">ficacité des émotions. Durkheim déplore déjà dans </w:t>
      </w:r>
      <w:hyperlink r:id="rId23" w:history="1">
        <w:r w:rsidRPr="004258E7">
          <w:rPr>
            <w:rStyle w:val="Lienhypertexte"/>
            <w:szCs w:val="22"/>
            <w:lang w:eastAsia="fr-FR" w:bidi="fr-FR"/>
          </w:rPr>
          <w:t>La division sociale du travail</w:t>
        </w:r>
      </w:hyperlink>
      <w:r w:rsidRPr="00BC632B">
        <w:t xml:space="preserve"> l'affaiblissement des « corps intermédiaires » (l'école, les syndicats) qui avaient permis l'intégration des individus d'origine étrangère à la nation française. Dans les</w:t>
      </w:r>
      <w:r w:rsidRPr="007D2F63">
        <w:rPr>
          <w:i/>
        </w:rPr>
        <w:t xml:space="preserve"> </w:t>
      </w:r>
      <w:hyperlink r:id="rId24" w:history="1">
        <w:r w:rsidRPr="007D2F63">
          <w:rPr>
            <w:rStyle w:val="Lienhypertexte"/>
            <w:i/>
            <w:szCs w:val="22"/>
            <w:lang w:eastAsia="fr-FR" w:bidi="fr-FR"/>
          </w:rPr>
          <w:t>Formes élémentaires de la vie religieuse</w:t>
        </w:r>
      </w:hyperlink>
      <w:r w:rsidRPr="00BC632B">
        <w:rPr>
          <w:rStyle w:val="Corpsdutexte2Italique"/>
        </w:rPr>
        <w:t>,</w:t>
      </w:r>
      <w:r w:rsidRPr="00BC632B">
        <w:t xml:space="preserve"> il insiste non seulement sur le caractère collectif des repr</w:t>
      </w:r>
      <w:r w:rsidRPr="00BC632B">
        <w:t>é</w:t>
      </w:r>
      <w:r w:rsidRPr="00BC632B">
        <w:t>sentations du social qui font à ses yeux la vérité du sentiment rel</w:t>
      </w:r>
      <w:r w:rsidRPr="00BC632B">
        <w:t>i</w:t>
      </w:r>
      <w:r w:rsidRPr="00BC632B">
        <w:t>gieux, mais également sur le rôle de la remémoration qui donne leur caractère particulier aux cérémonies où, simultanément, le groupe se reconnaît et se rappelle. Il s'agit toujours dans l'expérience religieuse d'une fusion intellectuelle et affective où l'individu se perd dans la conscience partagée d'un destin collectif - aussi nécessaire à cette e</w:t>
      </w:r>
      <w:r w:rsidRPr="00BC632B">
        <w:t>x</w:t>
      </w:r>
      <w:r w:rsidRPr="00BC632B">
        <w:t>périence que dépassée par elle.</w:t>
      </w:r>
    </w:p>
    <w:p w:rsidR="00B7214C" w:rsidRDefault="00B7214C" w:rsidP="00B7214C">
      <w:pPr>
        <w:spacing w:before="120" w:after="120"/>
        <w:jc w:val="both"/>
      </w:pPr>
      <w:r w:rsidRPr="00BC632B">
        <w:t>Cette difficulté (présence-absence de la réalité individuelle dans l'analyse anthropologique) réapparaît dans la pensée des anthropol</w:t>
      </w:r>
      <w:r w:rsidRPr="00BC632B">
        <w:t>o</w:t>
      </w:r>
      <w:r w:rsidRPr="00BC632B">
        <w:t>gues comme le symptôme d'une inquiétude sans réponse, d'une que</w:t>
      </w:r>
      <w:r w:rsidRPr="00BC632B">
        <w:t>s</w:t>
      </w:r>
      <w:r w:rsidRPr="00BC632B">
        <w:t>tion mal élucidée : de qui les anthropologues parlent-ils quand ils pa</w:t>
      </w:r>
      <w:r w:rsidRPr="00BC632B">
        <w:t>r</w:t>
      </w:r>
      <w:r w:rsidRPr="00BC632B">
        <w:t>lent de ceux dont ils parlent ? Mauss a abordé cette question d'une manière à la fois maladroite et révélatrice. Parallèlement à la notion de fait social total/il a en effet proposé la notion d'homme total. L'homme total c'est l'homme étudié dans toutes ses dimensions (physique, ph</w:t>
      </w:r>
      <w:r w:rsidRPr="00BC632B">
        <w:t>y</w:t>
      </w:r>
      <w:r w:rsidRPr="00BC632B">
        <w:t>siologique, sociale, etc.) mais c'est aussi et avant tout l'homme « moyen ». La notion d'homme moyen ne correspond pas à une a</w:t>
      </w:r>
      <w:r w:rsidRPr="00BC632B">
        <w:t>p</w:t>
      </w:r>
      <w:r w:rsidRPr="00BC632B">
        <w:t>proximation statistique mais à un modèle qui, dans un certain état de société ou dans certaines classes de la société, correspond à une réal</w:t>
      </w:r>
      <w:r w:rsidRPr="00BC632B">
        <w:t>i</w:t>
      </w:r>
      <w:r w:rsidRPr="00BC632B">
        <w:t>té. Ce qui individualise les hommes, nous dit Mauss en substance, c'est la conscience réflexive qui permet aux individus évolués une m</w:t>
      </w:r>
      <w:r w:rsidRPr="00BC632B">
        <w:t>i</w:t>
      </w:r>
      <w:r w:rsidRPr="00BC632B">
        <w:t>se à distance de soi et constitue un rempart contre les émois collectifs. Mauss s'intéresse à juste titre à des phénomènes comme le sens des obligations ou la prière, pensée comme cause efficace par celui qui prie, à toutes les « réponses » instinctives auxquelles s'apparentent les mouvements de masse. Mais c'est au prix d'une distinction entre hommes évolués (ceux des hautes castes de nos civilisations qui ne sont généralement pas, nous dit-il, ceux que le sociologue doit étudier) et hommes moins évolués, et d'une assimilation entre sociétés les moins évoluées et couches sociales les moins évoluées des sociétés modernes. La conscience réflexive, l'individualité réelle (privilèges de l'évolution et privilèges de classe) ne sont pas l'objet de l'anthropol</w:t>
      </w:r>
      <w:r w:rsidRPr="00BC632B">
        <w:t>o</w:t>
      </w:r>
      <w:r w:rsidRPr="00BC632B">
        <w:t>gue qui s'assigne l'étude de l'homme « total », c'est-à-dire « instinctif » ou encore « moyen » : « L'homme ordinaire est déjà dédoublé et se sent une âme ; mais il n'est pas maître de lui-même. L'homme moyen de nos jours - et ceci est surtout vrai des femmes - et presque tous les hommes des sociétés archaïques ou arriérées, est un « total » : il est affecté dans tout son être par la moindre de ses perceptions et par le moindre choc mental. L'étude de cette « totalité » est capitale, par conséquent, pour tout ce qui ne concerne pas l'élite de nos sociétés modernes » (</w:t>
      </w:r>
      <w:r w:rsidRPr="005F6132">
        <w:rPr>
          <w:i/>
          <w:iCs/>
        </w:rPr>
        <w:t>Sociologie et Anthropologie,</w:t>
      </w:r>
      <w:r w:rsidRPr="00BC632B">
        <w:t xml:space="preserve"> p. 306).</w:t>
      </w:r>
    </w:p>
    <w:p w:rsidR="00B7214C" w:rsidRPr="00BC632B" w:rsidRDefault="00B7214C" w:rsidP="00B7214C">
      <w:pPr>
        <w:spacing w:before="120" w:after="120"/>
        <w:jc w:val="both"/>
      </w:pPr>
      <w:r>
        <w:t>[28]</w:t>
      </w:r>
    </w:p>
    <w:p w:rsidR="00B7214C" w:rsidRPr="00BC632B" w:rsidRDefault="00B7214C" w:rsidP="00B7214C">
      <w:pPr>
        <w:spacing w:before="120" w:after="120"/>
        <w:jc w:val="both"/>
      </w:pPr>
      <w:r w:rsidRPr="00BC632B">
        <w:t>On voit ainsi que le renoncement à étudier l'homme dans sa dime</w:t>
      </w:r>
      <w:r w:rsidRPr="00BC632B">
        <w:t>n</w:t>
      </w:r>
      <w:r w:rsidRPr="00BC632B">
        <w:t>sion individuelle passe par une conception biaisée de l'homme « moyen » (que l'on pourrait dire aussi bien « culturel » parce que to</w:t>
      </w:r>
      <w:r w:rsidRPr="00BC632B">
        <w:t>u</w:t>
      </w:r>
      <w:r w:rsidRPr="00BC632B">
        <w:t>tes ses attitudes sont des réponses instinctives mais codées et symbol</w:t>
      </w:r>
      <w:r w:rsidRPr="00BC632B">
        <w:t>i</w:t>
      </w:r>
      <w:r w:rsidRPr="00BC632B">
        <w:t>sées par la culture), de l'homme « moyen » à conscience réflexive moins développée et, de ce fait, incapable d'initiatives originales, et par une conception également biaisée, mais en sens inverse, de l'homme « évolué », l'homme des castes supérieures de la société m</w:t>
      </w:r>
      <w:r w:rsidRPr="00BC632B">
        <w:t>o</w:t>
      </w:r>
      <w:r w:rsidRPr="00BC632B">
        <w:t>derne que Mauss, avec une certaine candeur, estime préservé des e</w:t>
      </w:r>
      <w:r w:rsidRPr="00BC632B">
        <w:t>m</w:t>
      </w:r>
      <w:r w:rsidRPr="00BC632B">
        <w:t>portements instinctifs de la masse.</w:t>
      </w:r>
    </w:p>
    <w:p w:rsidR="00B7214C" w:rsidRPr="00BC632B" w:rsidRDefault="00B7214C" w:rsidP="00B7214C">
      <w:pPr>
        <w:spacing w:before="120" w:after="120"/>
        <w:jc w:val="both"/>
      </w:pPr>
      <w:r w:rsidRPr="00BC632B">
        <w:t>La non-pertinence de la dimension individuelle dans l'appréhe</w:t>
      </w:r>
      <w:r w:rsidRPr="00BC632B">
        <w:t>n</w:t>
      </w:r>
      <w:r w:rsidRPr="00BC632B">
        <w:t>sion du fait social est postulée par des démarches aussi opposées que celle du culturalisme et du structuralisme. Dans un cas nous sommes dans la théorie de l'homme moyen, dans l'autre on s'intéresse à des phénomènes (transformations du mythe, logique des systèmes d'a</w:t>
      </w:r>
      <w:r w:rsidRPr="00BC632B">
        <w:t>l</w:t>
      </w:r>
      <w:r w:rsidRPr="00BC632B">
        <w:t>liance matrimoniale) qui se situent à un autre niveau que celui des pr</w:t>
      </w:r>
      <w:r w:rsidRPr="00BC632B">
        <w:t>a</w:t>
      </w:r>
      <w:r w:rsidRPr="00BC632B">
        <w:t>tiques sociales.</w:t>
      </w:r>
    </w:p>
    <w:p w:rsidR="00B7214C" w:rsidRPr="00BC632B" w:rsidRDefault="00B7214C" w:rsidP="00B7214C">
      <w:pPr>
        <w:spacing w:before="120" w:after="120"/>
        <w:jc w:val="both"/>
      </w:pPr>
      <w:r w:rsidRPr="00BC632B">
        <w:t>Mon propos ici n'est pas d'évoquer en sens inverse les théories qui s'appuient sur les faits d'interaction pour faire dériver le social des comportements individuels. Il est plutôt, au contraire, de montrer qu'à l'intérieur même de la démarche anthropologique qui s'attache, par définition, à appréhender des totalités comparables, s'est peu à peu affirmée une prise en considération plus nette de l'enjeu individuel.</w:t>
      </w:r>
    </w:p>
    <w:p w:rsidR="00B7214C" w:rsidRPr="00BC632B" w:rsidRDefault="00B7214C" w:rsidP="00B7214C">
      <w:pPr>
        <w:spacing w:before="120" w:after="120"/>
        <w:jc w:val="both"/>
      </w:pPr>
      <w:r w:rsidRPr="00BC632B">
        <w:t xml:space="preserve">Cette prise en considération s'est révélée nécessaire à partir du moment où l'intérêt des observateurs s'est porté sur les pratiques et non plus simplement sur les institutions. Un ethnologue comme Marc Abélès, lorsqu'il veut étudier le jeu politique dans la France moderne, tire à ce propos profit de son expérience africaniste. L'anthropologie africaniste, en effet, a révélé l'existence de dispositifs de pouvoir là même où il n'y a pas d'institution politique pleinement autonome, comme chez les Nuer étudiés par Evans-Pritchard. Pour Marc Abélès, dans ses deux ouvrages. </w:t>
      </w:r>
      <w:r w:rsidRPr="005F6132">
        <w:rPr>
          <w:i/>
          <w:iCs/>
        </w:rPr>
        <w:t>Jours tranquilles en 89. Ethnologie politique d'un département français</w:t>
      </w:r>
      <w:r w:rsidRPr="00BC632B">
        <w:t xml:space="preserve"> (Odile Jacob, 1989) et </w:t>
      </w:r>
      <w:r w:rsidRPr="005F6132">
        <w:rPr>
          <w:i/>
          <w:iCs/>
        </w:rPr>
        <w:t>Anthropologie de l'État</w:t>
      </w:r>
      <w:r w:rsidRPr="00BC632B">
        <w:t xml:space="preserve"> (Armand Colin, 1990), la politique moderne analysée par l'a</w:t>
      </w:r>
      <w:r w:rsidRPr="00BC632B">
        <w:t>n</w:t>
      </w:r>
      <w:r w:rsidRPr="00BC632B">
        <w:t>thropologue doit comb</w:t>
      </w:r>
      <w:r w:rsidRPr="00BC632B">
        <w:t>i</w:t>
      </w:r>
      <w:r w:rsidRPr="00BC632B">
        <w:t>ner trois intérêts : pour le pouvoir, son accès et son exercice, pour le territoire et les identités qui s'y affirment, pour les représentations et les pratiques qui façonnent la sphère du public.</w:t>
      </w:r>
    </w:p>
    <w:p w:rsidR="00B7214C" w:rsidRPr="00BC632B" w:rsidRDefault="00B7214C" w:rsidP="00B7214C">
      <w:pPr>
        <w:spacing w:before="120" w:after="120"/>
        <w:jc w:val="both"/>
      </w:pPr>
      <w:r w:rsidRPr="00BC632B">
        <w:t>La démarche de Marc Abélès, sous cet aspect, s'inspire de celle de Michel Foucault. Celui-ci, en effet, a voulu dans ses travaux sur la folie, le sexe, la prison, qui le confrontaient à l'omniprésence des a</w:t>
      </w:r>
      <w:r w:rsidRPr="00BC632B">
        <w:t>p</w:t>
      </w:r>
      <w:r w:rsidRPr="00BC632B">
        <w:t>pareils institutionnels et des normes officielles, contourner cet obst</w:t>
      </w:r>
      <w:r w:rsidRPr="00BC632B">
        <w:t>a</w:t>
      </w:r>
      <w:r w:rsidRPr="00BC632B">
        <w:t xml:space="preserve">cle et analyser le « comment », le pouvoir en acte comme « mode d'action sur des actions ». Il écrit ainsi dans </w:t>
      </w:r>
      <w:r w:rsidRPr="005F6132">
        <w:rPr>
          <w:i/>
          <w:iCs/>
        </w:rPr>
        <w:t>La volonté de savoir</w:t>
      </w:r>
      <w:r w:rsidRPr="00BC632B">
        <w:t xml:space="preserve"> (Ga</w:t>
      </w:r>
      <w:r w:rsidRPr="00BC632B">
        <w:t>l</w:t>
      </w:r>
      <w:r w:rsidRPr="00BC632B">
        <w:t>limard, 1976) : « L'analyse en termes</w:t>
      </w:r>
      <w:r>
        <w:t xml:space="preserve"> [29] </w:t>
      </w:r>
      <w:r w:rsidRPr="00BC632B">
        <w:t>de pouvoir ne doit pas po</w:t>
      </w:r>
      <w:r w:rsidRPr="00BC632B">
        <w:t>s</w:t>
      </w:r>
      <w:r w:rsidRPr="00BC632B">
        <w:t>tuler comme données initiales la souv</w:t>
      </w:r>
      <w:r w:rsidRPr="00BC632B">
        <w:t>e</w:t>
      </w:r>
      <w:r w:rsidRPr="00BC632B">
        <w:t>raineté de l'État, les formes de la loi ou l'unité globale d'une domin</w:t>
      </w:r>
      <w:r w:rsidRPr="00BC632B">
        <w:t>a</w:t>
      </w:r>
      <w:r w:rsidRPr="00BC632B">
        <w:t>tion ; celles-ci n'en sont que les formes terminales ». Ainsi s'esquisse une approche anthropologique de l'histoire qui peut être dérangeante, comme celle de Michel de Ce</w:t>
      </w:r>
      <w:r w:rsidRPr="00BC632B">
        <w:t>r</w:t>
      </w:r>
      <w:r w:rsidRPr="00BC632B">
        <w:t>teau, mais qui me paraît plus authent</w:t>
      </w:r>
      <w:r w:rsidRPr="00BC632B">
        <w:t>i</w:t>
      </w:r>
      <w:r w:rsidRPr="00BC632B">
        <w:t>quement anthropologique que d'autres dans la mesure où elle se donne comme point de départ et comme objet d'analyse l'aliénation à l'institution dont parlait Castori</w:t>
      </w:r>
      <w:r w:rsidRPr="00BC632B">
        <w:t>a</w:t>
      </w:r>
      <w:r w:rsidRPr="00BC632B">
        <w:t>dis.</w:t>
      </w:r>
    </w:p>
    <w:p w:rsidR="00B7214C" w:rsidRPr="00BC632B" w:rsidRDefault="00B7214C" w:rsidP="00B7214C">
      <w:pPr>
        <w:spacing w:before="120" w:after="120"/>
        <w:jc w:val="both"/>
      </w:pPr>
      <w:r w:rsidRPr="00BC632B">
        <w:t>Désinstitutionnaliser et déglobaliser la démarche anthropologique conduit nécessairement à porter une attention accrue aux parcours i</w:t>
      </w:r>
      <w:r w:rsidRPr="00BC632B">
        <w:t>n</w:t>
      </w:r>
      <w:r w:rsidRPr="00BC632B">
        <w:t xml:space="preserve">dividuels. Les notions d'espace et d'individualité sont essentielles à cette orientation nouvelle. Ainsi Michel de Certeau, dans son ouvrage </w:t>
      </w:r>
      <w:r w:rsidRPr="005F6132">
        <w:rPr>
          <w:i/>
          <w:iCs/>
        </w:rPr>
        <w:t>L'invention du quotidien</w:t>
      </w:r>
      <w:r w:rsidRPr="00BC632B">
        <w:t xml:space="preserve"> (Gallimard, 1990), distingue le lieu comme surface géométrique et l'espace comme pratique du lieu. L'appréhe</w:t>
      </w:r>
      <w:r w:rsidRPr="00BC632B">
        <w:t>n</w:t>
      </w:r>
      <w:r w:rsidRPr="00BC632B">
        <w:t>sion globale de la ville (celle qui peut s'effectuer depuis le 110</w:t>
      </w:r>
      <w:r w:rsidRPr="00BC632B">
        <w:rPr>
          <w:vertAlign w:val="superscript"/>
        </w:rPr>
        <w:t>e</w:t>
      </w:r>
      <w:r w:rsidRPr="00BC632B">
        <w:t xml:space="preserve"> étage du World Trade Center) - le point de vue de l'œil solaire - n'a rien à voir avec la connaissance qu'on prend de la ville une fois redescendu au ras du sol. En bas les marcheurs sont pris dans une multitude d'it</w:t>
      </w:r>
      <w:r w:rsidRPr="00BC632B">
        <w:t>i</w:t>
      </w:r>
      <w:r w:rsidRPr="00BC632B">
        <w:t>néraires possibles et Michel de Certeau nous invite à analyser « les pratiques microbiennes, singulières et plurielles », les pratiques d'e</w:t>
      </w:r>
      <w:r w:rsidRPr="00BC632B">
        <w:t>s</w:t>
      </w:r>
      <w:r w:rsidRPr="00BC632B">
        <w:t>pace qui peuvent tricher avec l'ordonnancement d'ensemble.</w:t>
      </w:r>
    </w:p>
    <w:p w:rsidR="00B7214C" w:rsidRPr="00BC632B" w:rsidRDefault="00B7214C" w:rsidP="00B7214C">
      <w:pPr>
        <w:spacing w:before="120" w:after="120"/>
        <w:jc w:val="both"/>
      </w:pPr>
      <w:r w:rsidRPr="00BC632B">
        <w:t>Il présente lui-même cette démarche comme la suite et la récipr</w:t>
      </w:r>
      <w:r w:rsidRPr="00BC632B">
        <w:t>o</w:t>
      </w:r>
      <w:r w:rsidRPr="00BC632B">
        <w:t>que de l'analyse faite par Michel Foucault des structures de pouvoir. Foucault, nous dit-il en effet, a déplacé l'analyse « vers les dispositifs et les procédures techniques, &lt;instrumentalités mineures&gt; capables par la seule organisation de &lt;détail&gt; de transformer une multiplicité humaine en société disciplinaire ». La production d'un espace discipl</w:t>
      </w:r>
      <w:r w:rsidRPr="00BC632B">
        <w:t>i</w:t>
      </w:r>
      <w:r w:rsidRPr="00BC632B">
        <w:t>naire passe par des ajustements, des inventions spécifiquement indiv</w:t>
      </w:r>
      <w:r w:rsidRPr="00BC632B">
        <w:t>i</w:t>
      </w:r>
      <w:r w:rsidRPr="00BC632B">
        <w:t>duelles - version noire des initiatives spatiales auxquelles s'intéresse de Certeau, sensible à la liberté des rhétoriques piétonnières et aux possibilités qu'elles manifestent d'un jeu avec la discipline globale et la contrainte institutionnelle.</w:t>
      </w:r>
    </w:p>
    <w:p w:rsidR="00B7214C" w:rsidRPr="00BC632B" w:rsidRDefault="00B7214C" w:rsidP="00B7214C">
      <w:pPr>
        <w:spacing w:before="120" w:after="120"/>
        <w:jc w:val="both"/>
      </w:pPr>
      <w:r w:rsidRPr="00BC632B">
        <w:t>L'individu réapparaît donc dans le regard anthropologique dès que celui-ci se détourne de l'institution et cesse de considérer la culture comme le tout dont il faut partir pour comprendre les singularités.</w:t>
      </w:r>
    </w:p>
    <w:p w:rsidR="00B7214C" w:rsidRPr="00BC632B" w:rsidRDefault="00B7214C" w:rsidP="00B7214C">
      <w:pPr>
        <w:spacing w:before="120" w:after="120"/>
        <w:jc w:val="both"/>
      </w:pPr>
      <w:r w:rsidRPr="00BC632B">
        <w:t>Mais nous le voyons réapparaître également dans la préoccupation des ethnologues de terrain qui s'intéressent aux représentations et à leur efficacité, comme si l'individu, ou la conscience individuelle, o</w:t>
      </w:r>
      <w:r w:rsidRPr="00BC632B">
        <w:t>c</w:t>
      </w:r>
      <w:r w:rsidRPr="00BC632B">
        <w:t>cupait aujourd'hui, à l'intérieur des objets dont l'ethnologue s'assigne l'étude et des espaces où il la circonscrit, une place majeure. Disons, pour faire vite, que l'élaboration individuelle de représentations doit être d'autant plus prise en considération que nous sommes dans une époque où les rhétoriques intermédiaires s'affaissent et se désorgan</w:t>
      </w:r>
      <w:r w:rsidRPr="00BC632B">
        <w:t>i</w:t>
      </w:r>
      <w:r>
        <w:t>sent. J'entends par « rhétori</w:t>
      </w:r>
      <w:r w:rsidRPr="00BC632B">
        <w:t>ques</w:t>
      </w:r>
      <w:r>
        <w:t xml:space="preserve"> [30]</w:t>
      </w:r>
      <w:r w:rsidRPr="00BC632B">
        <w:t xml:space="preserve"> intermédiaires » les éléments discursif</w:t>
      </w:r>
      <w:r>
        <w:t>s propres aussi bien aux cosmo</w:t>
      </w:r>
      <w:r w:rsidRPr="00BC632B">
        <w:t>logies traditionnelles qu'aux corps intermédiaires (syndicats, partis...) des sociétés modernes et qui donnaient un sens au monde - c'est-à-dire un statut intellectuel et symbolique établi aux relations avec les autres. La nécessité du r</w:t>
      </w:r>
      <w:r w:rsidRPr="00BC632B">
        <w:t>e</w:t>
      </w:r>
      <w:r w:rsidRPr="00BC632B">
        <w:t>cours à l'individu est donc aujou</w:t>
      </w:r>
      <w:r w:rsidRPr="00BC632B">
        <w:t>r</w:t>
      </w:r>
      <w:r w:rsidRPr="00BC632B">
        <w:t>d'hui un constat empirique et une nécessité de méthode.</w:t>
      </w:r>
    </w:p>
    <w:p w:rsidR="00B7214C" w:rsidRPr="00BC632B" w:rsidRDefault="00B7214C" w:rsidP="00B7214C">
      <w:pPr>
        <w:spacing w:before="120" w:after="120"/>
        <w:jc w:val="both"/>
      </w:pPr>
      <w:r w:rsidRPr="00BC632B">
        <w:t>Nul n'exprime mieux cette nécessité, à mon sens, que Gérard Al- thabe lorsqu'il s'intéresse, par exemple, aux espaces périurbains cara</w:t>
      </w:r>
      <w:r w:rsidRPr="00BC632B">
        <w:t>c</w:t>
      </w:r>
      <w:r w:rsidRPr="00BC632B">
        <w:t>téristiques de notre époque. L'enquête est pour lui un cadre composé de ce qu'il appelle « événements de communication » (lesquels pe</w:t>
      </w:r>
      <w:r w:rsidRPr="00BC632B">
        <w:t>u</w:t>
      </w:r>
      <w:r w:rsidRPr="00BC632B">
        <w:t>vent être des entretiens, des réunions, de simples observations) mais chacun des protagonistes de la vie sociale est à l'interaction d'une pl</w:t>
      </w:r>
      <w:r w:rsidRPr="00BC632B">
        <w:t>u</w:t>
      </w:r>
      <w:r w:rsidRPr="00BC632B">
        <w:t>ralité d'« espaces de communication » : « Le redoutable problème du sujet individuel se pose alors. L'ethnologue et ses interlocuteurs sont placés dans une situation qui, du point de vue de chacun des protag</w:t>
      </w:r>
      <w:r w:rsidRPr="00BC632B">
        <w:t>o</w:t>
      </w:r>
      <w:r w:rsidRPr="00BC632B">
        <w:t>nistes, est partielle ; chacun d'entre eux est à l'intersection d'une plur</w:t>
      </w:r>
      <w:r w:rsidRPr="00BC632B">
        <w:t>a</w:t>
      </w:r>
      <w:r w:rsidRPr="00BC632B">
        <w:t xml:space="preserve">lité d'espaces de communication et se protège dans une sphère privée d'où les autres sont maintenus à distance. En conséquence, la manière dont un sujet participe au jeu social étudié ne peut être comprise d'une manière satisfaisante de l'intérieur de celui-ci, à partir de l'espace de communication où l'investigation s'est déroulée. Un prolongement de l'enquête intervient dont l'essentiel n'est plus la communication, mais les sujets qui en sont les acteurs » (« Ethnologie du contemporain et enquête de terrain ». </w:t>
      </w:r>
      <w:r w:rsidRPr="005F6132">
        <w:rPr>
          <w:i/>
          <w:iCs/>
        </w:rPr>
        <w:t>Terrain,</w:t>
      </w:r>
      <w:r w:rsidRPr="00BC632B">
        <w:t xml:space="preserve"> 14,1990).</w:t>
      </w:r>
    </w:p>
    <w:p w:rsidR="00B7214C" w:rsidRPr="00BC632B" w:rsidRDefault="00B7214C" w:rsidP="00B7214C">
      <w:pPr>
        <w:spacing w:before="120" w:after="120"/>
        <w:jc w:val="both"/>
      </w:pPr>
      <w:r w:rsidRPr="00BC632B">
        <w:t>L'entretien de longue durée devient dès lors une nécessité. Dans le tête-à-tête avec l'enquêteur, l'enquêté élabore le récit et la représent</w:t>
      </w:r>
      <w:r w:rsidRPr="00BC632B">
        <w:t>a</w:t>
      </w:r>
      <w:r w:rsidRPr="00BC632B">
        <w:t>tion de son existence, il unifie, ordonne et hiérarchise les diverses s</w:t>
      </w:r>
      <w:r w:rsidRPr="00BC632B">
        <w:t>i</w:t>
      </w:r>
      <w:r w:rsidRPr="00BC632B">
        <w:t>tuations auxquelles il appartient. Il construit une image de lui-même qui intègre les représentations que les autres se font de lui. Il se pr</w:t>
      </w:r>
      <w:r w:rsidRPr="00BC632B">
        <w:t>o</w:t>
      </w:r>
      <w:r w:rsidRPr="00BC632B">
        <w:t>duit ainsi en acteur social et, pourrait-on ajouter, propose du même coup une image de la société dans laquelle il vit.</w:t>
      </w:r>
    </w:p>
    <w:p w:rsidR="00B7214C" w:rsidRPr="00BC632B" w:rsidRDefault="00B7214C" w:rsidP="00B7214C">
      <w:pPr>
        <w:spacing w:before="120" w:after="120"/>
        <w:jc w:val="both"/>
      </w:pPr>
      <w:r w:rsidRPr="00BC632B">
        <w:t>Ces effets de totalisation sont, aujourd'hui, de plus en plus le fait d'individus. Si les conditions de la communication interindividuelle y sont pour quelque chose, il faut aussi, à leur propos, évoquer les no</w:t>
      </w:r>
      <w:r w:rsidRPr="00BC632B">
        <w:t>u</w:t>
      </w:r>
      <w:r w:rsidRPr="00BC632B">
        <w:t>veaux espaces de la modernité et spécialement les nouvelles mobilités qui leur correspondent. Gérard Althabe et son équipe se sont intére</w:t>
      </w:r>
      <w:r w:rsidRPr="00BC632B">
        <w:t>s</w:t>
      </w:r>
      <w:r w:rsidRPr="00BC632B">
        <w:t>sés aux espaces de communication particuliers dans lesquels les sujets ne font que passer, comme les marchés, les bars et les cafés, espaces, nous dit Gérard Althabe, qui se constituent comme des « ailleurs » par rapport au contexte qu'ils mettent à distance (la ville, la famille, le tr</w:t>
      </w:r>
      <w:r w:rsidRPr="00BC632B">
        <w:t>a</w:t>
      </w:r>
      <w:r w:rsidRPr="00BC632B">
        <w:t>vail). J'ajouterai qu'aujourd'hui, de nombreux phénomènes non local</w:t>
      </w:r>
      <w:r w:rsidRPr="00BC632B">
        <w:t>i</w:t>
      </w:r>
      <w:r w:rsidRPr="00BC632B">
        <w:t>sés ou autrement localisés que ceux étudiés traditionnellement par l'ethnologie (la télévision, les médias en</w:t>
      </w:r>
      <w:r>
        <w:t xml:space="preserve"> [31] </w:t>
      </w:r>
      <w:r w:rsidRPr="00BC632B">
        <w:t>général, les images p</w:t>
      </w:r>
      <w:r w:rsidRPr="00BC632B">
        <w:t>u</w:t>
      </w:r>
      <w:r w:rsidRPr="00BC632B">
        <w:t>blicitaires, l'actualité...) poussent à son co</w:t>
      </w:r>
      <w:r w:rsidRPr="00BC632B">
        <w:t>m</w:t>
      </w:r>
      <w:r w:rsidRPr="00BC632B">
        <w:t>ble l'instabilité spatiale et la multiplication des changements d'échelle. Ces phénomènes reco</w:t>
      </w:r>
      <w:r w:rsidRPr="00BC632B">
        <w:t>u</w:t>
      </w:r>
      <w:r w:rsidRPr="00BC632B">
        <w:t>vrent un paradoxe qui est essentiellement, d'un point de vue anthrop</w:t>
      </w:r>
      <w:r w:rsidRPr="00BC632B">
        <w:t>o</w:t>
      </w:r>
      <w:r w:rsidRPr="00BC632B">
        <w:t>logique, le paradoxe contemporain : leur vérité n'est pas locale (les images et les messages médiatisés mettent n'i</w:t>
      </w:r>
      <w:r w:rsidRPr="00BC632B">
        <w:t>m</w:t>
      </w:r>
      <w:r w:rsidRPr="00BC632B">
        <w:t>porte qui en rapport avec le monde entier) mais leur sens immédiat (le type de relation qu'ils permettent d'établir) est plus individuel que collectif. Ils facil</w:t>
      </w:r>
      <w:r w:rsidRPr="00BC632B">
        <w:t>i</w:t>
      </w:r>
      <w:r w:rsidRPr="00BC632B">
        <w:t>tent la réalisation des effets de totalisation individuels. Chacun est ou croit être en relation avec l'ensemble du monde. On peut même imag</w:t>
      </w:r>
      <w:r w:rsidRPr="00BC632B">
        <w:t>i</w:t>
      </w:r>
      <w:r w:rsidRPr="00BC632B">
        <w:t>ner que la conscience (même illusoire) de tout savoir sans rien po</w:t>
      </w:r>
      <w:r w:rsidRPr="00BC632B">
        <w:t>u</w:t>
      </w:r>
      <w:r w:rsidRPr="00BC632B">
        <w:t>voir est à la source du sentiment de crise dont on parle volontiers a</w:t>
      </w:r>
      <w:r w:rsidRPr="00BC632B">
        <w:t>u</w:t>
      </w:r>
      <w:r w:rsidRPr="00BC632B">
        <w:t>jourd'hui à propos des grands systèmes idéologiques ou des grandes institutions mais qui est peut-être, dans son principe, une crise de l'i</w:t>
      </w:r>
      <w:r w:rsidRPr="00BC632B">
        <w:t>n</w:t>
      </w:r>
      <w:r w:rsidRPr="00BC632B">
        <w:t>dividu qu'aucune rhétorique intermédiaire ne protège plus d'une confrontation directe avec l'ensemble informel de la planète ou, ce qui revient au même, avec l'image vertigineuse de sa solitude.</w:t>
      </w:r>
    </w:p>
    <w:p w:rsidR="00B7214C" w:rsidRDefault="00B7214C" w:rsidP="00B7214C">
      <w:pPr>
        <w:spacing w:before="120" w:after="120"/>
        <w:jc w:val="both"/>
      </w:pPr>
      <w:r w:rsidRPr="00BC632B">
        <w:t>Rien ne témoigne mieux de ce rapport solitaire au monde que le r</w:t>
      </w:r>
      <w:r w:rsidRPr="00BC632B">
        <w:t>ô</w:t>
      </w:r>
      <w:r w:rsidRPr="00BC632B">
        <w:t>le joué dans l'appréhension de celui-ci par des textes, des messages et des images qui ont un statut très particulier associé pour nous à la n</w:t>
      </w:r>
      <w:r w:rsidRPr="00BC632B">
        <w:t>o</w:t>
      </w:r>
      <w:r w:rsidRPr="00BC632B">
        <w:t>tion de « média ». Pour le dire autrement, nous sommes passés d'états de société où diverses médiations institutionnelles jouaient un rôle essentiel dans la perception des uns et des autres et des uns par les a</w:t>
      </w:r>
      <w:r w:rsidRPr="00BC632B">
        <w:t>u</w:t>
      </w:r>
      <w:r w:rsidRPr="00BC632B">
        <w:t>tres à des états de société où le rapport de chacun à la globalité du monde passe par les médias. Les cosmologies traditionnelles ou les visions du monde induites par les différents corps intermédiaires au</w:t>
      </w:r>
      <w:r w:rsidRPr="00BC632B">
        <w:t>x</w:t>
      </w:r>
      <w:r w:rsidRPr="00BC632B">
        <w:t>quels nous faisions allusion plus haut symbolisaient la diversité o</w:t>
      </w:r>
      <w:r w:rsidRPr="00BC632B">
        <w:t>r</w:t>
      </w:r>
      <w:r w:rsidRPr="00BC632B">
        <w:t>donnée des relations entre les hommes dans une société donnée : rel</w:t>
      </w:r>
      <w:r w:rsidRPr="00BC632B">
        <w:t>a</w:t>
      </w:r>
      <w:r w:rsidRPr="00BC632B">
        <w:t>tions entre générations, entre sexes, entre castes ou classes, relations de parenté et d'alliance, etc. Il serait sans doute possible de montrer, dans différents contextes, que l'activité rituelle a moins pour but d'ét</w:t>
      </w:r>
      <w:r w:rsidRPr="00BC632B">
        <w:t>a</w:t>
      </w:r>
      <w:r w:rsidRPr="00BC632B">
        <w:t>blir une relation entre le monde humain et le monde divin ou surnat</w:t>
      </w:r>
      <w:r w:rsidRPr="00BC632B">
        <w:t>u</w:t>
      </w:r>
      <w:r w:rsidRPr="00BC632B">
        <w:t>rel (cette dualité ne semble jamais posée comme telle dans les syst</w:t>
      </w:r>
      <w:r w:rsidRPr="00BC632B">
        <w:t>è</w:t>
      </w:r>
      <w:r w:rsidRPr="00BC632B">
        <w:t>mes religieux païens) qu'une relation entre partenaires humains : elle est donc bien à la fois sociale et médiatisée car elle donne du sens à des relations entre hommes. La chose est assez évidente lorsqu'on pense aux rites de naissance, aux rites d'initiation ou aux rituels qui entourent la mort, dont l'effet, sinon la finalité avouée, est toujours de tisser ou de recomposer la trame sociale dont l'arrivée, le vieilliss</w:t>
      </w:r>
      <w:r w:rsidRPr="00BC632B">
        <w:t>e</w:t>
      </w:r>
      <w:r w:rsidRPr="00BC632B">
        <w:t>ment ou la disparition d'individus changent la texture. Les dieux, m</w:t>
      </w:r>
      <w:r w:rsidRPr="00BC632B">
        <w:t>ê</w:t>
      </w:r>
      <w:r w:rsidRPr="00BC632B">
        <w:t>me lorsqu'il y est fait référence sous une forme nettement individual</w:t>
      </w:r>
      <w:r w:rsidRPr="00BC632B">
        <w:t>i</w:t>
      </w:r>
      <w:r w:rsidRPr="00BC632B">
        <w:t>sée (et d'ailleurs anthropomorphe, comme s'ils étaient toujours d'a</w:t>
      </w:r>
      <w:r w:rsidRPr="00BC632B">
        <w:t>n</w:t>
      </w:r>
      <w:r w:rsidRPr="00BC632B">
        <w:t>ciens hommes, des ancêtres), apparaissent bien comme des médiateurs et l'enjeu de leur intervention ou du traitement dont ils sont l'objet de la part des humains est pour l'essentiel une relation entre les hommes.</w:t>
      </w:r>
    </w:p>
    <w:p w:rsidR="00B7214C" w:rsidRPr="00BC632B" w:rsidRDefault="00B7214C" w:rsidP="00B7214C">
      <w:pPr>
        <w:spacing w:before="120" w:after="120"/>
        <w:jc w:val="both"/>
      </w:pPr>
      <w:r>
        <w:t>[32]</w:t>
      </w:r>
    </w:p>
    <w:p w:rsidR="00B7214C" w:rsidRPr="00BC632B" w:rsidRDefault="00B7214C" w:rsidP="00B7214C">
      <w:pPr>
        <w:spacing w:before="120" w:after="120"/>
        <w:jc w:val="both"/>
      </w:pPr>
      <w:r w:rsidRPr="00BC632B">
        <w:t>Lorsque nous parlons de sens en anthropologie, c'est du sens que des hommes peuvent donner à leurs relations réciproques dont nous parlons, du sens social. Et c'est bien de ce sens-là aussi que parlent les individus quand ils s'inquiètent du sens de leur vie. Ce n'est pas mét</w:t>
      </w:r>
      <w:r w:rsidRPr="00BC632B">
        <w:t>a</w:t>
      </w:r>
      <w:r w:rsidRPr="00BC632B">
        <w:t>phoriquement ou secondairement que le parti, le syndicat, pour ceux qui y adhèrent, donnent ou donnaient un sens à la vie : ils préfigurent ce que devraient ou auraient dû être des relations sociales satisfaisa</w:t>
      </w:r>
      <w:r w:rsidRPr="00BC632B">
        <w:t>n</w:t>
      </w:r>
      <w:r w:rsidRPr="00BC632B">
        <w:t>tes, où l'identité de chacun puisse s'éprouver pleinement dans la rel</w:t>
      </w:r>
      <w:r w:rsidRPr="00BC632B">
        <w:t>a</w:t>
      </w:r>
      <w:r w:rsidRPr="00BC632B">
        <w:t>tion à autrui. Nous savons bien que tel n'est pas ou n'est plus toujours le cas, il s'en faut de beaucoup, et c'est bien d'une crise du sens dont nous entendons souvent parler aujourd'hui tant dans le domaine ind</w:t>
      </w:r>
      <w:r w:rsidRPr="00BC632B">
        <w:t>i</w:t>
      </w:r>
      <w:r w:rsidRPr="00BC632B">
        <w:t>viduel (le couple, la famille) que dans le domaine collectif institutio</w:t>
      </w:r>
      <w:r w:rsidRPr="00BC632B">
        <w:t>n</w:t>
      </w:r>
      <w:r w:rsidRPr="00BC632B">
        <w:t>nel (la société, l'Etat).</w:t>
      </w:r>
    </w:p>
    <w:p w:rsidR="00B7214C" w:rsidRPr="00BC632B" w:rsidRDefault="00B7214C" w:rsidP="00B7214C">
      <w:pPr>
        <w:spacing w:before="120" w:after="120"/>
        <w:jc w:val="both"/>
      </w:pPr>
      <w:r w:rsidRPr="00BC632B">
        <w:t>Un élément de cette crise me paraît indubitablement résider dans la substitution, caractéristique de notre modernité, des médias aux m</w:t>
      </w:r>
      <w:r w:rsidRPr="00BC632B">
        <w:t>é</w:t>
      </w:r>
      <w:r w:rsidRPr="00BC632B">
        <w:t>diations. L'objet du message médiatique (la cible disent les publicita</w:t>
      </w:r>
      <w:r w:rsidRPr="00BC632B">
        <w:t>i</w:t>
      </w:r>
      <w:r w:rsidRPr="00BC632B">
        <w:t>res) c'est l'individu défini dans ses fonctions de consommateur ou de citoyen. En sens inverse se proposent à son regard ou à son attention des textes et des images qui ont trait au monde entier, voire à l'espace infini de la guerre des étoiles. Faire ce constat n'est pas suggérer qu'il n'y a pas une sociologie possible des médias, ni des enjeux sociaux aux divers types de médias aujourd'hui à l'œuvre, mais c'est insister sur le fait que les procédures d'élaboration du sens sont confiées aux individus eux-mêmes qui sont invités à y penser et à en penser que</w:t>
      </w:r>
      <w:r w:rsidRPr="00BC632B">
        <w:t>l</w:t>
      </w:r>
      <w:r w:rsidRPr="00BC632B">
        <w:t>que chose par eux-mêmes. L'important n'est pas alors de dénoncer de probables effets d'illusion (de tels effets sont bien évidemment inh</w:t>
      </w:r>
      <w:r w:rsidRPr="00BC632B">
        <w:t>é</w:t>
      </w:r>
      <w:r w:rsidRPr="00BC632B">
        <w:t>rents à toute cosmologie) mais de comprendre un cas de figure inédit dans sa généralité et d'apprendre à en étudier les manifestations.</w:t>
      </w:r>
    </w:p>
    <w:p w:rsidR="00B7214C" w:rsidRPr="00BC632B" w:rsidRDefault="00B7214C" w:rsidP="00B7214C">
      <w:pPr>
        <w:spacing w:before="120" w:after="120"/>
        <w:jc w:val="both"/>
      </w:pPr>
      <w:r w:rsidRPr="00BC632B">
        <w:t>Celles-ci concernent au moins deux ordres de phénomène : nous avons évoqué plus haut les espaces anonymes de la circulation, de la communication et de la diffusion, mais sans doute faut-il, au même titre, considérer comme une caractéristique de notre modernité les phénomènes traditionnellement étudiés par l'ethnologie sous l'intitulé approximatif de « syncrétisme ». Toutes les formes religieuses qui prolifèrent à l'heure actuelle (prophétismes, sectes, fondamentalismes divers) ont en commun de s'adresser à des individus malades ou ma</w:t>
      </w:r>
      <w:r w:rsidRPr="00BC632B">
        <w:t>l</w:t>
      </w:r>
      <w:r w:rsidRPr="00BC632B">
        <w:t>heureux auxquels les médiations ou les cosmologies anciennes ne permettent plus de se situer les uns par rapport aux autres et qui sou</w:t>
      </w:r>
      <w:r w:rsidRPr="00BC632B">
        <w:t>f</w:t>
      </w:r>
      <w:r w:rsidRPr="00BC632B">
        <w:t>frent, en quelque sorte, d'un déficit de sens.</w:t>
      </w:r>
    </w:p>
    <w:p w:rsidR="00B7214C" w:rsidRPr="00BC632B" w:rsidRDefault="00B7214C" w:rsidP="00B7214C">
      <w:pPr>
        <w:spacing w:before="120" w:after="120"/>
        <w:jc w:val="both"/>
      </w:pPr>
      <w:r w:rsidRPr="00BC632B">
        <w:t>Nous sommes bien à l'heure d'une an</w:t>
      </w:r>
      <w:r>
        <w:t>thropologie généralisée, c'est-</w:t>
      </w:r>
      <w:r w:rsidRPr="00BC632B">
        <w:t>à-dire sans exotisme, pour laquelle l'étude du social ne peut plus faire abstraction de la réalité idéologique de l'individu. Quelques lignes de Michel Leiris nous aideront à conclure sur ce point. Dans un court a</w:t>
      </w:r>
      <w:r w:rsidRPr="00BC632B">
        <w:t>r</w:t>
      </w:r>
      <w:r w:rsidRPr="00BC632B">
        <w:t xml:space="preserve">ticle publié en 1930 dans la revue </w:t>
      </w:r>
      <w:r w:rsidRPr="005F6132">
        <w:rPr>
          <w:i/>
          <w:iCs/>
        </w:rPr>
        <w:t>Documents</w:t>
      </w:r>
      <w:r w:rsidRPr="00BC632B">
        <w:t xml:space="preserve"> et repris dans le recueil intitulé</w:t>
      </w:r>
      <w:r>
        <w:t xml:space="preserve"> [33] </w:t>
      </w:r>
      <w:r w:rsidRPr="00DA777B">
        <w:rPr>
          <w:i/>
          <w:iCs/>
        </w:rPr>
        <w:t>Brisées</w:t>
      </w:r>
      <w:r w:rsidRPr="00BC632B">
        <w:t xml:space="preserve"> en 1966 (Mercure de France) et 1992 (Gall</w:t>
      </w:r>
      <w:r w:rsidRPr="00BC632B">
        <w:t>i</w:t>
      </w:r>
      <w:r w:rsidRPr="00BC632B">
        <w:t>mard), « L'homme et son intérieur », Michel Leiris, parlant du corps humain, écrivait : « Si nous devions nous tenir seuls, et réduits à l'image du seul corps qui est le nôtre, en face de la nature externe, ce</w:t>
      </w:r>
      <w:r w:rsidRPr="00BC632B">
        <w:t>t</w:t>
      </w:r>
      <w:r w:rsidRPr="00BC632B">
        <w:t xml:space="preserve">te position serait grandiose peut-être - celle d'un dieu ou d'un héros - mais plus épouvantable que toute autre, car nous ne comprendrions jamais quelle est cette </w:t>
      </w:r>
      <w:r w:rsidRPr="00DA777B">
        <w:rPr>
          <w:i/>
          <w:iCs/>
        </w:rPr>
        <w:t>autre chose,</w:t>
      </w:r>
      <w:r w:rsidRPr="00BC632B">
        <w:t xml:space="preserve"> si distincte de notre être, si indiff</w:t>
      </w:r>
      <w:r w:rsidRPr="00BC632B">
        <w:t>é</w:t>
      </w:r>
      <w:r w:rsidRPr="00BC632B">
        <w:t>rente à nous, étrangère d'une étrangeté à tel point distante et glaciale. Ce qui nous donne la possibilité de nous relier à elle, c'est l'existence de créatures humaines autres que vous, qui font aussi fonction de m</w:t>
      </w:r>
      <w:r w:rsidRPr="00BC632B">
        <w:t>é</w:t>
      </w:r>
      <w:r w:rsidRPr="00BC632B">
        <w:t>diation, grâce au fait que d'un côté elles participent de la nature (pui</w:t>
      </w:r>
      <w:r w:rsidRPr="00BC632B">
        <w:t>s</w:t>
      </w:r>
      <w:r w:rsidRPr="00BC632B">
        <w:t>qu'elles nous sont extérieures comme elle) en même temps que d'un autre côté elles participent de nous-mêmes (puisque leur constitution est à peu près semblable à notre constitution même). Ainsi la société se trouve être le lien entre la nature et nous et nos relations humaines devie</w:t>
      </w:r>
      <w:r w:rsidRPr="00BC632B">
        <w:t>n</w:t>
      </w:r>
      <w:r w:rsidRPr="00BC632B">
        <w:t>nent d'emblée les plus importantes parmi les nombreux rapports existant entre le monde et nous... ». On pourrait compléter cette anal</w:t>
      </w:r>
      <w:r w:rsidRPr="00BC632B">
        <w:t>y</w:t>
      </w:r>
      <w:r w:rsidRPr="00BC632B">
        <w:t>se en faisant remarquer que le spectacle des sociétés différentes et de « créatures humaines » autres que nous en un double sens (parce qu'e</w:t>
      </w:r>
      <w:r w:rsidRPr="00BC632B">
        <w:t>l</w:t>
      </w:r>
      <w:r w:rsidRPr="00BC632B">
        <w:t>le étaient des autres comme tous les autres, y compris les autres pr</w:t>
      </w:r>
      <w:r w:rsidRPr="00BC632B">
        <w:t>o</w:t>
      </w:r>
      <w:r w:rsidRPr="00BC632B">
        <w:t>ches, mais qu'en outre elles étaient marquées visiblement, culturell</w:t>
      </w:r>
      <w:r w:rsidRPr="00BC632B">
        <w:t>e</w:t>
      </w:r>
      <w:r w:rsidRPr="00BC632B">
        <w:t>ment, au sceau d'une certaine différence et, en ce sens, exotique) ajo</w:t>
      </w:r>
      <w:r w:rsidRPr="00BC632B">
        <w:t>u</w:t>
      </w:r>
      <w:r w:rsidRPr="00BC632B">
        <w:t>tait à cette fonction médiatrice une dimension supplémentaire. Or à l'heure des médias et de la mort de l'exotisme, il se produit un court-circuit qui confronte directement chaque individualité à l'image du monde : à la difficile symbolisation des rapports entre hommes succ</w:t>
      </w:r>
      <w:r w:rsidRPr="00BC632B">
        <w:t>è</w:t>
      </w:r>
      <w:r w:rsidRPr="00BC632B">
        <w:t>dent une multiplication et une individualisation des cosmologies qui constituent par elles-mêmes, aux yeux de l'anthropologue, un objet d'études démultiplié, fascinant, paradoxal et inédit.</w:t>
      </w:r>
    </w:p>
    <w:p w:rsidR="00B7214C" w:rsidRPr="00BC632B" w:rsidRDefault="00B7214C" w:rsidP="00B7214C">
      <w:pPr>
        <w:spacing w:before="120" w:after="120"/>
        <w:jc w:val="both"/>
      </w:pPr>
      <w:r w:rsidRPr="00BC632B">
        <w:t>On voit ainsi que se dessine à l'horizon de la recherche anthropol</w:t>
      </w:r>
      <w:r w:rsidRPr="00BC632B">
        <w:t>o</w:t>
      </w:r>
      <w:r w:rsidRPr="00BC632B">
        <w:t>gique la possibilité d'une anthropologie sans exotisme. L'exotisme, depuis la naissance du romantisme, c'était, avec le sentiment de la di</w:t>
      </w:r>
      <w:r w:rsidRPr="00BC632B">
        <w:t>s</w:t>
      </w:r>
      <w:r w:rsidRPr="00BC632B">
        <w:t>tance, l'évidence simultanée d'une ressemblance relative et d'une diff</w:t>
      </w:r>
      <w:r w:rsidRPr="00BC632B">
        <w:t>é</w:t>
      </w:r>
      <w:r w:rsidRPr="00BC632B">
        <w:t>rence radicale : une religion exotique, c'est une religion qui offre assez de traits pertinents pour qu'un chrétien puisse y reconnaître une rel</w:t>
      </w:r>
      <w:r w:rsidRPr="00BC632B">
        <w:t>i</w:t>
      </w:r>
      <w:r w:rsidRPr="00BC632B">
        <w:t>gion mais dont les postulats et les rituels sont assez dérangeants à ses yeux pour qu'il s'interroge à leur propos et soit tenté, tour à tour, d'y voir une ébauche ou une dégénérescence de la vraie religion, voire une magie. La magie, ce n'est peut-être après tout que la religion des autres. Il en va de même, aux yeux de l'observateur distancié, lorsqu'il s'intéresse au pouvoir, à la famille, à l'économie chez les autres : la réalité exotique rappelle à l'observateur celle qui lui sert de référence (la sienne) ; elle la lui rappelle assez pour qu'il soit tenté d'en parler dans les termes qu'il applique à celle-ci. On parle alors d'ethnoce</w:t>
      </w:r>
      <w:r w:rsidRPr="00BC632B">
        <w:t>n</w:t>
      </w:r>
      <w:r w:rsidRPr="00BC632B">
        <w:t>trisme - ethnocentrisme patent, par exemple, dans les coutumiers réd</w:t>
      </w:r>
      <w:r w:rsidRPr="00BC632B">
        <w:t>i</w:t>
      </w:r>
      <w:r w:rsidRPr="00BC632B">
        <w:t>gés par les officiers ou les administrateurs coloniaux français qui</w:t>
      </w:r>
      <w:r>
        <w:t xml:space="preserve"> [34] </w:t>
      </w:r>
      <w:r w:rsidRPr="00BC632B">
        <w:t>tentaient d'exprimer dans les termes du droit français les modalités de la vie sociale et de l'échange économique propres aux sociétés africa</w:t>
      </w:r>
      <w:r w:rsidRPr="00BC632B">
        <w:t>i</w:t>
      </w:r>
      <w:r w:rsidRPr="00BC632B">
        <w:t>nes dont ils avaient la charge. Mais l'artifice du langage ne fait que souligner le côté dérangeant, décalé d'une réalité qui ne s'y soumet pas. D'où les débats que nous connaissons bien sur la présence ou l'a</w:t>
      </w:r>
      <w:r w:rsidRPr="00BC632B">
        <w:t>b</w:t>
      </w:r>
      <w:r w:rsidRPr="00BC632B">
        <w:t>sence de l'État ou même du politique, sur le monothéisme larvé des polythéismes, sur la pertinence ou l'impertinence de notions comme celles de dot, de contrat, d'exploitation. Qu'il en soit rendu compte en termes évoluti</w:t>
      </w:r>
      <w:r>
        <w:t>onnistes, culturalistes, diffu</w:t>
      </w:r>
      <w:r w:rsidRPr="00BC632B">
        <w:t xml:space="preserve">sionnistes, marxistes, c'est toujours l'évidence de ce décalage qui a donné </w:t>
      </w:r>
      <w:r w:rsidRPr="00BC632B">
        <w:rPr>
          <w:rStyle w:val="Corpsdutexte210pt"/>
        </w:rPr>
        <w:t xml:space="preserve">à </w:t>
      </w:r>
      <w:r w:rsidRPr="00BC632B">
        <w:t xml:space="preserve">penser à l'ethnologue et à l'ethnologie comme science des autres. L'exotisme n'est d'ailleurs pas lié à la distance géographique ni même </w:t>
      </w:r>
      <w:r w:rsidRPr="000D1A32">
        <w:t xml:space="preserve">à </w:t>
      </w:r>
      <w:r w:rsidRPr="00BC632B">
        <w:t>l'appartenance ethnique : l'ethnologie de l'Europe s'est d'abord donné pour objet les survivances, les traditions et les milieux humains (paysans, artisans) qui relevaient pour elle d'une sorte d'exotisme intime.</w:t>
      </w:r>
    </w:p>
    <w:p w:rsidR="00B7214C" w:rsidRDefault="00B7214C" w:rsidP="00B7214C">
      <w:pPr>
        <w:spacing w:before="120" w:after="120"/>
        <w:jc w:val="both"/>
      </w:pPr>
      <w:r w:rsidRPr="00BC632B">
        <w:t>Cet exotisme disparaît aujourd'hui. Il disparaît du fait des effets spatiaux et idéologiques généralisés que j'ai</w:t>
      </w:r>
      <w:r>
        <w:t xml:space="preserve"> associés à la notion de surmodern</w:t>
      </w:r>
      <w:r w:rsidRPr="00BC632B">
        <w:t>ité. Mais il disparaît aussi à nos yeux parce qu'à la lumière de ces effets nous nous apercevons qu'une bonne partie de ce que l'ethnologie étudiait depuis de longues années comme des réalités ex</w:t>
      </w:r>
      <w:r w:rsidRPr="00BC632B">
        <w:t>o</w:t>
      </w:r>
      <w:r w:rsidRPr="00BC632B">
        <w:t>tiques (les messianismes, les prophétismes, les syncrétismes, l'ense</w:t>
      </w:r>
      <w:r w:rsidRPr="00BC632B">
        <w:t>m</w:t>
      </w:r>
      <w:r w:rsidRPr="00BC632B">
        <w:t xml:space="preserve">ble des phénomènes dits « de contact », notamment ceux qui relèvent des transferts de population massifs liés à l'esclavage) avait valeur d'anticipation et correspondait </w:t>
      </w:r>
      <w:r w:rsidRPr="000D1A32">
        <w:t xml:space="preserve">à </w:t>
      </w:r>
      <w:r w:rsidRPr="00BC632B">
        <w:t>une accélération de l'histoire, à un r</w:t>
      </w:r>
      <w:r w:rsidRPr="00BC632B">
        <w:t>é</w:t>
      </w:r>
      <w:r w:rsidRPr="00BC632B">
        <w:t xml:space="preserve">trécissement de l'espace et à une individualisation des consciences qui, prolongés et amplifiés, </w:t>
      </w:r>
      <w:r>
        <w:t>caractérisent aussi bien la surm</w:t>
      </w:r>
      <w:r w:rsidRPr="00BC632B">
        <w:t>ode</w:t>
      </w:r>
      <w:r>
        <w:t>rn</w:t>
      </w:r>
      <w:r w:rsidRPr="00BC632B">
        <w:t>ité actuelle. Inversement la catégorie du syncrétisme fonctionne aujou</w:t>
      </w:r>
      <w:r w:rsidRPr="00BC632B">
        <w:t>r</w:t>
      </w:r>
      <w:r w:rsidRPr="00BC632B">
        <w:t>d'hui à vide car tout peut en relever, notamment dans les pays les plus industrialisés. C'est dire qu'elle n'est plus opératoire parce qu'elle r</w:t>
      </w:r>
      <w:r w:rsidRPr="00BC632B">
        <w:t>e</w:t>
      </w:r>
      <w:r w:rsidRPr="00BC632B">
        <w:t>posait sur un effet de distance dont la disparition est précisément c</w:t>
      </w:r>
      <w:r w:rsidRPr="00BC632B">
        <w:t>a</w:t>
      </w:r>
      <w:r w:rsidRPr="00BC632B">
        <w:t>ractéri</w:t>
      </w:r>
      <w:r w:rsidRPr="00BC632B">
        <w:t>s</w:t>
      </w:r>
      <w:r w:rsidRPr="00BC632B">
        <w:t xml:space="preserve">tique de notre contemporanéité. La mort de l'exotisme ouvre ainsi un champ d'exploration </w:t>
      </w:r>
      <w:r w:rsidRPr="000D1A32">
        <w:t xml:space="preserve">à </w:t>
      </w:r>
      <w:r w:rsidRPr="00BC632B">
        <w:t>l'anthropologie, appelée plus que j</w:t>
      </w:r>
      <w:r w:rsidRPr="00BC632B">
        <w:t>a</w:t>
      </w:r>
      <w:r w:rsidRPr="00BC632B">
        <w:t>mais à réfléchir sur les catégories renouvelées de l'espace et de l'altér</w:t>
      </w:r>
      <w:r w:rsidRPr="00BC632B">
        <w:t>i</w:t>
      </w:r>
      <w:r w:rsidRPr="00BC632B">
        <w:t>té.</w:t>
      </w:r>
    </w:p>
    <w:p w:rsidR="00B7214C" w:rsidRPr="00E07116" w:rsidRDefault="00B7214C" w:rsidP="00B7214C">
      <w:pPr>
        <w:pStyle w:val="p"/>
      </w:pPr>
      <w:r w:rsidRPr="00E07116">
        <w:br w:type="page"/>
        <w:t>[</w:t>
      </w:r>
      <w:r>
        <w:t>3</w:t>
      </w:r>
      <w:r w:rsidRPr="00E07116">
        <w:t>5]</w:t>
      </w:r>
    </w:p>
    <w:p w:rsidR="00B7214C" w:rsidRPr="00E07116" w:rsidRDefault="00B7214C" w:rsidP="00B7214C">
      <w:pPr>
        <w:jc w:val="both"/>
      </w:pPr>
    </w:p>
    <w:p w:rsidR="00B7214C" w:rsidRPr="00E07116" w:rsidRDefault="00B7214C" w:rsidP="00B7214C"/>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 w:name="Entre_tradition_pt_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E07116" w:rsidRDefault="00B7214C" w:rsidP="00B7214C">
      <w:pPr>
        <w:jc w:val="both"/>
      </w:pPr>
    </w:p>
    <w:p w:rsidR="00B7214C" w:rsidRPr="00384B20" w:rsidRDefault="00B7214C" w:rsidP="00B7214C">
      <w:pPr>
        <w:pStyle w:val="partie"/>
        <w:jc w:val="center"/>
        <w:rPr>
          <w:sz w:val="72"/>
        </w:rPr>
      </w:pPr>
      <w:r w:rsidRPr="00384B20">
        <w:rPr>
          <w:sz w:val="72"/>
        </w:rPr>
        <w:t>Première partie</w:t>
      </w:r>
    </w:p>
    <w:p w:rsidR="00B7214C" w:rsidRPr="00E07116" w:rsidRDefault="00B7214C" w:rsidP="00B7214C">
      <w:pPr>
        <w:jc w:val="both"/>
      </w:pPr>
    </w:p>
    <w:p w:rsidR="00B7214C" w:rsidRPr="00384B20" w:rsidRDefault="00B7214C" w:rsidP="00B7214C">
      <w:pPr>
        <w:pStyle w:val="Titreniveau2"/>
      </w:pPr>
      <w:r>
        <w:t>NATIONS ET CULTURE</w:t>
      </w:r>
    </w:p>
    <w:bookmarkEnd w:id="5"/>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07116" w:rsidRDefault="00B7214C" w:rsidP="00B7214C">
      <w:pPr>
        <w:jc w:val="both"/>
      </w:pPr>
    </w:p>
    <w:p w:rsidR="00B7214C" w:rsidRDefault="00B7214C" w:rsidP="00B7214C">
      <w:pPr>
        <w:pStyle w:val="p"/>
      </w:pPr>
      <w:r>
        <w:t>[36]</w:t>
      </w:r>
    </w:p>
    <w:p w:rsidR="00B7214C" w:rsidRDefault="00B7214C" w:rsidP="00B7214C">
      <w:pPr>
        <w:jc w:val="both"/>
      </w:pPr>
      <w:r w:rsidRPr="00E07116">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6" w:name="Entre_tradition_pt_1_A"/>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sidRPr="00DA1F44">
        <w:rPr>
          <w:b/>
          <w:caps/>
          <w:color w:val="000080"/>
          <w:sz w:val="36"/>
        </w:rPr>
        <w:t>Première partie</w:t>
      </w:r>
    </w:p>
    <w:p w:rsidR="00B7214C" w:rsidRDefault="00B7214C" w:rsidP="00B7214C">
      <w:pPr>
        <w:jc w:val="both"/>
      </w:pPr>
    </w:p>
    <w:p w:rsidR="00B7214C" w:rsidRPr="00DA1F44" w:rsidRDefault="00B7214C" w:rsidP="00B7214C">
      <w:pPr>
        <w:ind w:firstLine="0"/>
        <w:jc w:val="center"/>
        <w:rPr>
          <w:color w:val="FF0000"/>
          <w:sz w:val="32"/>
        </w:rPr>
      </w:pPr>
      <w:r>
        <w:rPr>
          <w:color w:val="FF0000"/>
          <w:sz w:val="32"/>
        </w:rPr>
        <w:t xml:space="preserve">A. </w:t>
      </w:r>
      <w:r w:rsidRPr="00DA1F44">
        <w:rPr>
          <w:color w:val="FF0000"/>
          <w:sz w:val="32"/>
        </w:rPr>
        <w:t>ETHNICITÉ, NATIONALISME, POUVOIR</w:t>
      </w:r>
    </w:p>
    <w:bookmarkEnd w:id="6"/>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07116" w:rsidRDefault="00B7214C" w:rsidP="00B7214C">
      <w:pPr>
        <w:pStyle w:val="p"/>
      </w:pPr>
      <w:r>
        <w:br w:type="page"/>
      </w:r>
      <w:r w:rsidRPr="00E07116">
        <w:t>[</w:t>
      </w:r>
      <w:r>
        <w:t>37</w:t>
      </w:r>
      <w:r w:rsidRPr="00E07116">
        <w:t>]</w:t>
      </w:r>
    </w:p>
    <w:p w:rsidR="00B7214C" w:rsidRPr="00E07116" w:rsidRDefault="00B7214C">
      <w:pPr>
        <w:jc w:val="both"/>
      </w:pPr>
    </w:p>
    <w:p w:rsidR="00B7214C" w:rsidRPr="00E07116" w:rsidRDefault="00B7214C">
      <w:pPr>
        <w:jc w:val="both"/>
      </w:pPr>
    </w:p>
    <w:p w:rsidR="00B7214C" w:rsidRPr="00124590" w:rsidRDefault="00B7214C" w:rsidP="00B7214C">
      <w:pPr>
        <w:ind w:hanging="20"/>
        <w:jc w:val="center"/>
        <w:rPr>
          <w:b/>
          <w:sz w:val="24"/>
        </w:rPr>
      </w:pPr>
      <w:bookmarkStart w:id="7" w:name="Entre_tradition_pt_1_texte_0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1</w:t>
      </w:r>
    </w:p>
    <w:p w:rsidR="00B7214C" w:rsidRDefault="00B7214C" w:rsidP="00B7214C">
      <w:pPr>
        <w:pStyle w:val="Titreniveau2"/>
      </w:pPr>
      <w:r>
        <w:t>“Nation et ethnicité.</w:t>
      </w:r>
    </w:p>
    <w:p w:rsidR="00B7214C" w:rsidRPr="00E07116" w:rsidRDefault="00B7214C" w:rsidP="00B7214C">
      <w:pPr>
        <w:pStyle w:val="Titreniveau2i"/>
      </w:pPr>
      <w:r>
        <w:t>Perspectives théoriques à propos du Québec.”</w:t>
      </w:r>
    </w:p>
    <w:bookmarkEnd w:id="7"/>
    <w:p w:rsidR="00B7214C" w:rsidRPr="00E07116" w:rsidRDefault="00B7214C" w:rsidP="00B7214C">
      <w:pPr>
        <w:jc w:val="both"/>
        <w:rPr>
          <w:szCs w:val="36"/>
        </w:rPr>
      </w:pPr>
    </w:p>
    <w:p w:rsidR="00B7214C" w:rsidRPr="00E07116" w:rsidRDefault="00B7214C" w:rsidP="00B7214C">
      <w:pPr>
        <w:pStyle w:val="suite"/>
      </w:pPr>
      <w:r>
        <w:t>Par Micheline LABELLE</w:t>
      </w:r>
    </w:p>
    <w:p w:rsidR="00B7214C" w:rsidRPr="00E07116" w:rsidRDefault="00B7214C" w:rsidP="00B7214C">
      <w:pPr>
        <w:pStyle w:val="auteurst"/>
      </w:pPr>
      <w:r w:rsidRPr="00C57CFF">
        <w:t>Département de sociologie. Université du Québec à Montréal</w:t>
      </w:r>
    </w:p>
    <w:p w:rsidR="00B7214C" w:rsidRPr="00E07116" w:rsidRDefault="00B7214C">
      <w:pPr>
        <w:jc w:val="both"/>
      </w:pPr>
    </w:p>
    <w:p w:rsidR="00B7214C" w:rsidRPr="00E07116" w:rsidRDefault="00B7214C">
      <w:pPr>
        <w:jc w:val="both"/>
      </w:pPr>
    </w:p>
    <w:p w:rsidR="00B7214C" w:rsidRPr="00E07116" w:rsidRDefault="00B7214C">
      <w:pPr>
        <w:jc w:val="both"/>
      </w:pPr>
    </w:p>
    <w:p w:rsidR="00B7214C" w:rsidRPr="00384B20" w:rsidRDefault="00B7214C">
      <w:pPr>
        <w:ind w:right="90" w:firstLine="0"/>
        <w:jc w:val="both"/>
        <w:rPr>
          <w:sz w:val="20"/>
        </w:rPr>
      </w:pPr>
      <w:hyperlink w:anchor="tdm" w:history="1">
        <w:r w:rsidRPr="00384B20">
          <w:rPr>
            <w:rStyle w:val="Lienhypertexte"/>
            <w:sz w:val="20"/>
          </w:rPr>
          <w:t>Retour à la table des matières</w:t>
        </w:r>
      </w:hyperlink>
    </w:p>
    <w:p w:rsidR="00B7214C" w:rsidRPr="00BC632B" w:rsidRDefault="00B7214C" w:rsidP="00B7214C">
      <w:pPr>
        <w:spacing w:before="120" w:after="120"/>
        <w:jc w:val="both"/>
      </w:pPr>
      <w:r>
        <w:t xml:space="preserve">Ce </w:t>
      </w:r>
      <w:r w:rsidRPr="00BC632B">
        <w:t>texte présente divers modèles d'analyse de l'ethnicité, des pr</w:t>
      </w:r>
      <w:r w:rsidRPr="00BC632B">
        <w:t>o</w:t>
      </w:r>
      <w:r w:rsidRPr="00BC632B">
        <w:t>ce</w:t>
      </w:r>
      <w:r w:rsidRPr="00BC632B">
        <w:t>s</w:t>
      </w:r>
      <w:r w:rsidRPr="00BC632B">
        <w:t>sus de racisation et du mouvement associatif à caractère ethnique. Il s'inspire largement de la problématique de la recherche, menée sur trois ans, qui a guidé l'analyse du discours des leaders d'associations des communautés italienne, juive, haïtienne et libanaise de la région de Montréal</w:t>
      </w:r>
      <w:r>
        <w:t> </w:t>
      </w:r>
      <w:r>
        <w:rPr>
          <w:rStyle w:val="Appelnotedebasdep"/>
        </w:rPr>
        <w:footnoteReference w:id="1"/>
      </w:r>
      <w:r w:rsidRPr="00BC632B">
        <w:t>. L'analyse de ce discours est publiée ailleurs (Labelle, Beaudet, Tardif, Lévy, 1993 ; Labelle, Therrien, 1992 ; etc.). Nous nous contenterons ici de développer des pistes d'analyse théorique et non de rendre compte de données empiriques sur la question.</w:t>
      </w:r>
    </w:p>
    <w:p w:rsidR="00B7214C" w:rsidRPr="00BC632B" w:rsidRDefault="00B7214C" w:rsidP="00B7214C">
      <w:pPr>
        <w:spacing w:before="120" w:after="120"/>
        <w:jc w:val="both"/>
      </w:pPr>
      <w:r w:rsidRPr="00BC632B">
        <w:t>Certains des modèles examinés ici suscitent des hypothèses et des questions qui permettent de comprendre le discours public quant à la gestion de l'ethnicité dans la société québécoise et au rôle de l'ethnic</w:t>
      </w:r>
      <w:r w:rsidRPr="00BC632B">
        <w:t>i</w:t>
      </w:r>
      <w:r w:rsidRPr="00BC632B">
        <w:t>té, comme catégorie politique, dans la question nationale. Il semble que deux logiques, deux idéologies d'intégration des minorités ethn</w:t>
      </w:r>
      <w:r w:rsidRPr="00BC632B">
        <w:t>i</w:t>
      </w:r>
      <w:r w:rsidRPr="00BC632B">
        <w:t>ques soient à l'œuvre dans le discours public et parapublic et dans c</w:t>
      </w:r>
      <w:r w:rsidRPr="00BC632B">
        <w:t>e</w:t>
      </w:r>
      <w:r w:rsidRPr="00BC632B">
        <w:t>lui des élites issues des minorités et qu'elles sous-tendent à la fois la question ethnique et la question nationale. La première, dominante jusqu'à tout récemment, se fonde sur la notion de pluralisme culturel, sinon racial ; initiée et véhiculée par la politique fédérale du bili</w:t>
      </w:r>
      <w:r w:rsidRPr="00BC632B">
        <w:t>n</w:t>
      </w:r>
      <w:r w:rsidRPr="00BC632B">
        <w:t>guisme et du multiculturalisme canadien, elle a été reprise par l'État du Québec. La seconde se présente comme une logique universaliste axée sur l'idée de citoyenneté, de non-ethnicisation des groupes s</w:t>
      </w:r>
      <w:r w:rsidRPr="00BC632B">
        <w:t>o</w:t>
      </w:r>
      <w:r w:rsidRPr="00BC632B">
        <w:t>ciaux, et tente d'investir certaines fractions du mouvement</w:t>
      </w:r>
      <w:r>
        <w:t xml:space="preserve"> [38] </w:t>
      </w:r>
      <w:r w:rsidRPr="00BC632B">
        <w:t>nati</w:t>
      </w:r>
      <w:r w:rsidRPr="00BC632B">
        <w:t>o</w:t>
      </w:r>
      <w:r w:rsidRPr="00BC632B">
        <w:t>nal québécois. Ces deux logiques sont avancées par des blocs sociaux dont les intérêts et les positions sont contradictoires dans l'espace c</w:t>
      </w:r>
      <w:r w:rsidRPr="00BC632B">
        <w:t>a</w:t>
      </w:r>
      <w:r w:rsidRPr="00BC632B">
        <w:t>nadien et l'espace régional québécois.</w:t>
      </w:r>
    </w:p>
    <w:p w:rsidR="00B7214C" w:rsidRPr="00BC632B" w:rsidRDefault="00B7214C" w:rsidP="00B7214C">
      <w:pPr>
        <w:spacing w:before="120" w:after="120"/>
        <w:jc w:val="both"/>
      </w:pPr>
      <w:r w:rsidRPr="00BC632B">
        <w:t>Au Québec, le discours public sur les particularismes ethniques a longtemps masqué la faible participation des minorités à la vie sociale et politique publique. Ce discours module de façon particulière les rapports sociaux entre la majorité d'origine canadienne-française et les minorités anglo-britannique et autres. Le discours culturaliste (celui sur les communautés culturelles, l'interculturalisme, etc.) dissimule en outre d'autres réalités, notamment le degré accentué de « complétude institutionnelle » des minorités, les multiples solitudes qui forment le tissu social, surtout dans la région métropolitaine de Montréal (La</w:t>
      </w:r>
      <w:r w:rsidRPr="00BC632B">
        <w:t>n</w:t>
      </w:r>
      <w:r w:rsidRPr="00BC632B">
        <w:t>glais, Laplante, Lévy, 1989) et le rôle que joue l'ethnicité, en tant que catégorie politique, dans la société québécoise.</w:t>
      </w:r>
    </w:p>
    <w:p w:rsidR="00B7214C" w:rsidRPr="00BC632B" w:rsidRDefault="00B7214C" w:rsidP="00B7214C">
      <w:pPr>
        <w:spacing w:before="120" w:after="120"/>
        <w:jc w:val="both"/>
      </w:pPr>
      <w:r w:rsidRPr="00BC632B">
        <w:t>La première partie de ce texte explore les modèles d'analyse de l'idéologie du pluralisme culturel et de l'ethnicité et des processus de racisation dans les sociétés capitalistes avancées. La seconde partie s'attarde plus précisément à l'application de ces modèles au mouv</w:t>
      </w:r>
      <w:r w:rsidRPr="00BC632B">
        <w:t>e</w:t>
      </w:r>
      <w:r w:rsidRPr="00BC632B">
        <w:t>ment associatif à base ethnique ou à identité racisée. La troisième pa</w:t>
      </w:r>
      <w:r w:rsidRPr="00BC632B">
        <w:t>r</w:t>
      </w:r>
      <w:r w:rsidRPr="00BC632B">
        <w:t>tie traite du rôle de l'ethnicité dans le contexte canadien et dans la question nationale.</w:t>
      </w:r>
    </w:p>
    <w:p w:rsidR="00B7214C" w:rsidRDefault="00B7214C" w:rsidP="00B7214C">
      <w:pPr>
        <w:spacing w:before="120" w:after="120"/>
        <w:jc w:val="both"/>
      </w:pPr>
      <w:r>
        <w:br w:type="page"/>
      </w:r>
    </w:p>
    <w:p w:rsidR="00B7214C" w:rsidRPr="00BC632B" w:rsidRDefault="00B7214C" w:rsidP="00B7214C">
      <w:pPr>
        <w:pStyle w:val="a"/>
      </w:pPr>
      <w:r w:rsidRPr="00BC632B">
        <w:t>PLURALISME, ETHNIC</w:t>
      </w:r>
      <w:r>
        <w:t>ITÉ</w:t>
      </w:r>
      <w:r>
        <w:br/>
      </w:r>
      <w:r w:rsidRPr="00BC632B">
        <w:t>ET PROCESSUS DE RACIS</w:t>
      </w:r>
      <w:r w:rsidRPr="00BC632B">
        <w:t>A</w:t>
      </w:r>
      <w:r w:rsidRPr="00BC632B">
        <w:t>TION</w:t>
      </w:r>
    </w:p>
    <w:p w:rsidR="00B7214C" w:rsidRDefault="00B7214C" w:rsidP="00B7214C">
      <w:pPr>
        <w:spacing w:before="120" w:after="120"/>
        <w:jc w:val="both"/>
      </w:pPr>
    </w:p>
    <w:p w:rsidR="00B7214C" w:rsidRPr="00BC632B" w:rsidRDefault="00B7214C" w:rsidP="00B7214C">
      <w:pPr>
        <w:spacing w:before="120" w:after="120"/>
        <w:jc w:val="both"/>
      </w:pPr>
      <w:r w:rsidRPr="00BC632B">
        <w:t>D'abord liée à une philosophie de l'universalisme et de l'ouverture, proche du libéralisme et d'un idéal méritocratique, la notion de plur</w:t>
      </w:r>
      <w:r w:rsidRPr="00BC632B">
        <w:t>a</w:t>
      </w:r>
      <w:r w:rsidRPr="00BC632B">
        <w:t>lisme a débordé dans certains courants de pensée contemporains des sciences humaines en une « politique de la différence », comme l'ind</w:t>
      </w:r>
      <w:r w:rsidRPr="00BC632B">
        <w:t>i</w:t>
      </w:r>
      <w:r w:rsidRPr="00BC632B">
        <w:t>quent Ouellet et Pagé (1991). Dans la sociologie américaine des a</w:t>
      </w:r>
      <w:r w:rsidRPr="00BC632B">
        <w:t>n</w:t>
      </w:r>
      <w:r w:rsidRPr="00BC632B">
        <w:t>nées 1920, un débat autour de la notion de pluralisme a cours déjà dans ce que l'on a appelé l'école de New York, animée par des inte</w:t>
      </w:r>
      <w:r w:rsidRPr="00BC632B">
        <w:t>l</w:t>
      </w:r>
      <w:r w:rsidRPr="00BC632B">
        <w:t>lectuels juifs de la diaspora, école opposée à l'école de Chicago. Cette dernière concluait au caractère inévitable de l'assimilation chez les individus issus des courants migratoires de masse aux États-Unis. Pour l'école de New York, le maintien des particularismes ethniques et culturels était une donnée positive de la vie sociale dans la société américaine puisque l'ethnicité, comme phénomène liant les appart</w:t>
      </w:r>
      <w:r w:rsidRPr="00BC632B">
        <w:t>e</w:t>
      </w:r>
      <w:r w:rsidRPr="00BC632B">
        <w:t>nances et les identités, était incontournable (Hacker, 1979). Ce co</w:t>
      </w:r>
      <w:r w:rsidRPr="00BC632B">
        <w:t>u</w:t>
      </w:r>
      <w:r w:rsidRPr="00BC632B">
        <w:t xml:space="preserve">rant d'idées influencera le mouvement noir des années 1960 et le mouvement des </w:t>
      </w:r>
      <w:r w:rsidRPr="00A07EC4">
        <w:rPr>
          <w:i/>
          <w:iCs/>
        </w:rPr>
        <w:t>White Ethnics</w:t>
      </w:r>
      <w:r w:rsidRPr="00BC632B">
        <w:t xml:space="preserve"> apparu au cours des années 1970.</w:t>
      </w:r>
    </w:p>
    <w:p w:rsidR="00B7214C" w:rsidRPr="00BC632B" w:rsidRDefault="00B7214C" w:rsidP="00B7214C">
      <w:pPr>
        <w:spacing w:before="120" w:after="120"/>
        <w:jc w:val="both"/>
      </w:pPr>
      <w:r w:rsidRPr="00BC632B">
        <w:t>En sciences humaines, la notion de pluralisme et de sociétés plur</w:t>
      </w:r>
      <w:r w:rsidRPr="00BC632B">
        <w:t>a</w:t>
      </w:r>
      <w:r w:rsidRPr="00BC632B">
        <w:t xml:space="preserve">listes </w:t>
      </w:r>
      <w:r w:rsidRPr="00A07EC4">
        <w:rPr>
          <w:i/>
          <w:iCs/>
        </w:rPr>
        <w:t>(plural societies</w:t>
      </w:r>
      <w:r w:rsidRPr="00BC632B">
        <w:t>) est surtout utilisée pa</w:t>
      </w:r>
      <w:r>
        <w:t>r l'anthropologie sociale améri</w:t>
      </w:r>
      <w:r w:rsidRPr="00BC632B">
        <w:t>caine</w:t>
      </w:r>
      <w:r>
        <w:t xml:space="preserve"> [39]</w:t>
      </w:r>
      <w:r w:rsidRPr="00BC632B">
        <w:t xml:space="preserve"> et britannique, parallèlement au remplacement de la n</w:t>
      </w:r>
      <w:r w:rsidRPr="00BC632B">
        <w:t>o</w:t>
      </w:r>
      <w:r w:rsidRPr="00BC632B">
        <w:t>tion de tribu ou de groupes tribaux par celle d'ethnicité et de groupe ethn</w:t>
      </w:r>
      <w:r w:rsidRPr="00BC632B">
        <w:t>i</w:t>
      </w:r>
      <w:r w:rsidRPr="00BC632B">
        <w:t>que. Ce sont les anthropologues qui ont attiré l'attention sur l'identité ethnique comme phénomène social et sur le pluralisme comme ph</w:t>
      </w:r>
      <w:r w:rsidRPr="00BC632B">
        <w:t>é</w:t>
      </w:r>
      <w:r w:rsidRPr="00BC632B">
        <w:t>nomène distinctif de l'organisation sociale. Cette pensée a émergé dans le contexte du postcolonialisme et dans la mouvance des nouve</w:t>
      </w:r>
      <w:r w:rsidRPr="00BC632B">
        <w:t>l</w:t>
      </w:r>
      <w:r w:rsidRPr="00BC632B">
        <w:t>les prémisses philosophiques et éthiques que durent adopter les a</w:t>
      </w:r>
      <w:r w:rsidRPr="00BC632B">
        <w:t>n</w:t>
      </w:r>
      <w:r w:rsidRPr="00BC632B">
        <w:t>thropologues (Jenkins, 1988, p. 179).</w:t>
      </w:r>
    </w:p>
    <w:p w:rsidR="00B7214C" w:rsidRPr="00BC632B" w:rsidRDefault="00B7214C" w:rsidP="00B7214C">
      <w:pPr>
        <w:spacing w:before="120" w:after="120"/>
        <w:jc w:val="both"/>
      </w:pPr>
      <w:r w:rsidRPr="00BC632B">
        <w:t>Le modèle pluraliste tente d'analyser les problèmes liés à l'existe</w:t>
      </w:r>
      <w:r w:rsidRPr="00BC632B">
        <w:t>n</w:t>
      </w:r>
      <w:r w:rsidRPr="00BC632B">
        <w:t>ce de colonies multiethniques, créées par les pouvoirs impérialistes européens, et plus tard, les problèmes inhérents à l'émergence des nouveaux États-nations dont les frontières géographiques avaient peu en commun avec les frontières traditionnelles, définies autour de l'identité ethnique ou de la continuité culturelle.</w:t>
      </w:r>
    </w:p>
    <w:p w:rsidR="00B7214C" w:rsidRPr="00BC632B" w:rsidRDefault="00B7214C" w:rsidP="00B7214C">
      <w:pPr>
        <w:spacing w:before="120" w:after="120"/>
        <w:jc w:val="both"/>
      </w:pPr>
      <w:r w:rsidRPr="00BC632B">
        <w:t>La notion de société plurale vient d'abord de l'analyse que fait F</w:t>
      </w:r>
      <w:r w:rsidRPr="00BC632B">
        <w:t>u</w:t>
      </w:r>
      <w:r w:rsidRPr="00BC632B">
        <w:t>mivall de la politique menée par les puissances coloniales en Asie du Sud-Est (1940). Cette politique, selon lui, amène les gens à se côtoyer dans la sphère économique, mais sans se mêler sur le plan social, car les sociétés sont segmentées selon la langue, la religion, etc. Cette n</w:t>
      </w:r>
      <w:r w:rsidRPr="00BC632B">
        <w:t>o</w:t>
      </w:r>
      <w:r w:rsidRPr="00BC632B">
        <w:t>tion sera appliquée par M.G. Smith au contexte antillais et africain, et par Kuper à l'Afrique du Sud et à d'autres États africains, puis par des auteurs comme Schermerhorn et Van den Berghe, ou encore par B</w:t>
      </w:r>
      <w:r w:rsidRPr="00BC632B">
        <w:t>a</w:t>
      </w:r>
      <w:r w:rsidRPr="00BC632B">
        <w:t>ker, dans son analyse comparée des sociétés canadienne, américaine et sud-africaine. Selon ces auteurs, la société pluraliste implique l'inco</w:t>
      </w:r>
      <w:r w:rsidRPr="00BC632B">
        <w:t>r</w:t>
      </w:r>
      <w:r w:rsidRPr="00BC632B">
        <w:t>poration de différents groupes ethniques dans un même système social et étatique, en dépit d'institutions et de coutumes juridiques et cult</w:t>
      </w:r>
      <w:r w:rsidRPr="00BC632B">
        <w:t>u</w:t>
      </w:r>
      <w:r w:rsidRPr="00BC632B">
        <w:t xml:space="preserve">relles conflictuelles et même du refus de la citoyenneté à de larges secteurs de la population (comme en Afrique du Sud) (Jenkins, </w:t>
      </w:r>
      <w:r w:rsidRPr="00A07EC4">
        <w:rPr>
          <w:i/>
          <w:iCs/>
        </w:rPr>
        <w:t>idem).</w:t>
      </w:r>
      <w:r w:rsidRPr="00BC632B">
        <w:t xml:space="preserve"> Comme le note Baker, les sociétés plurales sont analysées comme des </w:t>
      </w:r>
      <w:r w:rsidRPr="00A07EC4">
        <w:rPr>
          <w:i/>
          <w:iCs/>
        </w:rPr>
        <w:t>fields of social, economic, and political power</w:t>
      </w:r>
      <w:r w:rsidRPr="00BC632B">
        <w:t xml:space="preserve"> (Baker, 1977, p. 109), parce que la différenciation des groupes, structurée qu'elle est au n</w:t>
      </w:r>
      <w:r w:rsidRPr="00BC632B">
        <w:t>i</w:t>
      </w:r>
      <w:r w:rsidRPr="00BC632B">
        <w:t>veau du po</w:t>
      </w:r>
      <w:r w:rsidRPr="00BC632B">
        <w:t>u</w:t>
      </w:r>
      <w:r w:rsidRPr="00BC632B">
        <w:t>voir politique, surdétermine leur intégration culturelle et sociale. Dans ce système de pensée, la société plurale ou segmentée s'oppose au système de l'État-nation homogène. Le concept de plur</w:t>
      </w:r>
      <w:r w:rsidRPr="00BC632B">
        <w:t>a</w:t>
      </w:r>
      <w:r w:rsidRPr="00BC632B">
        <w:t>lisme, d'ores et déjà, se révèle complémentaire de celui d'ethnicité (Jenkins, 1988, p. 180).</w:t>
      </w:r>
    </w:p>
    <w:p w:rsidR="00B7214C" w:rsidRPr="00BC632B" w:rsidRDefault="00B7214C" w:rsidP="00B7214C">
      <w:pPr>
        <w:spacing w:before="120" w:after="120"/>
        <w:jc w:val="both"/>
      </w:pPr>
      <w:r w:rsidRPr="00BC632B">
        <w:t>On a par ailleurs tenté de distinguer divers types de pluralisme. Par exemple, Smith distingue le pluralisme cul</w:t>
      </w:r>
      <w:r>
        <w:t>turel des sociétés dont la mul</w:t>
      </w:r>
      <w:r w:rsidRPr="00BC632B">
        <w:t>tiethnicité n'a pas de conséquences sur l'organisation politique des collectivités ni la citoyenneté (comme au Brésil et au Royaume-Uni), du pluralisme social, dans lequel l'ethnicité affecte la sphère p</w:t>
      </w:r>
      <w:r w:rsidRPr="00BC632B">
        <w:t>o</w:t>
      </w:r>
      <w:r w:rsidRPr="00BC632B">
        <w:t>litique mais non la citoyenneté (comme dans les Antilles, l'ex-URSS ou la Belgique) et du pluralisme structurel, dans lequel l'identité et</w:t>
      </w:r>
      <w:r w:rsidRPr="00BC632B">
        <w:t>h</w:t>
      </w:r>
      <w:r w:rsidRPr="00BC632B">
        <w:t>nique a des effets directs sur la citoyenneté et les droits politiques (comme en Afrique du Sud, en Israël</w:t>
      </w:r>
      <w:r>
        <w:t xml:space="preserve"> [40] </w:t>
      </w:r>
      <w:r w:rsidRPr="00BC632B">
        <w:t>ou aux États-Unis). Voir les idéaux t</w:t>
      </w:r>
      <w:r w:rsidRPr="00BC632B">
        <w:t>y</w:t>
      </w:r>
      <w:r w:rsidRPr="00BC632B">
        <w:t>pes de Smith (Rex, Mason, 1988) qui parle de sociétés basées sur des pluralités hiérarchiques, des pluralités segmentées ou des pluralités complexes.</w:t>
      </w:r>
    </w:p>
    <w:p w:rsidR="00B7214C" w:rsidRPr="00BC632B" w:rsidRDefault="00B7214C" w:rsidP="00B7214C">
      <w:pPr>
        <w:spacing w:before="120" w:after="120"/>
        <w:jc w:val="both"/>
      </w:pPr>
      <w:r w:rsidRPr="00BC632B">
        <w:t>La notion de pluralisme ethnique s'est aussi étendue aux analyses du pluralisme « racial », en particulier dans les sociétés métissées comme celles des Caraïbes, du Brésil, etc. Les travaux de Wagley, Harris, etc., ont tenté de situer des sociétés multiethniques et multir</w:t>
      </w:r>
      <w:r w:rsidRPr="00BC632B">
        <w:t>a</w:t>
      </w:r>
      <w:r w:rsidRPr="00BC632B">
        <w:t>ciales sur le continuum de la démocratie sociale et « raciale », en se basant sur la terminologie raciale utilisée, les préjugés, les relations sociales, etc. (Labelle, 1987,2</w:t>
      </w:r>
      <w:r w:rsidRPr="00A07EC4">
        <w:t>e</w:t>
      </w:r>
      <w:r w:rsidRPr="00BC632B">
        <w:t xml:space="preserve"> édition).</w:t>
      </w:r>
    </w:p>
    <w:p w:rsidR="00B7214C" w:rsidRPr="00BC632B" w:rsidRDefault="00B7214C" w:rsidP="00B7214C">
      <w:pPr>
        <w:spacing w:before="120" w:after="120"/>
        <w:jc w:val="both"/>
      </w:pPr>
      <w:r w:rsidRPr="00BC632B">
        <w:t>Les critiques de ce modèle ont été nombreuses. Certains ont d</w:t>
      </w:r>
      <w:r w:rsidRPr="00BC632B">
        <w:t>é</w:t>
      </w:r>
      <w:r w:rsidRPr="00BC632B">
        <w:t xml:space="preserve">noncé le fait que la notion de pluralisme passait dans la </w:t>
      </w:r>
      <w:r w:rsidRPr="00A07EC4">
        <w:rPr>
          <w:i/>
          <w:iCs/>
        </w:rPr>
        <w:t>lingue franca</w:t>
      </w:r>
      <w:r w:rsidRPr="00BC632B">
        <w:t xml:space="preserve"> ou le </w:t>
      </w:r>
      <w:r w:rsidRPr="00A07EC4">
        <w:rPr>
          <w:i/>
          <w:iCs/>
        </w:rPr>
        <w:t xml:space="preserve">pidgin </w:t>
      </w:r>
      <w:r w:rsidRPr="00BC632B">
        <w:t>des anthropologues comme un terme purement descriptif pour étiqueter les sociétés multiethniques. D'autres ont fait valoir que la notion de pluralisme impliquait la référence à une norme</w:t>
      </w:r>
      <w:r>
        <w:t xml:space="preserve"> politique homogène, à un « mo</w:t>
      </w:r>
      <w:r w:rsidRPr="00BC632B">
        <w:t xml:space="preserve">noïsme » illusoire. On allégua que la notion était théoriquement suspecte et ne servait qu'à établir des idéaux types de sociétés plurales en évacuant les autres variables de la stratification sociale, comme la classe sociale ou les relations internationales. Enfin on souligna que le modèle surestimait l'autonomie des segments, par exemple le jeu de la diversité culturelle et politique, aux dépens du rôle des inégalités économiques dans la production et la reproduction des clivages sociaux (Jenkins, </w:t>
      </w:r>
      <w:r w:rsidRPr="00A07EC4">
        <w:rPr>
          <w:i/>
          <w:iCs/>
        </w:rPr>
        <w:t>op. cit.,</w:t>
      </w:r>
      <w:r w:rsidRPr="00BC632B">
        <w:t xml:space="preserve"> p. 180-182).</w:t>
      </w:r>
    </w:p>
    <w:p w:rsidR="00B7214C" w:rsidRPr="00BC632B" w:rsidRDefault="00B7214C" w:rsidP="00B7214C">
      <w:pPr>
        <w:spacing w:before="120" w:after="120"/>
        <w:jc w:val="both"/>
      </w:pPr>
      <w:r w:rsidRPr="00BC632B">
        <w:t>La notion de pluralisme est également au coeur des analyses de plusieurs sociologues occidentaux qui ont tenté d'expliquer l'ethnicité et son renouveau dans les sociétés capitalistes avancées, phénomène allant à l'encontre de l'assimilation prévue par les précurseurs ration</w:t>
      </w:r>
      <w:r w:rsidRPr="00BC632B">
        <w:t>a</w:t>
      </w:r>
      <w:r w:rsidRPr="00BC632B">
        <w:t>listes, libéraux ou marxistes, de la sociologie, pour qui l'industrialis</w:t>
      </w:r>
      <w:r w:rsidRPr="00BC632B">
        <w:t>a</w:t>
      </w:r>
      <w:r w:rsidRPr="00BC632B">
        <w:t>tion, l'urbanisation et l'État-nation devaient entraîner le déclin des pa</w:t>
      </w:r>
      <w:r w:rsidRPr="00BC632B">
        <w:t>r</w:t>
      </w:r>
      <w:r w:rsidRPr="00BC632B">
        <w:t>ticularismes ethniques (voir Simon, 1976 ; Smith, 1981 ; Beaud, No</w:t>
      </w:r>
      <w:r w:rsidRPr="00BC632B">
        <w:t>i</w:t>
      </w:r>
      <w:r w:rsidRPr="00BC632B">
        <w:t>riel, 1989).</w:t>
      </w:r>
    </w:p>
    <w:p w:rsidR="00B7214C" w:rsidRPr="00BC632B" w:rsidRDefault="00B7214C" w:rsidP="00B7214C">
      <w:pPr>
        <w:spacing w:before="120" w:after="120"/>
        <w:jc w:val="both"/>
      </w:pPr>
      <w:r w:rsidRPr="00BC632B">
        <w:t>L'un des premiers sociologues à s'être arrêté aux idéologies relat</w:t>
      </w:r>
      <w:r w:rsidRPr="00BC632B">
        <w:t>i</w:t>
      </w:r>
      <w:r w:rsidRPr="00BC632B">
        <w:t>ves à l'assimilation des immigrants dans la société américaine (l'anglo-conformité, l'assimilation et le pluralisme culturel), Milton Gordon, distingue les notions de pluralisme structurel et de pluralisme culturel, chacun identifiant des dimensions différentes du processus d'assimil</w:t>
      </w:r>
      <w:r w:rsidRPr="00BC632B">
        <w:t>a</w:t>
      </w:r>
      <w:r w:rsidRPr="00BC632B">
        <w:t>tion. Le pluralisme structurel est lié à l'existence de « sous-sociétés créées par l'intersection de la stratification ethnique (verticale) et de la stratification sociale (horizontale) », maintenant et reproduisant des sous-cultures propres (Gordon, 1964)</w:t>
      </w:r>
      <w:r>
        <w:t> </w:t>
      </w:r>
      <w:r>
        <w:rPr>
          <w:rStyle w:val="Appelnotedebasdep"/>
        </w:rPr>
        <w:footnoteReference w:id="2"/>
      </w:r>
      <w:r w:rsidRPr="00BC632B">
        <w:t>.</w:t>
      </w:r>
    </w:p>
    <w:p w:rsidR="00B7214C" w:rsidRPr="00BC632B" w:rsidRDefault="00B7214C" w:rsidP="00B7214C">
      <w:pPr>
        <w:spacing w:before="120" w:after="120"/>
        <w:jc w:val="both"/>
      </w:pPr>
      <w:r w:rsidRPr="00BC632B">
        <w:t>Au cours des décennies 1970 et 1980, la réflexion sur l'ethnicité menée par la sociologie américaine des relations ethniques s'enrichit de</w:t>
      </w:r>
      <w:r>
        <w:t xml:space="preserve"> [41] </w:t>
      </w:r>
      <w:r w:rsidRPr="00BC632B">
        <w:t>l'influence du mouvement noir et du mouvement féministe. Ce</w:t>
      </w:r>
      <w:r w:rsidRPr="00BC632B">
        <w:t>r</w:t>
      </w:r>
      <w:r w:rsidRPr="00BC632B">
        <w:t>tains chercheurs américains, in ter pelés par « les contradictions culturelles du capitalisme » (Bell, 1979) tenteront, bien avant les E</w:t>
      </w:r>
      <w:r w:rsidRPr="00BC632B">
        <w:t>u</w:t>
      </w:r>
      <w:r w:rsidRPr="00BC632B">
        <w:t>ropéens, de légitimer la revalorisation de la différence et la résurgence de l'ethnicité dans le monde. Dans ce débat toujours en cours, les a</w:t>
      </w:r>
      <w:r w:rsidRPr="00BC632B">
        <w:t>s</w:t>
      </w:r>
      <w:r>
        <w:t>simila</w:t>
      </w:r>
      <w:r w:rsidRPr="00BC632B">
        <w:t>tionnistes, tenants de la perspective de Parsons, soutiennent que la réduction de l'appartenance ethnique permet une plus grande égal</w:t>
      </w:r>
      <w:r w:rsidRPr="00BC632B">
        <w:t>i</w:t>
      </w:r>
      <w:r w:rsidRPr="00BC632B">
        <w:t>té, affaiblit les sources de la discrimination, augmente la liberté ind</w:t>
      </w:r>
      <w:r w:rsidRPr="00BC632B">
        <w:t>i</w:t>
      </w:r>
      <w:r w:rsidRPr="00BC632B">
        <w:t>viduelle et favorise une société plus flexible. Leurs opposants affi</w:t>
      </w:r>
      <w:r w:rsidRPr="00BC632B">
        <w:t>r</w:t>
      </w:r>
      <w:r w:rsidRPr="00BC632B">
        <w:t>ment plutôt que les groupes ethniques peuvent être des centres pui</w:t>
      </w:r>
      <w:r w:rsidRPr="00BC632B">
        <w:t>s</w:t>
      </w:r>
      <w:r w:rsidRPr="00BC632B">
        <w:t>sants d'opposition à des États coercitifs, que ces mêmes groupes et</w:t>
      </w:r>
      <w:r w:rsidRPr="00BC632B">
        <w:t>h</w:t>
      </w:r>
      <w:r w:rsidRPr="00BC632B">
        <w:t>niques protègent des ressources culturelles valables, etc. (voir Yinger, 1981, p. 260). Ainsi, la justification du pluralisme culturel se fonde sur une critique de la bureaucratie et de l'État-providence, et sur la difficulté qu'éprouvent les individus à s'identifier à de larges sociétés, où règnent la rationalité, les valeurs instrumentales de la performance et de l'efficacité, et l'anomie. L'ethnicité représenterait au contraire une base essentielle pour encadrer et fonder une vie communautaire en lutte contre l'envahissement de la bureaucratie et de l'État (Novak, 1978). Ce courant s'inscrit dans la réflexion théorique sur ladite pos</w:t>
      </w:r>
      <w:r w:rsidRPr="00BC632B">
        <w:t>t</w:t>
      </w:r>
      <w:r w:rsidRPr="00BC632B">
        <w:t>modernité.</w:t>
      </w:r>
    </w:p>
    <w:p w:rsidR="00B7214C" w:rsidRPr="00BC632B" w:rsidRDefault="00B7214C" w:rsidP="00B7214C">
      <w:pPr>
        <w:spacing w:before="120" w:after="120"/>
        <w:jc w:val="both"/>
      </w:pPr>
      <w:r w:rsidRPr="00BC632B">
        <w:t>Cette division n'est pas la seule qui traverse la sociologie américa</w:t>
      </w:r>
      <w:r w:rsidRPr="00BC632B">
        <w:t>i</w:t>
      </w:r>
      <w:r w:rsidRPr="00BC632B">
        <w:t>ne des relations ethniques. Certaines théories mettent l'accent sur l'i</w:t>
      </w:r>
      <w:r w:rsidRPr="00BC632B">
        <w:t>r</w:t>
      </w:r>
      <w:r w:rsidRPr="00BC632B">
        <w:t>réductibilité de la différence et sur le caractère primordial des liens de l'ethnicité, que celle-ci repose sur des fondements biologiques ou culturels. Par opposition, d'autres courants, qualifiés de situationnistes ou de constructivistes, affirment que l'ethnicité n'est pas un phénom</w:t>
      </w:r>
      <w:r w:rsidRPr="00BC632B">
        <w:t>è</w:t>
      </w:r>
      <w:r w:rsidRPr="00BC632B">
        <w:t>ne absolu. À la suite de Barth (1969), leurs tenants insistent sur le fait que l'ethnicité se modèle et se construit dans des rapports d'opposition. Cette perspective inspirera également les théoriciens du processus de racisation vu comme un processus de construction identitaire.</w:t>
      </w:r>
    </w:p>
    <w:p w:rsidR="00B7214C" w:rsidRPr="00BC632B" w:rsidRDefault="00B7214C" w:rsidP="00B7214C">
      <w:pPr>
        <w:spacing w:before="120" w:after="120"/>
        <w:jc w:val="both"/>
      </w:pPr>
      <w:r w:rsidRPr="00BC632B">
        <w:t>De leur côté, les partisans de la tendance politiste font plutôt valoir l'utilisation de l'ethnicité dans les luttes pour le pouvoir, le statut et le revenu (Glazer, Moynihan, 1975 ; Bell, 1975 ; Breton, 1991). À l'e</w:t>
      </w:r>
      <w:r w:rsidRPr="00BC632B">
        <w:t>n</w:t>
      </w:r>
      <w:r w:rsidRPr="00BC632B">
        <w:t xml:space="preserve">contre de Parsons pour qui l'ethnicité est une survivance de loyautés archaïques et dysfonctionnelles dans le monde moderne, industriel et bureaucratique (Metzger, 1971, </w:t>
      </w:r>
      <w:r w:rsidRPr="000D1A32">
        <w:t xml:space="preserve">p. </w:t>
      </w:r>
      <w:r w:rsidRPr="00BC632B">
        <w:t>635), cette perspective veut se s</w:t>
      </w:r>
      <w:r w:rsidRPr="00BC632B">
        <w:t>i</w:t>
      </w:r>
      <w:r>
        <w:t>tuer entre l'assimilation</w:t>
      </w:r>
      <w:r w:rsidRPr="00BC632B">
        <w:t>nisme et le pluralisme culturel. Elle introduit la vision d'une ethnicité en mouvement (Omi, Winant, 1986, p. 18) et cherche à lier pluralisme culturel et pluralisme politique. L'ethnicité renvoie à l'émergence d'une catégorie sociale nouvelle, plus signific</w:t>
      </w:r>
      <w:r w:rsidRPr="00BC632B">
        <w:t>a</w:t>
      </w:r>
      <w:r w:rsidRPr="00BC632B">
        <w:t>tive que le concept de classe sociale devenu désuet, notamment à ca</w:t>
      </w:r>
      <w:r w:rsidRPr="00BC632B">
        <w:t>u</w:t>
      </w:r>
      <w:r w:rsidRPr="00BC632B">
        <w:t>se de l'embourgeoisement du mouvement ouvrier, et inapplicable dans les sociétés postindustrielles. Ici, le groupe ethnique apparaît donc comme un groupe de press</w:t>
      </w:r>
      <w:r>
        <w:t>ion, créé par de nouvelles expé</w:t>
      </w:r>
      <w:r w:rsidRPr="00BC632B">
        <w:t>riences</w:t>
      </w:r>
      <w:r>
        <w:t xml:space="preserve"> [42]</w:t>
      </w:r>
      <w:r w:rsidRPr="00BC632B">
        <w:t xml:space="preserve"> en situation d'immigration, et capable de défendre les int</w:t>
      </w:r>
      <w:r w:rsidRPr="00BC632B">
        <w:t>é</w:t>
      </w:r>
      <w:r w:rsidRPr="00BC632B">
        <w:t>rêts de ses membres face à l'État-providence.</w:t>
      </w:r>
    </w:p>
    <w:p w:rsidR="00B7214C" w:rsidRPr="00BC632B" w:rsidRDefault="00B7214C" w:rsidP="00B7214C">
      <w:pPr>
        <w:spacing w:before="120" w:after="120"/>
        <w:jc w:val="both"/>
      </w:pPr>
      <w:r w:rsidRPr="00BC632B">
        <w:t>Par exemple, Bell explique la résurgence de l'ethnicité, au niveau mondial comme dans les sociétés fortement industrialisées, par : 1) le mélange des peuples, conjugué au développement parallèle d'une culture syncrétique et d'une structure sociale de plus en plus burea</w:t>
      </w:r>
      <w:r w:rsidRPr="00BC632B">
        <w:t>u</w:t>
      </w:r>
      <w:r w:rsidRPr="00BC632B">
        <w:t>cratique qui nourrit le besoin d'ancrages primordiaux ; 2) la débâcle des structures traditionnelles d'autorité et d'unités sociales autrefois significatives (comme la classe sociale et la nation), débâcle qui inte</w:t>
      </w:r>
      <w:r w:rsidRPr="00BC632B">
        <w:t>n</w:t>
      </w:r>
      <w:r w:rsidRPr="00BC632B">
        <w:t>sifie l'attachement à l'ethnicité ; 3) la politisation des décisions et l'élargissement de la sphère politique qui donne naissance à des gro</w:t>
      </w:r>
      <w:r w:rsidRPr="00BC632B">
        <w:t>u</w:t>
      </w:r>
      <w:r w:rsidRPr="00BC632B">
        <w:t>pes de pression de plus en plus puissants et spectaculaires. Ce conte</w:t>
      </w:r>
      <w:r w:rsidRPr="00BC632B">
        <w:t>x</w:t>
      </w:r>
      <w:r w:rsidRPr="00BC632B">
        <w:t>te fait de l'ethnicité un moyen privilégié de revendication. L'ethnicité ne relève donc pas d'un phénomène primordial nourri par les identités profondes, mais plutôt d un choix stratégique et politique pour les i</w:t>
      </w:r>
      <w:r w:rsidRPr="00BC632B">
        <w:t>n</w:t>
      </w:r>
      <w:r w:rsidRPr="00BC632B">
        <w:t>dividus qui, dans d'autres contextes, choisiraient d'autres appartena</w:t>
      </w:r>
      <w:r w:rsidRPr="00BC632B">
        <w:t>n</w:t>
      </w:r>
      <w:r w:rsidRPr="00BC632B">
        <w:t>ces de groupe (Bell, 1975).</w:t>
      </w:r>
    </w:p>
    <w:p w:rsidR="00B7214C" w:rsidRPr="00BC632B" w:rsidRDefault="00B7214C" w:rsidP="00B7214C">
      <w:pPr>
        <w:spacing w:before="120" w:after="120"/>
        <w:jc w:val="both"/>
      </w:pPr>
      <w:r w:rsidRPr="00BC632B">
        <w:t>Les critiques radicaux du paradigme de l'ethnicité affirment que pour comprendre la réalité des relations ethniques, il faut tenir compte de la réalité des classes sociales ou, tout au moins, de la différenci</w:t>
      </w:r>
      <w:r w:rsidRPr="00BC632B">
        <w:t>a</w:t>
      </w:r>
      <w:r w:rsidRPr="00BC632B">
        <w:t>tion sociale basée sur les inégalités économiques, et de la division i</w:t>
      </w:r>
      <w:r w:rsidRPr="00BC632B">
        <w:t>n</w:t>
      </w:r>
      <w:r w:rsidRPr="00BC632B">
        <w:t>ternationale du travail. On cherchera à distinguer l'ethnicité traditio</w:t>
      </w:r>
      <w:r w:rsidRPr="00BC632B">
        <w:t>n</w:t>
      </w:r>
      <w:r w:rsidRPr="00BC632B">
        <w:t>nelle des classes ouvrières de l'ethnicité symbolique que véhiculent les classes moyennes, lesquelles définissent leur identité ethnique en te</w:t>
      </w:r>
      <w:r w:rsidRPr="00BC632B">
        <w:t>r</w:t>
      </w:r>
      <w:r w:rsidRPr="00BC632B">
        <w:t>mes psychosociaux. L'ethnicité dont il s'agit dans ces groupes est un phénomène d'ethnicité volontaire, de revalorisation symbolique de l'origine minoritaire (Gans, 1979).</w:t>
      </w:r>
    </w:p>
    <w:p w:rsidR="00B7214C" w:rsidRPr="00BC632B" w:rsidRDefault="00B7214C" w:rsidP="00B7214C">
      <w:pPr>
        <w:spacing w:before="120" w:after="120"/>
        <w:jc w:val="both"/>
      </w:pPr>
      <w:r w:rsidRPr="00BC632B">
        <w:t>L'un des auteurs les plus critiques de la notion de pluralisme, St</w:t>
      </w:r>
      <w:r w:rsidRPr="00BC632B">
        <w:t>e</w:t>
      </w:r>
      <w:r w:rsidRPr="00BC632B">
        <w:t>phen Steinberg, soutient que le pluralisme, comme symbole national et politique, est une idéologie normative qui célèbre l'ethnicité tout en masquant les inégalités systémiques qui sont à l'origine de son mai</w:t>
      </w:r>
      <w:r w:rsidRPr="00BC632B">
        <w:t>n</w:t>
      </w:r>
      <w:r w:rsidRPr="00BC632B">
        <w:t>tien (1981, p. 254-255). Le pluralisme surévalue la culture d'origine en en faisant la caractéristique principale des groupes ethniques et sous-estime les conditions structurelles de ces derniers dans la société américaine. Par exemple, les Afro-Américains ont expérimenté le côté amer du pluralisme et l'ont défendu par dépit devant l'impossibilité d'arriver à une véritable intégration. Pour Steinberg, pluralisme et d</w:t>
      </w:r>
      <w:r w:rsidRPr="00BC632B">
        <w:t>é</w:t>
      </w:r>
      <w:r w:rsidRPr="00BC632B">
        <w:t>mocratie peuvent d'ailleurs être incompatibles, les positions pluralistes ne remettant pas en question, en général, les clivages de classe et r</w:t>
      </w:r>
      <w:r w:rsidRPr="00BC632B">
        <w:t>e</w:t>
      </w:r>
      <w:r w:rsidRPr="00BC632B">
        <w:t>présentant une idéologie du statu quo.</w:t>
      </w:r>
    </w:p>
    <w:p w:rsidR="00B7214C" w:rsidRPr="00BC632B" w:rsidRDefault="00B7214C" w:rsidP="00B7214C">
      <w:pPr>
        <w:spacing w:before="120" w:after="120"/>
        <w:jc w:val="both"/>
      </w:pPr>
      <w:r w:rsidRPr="00BC632B">
        <w:t xml:space="preserve">Les </w:t>
      </w:r>
      <w:r w:rsidRPr="00A07EC4">
        <w:rPr>
          <w:i/>
          <w:iCs/>
        </w:rPr>
        <w:t>nation-based theories</w:t>
      </w:r>
      <w:r w:rsidRPr="00BC632B">
        <w:t xml:space="preserve"> proposent la même critique de la notion de pluralisme. Ainsi, la thèse du colonialisme interne soutient que c'est la</w:t>
      </w:r>
      <w:r>
        <w:t xml:space="preserve"> [43] </w:t>
      </w:r>
      <w:r w:rsidRPr="00BC632B">
        <w:t>division culturelle du travail, dite coloniale par analogie et fondée sur le développement régional inégal, qui a contribué au mai</w:t>
      </w:r>
      <w:r w:rsidRPr="00BC632B">
        <w:t>n</w:t>
      </w:r>
      <w:r w:rsidRPr="00BC632B">
        <w:t>tien de l'identité raciale et ethnique dans les pays fortement industri</w:t>
      </w:r>
      <w:r w:rsidRPr="00BC632B">
        <w:t>a</w:t>
      </w:r>
      <w:r w:rsidRPr="00BC632B">
        <w:t>lisés (Blauner, 1972 ; Hechter, 1978, etc. Voir Omi, Winant, 1986,1987). Dans un ouvrage récent. Hacker (1992) présente la situ</w:t>
      </w:r>
      <w:r w:rsidRPr="00BC632B">
        <w:t>a</w:t>
      </w:r>
      <w:r w:rsidRPr="00BC632B">
        <w:t>tion des « Noirs » américains comme l'une des deux nations de la s</w:t>
      </w:r>
      <w:r w:rsidRPr="00BC632B">
        <w:t>o</w:t>
      </w:r>
      <w:r w:rsidRPr="00BC632B">
        <w:t>ciété américaine, séparées, hostiles, inégales. Cette position sera d</w:t>
      </w:r>
      <w:r w:rsidRPr="00BC632B">
        <w:t>é</w:t>
      </w:r>
      <w:r w:rsidRPr="00BC632B">
        <w:t>noncée par plusieurs intellectuels afro-américains qui refusent le r</w:t>
      </w:r>
      <w:r w:rsidRPr="00BC632B">
        <w:t>é</w:t>
      </w:r>
      <w:r w:rsidRPr="00BC632B">
        <w:t>ductionnisme racisant de son analyse.</w:t>
      </w:r>
    </w:p>
    <w:p w:rsidR="00B7214C" w:rsidRPr="00BC632B" w:rsidRDefault="00B7214C" w:rsidP="00B7214C">
      <w:pPr>
        <w:spacing w:before="120" w:after="120"/>
        <w:jc w:val="both"/>
      </w:pPr>
      <w:r w:rsidRPr="00BC632B">
        <w:t>Les théories de la segmentation du marché du travail, la perspect</w:t>
      </w:r>
      <w:r w:rsidRPr="00BC632B">
        <w:t>i</w:t>
      </w:r>
      <w:r w:rsidRPr="00BC632B">
        <w:t>ve du système mondial de Wallerstein, ou les théories européennes et américaines (d'inspiration marxiste) des migrations et des relations ethniques, parfois désignées comme historico-structurelles, mettent quant à elles l'accent sur l'utilisation de l'ethnicité et de la racisation des groupes par le biais des préjugés et de la discrimination systém</w:t>
      </w:r>
      <w:r w:rsidRPr="00BC632B">
        <w:t>i</w:t>
      </w:r>
      <w:r w:rsidRPr="00BC632B">
        <w:t xml:space="preserve">que, comme facteurs de division et d'exclusion liés à l'occupation de places différentes dans la structure économique (Edwards </w:t>
      </w:r>
      <w:r w:rsidRPr="000D1A32">
        <w:rPr>
          <w:i/>
          <w:iCs/>
        </w:rPr>
        <w:t>et al,</w:t>
      </w:r>
      <w:r w:rsidRPr="00BC632B">
        <w:t xml:space="preserve"> 1972 ; Portes, 1980 ; Portes, Walton, 1981 ; Portes, Manning, 1985 ; Castles, Kosack, 1973 ; Hayot, 1980 ; Miles, 1984,</w:t>
      </w:r>
      <w:r>
        <w:t xml:space="preserve"> </w:t>
      </w:r>
      <w:r w:rsidRPr="00BC632B">
        <w:t>1992 </w:t>
      </w:r>
      <w:r>
        <w:t>; Phi</w:t>
      </w:r>
      <w:r w:rsidRPr="00BC632B">
        <w:t xml:space="preserve">zacklea, 1980 ; Castles, Booth, Wallace, 1984 ; Balibar, Wallerstein, 1988 ; Ng </w:t>
      </w:r>
      <w:r w:rsidRPr="00476B9F">
        <w:rPr>
          <w:i/>
          <w:iCs/>
        </w:rPr>
        <w:t>et al.,</w:t>
      </w:r>
      <w:r w:rsidRPr="00BC632B">
        <w:t xml:space="preserve"> 1990 ; Vorst </w:t>
      </w:r>
      <w:r w:rsidRPr="00476B9F">
        <w:rPr>
          <w:i/>
          <w:iCs/>
        </w:rPr>
        <w:t>et al.,</w:t>
      </w:r>
      <w:r w:rsidRPr="00BC632B">
        <w:t xml:space="preserve"> 1989 ; Labelle, Turcotte, Meintel, Kempeneers, 1987 ; Labelle, 1990 ; Stasiulis, 1987 ; Ng, Estable, 1987 ; Solomos, 1988,1989, etc.). Toutes ces perspectives attestent de la persistance de l'ethnicité, en dépit de l'homogénéisation que l'on attendait sous l'i</w:t>
      </w:r>
      <w:r w:rsidRPr="00BC632B">
        <w:t>n</w:t>
      </w:r>
      <w:r w:rsidRPr="00BC632B">
        <w:t>fluence du mouvement ouvrier et syndical et en raison des transform</w:t>
      </w:r>
      <w:r w:rsidRPr="00BC632B">
        <w:t>a</w:t>
      </w:r>
      <w:r w:rsidRPr="00BC632B">
        <w:t>tions profondes des courants migratoires survenues depuis la décennie 1970. Pour leurs tenants, les groupes ethniques et les groupes racisés sont « construits » ou « reconstruits » sur la base de relations sociales inégalitaires et non à partir de traits primordiaux ou de différences g</w:t>
      </w:r>
      <w:r w:rsidRPr="00BC632B">
        <w:t>é</w:t>
      </w:r>
      <w:r w:rsidRPr="00BC632B">
        <w:t>nétiques (Li, 1988, 1990). L'ethnicité, la « race » et le sexe</w:t>
      </w:r>
      <w:r>
        <w:t xml:space="preserve"> (</w:t>
      </w:r>
      <w:r w:rsidRPr="00476B9F">
        <w:rPr>
          <w:i/>
          <w:iCs/>
        </w:rPr>
        <w:t>gender)</w:t>
      </w:r>
      <w:r w:rsidRPr="00BC632B">
        <w:t xml:space="preserve"> s'articulent à titre de variables de mobilisation autonomes et de même niveau, ou à titre de variables secondaires, à des paramètres de classe - ces dimensions étant distinctes mais inter reliées et devant être prises en compte dans toute analyse de situation, de condition, ou de con</w:t>
      </w:r>
      <w:r w:rsidRPr="00BC632B">
        <w:t>s</w:t>
      </w:r>
      <w:r w:rsidRPr="00BC632B">
        <w:t>cience identitaire, comme on le verra plus loin à propos des perspect</w:t>
      </w:r>
      <w:r w:rsidRPr="00BC632B">
        <w:t>i</w:t>
      </w:r>
      <w:r w:rsidRPr="00BC632B">
        <w:t>ves théoriques sur le mouvement associatif immigré ou à caractère ethnique. Ces perspectives aident à comprendre le rôle hégémonique de certaines fractions au sein des minorités.</w:t>
      </w:r>
    </w:p>
    <w:p w:rsidR="00B7214C" w:rsidRDefault="00B7214C" w:rsidP="00B7214C">
      <w:pPr>
        <w:spacing w:before="120" w:after="120"/>
        <w:jc w:val="both"/>
      </w:pPr>
      <w:r w:rsidRPr="00BC632B">
        <w:t>Comme le note McAll, l'ethnicité dans les sociétés capitalistes n'est pas tellement l'expression de différences linguistiques, de régionali</w:t>
      </w:r>
      <w:r w:rsidRPr="00BC632B">
        <w:t>s</w:t>
      </w:r>
      <w:r w:rsidRPr="00BC632B">
        <w:t>mes, d'identités primordiales ou de marqueurs culturels mais la tradu</w:t>
      </w:r>
      <w:r w:rsidRPr="00BC632B">
        <w:t>c</w:t>
      </w:r>
      <w:r w:rsidRPr="00BC632B">
        <w:t>tion des inégalités sociales et de la réalité des classes sociales (McAll, 1990, p. 222). En ce sens, le pluralisme ethnique n'est souvent que le symptôme d'un pluralisme de l'inégalité sociale.</w:t>
      </w:r>
    </w:p>
    <w:p w:rsidR="00B7214C" w:rsidRPr="00BC632B" w:rsidRDefault="00B7214C" w:rsidP="00B7214C">
      <w:pPr>
        <w:spacing w:before="120" w:after="120"/>
        <w:jc w:val="both"/>
      </w:pPr>
      <w:r>
        <w:t>[44]</w:t>
      </w:r>
    </w:p>
    <w:p w:rsidR="00B7214C" w:rsidRPr="00BC632B" w:rsidRDefault="00B7214C" w:rsidP="00B7214C">
      <w:pPr>
        <w:spacing w:before="120" w:after="120"/>
        <w:jc w:val="both"/>
      </w:pPr>
      <w:r w:rsidRPr="00BC632B">
        <w:t>Pareilles critiques seront reprises, à la fin des années 1980, à pr</w:t>
      </w:r>
      <w:r w:rsidRPr="00BC632B">
        <w:t>o</w:t>
      </w:r>
      <w:r w:rsidRPr="00BC632B">
        <w:t>pos de notions associées à celle de pluralisme, les notions d'intercult</w:t>
      </w:r>
      <w:r w:rsidRPr="00BC632B">
        <w:t>u</w:t>
      </w:r>
      <w:r w:rsidRPr="00BC632B">
        <w:t>ralisme et de multiculturalisme ; on insistera notamment sur la rédu</w:t>
      </w:r>
      <w:r w:rsidRPr="00BC632B">
        <w:t>c</w:t>
      </w:r>
      <w:r w:rsidRPr="00BC632B">
        <w:t>tion culturaliste du discours qui la promeut et sur l'occultation des inégalités sociales qu'elle véhicule. Par ailleurs on a souligné les pr</w:t>
      </w:r>
      <w:r w:rsidRPr="00BC632B">
        <w:t>o</w:t>
      </w:r>
      <w:r w:rsidRPr="00BC632B">
        <w:t>blèmes d'éthique que posent, sur le terrain des sciences humaines comme sur celui des sciences de l'éducation, soit un assimilationnisme dur, soit au contraire un pluralisme à tout crin, sous-tendu par un rel</w:t>
      </w:r>
      <w:r w:rsidRPr="00BC632B">
        <w:t>a</w:t>
      </w:r>
      <w:r w:rsidRPr="00BC632B">
        <w:t>tivisme culturel absolu, incapable de se situer face aux pratiques des groupes ethnoculturels minoritaires qui vont à l'encontre des valeurs de la société d'accueil (Ouellet, Pagé, 1991).</w:t>
      </w:r>
    </w:p>
    <w:p w:rsidR="00B7214C" w:rsidRPr="00BC632B" w:rsidRDefault="00B7214C" w:rsidP="00B7214C">
      <w:pPr>
        <w:spacing w:before="120" w:after="120"/>
        <w:jc w:val="both"/>
      </w:pPr>
      <w:r w:rsidRPr="00BC632B">
        <w:t>Dans le contexte européen, les questions de l'immigration, musu</w:t>
      </w:r>
      <w:r w:rsidRPr="00BC632B">
        <w:t>l</w:t>
      </w:r>
      <w:r w:rsidRPr="00BC632B">
        <w:t>mane en particulier, et de la lutte contre le racisme ont suscité de vifs débats entre les tenants du droit à la différence et les communautari</w:t>
      </w:r>
      <w:r w:rsidRPr="00BC632B">
        <w:t>s</w:t>
      </w:r>
      <w:r w:rsidRPr="00BC632B">
        <w:t>tes, d'une part, et les tenants d'une politique d'intégration individuelle et non collective (ou par communautés) à la nation, d'autre part (Schnapper, 1992). Ainsi le modèle dominant en Angleterre admet l'idée de minorités ethniques dont les droits pourraient être reconnus, au contraire du modèle français qui fonctionne autour du pacte rép</w:t>
      </w:r>
      <w:r w:rsidRPr="00BC632B">
        <w:t>u</w:t>
      </w:r>
      <w:r w:rsidRPr="00BC632B">
        <w:t>blicain. Tous les pays européens proclament la liberté de culte et d'e</w:t>
      </w:r>
      <w:r w:rsidRPr="00BC632B">
        <w:t>x</w:t>
      </w:r>
      <w:r w:rsidRPr="00BC632B">
        <w:t>pression religieuse en même temps que la laïcité de l'État, donc un pluralisme de fait, avec des accommodements différents entre les a</w:t>
      </w:r>
      <w:r w:rsidRPr="00BC632B">
        <w:t>s</w:t>
      </w:r>
      <w:r w:rsidRPr="00BC632B">
        <w:t>sociations religieuses et l'État (Schnapper, 1992).</w:t>
      </w:r>
    </w:p>
    <w:p w:rsidR="00B7214C" w:rsidRPr="00BC632B" w:rsidRDefault="00B7214C" w:rsidP="00B7214C">
      <w:pPr>
        <w:spacing w:before="120" w:after="120"/>
        <w:jc w:val="both"/>
      </w:pPr>
      <w:r w:rsidRPr="00BC632B">
        <w:t>D'où l'émergence parallèle de réflexions nouvelles autour des conceptions de l'État-nation, des politiques d'intégration des imm</w:t>
      </w:r>
      <w:r w:rsidRPr="00BC632B">
        <w:t>i</w:t>
      </w:r>
      <w:r w:rsidRPr="00BC632B">
        <w:t>grants et des minorités, et de l'identité nationale (Finkielkraut, 1987 ; Delannoi, Taguieff, 1991 ; Lewis, Schnapper, 1992 ; Heckmann, 1992 ; Schnapper, 1991, 1992 ; Yuval-Davis, 1993). Ces débats, pri</w:t>
      </w:r>
      <w:r w:rsidRPr="00BC632B">
        <w:t>o</w:t>
      </w:r>
      <w:r w:rsidRPr="00BC632B">
        <w:t>ritaires en Europe, sont présents dans la société québécoise, comme on le verra plus loin.</w:t>
      </w:r>
    </w:p>
    <w:p w:rsidR="00B7214C" w:rsidRPr="00BC632B" w:rsidRDefault="00B7214C" w:rsidP="00B7214C">
      <w:pPr>
        <w:spacing w:before="120" w:after="120"/>
        <w:jc w:val="both"/>
      </w:pPr>
      <w:r w:rsidRPr="00BC632B">
        <w:t>Parallèlement, la montée des mouvements de droite en Europe et la crise de l'identité nationale qui frappent plusieurs pays ont entraîné une sorte de perversion du droit à la différence. Un nouveau discours de type nativiste prétend que les populations immigrées menacent l'homogénéité culturelle des nations britannique et française. La cult</w:t>
      </w:r>
      <w:r w:rsidRPr="00BC632B">
        <w:t>u</w:t>
      </w:r>
      <w:r w:rsidRPr="00BC632B">
        <w:t>re occidentale serait menacée de disparition. Or il existerait un droit naturel de vivre entre soi, de former une communauté nationale. « Chaque communauté est l'expression de la nature humaine », chaque communauté est naturellement exclusive et a le droit et le devoir de protéger ses frontières culturelles (Baker, 1983). Pour Balibar (1988), Taguieff (1988), De Rudder (1985), Miles (1989), Wieviorka (1991,</w:t>
      </w:r>
      <w:r>
        <w:t xml:space="preserve"> </w:t>
      </w:r>
      <w:r w:rsidRPr="00BC632B">
        <w:t>1992,</w:t>
      </w:r>
      <w:r>
        <w:t xml:space="preserve"> </w:t>
      </w:r>
      <w:r w:rsidRPr="00BC632B">
        <w:t>1992), ce discours témoigne du passage du racisme biol</w:t>
      </w:r>
      <w:r w:rsidRPr="00BC632B">
        <w:t>o</w:t>
      </w:r>
      <w:r w:rsidRPr="00BC632B">
        <w:t>gique au racisme culturel ou différencialiste. Il argue que les différences e</w:t>
      </w:r>
      <w:r w:rsidRPr="00BC632B">
        <w:t>n</w:t>
      </w:r>
      <w:r w:rsidRPr="00BC632B">
        <w:t>tre cultures sont non assimilables et que l'autre est désormais défini comme naturellement différent en termes culturels. Son idée essentie</w:t>
      </w:r>
      <w:r w:rsidRPr="00BC632B">
        <w:t>l</w:t>
      </w:r>
      <w:r w:rsidRPr="00BC632B">
        <w:t>le est</w:t>
      </w:r>
      <w:r>
        <w:t xml:space="preserve"> [45] </w:t>
      </w:r>
      <w:r w:rsidRPr="00BC632B">
        <w:t>que la culture fonctionne comme nature (Balibar, 1988, p. 34). On reconnaît l'influence de Fanon, pour qui le racisme évolue dans ses formes : du racisme biologique, à la phase du colonialisme, au raci</w:t>
      </w:r>
      <w:r w:rsidRPr="00BC632B">
        <w:t>s</w:t>
      </w:r>
      <w:r w:rsidRPr="00BC632B">
        <w:t>me culturel, à la phase du postcolonialisme. En conséquence, De Rudder souligne « l'extrême ambiguïté, non seulement théorique, mais sociale et politique, de la notion de &lt;droit à la différence) où la prétendue reconnaissance de &lt;la&gt; différence gomme la &lt;ressembla</w:t>
      </w:r>
      <w:r w:rsidRPr="00BC632B">
        <w:t>n</w:t>
      </w:r>
      <w:r w:rsidRPr="00BC632B">
        <w:t>ce&gt;, permet la réactivation d'un &lt;non-droit&gt; et, par conséquent, celle du &lt;non-droit&gt; à la ressemblance » (De Rudder, 1985, p. 30).</w:t>
      </w:r>
    </w:p>
    <w:p w:rsidR="00B7214C" w:rsidRPr="00BC632B" w:rsidRDefault="00B7214C" w:rsidP="00B7214C">
      <w:pPr>
        <w:spacing w:before="120" w:after="120"/>
        <w:jc w:val="both"/>
      </w:pPr>
      <w:r w:rsidRPr="00BC632B">
        <w:t>De même, aux États-Unis, l'extrême-droite tentera, face aux reve</w:t>
      </w:r>
      <w:r w:rsidRPr="00BC632B">
        <w:t>n</w:t>
      </w:r>
      <w:r w:rsidRPr="00BC632B">
        <w:t>dications des Afro-Américains et aux politiques de l'État libéral, de renverser la discrimination positive et de développer une nouvelle identité blanche (</w:t>
      </w:r>
      <w:r w:rsidRPr="00A07EC4">
        <w:rPr>
          <w:i/>
          <w:iCs/>
        </w:rPr>
        <w:t>Whiteness</w:t>
      </w:r>
      <w:r w:rsidRPr="00BC632B">
        <w:t xml:space="preserve">), alors que la nouvelle droite formulera des revendications en termes de </w:t>
      </w:r>
      <w:r w:rsidRPr="00A07EC4">
        <w:rPr>
          <w:i/>
          <w:iCs/>
        </w:rPr>
        <w:t>Cultural Politics</w:t>
      </w:r>
      <w:r w:rsidRPr="00BC632B">
        <w:t xml:space="preserve"> en faveur de la p</w:t>
      </w:r>
      <w:r w:rsidRPr="00BC632B">
        <w:t>o</w:t>
      </w:r>
      <w:r w:rsidRPr="00BC632B">
        <w:t>pulation blanche qui se perçoit maintenant comme minoritaire (Omi, Winant, 1986 ; Hacker, 1992).</w:t>
      </w:r>
    </w:p>
    <w:p w:rsidR="00B7214C" w:rsidRPr="00BC632B" w:rsidRDefault="00B7214C" w:rsidP="00B7214C">
      <w:pPr>
        <w:spacing w:before="120" w:after="120"/>
        <w:jc w:val="both"/>
      </w:pPr>
      <w:r w:rsidRPr="00BC632B">
        <w:t>La revendication du droit à la différence, thème lié au courant du culturalisme anthropologique et aux mouvements progressistes et a</w:t>
      </w:r>
      <w:r w:rsidRPr="00BC632B">
        <w:t>n</w:t>
      </w:r>
      <w:r w:rsidRPr="00BC632B">
        <w:t>ticolonialistes, aurait donc été pervertie. Au nom du pluralisme, on passe à un racisme qui naturalise non pas l'appartenance à une soi-disant race mais la différence culturelle. Ce déplacement d'intérêt vers les enjeux culturels de l'immigration et la relation avec la crise d'ide</w:t>
      </w:r>
      <w:r w:rsidRPr="00BC632B">
        <w:t>n</w:t>
      </w:r>
      <w:r w:rsidRPr="00BC632B">
        <w:t>tité des sociétés européennes naît de l'impuissance à faire face à la cr</w:t>
      </w:r>
      <w:r w:rsidRPr="00BC632B">
        <w:t>i</w:t>
      </w:r>
      <w:r w:rsidRPr="00BC632B">
        <w:t>se économique qui affecte les immigrés aussi bien que les nationaux. Ainsi, au nom de l'antiracisme, une nouvelle théorie des relations et</w:t>
      </w:r>
      <w:r w:rsidRPr="00BC632B">
        <w:t>h</w:t>
      </w:r>
      <w:r w:rsidRPr="00BC632B">
        <w:t>niques, axée autour des notions de seuil et de distance culturelle, et qui naturalise les comportements racistes, cherche à s'imposer.</w:t>
      </w:r>
    </w:p>
    <w:p w:rsidR="00B7214C" w:rsidRPr="00BC632B" w:rsidRDefault="00B7214C" w:rsidP="00B7214C">
      <w:pPr>
        <w:spacing w:before="120" w:after="120"/>
        <w:jc w:val="both"/>
      </w:pPr>
      <w:r w:rsidRPr="00BC632B">
        <w:t>Dans la partie qui suit, nous nous arrêterons à l'application de ces modèles au mouvement associatif à base ethnique ou à identité rac</w:t>
      </w:r>
      <w:r w:rsidRPr="00BC632B">
        <w:t>i</w:t>
      </w:r>
      <w:r w:rsidRPr="00BC632B">
        <w:t>sée. L'on constatera que s'affrontent ici les conceptions globales de l'ethnicité, comme catégorie d'orientation universaliste ou particulari</w:t>
      </w:r>
      <w:r w:rsidRPr="00BC632B">
        <w:t>s</w:t>
      </w:r>
      <w:r w:rsidRPr="00BC632B">
        <w:t>te de l'action sociale et de la mobilisation identitaire.</w:t>
      </w:r>
    </w:p>
    <w:p w:rsidR="00B7214C" w:rsidRDefault="00B7214C" w:rsidP="00B7214C">
      <w:pPr>
        <w:spacing w:before="120" w:after="120"/>
        <w:jc w:val="both"/>
      </w:pPr>
      <w:r>
        <w:br w:type="page"/>
      </w:r>
    </w:p>
    <w:p w:rsidR="00B7214C" w:rsidRDefault="00B7214C" w:rsidP="00B7214C">
      <w:pPr>
        <w:pStyle w:val="a"/>
      </w:pPr>
      <w:r w:rsidRPr="00BC632B">
        <w:t>ETHNICITÉ, PROCESSUS DE RACISATION</w:t>
      </w:r>
      <w:r>
        <w:br/>
      </w:r>
      <w:r w:rsidRPr="00BC632B">
        <w:t>ET MOUV</w:t>
      </w:r>
      <w:r w:rsidRPr="00BC632B">
        <w:t>E</w:t>
      </w:r>
      <w:r w:rsidRPr="00BC632B">
        <w:t>MENT ASSOCIATIF</w:t>
      </w:r>
    </w:p>
    <w:p w:rsidR="00B7214C" w:rsidRPr="00BC632B" w:rsidRDefault="00B7214C" w:rsidP="00B7214C">
      <w:pPr>
        <w:spacing w:before="120" w:after="120"/>
        <w:jc w:val="both"/>
      </w:pPr>
    </w:p>
    <w:p w:rsidR="00B7214C" w:rsidRDefault="00B7214C" w:rsidP="00B7214C">
      <w:pPr>
        <w:spacing w:before="120" w:after="120"/>
        <w:jc w:val="both"/>
      </w:pPr>
      <w:r w:rsidRPr="00BC632B">
        <w:t>Les chercheurs de l'école de Chicago (Matthew, 1977) ont mis en évidence le rôle médiateur des associations ethniques dans l'adaptation psychosociale des nouveaux immigrants et dans le processus irréve</w:t>
      </w:r>
      <w:r w:rsidRPr="00BC632B">
        <w:t>r</w:t>
      </w:r>
      <w:r w:rsidRPr="00BC632B">
        <w:t>sible de l'assimilation à plus long terme. Encore aujourd'hui, une m</w:t>
      </w:r>
      <w:r w:rsidRPr="00BC632B">
        <w:t>a</w:t>
      </w:r>
      <w:r w:rsidRPr="00BC632B">
        <w:t>jorité de chercheurs s'accordent d'ailleurs sur le rôle crucial des ass</w:t>
      </w:r>
      <w:r w:rsidRPr="00BC632B">
        <w:t>o</w:t>
      </w:r>
      <w:r w:rsidRPr="00BC632B">
        <w:t>ciations ethniques volontaires dans l'adaptation à court terme des i</w:t>
      </w:r>
      <w:r w:rsidRPr="00BC632B">
        <w:t>m</w:t>
      </w:r>
      <w:r w:rsidRPr="00BC632B">
        <w:t>migrants et des réfugiés.</w:t>
      </w:r>
    </w:p>
    <w:p w:rsidR="00B7214C" w:rsidRPr="00BC632B" w:rsidRDefault="00B7214C" w:rsidP="00B7214C">
      <w:pPr>
        <w:spacing w:before="120" w:after="120"/>
        <w:jc w:val="both"/>
      </w:pPr>
      <w:r>
        <w:t>[46]</w:t>
      </w:r>
    </w:p>
    <w:p w:rsidR="00B7214C" w:rsidRPr="00BC632B" w:rsidRDefault="00B7214C" w:rsidP="00B7214C">
      <w:pPr>
        <w:spacing w:before="120" w:after="120"/>
        <w:jc w:val="both"/>
      </w:pPr>
      <w:r w:rsidRPr="00BC632B">
        <w:t>À cette perspective déjà ancienne, s'en sont ajoutées d'autres selon lesquelles les associations représentent des lieux privilégiés de la pr</w:t>
      </w:r>
      <w:r w:rsidRPr="00BC632B">
        <w:t>o</w:t>
      </w:r>
      <w:r w:rsidRPr="00BC632B">
        <w:t>duction de l'ethnicité ou de la « race », des espaces d'affirmation du groupe minoritaire au sein de la société globale ou encore des centres stratégiques de mobilisation dans l'assimilation et l'intégration à la société globale.</w:t>
      </w:r>
    </w:p>
    <w:p w:rsidR="00B7214C" w:rsidRPr="00BC632B" w:rsidRDefault="00B7214C" w:rsidP="00B7214C">
      <w:pPr>
        <w:spacing w:before="120" w:after="120"/>
        <w:jc w:val="both"/>
      </w:pPr>
      <w:r w:rsidRPr="00BC632B">
        <w:t>Délaissant les axes du conflit ou du consensus, certains chercheurs ont choisi de procéder à des analyses systémiques des organisations ethniques ; on a ainsi mis en évidence deux facteurs explicatifs de leur émergence et de leur disparition : la discrimination subie dans la s</w:t>
      </w:r>
      <w:r w:rsidRPr="00BC632B">
        <w:t>o</w:t>
      </w:r>
      <w:r w:rsidRPr="00BC632B">
        <w:t>ciété plus large et 1'</w:t>
      </w:r>
      <w:r w:rsidRPr="00A07EC4">
        <w:rPr>
          <w:i/>
          <w:iCs/>
        </w:rPr>
        <w:t>« ethnic resilience »,</w:t>
      </w:r>
      <w:r w:rsidRPr="00BC632B">
        <w:t xml:space="preserve"> soit les caractéristiques pr</w:t>
      </w:r>
      <w:r w:rsidRPr="00BC632B">
        <w:t>i</w:t>
      </w:r>
      <w:r w:rsidRPr="00BC632B">
        <w:t>maires des organismes ethniques en termes de motivation, d'orient</w:t>
      </w:r>
      <w:r w:rsidRPr="00BC632B">
        <w:t>a</w:t>
      </w:r>
      <w:r w:rsidRPr="00BC632B">
        <w:t>tion et de décision (Baureiss, 1982).</w:t>
      </w:r>
    </w:p>
    <w:p w:rsidR="00B7214C" w:rsidRPr="00BC632B" w:rsidRDefault="00B7214C" w:rsidP="00B7214C">
      <w:pPr>
        <w:spacing w:before="120" w:after="120"/>
        <w:jc w:val="both"/>
      </w:pPr>
      <w:r w:rsidRPr="00BC632B">
        <w:t>Certains anthropologues sociaux voient dans le développement communautaire un prolongement de l'organisation sociale liée aux structures de parenté, de voisinage et de convivialité dans le pays d'origine, organisation ou réorganisation sociale propre à faciliter l'adaptation des immigrants et des réfugiés. Dans ses travaux sur les communautés indochinoises, Dorais pose que toute communauté et</w:t>
      </w:r>
      <w:r w:rsidRPr="00BC632B">
        <w:t>h</w:t>
      </w:r>
      <w:r w:rsidRPr="00BC632B">
        <w:t>nique est constituée d'un réseau de relations socialement signifiantes entre ses membres. La culture et le système symbolique s'expriment à travers ces relations, les institutions et les associations communauta</w:t>
      </w:r>
      <w:r w:rsidRPr="00BC632B">
        <w:t>i</w:t>
      </w:r>
      <w:r w:rsidRPr="00BC632B">
        <w:t xml:space="preserve">res (Dorais, 1991). (Voir aussi Rex, Joly, Wilpert, 1987 ; Indra, 1987 ; Dorais </w:t>
      </w:r>
      <w:r w:rsidRPr="00A07EC4">
        <w:rPr>
          <w:i/>
          <w:iCs/>
        </w:rPr>
        <w:t>et al,</w:t>
      </w:r>
      <w:r w:rsidRPr="00BC632B">
        <w:t xml:space="preserve"> 1988 ; Dorais, 1990a, 1990b, 1991 ; Lévy, Ouaknine, 1989).</w:t>
      </w:r>
    </w:p>
    <w:p w:rsidR="00B7214C" w:rsidRPr="00BC632B" w:rsidRDefault="00B7214C" w:rsidP="00B7214C">
      <w:pPr>
        <w:spacing w:before="120" w:after="120"/>
        <w:jc w:val="both"/>
      </w:pPr>
      <w:r w:rsidRPr="00BC632B">
        <w:t>Dans la logique globale du paradigme de l'ethnicité, le maintien de l'identité et la cohésion ethnique sont intimement associés à la que</w:t>
      </w:r>
      <w:r w:rsidRPr="00BC632B">
        <w:t>s</w:t>
      </w:r>
      <w:r w:rsidRPr="00BC632B">
        <w:t xml:space="preserve">tion du pluralisme. Certains auteurs ont avancé la notion de </w:t>
      </w:r>
      <w:r w:rsidRPr="00A07EC4">
        <w:rPr>
          <w:i/>
          <w:iCs/>
        </w:rPr>
        <w:t>instituti</w:t>
      </w:r>
      <w:r w:rsidRPr="00A07EC4">
        <w:rPr>
          <w:i/>
          <w:iCs/>
        </w:rPr>
        <w:t>o</w:t>
      </w:r>
      <w:r w:rsidRPr="00A07EC4">
        <w:rPr>
          <w:i/>
          <w:iCs/>
        </w:rPr>
        <w:t>nal completeness</w:t>
      </w:r>
      <w:r w:rsidRPr="00BC632B">
        <w:t xml:space="preserve"> (Breton, 1964). La complétude institutionnelle est présentée dans le contexte canadien « comme une dimension de la s</w:t>
      </w:r>
      <w:r w:rsidRPr="00BC632B">
        <w:t>o</w:t>
      </w:r>
      <w:r w:rsidRPr="00BC632B">
        <w:t>lidarité, de la loyauté et de la cohésion ethnique » et se définit par la capacité qu'a un groupe ethnique de développer des organisations p</w:t>
      </w:r>
      <w:r>
        <w:t>our les membres de cette « eth</w:t>
      </w:r>
      <w:r w:rsidRPr="00BC632B">
        <w:t>noculture » (Herberg, 1989). Cette compl</w:t>
      </w:r>
      <w:r w:rsidRPr="00BC632B">
        <w:t>é</w:t>
      </w:r>
      <w:r w:rsidRPr="00BC632B">
        <w:t>tude institutionnelle s'évalue, selon les sociologues qui font référence à cette notion, par la vigueur des réseaux primaires et seconda</w:t>
      </w:r>
      <w:r w:rsidRPr="00BC632B">
        <w:t>i</w:t>
      </w:r>
      <w:r w:rsidRPr="00BC632B">
        <w:t>res fondés sur l'appartenance ethnique, sur le taux d'endogamie, le taux de réte</w:t>
      </w:r>
      <w:r w:rsidRPr="00BC632B">
        <w:t>n</w:t>
      </w:r>
      <w:r w:rsidRPr="00BC632B">
        <w:t>tion de la langue d'origine, l'existence d'institutions religieuses, culturelles et éducatives, de quartiers distinctifs, d'associations volo</w:t>
      </w:r>
      <w:r w:rsidRPr="00BC632B">
        <w:t>n</w:t>
      </w:r>
      <w:r w:rsidRPr="00BC632B">
        <w:t>taires et de médias fondés et organisés autour de particularismes et</w:t>
      </w:r>
      <w:r w:rsidRPr="00BC632B">
        <w:t>h</w:t>
      </w:r>
      <w:r w:rsidRPr="00BC632B">
        <w:t>nocult</w:t>
      </w:r>
      <w:r w:rsidRPr="00BC632B">
        <w:t>u</w:t>
      </w:r>
      <w:r w:rsidRPr="00BC632B">
        <w:t>rels.</w:t>
      </w:r>
    </w:p>
    <w:p w:rsidR="00B7214C" w:rsidRPr="00BC632B" w:rsidRDefault="00B7214C" w:rsidP="00B7214C">
      <w:pPr>
        <w:spacing w:before="120" w:after="120"/>
        <w:jc w:val="both"/>
      </w:pPr>
      <w:r w:rsidRPr="00BC632B">
        <w:t>Ainsi, dans le cas canadien, Reitz considère que la discrimination subie par un groupe minoritaire et l'existence d'organismes structurés sur la base de l'ethnicité expliquent la persistance de l'ethnicité des classes moyennes et la cohésion ethnique que l'on observe dans la s</w:t>
      </w:r>
      <w:r w:rsidRPr="00BC632B">
        <w:t>o</w:t>
      </w:r>
      <w:r>
        <w:t>ciété cana</w:t>
      </w:r>
      <w:r w:rsidRPr="00BC632B">
        <w:t>dienne.</w:t>
      </w:r>
      <w:r>
        <w:t xml:space="preserve"> </w:t>
      </w:r>
      <w:r w:rsidRPr="00476B9F">
        <w:t>[47]</w:t>
      </w:r>
      <w:r w:rsidRPr="00BC632B">
        <w:t xml:space="preserve"> Les associations contribuent à maintenir la culture ethn</w:t>
      </w:r>
      <w:r w:rsidRPr="00BC632B">
        <w:t>i</w:t>
      </w:r>
      <w:r w:rsidRPr="00BC632B">
        <w:t>que, à développer des intérêts ethniques, et à soutenir la mobil</w:t>
      </w:r>
      <w:r w:rsidRPr="00BC632B">
        <w:t>i</w:t>
      </w:r>
      <w:r w:rsidRPr="00BC632B">
        <w:t>sation ethnique (Reitz, 1980).</w:t>
      </w:r>
    </w:p>
    <w:p w:rsidR="00B7214C" w:rsidRPr="00BC632B" w:rsidRDefault="00B7214C" w:rsidP="00B7214C">
      <w:pPr>
        <w:spacing w:before="120" w:after="120"/>
        <w:jc w:val="both"/>
      </w:pPr>
      <w:r w:rsidRPr="00BC632B">
        <w:t>Cette complétude institutionnelle soulève deux positions diverge</w:t>
      </w:r>
      <w:r w:rsidRPr="00BC632B">
        <w:t>n</w:t>
      </w:r>
      <w:r w:rsidRPr="00BC632B">
        <w:t>tes quant à la fonction de l'ethnicité, notamment dans le cas du mo</w:t>
      </w:r>
      <w:r w:rsidRPr="00BC632B">
        <w:t>u</w:t>
      </w:r>
      <w:r w:rsidRPr="00BC632B">
        <w:t>vement associatif. Pour les uns, les associations ethniques, parce qu'e</w:t>
      </w:r>
      <w:r w:rsidRPr="00BC632B">
        <w:t>l</w:t>
      </w:r>
      <w:r w:rsidRPr="00BC632B">
        <w:t>les sont des organismes intermédiaires susceptibles de créer un équil</w:t>
      </w:r>
      <w:r w:rsidRPr="00BC632B">
        <w:t>i</w:t>
      </w:r>
      <w:r w:rsidRPr="00BC632B">
        <w:t>bre entre des intérêts multiples, favorisent l'assimilation ou l'intégr</w:t>
      </w:r>
      <w:r w:rsidRPr="00BC632B">
        <w:t>a</w:t>
      </w:r>
      <w:r w:rsidRPr="00BC632B">
        <w:t>tion ; pour d'autres, elles encouragent la ségrégation car, fonctionnant de façon parallèle et chaque sous-groupe étant isolé sur le plan instit</w:t>
      </w:r>
      <w:r w:rsidRPr="00BC632B">
        <w:t>u</w:t>
      </w:r>
      <w:r w:rsidRPr="00BC632B">
        <w:t>tionnel, elles minimisent les contacts interpersonnels et institutionnels avec la société globale (Schoenberg, 1985). Une telle position soulève la question des orientations idéologiques qui sous-tendent le mouv</w:t>
      </w:r>
      <w:r w:rsidRPr="00BC632B">
        <w:t>e</w:t>
      </w:r>
      <w:r w:rsidRPr="00BC632B">
        <w:t>ment associatif à vocation ethnique de même que la gestion étatique de la diversité ethnoculturelle qui utilise ces associations comme i</w:t>
      </w:r>
      <w:r w:rsidRPr="00BC632B">
        <w:t>n</w:t>
      </w:r>
      <w:r w:rsidRPr="00BC632B">
        <w:t>terlocuteurs ou partenaires sociaux : l'une repose sur une logique un</w:t>
      </w:r>
      <w:r w:rsidRPr="00BC632B">
        <w:t>i</w:t>
      </w:r>
      <w:r w:rsidRPr="00BC632B">
        <w:t>versaliste d'intégration à la société globale, l'autre sur une logique di</w:t>
      </w:r>
      <w:r w:rsidRPr="00BC632B">
        <w:t>f</w:t>
      </w:r>
      <w:r w:rsidRPr="00BC632B">
        <w:t>férencialiste d'intégration à la société globale (Finkielkraut, 1987 ; Schnapper, 1991,1992 ; Delannoi et Taguieff, 1991). Or, selon ce</w:t>
      </w:r>
      <w:r w:rsidRPr="00BC632B">
        <w:t>r</w:t>
      </w:r>
      <w:r w:rsidRPr="00BC632B">
        <w:t>tains chercheurs comme Radecki (1976), la majorité de ce type d'a</w:t>
      </w:r>
      <w:r w:rsidRPr="00BC632B">
        <w:t>s</w:t>
      </w:r>
      <w:r w:rsidRPr="00BC632B">
        <w:t>sociations ne cherchent pas à faciliter l'insertion de leurs membres dans la société canadienne, mais travaillent plutôt à maintenir l'ident</w:t>
      </w:r>
      <w:r w:rsidRPr="00BC632B">
        <w:t>i</w:t>
      </w:r>
      <w:r w:rsidRPr="00BC632B">
        <w:t>té ethnique et nationale d'origine de leurs membres et à assurer la sp</w:t>
      </w:r>
      <w:r w:rsidRPr="00BC632B">
        <w:t>é</w:t>
      </w:r>
      <w:r w:rsidRPr="00BC632B">
        <w:t>cificité culturelle des groupes. L'association est ici un lieu privilégié de production de l'ethnicité (Schoenberg, 1985).</w:t>
      </w:r>
    </w:p>
    <w:p w:rsidR="00B7214C" w:rsidRPr="00BC632B" w:rsidRDefault="00B7214C" w:rsidP="00B7214C">
      <w:pPr>
        <w:spacing w:before="120" w:after="120"/>
        <w:jc w:val="both"/>
      </w:pPr>
      <w:r w:rsidRPr="00BC632B">
        <w:t>Le courant politiste analyse la relation État/groupe ethnique co</w:t>
      </w:r>
      <w:r w:rsidRPr="00BC632B">
        <w:t>m</w:t>
      </w:r>
      <w:r w:rsidRPr="00BC632B">
        <w:t>me partie intégrante du système démocratique libéral, dans lequel les groupes sont encouragés à entrer en compétition pour obtenir biens et services par le biais de leurs organisations. Vue ainsi, on l'a dit plus haut, l'ethnicité devient une catégorie politique, qui supplante la classe sociale comme facteur de mobilisation et de défense des intérêts co</w:t>
      </w:r>
      <w:r w:rsidRPr="00BC632B">
        <w:t>l</w:t>
      </w:r>
      <w:r w:rsidRPr="00BC632B">
        <w:t>lectifs ou corporatistes. Les associations sont un lieu crucial de mob</w:t>
      </w:r>
      <w:r w:rsidRPr="00BC632B">
        <w:t>i</w:t>
      </w:r>
      <w:r w:rsidRPr="00BC632B">
        <w:t>lisation politique. L'idée clé est que la communauté ethnique se go</w:t>
      </w:r>
      <w:r w:rsidRPr="00BC632B">
        <w:t>u</w:t>
      </w:r>
      <w:r w:rsidRPr="00BC632B">
        <w:t xml:space="preserve">verne, constitue une </w:t>
      </w:r>
      <w:r w:rsidRPr="00476B9F">
        <w:rPr>
          <w:i/>
          <w:iCs/>
        </w:rPr>
        <w:t>mini polity</w:t>
      </w:r>
      <w:r w:rsidRPr="00BC632B">
        <w:t xml:space="preserve"> ou s'agrège autour d'un « pacte s</w:t>
      </w:r>
      <w:r w:rsidRPr="00BC632B">
        <w:t>o</w:t>
      </w:r>
      <w:r w:rsidRPr="00BC632B">
        <w:t>cial » (Weinfeld, 1984 ; Elazar, Waller, 1990) pour maintenir son identité ethnique, mais également se défendre contre la discrimination virtue</w:t>
      </w:r>
      <w:r w:rsidRPr="00BC632B">
        <w:t>l</w:t>
      </w:r>
      <w:r w:rsidRPr="00BC632B">
        <w:t>lement associée au statut de groupe minoritaire. L'exemple type de cette analyse se trouve chez Breton, pour qui la communauté ethn</w:t>
      </w:r>
      <w:r w:rsidRPr="00BC632B">
        <w:t>i</w:t>
      </w:r>
      <w:r w:rsidRPr="00BC632B">
        <w:t>que est une construction sociopolitique qui définit les frontières de son identité collective, s'organise et coordonne son action collective pour la conduite de ses affaires publiques, gère des conflits internes, et m</w:t>
      </w:r>
      <w:r w:rsidRPr="00BC632B">
        <w:t>o</w:t>
      </w:r>
      <w:r w:rsidRPr="00BC632B">
        <w:t xml:space="preserve">bilise ses ressources pour assurer la participation de ses membres (Breton 1983,1991 ; Breton </w:t>
      </w:r>
      <w:r w:rsidRPr="00A07EC4">
        <w:rPr>
          <w:i/>
          <w:iCs/>
        </w:rPr>
        <w:t>et al.,</w:t>
      </w:r>
      <w:r w:rsidRPr="00BC632B">
        <w:t xml:space="preserve"> 1990). C'est aussi la perspective adoptée par le collectif de textes édités par Higham sur le leadership des</w:t>
      </w:r>
      <w:r>
        <w:t xml:space="preserve"> [48] </w:t>
      </w:r>
      <w:r w:rsidRPr="00BC632B">
        <w:t>Juifs, des Irlandais, des Afro-Américains, etc., aux États-Unis (voir la postface de Mintz, dans Higham, 1978).</w:t>
      </w:r>
    </w:p>
    <w:p w:rsidR="00B7214C" w:rsidRPr="00BC632B" w:rsidRDefault="00B7214C" w:rsidP="00B7214C">
      <w:pPr>
        <w:spacing w:before="120" w:after="120"/>
        <w:jc w:val="both"/>
      </w:pPr>
      <w:r w:rsidRPr="00BC632B">
        <w:t>Ici les groupes ethniques se constituent en groupes de pression qui revendiquent face à l'État-providence. Les associations ethniques sont donc fonctionnelles dans le sens où elles articulent des demandes s</w:t>
      </w:r>
      <w:r w:rsidRPr="00BC632B">
        <w:t>o</w:t>
      </w:r>
      <w:r w:rsidRPr="00BC632B">
        <w:t>ciales auxquelles l'État peut répondre dans le cadre du système exi</w:t>
      </w:r>
      <w:r w:rsidRPr="00BC632B">
        <w:t>s</w:t>
      </w:r>
      <w:r w:rsidRPr="00BC632B">
        <w:t>tant. Pourtant, dans la conjoncture des années de crise de la décennie 1980, les principaux tenants de cette perspective combattront les pr</w:t>
      </w:r>
      <w:r w:rsidRPr="00BC632B">
        <w:t>o</w:t>
      </w:r>
      <w:r w:rsidRPr="00BC632B">
        <w:t>grammes de discrimination positive susceptibles de répondre aux in</w:t>
      </w:r>
      <w:r w:rsidRPr="00BC632B">
        <w:t>é</w:t>
      </w:r>
      <w:r w:rsidRPr="00BC632B">
        <w:t xml:space="preserve">galités sociales subies par certaines minorités (le </w:t>
      </w:r>
      <w:r w:rsidRPr="00A07EC4">
        <w:rPr>
          <w:i/>
          <w:iCs/>
        </w:rPr>
        <w:t>corporate pluralism</w:t>
      </w:r>
      <w:r w:rsidRPr="00BC632B">
        <w:t xml:space="preserve"> r</w:t>
      </w:r>
      <w:r w:rsidRPr="00BC632B">
        <w:t>e</w:t>
      </w:r>
      <w:r w:rsidRPr="00BC632B">
        <w:t>connaît ouvertement que la distribution du pouvoir et des privilèges opèrent selon des clivages ethniques et raciaux et qu'en conséquence la revendication se fait autour de droits collectifs et d'une définition de l'appartenance qui est collective (Yinger, 1988, p. 32).</w:t>
      </w:r>
    </w:p>
    <w:p w:rsidR="00B7214C" w:rsidRPr="00BC632B" w:rsidRDefault="00B7214C" w:rsidP="00B7214C">
      <w:pPr>
        <w:spacing w:before="120" w:after="120"/>
        <w:jc w:val="both"/>
      </w:pPr>
      <w:r w:rsidRPr="00BC632B">
        <w:t>Les modèles marxisants, de même que la sociologie de l'action, sont traversés de débats sur le rôle de l'ethnicité dans la mobilisation et les mouvements sociaux. Ces débats portent sur l'orientation de l'a</w:t>
      </w:r>
      <w:r w:rsidRPr="00BC632B">
        <w:t>c</w:t>
      </w:r>
      <w:r w:rsidRPr="00BC632B">
        <w:t>tion sociale et posent encore la question de la défense d'intérêts un</w:t>
      </w:r>
      <w:r w:rsidRPr="00BC632B">
        <w:t>i</w:t>
      </w:r>
      <w:r w:rsidRPr="00BC632B">
        <w:t>versalistes ou particularistes, de l'autonomie des facteurs explicatifs qui renvoient à la classe, aux processus de racisation, etc. (Castles, Kosack, 1973 ; Castles, Booth, Wallace, 1984 ; Solomos, 1988, 1989 ; Gilroy, 1987 ; Anthias, 1990 ; Vorst, 1989 ; Goulbou</w:t>
      </w:r>
      <w:r>
        <w:t>rn</w:t>
      </w:r>
      <w:r w:rsidRPr="00BC632B">
        <w:t>e, 1991,1992, etc.). Ainsi Miles et Phizakclea distinguent, dans le cas de la Grande-Bretagne, trois logiques de mobilisation ou d'orientation de l'action des immigrés. L'action peut être orientée par la lutte contre le racisme et organisée autour de l'identité raciale construite ou reconstruite (</w:t>
      </w:r>
      <w:r w:rsidRPr="00A07EC4">
        <w:rPr>
          <w:i/>
          <w:iCs/>
        </w:rPr>
        <w:t>black unity process) ;</w:t>
      </w:r>
      <w:r w:rsidRPr="00BC632B">
        <w:t xml:space="preserve"> ou orientée par les conditions de classe des immigrés et être organisée et intégrée autour des combats de la classe ouvrière autochtone (</w:t>
      </w:r>
      <w:r w:rsidRPr="00A07EC4">
        <w:rPr>
          <w:i/>
          <w:iCs/>
        </w:rPr>
        <w:t>class unity process</w:t>
      </w:r>
      <w:r w:rsidRPr="00BC632B">
        <w:t>) ; ou encore autour de la sp</w:t>
      </w:r>
      <w:r w:rsidRPr="00BC632B">
        <w:t>é</w:t>
      </w:r>
      <w:r w:rsidRPr="00BC632B">
        <w:t>cificité culture</w:t>
      </w:r>
      <w:r w:rsidRPr="00BC632B">
        <w:t>l</w:t>
      </w:r>
      <w:r w:rsidRPr="00BC632B">
        <w:t>le ou ethnique et être organisée dans des communautés spécifiques ou des regroupements minoritaires (</w:t>
      </w:r>
      <w:r w:rsidRPr="00A07EC4">
        <w:rPr>
          <w:i/>
          <w:iCs/>
        </w:rPr>
        <w:t>ethnie organisation process</w:t>
      </w:r>
      <w:r w:rsidRPr="00BC632B">
        <w:t>) (Miles, Ph</w:t>
      </w:r>
      <w:r w:rsidRPr="00BC632B">
        <w:t>i</w:t>
      </w:r>
      <w:r w:rsidRPr="00BC632B">
        <w:t>zakclea, 1977).</w:t>
      </w:r>
    </w:p>
    <w:p w:rsidR="00B7214C" w:rsidRDefault="00B7214C" w:rsidP="00B7214C">
      <w:pPr>
        <w:spacing w:before="120" w:after="120"/>
        <w:jc w:val="both"/>
      </w:pPr>
      <w:r w:rsidRPr="00BC632B">
        <w:t>Plusieurs auteurs ont analysé le phénomène de racisation des gro</w:t>
      </w:r>
      <w:r w:rsidRPr="00BC632B">
        <w:t>u</w:t>
      </w:r>
      <w:r w:rsidRPr="00BC632B">
        <w:t>pes ou des questions sociales, comme un processus autonome écha</w:t>
      </w:r>
      <w:r w:rsidRPr="00BC632B">
        <w:t>p</w:t>
      </w:r>
      <w:r w:rsidRPr="00BC632B">
        <w:t>pant aux paramètres de l'ethnicité, de la classe ou de la nation. La r</w:t>
      </w:r>
      <w:r w:rsidRPr="00BC632B">
        <w:t>a</w:t>
      </w:r>
      <w:r w:rsidRPr="00BC632B">
        <w:t>cisation a, dans le cas américain ou britannique, provoqué la mobilis</w:t>
      </w:r>
      <w:r w:rsidRPr="00BC632B">
        <w:t>a</w:t>
      </w:r>
      <w:r w:rsidRPr="00BC632B">
        <w:t>tion identitaire en réponse à une situation historique d'exploitation c</w:t>
      </w:r>
      <w:r w:rsidRPr="00BC632B">
        <w:t>o</w:t>
      </w:r>
      <w:r w:rsidRPr="00BC632B">
        <w:t>loniale fondée sur le racisme (Omi, Winant, 1986 ; Solomos, 1988,1989 ; Rex, Mason, 1988). Ainsi Omi et Winant soutiennent-ils que l'État doit maintenir l'ordre racial existant et gérer les relations contradictoires de conflit et d'accommodation qu'il entretient avec les mouvements raciaux construits sur le terrain de la société civile.</w:t>
      </w:r>
    </w:p>
    <w:p w:rsidR="00B7214C" w:rsidRPr="00BC632B" w:rsidRDefault="00B7214C" w:rsidP="00B7214C">
      <w:pPr>
        <w:spacing w:before="120" w:after="120"/>
        <w:jc w:val="both"/>
      </w:pPr>
      <w:r>
        <w:t>[49]</w:t>
      </w:r>
    </w:p>
    <w:p w:rsidR="00B7214C" w:rsidRPr="00BC632B" w:rsidRDefault="00B7214C" w:rsidP="00B7214C">
      <w:pPr>
        <w:spacing w:before="120" w:after="120"/>
        <w:jc w:val="both"/>
      </w:pPr>
      <w:r w:rsidRPr="00BC632B">
        <w:t>Un auteur relativement critique de cette mobilisation fondée sur la racisation, Goulbou</w:t>
      </w:r>
      <w:r>
        <w:t>rn</w:t>
      </w:r>
      <w:r w:rsidRPr="00BC632B">
        <w:t>e, se penche sur l'action politique communale en Grande-Bretagne, l'action basée sur la catégorie politique de la race ou du groupe ethnique. Elle entraîne, selon lui, un discours et des prat</w:t>
      </w:r>
      <w:r w:rsidRPr="00BC632B">
        <w:t>i</w:t>
      </w:r>
      <w:r w:rsidRPr="00BC632B">
        <w:t>ques axées sur l'idéologie de la différence et du pluralisme culturel et promeut ainsi une distance entre les groupes en alimentant le « nationalisme ethnique ou racial » aux dépens des luttes et des allia</w:t>
      </w:r>
      <w:r w:rsidRPr="00BC632B">
        <w:t>n</w:t>
      </w:r>
      <w:r w:rsidRPr="00BC632B">
        <w:t>ces autour d'objectifs communs axés sur les droits sociaux et la justice (Goulbourne, 1991). Pour cet auteur, le pluralisme culturel, tout comme le nationalisme monoculturel, partage des visions conservatr</w:t>
      </w:r>
      <w:r w:rsidRPr="00BC632B">
        <w:t>i</w:t>
      </w:r>
      <w:r w:rsidRPr="00BC632B">
        <w:t>ces de la société et mène à un cul-de-sac (Goulbou</w:t>
      </w:r>
      <w:r>
        <w:t>rn</w:t>
      </w:r>
      <w:r w:rsidRPr="00BC632B">
        <w:t>e, 1992).</w:t>
      </w:r>
    </w:p>
    <w:p w:rsidR="00B7214C" w:rsidRPr="00BC632B" w:rsidRDefault="00B7214C" w:rsidP="00B7214C">
      <w:pPr>
        <w:spacing w:before="120" w:after="120"/>
        <w:jc w:val="both"/>
      </w:pPr>
      <w:r w:rsidRPr="00BC632B">
        <w:t>Dans le cas canadien, Stasiulis soutient même que les luttes des minorités contre le racisme représentent souvent, de façon non médi</w:t>
      </w:r>
      <w:r w:rsidRPr="00BC632B">
        <w:t>a</w:t>
      </w:r>
      <w:r w:rsidRPr="00BC632B">
        <w:t>te, des luttes de la classe ouvrière, en dépit de la classe moyenne qui en a la direction et en dépit des idéologies du nationalisme noir qui les traversent. Selon elle, les luttes des minorités pour combattre le raci</w:t>
      </w:r>
      <w:r w:rsidRPr="00BC632B">
        <w:t>s</w:t>
      </w:r>
      <w:r w:rsidRPr="00BC632B">
        <w:t>me en matière de justice, d'éducation, d'accès à l'emploi, ou de repr</w:t>
      </w:r>
      <w:r w:rsidRPr="00BC632B">
        <w:t>é</w:t>
      </w:r>
      <w:r w:rsidRPr="00BC632B">
        <w:t>sentation politique dans les institutions de l'État, relèvent de revend</w:t>
      </w:r>
      <w:r w:rsidRPr="00BC632B">
        <w:t>i</w:t>
      </w:r>
      <w:r w:rsidRPr="00BC632B">
        <w:t>cati</w:t>
      </w:r>
      <w:r>
        <w:t>ons démocratiques et éga</w:t>
      </w:r>
      <w:r w:rsidRPr="00BC632B">
        <w:t>litaristes et sont reliées aux luttes plus larges de la classe ouvrière afin de rendre ces institutions plus acce</w:t>
      </w:r>
      <w:r w:rsidRPr="00BC632B">
        <w:t>s</w:t>
      </w:r>
      <w:r w:rsidRPr="00BC632B">
        <w:t>sibles et plus conformes aux besoins des travailleurs (Stasiulis, 1989).</w:t>
      </w:r>
    </w:p>
    <w:p w:rsidR="00B7214C" w:rsidRPr="00BC632B" w:rsidRDefault="00B7214C" w:rsidP="00B7214C">
      <w:pPr>
        <w:spacing w:before="120" w:after="120"/>
        <w:jc w:val="both"/>
      </w:pPr>
      <w:r w:rsidRPr="00BC632B">
        <w:t>Le thème des contradictions de classe qui traversent la vie associ</w:t>
      </w:r>
      <w:r w:rsidRPr="00BC632B">
        <w:t>a</w:t>
      </w:r>
      <w:r w:rsidRPr="00BC632B">
        <w:t>tive des minorités ethniques, de même que leur rapport à l'État, a su</w:t>
      </w:r>
      <w:r w:rsidRPr="00BC632B">
        <w:t>s</w:t>
      </w:r>
      <w:r w:rsidRPr="00BC632B">
        <w:t xml:space="preserve">cité une riche réflexion (Painchaud, Poulin, 1985,1988 ; Stasiulis, 1989 ; Aboud, 1992 ; Ng </w:t>
      </w:r>
      <w:r w:rsidRPr="00A07EC4">
        <w:rPr>
          <w:i/>
          <w:iCs/>
        </w:rPr>
        <w:t>et al.,</w:t>
      </w:r>
      <w:r w:rsidRPr="00BC632B">
        <w:t xml:space="preserve"> 1990, etc.). Ainsi, Stasiulis (1980) et Anderson et Frideres (1981) soutiennent que la dialectique État-association doit être comprise en regard des fonctions contradictoires de l'accumulation et de la légitimation du capital assumées par l'État sous le capitalisme monopoliste. Ces auteurs pensent que la politique du multiculturalisme canadien et l'intervention de l'État fédéral dans les affaires des groupes ethniques (subventions, consultations, di</w:t>
      </w:r>
      <w:r w:rsidRPr="00BC632B">
        <w:t>s</w:t>
      </w:r>
      <w:r w:rsidRPr="00BC632B">
        <w:t>cours public, politiques, relations publiques, clientélisme politique, etc.) correspondent à cette fonction de légitimation ; l'État devient pa</w:t>
      </w:r>
      <w:r w:rsidRPr="00BC632B">
        <w:t>r</w:t>
      </w:r>
      <w:r w:rsidRPr="00BC632B">
        <w:t>tie prenante dans la formulation et la réalisation des mandats des ass</w:t>
      </w:r>
      <w:r w:rsidRPr="00BC632B">
        <w:t>o</w:t>
      </w:r>
      <w:r w:rsidRPr="00BC632B">
        <w:t>ciations ethniques, de même que dans les processus organisationnels de ces associations. Cette intervention correspond aux demandes des groupes ethniques non dominants, tout en gardant sous contrôle l'a</w:t>
      </w:r>
      <w:r w:rsidRPr="00BC632B">
        <w:t>c</w:t>
      </w:r>
      <w:r w:rsidRPr="00BC632B">
        <w:t>tion politique et en préservant l'harmonie sociale. Les racines sociales de l'exploitation ethnique et du racisme ne sont pas remises en que</w:t>
      </w:r>
      <w:r w:rsidRPr="00BC632B">
        <w:t>s</w:t>
      </w:r>
      <w:r w:rsidRPr="00BC632B">
        <w:t>tion et le leadership demeure dans les mains d'une élite jouant sur l'ethnicité.</w:t>
      </w:r>
    </w:p>
    <w:p w:rsidR="00B7214C" w:rsidRPr="00BC632B" w:rsidRDefault="00B7214C" w:rsidP="00B7214C">
      <w:pPr>
        <w:spacing w:before="120" w:after="120"/>
        <w:jc w:val="both"/>
      </w:pPr>
      <w:r w:rsidRPr="00BC632B">
        <w:t>Les analyses du féminisme socialiste ou marxiste soutiennent que les relations de classe, modelées par le processus de production propre aux</w:t>
      </w:r>
      <w:r>
        <w:t xml:space="preserve"> [50] </w:t>
      </w:r>
      <w:r w:rsidRPr="00BC632B">
        <w:t>différentes phases du capitalisme, sont aussi constituées ou trave</w:t>
      </w:r>
      <w:r w:rsidRPr="00BC632B">
        <w:t>r</w:t>
      </w:r>
      <w:r w:rsidRPr="00BC632B">
        <w:t xml:space="preserve">sées par les relations de genre, de race et d'ethnicité (Ng </w:t>
      </w:r>
      <w:r w:rsidRPr="00A07EC4">
        <w:rPr>
          <w:i/>
          <w:iCs/>
        </w:rPr>
        <w:t>et al.,</w:t>
      </w:r>
      <w:r w:rsidRPr="00BC632B">
        <w:t xml:space="preserve"> 1990 ; Vorst, 1989). En ce sens, la problématique des femmes imm</w:t>
      </w:r>
      <w:r w:rsidRPr="00BC632B">
        <w:t>i</w:t>
      </w:r>
      <w:r w:rsidRPr="00BC632B">
        <w:t>grées (travailleuses indépendantes, parrainées, réfugiées ou travaille</w:t>
      </w:r>
      <w:r w:rsidRPr="00BC632B">
        <w:t>u</w:t>
      </w:r>
      <w:r w:rsidRPr="00BC632B">
        <w:t xml:space="preserve">ses temporaires) ne peut être comprise comme une totalité homogène mais en fonction des relations de classe et d'ethnicité en jeu (Labelle, Turcotte, Kempeneers, Meintel, 1987 ; Labelle, 1990). De même, ces relations sont interreliées dans les luttes et les revendications contre la domination ou la discrimination, comme dans la construction de l'État et de la communauté (Ng </w:t>
      </w:r>
      <w:r w:rsidRPr="00A07EC4">
        <w:rPr>
          <w:i/>
          <w:iCs/>
        </w:rPr>
        <w:t>et al,</w:t>
      </w:r>
      <w:r w:rsidRPr="00BC632B">
        <w:t xml:space="preserve"> 1990). Les débats entre féministes ma</w:t>
      </w:r>
      <w:r w:rsidRPr="00BC632B">
        <w:t>r</w:t>
      </w:r>
      <w:r w:rsidRPr="00BC632B">
        <w:t>xisantes ou socialisantes et féministes du « nationalisme noir » portent sur l'autonomie relative de ces variables et sur le caractère principal ou fondamental des relations de classe. Certaines féministes ont crit</w:t>
      </w:r>
      <w:r w:rsidRPr="00BC632B">
        <w:t>i</w:t>
      </w:r>
      <w:r w:rsidRPr="00BC632B">
        <w:t>qué le mouvement social du féminisme « blanc » basé sur une « commune oppression des femmes » comme participant au racisme institutionnel existant et comme étant incapable de prendre en compte les dimensions de la classe et du racisme (voir Thornhill, Kline, Mu</w:t>
      </w:r>
      <w:r w:rsidRPr="00BC632B">
        <w:t>s</w:t>
      </w:r>
      <w:r w:rsidRPr="00BC632B">
        <w:t>zinski dans Vorst, 1989).</w:t>
      </w:r>
    </w:p>
    <w:p w:rsidR="00B7214C" w:rsidRPr="00BC632B" w:rsidRDefault="00B7214C" w:rsidP="00B7214C">
      <w:pPr>
        <w:spacing w:before="120" w:after="120"/>
        <w:jc w:val="both"/>
      </w:pPr>
      <w:r w:rsidRPr="00BC632B">
        <w:t>Les travaux de Wieviorka et de Lapeyronnie s'inscrivent dans la sociologie tourainienne des mouvements sociaux et de l'action. Wi</w:t>
      </w:r>
      <w:r w:rsidRPr="00BC632B">
        <w:t>e</w:t>
      </w:r>
      <w:r w:rsidRPr="00BC632B">
        <w:t>viorka (1992) se demande si l'action basée sur l'ethnicité peut être considérée comme un mouvement social dans les sociétés postindu</w:t>
      </w:r>
      <w:r w:rsidRPr="00BC632B">
        <w:t>s</w:t>
      </w:r>
      <w:r w:rsidRPr="00BC632B">
        <w:t>trielles. Pour qu'il en soit ainsi, l'affirmation identitaire doit d'abord pouvoir participer à des débats de société plus généraux ; l'affirmation de la différence doit aller de pair avec l'affirmation des droits de la personne, du citoyen et des valeurs universelles. Deuxièmement, il y a virtualité de mouvement social dans un mouvement ethnique si les enjeux de l'action vont au-delà d'intérêts économiques et politiques spécifiques et si l'affirmation de l'ethnicité est liée aux demandes s</w:t>
      </w:r>
      <w:r w:rsidRPr="00BC632B">
        <w:t>o</w:t>
      </w:r>
      <w:r w:rsidRPr="00BC632B">
        <w:t>ciales et politiques d'autres groupes exclus ou marginalisés ; autr</w:t>
      </w:r>
      <w:r w:rsidRPr="00BC632B">
        <w:t>e</w:t>
      </w:r>
      <w:r w:rsidRPr="00BC632B">
        <w:t>ment dit, si la mobilisation ethnique refuse l'enfermement dans l'ide</w:t>
      </w:r>
      <w:r w:rsidRPr="00BC632B">
        <w:t>n</w:t>
      </w:r>
      <w:r w:rsidRPr="00BC632B">
        <w:t>tité ethnique. Dans la conjoncture actuelle, on observe que les mo</w:t>
      </w:r>
      <w:r w:rsidRPr="00BC632B">
        <w:t>u</w:t>
      </w:r>
      <w:r w:rsidRPr="00BC632B">
        <w:t>vements ethniques se mobilisent surtout autour de leurs particulari</w:t>
      </w:r>
      <w:r w:rsidRPr="00BC632B">
        <w:t>s</w:t>
      </w:r>
      <w:r w:rsidRPr="00BC632B">
        <w:t>mes au nom du principe de la différence. Ils s'inscrivent dans la chute du mouvement ouvrier, défendeur de problématiques liées à l'inégalité de classe, dans la crise de l'État-providence et dans la crise des États-nations, lesquels véhiculent de plus en plus des idéologies particulari</w:t>
      </w:r>
      <w:r w:rsidRPr="00BC632B">
        <w:t>s</w:t>
      </w:r>
      <w:r w:rsidRPr="00BC632B">
        <w:t>tes de la nation. La croissance des identités ethniques ne constitue pas seulement une menace pour les identités nationales ; elle est, partie</w:t>
      </w:r>
      <w:r w:rsidRPr="00BC632B">
        <w:t>l</w:t>
      </w:r>
      <w:r w:rsidRPr="00BC632B">
        <w:t>lement, le résultat de la crise de ces identités nationales.</w:t>
      </w:r>
    </w:p>
    <w:p w:rsidR="00B7214C" w:rsidRPr="00BC632B" w:rsidRDefault="00B7214C" w:rsidP="00B7214C">
      <w:pPr>
        <w:spacing w:before="120" w:after="120"/>
        <w:jc w:val="both"/>
      </w:pPr>
      <w:r w:rsidRPr="00BC632B">
        <w:t>Pour Lapeyronnie, la mobilisation identitaire, observée en France autour de la question des jeunes maghrébins, s'explique par l'assimil</w:t>
      </w:r>
      <w:r w:rsidRPr="00BC632B">
        <w:t>a</w:t>
      </w:r>
      <w:r w:rsidRPr="00BC632B">
        <w:t>tion et non par la résurgence d'ethnicités primordiales, la marginalité ou la déviance (Lapeyronnie, 1987). L'auteur distingue des facteurs externes et internes susceptibles de favoriser l'action sociale et la m</w:t>
      </w:r>
      <w:r w:rsidRPr="00BC632B">
        <w:t>o</w:t>
      </w:r>
      <w:r>
        <w:t>bilisation immi</w:t>
      </w:r>
      <w:r w:rsidRPr="00BC632B">
        <w:t>grée</w:t>
      </w:r>
      <w:r>
        <w:t xml:space="preserve"> [51]</w:t>
      </w:r>
      <w:r w:rsidRPr="00BC632B">
        <w:t xml:space="preserve"> ou ethnique. Les premiers facteurs, internes, renvoient à la constitution d'une identité collective fondée sur l'exp</w:t>
      </w:r>
      <w:r w:rsidRPr="00BC632B">
        <w:t>é</w:t>
      </w:r>
      <w:r w:rsidRPr="00BC632B">
        <w:t>rience de la discrimination et du racisme. En ce sens, le rôle de la ju</w:t>
      </w:r>
      <w:r w:rsidRPr="00BC632B">
        <w:t>s</w:t>
      </w:r>
      <w:r w:rsidRPr="00BC632B">
        <w:t>tice et de la p</w:t>
      </w:r>
      <w:r w:rsidRPr="00BC632B">
        <w:t>o</w:t>
      </w:r>
      <w:r w:rsidRPr="00BC632B">
        <w:t>lice est déterminant dans le déclenchement des révoltes des minor</w:t>
      </w:r>
      <w:r w:rsidRPr="00BC632B">
        <w:t>i</w:t>
      </w:r>
      <w:r w:rsidRPr="00BC632B">
        <w:t>tés immigrées ou ethniques. C'est cette identité qui explique la constit</w:t>
      </w:r>
      <w:r w:rsidRPr="00BC632B">
        <w:t>u</w:t>
      </w:r>
      <w:r w:rsidRPr="00BC632B">
        <w:t>tion d'une élite radicale et l'utilisation de l'idéologie de la différence culturelle comme principale ressource dont se serviront les leaders pour leurs revendications. Les autres facteurs, d'ordre externe, renvoient au climat politique de la société d'accueil, la montée de l'e</w:t>
      </w:r>
      <w:r w:rsidRPr="00BC632B">
        <w:t>x</w:t>
      </w:r>
      <w:r w:rsidRPr="00BC632B">
        <w:t>trême-droite et les débats autour de l'immigration, d'où le sentiment de menace pour les immigrés et l'apparition d'alliés, etc. (Lapeyronnie, 1987).</w:t>
      </w:r>
    </w:p>
    <w:p w:rsidR="00B7214C" w:rsidRPr="00BC632B" w:rsidRDefault="00B7214C" w:rsidP="00B7214C">
      <w:pPr>
        <w:spacing w:before="120" w:after="120"/>
        <w:jc w:val="both"/>
      </w:pPr>
      <w:r w:rsidRPr="00BC632B">
        <w:t>Le thème de la multiplicité des références des migrants et de la d</w:t>
      </w:r>
      <w:r w:rsidRPr="00BC632B">
        <w:t>y</w:t>
      </w:r>
      <w:r w:rsidRPr="00BC632B">
        <w:t>namique qui relie les migrations de travail entre États-nations dans le système-monde s'inscrit dans la réflexion sur l'interpénétration du sy</w:t>
      </w:r>
      <w:r w:rsidRPr="00BC632B">
        <w:t>s</w:t>
      </w:r>
      <w:r w:rsidRPr="00BC632B">
        <w:t>tème-monde et la signification des frontières politiques des États-nations, et l'aspect politique de la migration (Balibar, Wallerstein, 1988 ; Zolberg, 1989). Selon Zolberg, le système international est structuré en États, marchés et sociétés. Seule une approche multid</w:t>
      </w:r>
      <w:r w:rsidRPr="00BC632B">
        <w:t>i</w:t>
      </w:r>
      <w:r w:rsidRPr="00BC632B">
        <w:t>mensionnelle permet de saisir les aspects économiques, politiques et culturels des migrations, dans leurs difficultés avec les sociétés d'a</w:t>
      </w:r>
      <w:r w:rsidRPr="00BC632B">
        <w:t>c</w:t>
      </w:r>
      <w:r w:rsidRPr="00BC632B">
        <w:t>cueil. Ce thème a suscité des débats intéressants ces dernières années. En filigrane, se posent les questions de l'allégeance des groupes à l'État-nation de la société d'accueil et des accommodements raisonn</w:t>
      </w:r>
      <w:r w:rsidRPr="00BC632B">
        <w:t>a</w:t>
      </w:r>
      <w:r w:rsidRPr="00BC632B">
        <w:t>bles autour de valeurs communes, des relations internationales et de la solidarité des groupes d'immigration face aux politiques du pays d'or</w:t>
      </w:r>
      <w:r w:rsidRPr="00BC632B">
        <w:t>i</w:t>
      </w:r>
      <w:r w:rsidRPr="00BC632B">
        <w:t xml:space="preserve">gine ou du territoire symbolique de référence. Ainsi, les auteurs de </w:t>
      </w:r>
      <w:r w:rsidRPr="00A07EC4">
        <w:rPr>
          <w:i/>
          <w:iCs/>
        </w:rPr>
        <w:t>Carribean Life in New York City</w:t>
      </w:r>
      <w:r w:rsidRPr="00BC632B">
        <w:t xml:space="preserve"> (Sutton, Chaney, 1987), s'inscrivent dans le cadre global de la pensée de Wallerstein sur l'interpénétration du sy</w:t>
      </w:r>
      <w:r w:rsidRPr="00BC632B">
        <w:t>s</w:t>
      </w:r>
      <w:r w:rsidRPr="00BC632B">
        <w:t>tème mondial et illustrent la dynamique qui fait des migrants des C</w:t>
      </w:r>
      <w:r w:rsidRPr="00BC632B">
        <w:t>a</w:t>
      </w:r>
      <w:r w:rsidRPr="00BC632B">
        <w:t>raïbes à New York des acteurs dans deux systèmes - le pays d'origine et le pays d'immigration - en montrant comment ceci se m</w:t>
      </w:r>
      <w:r w:rsidRPr="00BC632B">
        <w:t>a</w:t>
      </w:r>
      <w:r w:rsidRPr="00BC632B">
        <w:t>nifeste dans la vie associative et dans la multiplicité des références identitaires. Cette dynamique transnationale traverse la vie comm</w:t>
      </w:r>
      <w:r w:rsidRPr="00BC632B">
        <w:t>u</w:t>
      </w:r>
      <w:r w:rsidRPr="00BC632B">
        <w:t>nautaire des migrants sur le plan politique et culturel et explique les échanges bid</w:t>
      </w:r>
      <w:r w:rsidRPr="00BC632B">
        <w:t>i</w:t>
      </w:r>
      <w:r w:rsidRPr="00BC632B">
        <w:t>rectionnels entre les migrants et le pays d'origine qui caractérisent ces migrations.</w:t>
      </w:r>
    </w:p>
    <w:p w:rsidR="00B7214C" w:rsidRPr="00BC632B" w:rsidRDefault="00B7214C" w:rsidP="00B7214C">
      <w:pPr>
        <w:spacing w:before="120" w:after="120"/>
        <w:jc w:val="both"/>
      </w:pPr>
      <w:r w:rsidRPr="00BC632B">
        <w:t>Catani, Campani et Palidda se situent également dans une perspe</w:t>
      </w:r>
      <w:r w:rsidRPr="00BC632B">
        <w:t>c</w:t>
      </w:r>
      <w:r w:rsidRPr="00BC632B">
        <w:t>tive transnationale pour expliquer le mouvement associatif immigré en dehors des schémas assimilationnistes ou intégrationnistes. Catani (1986) développe l'idée que le projet migratoire, fondé sur la chaîne migratoire, implique l'existence de réseaux transnationaux et un do</w:t>
      </w:r>
      <w:r w:rsidRPr="00BC632B">
        <w:t>u</w:t>
      </w:r>
      <w:r w:rsidRPr="00BC632B">
        <w:t>ble système de référence, et que la décision de faire valoir l'une des références s'impose à chaque instant à chaque immigré - phénomène qu'il désignera comme la « bilatéralité orientée des références ». Les associations d'immigrés sont</w:t>
      </w:r>
      <w:r>
        <w:t xml:space="preserve"> [52] </w:t>
      </w:r>
      <w:r w:rsidRPr="00BC632B">
        <w:t>souvent interlocutrices de deux États-nations du fait qu'elles év</w:t>
      </w:r>
      <w:r w:rsidRPr="00BC632B">
        <w:t>o</w:t>
      </w:r>
      <w:r w:rsidRPr="00BC632B">
        <w:t>luent dans deux sociétés (le cas des associations portugaises et italie</w:t>
      </w:r>
      <w:r w:rsidRPr="00BC632B">
        <w:t>n</w:t>
      </w:r>
      <w:r w:rsidRPr="00BC632B">
        <w:t>nes en France, par exemple). Catani et Palidda introdui</w:t>
      </w:r>
      <w:r>
        <w:t>sent la notion de « double loca</w:t>
      </w:r>
      <w:r w:rsidRPr="00BC632B">
        <w:t>lisme » (1987). La référence à la communauté locale chez les immigrés, le sentiment d'appartenance à cette communauté, sera un fondement déterminant de cohésion. Selon ces auteurs, nous sommes en présence de réseaux-communautés qui maintiennent des relations traditionnelles fondées sur la parenté et le village, à partir d'origines locales et régionales communes. Ce système de relations est efficace tant dans la société d'immigration que dans le pays d'origine. Campani soutient que le maintien de la langue n'est d'ailleurs pas un élément central dans le développement des réseaux et des associ</w:t>
      </w:r>
      <w:r w:rsidRPr="00BC632B">
        <w:t>a</w:t>
      </w:r>
      <w:r w:rsidRPr="00BC632B">
        <w:t>tions. Le cas des Québécois d'origine italienne est une exception dans la diaspora et l'auteure a</w:t>
      </w:r>
      <w:r w:rsidRPr="00BC632B">
        <w:t>f</w:t>
      </w:r>
      <w:r w:rsidRPr="00BC632B">
        <w:t>firme, à la suite de plusieurs observateurs, que c'est le seul pays où les Italiens ont préservé leur langue d'origine (grâce au contexte partic</w:t>
      </w:r>
      <w:r w:rsidRPr="00BC632B">
        <w:t>u</w:t>
      </w:r>
      <w:r w:rsidRPr="00BC632B">
        <w:t>lier et conflictuel entre les communautés linguistiques anglophone et francophone). En France, l'italianité se préserve sans qu'il y ait pour autant rétention de la langue d'origine. La construction de l'italianité n'a pas beaucoup à voir avec la culture d'origine mais apparaît comme le produit de l'histoire de l'émigration-immigration et des réseaux (Campani, 1991).</w:t>
      </w:r>
    </w:p>
    <w:p w:rsidR="00B7214C" w:rsidRPr="00BC632B" w:rsidRDefault="00B7214C" w:rsidP="00B7214C">
      <w:pPr>
        <w:spacing w:before="120" w:after="120"/>
        <w:jc w:val="both"/>
      </w:pPr>
      <w:r w:rsidRPr="00BC632B">
        <w:t>La réflexion de Schnapper sur la capacité d'intégration de la nation moderne dans la phase actuelle se situe dans des courants d'idées pr</w:t>
      </w:r>
      <w:r w:rsidRPr="00BC632B">
        <w:t>o</w:t>
      </w:r>
      <w:r w:rsidRPr="00BC632B">
        <w:t>ches des perspectives de la sociologie de l'action. Selon cette auteure, les communautés ethniques n'existent pas en France et le mouvement associatif immigré ou l'intervention des immigrés sur le plan politique ne signifient pas que l'on soit en présence d'une intégration des gro</w:t>
      </w:r>
      <w:r w:rsidRPr="00BC632B">
        <w:t>u</w:t>
      </w:r>
      <w:r w:rsidRPr="00BC632B">
        <w:t>pes ethniques opérée sur le mode américain. La France ne favorise pas une culture immigrée, mais une simple « combinaison culturelle » chez les migrants eux-mêmes, les enfants des migrants étant accult</w:t>
      </w:r>
      <w:r w:rsidRPr="00BC632B">
        <w:t>u</w:t>
      </w:r>
      <w:r w:rsidRPr="00BC632B">
        <w:t>rés à la société française. De même, la perpétuation de liens comm</w:t>
      </w:r>
      <w:r w:rsidRPr="00BC632B">
        <w:t>u</w:t>
      </w:r>
      <w:r w:rsidRPr="00BC632B">
        <w:t>nautaires et les associations d'immigrés ne signifient pas la conserv</w:t>
      </w:r>
      <w:r w:rsidRPr="00BC632B">
        <w:t>a</w:t>
      </w:r>
      <w:r w:rsidRPr="00BC632B">
        <w:t>tion d'une culture traditionnelle, mais favorisent l'intégration des membres dans la société d'installation, en empêchant la déculturation et en aidant à résoudre les conflits avec la société globale (Schnapper, 1991, p. 185). Les formes d'expression politique des immigrés, en e</w:t>
      </w:r>
      <w:r w:rsidRPr="00BC632B">
        <w:t>f</w:t>
      </w:r>
      <w:r w:rsidRPr="00BC632B">
        <w:t>fet, expriment moins des revendications identitaires liées à la soi-disant nouvelle saillance de l'ethnicité ou des revendications politiques de groupe (comme aux États-Unis ou au Canada), que des revendic</w:t>
      </w:r>
      <w:r w:rsidRPr="00BC632B">
        <w:t>a</w:t>
      </w:r>
      <w:r w:rsidRPr="00BC632B">
        <w:t>tions liées aux droits sociaux et économiques (idem, p. 189). Les réf</w:t>
      </w:r>
      <w:r w:rsidRPr="00BC632B">
        <w:t>é</w:t>
      </w:r>
      <w:r w:rsidRPr="00BC632B">
        <w:t>rences communautaires ou identitaires sont un des moyens que les individus utilisent pour « gérer leurs échecs sociaux ».</w:t>
      </w:r>
    </w:p>
    <w:p w:rsidR="00B7214C" w:rsidRPr="00BC632B" w:rsidRDefault="00B7214C" w:rsidP="00B7214C">
      <w:pPr>
        <w:spacing w:before="120" w:after="120"/>
        <w:jc w:val="both"/>
      </w:pPr>
      <w:r w:rsidRPr="00BC632B">
        <w:t>Schnapper rejette la notion de double appartenance des immigrés et de leurs descendants, évoquée par Campani, Palidda et Catani à propos</w:t>
      </w:r>
      <w:r>
        <w:t xml:space="preserve"> [53] </w:t>
      </w:r>
      <w:r w:rsidRPr="00BC632B">
        <w:t>des réseaux et des associations immigrées ; elle préfère lui subst</w:t>
      </w:r>
      <w:r w:rsidRPr="00BC632B">
        <w:t>i</w:t>
      </w:r>
      <w:r w:rsidRPr="00BC632B">
        <w:t>tuer la notion de double référence. Par exemple les Juifs de France font référence à Israël, mais ils se sentent appartenir à la soci</w:t>
      </w:r>
      <w:r w:rsidRPr="00BC632B">
        <w:t>é</w:t>
      </w:r>
      <w:r w:rsidRPr="00BC632B">
        <w:t>té fra</w:t>
      </w:r>
      <w:r w:rsidRPr="00BC632B">
        <w:t>n</w:t>
      </w:r>
      <w:r w:rsidRPr="00BC632B">
        <w:t>çaise. La socialisation dans un pays et la participation à la vie collective ne peuvent être mis sur le même pied que les liens comme</w:t>
      </w:r>
      <w:r w:rsidRPr="00BC632B">
        <w:t>r</w:t>
      </w:r>
      <w:r w:rsidRPr="00BC632B">
        <w:t>ciaux ou les relations de nature symbolique ou touristique que les de</w:t>
      </w:r>
      <w:r w:rsidRPr="00BC632B">
        <w:t>s</w:t>
      </w:r>
      <w:r w:rsidRPr="00BC632B">
        <w:t>ce</w:t>
      </w:r>
      <w:r w:rsidRPr="00BC632B">
        <w:t>n</w:t>
      </w:r>
      <w:r w:rsidRPr="00BC632B">
        <w:t>dants d'immigrés continuent à avoir avec le pays d'origine de leurs parents. La double référence implique qu'il n'y a pas égalité entre les termes. L'auteure rappelle d'ailleurs, à l'appui de son propos, la défin</w:t>
      </w:r>
      <w:r w:rsidRPr="00BC632B">
        <w:t>i</w:t>
      </w:r>
      <w:r w:rsidRPr="00BC632B">
        <w:t>tion de l'ethnicité symbolique apportée par Gans, celle d'ethnicité a</w:t>
      </w:r>
      <w:r w:rsidRPr="00BC632B">
        <w:t>f</w:t>
      </w:r>
      <w:r w:rsidRPr="00BC632B">
        <w:t>fective apportée par Weinfeld (1981 ), ou encore celle d'identité im</w:t>
      </w:r>
      <w:r w:rsidRPr="00BC632B">
        <w:t>a</w:t>
      </w:r>
      <w:r w:rsidRPr="00BC632B">
        <w:t>ginaire que donne Finkielkraut (1987), pour conclure que l'identité des immigrés est d'abord française et que ces modes d'intégration sont en accord avec la nation comme forme politique : « Dans son principe, l'abstraction de la citoyenneté autorise la légitimité des identités hist</w:t>
      </w:r>
      <w:r w:rsidRPr="00BC632B">
        <w:t>o</w:t>
      </w:r>
      <w:r w:rsidRPr="00BC632B">
        <w:t>riques particulières et des pratiques spécifiques, à l'intérieur de l'un</w:t>
      </w:r>
      <w:r w:rsidRPr="00BC632B">
        <w:t>i</w:t>
      </w:r>
      <w:r w:rsidRPr="00BC632B">
        <w:t xml:space="preserve">versalité de l'ordre politique et juridique » </w:t>
      </w:r>
      <w:r w:rsidRPr="00A07EC4">
        <w:rPr>
          <w:i/>
          <w:iCs/>
        </w:rPr>
        <w:t>(idem,</w:t>
      </w:r>
      <w:r w:rsidRPr="00BC632B">
        <w:t xml:space="preserve"> p. 310).</w:t>
      </w:r>
    </w:p>
    <w:p w:rsidR="00B7214C" w:rsidRPr="00BC632B" w:rsidRDefault="00B7214C" w:rsidP="00B7214C">
      <w:pPr>
        <w:spacing w:before="120" w:after="120"/>
        <w:jc w:val="both"/>
      </w:pPr>
      <w:r w:rsidRPr="00BC632B">
        <w:t>Tous ces débats témoignent de la pertinence de stratégies particu- laristes ou universalistes d'intégration nationale des immigrants et des minorités ethniques, qu'il s'agisse des stratégies des États-nations ou de celles des groupes sociaux. Est-ce que certaines de ces analyses s'appliquent au cas québécois ? Ce dernier présente-t-il des particular</w:t>
      </w:r>
      <w:r w:rsidRPr="00BC632B">
        <w:t>i</w:t>
      </w:r>
      <w:r w:rsidRPr="00BC632B">
        <w:t>tés, une complexité qui, pour être éclairée, requiert la déconstruction de l'ethnicité et une réarticulation à la notion de nation ? Les questions qui se posent sont multiples et complexes : au plan du découpage di</w:t>
      </w:r>
      <w:r w:rsidRPr="00BC632B">
        <w:t>s</w:t>
      </w:r>
      <w:r w:rsidRPr="00BC632B">
        <w:t>cursif et des représentations que produisent les diverses sociétés a</w:t>
      </w:r>
      <w:r w:rsidRPr="00BC632B">
        <w:t>u</w:t>
      </w:r>
      <w:r w:rsidRPr="00BC632B">
        <w:t>tour de l'idée de communauté et d'espace communautaire, pour e</w:t>
      </w:r>
      <w:r w:rsidRPr="00BC632B">
        <w:t>m</w:t>
      </w:r>
      <w:r w:rsidRPr="00BC632B">
        <w:t>ployer le langage de Gilles Bourque ; au plan des politiques étatiques de gestion de la diversité ethnoculturelle et de leur contribution à l'ethnicisation et à la racisation des groupes, ensuite ; au plan des m</w:t>
      </w:r>
      <w:r w:rsidRPr="00BC632B">
        <w:t>o</w:t>
      </w:r>
      <w:r w:rsidRPr="00BC632B">
        <w:t>bilisations politiques basées sur l'ethnicité qu'engendre la polarisation de la souveraineté et du fédéralisme, etc. La partie suivante fait état de l'évolution de l'idée de pluralisme et de sa signification politique dans le contexte canadien, et des débats sur le rôle de l'ethnicité dans la question nationale.</w:t>
      </w:r>
    </w:p>
    <w:p w:rsidR="00B7214C" w:rsidRDefault="00B7214C" w:rsidP="00B7214C">
      <w:pPr>
        <w:spacing w:before="120" w:after="120"/>
        <w:jc w:val="both"/>
      </w:pPr>
    </w:p>
    <w:p w:rsidR="00B7214C" w:rsidRPr="00BC632B" w:rsidRDefault="00B7214C" w:rsidP="00B7214C">
      <w:pPr>
        <w:pStyle w:val="a"/>
      </w:pPr>
      <w:r w:rsidRPr="00BC632B">
        <w:t>ETHNICITÉ ET PLURALISME</w:t>
      </w:r>
      <w:r>
        <w:br/>
      </w:r>
      <w:r w:rsidRPr="00BC632B">
        <w:t>DANS LE CONTEXTE CANADIEN ET QUÉBÉCOIS</w:t>
      </w:r>
    </w:p>
    <w:p w:rsidR="00B7214C" w:rsidRDefault="00B7214C" w:rsidP="00B7214C">
      <w:pPr>
        <w:spacing w:before="120" w:after="120"/>
        <w:jc w:val="both"/>
      </w:pPr>
    </w:p>
    <w:p w:rsidR="00B7214C" w:rsidRPr="00BC632B" w:rsidRDefault="00B7214C" w:rsidP="00B7214C">
      <w:pPr>
        <w:pStyle w:val="b"/>
      </w:pPr>
      <w:r w:rsidRPr="00BC632B">
        <w:t>Le contexte canadien</w:t>
      </w:r>
    </w:p>
    <w:p w:rsidR="00B7214C" w:rsidRDefault="00B7214C" w:rsidP="00B7214C">
      <w:pPr>
        <w:spacing w:before="120" w:after="120"/>
        <w:jc w:val="both"/>
      </w:pPr>
    </w:p>
    <w:p w:rsidR="00B7214C" w:rsidRPr="00BC632B" w:rsidRDefault="00B7214C" w:rsidP="00B7214C">
      <w:pPr>
        <w:spacing w:before="120" w:after="120"/>
        <w:jc w:val="both"/>
      </w:pPr>
      <w:r w:rsidRPr="00BC632B">
        <w:t>De nombreuses analyses sociologiques et politiques ont déjà mo</w:t>
      </w:r>
      <w:r w:rsidRPr="00BC632B">
        <w:t>n</w:t>
      </w:r>
      <w:r w:rsidRPr="00BC632B">
        <w:t>tré l'existence d'un pluralisme structurel ou d'une segmentation éc</w:t>
      </w:r>
      <w:r w:rsidRPr="00BC632B">
        <w:t>o</w:t>
      </w:r>
      <w:r w:rsidRPr="00BC632B">
        <w:t>nomique, politique et culturelle de la formation sociale canadienne. Depuis la création de l'État canadien en 1867 jusq</w:t>
      </w:r>
      <w:r>
        <w:t xml:space="preserve">u'à la Deuxième Guerre mondiale, [54] </w:t>
      </w:r>
      <w:r w:rsidRPr="00BC632B">
        <w:t>la pensée sur l'ethnicité a été dominée par l'idéologie nativiste, ou la britannisation, appuyée par un racisme off</w:t>
      </w:r>
      <w:r w:rsidRPr="00BC632B">
        <w:t>i</w:t>
      </w:r>
      <w:r w:rsidRPr="00BC632B">
        <w:t>ciel</w:t>
      </w:r>
      <w:r>
        <w:t> </w:t>
      </w:r>
      <w:r>
        <w:rPr>
          <w:rStyle w:val="Appelnotedebasdep"/>
        </w:rPr>
        <w:footnoteReference w:id="3"/>
      </w:r>
      <w:r w:rsidRPr="00BC632B">
        <w:t xml:space="preserve"> dans les politiques d'immigration et par l'intolérance vis-à-vis des cultures minoritaires.</w:t>
      </w:r>
    </w:p>
    <w:p w:rsidR="00B7214C" w:rsidRPr="00BC632B" w:rsidRDefault="00B7214C" w:rsidP="00B7214C">
      <w:pPr>
        <w:spacing w:before="120" w:after="120"/>
        <w:jc w:val="both"/>
      </w:pPr>
      <w:r w:rsidRPr="00BC632B">
        <w:t>L'évolution vers l'idée d'une mosaïque au Canada anglais se fait entre les deux guerres. Elle est définie comme une unité sociale « formée de groupes ethniques divers, mais dont la juxtaposition créait une identité nouvelle globale, une gestalt, l'identité canadienne. La mosaïque ne créait pas un être nouveau où seraient mélangés d</w:t>
      </w:r>
      <w:r w:rsidRPr="00BC632B">
        <w:t>i</w:t>
      </w:r>
      <w:r w:rsidRPr="00BC632B">
        <w:t>vers groupes, comme le creuset, mais une société où chacun garderait son identité, tout en formant un ensemble national nouveau. Cette idéologie reconnaissait la présence des &lt;Autres&gt;, mais n'empêchait pas l'hégémonie sociale, économique et politique des &lt;Blancs&gt; d'or</w:t>
      </w:r>
      <w:r w:rsidRPr="00BC632B">
        <w:t>i</w:t>
      </w:r>
      <w:r w:rsidRPr="00BC632B">
        <w:t>gine anglo-saxonne et le rejet de ceux tenus pour &lt;différents&gt; et ina</w:t>
      </w:r>
      <w:r w:rsidRPr="00BC632B">
        <w:t>s</w:t>
      </w:r>
      <w:r w:rsidRPr="00BC632B">
        <w:t>similables » (Laferrière, 1983). Sous-jacent à ce constat est le double problème des Canadiens français, réfractaires à l'assimilation, et des Premières Nations, d'où l'impossibilité de parler de creuset comme aux États-Unis.</w:t>
      </w:r>
    </w:p>
    <w:p w:rsidR="00B7214C" w:rsidRPr="00BC632B" w:rsidRDefault="00B7214C" w:rsidP="00B7214C">
      <w:pPr>
        <w:spacing w:before="120" w:after="120"/>
        <w:jc w:val="both"/>
      </w:pPr>
      <w:r w:rsidRPr="00BC632B">
        <w:t>La décennie 1960 sera le théâtre d'un nouveau discours et de no</w:t>
      </w:r>
      <w:r w:rsidRPr="00BC632B">
        <w:t>u</w:t>
      </w:r>
      <w:r w:rsidRPr="00BC632B">
        <w:t>velles politiques étatiques relatives à l'immigration et à la diversité ethnoculturelle, compte tenu de l'entrée d'immigrants issus de nouve</w:t>
      </w:r>
      <w:r w:rsidRPr="00BC632B">
        <w:t>l</w:t>
      </w:r>
      <w:r w:rsidRPr="00BC632B">
        <w:t>les régions du monde, du mouvement de décolonisation dans le mo</w:t>
      </w:r>
      <w:r w:rsidRPr="00BC632B">
        <w:t>n</w:t>
      </w:r>
      <w:r w:rsidRPr="00BC632B">
        <w:t>de, de la redéfinition des relations internationales et du mouvement nationaliste au Québec (Labelle, 1988). Parallèlement à ce qui se pa</w:t>
      </w:r>
      <w:r w:rsidRPr="00BC632B">
        <w:t>s</w:t>
      </w:r>
      <w:r w:rsidRPr="00BC632B">
        <w:t xml:space="preserve">se aux États-Unis, les politiques canadiennes évoluent autour d'une reconnaissance officielle d'une éthique pluraliste qui s'exprimera dans la politique du multiculturalisme. La </w:t>
      </w:r>
      <w:r w:rsidRPr="00A07EC4">
        <w:rPr>
          <w:i/>
          <w:iCs/>
        </w:rPr>
        <w:t>Déclaration canadienne des droits,</w:t>
      </w:r>
      <w:r w:rsidRPr="00BC632B">
        <w:t xml:space="preserve"> en 1960, l'abandon des mesures basées sur l'ethnicité et la race dans la sélection, en 1962 et 1967, la création de la Commission roy</w:t>
      </w:r>
      <w:r w:rsidRPr="00BC632B">
        <w:t>a</w:t>
      </w:r>
      <w:r w:rsidRPr="00BC632B">
        <w:t>le d'e</w:t>
      </w:r>
      <w:r w:rsidRPr="00BC632B">
        <w:t>n</w:t>
      </w:r>
      <w:r w:rsidRPr="00BC632B">
        <w:t>quête sur le bilinguisme et le biculturalisme, en 1963, afin de contrer l'assimilation des francophones du Canada et du Québec, de corriger les inégalités liées à leur situation, et de répondre à la force du nati</w:t>
      </w:r>
      <w:r w:rsidRPr="00BC632B">
        <w:t>o</w:t>
      </w:r>
      <w:r w:rsidRPr="00BC632B">
        <w:t>nalisme montant, en constituent les principaux jalons. On sait que l'une des recommandations de la Commission Laurendeau-Dunton vise à conserver la culture dans un cadre biculturel et qu'elle se butera aux revendications des groupes ethniques canadiens de l'Ouest, et dans une moindre mesure, des nations autochtones qui a</w:t>
      </w:r>
      <w:r w:rsidRPr="00BC632B">
        <w:t>f</w:t>
      </w:r>
      <w:r w:rsidRPr="00BC632B">
        <w:t>firment leur volonté d'être reconnus et refusent biculturalisme et bili</w:t>
      </w:r>
      <w:r w:rsidRPr="00BC632B">
        <w:t>n</w:t>
      </w:r>
      <w:r w:rsidRPr="00BC632B">
        <w:t>guisme.</w:t>
      </w:r>
    </w:p>
    <w:p w:rsidR="00B7214C" w:rsidRPr="00BC632B" w:rsidRDefault="00B7214C" w:rsidP="00B7214C">
      <w:pPr>
        <w:spacing w:before="120" w:after="120"/>
        <w:jc w:val="both"/>
      </w:pPr>
      <w:r w:rsidRPr="00BC632B">
        <w:t xml:space="preserve">En 1969, la </w:t>
      </w:r>
      <w:r w:rsidRPr="00A07EC4">
        <w:rPr>
          <w:i/>
          <w:iCs/>
        </w:rPr>
        <w:t>Loi sur les langues officielles</w:t>
      </w:r>
      <w:r w:rsidRPr="00BC632B">
        <w:t xml:space="preserve"> reconnaît l'égalité des langues anglaise et française au Canada, mais non la primauté des deux cult</w:t>
      </w:r>
      <w:r w:rsidRPr="00BC632B">
        <w:t>u</w:t>
      </w:r>
      <w:r w:rsidRPr="00BC632B">
        <w:t>res. Elle constitue un compromis politique qui, malgré tout, provoque des réactions hostiles au Canada anglais, dans l'Ouest en particulier, où il y a une forte présence ukrainienne. Pour con</w:t>
      </w:r>
      <w:r>
        <w:t>trer ces réactions, le gouverne</w:t>
      </w:r>
      <w:r w:rsidRPr="00BC632B">
        <w:t>ment</w:t>
      </w:r>
      <w:r>
        <w:t xml:space="preserve"> [55]</w:t>
      </w:r>
      <w:r w:rsidRPr="00BC632B">
        <w:t xml:space="preserve"> fédéral adopte en 1971 le multicult</w:t>
      </w:r>
      <w:r w:rsidRPr="00BC632B">
        <w:t>u</w:t>
      </w:r>
      <w:r w:rsidRPr="00BC632B">
        <w:t>ralisme comme pol</w:t>
      </w:r>
      <w:r w:rsidRPr="00BC632B">
        <w:t>i</w:t>
      </w:r>
      <w:r w:rsidRPr="00BC632B">
        <w:t>tique officielle.</w:t>
      </w:r>
    </w:p>
    <w:p w:rsidR="00B7214C" w:rsidRPr="00BC632B" w:rsidRDefault="00B7214C" w:rsidP="00B7214C">
      <w:pPr>
        <w:spacing w:before="120" w:after="120"/>
        <w:jc w:val="both"/>
      </w:pPr>
      <w:r w:rsidRPr="00BC632B">
        <w:t>À la fin des années 1970 et au cours des années 1980, on prolong</w:t>
      </w:r>
      <w:r w:rsidRPr="00BC632B">
        <w:t>e</w:t>
      </w:r>
      <w:r w:rsidRPr="00BC632B">
        <w:t>ra la politique du multiculturalisme de 1971 par des programmes d'i</w:t>
      </w:r>
      <w:r w:rsidRPr="00BC632B">
        <w:t>n</w:t>
      </w:r>
      <w:r w:rsidRPr="00BC632B">
        <w:t>tégration sociale, d'harmonisation des « relations raciales », de prote</w:t>
      </w:r>
      <w:r w:rsidRPr="00BC632B">
        <w:t>c</w:t>
      </w:r>
      <w:r w:rsidRPr="00BC632B">
        <w:t>tion des langues ancestrales, de participation des minorités à la vie politique et d'égalité économique. Ceci se concrétisera par la désign</w:t>
      </w:r>
      <w:r w:rsidRPr="00BC632B">
        <w:t>a</w:t>
      </w:r>
      <w:r w:rsidRPr="00BC632B">
        <w:t>tion officielle des « minorités visibles », diverses commissions d'e</w:t>
      </w:r>
      <w:r w:rsidRPr="00BC632B">
        <w:t>n</w:t>
      </w:r>
      <w:r w:rsidRPr="00BC632B">
        <w:t>quête sur la problématique du racisme et de la discrimination, la cré</w:t>
      </w:r>
      <w:r w:rsidRPr="00BC632B">
        <w:t>a</w:t>
      </w:r>
      <w:r w:rsidRPr="00BC632B">
        <w:t xml:space="preserve">tion d'une direction des Relations raciales à l'intérieur de la direction du Multiculturalisme en 1982, la proclamation de la </w:t>
      </w:r>
      <w:r w:rsidRPr="00A07EC4">
        <w:rPr>
          <w:i/>
          <w:iCs/>
        </w:rPr>
        <w:t>IIe</w:t>
      </w:r>
      <w:r w:rsidRPr="00BC632B">
        <w:t xml:space="preserve"> Décennie de lutte contre le racisme et la discrimination raciale et du 21 mars. </w:t>
      </w:r>
      <w:r w:rsidRPr="00A07EC4">
        <w:rPr>
          <w:i/>
          <w:iCs/>
        </w:rPr>
        <w:t>Jou</w:t>
      </w:r>
      <w:r w:rsidRPr="00A07EC4">
        <w:rPr>
          <w:i/>
          <w:iCs/>
        </w:rPr>
        <w:t>r</w:t>
      </w:r>
      <w:r w:rsidRPr="00A07EC4">
        <w:rPr>
          <w:i/>
          <w:iCs/>
        </w:rPr>
        <w:t>née internationale de lutte contre le racisme et la discrimination r</w:t>
      </w:r>
      <w:r w:rsidRPr="00A07EC4">
        <w:rPr>
          <w:i/>
          <w:iCs/>
        </w:rPr>
        <w:t>a</w:t>
      </w:r>
      <w:r w:rsidRPr="00A07EC4">
        <w:rPr>
          <w:i/>
          <w:iCs/>
        </w:rPr>
        <w:t>ciale,</w:t>
      </w:r>
      <w:r w:rsidRPr="00BC632B">
        <w:t xml:space="preserve"> la ratification de la </w:t>
      </w:r>
      <w:r w:rsidRPr="00A07EC4">
        <w:rPr>
          <w:i/>
          <w:iCs/>
        </w:rPr>
        <w:t>Convention sur l’élimination de la discrim</w:t>
      </w:r>
      <w:r w:rsidRPr="00A07EC4">
        <w:rPr>
          <w:i/>
          <w:iCs/>
        </w:rPr>
        <w:t>i</w:t>
      </w:r>
      <w:r w:rsidRPr="00A07EC4">
        <w:rPr>
          <w:i/>
          <w:iCs/>
        </w:rPr>
        <w:t>nation raciale sous toutes ses formes.</w:t>
      </w:r>
    </w:p>
    <w:p w:rsidR="00B7214C" w:rsidRPr="00BC632B" w:rsidRDefault="00B7214C" w:rsidP="00B7214C">
      <w:pPr>
        <w:spacing w:before="120" w:after="120"/>
        <w:jc w:val="both"/>
      </w:pPr>
      <w:r w:rsidRPr="00BC632B">
        <w:t xml:space="preserve">En juin 1986, le gouvernement fédéral adopte la </w:t>
      </w:r>
      <w:r w:rsidRPr="00A07EC4">
        <w:rPr>
          <w:i/>
          <w:iCs/>
        </w:rPr>
        <w:t>Loi sur l'équité en matière d'emploi</w:t>
      </w:r>
      <w:r w:rsidRPr="00BC632B">
        <w:t xml:space="preserve"> et une </w:t>
      </w:r>
      <w:r w:rsidRPr="00A07EC4">
        <w:rPr>
          <w:i/>
          <w:iCs/>
        </w:rPr>
        <w:t>Politique d'équité en matière d'emploi</w:t>
      </w:r>
      <w:r w:rsidRPr="00BC632B">
        <w:t xml:space="preserve"> par l</w:t>
      </w:r>
      <w:r w:rsidRPr="00BC632B">
        <w:t>a</w:t>
      </w:r>
      <w:r w:rsidRPr="00BC632B">
        <w:t>quelle il oblige ses co-contractants à mettre en œuvre un programme d'équité dans l'emploi. Le programme d'équité dans l'emploi du go</w:t>
      </w:r>
      <w:r w:rsidRPr="00BC632B">
        <w:t>u</w:t>
      </w:r>
      <w:r w:rsidRPr="00BC632B">
        <w:t>vernement féd</w:t>
      </w:r>
      <w:r w:rsidRPr="00BC632B">
        <w:t>é</w:t>
      </w:r>
      <w:r w:rsidRPr="00BC632B">
        <w:t>ral touche les femmes, les « minorités visibles », les personnes hand</w:t>
      </w:r>
      <w:r w:rsidRPr="00BC632B">
        <w:t>i</w:t>
      </w:r>
      <w:r w:rsidRPr="00BC632B">
        <w:t>capées et les autochtones. Son but est de réduire le racisme instit</w:t>
      </w:r>
      <w:r w:rsidRPr="00BC632B">
        <w:t>u</w:t>
      </w:r>
      <w:r w:rsidRPr="00BC632B">
        <w:t>tionnel et d'inclure la légalité de ces programmes dans la Charte (St</w:t>
      </w:r>
      <w:r w:rsidRPr="00BC632B">
        <w:t>a</w:t>
      </w:r>
      <w:r w:rsidRPr="00BC632B">
        <w:t>siulis, 1991).</w:t>
      </w:r>
    </w:p>
    <w:p w:rsidR="00B7214C" w:rsidRPr="00BC632B" w:rsidRDefault="00B7214C" w:rsidP="00B7214C">
      <w:pPr>
        <w:spacing w:before="120" w:after="120"/>
        <w:jc w:val="both"/>
      </w:pPr>
      <w:r w:rsidRPr="00BC632B">
        <w:t xml:space="preserve">Le Parlement adopte la </w:t>
      </w:r>
      <w:r w:rsidRPr="00A07EC4">
        <w:rPr>
          <w:i/>
          <w:iCs/>
        </w:rPr>
        <w:t>Loi sur le multiculturalisme canadien</w:t>
      </w:r>
      <w:r w:rsidRPr="00BC632B">
        <w:t xml:space="preserve"> en 1988. En 1991, le gouvernement fédéral crée un nouveau ministère du Multiculturalisme et de la Citoyenneté : « Le multiculturalisme, pui</w:t>
      </w:r>
      <w:r w:rsidRPr="00BC632B">
        <w:t>s</w:t>
      </w:r>
      <w:r w:rsidRPr="00BC632B">
        <w:t>que tous les Canadiens ont des origines et des antécédents culturels divers, et la citoyenneté, parce qu'ils sont tous unis par des valeurs partagées et un attachement commun au Canada » (Canada, 1991). Dans le pr</w:t>
      </w:r>
      <w:r w:rsidRPr="00BC632B">
        <w:t>o</w:t>
      </w:r>
      <w:r w:rsidRPr="00BC632B">
        <w:t xml:space="preserve">jet de loi C-63 de 1990, figure la création d'une </w:t>
      </w:r>
      <w:r w:rsidRPr="00A07EC4">
        <w:rPr>
          <w:i/>
          <w:iCs/>
        </w:rPr>
        <w:t>Fondation canadienne sur les relations raciales</w:t>
      </w:r>
      <w:r w:rsidRPr="00BC632B">
        <w:t xml:space="preserve"> établie en 1991. La loi lui établit le mandat suivant : « further understanding of the nature of racism and racial discrimination and to assist business, labour, voluntary associ</w:t>
      </w:r>
      <w:r w:rsidRPr="00BC632B">
        <w:t>a</w:t>
      </w:r>
      <w:r w:rsidRPr="00BC632B">
        <w:t>tions and other private associations, as well as public institutions, g</w:t>
      </w:r>
      <w:r w:rsidRPr="00BC632B">
        <w:t>o</w:t>
      </w:r>
      <w:r w:rsidRPr="00BC632B">
        <w:t>vernments, r</w:t>
      </w:r>
      <w:r w:rsidRPr="00BC632B">
        <w:t>e</w:t>
      </w:r>
      <w:r w:rsidRPr="00BC632B">
        <w:t>searchers and the general public in éliminating racism and racial di</w:t>
      </w:r>
      <w:r w:rsidRPr="00BC632B">
        <w:t>s</w:t>
      </w:r>
      <w:r w:rsidRPr="00BC632B">
        <w:t>crimination ».</w:t>
      </w:r>
    </w:p>
    <w:p w:rsidR="00B7214C" w:rsidRPr="00BC632B" w:rsidRDefault="00B7214C" w:rsidP="00B7214C">
      <w:pPr>
        <w:spacing w:before="120" w:after="120"/>
        <w:jc w:val="both"/>
      </w:pPr>
      <w:r w:rsidRPr="00BC632B">
        <w:t>La notion de pluralisme fonde la politique du multiculturalisme en affirmant que le Canada est formé de différentes cultures, toutes ég</w:t>
      </w:r>
      <w:r w:rsidRPr="00BC632B">
        <w:t>a</w:t>
      </w:r>
      <w:r w:rsidRPr="00BC632B">
        <w:t>lement dignes de respect, qui coexistent et s'enrichissent les unes les autres dans un cadre de bilinguisme officiel. Cette politique se déma</w:t>
      </w:r>
      <w:r w:rsidRPr="00BC632B">
        <w:t>r</w:t>
      </w:r>
      <w:r>
        <w:t>que de l'anglo-</w:t>
      </w:r>
      <w:r w:rsidRPr="00BC632B">
        <w:t>conformité, liée au modèle britannique, et de l'assimil</w:t>
      </w:r>
      <w:r w:rsidRPr="00BC632B">
        <w:t>a</w:t>
      </w:r>
      <w:r w:rsidRPr="00BC632B">
        <w:t xml:space="preserve">tionnisme du </w:t>
      </w:r>
      <w:r w:rsidRPr="00A07EC4">
        <w:rPr>
          <w:i/>
          <w:iCs/>
        </w:rPr>
        <w:t>melting pot,</w:t>
      </w:r>
      <w:r w:rsidRPr="00BC632B">
        <w:t xml:space="preserve"> associé au modèle américain (Laferrière, 1983, p. 209 ; Gay, 1985 ; Godin, 1985). Si certains ont chaleureus</w:t>
      </w:r>
      <w:r w:rsidRPr="00BC632B">
        <w:t>e</w:t>
      </w:r>
      <w:r w:rsidRPr="00BC632B">
        <w:t>ment accueilli cette politique (Anderson</w:t>
      </w:r>
      <w:r>
        <w:t xml:space="preserve"> [56] </w:t>
      </w:r>
      <w:r w:rsidRPr="00BC632B">
        <w:t>et Frideres, 1981, p. 294), d'autres l'ont fortement critiquée, et ce à partir de points de vue différents.</w:t>
      </w:r>
    </w:p>
    <w:p w:rsidR="00B7214C" w:rsidRPr="00BC632B" w:rsidRDefault="00B7214C" w:rsidP="00B7214C">
      <w:pPr>
        <w:spacing w:before="120" w:after="120"/>
        <w:jc w:val="both"/>
      </w:pPr>
      <w:r w:rsidRPr="00BC632B">
        <w:t>Par exemple, Baker analysera la société canadienne à l'aide du p</w:t>
      </w:r>
      <w:r w:rsidRPr="00BC632B">
        <w:t>a</w:t>
      </w:r>
      <w:r w:rsidRPr="00BC632B">
        <w:t>radigme des sociétés plurales, la situant sur un continuum entre les États-Unis et l'Afrique du Sud. Il distinguera dans les trois cas, des groupes blancs dominants, des groupes autochtones ou indigènes d</w:t>
      </w:r>
      <w:r w:rsidRPr="00BC632B">
        <w:t>o</w:t>
      </w:r>
      <w:r w:rsidRPr="00BC632B">
        <w:t xml:space="preserve">minés et des </w:t>
      </w:r>
      <w:r w:rsidRPr="00A07EC4">
        <w:rPr>
          <w:i/>
          <w:iCs/>
        </w:rPr>
        <w:t>white si</w:t>
      </w:r>
      <w:r>
        <w:rPr>
          <w:i/>
          <w:iCs/>
        </w:rPr>
        <w:t>e</w:t>
      </w:r>
      <w:r w:rsidRPr="00A07EC4">
        <w:rPr>
          <w:i/>
          <w:iCs/>
        </w:rPr>
        <w:t>g</w:t>
      </w:r>
      <w:r>
        <w:rPr>
          <w:i/>
          <w:iCs/>
        </w:rPr>
        <w:t>e</w:t>
      </w:r>
      <w:r w:rsidRPr="00A07EC4">
        <w:rPr>
          <w:i/>
          <w:iCs/>
        </w:rPr>
        <w:t xml:space="preserve"> cultures,</w:t>
      </w:r>
      <w:r w:rsidRPr="00BC632B">
        <w:t xml:space="preserve"> soit les Canadiens français, les Afrik</w:t>
      </w:r>
      <w:r w:rsidRPr="00BC632B">
        <w:t>a</w:t>
      </w:r>
      <w:r w:rsidRPr="00BC632B">
        <w:t>ners, et les Blancs du sud des États-Unis (Baker, 1977). Selon l'auteur, le Canada, comme l'Afrique du Sud, a favorisé la différenci</w:t>
      </w:r>
      <w:r w:rsidRPr="00BC632B">
        <w:t>a</w:t>
      </w:r>
      <w:r w:rsidRPr="00BC632B">
        <w:t>tion des groupes ethniques et culturels beaucoup plus qu'aux États-Unis, même s'il s'agit dans les trois cas de sociétés segmentées, donc seule la thé</w:t>
      </w:r>
      <w:r w:rsidRPr="00BC632B">
        <w:t>o</w:t>
      </w:r>
      <w:r w:rsidRPr="00BC632B">
        <w:t>rie du pluralisme de conflit et de pouvoir peut rendre compte de ce fait.</w:t>
      </w:r>
    </w:p>
    <w:p w:rsidR="00B7214C" w:rsidRPr="00BC632B" w:rsidRDefault="00B7214C" w:rsidP="00B7214C">
      <w:pPr>
        <w:spacing w:before="120" w:after="120"/>
        <w:jc w:val="both"/>
      </w:pPr>
      <w:r w:rsidRPr="00BC632B">
        <w:t>Porter, assumant la position de l'assimilationnisme libéral, soutie</w:t>
      </w:r>
      <w:r w:rsidRPr="00BC632B">
        <w:t>n</w:t>
      </w:r>
      <w:r w:rsidRPr="00BC632B">
        <w:t>dra que le multiculturalisme et le pluralisme qui le sous-tend vont contre l'assimilation souhaitable, condition de toute mobilité sociale. Le multiculturalisme, qui maintient les particularismes, est basé sur les inégalités sociales (Porter, 1975). Dans la même veine, plusieurs sociologues ont commenté, au cours des années 1980, le haut degré de cohésion ethnique retrouvé au Canada, son impact négatif sur la strat</w:t>
      </w:r>
      <w:r w:rsidRPr="00BC632B">
        <w:t>i</w:t>
      </w:r>
      <w:r w:rsidRPr="00BC632B">
        <w:t>fication sociale et le rôle de l'État dans la structuration ethnique des inégalités (Brym, Fox, 1989).</w:t>
      </w:r>
    </w:p>
    <w:p w:rsidR="00B7214C" w:rsidRPr="00BC632B" w:rsidRDefault="00B7214C" w:rsidP="00B7214C">
      <w:pPr>
        <w:spacing w:before="120" w:after="120"/>
        <w:jc w:val="both"/>
      </w:pPr>
      <w:r w:rsidRPr="00BC632B">
        <w:t>La sociologue Stasiulis soutiendra aussi que la thèse selon laquelle les groupes ethniques partagent certains aspects d'une culture comm</w:t>
      </w:r>
      <w:r w:rsidRPr="00BC632B">
        <w:t>u</w:t>
      </w:r>
      <w:r w:rsidRPr="00BC632B">
        <w:t>ne, participent à la vie politique et économique du Canada tout en conservant leur langue et leur culture (dans leurs quartiers, leurs éc</w:t>
      </w:r>
      <w:r w:rsidRPr="00BC632B">
        <w:t>o</w:t>
      </w:r>
      <w:r w:rsidRPr="00BC632B">
        <w:t xml:space="preserve">les, les églises, etc.) est un mythe. Mythe puissant qui permet </w:t>
      </w:r>
      <w:r w:rsidRPr="000D1A32">
        <w:t xml:space="preserve">à </w:t>
      </w:r>
      <w:r w:rsidRPr="00BC632B">
        <w:t>l'État d'assurer à la fois une gestion ethnique des problèmes sociaux et la dépendance des associations à son égard à travers les subventions qu'il leur verse (Stasiulis, 1980,1991).</w:t>
      </w:r>
    </w:p>
    <w:p w:rsidR="00B7214C" w:rsidRPr="00BC632B" w:rsidRDefault="00B7214C" w:rsidP="00B7214C">
      <w:pPr>
        <w:spacing w:before="120" w:after="120"/>
        <w:jc w:val="both"/>
      </w:pPr>
      <w:r w:rsidRPr="00BC632B">
        <w:t>On a vu la politique du multiculturalisme comme une attaque aux revendications du Québec, une façon d'occulter la question nationale, puisque les Canadiens français perdent ainsi leur statut de peuple fo</w:t>
      </w:r>
      <w:r w:rsidRPr="00BC632B">
        <w:t>n</w:t>
      </w:r>
      <w:r w:rsidRPr="00BC632B">
        <w:t>dateur. De même certains Canadiens britanniques y verront la fin de la notion de Dominion relié à la Couronne d'Angleterre. Cependant l'idée de pluralisme, qui est au fondement du multiculturalisme can</w:t>
      </w:r>
      <w:r w:rsidRPr="00BC632B">
        <w:t>a</w:t>
      </w:r>
      <w:r w:rsidRPr="00BC632B">
        <w:t>dien, est plus que jamais dominante dans la production des sociol</w:t>
      </w:r>
      <w:r w:rsidRPr="00BC632B">
        <w:t>o</w:t>
      </w:r>
      <w:r w:rsidRPr="00BC632B">
        <w:t>gues, des intellectuels et des intervenants sociaux et politiques du Québec, bien qu'elle s'articule autour de la notion d'interculturalisme dont la polysémie est tout aussi grande (Berthelot, 1990).</w:t>
      </w:r>
    </w:p>
    <w:p w:rsidR="00B7214C" w:rsidRPr="00BC632B" w:rsidRDefault="00B7214C" w:rsidP="00B7214C">
      <w:pPr>
        <w:spacing w:before="120" w:after="120"/>
        <w:jc w:val="both"/>
      </w:pPr>
      <w:r w:rsidRPr="00BC632B">
        <w:t>De leur côté, des groupes ethniques critiqueront le manque de s</w:t>
      </w:r>
      <w:r w:rsidRPr="00BC632B">
        <w:t>é</w:t>
      </w:r>
      <w:r w:rsidRPr="00BC632B">
        <w:t>rieux et l'aspect folklorique du multiculturalisme ; ces groupes déno</w:t>
      </w:r>
      <w:r w:rsidRPr="00BC632B">
        <w:t>n</w:t>
      </w:r>
      <w:r>
        <w:t>ce</w:t>
      </w:r>
      <w:r w:rsidRPr="00BC632B">
        <w:t>ront</w:t>
      </w:r>
      <w:r>
        <w:t xml:space="preserve"> [57]</w:t>
      </w:r>
      <w:r w:rsidRPr="00BC632B">
        <w:t xml:space="preserve"> aussi le fait que la politique canadienne encourage la fo</w:t>
      </w:r>
      <w:r w:rsidRPr="00BC632B">
        <w:t>r</w:t>
      </w:r>
      <w:r w:rsidRPr="00BC632B">
        <w:t>m</w:t>
      </w:r>
      <w:r w:rsidRPr="00BC632B">
        <w:t>a</w:t>
      </w:r>
      <w:r w:rsidRPr="00BC632B">
        <w:t>tion d'une petite bourgeoisie réfractaire au changement social et par conséquent hypothèque l'intégration des immigrants à la société can</w:t>
      </w:r>
      <w:r w:rsidRPr="00BC632B">
        <w:t>a</w:t>
      </w:r>
      <w:r w:rsidRPr="00BC632B">
        <w:t>dienne (Moodley, 1983). Autrement dit, la politique n'opère qu'au seul niveau idéologique (Li, 1988, p. 8-10,</w:t>
      </w:r>
      <w:r>
        <w:t xml:space="preserve"> </w:t>
      </w:r>
      <w:r w:rsidRPr="00BC632B">
        <w:t>1990).</w:t>
      </w:r>
    </w:p>
    <w:p w:rsidR="00B7214C" w:rsidRPr="00BC632B" w:rsidRDefault="00B7214C" w:rsidP="00B7214C">
      <w:pPr>
        <w:spacing w:before="120" w:after="120"/>
        <w:jc w:val="both"/>
      </w:pPr>
      <w:r w:rsidRPr="00BC632B">
        <w:t>Warburton fera une critique serrée de la vision dominante des rel</w:t>
      </w:r>
      <w:r w:rsidRPr="00BC632B">
        <w:t>a</w:t>
      </w:r>
      <w:r w:rsidRPr="00BC632B">
        <w:t xml:space="preserve">tions ethniques au Canada. Il mettra en évidence l'hésitation </w:t>
      </w:r>
      <w:r w:rsidRPr="000D1A32">
        <w:t xml:space="preserve">à </w:t>
      </w:r>
      <w:r w:rsidRPr="00BC632B">
        <w:t>aba</w:t>
      </w:r>
      <w:r w:rsidRPr="00BC632B">
        <w:t>n</w:t>
      </w:r>
      <w:r w:rsidRPr="00BC632B">
        <w:t xml:space="preserve">donner les explications biologisantes de l'ethnicité ; la tendance </w:t>
      </w:r>
      <w:r w:rsidRPr="000D1A32">
        <w:t xml:space="preserve">à </w:t>
      </w:r>
      <w:r w:rsidRPr="00BC632B">
        <w:t>r</w:t>
      </w:r>
      <w:r w:rsidRPr="00BC632B">
        <w:t>é</w:t>
      </w:r>
      <w:r w:rsidRPr="00BC632B">
        <w:t xml:space="preserve">ifier l'ethnicité et </w:t>
      </w:r>
      <w:r w:rsidRPr="000D1A32">
        <w:t xml:space="preserve">à </w:t>
      </w:r>
      <w:r w:rsidRPr="00BC632B">
        <w:t>surestimer l'autonomie des éléments culturels et primordiaux dans l'explication des processus et des phénomènes s</w:t>
      </w:r>
      <w:r w:rsidRPr="00BC632B">
        <w:t>o</w:t>
      </w:r>
      <w:r w:rsidRPr="00BC632B">
        <w:t xml:space="preserve">ciaux ; la tendance </w:t>
      </w:r>
      <w:r w:rsidRPr="000D1A32">
        <w:t xml:space="preserve">à </w:t>
      </w:r>
      <w:r w:rsidRPr="00BC632B">
        <w:t>masquer la signification idéologique de l'ethnic</w:t>
      </w:r>
      <w:r w:rsidRPr="00BC632B">
        <w:t>i</w:t>
      </w:r>
      <w:r w:rsidRPr="00BC632B">
        <w:t>té. Par exemple la situation des Premières Nations n'est pas due qu'à leur culture, ou encore la lutte politique des Québécois n'est pas qu'ethnique, c'est-à-dire dirigée contre les Anglophones. Warburton rappelle qu</w:t>
      </w:r>
      <w:r>
        <w:t>e beaucoup de sociologues cana</w:t>
      </w:r>
      <w:r w:rsidRPr="00BC632B">
        <w:t>diens-anglais ont lon</w:t>
      </w:r>
      <w:r w:rsidRPr="00BC632B">
        <w:t>g</w:t>
      </w:r>
      <w:r w:rsidRPr="00BC632B">
        <w:t>temps perçu les Canadiens français comme un groupe ethnique parmi d'autres, à l'exception de la sociologie marxiste ou de la tendance pr</w:t>
      </w:r>
      <w:r w:rsidRPr="00BC632B">
        <w:t>o</w:t>
      </w:r>
      <w:r w:rsidRPr="00BC632B">
        <w:t>gressiste. Selon Warburton, l'insistance mise sur le pluralisme de la société canadienne, c'est-à-dire sur la coexistence de plusieurs groupes ethniques, communautés, classes, a des implications idéologiques. Les communautés ethniques sont vues comme séparées du champ écon</w:t>
      </w:r>
      <w:r w:rsidRPr="00BC632B">
        <w:t>o</w:t>
      </w:r>
      <w:r w:rsidRPr="00BC632B">
        <w:t>mique et politique auquel participent les autres membres de façon pleine et entière (Warburton, 1989).</w:t>
      </w:r>
    </w:p>
    <w:p w:rsidR="00B7214C" w:rsidRPr="00BC632B" w:rsidRDefault="00B7214C" w:rsidP="00B7214C">
      <w:pPr>
        <w:spacing w:before="120" w:after="120"/>
        <w:jc w:val="both"/>
      </w:pPr>
      <w:r w:rsidRPr="00BC632B">
        <w:t>Dans les années 1980, les arguments contre la politique officielle du multiculturalisme proviennent de couches plus larges ; par exe</w:t>
      </w:r>
      <w:r w:rsidRPr="00BC632B">
        <w:t>m</w:t>
      </w:r>
      <w:r w:rsidRPr="00BC632B">
        <w:t>ple, le Reform Party ou certains courants à l'intérieur du Parti libéral ou du Parti conservateur canadien. Plusieurs facteurs semblent al</w:t>
      </w:r>
      <w:r w:rsidRPr="00BC632B">
        <w:t>i</w:t>
      </w:r>
      <w:r w:rsidRPr="00BC632B">
        <w:t>menter cette offensive de droit</w:t>
      </w:r>
      <w:r>
        <w:t>e dans le contexte canadien : 1</w:t>
      </w:r>
      <w:r w:rsidRPr="00BC632B">
        <w:t>) la que</w:t>
      </w:r>
      <w:r w:rsidRPr="00BC632B">
        <w:t>s</w:t>
      </w:r>
      <w:r w:rsidRPr="00BC632B">
        <w:t>tion constitutionnelle (les Québécois et les Premières Nations) ; 2) le nombre croissant de demandeurs d'asile politique ; 3) le sent</w:t>
      </w:r>
      <w:r w:rsidRPr="00BC632B">
        <w:t>i</w:t>
      </w:r>
      <w:r w:rsidRPr="00BC632B">
        <w:t>ment que les « minorités visibles » prennent trop de pouvoir, etc. (Abu-Laban et Stasiulis, 1992).</w:t>
      </w:r>
    </w:p>
    <w:p w:rsidR="00B7214C" w:rsidRDefault="00B7214C" w:rsidP="00B7214C">
      <w:pPr>
        <w:spacing w:before="120" w:after="120"/>
        <w:jc w:val="both"/>
      </w:pPr>
    </w:p>
    <w:p w:rsidR="00B7214C" w:rsidRPr="00BC632B" w:rsidRDefault="00B7214C" w:rsidP="00B7214C">
      <w:pPr>
        <w:pStyle w:val="b"/>
      </w:pPr>
      <w:r w:rsidRPr="00BC632B">
        <w:t>Le contexte québécois</w:t>
      </w:r>
    </w:p>
    <w:p w:rsidR="00B7214C" w:rsidRDefault="00B7214C" w:rsidP="00B7214C">
      <w:pPr>
        <w:spacing w:before="120" w:after="120"/>
        <w:jc w:val="both"/>
      </w:pPr>
    </w:p>
    <w:p w:rsidR="00B7214C" w:rsidRDefault="00B7214C" w:rsidP="00B7214C">
      <w:pPr>
        <w:spacing w:before="120" w:after="120"/>
        <w:jc w:val="both"/>
      </w:pPr>
      <w:r w:rsidRPr="00BC632B">
        <w:t>Selon plusieurs analystes canadiens, l'émergence du mouvement néo-nationaliste québécois des décennies 1960 et 1970 s'inscrit dans le courant général du renouveau de l'ethnicité (Smith, 1981 ; Goldstein, Bienvenue, 1980 ; Anderson, Frideres, 1981 ; Breton, Isajiw, Kalbach, Reitz, 1990). Dans cette logique, on a souvent réduit les revendic</w:t>
      </w:r>
      <w:r w:rsidRPr="00BC632B">
        <w:t>a</w:t>
      </w:r>
      <w:r w:rsidRPr="00BC632B">
        <w:t>tions autonomistes ou souverainistes des Premières Nations ou des Québécois à des revendications d'ordre ethnique et occulté leur d</w:t>
      </w:r>
      <w:r w:rsidRPr="00BC632B">
        <w:t>i</w:t>
      </w:r>
      <w:r w:rsidRPr="00BC632B">
        <w:t>mension nationalitaire.</w:t>
      </w:r>
    </w:p>
    <w:p w:rsidR="00B7214C" w:rsidRPr="00BC632B" w:rsidRDefault="00B7214C" w:rsidP="00B7214C">
      <w:pPr>
        <w:spacing w:before="120" w:after="120"/>
        <w:jc w:val="both"/>
      </w:pPr>
      <w:r>
        <w:t>[58]</w:t>
      </w:r>
    </w:p>
    <w:p w:rsidR="00B7214C" w:rsidRPr="00BC632B" w:rsidRDefault="00B7214C" w:rsidP="00B7214C">
      <w:pPr>
        <w:spacing w:before="120" w:after="120"/>
        <w:jc w:val="both"/>
      </w:pPr>
      <w:r w:rsidRPr="00BC632B">
        <w:t>Bourque et Duchastel, quant à eux, soulignent la nécessité d'anal</w:t>
      </w:r>
      <w:r w:rsidRPr="00BC632B">
        <w:t>y</w:t>
      </w:r>
      <w:r w:rsidRPr="00BC632B">
        <w:t>ser le Québec comme « un espace (social, régional, national) tout e</w:t>
      </w:r>
      <w:r w:rsidRPr="00BC632B">
        <w:t>n</w:t>
      </w:r>
      <w:r w:rsidRPr="00BC632B">
        <w:t xml:space="preserve">tier produit dans son rapport constitutif à l'État canadien » (1983, p. 134) et relient la question nationale à la production de blocs sociaux. Le discours politique sur cette question vise donc « à la définition-représentation de l'espace, de la communauté et des rapports de force (intérieurs et extérieurs) en tant qu'il est produit et producteur d'un bloc social » </w:t>
      </w:r>
      <w:r w:rsidRPr="00DC0288">
        <w:rPr>
          <w:i/>
          <w:iCs/>
        </w:rPr>
        <w:t>(idem,</w:t>
      </w:r>
      <w:r w:rsidRPr="00BC632B">
        <w:t xml:space="preserve"> p. 154). Dans ce contexte, pour Bourque (1993), la représentation de l'ensemble social est problématique, et ce de f</w:t>
      </w:r>
      <w:r w:rsidRPr="00BC632B">
        <w:t>a</w:t>
      </w:r>
      <w:r w:rsidRPr="00BC632B">
        <w:t>çon constante, tant pour les acteurs sociaux que pour les producteurs des sciences humaines. De façon corollaire, soutiennent Dumont et Harvey, les représentations cherchent à se structurer dans un espace circonscrit dans une culture particulière, au coeur d'une réalité colle</w:t>
      </w:r>
      <w:r w:rsidRPr="00BC632B">
        <w:t>c</w:t>
      </w:r>
      <w:r w:rsidRPr="00BC632B">
        <w:t>tive et spécifique en devenir, et révèlent une identité québécoise ince</w:t>
      </w:r>
      <w:r w:rsidRPr="00BC632B">
        <w:t>r</w:t>
      </w:r>
      <w:r w:rsidRPr="00BC632B">
        <w:t>taine (1985, p. 86).</w:t>
      </w:r>
    </w:p>
    <w:p w:rsidR="00B7214C" w:rsidRPr="00BC632B" w:rsidRDefault="00B7214C" w:rsidP="00B7214C">
      <w:pPr>
        <w:spacing w:before="120" w:after="120"/>
        <w:jc w:val="both"/>
      </w:pPr>
      <w:r w:rsidRPr="00BC632B">
        <w:t>Dans ce processus d'interrogation sur la représentation de la co</w:t>
      </w:r>
      <w:r w:rsidRPr="00BC632B">
        <w:t>m</w:t>
      </w:r>
      <w:r w:rsidRPr="00BC632B">
        <w:t>munauté et de la nation, on peut noter que la sociologie québécoise de cette période n'a pas suffisamment tenu compte de l'articulation de la question ethnique et de la question nationale, ainsi que du rôle polit</w:t>
      </w:r>
      <w:r w:rsidRPr="00BC632B">
        <w:t>i</w:t>
      </w:r>
      <w:r w:rsidRPr="00BC632B">
        <w:t>que que joue l'ethnicité (Elbaz, 1983, 1990 ; Labelle, 1985 ; Juteau, 1990). Cette carence s'explique par plusieurs facteurs : 1) les sociol</w:t>
      </w:r>
      <w:r w:rsidRPr="00BC632B">
        <w:t>o</w:t>
      </w:r>
      <w:r w:rsidRPr="00BC632B">
        <w:t>gues spécialistes de la question nationale ou de la question régionale, inspirés par une pensée radicale et gauchiste au cours des années 1960 et 1970, ont abandonné à la sociologie des relations ethniques, plus souvent qu'autrement d'inspiration fonctionnaliste, le champ de la théorie sur les minorités et l'ethnicité ; 2) la difficulté de s'extirper de la dualité francophone-anglophone et de postuler que le Québec, bien que n'étant pas un État-nation, puisse s'opposer aux visées hégémon</w:t>
      </w:r>
      <w:r w:rsidRPr="00BC632B">
        <w:t>i</w:t>
      </w:r>
      <w:r w:rsidRPr="00BC632B">
        <w:t>ques du palier fédéral en matière d'immigration, d'intégration, et de langue ; 3) la présence au Québec d'un phénomène de « complétude institutionnelle » ou de « frontières ethniques » plus accentué qu'ai</w:t>
      </w:r>
      <w:r w:rsidRPr="00BC632B">
        <w:t>l</w:t>
      </w:r>
      <w:r w:rsidRPr="00BC632B">
        <w:t>leurs dans la formation sociale canadienne, dont l'impact est important sur le plan politique.</w:t>
      </w:r>
    </w:p>
    <w:p w:rsidR="00B7214C" w:rsidRDefault="00B7214C" w:rsidP="00B7214C">
      <w:pPr>
        <w:spacing w:before="120" w:after="120"/>
        <w:jc w:val="both"/>
      </w:pPr>
      <w:r w:rsidRPr="00BC632B">
        <w:t>La thèse que nous soutenons ici est la suivante : avant d'être une catégorie culturelle, l'ethnicité est une catégorie politique qui sert à la mobilisation des communautés ethniques du Québec, non seulement en leur sein, mais aussi dans leurs rapports avec la société globale. Si l'ethnicité a des fonctions précises dans le mouvement associatif à c</w:t>
      </w:r>
      <w:r w:rsidRPr="00BC632B">
        <w:t>a</w:t>
      </w:r>
      <w:r w:rsidRPr="00BC632B">
        <w:t>ractère ethnique, elle en a tout autant dans le domaine politique et dans la question nationale. L'État fédéral et provincial ont d'ailleurs con</w:t>
      </w:r>
      <w:r>
        <w:t>tribué largement à l'ethnicisa</w:t>
      </w:r>
      <w:r w:rsidRPr="00BC632B">
        <w:t>tion et à la racisation des enjeux, contrairement à d'autres situations nationales où les notions d'intégr</w:t>
      </w:r>
      <w:r w:rsidRPr="00BC632B">
        <w:t>a</w:t>
      </w:r>
      <w:r w:rsidRPr="00BC632B">
        <w:t>tion collective et de communauté ne sont pas reconnues.</w:t>
      </w:r>
    </w:p>
    <w:p w:rsidR="00B7214C" w:rsidRPr="00BC632B" w:rsidRDefault="00B7214C" w:rsidP="00B7214C">
      <w:pPr>
        <w:spacing w:before="120" w:after="120"/>
        <w:jc w:val="both"/>
      </w:pPr>
      <w:r>
        <w:t>[59]</w:t>
      </w:r>
    </w:p>
    <w:p w:rsidR="00B7214C" w:rsidRPr="00BC632B" w:rsidRDefault="00B7214C" w:rsidP="00B7214C">
      <w:pPr>
        <w:spacing w:before="120" w:after="120"/>
        <w:jc w:val="both"/>
      </w:pPr>
      <w:r w:rsidRPr="00BC632B">
        <w:t>Quels sont les principaux éléments d'analyse que nous pouvons mettre en évidence ?</w:t>
      </w:r>
    </w:p>
    <w:p w:rsidR="00B7214C" w:rsidRPr="00BC632B" w:rsidRDefault="00B7214C" w:rsidP="00B7214C">
      <w:pPr>
        <w:spacing w:before="120" w:after="120"/>
        <w:jc w:val="both"/>
      </w:pPr>
      <w:r w:rsidRPr="00BC632B">
        <w:t>Au cours des dernières années, plusieurs chercheurs québécois ont analysé les tendances migratoires et les politiques d'immigration qui ont contribué à la diversification de la population du Québec (divers</w:t>
      </w:r>
      <w:r w:rsidRPr="00BC632B">
        <w:t>i</w:t>
      </w:r>
      <w:r w:rsidRPr="00BC632B">
        <w:t>fication des sources nationales d'immigration, augmentation relative des immigrants de la catégorie de la famille, des réfugiés et des d</w:t>
      </w:r>
      <w:r w:rsidRPr="00BC632B">
        <w:t>e</w:t>
      </w:r>
      <w:r w:rsidRPr="00BC632B">
        <w:t>mandeurs du statut de réfugié) suivant les tendances observées aux États-Unis et dans le reste du Canada.</w:t>
      </w:r>
    </w:p>
    <w:p w:rsidR="00B7214C" w:rsidRPr="00BC632B" w:rsidRDefault="00B7214C" w:rsidP="00B7214C">
      <w:pPr>
        <w:spacing w:before="120" w:after="120"/>
        <w:jc w:val="both"/>
      </w:pPr>
      <w:r w:rsidRPr="00BC632B">
        <w:t>On observe une certaine ségrégation résidentielle et une certaine complétude institutionnelle des groupes ethniques dans la région m</w:t>
      </w:r>
      <w:r w:rsidRPr="00BC632B">
        <w:t>é</w:t>
      </w:r>
      <w:r w:rsidRPr="00BC632B">
        <w:t>tropolitaine de Montréal - où se concentre 87</w:t>
      </w:r>
      <w:r>
        <w:t>%</w:t>
      </w:r>
      <w:r w:rsidRPr="00BC632B">
        <w:t xml:space="preserve"> de la population i</w:t>
      </w:r>
      <w:r w:rsidRPr="00BC632B">
        <w:t>m</w:t>
      </w:r>
      <w:r w:rsidRPr="00BC632B">
        <w:t>migrée du Québec, et où, en 1986, les personnes d'origine ethnique autre que française ou britannique, représentent plus de 21</w:t>
      </w:r>
      <w:r>
        <w:t>%</w:t>
      </w:r>
      <w:r w:rsidRPr="00BC632B">
        <w:t>, les « minorités visibles », environ 4</w:t>
      </w:r>
      <w:r>
        <w:t>%</w:t>
      </w:r>
      <w:r w:rsidRPr="00BC632B">
        <w:t>, et la population immigrée, env</w:t>
      </w:r>
      <w:r w:rsidRPr="00BC632B">
        <w:t>i</w:t>
      </w:r>
      <w:r w:rsidRPr="00BC632B">
        <w:t>ron 16</w:t>
      </w:r>
      <w:r>
        <w:t>%</w:t>
      </w:r>
      <w:r w:rsidRPr="00BC632B">
        <w:t xml:space="preserve"> de la population totale. Ce phénomène serait, selon certains, plus manifeste que dans des villes comme Toronto, Boston, Calgary, etc. (Anctil, 1984 ; Paillé, 1991 ; Veltman, 1986) et s'expliquerait par la prégnance de la question nationale et les particularités de certains flux migratoires à l'origine de la formation des minorités ethniques.</w:t>
      </w:r>
    </w:p>
    <w:p w:rsidR="00B7214C" w:rsidRDefault="00B7214C" w:rsidP="00B7214C">
      <w:pPr>
        <w:spacing w:before="120" w:after="120"/>
        <w:jc w:val="both"/>
      </w:pPr>
      <w:r w:rsidRPr="00BC632B">
        <w:t>La situation de « dualité linguistique » a favorisé la polarisation politique et idéologique des luttes des minorités sur la question li</w:t>
      </w:r>
      <w:r w:rsidRPr="00BC632B">
        <w:t>n</w:t>
      </w:r>
      <w:r w:rsidRPr="00BC632B">
        <w:t>guistique et l'intégration (Cappon, 1974 ; Taddeo, Taras, 1987 ; Ass</w:t>
      </w:r>
      <w:r w:rsidRPr="00BC632B">
        <w:t>i</w:t>
      </w:r>
      <w:r>
        <w:t>mopoulos, Hum</w:t>
      </w:r>
      <w:r w:rsidRPr="00BC632B">
        <w:t xml:space="preserve">blet, 1987 ; Linteau, 1987 ; Mathews, 1990). Elle a aussi favorisé la forte rétention de la langue d'origine dans certaines communautés (Paillé, 1991) phénomène que les leaders d'associations communautaires interrogés dans la recherche sur </w:t>
      </w:r>
      <w:r w:rsidRPr="00A07EC4">
        <w:rPr>
          <w:i/>
          <w:iCs/>
        </w:rPr>
        <w:t>Ethnicité et plur</w:t>
      </w:r>
      <w:r w:rsidRPr="00A07EC4">
        <w:rPr>
          <w:i/>
          <w:iCs/>
        </w:rPr>
        <w:t>a</w:t>
      </w:r>
      <w:r w:rsidRPr="00A07EC4">
        <w:rPr>
          <w:i/>
          <w:iCs/>
        </w:rPr>
        <w:t>lisme. Le discours de leaders d'associations communautaires à cara</w:t>
      </w:r>
      <w:r w:rsidRPr="00A07EC4">
        <w:rPr>
          <w:i/>
          <w:iCs/>
        </w:rPr>
        <w:t>c</w:t>
      </w:r>
      <w:r w:rsidRPr="00A07EC4">
        <w:rPr>
          <w:i/>
          <w:iCs/>
        </w:rPr>
        <w:t>tère ethnique de la région de Montréal</w:t>
      </w:r>
      <w:r w:rsidRPr="00BC632B">
        <w:t xml:space="preserve"> attribuent à des raisons histor</w:t>
      </w:r>
      <w:r w:rsidRPr="00BC632B">
        <w:t>i</w:t>
      </w:r>
      <w:r w:rsidRPr="00BC632B">
        <w:t>ques : « fermeture » des écoles franco-catholiques aux immigrants, longue prépondérance de l'anglais dans le marché du travail québ</w:t>
      </w:r>
      <w:r w:rsidRPr="00BC632B">
        <w:t>é</w:t>
      </w:r>
      <w:r w:rsidRPr="00BC632B">
        <w:t>cois, auxquelles s'ajoutent des motifs liés au désir de mobilité écon</w:t>
      </w:r>
      <w:r w:rsidRPr="00BC632B">
        <w:t>o</w:t>
      </w:r>
      <w:r w:rsidRPr="00BC632B">
        <w:t>mique. Plusieurs insistent d'ailleurs sur la ghettoïsation culturelle e</w:t>
      </w:r>
      <w:r w:rsidRPr="00BC632B">
        <w:t>n</w:t>
      </w:r>
      <w:r w:rsidRPr="00BC632B">
        <w:t>traînée par ces pratiques. Selon un leader ashkénaze, la formation de « ghettos d'or » au Québec a permis aux minorités de se développer librement et de conserver plus longtemps qu'ailleurs leur langue d'or</w:t>
      </w:r>
      <w:r w:rsidRPr="00BC632B">
        <w:t>i</w:t>
      </w:r>
      <w:r w:rsidRPr="00BC632B">
        <w:t>gine, amoindrissant la force du nationali</w:t>
      </w:r>
      <w:r w:rsidRPr="00BC632B">
        <w:t>s</w:t>
      </w:r>
      <w:r w:rsidRPr="00BC632B">
        <w:t>me canadien et renforçant le nationalisme québécois. Certains éme</w:t>
      </w:r>
      <w:r w:rsidRPr="00BC632B">
        <w:t>t</w:t>
      </w:r>
      <w:r w:rsidRPr="00BC632B">
        <w:t>tront même l'opinion qu'une telle situation a encouragé le conserv</w:t>
      </w:r>
      <w:r w:rsidRPr="00BC632B">
        <w:t>a</w:t>
      </w:r>
      <w:r w:rsidRPr="00BC632B">
        <w:t>tisme politique et culturel de leur communauté (Labelle, Beaudet, Tardif, Lévy, 1993).</w:t>
      </w:r>
    </w:p>
    <w:p w:rsidR="00B7214C" w:rsidRPr="00BC632B" w:rsidRDefault="00B7214C" w:rsidP="00B7214C">
      <w:pPr>
        <w:spacing w:before="120" w:after="120"/>
        <w:jc w:val="both"/>
      </w:pPr>
      <w:r>
        <w:t>[60]</w:t>
      </w:r>
    </w:p>
    <w:p w:rsidR="00B7214C" w:rsidRPr="00BC632B" w:rsidRDefault="00B7214C" w:rsidP="00B7214C">
      <w:pPr>
        <w:spacing w:before="120" w:after="120"/>
        <w:jc w:val="both"/>
      </w:pPr>
      <w:r w:rsidRPr="00BC632B">
        <w:t>Les théories historico-structurelles de la migration internationale de travail et de la segmentation du marché du travail ont expliqué comment l'insertion des immigrants et des minorités ethniques s'effe</w:t>
      </w:r>
      <w:r w:rsidRPr="00BC632B">
        <w:t>c</w:t>
      </w:r>
      <w:r w:rsidRPr="00BC632B">
        <w:t>tue de façon extrêmement variable selon les divers secteurs du marché du travail dans les pays capitalistes avancés. La segmentation du ma</w:t>
      </w:r>
      <w:r w:rsidRPr="00BC632B">
        <w:t>r</w:t>
      </w:r>
      <w:r w:rsidRPr="00BC632B">
        <w:t>ché du travail n'opère pas de façon neutre, l'ethnicité, le racisme et le sexisme légitimant les pratiques de discrimination en emploi, lesque</w:t>
      </w:r>
      <w:r w:rsidRPr="00BC632B">
        <w:t>l</w:t>
      </w:r>
      <w:r w:rsidRPr="00BC632B">
        <w:t>les sont amplifiées en période de crise économique comme celle que nous vivons. Par ailleurs, si l'ethnicité est un obstacle dans plusieurs situations d'emploi, elle peut aussi constituer une ressource pour fav</w:t>
      </w:r>
      <w:r w:rsidRPr="00BC632B">
        <w:t>o</w:t>
      </w:r>
      <w:r w:rsidRPr="00BC632B">
        <w:t>riser l'insertion des nouveaux arrivants et contrer la discrimination.</w:t>
      </w:r>
    </w:p>
    <w:p w:rsidR="00B7214C" w:rsidRPr="00BC632B" w:rsidRDefault="00B7214C" w:rsidP="00B7214C">
      <w:pPr>
        <w:spacing w:before="120" w:after="120"/>
        <w:jc w:val="both"/>
      </w:pPr>
      <w:r w:rsidRPr="00BC632B">
        <w:t>La main-d'oeuvre immigrée au Québec remplit des fonctions d</w:t>
      </w:r>
      <w:r w:rsidRPr="00BC632B">
        <w:t>i</w:t>
      </w:r>
      <w:r w:rsidRPr="00BC632B">
        <w:t>verses dans le marché du travail : marché primaire, marché seconda</w:t>
      </w:r>
      <w:r w:rsidRPr="00BC632B">
        <w:t>i</w:t>
      </w:r>
      <w:r w:rsidRPr="00BC632B">
        <w:t>re, économie informelle (Portes et Walton, 1981). Ces fonctions diff</w:t>
      </w:r>
      <w:r w:rsidRPr="00BC632B">
        <w:t>é</w:t>
      </w:r>
      <w:r w:rsidRPr="00BC632B">
        <w:t>renciées évoluent avec les transformations du marché du travail et ce</w:t>
      </w:r>
      <w:r w:rsidRPr="00BC632B">
        <w:t>l</w:t>
      </w:r>
      <w:r w:rsidRPr="00BC632B">
        <w:t>les des migrations de travail. Alors que les migrations de travail s'i</w:t>
      </w:r>
      <w:r w:rsidRPr="00BC632B">
        <w:t>n</w:t>
      </w:r>
      <w:r w:rsidRPr="00BC632B">
        <w:t>ternationalisent et se nourrissent des flux de réfugiés et de demandeurs d'asile, le chômage et le travail au noir s'accroissent. Ces phénomènes ont un impact certain sur l'approfondissement de la division sociale et ethnique du travail et sur l'ethnicisation des conflits sociaux liés au monde du travail (discrimination, ghettos d'emploi, intégration li</w:t>
      </w:r>
      <w:r w:rsidRPr="00BC632B">
        <w:t>n</w:t>
      </w:r>
      <w:r w:rsidRPr="00BC632B">
        <w:t>guistique, syndicalisation, travail au noir, etc.) (Labelle 1987 ; Audet, 1987 ; Gagné, 1989).</w:t>
      </w:r>
    </w:p>
    <w:p w:rsidR="00B7214C" w:rsidRPr="00BC632B" w:rsidRDefault="00B7214C" w:rsidP="00B7214C">
      <w:pPr>
        <w:spacing w:before="120" w:after="120"/>
        <w:jc w:val="both"/>
      </w:pPr>
      <w:r w:rsidRPr="00BC632B">
        <w:t>Plusieurs études témoignent de la vivacité de l'identité ethnique chez les membres des communautés ethniques du Québec. Ainsi, dans le cas des communautés italienne, juive, libanaise et haïtienne, on a souligné le rôle prépondérant à cet égard de leurs associations co</w:t>
      </w:r>
      <w:r w:rsidRPr="00BC632B">
        <w:t>m</w:t>
      </w:r>
      <w:r w:rsidRPr="00BC632B">
        <w:t>munautaires dans la société canadienne et québécoise (voir Abu-Laban, 1980, 1989 ; Anctil, Caldwell, 1984 ; Déjean, 1978 ; Elbaz, 1989 ; Elazar, Waller, 1990 ; Herberg, 1989 ; Labelle, 1984 ; Lasry, 1982 ; Langlais, Rome, 1986 ; Painchaud, Poulin, 1988 ; Massé, 1983 ; Lévy, Ouaknine, 1989 ; Rodai, 1984 ; Weinfeld, 1981,1984, 1993 ; Deschamps, 1990 ; Labelle, Therrien, 1992 ; Labelle, Therrien, Lévy, à paraître). Ces minorités ont développé un important réseau d'associations et de relations sociales et se sont constituées en groupes de pression. Les associations ont un rôle d'intégration à la communa</w:t>
      </w:r>
      <w:r w:rsidRPr="00BC632B">
        <w:t>u</w:t>
      </w:r>
      <w:r w:rsidRPr="00BC632B">
        <w:t>té ethnique ou à la société globale, de préservation de l'ethnicité ou de l'identité culturelle, de représentation politique et de défense de la communauté, et de solidarité avec le pays d'origine (Labelle, Therrien, Lévy, à paraître).</w:t>
      </w:r>
    </w:p>
    <w:p w:rsidR="00B7214C" w:rsidRPr="00BC632B" w:rsidRDefault="00B7214C" w:rsidP="00B7214C">
      <w:pPr>
        <w:spacing w:before="120" w:after="120"/>
        <w:jc w:val="both"/>
      </w:pPr>
      <w:r w:rsidRPr="00BC632B">
        <w:t>Le mouvement associatif dans ces communautés semble aussi se définir et se mouvoir autour d'une multiple mobilisation identitaire : l'une se définit autour d'une identité « nationale » (celle du pays d'or</w:t>
      </w:r>
      <w:r w:rsidRPr="00BC632B">
        <w:t>i</w:t>
      </w:r>
      <w:r w:rsidRPr="00BC632B">
        <w:t>gine ou du pays fondateur, et celle du Canada et/ou du Québec), s'in</w:t>
      </w:r>
      <w:r w:rsidRPr="00BC632B">
        <w:t>s</w:t>
      </w:r>
      <w:r w:rsidRPr="00BC632B">
        <w:t>crivant dans les</w:t>
      </w:r>
      <w:r>
        <w:t xml:space="preserve"> </w:t>
      </w:r>
      <w:r w:rsidRPr="00DC0288">
        <w:t xml:space="preserve">[61] </w:t>
      </w:r>
      <w:r w:rsidRPr="00BC632B">
        <w:t>liens internationaux qui unissent les Québécois d'origine italienne, haïtienne, juive ou libanaise à la patrie d'origine ou à la terre de référence et à son contexte de lutte. L'autre axe de mobil</w:t>
      </w:r>
      <w:r w:rsidRPr="00BC632B">
        <w:t>i</w:t>
      </w:r>
      <w:r w:rsidRPr="00BC632B">
        <w:t>sation se définit autour d'une identité « ethnique » ou minoritaire - en tant que membres de la communauté juive, italienne, haïtienne, lib</w:t>
      </w:r>
      <w:r w:rsidRPr="00BC632B">
        <w:t>a</w:t>
      </w:r>
      <w:r w:rsidRPr="00BC632B">
        <w:t>naise ou arabe dans la société québécoise ou canadienne - qui active les différents enjeux de l'intégration de ses membres et de son rapport à la majorité. Enfin, une dernière dimension d'action s'articule autour du processus de racisation touchant certaines catégories de population, qui affecte les Haïtiens et les Libanais, et fonde les regroupements à identité rac</w:t>
      </w:r>
      <w:r w:rsidRPr="00BC632B">
        <w:t>i</w:t>
      </w:r>
      <w:r w:rsidRPr="00BC632B">
        <w:t>sée.</w:t>
      </w:r>
    </w:p>
    <w:p w:rsidR="00B7214C" w:rsidRPr="00BC632B" w:rsidRDefault="00B7214C" w:rsidP="00B7214C">
      <w:pPr>
        <w:spacing w:before="120" w:after="120"/>
        <w:jc w:val="both"/>
      </w:pPr>
      <w:r w:rsidRPr="00BC632B">
        <w:t>Les leaders participent à la construction du discours et des repr</w:t>
      </w:r>
      <w:r w:rsidRPr="00BC632B">
        <w:t>é</w:t>
      </w:r>
      <w:r w:rsidRPr="00BC632B">
        <w:t>sentations relatives aux catégories d'ethnicité, de « race » et de nation. Par le fait même, ils sont partie prenante des débats portant sur les p</w:t>
      </w:r>
      <w:r w:rsidRPr="00BC632B">
        <w:t>o</w:t>
      </w:r>
      <w:r w:rsidRPr="00BC632B">
        <w:t>litiques et les idéologies de gestion de l'ethnicité que sont la politique fédérale du multiculturalisme, ou la politique d'intégration et d'inte</w:t>
      </w:r>
      <w:r w:rsidRPr="00BC632B">
        <w:t>r</w:t>
      </w:r>
      <w:r w:rsidRPr="00BC632B">
        <w:t>culturalisme du gouvernement québécois (Labelle, 1990b, 1992). À titre de représentants ou de porte-parole de communautés ethniques, ces leaders, engagés qu'ils sont dans l'action sociale et politique, contribuent à la définition d'identités particulières et sont porteurs de revendications, lesquelles sont elles-mêmes fonction des rapports de force existant entre des sous-groupes dont les intérêts matériels, pol</w:t>
      </w:r>
      <w:r w:rsidRPr="00BC632B">
        <w:t>i</w:t>
      </w:r>
      <w:r w:rsidRPr="00BC632B">
        <w:t>tiques et idéologiques peuvent diverger. Parmi les lieux privilégiés où s'exprime cet engagement figurent des regroupements monoethniques ou pluriethniques fondés soit sur une identité racisée, soit sur le sexe, ou encore des organismes sans but lucratif, ainsi que des institutions du secteur public ou parapublic canadien et québécois. Nos recherches montrent que deux visions de l'intégration traversent leur discours, s'articulant et se complétant, ou se polarisant : l'une met l'accent sur une stratégie d'intégration particulariste, visant surtout le maintien de l'identité nationale et ethnique, et à la défense des intérêts de la co</w:t>
      </w:r>
      <w:r w:rsidRPr="00BC632B">
        <w:t>m</w:t>
      </w:r>
      <w:r w:rsidRPr="00BC632B">
        <w:t>munauté, l'autre insiste sur la légitimité d'une str</w:t>
      </w:r>
      <w:r>
        <w:t>atégie universaliste (voir Wie</w:t>
      </w:r>
      <w:r w:rsidRPr="00BC632B">
        <w:t>viorka, 1992), la participation à la société globale, la min</w:t>
      </w:r>
      <w:r w:rsidRPr="00BC632B">
        <w:t>i</w:t>
      </w:r>
      <w:r w:rsidRPr="00BC632B">
        <w:t>malisation de la différence et la défense d'intérêts communs axés d</w:t>
      </w:r>
      <w:r w:rsidRPr="00BC632B">
        <w:t>a</w:t>
      </w:r>
      <w:r w:rsidRPr="00BC632B">
        <w:t>vantage sur les mouvements sociaux que sur les mouvements comm</w:t>
      </w:r>
      <w:r w:rsidRPr="00BC632B">
        <w:t>u</w:t>
      </w:r>
      <w:r w:rsidRPr="00BC632B">
        <w:t>nautaires.</w:t>
      </w:r>
    </w:p>
    <w:p w:rsidR="00B7214C" w:rsidRPr="00BC632B" w:rsidRDefault="00B7214C" w:rsidP="00B7214C">
      <w:pPr>
        <w:spacing w:before="120" w:after="120"/>
        <w:jc w:val="both"/>
      </w:pPr>
      <w:r w:rsidRPr="00BC632B">
        <w:t>L'ambiguïté référentielle des politiques étatiques de gestion de la diversité ethnoculturelle renforcent et soutiennent l'ethnicisation des rapports sociaux au Québec. Gay (1985), Laferrière (1983), Assim</w:t>
      </w:r>
      <w:r w:rsidRPr="00BC632B">
        <w:t>o</w:t>
      </w:r>
      <w:r w:rsidRPr="00BC632B">
        <w:t>poulos et Humblet (1987), Godin (1985) ont tenté d'analyser la que</w:t>
      </w:r>
      <w:r w:rsidRPr="00BC632B">
        <w:t>s</w:t>
      </w:r>
      <w:r w:rsidRPr="00BC632B">
        <w:t>tion de l'immigration et de l'intégration des minorités ethniques en insistant sur les contradictions qui existent entre les paliers du gouve</w:t>
      </w:r>
      <w:r w:rsidRPr="00BC632B">
        <w:t>r</w:t>
      </w:r>
      <w:r w:rsidRPr="00BC632B">
        <w:t>nement fédéral et du Québec quant aux politiques liées à l'immigr</w:t>
      </w:r>
      <w:r w:rsidRPr="00BC632B">
        <w:t>a</w:t>
      </w:r>
      <w:r w:rsidRPr="00BC632B">
        <w:t>tion, la langue et la gestion de la diversité ethnoculturelle. Pour Juteau (1986), la question des minorités ethniques, réduites à une place de dominés, se prête mieux à l'analyse</w:t>
      </w:r>
      <w:r>
        <w:t xml:space="preserve"> [62] </w:t>
      </w:r>
      <w:r w:rsidRPr="00BC632B">
        <w:t>lorsqu'on comprend que l'État fédéral et l'État provincial, « instruments des deux groupes ethniques dominants » selon l'auteure, gèrent les rapports sociaux ethniques dans le but de maintenir l'ordre sociopolitique établi et donc la hiérarchis</w:t>
      </w:r>
      <w:r w:rsidRPr="00BC632B">
        <w:t>a</w:t>
      </w:r>
      <w:r w:rsidRPr="00BC632B">
        <w:t>tion ethnique en vigueur. Fontaine et Shiose, quant à elles, avancent l'hypothèse que l'État québécois a institutionnalisé la catégorie polit</w:t>
      </w:r>
      <w:r w:rsidRPr="00BC632B">
        <w:t>i</w:t>
      </w:r>
      <w:r w:rsidRPr="00BC632B">
        <w:t>que de « communautés culturelles » et créé ainsi une frontière légale et politique entre deux catégories de citoyens propageant « une idé</w:t>
      </w:r>
      <w:r w:rsidRPr="00BC632B">
        <w:t>o</w:t>
      </w:r>
      <w:r w:rsidRPr="00BC632B">
        <w:t>logie différencialiste qui accompagne la fabrication étatique des communautés culturelles (1991, p. 442). Pour Crête et Zylberberg (1991), on observe une di</w:t>
      </w:r>
      <w:r w:rsidRPr="00BC632B">
        <w:t>s</w:t>
      </w:r>
      <w:r w:rsidRPr="00BC632B">
        <w:t>sociation des référents « Canada » et « Québec » par les élites politiques, une polysémie des référents a</w:t>
      </w:r>
      <w:r w:rsidRPr="00BC632B">
        <w:t>c</w:t>
      </w:r>
      <w:r w:rsidRPr="00BC632B">
        <w:t>compagnant la communauté pol</w:t>
      </w:r>
      <w:r w:rsidRPr="00BC632B">
        <w:t>i</w:t>
      </w:r>
      <w:r w:rsidRPr="00BC632B">
        <w:t>tique et l'extension progressive d'une souveraineté produisant une quasi-citoyenneté québécoise qui recoupe une citoyenneté canadienne formelle. Pour Labelle (1990,</w:t>
      </w:r>
      <w:r>
        <w:t xml:space="preserve"> </w:t>
      </w:r>
      <w:r w:rsidRPr="00BC632B">
        <w:t>1991,</w:t>
      </w:r>
      <w:r>
        <w:t xml:space="preserve"> </w:t>
      </w:r>
      <w:r w:rsidRPr="00BC632B">
        <w:t>1992), les contradictions entre les politiques d'immigration et les pol</w:t>
      </w:r>
      <w:r w:rsidRPr="00BC632B">
        <w:t>i</w:t>
      </w:r>
      <w:r w:rsidRPr="00BC632B">
        <w:t>tiques linguistiques de l'État canadien et de l'État québécois sont sou</w:t>
      </w:r>
      <w:r w:rsidRPr="00BC632B">
        <w:t>r</w:t>
      </w:r>
      <w:r w:rsidRPr="00BC632B">
        <w:t>ces de confusion dans la saisie, par les minorités ethniques, de la que</w:t>
      </w:r>
      <w:r w:rsidRPr="00BC632B">
        <w:t>s</w:t>
      </w:r>
      <w:r w:rsidRPr="00BC632B">
        <w:t>tion nationale, entraînent l'a</w:t>
      </w:r>
      <w:r w:rsidRPr="00BC632B">
        <w:t>m</w:t>
      </w:r>
      <w:r w:rsidRPr="00BC632B">
        <w:t>bivalence de leur identification à la culture et à la société québécoise, et influent sur leur intégration soci</w:t>
      </w:r>
      <w:r w:rsidRPr="00BC632B">
        <w:t>a</w:t>
      </w:r>
      <w:r w:rsidRPr="00BC632B">
        <w:t>le et politique dans les institutions publiques. Les minorités se voient, au bout du compte, vouées à être définies par un lexique ethnocult</w:t>
      </w:r>
      <w:r w:rsidRPr="00BC632B">
        <w:t>u</w:t>
      </w:r>
      <w:r w:rsidRPr="00BC632B">
        <w:t>rel, et à des orientations contradictoires en ce qui concerne les polit</w:t>
      </w:r>
      <w:r w:rsidRPr="00BC632B">
        <w:t>i</w:t>
      </w:r>
      <w:r w:rsidRPr="00BC632B">
        <w:t>ques ethniques, de même qu'à une ethnicisation perpétuelle hors de la québécitude.</w:t>
      </w:r>
    </w:p>
    <w:p w:rsidR="00B7214C" w:rsidRPr="00BC632B" w:rsidRDefault="00B7214C" w:rsidP="00B7214C">
      <w:pPr>
        <w:spacing w:before="120" w:after="120"/>
        <w:jc w:val="both"/>
      </w:pPr>
      <w:r w:rsidRPr="00BC632B">
        <w:t>Dans le champ de l'éducation, le discours promoteur de la différe</w:t>
      </w:r>
      <w:r w:rsidRPr="00BC632B">
        <w:t>n</w:t>
      </w:r>
      <w:r w:rsidRPr="00BC632B">
        <w:t>ce et des particularismes ethnoculturels est dominant. Ouellet et Pagé posent la question de la cohésion sociale et de la culture nationale dans un tel contexte idéologique (Ouellet, Pagé, 1991 ; Pagé, 1991 ; Laberge, 1991 ; Simard, 1991 ; Rocher, Rocher, 1991). Ces auteurs défendent l'intégration des immigrants et des minorités ethniques au nom d'une logique plus universaliste que celle qui a prévalu dans le contexte québécois, à la remorque du multiculturalisme canadien.</w:t>
      </w:r>
    </w:p>
    <w:p w:rsidR="00B7214C" w:rsidRPr="00BC632B" w:rsidRDefault="00B7214C" w:rsidP="00B7214C">
      <w:pPr>
        <w:spacing w:before="120" w:after="120"/>
        <w:jc w:val="both"/>
      </w:pPr>
      <w:r w:rsidRPr="00BC632B">
        <w:t>Ces analyses n'épuisent pas les fonctions de l'ethnicité dans le champ politique québécois. Pour Labelle, Beaudet, Tardif et Lévy (1993), l'apparition dans le champ politique de nouveaux acteurs s</w:t>
      </w:r>
      <w:r w:rsidRPr="00BC632B">
        <w:t>o</w:t>
      </w:r>
      <w:r w:rsidRPr="00BC632B">
        <w:t>ciaux, issus des minorités ethniques, intervenant à propos de l'ethnic</w:t>
      </w:r>
      <w:r w:rsidRPr="00BC632B">
        <w:t>i</w:t>
      </w:r>
      <w:r w:rsidRPr="00BC632B">
        <w:t>té et de la racisation des groupes est concomitante de la Révolution tranquille, c'est-à-dire de cette période où les Canadiens français, se définissant de plus en plus comme Québécois, cherchent à se réappr</w:t>
      </w:r>
      <w:r w:rsidRPr="00BC632B">
        <w:t>o</w:t>
      </w:r>
      <w:r w:rsidRPr="00BC632B">
        <w:t>prier l'espace économique, politique et culturel de leur territoire et formulent un projet d'Etat-nation. L'intervention de l'État fédéral par le biais des politiques de bilinguisme de 1969 et de multiculturalisme de 1971 renforce la constitution de deux blocs sociaux et régionaux antagonistes, l'un canadien, l'autre québécois (avec la loi 101 et les interventions spécifiques du Québec)</w:t>
      </w:r>
      <w:r>
        <w:t> </w:t>
      </w:r>
      <w:r>
        <w:rPr>
          <w:rStyle w:val="Appelnotedebasdep"/>
        </w:rPr>
        <w:footnoteReference w:id="4"/>
      </w:r>
      <w:r>
        <w:t xml:space="preserve"> et crée un espace poli</w:t>
      </w:r>
      <w:r w:rsidRPr="00BC632B">
        <w:t>tique</w:t>
      </w:r>
      <w:r>
        <w:t xml:space="preserve"> [63]</w:t>
      </w:r>
      <w:r w:rsidRPr="00BC632B">
        <w:t xml:space="preserve"> au profit des communautés ethniques, qui s'alignent major</w:t>
      </w:r>
      <w:r w:rsidRPr="00BC632B">
        <w:t>i</w:t>
      </w:r>
      <w:r w:rsidRPr="00BC632B">
        <w:t>tairement sur les politiques fédérales.</w:t>
      </w:r>
    </w:p>
    <w:p w:rsidR="00B7214C" w:rsidRPr="00BC632B" w:rsidRDefault="00B7214C" w:rsidP="00B7214C">
      <w:pPr>
        <w:spacing w:before="120" w:after="120"/>
        <w:jc w:val="both"/>
      </w:pPr>
      <w:r>
        <w:t>Pour ces auteurs </w:t>
      </w:r>
      <w:r>
        <w:rPr>
          <w:rStyle w:val="Appelnotedebasdep"/>
        </w:rPr>
        <w:footnoteReference w:id="5"/>
      </w:r>
      <w:r w:rsidRPr="00BC632B">
        <w:t>, la question de l'ethnicité au Québec apparaît donc en partie comme la résultante d'une stratégie politique fédérale, laquelle s'efforce de réduire le peuple québécois à sa vision du mult</w:t>
      </w:r>
      <w:r w:rsidRPr="00BC632B">
        <w:t>i</w:t>
      </w:r>
      <w:r w:rsidRPr="00BC632B">
        <w:t>culturalisme et encourage les minorités québécoises à affirmer leurs multiples particularismes. Confortées par l'échec du référendum de 1980, les fractions au pouvoir des groupes ethniques les mieux insérés dans la structure économique du Québec s'aligneront pour la plupart sur les forces dominantes régionales alliées au bloc au pouvoir (can</w:t>
      </w:r>
      <w:r w:rsidRPr="00BC632B">
        <w:t>a</w:t>
      </w:r>
      <w:r w:rsidRPr="00BC632B">
        <w:t>dien) et se mobiliseront en créant des associations et des fédérations dont le discours politique sera conforme à cette perspective. La fon</w:t>
      </w:r>
      <w:r w:rsidRPr="00BC632B">
        <w:t>c</w:t>
      </w:r>
      <w:r w:rsidRPr="00BC632B">
        <w:t>tion politique de l'ethnicité au Québec se pose donc dans le contexte des rapports de force démographiques, économiques et politiques c</w:t>
      </w:r>
      <w:r w:rsidRPr="00BC632B">
        <w:t>a</w:t>
      </w:r>
      <w:r w:rsidRPr="00BC632B">
        <w:t>nadiens et québécois (Bell, 1975 ; Breton, 1991).</w:t>
      </w:r>
    </w:p>
    <w:p w:rsidR="00B7214C" w:rsidRPr="00BC632B" w:rsidRDefault="00B7214C" w:rsidP="00B7214C">
      <w:pPr>
        <w:spacing w:before="120" w:after="120"/>
        <w:jc w:val="both"/>
      </w:pPr>
      <w:r w:rsidRPr="00BC632B">
        <w:t>Compte tenu des contradictions de classe internes dans les co</w:t>
      </w:r>
      <w:r w:rsidRPr="00BC632B">
        <w:t>m</w:t>
      </w:r>
      <w:r w:rsidRPr="00BC632B">
        <w:t>munautés et de la présence de groupes d'immigration plus sensibles à la question nationale</w:t>
      </w:r>
      <w:r>
        <w:t> </w:t>
      </w:r>
      <w:r>
        <w:rPr>
          <w:rStyle w:val="Appelnotedebasdep"/>
        </w:rPr>
        <w:footnoteReference w:id="6"/>
      </w:r>
      <w:r w:rsidRPr="00BC632B">
        <w:t>, les acteurs des minorités ethniques se répart</w:t>
      </w:r>
      <w:r w:rsidRPr="00BC632B">
        <w:t>i</w:t>
      </w:r>
      <w:r w:rsidRPr="00BC632B">
        <w:t>ront d</w:t>
      </w:r>
      <w:r>
        <w:t>a</w:t>
      </w:r>
      <w:r w:rsidRPr="00BC632B">
        <w:t>ns les partis politiques ou les mouvements sociaux du Québec. Épousant une politique fédéraliste associée à une logique particulari</w:t>
      </w:r>
      <w:r w:rsidRPr="00BC632B">
        <w:t>s</w:t>
      </w:r>
      <w:r w:rsidRPr="00BC632B">
        <w:t>te ou, au contraire, une position souverainiste liée à une perspective plus universaliste d'intégration à un État-nation en devenir, une min</w:t>
      </w:r>
      <w:r w:rsidRPr="00BC632B">
        <w:t>o</w:t>
      </w:r>
      <w:r w:rsidRPr="00BC632B">
        <w:t>rité s'alignera, avec une lente progression, entre 1980 et 1992, sur le bloc social de tendance nationaliste, démontrant l'existence au sein même des communautés ethniques d'intérêts contradictoires et faisant la preuve de leur hétérogénéité. Les débats autour des accords const</w:t>
      </w:r>
      <w:r w:rsidRPr="00BC632B">
        <w:t>i</w:t>
      </w:r>
      <w:r w:rsidRPr="00BC632B">
        <w:t>tutionnels de Charlottetown montrent, par exemple, l'entrée en action d'une coalition (la Coalition des communautés juive, italienne et gre</w:t>
      </w:r>
      <w:r w:rsidRPr="00BC632B">
        <w:t>c</w:t>
      </w:r>
      <w:r w:rsidRPr="00BC632B">
        <w:t>que) qui se prononce pour un fédéralisme renouvelé et s'aligne, au nom de leurs particularismes ethniques dans le contexte québécois, sur le bloc social dominant au niveau canadien. On assiste par ailleurs à l'émergence d'un « Rassemblement des communautés culturelles pour le non » qui, s'alimentant à même des fractions minoritaires plus pr</w:t>
      </w:r>
      <w:r w:rsidRPr="00BC632B">
        <w:t>o</w:t>
      </w:r>
      <w:r w:rsidRPr="00BC632B">
        <w:t>gressistes de communautés anciennes ou nouvelles (Québécois d'or</w:t>
      </w:r>
      <w:r w:rsidRPr="00BC632B">
        <w:t>i</w:t>
      </w:r>
      <w:r w:rsidRPr="00BC632B">
        <w:t>gine africaine, latino-américaine, haïtienne, etc.), souligne les réage</w:t>
      </w:r>
      <w:r w:rsidRPr="00BC632B">
        <w:t>n</w:t>
      </w:r>
      <w:r w:rsidRPr="00BC632B">
        <w:t>cements ethniques à l'œuvre.</w:t>
      </w:r>
    </w:p>
    <w:p w:rsidR="00B7214C" w:rsidRDefault="00B7214C" w:rsidP="00B7214C">
      <w:pPr>
        <w:spacing w:before="120" w:after="120"/>
        <w:jc w:val="both"/>
      </w:pPr>
      <w:r w:rsidRPr="00BC632B">
        <w:t>Parallèlement à cette émergence de l'ethnicité comme catégorie p</w:t>
      </w:r>
      <w:r w:rsidRPr="00BC632B">
        <w:t>o</w:t>
      </w:r>
      <w:r w:rsidRPr="00BC632B">
        <w:t>litique dans le contexte québécois, le mouvement national québécois tente, au contraire, de sortir du nationalisme de survie ethnique qui le caractérisait jusqu'alors, pour tenter d'articuler un nationalisme territ</w:t>
      </w:r>
      <w:r w:rsidRPr="00BC632B">
        <w:t>o</w:t>
      </w:r>
      <w:r w:rsidRPr="00BC632B">
        <w:t>rial, universaliste et participatif (tous les habitants du territoire du Québec sont des Québécois et seront des citoyens québécois).</w:t>
      </w:r>
    </w:p>
    <w:p w:rsidR="00B7214C" w:rsidRPr="00BC632B" w:rsidRDefault="00B7214C" w:rsidP="00B7214C">
      <w:pPr>
        <w:spacing w:before="120" w:after="120"/>
        <w:jc w:val="both"/>
      </w:pPr>
      <w:r w:rsidRPr="00BC632B">
        <w:br w:type="page"/>
      </w:r>
      <w:r>
        <w:t>[64]</w:t>
      </w:r>
    </w:p>
    <w:p w:rsidR="00B7214C" w:rsidRDefault="00B7214C" w:rsidP="00B7214C">
      <w:pPr>
        <w:spacing w:before="120" w:after="120"/>
        <w:jc w:val="both"/>
      </w:pPr>
      <w:r w:rsidRPr="00BC632B">
        <w:t>En conclusion, si l'idéologie du pluralisme culturel et du mult</w:t>
      </w:r>
      <w:r w:rsidRPr="00BC632B">
        <w:t>i</w:t>
      </w:r>
      <w:r w:rsidRPr="00BC632B">
        <w:t>culturalisme dans le cas canadien constitue un symbole politique et éthique axé sur le respect des différences et la non-discrimination, ce</w:t>
      </w:r>
      <w:r w:rsidRPr="00BC632B">
        <w:t>t</w:t>
      </w:r>
      <w:r w:rsidRPr="00BC632B">
        <w:t>te idéologie sous-tend une dynamique de la pluriethnicité et des rel</w:t>
      </w:r>
      <w:r w:rsidRPr="00BC632B">
        <w:t>a</w:t>
      </w:r>
      <w:r w:rsidRPr="00BC632B">
        <w:t>tions ethniques qui a pour toile de fond les questions nationales - a</w:t>
      </w:r>
      <w:r w:rsidRPr="00BC632B">
        <w:t>u</w:t>
      </w:r>
      <w:r w:rsidRPr="00BC632B">
        <w:t>tochtone et québécoise. Dans le cas québécois, les théoriciens de la question nationale ont toujours eu de la difficulté à prendre en compte la dimension politique de l'ethnicité dans leurs analyses, au nom de conceptions obsolètes de l'ethnicité, comme statut attribué à la nai</w:t>
      </w:r>
      <w:r w:rsidRPr="00BC632B">
        <w:t>s</w:t>
      </w:r>
      <w:r w:rsidRPr="00BC632B">
        <w:t>sance, donc tribal et biologisant et en vertu d'inhibitions idéologiques et politiques structurées autour de l'éthique du pluralisme et du relat</w:t>
      </w:r>
      <w:r w:rsidRPr="00BC632B">
        <w:t>i</w:t>
      </w:r>
      <w:r w:rsidRPr="00BC632B">
        <w:t>visme culturel. Quant à la littérature sur l'ethnicité, elle a longtemps versé dans le libéralisme et le culturalisme, en vertu d'inhibitions rel</w:t>
      </w:r>
      <w:r w:rsidRPr="00BC632B">
        <w:t>a</w:t>
      </w:r>
      <w:r w:rsidRPr="00BC632B">
        <w:t>tives aux notions de rapports de force et d'intérêts de classe ou de blocs sociaux. Dans un contexte où la soi-disant société d'accueil ne constitue pas un État-nation et n'a pas de pouvoir d'intégration, il est urgent de repérer les logiques discursives et politiques de l'intégration et du pluralisme que portent les acteurs issus des minorités comme de la majorité, dans une perspective politique et non seulement culturelle.</w:t>
      </w:r>
    </w:p>
    <w:p w:rsidR="00B7214C" w:rsidRDefault="00B7214C" w:rsidP="00B7214C">
      <w:pPr>
        <w:pStyle w:val="p"/>
      </w:pPr>
      <w:r>
        <w:t>[65]</w:t>
      </w:r>
    </w:p>
    <w:p w:rsidR="00B7214C" w:rsidRPr="00BC632B" w:rsidRDefault="00B7214C" w:rsidP="00B7214C">
      <w:pPr>
        <w:spacing w:before="120" w:after="120"/>
        <w:jc w:val="both"/>
      </w:pPr>
    </w:p>
    <w:p w:rsidR="00B7214C" w:rsidRDefault="00B7214C" w:rsidP="00B7214C">
      <w:pPr>
        <w:pStyle w:val="aa"/>
      </w:pPr>
      <w:r w:rsidRPr="003F76B5">
        <w:t>NOTES</w:t>
      </w:r>
    </w:p>
    <w:p w:rsidR="00B7214C" w:rsidRDefault="00B7214C" w:rsidP="00B7214C">
      <w:pPr>
        <w:jc w:val="both"/>
      </w:pPr>
    </w:p>
    <w:p w:rsidR="00B7214C" w:rsidRDefault="00B7214C" w:rsidP="00B7214C">
      <w:pPr>
        <w:jc w:val="both"/>
      </w:pPr>
      <w:r>
        <w:t>Pour faciliter la consultation des notes en fin de textes, nous les avons toutes converties, dans cette édition numérique des Classiques des sciences sociales, en notes de bas de page. JMT.</w:t>
      </w:r>
    </w:p>
    <w:p w:rsidR="00B7214C" w:rsidRDefault="00B7214C" w:rsidP="00B7214C">
      <w:pPr>
        <w:jc w:val="both"/>
      </w:pPr>
      <w:r>
        <w:t>[66]</w:t>
      </w:r>
    </w:p>
    <w:p w:rsidR="00B7214C" w:rsidRPr="00BC632B" w:rsidRDefault="00B7214C" w:rsidP="00B7214C">
      <w:pPr>
        <w:spacing w:before="120" w:after="120"/>
        <w:jc w:val="both"/>
      </w:pPr>
    </w:p>
    <w:p w:rsidR="00B7214C" w:rsidRDefault="00B7214C" w:rsidP="00B7214C">
      <w:pPr>
        <w:pStyle w:val="a"/>
      </w:pPr>
      <w:r w:rsidRPr="00BC632B">
        <w:t>BIBLIOGRAPHIE</w:t>
      </w:r>
    </w:p>
    <w:p w:rsidR="00B7214C" w:rsidRPr="00BC632B" w:rsidRDefault="00B7214C" w:rsidP="00B7214C">
      <w:pPr>
        <w:spacing w:before="120" w:after="120"/>
        <w:jc w:val="both"/>
      </w:pPr>
    </w:p>
    <w:p w:rsidR="00B7214C" w:rsidRPr="003F6AC3" w:rsidRDefault="00B7214C" w:rsidP="00B7214C">
      <w:pPr>
        <w:spacing w:before="120" w:after="120"/>
        <w:jc w:val="both"/>
      </w:pPr>
      <w:r w:rsidRPr="00A07EC4">
        <w:rPr>
          <w:bCs/>
          <w:iCs/>
        </w:rPr>
        <w:t>Aboud, B.,</w:t>
      </w:r>
      <w:r w:rsidRPr="00A07EC4">
        <w:rPr>
          <w:b/>
          <w:bCs/>
          <w:iCs/>
        </w:rPr>
        <w:t xml:space="preserve"> </w:t>
      </w:r>
      <w:r w:rsidRPr="00A07EC4">
        <w:rPr>
          <w:i/>
        </w:rPr>
        <w:t>Community Associations and their Relations with the State. The Case of the Arab Associative Network of Montreal</w:t>
      </w:r>
      <w:r w:rsidRPr="003F6AC3">
        <w:t>,</w:t>
      </w:r>
      <w:r w:rsidRPr="003F6AC3">
        <w:rPr>
          <w:b/>
          <w:bCs/>
          <w:iCs/>
        </w:rPr>
        <w:t xml:space="preserve"> </w:t>
      </w:r>
      <w:r w:rsidRPr="003F6AC3">
        <w:rPr>
          <w:bCs/>
          <w:iCs/>
        </w:rPr>
        <w:t>Mo</w:t>
      </w:r>
      <w:r w:rsidRPr="003F6AC3">
        <w:rPr>
          <w:bCs/>
          <w:iCs/>
        </w:rPr>
        <w:t>n</w:t>
      </w:r>
      <w:r w:rsidRPr="003F6AC3">
        <w:rPr>
          <w:bCs/>
          <w:iCs/>
        </w:rPr>
        <w:t>tréal, Université du Québec à Montréal, Département de sociologie, 1992.</w:t>
      </w:r>
    </w:p>
    <w:p w:rsidR="00B7214C" w:rsidRPr="003F6AC3" w:rsidRDefault="00B7214C" w:rsidP="00B7214C">
      <w:pPr>
        <w:spacing w:before="120" w:after="120"/>
        <w:jc w:val="both"/>
      </w:pPr>
      <w:r w:rsidRPr="003F6AC3">
        <w:t xml:space="preserve">Abu-Laban, B., </w:t>
      </w:r>
      <w:r w:rsidRPr="003F6AC3">
        <w:rPr>
          <w:bCs/>
          <w:i/>
          <w:iCs/>
        </w:rPr>
        <w:t>The Lebanese in Montreal,</w:t>
      </w:r>
      <w:r w:rsidRPr="003F6AC3">
        <w:t xml:space="preserve"> Communication pr</w:t>
      </w:r>
      <w:r w:rsidRPr="003F6AC3">
        <w:t>é</w:t>
      </w:r>
      <w:r>
        <w:t>sentée au Center for Leba</w:t>
      </w:r>
      <w:r w:rsidRPr="003F6AC3">
        <w:t>nese Studies, Conférence on Lebanese Em</w:t>
      </w:r>
      <w:r w:rsidRPr="003F6AC3">
        <w:t>i</w:t>
      </w:r>
      <w:r w:rsidRPr="003F6AC3">
        <w:t>gr</w:t>
      </w:r>
      <w:r w:rsidRPr="003F6AC3">
        <w:t>a</w:t>
      </w:r>
      <w:r w:rsidRPr="003F6AC3">
        <w:t>tion, St. Hugh's College, Oxford,</w:t>
      </w:r>
      <w:r>
        <w:t xml:space="preserve"> </w:t>
      </w:r>
      <w:r w:rsidRPr="003F6AC3">
        <w:t>1989.</w:t>
      </w:r>
    </w:p>
    <w:p w:rsidR="00B7214C" w:rsidRPr="003F6AC3" w:rsidRDefault="00B7214C" w:rsidP="00B7214C">
      <w:pPr>
        <w:spacing w:before="120" w:after="120"/>
        <w:jc w:val="both"/>
      </w:pPr>
      <w:r w:rsidRPr="008A7109">
        <w:rPr>
          <w:bCs/>
          <w:iCs/>
        </w:rPr>
        <w:t>Abu-Laban, B.,</w:t>
      </w:r>
      <w:r w:rsidRPr="003F6AC3">
        <w:rPr>
          <w:bCs/>
          <w:i/>
          <w:iCs/>
        </w:rPr>
        <w:t xml:space="preserve"> </w:t>
      </w:r>
      <w:r w:rsidRPr="008A7109">
        <w:rPr>
          <w:i/>
        </w:rPr>
        <w:t>The Olive Branch in the Family Tree : the Arabs in Canada</w:t>
      </w:r>
      <w:r w:rsidRPr="003F6AC3">
        <w:t>,</w:t>
      </w:r>
      <w:r w:rsidRPr="003F6AC3">
        <w:rPr>
          <w:bCs/>
          <w:i/>
          <w:iCs/>
        </w:rPr>
        <w:t xml:space="preserve"> </w:t>
      </w:r>
      <w:r w:rsidRPr="008A7109">
        <w:rPr>
          <w:bCs/>
          <w:iCs/>
        </w:rPr>
        <w:t>Toronto, McClelland and Stewart, 1980.</w:t>
      </w:r>
    </w:p>
    <w:p w:rsidR="00B7214C" w:rsidRPr="003F6AC3" w:rsidRDefault="00B7214C" w:rsidP="00B7214C">
      <w:pPr>
        <w:spacing w:before="120" w:after="120"/>
        <w:jc w:val="both"/>
      </w:pPr>
      <w:r w:rsidRPr="003F6AC3">
        <w:t>Abu-Laban, Y., D. Stasiulis, « Ethnie Pluralism under Si</w:t>
      </w:r>
      <w:r>
        <w:t>e</w:t>
      </w:r>
      <w:r w:rsidRPr="003F6AC3">
        <w:t>g</w:t>
      </w:r>
      <w:r>
        <w:t>e</w:t>
      </w:r>
      <w:r w:rsidRPr="003F6AC3">
        <w:t> : P</w:t>
      </w:r>
      <w:r w:rsidRPr="003F6AC3">
        <w:t>o</w:t>
      </w:r>
      <w:r w:rsidRPr="003F6AC3">
        <w:t xml:space="preserve">pular and Partisan Opposition to Multiculturalism », </w:t>
      </w:r>
      <w:r w:rsidRPr="003F6AC3">
        <w:rPr>
          <w:bCs/>
          <w:i/>
          <w:iCs/>
        </w:rPr>
        <w:t>Canadian Public Policy</w:t>
      </w:r>
      <w:r w:rsidRPr="003F6AC3">
        <w:t xml:space="preserve"> - </w:t>
      </w:r>
      <w:r w:rsidRPr="003F6AC3">
        <w:rPr>
          <w:bCs/>
          <w:i/>
          <w:iCs/>
        </w:rPr>
        <w:t>Analyse de politiques,</w:t>
      </w:r>
      <w:r w:rsidRPr="003F6AC3">
        <w:t xml:space="preserve"> vol.</w:t>
      </w:r>
      <w:r>
        <w:t> </w:t>
      </w:r>
      <w:r w:rsidRPr="003F6AC3">
        <w:t>28, n°</w:t>
      </w:r>
      <w:r>
        <w:t> </w:t>
      </w:r>
      <w:r w:rsidRPr="003F6AC3">
        <w:t>4,</w:t>
      </w:r>
      <w:r>
        <w:t xml:space="preserve"> </w:t>
      </w:r>
      <w:r w:rsidRPr="003F6AC3">
        <w:t>1992.</w:t>
      </w:r>
    </w:p>
    <w:p w:rsidR="00B7214C" w:rsidRPr="003F6AC3" w:rsidRDefault="00B7214C" w:rsidP="00B7214C">
      <w:pPr>
        <w:spacing w:before="120" w:after="120"/>
        <w:jc w:val="both"/>
      </w:pPr>
      <w:r w:rsidRPr="003F6AC3">
        <w:t xml:space="preserve">Anctil, P., G. Caldwell, (dir.), </w:t>
      </w:r>
      <w:r w:rsidRPr="003F6AC3">
        <w:rPr>
          <w:bCs/>
          <w:i/>
          <w:iCs/>
        </w:rPr>
        <w:t>Juifs et réalités juives au Québec,</w:t>
      </w:r>
      <w:r w:rsidRPr="003F6AC3">
        <w:t xml:space="preserve"> Mo</w:t>
      </w:r>
      <w:r w:rsidRPr="003F6AC3">
        <w:t>n</w:t>
      </w:r>
      <w:r w:rsidRPr="003F6AC3">
        <w:t>tréal, Institut québécois de recherche sur la culture, 1984.</w:t>
      </w:r>
    </w:p>
    <w:p w:rsidR="00B7214C" w:rsidRPr="003F6AC3" w:rsidRDefault="00B7214C" w:rsidP="00B7214C">
      <w:pPr>
        <w:spacing w:before="120" w:after="120"/>
        <w:jc w:val="both"/>
      </w:pPr>
      <w:r w:rsidRPr="003F6AC3">
        <w:t>Anctil, P., « Double majorité et multiplicité ethnoculturelle à Mo</w:t>
      </w:r>
      <w:r w:rsidRPr="003F6AC3">
        <w:t>n</w:t>
      </w:r>
      <w:r w:rsidRPr="003F6AC3">
        <w:t xml:space="preserve">tréal », </w:t>
      </w:r>
      <w:r w:rsidRPr="003F6AC3">
        <w:rPr>
          <w:bCs/>
          <w:i/>
          <w:iCs/>
        </w:rPr>
        <w:t>Recherches socio- graphiques,</w:t>
      </w:r>
      <w:r w:rsidRPr="003F6AC3">
        <w:t xml:space="preserve"> vol.</w:t>
      </w:r>
      <w:r>
        <w:t> </w:t>
      </w:r>
      <w:r w:rsidRPr="003F6AC3">
        <w:t>25, n°</w:t>
      </w:r>
      <w:r>
        <w:t> </w:t>
      </w:r>
      <w:r w:rsidRPr="003F6AC3">
        <w:t>3,</w:t>
      </w:r>
      <w:r>
        <w:t xml:space="preserve"> </w:t>
      </w:r>
      <w:r w:rsidRPr="003F6AC3">
        <w:t>1984.</w:t>
      </w:r>
    </w:p>
    <w:p w:rsidR="00B7214C" w:rsidRPr="003F6AC3" w:rsidRDefault="00B7214C" w:rsidP="00B7214C">
      <w:pPr>
        <w:spacing w:before="120" w:after="120"/>
        <w:jc w:val="both"/>
      </w:pPr>
      <w:r w:rsidRPr="003F6AC3">
        <w:t xml:space="preserve">Anderson, A. B., J. Frideres, </w:t>
      </w:r>
      <w:r w:rsidRPr="003F6AC3">
        <w:rPr>
          <w:bCs/>
          <w:i/>
          <w:iCs/>
        </w:rPr>
        <w:t>Ethnicity in Canada. Theoretical Perspect</w:t>
      </w:r>
      <w:r w:rsidRPr="003F6AC3">
        <w:rPr>
          <w:bCs/>
          <w:i/>
          <w:iCs/>
        </w:rPr>
        <w:t>i</w:t>
      </w:r>
      <w:r w:rsidRPr="003F6AC3">
        <w:rPr>
          <w:bCs/>
          <w:i/>
          <w:iCs/>
        </w:rPr>
        <w:t>ves,</w:t>
      </w:r>
      <w:r w:rsidRPr="003F6AC3">
        <w:t xml:space="preserve"> Toronto, Butterworths, 1981.</w:t>
      </w:r>
    </w:p>
    <w:p w:rsidR="00B7214C" w:rsidRPr="003F6AC3" w:rsidRDefault="00B7214C" w:rsidP="00B7214C">
      <w:pPr>
        <w:spacing w:before="120" w:after="120"/>
        <w:jc w:val="both"/>
      </w:pPr>
      <w:r w:rsidRPr="003F6AC3">
        <w:t xml:space="preserve">Anthias, F., « Race and Class Revisited. Conceptualising Race and Racisms », </w:t>
      </w:r>
      <w:r>
        <w:rPr>
          <w:bCs/>
          <w:i/>
          <w:iCs/>
        </w:rPr>
        <w:t>The Socio</w:t>
      </w:r>
      <w:r w:rsidRPr="003F6AC3">
        <w:rPr>
          <w:bCs/>
          <w:i/>
          <w:iCs/>
        </w:rPr>
        <w:t>logical Review,</w:t>
      </w:r>
      <w:r w:rsidRPr="003F6AC3">
        <w:t xml:space="preserve"> vol.</w:t>
      </w:r>
      <w:r>
        <w:t> </w:t>
      </w:r>
      <w:r w:rsidRPr="003F6AC3">
        <w:t>38, n°</w:t>
      </w:r>
      <w:r>
        <w:t> </w:t>
      </w:r>
      <w:r w:rsidRPr="003F6AC3">
        <w:t>1,</w:t>
      </w:r>
      <w:r>
        <w:t xml:space="preserve"> </w:t>
      </w:r>
      <w:r w:rsidRPr="003F6AC3">
        <w:t>1990.</w:t>
      </w:r>
    </w:p>
    <w:p w:rsidR="00B7214C" w:rsidRPr="003F6AC3" w:rsidRDefault="00B7214C" w:rsidP="00B7214C">
      <w:pPr>
        <w:spacing w:before="120" w:after="120"/>
        <w:jc w:val="both"/>
      </w:pPr>
      <w:r w:rsidRPr="003F6AC3">
        <w:t>Assimopoulos, N., J.E. Humblet, « Les immigrés et la question n</w:t>
      </w:r>
      <w:r w:rsidRPr="003F6AC3">
        <w:t>a</w:t>
      </w:r>
      <w:r w:rsidRPr="003F6AC3">
        <w:t xml:space="preserve">tionale : étude comparative des sociétés québécoise et wallonne », </w:t>
      </w:r>
      <w:r w:rsidRPr="003F6AC3">
        <w:rPr>
          <w:bCs/>
          <w:i/>
          <w:iCs/>
        </w:rPr>
        <w:t>St</w:t>
      </w:r>
      <w:r w:rsidRPr="003F6AC3">
        <w:rPr>
          <w:bCs/>
          <w:i/>
          <w:iCs/>
        </w:rPr>
        <w:t>u</w:t>
      </w:r>
      <w:r>
        <w:rPr>
          <w:bCs/>
          <w:i/>
          <w:iCs/>
        </w:rPr>
        <w:t>di Emigrazione - É</w:t>
      </w:r>
      <w:r w:rsidRPr="003F6AC3">
        <w:rPr>
          <w:bCs/>
          <w:i/>
          <w:iCs/>
        </w:rPr>
        <w:t>tudes migrations,</w:t>
      </w:r>
      <w:r w:rsidRPr="003F6AC3">
        <w:t xml:space="preserve"> n°</w:t>
      </w:r>
      <w:r>
        <w:t> </w:t>
      </w:r>
      <w:r w:rsidRPr="003F6AC3">
        <w:t>86,</w:t>
      </w:r>
      <w:r>
        <w:t xml:space="preserve"> </w:t>
      </w:r>
      <w:r w:rsidRPr="003F6AC3">
        <w:t>1987.</w:t>
      </w:r>
    </w:p>
    <w:p w:rsidR="00B7214C" w:rsidRPr="003F6AC3" w:rsidRDefault="00B7214C" w:rsidP="00B7214C">
      <w:pPr>
        <w:spacing w:before="120" w:after="120"/>
        <w:jc w:val="both"/>
      </w:pPr>
      <w:r w:rsidRPr="003F6AC3">
        <w:rPr>
          <w:bCs/>
          <w:i/>
          <w:iCs/>
        </w:rPr>
        <w:t xml:space="preserve">Audet, B., </w:t>
      </w:r>
      <w:r w:rsidRPr="003F6AC3">
        <w:t>Les caractéristiques socio-économiques de la population immigrée au Québec au recensement de 1981,</w:t>
      </w:r>
      <w:r w:rsidRPr="003F6AC3">
        <w:rPr>
          <w:bCs/>
          <w:i/>
          <w:iCs/>
        </w:rPr>
        <w:t xml:space="preserve"> Québec, Ministère des Communautés culturelles et de l'Immigration, 1987.</w:t>
      </w:r>
    </w:p>
    <w:p w:rsidR="00B7214C" w:rsidRPr="003F6AC3" w:rsidRDefault="00B7214C" w:rsidP="00B7214C">
      <w:pPr>
        <w:spacing w:before="120" w:after="120"/>
        <w:jc w:val="both"/>
      </w:pPr>
      <w:r w:rsidRPr="003F6AC3">
        <w:t xml:space="preserve">Baker, D.G., </w:t>
      </w:r>
      <w:r w:rsidRPr="003F6AC3">
        <w:rPr>
          <w:bCs/>
          <w:i/>
          <w:iCs/>
        </w:rPr>
        <w:t>Race, Ethnicity, and Power,</w:t>
      </w:r>
      <w:r w:rsidRPr="003F6AC3">
        <w:t xml:space="preserve"> London, Routledge and K</w:t>
      </w:r>
      <w:r w:rsidRPr="003F6AC3">
        <w:t>e</w:t>
      </w:r>
      <w:r w:rsidRPr="003F6AC3">
        <w:t>gan Paul, 1983.</w:t>
      </w:r>
    </w:p>
    <w:p w:rsidR="00B7214C" w:rsidRPr="003F6AC3" w:rsidRDefault="00B7214C" w:rsidP="00B7214C">
      <w:pPr>
        <w:spacing w:before="120" w:after="120"/>
        <w:jc w:val="both"/>
      </w:pPr>
      <w:r w:rsidRPr="003F6AC3">
        <w:t xml:space="preserve">Baker, D.G., « Ethnicity, Development and Power : Canada in Comparative Perspective », dans W. Isajiw, </w:t>
      </w:r>
      <w:r w:rsidRPr="003F6AC3">
        <w:rPr>
          <w:bCs/>
          <w:i/>
          <w:iCs/>
        </w:rPr>
        <w:t>Identities. The Impact of Et</w:t>
      </w:r>
      <w:r w:rsidRPr="003F6AC3">
        <w:rPr>
          <w:bCs/>
          <w:i/>
          <w:iCs/>
        </w:rPr>
        <w:t>h</w:t>
      </w:r>
      <w:r w:rsidRPr="003F6AC3">
        <w:rPr>
          <w:bCs/>
          <w:i/>
          <w:iCs/>
        </w:rPr>
        <w:t>nicity on Canadian Society,</w:t>
      </w:r>
      <w:r w:rsidRPr="003F6AC3">
        <w:t xml:space="preserve"> Toronto, Peter Martin, 1977.</w:t>
      </w:r>
    </w:p>
    <w:p w:rsidR="00B7214C" w:rsidRPr="007C5355" w:rsidRDefault="00B7214C" w:rsidP="00B7214C">
      <w:pPr>
        <w:spacing w:before="120" w:after="120"/>
        <w:jc w:val="both"/>
      </w:pPr>
      <w:r w:rsidRPr="007C5355">
        <w:t>Balibar, E., « Y a-t-il un &lt;néo-racisme&gt; », dans E. Balibar, I. Wa</w:t>
      </w:r>
      <w:r w:rsidRPr="007C5355">
        <w:t>l</w:t>
      </w:r>
      <w:r w:rsidRPr="007C5355">
        <w:t xml:space="preserve">lerstein (dir.), </w:t>
      </w:r>
      <w:r w:rsidRPr="007C5355">
        <w:rPr>
          <w:bCs/>
          <w:i/>
          <w:iCs/>
        </w:rPr>
        <w:t>Race, nation, classe. Les identités ambiguës,</w:t>
      </w:r>
      <w:r w:rsidRPr="007C5355">
        <w:t xml:space="preserve"> Paris, La Déco</w:t>
      </w:r>
      <w:r w:rsidRPr="007C5355">
        <w:t>u</w:t>
      </w:r>
      <w:r w:rsidRPr="007C5355">
        <w:t>verte, 1988.</w:t>
      </w:r>
    </w:p>
    <w:p w:rsidR="00B7214C" w:rsidRPr="007C5355" w:rsidRDefault="00B7214C" w:rsidP="00B7214C">
      <w:pPr>
        <w:spacing w:before="120" w:after="120"/>
        <w:jc w:val="both"/>
      </w:pPr>
      <w:r w:rsidRPr="007C5355">
        <w:t xml:space="preserve">Balibar E., E. Wallerstein, (dir.). </w:t>
      </w:r>
      <w:r w:rsidRPr="007C5355">
        <w:rPr>
          <w:bCs/>
          <w:i/>
          <w:iCs/>
        </w:rPr>
        <w:t>Race, nation, classe. Les identités a</w:t>
      </w:r>
      <w:r w:rsidRPr="007C5355">
        <w:rPr>
          <w:bCs/>
          <w:i/>
          <w:iCs/>
        </w:rPr>
        <w:t>m</w:t>
      </w:r>
      <w:r w:rsidRPr="007C5355">
        <w:rPr>
          <w:bCs/>
          <w:i/>
          <w:iCs/>
        </w:rPr>
        <w:t>bigües,</w:t>
      </w:r>
      <w:r w:rsidRPr="007C5355">
        <w:t xml:space="preserve"> Paris, La Découverte, 1988.</w:t>
      </w:r>
    </w:p>
    <w:p w:rsidR="00B7214C" w:rsidRPr="007C5355" w:rsidRDefault="00B7214C" w:rsidP="00B7214C">
      <w:pPr>
        <w:spacing w:before="120" w:after="120"/>
        <w:jc w:val="both"/>
      </w:pPr>
      <w:r w:rsidRPr="007C5355">
        <w:t xml:space="preserve">Barth, F., </w:t>
      </w:r>
      <w:r w:rsidRPr="007C5355">
        <w:rPr>
          <w:bCs/>
          <w:i/>
          <w:iCs/>
        </w:rPr>
        <w:t>Ethni</w:t>
      </w:r>
      <w:r>
        <w:rPr>
          <w:bCs/>
          <w:i/>
          <w:iCs/>
        </w:rPr>
        <w:t>c</w:t>
      </w:r>
      <w:r w:rsidRPr="007C5355">
        <w:rPr>
          <w:bCs/>
          <w:i/>
          <w:iCs/>
        </w:rPr>
        <w:t xml:space="preserve"> Groups and Boundaries,</w:t>
      </w:r>
      <w:r w:rsidRPr="007C5355">
        <w:t xml:space="preserve"> Boston, Little, Brown and Company, 1969.</w:t>
      </w:r>
    </w:p>
    <w:p w:rsidR="00B7214C" w:rsidRPr="007C5355" w:rsidRDefault="00B7214C" w:rsidP="00B7214C">
      <w:pPr>
        <w:spacing w:before="120" w:after="120"/>
        <w:jc w:val="both"/>
      </w:pPr>
      <w:r w:rsidRPr="007C5355">
        <w:t xml:space="preserve">Baureiss, G., « Towards a Theory of Ethnie Organizations », </w:t>
      </w:r>
      <w:r w:rsidRPr="007C5355">
        <w:rPr>
          <w:bCs/>
          <w:i/>
          <w:iCs/>
        </w:rPr>
        <w:t>C</w:t>
      </w:r>
      <w:r w:rsidRPr="007C5355">
        <w:rPr>
          <w:bCs/>
          <w:i/>
          <w:iCs/>
        </w:rPr>
        <w:t>a</w:t>
      </w:r>
      <w:r w:rsidRPr="007C5355">
        <w:rPr>
          <w:bCs/>
          <w:i/>
          <w:iCs/>
        </w:rPr>
        <w:t>nadian Ethni</w:t>
      </w:r>
      <w:r>
        <w:rPr>
          <w:bCs/>
          <w:i/>
          <w:iCs/>
        </w:rPr>
        <w:t>c</w:t>
      </w:r>
      <w:r w:rsidRPr="007C5355">
        <w:rPr>
          <w:bCs/>
          <w:i/>
          <w:iCs/>
        </w:rPr>
        <w:t xml:space="preserve"> Studies, </w:t>
      </w:r>
      <w:r w:rsidRPr="007C5355">
        <w:t>vol.</w:t>
      </w:r>
      <w:r>
        <w:t> </w:t>
      </w:r>
      <w:r w:rsidRPr="007C5355">
        <w:t>14, n°</w:t>
      </w:r>
      <w:r>
        <w:t> </w:t>
      </w:r>
      <w:r w:rsidRPr="007C5355">
        <w:t>2,</w:t>
      </w:r>
      <w:r>
        <w:t xml:space="preserve"> </w:t>
      </w:r>
      <w:r w:rsidRPr="007C5355">
        <w:t>1982.</w:t>
      </w:r>
    </w:p>
    <w:p w:rsidR="00B7214C" w:rsidRDefault="00B7214C" w:rsidP="00B7214C">
      <w:pPr>
        <w:spacing w:before="120" w:after="120"/>
        <w:jc w:val="both"/>
      </w:pPr>
      <w:r w:rsidRPr="007C5355">
        <w:t xml:space="preserve">Beaud, S., G. Noiriel, « L'assimilation : un concept en panne ». </w:t>
      </w:r>
      <w:r w:rsidRPr="007C5355">
        <w:rPr>
          <w:bCs/>
          <w:i/>
          <w:iCs/>
        </w:rPr>
        <w:t>Revue internationale d'action communautaire,</w:t>
      </w:r>
      <w:r w:rsidRPr="007C5355">
        <w:t xml:space="preserve"> vol.</w:t>
      </w:r>
      <w:r>
        <w:t> </w:t>
      </w:r>
      <w:r w:rsidRPr="007C5355">
        <w:t>21, n°</w:t>
      </w:r>
      <w:r>
        <w:t> </w:t>
      </w:r>
      <w:r w:rsidRPr="007C5355">
        <w:t>61,</w:t>
      </w:r>
      <w:r>
        <w:t xml:space="preserve"> </w:t>
      </w:r>
      <w:r w:rsidRPr="007C5355">
        <w:t>1989.</w:t>
      </w:r>
    </w:p>
    <w:p w:rsidR="00B7214C" w:rsidRPr="003F6AC3" w:rsidRDefault="00B7214C" w:rsidP="00B7214C">
      <w:pPr>
        <w:spacing w:before="120" w:after="120"/>
        <w:jc w:val="both"/>
      </w:pPr>
      <w:r>
        <w:t>[67]</w:t>
      </w:r>
    </w:p>
    <w:p w:rsidR="00B7214C" w:rsidRPr="007C5355" w:rsidRDefault="00B7214C" w:rsidP="00B7214C">
      <w:pPr>
        <w:spacing w:before="120" w:after="120"/>
        <w:jc w:val="both"/>
      </w:pPr>
      <w:r w:rsidRPr="007C5355">
        <w:t xml:space="preserve">Bell, D., </w:t>
      </w:r>
      <w:r w:rsidRPr="007C5355">
        <w:rPr>
          <w:bCs/>
          <w:i/>
          <w:iCs/>
        </w:rPr>
        <w:t>Les contradictions culturelles du capitalisme,</w:t>
      </w:r>
      <w:r w:rsidRPr="007C5355">
        <w:t xml:space="preserve"> Paris, Pre</w:t>
      </w:r>
      <w:r w:rsidRPr="007C5355">
        <w:t>s</w:t>
      </w:r>
      <w:r w:rsidRPr="007C5355">
        <w:t>ses universitaires de France, 1979.</w:t>
      </w:r>
    </w:p>
    <w:p w:rsidR="00B7214C" w:rsidRPr="007C5355" w:rsidRDefault="00B7214C" w:rsidP="00B7214C">
      <w:pPr>
        <w:spacing w:before="120" w:after="120"/>
        <w:jc w:val="both"/>
      </w:pPr>
      <w:r w:rsidRPr="007C5355">
        <w:t xml:space="preserve">Bell, D., « Ethnicity and Social Change », dans N. Glazer et D. Moynihan (dir.), </w:t>
      </w:r>
      <w:r w:rsidRPr="007C5355">
        <w:rPr>
          <w:bCs/>
          <w:i/>
          <w:iCs/>
        </w:rPr>
        <w:t>Ethnicity, Theory and Exp</w:t>
      </w:r>
      <w:r>
        <w:rPr>
          <w:bCs/>
          <w:i/>
          <w:iCs/>
        </w:rPr>
        <w:t>w</w:t>
      </w:r>
      <w:r w:rsidRPr="007C5355">
        <w:rPr>
          <w:bCs/>
          <w:i/>
          <w:iCs/>
        </w:rPr>
        <w:t>rience,</w:t>
      </w:r>
      <w:r w:rsidRPr="007C5355">
        <w:t xml:space="preserve"> Harvard Unive</w:t>
      </w:r>
      <w:r w:rsidRPr="007C5355">
        <w:t>r</w:t>
      </w:r>
      <w:r w:rsidRPr="007C5355">
        <w:t>sity Press, 1975.</w:t>
      </w:r>
    </w:p>
    <w:p w:rsidR="00B7214C" w:rsidRPr="007C5355" w:rsidRDefault="00B7214C" w:rsidP="00B7214C">
      <w:pPr>
        <w:spacing w:before="120" w:after="120"/>
        <w:jc w:val="both"/>
      </w:pPr>
      <w:r w:rsidRPr="007C5355">
        <w:t xml:space="preserve">Berthelot, J., </w:t>
      </w:r>
      <w:r w:rsidRPr="007C5355">
        <w:rPr>
          <w:bCs/>
          <w:i/>
          <w:iCs/>
        </w:rPr>
        <w:t>Apprendre à vivre ensemble. Immigration, société et éduc</w:t>
      </w:r>
      <w:r w:rsidRPr="007C5355">
        <w:rPr>
          <w:bCs/>
          <w:i/>
          <w:iCs/>
        </w:rPr>
        <w:t>a</w:t>
      </w:r>
      <w:r w:rsidRPr="007C5355">
        <w:rPr>
          <w:bCs/>
          <w:i/>
          <w:iCs/>
        </w:rPr>
        <w:t>tion,</w:t>
      </w:r>
      <w:r w:rsidRPr="007C5355">
        <w:t xml:space="preserve"> Québec, Centrale de l'enseignement du Québec, 1990.</w:t>
      </w:r>
    </w:p>
    <w:p w:rsidR="00B7214C" w:rsidRPr="007C5355" w:rsidRDefault="00B7214C" w:rsidP="00B7214C">
      <w:pPr>
        <w:spacing w:before="120" w:after="120"/>
        <w:jc w:val="both"/>
      </w:pPr>
      <w:r w:rsidRPr="007C5355">
        <w:t xml:space="preserve">Blauner, R., </w:t>
      </w:r>
      <w:r w:rsidRPr="007C5355">
        <w:rPr>
          <w:bCs/>
          <w:i/>
          <w:iCs/>
        </w:rPr>
        <w:t>Racial Oppression in America,</w:t>
      </w:r>
      <w:r w:rsidRPr="007C5355">
        <w:t xml:space="preserve"> New York, Harper and Row, 1972.</w:t>
      </w:r>
    </w:p>
    <w:p w:rsidR="00B7214C" w:rsidRPr="007C5355" w:rsidRDefault="00B7214C" w:rsidP="00B7214C">
      <w:pPr>
        <w:spacing w:before="120" w:after="120"/>
        <w:jc w:val="both"/>
      </w:pPr>
      <w:r w:rsidRPr="007C5355">
        <w:t>Bourque, G., « </w:t>
      </w:r>
      <w:hyperlink r:id="rId25" w:history="1">
        <w:r w:rsidRPr="008A7109">
          <w:rPr>
            <w:rStyle w:val="Lienhypertexte"/>
          </w:rPr>
          <w:t>Société traditionnelle, société politique et sociol</w:t>
        </w:r>
        <w:r w:rsidRPr="008A7109">
          <w:rPr>
            <w:rStyle w:val="Lienhypertexte"/>
          </w:rPr>
          <w:t>o</w:t>
        </w:r>
        <w:r w:rsidRPr="008A7109">
          <w:rPr>
            <w:rStyle w:val="Lienhypertexte"/>
          </w:rPr>
          <w:t>gie québécoise 1945-1980 </w:t>
        </w:r>
      </w:hyperlink>
      <w:r w:rsidRPr="007C5355">
        <w:t xml:space="preserve">», </w:t>
      </w:r>
      <w:r w:rsidRPr="007C5355">
        <w:rPr>
          <w:bCs/>
          <w:i/>
          <w:iCs/>
        </w:rPr>
        <w:t>Cahiers de recherche sociologi</w:t>
      </w:r>
      <w:r>
        <w:rPr>
          <w:bCs/>
          <w:i/>
          <w:iCs/>
        </w:rPr>
        <w:t>q</w:t>
      </w:r>
      <w:r w:rsidRPr="007C5355">
        <w:rPr>
          <w:bCs/>
          <w:i/>
          <w:iCs/>
        </w:rPr>
        <w:t>ue,</w:t>
      </w:r>
      <w:r w:rsidRPr="007C5355">
        <w:t xml:space="preserve"> n°</w:t>
      </w:r>
      <w:r>
        <w:t> </w:t>
      </w:r>
      <w:r w:rsidRPr="007C5355">
        <w:t>20,</w:t>
      </w:r>
      <w:r>
        <w:t xml:space="preserve"> </w:t>
      </w:r>
      <w:r w:rsidRPr="007C5355">
        <w:t>1993.</w:t>
      </w:r>
    </w:p>
    <w:p w:rsidR="00B7214C" w:rsidRPr="007C5355" w:rsidRDefault="00B7214C" w:rsidP="00B7214C">
      <w:pPr>
        <w:spacing w:before="120" w:after="120"/>
        <w:jc w:val="both"/>
      </w:pPr>
      <w:r w:rsidRPr="007C5355">
        <w:t>Bourque, G., J. Duchastel, « L'État canadien et les blocs s</w:t>
      </w:r>
      <w:r w:rsidRPr="007C5355">
        <w:t>o</w:t>
      </w:r>
      <w:r w:rsidRPr="007C5355">
        <w:t xml:space="preserve">ciaux », dans G. Boismenu, G. Bourque, R. Denis, J. Duchastel, L. Jalbert, D. Salée (dir.). </w:t>
      </w:r>
      <w:r w:rsidRPr="007C5355">
        <w:rPr>
          <w:bCs/>
          <w:i/>
          <w:iCs/>
        </w:rPr>
        <w:t>Espace régional et nation,</w:t>
      </w:r>
      <w:r w:rsidRPr="007C5355">
        <w:t xml:space="preserve"> Montréal, Boréal, 1983.</w:t>
      </w:r>
    </w:p>
    <w:p w:rsidR="00B7214C" w:rsidRPr="007C5355" w:rsidRDefault="00B7214C" w:rsidP="00B7214C">
      <w:pPr>
        <w:spacing w:before="120" w:after="120"/>
        <w:jc w:val="both"/>
      </w:pPr>
      <w:r w:rsidRPr="007C5355">
        <w:t xml:space="preserve">Breton, R., </w:t>
      </w:r>
      <w:r w:rsidRPr="007C5355">
        <w:rPr>
          <w:bCs/>
          <w:i/>
          <w:iCs/>
        </w:rPr>
        <w:t>The Governance of Ethni</w:t>
      </w:r>
      <w:r>
        <w:rPr>
          <w:bCs/>
          <w:i/>
          <w:iCs/>
        </w:rPr>
        <w:t>c</w:t>
      </w:r>
      <w:r w:rsidRPr="007C5355">
        <w:rPr>
          <w:bCs/>
          <w:i/>
          <w:iCs/>
        </w:rPr>
        <w:t xml:space="preserve"> Communities,</w:t>
      </w:r>
      <w:r w:rsidRPr="007C5355">
        <w:t xml:space="preserve"> New York, Gree</w:t>
      </w:r>
      <w:r w:rsidRPr="007C5355">
        <w:t>n</w:t>
      </w:r>
      <w:r w:rsidRPr="007C5355">
        <w:t>wood Press, 1991.</w:t>
      </w:r>
    </w:p>
    <w:p w:rsidR="00B7214C" w:rsidRPr="007C5355" w:rsidRDefault="00B7214C" w:rsidP="00B7214C">
      <w:pPr>
        <w:spacing w:before="120" w:after="120"/>
        <w:jc w:val="both"/>
      </w:pPr>
      <w:r w:rsidRPr="007C5355">
        <w:t xml:space="preserve">Breton, R., W. Isajiw, W. E. Kalbach, J. Reitz, </w:t>
      </w:r>
      <w:r w:rsidRPr="007C5355">
        <w:rPr>
          <w:bCs/>
          <w:i/>
          <w:iCs/>
        </w:rPr>
        <w:t>Ethni</w:t>
      </w:r>
      <w:r>
        <w:rPr>
          <w:bCs/>
          <w:i/>
          <w:iCs/>
        </w:rPr>
        <w:t>c</w:t>
      </w:r>
      <w:r w:rsidRPr="007C5355">
        <w:rPr>
          <w:bCs/>
          <w:i/>
          <w:iCs/>
        </w:rPr>
        <w:t xml:space="preserve"> Identity and E</w:t>
      </w:r>
      <w:r>
        <w:rPr>
          <w:bCs/>
          <w:i/>
          <w:iCs/>
        </w:rPr>
        <w:t>q</w:t>
      </w:r>
      <w:r w:rsidRPr="007C5355">
        <w:rPr>
          <w:bCs/>
          <w:i/>
          <w:iCs/>
        </w:rPr>
        <w:t>uality,</w:t>
      </w:r>
      <w:r w:rsidRPr="007C5355">
        <w:t xml:space="preserve"> Toronto, University of Toronto Press, 1990.</w:t>
      </w:r>
    </w:p>
    <w:p w:rsidR="00B7214C" w:rsidRPr="007C5355" w:rsidRDefault="00B7214C" w:rsidP="00B7214C">
      <w:pPr>
        <w:spacing w:before="120" w:after="120"/>
        <w:jc w:val="both"/>
      </w:pPr>
      <w:r w:rsidRPr="007C5355">
        <w:t>Breton, R., « La communauté ethnique, communauté polit</w:t>
      </w:r>
      <w:r w:rsidRPr="007C5355">
        <w:t>i</w:t>
      </w:r>
      <w:r w:rsidRPr="007C5355">
        <w:t xml:space="preserve">que », </w:t>
      </w:r>
      <w:r w:rsidRPr="007C5355">
        <w:rPr>
          <w:bCs/>
          <w:i/>
          <w:iCs/>
        </w:rPr>
        <w:t xml:space="preserve">Sociologie et sociétés, </w:t>
      </w:r>
      <w:r w:rsidRPr="007C5355">
        <w:t>vol.</w:t>
      </w:r>
      <w:r>
        <w:t> </w:t>
      </w:r>
      <w:r w:rsidRPr="007C5355">
        <w:t>15, n°</w:t>
      </w:r>
      <w:r>
        <w:t> </w:t>
      </w:r>
      <w:r w:rsidRPr="007C5355">
        <w:t>2,</w:t>
      </w:r>
      <w:r>
        <w:t xml:space="preserve"> </w:t>
      </w:r>
      <w:r w:rsidRPr="007C5355">
        <w:t>1983.</w:t>
      </w:r>
    </w:p>
    <w:p w:rsidR="00B7214C" w:rsidRPr="007C5355" w:rsidRDefault="00B7214C" w:rsidP="00B7214C">
      <w:pPr>
        <w:spacing w:before="120" w:after="120"/>
        <w:jc w:val="both"/>
      </w:pPr>
      <w:r w:rsidRPr="007C5355">
        <w:t>Breton, R., « Institutional Completeness of Ethnie Commun</w:t>
      </w:r>
      <w:r w:rsidRPr="007C5355">
        <w:t>i</w:t>
      </w:r>
      <w:r w:rsidRPr="007C5355">
        <w:t xml:space="preserve">ties and the Personal Relations of Immigrants », </w:t>
      </w:r>
      <w:r w:rsidRPr="007C5355">
        <w:rPr>
          <w:bCs/>
          <w:i/>
          <w:iCs/>
        </w:rPr>
        <w:t>American Journal of S</w:t>
      </w:r>
      <w:r w:rsidRPr="007C5355">
        <w:rPr>
          <w:bCs/>
          <w:i/>
          <w:iCs/>
        </w:rPr>
        <w:t>o</w:t>
      </w:r>
      <w:r w:rsidRPr="007C5355">
        <w:rPr>
          <w:bCs/>
          <w:i/>
          <w:iCs/>
        </w:rPr>
        <w:t>ciol</w:t>
      </w:r>
      <w:r w:rsidRPr="007C5355">
        <w:rPr>
          <w:bCs/>
          <w:i/>
          <w:iCs/>
        </w:rPr>
        <w:t>o</w:t>
      </w:r>
      <w:r w:rsidRPr="007C5355">
        <w:rPr>
          <w:bCs/>
          <w:i/>
          <w:iCs/>
        </w:rPr>
        <w:t>gy,</w:t>
      </w:r>
      <w:r w:rsidRPr="007C5355">
        <w:t xml:space="preserve"> vol. 70,</w:t>
      </w:r>
      <w:r>
        <w:t xml:space="preserve"> </w:t>
      </w:r>
      <w:r w:rsidRPr="007C5355">
        <w:t>1964.</w:t>
      </w:r>
    </w:p>
    <w:p w:rsidR="00B7214C" w:rsidRPr="007C5355" w:rsidRDefault="00B7214C" w:rsidP="00B7214C">
      <w:pPr>
        <w:spacing w:before="120" w:after="120"/>
        <w:jc w:val="both"/>
      </w:pPr>
      <w:r w:rsidRPr="007C5355">
        <w:t>Brym, R</w:t>
      </w:r>
      <w:r w:rsidRPr="007C5355">
        <w:rPr>
          <w:bCs/>
          <w:i/>
          <w:iCs/>
        </w:rPr>
        <w:t>.</w:t>
      </w:r>
      <w:r>
        <w:rPr>
          <w:bCs/>
          <w:iCs/>
        </w:rPr>
        <w:t>J.</w:t>
      </w:r>
      <w:r w:rsidRPr="007C5355">
        <w:rPr>
          <w:bCs/>
          <w:i/>
          <w:iCs/>
        </w:rPr>
        <w:t>,</w:t>
      </w:r>
      <w:r w:rsidRPr="007C5355">
        <w:t xml:space="preserve"> B. J. Fox, </w:t>
      </w:r>
      <w:r w:rsidRPr="007C5355">
        <w:rPr>
          <w:bCs/>
          <w:i/>
          <w:iCs/>
        </w:rPr>
        <w:t>From Culture to Power,</w:t>
      </w:r>
      <w:r w:rsidRPr="007C5355">
        <w:t xml:space="preserve"> Toronto, Oxford Un</w:t>
      </w:r>
      <w:r w:rsidRPr="007C5355">
        <w:t>i</w:t>
      </w:r>
      <w:r w:rsidRPr="007C5355">
        <w:t>versity Press, 1989.</w:t>
      </w:r>
    </w:p>
    <w:p w:rsidR="00B7214C" w:rsidRPr="007C5355" w:rsidRDefault="00B7214C" w:rsidP="00B7214C">
      <w:pPr>
        <w:spacing w:before="120" w:after="120"/>
        <w:jc w:val="both"/>
      </w:pPr>
      <w:r w:rsidRPr="007C5355">
        <w:t xml:space="preserve">Brym, R. J., W. Shaffir, M. Weinfeld, </w:t>
      </w:r>
      <w:r w:rsidRPr="007C5355">
        <w:rPr>
          <w:bCs/>
          <w:i/>
          <w:iCs/>
        </w:rPr>
        <w:t>The Jews in Canada,</w:t>
      </w:r>
      <w:r w:rsidRPr="007C5355">
        <w:t xml:space="preserve"> Toro</w:t>
      </w:r>
      <w:r w:rsidRPr="007C5355">
        <w:t>n</w:t>
      </w:r>
      <w:r w:rsidRPr="007C5355">
        <w:t>to, Oxford University Press, 1993.</w:t>
      </w:r>
    </w:p>
    <w:p w:rsidR="00B7214C" w:rsidRPr="007C5355" w:rsidRDefault="00B7214C" w:rsidP="00B7214C">
      <w:pPr>
        <w:spacing w:before="120" w:after="120"/>
        <w:jc w:val="both"/>
      </w:pPr>
      <w:r w:rsidRPr="007C5355">
        <w:rPr>
          <w:bCs/>
          <w:iCs/>
        </w:rPr>
        <w:t xml:space="preserve">Campani, G., </w:t>
      </w:r>
      <w:r w:rsidRPr="007C5355">
        <w:rPr>
          <w:i/>
        </w:rPr>
        <w:t>Pluralisme culturel en Europe. Cultures europée</w:t>
      </w:r>
      <w:r w:rsidRPr="007C5355">
        <w:rPr>
          <w:i/>
        </w:rPr>
        <w:t>n</w:t>
      </w:r>
      <w:r w:rsidRPr="007C5355">
        <w:rPr>
          <w:i/>
        </w:rPr>
        <w:t>nes et cultures des diasporas. L'exemple de la diaspora italienne</w:t>
      </w:r>
      <w:r w:rsidRPr="007C5355">
        <w:t>,</w:t>
      </w:r>
      <w:r w:rsidRPr="007C5355">
        <w:rPr>
          <w:bCs/>
          <w:iCs/>
        </w:rPr>
        <w:t xml:space="preserve"> Paris, texte ronéotypé, 1991.</w:t>
      </w:r>
    </w:p>
    <w:p w:rsidR="00B7214C" w:rsidRPr="007C5355" w:rsidRDefault="00B7214C" w:rsidP="00B7214C">
      <w:pPr>
        <w:spacing w:before="120" w:after="120"/>
        <w:jc w:val="both"/>
      </w:pPr>
      <w:r w:rsidRPr="007C5355">
        <w:rPr>
          <w:bCs/>
          <w:iCs/>
        </w:rPr>
        <w:t xml:space="preserve">Campani, G., </w:t>
      </w:r>
      <w:r w:rsidRPr="007C5355">
        <w:rPr>
          <w:i/>
        </w:rPr>
        <w:t>Les réseaux familiaux, villageois et régionaux des immigrés italiens en France</w:t>
      </w:r>
      <w:r w:rsidRPr="007C5355">
        <w:t xml:space="preserve">, </w:t>
      </w:r>
      <w:r w:rsidRPr="007C5355">
        <w:rPr>
          <w:bCs/>
          <w:iCs/>
        </w:rPr>
        <w:t>Paris, texte ronéotypé, 1991.</w:t>
      </w:r>
    </w:p>
    <w:p w:rsidR="00B7214C" w:rsidRPr="007C5355" w:rsidRDefault="00B7214C" w:rsidP="00B7214C">
      <w:pPr>
        <w:spacing w:before="120" w:after="120"/>
        <w:jc w:val="both"/>
      </w:pPr>
      <w:r w:rsidRPr="007C5355">
        <w:t>Campani, G., M. Catani, « Les réseaux associatifs italiens en Fra</w:t>
      </w:r>
      <w:r w:rsidRPr="007C5355">
        <w:t>n</w:t>
      </w:r>
      <w:r w:rsidRPr="007C5355">
        <w:t xml:space="preserve">ce et les jeunes ». </w:t>
      </w:r>
      <w:r w:rsidRPr="007C5355">
        <w:rPr>
          <w:bCs/>
          <w:i/>
          <w:iCs/>
        </w:rPr>
        <w:t>Revue européenne des migrations internationales,</w:t>
      </w:r>
      <w:r w:rsidRPr="007C5355">
        <w:t xml:space="preserve"> vol.</w:t>
      </w:r>
      <w:r>
        <w:t> </w:t>
      </w:r>
      <w:r w:rsidRPr="007C5355">
        <w:t>1, n°</w:t>
      </w:r>
      <w:r>
        <w:t> </w:t>
      </w:r>
      <w:r w:rsidRPr="007C5355">
        <w:t>2,</w:t>
      </w:r>
      <w:r>
        <w:t xml:space="preserve"> </w:t>
      </w:r>
      <w:r w:rsidRPr="007C5355">
        <w:t>1985.</w:t>
      </w:r>
    </w:p>
    <w:p w:rsidR="00B7214C" w:rsidRPr="007C5355" w:rsidRDefault="00B7214C" w:rsidP="00B7214C">
      <w:pPr>
        <w:spacing w:before="120" w:after="120"/>
        <w:jc w:val="both"/>
      </w:pPr>
      <w:r w:rsidRPr="007C5355">
        <w:t>Campani, G., M. Catani, S. Palidda, « Italian Immigrant Associ</w:t>
      </w:r>
      <w:r w:rsidRPr="007C5355">
        <w:t>a</w:t>
      </w:r>
      <w:r w:rsidRPr="007C5355">
        <w:t>tions in France », dans</w:t>
      </w:r>
      <w:r>
        <w:t xml:space="preserve"> </w:t>
      </w:r>
      <w:r w:rsidRPr="007C5355">
        <w:t>J.</w:t>
      </w:r>
      <w:r>
        <w:t xml:space="preserve"> </w:t>
      </w:r>
      <w:r w:rsidRPr="007C5355">
        <w:t xml:space="preserve">Rex, D. Joly, C. Wilpert, </w:t>
      </w:r>
      <w:r w:rsidRPr="007C5355">
        <w:rPr>
          <w:bCs/>
          <w:i/>
          <w:iCs/>
        </w:rPr>
        <w:t>Immigrant Ass</w:t>
      </w:r>
      <w:r w:rsidRPr="007C5355">
        <w:rPr>
          <w:bCs/>
          <w:i/>
          <w:iCs/>
        </w:rPr>
        <w:t>o</w:t>
      </w:r>
      <w:r w:rsidRPr="007C5355">
        <w:rPr>
          <w:bCs/>
          <w:i/>
          <w:iCs/>
        </w:rPr>
        <w:t>ciations in Europe,</w:t>
      </w:r>
      <w:r w:rsidRPr="007C5355">
        <w:t xml:space="preserve"> Gower, 1987.</w:t>
      </w:r>
    </w:p>
    <w:p w:rsidR="00B7214C" w:rsidRPr="007C5355" w:rsidRDefault="00B7214C" w:rsidP="00B7214C">
      <w:pPr>
        <w:spacing w:before="120" w:after="120"/>
        <w:jc w:val="both"/>
      </w:pPr>
      <w:r w:rsidRPr="007C5355">
        <w:rPr>
          <w:bCs/>
          <w:iCs/>
        </w:rPr>
        <w:t xml:space="preserve">Cappon, P., </w:t>
      </w:r>
      <w:r w:rsidRPr="007C5355">
        <w:rPr>
          <w:i/>
        </w:rPr>
        <w:t>Conflits entre les néo-Canadiens et les francophones de Montréal</w:t>
      </w:r>
      <w:r w:rsidRPr="007C5355">
        <w:t>,</w:t>
      </w:r>
      <w:r w:rsidRPr="007C5355">
        <w:rPr>
          <w:bCs/>
          <w:iCs/>
        </w:rPr>
        <w:t xml:space="preserve"> Québec, Presses de l'Université Laval, 1974.</w:t>
      </w:r>
    </w:p>
    <w:p w:rsidR="00B7214C" w:rsidRPr="007C5355" w:rsidRDefault="00B7214C" w:rsidP="00B7214C">
      <w:pPr>
        <w:spacing w:before="120" w:after="120"/>
        <w:jc w:val="both"/>
      </w:pPr>
      <w:r w:rsidRPr="007C5355">
        <w:t xml:space="preserve">Castles, S., H. Booth, T. Wallace, </w:t>
      </w:r>
      <w:r w:rsidRPr="007C5355">
        <w:rPr>
          <w:bCs/>
          <w:i/>
          <w:iCs/>
        </w:rPr>
        <w:t>Here for Good. Western Eur</w:t>
      </w:r>
      <w:r w:rsidRPr="007C5355">
        <w:rPr>
          <w:bCs/>
          <w:i/>
          <w:iCs/>
        </w:rPr>
        <w:t>o</w:t>
      </w:r>
      <w:r w:rsidRPr="007C5355">
        <w:rPr>
          <w:bCs/>
          <w:i/>
          <w:iCs/>
        </w:rPr>
        <w:t>pe</w:t>
      </w:r>
      <w:r>
        <w:rPr>
          <w:bCs/>
          <w:i/>
          <w:iCs/>
        </w:rPr>
        <w:t>’</w:t>
      </w:r>
      <w:r w:rsidRPr="007C5355">
        <w:rPr>
          <w:bCs/>
          <w:i/>
          <w:iCs/>
        </w:rPr>
        <w:t>s New Ethni</w:t>
      </w:r>
      <w:r>
        <w:rPr>
          <w:bCs/>
          <w:i/>
          <w:iCs/>
        </w:rPr>
        <w:t>c</w:t>
      </w:r>
      <w:r w:rsidRPr="007C5355">
        <w:rPr>
          <w:bCs/>
          <w:i/>
          <w:iCs/>
        </w:rPr>
        <w:t xml:space="preserve"> Minorities, </w:t>
      </w:r>
      <w:r w:rsidRPr="007C5355">
        <w:t>London, Pluto Press, 1984.</w:t>
      </w:r>
    </w:p>
    <w:p w:rsidR="00B7214C" w:rsidRPr="007C5355" w:rsidRDefault="00B7214C" w:rsidP="00B7214C">
      <w:pPr>
        <w:spacing w:before="120" w:after="120"/>
        <w:jc w:val="both"/>
      </w:pPr>
      <w:r w:rsidRPr="007C5355">
        <w:t xml:space="preserve">Castles, S., G. Kosack, </w:t>
      </w:r>
      <w:r w:rsidRPr="007C5355">
        <w:rPr>
          <w:bCs/>
          <w:i/>
          <w:iCs/>
        </w:rPr>
        <w:t>Immigrant Workers and Class Structure in We</w:t>
      </w:r>
      <w:r w:rsidRPr="007C5355">
        <w:rPr>
          <w:bCs/>
          <w:i/>
          <w:iCs/>
        </w:rPr>
        <w:t>s</w:t>
      </w:r>
      <w:r w:rsidRPr="007C5355">
        <w:rPr>
          <w:bCs/>
          <w:i/>
          <w:iCs/>
        </w:rPr>
        <w:t>tern Europe,</w:t>
      </w:r>
      <w:r w:rsidRPr="007C5355">
        <w:t xml:space="preserve"> London, Oxford University Press, 1973.</w:t>
      </w:r>
    </w:p>
    <w:p w:rsidR="00B7214C" w:rsidRPr="007C5355" w:rsidRDefault="00B7214C" w:rsidP="00B7214C">
      <w:pPr>
        <w:spacing w:before="120" w:after="120"/>
        <w:jc w:val="both"/>
      </w:pPr>
      <w:r w:rsidRPr="007C5355">
        <w:t>Catani, M., « Le transnational et les migrations. Individualis</w:t>
      </w:r>
      <w:r w:rsidRPr="007C5355">
        <w:t>a</w:t>
      </w:r>
      <w:r w:rsidRPr="007C5355">
        <w:t xml:space="preserve">tion et interaction entre systèmes de valeur ». </w:t>
      </w:r>
      <w:r w:rsidRPr="007C5355">
        <w:rPr>
          <w:bCs/>
          <w:i/>
          <w:iCs/>
        </w:rPr>
        <w:t>Peuples méditerranéens,</w:t>
      </w:r>
      <w:r>
        <w:t xml:space="preserve"> nos </w:t>
      </w:r>
      <w:r w:rsidRPr="007C5355">
        <w:t>35-36,</w:t>
      </w:r>
      <w:r>
        <w:t xml:space="preserve"> </w:t>
      </w:r>
      <w:r w:rsidRPr="007C5355">
        <w:t>1986.</w:t>
      </w:r>
    </w:p>
    <w:p w:rsidR="00B7214C" w:rsidRPr="007C5355" w:rsidRDefault="00B7214C" w:rsidP="00B7214C">
      <w:pPr>
        <w:spacing w:before="120" w:after="120"/>
        <w:jc w:val="both"/>
      </w:pPr>
      <w:r w:rsidRPr="007C5355">
        <w:t xml:space="preserve">Catani, M., S. Palidda, </w:t>
      </w:r>
      <w:r w:rsidRPr="007C5355">
        <w:rPr>
          <w:bCs/>
          <w:i/>
          <w:iCs/>
        </w:rPr>
        <w:t>Le rôle du mouvement associatif dans l'évol</w:t>
      </w:r>
      <w:r w:rsidRPr="007C5355">
        <w:rPr>
          <w:bCs/>
          <w:i/>
          <w:iCs/>
        </w:rPr>
        <w:t>u</w:t>
      </w:r>
      <w:r w:rsidRPr="007C5355">
        <w:rPr>
          <w:bCs/>
          <w:i/>
          <w:iCs/>
        </w:rPr>
        <w:t>tion des communautés immigrées,</w:t>
      </w:r>
      <w:r w:rsidRPr="007C5355">
        <w:t xml:space="preserve"> Paris, FAS, DPM, Ministère des A</w:t>
      </w:r>
      <w:r w:rsidRPr="007C5355">
        <w:t>f</w:t>
      </w:r>
      <w:r w:rsidRPr="007C5355">
        <w:t>faires sociales, 1987.</w:t>
      </w:r>
    </w:p>
    <w:p w:rsidR="00B7214C" w:rsidRPr="007C5355" w:rsidRDefault="00B7214C" w:rsidP="00B7214C">
      <w:pPr>
        <w:spacing w:before="120" w:after="120"/>
        <w:jc w:val="both"/>
      </w:pPr>
      <w:r w:rsidRPr="007C5355">
        <w:t>Crête, J., J. Zylberberg, « Une problématique floue : l'autorepr</w:t>
      </w:r>
      <w:r w:rsidRPr="007C5355">
        <w:t>é</w:t>
      </w:r>
      <w:r w:rsidRPr="007C5355">
        <w:t>sentation du citoyen au Québec », dans D. Colas, C. Emeri, J. Zylbe</w:t>
      </w:r>
      <w:r w:rsidRPr="007C5355">
        <w:t>r</w:t>
      </w:r>
      <w:r w:rsidRPr="007C5355">
        <w:t xml:space="preserve">berg, (dir.). </w:t>
      </w:r>
      <w:r w:rsidRPr="007C5355">
        <w:rPr>
          <w:bCs/>
          <w:i/>
          <w:iCs/>
        </w:rPr>
        <w:t>Citoyenneté et nationalité. Perspectives en France et au Québec,</w:t>
      </w:r>
      <w:r w:rsidRPr="007C5355">
        <w:t xml:space="preserve"> Paris, Presses universitaires de France, 1991.</w:t>
      </w:r>
    </w:p>
    <w:p w:rsidR="00B7214C" w:rsidRDefault="00B7214C" w:rsidP="00B7214C">
      <w:pPr>
        <w:spacing w:before="120" w:after="120"/>
        <w:jc w:val="both"/>
      </w:pPr>
      <w:r w:rsidRPr="007C5355">
        <w:t xml:space="preserve">Déjean, P., </w:t>
      </w:r>
      <w:hyperlink r:id="rId26" w:history="1">
        <w:r w:rsidRPr="007C5355">
          <w:rPr>
            <w:rStyle w:val="Lienhypertexte"/>
            <w:bCs/>
            <w:i/>
            <w:iCs/>
          </w:rPr>
          <w:t>Les Haïtiens au Québec</w:t>
        </w:r>
      </w:hyperlink>
      <w:r w:rsidRPr="007C5355">
        <w:rPr>
          <w:bCs/>
          <w:i/>
          <w:iCs/>
        </w:rPr>
        <w:t>,</w:t>
      </w:r>
      <w:r w:rsidRPr="007C5355">
        <w:t xml:space="preserve"> Montréal, Presses de l'Unive</w:t>
      </w:r>
      <w:r w:rsidRPr="007C5355">
        <w:t>r</w:t>
      </w:r>
      <w:r w:rsidRPr="007C5355">
        <w:t>sité du Québec, 1978.</w:t>
      </w:r>
    </w:p>
    <w:p w:rsidR="00B7214C" w:rsidRPr="003F6AC3" w:rsidRDefault="00B7214C" w:rsidP="00B7214C">
      <w:pPr>
        <w:spacing w:before="120" w:after="120"/>
        <w:jc w:val="both"/>
      </w:pPr>
      <w:r>
        <w:t>[68]</w:t>
      </w:r>
    </w:p>
    <w:p w:rsidR="00B7214C" w:rsidRPr="002A4FBA" w:rsidRDefault="00B7214C" w:rsidP="00B7214C">
      <w:pPr>
        <w:spacing w:before="120" w:after="120"/>
        <w:jc w:val="both"/>
      </w:pPr>
      <w:r w:rsidRPr="002A4FBA">
        <w:t xml:space="preserve">Delannoi, G., P. A. Taguieff, </w:t>
      </w:r>
      <w:r w:rsidRPr="002A4FBA">
        <w:rPr>
          <w:bCs/>
          <w:i/>
          <w:iCs/>
        </w:rPr>
        <w:t>Théories du nationalisme. Nation, nation</w:t>
      </w:r>
      <w:r w:rsidRPr="002A4FBA">
        <w:rPr>
          <w:bCs/>
          <w:i/>
          <w:iCs/>
        </w:rPr>
        <w:t>a</w:t>
      </w:r>
      <w:r w:rsidRPr="002A4FBA">
        <w:rPr>
          <w:bCs/>
          <w:i/>
          <w:iCs/>
        </w:rPr>
        <w:t>lité, ethnicité,</w:t>
      </w:r>
      <w:r w:rsidRPr="002A4FBA">
        <w:t xml:space="preserve"> Paris, Éditions Kimé, 1991.</w:t>
      </w:r>
    </w:p>
    <w:p w:rsidR="00B7214C" w:rsidRPr="002A4FBA" w:rsidRDefault="00B7214C" w:rsidP="00B7214C">
      <w:pPr>
        <w:spacing w:before="120" w:after="120"/>
        <w:jc w:val="both"/>
      </w:pPr>
      <w:r w:rsidRPr="002A4FBA">
        <w:t>De Rudder, V., « L'obstacle culturel : la différence et la dista</w:t>
      </w:r>
      <w:r w:rsidRPr="002A4FBA">
        <w:t>n</w:t>
      </w:r>
      <w:r w:rsidRPr="002A4FBA">
        <w:t xml:space="preserve">ce », </w:t>
      </w:r>
      <w:r w:rsidRPr="002A4FBA">
        <w:rPr>
          <w:bCs/>
          <w:i/>
          <w:iCs/>
        </w:rPr>
        <w:t xml:space="preserve">L'Homme et la société, </w:t>
      </w:r>
      <w:r w:rsidRPr="002A4FBA">
        <w:t>nos 77-78/1985</w:t>
      </w:r>
    </w:p>
    <w:p w:rsidR="00B7214C" w:rsidRPr="002A4FBA" w:rsidRDefault="00B7214C" w:rsidP="00B7214C">
      <w:pPr>
        <w:spacing w:before="120" w:after="120"/>
        <w:jc w:val="both"/>
      </w:pPr>
      <w:r w:rsidRPr="002A4FBA">
        <w:rPr>
          <w:bCs/>
          <w:i/>
          <w:iCs/>
        </w:rPr>
        <w:t xml:space="preserve">Deschamps, G., </w:t>
      </w:r>
      <w:r w:rsidRPr="002A4FBA">
        <w:t>Les communautés culturelles : identification et</w:t>
      </w:r>
      <w:r w:rsidRPr="002A4FBA">
        <w:t>h</w:t>
      </w:r>
      <w:r w:rsidRPr="002A4FBA">
        <w:t>nique, rapports avec la société francophone et compétence et usages li</w:t>
      </w:r>
      <w:r w:rsidRPr="002A4FBA">
        <w:t>n</w:t>
      </w:r>
      <w:r w:rsidRPr="002A4FBA">
        <w:t>guistiques,</w:t>
      </w:r>
      <w:r w:rsidRPr="002A4FBA">
        <w:rPr>
          <w:bCs/>
          <w:i/>
          <w:iCs/>
        </w:rPr>
        <w:t xml:space="preserve"> Québec, Ministère des Communautés culturelles et de l'Immigr</w:t>
      </w:r>
      <w:r w:rsidRPr="002A4FBA">
        <w:rPr>
          <w:bCs/>
          <w:i/>
          <w:iCs/>
        </w:rPr>
        <w:t>a</w:t>
      </w:r>
      <w:r w:rsidRPr="002A4FBA">
        <w:rPr>
          <w:bCs/>
          <w:i/>
          <w:iCs/>
        </w:rPr>
        <w:t>tion, Direction des études et de la recherche,</w:t>
      </w:r>
      <w:r w:rsidRPr="002A4FBA">
        <w:rPr>
          <w:bCs/>
          <w:iCs/>
        </w:rPr>
        <w:t xml:space="preserve"> </w:t>
      </w:r>
      <w:r w:rsidRPr="002A4FBA">
        <w:t>1990.</w:t>
      </w:r>
    </w:p>
    <w:p w:rsidR="00B7214C" w:rsidRPr="002A4FBA" w:rsidRDefault="00B7214C" w:rsidP="00B7214C">
      <w:pPr>
        <w:spacing w:before="120" w:after="120"/>
        <w:jc w:val="both"/>
      </w:pPr>
      <w:r w:rsidRPr="002A4FBA">
        <w:t>Dorais, L. J., « Refugee Adaptation and Community Struct</w:t>
      </w:r>
      <w:r w:rsidRPr="002A4FBA">
        <w:t>u</w:t>
      </w:r>
      <w:r w:rsidRPr="002A4FBA">
        <w:t xml:space="preserve">re : the Indochinese in Quebec City, Canada », </w:t>
      </w:r>
      <w:r w:rsidRPr="002A4FBA">
        <w:rPr>
          <w:bCs/>
          <w:i/>
          <w:iCs/>
        </w:rPr>
        <w:t>International Migration R</w:t>
      </w:r>
      <w:r w:rsidRPr="002A4FBA">
        <w:rPr>
          <w:bCs/>
          <w:i/>
          <w:iCs/>
        </w:rPr>
        <w:t>e</w:t>
      </w:r>
      <w:r w:rsidRPr="002A4FBA">
        <w:rPr>
          <w:bCs/>
          <w:i/>
          <w:iCs/>
        </w:rPr>
        <w:t>view,</w:t>
      </w:r>
      <w:r w:rsidRPr="002A4FBA">
        <w:t xml:space="preserve"> vol.</w:t>
      </w:r>
      <w:r>
        <w:t> </w:t>
      </w:r>
      <w:r w:rsidRPr="002A4FBA">
        <w:t>5, n°</w:t>
      </w:r>
      <w:r>
        <w:t> </w:t>
      </w:r>
      <w:r w:rsidRPr="002A4FBA">
        <w:t>3,</w:t>
      </w:r>
      <w:r>
        <w:t xml:space="preserve"> </w:t>
      </w:r>
      <w:r w:rsidRPr="002A4FBA">
        <w:t>1991.</w:t>
      </w:r>
    </w:p>
    <w:p w:rsidR="00B7214C" w:rsidRPr="002A4FBA" w:rsidRDefault="00B7214C" w:rsidP="00B7214C">
      <w:pPr>
        <w:spacing w:before="120" w:after="120"/>
        <w:jc w:val="both"/>
      </w:pPr>
      <w:r w:rsidRPr="002A4FBA">
        <w:t xml:space="preserve">Dorais, L. J., </w:t>
      </w:r>
      <w:r w:rsidRPr="002A4FBA">
        <w:rPr>
          <w:bCs/>
          <w:i/>
          <w:iCs/>
        </w:rPr>
        <w:t>Les associations vietnamiennes à Montréal,</w:t>
      </w:r>
      <w:r w:rsidRPr="002A4FBA">
        <w:t xml:space="preserve"> Québec, Un</w:t>
      </w:r>
      <w:r w:rsidRPr="002A4FBA">
        <w:t>i</w:t>
      </w:r>
      <w:r w:rsidRPr="002A4FBA">
        <w:t>versité Laval, Département d'anthropologie, 1990a.</w:t>
      </w:r>
    </w:p>
    <w:p w:rsidR="00B7214C" w:rsidRPr="002A4FBA" w:rsidRDefault="00B7214C" w:rsidP="00B7214C">
      <w:pPr>
        <w:spacing w:before="120" w:after="120"/>
        <w:jc w:val="both"/>
      </w:pPr>
      <w:r w:rsidRPr="002A4FBA">
        <w:t xml:space="preserve">Dorais, L. J., « Les réfugiés d'Asie du Sud-Est à Québec », dans I. Simon-Barouh, P.J. Simon (dir.), </w:t>
      </w:r>
      <w:r w:rsidRPr="002A4FBA">
        <w:rPr>
          <w:bCs/>
          <w:i/>
          <w:iCs/>
        </w:rPr>
        <w:t>Les étrangers dans la ville,</w:t>
      </w:r>
      <w:r w:rsidRPr="002A4FBA">
        <w:t xml:space="preserve"> Paris, L'Harmattan, 1990b.</w:t>
      </w:r>
    </w:p>
    <w:p w:rsidR="00B7214C" w:rsidRPr="002A4FBA" w:rsidRDefault="00B7214C" w:rsidP="00B7214C">
      <w:pPr>
        <w:spacing w:before="120" w:after="120"/>
        <w:jc w:val="both"/>
      </w:pPr>
      <w:r w:rsidRPr="002A4FBA">
        <w:t xml:space="preserve">Dorais, L. J., K. B. Chan, D. Indra, </w:t>
      </w:r>
      <w:r w:rsidRPr="002A4FBA">
        <w:rPr>
          <w:bCs/>
          <w:i/>
          <w:iCs/>
        </w:rPr>
        <w:t xml:space="preserve">Ten Years Later : Indochinese Communities in Canada, </w:t>
      </w:r>
      <w:r w:rsidRPr="002A4FBA">
        <w:t>Ottawa, Association canadienne des études asi</w:t>
      </w:r>
      <w:r w:rsidRPr="002A4FBA">
        <w:t>a</w:t>
      </w:r>
      <w:r w:rsidRPr="002A4FBA">
        <w:t>tiques, 1988.</w:t>
      </w:r>
    </w:p>
    <w:p w:rsidR="00B7214C" w:rsidRPr="002A4FBA" w:rsidRDefault="00B7214C" w:rsidP="00B7214C">
      <w:pPr>
        <w:spacing w:before="120" w:after="120"/>
        <w:jc w:val="both"/>
      </w:pPr>
      <w:r w:rsidRPr="002A4FBA">
        <w:t>Dumont, F., F. Harvey, « </w:t>
      </w:r>
      <w:hyperlink r:id="rId27" w:history="1">
        <w:r w:rsidRPr="008A7109">
          <w:rPr>
            <w:rStyle w:val="Lienhypertexte"/>
          </w:rPr>
          <w:t>La recherche sur la culture </w:t>
        </w:r>
      </w:hyperlink>
      <w:r w:rsidRPr="002A4FBA">
        <w:t xml:space="preserve">», </w:t>
      </w:r>
      <w:r w:rsidRPr="002A4FBA">
        <w:rPr>
          <w:bCs/>
          <w:i/>
          <w:iCs/>
        </w:rPr>
        <w:t>Reche</w:t>
      </w:r>
      <w:r w:rsidRPr="002A4FBA">
        <w:rPr>
          <w:bCs/>
          <w:i/>
          <w:iCs/>
        </w:rPr>
        <w:t>r</w:t>
      </w:r>
      <w:r w:rsidRPr="002A4FBA">
        <w:rPr>
          <w:bCs/>
          <w:i/>
          <w:iCs/>
        </w:rPr>
        <w:t>ches sociographiques,</w:t>
      </w:r>
      <w:r w:rsidRPr="002A4FBA">
        <w:t xml:space="preserve"> vol.</w:t>
      </w:r>
      <w:r>
        <w:t> </w:t>
      </w:r>
      <w:r w:rsidRPr="002A4FBA">
        <w:t>26, n</w:t>
      </w:r>
      <w:r>
        <w:t>os </w:t>
      </w:r>
      <w:r w:rsidRPr="002A4FBA">
        <w:t>1-2,</w:t>
      </w:r>
      <w:r>
        <w:t xml:space="preserve"> </w:t>
      </w:r>
      <w:r w:rsidRPr="002A4FBA">
        <w:t>1985.</w:t>
      </w:r>
    </w:p>
    <w:p w:rsidR="00B7214C" w:rsidRPr="002A4FBA" w:rsidRDefault="00B7214C" w:rsidP="00B7214C">
      <w:pPr>
        <w:spacing w:before="120" w:after="120"/>
        <w:jc w:val="both"/>
      </w:pPr>
      <w:r w:rsidRPr="002A4FBA">
        <w:t xml:space="preserve">Edwards, R. C., M. Reich, T. E. Weisskopf, </w:t>
      </w:r>
      <w:r w:rsidRPr="002A4FBA">
        <w:rPr>
          <w:bCs/>
          <w:i/>
          <w:iCs/>
        </w:rPr>
        <w:t>The Capitalist System,</w:t>
      </w:r>
      <w:r w:rsidRPr="002A4FBA">
        <w:t xml:space="preserve"> Englewood Cliffs, Prentice-Hall, 1972.</w:t>
      </w:r>
    </w:p>
    <w:p w:rsidR="00B7214C" w:rsidRPr="002A4FBA" w:rsidRDefault="00B7214C" w:rsidP="00B7214C">
      <w:pPr>
        <w:spacing w:before="120" w:after="120"/>
        <w:jc w:val="both"/>
      </w:pPr>
      <w:r>
        <w:t>Elazar, D. J., H. M. Waller</w:t>
      </w:r>
      <w:r w:rsidRPr="002A4FBA">
        <w:t xml:space="preserve">, </w:t>
      </w:r>
      <w:r w:rsidRPr="002A4FBA">
        <w:rPr>
          <w:bCs/>
          <w:i/>
          <w:iCs/>
        </w:rPr>
        <w:t>Maintaining Consensus. The Canadian J</w:t>
      </w:r>
      <w:r w:rsidRPr="002A4FBA">
        <w:rPr>
          <w:bCs/>
          <w:i/>
          <w:iCs/>
        </w:rPr>
        <w:t>e</w:t>
      </w:r>
      <w:r w:rsidRPr="002A4FBA">
        <w:rPr>
          <w:bCs/>
          <w:i/>
          <w:iCs/>
        </w:rPr>
        <w:t>wish Polity in the Postwar World,</w:t>
      </w:r>
      <w:r w:rsidRPr="002A4FBA">
        <w:t xml:space="preserve"> The Jérusalem Center for Public A</w:t>
      </w:r>
      <w:r w:rsidRPr="002A4FBA">
        <w:t>f</w:t>
      </w:r>
      <w:r w:rsidRPr="002A4FBA">
        <w:t>fairs, University Press of America, 1990.</w:t>
      </w:r>
    </w:p>
    <w:p w:rsidR="00B7214C" w:rsidRPr="002A4FBA" w:rsidRDefault="00B7214C" w:rsidP="00B7214C">
      <w:pPr>
        <w:spacing w:before="120" w:after="120"/>
        <w:jc w:val="both"/>
      </w:pPr>
      <w:r w:rsidRPr="002A4FBA">
        <w:t>Elbaz, M., « Les immigrants dans la cité : les sciences sociales et la question de l'Autre au Québec », Montréal, III</w:t>
      </w:r>
      <w:r w:rsidRPr="002A4FBA">
        <w:rPr>
          <w:vertAlign w:val="superscript"/>
        </w:rPr>
        <w:t>e</w:t>
      </w:r>
      <w:r w:rsidRPr="002A4FBA">
        <w:t xml:space="preserve"> Colloque du Regro</w:t>
      </w:r>
      <w:r w:rsidRPr="002A4FBA">
        <w:t>u</w:t>
      </w:r>
      <w:r w:rsidRPr="002A4FBA">
        <w:t>pement québécois des sciences sociales, 1990.</w:t>
      </w:r>
    </w:p>
    <w:p w:rsidR="00B7214C" w:rsidRPr="002A4FBA" w:rsidRDefault="00B7214C" w:rsidP="00B7214C">
      <w:pPr>
        <w:spacing w:before="120" w:after="120"/>
        <w:jc w:val="both"/>
      </w:pPr>
      <w:r w:rsidRPr="002A4FBA">
        <w:t>Elbaz, M., « D'immigrants à ethniques : analyse comparée des pr</w:t>
      </w:r>
      <w:r w:rsidRPr="002A4FBA">
        <w:t>a</w:t>
      </w:r>
      <w:r w:rsidRPr="002A4FBA">
        <w:t>tiques sociales et identitaires des Sépharades et Ashkénazes à Mo</w:t>
      </w:r>
      <w:r w:rsidRPr="002A4FBA">
        <w:t>n</w:t>
      </w:r>
      <w:r w:rsidRPr="002A4FBA">
        <w:t>t</w:t>
      </w:r>
      <w:r>
        <w:t>réal », dans J.C. Lasry, C. Ta</w:t>
      </w:r>
      <w:r w:rsidRPr="002A4FBA">
        <w:t xml:space="preserve">pia. </w:t>
      </w:r>
      <w:r w:rsidRPr="002A4FBA">
        <w:rPr>
          <w:bCs/>
          <w:i/>
          <w:iCs/>
        </w:rPr>
        <w:t>Les Juifs du Maghreb. Dia</w:t>
      </w:r>
      <w:r w:rsidRPr="002A4FBA">
        <w:rPr>
          <w:bCs/>
          <w:i/>
          <w:iCs/>
        </w:rPr>
        <w:t>s</w:t>
      </w:r>
      <w:r w:rsidRPr="002A4FBA">
        <w:rPr>
          <w:bCs/>
          <w:i/>
          <w:iCs/>
        </w:rPr>
        <w:t>poras contemporaines,</w:t>
      </w:r>
      <w:r w:rsidRPr="002A4FBA">
        <w:t xml:space="preserve"> Montréal et Paris, Presses de l'Université de Mo</w:t>
      </w:r>
      <w:r w:rsidRPr="002A4FBA">
        <w:t>n</w:t>
      </w:r>
      <w:r w:rsidRPr="002A4FBA">
        <w:t>tréal et L'Harmattan, 1989.</w:t>
      </w:r>
    </w:p>
    <w:p w:rsidR="00B7214C" w:rsidRPr="002A4FBA" w:rsidRDefault="00B7214C" w:rsidP="00B7214C">
      <w:pPr>
        <w:spacing w:before="120" w:after="120"/>
        <w:jc w:val="both"/>
      </w:pPr>
      <w:r w:rsidRPr="002A4FBA">
        <w:t>Elbaz, M., « </w:t>
      </w:r>
      <w:hyperlink r:id="rId28" w:history="1">
        <w:r w:rsidRPr="002A4FBA">
          <w:rPr>
            <w:rStyle w:val="Lienhypertexte"/>
          </w:rPr>
          <w:t>La question ethnique dans la sociologie québécoise : critiques et questions </w:t>
        </w:r>
      </w:hyperlink>
      <w:r w:rsidRPr="002A4FBA">
        <w:t xml:space="preserve">». </w:t>
      </w:r>
      <w:r w:rsidRPr="002A4FBA">
        <w:rPr>
          <w:bCs/>
          <w:i/>
          <w:iCs/>
        </w:rPr>
        <w:t>Anthropologie et sociétés,</w:t>
      </w:r>
      <w:r w:rsidRPr="002A4FBA">
        <w:t xml:space="preserve"> vol.</w:t>
      </w:r>
      <w:r>
        <w:t> </w:t>
      </w:r>
      <w:r w:rsidRPr="002A4FBA">
        <w:t>7, n°</w:t>
      </w:r>
      <w:r>
        <w:t> </w:t>
      </w:r>
      <w:r w:rsidRPr="002A4FBA">
        <w:t>2,</w:t>
      </w:r>
      <w:r>
        <w:t xml:space="preserve"> </w:t>
      </w:r>
      <w:r w:rsidRPr="002A4FBA">
        <w:t>1983.</w:t>
      </w:r>
    </w:p>
    <w:p w:rsidR="00B7214C" w:rsidRPr="002A4FBA" w:rsidRDefault="00B7214C" w:rsidP="00B7214C">
      <w:pPr>
        <w:spacing w:before="120" w:after="120"/>
        <w:jc w:val="both"/>
      </w:pPr>
      <w:r w:rsidRPr="002A4FBA">
        <w:t xml:space="preserve">Finkielkraut, A., </w:t>
      </w:r>
      <w:r w:rsidRPr="002A4FBA">
        <w:rPr>
          <w:bCs/>
          <w:i/>
          <w:iCs/>
        </w:rPr>
        <w:t>La défaite de la pensée,</w:t>
      </w:r>
      <w:r w:rsidRPr="002A4FBA">
        <w:t xml:space="preserve"> Paris, Gallimard, 1987.</w:t>
      </w:r>
    </w:p>
    <w:p w:rsidR="00B7214C" w:rsidRPr="002A4FBA" w:rsidRDefault="00B7214C" w:rsidP="00B7214C">
      <w:pPr>
        <w:spacing w:before="120" w:after="120"/>
        <w:jc w:val="both"/>
      </w:pPr>
      <w:r w:rsidRPr="002A4FBA">
        <w:t>Fontaine, L., Y. Shiose, « Ni Citoyens, ni Autres : la catégorie p</w:t>
      </w:r>
      <w:r w:rsidRPr="002A4FBA">
        <w:t>o</w:t>
      </w:r>
      <w:r w:rsidRPr="002A4FBA">
        <w:t>litique « Communautés culturelles », dans D. Colas, C. Emeri, J. Zy</w:t>
      </w:r>
      <w:r w:rsidRPr="002A4FBA">
        <w:t>l</w:t>
      </w:r>
      <w:r w:rsidRPr="002A4FBA">
        <w:t xml:space="preserve">berberg, (dir.). </w:t>
      </w:r>
      <w:r w:rsidRPr="002A4FBA">
        <w:rPr>
          <w:bCs/>
          <w:i/>
          <w:iCs/>
        </w:rPr>
        <w:t>Citoyenneté et nationalité. Perspectives en France et au Qu</w:t>
      </w:r>
      <w:r w:rsidRPr="002A4FBA">
        <w:rPr>
          <w:bCs/>
          <w:i/>
          <w:iCs/>
        </w:rPr>
        <w:t>é</w:t>
      </w:r>
      <w:r w:rsidRPr="002A4FBA">
        <w:rPr>
          <w:bCs/>
          <w:i/>
          <w:iCs/>
        </w:rPr>
        <w:t>bec,</w:t>
      </w:r>
      <w:r w:rsidRPr="002A4FBA">
        <w:t xml:space="preserve"> Paris, Presses universitaires de France,</w:t>
      </w:r>
      <w:r>
        <w:t xml:space="preserve"> </w:t>
      </w:r>
      <w:r w:rsidRPr="002A4FBA">
        <w:t>1991.</w:t>
      </w:r>
    </w:p>
    <w:p w:rsidR="00B7214C" w:rsidRPr="002A4FBA" w:rsidRDefault="00B7214C" w:rsidP="00B7214C">
      <w:pPr>
        <w:spacing w:before="120" w:after="120"/>
        <w:jc w:val="both"/>
      </w:pPr>
      <w:r w:rsidRPr="002A4FBA">
        <w:t>Gagné, M., « L'insertion de la population immigrée sur le ma</w:t>
      </w:r>
      <w:r w:rsidRPr="002A4FBA">
        <w:t>r</w:t>
      </w:r>
      <w:r w:rsidRPr="002A4FBA">
        <w:t>ché du travail au Québec.</w:t>
      </w:r>
      <w:r>
        <w:t xml:space="preserve"> </w:t>
      </w:r>
      <w:r w:rsidRPr="002A4FBA">
        <w:t>Éléments d'analyse de données de recens</w:t>
      </w:r>
      <w:r w:rsidRPr="002A4FBA">
        <w:t>e</w:t>
      </w:r>
      <w:r w:rsidRPr="002A4FBA">
        <w:t xml:space="preserve">ment », </w:t>
      </w:r>
      <w:r w:rsidRPr="002A4FBA">
        <w:rPr>
          <w:bCs/>
          <w:i/>
          <w:iCs/>
        </w:rPr>
        <w:t>Revue internation</w:t>
      </w:r>
      <w:r w:rsidRPr="002A4FBA">
        <w:rPr>
          <w:bCs/>
          <w:i/>
          <w:iCs/>
        </w:rPr>
        <w:t>a</w:t>
      </w:r>
      <w:r w:rsidRPr="002A4FBA">
        <w:rPr>
          <w:bCs/>
          <w:i/>
          <w:iCs/>
        </w:rPr>
        <w:t>le d'action communautaire,</w:t>
      </w:r>
      <w:r w:rsidRPr="002A4FBA">
        <w:t xml:space="preserve"> vol.</w:t>
      </w:r>
      <w:r>
        <w:t> </w:t>
      </w:r>
      <w:r w:rsidRPr="002A4FBA">
        <w:t>21, n°</w:t>
      </w:r>
      <w:r>
        <w:t> </w:t>
      </w:r>
      <w:r w:rsidRPr="002A4FBA">
        <w:t>61,</w:t>
      </w:r>
      <w:r>
        <w:t xml:space="preserve"> </w:t>
      </w:r>
      <w:r w:rsidRPr="002A4FBA">
        <w:t>1989.</w:t>
      </w:r>
    </w:p>
    <w:p w:rsidR="00B7214C" w:rsidRPr="002A4FBA" w:rsidRDefault="00B7214C" w:rsidP="00B7214C">
      <w:pPr>
        <w:spacing w:before="120" w:after="120"/>
        <w:jc w:val="both"/>
      </w:pPr>
      <w:r w:rsidRPr="002A4FBA">
        <w:t xml:space="preserve">Gans, H., « Symbolic Ethnicity : the Future of Ethnie Groups and Cultures in America », dans H. Gans </w:t>
      </w:r>
      <w:r w:rsidRPr="002A4FBA">
        <w:rPr>
          <w:bCs/>
          <w:i/>
          <w:iCs/>
        </w:rPr>
        <w:t>et al.</w:t>
      </w:r>
      <w:r w:rsidRPr="002A4FBA">
        <w:t xml:space="preserve"> (dir.), </w:t>
      </w:r>
      <w:r w:rsidRPr="002A4FBA">
        <w:rPr>
          <w:bCs/>
          <w:i/>
          <w:iCs/>
        </w:rPr>
        <w:t>On the Making of Amer</w:t>
      </w:r>
      <w:r w:rsidRPr="002A4FBA">
        <w:rPr>
          <w:bCs/>
          <w:i/>
          <w:iCs/>
        </w:rPr>
        <w:t>i</w:t>
      </w:r>
      <w:r w:rsidRPr="002A4FBA">
        <w:rPr>
          <w:bCs/>
          <w:i/>
          <w:iCs/>
        </w:rPr>
        <w:t>cans,</w:t>
      </w:r>
      <w:r w:rsidRPr="002A4FBA">
        <w:t xml:space="preserve"> University of Pennsylvania Press, 1979.</w:t>
      </w:r>
    </w:p>
    <w:p w:rsidR="00B7214C" w:rsidRDefault="00B7214C" w:rsidP="00B7214C">
      <w:pPr>
        <w:spacing w:before="120" w:after="120"/>
        <w:jc w:val="both"/>
      </w:pPr>
      <w:r w:rsidRPr="002A4FBA">
        <w:t xml:space="preserve">Gay, D., « Réflexions critiques sur les politiques ethniques du gouvernement fédéral canadien et du gouvernement du Québec », </w:t>
      </w:r>
      <w:r w:rsidRPr="002A4FBA">
        <w:rPr>
          <w:bCs/>
          <w:i/>
          <w:iCs/>
        </w:rPr>
        <w:t>R</w:t>
      </w:r>
      <w:r w:rsidRPr="002A4FBA">
        <w:rPr>
          <w:bCs/>
          <w:i/>
          <w:iCs/>
        </w:rPr>
        <w:t>e</w:t>
      </w:r>
      <w:r w:rsidRPr="002A4FBA">
        <w:rPr>
          <w:bCs/>
          <w:i/>
          <w:iCs/>
        </w:rPr>
        <w:t>vue internationale d'action communautaire,</w:t>
      </w:r>
      <w:r w:rsidRPr="002A4FBA">
        <w:t xml:space="preserve"> vol.</w:t>
      </w:r>
      <w:r>
        <w:t> </w:t>
      </w:r>
      <w:r w:rsidRPr="002A4FBA">
        <w:t>14, n°</w:t>
      </w:r>
      <w:r>
        <w:t> </w:t>
      </w:r>
      <w:r w:rsidRPr="002A4FBA">
        <w:t>54, 1985.</w:t>
      </w:r>
    </w:p>
    <w:p w:rsidR="00B7214C" w:rsidRPr="00482541" w:rsidRDefault="00B7214C" w:rsidP="00B7214C">
      <w:pPr>
        <w:spacing w:before="120" w:after="120"/>
        <w:jc w:val="both"/>
      </w:pPr>
      <w:r w:rsidRPr="00482541">
        <w:t>[69]</w:t>
      </w:r>
    </w:p>
    <w:p w:rsidR="00B7214C" w:rsidRPr="00482541" w:rsidRDefault="00B7214C" w:rsidP="00B7214C">
      <w:pPr>
        <w:spacing w:before="120" w:after="120"/>
        <w:jc w:val="both"/>
      </w:pPr>
      <w:r w:rsidRPr="00482541">
        <w:rPr>
          <w:bCs/>
          <w:iCs/>
        </w:rPr>
        <w:t xml:space="preserve">Gilroy, P., </w:t>
      </w:r>
      <w:r w:rsidRPr="00482541">
        <w:rPr>
          <w:i/>
        </w:rPr>
        <w:t>There ain't no Black in the Union Jack. The Cultural Pol</w:t>
      </w:r>
      <w:r w:rsidRPr="00482541">
        <w:rPr>
          <w:i/>
        </w:rPr>
        <w:t>i</w:t>
      </w:r>
      <w:r w:rsidRPr="00482541">
        <w:rPr>
          <w:i/>
        </w:rPr>
        <w:t>tics of Race and Nation</w:t>
      </w:r>
      <w:r w:rsidRPr="00482541">
        <w:t xml:space="preserve">, </w:t>
      </w:r>
      <w:r w:rsidRPr="00482541">
        <w:rPr>
          <w:bCs/>
          <w:iCs/>
        </w:rPr>
        <w:t>London, Hutchinson, 1987.</w:t>
      </w:r>
    </w:p>
    <w:p w:rsidR="00B7214C" w:rsidRPr="00482541" w:rsidRDefault="00B7214C" w:rsidP="00B7214C">
      <w:pPr>
        <w:spacing w:before="120" w:after="120"/>
        <w:jc w:val="both"/>
      </w:pPr>
      <w:r w:rsidRPr="00482541">
        <w:t xml:space="preserve">Glazer, N., D. Moynihan (dir.), </w:t>
      </w:r>
      <w:r w:rsidRPr="00482541">
        <w:rPr>
          <w:bCs/>
          <w:i/>
          <w:iCs/>
        </w:rPr>
        <w:t>Ethnicity. Theory and Exp</w:t>
      </w:r>
      <w:r>
        <w:rPr>
          <w:bCs/>
          <w:i/>
          <w:iCs/>
        </w:rPr>
        <w:t>e</w:t>
      </w:r>
      <w:r w:rsidRPr="00482541">
        <w:rPr>
          <w:bCs/>
          <w:i/>
          <w:iCs/>
        </w:rPr>
        <w:t>rience,</w:t>
      </w:r>
      <w:r w:rsidRPr="00482541">
        <w:t xml:space="preserve"> Cambridge, Harvard University Press, 1975.</w:t>
      </w:r>
    </w:p>
    <w:p w:rsidR="00B7214C" w:rsidRPr="00482541" w:rsidRDefault="00B7214C" w:rsidP="00B7214C">
      <w:pPr>
        <w:spacing w:before="120" w:after="120"/>
        <w:jc w:val="both"/>
      </w:pPr>
      <w:r w:rsidRPr="00482541">
        <w:rPr>
          <w:bCs/>
          <w:iCs/>
        </w:rPr>
        <w:t xml:space="preserve">Godin, G., </w:t>
      </w:r>
      <w:r w:rsidRPr="00482541">
        <w:rPr>
          <w:i/>
        </w:rPr>
        <w:t>Notes pour l'allocution de monsieur Gérald Godin, m</w:t>
      </w:r>
      <w:r w:rsidRPr="00482541">
        <w:rPr>
          <w:i/>
        </w:rPr>
        <w:t>i</w:t>
      </w:r>
      <w:r w:rsidRPr="00482541">
        <w:rPr>
          <w:i/>
        </w:rPr>
        <w:t>ni</w:t>
      </w:r>
      <w:r w:rsidRPr="00482541">
        <w:rPr>
          <w:i/>
        </w:rPr>
        <w:t>s</w:t>
      </w:r>
      <w:r w:rsidRPr="00482541">
        <w:rPr>
          <w:i/>
        </w:rPr>
        <w:t>tre des Communautés culturelles et de l'Immigration</w:t>
      </w:r>
      <w:r w:rsidRPr="00482541">
        <w:t>,</w:t>
      </w:r>
      <w:r w:rsidRPr="00482541">
        <w:rPr>
          <w:bCs/>
          <w:iCs/>
        </w:rPr>
        <w:t xml:space="preserve"> Winnipeg, Conf</w:t>
      </w:r>
      <w:r w:rsidRPr="00482541">
        <w:rPr>
          <w:bCs/>
          <w:iCs/>
        </w:rPr>
        <w:t>é</w:t>
      </w:r>
      <w:r w:rsidRPr="00482541">
        <w:rPr>
          <w:bCs/>
          <w:iCs/>
        </w:rPr>
        <w:t>rence fédérale-provinciale sur le multiculturalisme, 1985.</w:t>
      </w:r>
    </w:p>
    <w:p w:rsidR="00B7214C" w:rsidRPr="00482541" w:rsidRDefault="00B7214C" w:rsidP="00B7214C">
      <w:pPr>
        <w:spacing w:before="120" w:after="120"/>
        <w:jc w:val="both"/>
      </w:pPr>
      <w:r w:rsidRPr="00482541">
        <w:t xml:space="preserve">Goldstein, J. E., R. M. Bienvenue (dir.), </w:t>
      </w:r>
      <w:r w:rsidRPr="00482541">
        <w:rPr>
          <w:bCs/>
          <w:i/>
          <w:iCs/>
        </w:rPr>
        <w:t>Ethnicity and Ethni</w:t>
      </w:r>
      <w:r>
        <w:rPr>
          <w:bCs/>
          <w:i/>
          <w:iCs/>
        </w:rPr>
        <w:t>x</w:t>
      </w:r>
      <w:r w:rsidRPr="00482541">
        <w:rPr>
          <w:bCs/>
          <w:i/>
          <w:iCs/>
        </w:rPr>
        <w:t xml:space="preserve"> Rel</w:t>
      </w:r>
      <w:r w:rsidRPr="00482541">
        <w:rPr>
          <w:bCs/>
          <w:i/>
          <w:iCs/>
        </w:rPr>
        <w:t>a</w:t>
      </w:r>
      <w:r w:rsidRPr="00482541">
        <w:rPr>
          <w:bCs/>
          <w:i/>
          <w:iCs/>
        </w:rPr>
        <w:t>tions in Canada,</w:t>
      </w:r>
      <w:r w:rsidRPr="00482541">
        <w:t xml:space="preserve"> Toronto, Butterworths, 1980.</w:t>
      </w:r>
    </w:p>
    <w:p w:rsidR="00B7214C" w:rsidRPr="00482541" w:rsidRDefault="00B7214C" w:rsidP="00B7214C">
      <w:pPr>
        <w:spacing w:before="120" w:after="120"/>
        <w:jc w:val="both"/>
      </w:pPr>
      <w:r w:rsidRPr="00482541">
        <w:t xml:space="preserve">Gordon, M., </w:t>
      </w:r>
      <w:r w:rsidRPr="00482541">
        <w:rPr>
          <w:bCs/>
          <w:i/>
          <w:iCs/>
        </w:rPr>
        <w:t>Assimilation in American Life,</w:t>
      </w:r>
      <w:r w:rsidRPr="00482541">
        <w:t xml:space="preserve"> New York, Oxford Unive</w:t>
      </w:r>
      <w:r w:rsidRPr="00482541">
        <w:t>r</w:t>
      </w:r>
      <w:r w:rsidRPr="00482541">
        <w:t>sity Press, 1964.</w:t>
      </w:r>
    </w:p>
    <w:p w:rsidR="00B7214C" w:rsidRPr="00482541" w:rsidRDefault="00B7214C" w:rsidP="00B7214C">
      <w:pPr>
        <w:spacing w:before="120" w:after="120"/>
        <w:jc w:val="both"/>
      </w:pPr>
      <w:r w:rsidRPr="00482541">
        <w:t>Goulbourne, H., « La mobilisation ethnique et les minorités d'or</w:t>
      </w:r>
      <w:r w:rsidRPr="00482541">
        <w:t>i</w:t>
      </w:r>
      <w:r w:rsidRPr="00482541">
        <w:t xml:space="preserve">gine asiatique et caraïbe », </w:t>
      </w:r>
      <w:r w:rsidRPr="00482541">
        <w:rPr>
          <w:bCs/>
          <w:i/>
          <w:iCs/>
        </w:rPr>
        <w:t>Nouvelles pratiques sociales,</w:t>
      </w:r>
      <w:r w:rsidRPr="00482541">
        <w:t xml:space="preserve"> vol.</w:t>
      </w:r>
      <w:r>
        <w:t> </w:t>
      </w:r>
      <w:r w:rsidRPr="00482541">
        <w:t>5, n°</w:t>
      </w:r>
      <w:r>
        <w:t> </w:t>
      </w:r>
      <w:r w:rsidRPr="00482541">
        <w:t>2,</w:t>
      </w:r>
      <w:r>
        <w:t xml:space="preserve"> </w:t>
      </w:r>
      <w:r w:rsidRPr="00482541">
        <w:t>1992.</w:t>
      </w:r>
    </w:p>
    <w:p w:rsidR="00B7214C" w:rsidRPr="00482541" w:rsidRDefault="00B7214C" w:rsidP="00B7214C">
      <w:pPr>
        <w:spacing w:before="120" w:after="120"/>
        <w:jc w:val="both"/>
      </w:pPr>
      <w:r w:rsidRPr="00482541">
        <w:t>Goulbourne, H., « Varieties of Pluralism : the Notion of a Pl</w:t>
      </w:r>
      <w:r w:rsidRPr="00482541">
        <w:t>u</w:t>
      </w:r>
      <w:r w:rsidRPr="00482541">
        <w:t>ralist Post-Imp</w:t>
      </w:r>
      <w:r>
        <w:t>e</w:t>
      </w:r>
      <w:r w:rsidRPr="00482541">
        <w:t xml:space="preserve">rial Britain », </w:t>
      </w:r>
      <w:r w:rsidRPr="00482541">
        <w:rPr>
          <w:bCs/>
          <w:i/>
          <w:iCs/>
        </w:rPr>
        <w:t>New Community,</w:t>
      </w:r>
      <w:r w:rsidRPr="00482541">
        <w:t xml:space="preserve"> vol.</w:t>
      </w:r>
      <w:r>
        <w:t> </w:t>
      </w:r>
      <w:r w:rsidRPr="00482541">
        <w:t>17, n°</w:t>
      </w:r>
      <w:r>
        <w:t> </w:t>
      </w:r>
      <w:r w:rsidRPr="00482541">
        <w:t>2,</w:t>
      </w:r>
      <w:r>
        <w:t xml:space="preserve"> </w:t>
      </w:r>
      <w:r w:rsidRPr="00482541">
        <w:t>1991.</w:t>
      </w:r>
    </w:p>
    <w:p w:rsidR="00B7214C" w:rsidRPr="00482541" w:rsidRDefault="00B7214C" w:rsidP="00B7214C">
      <w:pPr>
        <w:spacing w:before="120" w:after="120"/>
        <w:jc w:val="both"/>
      </w:pPr>
      <w:r w:rsidRPr="00482541">
        <w:t>Goulbourne, H., « New Issues in Black Politics », Paper pr</w:t>
      </w:r>
      <w:r w:rsidRPr="00482541">
        <w:t>e</w:t>
      </w:r>
      <w:r w:rsidRPr="00482541">
        <w:t xml:space="preserve">sented for </w:t>
      </w:r>
      <w:r w:rsidRPr="00482541">
        <w:rPr>
          <w:bCs/>
          <w:i/>
          <w:iCs/>
        </w:rPr>
        <w:t>La recomposition des espaces sociaux : migrations, réseaux, dia</w:t>
      </w:r>
      <w:r w:rsidRPr="00482541">
        <w:rPr>
          <w:bCs/>
          <w:i/>
          <w:iCs/>
        </w:rPr>
        <w:t>s</w:t>
      </w:r>
      <w:r w:rsidRPr="00482541">
        <w:rPr>
          <w:bCs/>
          <w:i/>
          <w:iCs/>
        </w:rPr>
        <w:t>poras,</w:t>
      </w:r>
      <w:r w:rsidRPr="00482541">
        <w:t xml:space="preserve"> P</w:t>
      </w:r>
      <w:r w:rsidRPr="00482541">
        <w:t>a</w:t>
      </w:r>
      <w:r w:rsidRPr="00482541">
        <w:t>ris, ERENI-CNRS, CHRYSEIS, 1991.</w:t>
      </w:r>
    </w:p>
    <w:p w:rsidR="00B7214C" w:rsidRPr="00482541" w:rsidRDefault="00B7214C" w:rsidP="00B7214C">
      <w:pPr>
        <w:spacing w:before="120" w:after="120"/>
        <w:jc w:val="both"/>
      </w:pPr>
      <w:r w:rsidRPr="00482541">
        <w:t xml:space="preserve">Hacker, A., </w:t>
      </w:r>
      <w:r w:rsidRPr="00482541">
        <w:rPr>
          <w:bCs/>
          <w:i/>
          <w:iCs/>
        </w:rPr>
        <w:t>Two Nations ; Black and White. Hostile, Separate and Un</w:t>
      </w:r>
      <w:r w:rsidRPr="00482541">
        <w:rPr>
          <w:bCs/>
          <w:i/>
          <w:iCs/>
        </w:rPr>
        <w:t>e</w:t>
      </w:r>
      <w:r w:rsidRPr="00482541">
        <w:rPr>
          <w:bCs/>
          <w:i/>
          <w:iCs/>
        </w:rPr>
        <w:t>qual,</w:t>
      </w:r>
      <w:r w:rsidRPr="00482541">
        <w:t xml:space="preserve"> New York, Maxwell Macmillan International, 1992.</w:t>
      </w:r>
    </w:p>
    <w:p w:rsidR="00B7214C" w:rsidRPr="00482541" w:rsidRDefault="00B7214C" w:rsidP="00B7214C">
      <w:pPr>
        <w:spacing w:before="120" w:after="120"/>
        <w:jc w:val="both"/>
      </w:pPr>
      <w:r w:rsidRPr="00482541">
        <w:t xml:space="preserve">Hayot, A., « Immigrants et formation sociale : appartenance de classe et identité ethnique dans l'analyse de modes de vie », </w:t>
      </w:r>
      <w:r w:rsidRPr="00482541">
        <w:rPr>
          <w:bCs/>
          <w:i/>
          <w:iCs/>
        </w:rPr>
        <w:t>Greco 13, Recherches sur les migrations internationales,</w:t>
      </w:r>
      <w:r w:rsidRPr="00482541">
        <w:t xml:space="preserve"> n°</w:t>
      </w:r>
      <w:r>
        <w:t> </w:t>
      </w:r>
      <w:r w:rsidRPr="00482541">
        <w:t>1,</w:t>
      </w:r>
      <w:r>
        <w:t xml:space="preserve"> </w:t>
      </w:r>
      <w:r w:rsidRPr="00482541">
        <w:t>1980.</w:t>
      </w:r>
    </w:p>
    <w:p w:rsidR="00B7214C" w:rsidRPr="00482541" w:rsidRDefault="00B7214C" w:rsidP="00B7214C">
      <w:pPr>
        <w:spacing w:before="120" w:after="120"/>
        <w:jc w:val="both"/>
      </w:pPr>
      <w:r w:rsidRPr="00482541">
        <w:t>Heckmann, F., « Nation, État-nation et politique à l'égard des m</w:t>
      </w:r>
      <w:r w:rsidRPr="00482541">
        <w:t>i</w:t>
      </w:r>
      <w:r w:rsidRPr="00482541">
        <w:t xml:space="preserve">norités ethniques », dans B. Lewis, D. Schnapper, (dir.). </w:t>
      </w:r>
      <w:r w:rsidRPr="00482541">
        <w:rPr>
          <w:bCs/>
          <w:i/>
          <w:iCs/>
        </w:rPr>
        <w:t>Musu</w:t>
      </w:r>
      <w:r w:rsidRPr="00482541">
        <w:rPr>
          <w:bCs/>
          <w:i/>
          <w:iCs/>
        </w:rPr>
        <w:t>l</w:t>
      </w:r>
      <w:r w:rsidRPr="00482541">
        <w:rPr>
          <w:bCs/>
          <w:i/>
          <w:iCs/>
        </w:rPr>
        <w:t>mans en Europe,</w:t>
      </w:r>
      <w:r w:rsidRPr="00482541">
        <w:t xml:space="preserve"> Paris, Acte Sud, 1992.</w:t>
      </w:r>
    </w:p>
    <w:p w:rsidR="00B7214C" w:rsidRPr="00482541" w:rsidRDefault="00B7214C" w:rsidP="00B7214C">
      <w:pPr>
        <w:spacing w:before="120" w:after="120"/>
        <w:jc w:val="both"/>
      </w:pPr>
      <w:r w:rsidRPr="00482541">
        <w:t>Hechter, M., « Group Formation and the Cultural Division of L</w:t>
      </w:r>
      <w:r w:rsidRPr="00482541">
        <w:t>a</w:t>
      </w:r>
      <w:r w:rsidRPr="00482541">
        <w:t xml:space="preserve">bor », </w:t>
      </w:r>
      <w:r w:rsidRPr="00482541">
        <w:rPr>
          <w:bCs/>
          <w:i/>
          <w:iCs/>
        </w:rPr>
        <w:t>American Journal of</w:t>
      </w:r>
      <w:r>
        <w:rPr>
          <w:bCs/>
          <w:i/>
          <w:iCs/>
        </w:rPr>
        <w:t xml:space="preserve"> </w:t>
      </w:r>
      <w:r w:rsidRPr="00482541">
        <w:rPr>
          <w:bCs/>
          <w:i/>
          <w:iCs/>
        </w:rPr>
        <w:t>Sociology,</w:t>
      </w:r>
      <w:r w:rsidRPr="00482541">
        <w:t xml:space="preserve"> vol.</w:t>
      </w:r>
      <w:r>
        <w:t> </w:t>
      </w:r>
      <w:r w:rsidRPr="00482541">
        <w:t>84, n°</w:t>
      </w:r>
      <w:r>
        <w:t> </w:t>
      </w:r>
      <w:r w:rsidRPr="00482541">
        <w:t>2,</w:t>
      </w:r>
      <w:r>
        <w:t xml:space="preserve"> </w:t>
      </w:r>
      <w:r w:rsidRPr="00482541">
        <w:t>1978.</w:t>
      </w:r>
    </w:p>
    <w:p w:rsidR="00B7214C" w:rsidRPr="00FE7298" w:rsidRDefault="00B7214C" w:rsidP="00B7214C">
      <w:pPr>
        <w:spacing w:before="120" w:after="120"/>
        <w:jc w:val="both"/>
      </w:pPr>
      <w:r w:rsidRPr="00FE7298">
        <w:rPr>
          <w:bCs/>
          <w:iCs/>
        </w:rPr>
        <w:t xml:space="preserve">Herberg, E. N., </w:t>
      </w:r>
      <w:r w:rsidRPr="00FE7298">
        <w:rPr>
          <w:i/>
        </w:rPr>
        <w:t>Ethnic Groups in Canada. Adaptations and Trans</w:t>
      </w:r>
      <w:r w:rsidRPr="00FE7298">
        <w:rPr>
          <w:i/>
        </w:rPr>
        <w:t>i</w:t>
      </w:r>
      <w:r w:rsidRPr="00FE7298">
        <w:rPr>
          <w:i/>
        </w:rPr>
        <w:t>tions</w:t>
      </w:r>
      <w:r w:rsidRPr="00FE7298">
        <w:t>,</w:t>
      </w:r>
      <w:r w:rsidRPr="00FE7298">
        <w:rPr>
          <w:bCs/>
          <w:iCs/>
        </w:rPr>
        <w:t xml:space="preserve"> Toronto, Nelson Canada, 1989.</w:t>
      </w:r>
    </w:p>
    <w:p w:rsidR="00B7214C" w:rsidRPr="00482541" w:rsidRDefault="00B7214C" w:rsidP="00B7214C">
      <w:pPr>
        <w:spacing w:before="120" w:after="120"/>
        <w:jc w:val="both"/>
      </w:pPr>
      <w:r w:rsidRPr="00482541">
        <w:t xml:space="preserve">Higham, J. (dir.). </w:t>
      </w:r>
      <w:r w:rsidRPr="00482541">
        <w:rPr>
          <w:bCs/>
          <w:i/>
          <w:iCs/>
        </w:rPr>
        <w:t>Ethni</w:t>
      </w:r>
      <w:r>
        <w:rPr>
          <w:bCs/>
          <w:i/>
          <w:iCs/>
        </w:rPr>
        <w:t>c</w:t>
      </w:r>
      <w:r w:rsidRPr="00482541">
        <w:rPr>
          <w:bCs/>
          <w:i/>
          <w:iCs/>
        </w:rPr>
        <w:t xml:space="preserve"> Leadership in America,</w:t>
      </w:r>
      <w:r w:rsidRPr="00482541">
        <w:t xml:space="preserve"> Baltimore and Lo</w:t>
      </w:r>
      <w:r w:rsidRPr="00482541">
        <w:t>n</w:t>
      </w:r>
      <w:r w:rsidRPr="00482541">
        <w:t>don, John Hopkins University Press, 1978.</w:t>
      </w:r>
    </w:p>
    <w:p w:rsidR="00B7214C" w:rsidRPr="00482541" w:rsidRDefault="00B7214C" w:rsidP="00B7214C">
      <w:pPr>
        <w:spacing w:before="120" w:after="120"/>
        <w:jc w:val="both"/>
      </w:pPr>
      <w:r w:rsidRPr="00482541">
        <w:t>Indra, D., « Bureaucratie Constraints, Middlemen and Co</w:t>
      </w:r>
      <w:r w:rsidRPr="00482541">
        <w:t>m</w:t>
      </w:r>
      <w:r w:rsidRPr="00482541">
        <w:t>munity Organization : Aspects of the Political Incorporation of Southeast Asians in Canada », dans</w:t>
      </w:r>
      <w:r>
        <w:t xml:space="preserve"> </w:t>
      </w:r>
      <w:r w:rsidRPr="00482541">
        <w:rPr>
          <w:bCs/>
          <w:iCs/>
        </w:rPr>
        <w:t xml:space="preserve">K.B. Chan, D. Indra (dir.), </w:t>
      </w:r>
      <w:r w:rsidRPr="00482541">
        <w:rPr>
          <w:i/>
        </w:rPr>
        <w:t>Uprooting, Loss and Adaptation. The R</w:t>
      </w:r>
      <w:r w:rsidRPr="00482541">
        <w:rPr>
          <w:i/>
        </w:rPr>
        <w:t>e</w:t>
      </w:r>
      <w:r w:rsidRPr="00482541">
        <w:rPr>
          <w:i/>
        </w:rPr>
        <w:t>settlement of Indochinese Refugees in Canada</w:t>
      </w:r>
      <w:r w:rsidRPr="00482541">
        <w:t>,</w:t>
      </w:r>
      <w:r w:rsidRPr="00482541">
        <w:rPr>
          <w:bCs/>
          <w:iCs/>
        </w:rPr>
        <w:t xml:space="preserve"> Ottawa, Canadian Public Health Association, 1987.</w:t>
      </w:r>
    </w:p>
    <w:p w:rsidR="00B7214C" w:rsidRPr="00482541" w:rsidRDefault="00B7214C" w:rsidP="00B7214C">
      <w:pPr>
        <w:spacing w:before="120" w:after="120"/>
        <w:jc w:val="both"/>
      </w:pPr>
      <w:r w:rsidRPr="00482541">
        <w:t>Jenkins, R. « Social Anthropological Models of Inter-Ethni</w:t>
      </w:r>
      <w:r>
        <w:t>c</w:t>
      </w:r>
      <w:r w:rsidRPr="00482541">
        <w:t xml:space="preserve"> Rel</w:t>
      </w:r>
      <w:r w:rsidRPr="00482541">
        <w:t>a</w:t>
      </w:r>
      <w:r w:rsidRPr="00482541">
        <w:t>tions », dans J. Rex,</w:t>
      </w:r>
      <w:r>
        <w:t xml:space="preserve"> </w:t>
      </w:r>
      <w:r w:rsidRPr="00482541">
        <w:t xml:space="preserve">Mason (dir.). </w:t>
      </w:r>
      <w:r w:rsidRPr="00482541">
        <w:rPr>
          <w:bCs/>
          <w:i/>
          <w:iCs/>
        </w:rPr>
        <w:t>Th</w:t>
      </w:r>
      <w:r>
        <w:rPr>
          <w:bCs/>
          <w:i/>
          <w:iCs/>
        </w:rPr>
        <w:t>e</w:t>
      </w:r>
      <w:r w:rsidRPr="00482541">
        <w:rPr>
          <w:bCs/>
          <w:i/>
          <w:iCs/>
        </w:rPr>
        <w:t>ories of Race and Ethni</w:t>
      </w:r>
      <w:r>
        <w:rPr>
          <w:bCs/>
          <w:i/>
          <w:iCs/>
        </w:rPr>
        <w:t>c</w:t>
      </w:r>
      <w:r w:rsidRPr="00482541">
        <w:rPr>
          <w:bCs/>
          <w:i/>
          <w:iCs/>
        </w:rPr>
        <w:t xml:space="preserve"> Rel</w:t>
      </w:r>
      <w:r w:rsidRPr="00482541">
        <w:rPr>
          <w:bCs/>
          <w:i/>
          <w:iCs/>
        </w:rPr>
        <w:t>a</w:t>
      </w:r>
      <w:r w:rsidRPr="00482541">
        <w:rPr>
          <w:bCs/>
          <w:i/>
          <w:iCs/>
        </w:rPr>
        <w:t>tions,</w:t>
      </w:r>
      <w:r w:rsidRPr="00482541">
        <w:t xml:space="preserve"> Cambridge, Ca</w:t>
      </w:r>
      <w:r w:rsidRPr="00482541">
        <w:t>m</w:t>
      </w:r>
      <w:r w:rsidRPr="00482541">
        <w:t>bridge University Press, 1988.</w:t>
      </w:r>
    </w:p>
    <w:p w:rsidR="00B7214C" w:rsidRPr="00482541" w:rsidRDefault="00B7214C" w:rsidP="00B7214C">
      <w:pPr>
        <w:spacing w:before="120" w:after="120"/>
        <w:jc w:val="both"/>
      </w:pPr>
      <w:r w:rsidRPr="00482541">
        <w:t xml:space="preserve">Juteau, D., « L'étude des relations ethniques dans la sociologie québécoise francophone », dans I. Simon-Barouh, P.J. Simon (dir.), </w:t>
      </w:r>
      <w:r w:rsidRPr="00482541">
        <w:rPr>
          <w:bCs/>
          <w:i/>
          <w:iCs/>
        </w:rPr>
        <w:t>Les étrangers dans la ville,</w:t>
      </w:r>
      <w:r w:rsidRPr="00482541">
        <w:t xml:space="preserve"> Paris, L'Harmattan, 1990.</w:t>
      </w:r>
    </w:p>
    <w:p w:rsidR="00B7214C" w:rsidRDefault="00B7214C" w:rsidP="00B7214C">
      <w:pPr>
        <w:spacing w:before="120" w:after="120"/>
        <w:jc w:val="both"/>
      </w:pPr>
      <w:r w:rsidRPr="00482541">
        <w:t>Juteau, D., « L'État et les immigrés : de l'immigration aux comm</w:t>
      </w:r>
      <w:r w:rsidRPr="00482541">
        <w:t>u</w:t>
      </w:r>
      <w:r w:rsidRPr="00482541">
        <w:t xml:space="preserve">nautés culturelles » dans P. Guillaume, J.M. Lacroix, J. Zylberberg, (dir.). </w:t>
      </w:r>
      <w:r w:rsidRPr="00482541">
        <w:rPr>
          <w:bCs/>
          <w:i/>
          <w:iCs/>
        </w:rPr>
        <w:t>Minorités et État,</w:t>
      </w:r>
      <w:r w:rsidRPr="00482541">
        <w:t xml:space="preserve"> Québec, Presses de l'Université Laval, 1986.</w:t>
      </w:r>
    </w:p>
    <w:p w:rsidR="00B7214C" w:rsidRPr="003F6AC3" w:rsidRDefault="00B7214C" w:rsidP="00B7214C">
      <w:pPr>
        <w:spacing w:before="120" w:after="120"/>
        <w:jc w:val="both"/>
      </w:pPr>
      <w:r>
        <w:t>[70]</w:t>
      </w:r>
    </w:p>
    <w:p w:rsidR="00B7214C" w:rsidRPr="00482541" w:rsidRDefault="00B7214C" w:rsidP="00B7214C">
      <w:pPr>
        <w:spacing w:before="120" w:after="120"/>
        <w:jc w:val="both"/>
      </w:pPr>
      <w:r w:rsidRPr="00482541">
        <w:t>Labelle, M., M. Therrien, J. Lévy, « Ethnicité et mouvement ass</w:t>
      </w:r>
      <w:r w:rsidRPr="00482541">
        <w:t>o</w:t>
      </w:r>
      <w:r w:rsidRPr="00482541">
        <w:t xml:space="preserve">ciatif. Perspectives de leaders d'associations ethniques de la région de Montréal », </w:t>
      </w:r>
      <w:r w:rsidRPr="00482541">
        <w:rPr>
          <w:bCs/>
          <w:i/>
          <w:iCs/>
        </w:rPr>
        <w:t>Revue européenne des migrations internationales,</w:t>
      </w:r>
      <w:r w:rsidRPr="00482541">
        <w:t xml:space="preserve"> 1994 (à par</w:t>
      </w:r>
      <w:r w:rsidRPr="00482541">
        <w:t>a</w:t>
      </w:r>
      <w:r w:rsidRPr="00482541">
        <w:t>ître).</w:t>
      </w:r>
    </w:p>
    <w:p w:rsidR="00B7214C" w:rsidRPr="00482541" w:rsidRDefault="00B7214C" w:rsidP="00B7214C">
      <w:pPr>
        <w:spacing w:before="120" w:after="120"/>
        <w:jc w:val="both"/>
      </w:pPr>
      <w:r w:rsidRPr="00482541">
        <w:t>Labelle, M., G. Beaudet, F. Tardif, J. Lévy, « La question n</w:t>
      </w:r>
      <w:r w:rsidRPr="00482541">
        <w:t>a</w:t>
      </w:r>
      <w:r w:rsidRPr="00482541">
        <w:t xml:space="preserve">tionale dans le discours de leaders d'associations ethniques de la région de Montréal », </w:t>
      </w:r>
      <w:r w:rsidRPr="00482541">
        <w:rPr>
          <w:bCs/>
          <w:i/>
          <w:iCs/>
        </w:rPr>
        <w:t>Cahiers de recherche sociologique,</w:t>
      </w:r>
      <w:r w:rsidRPr="00482541">
        <w:t xml:space="preserve"> n°</w:t>
      </w:r>
      <w:r>
        <w:t> </w:t>
      </w:r>
      <w:r w:rsidRPr="00482541">
        <w:t>20,</w:t>
      </w:r>
      <w:r>
        <w:t xml:space="preserve"> </w:t>
      </w:r>
      <w:r w:rsidRPr="00482541">
        <w:t>1993.</w:t>
      </w:r>
    </w:p>
    <w:p w:rsidR="00B7214C" w:rsidRPr="00482541" w:rsidRDefault="00B7214C" w:rsidP="00B7214C">
      <w:pPr>
        <w:spacing w:before="120" w:after="120"/>
        <w:jc w:val="both"/>
      </w:pPr>
      <w:r w:rsidRPr="00482541">
        <w:t xml:space="preserve">Labelle, M., M. Therrien, « Le mouvement associatif haïtien au Québec et le discours de leaders ». </w:t>
      </w:r>
      <w:r w:rsidRPr="00482541">
        <w:rPr>
          <w:bCs/>
          <w:i/>
          <w:iCs/>
        </w:rPr>
        <w:t>Nouvelles pratiques sociales,</w:t>
      </w:r>
      <w:r w:rsidRPr="00482541">
        <w:t xml:space="preserve"> vol.</w:t>
      </w:r>
      <w:r>
        <w:t> </w:t>
      </w:r>
      <w:r w:rsidRPr="00482541">
        <w:t>5, n°</w:t>
      </w:r>
      <w:r>
        <w:t> </w:t>
      </w:r>
      <w:r w:rsidRPr="00482541">
        <w:t>2,</w:t>
      </w:r>
      <w:r>
        <w:t xml:space="preserve"> </w:t>
      </w:r>
      <w:r w:rsidRPr="00482541">
        <w:t>1992.</w:t>
      </w:r>
    </w:p>
    <w:p w:rsidR="00B7214C" w:rsidRPr="00482541" w:rsidRDefault="00B7214C" w:rsidP="00B7214C">
      <w:pPr>
        <w:spacing w:before="120" w:after="120"/>
        <w:jc w:val="both"/>
      </w:pPr>
      <w:r w:rsidRPr="00482541">
        <w:t>Labelle, M., « Pluralité ethnoculturelle et pluralisme au Qu</w:t>
      </w:r>
      <w:r w:rsidRPr="00482541">
        <w:t>é</w:t>
      </w:r>
      <w:r w:rsidRPr="00482541">
        <w:t xml:space="preserve">bec », dans A. Gagnon, F. Rocher, (dir.). </w:t>
      </w:r>
      <w:r w:rsidRPr="00482541">
        <w:rPr>
          <w:bCs/>
          <w:i/>
          <w:iCs/>
        </w:rPr>
        <w:t>Les obstacles à la souveraineté. Les r</w:t>
      </w:r>
      <w:r w:rsidRPr="00482541">
        <w:rPr>
          <w:bCs/>
          <w:i/>
          <w:iCs/>
        </w:rPr>
        <w:t>é</w:t>
      </w:r>
      <w:r w:rsidRPr="00482541">
        <w:rPr>
          <w:bCs/>
          <w:i/>
          <w:iCs/>
        </w:rPr>
        <w:t>ponses des experts,</w:t>
      </w:r>
      <w:r w:rsidRPr="00482541">
        <w:t xml:space="preserve"> Montréal, 1992.</w:t>
      </w:r>
    </w:p>
    <w:p w:rsidR="00B7214C" w:rsidRPr="00482541" w:rsidRDefault="00B7214C" w:rsidP="00B7214C">
      <w:pPr>
        <w:spacing w:before="120" w:after="120"/>
        <w:jc w:val="both"/>
      </w:pPr>
      <w:r w:rsidRPr="00482541">
        <w:t xml:space="preserve">Labelle, M., « Politique d'immigration, politique d'intégration, identité du Québec », dans </w:t>
      </w:r>
      <w:r w:rsidRPr="00482541">
        <w:rPr>
          <w:bCs/>
          <w:i/>
          <w:iCs/>
        </w:rPr>
        <w:t>Les avis des spécialistes invités à répondre aux huit questions posées par la Commission,</w:t>
      </w:r>
      <w:r w:rsidRPr="00482541">
        <w:t xml:space="preserve"> Québec, Commission sur l'avenir politique et constitutionnel du Québec. Document de tr</w:t>
      </w:r>
      <w:r w:rsidRPr="00482541">
        <w:t>a</w:t>
      </w:r>
      <w:r w:rsidRPr="00482541">
        <w:t>vail numéro</w:t>
      </w:r>
      <w:r>
        <w:t> </w:t>
      </w:r>
      <w:r w:rsidRPr="00482541">
        <w:t>4,</w:t>
      </w:r>
      <w:r>
        <w:t xml:space="preserve"> </w:t>
      </w:r>
      <w:r w:rsidRPr="00482541">
        <w:t>1991.</w:t>
      </w:r>
    </w:p>
    <w:p w:rsidR="00B7214C" w:rsidRPr="00482541" w:rsidRDefault="00B7214C" w:rsidP="00B7214C">
      <w:pPr>
        <w:spacing w:before="120" w:after="120"/>
        <w:jc w:val="both"/>
      </w:pPr>
      <w:r w:rsidRPr="00482541">
        <w:t>Labelle, M., « Femmes et migration au Canada : bilan et perspect</w:t>
      </w:r>
      <w:r w:rsidRPr="00482541">
        <w:t>i</w:t>
      </w:r>
      <w:r w:rsidRPr="00482541">
        <w:t xml:space="preserve">ves », </w:t>
      </w:r>
      <w:r w:rsidRPr="00482541">
        <w:rPr>
          <w:bCs/>
          <w:i/>
          <w:iCs/>
        </w:rPr>
        <w:t>Canadian Ethni</w:t>
      </w:r>
      <w:r>
        <w:rPr>
          <w:bCs/>
          <w:i/>
          <w:iCs/>
        </w:rPr>
        <w:t>c</w:t>
      </w:r>
      <w:r w:rsidRPr="00482541">
        <w:rPr>
          <w:bCs/>
          <w:i/>
          <w:iCs/>
        </w:rPr>
        <w:t xml:space="preserve"> Studies,</w:t>
      </w:r>
      <w:r w:rsidRPr="00482541">
        <w:t xml:space="preserve"> spécial issue on « The State of the Art », vol.</w:t>
      </w:r>
      <w:r>
        <w:t> </w:t>
      </w:r>
      <w:r w:rsidRPr="00482541">
        <w:t>22, n°</w:t>
      </w:r>
      <w:r>
        <w:t> </w:t>
      </w:r>
      <w:r w:rsidRPr="00482541">
        <w:t>1, automne 1990.</w:t>
      </w:r>
    </w:p>
    <w:p w:rsidR="00B7214C" w:rsidRPr="00482541" w:rsidRDefault="00B7214C" w:rsidP="00B7214C">
      <w:pPr>
        <w:spacing w:before="120" w:after="120"/>
        <w:jc w:val="both"/>
      </w:pPr>
      <w:r w:rsidRPr="00482541">
        <w:t xml:space="preserve">Labelle, M., « Le rôle économique de l'immigration féminine dans la région de Montréal », dans G. Abou Sada, B. Courault, Z. Zeroulou (dir.), </w:t>
      </w:r>
      <w:r w:rsidRPr="00482541">
        <w:rPr>
          <w:bCs/>
          <w:i/>
          <w:iCs/>
        </w:rPr>
        <w:t>L'immigration au tournant,</w:t>
      </w:r>
      <w:r w:rsidRPr="00482541">
        <w:t xml:space="preserve"> Paris, CIEMI, L'Harma</w:t>
      </w:r>
      <w:r w:rsidRPr="00482541">
        <w:t>t</w:t>
      </w:r>
      <w:r w:rsidRPr="00482541">
        <w:t>tan, 1990.</w:t>
      </w:r>
    </w:p>
    <w:p w:rsidR="00B7214C" w:rsidRPr="00482541" w:rsidRDefault="00B7214C" w:rsidP="00B7214C">
      <w:pPr>
        <w:spacing w:before="120" w:after="120"/>
        <w:jc w:val="both"/>
      </w:pPr>
      <w:r w:rsidRPr="00482541">
        <w:t>Labelle, M., « </w:t>
      </w:r>
      <w:hyperlink r:id="rId29" w:history="1">
        <w:r w:rsidRPr="00482541">
          <w:rPr>
            <w:rStyle w:val="Lienhypertexte"/>
          </w:rPr>
          <w:t>Immigration, culture et question nationale </w:t>
        </w:r>
      </w:hyperlink>
      <w:r w:rsidRPr="00482541">
        <w:t xml:space="preserve">», </w:t>
      </w:r>
      <w:r w:rsidRPr="00482541">
        <w:rPr>
          <w:bCs/>
          <w:i/>
          <w:iCs/>
        </w:rPr>
        <w:t>C</w:t>
      </w:r>
      <w:r w:rsidRPr="00482541">
        <w:rPr>
          <w:bCs/>
          <w:i/>
          <w:iCs/>
        </w:rPr>
        <w:t>a</w:t>
      </w:r>
      <w:r w:rsidRPr="00482541">
        <w:rPr>
          <w:bCs/>
          <w:i/>
          <w:iCs/>
        </w:rPr>
        <w:t>hiers de recherche sociologique,</w:t>
      </w:r>
      <w:r w:rsidRPr="00482541">
        <w:t xml:space="preserve"> n°</w:t>
      </w:r>
      <w:r>
        <w:t> </w:t>
      </w:r>
      <w:r w:rsidRPr="00482541">
        <w:t>14,</w:t>
      </w:r>
      <w:r>
        <w:t xml:space="preserve"> </w:t>
      </w:r>
      <w:r w:rsidRPr="00482541">
        <w:t>1990.</w:t>
      </w:r>
    </w:p>
    <w:p w:rsidR="00B7214C" w:rsidRPr="00482541" w:rsidRDefault="00B7214C" w:rsidP="00B7214C">
      <w:pPr>
        <w:spacing w:before="120" w:after="120"/>
        <w:jc w:val="both"/>
      </w:pPr>
      <w:r w:rsidRPr="00482541">
        <w:t>Labelle, M., « </w:t>
      </w:r>
      <w:hyperlink r:id="rId30" w:history="1">
        <w:r w:rsidRPr="00482541">
          <w:rPr>
            <w:rStyle w:val="Lienhypertexte"/>
          </w:rPr>
          <w:t>La gestion fédérale de l'immigration internationale au Canada : 1963-1984 </w:t>
        </w:r>
      </w:hyperlink>
      <w:r w:rsidRPr="00482541">
        <w:t xml:space="preserve">», dans D. Brunelle, Y. Bélanger (dir.), </w:t>
      </w:r>
      <w:r w:rsidRPr="00482541">
        <w:rPr>
          <w:bCs/>
          <w:i/>
          <w:iCs/>
        </w:rPr>
        <w:t>L'ère des libéraux. Le pouvoir fédéral de 1963 à 1984,</w:t>
      </w:r>
      <w:r w:rsidRPr="00482541">
        <w:t xml:space="preserve"> Sillery, Presses de l'Unive</w:t>
      </w:r>
      <w:r w:rsidRPr="00482541">
        <w:t>r</w:t>
      </w:r>
      <w:r w:rsidRPr="00482541">
        <w:t>sité du Québec, 1988.</w:t>
      </w:r>
    </w:p>
    <w:p w:rsidR="00B7214C" w:rsidRPr="00482541" w:rsidRDefault="00B7214C" w:rsidP="00B7214C">
      <w:pPr>
        <w:spacing w:before="120" w:after="120"/>
        <w:jc w:val="both"/>
      </w:pPr>
      <w:r w:rsidRPr="00482541">
        <w:t xml:space="preserve">Labelle, M., </w:t>
      </w:r>
      <w:hyperlink r:id="rId31" w:history="1">
        <w:r w:rsidRPr="00482541">
          <w:rPr>
            <w:rStyle w:val="Lienhypertexte"/>
            <w:bCs/>
            <w:i/>
            <w:iCs/>
          </w:rPr>
          <w:t>Idéologie de couleur et classes sociales en Haïti</w:t>
        </w:r>
      </w:hyperlink>
      <w:r w:rsidRPr="00482541">
        <w:rPr>
          <w:bCs/>
          <w:i/>
          <w:iCs/>
        </w:rPr>
        <w:t>,</w:t>
      </w:r>
      <w:r w:rsidRPr="00482541">
        <w:t xml:space="preserve"> Montréal, C1DHICA et Presses de l'Université de Montréal, 1987, 2e édition.</w:t>
      </w:r>
    </w:p>
    <w:p w:rsidR="00B7214C" w:rsidRPr="00482541" w:rsidRDefault="00B7214C" w:rsidP="00B7214C">
      <w:pPr>
        <w:spacing w:before="120" w:after="120"/>
        <w:jc w:val="both"/>
      </w:pPr>
      <w:r w:rsidRPr="00482541">
        <w:rPr>
          <w:bCs/>
          <w:iCs/>
        </w:rPr>
        <w:t xml:space="preserve">Labelle, M., G. Turcotte, M. Kempeneers, D. Meintel, </w:t>
      </w:r>
      <w:hyperlink r:id="rId32" w:history="1">
        <w:r w:rsidRPr="00482541">
          <w:rPr>
            <w:rStyle w:val="Lienhypertexte"/>
            <w:i/>
          </w:rPr>
          <w:t>Histoires d'immigrées. Itinéraires d'ouvrières colombiennes, grecques, haïtie</w:t>
        </w:r>
        <w:r w:rsidRPr="00482541">
          <w:rPr>
            <w:rStyle w:val="Lienhypertexte"/>
            <w:i/>
          </w:rPr>
          <w:t>n</w:t>
        </w:r>
        <w:r w:rsidRPr="00482541">
          <w:rPr>
            <w:rStyle w:val="Lienhypertexte"/>
            <w:i/>
          </w:rPr>
          <w:t>nes et portugaises de Montréal</w:t>
        </w:r>
      </w:hyperlink>
      <w:r w:rsidRPr="00482541">
        <w:t>,</w:t>
      </w:r>
      <w:r w:rsidRPr="00482541">
        <w:rPr>
          <w:bCs/>
          <w:iCs/>
        </w:rPr>
        <w:t xml:space="preserve"> Montréal, Boréal, 1987.</w:t>
      </w:r>
    </w:p>
    <w:p w:rsidR="00B7214C" w:rsidRPr="00482541" w:rsidRDefault="00B7214C" w:rsidP="00B7214C">
      <w:pPr>
        <w:spacing w:before="120" w:after="120"/>
        <w:jc w:val="both"/>
      </w:pPr>
      <w:r w:rsidRPr="00482541">
        <w:t xml:space="preserve">Labelle, M., « Question ethnique et question nationale », </w:t>
      </w:r>
      <w:r w:rsidRPr="00482541">
        <w:rPr>
          <w:bCs/>
          <w:i/>
          <w:iCs/>
        </w:rPr>
        <w:t>Rel</w:t>
      </w:r>
      <w:r w:rsidRPr="00482541">
        <w:rPr>
          <w:bCs/>
          <w:i/>
          <w:iCs/>
        </w:rPr>
        <w:t>a</w:t>
      </w:r>
      <w:r w:rsidRPr="00482541">
        <w:rPr>
          <w:bCs/>
          <w:i/>
          <w:iCs/>
        </w:rPr>
        <w:t>tions,</w:t>
      </w:r>
      <w:r>
        <w:t xml:space="preserve"> n° </w:t>
      </w:r>
      <w:r w:rsidRPr="00482541">
        <w:t>514,</w:t>
      </w:r>
      <w:r>
        <w:t xml:space="preserve"> </w:t>
      </w:r>
      <w:r w:rsidRPr="00482541">
        <w:t>1985.</w:t>
      </w:r>
    </w:p>
    <w:p w:rsidR="00B7214C" w:rsidRPr="00482541" w:rsidRDefault="00B7214C" w:rsidP="00B7214C">
      <w:pPr>
        <w:spacing w:before="120" w:after="120"/>
        <w:jc w:val="both"/>
      </w:pPr>
      <w:r w:rsidRPr="00482541">
        <w:t>Labelle, M., R. Ravix, « Pistes et réflexions sur les regroup</w:t>
      </w:r>
      <w:r w:rsidRPr="00482541">
        <w:t>e</w:t>
      </w:r>
      <w:r w:rsidRPr="00482541">
        <w:t xml:space="preserve">ments de femmes haïtiennes de Montréal », </w:t>
      </w:r>
      <w:r w:rsidRPr="00482541">
        <w:rPr>
          <w:bCs/>
          <w:i/>
          <w:iCs/>
        </w:rPr>
        <w:t>Collectif Paroles,</w:t>
      </w:r>
      <w:r w:rsidRPr="00482541">
        <w:t xml:space="preserve"> n°</w:t>
      </w:r>
      <w:r>
        <w:t> </w:t>
      </w:r>
      <w:r w:rsidRPr="00482541">
        <w:t>28,</w:t>
      </w:r>
      <w:r>
        <w:t xml:space="preserve"> </w:t>
      </w:r>
      <w:r w:rsidRPr="00482541">
        <w:t>1984.</w:t>
      </w:r>
    </w:p>
    <w:p w:rsidR="00B7214C" w:rsidRPr="00482541" w:rsidRDefault="00B7214C" w:rsidP="00B7214C">
      <w:pPr>
        <w:spacing w:before="120" w:after="120"/>
        <w:jc w:val="both"/>
      </w:pPr>
      <w:r w:rsidRPr="00482541">
        <w:t>Labelle, M., S. Larose, V. Piché, « </w:t>
      </w:r>
      <w:hyperlink r:id="rId33" w:history="1">
        <w:r w:rsidRPr="00E5468F">
          <w:rPr>
            <w:rStyle w:val="Lienhypertexte"/>
          </w:rPr>
          <w:t>Émigration et immigration : les Haïtiens au Québec </w:t>
        </w:r>
      </w:hyperlink>
      <w:r w:rsidRPr="00482541">
        <w:t xml:space="preserve">», </w:t>
      </w:r>
      <w:r w:rsidRPr="00482541">
        <w:rPr>
          <w:bCs/>
          <w:i/>
          <w:iCs/>
        </w:rPr>
        <w:t>Sociologie et sociétés,</w:t>
      </w:r>
      <w:r w:rsidRPr="00482541">
        <w:t xml:space="preserve"> vol.</w:t>
      </w:r>
      <w:r>
        <w:t> </w:t>
      </w:r>
      <w:r w:rsidRPr="00482541">
        <w:t>15, n</w:t>
      </w:r>
      <w:r>
        <w:t>o </w:t>
      </w:r>
      <w:r w:rsidRPr="00482541">
        <w:t>2,</w:t>
      </w:r>
      <w:r>
        <w:t xml:space="preserve"> </w:t>
      </w:r>
      <w:r w:rsidRPr="00482541">
        <w:t>1983.</w:t>
      </w:r>
    </w:p>
    <w:p w:rsidR="00B7214C" w:rsidRPr="00482541" w:rsidRDefault="00B7214C" w:rsidP="00B7214C">
      <w:pPr>
        <w:spacing w:before="120" w:after="120"/>
        <w:jc w:val="both"/>
      </w:pPr>
      <w:r w:rsidRPr="00482541">
        <w:t xml:space="preserve">Laberge, H., « La culture nationale et les cultures ethniques », dans F. Ouellet, M. Pagé, (dir.), </w:t>
      </w:r>
      <w:r w:rsidRPr="00482541">
        <w:rPr>
          <w:bCs/>
          <w:i/>
          <w:iCs/>
        </w:rPr>
        <w:t>Pluriethnicité, éducation et société. Con</w:t>
      </w:r>
      <w:r w:rsidRPr="00482541">
        <w:rPr>
          <w:bCs/>
          <w:i/>
          <w:iCs/>
        </w:rPr>
        <w:t>s</w:t>
      </w:r>
      <w:r w:rsidRPr="00482541">
        <w:rPr>
          <w:bCs/>
          <w:i/>
          <w:iCs/>
        </w:rPr>
        <w:t>truire un espace commun,</w:t>
      </w:r>
      <w:r w:rsidRPr="00482541">
        <w:t xml:space="preserve"> Québec, Institut québécois de recherche sur la cult</w:t>
      </w:r>
      <w:r w:rsidRPr="00482541">
        <w:t>u</w:t>
      </w:r>
      <w:r w:rsidRPr="00482541">
        <w:t>re, 1991.</w:t>
      </w:r>
    </w:p>
    <w:p w:rsidR="00B7214C" w:rsidRPr="00482541" w:rsidRDefault="00B7214C" w:rsidP="00B7214C">
      <w:pPr>
        <w:spacing w:before="120" w:after="120"/>
        <w:jc w:val="both"/>
      </w:pPr>
      <w:r w:rsidRPr="00482541">
        <w:t>Laferrière, M., « Les idéologies ethniques dans la sociologie can</w:t>
      </w:r>
      <w:r w:rsidRPr="00482541">
        <w:t>a</w:t>
      </w:r>
      <w:r w:rsidRPr="00482541">
        <w:t>dienne : du conformisme colonial au multiculturalisme », dans L</w:t>
      </w:r>
      <w:r w:rsidRPr="00482541">
        <w:t>e</w:t>
      </w:r>
      <w:r w:rsidRPr="00482541">
        <w:t xml:space="preserve">conte, Thomas (dir.) : </w:t>
      </w:r>
      <w:r w:rsidRPr="00482541">
        <w:rPr>
          <w:bCs/>
          <w:i/>
          <w:iCs/>
        </w:rPr>
        <w:t>Le facteur ethnique aux États-Unis et au Can</w:t>
      </w:r>
      <w:r w:rsidRPr="00482541">
        <w:rPr>
          <w:bCs/>
          <w:i/>
          <w:iCs/>
        </w:rPr>
        <w:t>a</w:t>
      </w:r>
      <w:r w:rsidRPr="00482541">
        <w:rPr>
          <w:bCs/>
          <w:i/>
          <w:iCs/>
        </w:rPr>
        <w:t>da,</w:t>
      </w:r>
      <w:r w:rsidRPr="00482541">
        <w:t xml:space="preserve"> 1983.</w:t>
      </w:r>
    </w:p>
    <w:p w:rsidR="00B7214C" w:rsidRPr="00482541" w:rsidRDefault="00B7214C" w:rsidP="00B7214C">
      <w:pPr>
        <w:spacing w:before="120" w:after="120"/>
        <w:jc w:val="both"/>
      </w:pPr>
      <w:r w:rsidRPr="00482541">
        <w:t xml:space="preserve">Langlais, J., P. Laplante, J. Lévy, </w:t>
      </w:r>
      <w:r w:rsidRPr="00482541">
        <w:rPr>
          <w:bCs/>
          <w:i/>
          <w:iCs/>
        </w:rPr>
        <w:t>Le Québec de demain et les comm</w:t>
      </w:r>
      <w:r w:rsidRPr="00482541">
        <w:rPr>
          <w:bCs/>
          <w:i/>
          <w:iCs/>
        </w:rPr>
        <w:t>u</w:t>
      </w:r>
      <w:r w:rsidRPr="00482541">
        <w:rPr>
          <w:bCs/>
          <w:i/>
          <w:iCs/>
        </w:rPr>
        <w:t xml:space="preserve">nautés culturelles, </w:t>
      </w:r>
      <w:r w:rsidRPr="00482541">
        <w:t>Montréal, Méridien, 1989.</w:t>
      </w:r>
    </w:p>
    <w:p w:rsidR="00B7214C" w:rsidRPr="00482541" w:rsidRDefault="00B7214C" w:rsidP="00B7214C">
      <w:pPr>
        <w:spacing w:before="120" w:after="120"/>
        <w:jc w:val="both"/>
        <w:rPr>
          <w:iCs/>
        </w:rPr>
      </w:pPr>
      <w:r w:rsidRPr="00482541">
        <w:rPr>
          <w:iCs/>
        </w:rPr>
        <w:t xml:space="preserve">Langlais, J., D. Rome, </w:t>
      </w:r>
      <w:r w:rsidRPr="00482541">
        <w:rPr>
          <w:i/>
        </w:rPr>
        <w:t>Juifs et Québécois français. 200 ans d'hi</w:t>
      </w:r>
      <w:r w:rsidRPr="00482541">
        <w:rPr>
          <w:i/>
        </w:rPr>
        <w:t>s</w:t>
      </w:r>
      <w:r w:rsidRPr="00482541">
        <w:rPr>
          <w:i/>
        </w:rPr>
        <w:t>toire commune</w:t>
      </w:r>
      <w:r w:rsidRPr="00482541">
        <w:t>,</w:t>
      </w:r>
      <w:r w:rsidRPr="00482541">
        <w:rPr>
          <w:iCs/>
        </w:rPr>
        <w:t xml:space="preserve"> Montréal, Fides, 1986.</w:t>
      </w:r>
    </w:p>
    <w:p w:rsidR="00B7214C" w:rsidRPr="003F6AC3" w:rsidRDefault="00B7214C" w:rsidP="00B7214C">
      <w:pPr>
        <w:spacing w:before="120" w:after="120"/>
        <w:jc w:val="both"/>
      </w:pPr>
      <w:r>
        <w:t>[71]</w:t>
      </w:r>
    </w:p>
    <w:p w:rsidR="00B7214C" w:rsidRPr="00E5468F" w:rsidRDefault="00B7214C" w:rsidP="00B7214C">
      <w:pPr>
        <w:spacing w:before="120" w:after="120"/>
        <w:jc w:val="both"/>
      </w:pPr>
      <w:r w:rsidRPr="00E5468F">
        <w:t>Lapeyronnie, D., « Assimilation, mobilisation et action collect</w:t>
      </w:r>
      <w:r w:rsidRPr="00E5468F">
        <w:t>i</w:t>
      </w:r>
      <w:r w:rsidRPr="00E5468F">
        <w:t>ve chez les jeunes de la seconde génération de l'immigration maghréb</w:t>
      </w:r>
      <w:r w:rsidRPr="00E5468F">
        <w:t>i</w:t>
      </w:r>
      <w:r w:rsidRPr="00E5468F">
        <w:t xml:space="preserve">ne ». </w:t>
      </w:r>
      <w:r w:rsidRPr="00E5468F">
        <w:rPr>
          <w:bCs/>
          <w:i/>
          <w:iCs/>
        </w:rPr>
        <w:t xml:space="preserve">Revue française de sociologie, </w:t>
      </w:r>
      <w:r w:rsidRPr="00E5468F">
        <w:t>vol.</w:t>
      </w:r>
      <w:r>
        <w:t> </w:t>
      </w:r>
      <w:r w:rsidRPr="00E5468F">
        <w:t>28,</w:t>
      </w:r>
      <w:r>
        <w:t xml:space="preserve"> </w:t>
      </w:r>
      <w:r w:rsidRPr="00E5468F">
        <w:t>1987.</w:t>
      </w:r>
    </w:p>
    <w:p w:rsidR="00B7214C" w:rsidRPr="00E5468F" w:rsidRDefault="00B7214C" w:rsidP="00B7214C">
      <w:pPr>
        <w:spacing w:before="120" w:after="120"/>
        <w:jc w:val="both"/>
      </w:pPr>
      <w:r w:rsidRPr="00E5468F">
        <w:t xml:space="preserve">Lasry, J.C., « Une diaspora francophone au Québec », dans F. Harvey et G. Caldwell (dir.). </w:t>
      </w:r>
      <w:r w:rsidRPr="00E5468F">
        <w:rPr>
          <w:bCs/>
          <w:i/>
          <w:iCs/>
        </w:rPr>
        <w:t>Migrations et communautés culturelles,</w:t>
      </w:r>
      <w:r w:rsidRPr="00E5468F">
        <w:t xml:space="preserve"> Inst</w:t>
      </w:r>
      <w:r w:rsidRPr="00E5468F">
        <w:t>i</w:t>
      </w:r>
      <w:r w:rsidRPr="00E5468F">
        <w:t>tut québécois de recherche sur la culture, 1982. (Coll. « Questions de culture », n°</w:t>
      </w:r>
      <w:r>
        <w:t> </w:t>
      </w:r>
      <w:r w:rsidRPr="00E5468F">
        <w:t>2).</w:t>
      </w:r>
    </w:p>
    <w:p w:rsidR="00B7214C" w:rsidRPr="00E5468F" w:rsidRDefault="00B7214C" w:rsidP="00B7214C">
      <w:pPr>
        <w:spacing w:before="120" w:after="120"/>
        <w:jc w:val="both"/>
      </w:pPr>
      <w:r>
        <w:t>Lévy, J.L., Ouakni</w:t>
      </w:r>
      <w:r w:rsidRPr="00E5468F">
        <w:t xml:space="preserve">ne, « Les institutions communautaires des Juifs marocains à Montréal », dans J.C. Lasry et C. Tapia, (dir.), </w:t>
      </w:r>
      <w:r w:rsidRPr="00E5468F">
        <w:rPr>
          <w:bCs/>
          <w:i/>
          <w:iCs/>
        </w:rPr>
        <w:t>Les Juifs du Maghreb. Diasporas contemporaines,</w:t>
      </w:r>
      <w:r w:rsidRPr="00E5468F">
        <w:t xml:space="preserve"> Montréal et Paris, Presses de l'Un</w:t>
      </w:r>
      <w:r w:rsidRPr="00E5468F">
        <w:t>i</w:t>
      </w:r>
      <w:r w:rsidRPr="00E5468F">
        <w:t>versité de Montréal et L'Harmattan, 1989.</w:t>
      </w:r>
    </w:p>
    <w:p w:rsidR="00B7214C" w:rsidRPr="00E5468F" w:rsidRDefault="00B7214C" w:rsidP="00B7214C">
      <w:pPr>
        <w:spacing w:before="120" w:after="120"/>
        <w:jc w:val="both"/>
      </w:pPr>
      <w:r w:rsidRPr="00E5468F">
        <w:t xml:space="preserve">Lewis, B., D. Schnapper, (dir.). </w:t>
      </w:r>
      <w:r w:rsidRPr="00E5468F">
        <w:rPr>
          <w:bCs/>
          <w:i/>
          <w:iCs/>
        </w:rPr>
        <w:t>Musulmans en Europe,</w:t>
      </w:r>
      <w:r w:rsidRPr="00E5468F">
        <w:t xml:space="preserve"> Paris, A</w:t>
      </w:r>
      <w:r w:rsidRPr="00E5468F">
        <w:t>c</w:t>
      </w:r>
      <w:r w:rsidRPr="00E5468F">
        <w:t>te Sud, 1992.</w:t>
      </w:r>
    </w:p>
    <w:p w:rsidR="00B7214C" w:rsidRPr="00E5468F" w:rsidRDefault="00B7214C" w:rsidP="00B7214C">
      <w:pPr>
        <w:spacing w:before="120" w:after="120"/>
        <w:jc w:val="both"/>
      </w:pPr>
      <w:r w:rsidRPr="00E5468F">
        <w:t xml:space="preserve">Li, P.S., </w:t>
      </w:r>
      <w:r w:rsidRPr="00E5468F">
        <w:rPr>
          <w:bCs/>
          <w:i/>
          <w:iCs/>
        </w:rPr>
        <w:t>Ethni</w:t>
      </w:r>
      <w:r>
        <w:rPr>
          <w:bCs/>
          <w:i/>
          <w:iCs/>
        </w:rPr>
        <w:t>v Ineq</w:t>
      </w:r>
      <w:r w:rsidRPr="00E5468F">
        <w:rPr>
          <w:bCs/>
          <w:i/>
          <w:iCs/>
        </w:rPr>
        <w:t>uality in a Class Society,</w:t>
      </w:r>
      <w:r w:rsidRPr="00E5468F">
        <w:t xml:space="preserve"> Toronto, Wall and Thompson, 1988.</w:t>
      </w:r>
    </w:p>
    <w:p w:rsidR="00B7214C" w:rsidRPr="00E5468F" w:rsidRDefault="00B7214C" w:rsidP="00B7214C">
      <w:pPr>
        <w:spacing w:before="120" w:after="120"/>
        <w:jc w:val="both"/>
      </w:pPr>
      <w:r w:rsidRPr="00E5468F">
        <w:t xml:space="preserve">Li, S. (dir.). </w:t>
      </w:r>
      <w:r w:rsidRPr="00E5468F">
        <w:rPr>
          <w:bCs/>
          <w:i/>
          <w:iCs/>
        </w:rPr>
        <w:t>Race and Ethnie Relations in Canada,</w:t>
      </w:r>
      <w:r w:rsidRPr="00E5468F">
        <w:t xml:space="preserve"> Toronto, O</w:t>
      </w:r>
      <w:r w:rsidRPr="00E5468F">
        <w:t>x</w:t>
      </w:r>
      <w:r w:rsidRPr="00E5468F">
        <w:t>ford University Press, 1990.</w:t>
      </w:r>
    </w:p>
    <w:p w:rsidR="00B7214C" w:rsidRPr="00E5468F" w:rsidRDefault="00B7214C" w:rsidP="00B7214C">
      <w:pPr>
        <w:spacing w:before="120" w:after="120"/>
        <w:jc w:val="both"/>
      </w:pPr>
      <w:r w:rsidRPr="00E5468F">
        <w:t>Linteau, P.A., « Les Italo-Québécois : acteurs et enjeux des d</w:t>
      </w:r>
      <w:r w:rsidRPr="00E5468F">
        <w:t>é</w:t>
      </w:r>
      <w:r w:rsidRPr="00E5468F">
        <w:t xml:space="preserve">bats politiques et linguistiques au Québec », </w:t>
      </w:r>
      <w:r w:rsidRPr="00E5468F">
        <w:rPr>
          <w:bCs/>
          <w:i/>
          <w:iCs/>
        </w:rPr>
        <w:t>Studi Emigrazione</w:t>
      </w:r>
      <w:r w:rsidRPr="00E5468F">
        <w:t xml:space="preserve"> - </w:t>
      </w:r>
      <w:r w:rsidRPr="00E5468F">
        <w:rPr>
          <w:bCs/>
          <w:i/>
          <w:iCs/>
        </w:rPr>
        <w:t>Études migr</w:t>
      </w:r>
      <w:r w:rsidRPr="00E5468F">
        <w:rPr>
          <w:bCs/>
          <w:i/>
          <w:iCs/>
        </w:rPr>
        <w:t>a</w:t>
      </w:r>
      <w:r w:rsidRPr="00E5468F">
        <w:rPr>
          <w:bCs/>
          <w:i/>
          <w:iCs/>
        </w:rPr>
        <w:t>tions,</w:t>
      </w:r>
      <w:r w:rsidRPr="00E5468F">
        <w:t xml:space="preserve"> n°</w:t>
      </w:r>
      <w:r>
        <w:t> </w:t>
      </w:r>
      <w:r w:rsidRPr="00E5468F">
        <w:t>86,</w:t>
      </w:r>
      <w:r>
        <w:t xml:space="preserve"> </w:t>
      </w:r>
      <w:r w:rsidRPr="00E5468F">
        <w:t>1987.</w:t>
      </w:r>
    </w:p>
    <w:p w:rsidR="00B7214C" w:rsidRPr="00E5468F" w:rsidRDefault="00B7214C" w:rsidP="00B7214C">
      <w:pPr>
        <w:spacing w:before="120" w:after="120"/>
        <w:jc w:val="both"/>
      </w:pPr>
      <w:r w:rsidRPr="00E5468F">
        <w:t xml:space="preserve">Massé, R., </w:t>
      </w:r>
      <w:r>
        <w:rPr>
          <w:bCs/>
          <w:i/>
          <w:iCs/>
        </w:rPr>
        <w:t>L’</w:t>
      </w:r>
      <w:r w:rsidRPr="00E5468F">
        <w:rPr>
          <w:bCs/>
          <w:i/>
          <w:iCs/>
        </w:rPr>
        <w:t>émergence de l'ethnicité haïtienne au Québec,</w:t>
      </w:r>
      <w:r w:rsidRPr="00E5468F">
        <w:t xml:space="preserve"> Un</w:t>
      </w:r>
      <w:r w:rsidRPr="00E5468F">
        <w:t>i</w:t>
      </w:r>
      <w:r w:rsidRPr="00E5468F">
        <w:t>versité Laval, thèse de doctorat, 1983.</w:t>
      </w:r>
    </w:p>
    <w:p w:rsidR="00B7214C" w:rsidRPr="00E5468F" w:rsidRDefault="00B7214C" w:rsidP="00B7214C">
      <w:pPr>
        <w:spacing w:before="120" w:after="120"/>
        <w:jc w:val="both"/>
      </w:pPr>
      <w:r w:rsidRPr="00E5468F">
        <w:t xml:space="preserve">Mathews, G., </w:t>
      </w:r>
      <w:r w:rsidRPr="00E5468F">
        <w:rPr>
          <w:bCs/>
          <w:i/>
          <w:iCs/>
        </w:rPr>
        <w:t>L'immigration au Québec : l'état de la situation,</w:t>
      </w:r>
      <w:r w:rsidRPr="00E5468F">
        <w:t xml:space="preserve"> te</w:t>
      </w:r>
      <w:r w:rsidRPr="00E5468F">
        <w:t>x</w:t>
      </w:r>
      <w:r w:rsidRPr="00E5468F">
        <w:t>te réd</w:t>
      </w:r>
      <w:r w:rsidRPr="00E5468F">
        <w:t>i</w:t>
      </w:r>
      <w:r w:rsidRPr="00E5468F">
        <w:t>gé pour le « Canada Employment and Immigration Advisory Cou</w:t>
      </w:r>
      <w:r w:rsidRPr="00E5468F">
        <w:t>n</w:t>
      </w:r>
      <w:r w:rsidRPr="00E5468F">
        <w:t>cil », 1990.</w:t>
      </w:r>
    </w:p>
    <w:p w:rsidR="00B7214C" w:rsidRPr="00E5468F" w:rsidRDefault="00B7214C" w:rsidP="00B7214C">
      <w:pPr>
        <w:spacing w:before="120" w:after="120"/>
        <w:jc w:val="both"/>
      </w:pPr>
      <w:r w:rsidRPr="00E5468F">
        <w:rPr>
          <w:bCs/>
          <w:iCs/>
        </w:rPr>
        <w:t xml:space="preserve">Matthew, F., </w:t>
      </w:r>
      <w:r w:rsidRPr="00E5468F">
        <w:rPr>
          <w:i/>
        </w:rPr>
        <w:t>Question for an American Sociology</w:t>
      </w:r>
      <w:r w:rsidRPr="00E5468F">
        <w:t>, Robert Park and the Chicago School,</w:t>
      </w:r>
      <w:r w:rsidRPr="00E5468F">
        <w:rPr>
          <w:bCs/>
          <w:iCs/>
        </w:rPr>
        <w:t xml:space="preserve"> 1977.</w:t>
      </w:r>
    </w:p>
    <w:p w:rsidR="00B7214C" w:rsidRPr="00E5468F" w:rsidRDefault="00B7214C" w:rsidP="00B7214C">
      <w:pPr>
        <w:spacing w:before="120" w:after="120"/>
        <w:jc w:val="both"/>
      </w:pPr>
      <w:r w:rsidRPr="00E5468F">
        <w:t xml:space="preserve">McAll, C., </w:t>
      </w:r>
      <w:r w:rsidRPr="00E5468F">
        <w:rPr>
          <w:bCs/>
          <w:i/>
          <w:iCs/>
        </w:rPr>
        <w:t>Class, Ethnicity, and Social Inequality,</w:t>
      </w:r>
      <w:r w:rsidRPr="00E5468F">
        <w:t xml:space="preserve"> Montreal and Kin</w:t>
      </w:r>
      <w:r w:rsidRPr="00E5468F">
        <w:t>g</w:t>
      </w:r>
      <w:r w:rsidRPr="00E5468F">
        <w:t>ston, McGill-Queen's University Press, 1990.</w:t>
      </w:r>
    </w:p>
    <w:p w:rsidR="00B7214C" w:rsidRPr="00E5468F" w:rsidRDefault="00B7214C" w:rsidP="00B7214C">
      <w:pPr>
        <w:spacing w:before="120" w:after="120"/>
        <w:jc w:val="both"/>
      </w:pPr>
      <w:r w:rsidRPr="00E5468F">
        <w:t xml:space="preserve">Metzger, P., « American Sociology and Black Assimilation : Conflicting Perspectives », </w:t>
      </w:r>
      <w:r w:rsidRPr="00E5468F">
        <w:rPr>
          <w:bCs/>
          <w:i/>
          <w:iCs/>
        </w:rPr>
        <w:t>American Journal of Sociology,</w:t>
      </w:r>
      <w:r w:rsidRPr="00E5468F">
        <w:t xml:space="preserve"> 1971.</w:t>
      </w:r>
    </w:p>
    <w:p w:rsidR="00B7214C" w:rsidRPr="00E5468F" w:rsidRDefault="00B7214C" w:rsidP="00B7214C">
      <w:pPr>
        <w:spacing w:before="120" w:after="120"/>
        <w:jc w:val="both"/>
      </w:pPr>
      <w:r w:rsidRPr="00E5468F">
        <w:t xml:space="preserve">Miles, R., </w:t>
      </w:r>
      <w:r w:rsidRPr="00E5468F">
        <w:rPr>
          <w:bCs/>
          <w:i/>
          <w:iCs/>
        </w:rPr>
        <w:t>Class, Culture and Politics : Migrant Origin Youth in Britain,</w:t>
      </w:r>
      <w:r w:rsidRPr="00E5468F">
        <w:t xml:space="preserve"> Conférence on Ethnie Mobilization in Europe in the 1990s, Un</w:t>
      </w:r>
      <w:r w:rsidRPr="00E5468F">
        <w:t>i</w:t>
      </w:r>
      <w:r w:rsidRPr="00E5468F">
        <w:t>versity of Warwick, Center for Research in Ethnie Relations, 1992.</w:t>
      </w:r>
    </w:p>
    <w:p w:rsidR="00B7214C" w:rsidRPr="00E5468F" w:rsidRDefault="00B7214C" w:rsidP="00B7214C">
      <w:pPr>
        <w:spacing w:before="120" w:after="120"/>
        <w:jc w:val="both"/>
      </w:pPr>
      <w:r w:rsidRPr="00E5468F">
        <w:t xml:space="preserve">Miles, R., </w:t>
      </w:r>
      <w:r w:rsidRPr="00E5468F">
        <w:rPr>
          <w:bCs/>
          <w:i/>
          <w:iCs/>
        </w:rPr>
        <w:t>Racism,</w:t>
      </w:r>
      <w:r w:rsidRPr="00E5468F">
        <w:t xml:space="preserve"> London and New York, Routledge, 1989.</w:t>
      </w:r>
    </w:p>
    <w:p w:rsidR="00B7214C" w:rsidRPr="00E5468F" w:rsidRDefault="00B7214C" w:rsidP="00B7214C">
      <w:pPr>
        <w:spacing w:before="120" w:after="120"/>
        <w:jc w:val="both"/>
      </w:pPr>
      <w:r w:rsidRPr="00E5468F">
        <w:t>Miles, R., « Marxism versus the Sociology of « Race Rel</w:t>
      </w:r>
      <w:r w:rsidRPr="00E5468F">
        <w:t>a</w:t>
      </w:r>
      <w:r w:rsidRPr="00E5468F">
        <w:t xml:space="preserve">tions », </w:t>
      </w:r>
      <w:r w:rsidRPr="00E5468F">
        <w:rPr>
          <w:bCs/>
          <w:i/>
          <w:iCs/>
        </w:rPr>
        <w:t xml:space="preserve">Ethnie and Racial Studies, </w:t>
      </w:r>
      <w:r w:rsidRPr="00E5468F">
        <w:t>vol.</w:t>
      </w:r>
      <w:r>
        <w:t> </w:t>
      </w:r>
      <w:r w:rsidRPr="00E5468F">
        <w:t>7, n°</w:t>
      </w:r>
      <w:r>
        <w:t> </w:t>
      </w:r>
      <w:r w:rsidRPr="00E5468F">
        <w:t>2,</w:t>
      </w:r>
      <w:r>
        <w:t xml:space="preserve"> </w:t>
      </w:r>
      <w:r w:rsidRPr="00E5468F">
        <w:t>1984.</w:t>
      </w:r>
    </w:p>
    <w:p w:rsidR="00B7214C" w:rsidRPr="00E5468F" w:rsidRDefault="00B7214C" w:rsidP="00B7214C">
      <w:pPr>
        <w:spacing w:before="120" w:after="120"/>
        <w:jc w:val="both"/>
      </w:pPr>
      <w:r w:rsidRPr="00E5468F">
        <w:t>Miles, R., A. Phizakclea, « Class, Race, Ethnicity and Political A</w:t>
      </w:r>
      <w:r w:rsidRPr="00E5468F">
        <w:t>c</w:t>
      </w:r>
      <w:r w:rsidRPr="00E5468F">
        <w:t xml:space="preserve">tion », </w:t>
      </w:r>
      <w:r w:rsidRPr="00E5468F">
        <w:rPr>
          <w:bCs/>
          <w:i/>
          <w:iCs/>
        </w:rPr>
        <w:t xml:space="preserve">Political Studies, </w:t>
      </w:r>
      <w:r w:rsidRPr="00E5468F">
        <w:t>vol.</w:t>
      </w:r>
      <w:r>
        <w:t> </w:t>
      </w:r>
      <w:r w:rsidRPr="00E5468F">
        <w:t>25, n°</w:t>
      </w:r>
      <w:r>
        <w:t> </w:t>
      </w:r>
      <w:r w:rsidRPr="00E5468F">
        <w:t>4,</w:t>
      </w:r>
      <w:r>
        <w:t xml:space="preserve"> </w:t>
      </w:r>
      <w:r w:rsidRPr="00E5468F">
        <w:t>1977.</w:t>
      </w:r>
    </w:p>
    <w:p w:rsidR="00B7214C" w:rsidRPr="00E5468F" w:rsidRDefault="00B7214C" w:rsidP="00B7214C">
      <w:pPr>
        <w:spacing w:before="120" w:after="120"/>
        <w:jc w:val="both"/>
      </w:pPr>
      <w:r w:rsidRPr="00E5468F">
        <w:t xml:space="preserve">Moodley, K., « Canadian Multiculturalism as Idcology », </w:t>
      </w:r>
      <w:r w:rsidRPr="00E5468F">
        <w:rPr>
          <w:bCs/>
          <w:i/>
          <w:iCs/>
        </w:rPr>
        <w:t>Ethni</w:t>
      </w:r>
      <w:r>
        <w:rPr>
          <w:bCs/>
          <w:i/>
          <w:iCs/>
        </w:rPr>
        <w:t>c</w:t>
      </w:r>
      <w:r w:rsidRPr="00E5468F">
        <w:rPr>
          <w:bCs/>
          <w:i/>
          <w:iCs/>
        </w:rPr>
        <w:t xml:space="preserve"> and Racial Studies,</w:t>
      </w:r>
      <w:r w:rsidRPr="00E5468F">
        <w:t xml:space="preserve"> vol.</w:t>
      </w:r>
      <w:r>
        <w:t> </w:t>
      </w:r>
      <w:r w:rsidRPr="00E5468F">
        <w:t>6, n°</w:t>
      </w:r>
      <w:r>
        <w:t> </w:t>
      </w:r>
      <w:r w:rsidRPr="00E5468F">
        <w:t>3,1983.</w:t>
      </w:r>
    </w:p>
    <w:p w:rsidR="00B7214C" w:rsidRPr="00E5468F" w:rsidRDefault="00B7214C" w:rsidP="00B7214C">
      <w:pPr>
        <w:spacing w:before="120" w:after="120"/>
        <w:jc w:val="both"/>
      </w:pPr>
      <w:r w:rsidRPr="00E5468F">
        <w:t xml:space="preserve">Ng, R., J. Muller, G. Walker, </w:t>
      </w:r>
      <w:r w:rsidRPr="00E5468F">
        <w:rPr>
          <w:bCs/>
          <w:i/>
          <w:iCs/>
        </w:rPr>
        <w:t>Community Organization and the Can</w:t>
      </w:r>
      <w:r w:rsidRPr="00E5468F">
        <w:rPr>
          <w:bCs/>
          <w:i/>
          <w:iCs/>
        </w:rPr>
        <w:t>a</w:t>
      </w:r>
      <w:r w:rsidRPr="00E5468F">
        <w:rPr>
          <w:bCs/>
          <w:i/>
          <w:iCs/>
        </w:rPr>
        <w:t>dian State,</w:t>
      </w:r>
      <w:r w:rsidRPr="00E5468F">
        <w:t xml:space="preserve"> Toronto, Garamond Press, 1990.</w:t>
      </w:r>
    </w:p>
    <w:p w:rsidR="00B7214C" w:rsidRPr="00E5468F" w:rsidRDefault="00B7214C" w:rsidP="00B7214C">
      <w:pPr>
        <w:spacing w:before="120" w:after="120"/>
        <w:jc w:val="both"/>
      </w:pPr>
      <w:r w:rsidRPr="00E5468F">
        <w:rPr>
          <w:bCs/>
          <w:iCs/>
        </w:rPr>
        <w:t xml:space="preserve">Ng, R., </w:t>
      </w:r>
      <w:r w:rsidRPr="00E5468F">
        <w:rPr>
          <w:i/>
        </w:rPr>
        <w:t>The Politics of Community Services. Immigrant Women, Class and State</w:t>
      </w:r>
      <w:r w:rsidRPr="00E5468F">
        <w:t>,</w:t>
      </w:r>
      <w:r w:rsidRPr="00E5468F">
        <w:rPr>
          <w:bCs/>
          <w:iCs/>
        </w:rPr>
        <w:t xml:space="preserve"> Toronto, Garamond Press, 1988.</w:t>
      </w:r>
    </w:p>
    <w:p w:rsidR="00B7214C" w:rsidRPr="00E5468F" w:rsidRDefault="00B7214C" w:rsidP="00B7214C">
      <w:pPr>
        <w:spacing w:before="120" w:after="120"/>
        <w:jc w:val="both"/>
      </w:pPr>
      <w:r w:rsidRPr="00E5468F">
        <w:t>Ng, R., A. Estable, « Immigrant Women in the Labour Force : An OverView of Pr</w:t>
      </w:r>
      <w:r>
        <w:t>e</w:t>
      </w:r>
      <w:r w:rsidRPr="00E5468F">
        <w:t xml:space="preserve">sent Knowledge and Research Gaps », </w:t>
      </w:r>
      <w:r w:rsidRPr="00E5468F">
        <w:rPr>
          <w:bCs/>
          <w:i/>
          <w:iCs/>
        </w:rPr>
        <w:t>Resou</w:t>
      </w:r>
      <w:r w:rsidRPr="00E5468F">
        <w:rPr>
          <w:bCs/>
          <w:i/>
          <w:iCs/>
        </w:rPr>
        <w:t>r</w:t>
      </w:r>
      <w:r w:rsidRPr="00E5468F">
        <w:rPr>
          <w:bCs/>
          <w:i/>
          <w:iCs/>
        </w:rPr>
        <w:t>ces for Feminist Research,</w:t>
      </w:r>
      <w:r w:rsidRPr="00E5468F">
        <w:t xml:space="preserve"> vol.</w:t>
      </w:r>
      <w:r>
        <w:t> </w:t>
      </w:r>
      <w:r w:rsidRPr="00E5468F">
        <w:t>16, n°</w:t>
      </w:r>
      <w:r>
        <w:t> </w:t>
      </w:r>
      <w:r w:rsidRPr="00E5468F">
        <w:t>1, 1987.</w:t>
      </w:r>
    </w:p>
    <w:p w:rsidR="00B7214C" w:rsidRPr="00E5468F" w:rsidRDefault="00B7214C" w:rsidP="00B7214C">
      <w:pPr>
        <w:spacing w:before="120" w:after="120"/>
        <w:jc w:val="both"/>
      </w:pPr>
      <w:r w:rsidRPr="00E5468F">
        <w:t xml:space="preserve">Novak, M.E., </w:t>
      </w:r>
      <w:r w:rsidRPr="00E5468F">
        <w:rPr>
          <w:bCs/>
          <w:i/>
          <w:iCs/>
        </w:rPr>
        <w:t>The</w:t>
      </w:r>
      <w:r>
        <w:rPr>
          <w:bCs/>
          <w:i/>
          <w:iCs/>
        </w:rPr>
        <w:t xml:space="preserve"> </w:t>
      </w:r>
      <w:r w:rsidRPr="00E5468F">
        <w:rPr>
          <w:bCs/>
          <w:i/>
          <w:iCs/>
        </w:rPr>
        <w:t>Rise of</w:t>
      </w:r>
      <w:r>
        <w:rPr>
          <w:bCs/>
          <w:i/>
          <w:iCs/>
        </w:rPr>
        <w:t xml:space="preserve"> </w:t>
      </w:r>
      <w:r w:rsidRPr="00E5468F">
        <w:rPr>
          <w:bCs/>
          <w:i/>
          <w:iCs/>
        </w:rPr>
        <w:t>the Unmeltable Ethni</w:t>
      </w:r>
      <w:r>
        <w:rPr>
          <w:bCs/>
          <w:i/>
          <w:iCs/>
        </w:rPr>
        <w:t>c</w:t>
      </w:r>
      <w:r w:rsidRPr="00E5468F">
        <w:rPr>
          <w:bCs/>
          <w:i/>
          <w:iCs/>
        </w:rPr>
        <w:t>s,</w:t>
      </w:r>
      <w:r w:rsidRPr="00E5468F">
        <w:t xml:space="preserve"> New York, Macmi</w:t>
      </w:r>
      <w:r w:rsidRPr="00E5468F">
        <w:t>l</w:t>
      </w:r>
      <w:r w:rsidRPr="00E5468F">
        <w:t>lan, 1978.</w:t>
      </w:r>
    </w:p>
    <w:p w:rsidR="00B7214C" w:rsidRDefault="00B7214C" w:rsidP="00B7214C">
      <w:pPr>
        <w:spacing w:before="120" w:after="120"/>
        <w:jc w:val="both"/>
      </w:pPr>
      <w:r w:rsidRPr="00E5468F">
        <w:t xml:space="preserve">Omi, N., H. Winant, « Racial Theory in the Postwar United States : A Review and Critique », </w:t>
      </w:r>
      <w:r w:rsidRPr="00E5468F">
        <w:rPr>
          <w:bCs/>
          <w:i/>
          <w:iCs/>
        </w:rPr>
        <w:t>Sage Relations Abstracts,</w:t>
      </w:r>
      <w:r w:rsidRPr="00E5468F">
        <w:t xml:space="preserve"> vol.</w:t>
      </w:r>
      <w:r>
        <w:t> </w:t>
      </w:r>
      <w:r w:rsidRPr="00E5468F">
        <w:t>12, n°</w:t>
      </w:r>
      <w:r>
        <w:t> </w:t>
      </w:r>
      <w:r w:rsidRPr="00E5468F">
        <w:t>2,</w:t>
      </w:r>
      <w:r>
        <w:t xml:space="preserve"> </w:t>
      </w:r>
      <w:r w:rsidRPr="00E5468F">
        <w:t>1987.</w:t>
      </w:r>
    </w:p>
    <w:p w:rsidR="00B7214C" w:rsidRPr="00E5468F" w:rsidRDefault="00B7214C" w:rsidP="00B7214C">
      <w:pPr>
        <w:spacing w:before="120" w:after="120"/>
        <w:jc w:val="both"/>
      </w:pPr>
      <w:r>
        <w:t>[72]</w:t>
      </w:r>
    </w:p>
    <w:p w:rsidR="00B7214C" w:rsidRPr="00E5468F" w:rsidRDefault="00B7214C" w:rsidP="00B7214C">
      <w:pPr>
        <w:spacing w:before="120" w:after="120"/>
        <w:jc w:val="both"/>
      </w:pPr>
      <w:r w:rsidRPr="00E5468F">
        <w:t xml:space="preserve">Omi, M., H. Winant, </w:t>
      </w:r>
      <w:r w:rsidRPr="00E5468F">
        <w:rPr>
          <w:bCs/>
          <w:i/>
          <w:iCs/>
        </w:rPr>
        <w:t>Racial Formation in the United States,</w:t>
      </w:r>
      <w:r w:rsidRPr="00E5468F">
        <w:t xml:space="preserve"> New York et London, Routledge and Kegan Paul, 1986.</w:t>
      </w:r>
    </w:p>
    <w:p w:rsidR="00B7214C" w:rsidRPr="00E5468F" w:rsidRDefault="00B7214C" w:rsidP="00B7214C">
      <w:pPr>
        <w:spacing w:before="120" w:after="120"/>
        <w:jc w:val="both"/>
      </w:pPr>
      <w:r w:rsidRPr="00E5468F">
        <w:t>Ouellet, F., « Le perfectionnement des maîtres en éducation inte</w:t>
      </w:r>
      <w:r w:rsidRPr="00E5468F">
        <w:t>r</w:t>
      </w:r>
      <w:r w:rsidRPr="00E5468F">
        <w:t xml:space="preserve">culturelle. Bilan de la réflexion théorique récente ». </w:t>
      </w:r>
      <w:r w:rsidRPr="00E5468F">
        <w:rPr>
          <w:bCs/>
          <w:i/>
          <w:iCs/>
        </w:rPr>
        <w:t>Impressions,</w:t>
      </w:r>
      <w:r w:rsidRPr="00E5468F">
        <w:t xml:space="preserve"> n°</w:t>
      </w:r>
      <w:r>
        <w:t> </w:t>
      </w:r>
      <w:r w:rsidRPr="00E5468F">
        <w:t>9,</w:t>
      </w:r>
      <w:r>
        <w:t xml:space="preserve"> </w:t>
      </w:r>
      <w:r w:rsidRPr="00E5468F">
        <w:t>1991.</w:t>
      </w:r>
    </w:p>
    <w:p w:rsidR="00B7214C" w:rsidRPr="00E5468F" w:rsidRDefault="00B7214C" w:rsidP="00B7214C">
      <w:pPr>
        <w:spacing w:before="120" w:after="120"/>
        <w:jc w:val="both"/>
      </w:pPr>
      <w:r w:rsidRPr="00E5468F">
        <w:t xml:space="preserve">Ouellet, F., M. Pagé, (dir.), </w:t>
      </w:r>
      <w:r w:rsidRPr="00E5468F">
        <w:rPr>
          <w:bCs/>
          <w:i/>
          <w:iCs/>
        </w:rPr>
        <w:t xml:space="preserve">Pluriethnicité, éducation et société. Construire un espace commun, </w:t>
      </w:r>
      <w:r w:rsidRPr="00E5468F">
        <w:t>Québec, Institut québécois de reche</w:t>
      </w:r>
      <w:r w:rsidRPr="00E5468F">
        <w:t>r</w:t>
      </w:r>
      <w:r w:rsidRPr="00E5468F">
        <w:t>che sur la culture, 1991.</w:t>
      </w:r>
    </w:p>
    <w:p w:rsidR="00B7214C" w:rsidRPr="00E5468F" w:rsidRDefault="00B7214C" w:rsidP="00B7214C">
      <w:pPr>
        <w:spacing w:before="120" w:after="120"/>
        <w:jc w:val="both"/>
      </w:pPr>
      <w:r w:rsidRPr="00E5468F">
        <w:t xml:space="preserve">Pagé, M., « Intégration, identité ethnique et cohésion sociale », dans F. Ouellet, M. Pagé, (dir.), </w:t>
      </w:r>
      <w:r w:rsidRPr="00E5468F">
        <w:rPr>
          <w:bCs/>
          <w:i/>
          <w:iCs/>
        </w:rPr>
        <w:t>Pluriethnicité, éducation et société. Construire un espace commun,</w:t>
      </w:r>
      <w:r w:rsidRPr="00E5468F">
        <w:t xml:space="preserve"> Québec, Institut québécois de reche</w:t>
      </w:r>
      <w:r w:rsidRPr="00E5468F">
        <w:t>r</w:t>
      </w:r>
      <w:r w:rsidRPr="00E5468F">
        <w:t>che sur la culture, 1991.</w:t>
      </w:r>
    </w:p>
    <w:p w:rsidR="00B7214C" w:rsidRPr="00E5468F" w:rsidRDefault="00B7214C" w:rsidP="00B7214C">
      <w:pPr>
        <w:spacing w:before="120" w:after="120"/>
        <w:jc w:val="both"/>
      </w:pPr>
      <w:r w:rsidRPr="00E5468F">
        <w:t>Paillé, M., « Choix linguistiques des immigrants dans les trois pr</w:t>
      </w:r>
      <w:r w:rsidRPr="00E5468F">
        <w:t>o</w:t>
      </w:r>
      <w:r w:rsidRPr="00E5468F">
        <w:t xml:space="preserve">vinces canadiennes les plus populeuses », </w:t>
      </w:r>
      <w:r w:rsidRPr="00E5468F">
        <w:rPr>
          <w:bCs/>
          <w:i/>
          <w:iCs/>
        </w:rPr>
        <w:t>International journal of</w:t>
      </w:r>
      <w:r>
        <w:rPr>
          <w:bCs/>
          <w:i/>
          <w:iCs/>
        </w:rPr>
        <w:t xml:space="preserve"> </w:t>
      </w:r>
      <w:r w:rsidRPr="00E5468F">
        <w:rPr>
          <w:bCs/>
          <w:i/>
          <w:iCs/>
        </w:rPr>
        <w:t>Can</w:t>
      </w:r>
      <w:r w:rsidRPr="00E5468F">
        <w:rPr>
          <w:bCs/>
          <w:i/>
          <w:iCs/>
        </w:rPr>
        <w:t>a</w:t>
      </w:r>
      <w:r w:rsidRPr="00E5468F">
        <w:rPr>
          <w:bCs/>
          <w:i/>
          <w:iCs/>
        </w:rPr>
        <w:t>dian Studies, Revue internationale d'études canadiennes,</w:t>
      </w:r>
      <w:r w:rsidRPr="00E5468F">
        <w:t xml:space="preserve"> n°</w:t>
      </w:r>
      <w:r>
        <w:t> </w:t>
      </w:r>
      <w:r w:rsidRPr="00E5468F">
        <w:t>3,</w:t>
      </w:r>
      <w:r>
        <w:t xml:space="preserve"> </w:t>
      </w:r>
      <w:r w:rsidRPr="00E5468F">
        <w:t>1991.</w:t>
      </w:r>
    </w:p>
    <w:p w:rsidR="00B7214C" w:rsidRPr="00E5468F" w:rsidRDefault="00B7214C" w:rsidP="00B7214C">
      <w:pPr>
        <w:spacing w:before="120" w:after="120"/>
        <w:jc w:val="both"/>
      </w:pPr>
      <w:r w:rsidRPr="00E5468F">
        <w:t xml:space="preserve">Painchaud, C., R. Poulin, </w:t>
      </w:r>
      <w:r w:rsidRPr="00E5468F">
        <w:rPr>
          <w:bCs/>
          <w:i/>
          <w:iCs/>
        </w:rPr>
        <w:t>Les Italiens au Québec,</w:t>
      </w:r>
      <w:r w:rsidRPr="00E5468F">
        <w:t xml:space="preserve"> Hull, Critiques et Asticou, 1988.</w:t>
      </w:r>
    </w:p>
    <w:p w:rsidR="00B7214C" w:rsidRPr="00E5468F" w:rsidRDefault="00B7214C" w:rsidP="00B7214C">
      <w:pPr>
        <w:spacing w:before="120" w:after="120"/>
        <w:jc w:val="both"/>
      </w:pPr>
      <w:r w:rsidRPr="00E5468F">
        <w:t>Painchaud, C., R. Poulin, « Italianité, conflit linguistique et stru</w:t>
      </w:r>
      <w:r w:rsidRPr="00E5468F">
        <w:t>c</w:t>
      </w:r>
      <w:r w:rsidRPr="00E5468F">
        <w:t>ture du</w:t>
      </w:r>
      <w:r>
        <w:t xml:space="preserve"> p</w:t>
      </w:r>
      <w:r w:rsidRPr="00E5468F">
        <w:t xml:space="preserve">ouvoir dans la communauté italo-québécoise ». </w:t>
      </w:r>
      <w:r w:rsidRPr="00E5468F">
        <w:rPr>
          <w:bCs/>
          <w:i/>
          <w:iCs/>
        </w:rPr>
        <w:t>S</w:t>
      </w:r>
      <w:r w:rsidRPr="00E5468F">
        <w:rPr>
          <w:bCs/>
          <w:i/>
          <w:iCs/>
        </w:rPr>
        <w:t>o</w:t>
      </w:r>
      <w:r w:rsidRPr="00E5468F">
        <w:rPr>
          <w:bCs/>
          <w:i/>
          <w:iCs/>
        </w:rPr>
        <w:t>ciologie et sociétés,</w:t>
      </w:r>
      <w:r w:rsidRPr="00E5468F">
        <w:t xml:space="preserve"> vol.</w:t>
      </w:r>
      <w:r>
        <w:t> </w:t>
      </w:r>
      <w:r w:rsidRPr="00E5468F">
        <w:t>15, n</w:t>
      </w:r>
      <w:r>
        <w:t>o </w:t>
      </w:r>
      <w:r w:rsidRPr="00E5468F">
        <w:t>2,</w:t>
      </w:r>
      <w:r>
        <w:t xml:space="preserve"> </w:t>
      </w:r>
      <w:r w:rsidRPr="00E5468F">
        <w:t>1985.</w:t>
      </w:r>
    </w:p>
    <w:p w:rsidR="00B7214C" w:rsidRPr="00E5468F" w:rsidRDefault="00B7214C" w:rsidP="00B7214C">
      <w:pPr>
        <w:spacing w:before="120" w:after="120"/>
        <w:jc w:val="both"/>
      </w:pPr>
      <w:r w:rsidRPr="00E5468F">
        <w:t xml:space="preserve">Phizacklea, A., </w:t>
      </w:r>
      <w:r w:rsidRPr="00E5468F">
        <w:rPr>
          <w:bCs/>
          <w:i/>
          <w:iCs/>
        </w:rPr>
        <w:t>One Way Ticket. Migration and Female Labour,</w:t>
      </w:r>
      <w:r w:rsidRPr="00E5468F">
        <w:t xml:space="preserve"> Lo</w:t>
      </w:r>
      <w:r w:rsidRPr="00E5468F">
        <w:t>n</w:t>
      </w:r>
      <w:r w:rsidRPr="00E5468F">
        <w:t>don, Routledge and Kegan Paul, 1980.</w:t>
      </w:r>
    </w:p>
    <w:p w:rsidR="00B7214C" w:rsidRPr="00E5468F" w:rsidRDefault="00B7214C" w:rsidP="00B7214C">
      <w:pPr>
        <w:spacing w:before="120" w:after="120"/>
        <w:jc w:val="both"/>
      </w:pPr>
      <w:r w:rsidRPr="00E5468F">
        <w:t xml:space="preserve">Porter, J., « Ethnie Pluralism in Canadian Perspective », dans N. Glazer, N. Moynihan (dir.), </w:t>
      </w:r>
      <w:r w:rsidRPr="00E5468F">
        <w:rPr>
          <w:bCs/>
          <w:i/>
          <w:iCs/>
        </w:rPr>
        <w:t>Ethnicity : Theory and Exp</w:t>
      </w:r>
      <w:r>
        <w:rPr>
          <w:bCs/>
          <w:i/>
          <w:iCs/>
        </w:rPr>
        <w:t>e</w:t>
      </w:r>
      <w:r w:rsidRPr="00E5468F">
        <w:rPr>
          <w:bCs/>
          <w:i/>
          <w:iCs/>
        </w:rPr>
        <w:t>rience,</w:t>
      </w:r>
      <w:r w:rsidRPr="00E5468F">
        <w:t xml:space="preserve"> Ca</w:t>
      </w:r>
      <w:r w:rsidRPr="00E5468F">
        <w:t>m</w:t>
      </w:r>
      <w:r w:rsidRPr="00E5468F">
        <w:t>bri</w:t>
      </w:r>
      <w:r w:rsidRPr="00E5468F">
        <w:t>d</w:t>
      </w:r>
      <w:r w:rsidRPr="00E5468F">
        <w:t>ge, Harvard University Press, 1975.</w:t>
      </w:r>
    </w:p>
    <w:p w:rsidR="00B7214C" w:rsidRPr="00E5468F" w:rsidRDefault="00B7214C" w:rsidP="00B7214C">
      <w:pPr>
        <w:spacing w:before="120" w:after="120"/>
        <w:jc w:val="both"/>
      </w:pPr>
      <w:r w:rsidRPr="00E5468F">
        <w:t>Portes, A., R. D. Manning, « L'enclave ethnique : réflexions thé</w:t>
      </w:r>
      <w:r w:rsidRPr="00E5468F">
        <w:t>o</w:t>
      </w:r>
      <w:r w:rsidRPr="00E5468F">
        <w:t xml:space="preserve">riques et études de cas », </w:t>
      </w:r>
      <w:r w:rsidRPr="00E5468F">
        <w:rPr>
          <w:bCs/>
          <w:i/>
          <w:iCs/>
        </w:rPr>
        <w:t>Revue internationale d'action communauta</w:t>
      </w:r>
      <w:r w:rsidRPr="00E5468F">
        <w:rPr>
          <w:bCs/>
          <w:i/>
          <w:iCs/>
        </w:rPr>
        <w:t>i</w:t>
      </w:r>
      <w:r w:rsidRPr="00E5468F">
        <w:rPr>
          <w:bCs/>
          <w:i/>
          <w:iCs/>
        </w:rPr>
        <w:t>re,</w:t>
      </w:r>
      <w:r w:rsidRPr="00E5468F">
        <w:t xml:space="preserve"> vol.</w:t>
      </w:r>
      <w:r>
        <w:t> </w:t>
      </w:r>
      <w:r w:rsidRPr="00E5468F">
        <w:t>14, n°</w:t>
      </w:r>
      <w:r>
        <w:t> </w:t>
      </w:r>
      <w:r w:rsidRPr="00E5468F">
        <w:t>54,</w:t>
      </w:r>
      <w:r>
        <w:t xml:space="preserve"> </w:t>
      </w:r>
      <w:r w:rsidRPr="00E5468F">
        <w:t>1985.</w:t>
      </w:r>
    </w:p>
    <w:p w:rsidR="00B7214C" w:rsidRPr="00E5468F" w:rsidRDefault="00B7214C" w:rsidP="00B7214C">
      <w:pPr>
        <w:spacing w:before="120" w:after="120"/>
        <w:jc w:val="both"/>
      </w:pPr>
      <w:r w:rsidRPr="00E5468F">
        <w:t xml:space="preserve">Portes, A., J. Walton, </w:t>
      </w:r>
      <w:r w:rsidRPr="00E5468F">
        <w:rPr>
          <w:bCs/>
          <w:i/>
          <w:iCs/>
        </w:rPr>
        <w:t>Labor, Class and the International System,</w:t>
      </w:r>
      <w:r w:rsidRPr="00E5468F">
        <w:t xml:space="preserve"> Lo</w:t>
      </w:r>
      <w:r w:rsidRPr="00E5468F">
        <w:t>n</w:t>
      </w:r>
      <w:r w:rsidRPr="00E5468F">
        <w:t>don Academi</w:t>
      </w:r>
      <w:r>
        <w:t>c</w:t>
      </w:r>
      <w:r w:rsidRPr="00E5468F">
        <w:t xml:space="preserve"> Press, 1981.</w:t>
      </w:r>
    </w:p>
    <w:p w:rsidR="00B7214C" w:rsidRPr="00E5468F" w:rsidRDefault="00B7214C" w:rsidP="00B7214C">
      <w:pPr>
        <w:spacing w:before="120" w:after="120"/>
        <w:jc w:val="both"/>
      </w:pPr>
      <w:r w:rsidRPr="00E5468F">
        <w:t>Portes, A., « Modes of Structural Incorporation and Présent Thé</w:t>
      </w:r>
      <w:r w:rsidRPr="00E5468F">
        <w:t>o</w:t>
      </w:r>
      <w:r w:rsidRPr="00E5468F">
        <w:t xml:space="preserve">ries of Labor Immigration », dans S. Tomasi </w:t>
      </w:r>
      <w:r w:rsidRPr="00E5468F">
        <w:rPr>
          <w:bCs/>
          <w:i/>
          <w:iCs/>
        </w:rPr>
        <w:t>et al.</w:t>
      </w:r>
      <w:r w:rsidRPr="00E5468F">
        <w:t xml:space="preserve"> (dir.). </w:t>
      </w:r>
      <w:r w:rsidRPr="00E5468F">
        <w:rPr>
          <w:bCs/>
          <w:i/>
          <w:iCs/>
        </w:rPr>
        <w:t>I</w:t>
      </w:r>
      <w:r w:rsidRPr="00E5468F">
        <w:rPr>
          <w:bCs/>
          <w:i/>
          <w:iCs/>
        </w:rPr>
        <w:t>n</w:t>
      </w:r>
      <w:r w:rsidRPr="00E5468F">
        <w:rPr>
          <w:bCs/>
          <w:i/>
          <w:iCs/>
        </w:rPr>
        <w:t>ternational Migration,</w:t>
      </w:r>
      <w:r w:rsidRPr="00E5468F">
        <w:t xml:space="preserve"> New York, 1980, Center for Migration Studies.</w:t>
      </w:r>
    </w:p>
    <w:p w:rsidR="00B7214C" w:rsidRPr="00E5468F" w:rsidRDefault="00B7214C" w:rsidP="00B7214C">
      <w:pPr>
        <w:spacing w:before="120" w:after="120"/>
        <w:jc w:val="both"/>
      </w:pPr>
      <w:r w:rsidRPr="00E5468F">
        <w:t>Radecki, H., « Ethnie Voluntary Organizational Dynamics in C</w:t>
      </w:r>
      <w:r w:rsidRPr="00E5468F">
        <w:t>a</w:t>
      </w:r>
      <w:r w:rsidRPr="00E5468F">
        <w:t xml:space="preserve">nada ; a Report » </w:t>
      </w:r>
      <w:r w:rsidRPr="00E5468F">
        <w:rPr>
          <w:bCs/>
          <w:i/>
          <w:iCs/>
        </w:rPr>
        <w:t>International Journal of Comparative Sociology,</w:t>
      </w:r>
      <w:r>
        <w:t xml:space="preserve"> vol. 17, nos </w:t>
      </w:r>
      <w:r w:rsidRPr="00E5468F">
        <w:t>3-4,</w:t>
      </w:r>
      <w:r>
        <w:t xml:space="preserve"> </w:t>
      </w:r>
      <w:r w:rsidRPr="00E5468F">
        <w:t>1976.</w:t>
      </w:r>
    </w:p>
    <w:p w:rsidR="00B7214C" w:rsidRPr="00E5468F" w:rsidRDefault="00B7214C" w:rsidP="00B7214C">
      <w:pPr>
        <w:spacing w:before="120" w:after="120"/>
        <w:jc w:val="both"/>
      </w:pPr>
      <w:r w:rsidRPr="00E5468F">
        <w:t xml:space="preserve">Reitz, J., </w:t>
      </w:r>
      <w:r w:rsidRPr="00E5468F">
        <w:rPr>
          <w:bCs/>
          <w:i/>
          <w:iCs/>
        </w:rPr>
        <w:t>The Survival of Ethni</w:t>
      </w:r>
      <w:r>
        <w:rPr>
          <w:bCs/>
          <w:i/>
          <w:iCs/>
        </w:rPr>
        <w:t>c</w:t>
      </w:r>
      <w:r w:rsidRPr="00E5468F">
        <w:rPr>
          <w:bCs/>
          <w:i/>
          <w:iCs/>
        </w:rPr>
        <w:t xml:space="preserve"> Groups,</w:t>
      </w:r>
      <w:r w:rsidRPr="00E5468F">
        <w:t xml:space="preserve"> Toronto, McGraw-Hill Rye</w:t>
      </w:r>
      <w:r w:rsidRPr="00E5468F">
        <w:t>r</w:t>
      </w:r>
      <w:r w:rsidRPr="00E5468F">
        <w:t>son, 1980.</w:t>
      </w:r>
    </w:p>
    <w:p w:rsidR="00B7214C" w:rsidRPr="00E5468F" w:rsidRDefault="00B7214C" w:rsidP="00B7214C">
      <w:pPr>
        <w:spacing w:before="120" w:after="120"/>
        <w:jc w:val="both"/>
      </w:pPr>
      <w:r w:rsidRPr="00E5468F">
        <w:t xml:space="preserve">Rex, JL, D. Mason, </w:t>
      </w:r>
      <w:r w:rsidRPr="00E5468F">
        <w:rPr>
          <w:bCs/>
          <w:i/>
          <w:iCs/>
        </w:rPr>
        <w:t>Th</w:t>
      </w:r>
      <w:r>
        <w:rPr>
          <w:bCs/>
          <w:i/>
          <w:iCs/>
        </w:rPr>
        <w:t>e</w:t>
      </w:r>
      <w:r w:rsidRPr="00E5468F">
        <w:rPr>
          <w:bCs/>
          <w:i/>
          <w:iCs/>
        </w:rPr>
        <w:t>ories of</w:t>
      </w:r>
      <w:r>
        <w:rPr>
          <w:bCs/>
          <w:i/>
          <w:iCs/>
        </w:rPr>
        <w:t xml:space="preserve"> </w:t>
      </w:r>
      <w:r w:rsidRPr="00E5468F">
        <w:rPr>
          <w:bCs/>
          <w:i/>
          <w:iCs/>
        </w:rPr>
        <w:t>Race and Ethni</w:t>
      </w:r>
      <w:r>
        <w:rPr>
          <w:bCs/>
          <w:i/>
          <w:iCs/>
        </w:rPr>
        <w:t>c</w:t>
      </w:r>
      <w:r w:rsidRPr="00E5468F">
        <w:rPr>
          <w:bCs/>
          <w:i/>
          <w:iCs/>
        </w:rPr>
        <w:t xml:space="preserve"> Relations,</w:t>
      </w:r>
      <w:r w:rsidRPr="00E5468F">
        <w:t xml:space="preserve"> Cambri</w:t>
      </w:r>
      <w:r w:rsidRPr="00E5468F">
        <w:t>d</w:t>
      </w:r>
      <w:r w:rsidRPr="00E5468F">
        <w:t>ge, Cambridge University Press, 1988.</w:t>
      </w:r>
    </w:p>
    <w:p w:rsidR="00B7214C" w:rsidRPr="00E5468F" w:rsidRDefault="00B7214C" w:rsidP="00B7214C">
      <w:pPr>
        <w:spacing w:before="120" w:after="120"/>
        <w:jc w:val="both"/>
      </w:pPr>
      <w:r w:rsidRPr="00E5468F">
        <w:t xml:space="preserve">Rex, J., D. Joly, C. Wilpert, </w:t>
      </w:r>
      <w:r w:rsidRPr="00E5468F">
        <w:rPr>
          <w:bCs/>
          <w:i/>
          <w:iCs/>
        </w:rPr>
        <w:t>Immigrant Associations in Europe,</w:t>
      </w:r>
      <w:r w:rsidRPr="00E5468F">
        <w:t xml:space="preserve"> Gower, 1987.</w:t>
      </w:r>
    </w:p>
    <w:p w:rsidR="00B7214C" w:rsidRPr="00E5468F" w:rsidRDefault="00B7214C" w:rsidP="00B7214C">
      <w:pPr>
        <w:spacing w:before="120" w:after="120"/>
        <w:jc w:val="both"/>
      </w:pPr>
      <w:r w:rsidRPr="00E5468F">
        <w:t>Rocher, F., G. Rocher, « </w:t>
      </w:r>
      <w:hyperlink r:id="rId34" w:history="1">
        <w:r w:rsidRPr="001D0926">
          <w:rPr>
            <w:rStyle w:val="Lienhypertexte"/>
          </w:rPr>
          <w:t>La culture québécoise en devenir : les d</w:t>
        </w:r>
        <w:r w:rsidRPr="001D0926">
          <w:rPr>
            <w:rStyle w:val="Lienhypertexte"/>
          </w:rPr>
          <w:t>é</w:t>
        </w:r>
        <w:r w:rsidRPr="001D0926">
          <w:rPr>
            <w:rStyle w:val="Lienhypertexte"/>
          </w:rPr>
          <w:t>fis du pluralisme </w:t>
        </w:r>
      </w:hyperlink>
      <w:r w:rsidRPr="00E5468F">
        <w:t xml:space="preserve">», dans F. Ouellet, M. Pagé, (dir.), </w:t>
      </w:r>
      <w:r w:rsidRPr="00E5468F">
        <w:rPr>
          <w:bCs/>
          <w:i/>
          <w:iCs/>
        </w:rPr>
        <w:t>Pluriethnicité, éd</w:t>
      </w:r>
      <w:r w:rsidRPr="00E5468F">
        <w:rPr>
          <w:bCs/>
          <w:i/>
          <w:iCs/>
        </w:rPr>
        <w:t>u</w:t>
      </w:r>
      <w:r w:rsidRPr="00E5468F">
        <w:rPr>
          <w:bCs/>
          <w:i/>
          <w:iCs/>
        </w:rPr>
        <w:t>cation et société. Construire un espace commun,</w:t>
      </w:r>
      <w:r w:rsidRPr="00E5468F">
        <w:t xml:space="preserve"> Québec, Institut qu</w:t>
      </w:r>
      <w:r w:rsidRPr="00E5468F">
        <w:t>é</w:t>
      </w:r>
      <w:r w:rsidRPr="00E5468F">
        <w:t>bécois de recherche sur la culture, 1991.</w:t>
      </w:r>
    </w:p>
    <w:p w:rsidR="00B7214C" w:rsidRPr="00E5468F" w:rsidRDefault="00B7214C" w:rsidP="00B7214C">
      <w:pPr>
        <w:spacing w:before="120" w:after="120"/>
        <w:jc w:val="both"/>
      </w:pPr>
      <w:r w:rsidRPr="00E5468F">
        <w:t xml:space="preserve">Rodai, A., « L'identité juive » dans P. Anctil, G. Caldwell (dir.), </w:t>
      </w:r>
      <w:r w:rsidRPr="00E5468F">
        <w:rPr>
          <w:bCs/>
          <w:i/>
          <w:iCs/>
        </w:rPr>
        <w:t>juifs et réalités juives au (Québec,</w:t>
      </w:r>
      <w:r w:rsidRPr="00E5468F">
        <w:t xml:space="preserve"> Montréal, Institut québécois de r</w:t>
      </w:r>
      <w:r w:rsidRPr="00E5468F">
        <w:t>e</w:t>
      </w:r>
      <w:r w:rsidRPr="00E5468F">
        <w:t>che</w:t>
      </w:r>
      <w:r w:rsidRPr="00E5468F">
        <w:t>r</w:t>
      </w:r>
      <w:r w:rsidRPr="00E5468F">
        <w:t>che sur la culture, 1984.</w:t>
      </w:r>
    </w:p>
    <w:p w:rsidR="00B7214C" w:rsidRPr="00E5468F" w:rsidRDefault="00B7214C" w:rsidP="00B7214C">
      <w:pPr>
        <w:spacing w:before="120" w:after="120"/>
        <w:jc w:val="both"/>
      </w:pPr>
      <w:r w:rsidRPr="00E5468F">
        <w:t>Schnapper, D., « Communautés, minorités ethniques et c</w:t>
      </w:r>
      <w:r w:rsidRPr="00E5468F">
        <w:t>i</w:t>
      </w:r>
      <w:r w:rsidRPr="00E5468F">
        <w:t xml:space="preserve">toyens musulmans », dans B. Lewis, D. Schnapper, (dir.). </w:t>
      </w:r>
      <w:r w:rsidRPr="00E5468F">
        <w:rPr>
          <w:bCs/>
          <w:i/>
          <w:iCs/>
        </w:rPr>
        <w:t>Musulmans en E</w:t>
      </w:r>
      <w:r w:rsidRPr="00E5468F">
        <w:rPr>
          <w:bCs/>
          <w:i/>
          <w:iCs/>
        </w:rPr>
        <w:t>u</w:t>
      </w:r>
      <w:r w:rsidRPr="00E5468F">
        <w:rPr>
          <w:bCs/>
          <w:i/>
          <w:iCs/>
        </w:rPr>
        <w:t>r</w:t>
      </w:r>
      <w:r w:rsidRPr="00E5468F">
        <w:rPr>
          <w:bCs/>
          <w:i/>
          <w:iCs/>
        </w:rPr>
        <w:t>o</w:t>
      </w:r>
      <w:r w:rsidRPr="00E5468F">
        <w:rPr>
          <w:bCs/>
          <w:i/>
          <w:iCs/>
        </w:rPr>
        <w:t>pe,</w:t>
      </w:r>
      <w:r w:rsidRPr="00E5468F">
        <w:t xml:space="preserve"> Paris, Acte Sud, 1992.</w:t>
      </w:r>
    </w:p>
    <w:p w:rsidR="00B7214C" w:rsidRPr="001C6FD2" w:rsidRDefault="00B7214C" w:rsidP="00B7214C">
      <w:pPr>
        <w:spacing w:before="120" w:after="120"/>
        <w:jc w:val="both"/>
      </w:pPr>
      <w:r w:rsidRPr="001C6FD2">
        <w:rPr>
          <w:bCs/>
          <w:iCs/>
        </w:rPr>
        <w:t xml:space="preserve">Schnapper, D., </w:t>
      </w:r>
      <w:r w:rsidRPr="001C6FD2">
        <w:rPr>
          <w:i/>
        </w:rPr>
        <w:t>La France de l'intégration. Sociologie de la nation en 1990</w:t>
      </w:r>
      <w:r w:rsidRPr="001C6FD2">
        <w:t>,</w:t>
      </w:r>
      <w:r w:rsidRPr="001C6FD2">
        <w:rPr>
          <w:bCs/>
          <w:iCs/>
        </w:rPr>
        <w:t xml:space="preserve"> Paris, Gallimard, 1991.</w:t>
      </w:r>
    </w:p>
    <w:p w:rsidR="00B7214C" w:rsidRDefault="00B7214C" w:rsidP="00B7214C">
      <w:pPr>
        <w:spacing w:before="120" w:after="120"/>
        <w:jc w:val="both"/>
      </w:pPr>
      <w:r w:rsidRPr="00E5468F">
        <w:t xml:space="preserve">Schoenberg, U., « Participation in Ethnie Associations : the Case of Immigrants in West Germany », </w:t>
      </w:r>
      <w:r w:rsidRPr="00E5468F">
        <w:rPr>
          <w:bCs/>
          <w:i/>
          <w:iCs/>
        </w:rPr>
        <w:t>International Migration R</w:t>
      </w:r>
      <w:r w:rsidRPr="00E5468F">
        <w:rPr>
          <w:bCs/>
          <w:i/>
          <w:iCs/>
        </w:rPr>
        <w:t>e</w:t>
      </w:r>
      <w:r w:rsidRPr="00E5468F">
        <w:rPr>
          <w:bCs/>
          <w:i/>
          <w:iCs/>
        </w:rPr>
        <w:t>view,</w:t>
      </w:r>
      <w:r w:rsidRPr="00E5468F">
        <w:t xml:space="preserve"> vol.</w:t>
      </w:r>
      <w:r>
        <w:t> </w:t>
      </w:r>
      <w:r w:rsidRPr="00E5468F">
        <w:t>19,</w:t>
      </w:r>
      <w:r>
        <w:t xml:space="preserve"> </w:t>
      </w:r>
      <w:r w:rsidRPr="00E5468F">
        <w:t>1985.</w:t>
      </w:r>
    </w:p>
    <w:p w:rsidR="00B7214C" w:rsidRPr="00E5468F" w:rsidRDefault="00B7214C" w:rsidP="00B7214C">
      <w:pPr>
        <w:spacing w:before="120" w:after="120"/>
        <w:jc w:val="both"/>
      </w:pPr>
      <w:r>
        <w:br w:type="page"/>
        <w:t>[73]</w:t>
      </w:r>
    </w:p>
    <w:p w:rsidR="00B7214C" w:rsidRPr="00E5468F" w:rsidRDefault="00B7214C" w:rsidP="00B7214C">
      <w:pPr>
        <w:spacing w:before="120" w:after="120"/>
        <w:jc w:val="both"/>
      </w:pPr>
      <w:r w:rsidRPr="00E5468F">
        <w:t>Simard, J. J., « </w:t>
      </w:r>
      <w:hyperlink r:id="rId35" w:history="1">
        <w:r w:rsidRPr="001D0926">
          <w:rPr>
            <w:rStyle w:val="Lienhypertexte"/>
          </w:rPr>
          <w:t>Droits, identités et minorités : à l'arrière-plan de l'éducation interculturelle </w:t>
        </w:r>
      </w:hyperlink>
      <w:r w:rsidRPr="00E5468F">
        <w:t xml:space="preserve">», dans F. Ouellet, M. Pagé, (dir.), </w:t>
      </w:r>
      <w:r w:rsidRPr="00E5468F">
        <w:rPr>
          <w:bCs/>
          <w:i/>
          <w:iCs/>
        </w:rPr>
        <w:t>Pluriethn</w:t>
      </w:r>
      <w:r w:rsidRPr="00E5468F">
        <w:rPr>
          <w:bCs/>
          <w:i/>
          <w:iCs/>
        </w:rPr>
        <w:t>i</w:t>
      </w:r>
      <w:r w:rsidRPr="00E5468F">
        <w:rPr>
          <w:bCs/>
          <w:i/>
          <w:iCs/>
        </w:rPr>
        <w:t>cité, éducation et société. Construire un espace commun,</w:t>
      </w:r>
      <w:r w:rsidRPr="00E5468F">
        <w:t xml:space="preserve"> Québec, Institut québécois de recherche sur la culture, 1991.</w:t>
      </w:r>
    </w:p>
    <w:p w:rsidR="00B7214C" w:rsidRPr="00E5468F" w:rsidRDefault="00B7214C" w:rsidP="00B7214C">
      <w:pPr>
        <w:spacing w:before="120" w:after="120"/>
        <w:jc w:val="both"/>
      </w:pPr>
      <w:r w:rsidRPr="00E5468F">
        <w:t>Simon, P. J., « L'étude des relations interethniques et des rel</w:t>
      </w:r>
      <w:r w:rsidRPr="00E5468F">
        <w:t>a</w:t>
      </w:r>
      <w:r w:rsidRPr="00E5468F">
        <w:t xml:space="preserve">tions raciales dans la sociologie française », dans G. Balandier (dir.) </w:t>
      </w:r>
      <w:r w:rsidRPr="00E5468F">
        <w:rPr>
          <w:bCs/>
          <w:i/>
          <w:iCs/>
        </w:rPr>
        <w:t>Que</w:t>
      </w:r>
      <w:r w:rsidRPr="00E5468F">
        <w:rPr>
          <w:bCs/>
          <w:i/>
          <w:iCs/>
        </w:rPr>
        <w:t>s</w:t>
      </w:r>
      <w:r w:rsidRPr="00E5468F">
        <w:rPr>
          <w:bCs/>
          <w:i/>
          <w:iCs/>
        </w:rPr>
        <w:t xml:space="preserve">tions à la sociologie française, </w:t>
      </w:r>
      <w:r w:rsidRPr="00E5468F">
        <w:t>Paris, Presses universitaires de France, 1976.</w:t>
      </w:r>
    </w:p>
    <w:p w:rsidR="00B7214C" w:rsidRPr="00E5468F" w:rsidRDefault="00B7214C" w:rsidP="00B7214C">
      <w:pPr>
        <w:spacing w:before="120" w:after="120"/>
        <w:jc w:val="both"/>
      </w:pPr>
      <w:r w:rsidRPr="00E5468F">
        <w:t xml:space="preserve">Smith, D., </w:t>
      </w:r>
      <w:r w:rsidRPr="00E5468F">
        <w:rPr>
          <w:bCs/>
          <w:i/>
          <w:iCs/>
        </w:rPr>
        <w:t>The Ethni</w:t>
      </w:r>
      <w:r>
        <w:rPr>
          <w:bCs/>
          <w:i/>
          <w:iCs/>
        </w:rPr>
        <w:t>c</w:t>
      </w:r>
      <w:r w:rsidRPr="00E5468F">
        <w:rPr>
          <w:bCs/>
          <w:i/>
          <w:iCs/>
        </w:rPr>
        <w:t xml:space="preserve"> Revival in the Modern World,</w:t>
      </w:r>
      <w:r w:rsidRPr="00E5468F">
        <w:t xml:space="preserve"> Cambridge, Ca</w:t>
      </w:r>
      <w:r w:rsidRPr="00E5468F">
        <w:t>m</w:t>
      </w:r>
      <w:r w:rsidRPr="00E5468F">
        <w:t>bridge University Press, 1981.</w:t>
      </w:r>
    </w:p>
    <w:p w:rsidR="00B7214C" w:rsidRPr="001C6FD2" w:rsidRDefault="00B7214C" w:rsidP="00B7214C">
      <w:pPr>
        <w:spacing w:before="120" w:after="120"/>
        <w:jc w:val="both"/>
      </w:pPr>
      <w:r w:rsidRPr="001C6FD2">
        <w:rPr>
          <w:bCs/>
          <w:iCs/>
        </w:rPr>
        <w:t xml:space="preserve">Solomos, J., </w:t>
      </w:r>
      <w:r w:rsidRPr="001C6FD2">
        <w:rPr>
          <w:i/>
        </w:rPr>
        <w:t>Race and Racism in Contemporary Britain</w:t>
      </w:r>
      <w:r w:rsidRPr="001C6FD2">
        <w:t>,</w:t>
      </w:r>
      <w:r w:rsidRPr="001C6FD2">
        <w:rPr>
          <w:bCs/>
          <w:iCs/>
        </w:rPr>
        <w:t xml:space="preserve"> London Ma</w:t>
      </w:r>
      <w:r w:rsidRPr="001C6FD2">
        <w:rPr>
          <w:bCs/>
          <w:iCs/>
        </w:rPr>
        <w:t>c</w:t>
      </w:r>
      <w:r w:rsidRPr="001C6FD2">
        <w:rPr>
          <w:bCs/>
          <w:iCs/>
        </w:rPr>
        <w:t>Millan, 1989.</w:t>
      </w:r>
    </w:p>
    <w:p w:rsidR="00B7214C" w:rsidRPr="00E5468F" w:rsidRDefault="00B7214C" w:rsidP="00B7214C">
      <w:pPr>
        <w:spacing w:before="120" w:after="120"/>
        <w:jc w:val="both"/>
      </w:pPr>
      <w:r w:rsidRPr="00E5468F">
        <w:t xml:space="preserve">Solomos, J., </w:t>
      </w:r>
      <w:r w:rsidRPr="00E5468F">
        <w:rPr>
          <w:bCs/>
          <w:i/>
          <w:iCs/>
        </w:rPr>
        <w:t>Black Youth, Racism and the State,</w:t>
      </w:r>
      <w:r w:rsidRPr="00E5468F">
        <w:t xml:space="preserve"> New York, Ca</w:t>
      </w:r>
      <w:r w:rsidRPr="00E5468F">
        <w:t>m</w:t>
      </w:r>
      <w:r w:rsidRPr="00E5468F">
        <w:t>bridge University Press,</w:t>
      </w:r>
    </w:p>
    <w:p w:rsidR="00B7214C" w:rsidRPr="00E5468F" w:rsidRDefault="00B7214C" w:rsidP="00B7214C">
      <w:pPr>
        <w:spacing w:before="120" w:after="120"/>
        <w:jc w:val="both"/>
      </w:pPr>
      <w:r w:rsidRPr="00E5468F">
        <w:t>Stasiulis, D., « Symbolic Représentation and the Number G</w:t>
      </w:r>
      <w:r w:rsidRPr="00E5468F">
        <w:t>a</w:t>
      </w:r>
      <w:r w:rsidRPr="00E5468F">
        <w:t xml:space="preserve">mes : Tory Policies on « Race » and Visible Minorities », dans F. Abele (dir.), </w:t>
      </w:r>
      <w:r w:rsidRPr="00E5468F">
        <w:rPr>
          <w:bCs/>
          <w:i/>
          <w:iCs/>
        </w:rPr>
        <w:t>The Politics of Fragmentation : How Ottawa Spends 1991-1992,</w:t>
      </w:r>
      <w:r w:rsidRPr="00E5468F">
        <w:t xml:space="preserve"> Ott</w:t>
      </w:r>
      <w:r w:rsidRPr="00E5468F">
        <w:t>a</w:t>
      </w:r>
      <w:r w:rsidRPr="00E5468F">
        <w:t>wa, Carleton University Press, 1991.</w:t>
      </w:r>
    </w:p>
    <w:p w:rsidR="00B7214C" w:rsidRPr="00E5468F" w:rsidRDefault="00B7214C" w:rsidP="00B7214C">
      <w:pPr>
        <w:spacing w:before="120" w:after="120"/>
        <w:jc w:val="both"/>
      </w:pPr>
      <w:r w:rsidRPr="00E5468F">
        <w:t xml:space="preserve">Stasiulis, D., « Minority Résistance in the Local State : Toronto in the 1970s and 1980s », </w:t>
      </w:r>
      <w:r w:rsidRPr="00E5468F">
        <w:rPr>
          <w:bCs/>
          <w:i/>
          <w:iCs/>
        </w:rPr>
        <w:t>Ethni</w:t>
      </w:r>
      <w:r>
        <w:rPr>
          <w:bCs/>
          <w:i/>
          <w:iCs/>
        </w:rPr>
        <w:t>c</w:t>
      </w:r>
      <w:r w:rsidRPr="00E5468F">
        <w:rPr>
          <w:bCs/>
          <w:i/>
          <w:iCs/>
        </w:rPr>
        <w:t xml:space="preserve"> and Racial Studies,</w:t>
      </w:r>
      <w:r w:rsidRPr="00E5468F">
        <w:t xml:space="preserve"> vol.</w:t>
      </w:r>
      <w:r>
        <w:t> </w:t>
      </w:r>
      <w:r w:rsidRPr="00E5468F">
        <w:t>12, n°</w:t>
      </w:r>
      <w:r>
        <w:t> </w:t>
      </w:r>
      <w:r w:rsidRPr="00E5468F">
        <w:t>1,</w:t>
      </w:r>
      <w:r>
        <w:t xml:space="preserve"> </w:t>
      </w:r>
      <w:r w:rsidRPr="00E5468F">
        <w:t>1989.</w:t>
      </w:r>
    </w:p>
    <w:p w:rsidR="00B7214C" w:rsidRPr="00E5468F" w:rsidRDefault="00B7214C" w:rsidP="00B7214C">
      <w:pPr>
        <w:spacing w:before="120" w:after="120"/>
        <w:jc w:val="both"/>
      </w:pPr>
      <w:r w:rsidRPr="00E5468F">
        <w:t xml:space="preserve">Stasiulis, D., « Rainbow Feminism : Perspectives on Minority Women in Canada », </w:t>
      </w:r>
      <w:r w:rsidRPr="00E5468F">
        <w:rPr>
          <w:bCs/>
          <w:i/>
          <w:iCs/>
        </w:rPr>
        <w:t>Resources for Feminist Research,</w:t>
      </w:r>
      <w:r w:rsidRPr="00E5468F">
        <w:t xml:space="preserve"> vol.</w:t>
      </w:r>
      <w:r>
        <w:t> </w:t>
      </w:r>
      <w:r w:rsidRPr="00E5468F">
        <w:t>16, n°</w:t>
      </w:r>
      <w:r>
        <w:t> </w:t>
      </w:r>
      <w:r w:rsidRPr="00E5468F">
        <w:t>1,</w:t>
      </w:r>
      <w:r>
        <w:t xml:space="preserve"> </w:t>
      </w:r>
      <w:r w:rsidRPr="00E5468F">
        <w:t>1987.</w:t>
      </w:r>
    </w:p>
    <w:p w:rsidR="00B7214C" w:rsidRPr="00E5468F" w:rsidRDefault="00B7214C" w:rsidP="00B7214C">
      <w:pPr>
        <w:spacing w:before="120" w:after="120"/>
        <w:jc w:val="both"/>
      </w:pPr>
      <w:r w:rsidRPr="00E5468F">
        <w:t>Stasiulis, D., « The Political Structuring of Ethnie Community A</w:t>
      </w:r>
      <w:r w:rsidRPr="00E5468F">
        <w:t>c</w:t>
      </w:r>
      <w:r w:rsidRPr="00E5468F">
        <w:t xml:space="preserve">tion : a Reformulation », </w:t>
      </w:r>
      <w:r w:rsidRPr="00E5468F">
        <w:rPr>
          <w:bCs/>
          <w:i/>
          <w:iCs/>
        </w:rPr>
        <w:t>Canadian Ethni</w:t>
      </w:r>
      <w:r>
        <w:rPr>
          <w:bCs/>
          <w:i/>
          <w:iCs/>
        </w:rPr>
        <w:t>c</w:t>
      </w:r>
      <w:r w:rsidRPr="00E5468F">
        <w:rPr>
          <w:bCs/>
          <w:i/>
          <w:iCs/>
        </w:rPr>
        <w:t xml:space="preserve"> Studies,</w:t>
      </w:r>
      <w:r w:rsidRPr="00E5468F">
        <w:t xml:space="preserve"> 1980, vol.</w:t>
      </w:r>
      <w:r>
        <w:t> </w:t>
      </w:r>
      <w:r w:rsidRPr="00E5468F">
        <w:t>12, p. 19-44.</w:t>
      </w:r>
    </w:p>
    <w:p w:rsidR="00B7214C" w:rsidRPr="00E5468F" w:rsidRDefault="00B7214C" w:rsidP="00B7214C">
      <w:pPr>
        <w:spacing w:before="120" w:after="120"/>
        <w:jc w:val="both"/>
      </w:pPr>
      <w:r w:rsidRPr="00E5468F">
        <w:t xml:space="preserve">Steinberg, S., </w:t>
      </w:r>
      <w:r w:rsidRPr="00E5468F">
        <w:rPr>
          <w:bCs/>
          <w:i/>
          <w:iCs/>
        </w:rPr>
        <w:t>The Ethni</w:t>
      </w:r>
      <w:r>
        <w:rPr>
          <w:bCs/>
          <w:i/>
          <w:iCs/>
        </w:rPr>
        <w:t>c</w:t>
      </w:r>
      <w:r w:rsidRPr="00E5468F">
        <w:rPr>
          <w:bCs/>
          <w:i/>
          <w:iCs/>
        </w:rPr>
        <w:t xml:space="preserve"> Myth,</w:t>
      </w:r>
      <w:r w:rsidRPr="00E5468F">
        <w:t xml:space="preserve"> New York, Athenaeum, 1981.</w:t>
      </w:r>
    </w:p>
    <w:p w:rsidR="00B7214C" w:rsidRPr="00E5468F" w:rsidRDefault="00B7214C" w:rsidP="00B7214C">
      <w:pPr>
        <w:spacing w:before="120" w:after="120"/>
        <w:jc w:val="both"/>
      </w:pPr>
      <w:r w:rsidRPr="00E5468F">
        <w:t xml:space="preserve">Sutton, C. R., Chaney (dir.), </w:t>
      </w:r>
      <w:r w:rsidRPr="00E5468F">
        <w:rPr>
          <w:bCs/>
          <w:i/>
          <w:iCs/>
        </w:rPr>
        <w:t>Carribean Life in New York City : S</w:t>
      </w:r>
      <w:r w:rsidRPr="00E5468F">
        <w:rPr>
          <w:bCs/>
          <w:i/>
          <w:iCs/>
        </w:rPr>
        <w:t>o</w:t>
      </w:r>
      <w:r w:rsidRPr="00E5468F">
        <w:rPr>
          <w:bCs/>
          <w:i/>
          <w:iCs/>
        </w:rPr>
        <w:t>ci</w:t>
      </w:r>
      <w:r w:rsidRPr="00E5468F">
        <w:rPr>
          <w:bCs/>
          <w:i/>
          <w:iCs/>
        </w:rPr>
        <w:t>o</w:t>
      </w:r>
      <w:r w:rsidRPr="00E5468F">
        <w:rPr>
          <w:bCs/>
          <w:i/>
          <w:iCs/>
        </w:rPr>
        <w:t>cultural Dimensions,</w:t>
      </w:r>
      <w:r w:rsidRPr="00E5468F">
        <w:t xml:space="preserve"> New York, Center for Migration Studies, 1987.</w:t>
      </w:r>
    </w:p>
    <w:p w:rsidR="00B7214C" w:rsidRPr="00E5468F" w:rsidRDefault="00B7214C" w:rsidP="00B7214C">
      <w:pPr>
        <w:spacing w:before="120" w:after="120"/>
        <w:jc w:val="both"/>
      </w:pPr>
      <w:r w:rsidRPr="00E5468F">
        <w:t xml:space="preserve">Taddeo, D., R. Taras, </w:t>
      </w:r>
      <w:r w:rsidRPr="00E5468F">
        <w:rPr>
          <w:bCs/>
          <w:i/>
          <w:iCs/>
        </w:rPr>
        <w:t>Le débat linguistique au Québec,</w:t>
      </w:r>
      <w:r w:rsidRPr="00E5468F">
        <w:t xml:space="preserve"> Montréal, Pre</w:t>
      </w:r>
      <w:r w:rsidRPr="00E5468F">
        <w:t>s</w:t>
      </w:r>
      <w:r w:rsidRPr="00E5468F">
        <w:t>ses de l'Université de Montréal, 1987.</w:t>
      </w:r>
    </w:p>
    <w:p w:rsidR="00B7214C" w:rsidRPr="00E5468F" w:rsidRDefault="00B7214C" w:rsidP="00B7214C">
      <w:pPr>
        <w:spacing w:before="120" w:after="120"/>
        <w:jc w:val="both"/>
      </w:pPr>
      <w:r w:rsidRPr="00E5468F">
        <w:t xml:space="preserve">Taguieff, P. A. (dir.). </w:t>
      </w:r>
      <w:r w:rsidRPr="00E5468F">
        <w:rPr>
          <w:bCs/>
          <w:i/>
          <w:iCs/>
        </w:rPr>
        <w:t>Face au racisme,</w:t>
      </w:r>
      <w:r w:rsidRPr="00E5468F">
        <w:t xml:space="preserve"> Paris, La Découverte, 1991, 2 tomes.</w:t>
      </w:r>
    </w:p>
    <w:p w:rsidR="00B7214C" w:rsidRPr="00E5468F" w:rsidRDefault="00B7214C" w:rsidP="00B7214C">
      <w:pPr>
        <w:spacing w:before="120" w:after="120"/>
        <w:jc w:val="both"/>
      </w:pPr>
      <w:r w:rsidRPr="00E5468F">
        <w:t xml:space="preserve">Taguieff, P. A., « L'identité française et ses ennemis », </w:t>
      </w:r>
      <w:r w:rsidRPr="00E5468F">
        <w:rPr>
          <w:bCs/>
          <w:i/>
          <w:iCs/>
        </w:rPr>
        <w:t>L'Homme et la société,</w:t>
      </w:r>
      <w:r>
        <w:t xml:space="preserve"> nos </w:t>
      </w:r>
      <w:r w:rsidRPr="00E5468F">
        <w:t>77-78, 1988.</w:t>
      </w:r>
    </w:p>
    <w:p w:rsidR="00B7214C" w:rsidRPr="00E5468F" w:rsidRDefault="00B7214C" w:rsidP="00B7214C">
      <w:pPr>
        <w:spacing w:before="120" w:after="120"/>
        <w:jc w:val="both"/>
      </w:pPr>
      <w:r w:rsidRPr="00E5468F">
        <w:t xml:space="preserve">Taguieff, P. A., </w:t>
      </w:r>
      <w:r w:rsidRPr="00E5468F">
        <w:rPr>
          <w:bCs/>
          <w:i/>
          <w:iCs/>
        </w:rPr>
        <w:t>La force du préjugé,</w:t>
      </w:r>
      <w:r w:rsidRPr="00E5468F">
        <w:t xml:space="preserve"> Paris, La Découverte, 1988.</w:t>
      </w:r>
    </w:p>
    <w:p w:rsidR="00B7214C" w:rsidRPr="00E5468F" w:rsidRDefault="00B7214C" w:rsidP="00B7214C">
      <w:pPr>
        <w:spacing w:before="120" w:after="120"/>
        <w:jc w:val="both"/>
      </w:pPr>
      <w:r w:rsidRPr="00E5468F">
        <w:t xml:space="preserve">Veltman, C., L </w:t>
      </w:r>
      <w:r w:rsidRPr="00E5468F">
        <w:rPr>
          <w:bCs/>
          <w:i/>
          <w:iCs/>
        </w:rPr>
        <w:t>évolution de la localisation résidentielle des pri</w:t>
      </w:r>
      <w:r w:rsidRPr="00E5468F">
        <w:rPr>
          <w:bCs/>
          <w:i/>
          <w:iCs/>
        </w:rPr>
        <w:t>n</w:t>
      </w:r>
      <w:r w:rsidRPr="00E5468F">
        <w:rPr>
          <w:bCs/>
          <w:i/>
          <w:iCs/>
        </w:rPr>
        <w:t>cipaux groupes ethniques et immigrants, Montréal, 1971-1981,</w:t>
      </w:r>
      <w:r w:rsidRPr="00E5468F">
        <w:t xml:space="preserve"> Mo</w:t>
      </w:r>
      <w:r w:rsidRPr="00E5468F">
        <w:t>n</w:t>
      </w:r>
      <w:r w:rsidRPr="00E5468F">
        <w:t>tréal, Département d'études urbaines. Université du Québec à Mo</w:t>
      </w:r>
      <w:r w:rsidRPr="00E5468F">
        <w:t>n</w:t>
      </w:r>
      <w:r w:rsidRPr="00E5468F">
        <w:t>tréal et INRS-Urbanisation, 1986.</w:t>
      </w:r>
    </w:p>
    <w:p w:rsidR="00B7214C" w:rsidRPr="00E5468F" w:rsidRDefault="00B7214C" w:rsidP="00B7214C">
      <w:pPr>
        <w:spacing w:before="120" w:after="120"/>
        <w:jc w:val="both"/>
      </w:pPr>
      <w:r w:rsidRPr="00E5468F">
        <w:t xml:space="preserve">Vorst, J. (dir.). </w:t>
      </w:r>
      <w:r w:rsidRPr="00E5468F">
        <w:rPr>
          <w:bCs/>
          <w:i/>
          <w:iCs/>
        </w:rPr>
        <w:t>Race, Class, Gender : Bonds and Barriers,</w:t>
      </w:r>
      <w:r w:rsidRPr="00E5468F">
        <w:t xml:space="preserve"> Toro</w:t>
      </w:r>
      <w:r w:rsidRPr="00E5468F">
        <w:t>n</w:t>
      </w:r>
      <w:r w:rsidRPr="00E5468F">
        <w:t>to, S</w:t>
      </w:r>
      <w:r w:rsidRPr="00E5468F">
        <w:t>o</w:t>
      </w:r>
      <w:r w:rsidRPr="00E5468F">
        <w:t>cialist Studies, Between the Lines, 1989.</w:t>
      </w:r>
    </w:p>
    <w:p w:rsidR="00B7214C" w:rsidRPr="00E5468F" w:rsidRDefault="00B7214C" w:rsidP="00B7214C">
      <w:pPr>
        <w:spacing w:before="120" w:after="120"/>
        <w:jc w:val="both"/>
      </w:pPr>
      <w:r w:rsidRPr="00E5468F">
        <w:t>Wacker, F., « Assimilation and Cultural Pluralism in Amer</w:t>
      </w:r>
      <w:r w:rsidRPr="00E5468F">
        <w:t>i</w:t>
      </w:r>
      <w:r w:rsidRPr="00E5468F">
        <w:t xml:space="preserve">can Social Thought », </w:t>
      </w:r>
      <w:r w:rsidRPr="00E5468F">
        <w:rPr>
          <w:bCs/>
          <w:i/>
          <w:iCs/>
        </w:rPr>
        <w:t xml:space="preserve">Phvlon </w:t>
      </w:r>
      <w:r w:rsidRPr="00E5468F">
        <w:t>vol.</w:t>
      </w:r>
      <w:r>
        <w:t> </w:t>
      </w:r>
      <w:r w:rsidRPr="00E5468F">
        <w:t>30, n°</w:t>
      </w:r>
      <w:r>
        <w:t> </w:t>
      </w:r>
      <w:r w:rsidRPr="00E5468F">
        <w:t>4,</w:t>
      </w:r>
      <w:r>
        <w:t xml:space="preserve"> </w:t>
      </w:r>
      <w:r w:rsidRPr="00E5468F">
        <w:t>1979.</w:t>
      </w:r>
    </w:p>
    <w:p w:rsidR="00B7214C" w:rsidRPr="00E5468F" w:rsidRDefault="00B7214C" w:rsidP="00B7214C">
      <w:pPr>
        <w:spacing w:before="120" w:after="120"/>
        <w:jc w:val="both"/>
      </w:pPr>
      <w:r w:rsidRPr="00E5468F">
        <w:t>Wallerstein, E., « La construction des peuples : racisme, nation</w:t>
      </w:r>
      <w:r w:rsidRPr="00E5468F">
        <w:t>a</w:t>
      </w:r>
      <w:r w:rsidRPr="00E5468F">
        <w:t>lisme, ethnicité », dans</w:t>
      </w:r>
      <w:r>
        <w:t xml:space="preserve"> </w:t>
      </w:r>
      <w:r w:rsidRPr="00E5468F">
        <w:t xml:space="preserve">Balibar, I. Wallerstein (dir.). </w:t>
      </w:r>
      <w:r w:rsidRPr="00E5468F">
        <w:rPr>
          <w:bCs/>
          <w:i/>
          <w:iCs/>
        </w:rPr>
        <w:t>Race, nation, classe. Les identités amb</w:t>
      </w:r>
      <w:r w:rsidRPr="00E5468F">
        <w:rPr>
          <w:bCs/>
          <w:i/>
          <w:iCs/>
        </w:rPr>
        <w:t>i</w:t>
      </w:r>
      <w:r w:rsidRPr="00E5468F">
        <w:rPr>
          <w:bCs/>
          <w:i/>
          <w:iCs/>
        </w:rPr>
        <w:t>guës,</w:t>
      </w:r>
      <w:r w:rsidRPr="00E5468F">
        <w:t xml:space="preserve"> Paris, La Découverte, 1988.</w:t>
      </w:r>
    </w:p>
    <w:p w:rsidR="00B7214C" w:rsidRPr="00E5468F" w:rsidRDefault="00B7214C" w:rsidP="00B7214C">
      <w:pPr>
        <w:spacing w:before="120" w:after="120"/>
        <w:jc w:val="both"/>
      </w:pPr>
      <w:r w:rsidRPr="00E5468F">
        <w:t xml:space="preserve">Warburton, R., </w:t>
      </w:r>
      <w:r w:rsidRPr="00E5468F">
        <w:rPr>
          <w:bCs/>
          <w:i/>
          <w:iCs/>
        </w:rPr>
        <w:t>Towards a Synthesis of</w:t>
      </w:r>
      <w:r>
        <w:rPr>
          <w:bCs/>
          <w:i/>
          <w:iCs/>
        </w:rPr>
        <w:t xml:space="preserve"> </w:t>
      </w:r>
      <w:r w:rsidRPr="00E5468F">
        <w:rPr>
          <w:bCs/>
          <w:i/>
          <w:iCs/>
        </w:rPr>
        <w:t>Theory on Ethni</w:t>
      </w:r>
      <w:r>
        <w:rPr>
          <w:bCs/>
          <w:i/>
          <w:iCs/>
        </w:rPr>
        <w:t>c</w:t>
      </w:r>
      <w:r w:rsidRPr="00E5468F">
        <w:rPr>
          <w:bCs/>
          <w:i/>
          <w:iCs/>
        </w:rPr>
        <w:t xml:space="preserve"> Relations in Can</w:t>
      </w:r>
      <w:r w:rsidRPr="00E5468F">
        <w:rPr>
          <w:bCs/>
          <w:i/>
          <w:iCs/>
        </w:rPr>
        <w:t>a</w:t>
      </w:r>
      <w:r w:rsidRPr="00E5468F">
        <w:rPr>
          <w:bCs/>
          <w:i/>
          <w:iCs/>
        </w:rPr>
        <w:t>da,</w:t>
      </w:r>
      <w:r w:rsidRPr="00E5468F">
        <w:t xml:space="preserve"> University of Victoria, Department of Sociology, 1989, ronéot</w:t>
      </w:r>
      <w:r w:rsidRPr="00E5468F">
        <w:t>y</w:t>
      </w:r>
      <w:r w:rsidRPr="00E5468F">
        <w:t>pé.</w:t>
      </w:r>
    </w:p>
    <w:p w:rsidR="00B7214C" w:rsidRDefault="00B7214C" w:rsidP="00B7214C">
      <w:pPr>
        <w:spacing w:before="120" w:after="120"/>
        <w:jc w:val="both"/>
      </w:pPr>
      <w:r w:rsidRPr="00E5468F">
        <w:t>Weinfeld, M., « The Jews in Montreal », dans R.J. Brym, W. Sha</w:t>
      </w:r>
      <w:r w:rsidRPr="00E5468F">
        <w:t>f</w:t>
      </w:r>
      <w:r w:rsidRPr="00E5468F">
        <w:t xml:space="preserve">fir, M. Weinfeld, (dir.), </w:t>
      </w:r>
      <w:r w:rsidRPr="00E5468F">
        <w:rPr>
          <w:bCs/>
          <w:i/>
          <w:iCs/>
        </w:rPr>
        <w:t>The Jews in Canada,</w:t>
      </w:r>
      <w:r w:rsidRPr="00E5468F">
        <w:t xml:space="preserve"> Toronto, Oxford Univers</w:t>
      </w:r>
      <w:r w:rsidRPr="00E5468F">
        <w:t>i</w:t>
      </w:r>
      <w:r w:rsidRPr="00E5468F">
        <w:t>ty Press, 1993.</w:t>
      </w:r>
    </w:p>
    <w:p w:rsidR="00B7214C" w:rsidRPr="00E5468F" w:rsidRDefault="00B7214C" w:rsidP="00B7214C">
      <w:pPr>
        <w:spacing w:before="120" w:after="120"/>
        <w:jc w:val="both"/>
      </w:pPr>
      <w:r>
        <w:t>[74]</w:t>
      </w:r>
    </w:p>
    <w:p w:rsidR="00B7214C" w:rsidRPr="00E5468F" w:rsidRDefault="00B7214C" w:rsidP="00B7214C">
      <w:pPr>
        <w:spacing w:before="120" w:after="120"/>
        <w:jc w:val="both"/>
      </w:pPr>
      <w:r w:rsidRPr="00E5468F">
        <w:t xml:space="preserve">Weinfeld, M., « Le milieu juif contemporain du Québec, dans P. Anctil, G. Caldwell, (dir.), </w:t>
      </w:r>
      <w:r>
        <w:rPr>
          <w:bCs/>
          <w:i/>
          <w:iCs/>
        </w:rPr>
        <w:t>J</w:t>
      </w:r>
      <w:r w:rsidRPr="00E5468F">
        <w:rPr>
          <w:bCs/>
          <w:i/>
          <w:iCs/>
        </w:rPr>
        <w:t>uifs et réalités juives au Québec,</w:t>
      </w:r>
      <w:r w:rsidRPr="00E5468F">
        <w:t xml:space="preserve"> Mo</w:t>
      </w:r>
      <w:r w:rsidRPr="00E5468F">
        <w:t>n</w:t>
      </w:r>
      <w:r w:rsidRPr="00E5468F">
        <w:t>tréal, In</w:t>
      </w:r>
      <w:r w:rsidRPr="00E5468F">
        <w:t>s</w:t>
      </w:r>
      <w:r w:rsidRPr="00E5468F">
        <w:t>titut québécois de recherche sur la culture, 1984.</w:t>
      </w:r>
    </w:p>
    <w:p w:rsidR="00B7214C" w:rsidRPr="00E5468F" w:rsidRDefault="00B7214C" w:rsidP="00B7214C">
      <w:pPr>
        <w:spacing w:before="120" w:after="120"/>
        <w:jc w:val="both"/>
      </w:pPr>
      <w:r w:rsidRPr="00E5468F">
        <w:t>Weinfeld, M., « Myth and Reality in the Canadian Mosaïc : Effe</w:t>
      </w:r>
      <w:r w:rsidRPr="00E5468F">
        <w:t>c</w:t>
      </w:r>
      <w:r>
        <w:t>tive ethnicity »</w:t>
      </w:r>
      <w:r w:rsidRPr="00E5468F">
        <w:t xml:space="preserve">, </w:t>
      </w:r>
      <w:r>
        <w:rPr>
          <w:bCs/>
          <w:i/>
          <w:iCs/>
        </w:rPr>
        <w:t>Cana</w:t>
      </w:r>
      <w:r w:rsidRPr="00E5468F">
        <w:rPr>
          <w:bCs/>
          <w:i/>
          <w:iCs/>
        </w:rPr>
        <w:t>dian Ethnie Studies,</w:t>
      </w:r>
      <w:r w:rsidRPr="00E5468F">
        <w:t xml:space="preserve"> vol.</w:t>
      </w:r>
      <w:r>
        <w:t> </w:t>
      </w:r>
      <w:r w:rsidRPr="00E5468F">
        <w:t>13, n°</w:t>
      </w:r>
      <w:r>
        <w:t> </w:t>
      </w:r>
      <w:r w:rsidRPr="00E5468F">
        <w:t>3,1981.</w:t>
      </w:r>
    </w:p>
    <w:p w:rsidR="00B7214C" w:rsidRPr="00E5468F" w:rsidRDefault="00B7214C" w:rsidP="00B7214C">
      <w:pPr>
        <w:spacing w:before="120" w:after="120"/>
        <w:jc w:val="both"/>
      </w:pPr>
      <w:r w:rsidRPr="00E5468F">
        <w:t xml:space="preserve">Wieviorka, M., </w:t>
      </w:r>
      <w:r w:rsidRPr="00E5468F">
        <w:rPr>
          <w:bCs/>
          <w:i/>
          <w:iCs/>
        </w:rPr>
        <w:t>La France raciste,</w:t>
      </w:r>
      <w:r w:rsidRPr="00E5468F">
        <w:t xml:space="preserve"> Paris, Seuil, 1992.</w:t>
      </w:r>
    </w:p>
    <w:p w:rsidR="00B7214C" w:rsidRPr="00E5468F" w:rsidRDefault="00B7214C" w:rsidP="00B7214C">
      <w:pPr>
        <w:spacing w:before="120" w:after="120"/>
        <w:jc w:val="both"/>
      </w:pPr>
      <w:r w:rsidRPr="00E5468F">
        <w:t xml:space="preserve">Wieviorka, M. (dir.). </w:t>
      </w:r>
      <w:r w:rsidRPr="00E5468F">
        <w:rPr>
          <w:bCs/>
          <w:i/>
          <w:iCs/>
        </w:rPr>
        <w:t>Racisme et modernité,</w:t>
      </w:r>
      <w:r w:rsidRPr="00E5468F">
        <w:t xml:space="preserve"> Paris, La Découverte, 1992.</w:t>
      </w:r>
    </w:p>
    <w:p w:rsidR="00B7214C" w:rsidRPr="00E5468F" w:rsidRDefault="00B7214C" w:rsidP="00B7214C">
      <w:pPr>
        <w:spacing w:before="120" w:after="120"/>
        <w:jc w:val="both"/>
      </w:pPr>
      <w:r w:rsidRPr="00E5468F">
        <w:t xml:space="preserve">Wieviorka, M., </w:t>
      </w:r>
      <w:r w:rsidRPr="00E5468F">
        <w:rPr>
          <w:bCs/>
          <w:i/>
          <w:iCs/>
        </w:rPr>
        <w:t>Ethnicity as Action,</w:t>
      </w:r>
      <w:r w:rsidRPr="00E5468F">
        <w:t xml:space="preserve"> Conférence on Ethni</w:t>
      </w:r>
      <w:r>
        <w:t>c</w:t>
      </w:r>
      <w:r w:rsidRPr="00E5468F">
        <w:t xml:space="preserve"> Mobil</w:t>
      </w:r>
      <w:r w:rsidRPr="00E5468F">
        <w:t>i</w:t>
      </w:r>
      <w:r w:rsidRPr="00E5468F">
        <w:t>zation in Europe in the 1990s, University of Warwick, Center for R</w:t>
      </w:r>
      <w:r w:rsidRPr="00E5468F">
        <w:t>e</w:t>
      </w:r>
      <w:r w:rsidRPr="00E5468F">
        <w:t>search in Ethnie Relations, April 1992.</w:t>
      </w:r>
    </w:p>
    <w:p w:rsidR="00B7214C" w:rsidRPr="00E5468F" w:rsidRDefault="00B7214C" w:rsidP="00B7214C">
      <w:pPr>
        <w:spacing w:before="120" w:after="120"/>
        <w:jc w:val="both"/>
      </w:pPr>
      <w:r w:rsidRPr="00E5468F">
        <w:t xml:space="preserve">Wieviorka, M., </w:t>
      </w:r>
      <w:r w:rsidRPr="00E5468F">
        <w:rPr>
          <w:bCs/>
          <w:i/>
          <w:iCs/>
        </w:rPr>
        <w:t>L'espace du racisme,</w:t>
      </w:r>
      <w:r w:rsidRPr="00E5468F">
        <w:t xml:space="preserve"> Paris, Seuil, 1991.</w:t>
      </w:r>
    </w:p>
    <w:p w:rsidR="00B7214C" w:rsidRPr="00E5468F" w:rsidRDefault="00B7214C" w:rsidP="00B7214C">
      <w:pPr>
        <w:spacing w:before="120" w:after="120"/>
        <w:jc w:val="both"/>
      </w:pPr>
      <w:r w:rsidRPr="00E5468F">
        <w:t>Yinger, J. M., « Intersecting Strands in the Theorisation of R</w:t>
      </w:r>
      <w:r w:rsidRPr="00E5468F">
        <w:t>a</w:t>
      </w:r>
      <w:r w:rsidRPr="00E5468F">
        <w:t xml:space="preserve">ce and Ethnie Relations », dans J. Rex, D. Mason (dir.). </w:t>
      </w:r>
      <w:r w:rsidRPr="00E5468F">
        <w:rPr>
          <w:bCs/>
          <w:i/>
          <w:iCs/>
        </w:rPr>
        <w:t>Th</w:t>
      </w:r>
      <w:r>
        <w:rPr>
          <w:bCs/>
          <w:i/>
          <w:iCs/>
        </w:rPr>
        <w:t>e</w:t>
      </w:r>
      <w:r w:rsidRPr="00E5468F">
        <w:rPr>
          <w:bCs/>
          <w:i/>
          <w:iCs/>
        </w:rPr>
        <w:t>ories of Race and Ethni</w:t>
      </w:r>
      <w:r>
        <w:rPr>
          <w:bCs/>
          <w:i/>
          <w:iCs/>
        </w:rPr>
        <w:t>c</w:t>
      </w:r>
      <w:r w:rsidRPr="00E5468F">
        <w:rPr>
          <w:bCs/>
          <w:i/>
          <w:iCs/>
        </w:rPr>
        <w:t xml:space="preserve"> Relations, Cambridge, </w:t>
      </w:r>
      <w:r w:rsidRPr="00E5468F">
        <w:t>Cambridge University Press, 1988.</w:t>
      </w:r>
    </w:p>
    <w:p w:rsidR="00B7214C" w:rsidRPr="00E5468F" w:rsidRDefault="00B7214C" w:rsidP="00B7214C">
      <w:pPr>
        <w:spacing w:before="120" w:after="120"/>
        <w:jc w:val="both"/>
      </w:pPr>
      <w:r w:rsidRPr="00E5468F">
        <w:t>Yinger, J.M., « Toward a Theory of Assimilation and Dissimil</w:t>
      </w:r>
      <w:r w:rsidRPr="00E5468F">
        <w:t>a</w:t>
      </w:r>
      <w:r w:rsidRPr="00E5468F">
        <w:t xml:space="preserve">tion », </w:t>
      </w:r>
      <w:r w:rsidRPr="00E5468F">
        <w:rPr>
          <w:bCs/>
          <w:i/>
          <w:iCs/>
        </w:rPr>
        <w:t>Ethnie and Racial Studies,</w:t>
      </w:r>
      <w:r w:rsidRPr="00E5468F">
        <w:t xml:space="preserve"> vol.</w:t>
      </w:r>
      <w:r>
        <w:t> </w:t>
      </w:r>
      <w:r w:rsidRPr="00E5468F">
        <w:t>4, n°</w:t>
      </w:r>
      <w:r>
        <w:t> </w:t>
      </w:r>
      <w:r w:rsidRPr="00E5468F">
        <w:t>3,1981.</w:t>
      </w:r>
    </w:p>
    <w:p w:rsidR="00B7214C" w:rsidRPr="00E5468F" w:rsidRDefault="00B7214C" w:rsidP="00B7214C">
      <w:pPr>
        <w:spacing w:before="120" w:after="120"/>
        <w:jc w:val="both"/>
      </w:pPr>
      <w:r w:rsidRPr="00E5468F">
        <w:t xml:space="preserve">Yuval-Davis, N., « Nationalisai and Racism », </w:t>
      </w:r>
      <w:r w:rsidRPr="00E5468F">
        <w:rPr>
          <w:bCs/>
          <w:i/>
          <w:iCs/>
        </w:rPr>
        <w:t>Cahiers de reche</w:t>
      </w:r>
      <w:r w:rsidRPr="00E5468F">
        <w:rPr>
          <w:bCs/>
          <w:i/>
          <w:iCs/>
        </w:rPr>
        <w:t>r</w:t>
      </w:r>
      <w:r w:rsidRPr="00E5468F">
        <w:rPr>
          <w:bCs/>
          <w:i/>
          <w:iCs/>
        </w:rPr>
        <w:t>che sociologique,</w:t>
      </w:r>
      <w:r w:rsidRPr="00E5468F">
        <w:t xml:space="preserve"> n°</w:t>
      </w:r>
      <w:r>
        <w:t> </w:t>
      </w:r>
      <w:r w:rsidRPr="00E5468F">
        <w:t>20,</w:t>
      </w:r>
      <w:r>
        <w:t xml:space="preserve"> </w:t>
      </w:r>
      <w:r w:rsidRPr="00E5468F">
        <w:t>1993.</w:t>
      </w:r>
    </w:p>
    <w:p w:rsidR="00B7214C" w:rsidRPr="00E5468F" w:rsidRDefault="00B7214C" w:rsidP="00B7214C">
      <w:pPr>
        <w:spacing w:before="120" w:after="120"/>
        <w:jc w:val="both"/>
      </w:pPr>
      <w:r w:rsidRPr="00E5468F">
        <w:t>Zolbert, A.R., « The Next Wave : Migration Theory for a Cha</w:t>
      </w:r>
      <w:r w:rsidRPr="00E5468F">
        <w:t>n</w:t>
      </w:r>
      <w:r w:rsidRPr="00E5468F">
        <w:t xml:space="preserve">ging World », </w:t>
      </w:r>
      <w:r w:rsidRPr="00E5468F">
        <w:rPr>
          <w:bCs/>
          <w:i/>
          <w:iCs/>
        </w:rPr>
        <w:t>International Migration Review,</w:t>
      </w:r>
      <w:r w:rsidRPr="00E5468F">
        <w:t xml:space="preserve"> vol.</w:t>
      </w:r>
      <w:r>
        <w:t> </w:t>
      </w:r>
      <w:r w:rsidRPr="00E5468F">
        <w:t>23, n°</w:t>
      </w:r>
      <w:r>
        <w:t> </w:t>
      </w:r>
      <w:r w:rsidRPr="00E5468F">
        <w:t>3, 1989.</w:t>
      </w:r>
    </w:p>
    <w:p w:rsidR="00B7214C" w:rsidRDefault="00B7214C" w:rsidP="00B7214C">
      <w:pPr>
        <w:pStyle w:val="p"/>
      </w:pPr>
      <w:r w:rsidRPr="00E5468F">
        <w:br w:type="page"/>
      </w:r>
      <w:r>
        <w:t>[75]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8" w:name="Entre_tradition_pt_1_texte_02"/>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2</w:t>
      </w:r>
    </w:p>
    <w:p w:rsidR="00B7214C" w:rsidRDefault="00B7214C" w:rsidP="00B7214C">
      <w:pPr>
        <w:pStyle w:val="Titreniveau2"/>
      </w:pPr>
      <w:r>
        <w:t>“Question ethnique/question nationale.</w:t>
      </w:r>
    </w:p>
    <w:p w:rsidR="00B7214C" w:rsidRPr="00E07116" w:rsidRDefault="00B7214C" w:rsidP="00B7214C">
      <w:pPr>
        <w:pStyle w:val="Titreniveau2i"/>
      </w:pPr>
      <w:r>
        <w:t>au confluent de multiples référents identitaires.”</w:t>
      </w:r>
    </w:p>
    <w:bookmarkEnd w:id="8"/>
    <w:p w:rsidR="00B7214C" w:rsidRPr="00E07116" w:rsidRDefault="00B7214C" w:rsidP="00B7214C">
      <w:pPr>
        <w:jc w:val="both"/>
        <w:rPr>
          <w:szCs w:val="36"/>
        </w:rPr>
      </w:pPr>
    </w:p>
    <w:p w:rsidR="00B7214C" w:rsidRPr="00E07116" w:rsidRDefault="00B7214C" w:rsidP="00B7214C">
      <w:pPr>
        <w:pStyle w:val="suite"/>
      </w:pPr>
      <w:r>
        <w:t>Par Louise FONTAINE</w:t>
      </w:r>
    </w:p>
    <w:p w:rsidR="00B7214C" w:rsidRPr="00E07116" w:rsidRDefault="00B7214C" w:rsidP="00B7214C">
      <w:pPr>
        <w:pStyle w:val="auteurst"/>
      </w:pPr>
      <w:r w:rsidRPr="004A7EF1">
        <w:t>Département des sciences a</w:t>
      </w:r>
      <w:r>
        <w:t>dministratives. Université Sain</w:t>
      </w:r>
      <w:r w:rsidRPr="004A7EF1">
        <w:t xml:space="preserve">te-Anne </w:t>
      </w:r>
    </w:p>
    <w:p w:rsidR="00B7214C" w:rsidRDefault="00B7214C" w:rsidP="00B7214C">
      <w:pPr>
        <w:pStyle w:val="auteurst"/>
      </w:pPr>
      <w:r w:rsidRPr="00BC632B">
        <w:t>Commentaire sur le texte de Micheline Labelle</w:t>
      </w:r>
    </w:p>
    <w:p w:rsidR="00B7214C" w:rsidRDefault="00B7214C" w:rsidP="00B7214C">
      <w:pPr>
        <w:spacing w:before="120" w:after="120"/>
        <w:jc w:val="both"/>
      </w:pPr>
    </w:p>
    <w:p w:rsidR="00B7214C" w:rsidRPr="00BC632B"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BC632B" w:rsidRDefault="00B7214C" w:rsidP="00B7214C">
      <w:pPr>
        <w:spacing w:before="120" w:after="120"/>
        <w:jc w:val="both"/>
      </w:pPr>
      <w:r>
        <w:t>Les p</w:t>
      </w:r>
      <w:r w:rsidRPr="00BC632B">
        <w:t>istes d'analyse proposées par Micheline Labelle nous ont amenées à réfléchir sur la différenciation et la hiérarchisation des i</w:t>
      </w:r>
      <w:r w:rsidRPr="00BC632B">
        <w:t>n</w:t>
      </w:r>
      <w:r w:rsidRPr="00BC632B">
        <w:t>dividus et des groupes dans deux sociétés particulières : la société c</w:t>
      </w:r>
      <w:r w:rsidRPr="00BC632B">
        <w:t>a</w:t>
      </w:r>
      <w:r w:rsidRPr="00BC632B">
        <w:t>nadienne et la société québécoise. Percevoir les rapports sociaux sous cet aspect recoupe un questionnement portant sur la production et la reproduction des clivages sociaux. Cette manière d'appréhender la r</w:t>
      </w:r>
      <w:r w:rsidRPr="00BC632B">
        <w:t>é</w:t>
      </w:r>
      <w:r w:rsidRPr="00BC632B">
        <w:t>alité sociale suggère de se demander : Quels critères fondent le lien social ? Qu'est-ce qui est à la base de la solidarité sociale ? En d'autres mots, comment arrive-t-on à saisir le fait d'« être ensemble » pour former un tout social ?</w:t>
      </w:r>
    </w:p>
    <w:p w:rsidR="00B7214C" w:rsidRDefault="00B7214C" w:rsidP="00B7214C">
      <w:pPr>
        <w:spacing w:before="120" w:after="120"/>
        <w:jc w:val="both"/>
      </w:pPr>
      <w:r w:rsidRPr="00BC632B">
        <w:t>L'ethnicité et la question nationale s'articulent principalement a</w:t>
      </w:r>
      <w:r w:rsidRPr="00BC632B">
        <w:t>u</w:t>
      </w:r>
      <w:r w:rsidRPr="00BC632B">
        <w:t>tour de deux types d'idéologie. La première est associable au partic</w:t>
      </w:r>
      <w:r w:rsidRPr="00BC632B">
        <w:t>u</w:t>
      </w:r>
      <w:r w:rsidRPr="00BC632B">
        <w:t>larisme, l'autre renvoie plutôt à un certain universalisme, selon les termes de Micheline Labelle. L'idéologie « particulariste » définit les rapports entre l'État et la société civile à partir d'un regroupement des individus en termes de majorité/minorités. Dans cette perspective, la société civile, c'est-à-dire la population qui habite un territoire état</w:t>
      </w:r>
      <w:r w:rsidRPr="00BC632B">
        <w:t>i</w:t>
      </w:r>
      <w:r w:rsidRPr="00BC632B">
        <w:t>que, n'est pas constituée à partir de l'individu. Les rapports complexes entre un État et la société civile prennent une autre orientation lor</w:t>
      </w:r>
      <w:r w:rsidRPr="00BC632B">
        <w:t>s</w:t>
      </w:r>
      <w:r w:rsidRPr="00BC632B">
        <w:t>qu'on les conçoit en termes universalistes. Selon cette approche, l'idée de la citoyenneté joue un rôle de premier plan et les groupes sociaux ne sont pas différenciés à partir de caractéristiques ethniques.</w:t>
      </w:r>
    </w:p>
    <w:p w:rsidR="00B7214C" w:rsidRPr="00BC632B" w:rsidRDefault="00B7214C" w:rsidP="00B7214C">
      <w:pPr>
        <w:spacing w:before="120" w:after="120"/>
        <w:jc w:val="both"/>
      </w:pPr>
      <w:r>
        <w:t>[76]</w:t>
      </w:r>
    </w:p>
    <w:p w:rsidR="00B7214C" w:rsidRPr="00BC632B" w:rsidRDefault="00B7214C" w:rsidP="00B7214C">
      <w:pPr>
        <w:spacing w:before="120" w:after="120"/>
        <w:jc w:val="both"/>
      </w:pPr>
      <w:r w:rsidRPr="00BC632B">
        <w:t>La littérature présente un éventail considérable de définitions à propos du « pluralisme culturel ». Des auteurs utilisent tantôt l'expre</w:t>
      </w:r>
      <w:r w:rsidRPr="00BC632B">
        <w:t>s</w:t>
      </w:r>
      <w:r w:rsidRPr="00BC632B">
        <w:t>sion « pluralisme social », « pluralisme structurel » et même « pluralisme racial ». L'article de Micheline Labelle explicite les mu</w:t>
      </w:r>
      <w:r w:rsidRPr="00BC632B">
        <w:t>l</w:t>
      </w:r>
      <w:r w:rsidRPr="00BC632B">
        <w:t>tiples facettes de ce concept multiforme en précisant des limites inh</w:t>
      </w:r>
      <w:r w:rsidRPr="00BC632B">
        <w:t>é</w:t>
      </w:r>
      <w:r w:rsidRPr="00BC632B">
        <w:t>rentes à ce système de pensée. Puisqu'elle détaille suffisamment cette question, retenons seulement que le « pluralisme ethnique » désigne une idéologie normative qui occulte des inégalités sociales.</w:t>
      </w:r>
    </w:p>
    <w:p w:rsidR="00B7214C" w:rsidRPr="00BC632B" w:rsidRDefault="00B7214C" w:rsidP="00B7214C">
      <w:pPr>
        <w:spacing w:before="120" w:after="120"/>
        <w:jc w:val="both"/>
      </w:pPr>
      <w:r w:rsidRPr="00BC632B">
        <w:t>Dans le contexte canadien, cette idéologie s'est formalisée en 1971 au moment où était officiellement adoptée la politique du multicult</w:t>
      </w:r>
      <w:r w:rsidRPr="00BC632B">
        <w:t>u</w:t>
      </w:r>
      <w:r w:rsidRPr="00BC632B">
        <w:t>ralisme. Celle-ci propose une égalité entre tous les groupes culturels au Canada. Néanmoins, en 1984, certains groupes étaient ciblés car ils étaient catégorisés en tant que « minorités visibles ». Dans le contexte québécois, le « pluralisme ethnique » s'est manifesté, notamment, su</w:t>
      </w:r>
      <w:r w:rsidRPr="00BC632B">
        <w:t>i</w:t>
      </w:r>
      <w:r w:rsidRPr="00BC632B">
        <w:t>te à l'introduction de la catégorie politique des « communautés cult</w:t>
      </w:r>
      <w:r w:rsidRPr="00BC632B">
        <w:t>u</w:t>
      </w:r>
      <w:r w:rsidRPr="00BC632B">
        <w:t>relles ». Cette idéologie qui reprend, elle aussi, la notion de « minorité visible » se veut égalitaire tout en fragmentant les groupes ethniques au Québec de manière subordonnée par rapport à la « majorité québ</w:t>
      </w:r>
      <w:r w:rsidRPr="00BC632B">
        <w:t>é</w:t>
      </w:r>
      <w:r w:rsidRPr="00BC632B">
        <w:t>coise francophone ». Celle-ci représente, par excellence, le « nous québécois » qui est continuellement opposé aux « autres » ethniques.</w:t>
      </w:r>
    </w:p>
    <w:p w:rsidR="00B7214C" w:rsidRPr="00BC632B" w:rsidRDefault="00B7214C" w:rsidP="00B7214C">
      <w:pPr>
        <w:spacing w:before="120" w:after="120"/>
        <w:jc w:val="both"/>
      </w:pPr>
      <w:r w:rsidRPr="00BC632B">
        <w:t>Les associations ethniques adhèrent à ce discours en lui donnant une teneur idéologique très semblable.</w:t>
      </w:r>
    </w:p>
    <w:p w:rsidR="00B7214C" w:rsidRPr="00BC632B" w:rsidRDefault="00B7214C" w:rsidP="00B7214C">
      <w:pPr>
        <w:spacing w:before="120" w:after="120"/>
        <w:jc w:val="both"/>
      </w:pPr>
      <w:r w:rsidRPr="00BC632B">
        <w:t>Prises globalement, les associations ethniques assument princip</w:t>
      </w:r>
      <w:r w:rsidRPr="00BC632B">
        <w:t>a</w:t>
      </w:r>
      <w:r w:rsidRPr="00BC632B">
        <w:t>lement trois rôles. À court terme, elles agissent auprès des « immigrants » et des réfugiés dans le but de faciliter leur insertion sociale. Ces associations représentent aussi un lieu de production de l'ethnicité. Sous cet aspect, elles cherchent à rallier des intérêts dive</w:t>
      </w:r>
      <w:r w:rsidRPr="00BC632B">
        <w:t>r</w:t>
      </w:r>
      <w:r w:rsidRPr="00BC632B">
        <w:t>gents ou encore à encourager une multiplication des orientations idé</w:t>
      </w:r>
      <w:r w:rsidRPr="00BC632B">
        <w:t>o</w:t>
      </w:r>
      <w:r w:rsidRPr="00BC632B">
        <w:t>logiques. Les associations ethniques peuvent être des centres stratég</w:t>
      </w:r>
      <w:r w:rsidRPr="00BC632B">
        <w:t>i</w:t>
      </w:r>
      <w:r w:rsidRPr="00BC632B">
        <w:t>ques de mobilisation sociale. Selon Micheline Labelle, ce troisième rôle est à relier à une logique différencialiste ou à une logique unive</w:t>
      </w:r>
      <w:r w:rsidRPr="00BC632B">
        <w:t>r</w:t>
      </w:r>
      <w:r w:rsidRPr="00BC632B">
        <w:t>saliste. Transposés sur un axe d'analyse, ces éléments s'articulent pri</w:t>
      </w:r>
      <w:r w:rsidRPr="00BC632B">
        <w:t>n</w:t>
      </w:r>
      <w:r w:rsidRPr="00BC632B">
        <w:t>cipalement autour de deux pôles. L'un est relatif au maintien des diff</w:t>
      </w:r>
      <w:r w:rsidRPr="00BC632B">
        <w:t>é</w:t>
      </w:r>
      <w:r w:rsidRPr="00BC632B">
        <w:t>rences culturelles qu'elles soient réelles ou imaginaires alors que l'a</w:t>
      </w:r>
      <w:r w:rsidRPr="00BC632B">
        <w:t>u</w:t>
      </w:r>
      <w:r w:rsidRPr="00BC632B">
        <w:t>tre nivelle ces différences.</w:t>
      </w:r>
    </w:p>
    <w:p w:rsidR="00B7214C" w:rsidRPr="00BC632B" w:rsidRDefault="00B7214C" w:rsidP="00B7214C">
      <w:pPr>
        <w:spacing w:before="120" w:after="120"/>
        <w:jc w:val="both"/>
      </w:pPr>
      <w:r w:rsidRPr="00BC632B">
        <w:t>Selon une de nos analyses</w:t>
      </w:r>
      <w:r>
        <w:t> </w:t>
      </w:r>
      <w:r>
        <w:rPr>
          <w:rStyle w:val="Appelnotedebasdep"/>
        </w:rPr>
        <w:footnoteReference w:id="7"/>
      </w:r>
      <w:r w:rsidRPr="00BC632B">
        <w:t xml:space="preserve"> sur le sujet, ces stratégies de mobilis</w:t>
      </w:r>
      <w:r w:rsidRPr="00BC632B">
        <w:t>a</w:t>
      </w:r>
      <w:r w:rsidRPr="00BC632B">
        <w:t>tion sociale s'insèrent à même des rapports dialectiques entre une offre bureaucratique relativement organisée et une demande communautaire très diffuse. Cette dynamique engendre alors une multiplication des « identités ethniques » qui coïncide avec une soi-disant « crise de l'identité nationale ». Notre point de vue diffère de celui de Micheline Labelle pour qui « la</w:t>
      </w:r>
      <w:r>
        <w:t xml:space="preserve"> [77] </w:t>
      </w:r>
      <w:r w:rsidRPr="00BC632B">
        <w:t>croissance des identités ethniques [...] est, partiellement, le résultat de la crise de ces identités nationales</w:t>
      </w:r>
      <w:r>
        <w:t> </w:t>
      </w:r>
      <w:r>
        <w:rPr>
          <w:rStyle w:val="Appelnotedebasdep"/>
        </w:rPr>
        <w:footnoteReference w:id="8"/>
      </w:r>
      <w:r w:rsidRPr="00BC632B">
        <w:t> ». Nous soutenons que l'« identité nationale » ou 1'« identité ethnique » s'imbriquent l'une dans l'autre. Malgré que l'une soit associée à la « nation » et que l'a</w:t>
      </w:r>
      <w:r w:rsidRPr="00BC632B">
        <w:t>u</w:t>
      </w:r>
      <w:r w:rsidRPr="00BC632B">
        <w:t>tre renvoie plutôt à l'ethnicité, elles ont recours à des référents simila</w:t>
      </w:r>
      <w:r w:rsidRPr="00BC632B">
        <w:t>i</w:t>
      </w:r>
      <w:r w:rsidRPr="00BC632B">
        <w:t>res. Dans un cas comme dans l'autre, les attributs utilisés sont tantôt la langue, tantôt la culture ou encore l'héritage du passé, etc.</w:t>
      </w:r>
    </w:p>
    <w:p w:rsidR="00B7214C" w:rsidRPr="00BC632B" w:rsidRDefault="00B7214C" w:rsidP="00B7214C">
      <w:pPr>
        <w:spacing w:before="120" w:after="120"/>
        <w:jc w:val="both"/>
      </w:pPr>
      <w:r w:rsidRPr="00BC632B">
        <w:t>Ce foisonnement des « identités » est orchestré par des agents de l'État et par ses conseillers, c'est-à-dire, notamment, les leaders ethn</w:t>
      </w:r>
      <w:r w:rsidRPr="00BC632B">
        <w:t>i</w:t>
      </w:r>
      <w:r w:rsidRPr="00BC632B">
        <w:t>ques qui représentent une élite en ascension sociale. Ces leaders et</w:t>
      </w:r>
      <w:r w:rsidRPr="00BC632B">
        <w:t>h</w:t>
      </w:r>
      <w:r w:rsidRPr="00BC632B">
        <w:t>niques agissent en tant que relais dans le but d'accroître leur marge de liberté tant auprès des instances gouvernementales que communauta</w:t>
      </w:r>
      <w:r w:rsidRPr="00BC632B">
        <w:t>i</w:t>
      </w:r>
      <w:r w:rsidRPr="00BC632B">
        <w:t>res. Ces processus ont pour résultat de complexifier la définition des rapports sociaux, ce qui conduit à un éclatement simultané des fronti</w:t>
      </w:r>
      <w:r w:rsidRPr="00BC632B">
        <w:t>è</w:t>
      </w:r>
      <w:r w:rsidRPr="00BC632B">
        <w:t>res étatiques et des frontières ethniques. L'ambiguïté et le flou s'insta</w:t>
      </w:r>
      <w:r w:rsidRPr="00BC632B">
        <w:t>l</w:t>
      </w:r>
      <w:r w:rsidRPr="00BC632B">
        <w:t>lent dans une telle dynamique sociale.</w:t>
      </w:r>
    </w:p>
    <w:p w:rsidR="00B7214C" w:rsidRPr="00BC632B" w:rsidRDefault="00B7214C" w:rsidP="00B7214C">
      <w:pPr>
        <w:spacing w:before="120" w:after="120"/>
        <w:jc w:val="both"/>
      </w:pPr>
      <w:r w:rsidRPr="00BC632B">
        <w:t>Il ressort qu'une multitude d'actions sont orientées à la fois vers la définition de critères de différenciations entre les individus d'une s</w:t>
      </w:r>
      <w:r w:rsidRPr="00BC632B">
        <w:t>o</w:t>
      </w:r>
      <w:r w:rsidRPr="00BC632B">
        <w:t>ciété particulière et vers la recherche de dénominateurs communs. Ces actions prennent forme à travers des processus de construction, de d</w:t>
      </w:r>
      <w:r w:rsidRPr="00BC632B">
        <w:t>é</w:t>
      </w:r>
      <w:r w:rsidRPr="00BC632B">
        <w:t>construction et de reconstruction de référents identitaires qui n'en f</w:t>
      </w:r>
      <w:r w:rsidRPr="00BC632B">
        <w:t>i</w:t>
      </w:r>
      <w:r w:rsidRPr="00BC632B">
        <w:t>nissent plus. Ceux-ci servent d'instrument de revendications et de n</w:t>
      </w:r>
      <w:r w:rsidRPr="00BC632B">
        <w:t>é</w:t>
      </w:r>
      <w:r w:rsidRPr="00BC632B">
        <w:t>gociations au point que dans ce fouillis identitaire, des positions idé</w:t>
      </w:r>
      <w:r w:rsidRPr="00BC632B">
        <w:t>o</w:t>
      </w:r>
      <w:r w:rsidRPr="00BC632B">
        <w:t>logiques se durcissent. Divers enjeux sont alors occultés. Bref, l'ethn</w:t>
      </w:r>
      <w:r w:rsidRPr="00BC632B">
        <w:t>i</w:t>
      </w:r>
      <w:r w:rsidRPr="00BC632B">
        <w:t>cité encadre et fonde la vie communautaire. Elle devient, depuis plus ou moins deux décennies, une variable de mobilisation sociale au même titre que pouvait l'être la classe sociale. Ces observations pe</w:t>
      </w:r>
      <w:r w:rsidRPr="00BC632B">
        <w:t>u</w:t>
      </w:r>
      <w:r w:rsidRPr="00BC632B">
        <w:t>vent maintenant s'appliquer aux contextes canadien et québécois.</w:t>
      </w:r>
    </w:p>
    <w:p w:rsidR="00B7214C" w:rsidRPr="00BC632B" w:rsidRDefault="00B7214C" w:rsidP="00B7214C">
      <w:pPr>
        <w:spacing w:before="120" w:after="120"/>
        <w:jc w:val="both"/>
      </w:pPr>
      <w:r w:rsidRPr="00BC632B">
        <w:t>Selon Micheline Labelle, de 1867 jusqu'à la Deuxième Guerre mondiale, le discours officiel sur l'ethnicité favorisait une britannis</w:t>
      </w:r>
      <w:r w:rsidRPr="00BC632B">
        <w:t>a</w:t>
      </w:r>
      <w:r w:rsidRPr="00BC632B">
        <w:t>tion de la population canadienne. Ce discours était appuyé par un r</w:t>
      </w:r>
      <w:r w:rsidRPr="00BC632B">
        <w:t>a</w:t>
      </w:r>
      <w:r w:rsidRPr="00BC632B">
        <w:t>cisme officiel car, jusqu'à 1967, la politique d'immigration du Canada était discriminatoire à l'égard de certains groupes d'individus. Ces éléments, se conjuguant à d'autres faits non mentionnés ici, ont conduit à proposer une vision de la société canadienne fondée sur un bilinguisme officiel et une politique du multiculturalisme. La thèse des deux peuples fondateurs était alors rejetée.</w:t>
      </w:r>
    </w:p>
    <w:p w:rsidR="00B7214C" w:rsidRPr="00BC632B" w:rsidRDefault="00B7214C" w:rsidP="00B7214C">
      <w:pPr>
        <w:spacing w:before="120" w:after="120"/>
        <w:jc w:val="both"/>
      </w:pPr>
      <w:r w:rsidRPr="00BC632B">
        <w:t>L'ethnicité au Québec se présente en termes quelque peu différents. Elle est le résultat d'une stratégie politique fédérale, selon Mme Labe</w:t>
      </w:r>
      <w:r w:rsidRPr="00BC632B">
        <w:t>l</w:t>
      </w:r>
      <w:r w:rsidRPr="00BC632B">
        <w:t>le. Dans ce sens, elle reflète la structuration d'un projet national qui a mené à la formation d'un État-nation au Québec. Cette stratégie polit</w:t>
      </w:r>
      <w:r w:rsidRPr="00BC632B">
        <w:t>i</w:t>
      </w:r>
      <w:r w:rsidRPr="00BC632B">
        <w:t>que découle</w:t>
      </w:r>
      <w:r>
        <w:t xml:space="preserve"> [78] </w:t>
      </w:r>
      <w:r w:rsidRPr="00BC632B">
        <w:t>aussi des actions menées par une élite canadienne-française en a</w:t>
      </w:r>
      <w:r w:rsidRPr="00BC632B">
        <w:t>s</w:t>
      </w:r>
      <w:r w:rsidRPr="00BC632B">
        <w:t>cension sociale qui veut s'assurer un plein contrôle du territoire du Québec. En d'autres mots, l'ethnicité au Québec témoigne de deux États concurrents : l'État du Québec qui se construit en che</w:t>
      </w:r>
      <w:r w:rsidRPr="00BC632B">
        <w:t>r</w:t>
      </w:r>
      <w:r w:rsidRPr="00BC632B">
        <w:t>chant à consolider ses assises et l'État central à Ottawa qui tente plutôt de maintenir sa mainmise sur ses gouvernements provinciaux.</w:t>
      </w:r>
    </w:p>
    <w:p w:rsidR="00B7214C" w:rsidRPr="00BC632B" w:rsidRDefault="00B7214C" w:rsidP="00B7214C">
      <w:pPr>
        <w:spacing w:before="120" w:after="120"/>
        <w:jc w:val="both"/>
      </w:pPr>
      <w:r w:rsidRPr="00BC632B">
        <w:t>Ces enjeux sont menés de concert avec la définition de la « nation québécoise ». Cette délimitation d'un « nous collectif », celui de la majorité, entraîne par le fait même la définition des « minorités » au Québec.</w:t>
      </w:r>
    </w:p>
    <w:p w:rsidR="00B7214C" w:rsidRPr="0019041B" w:rsidRDefault="00B7214C" w:rsidP="00B7214C">
      <w:pPr>
        <w:spacing w:before="120" w:after="120"/>
        <w:jc w:val="both"/>
      </w:pPr>
      <w:r w:rsidRPr="00BC632B">
        <w:t xml:space="preserve">De manière plus spécifique, les associations ethniques au Québec agissent en tant que partenaires de l'État plutôt qu'en tant que groupes de pression. Rappelons qu'en 1981, ces associations ethniques sont </w:t>
      </w:r>
      <w:r w:rsidRPr="0019041B">
        <w:t>officiellement devenues des « communautés culturelles » selon le m</w:t>
      </w:r>
      <w:r w:rsidRPr="0019041B">
        <w:t>i</w:t>
      </w:r>
      <w:r w:rsidRPr="0019041B">
        <w:t>nistère des Communautés culturelles et de l'Immigration.</w:t>
      </w:r>
    </w:p>
    <w:p w:rsidR="00B7214C" w:rsidRDefault="00B7214C" w:rsidP="00B7214C">
      <w:pPr>
        <w:jc w:val="both"/>
      </w:pPr>
      <w:r w:rsidRPr="0019041B">
        <w:t>En somme, parler de question ethnique signifie tout aussi bien s'i</w:t>
      </w:r>
      <w:r w:rsidRPr="0019041B">
        <w:t>n</w:t>
      </w:r>
      <w:r w:rsidRPr="0019041B">
        <w:t>téresser à la question nationale et vice versa. La définition d'une « nation » implique d'évoquer des critères ethniques qui varient selon des enjeux politiques et idéologiques. Ces référents identitaires s'ins</w:t>
      </w:r>
      <w:r w:rsidRPr="0019041B">
        <w:t>è</w:t>
      </w:r>
      <w:r w:rsidRPr="0019041B">
        <w:t xml:space="preserve">rent à même des processus d'inclusions et d'exclusions sociales. Ils fournissent une base d'action à ceux et celles qui </w:t>
      </w:r>
      <w:r w:rsidRPr="0019041B">
        <w:rPr>
          <w:i/>
          <w:iCs/>
        </w:rPr>
        <w:t>définissent</w:t>
      </w:r>
      <w:r w:rsidRPr="0019041B">
        <w:t xml:space="preserve"> les no</w:t>
      </w:r>
      <w:r w:rsidRPr="0019041B">
        <w:t>r</w:t>
      </w:r>
      <w:r w:rsidRPr="0019041B">
        <w:t xml:space="preserve">mes sociales, ceux et celles qui les </w:t>
      </w:r>
      <w:r w:rsidRPr="0019041B">
        <w:rPr>
          <w:i/>
          <w:iCs/>
        </w:rPr>
        <w:t>appliquent</w:t>
      </w:r>
      <w:r w:rsidRPr="0019041B">
        <w:t xml:space="preserve"> et ceux et celles qui les </w:t>
      </w:r>
      <w:r w:rsidRPr="0019041B">
        <w:rPr>
          <w:i/>
          <w:iCs/>
        </w:rPr>
        <w:t>util</w:t>
      </w:r>
      <w:r w:rsidRPr="0019041B">
        <w:rPr>
          <w:i/>
          <w:iCs/>
        </w:rPr>
        <w:t>i</w:t>
      </w:r>
      <w:r w:rsidRPr="0019041B">
        <w:rPr>
          <w:i/>
          <w:iCs/>
        </w:rPr>
        <w:t>sent</w:t>
      </w:r>
      <w:r w:rsidRPr="0019041B">
        <w:t xml:space="preserve"> dans le milieu communautaire. Face à une soif de pouvoirs ou de prestige, face à une volonté d'ascension sociale, il est toujours po</w:t>
      </w:r>
      <w:r w:rsidRPr="0019041B">
        <w:t>s</w:t>
      </w:r>
      <w:r w:rsidRPr="0019041B">
        <w:t>sible de légitimer qui est membre et qui ne peut pas être membre à part e</w:t>
      </w:r>
      <w:r w:rsidRPr="0019041B">
        <w:t>n</w:t>
      </w:r>
      <w:r w:rsidRPr="0019041B">
        <w:t>tière de la société québécoise ou canadienne. Cette concurrence entre divers intérêts particuliers anime la vie sociale qui n'est final</w:t>
      </w:r>
      <w:r w:rsidRPr="0019041B">
        <w:t>e</w:t>
      </w:r>
      <w:r w:rsidRPr="0019041B">
        <w:t>ment</w:t>
      </w:r>
      <w:r w:rsidRPr="00BC632B">
        <w:t xml:space="preserve"> qu'une construction dont les fondations se réifient constamment au gré de différents enjeux politiques et idéologiques.</w:t>
      </w:r>
    </w:p>
    <w:p w:rsidR="00B7214C" w:rsidRDefault="00B7214C" w:rsidP="00B7214C">
      <w:pPr>
        <w:spacing w:before="120" w:after="120"/>
        <w:jc w:val="both"/>
      </w:pP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r w:rsidRPr="00BC632B">
        <w:br w:type="page"/>
      </w:r>
      <w:r>
        <w:t>[79]</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9" w:name="Entre_tradition_pt_1_texte_03"/>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3</w:t>
      </w:r>
    </w:p>
    <w:p w:rsidR="00B7214C" w:rsidRPr="00E07116" w:rsidRDefault="00B7214C" w:rsidP="00B7214C">
      <w:pPr>
        <w:jc w:val="both"/>
        <w:rPr>
          <w:szCs w:val="36"/>
        </w:rPr>
      </w:pPr>
    </w:p>
    <w:p w:rsidR="00B7214C" w:rsidRDefault="00B7214C" w:rsidP="00B7214C">
      <w:pPr>
        <w:pStyle w:val="Titreniveau2"/>
      </w:pPr>
      <w:r>
        <w:t>“La modernité par les particularismes.</w:t>
      </w:r>
    </w:p>
    <w:p w:rsidR="00B7214C" w:rsidRPr="0011353B" w:rsidRDefault="00B7214C" w:rsidP="00B7214C">
      <w:pPr>
        <w:pStyle w:val="Titreniveau2i"/>
      </w:pPr>
      <w:r>
        <w:t>Le modèle québécois</w:t>
      </w:r>
      <w:r>
        <w:br/>
        <w:t>de développement économique.” </w:t>
      </w:r>
      <w:r>
        <w:rPr>
          <w:rStyle w:val="Appelnotedebasdep"/>
          <w:i w:val="0"/>
        </w:rPr>
        <w:footnoteReference w:id="9"/>
      </w:r>
    </w:p>
    <w:bookmarkEnd w:id="9"/>
    <w:p w:rsidR="00B7214C" w:rsidRPr="00E07116" w:rsidRDefault="00B7214C" w:rsidP="00B7214C">
      <w:pPr>
        <w:jc w:val="both"/>
        <w:rPr>
          <w:szCs w:val="36"/>
        </w:rPr>
      </w:pPr>
    </w:p>
    <w:p w:rsidR="00B7214C" w:rsidRPr="00E07116" w:rsidRDefault="00B7214C" w:rsidP="00B7214C">
      <w:pPr>
        <w:pStyle w:val="suite"/>
      </w:pPr>
      <w:r>
        <w:t>Par Paul R. BÉLANGER et Benoît LÉVESQUE</w:t>
      </w:r>
    </w:p>
    <w:p w:rsidR="00B7214C" w:rsidRPr="00E07116" w:rsidRDefault="00B7214C" w:rsidP="00B7214C">
      <w:pPr>
        <w:pStyle w:val="auteurst"/>
      </w:pPr>
      <w:r w:rsidRPr="004A7EF1">
        <w:t xml:space="preserve">Département de sociologie, Université du Québec à Montréal </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19041B" w:rsidRDefault="00B7214C" w:rsidP="00B7214C">
      <w:pPr>
        <w:spacing w:before="120" w:after="120"/>
        <w:jc w:val="both"/>
      </w:pPr>
      <w:r w:rsidRPr="0019041B">
        <w:t>Les recherches et réflexions actuelles sur la relance de l'économie recoupent presque entièrement celles sur le renouvellement des fo</w:t>
      </w:r>
      <w:r w:rsidRPr="0019041B">
        <w:t>r</w:t>
      </w:r>
      <w:r w:rsidRPr="0019041B">
        <w:t>mes d'entreprises puisque la question est alors de savoir quels sont les facteurs d'excellence qui permettent de soutenir la concurrence dans un environnement instable et de contribuer à la solidarité sociale des citoyens. En effet, comme les facteurs d'excellence reposent sociol</w:t>
      </w:r>
      <w:r w:rsidRPr="0019041B">
        <w:t>o</w:t>
      </w:r>
      <w:r w:rsidRPr="0019041B">
        <w:t>giquement aussi bien sur les modes de coordination des ressources humaines et des technologies que sur les relations ouvrières-patronales, la question débouche rapidement sur le repérage des dive</w:t>
      </w:r>
      <w:r w:rsidRPr="0019041B">
        <w:t>r</w:t>
      </w:r>
      <w:r w:rsidRPr="0019041B">
        <w:t>ses modalités et de leurs combinaisons et donc sur l'identification de trajectoires nationales en émergence ou de modèles nationaux (Boyer, 1986 ; Messine, 1987 ; Piore et Sabel, 1989). Les recherches québ</w:t>
      </w:r>
      <w:r w:rsidRPr="0019041B">
        <w:t>é</w:t>
      </w:r>
      <w:r w:rsidRPr="0019041B">
        <w:t>coises n'échappent pas à cette tendance, d'autant plus que la distin</w:t>
      </w:r>
      <w:r w:rsidRPr="0019041B">
        <w:t>c</w:t>
      </w:r>
      <w:r w:rsidRPr="0019041B">
        <w:t>tion, la spécificité ou la différence constituent l'objet plus ou moins explicite de toute réflexion sociologique au Québec (Bourque, 1989 ; Breton, 1989).</w:t>
      </w:r>
    </w:p>
    <w:p w:rsidR="00B7214C" w:rsidRPr="00BC632B" w:rsidRDefault="00B7214C" w:rsidP="00B7214C">
      <w:pPr>
        <w:spacing w:before="120" w:after="120"/>
        <w:jc w:val="both"/>
      </w:pPr>
      <w:r w:rsidRPr="0019041B">
        <w:t xml:space="preserve">Il est intéressant de noter à cet égard qu'à trente ans de distance, le même modèle dit québécois explique à la fois le </w:t>
      </w:r>
      <w:r w:rsidRPr="0019041B">
        <w:rPr>
          <w:i/>
        </w:rPr>
        <w:t>retard</w:t>
      </w:r>
      <w:r w:rsidRPr="0019041B">
        <w:t xml:space="preserve"> des entrepr</w:t>
      </w:r>
      <w:r w:rsidRPr="0019041B">
        <w:t>e</w:t>
      </w:r>
      <w:r w:rsidRPr="0019041B">
        <w:t xml:space="preserve">neurs québécois et leur </w:t>
      </w:r>
      <w:r w:rsidRPr="0019041B">
        <w:rPr>
          <w:i/>
        </w:rPr>
        <w:t>succès</w:t>
      </w:r>
      <w:r w:rsidRPr="0019041B">
        <w:t>. En effet, la tradition est invoquée par Norman W. Taylor en 1961 pour expliquer le peu de succès des indu</w:t>
      </w:r>
      <w:r w:rsidRPr="0019041B">
        <w:t>s</w:t>
      </w:r>
      <w:r w:rsidRPr="0019041B">
        <w:t>triels canadiens-</w:t>
      </w:r>
      <w:r w:rsidRPr="00BC632B">
        <w:t>français ;</w:t>
      </w:r>
      <w:r>
        <w:t xml:space="preserve"> [80]</w:t>
      </w:r>
      <w:r w:rsidRPr="00BC632B">
        <w:t xml:space="preserve"> elle l'est à nouveau par Omar Aktouf, Renée Bédard et Alain Chanlat (1992) pour cette fois rendre compte du dynamisme spectaculaire des entrepreneurs québécois. Ces de</w:t>
      </w:r>
      <w:r w:rsidRPr="00BC632B">
        <w:t>r</w:t>
      </w:r>
      <w:r w:rsidRPr="00BC632B">
        <w:t>niers auteurs n'hés</w:t>
      </w:r>
      <w:r w:rsidRPr="00BC632B">
        <w:t>i</w:t>
      </w:r>
      <w:r w:rsidRPr="00BC632B">
        <w:t>tent pas à parler de « l'émergence d'un mode de gestion propre au Québec dont l'originalité est de s'enraciner dans la culture traditionne</w:t>
      </w:r>
      <w:r w:rsidRPr="00BC632B">
        <w:t>l</w:t>
      </w:r>
      <w:r w:rsidRPr="00BC632B">
        <w:t xml:space="preserve">le et de s'inscrire dans l'évolution des valeurs du monde occidental » (Aktouf, Bédard, Chanlat, 1992, p. 83). Comment expliquer ce retour des théories sur la tradition ? Sont-elles capables d'expliquer la réalité québécoise d'hier </w:t>
      </w:r>
      <w:r w:rsidRPr="0011353B">
        <w:rPr>
          <w:iCs/>
        </w:rPr>
        <w:t>et</w:t>
      </w:r>
      <w:r w:rsidRPr="00BC632B">
        <w:t xml:space="preserve"> d'aujourd'hui ? Avant d'e</w:t>
      </w:r>
      <w:r w:rsidRPr="00BC632B">
        <w:t>s</w:t>
      </w:r>
      <w:r w:rsidRPr="00BC632B">
        <w:t>quisser des hypothèses de réponse à ces questions, il est nécessaire de se rappeler les deux thèses en présence, en particulier celle de Norman W. Taylor enfouie peut-être délibérément dans nos mémoires.</w:t>
      </w:r>
    </w:p>
    <w:p w:rsidR="00B7214C" w:rsidRDefault="00B7214C" w:rsidP="00B7214C">
      <w:pPr>
        <w:spacing w:before="120" w:after="120"/>
        <w:jc w:val="both"/>
      </w:pPr>
    </w:p>
    <w:p w:rsidR="00B7214C" w:rsidRPr="00BC632B" w:rsidRDefault="00B7214C" w:rsidP="00B7214C">
      <w:pPr>
        <w:pStyle w:val="a"/>
      </w:pPr>
      <w:r>
        <w:t>LES DEUX THÈSES :</w:t>
      </w:r>
      <w:r>
        <w:br/>
      </w:r>
      <w:r w:rsidRPr="00BC632B">
        <w:t>LA TRADITION COMME RETARD</w:t>
      </w:r>
      <w:r>
        <w:br/>
      </w:r>
      <w:r w:rsidRPr="00BC632B">
        <w:t>ET LA TRADITION COMME RESSORT</w:t>
      </w:r>
    </w:p>
    <w:p w:rsidR="00B7214C" w:rsidRDefault="00B7214C" w:rsidP="00B7214C">
      <w:pPr>
        <w:spacing w:before="120" w:after="120"/>
        <w:jc w:val="both"/>
      </w:pPr>
    </w:p>
    <w:p w:rsidR="00B7214C" w:rsidRPr="00BC632B" w:rsidRDefault="00B7214C" w:rsidP="00B7214C">
      <w:pPr>
        <w:pStyle w:val="b"/>
      </w:pPr>
      <w:r w:rsidRPr="00BC632B">
        <w:t>La tradition comme retard (Taylor)</w:t>
      </w:r>
    </w:p>
    <w:p w:rsidR="00B7214C" w:rsidRDefault="00B7214C" w:rsidP="00B7214C">
      <w:pPr>
        <w:spacing w:before="120" w:after="120"/>
        <w:jc w:val="both"/>
      </w:pPr>
    </w:p>
    <w:p w:rsidR="00B7214C" w:rsidRPr="00BC632B" w:rsidRDefault="00B7214C" w:rsidP="00B7214C">
      <w:pPr>
        <w:spacing w:before="120" w:after="120"/>
        <w:jc w:val="both"/>
      </w:pPr>
      <w:r w:rsidRPr="00BC632B">
        <w:t>Taylor constate la faible participation des Canadiens français à la direction des entreprises manufacturières et la faible taille des entr</w:t>
      </w:r>
      <w:r w:rsidRPr="00BC632B">
        <w:t>e</w:t>
      </w:r>
      <w:r w:rsidRPr="00BC632B">
        <w:t>prises qu'ils dirigent. Il critique la thèse géo-économique de Faucher et Lamontagne (1953) et se propose de montrer que la culture est le facteur le plus significatif du comportement économique des Can</w:t>
      </w:r>
      <w:r w:rsidRPr="00BC632B">
        <w:t>a</w:t>
      </w:r>
      <w:r w:rsidRPr="00BC632B">
        <w:t>diens français, culture dont les traits ont été forgés par des générations de vie paysanne. Voici les principaux traits relevés par Taylor.</w:t>
      </w:r>
    </w:p>
    <w:p w:rsidR="00B7214C" w:rsidRDefault="00B7214C" w:rsidP="00B7214C">
      <w:pPr>
        <w:spacing w:before="120" w:after="120"/>
        <w:jc w:val="both"/>
      </w:pPr>
    </w:p>
    <w:p w:rsidR="00B7214C" w:rsidRPr="00BC632B" w:rsidRDefault="00B7214C" w:rsidP="00B7214C">
      <w:pPr>
        <w:spacing w:before="120" w:after="120"/>
        <w:ind w:left="720" w:hanging="360"/>
        <w:jc w:val="both"/>
      </w:pPr>
      <w:r>
        <w:t xml:space="preserve">1) </w:t>
      </w:r>
      <w:r w:rsidRPr="00BC632B">
        <w:t>Le statut attribué aux affaires comme profession est peu élevé, ce qui explique que les chefs d'entreprises proviennent des co</w:t>
      </w:r>
      <w:r w:rsidRPr="00BC632B">
        <w:t>u</w:t>
      </w:r>
      <w:r w:rsidRPr="00BC632B">
        <w:t>ches s</w:t>
      </w:r>
      <w:r w:rsidRPr="00BC632B">
        <w:t>o</w:t>
      </w:r>
      <w:r w:rsidRPr="00BC632B">
        <w:t>ciales peu élevées et peu instruites.</w:t>
      </w:r>
    </w:p>
    <w:p w:rsidR="00B7214C" w:rsidRPr="00BC632B" w:rsidRDefault="00B7214C" w:rsidP="00B7214C">
      <w:pPr>
        <w:spacing w:before="120" w:after="120"/>
        <w:ind w:left="720" w:hanging="360"/>
        <w:jc w:val="both"/>
      </w:pPr>
      <w:r>
        <w:t>2)</w:t>
      </w:r>
      <w:r>
        <w:tab/>
      </w:r>
      <w:r w:rsidRPr="00BC632B">
        <w:t>La direction des entreprises a un caractère familial. La respo</w:t>
      </w:r>
      <w:r w:rsidRPr="00BC632B">
        <w:t>n</w:t>
      </w:r>
      <w:r w:rsidRPr="00BC632B">
        <w:t>sabilité de l'entrepreneur est d'abord envers sa famille et la s</w:t>
      </w:r>
      <w:r w:rsidRPr="00BC632B">
        <w:t>é</w:t>
      </w:r>
      <w:r w:rsidRPr="00BC632B">
        <w:t>curité de ce</w:t>
      </w:r>
      <w:r w:rsidRPr="00BC632B">
        <w:t>l</w:t>
      </w:r>
      <w:r w:rsidRPr="00BC632B">
        <w:t>le-ci de sorte que ses politiques économiques sont généralement conservatrices, elles visent non pas la croissance et le risque mais le bien-être de la famille et le moins de soucis possible ; s'il y a des su</w:t>
      </w:r>
      <w:r w:rsidRPr="00BC632B">
        <w:t>r</w:t>
      </w:r>
      <w:r w:rsidRPr="00BC632B">
        <w:t>plus ou des profits, ils sont investis dans les obligations du gouvernement, l'immobilier et les rés</w:t>
      </w:r>
      <w:r w:rsidRPr="00BC632B">
        <w:t>i</w:t>
      </w:r>
      <w:r w:rsidRPr="00BC632B">
        <w:t>dences de prestige. La croissance n'est commandée que par les responsabilités familiales, comme le nombre d'enfants ou de p</w:t>
      </w:r>
      <w:r w:rsidRPr="00BC632B">
        <w:t>a</w:t>
      </w:r>
      <w:r w:rsidRPr="00BC632B">
        <w:t>rents immédiats. Autant de comportements considérés irratio</w:t>
      </w:r>
      <w:r w:rsidRPr="00BC632B">
        <w:t>n</w:t>
      </w:r>
      <w:r w:rsidRPr="00BC632B">
        <w:t>nels dan</w:t>
      </w:r>
      <w:r>
        <w:t>s la logique capitaliste anglo-</w:t>
      </w:r>
      <w:r w:rsidRPr="00BC632B">
        <w:t>saxonne.</w:t>
      </w:r>
    </w:p>
    <w:p w:rsidR="00B7214C" w:rsidRPr="00BC632B" w:rsidRDefault="00B7214C" w:rsidP="00B7214C">
      <w:pPr>
        <w:spacing w:before="120" w:after="120"/>
        <w:ind w:left="720" w:hanging="360"/>
        <w:jc w:val="both"/>
      </w:pPr>
      <w:r>
        <w:t>3)</w:t>
      </w:r>
      <w:r>
        <w:tab/>
      </w:r>
      <w:r w:rsidRPr="00BC632B">
        <w:t>Les entrepreneurs sont individualistes, mais d'un individualisme particulier. L'individualisme du credo américain conduit à l'atomis</w:t>
      </w:r>
      <w:r w:rsidRPr="00BC632B">
        <w:t>a</w:t>
      </w:r>
      <w:r w:rsidRPr="00BC632B">
        <w:t>tion de la société et de l'économie et à l'universalisme, à la réussite dans</w:t>
      </w:r>
      <w:r>
        <w:t xml:space="preserve"> [81] </w:t>
      </w:r>
      <w:r w:rsidRPr="00BC632B">
        <w:t>n'importe quelle sphère de la société. L'individualisme des Can</w:t>
      </w:r>
      <w:r w:rsidRPr="00BC632B">
        <w:t>a</w:t>
      </w:r>
      <w:r w:rsidRPr="00BC632B">
        <w:t>diens français est d'abord recherche de l'indépendance, d'où la préférence pour la pratique profe</w:t>
      </w:r>
      <w:r w:rsidRPr="00BC632B">
        <w:t>s</w:t>
      </w:r>
      <w:r w:rsidRPr="00BC632B">
        <w:t>sionnelle autonome, le refus de prêts bancaires par crainte de pressions externes ou d'associés imposés par les institutions bancaires, le contrôle personnel de tous les aspects de l'entrepr</w:t>
      </w:r>
      <w:r w:rsidRPr="00BC632B">
        <w:t>i</w:t>
      </w:r>
      <w:r w:rsidRPr="00BC632B">
        <w:t>se et le refus de la délégation de pouvoir. Cet individualisme, selon Taylor, correspond à une attitude négative envers la croi</w:t>
      </w:r>
      <w:r w:rsidRPr="00BC632B">
        <w:t>s</w:t>
      </w:r>
      <w:r w:rsidRPr="00BC632B">
        <w:t>sance.</w:t>
      </w:r>
    </w:p>
    <w:p w:rsidR="00B7214C" w:rsidRPr="00BC632B" w:rsidRDefault="00B7214C" w:rsidP="00B7214C">
      <w:pPr>
        <w:spacing w:before="120" w:after="120"/>
        <w:ind w:left="720" w:hanging="360"/>
        <w:jc w:val="both"/>
      </w:pPr>
      <w:r>
        <w:t>4)</w:t>
      </w:r>
      <w:r>
        <w:tab/>
      </w:r>
      <w:r w:rsidRPr="00BC632B">
        <w:t>Les relations personnelles investissent les relations d'affaires. Les aptitudes des individus ne sont pas jugées selon des critères obje</w:t>
      </w:r>
      <w:r w:rsidRPr="00BC632B">
        <w:t>c</w:t>
      </w:r>
      <w:r w:rsidRPr="00BC632B">
        <w:t>tifs, comme la formation ou l'expérience, mais selon les relations familiales ou personnelles. Les promotions sont a</w:t>
      </w:r>
      <w:r w:rsidRPr="00BC632B">
        <w:t>c</w:t>
      </w:r>
      <w:r w:rsidRPr="00BC632B">
        <w:t>cordées selon que l'indiv</w:t>
      </w:r>
      <w:r w:rsidRPr="00BC632B">
        <w:t>i</w:t>
      </w:r>
      <w:r w:rsidRPr="00BC632B">
        <w:t>du appartient à une bonne famille, et une mise à pied ne sera pas env</w:t>
      </w:r>
      <w:r w:rsidRPr="00BC632B">
        <w:t>i</w:t>
      </w:r>
      <w:r w:rsidRPr="00BC632B">
        <w:t>sagée si l'individu doit subvenir aux besoins de sa famille. Les relations avec les employés sont paternalistes, des considérations perso</w:t>
      </w:r>
      <w:r w:rsidRPr="00BC632B">
        <w:t>n</w:t>
      </w:r>
      <w:r w:rsidRPr="00BC632B">
        <w:t>nelles dominent donc les choix des patrons canadiens-français.</w:t>
      </w:r>
    </w:p>
    <w:p w:rsidR="00B7214C" w:rsidRPr="00BC632B" w:rsidRDefault="00B7214C" w:rsidP="00B7214C">
      <w:pPr>
        <w:spacing w:before="120" w:after="120"/>
        <w:ind w:left="720" w:hanging="360"/>
        <w:jc w:val="both"/>
      </w:pPr>
      <w:r>
        <w:t xml:space="preserve">5) </w:t>
      </w:r>
      <w:r w:rsidRPr="00BC632B">
        <w:t>Le chef d'entreprise se préoccupe peu de l'évolution des marchés et de la recherche de nouveaux marchés. Il a peu d'ambition et ne s'ajuste pas aux besoins de la clientèle.</w:t>
      </w:r>
    </w:p>
    <w:p w:rsidR="00B7214C" w:rsidRDefault="00B7214C" w:rsidP="00B7214C">
      <w:pPr>
        <w:spacing w:before="120" w:after="120"/>
        <w:jc w:val="both"/>
      </w:pPr>
    </w:p>
    <w:p w:rsidR="00B7214C" w:rsidRPr="00BC632B" w:rsidRDefault="00B7214C" w:rsidP="00B7214C">
      <w:pPr>
        <w:spacing w:before="120" w:after="120"/>
        <w:jc w:val="both"/>
      </w:pPr>
      <w:r w:rsidRPr="00BC632B">
        <w:t>Taylor en conclut que ces traits représentent l'influence de modes traditionnels hérités du passé : affaires liées à la famille, crainte du risque et de mettre la famille à la gêne, pas de différenciation entre propriété et administration, contrôle personnel et exclusif des affaires pour maintenir l'indépendance. Cette culture est spécifique de la petite entreprise, inefficace, incohérente et irrationnelle du point de vue éc</w:t>
      </w:r>
      <w:r w:rsidRPr="00BC632B">
        <w:t>o</w:t>
      </w:r>
      <w:r w:rsidRPr="00BC632B">
        <w:t>nomique.</w:t>
      </w:r>
    </w:p>
    <w:p w:rsidR="00B7214C" w:rsidRPr="00BC632B" w:rsidRDefault="00B7214C" w:rsidP="00B7214C">
      <w:pPr>
        <w:spacing w:before="120" w:after="120"/>
        <w:jc w:val="both"/>
      </w:pPr>
      <w:r w:rsidRPr="00BC632B">
        <w:t>Le conflit entre cette échelle de valeurs et celle du milieu nord-américain se manifeste dans les relations avec les fournisseurs, les concurrents et les clients. Les entrepreneurs canadiens-français resse</w:t>
      </w:r>
      <w:r w:rsidRPr="00BC632B">
        <w:t>n</w:t>
      </w:r>
      <w:r w:rsidRPr="00BC632B">
        <w:t>tent un malaise, ils admirent l'esprit de décision des entrepreneurs c</w:t>
      </w:r>
      <w:r w:rsidRPr="00BC632B">
        <w:t>a</w:t>
      </w:r>
      <w:r w:rsidRPr="00BC632B">
        <w:t>nadiens-anglais et ne réussissent pas à se défaire de leur complexe d'infériorité. « Nous n'avons pas les affaires dans le sang », disent ce</w:t>
      </w:r>
      <w:r w:rsidRPr="00BC632B">
        <w:t>r</w:t>
      </w:r>
      <w:r w:rsidRPr="00BC632B">
        <w:t>tains d'entre eux. Ils n'ont pas confiance en eux au point d'investir leurs propres capitaux dans des entreprises dirigées par des angloph</w:t>
      </w:r>
      <w:r w:rsidRPr="00BC632B">
        <w:t>o</w:t>
      </w:r>
      <w:r w:rsidRPr="00BC632B">
        <w:t>nes ; et ils reconnaissent que leur propre milieu, les détaillants par exemple, considère leurs marchandises a priori inférieures à celles de leurs concurrents anglophones.</w:t>
      </w:r>
    </w:p>
    <w:p w:rsidR="00B7214C" w:rsidRPr="00BC632B" w:rsidRDefault="00B7214C" w:rsidP="00B7214C">
      <w:pPr>
        <w:spacing w:before="120" w:after="120"/>
        <w:jc w:val="both"/>
      </w:pPr>
      <w:r w:rsidRPr="00BC632B">
        <w:t xml:space="preserve">Enfin, en accord avec </w:t>
      </w:r>
      <w:hyperlink r:id="rId36" w:history="1">
        <w:r w:rsidRPr="0019041B">
          <w:rPr>
            <w:rStyle w:val="Lienhypertexte"/>
          </w:rPr>
          <w:t>Everett C. Hugues</w:t>
        </w:r>
      </w:hyperlink>
      <w:r w:rsidRPr="00BC632B">
        <w:t xml:space="preserve"> (1972), </w:t>
      </w:r>
      <w:hyperlink r:id="rId37" w:history="1">
        <w:r w:rsidRPr="0019041B">
          <w:rPr>
            <w:rStyle w:val="Lienhypertexte"/>
          </w:rPr>
          <w:t>Norman W. Taylor</w:t>
        </w:r>
      </w:hyperlink>
      <w:r w:rsidRPr="00BC632B">
        <w:t xml:space="preserve"> concluait que l'entrepreneur canadien-français était manifest</w:t>
      </w:r>
      <w:r w:rsidRPr="00BC632B">
        <w:t>e</w:t>
      </w:r>
      <w:r w:rsidRPr="00BC632B">
        <w:t xml:space="preserve">ment </w:t>
      </w:r>
      <w:r w:rsidRPr="000D1A32">
        <w:rPr>
          <w:i/>
          <w:iCs/>
        </w:rPr>
        <w:t>en retard</w:t>
      </w:r>
      <w:r w:rsidRPr="00BC632B">
        <w:t xml:space="preserve"> puisqu'il était complètement à la remorque de l'entr</w:t>
      </w:r>
      <w:r w:rsidRPr="00BC632B">
        <w:t>e</w:t>
      </w:r>
      <w:r>
        <w:t>pr</w:t>
      </w:r>
      <w:r>
        <w:t>e</w:t>
      </w:r>
      <w:r>
        <w:t>neur anglo-</w:t>
      </w:r>
      <w:r w:rsidRPr="00BC632B">
        <w:t>saxon pour les innovations technologiques et que son éc</w:t>
      </w:r>
      <w:r w:rsidRPr="00BC632B">
        <w:t>o</w:t>
      </w:r>
      <w:r w:rsidRPr="00BC632B">
        <w:t>nomie était « basée essentiellement sur un capitalisme du type dix-huitième siècle ».</w:t>
      </w:r>
      <w:r>
        <w:t xml:space="preserve"> Compara</w:t>
      </w:r>
      <w:r w:rsidRPr="00BC632B">
        <w:t>tivement</w:t>
      </w:r>
      <w:r>
        <w:t xml:space="preserve"> [82]</w:t>
      </w:r>
      <w:r w:rsidRPr="00BC632B">
        <w:t xml:space="preserve"> au chef d'entreprise can</w:t>
      </w:r>
      <w:r w:rsidRPr="00BC632B">
        <w:t>a</w:t>
      </w:r>
      <w:r w:rsidRPr="00BC632B">
        <w:t>dien-anglais, « le Canadien fra</w:t>
      </w:r>
      <w:r w:rsidRPr="00BC632B">
        <w:t>n</w:t>
      </w:r>
      <w:r>
        <w:t>çais, écrit-</w:t>
      </w:r>
      <w:r w:rsidRPr="00BC632B">
        <w:t xml:space="preserve">il, se rattache à un univers économique différent du monde des affaires spécifiquement nord-américain. » (Taylor, 1961, </w:t>
      </w:r>
      <w:r>
        <w:t>p</w:t>
      </w:r>
      <w:r w:rsidRPr="00BC632B">
        <w:t>p. 149-150). On aura facilement reconnu le modèle évolutionniste d'analyse de la société qui doit passer néce</w:t>
      </w:r>
      <w:r w:rsidRPr="00BC632B">
        <w:t>s</w:t>
      </w:r>
      <w:r w:rsidRPr="00BC632B">
        <w:t>sairement de la tradition à la mode</w:t>
      </w:r>
      <w:r w:rsidRPr="00BC632B">
        <w:t>r</w:t>
      </w:r>
      <w:r w:rsidRPr="00BC632B">
        <w:t>nité, celle-ci étant identifiée au modèle anglo-américain (Pa</w:t>
      </w:r>
      <w:r w:rsidRPr="00BC632B">
        <w:t>r</w:t>
      </w:r>
      <w:r w:rsidRPr="00BC632B">
        <w:t>sons, 1951)</w:t>
      </w:r>
      <w:r>
        <w:t> </w:t>
      </w:r>
      <w:r>
        <w:rPr>
          <w:rStyle w:val="Appelnotedebasdep"/>
        </w:rPr>
        <w:footnoteReference w:id="10"/>
      </w:r>
      <w:r w:rsidRPr="00BC632B">
        <w:t>.</w:t>
      </w:r>
    </w:p>
    <w:p w:rsidR="00B7214C" w:rsidRDefault="00B7214C" w:rsidP="00B7214C">
      <w:pPr>
        <w:spacing w:before="120" w:after="120"/>
        <w:jc w:val="both"/>
      </w:pPr>
    </w:p>
    <w:p w:rsidR="00B7214C" w:rsidRPr="00BC632B" w:rsidRDefault="00B7214C" w:rsidP="00B7214C">
      <w:pPr>
        <w:pStyle w:val="b"/>
      </w:pPr>
      <w:r w:rsidRPr="00BC632B">
        <w:t>La tradition comme ressort de la modernisation</w:t>
      </w:r>
      <w:r>
        <w:br/>
      </w:r>
      <w:r w:rsidRPr="00BC632B">
        <w:t>(Aktouf et al.)</w:t>
      </w:r>
    </w:p>
    <w:p w:rsidR="00B7214C" w:rsidRDefault="00B7214C" w:rsidP="00B7214C">
      <w:pPr>
        <w:spacing w:before="120" w:after="120"/>
        <w:jc w:val="both"/>
      </w:pPr>
    </w:p>
    <w:p w:rsidR="00B7214C" w:rsidRPr="00BC632B" w:rsidRDefault="00B7214C" w:rsidP="00B7214C">
      <w:pPr>
        <w:spacing w:before="120" w:after="120"/>
        <w:jc w:val="both"/>
      </w:pPr>
      <w:r w:rsidRPr="00BC632B">
        <w:t>Pour Aktouf et ses collègues, ce sont également les mêmes fa</w:t>
      </w:r>
      <w:r w:rsidRPr="00BC632B">
        <w:t>c</w:t>
      </w:r>
      <w:r w:rsidRPr="00BC632B">
        <w:t>teurs, tradition et culture, qui sont invoqués pour rendre compte cette fois de l'audace des entrepreneurs québécois, de leur conquête des marchés, de leur fierté, de leur succès et de la confiance qu'ils man</w:t>
      </w:r>
      <w:r w:rsidRPr="00BC632B">
        <w:t>i</w:t>
      </w:r>
      <w:r w:rsidRPr="00BC632B">
        <w:t>festent dans leurs entreprises. Ce modèle a été élaboré principalement à partir de l'étude de l'entreprise québécoise Cascades devenue mult</w:t>
      </w:r>
      <w:r w:rsidRPr="00BC632B">
        <w:t>i</w:t>
      </w:r>
      <w:r w:rsidRPr="00BC632B">
        <w:t>nationale au cours des dernières années (Aktouf et Chrétien, 1989).</w:t>
      </w:r>
    </w:p>
    <w:p w:rsidR="00B7214C" w:rsidRPr="00BC632B" w:rsidRDefault="00B7214C" w:rsidP="00B7214C">
      <w:pPr>
        <w:spacing w:before="120" w:after="120"/>
        <w:jc w:val="both"/>
      </w:pPr>
      <w:r w:rsidRPr="00BC632B">
        <w:t>En effet, pour ces auteurs, le secret de Cascades réside dans sa m</w:t>
      </w:r>
      <w:r w:rsidRPr="00BC632B">
        <w:t>a</w:t>
      </w:r>
      <w:r w:rsidRPr="00BC632B">
        <w:t>nière de traiter le personnel et non dans les recettes tayloriennes (A</w:t>
      </w:r>
      <w:r w:rsidRPr="00BC632B">
        <w:t>k</w:t>
      </w:r>
      <w:r w:rsidRPr="00BC632B">
        <w:t>touf, Bédard, Chanlat, 1992, p. 93). Ainsi, dans cette entreprise, les signes manifestes de la rationalité du management classique sont a</w:t>
      </w:r>
      <w:r w:rsidRPr="00BC632B">
        <w:t>b</w:t>
      </w:r>
      <w:r w:rsidRPr="00BC632B">
        <w:t>sents : il n'y a ni organigramme, ni statuts officiels distinctifs, une hi</w:t>
      </w:r>
      <w:r w:rsidRPr="00BC632B">
        <w:t>é</w:t>
      </w:r>
      <w:r w:rsidRPr="00BC632B">
        <w:t>rarchie réduite et peu de surveillance. En revanche, les travailleurs font montre d'autodiscipline, d'autonomie dans la répartition des t</w:t>
      </w:r>
      <w:r w:rsidRPr="00BC632B">
        <w:t>â</w:t>
      </w:r>
      <w:r w:rsidRPr="00BC632B">
        <w:t>ches et d'engagement envers les objectifs de productivité.</w:t>
      </w:r>
    </w:p>
    <w:p w:rsidR="00B7214C" w:rsidRPr="00BC632B" w:rsidRDefault="00B7214C" w:rsidP="00B7214C">
      <w:pPr>
        <w:spacing w:before="120" w:after="120"/>
        <w:jc w:val="both"/>
      </w:pPr>
      <w:r w:rsidRPr="00BC632B">
        <w:t>Cette organisation est fondée sur des relations directes et informe</w:t>
      </w:r>
      <w:r w:rsidRPr="00BC632B">
        <w:t>l</w:t>
      </w:r>
      <w:r w:rsidRPr="00BC632B">
        <w:t>les entre tous les employés y compris la haute direction, les frères Lemaire. Les informations sur l'entreprise sont accessibles à tous, la transparence prédomine. Le principe de la « porte ouverte » encourage à rencontrer la haute direction quel qu'en soit le motif. L'importance accordée aux opinions des travailleurs entretient un climat de confia</w:t>
      </w:r>
      <w:r w:rsidRPr="00BC632B">
        <w:t>n</w:t>
      </w:r>
      <w:r w:rsidRPr="00BC632B">
        <w:t>ce, de complicité, de convivialité.</w:t>
      </w:r>
    </w:p>
    <w:p w:rsidR="00B7214C" w:rsidRPr="00BC632B" w:rsidRDefault="00B7214C" w:rsidP="00B7214C">
      <w:pPr>
        <w:spacing w:before="120" w:after="120"/>
        <w:jc w:val="both"/>
      </w:pPr>
      <w:r w:rsidRPr="00BC632B">
        <w:t>La direction partage les profits avec les employés dont les salaires et les avantages sociaux sont parmi les plus élevés dans l'industrie. De plus, elle aide les employés à l'achat d'actions de l'entreprise. D'ai</w:t>
      </w:r>
      <w:r w:rsidRPr="00BC632B">
        <w:t>l</w:t>
      </w:r>
      <w:r w:rsidRPr="00BC632B">
        <w:t>leurs le profit n'est pas considéré comme la seule finalité de l'entrepr</w:t>
      </w:r>
      <w:r w:rsidRPr="00BC632B">
        <w:t>i</w:t>
      </w:r>
      <w:r w:rsidRPr="00BC632B">
        <w:t>se. La direction soutient qu'elle préfère couper dans les profits plutôt que d'effectuer des mises à pied.</w:t>
      </w:r>
    </w:p>
    <w:p w:rsidR="00B7214C" w:rsidRPr="00BC632B" w:rsidRDefault="00B7214C" w:rsidP="00B7214C">
      <w:pPr>
        <w:spacing w:before="120" w:after="120"/>
        <w:jc w:val="both"/>
      </w:pPr>
      <w:r w:rsidRPr="00BC632B">
        <w:t>Par ailleurs, les relations sociales occupent une place prépondéra</w:t>
      </w:r>
      <w:r w:rsidRPr="00BC632B">
        <w:t>n</w:t>
      </w:r>
      <w:r w:rsidRPr="00BC632B">
        <w:t>te dans l'entreprise. Les travailleurs peuvent avoir recours à l'outillage, à des matériaux, aux véhicules pour des fins personnelles. L'entreprise participe</w:t>
      </w:r>
      <w:r>
        <w:t xml:space="preserve"> [83] </w:t>
      </w:r>
      <w:r w:rsidRPr="00BC632B">
        <w:t>à l'organisation d'activités sociales et sportives. Bref tout est mis en place pour soutenir un esprit de grande famille, une identification à l'entreprise.</w:t>
      </w:r>
    </w:p>
    <w:p w:rsidR="00B7214C" w:rsidRPr="00BC632B" w:rsidRDefault="00B7214C" w:rsidP="00B7214C">
      <w:pPr>
        <w:spacing w:before="120" w:after="120"/>
        <w:jc w:val="both"/>
      </w:pPr>
      <w:r w:rsidRPr="00BC632B">
        <w:t>Selon cette analyse, le mode de gestion de Cascades tire ses ant</w:t>
      </w:r>
      <w:r w:rsidRPr="00BC632B">
        <w:t>é</w:t>
      </w:r>
      <w:r w:rsidRPr="00BC632B">
        <w:t>cédents dans la tradition rurale, l'influence de l'Église catholique et l'héritage de Duplessis. La tradition rurale donne l'égalitarisme, la convivialité, le partage et l'entraide ; l'Église, la primauté des valeurs spirituelles ; et Duplessis, l'ouverture aux multinationales. À l'éthique protestante fondée sur l'individualisme, la rationalité et le devoir, les auteurs opposent une éthique féodalo-catholique, un mode de domin</w:t>
      </w:r>
      <w:r w:rsidRPr="00BC632B">
        <w:t>a</w:t>
      </w:r>
      <w:r w:rsidRPr="00BC632B">
        <w:t>tion féodal-charismatique qu'ils associent à la communauté rurale-domestique, à l'oikos. Ce n'est pas la rationalité, ni l'individualisme, ni le calcul des prix qui déterminent les comportements et les relations entre les membres de l'entreprise ; les relations ont au contraire un c</w:t>
      </w:r>
      <w:r w:rsidRPr="00BC632B">
        <w:t>a</w:t>
      </w:r>
      <w:r w:rsidRPr="00BC632B">
        <w:t>ractère familial, personnalisé, paternaliste et protecteur ; les dirigeants ne commandent pas, ils associent ; la richesse n'est pas une finalité individualiste, elle est recherchée pour le bien de la communauté.</w:t>
      </w:r>
    </w:p>
    <w:p w:rsidR="00B7214C" w:rsidRPr="00BC632B" w:rsidRDefault="00B7214C" w:rsidP="00B7214C">
      <w:pPr>
        <w:spacing w:before="120" w:after="120"/>
        <w:jc w:val="both"/>
      </w:pPr>
      <w:r w:rsidRPr="00BC632B">
        <w:t>Les traits dégagés de l'analyse de Cascades sont généralisés à toute la société québécoise (Aktouf, Bédard, Chanlat, 1992). Les représe</w:t>
      </w:r>
      <w:r w:rsidRPr="00BC632B">
        <w:t>n</w:t>
      </w:r>
      <w:r w:rsidRPr="00BC632B">
        <w:t>tations collectives des Québécois correspondraient à une éthique c</w:t>
      </w:r>
      <w:r w:rsidRPr="00BC632B">
        <w:t>a</w:t>
      </w:r>
      <w:r w:rsidRPr="00BC632B">
        <w:t>tholique et à une domination charismatique ; l'origine modeste des Lemaire atteste de leur identification à la culture québécoise ; leur succès foudroyant est associé à la montée toute récente de la bou</w:t>
      </w:r>
      <w:r w:rsidRPr="00BC632B">
        <w:t>r</w:t>
      </w:r>
      <w:r w:rsidRPr="00BC632B">
        <w:t>geoisie québécoise.</w:t>
      </w:r>
    </w:p>
    <w:p w:rsidR="00B7214C" w:rsidRDefault="00B7214C" w:rsidP="00B7214C">
      <w:pPr>
        <w:spacing w:before="120" w:after="120"/>
        <w:jc w:val="both"/>
      </w:pPr>
      <w:r w:rsidRPr="00BC632B">
        <w:t>On serait donc en présence d'une éthique catholique, dont les traits remontent à la ruralité, constituée d'une homogénéité culturelle, d'une communauté de points de vue, d'une absence de division en classes tranchées, d'une mobilité sociale, de dirigeants qui se conduisent en bons pères de famille et non avec arrogance et supériorité. Cette éth</w:t>
      </w:r>
      <w:r w:rsidRPr="00BC632B">
        <w:t>i</w:t>
      </w:r>
      <w:r w:rsidRPr="00BC632B">
        <w:t>que, selon les auteurs, serait non seulement compatible avec la logique du marché, le progrès, la modernité et la justice sociale mais elle en constituerait le ressort, contrairement à ce qu'affirment les pa</w:t>
      </w:r>
      <w:r>
        <w:t>rtisans du modèle traditionnel-</w:t>
      </w:r>
      <w:r w:rsidRPr="00BC632B">
        <w:t>moderne (Taylor, 1961).</w:t>
      </w:r>
    </w:p>
    <w:p w:rsidR="00B7214C" w:rsidRDefault="00B7214C" w:rsidP="00B7214C">
      <w:pPr>
        <w:spacing w:before="120" w:after="120"/>
        <w:jc w:val="both"/>
      </w:pPr>
    </w:p>
    <w:p w:rsidR="00B7214C" w:rsidRPr="00BC632B" w:rsidRDefault="00B7214C" w:rsidP="00B7214C">
      <w:pPr>
        <w:spacing w:before="120" w:after="120"/>
        <w:jc w:val="both"/>
      </w:pPr>
    </w:p>
    <w:p w:rsidR="00B7214C" w:rsidRDefault="00B7214C" w:rsidP="00B7214C">
      <w:pPr>
        <w:pStyle w:val="a"/>
      </w:pPr>
      <w:r w:rsidRPr="00BC632B">
        <w:t>UNE BRÈVE CRITIQUE DES DEUX THÈSES</w:t>
      </w:r>
    </w:p>
    <w:p w:rsidR="00B7214C" w:rsidRPr="00BC632B" w:rsidRDefault="00B7214C" w:rsidP="00B7214C">
      <w:pPr>
        <w:spacing w:before="120" w:after="120"/>
        <w:jc w:val="both"/>
      </w:pPr>
    </w:p>
    <w:p w:rsidR="00B7214C" w:rsidRDefault="00B7214C" w:rsidP="00B7214C">
      <w:pPr>
        <w:spacing w:before="120" w:after="120"/>
        <w:jc w:val="both"/>
      </w:pPr>
      <w:r w:rsidRPr="00BC632B">
        <w:t>Les deux thèses découvrent des traits semblables dans le mode de gestion interne et dans les relations entre les dirigeants et les e</w:t>
      </w:r>
      <w:r w:rsidRPr="00BC632B">
        <w:t>m</w:t>
      </w:r>
      <w:r w:rsidRPr="00BC632B">
        <w:t>ployés : l'entreprise « québécoise » est une grande famille, une co</w:t>
      </w:r>
      <w:r w:rsidRPr="00BC632B">
        <w:t>m</w:t>
      </w:r>
      <w:r w:rsidRPr="00BC632B">
        <w:t>munauté. Cependant, les industriels canadiens-français de Norman W. Taylor ont le complexe du colonisé et visent la sécurité et la transmi</w:t>
      </w:r>
      <w:r w:rsidRPr="00BC632B">
        <w:t>s</w:t>
      </w:r>
      <w:r w:rsidRPr="00BC632B">
        <w:t>sion d'un héritage alors que les Lemaire sont agressifs, conquièrent de nouveaux marchés, transforment une petite entreprise en grande mu</w:t>
      </w:r>
      <w:r w:rsidRPr="00BC632B">
        <w:t>l</w:t>
      </w:r>
      <w:r w:rsidRPr="00BC632B">
        <w:t>tinationale.</w:t>
      </w:r>
    </w:p>
    <w:p w:rsidR="00B7214C" w:rsidRPr="00BC632B" w:rsidRDefault="00B7214C" w:rsidP="00B7214C">
      <w:pPr>
        <w:spacing w:before="120" w:after="120"/>
        <w:jc w:val="both"/>
      </w:pPr>
      <w:r>
        <w:t>[84]</w:t>
      </w:r>
    </w:p>
    <w:p w:rsidR="00B7214C" w:rsidRPr="00BC632B" w:rsidRDefault="00B7214C" w:rsidP="00B7214C">
      <w:pPr>
        <w:spacing w:before="120" w:after="120"/>
        <w:jc w:val="both"/>
      </w:pPr>
      <w:r w:rsidRPr="00BC632B">
        <w:t>Trois questions sont appelées par ces textes : l'une théorique concernant le mode d'analyse, l'autre historique renvoie à l'interprét</w:t>
      </w:r>
      <w:r w:rsidRPr="00BC632B">
        <w:t>a</w:t>
      </w:r>
      <w:r w:rsidRPr="00BC632B">
        <w:t>tion de la Révolution tranquille et à l'entrée du Québec dans la mode</w:t>
      </w:r>
      <w:r w:rsidRPr="00BC632B">
        <w:t>r</w:t>
      </w:r>
      <w:r w:rsidRPr="00BC632B">
        <w:t>nité ; enfin une troisième question concerne la représentativité de Ca</w:t>
      </w:r>
      <w:r w:rsidRPr="00BC632B">
        <w:t>s</w:t>
      </w:r>
      <w:r w:rsidRPr="00BC632B">
        <w:t>cades comme modèle québécois d'entreprise.</w:t>
      </w:r>
    </w:p>
    <w:p w:rsidR="00B7214C" w:rsidRDefault="00B7214C" w:rsidP="00B7214C">
      <w:pPr>
        <w:spacing w:before="120" w:after="120"/>
        <w:jc w:val="both"/>
      </w:pPr>
    </w:p>
    <w:p w:rsidR="00B7214C" w:rsidRPr="00BC632B" w:rsidRDefault="00B7214C" w:rsidP="00B7214C">
      <w:pPr>
        <w:pStyle w:val="b"/>
      </w:pPr>
      <w:r w:rsidRPr="00BC632B">
        <w:t>Le modèle théorique</w:t>
      </w:r>
    </w:p>
    <w:p w:rsidR="00B7214C" w:rsidRDefault="00B7214C" w:rsidP="00B7214C">
      <w:pPr>
        <w:spacing w:before="120" w:after="120"/>
        <w:jc w:val="both"/>
      </w:pPr>
    </w:p>
    <w:p w:rsidR="00B7214C" w:rsidRPr="00BC632B" w:rsidRDefault="00B7214C" w:rsidP="00B7214C">
      <w:pPr>
        <w:spacing w:before="120" w:after="120"/>
        <w:jc w:val="both"/>
      </w:pPr>
      <w:r w:rsidRPr="00BC632B">
        <w:t>Les deux interprétations, la thèse moderniste et libérale (Taylor) et la thèse souverainiste et nationaliste</w:t>
      </w:r>
      <w:r>
        <w:t> </w:t>
      </w:r>
      <w:r>
        <w:rPr>
          <w:rStyle w:val="Appelnotedebasdep"/>
        </w:rPr>
        <w:footnoteReference w:id="11"/>
      </w:r>
      <w:r w:rsidRPr="00BC632B">
        <w:t xml:space="preserve"> (Aktouf), s'inspirent d'une pr</w:t>
      </w:r>
      <w:r w:rsidRPr="00BC632B">
        <w:t>o</w:t>
      </w:r>
      <w:r w:rsidRPr="00BC632B">
        <w:t>blématique culturaliste commune : elles expliquent le modèle québ</w:t>
      </w:r>
      <w:r w:rsidRPr="00BC632B">
        <w:t>é</w:t>
      </w:r>
      <w:r w:rsidRPr="00BC632B">
        <w:t>cois par les représentations collectives, les idéologies ou mieux par la culture nationale. Ces deux thèses se renvoient l'une à l'autre malgré leurs différences.</w:t>
      </w:r>
    </w:p>
    <w:p w:rsidR="00B7214C" w:rsidRPr="00BC632B" w:rsidRDefault="00B7214C" w:rsidP="00B7214C">
      <w:pPr>
        <w:spacing w:before="120" w:after="120"/>
        <w:jc w:val="both"/>
      </w:pPr>
      <w:r w:rsidRPr="00BC632B">
        <w:t>La thèse moderniste et libérale soutient que l'infériorisation des Canadiens français s'explique par le manque d'esprit du capitalisme, même chez sa bourgeoisie capitaliste elle-même. Cette thèse s'inspire directement de celle de Weber sur l'esprit du capitalisme et l'éthique protestante (Weber, 1964). Pour entrer dans la modernité, selon cette thèse, il faut dépasser les particularismes et les traditions, les relations affectives et les considérations personnelles, de même que l'attach</w:t>
      </w:r>
      <w:r w:rsidRPr="00BC632B">
        <w:t>e</w:t>
      </w:r>
      <w:r w:rsidRPr="00BC632B">
        <w:t>ment à la famille. Il faut s'inspirer des principes de la raison qui se manifestent entre autres par la poursuite de son intérêt individuel sur le marché, par la performance, l'universalisme technique et scientif</w:t>
      </w:r>
      <w:r w:rsidRPr="00BC632B">
        <w:t>i</w:t>
      </w:r>
      <w:r w:rsidRPr="00BC632B">
        <w:t>que, l'efficacité instrumentale. Ces idées, ces conceptions, les indu</w:t>
      </w:r>
      <w:r w:rsidRPr="00BC632B">
        <w:t>s</w:t>
      </w:r>
      <w:r w:rsidRPr="00BC632B">
        <w:t>triels canadiens-français ne les ont pas, contrairement aux entrepr</w:t>
      </w:r>
      <w:r w:rsidRPr="00BC632B">
        <w:t>e</w:t>
      </w:r>
      <w:r w:rsidRPr="00BC632B">
        <w:t>neurs anglo-saxons, et en conséquence ne peuvent réussir. Ils n'ont pas l'esprit d'entreprise mais l'esprit familial de sorte qu'ils resteront ca</w:t>
      </w:r>
      <w:r w:rsidRPr="00BC632B">
        <w:t>n</w:t>
      </w:r>
      <w:r w:rsidRPr="00BC632B">
        <w:t>tonnés dans de petites entreprises et le marché local. Bref, « ils n'avaient pas l'esprit qu'ils auraient dû avoir » (Bourque et Légaré, 1979, p. 20). Cet esprit passéiste est de toute façon appelé à dispara</w:t>
      </w:r>
      <w:r w:rsidRPr="00BC632B">
        <w:t>î</w:t>
      </w:r>
      <w:r w:rsidRPr="00BC632B">
        <w:t>tre car l'évolution vers la modernité est incontournable. Et sans une bourgeoisie capitaliste, moteur de l'histoire, une société ne peut se d</w:t>
      </w:r>
      <w:r w:rsidRPr="00BC632B">
        <w:t>é</w:t>
      </w:r>
      <w:r w:rsidRPr="00BC632B">
        <w:t>velopper.</w:t>
      </w:r>
    </w:p>
    <w:p w:rsidR="00B7214C" w:rsidRDefault="00B7214C" w:rsidP="00B7214C">
      <w:pPr>
        <w:spacing w:before="120" w:after="120"/>
        <w:jc w:val="both"/>
      </w:pPr>
      <w:r w:rsidRPr="00BC632B">
        <w:t>La thèse souverainiste et nationaliste, celle d'Aktouf, est tout he</w:t>
      </w:r>
      <w:r w:rsidRPr="00BC632B">
        <w:t>u</w:t>
      </w:r>
      <w:r w:rsidRPr="00BC632B">
        <w:t>reuse de pouvoir annoncer qu'enfin les Canadiens français ont trouvé leur bourgeoisie. À la faveur de la Révolution tranquille et à l'aide de l'État, une bourgeoisie nationale s'est constituée, mais heureusement pas selon les principes annoncés par les modernistes libéraux comme étant le passage obligé à la modernité. Elle s'est fondée non pas sur la domination rationnelle-légale et le calcul rationnel, mais sur la dom</w:t>
      </w:r>
      <w:r w:rsidRPr="00BC632B">
        <w:t>i</w:t>
      </w:r>
      <w:r w:rsidRPr="00BC632B">
        <w:t>nation charismatique et le partage, l'entraide et la convivialité, donc sur les traits de la tradition, sur l'héritage paysan et communautaire (Ségal, 1987, p. 55). L'identité culturelle moderne est faite d'une v</w:t>
      </w:r>
      <w:r w:rsidRPr="00BC632B">
        <w:t>i</w:t>
      </w:r>
      <w:r w:rsidRPr="00BC632B">
        <w:t>sion partagée, d'une homogénéité culturelle, d'une absence de division forte de classes, de dirigeants sans sentiment de supériorité, familiers et bons pères de famille.</w:t>
      </w:r>
    </w:p>
    <w:p w:rsidR="00B7214C" w:rsidRPr="00BC632B" w:rsidRDefault="00B7214C" w:rsidP="00B7214C">
      <w:pPr>
        <w:spacing w:before="120" w:after="120"/>
        <w:jc w:val="both"/>
      </w:pPr>
      <w:r w:rsidRPr="00BC632B">
        <w:br w:type="page"/>
      </w:r>
      <w:r>
        <w:t>[85]</w:t>
      </w:r>
    </w:p>
    <w:p w:rsidR="00B7214C" w:rsidRPr="00BC632B" w:rsidRDefault="00B7214C" w:rsidP="00B7214C">
      <w:pPr>
        <w:spacing w:before="120" w:after="120"/>
        <w:jc w:val="both"/>
      </w:pPr>
      <w:r w:rsidRPr="00BC632B">
        <w:t>Comme le souligne Touraine en critiquant la thèse culturaliste sur le Japon, cette thèse a incontestablement le « mérite de démontrer l'i</w:t>
      </w:r>
      <w:r w:rsidRPr="00BC632B">
        <w:t>n</w:t>
      </w:r>
      <w:r w:rsidRPr="00BC632B">
        <w:t>suffisance d'explications purement économiques et techniques » et « les limites d'une analyse purement libérale et rationaliste de la croi</w:t>
      </w:r>
      <w:r w:rsidRPr="00BC632B">
        <w:t>s</w:t>
      </w:r>
      <w:r w:rsidRPr="00BC632B">
        <w:t>sance » (Touraine, 1984, p. 8-9). Il y a donc des processus d'industri</w:t>
      </w:r>
      <w:r w:rsidRPr="00BC632B">
        <w:t>a</w:t>
      </w:r>
      <w:r w:rsidRPr="00BC632B">
        <w:t xml:space="preserve">lisation et de changement social différents selon les sociétés, il n'y a pas un </w:t>
      </w:r>
      <w:r w:rsidRPr="0011353B">
        <w:rPr>
          <w:i/>
          <w:iCs/>
        </w:rPr>
        <w:t>one best way</w:t>
      </w:r>
      <w:r w:rsidRPr="00BC632B">
        <w:t xml:space="preserve"> anglo-saxon qui mène à la croissance ; il y a pl</w:t>
      </w:r>
      <w:r w:rsidRPr="00BC632B">
        <w:t>u</w:t>
      </w:r>
      <w:r w:rsidRPr="00BC632B">
        <w:t xml:space="preserve">tôt </w:t>
      </w:r>
      <w:r w:rsidRPr="000D1A32">
        <w:rPr>
          <w:iCs/>
        </w:rPr>
        <w:t>des</w:t>
      </w:r>
      <w:r w:rsidRPr="00BC632B">
        <w:t xml:space="preserve"> modèles de société comme on l'a rappelé au début à propos des trajectoires nationales.</w:t>
      </w:r>
    </w:p>
    <w:p w:rsidR="00B7214C" w:rsidRPr="00BC632B" w:rsidRDefault="00B7214C" w:rsidP="00B7214C">
      <w:pPr>
        <w:spacing w:before="120" w:after="120"/>
        <w:jc w:val="both"/>
      </w:pPr>
      <w:r w:rsidRPr="00BC632B">
        <w:t>Mais les deux thèses « se situent dans le même champ épistémol</w:t>
      </w:r>
      <w:r w:rsidRPr="00BC632B">
        <w:t>o</w:t>
      </w:r>
      <w:r w:rsidRPr="00BC632B">
        <w:t>gique et s'alimentent l'une l'autre dans leur opposition. Au coeur de l'analyse, on trouve un groupe homogène, dont la cohésion n'est j</w:t>
      </w:r>
      <w:r w:rsidRPr="00BC632B">
        <w:t>a</w:t>
      </w:r>
      <w:r w:rsidRPr="00BC632B">
        <w:t>mais remise en question. La stratification sociale, quand elle est adm</w:t>
      </w:r>
      <w:r w:rsidRPr="00BC632B">
        <w:t>i</w:t>
      </w:r>
      <w:r w:rsidRPr="00BC632B">
        <w:t>se, sinon souhaitée, n'est pensée qu'à travers le prisme de l'unicité du groupe » (Bourque et Légaré, 1979, p. 20-21). La bourgeoisie can</w:t>
      </w:r>
      <w:r w:rsidRPr="00BC632B">
        <w:t>a</w:t>
      </w:r>
      <w:r w:rsidRPr="00BC632B">
        <w:t xml:space="preserve">dienne-française est </w:t>
      </w:r>
      <w:r w:rsidRPr="0011353B">
        <w:rPr>
          <w:i/>
          <w:iCs/>
        </w:rPr>
        <w:t>faible,</w:t>
      </w:r>
      <w:r w:rsidRPr="00BC632B">
        <w:t xml:space="preserve"> soutient Taylor parce qu'elle « subit enc</w:t>
      </w:r>
      <w:r w:rsidRPr="00BC632B">
        <w:t>o</w:t>
      </w:r>
      <w:r w:rsidRPr="00BC632B">
        <w:t>re, de façon très marquée, l'influence des modes traditionnels de co</w:t>
      </w:r>
      <w:r w:rsidRPr="00BC632B">
        <w:t>m</w:t>
      </w:r>
      <w:r w:rsidRPr="00BC632B">
        <w:t>po</w:t>
      </w:r>
      <w:r w:rsidRPr="00BC632B">
        <w:t>r</w:t>
      </w:r>
      <w:r w:rsidRPr="00BC632B">
        <w:t xml:space="preserve">tement » (Taylor, 1961) et notamment le lien entre les affaires et la vie familiale. La bourgeoisie est </w:t>
      </w:r>
      <w:r w:rsidRPr="008C2EB4">
        <w:rPr>
          <w:i/>
          <w:iCs/>
        </w:rPr>
        <w:t>forte,</w:t>
      </w:r>
      <w:r w:rsidRPr="00BC632B">
        <w:t xml:space="preserve"> soutiennent Aktouf, Bédard et Cha</w:t>
      </w:r>
      <w:r w:rsidRPr="00BC632B">
        <w:t>n</w:t>
      </w:r>
      <w:r w:rsidRPr="00BC632B">
        <w:t>lat parce qu'elle s'inspire de la tradition. « L'émergence de ce</w:t>
      </w:r>
      <w:r>
        <w:t xml:space="preserve"> qu'on peut dorénavant appeler “</w:t>
      </w:r>
      <w:r w:rsidRPr="00BC632B">
        <w:t>le mode de gestion à la québécoise</w:t>
      </w:r>
      <w:r>
        <w:t>”</w:t>
      </w:r>
      <w:r w:rsidRPr="00BC632B">
        <w:t xml:space="preserve"> n'est pas le fruit d'une génération spontanée. Il trouve ses antécédents dans la tradition rurale, dans l'influence de l'Église catholique et dans l'héritage laissé par Duplessis, entre le début des années 1940 et la fin des années 1950. Même si la société canadienne-française s'est urb</w:t>
      </w:r>
      <w:r w:rsidRPr="00BC632B">
        <w:t>a</w:t>
      </w:r>
      <w:r w:rsidRPr="00BC632B">
        <w:t>nisée il y a déjà quelques décennies, elle reste encore profondément marquée par plusieurs siècles de vie centrée sur la communauté vill</w:t>
      </w:r>
      <w:r w:rsidRPr="00BC632B">
        <w:t>a</w:t>
      </w:r>
      <w:r w:rsidRPr="00BC632B">
        <w:t>geoise ». En somme, poursuivent-ils, les « racines [de la philosophie Cascades] plongent dans les valeurs du monde rural, de la féodalité et du catholicisme » (Aktouf, Bédard, Chanlat, 1992, p. 92-93).</w:t>
      </w:r>
    </w:p>
    <w:p w:rsidR="00B7214C" w:rsidRPr="00BC632B" w:rsidRDefault="00B7214C" w:rsidP="00B7214C">
      <w:pPr>
        <w:spacing w:before="120" w:after="120"/>
        <w:jc w:val="both"/>
      </w:pPr>
      <w:r w:rsidRPr="00BC632B">
        <w:t>Ainsi le groupe, la communauté, l'homogénéité priment sur l'ind</w:t>
      </w:r>
      <w:r w:rsidRPr="00BC632B">
        <w:t>i</w:t>
      </w:r>
      <w:r w:rsidRPr="00BC632B">
        <w:t>vidu, les différences et la division en classes. S'il y a une classe bou</w:t>
      </w:r>
      <w:r w:rsidRPr="00BC632B">
        <w:t>r</w:t>
      </w:r>
      <w:r w:rsidRPr="00BC632B">
        <w:t>geoise, elle se différencie très peu du peuple, elle appartient à la n</w:t>
      </w:r>
      <w:r w:rsidRPr="00BC632B">
        <w:t>a</w:t>
      </w:r>
      <w:r w:rsidRPr="00BC632B">
        <w:t>tion. Elle n'exploite pas, elle est généreuse, protectrice, père de fami</w:t>
      </w:r>
      <w:r w:rsidRPr="00BC632B">
        <w:t>l</w:t>
      </w:r>
      <w:r w:rsidRPr="00BC632B">
        <w:t>le. Pour faire ainsi ressortir l'homogénéité, il est nécessaire de faire le détour par les valeurs, la culture partagée, le consensus. Par définition, toute analyse culturaliste repose sur le consensus, les traits culturels partagés. Dans ce sens, c'est un discours idéologique et légitimateur plutôt qu'explicatif puisqu'il fait l'impasse aussi bien sur la structure sociale de la société québécoise que sur les conflits qui traversent ce</w:t>
      </w:r>
      <w:r w:rsidRPr="00BC632B">
        <w:t>t</w:t>
      </w:r>
      <w:r w:rsidRPr="00BC632B">
        <w:t>te société.</w:t>
      </w:r>
    </w:p>
    <w:p w:rsidR="00B7214C" w:rsidRPr="00BC632B" w:rsidRDefault="00B7214C" w:rsidP="00B7214C">
      <w:pPr>
        <w:spacing w:before="120" w:after="120"/>
        <w:jc w:val="both"/>
      </w:pPr>
      <w:r w:rsidRPr="00BC632B">
        <w:t>En termes plus théoriques, disons que le culturalisme conduit à r</w:t>
      </w:r>
      <w:r w:rsidRPr="00BC632B">
        <w:t>e</w:t>
      </w:r>
      <w:r w:rsidRPr="00BC632B">
        <w:t>présenter une société comme la mise en forme, l'organisation sociale d'orientations culturelles, en éliminant les conflits de classes et les conflits</w:t>
      </w:r>
      <w:r>
        <w:t xml:space="preserve"> [86] </w:t>
      </w:r>
      <w:r w:rsidRPr="00BC632B">
        <w:t>politiques (Touraine 1973, p. 289). Précisément, dans le cas de l'entreprise Cascades et de ses dirigeants présentés comme le symbole de la bourgeoisie québécoise, il n'est jamais question de sy</w:t>
      </w:r>
      <w:r w:rsidRPr="00BC632B">
        <w:t>s</w:t>
      </w:r>
      <w:r w:rsidRPr="00BC632B">
        <w:t>tème politique, de relations patronales-syndicales, de système instit</w:t>
      </w:r>
      <w:r w:rsidRPr="00BC632B">
        <w:t>u</w:t>
      </w:r>
      <w:r w:rsidRPr="00BC632B">
        <w:t>tionnel, comme si encore une fois il y avait passage direct des valeurs à une organisation sociale, à des modes de coordination et de relations sans la médiation du système politique. En somme la société se rédu</w:t>
      </w:r>
      <w:r w:rsidRPr="00BC632B">
        <w:t>i</w:t>
      </w:r>
      <w:r w:rsidRPr="00BC632B">
        <w:t>rait à n'être qu'une organisation, sans conflits de classes ni conflits polit</w:t>
      </w:r>
      <w:r w:rsidRPr="00BC632B">
        <w:t>i</w:t>
      </w:r>
      <w:r w:rsidRPr="00BC632B">
        <w:t>ques. Cette image ne correspond-elle pas à celle qu'aime donner la bourgeoisie, les dirigeants, c'est-à-dire une représentation de la s</w:t>
      </w:r>
      <w:r w:rsidRPr="00BC632B">
        <w:t>o</w:t>
      </w:r>
      <w:r w:rsidRPr="00BC632B">
        <w:t>ciété comme communauté dont ils sont les interprètes et les guides ?</w:t>
      </w:r>
    </w:p>
    <w:p w:rsidR="00B7214C" w:rsidRPr="00BC632B" w:rsidRDefault="00B7214C" w:rsidP="00B7214C">
      <w:pPr>
        <w:spacing w:before="120" w:after="120"/>
        <w:jc w:val="both"/>
      </w:pPr>
      <w:r w:rsidRPr="00BC632B">
        <w:t>En somme l'approche culturaliste est nettement insuffisante aussi bien pour expliquer l'infériorité économique des Canadiens français et la faiblesse de leur bourgeoisie que pour rendre compte du dynamisme de la bourgeoisie québécoise actuelle. Pour éviter tout malentendu, cette critique du culturalisme exige quelques commentaires.</w:t>
      </w:r>
    </w:p>
    <w:p w:rsidR="00B7214C" w:rsidRPr="00BC632B" w:rsidRDefault="00B7214C" w:rsidP="00B7214C">
      <w:pPr>
        <w:spacing w:before="120" w:after="120"/>
        <w:jc w:val="both"/>
      </w:pPr>
      <w:r w:rsidRPr="00BC632B">
        <w:t>En premier lieu, notre critique du culturalisme ne doit pas être i</w:t>
      </w:r>
      <w:r w:rsidRPr="00BC632B">
        <w:t>n</w:t>
      </w:r>
      <w:r w:rsidRPr="00BC632B">
        <w:t>terprétée comme une négation de l'importance de la culture et un pla</w:t>
      </w:r>
      <w:r w:rsidRPr="00BC632B">
        <w:t>i</w:t>
      </w:r>
      <w:r w:rsidRPr="00BC632B">
        <w:t>doyer pour une analyse exclusivement économique. La critique du culturalisme par l'économisme ne fournit pas d'instruments théoriques nouveaux pour faire avancer l'analyse. En nous inspirant de travaux de Lipietz (1989) et de Touraine (1973), nous avons tenté d'élaborer une problématique susceptible de sortir de l'impasse dans laquelle nous enferment aussi bien le culturalisme que l'économisme. Cette probl</w:t>
      </w:r>
      <w:r w:rsidRPr="00BC632B">
        <w:t>é</w:t>
      </w:r>
      <w:r w:rsidRPr="00BC632B">
        <w:t>matique tente de prendre en charge aussi bien l'économie que la cult</w:t>
      </w:r>
      <w:r w:rsidRPr="00BC632B">
        <w:t>u</w:t>
      </w:r>
      <w:r w:rsidRPr="00BC632B">
        <w:t>re mais en accordant la première place aux rapports sociaux. Rapp</w:t>
      </w:r>
      <w:r w:rsidRPr="00BC632B">
        <w:t>e</w:t>
      </w:r>
      <w:r w:rsidRPr="00BC632B">
        <w:t>lons à grands traits les principaux éléments de cette problématique que nous avons présentée ailleurs (Bélanger et Lévesque, 1991 et 1992).</w:t>
      </w:r>
    </w:p>
    <w:p w:rsidR="00B7214C" w:rsidRPr="00BC632B" w:rsidRDefault="00B7214C" w:rsidP="00B7214C">
      <w:pPr>
        <w:spacing w:before="120" w:after="120"/>
        <w:jc w:val="both"/>
      </w:pPr>
      <w:r w:rsidRPr="00BC632B">
        <w:t>Selon cette problématique, la société est conçue comme une artic</w:t>
      </w:r>
      <w:r w:rsidRPr="00BC632B">
        <w:t>u</w:t>
      </w:r>
      <w:r w:rsidRPr="00BC632B">
        <w:t>lation hiérarchisée de trois dimensions ou systèmes d'action :</w:t>
      </w:r>
    </w:p>
    <w:p w:rsidR="00B7214C" w:rsidRDefault="00B7214C" w:rsidP="00B7214C">
      <w:pPr>
        <w:spacing w:before="120" w:after="120"/>
        <w:jc w:val="both"/>
      </w:pPr>
    </w:p>
    <w:p w:rsidR="00B7214C" w:rsidRPr="00BC632B" w:rsidRDefault="00B7214C" w:rsidP="00B7214C">
      <w:pPr>
        <w:ind w:left="1080" w:hanging="360"/>
        <w:jc w:val="both"/>
      </w:pPr>
      <w:r>
        <w:t>-</w:t>
      </w:r>
      <w:r>
        <w:tab/>
      </w:r>
      <w:r w:rsidRPr="00BC632B">
        <w:t>les rapports sociaux (classes et mouvement sociaux),</w:t>
      </w:r>
    </w:p>
    <w:p w:rsidR="00B7214C" w:rsidRPr="00BC632B" w:rsidRDefault="00B7214C" w:rsidP="00B7214C">
      <w:pPr>
        <w:ind w:left="1080" w:hanging="360"/>
        <w:jc w:val="both"/>
      </w:pPr>
      <w:r>
        <w:t>-</w:t>
      </w:r>
      <w:r>
        <w:tab/>
      </w:r>
      <w:r w:rsidRPr="00BC632B">
        <w:t>les formes institutionnelles (compromis institutionnalisés),</w:t>
      </w:r>
    </w:p>
    <w:p w:rsidR="00B7214C" w:rsidRPr="00BC632B" w:rsidRDefault="00B7214C" w:rsidP="00B7214C">
      <w:pPr>
        <w:ind w:left="1080" w:hanging="360"/>
        <w:jc w:val="both"/>
      </w:pPr>
      <w:r>
        <w:t>-</w:t>
      </w:r>
      <w:r>
        <w:tab/>
      </w:r>
      <w:r w:rsidRPr="00BC632B">
        <w:t>l'organisation sociale (coordination et modes de gestion).</w:t>
      </w:r>
    </w:p>
    <w:p w:rsidR="00B7214C" w:rsidRDefault="00B7214C" w:rsidP="00B7214C">
      <w:pPr>
        <w:spacing w:before="120" w:after="120"/>
        <w:jc w:val="both"/>
      </w:pPr>
    </w:p>
    <w:p w:rsidR="00B7214C" w:rsidRPr="00BC632B" w:rsidRDefault="00B7214C" w:rsidP="00B7214C">
      <w:pPr>
        <w:spacing w:before="120" w:after="120"/>
        <w:jc w:val="both"/>
      </w:pPr>
      <w:r w:rsidRPr="00BC632B">
        <w:t>Les rapports sociaux sont au centre de l'analyse et commandent les institutions qui elles-mêmes édictent les règles organisationnelles. Les rapports sociaux sont le cadre des luttes sociales. Les groupes sociaux, classes ou mouvements, « quelle que soit l'ampleur de leur divergence de leurs intérêts et de l'inégalité de leurs conditions, constituent, pe</w:t>
      </w:r>
      <w:r w:rsidRPr="00BC632B">
        <w:t>n</w:t>
      </w:r>
      <w:r w:rsidRPr="00BC632B">
        <w:t>dant de larges périodes de temps, une nation où les rapports se perp</w:t>
      </w:r>
      <w:r w:rsidRPr="00BC632B">
        <w:t>é</w:t>
      </w:r>
      <w:r>
        <w:t>tuent sans contesta</w:t>
      </w:r>
      <w:r w:rsidRPr="00BC632B">
        <w:t>tion</w:t>
      </w:r>
      <w:r>
        <w:t xml:space="preserve"> [87]</w:t>
      </w:r>
      <w:r w:rsidRPr="00BC632B">
        <w:t xml:space="preserve"> majeure. On appelle </w:t>
      </w:r>
      <w:r w:rsidRPr="00B4156A">
        <w:rPr>
          <w:i/>
        </w:rPr>
        <w:t>bloc social</w:t>
      </w:r>
      <w:r w:rsidRPr="00B4156A">
        <w:t xml:space="preserve"> </w:t>
      </w:r>
      <w:r w:rsidRPr="00BC632B">
        <w:t>un syst</w:t>
      </w:r>
      <w:r w:rsidRPr="00BC632B">
        <w:t>è</w:t>
      </w:r>
      <w:r w:rsidRPr="00BC632B">
        <w:t>me de rapports de domination, d'alliances et de concessions entre di</w:t>
      </w:r>
      <w:r w:rsidRPr="00BC632B">
        <w:t>f</w:t>
      </w:r>
      <w:r w:rsidRPr="00BC632B">
        <w:t>férents groupes s</w:t>
      </w:r>
      <w:r w:rsidRPr="00BC632B">
        <w:t>o</w:t>
      </w:r>
      <w:r w:rsidRPr="00BC632B">
        <w:t xml:space="preserve">ciaux (dominants et subordonnés), et un bloc social est </w:t>
      </w:r>
      <w:r w:rsidRPr="00B4156A">
        <w:rPr>
          <w:i/>
        </w:rPr>
        <w:t>hégémon</w:t>
      </w:r>
      <w:r w:rsidRPr="00B4156A">
        <w:rPr>
          <w:i/>
        </w:rPr>
        <w:t>i</w:t>
      </w:r>
      <w:r w:rsidRPr="00B4156A">
        <w:rPr>
          <w:i/>
        </w:rPr>
        <w:t>que</w:t>
      </w:r>
      <w:r w:rsidRPr="00B4156A">
        <w:t xml:space="preserve"> </w:t>
      </w:r>
      <w:r w:rsidRPr="00BC632B">
        <w:t>quand il fait reconnaître de façon plus ou moins coercitive son dispositif comme conforme à l'inté</w:t>
      </w:r>
      <w:r>
        <w:t>rêt de la grande m</w:t>
      </w:r>
      <w:r>
        <w:t>a</w:t>
      </w:r>
      <w:r>
        <w:t>jorité d'un « </w:t>
      </w:r>
      <w:r w:rsidRPr="00BC632B">
        <w:t>territo</w:t>
      </w:r>
      <w:r w:rsidRPr="00BC632B">
        <w:t>i</w:t>
      </w:r>
      <w:r w:rsidRPr="00BC632B">
        <w:t>re » (Leborgne et Lipietz, 1989 et 1992). Ainsi les parties prenantes au bloc, à travers leurs luttes, développent un consensus dont les él</w:t>
      </w:r>
      <w:r w:rsidRPr="00BC632B">
        <w:t>é</w:t>
      </w:r>
      <w:r w:rsidRPr="00BC632B">
        <w:t>ments sont tout autant constitués d'orientations culturelles que d'intérêts matériels. Ces orientations culturelles, ce sont les valeurs, la culture. Elles ne sont donc pas le produit de la tr</w:t>
      </w:r>
      <w:r w:rsidRPr="00BC632B">
        <w:t>a</w:t>
      </w:r>
      <w:r w:rsidRPr="00BC632B">
        <w:t>dition, elles sont produites socialement comme représentations de la société par les lu</w:t>
      </w:r>
      <w:r w:rsidRPr="00BC632B">
        <w:t>t</w:t>
      </w:r>
      <w:r w:rsidRPr="00BC632B">
        <w:t>tes des forces sociales en présence, y compris les groupes dominés. Les orientations culturelles ne sont jamais celles de la bourgeoisie exclusivement, mais un compromis afin qu'elles pui</w:t>
      </w:r>
      <w:r w:rsidRPr="00BC632B">
        <w:t>s</w:t>
      </w:r>
      <w:r w:rsidRPr="00BC632B">
        <w:t>sent entraîner un consentement actif ou passif, une certaine adhésion. Pour cette raison, consensus ici ne signifie pas homogénéité et abse</w:t>
      </w:r>
      <w:r w:rsidRPr="00BC632B">
        <w:t>n</w:t>
      </w:r>
      <w:r w:rsidRPr="00BC632B">
        <w:t>ce de différenciation ; il signifie toujours un enjeu susceptible d'inte</w:t>
      </w:r>
      <w:r w:rsidRPr="00BC632B">
        <w:t>r</w:t>
      </w:r>
      <w:r w:rsidRPr="00BC632B">
        <w:t>prétations différentes par les groupes sociaux, un compromis favor</w:t>
      </w:r>
      <w:r w:rsidRPr="00BC632B">
        <w:t>i</w:t>
      </w:r>
      <w:r w:rsidRPr="00BC632B">
        <w:t>sant des alliances et des concessions.</w:t>
      </w:r>
    </w:p>
    <w:p w:rsidR="00B7214C" w:rsidRPr="00BC632B" w:rsidRDefault="00B7214C" w:rsidP="00B7214C">
      <w:pPr>
        <w:spacing w:before="120" w:after="120"/>
        <w:jc w:val="both"/>
      </w:pPr>
      <w:r w:rsidRPr="00BC632B">
        <w:t xml:space="preserve">À titre d'exemple, l'alliance de la bourgeoisie, des ingénieurs et des intellectuels modernistes a imposé au monde occidental sa conception du progrès comme progrès technique et scientifique ainsi que comme progrès social par la participation à la croissance. Personne ne pouvait s'opposer au progrès, mais tous n'étaient pas d'accord avec les formes qu'il prenait. Bref </w:t>
      </w:r>
      <w:r w:rsidRPr="00B4156A">
        <w:rPr>
          <w:i/>
        </w:rPr>
        <w:t>l'étude de la culture ne peut négliger, comme c'est le cas le plus souvent, les conditions de sa production à travers les ra</w:t>
      </w:r>
      <w:r w:rsidRPr="00B4156A">
        <w:rPr>
          <w:i/>
        </w:rPr>
        <w:t>p</w:t>
      </w:r>
      <w:r w:rsidRPr="00B4156A">
        <w:rPr>
          <w:i/>
        </w:rPr>
        <w:t>ports sociaux</w:t>
      </w:r>
      <w:r w:rsidRPr="00B4156A">
        <w:t xml:space="preserve">. </w:t>
      </w:r>
      <w:r w:rsidRPr="00BC632B">
        <w:t>Il y a culture mais nous sommes à cent lieues de la communauté homogène. Il y a culture, toujours spécifique, et ce d'a</w:t>
      </w:r>
      <w:r w:rsidRPr="00BC632B">
        <w:t>u</w:t>
      </w:r>
      <w:r w:rsidRPr="00BC632B">
        <w:t>tant plus qu'elle est constituée par un bloc hégémonique régional où se pose la question nationale, où l'oppression nationale est forte et e</w:t>
      </w:r>
      <w:r w:rsidRPr="00BC632B">
        <w:t>n</w:t>
      </w:r>
      <w:r w:rsidRPr="00BC632B">
        <w:t>gendre des luttes.</w:t>
      </w:r>
    </w:p>
    <w:p w:rsidR="00B7214C" w:rsidRPr="00BC632B" w:rsidRDefault="00B7214C" w:rsidP="00B7214C">
      <w:pPr>
        <w:spacing w:before="120" w:after="120"/>
        <w:jc w:val="both"/>
      </w:pPr>
      <w:r w:rsidRPr="00BC632B">
        <w:t>En deuxième lieu, nous devons reconnaître qu'Aktouf, Bédard et Chanlat ont raison de souligner que l'on peut entrer dans la modernité par d'autres modes que l'éthique protestante et l'esprit du capitalisme. Cette reconnaissance est en cohérence avec ce que nous venons de dire sur la culture et les rapports sociaux. De plus, cette idée est sous-jacente à la problématique des trajectoires nationales et des modèles nationaux de développement. Comme le souligne Touraine, on a lon</w:t>
      </w:r>
      <w:r w:rsidRPr="00BC632B">
        <w:t>g</w:t>
      </w:r>
      <w:r w:rsidRPr="00BC632B">
        <w:t>temps cru « que l'universalisme de la raison remplacerait de plus en plus les particularismes sociaux, culturels et nationaux [...] [Cette idée] est renversée et débordée par une réalité historique dans laquelle c'est avec du vieux que se fait le neuf, par le particularisme qu'on a</w:t>
      </w:r>
      <w:r w:rsidRPr="00BC632B">
        <w:t>t</w:t>
      </w:r>
      <w:r w:rsidRPr="00BC632B">
        <w:t>teint l'universalisme ou qu'on lui résiste, alors que tant d'esprits ont cru que la modernité était le passage du particularisme à l'universali</w:t>
      </w:r>
      <w:r w:rsidRPr="00BC632B">
        <w:t>s</w:t>
      </w:r>
      <w:r w:rsidRPr="00BC632B">
        <w:t>me et de la croyance à la raison [...] C'est dans cette dissociation pa</w:t>
      </w:r>
      <w:r w:rsidRPr="00BC632B">
        <w:t>r</w:t>
      </w:r>
      <w:r w:rsidRPr="00BC632B">
        <w:t>fois limitée, parfois extrême, de la modernité et des acteurs</w:t>
      </w:r>
      <w:r>
        <w:t xml:space="preserve"> [88] </w:t>
      </w:r>
      <w:r w:rsidRPr="00BC632B">
        <w:t>de la société en modernisation que réside la crise de l'idéologie classique de la modernité qui reposait sur l'affirmation de leur correspondance pa</w:t>
      </w:r>
      <w:r w:rsidRPr="00BC632B">
        <w:t>r</w:t>
      </w:r>
      <w:r w:rsidRPr="00BC632B">
        <w:t>faite » (Touraine, 1992, p. 164). La modernité a donc été associée d</w:t>
      </w:r>
      <w:r w:rsidRPr="00BC632B">
        <w:t>i</w:t>
      </w:r>
      <w:r w:rsidRPr="00BC632B">
        <w:t xml:space="preserve">rectement à </w:t>
      </w:r>
      <w:r w:rsidRPr="000D1A32">
        <w:rPr>
          <w:iCs/>
        </w:rPr>
        <w:t>un</w:t>
      </w:r>
      <w:r w:rsidRPr="000D1A32">
        <w:rPr>
          <w:i/>
          <w:iCs/>
        </w:rPr>
        <w:t xml:space="preserve"> </w:t>
      </w:r>
      <w:r w:rsidRPr="00BC632B">
        <w:t>mode de modernisation : le modèle anglo-occidental. Tous les autres étaient définis comme des capitalismes ta</w:t>
      </w:r>
      <w:r w:rsidRPr="00BC632B">
        <w:t>r</w:t>
      </w:r>
      <w:r w:rsidRPr="00BC632B">
        <w:t>difs mais qui justement ne tarderaient pas à délaisser les idées et les modes d'o</w:t>
      </w:r>
      <w:r w:rsidRPr="00BC632B">
        <w:t>r</w:t>
      </w:r>
      <w:r w:rsidRPr="00BC632B">
        <w:t>ganisation passéistes. La crise de la modernité et la diversité des m</w:t>
      </w:r>
      <w:r w:rsidRPr="00BC632B">
        <w:t>o</w:t>
      </w:r>
      <w:r w:rsidRPr="00BC632B">
        <w:t>des de développement obligent à dissocier modernité et modernis</w:t>
      </w:r>
      <w:r w:rsidRPr="00BC632B">
        <w:t>a</w:t>
      </w:r>
      <w:r w:rsidRPr="00BC632B">
        <w:t>tion. Si la modernité représente l'universalisme, la modernis</w:t>
      </w:r>
      <w:r w:rsidRPr="00BC632B">
        <w:t>a</w:t>
      </w:r>
      <w:r w:rsidRPr="00BC632B">
        <w:t>tion, elle, « suit des voies et mobilise des ressources toujours particulières, n</w:t>
      </w:r>
      <w:r w:rsidRPr="00BC632B">
        <w:t>a</w:t>
      </w:r>
      <w:r w:rsidRPr="00BC632B">
        <w:t xml:space="preserve">tionales ou locales » </w:t>
      </w:r>
      <w:r w:rsidRPr="00B4156A">
        <w:rPr>
          <w:bCs/>
          <w:i/>
          <w:iCs/>
        </w:rPr>
        <w:t>(Ibid.).</w:t>
      </w:r>
      <w:r w:rsidRPr="00B4156A">
        <w:t xml:space="preserve"> </w:t>
      </w:r>
      <w:r w:rsidRPr="00BC632B">
        <w:t>C'est donc par l'alliance de l'universali</w:t>
      </w:r>
      <w:r w:rsidRPr="00BC632B">
        <w:t>s</w:t>
      </w:r>
      <w:r w:rsidRPr="00BC632B">
        <w:t>me et de particularismes qu'on peut le mieux identifier les m</w:t>
      </w:r>
      <w:r w:rsidRPr="00BC632B">
        <w:t>o</w:t>
      </w:r>
      <w:r w:rsidRPr="00BC632B">
        <w:t>dèles de développement.</w:t>
      </w:r>
    </w:p>
    <w:p w:rsidR="00B7214C" w:rsidRPr="00BC632B" w:rsidRDefault="00B7214C" w:rsidP="00B7214C">
      <w:pPr>
        <w:spacing w:before="120" w:after="120"/>
        <w:jc w:val="both"/>
      </w:pPr>
      <w:r w:rsidRPr="00BC632B">
        <w:t xml:space="preserve">Dans les termes de la théorie de la régulation (Boyer, Lipietz </w:t>
      </w:r>
      <w:r w:rsidRPr="008C2EB4">
        <w:rPr>
          <w:iCs/>
        </w:rPr>
        <w:t>et</w:t>
      </w:r>
      <w:r w:rsidRPr="008C2EB4">
        <w:rPr>
          <w:i/>
          <w:iCs/>
        </w:rPr>
        <w:t xml:space="preserve"> </w:t>
      </w:r>
      <w:r w:rsidRPr="008C2EB4">
        <w:t>al.),</w:t>
      </w:r>
      <w:r w:rsidRPr="00B4156A">
        <w:rPr>
          <w:i/>
          <w:iCs/>
        </w:rPr>
        <w:t xml:space="preserve"> </w:t>
      </w:r>
      <w:r w:rsidRPr="00BC632B">
        <w:t xml:space="preserve">on dirait que le modèle fordiste longtemps considéré comme le </w:t>
      </w:r>
      <w:r w:rsidRPr="008C2EB4">
        <w:rPr>
          <w:i/>
        </w:rPr>
        <w:t>one best way</w:t>
      </w:r>
      <w:r w:rsidRPr="008C2EB4">
        <w:t xml:space="preserve">, </w:t>
      </w:r>
      <w:r w:rsidRPr="00BC632B">
        <w:t>l'unique modèle voué à la diffusion universelle, est e</w:t>
      </w:r>
      <w:r w:rsidRPr="00BC632B">
        <w:t>n</w:t>
      </w:r>
      <w:r w:rsidRPr="00BC632B">
        <w:t>tré en crise à la fois de l'intérieur, par la remise en question de ses co</w:t>
      </w:r>
      <w:r w:rsidRPr="00BC632B">
        <w:t>m</w:t>
      </w:r>
      <w:r w:rsidRPr="00BC632B">
        <w:t>promis, et de l'extérieur par l'émergence de nouvelles formes de d</w:t>
      </w:r>
      <w:r w:rsidRPr="00BC632B">
        <w:t>e</w:t>
      </w:r>
      <w:r w:rsidRPr="00BC632B">
        <w:t>mandes sociales. La recherche de nouveaux modèles de développ</w:t>
      </w:r>
      <w:r w:rsidRPr="00BC632B">
        <w:t>e</w:t>
      </w:r>
      <w:r w:rsidRPr="00BC632B">
        <w:t>ment passe par une diversité de trajectoires nationales ou régionales qui mobilisent des ressources spécifiques (technologiques, humaines ou organisationnelles), et élaborent de nouveaux compromis partic</w:t>
      </w:r>
      <w:r w:rsidRPr="00BC632B">
        <w:t>u</w:t>
      </w:r>
      <w:r w:rsidRPr="00BC632B">
        <w:t>liers ou singuliers correspondant à la spécificité des forces sociales en pr</w:t>
      </w:r>
      <w:r w:rsidRPr="00BC632B">
        <w:t>é</w:t>
      </w:r>
      <w:r w:rsidRPr="00BC632B">
        <w:t>sence (Bélanger et Lévesque, 1991,1992).</w:t>
      </w:r>
    </w:p>
    <w:p w:rsidR="00B7214C" w:rsidRDefault="00B7214C" w:rsidP="00B7214C">
      <w:pPr>
        <w:spacing w:before="120" w:after="120"/>
        <w:jc w:val="both"/>
      </w:pPr>
    </w:p>
    <w:p w:rsidR="00B7214C" w:rsidRPr="00BC632B" w:rsidRDefault="00B7214C" w:rsidP="00B7214C">
      <w:pPr>
        <w:pStyle w:val="b"/>
      </w:pPr>
      <w:r>
        <w:t>La dynamique québécoise</w:t>
      </w:r>
      <w:r>
        <w:br/>
      </w:r>
      <w:r w:rsidRPr="00BC632B">
        <w:t>de modernisation de l'économie</w:t>
      </w:r>
    </w:p>
    <w:p w:rsidR="00B7214C" w:rsidRDefault="00B7214C" w:rsidP="00B7214C">
      <w:pPr>
        <w:spacing w:before="120" w:after="120"/>
        <w:jc w:val="both"/>
      </w:pPr>
    </w:p>
    <w:p w:rsidR="00B7214C" w:rsidRPr="00BC632B" w:rsidRDefault="00B7214C" w:rsidP="00B7214C">
      <w:pPr>
        <w:spacing w:before="120" w:after="120"/>
        <w:jc w:val="both"/>
      </w:pPr>
      <w:r w:rsidRPr="00BC632B">
        <w:t>Si l'on admet, avec Aktouf, l'entrée dans la modernité par les part</w:t>
      </w:r>
      <w:r w:rsidRPr="00BC632B">
        <w:t>i</w:t>
      </w:r>
      <w:r w:rsidRPr="00BC632B">
        <w:t>cularismes, et si par ailleurs l'approche culturaliste nous paraît insuff</w:t>
      </w:r>
      <w:r w:rsidRPr="00BC632B">
        <w:t>i</w:t>
      </w:r>
      <w:r w:rsidRPr="00BC632B">
        <w:t>sante pour en rendre compte, comment alors expliquer le dynamisme et la réussite des entreprises québécoises, comment caractériser le modèle québécois de développement et plus spécifiquement les mod</w:t>
      </w:r>
      <w:r w:rsidRPr="00BC632B">
        <w:t>è</w:t>
      </w:r>
      <w:r w:rsidRPr="00BC632B">
        <w:t>les d'entreprises ? Cette question est très vaste et exige une réponse en deux étapes : d'abord une histoire du mode d'industrialisation, ensuite l'articulation des formes d'entreprises.</w:t>
      </w:r>
    </w:p>
    <w:p w:rsidR="00B7214C" w:rsidRPr="00BC632B" w:rsidRDefault="00B7214C" w:rsidP="00B7214C">
      <w:pPr>
        <w:spacing w:before="120" w:after="120"/>
        <w:jc w:val="both"/>
      </w:pPr>
      <w:r w:rsidRPr="00BC632B">
        <w:t>On ne peut ici faire l'histoire de l'époque récente de l'industrialis</w:t>
      </w:r>
      <w:r w:rsidRPr="00BC632B">
        <w:t>a</w:t>
      </w:r>
      <w:r w:rsidRPr="00BC632B">
        <w:t>tion du Québec. Avec plusieurs auteurs (Bourque et Légaré, 1979 ; Niosi, 1986 ; McRobert et Posgate, 1983), nous insisterons toutefois sur le rôle de l'État et la présence du syndicalisme pour montrer que l'originalité du développement économique du Québec tient à ce qu'il a été l'œuvre volontaire d'une élite dirigeante sous l'égide du pouvoir politique. Trois forces principales se sont alliées pour réorganiser le capital francophone non monopoliste et l'ensemble de l'économie : les sociétés d'État (industrielles et financières), le capital privé et les cai</w:t>
      </w:r>
      <w:r w:rsidRPr="00BC632B">
        <w:t>s</w:t>
      </w:r>
      <w:r w:rsidRPr="00BC632B">
        <w:t>ses populaires via le Mouvement</w:t>
      </w:r>
      <w:r>
        <w:t xml:space="preserve"> [89] </w:t>
      </w:r>
      <w:r w:rsidRPr="00BC632B">
        <w:t>Desjardins. L'État a joué un rôle central dans la mise en rapport du capital industriel francophone non monopoliste, dont le marché était surtout local et dont l'accès au cap</w:t>
      </w:r>
      <w:r w:rsidRPr="00BC632B">
        <w:t>i</w:t>
      </w:r>
      <w:r w:rsidRPr="00BC632B">
        <w:t>tal financier anglophone était limité pour des raisons de faible rentab</w:t>
      </w:r>
      <w:r w:rsidRPr="00BC632B">
        <w:t>i</w:t>
      </w:r>
      <w:r w:rsidRPr="00BC632B">
        <w:t>lité ou de luttes de pouvoir entre groupes ethniques ; mise en rapport donc d'un capital industriel avec un capital financier qu'il a lui-même contribué à organiser</w:t>
      </w:r>
      <w:r>
        <w:t> </w:t>
      </w:r>
      <w:r>
        <w:rPr>
          <w:rStyle w:val="Appelnotedebasdep"/>
        </w:rPr>
        <w:footnoteReference w:id="12"/>
      </w:r>
      <w:r w:rsidRPr="00BC632B">
        <w:t>.</w:t>
      </w:r>
    </w:p>
    <w:p w:rsidR="00B7214C" w:rsidRPr="00BC632B" w:rsidRDefault="00B7214C" w:rsidP="00B7214C">
      <w:pPr>
        <w:spacing w:before="120" w:after="120"/>
        <w:jc w:val="both"/>
      </w:pPr>
      <w:r w:rsidRPr="00BC632B">
        <w:t>Simultanément à ces changements de la structure économique, les appareils d'État ont été transformés ; les mouvements sociaux ont i</w:t>
      </w:r>
      <w:r w:rsidRPr="00BC632B">
        <w:t>m</w:t>
      </w:r>
      <w:r w:rsidRPr="00BC632B">
        <w:t>posé un rythme rapide à ces transformations en même temps que des concessions sur le Code du travail et sur les formes des services p</w:t>
      </w:r>
      <w:r w:rsidRPr="00BC632B">
        <w:t>u</w:t>
      </w:r>
      <w:r w:rsidRPr="00BC632B">
        <w:t>blics. La question nationale a cimenté les alliances favorisant ces transformations et la volonté de développement national, au point où les centrales syndicales, par exemple, siègent sur le conseil d'admini</w:t>
      </w:r>
      <w:r w:rsidRPr="00BC632B">
        <w:t>s</w:t>
      </w:r>
      <w:r w:rsidRPr="00BC632B">
        <w:t>tration de la Caisse de dépôt et de placement ou de la CSST. La loi 101 a renforcé un climat ou un environnement favorable à la montée de la bourgeoisie francophone. Le départ d'environ 170</w:t>
      </w:r>
      <w:r>
        <w:t> </w:t>
      </w:r>
      <w:r w:rsidRPr="00BC632B">
        <w:t>000 angl</w:t>
      </w:r>
      <w:r w:rsidRPr="00BC632B">
        <w:t>o</w:t>
      </w:r>
      <w:r w:rsidRPr="00BC632B">
        <w:t>phones et de 100 à 120 compagnies ou sièges sociaux dirigés par des anglophones (entre 1976 et l'adoption de la loi 101) a favorisé aussi la montée des francophones dans les postes de direction et de cadres (W.D. Taylor, 1988, p. 12 ; Fraser, 1987).</w:t>
      </w:r>
    </w:p>
    <w:p w:rsidR="00B7214C" w:rsidRPr="00BC632B" w:rsidRDefault="00B7214C" w:rsidP="00B7214C">
      <w:pPr>
        <w:spacing w:before="120" w:after="120"/>
        <w:jc w:val="both"/>
      </w:pPr>
      <w:r w:rsidRPr="00BC632B">
        <w:t>Ce mode d'industrialisation est bien différent du modèle univers</w:t>
      </w:r>
      <w:r w:rsidRPr="00BC632B">
        <w:t>a</w:t>
      </w:r>
      <w:r w:rsidRPr="00BC632B">
        <w:t>liste et rationaliste, de celui des États-Unis, par exemple, où le dév</w:t>
      </w:r>
      <w:r w:rsidRPr="00BC632B">
        <w:t>e</w:t>
      </w:r>
      <w:r w:rsidRPr="00BC632B">
        <w:t>loppement est considéré comme le résultat exclusif des forces du ma</w:t>
      </w:r>
      <w:r w:rsidRPr="00BC632B">
        <w:t>r</w:t>
      </w:r>
      <w:r w:rsidRPr="00BC632B">
        <w:t>ché et de la capacité de conquérir des débouchés extérieurs. Au Qu</w:t>
      </w:r>
      <w:r w:rsidRPr="00BC632B">
        <w:t>é</w:t>
      </w:r>
      <w:r w:rsidRPr="00BC632B">
        <w:t>bec, dès la Révolution tranquille, le développement a été considéré comme un objectif collectif, comme le résultat de la mobilisation de ressources sociales et culturelles, comme une volonté à la fois de conquérir</w:t>
      </w:r>
      <w:r>
        <w:t xml:space="preserve"> une place dans le marché nord-</w:t>
      </w:r>
      <w:r w:rsidRPr="00BC632B">
        <w:t>américain et de conserver son identité nationale. Cela ne veut pas dire que la tendance libérale ait disparu ; elle a toujours été présente, elle l'est encore aujourd'hui. Les hésitations qui caractérisent les politiques économiques du go</w:t>
      </w:r>
      <w:r w:rsidRPr="00BC632B">
        <w:t>u</w:t>
      </w:r>
      <w:r w:rsidRPr="00BC632B">
        <w:t>vernement Bourassa (voir le plan Johnson et la politique des grappes de Tremblay) laissent bien voir que les tendances libérale et volont</w:t>
      </w:r>
      <w:r w:rsidRPr="00BC632B">
        <w:t>a</w:t>
      </w:r>
      <w:r w:rsidRPr="00BC632B">
        <w:t>riste se retrouvent à l'intérieur d'un même parti comme le Parti libéral. Cependant, ce qu'il nous apparaît important de retenir, c'est que la d</w:t>
      </w:r>
      <w:r w:rsidRPr="00BC632B">
        <w:t>y</w:t>
      </w:r>
      <w:r w:rsidRPr="00BC632B">
        <w:t>namique québécoise est colorée voire spécifiée par la présence, la lu</w:t>
      </w:r>
      <w:r w:rsidRPr="00BC632B">
        <w:t>t</w:t>
      </w:r>
      <w:r w:rsidRPr="00BC632B">
        <w:t>te et les politiques de la tendance volontariste pour soutenir les initi</w:t>
      </w:r>
      <w:r w:rsidRPr="00BC632B">
        <w:t>a</w:t>
      </w:r>
      <w:r w:rsidRPr="00BC632B">
        <w:t>tives du capital privé et initier des politiques d'épargne et d'investi</w:t>
      </w:r>
      <w:r w:rsidRPr="00BC632B">
        <w:t>s</w:t>
      </w:r>
      <w:r w:rsidRPr="00BC632B">
        <w:t>sement.</w:t>
      </w:r>
    </w:p>
    <w:p w:rsidR="00B7214C" w:rsidRPr="00BC632B" w:rsidRDefault="00B7214C" w:rsidP="00B7214C">
      <w:pPr>
        <w:spacing w:before="120" w:after="120"/>
        <w:jc w:val="both"/>
      </w:pPr>
      <w:r w:rsidRPr="00BC632B">
        <w:t>Ce sont là les particularismes québécois. Bien sûr il y a une ident</w:t>
      </w:r>
      <w:r w:rsidRPr="00BC632B">
        <w:t>i</w:t>
      </w:r>
      <w:r w:rsidRPr="00BC632B">
        <w:t>té culturelle, le complexe d'infériorité et le repli sur la famille relevés par Taylor se sont transformés en confiance et ouverture, mais ce ne sont pas des héritages de la tradition mais des créations du réseau complexe d'institutions publiques et privées, de relations et d'alliances entre les forces</w:t>
      </w:r>
      <w:r>
        <w:t xml:space="preserve"> [90] </w:t>
      </w:r>
      <w:r w:rsidRPr="00BC632B">
        <w:t>sociales. Que ce réseau soit « tricoté serré », soit, mais pourquoi l'identifier à la communauté imaginaire et imaginée du village d'autr</w:t>
      </w:r>
      <w:r w:rsidRPr="00BC632B">
        <w:t>e</w:t>
      </w:r>
      <w:r w:rsidRPr="00BC632B">
        <w:t>fois si ce n'est pour masquer à la fois les luttes entre fractions des classes dominantes et les conflits dans les relations p</w:t>
      </w:r>
      <w:r w:rsidRPr="00BC632B">
        <w:t>a</w:t>
      </w:r>
      <w:r w:rsidRPr="00BC632B">
        <w:t>tronales-syndicales.</w:t>
      </w:r>
    </w:p>
    <w:p w:rsidR="00B7214C" w:rsidRPr="00BC632B" w:rsidRDefault="00B7214C" w:rsidP="00B7214C">
      <w:pPr>
        <w:spacing w:before="120" w:after="120"/>
        <w:jc w:val="both"/>
      </w:pPr>
      <w:r w:rsidRPr="00BC632B">
        <w:t>Pendant la première période de ce développement, les syndicats ont souscrit à ces objectifs de modernisation, entre autres en partic</w:t>
      </w:r>
      <w:r w:rsidRPr="00BC632B">
        <w:t>i</w:t>
      </w:r>
      <w:r w:rsidRPr="00BC632B">
        <w:t>pant à certains conseils d'administration et comités paritaires. Comme on l'a dit plus haut, le bloc social au pouvoir, les élites dirigeantes se sont appuyées sur les ressources nationales-régionales et ont dévelo</w:t>
      </w:r>
      <w:r w:rsidRPr="00BC632B">
        <w:t>p</w:t>
      </w:r>
      <w:r w:rsidRPr="00BC632B">
        <w:t>pé un modèle qui rencontrait les aspirations économiques des travai</w:t>
      </w:r>
      <w:r w:rsidRPr="00BC632B">
        <w:t>l</w:t>
      </w:r>
      <w:r w:rsidRPr="00BC632B">
        <w:t>leurs québécois (ouvriers et salariés) de même que les aspirations s</w:t>
      </w:r>
      <w:r w:rsidRPr="00BC632B">
        <w:t>o</w:t>
      </w:r>
      <w:r w:rsidRPr="00BC632B">
        <w:t>cioculturelles. Le slogan « Maître chez nous » symbolisait bien la convergence de ces aspirations. Mais les syndicats ont aussi cherché à obtenir des concessions, c'est-à-dire à étendre les avantages du fo</w:t>
      </w:r>
      <w:r w:rsidRPr="00BC632B">
        <w:t>r</w:t>
      </w:r>
      <w:r w:rsidRPr="00BC632B">
        <w:t>disme, entendu au sens large, à l'ensemble de la population, par l'éla</w:t>
      </w:r>
      <w:r w:rsidRPr="00BC632B">
        <w:t>r</w:t>
      </w:r>
      <w:r w:rsidRPr="00BC632B">
        <w:t>gissement des services publics et l'accès à la syndicalisation des tr</w:t>
      </w:r>
      <w:r w:rsidRPr="00BC632B">
        <w:t>a</w:t>
      </w:r>
      <w:r w:rsidRPr="00BC632B">
        <w:t>vailleurs du public. Le syndicalisme au Québec est devenu le plus puissant en Amérique du Nord.</w:t>
      </w:r>
    </w:p>
    <w:p w:rsidR="00B7214C" w:rsidRPr="00BC632B" w:rsidRDefault="00B7214C" w:rsidP="00B7214C">
      <w:pPr>
        <w:spacing w:before="120" w:after="120"/>
        <w:jc w:val="both"/>
      </w:pPr>
      <w:r w:rsidRPr="00BC632B">
        <w:t>À partir des années 1970, c'est-à-dire de la crise, les syndicats ont radicalisé leurs positions et attaqué la bourgeoisie quelle qu'elle soit. La conjonction de ce radicalisme et de la montée des nouveaux mo</w:t>
      </w:r>
      <w:r w:rsidRPr="00BC632B">
        <w:t>u</w:t>
      </w:r>
      <w:r w:rsidRPr="00BC632B">
        <w:t>vements sociaux a donné heu aux larges mobilisations de 1972. Puis devant les demandes de plus en plus pressantes du patronat, les synd</w:t>
      </w:r>
      <w:r w:rsidRPr="00BC632B">
        <w:t>i</w:t>
      </w:r>
      <w:r w:rsidRPr="00BC632B">
        <w:t>cats ont été obligés de se replier sur la défense des acquis. Ils ont adopté des politiques défensives en riposte aux attaques contre les s</w:t>
      </w:r>
      <w:r w:rsidRPr="00BC632B">
        <w:t>a</w:t>
      </w:r>
      <w:r w:rsidRPr="00BC632B">
        <w:t>laires, les nouveaux statuts d'emploi, la fermeture des usines, comme d'ailleurs partout dans le monde occidental industrialisé (Boyer, 1986). La tendance volontariste réaffirmée par l'élection du Parti qu</w:t>
      </w:r>
      <w:r w:rsidRPr="00BC632B">
        <w:t>é</w:t>
      </w:r>
      <w:r w:rsidRPr="00BC632B">
        <w:t>bécois a réussi à susciter ou ressusciter des objectifs de coopération d'une part par des concessions comme la Loi antiscab et d'autre part par des Sommets économiques réunissant tous les partenaires sociaux afin de trouver des moyens de sortie de crise et de mobilisation des énergies collectives (Boucher, 1992).</w:t>
      </w:r>
    </w:p>
    <w:p w:rsidR="00B7214C" w:rsidRDefault="00B7214C" w:rsidP="00B7214C">
      <w:pPr>
        <w:spacing w:before="120" w:after="120"/>
        <w:jc w:val="both"/>
      </w:pPr>
    </w:p>
    <w:p w:rsidR="00B7214C" w:rsidRPr="00BC632B" w:rsidRDefault="00B7214C" w:rsidP="00B7214C">
      <w:pPr>
        <w:pStyle w:val="b"/>
      </w:pPr>
      <w:r w:rsidRPr="00BC632B">
        <w:t>Le m</w:t>
      </w:r>
      <w:r>
        <w:t>odèle québécois d'entreprises :</w:t>
      </w:r>
      <w:r>
        <w:br/>
      </w:r>
      <w:r w:rsidRPr="00BC632B">
        <w:t>deux configurations</w:t>
      </w:r>
    </w:p>
    <w:p w:rsidR="00B7214C" w:rsidRDefault="00B7214C" w:rsidP="00B7214C">
      <w:pPr>
        <w:spacing w:before="120" w:after="120"/>
        <w:jc w:val="both"/>
      </w:pPr>
    </w:p>
    <w:p w:rsidR="00B7214C" w:rsidRPr="00BC632B" w:rsidRDefault="00B7214C" w:rsidP="00B7214C">
      <w:pPr>
        <w:spacing w:before="120" w:after="120"/>
        <w:jc w:val="both"/>
      </w:pPr>
      <w:r w:rsidRPr="00BC632B">
        <w:t>Le modèle québécois de développement s'est donc constitué par un réseau complexe d'institutions coopératives, étatiques et privées, de même que par une insertion des syndicats dans la définition des pol</w:t>
      </w:r>
      <w:r w:rsidRPr="00BC632B">
        <w:t>i</w:t>
      </w:r>
      <w:r w:rsidRPr="00BC632B">
        <w:t xml:space="preserve">tiques. C'est notre </w:t>
      </w:r>
      <w:r w:rsidRPr="00B4156A">
        <w:rPr>
          <w:i/>
          <w:iCs/>
        </w:rPr>
        <w:t>National Policy</w:t>
      </w:r>
      <w:r w:rsidRPr="00BC632B">
        <w:t xml:space="preserve"> fondée sur le maillage des entrepr</w:t>
      </w:r>
      <w:r w:rsidRPr="00BC632B">
        <w:t>i</w:t>
      </w:r>
      <w:r w:rsidRPr="00BC632B">
        <w:t>ses et une stratégie d'ouverture des syndicats (Fagot, 1990). Il nous faut maintenant examiner comment ce modèle (ou cette configuration de rapports sociaux) s'est traduit dans les modèles d'entreprises, co</w:t>
      </w:r>
      <w:r w:rsidRPr="00BC632B">
        <w:t>m</w:t>
      </w:r>
      <w:r w:rsidRPr="00BC632B">
        <w:t>ment les nouveaux industriels ont cherché à organiser leurs entrepr</w:t>
      </w:r>
      <w:r w:rsidRPr="00BC632B">
        <w:t>i</w:t>
      </w:r>
      <w:r w:rsidRPr="00BC632B">
        <w:t>ses. Si les caractéristiques indiquées</w:t>
      </w:r>
      <w:r>
        <w:t xml:space="preserve"> [91] </w:t>
      </w:r>
      <w:r w:rsidRPr="00BC632B">
        <w:t>ci-haut sont exactes, on peut dire d'ores et déjà que deux modèles se dessinent : l'un que l'on peut associer à l'entreprise Cascades et l'autre à des entreprises se caractér</w:t>
      </w:r>
      <w:r w:rsidRPr="00BC632B">
        <w:t>i</w:t>
      </w:r>
      <w:r w:rsidRPr="00BC632B">
        <w:t>sant par le renouvellement des rel</w:t>
      </w:r>
      <w:r w:rsidRPr="00BC632B">
        <w:t>a</w:t>
      </w:r>
      <w:r>
        <w:t>tions patronales-</w:t>
      </w:r>
      <w:r w:rsidRPr="00BC632B">
        <w:t>syndicales. Dans le premier cas, il s'agit d'un type d'entreprise sans doute associé au Qu</w:t>
      </w:r>
      <w:r w:rsidRPr="00BC632B">
        <w:t>é</w:t>
      </w:r>
      <w:r w:rsidRPr="00BC632B">
        <w:t>bec inc. par certaines formes de maillage (Cascades a profité des pol</w:t>
      </w:r>
      <w:r w:rsidRPr="00BC632B">
        <w:t>i</w:t>
      </w:r>
      <w:r w:rsidRPr="00BC632B">
        <w:t>tiques fiscales de l'État, comme les RÉA) mais qui s'est élaboré sans la présence des syndicats en misant sur des relations personnelles et i</w:t>
      </w:r>
      <w:r w:rsidRPr="00BC632B">
        <w:t>n</w:t>
      </w:r>
      <w:r w:rsidRPr="00BC632B">
        <w:t>dividualisées dans l'entreprise, et donc une direction charismatique voire paternaliste. Dans le deuxième cas, comme nous le verrons maintenant, il s'agit d'un mod</w:t>
      </w:r>
      <w:r w:rsidRPr="00BC632B">
        <w:t>è</w:t>
      </w:r>
      <w:r w:rsidRPr="00BC632B">
        <w:t>le de modernisation qui repose sur la négociation, le partenariat avec les syndicats et sur une codification plus poussée de la participation.</w:t>
      </w:r>
    </w:p>
    <w:p w:rsidR="00B7214C" w:rsidRPr="00BC632B" w:rsidRDefault="00B7214C" w:rsidP="00B7214C">
      <w:pPr>
        <w:spacing w:before="120" w:after="120"/>
        <w:jc w:val="both"/>
      </w:pPr>
      <w:r w:rsidRPr="00BC632B">
        <w:t>À partir du début des années 1980, les syndicats quoique avec des accents différents adoptent des politiques offensives sans doute insp</w:t>
      </w:r>
      <w:r w:rsidRPr="00BC632B">
        <w:t>i</w:t>
      </w:r>
      <w:r w:rsidRPr="00BC632B">
        <w:t>rées par les expériences du modèle volontariste de développement. Ainsi, alors que la FTQ lance son Fonds de solidarité et que la CSN revoit sa politique sur l'organisation du travail, des Sommets écon</w:t>
      </w:r>
      <w:r w:rsidRPr="00BC632B">
        <w:t>o</w:t>
      </w:r>
      <w:r w:rsidRPr="00BC632B">
        <w:t xml:space="preserve">miques et le Forum sur l'emploi réunissent patrons et syndicats pour élaborer des politiques pour sortir de la crise. Plutôt que de se laisser imposer le </w:t>
      </w:r>
      <w:r w:rsidRPr="00B4156A">
        <w:rPr>
          <w:i/>
          <w:iCs/>
        </w:rPr>
        <w:t xml:space="preserve">concession bargaining, </w:t>
      </w:r>
      <w:r w:rsidRPr="00BC632B">
        <w:t>comme aux États-Unis, les synd</w:t>
      </w:r>
      <w:r w:rsidRPr="00BC632B">
        <w:t>i</w:t>
      </w:r>
      <w:r w:rsidRPr="00BC632B">
        <w:t>cats québécois suggèrent et défendent des contrepropositions, acce</w:t>
      </w:r>
      <w:r w:rsidRPr="00BC632B">
        <w:t>p</w:t>
      </w:r>
      <w:r w:rsidRPr="00BC632B">
        <w:t>tent contre garanties et avantages (ex. la sécurité d'emploi) de mod</w:t>
      </w:r>
      <w:r w:rsidRPr="00BC632B">
        <w:t>i</w:t>
      </w:r>
      <w:r w:rsidRPr="00BC632B">
        <w:t>fier leurs pratiques de négociation et de s'impliquer dans les pr</w:t>
      </w:r>
      <w:r w:rsidRPr="00BC632B">
        <w:t>o</w:t>
      </w:r>
      <w:r w:rsidRPr="00BC632B">
        <w:t>grammes de travail en équipes ou de qualité totale. Il faudrait sans doute donner beaucoup d'exemples pour lever les doutes sur le cara</w:t>
      </w:r>
      <w:r w:rsidRPr="00BC632B">
        <w:t>c</w:t>
      </w:r>
      <w:r w:rsidRPr="00BC632B">
        <w:t>tère progressiste de ces nouvelles formes d'entreprises. Pensons aux nouveaux contrats de travail et aux nouvelles formes d'organisation du travail bien publicisés et quelquefois bien documentés dans des entr</w:t>
      </w:r>
      <w:r w:rsidRPr="00BC632B">
        <w:t>e</w:t>
      </w:r>
      <w:r w:rsidRPr="00BC632B">
        <w:t>prises comme Atlas Steel, GM-Boisbriand, ou Alcan (Lapointe, 1991 et 1992). On objectera que ce ne sont pas là des entreprises typiques du dynamisme des entrepreneurs québécois, mais il ne faut pas oublier que souvent ce sont les travailleurs et leurs syndicats qui sont à la source, par leurs contrepropositions, d'initiatives originales et typ</w:t>
      </w:r>
      <w:r w:rsidRPr="00BC632B">
        <w:t>i</w:t>
      </w:r>
      <w:r w:rsidRPr="00BC632B">
        <w:t>quement québécoises dans ces entreprises. GM n'a pas imposé à Boi</w:t>
      </w:r>
      <w:r w:rsidRPr="00BC632B">
        <w:t>s</w:t>
      </w:r>
      <w:r w:rsidRPr="00BC632B">
        <w:t>briand le modèle NUMMI de Freemont en Californie (Huard, 1991). De plus, il existe aussi des entreprises à propriété francophone bien connues comme Shermag (Bagaoui, 1993), Domtar, ou Tembec, où des formes nouvelles d'entreprises se dessinent. Les principaux traits de ces nouvelles formes d'entreprises sont les suivants :</w:t>
      </w:r>
    </w:p>
    <w:p w:rsidR="00B7214C" w:rsidRDefault="00B7214C" w:rsidP="00B7214C">
      <w:pPr>
        <w:spacing w:before="120" w:after="120"/>
        <w:jc w:val="both"/>
      </w:pPr>
    </w:p>
    <w:p w:rsidR="00B7214C" w:rsidRDefault="00B7214C" w:rsidP="00B7214C">
      <w:pPr>
        <w:pStyle w:val="Citationliste"/>
      </w:pPr>
      <w:r w:rsidRPr="00B4156A">
        <w:t xml:space="preserve">- </w:t>
      </w:r>
      <w:r w:rsidRPr="00B4156A">
        <w:rPr>
          <w:bCs/>
          <w:i/>
          <w:iCs/>
        </w:rPr>
        <w:t>des relations patronales-syndicales centrées sur la flexibilité et la coop</w:t>
      </w:r>
      <w:r w:rsidRPr="00B4156A">
        <w:rPr>
          <w:bCs/>
          <w:i/>
          <w:iCs/>
        </w:rPr>
        <w:t>é</w:t>
      </w:r>
      <w:r w:rsidRPr="00B4156A">
        <w:rPr>
          <w:bCs/>
          <w:i/>
          <w:iCs/>
        </w:rPr>
        <w:t xml:space="preserve">ration, </w:t>
      </w:r>
      <w:r w:rsidRPr="00B4156A">
        <w:t>sans exclure le conflit ; les contrats de travail pré</w:t>
      </w:r>
      <w:r w:rsidRPr="00BC632B">
        <w:t>voient une fo</w:t>
      </w:r>
      <w:r w:rsidRPr="00BC632B">
        <w:t>r</w:t>
      </w:r>
      <w:r w:rsidRPr="00BC632B">
        <w:t>te participation des travailleurs au système de décision de l'e</w:t>
      </w:r>
      <w:r w:rsidRPr="00BC632B">
        <w:t>n</w:t>
      </w:r>
      <w:r w:rsidRPr="00BC632B">
        <w:t>treprise par l'entremise de comités paritaires portant sur les changements tec</w:t>
      </w:r>
      <w:r w:rsidRPr="00BC632B">
        <w:t>h</w:t>
      </w:r>
      <w:r w:rsidRPr="00BC632B">
        <w:t>nologiques, la formation professionnelle, la mutation du personnel, etc. ;</w:t>
      </w:r>
    </w:p>
    <w:p w:rsidR="00B7214C" w:rsidRPr="00BC632B" w:rsidRDefault="00B7214C" w:rsidP="00B7214C">
      <w:pPr>
        <w:pStyle w:val="p"/>
      </w:pPr>
      <w:r>
        <w:t>[92]</w:t>
      </w:r>
    </w:p>
    <w:p w:rsidR="00B7214C" w:rsidRPr="00BC632B" w:rsidRDefault="00B7214C" w:rsidP="00B7214C">
      <w:pPr>
        <w:pStyle w:val="Citationliste"/>
      </w:pPr>
      <w:r>
        <w:t>-</w:t>
      </w:r>
      <w:r>
        <w:tab/>
      </w:r>
      <w:r w:rsidRPr="00B4156A">
        <w:t>la coordination du travail est faiblement hiérarchisée, les formes</w:t>
      </w:r>
      <w:r w:rsidRPr="00BC632B">
        <w:t xml:space="preserve"> aut</w:t>
      </w:r>
      <w:r w:rsidRPr="00BC632B">
        <w:t>o</w:t>
      </w:r>
      <w:r w:rsidRPr="00BC632B">
        <w:t>ritaires de commandement font place à des réunions analogues à celles des cercles de qualité, et le contremaître est souvent remplacé par un chef d'équipe ; la communication est établie entre les différents paliers de la hiérarchie ;</w:t>
      </w:r>
    </w:p>
    <w:p w:rsidR="00B7214C" w:rsidRPr="00BC632B" w:rsidRDefault="00B7214C" w:rsidP="00B7214C">
      <w:pPr>
        <w:pStyle w:val="Citationliste"/>
      </w:pPr>
      <w:r>
        <w:t>-</w:t>
      </w:r>
      <w:r>
        <w:tab/>
      </w:r>
      <w:r w:rsidRPr="00B4156A">
        <w:t>le travail en équipes a remplacé l'addition de postes parcellisés, la</w:t>
      </w:r>
      <w:r w:rsidRPr="00BC632B">
        <w:t xml:space="preserve"> mu</w:t>
      </w:r>
      <w:r w:rsidRPr="00BC632B">
        <w:t>l</w:t>
      </w:r>
      <w:r w:rsidRPr="00BC632B">
        <w:t>tiplicité des définitions strictes de postes de travail fait place à des classifications plus larges ; les équipes acquièrent une plus grande a</w:t>
      </w:r>
      <w:r w:rsidRPr="00BC632B">
        <w:t>u</w:t>
      </w:r>
      <w:r w:rsidRPr="00BC632B">
        <w:t>tonomie dans la répartition des tâches et l'amélioration des procédés de production ;</w:t>
      </w:r>
    </w:p>
    <w:p w:rsidR="00B7214C" w:rsidRPr="00BC632B" w:rsidRDefault="00B7214C" w:rsidP="00B7214C">
      <w:pPr>
        <w:pStyle w:val="Citationliste"/>
      </w:pPr>
      <w:r>
        <w:t>-</w:t>
      </w:r>
      <w:r>
        <w:tab/>
      </w:r>
      <w:r w:rsidRPr="00BC632B">
        <w:t>une plus grande implication des travailleurs dans la qualité et la pr</w:t>
      </w:r>
      <w:r w:rsidRPr="00BC632B">
        <w:t>o</w:t>
      </w:r>
      <w:r w:rsidRPr="00BC632B">
        <w:t>ductivité.</w:t>
      </w:r>
    </w:p>
    <w:p w:rsidR="00B7214C" w:rsidRDefault="00B7214C" w:rsidP="00B7214C">
      <w:pPr>
        <w:spacing w:before="120" w:after="120"/>
        <w:jc w:val="both"/>
      </w:pPr>
    </w:p>
    <w:p w:rsidR="00B7214C" w:rsidRPr="00BC632B" w:rsidRDefault="00B7214C" w:rsidP="00B7214C">
      <w:pPr>
        <w:spacing w:before="120" w:after="120"/>
        <w:jc w:val="both"/>
      </w:pPr>
      <w:r w:rsidRPr="00BC632B">
        <w:t>De ce point de vue, les particularismes québécois, notamment la différence avec le modèle américain et ontarien, résident à la fois dans la mobilisation des ressources humaines, techniques, financières, o</w:t>
      </w:r>
      <w:r w:rsidRPr="00BC632B">
        <w:t>r</w:t>
      </w:r>
      <w:r w:rsidRPr="00BC632B">
        <w:t>ganisationnelles et sociales sous l'égide de l'État (pour entrer dans la modernité) et dans la présence d'un syndicalisme offensif, ouvert à de nouvelles formes de coopération. Bien sûr coexiste le modèle tiré de l'expérience Cascades : entreprise familiale, somme de petites entr</w:t>
      </w:r>
      <w:r w:rsidRPr="00BC632B">
        <w:t>e</w:t>
      </w:r>
      <w:r w:rsidRPr="00BC632B">
        <w:t>prises pour constituer une multinationale, direction paternaliste et ch</w:t>
      </w:r>
      <w:r w:rsidRPr="00BC632B">
        <w:t>a</w:t>
      </w:r>
      <w:r w:rsidRPr="00BC632B">
        <w:t>rismatique, relations personnalisées, absence de syndicat, partage des profits, semblable en cela au modèle californien bien décrit par Me</w:t>
      </w:r>
      <w:r w:rsidRPr="00BC632B">
        <w:t>s</w:t>
      </w:r>
      <w:r w:rsidRPr="00BC632B">
        <w:t>sine (1987, p</w:t>
      </w:r>
      <w:r>
        <w:t>p</w:t>
      </w:r>
      <w:r w:rsidRPr="00BC632B">
        <w:t>. 79-98). Mais, ce modèle Cascades, il faudrait l'expl</w:t>
      </w:r>
      <w:r w:rsidRPr="00BC632B">
        <w:t>i</w:t>
      </w:r>
      <w:r w:rsidRPr="00BC632B">
        <w:t>quer autrement que par une éthique héritée de la tradition et du cath</w:t>
      </w:r>
      <w:r w:rsidRPr="00BC632B">
        <w:t>o</w:t>
      </w:r>
      <w:r w:rsidRPr="00BC632B">
        <w:t>licisme.</w:t>
      </w:r>
    </w:p>
    <w:p w:rsidR="00B7214C" w:rsidRDefault="00B7214C" w:rsidP="00B7214C">
      <w:pPr>
        <w:spacing w:before="120" w:after="120"/>
        <w:jc w:val="both"/>
      </w:pPr>
      <w:r w:rsidRPr="00BC632B">
        <w:t>De plus, le modèle Cascades ne saurait être érigé en idéal type e</w:t>
      </w:r>
      <w:r w:rsidRPr="00BC632B">
        <w:t>x</w:t>
      </w:r>
      <w:r w:rsidRPr="00BC632B">
        <w:t>clusif du modèle québécois. D'une part, il est ancré dans des régions et des localités bien particulières, il repose sur des individus aux qualités indéniablement exceptionnelles, il renvoie à des innovations et un créneau de marché exigeant une forte coopération dans la production, enfin la direction semble avoir de la difficulté à reproduire son propre modèle en dehors de son lieu de naissance. D'autre part, la réalité qu</w:t>
      </w:r>
      <w:r w:rsidRPr="00BC632B">
        <w:t>é</w:t>
      </w:r>
      <w:r w:rsidRPr="00BC632B">
        <w:t>bécoise, toute conviviale soit-elle, se définit au moins en partie par la présence forte et combative d'un syndicalisme puissant, qui pousse à l'institutionnalisation des relations sociales, à l'élaboration de règles du jeu négociées sinon à la participation aux décisions. Ne serait-ce que pour cette dernière raison, le modèle Cascades ne saurait se gén</w:t>
      </w:r>
      <w:r w:rsidRPr="00BC632B">
        <w:t>é</w:t>
      </w:r>
      <w:r w:rsidRPr="00BC632B">
        <w:t>raliser à l'échelle du Québec. À l'heure actuelle, on peut avancer que le partenariat décrit mieux la réalité québécoise que le paternalisme. De même, s'il faut caractériser l'identité québécoise, elle se laisse mieux saisir par le volontarisme de certaines élites dirigeantes et l'o</w:t>
      </w:r>
      <w:r w:rsidRPr="00BC632B">
        <w:t>u</w:t>
      </w:r>
      <w:r w:rsidRPr="00BC632B">
        <w:t>verture à la coopération des syndicats que par l'éthique catholique.</w:t>
      </w:r>
    </w:p>
    <w:p w:rsidR="00B7214C" w:rsidRDefault="00B7214C" w:rsidP="00B7214C">
      <w:pPr>
        <w:pStyle w:val="p"/>
      </w:pPr>
      <w:r w:rsidRPr="00BC632B">
        <w:br w:type="page"/>
      </w:r>
      <w:r>
        <w:t>[93]</w:t>
      </w:r>
    </w:p>
    <w:p w:rsidR="00B7214C" w:rsidRPr="00BC632B" w:rsidRDefault="00B7214C" w:rsidP="00B7214C">
      <w:pPr>
        <w:spacing w:before="120" w:after="120"/>
        <w:jc w:val="both"/>
      </w:pPr>
    </w:p>
    <w:p w:rsidR="00B7214C" w:rsidRPr="00BC632B" w:rsidRDefault="00B7214C" w:rsidP="00B7214C">
      <w:pPr>
        <w:pStyle w:val="a"/>
      </w:pPr>
      <w:r w:rsidRPr="00BC632B">
        <w:t>CONCLUSION</w:t>
      </w:r>
    </w:p>
    <w:p w:rsidR="00B7214C" w:rsidRDefault="00B7214C" w:rsidP="00B7214C">
      <w:pPr>
        <w:spacing w:before="120" w:after="120"/>
        <w:jc w:val="both"/>
      </w:pPr>
    </w:p>
    <w:p w:rsidR="00B7214C" w:rsidRPr="00BC632B" w:rsidRDefault="00B7214C" w:rsidP="00B7214C">
      <w:pPr>
        <w:spacing w:before="120" w:after="120"/>
        <w:jc w:val="both"/>
      </w:pPr>
      <w:r w:rsidRPr="00BC632B">
        <w:t>Si l'on voulait résumer notre propos, on pourrait dire :</w:t>
      </w:r>
    </w:p>
    <w:p w:rsidR="00B7214C" w:rsidRDefault="00B7214C" w:rsidP="00B7214C">
      <w:pPr>
        <w:spacing w:before="120" w:after="120"/>
        <w:jc w:val="both"/>
      </w:pPr>
    </w:p>
    <w:p w:rsidR="00B7214C" w:rsidRPr="00BC632B" w:rsidRDefault="00B7214C" w:rsidP="00B7214C">
      <w:pPr>
        <w:spacing w:before="120" w:after="120"/>
        <w:jc w:val="both"/>
      </w:pPr>
      <w:r w:rsidRPr="00BC632B">
        <w:t xml:space="preserve">— les particularismes québécois, la tradition et la culture ont été identifiés (par Taylor d'un côté et Aktouf </w:t>
      </w:r>
      <w:r w:rsidRPr="000D1A32">
        <w:rPr>
          <w:i/>
          <w:iCs/>
        </w:rPr>
        <w:t>et al.</w:t>
      </w:r>
      <w:r w:rsidRPr="00BC632B">
        <w:t xml:space="preserve"> de l'autre) comme les facteurs pouvant rendre compte aussi bien du retard manifeste des e</w:t>
      </w:r>
      <w:r w:rsidRPr="00BC632B">
        <w:t>n</w:t>
      </w:r>
      <w:r w:rsidRPr="00BC632B">
        <w:t xml:space="preserve">trepreneurs québécois (canadiens-français) au début des années 1960 que de leur succès et de leur dynamisme qu'atteste bien la formule </w:t>
      </w:r>
      <w:r w:rsidRPr="00B4156A">
        <w:rPr>
          <w:i/>
          <w:iCs/>
        </w:rPr>
        <w:t>Québec inc.</w:t>
      </w:r>
      <w:r w:rsidRPr="00BC632B">
        <w:t xml:space="preserve"> du début des années 1980 ;</w:t>
      </w:r>
    </w:p>
    <w:p w:rsidR="00B7214C" w:rsidRPr="00BC632B" w:rsidRDefault="00B7214C" w:rsidP="00B7214C">
      <w:pPr>
        <w:spacing w:before="120" w:after="120"/>
        <w:jc w:val="both"/>
      </w:pPr>
      <w:r w:rsidRPr="00BC632B">
        <w:t>— ces deux thèses culturalistes se situent dans le même champ épistémologique, à savoir une société définie par la communauté, l'homogénéité culturelle, une absence ou une faible division sociale du travail, des relations sociales empreintes d'affectivité, d'entraide, d'égalité et de justice, l'importance de la famille et des valeurs spir</w:t>
      </w:r>
      <w:r w:rsidRPr="00BC632B">
        <w:t>i</w:t>
      </w:r>
      <w:r w:rsidRPr="00BC632B">
        <w:t>tuelles ;</w:t>
      </w:r>
    </w:p>
    <w:p w:rsidR="00B7214C" w:rsidRPr="00BC632B" w:rsidRDefault="00B7214C" w:rsidP="00B7214C">
      <w:pPr>
        <w:spacing w:before="120" w:after="120"/>
        <w:jc w:val="both"/>
      </w:pPr>
      <w:r w:rsidRPr="00BC632B">
        <w:t>— ces deux thèses signalent une réali</w:t>
      </w:r>
      <w:r>
        <w:t>té, observent des faits i</w:t>
      </w:r>
      <w:r>
        <w:t>n</w:t>
      </w:r>
      <w:r>
        <w:t>con</w:t>
      </w:r>
      <w:r w:rsidRPr="00BC632B">
        <w:t>testables, mais leur problématique culturaliste ne permet pas de les expliquer, en particulier parce qu'elles ne tiennent pas compte des rapports sociaux particuliers aux sociétés capitalistes et à l'oppression nationale ;</w:t>
      </w:r>
    </w:p>
    <w:p w:rsidR="00B7214C" w:rsidRPr="00BC632B" w:rsidRDefault="00B7214C" w:rsidP="00B7214C">
      <w:pPr>
        <w:spacing w:before="120" w:after="120"/>
        <w:jc w:val="both"/>
      </w:pPr>
      <w:r>
        <w:t xml:space="preserve">— </w:t>
      </w:r>
      <w:r w:rsidRPr="00BC632B">
        <w:t>Aktouf et ses collègues ont cependant raison de relever qu'une s</w:t>
      </w:r>
      <w:r w:rsidRPr="00BC632B">
        <w:t>o</w:t>
      </w:r>
      <w:r w:rsidRPr="00BC632B">
        <w:t xml:space="preserve">ciété peut entrer dans la modernité par les particularismes et ils contribuent ainsi à détruire le mythe occidental du </w:t>
      </w:r>
      <w:r w:rsidRPr="00B4156A">
        <w:rPr>
          <w:i/>
          <w:iCs/>
        </w:rPr>
        <w:t>one best way</w:t>
      </w:r>
      <w:r w:rsidRPr="00BC632B">
        <w:t xml:space="preserve"> rati</w:t>
      </w:r>
      <w:r w:rsidRPr="00BC632B">
        <w:t>o</w:t>
      </w:r>
      <w:r w:rsidRPr="00BC632B">
        <w:t>naliste et du fordisme voué à la diffusion universelle, mythe affaibli déjà par la crise économique, sociale et culturelle des années 1970 ;</w:t>
      </w:r>
    </w:p>
    <w:p w:rsidR="00B7214C" w:rsidRPr="00BC632B" w:rsidRDefault="00B7214C" w:rsidP="00B7214C">
      <w:pPr>
        <w:spacing w:before="120" w:after="120"/>
        <w:jc w:val="both"/>
      </w:pPr>
      <w:r>
        <w:t xml:space="preserve">— </w:t>
      </w:r>
      <w:r w:rsidRPr="00BC632B">
        <w:t>les particularismes québécois ne sauraient être réduits à des traits hérités de la tradition puisqu'ils sont construits à travers les luttes pour un développement volontariste qui inscrit le Québec dans le ma</w:t>
      </w:r>
      <w:r w:rsidRPr="00BC632B">
        <w:t>r</w:t>
      </w:r>
      <w:r w:rsidRPr="00BC632B">
        <w:t>ché nord-américain en mobilisant les ressources sociales et culturelles de la société ; ce modèle de développement a, entre autres, entraîné l'émergence et la croissance d'un réseau de relations entre les forces coopératives, les entreprises étatiques et le capital privé en particulier francophone et non monopoliste ;</w:t>
      </w:r>
    </w:p>
    <w:p w:rsidR="00B7214C" w:rsidRDefault="00B7214C" w:rsidP="00B7214C">
      <w:pPr>
        <w:spacing w:before="120" w:after="120"/>
        <w:jc w:val="both"/>
      </w:pPr>
      <w:r>
        <w:t xml:space="preserve">— </w:t>
      </w:r>
      <w:r w:rsidRPr="00BC632B">
        <w:t>les particularismes tiennent aussi à la présence d'une force sy</w:t>
      </w:r>
      <w:r w:rsidRPr="00BC632B">
        <w:t>n</w:t>
      </w:r>
      <w:r w:rsidRPr="00BC632B">
        <w:t>dicale puissante qui d'une part a souscrit et contribué au projet de d</w:t>
      </w:r>
      <w:r w:rsidRPr="00BC632B">
        <w:t>é</w:t>
      </w:r>
      <w:r w:rsidRPr="00BC632B">
        <w:t>veloppement et d'autre part a imposé des concessions et les conditions de sa participation quelquefois au moyen de luttes et de conflits man</w:t>
      </w:r>
      <w:r w:rsidRPr="00BC632B">
        <w:t>i</w:t>
      </w:r>
      <w:r w:rsidRPr="00BC632B">
        <w:t>festant sa grande capacité de mobilisation ;</w:t>
      </w:r>
    </w:p>
    <w:p w:rsidR="00B7214C" w:rsidRPr="00BC632B" w:rsidRDefault="00B7214C" w:rsidP="00B7214C">
      <w:pPr>
        <w:spacing w:before="120" w:after="120"/>
        <w:jc w:val="both"/>
      </w:pPr>
      <w:r>
        <w:t>[94]</w:t>
      </w:r>
    </w:p>
    <w:p w:rsidR="00B7214C" w:rsidRPr="00BC632B" w:rsidRDefault="00B7214C" w:rsidP="00B7214C">
      <w:pPr>
        <w:spacing w:before="120" w:after="120"/>
        <w:jc w:val="both"/>
      </w:pPr>
      <w:r w:rsidRPr="00BC632B">
        <w:t>— depuis les années 1980, le partenariat entre les différents types de capitaux tend à s'étendre aux relations patronales-syndicales dans une recherche de voies de sortie de crise, ce qui donne lieu à de no</w:t>
      </w:r>
      <w:r w:rsidRPr="00BC632B">
        <w:t>u</w:t>
      </w:r>
      <w:r w:rsidRPr="00BC632B">
        <w:t>veaux modèles d'entreprises dont les deux traits principaux sont d'une part des contrats collectifs négociés où les travailleurs sont inclus dans le système de prise de décision, c'est-à-dire dans le système politique de l'entreprise, et d'autre part des formes flexibles et qualifiantes d'o</w:t>
      </w:r>
      <w:r w:rsidRPr="00BC632B">
        <w:t>r</w:t>
      </w:r>
      <w:r w:rsidRPr="00BC632B">
        <w:t>ganisation du travail ;</w:t>
      </w:r>
    </w:p>
    <w:p w:rsidR="00B7214C" w:rsidRPr="00BC632B" w:rsidRDefault="00B7214C" w:rsidP="00B7214C">
      <w:pPr>
        <w:spacing w:before="120" w:after="120"/>
        <w:jc w:val="both"/>
      </w:pPr>
      <w:r w:rsidRPr="00BC632B">
        <w:t>— le modèle Cascades coexiste mais ne peut prétendre à la génér</w:t>
      </w:r>
      <w:r w:rsidRPr="00BC632B">
        <w:t>a</w:t>
      </w:r>
      <w:r w:rsidRPr="00BC632B">
        <w:t>lisation en raison de la forte institutionnalisation des relations écon</w:t>
      </w:r>
      <w:r w:rsidRPr="00BC632B">
        <w:t>o</w:t>
      </w:r>
      <w:r w:rsidRPr="00BC632B">
        <w:t>miques et sociales au Québec, tant entre les différents types d'entrepr</w:t>
      </w:r>
      <w:r w:rsidRPr="00BC632B">
        <w:t>i</w:t>
      </w:r>
      <w:r w:rsidRPr="00BC632B">
        <w:t>ses qu'entre le patronat et le syndicalisme.</w:t>
      </w:r>
    </w:p>
    <w:p w:rsidR="00B7214C"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spacing w:before="120" w:after="120"/>
        <w:jc w:val="both"/>
      </w:pPr>
      <w:r>
        <w:t>[95]</w:t>
      </w:r>
    </w:p>
    <w:p w:rsidR="00B7214C" w:rsidRPr="00BC632B" w:rsidRDefault="00B7214C" w:rsidP="00B7214C">
      <w:pPr>
        <w:spacing w:before="120" w:after="120"/>
        <w:jc w:val="both"/>
      </w:pPr>
    </w:p>
    <w:p w:rsidR="00B7214C" w:rsidRDefault="00B7214C" w:rsidP="00B7214C">
      <w:pPr>
        <w:pStyle w:val="a"/>
      </w:pPr>
      <w:r w:rsidRPr="00BC632B">
        <w:t>BIBLIOGRAPHIE</w:t>
      </w:r>
    </w:p>
    <w:p w:rsidR="00B7214C" w:rsidRPr="00B4156A" w:rsidRDefault="00B7214C" w:rsidP="00B7214C">
      <w:pPr>
        <w:spacing w:before="120" w:after="120"/>
        <w:jc w:val="both"/>
      </w:pPr>
    </w:p>
    <w:p w:rsidR="00B7214C" w:rsidRPr="00B4156A" w:rsidRDefault="00B7214C" w:rsidP="00B7214C">
      <w:pPr>
        <w:spacing w:before="120" w:after="120"/>
        <w:jc w:val="both"/>
      </w:pPr>
      <w:r w:rsidRPr="00B4156A">
        <w:t>Aktouf, O., R. Bédard et A. Chanlat, « Management, éthique c</w:t>
      </w:r>
      <w:r w:rsidRPr="00B4156A">
        <w:t>a</w:t>
      </w:r>
      <w:r w:rsidRPr="00B4156A">
        <w:t xml:space="preserve">tholique et esprit du capitalisme : l'exemple québécois ». </w:t>
      </w:r>
      <w:r w:rsidRPr="008C2EB4">
        <w:rPr>
          <w:bCs/>
          <w:i/>
          <w:iCs/>
        </w:rPr>
        <w:t>Sociologie du travail,</w:t>
      </w:r>
      <w:r w:rsidRPr="00B4156A">
        <w:t xml:space="preserve"> 1992, vol.</w:t>
      </w:r>
      <w:r>
        <w:t> </w:t>
      </w:r>
      <w:r w:rsidRPr="00B4156A">
        <w:t>1, n°</w:t>
      </w:r>
      <w:r>
        <w:t> </w:t>
      </w:r>
      <w:r w:rsidRPr="00B4156A">
        <w:t xml:space="preserve">92, </w:t>
      </w:r>
      <w:r>
        <w:t>p</w:t>
      </w:r>
      <w:r w:rsidRPr="00B4156A">
        <w:t>p. 83- 99.</w:t>
      </w:r>
    </w:p>
    <w:p w:rsidR="00B7214C" w:rsidRPr="00B4156A" w:rsidRDefault="00B7214C" w:rsidP="00B7214C">
      <w:pPr>
        <w:spacing w:before="120" w:after="120"/>
        <w:jc w:val="both"/>
      </w:pPr>
      <w:r w:rsidRPr="00B4156A">
        <w:t xml:space="preserve">Aktouf, O. et M. Chrétien, « Le cas Cascade. Comment se crée une culture organisationnelle », dans Alain Beaufils et Jean M. Guiot (dir.). </w:t>
      </w:r>
      <w:r w:rsidRPr="008C2EB4">
        <w:rPr>
          <w:bCs/>
          <w:i/>
          <w:iCs/>
        </w:rPr>
        <w:t>Développer l'organisation : perspectives sur le processus d'i</w:t>
      </w:r>
      <w:r w:rsidRPr="008C2EB4">
        <w:rPr>
          <w:bCs/>
          <w:i/>
          <w:iCs/>
        </w:rPr>
        <w:t>n</w:t>
      </w:r>
      <w:r w:rsidRPr="008C2EB4">
        <w:rPr>
          <w:bCs/>
          <w:i/>
          <w:iCs/>
        </w:rPr>
        <w:t>tervention,</w:t>
      </w:r>
      <w:r w:rsidRPr="00B4156A">
        <w:t xml:space="preserve"> Montré</w:t>
      </w:r>
      <w:r>
        <w:t>al, Gaëtan Morin, 1989, pp. 295-</w:t>
      </w:r>
      <w:r w:rsidRPr="00B4156A">
        <w:t>309.</w:t>
      </w:r>
    </w:p>
    <w:p w:rsidR="00B7214C" w:rsidRPr="00B4156A" w:rsidRDefault="00B7214C" w:rsidP="00B7214C">
      <w:pPr>
        <w:spacing w:before="120" w:after="120"/>
        <w:jc w:val="both"/>
      </w:pPr>
      <w:r w:rsidRPr="00B4156A">
        <w:t xml:space="preserve">Bagaoui, R., </w:t>
      </w:r>
      <w:r w:rsidRPr="008C2EB4">
        <w:rPr>
          <w:bCs/>
          <w:i/>
          <w:iCs/>
        </w:rPr>
        <w:t>Taylorisme, culture d'entreprise et compromis patr</w:t>
      </w:r>
      <w:r w:rsidRPr="008C2EB4">
        <w:rPr>
          <w:bCs/>
          <w:i/>
          <w:iCs/>
        </w:rPr>
        <w:t>o</w:t>
      </w:r>
      <w:r w:rsidRPr="008C2EB4">
        <w:rPr>
          <w:bCs/>
          <w:i/>
          <w:iCs/>
        </w:rPr>
        <w:t>nal-syndical au Québec. Analyse historique et le cas de Shermag,</w:t>
      </w:r>
      <w:r w:rsidRPr="00B4156A">
        <w:t xml:space="preserve"> Montréal, Thèse présentée comme exigence partielle du doctorat en sociologie, Département de sociologie, UQAM, 1993, 383 p.</w:t>
      </w:r>
    </w:p>
    <w:p w:rsidR="00B7214C" w:rsidRPr="00B4156A" w:rsidRDefault="00B7214C" w:rsidP="00B7214C">
      <w:pPr>
        <w:spacing w:before="120" w:after="120"/>
        <w:jc w:val="both"/>
      </w:pPr>
      <w:r w:rsidRPr="00B4156A">
        <w:t>Bélanger, P. R. et B. Lévesque, « </w:t>
      </w:r>
      <w:hyperlink r:id="rId38" w:history="1">
        <w:r w:rsidRPr="0011353B">
          <w:rPr>
            <w:rStyle w:val="Lienhypertexte"/>
          </w:rPr>
          <w:t>Éléments théoriques pour une sociologie de l'entreprise : des classiques aux néo-classiques </w:t>
        </w:r>
      </w:hyperlink>
      <w:r w:rsidRPr="00B4156A">
        <w:t xml:space="preserve">», </w:t>
      </w:r>
      <w:r w:rsidRPr="008C2EB4">
        <w:rPr>
          <w:bCs/>
          <w:i/>
          <w:iCs/>
        </w:rPr>
        <w:t>C</w:t>
      </w:r>
      <w:r w:rsidRPr="008C2EB4">
        <w:rPr>
          <w:bCs/>
          <w:i/>
          <w:iCs/>
        </w:rPr>
        <w:t>a</w:t>
      </w:r>
      <w:r w:rsidRPr="008C2EB4">
        <w:rPr>
          <w:bCs/>
          <w:i/>
          <w:iCs/>
        </w:rPr>
        <w:t>hiers de recherche sociologique,</w:t>
      </w:r>
      <w:r w:rsidRPr="00B4156A">
        <w:t xml:space="preserve"> 1992, n</w:t>
      </w:r>
      <w:r>
        <w:t>os </w:t>
      </w:r>
      <w:r w:rsidRPr="00B4156A">
        <w:t xml:space="preserve">8-19, </w:t>
      </w:r>
      <w:r>
        <w:t>p</w:t>
      </w:r>
      <w:r w:rsidRPr="00B4156A">
        <w:t>p. 5-92.</w:t>
      </w:r>
    </w:p>
    <w:p w:rsidR="00B7214C" w:rsidRPr="00B4156A" w:rsidRDefault="00B7214C" w:rsidP="00B7214C">
      <w:pPr>
        <w:spacing w:before="120" w:after="120"/>
        <w:jc w:val="both"/>
      </w:pPr>
      <w:r w:rsidRPr="00B4156A">
        <w:t>Bélanger, P. R. et B. Lévesque, « </w:t>
      </w:r>
      <w:hyperlink r:id="rId39" w:history="1">
        <w:r w:rsidRPr="0011353B">
          <w:rPr>
            <w:rStyle w:val="Lienhypertexte"/>
          </w:rPr>
          <w:t>La théorie de la régulation, du rapport salarial au rapport de consommation. Un point de vue sociol</w:t>
        </w:r>
        <w:r w:rsidRPr="0011353B">
          <w:rPr>
            <w:rStyle w:val="Lienhypertexte"/>
          </w:rPr>
          <w:t>o</w:t>
        </w:r>
        <w:r w:rsidRPr="0011353B">
          <w:rPr>
            <w:rStyle w:val="Lienhypertexte"/>
          </w:rPr>
          <w:t>gique </w:t>
        </w:r>
      </w:hyperlink>
      <w:r w:rsidRPr="00B4156A">
        <w:t xml:space="preserve">», </w:t>
      </w:r>
      <w:r w:rsidRPr="008C2EB4">
        <w:rPr>
          <w:bCs/>
          <w:i/>
          <w:iCs/>
        </w:rPr>
        <w:t>Cahiers de recherche sociologique,</w:t>
      </w:r>
      <w:r w:rsidRPr="00B4156A">
        <w:t xml:space="preserve"> 1991, n°</w:t>
      </w:r>
      <w:r>
        <w:t> </w:t>
      </w:r>
      <w:r w:rsidRPr="00B4156A">
        <w:t xml:space="preserve">7, </w:t>
      </w:r>
      <w:r>
        <w:t>p</w:t>
      </w:r>
      <w:r w:rsidRPr="00B4156A">
        <w:t>p. 17-52.</w:t>
      </w:r>
    </w:p>
    <w:p w:rsidR="00B7214C" w:rsidRPr="00B4156A" w:rsidRDefault="00B7214C" w:rsidP="00B7214C">
      <w:pPr>
        <w:spacing w:before="120" w:after="120"/>
        <w:jc w:val="both"/>
      </w:pPr>
      <w:r w:rsidRPr="00B4156A">
        <w:t>Bélanger, P. R. et B. Lévesque, « Amérique du Nord : la particip</w:t>
      </w:r>
      <w:r w:rsidRPr="00B4156A">
        <w:t>a</w:t>
      </w:r>
      <w:r w:rsidRPr="00B4156A">
        <w:t xml:space="preserve">tion contre la représentation ? », </w:t>
      </w:r>
      <w:r w:rsidRPr="008C2EB4">
        <w:rPr>
          <w:bCs/>
          <w:i/>
          <w:iCs/>
        </w:rPr>
        <w:t>Travail,</w:t>
      </w:r>
      <w:r w:rsidRPr="00B4156A">
        <w:t xml:space="preserve"> Paris, 1991-1992, n°</w:t>
      </w:r>
      <w:r>
        <w:t> </w:t>
      </w:r>
      <w:r w:rsidRPr="00B4156A">
        <w:t>24, p</w:t>
      </w:r>
      <w:r>
        <w:t>p</w:t>
      </w:r>
      <w:r w:rsidRPr="00B4156A">
        <w:t>. 71-90.</w:t>
      </w:r>
    </w:p>
    <w:p w:rsidR="00B7214C" w:rsidRPr="00B4156A" w:rsidRDefault="00B7214C" w:rsidP="00B7214C">
      <w:pPr>
        <w:spacing w:before="120" w:after="120"/>
        <w:jc w:val="both"/>
      </w:pPr>
      <w:r w:rsidRPr="00B4156A">
        <w:t xml:space="preserve">Boucher, J., « Les syndicats : de la lutte pour la reconnaissance à la concertation conflictuelle », dans G. Daigle (dir.). </w:t>
      </w:r>
      <w:r w:rsidRPr="008C2EB4">
        <w:rPr>
          <w:bCs/>
          <w:i/>
          <w:iCs/>
        </w:rPr>
        <w:t xml:space="preserve">Le Québec en jeu. Comprendre les grands défis, </w:t>
      </w:r>
      <w:r w:rsidRPr="00B4156A">
        <w:t>Montréal, Presses de l'Un</w:t>
      </w:r>
      <w:r w:rsidRPr="00B4156A">
        <w:t>i</w:t>
      </w:r>
      <w:r w:rsidRPr="00B4156A">
        <w:t>versité de Montréal, 1992.</w:t>
      </w:r>
    </w:p>
    <w:p w:rsidR="00B7214C" w:rsidRPr="00B4156A" w:rsidRDefault="00B7214C" w:rsidP="00B7214C">
      <w:pPr>
        <w:spacing w:before="120" w:after="120"/>
        <w:jc w:val="both"/>
      </w:pPr>
      <w:r w:rsidRPr="00B4156A">
        <w:t xml:space="preserve">Bourque, G., « Traditional society, political society and Quebec sociology : 1945-1960 », </w:t>
      </w:r>
      <w:r w:rsidRPr="008C2EB4">
        <w:rPr>
          <w:bCs/>
          <w:i/>
          <w:iCs/>
        </w:rPr>
        <w:t>Canadian Review of Sociology and Anthr</w:t>
      </w:r>
      <w:r w:rsidRPr="008C2EB4">
        <w:rPr>
          <w:bCs/>
          <w:i/>
          <w:iCs/>
        </w:rPr>
        <w:t>o</w:t>
      </w:r>
      <w:r w:rsidRPr="008C2EB4">
        <w:rPr>
          <w:bCs/>
          <w:i/>
          <w:iCs/>
        </w:rPr>
        <w:t>pology,</w:t>
      </w:r>
      <w:r w:rsidRPr="00B4156A">
        <w:t xml:space="preserve"> 1989, vol.</w:t>
      </w:r>
      <w:r>
        <w:t> </w:t>
      </w:r>
      <w:r w:rsidRPr="00B4156A">
        <w:t>26, n°</w:t>
      </w:r>
      <w:r>
        <w:t> </w:t>
      </w:r>
      <w:r w:rsidRPr="00B4156A">
        <w:t xml:space="preserve">3, </w:t>
      </w:r>
      <w:r>
        <w:t>p</w:t>
      </w:r>
      <w:r w:rsidRPr="00B4156A">
        <w:t>p. 394-425.</w:t>
      </w:r>
    </w:p>
    <w:p w:rsidR="00B7214C" w:rsidRPr="00B4156A" w:rsidRDefault="00B7214C" w:rsidP="00B7214C">
      <w:pPr>
        <w:spacing w:before="120" w:after="120"/>
        <w:jc w:val="both"/>
      </w:pPr>
      <w:r w:rsidRPr="00B4156A">
        <w:t xml:space="preserve">Bourque, G. et A. Légaré, </w:t>
      </w:r>
      <w:hyperlink r:id="rId40" w:history="1">
        <w:r w:rsidRPr="001C249F">
          <w:rPr>
            <w:rStyle w:val="Lienhypertexte"/>
            <w:szCs w:val="16"/>
            <w:lang w:eastAsia="fr-FR" w:bidi="fr-FR"/>
          </w:rPr>
          <w:t>Le Québec. La question nationale</w:t>
        </w:r>
      </w:hyperlink>
      <w:r w:rsidRPr="00B4156A">
        <w:rPr>
          <w:rStyle w:val="Corpsdutexte108ptGrasItalique"/>
          <w:b w:val="0"/>
        </w:rPr>
        <w:t>,</w:t>
      </w:r>
      <w:r w:rsidRPr="00B4156A">
        <w:t xml:space="preserve"> Paris, Maspero, 1979.</w:t>
      </w:r>
    </w:p>
    <w:p w:rsidR="00B7214C" w:rsidRPr="00B4156A" w:rsidRDefault="00B7214C" w:rsidP="00B7214C">
      <w:pPr>
        <w:spacing w:before="120" w:after="120"/>
        <w:jc w:val="both"/>
      </w:pPr>
      <w:r w:rsidRPr="00B4156A">
        <w:t xml:space="preserve">Boyer, R., </w:t>
      </w:r>
      <w:r w:rsidRPr="008C2EB4">
        <w:rPr>
          <w:bCs/>
          <w:i/>
          <w:iCs/>
        </w:rPr>
        <w:t>La flexibilité du travail en Europe,</w:t>
      </w:r>
      <w:r w:rsidRPr="00B4156A">
        <w:t xml:space="preserve"> Paris, La Découve</w:t>
      </w:r>
      <w:r w:rsidRPr="00B4156A">
        <w:t>r</w:t>
      </w:r>
      <w:r w:rsidRPr="00B4156A">
        <w:t>te, 1986, 332 p.</w:t>
      </w:r>
    </w:p>
    <w:p w:rsidR="00B7214C" w:rsidRPr="00B4156A" w:rsidRDefault="00B7214C" w:rsidP="00B7214C">
      <w:pPr>
        <w:spacing w:before="120" w:after="120"/>
        <w:jc w:val="both"/>
      </w:pPr>
      <w:r w:rsidRPr="00B4156A">
        <w:t>Breton, R., « Quebec sociology : agendas from society or from s</w:t>
      </w:r>
      <w:r w:rsidRPr="00B4156A">
        <w:t>o</w:t>
      </w:r>
      <w:r w:rsidRPr="00B4156A">
        <w:t xml:space="preserve">ciologist ? », </w:t>
      </w:r>
      <w:r w:rsidRPr="008C2EB4">
        <w:rPr>
          <w:bCs/>
          <w:i/>
          <w:iCs/>
        </w:rPr>
        <w:t>Canadian Review of Sociology and Anthropology,</w:t>
      </w:r>
      <w:r w:rsidRPr="00B4156A">
        <w:t xml:space="preserve"> 1989, vol.</w:t>
      </w:r>
      <w:r>
        <w:t> </w:t>
      </w:r>
      <w:r w:rsidRPr="00B4156A">
        <w:t>26, n°</w:t>
      </w:r>
      <w:r>
        <w:t> </w:t>
      </w:r>
      <w:r w:rsidRPr="00B4156A">
        <w:t>3, p</w:t>
      </w:r>
      <w:r>
        <w:t>p</w:t>
      </w:r>
      <w:r w:rsidRPr="00B4156A">
        <w:t>. 557-570.</w:t>
      </w:r>
    </w:p>
    <w:p w:rsidR="00B7214C" w:rsidRPr="00B4156A" w:rsidRDefault="00B7214C" w:rsidP="00B7214C">
      <w:pPr>
        <w:spacing w:before="120" w:after="120"/>
        <w:jc w:val="both"/>
      </w:pPr>
      <w:r w:rsidRPr="00B4156A">
        <w:t>Dandurand, R. B.-, « Fortunes et misfortunes of culture : soci</w:t>
      </w:r>
      <w:r w:rsidRPr="00B4156A">
        <w:t>o</w:t>
      </w:r>
      <w:r w:rsidRPr="00B4156A">
        <w:t xml:space="preserve">logy and anthropology of culture in francophone Quebec, 1965-1985 », </w:t>
      </w:r>
      <w:r w:rsidRPr="008C2EB4">
        <w:rPr>
          <w:bCs/>
          <w:i/>
          <w:iCs/>
        </w:rPr>
        <w:t>Canadian Review of Sociology and Anthropology,</w:t>
      </w:r>
      <w:r w:rsidRPr="00B4156A">
        <w:t xml:space="preserve"> 1989, vol.</w:t>
      </w:r>
      <w:r>
        <w:t> </w:t>
      </w:r>
      <w:r w:rsidRPr="00B4156A">
        <w:t>26, n°</w:t>
      </w:r>
      <w:r>
        <w:t> </w:t>
      </w:r>
      <w:r w:rsidRPr="00B4156A">
        <w:t>3, p</w:t>
      </w:r>
      <w:r>
        <w:t>p</w:t>
      </w:r>
      <w:r w:rsidRPr="00B4156A">
        <w:t>. 485-531.</w:t>
      </w:r>
    </w:p>
    <w:p w:rsidR="00B7214C" w:rsidRPr="00B4156A" w:rsidRDefault="00B7214C" w:rsidP="00B7214C">
      <w:pPr>
        <w:spacing w:before="120" w:after="120"/>
        <w:jc w:val="both"/>
      </w:pPr>
      <w:r w:rsidRPr="00B4156A">
        <w:t xml:space="preserve">Fagot, S., </w:t>
      </w:r>
      <w:r w:rsidRPr="008C2EB4">
        <w:rPr>
          <w:bCs/>
          <w:i/>
          <w:iCs/>
        </w:rPr>
        <w:t>Analyse pragmatique du discours du Cercle des chefs mailleurs du Québec,</w:t>
      </w:r>
      <w:r w:rsidRPr="00B4156A">
        <w:t xml:space="preserve"> Québec, Mémoire de maîtrise en science de la communication (Université L</w:t>
      </w:r>
      <w:r w:rsidRPr="00B4156A">
        <w:t>a</w:t>
      </w:r>
      <w:r w:rsidRPr="00B4156A">
        <w:t>val), 1990, 138 p.</w:t>
      </w:r>
    </w:p>
    <w:p w:rsidR="00B7214C" w:rsidRPr="00B4156A" w:rsidRDefault="00B7214C" w:rsidP="00B7214C">
      <w:pPr>
        <w:spacing w:before="120" w:after="120"/>
        <w:jc w:val="both"/>
      </w:pPr>
      <w:r w:rsidRPr="00B4156A">
        <w:t>Faucher, A. et M. Lamontagne, « History of Industrial Develo</w:t>
      </w:r>
      <w:r w:rsidRPr="00B4156A">
        <w:t>p</w:t>
      </w:r>
      <w:r>
        <w:t>ment, dans J.-C. Farlar</w:t>
      </w:r>
      <w:r w:rsidRPr="00B4156A">
        <w:t xml:space="preserve">deau (dir.). </w:t>
      </w:r>
      <w:hyperlink r:id="rId41" w:history="1">
        <w:r w:rsidRPr="001C249F">
          <w:rPr>
            <w:rStyle w:val="Lienhypertexte"/>
            <w:szCs w:val="16"/>
            <w:lang w:eastAsia="fr-FR" w:bidi="fr-FR"/>
          </w:rPr>
          <w:t>Essai sur le Québec contemporain</w:t>
        </w:r>
      </w:hyperlink>
      <w:r w:rsidRPr="00B4156A">
        <w:rPr>
          <w:rStyle w:val="Corpsdutexte108ptGrasItalique"/>
          <w:b w:val="0"/>
        </w:rPr>
        <w:t>,</w:t>
      </w:r>
      <w:r w:rsidRPr="00B4156A">
        <w:t xml:space="preserve"> Québec, Presses de l'Université Laval, 1953.</w:t>
      </w:r>
    </w:p>
    <w:p w:rsidR="00B7214C" w:rsidRPr="008C2EB4" w:rsidRDefault="00B7214C" w:rsidP="00B7214C">
      <w:pPr>
        <w:spacing w:before="120" w:after="120"/>
        <w:jc w:val="both"/>
        <w:rPr>
          <w:iCs/>
        </w:rPr>
      </w:pPr>
      <w:r w:rsidRPr="008C2EB4">
        <w:rPr>
          <w:iCs/>
        </w:rPr>
        <w:t xml:space="preserve">Fraser, M., </w:t>
      </w:r>
      <w:r w:rsidRPr="008C2EB4">
        <w:t xml:space="preserve">Québec inc. </w:t>
      </w:r>
      <w:r w:rsidRPr="008C2EB4">
        <w:rPr>
          <w:i/>
        </w:rPr>
        <w:t>Les Québécois prennent d'assaut le monde des affaires</w:t>
      </w:r>
      <w:r w:rsidRPr="008C2EB4">
        <w:t>,</w:t>
      </w:r>
      <w:r w:rsidRPr="008C2EB4">
        <w:rPr>
          <w:iCs/>
        </w:rPr>
        <w:t xml:space="preserve"> Montréal, Éditions de l'Homme, 1987,</w:t>
      </w:r>
      <w:r>
        <w:rPr>
          <w:iCs/>
        </w:rPr>
        <w:t xml:space="preserve"> </w:t>
      </w:r>
      <w:r w:rsidRPr="008C2EB4">
        <w:rPr>
          <w:iCs/>
        </w:rPr>
        <w:t>305 p.</w:t>
      </w:r>
    </w:p>
    <w:p w:rsidR="00B7214C" w:rsidRPr="00B4156A" w:rsidRDefault="00B7214C" w:rsidP="00B7214C">
      <w:pPr>
        <w:spacing w:before="120" w:after="120"/>
        <w:jc w:val="both"/>
      </w:pPr>
      <w:r>
        <w:t>[96]</w:t>
      </w:r>
    </w:p>
    <w:p w:rsidR="00B7214C" w:rsidRPr="00B4156A" w:rsidRDefault="00B7214C" w:rsidP="00B7214C">
      <w:pPr>
        <w:spacing w:before="120" w:after="120"/>
        <w:jc w:val="both"/>
      </w:pPr>
      <w:r w:rsidRPr="00B4156A">
        <w:t xml:space="preserve">Gouvernement du Québec, </w:t>
      </w:r>
      <w:r w:rsidRPr="00B4156A">
        <w:rPr>
          <w:bCs/>
          <w:i/>
          <w:iCs/>
        </w:rPr>
        <w:t>Bâtir le Québec. Énoncé de politique économique,</w:t>
      </w:r>
      <w:r w:rsidRPr="00B4156A">
        <w:t xml:space="preserve"> Québec, Éditeur officiel du Québec, 1979,523 p.</w:t>
      </w:r>
    </w:p>
    <w:p w:rsidR="00B7214C" w:rsidRPr="001C249F" w:rsidRDefault="00B7214C" w:rsidP="00B7214C">
      <w:pPr>
        <w:spacing w:before="120" w:after="120"/>
        <w:jc w:val="both"/>
      </w:pPr>
      <w:r w:rsidRPr="001C249F">
        <w:rPr>
          <w:bCs/>
          <w:iCs/>
        </w:rPr>
        <w:t xml:space="preserve">Huard, M., </w:t>
      </w:r>
      <w:r w:rsidRPr="001C249F">
        <w:rPr>
          <w:i/>
        </w:rPr>
        <w:t>Crise du rapport salarial dans l'automobile. Étude de cas de General Motors de Boisbriand</w:t>
      </w:r>
      <w:r w:rsidRPr="001C249F">
        <w:t>,</w:t>
      </w:r>
      <w:r w:rsidRPr="001C249F">
        <w:rPr>
          <w:bCs/>
          <w:iCs/>
        </w:rPr>
        <w:t xml:space="preserve"> Mémoire de maîtrise, Montréal (UQAM, Département de sociologie, 1991.</w:t>
      </w:r>
    </w:p>
    <w:p w:rsidR="00B7214C" w:rsidRPr="001C249F" w:rsidRDefault="00B7214C" w:rsidP="00B7214C">
      <w:pPr>
        <w:spacing w:before="120" w:after="120"/>
        <w:jc w:val="both"/>
      </w:pPr>
      <w:r w:rsidRPr="001C249F">
        <w:rPr>
          <w:bCs/>
          <w:iCs/>
        </w:rPr>
        <w:t xml:space="preserve">Hughes, E. C., </w:t>
      </w:r>
      <w:hyperlink r:id="rId42" w:history="1">
        <w:r w:rsidRPr="001C249F">
          <w:rPr>
            <w:rStyle w:val="Lienhypertexte"/>
            <w:i/>
          </w:rPr>
          <w:t>Rencontre de deux mondes, La crise d'industrialis</w:t>
        </w:r>
        <w:r w:rsidRPr="001C249F">
          <w:rPr>
            <w:rStyle w:val="Lienhypertexte"/>
            <w:i/>
          </w:rPr>
          <w:t>a</w:t>
        </w:r>
        <w:r w:rsidRPr="001C249F">
          <w:rPr>
            <w:rStyle w:val="Lienhypertexte"/>
            <w:i/>
          </w:rPr>
          <w:t>tion du Canada français</w:t>
        </w:r>
      </w:hyperlink>
      <w:r w:rsidRPr="001C249F">
        <w:t xml:space="preserve">, </w:t>
      </w:r>
      <w:r w:rsidRPr="001C249F">
        <w:rPr>
          <w:bCs/>
          <w:iCs/>
        </w:rPr>
        <w:t>Montréal, Éditions Lucien Parizeau, 1972, 304 p.</w:t>
      </w:r>
    </w:p>
    <w:p w:rsidR="00B7214C" w:rsidRPr="00B4156A" w:rsidRDefault="00B7214C" w:rsidP="00B7214C">
      <w:pPr>
        <w:spacing w:before="120" w:after="120"/>
        <w:jc w:val="both"/>
      </w:pPr>
      <w:r w:rsidRPr="00B4156A">
        <w:t xml:space="preserve">Lapointe, P.-A., « Modèle de travail et démocratisation. Le cas des usines Alcan au Saguenay (1970-1972) », </w:t>
      </w:r>
      <w:r w:rsidRPr="00B4156A">
        <w:rPr>
          <w:bCs/>
          <w:i/>
          <w:iCs/>
        </w:rPr>
        <w:t>Cahiers de recherche soci</w:t>
      </w:r>
      <w:r w:rsidRPr="00B4156A">
        <w:rPr>
          <w:bCs/>
          <w:i/>
          <w:iCs/>
        </w:rPr>
        <w:t>o</w:t>
      </w:r>
      <w:r w:rsidRPr="00B4156A">
        <w:rPr>
          <w:bCs/>
          <w:i/>
          <w:iCs/>
        </w:rPr>
        <w:t>logique,</w:t>
      </w:r>
      <w:r w:rsidRPr="00B4156A">
        <w:t xml:space="preserve"> 1992, n</w:t>
      </w:r>
      <w:r>
        <w:t>os 18-19, pp. 155-</w:t>
      </w:r>
      <w:r w:rsidRPr="00B4156A">
        <w:t>184.</w:t>
      </w:r>
    </w:p>
    <w:p w:rsidR="00B7214C" w:rsidRPr="001C249F" w:rsidRDefault="00B7214C" w:rsidP="00B7214C">
      <w:pPr>
        <w:spacing w:before="120" w:after="120"/>
        <w:jc w:val="both"/>
      </w:pPr>
      <w:r w:rsidRPr="001C249F">
        <w:rPr>
          <w:bCs/>
          <w:iCs/>
        </w:rPr>
        <w:t xml:space="preserve">Lapointe, P.-A., </w:t>
      </w:r>
      <w:r w:rsidRPr="001C249F">
        <w:rPr>
          <w:i/>
        </w:rPr>
        <w:t>Le rapport salarial, l'autonomisation et la crise dans la production de l aluminium, étude comparative : Québec, C</w:t>
      </w:r>
      <w:r w:rsidRPr="001C249F">
        <w:rPr>
          <w:i/>
        </w:rPr>
        <w:t>a</w:t>
      </w:r>
      <w:r w:rsidRPr="001C249F">
        <w:rPr>
          <w:i/>
        </w:rPr>
        <w:t>nada, États-Unis et France</w:t>
      </w:r>
      <w:r w:rsidRPr="001C249F">
        <w:t>,</w:t>
      </w:r>
      <w:r w:rsidRPr="001C249F">
        <w:rPr>
          <w:bCs/>
          <w:iCs/>
        </w:rPr>
        <w:t xml:space="preserve"> Montréal, Thèse de doctorat (UQAM, D</w:t>
      </w:r>
      <w:r w:rsidRPr="001C249F">
        <w:rPr>
          <w:bCs/>
          <w:iCs/>
        </w:rPr>
        <w:t>é</w:t>
      </w:r>
      <w:r w:rsidRPr="001C249F">
        <w:rPr>
          <w:bCs/>
          <w:iCs/>
        </w:rPr>
        <w:t>partement de sociologie), 1991.</w:t>
      </w:r>
    </w:p>
    <w:p w:rsidR="00B7214C" w:rsidRPr="00B4156A" w:rsidRDefault="00B7214C" w:rsidP="00B7214C">
      <w:pPr>
        <w:spacing w:before="120" w:after="120"/>
        <w:jc w:val="both"/>
      </w:pPr>
      <w:r w:rsidRPr="00B4156A">
        <w:t>Leborgne, D. et A. Lipietz, « Flexibilité offensive, flexibilité d</w:t>
      </w:r>
      <w:r w:rsidRPr="00B4156A">
        <w:t>é</w:t>
      </w:r>
      <w:r w:rsidRPr="00B4156A">
        <w:t>fensive. Deux stratégies sociales dans la production des nouveaux e</w:t>
      </w:r>
      <w:r w:rsidRPr="00B4156A">
        <w:t>s</w:t>
      </w:r>
      <w:r w:rsidRPr="00B4156A">
        <w:t>pa</w:t>
      </w:r>
      <w:r>
        <w:t>ces économiques », dans G. Ben</w:t>
      </w:r>
      <w:r w:rsidRPr="00B4156A">
        <w:t xml:space="preserve">ko et A. Lipietz (dir.), </w:t>
      </w:r>
      <w:r w:rsidRPr="00B4156A">
        <w:rPr>
          <w:bCs/>
          <w:i/>
          <w:iCs/>
        </w:rPr>
        <w:t>Quand les régions gagnent. Districts et réseaux : les nouveaux paradigmes de la géographie économique,</w:t>
      </w:r>
      <w:r w:rsidRPr="00B4156A">
        <w:t xml:space="preserve"> Paris, Presses universitaires de France, 1992, </w:t>
      </w:r>
      <w:r>
        <w:t>p</w:t>
      </w:r>
      <w:r w:rsidRPr="00B4156A">
        <w:t>p. 347-377.</w:t>
      </w:r>
    </w:p>
    <w:p w:rsidR="00B7214C" w:rsidRPr="001C249F" w:rsidRDefault="00B7214C" w:rsidP="00B7214C">
      <w:pPr>
        <w:spacing w:before="120" w:after="120"/>
        <w:jc w:val="both"/>
      </w:pPr>
      <w:r w:rsidRPr="001C249F">
        <w:rPr>
          <w:bCs/>
          <w:iCs/>
        </w:rPr>
        <w:t xml:space="preserve">Leborgne, D. et A. Lipietz, </w:t>
      </w:r>
      <w:r w:rsidRPr="001C249F">
        <w:rPr>
          <w:i/>
        </w:rPr>
        <w:t>Deux stratégies sociales dans la pr</w:t>
      </w:r>
      <w:r w:rsidRPr="001C249F">
        <w:rPr>
          <w:i/>
        </w:rPr>
        <w:t>o</w:t>
      </w:r>
      <w:r w:rsidRPr="001C249F">
        <w:rPr>
          <w:i/>
        </w:rPr>
        <w:t>duction des nouveaux espaces économiques</w:t>
      </w:r>
      <w:r w:rsidRPr="001C249F">
        <w:t>,</w:t>
      </w:r>
      <w:r w:rsidRPr="001C249F">
        <w:rPr>
          <w:bCs/>
          <w:iCs/>
        </w:rPr>
        <w:t xml:space="preserve"> Paris, CEPREMAP, 1989, n° 8911.</w:t>
      </w:r>
    </w:p>
    <w:p w:rsidR="00B7214C" w:rsidRPr="00B4156A" w:rsidRDefault="00B7214C" w:rsidP="00B7214C">
      <w:pPr>
        <w:spacing w:before="120" w:after="120"/>
        <w:jc w:val="both"/>
      </w:pPr>
      <w:r w:rsidRPr="00B4156A">
        <w:t xml:space="preserve">Lipietz, A., </w:t>
      </w:r>
      <w:r w:rsidRPr="00B4156A">
        <w:rPr>
          <w:bCs/>
          <w:i/>
          <w:iCs/>
        </w:rPr>
        <w:t>Choisir l’audace. Une alternative pour le XX</w:t>
      </w:r>
      <w:r>
        <w:rPr>
          <w:bCs/>
          <w:i/>
          <w:iCs/>
        </w:rPr>
        <w:t>I</w:t>
      </w:r>
      <w:r w:rsidRPr="001C249F">
        <w:rPr>
          <w:bCs/>
          <w:i/>
          <w:iCs/>
          <w:vertAlign w:val="superscript"/>
        </w:rPr>
        <w:t>e</w:t>
      </w:r>
      <w:r w:rsidRPr="00B4156A">
        <w:t xml:space="preserve"> siècle, Paris, La Découverte, 1989, 156 p.</w:t>
      </w:r>
    </w:p>
    <w:p w:rsidR="00B7214C" w:rsidRPr="00B4156A" w:rsidRDefault="00B7214C" w:rsidP="00B7214C">
      <w:pPr>
        <w:spacing w:before="120" w:after="120"/>
        <w:jc w:val="both"/>
      </w:pPr>
      <w:r w:rsidRPr="00B4156A">
        <w:t>Niosi, J., « La bourgeoisie et ses choix politiques », dans G. Boi</w:t>
      </w:r>
      <w:r w:rsidRPr="00B4156A">
        <w:t>s</w:t>
      </w:r>
      <w:r w:rsidRPr="00B4156A">
        <w:t xml:space="preserve">menu (1986), </w:t>
      </w:r>
      <w:r w:rsidRPr="001C249F">
        <w:rPr>
          <w:i/>
        </w:rPr>
        <w:t>Le</w:t>
      </w:r>
      <w:r w:rsidRPr="00B4156A">
        <w:t xml:space="preserve"> </w:t>
      </w:r>
      <w:r w:rsidRPr="00B4156A">
        <w:rPr>
          <w:bCs/>
          <w:i/>
          <w:iCs/>
        </w:rPr>
        <w:t>Québec en textes,</w:t>
      </w:r>
      <w:r w:rsidRPr="00B4156A">
        <w:t xml:space="preserve"> Montréal, Boréal Express, 1986, p</w:t>
      </w:r>
      <w:r>
        <w:t>p</w:t>
      </w:r>
      <w:r w:rsidRPr="00B4156A">
        <w:t>. 261-274.</w:t>
      </w:r>
    </w:p>
    <w:p w:rsidR="00B7214C" w:rsidRPr="00B4156A" w:rsidRDefault="00B7214C" w:rsidP="00B7214C">
      <w:pPr>
        <w:spacing w:before="120" w:after="120"/>
        <w:jc w:val="both"/>
      </w:pPr>
      <w:r w:rsidRPr="00B4156A">
        <w:t xml:space="preserve">McRobert, K. et D. Posgate, </w:t>
      </w:r>
      <w:r w:rsidRPr="00B4156A">
        <w:rPr>
          <w:bCs/>
          <w:i/>
          <w:iCs/>
        </w:rPr>
        <w:t>Développement et modernisation du Québec,</w:t>
      </w:r>
      <w:r w:rsidRPr="00B4156A">
        <w:t xml:space="preserve"> Montréal, Boréal Express, 1983, 352 p.</w:t>
      </w:r>
    </w:p>
    <w:p w:rsidR="00B7214C" w:rsidRPr="001C249F" w:rsidRDefault="00B7214C" w:rsidP="00B7214C">
      <w:pPr>
        <w:spacing w:before="120" w:after="120"/>
        <w:jc w:val="both"/>
      </w:pPr>
      <w:r w:rsidRPr="001C249F">
        <w:rPr>
          <w:bCs/>
          <w:iCs/>
        </w:rPr>
        <w:t xml:space="preserve">Messine, P., </w:t>
      </w:r>
      <w:r w:rsidRPr="001C249F">
        <w:rPr>
          <w:i/>
        </w:rPr>
        <w:t>Les saturniens. Quand les patrons réinventent la s</w:t>
      </w:r>
      <w:r w:rsidRPr="001C249F">
        <w:rPr>
          <w:i/>
        </w:rPr>
        <w:t>o</w:t>
      </w:r>
      <w:r w:rsidRPr="001C249F">
        <w:rPr>
          <w:i/>
        </w:rPr>
        <w:t>ciété</w:t>
      </w:r>
      <w:r w:rsidRPr="001C249F">
        <w:t>,</w:t>
      </w:r>
      <w:r w:rsidRPr="001C249F">
        <w:rPr>
          <w:bCs/>
          <w:iCs/>
        </w:rPr>
        <w:t xml:space="preserve"> Paris, La Découverte, 1987, 220 p.</w:t>
      </w:r>
    </w:p>
    <w:p w:rsidR="00B7214C" w:rsidRPr="00B4156A" w:rsidRDefault="00B7214C" w:rsidP="00B7214C">
      <w:pPr>
        <w:spacing w:before="120" w:after="120"/>
        <w:jc w:val="both"/>
      </w:pPr>
      <w:r w:rsidRPr="00B4156A">
        <w:t xml:space="preserve">Parsons, T., </w:t>
      </w:r>
      <w:r w:rsidRPr="00B4156A">
        <w:rPr>
          <w:bCs/>
          <w:i/>
          <w:iCs/>
        </w:rPr>
        <w:t>The Social System,</w:t>
      </w:r>
      <w:r w:rsidRPr="00B4156A">
        <w:t xml:space="preserve"> New York, Free Press, 1951.</w:t>
      </w:r>
    </w:p>
    <w:p w:rsidR="00B7214C" w:rsidRPr="001C249F" w:rsidRDefault="00B7214C" w:rsidP="00B7214C">
      <w:pPr>
        <w:spacing w:before="120" w:after="120"/>
        <w:jc w:val="both"/>
      </w:pPr>
      <w:r w:rsidRPr="001C249F">
        <w:rPr>
          <w:bCs/>
          <w:iCs/>
        </w:rPr>
        <w:t xml:space="preserve">Piore, M. J. et C. F. Sabel, </w:t>
      </w:r>
      <w:r w:rsidRPr="001C249F">
        <w:rPr>
          <w:i/>
        </w:rPr>
        <w:t>Les chemins de la prospérité. De la pr</w:t>
      </w:r>
      <w:r w:rsidRPr="001C249F">
        <w:rPr>
          <w:i/>
        </w:rPr>
        <w:t>o</w:t>
      </w:r>
      <w:r w:rsidRPr="001C249F">
        <w:rPr>
          <w:i/>
        </w:rPr>
        <w:t>duction de masse à la spécialisation souple</w:t>
      </w:r>
      <w:r w:rsidRPr="001C249F">
        <w:t>,</w:t>
      </w:r>
      <w:r w:rsidRPr="001C249F">
        <w:rPr>
          <w:bCs/>
          <w:iCs/>
        </w:rPr>
        <w:t xml:space="preserve"> Paris, Hachette, 1989,</w:t>
      </w:r>
      <w:r>
        <w:rPr>
          <w:bCs/>
          <w:iCs/>
        </w:rPr>
        <w:t xml:space="preserve"> </w:t>
      </w:r>
      <w:r w:rsidRPr="001C249F">
        <w:rPr>
          <w:bCs/>
          <w:iCs/>
        </w:rPr>
        <w:t>442 p.</w:t>
      </w:r>
    </w:p>
    <w:p w:rsidR="00B7214C" w:rsidRPr="00B4156A" w:rsidRDefault="00B7214C" w:rsidP="00B7214C">
      <w:pPr>
        <w:spacing w:before="120" w:after="120"/>
        <w:jc w:val="both"/>
      </w:pPr>
      <w:r w:rsidRPr="00B4156A">
        <w:t xml:space="preserve">Ségal, J.-P., « La gestion participative : une comparaison États-Unis, Québec, France », </w:t>
      </w:r>
      <w:r w:rsidRPr="00B4156A">
        <w:rPr>
          <w:bCs/>
          <w:i/>
          <w:iCs/>
        </w:rPr>
        <w:t>Revue française de gestion,</w:t>
      </w:r>
      <w:r w:rsidRPr="00B4156A">
        <w:t xml:space="preserve"> 1987, vol.</w:t>
      </w:r>
      <w:r>
        <w:t> </w:t>
      </w:r>
      <w:r w:rsidRPr="00B4156A">
        <w:t>64, p</w:t>
      </w:r>
      <w:r>
        <w:t>p</w:t>
      </w:r>
      <w:r w:rsidRPr="00B4156A">
        <w:t>. 51-57.</w:t>
      </w:r>
    </w:p>
    <w:p w:rsidR="00B7214C" w:rsidRPr="00B4156A" w:rsidRDefault="00B7214C" w:rsidP="00B7214C">
      <w:pPr>
        <w:spacing w:before="120" w:after="120"/>
        <w:jc w:val="both"/>
      </w:pPr>
      <w:r w:rsidRPr="00B4156A">
        <w:t xml:space="preserve">Taylor, W. D., </w:t>
      </w:r>
      <w:r w:rsidRPr="00B4156A">
        <w:rPr>
          <w:bCs/>
          <w:i/>
          <w:iCs/>
        </w:rPr>
        <w:t>Changes in the Quebec Business Culture : a Qua</w:t>
      </w:r>
      <w:r w:rsidRPr="00B4156A">
        <w:rPr>
          <w:bCs/>
          <w:i/>
          <w:iCs/>
        </w:rPr>
        <w:t>n</w:t>
      </w:r>
      <w:r w:rsidRPr="00B4156A">
        <w:rPr>
          <w:bCs/>
          <w:i/>
          <w:iCs/>
        </w:rPr>
        <w:t>tum R</w:t>
      </w:r>
      <w:r>
        <w:rPr>
          <w:bCs/>
          <w:i/>
          <w:iCs/>
        </w:rPr>
        <w:t>e</w:t>
      </w:r>
      <w:r w:rsidRPr="00B4156A">
        <w:rPr>
          <w:bCs/>
          <w:i/>
          <w:iCs/>
        </w:rPr>
        <w:t>volution,</w:t>
      </w:r>
      <w:r w:rsidRPr="00B4156A">
        <w:t xml:space="preserve"> Working paper s</w:t>
      </w:r>
      <w:r>
        <w:t>e</w:t>
      </w:r>
      <w:r w:rsidRPr="00B4156A">
        <w:t>ri</w:t>
      </w:r>
      <w:r>
        <w:t>e</w:t>
      </w:r>
      <w:r w:rsidRPr="00B4156A">
        <w:t>s, 1988, n</w:t>
      </w:r>
      <w:r>
        <w:t>os </w:t>
      </w:r>
      <w:r w:rsidRPr="00B4156A">
        <w:t>88-120, Concordia University.</w:t>
      </w:r>
    </w:p>
    <w:p w:rsidR="00B7214C" w:rsidRPr="00B4156A" w:rsidRDefault="00B7214C" w:rsidP="00B7214C">
      <w:pPr>
        <w:spacing w:before="120" w:after="120"/>
        <w:jc w:val="both"/>
      </w:pPr>
      <w:r w:rsidRPr="00B4156A">
        <w:t>Taylor, N. W., « </w:t>
      </w:r>
      <w:hyperlink r:id="rId43" w:history="1">
        <w:r w:rsidRPr="001C249F">
          <w:rPr>
            <w:rStyle w:val="Lienhypertexte"/>
          </w:rPr>
          <w:t>L'industriel canadien-français et son milieu </w:t>
        </w:r>
      </w:hyperlink>
      <w:r w:rsidRPr="00B4156A">
        <w:t xml:space="preserve">», dans </w:t>
      </w:r>
      <w:r w:rsidRPr="00B4156A">
        <w:rPr>
          <w:bCs/>
          <w:i/>
          <w:iCs/>
        </w:rPr>
        <w:t>Recherches sociographiques,</w:t>
      </w:r>
      <w:r w:rsidRPr="00B4156A">
        <w:t xml:space="preserve"> vol.</w:t>
      </w:r>
      <w:r>
        <w:t> </w:t>
      </w:r>
      <w:r w:rsidRPr="00B4156A">
        <w:t>Il, n°</w:t>
      </w:r>
      <w:r>
        <w:t> </w:t>
      </w:r>
      <w:r w:rsidRPr="00B4156A">
        <w:t>2 (avril-juin 1961), p</w:t>
      </w:r>
      <w:r>
        <w:t>p</w:t>
      </w:r>
      <w:r w:rsidRPr="00B4156A">
        <w:t>. 123-150.</w:t>
      </w:r>
    </w:p>
    <w:p w:rsidR="00B7214C" w:rsidRPr="00B4156A" w:rsidRDefault="00B7214C" w:rsidP="00B7214C">
      <w:pPr>
        <w:spacing w:before="120" w:after="120"/>
        <w:jc w:val="both"/>
      </w:pPr>
      <w:r w:rsidRPr="00B4156A">
        <w:t xml:space="preserve">Taylor, N. W., « French Canadian as French Entrepreneurs », </w:t>
      </w:r>
      <w:r w:rsidRPr="00B4156A">
        <w:rPr>
          <w:bCs/>
          <w:i/>
          <w:iCs/>
        </w:rPr>
        <w:t xml:space="preserve">Journal of Political Economy, </w:t>
      </w:r>
      <w:r w:rsidRPr="00B4156A">
        <w:t>vol. LXVIII, n°</w:t>
      </w:r>
      <w:r>
        <w:t> </w:t>
      </w:r>
      <w:r w:rsidRPr="00B4156A">
        <w:t xml:space="preserve">1, February 1960, </w:t>
      </w:r>
      <w:r>
        <w:t>p</w:t>
      </w:r>
      <w:r w:rsidRPr="00B4156A">
        <w:t>p. 37-52.</w:t>
      </w:r>
    </w:p>
    <w:p w:rsidR="00B7214C" w:rsidRPr="00B4156A" w:rsidRDefault="00B7214C" w:rsidP="00B7214C">
      <w:pPr>
        <w:spacing w:before="120" w:after="120"/>
        <w:jc w:val="both"/>
      </w:pPr>
      <w:r w:rsidRPr="00B4156A">
        <w:t xml:space="preserve">Touraine, A., </w:t>
      </w:r>
      <w:r w:rsidRPr="00B4156A">
        <w:rPr>
          <w:bCs/>
          <w:i/>
          <w:iCs/>
        </w:rPr>
        <w:t>Critique de la modernité,</w:t>
      </w:r>
      <w:r w:rsidRPr="00B4156A">
        <w:t xml:space="preserve"> Paris, Fayard, 1992,462 p.</w:t>
      </w:r>
    </w:p>
    <w:p w:rsidR="00B7214C" w:rsidRPr="00B4156A" w:rsidRDefault="00B7214C" w:rsidP="00B7214C">
      <w:pPr>
        <w:spacing w:before="120" w:after="120"/>
        <w:jc w:val="both"/>
      </w:pPr>
      <w:r w:rsidRPr="00B4156A">
        <w:t xml:space="preserve">Touraine, A., « Le modèle japonais », dans Jean-Marie Bouissou et Guy Faure, </w:t>
      </w:r>
      <w:r w:rsidRPr="00B4156A">
        <w:rPr>
          <w:bCs/>
          <w:i/>
          <w:iCs/>
        </w:rPr>
        <w:t>Japon. Le consensus : mythe et réalités,</w:t>
      </w:r>
      <w:r w:rsidRPr="00B4156A">
        <w:t xml:space="preserve"> Paris, Econom</w:t>
      </w:r>
      <w:r w:rsidRPr="00B4156A">
        <w:t>i</w:t>
      </w:r>
      <w:r w:rsidRPr="00B4156A">
        <w:t>ca, 1984, p</w:t>
      </w:r>
      <w:r>
        <w:t>p</w:t>
      </w:r>
      <w:r w:rsidRPr="00B4156A">
        <w:t>. 7-28.</w:t>
      </w:r>
    </w:p>
    <w:p w:rsidR="00B7214C" w:rsidRPr="00B4156A" w:rsidRDefault="00B7214C" w:rsidP="00B7214C">
      <w:pPr>
        <w:spacing w:before="120" w:after="120"/>
        <w:jc w:val="both"/>
      </w:pPr>
      <w:r w:rsidRPr="00B4156A">
        <w:t xml:space="preserve">Touraine, A., </w:t>
      </w:r>
      <w:r w:rsidRPr="00B4156A">
        <w:rPr>
          <w:bCs/>
          <w:i/>
          <w:iCs/>
        </w:rPr>
        <w:t>Production de la société,</w:t>
      </w:r>
      <w:r w:rsidRPr="00B4156A">
        <w:t xml:space="preserve"> Paris, Plon, 1973, 543 p.</w:t>
      </w:r>
    </w:p>
    <w:p w:rsidR="00B7214C" w:rsidRPr="001C249F" w:rsidRDefault="00B7214C" w:rsidP="00B7214C">
      <w:pPr>
        <w:spacing w:before="120" w:after="120"/>
        <w:jc w:val="both"/>
      </w:pPr>
      <w:r w:rsidRPr="001C249F">
        <w:rPr>
          <w:bCs/>
          <w:iCs/>
        </w:rPr>
        <w:t xml:space="preserve">Weber, M., </w:t>
      </w:r>
      <w:hyperlink r:id="rId44" w:history="1">
        <w:r w:rsidRPr="001C249F">
          <w:rPr>
            <w:rStyle w:val="Lienhypertexte"/>
            <w:i/>
          </w:rPr>
          <w:t>L'éthique protestante et l'esprit du capitalisme</w:t>
        </w:r>
      </w:hyperlink>
      <w:r w:rsidRPr="001C249F">
        <w:t>,</w:t>
      </w:r>
      <w:r w:rsidRPr="001C249F">
        <w:rPr>
          <w:bCs/>
          <w:iCs/>
        </w:rPr>
        <w:t xml:space="preserve"> Paris,</w:t>
      </w:r>
      <w:r w:rsidRPr="001C249F">
        <w:rPr>
          <w:rStyle w:val="Corpsdutexte2495ptNonGrasNonItalique"/>
          <w:b w:val="0"/>
        </w:rPr>
        <w:t xml:space="preserve"> </w:t>
      </w:r>
      <w:r w:rsidRPr="001C249F">
        <w:rPr>
          <w:bCs/>
          <w:iCs/>
        </w:rPr>
        <w:t>Plon, 1964, 342 p.</w:t>
      </w:r>
    </w:p>
    <w:p w:rsidR="00B7214C" w:rsidRDefault="00B7214C" w:rsidP="00B7214C">
      <w:pPr>
        <w:pStyle w:val="p"/>
      </w:pPr>
      <w:r>
        <w:br w:type="page"/>
        <w:t>[97]</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0" w:name="Entre_tradition_pt_1_texte_04"/>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4</w:t>
      </w:r>
    </w:p>
    <w:p w:rsidR="00B7214C" w:rsidRDefault="00B7214C" w:rsidP="00B7214C">
      <w:pPr>
        <w:pStyle w:val="Titreniveau2"/>
      </w:pPr>
      <w:r>
        <w:t>“Impasse des nationalismes</w:t>
      </w:r>
      <w:r>
        <w:br/>
        <w:t>au Québec.</w:t>
      </w:r>
    </w:p>
    <w:bookmarkEnd w:id="10"/>
    <w:p w:rsidR="00B7214C" w:rsidRPr="00E07116" w:rsidRDefault="00B7214C" w:rsidP="00B7214C">
      <w:pPr>
        <w:jc w:val="both"/>
        <w:rPr>
          <w:szCs w:val="36"/>
        </w:rPr>
      </w:pPr>
    </w:p>
    <w:p w:rsidR="00B7214C" w:rsidRPr="00E07116" w:rsidRDefault="00B7214C" w:rsidP="00B7214C">
      <w:pPr>
        <w:pStyle w:val="suite"/>
      </w:pPr>
      <w:r>
        <w:t>Par Claude BARITEAU</w:t>
      </w:r>
    </w:p>
    <w:p w:rsidR="00B7214C" w:rsidRPr="00E07116" w:rsidRDefault="00B7214C" w:rsidP="00B7214C">
      <w:pPr>
        <w:pStyle w:val="auteurst"/>
      </w:pPr>
      <w:r w:rsidRPr="004A7EF1">
        <w:t xml:space="preserve">Département d'anthropologie. Université Laval </w:t>
      </w: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rsidRPr="00CB4F2C">
        <w:t>La population du Québec est périodiquement secouée par des fi</w:t>
      </w:r>
      <w:r w:rsidRPr="00CB4F2C">
        <w:t>è</w:t>
      </w:r>
      <w:r w:rsidRPr="00CB4F2C">
        <w:t>vres nationalistes. Leur constante résurgence est révélatrice de mala</w:t>
      </w:r>
      <w:r w:rsidRPr="00CB4F2C">
        <w:t>i</w:t>
      </w:r>
      <w:r w:rsidRPr="00CB4F2C">
        <w:t>ses bien enracinés. Plus que toute autre péri</w:t>
      </w:r>
      <w:r w:rsidRPr="00CB4F2C">
        <w:t>o</w:t>
      </w:r>
      <w:r w:rsidRPr="00CB4F2C">
        <w:t>de, les trente dernières années ont été propices à de telles e</w:t>
      </w:r>
      <w:r w:rsidRPr="00CB4F2C">
        <w:t>x</w:t>
      </w:r>
      <w:r w:rsidRPr="00CB4F2C">
        <w:t>pressions au Québec. Au début de cette période et ju</w:t>
      </w:r>
      <w:r w:rsidRPr="00CB4F2C">
        <w:t>s</w:t>
      </w:r>
      <w:r w:rsidRPr="00CB4F2C">
        <w:t>qu'aux années 1980, l'affirmation nationale des Québécois franc</w:t>
      </w:r>
      <w:r w:rsidRPr="00CB4F2C">
        <w:t>o</w:t>
      </w:r>
      <w:r w:rsidRPr="00CB4F2C">
        <w:t>phones de souche en fut la principale cause. Depuis six ou sept ans, cette affirmation s'est polarisée en deux visions di</w:t>
      </w:r>
      <w:r w:rsidRPr="00CB4F2C">
        <w:t>s</w:t>
      </w:r>
      <w:r w:rsidRPr="00CB4F2C">
        <w:t>tinctes, l'une axée sur la création d'un État-nation au Qu</w:t>
      </w:r>
      <w:r w:rsidRPr="00CB4F2C">
        <w:t>é</w:t>
      </w:r>
      <w:r w:rsidRPr="00CB4F2C">
        <w:t>bec, l'autre sur son expression à l'intérieur du cadre constit</w:t>
      </w:r>
      <w:r w:rsidRPr="00CB4F2C">
        <w:t>u</w:t>
      </w:r>
      <w:r w:rsidRPr="00CB4F2C">
        <w:t>tionnel canadien, la province de Québec en étant le levier comme le principal bouclier. Parallèlement, d'autres comp</w:t>
      </w:r>
      <w:r w:rsidRPr="00CB4F2C">
        <w:t>o</w:t>
      </w:r>
      <w:r w:rsidRPr="00CB4F2C">
        <w:t>santes de la population du Québec se sont davantage manife</w:t>
      </w:r>
      <w:r w:rsidRPr="00CB4F2C">
        <w:t>s</w:t>
      </w:r>
      <w:r w:rsidRPr="00CB4F2C">
        <w:t>tées : c'est le cas des autochtones (Vincent, 1992), celui des anglophones (Caldwell, 1992) comme celui des communa</w:t>
      </w:r>
      <w:r w:rsidRPr="00CB4F2C">
        <w:t>u</w:t>
      </w:r>
      <w:r w:rsidRPr="00CB4F2C">
        <w:t>tés culturelles (Labelle, Beaudet, Lévy et Tardif, 1993).</w:t>
      </w:r>
    </w:p>
    <w:p w:rsidR="00B7214C" w:rsidRPr="00CB4F2C" w:rsidRDefault="00B7214C" w:rsidP="00B7214C">
      <w:pPr>
        <w:spacing w:before="120" w:after="120"/>
        <w:jc w:val="both"/>
      </w:pPr>
      <w:r w:rsidRPr="00CB4F2C">
        <w:t>Ces manifestations récentes s'expriment dans un contexte ayant peu d'affinité avec celui des années 1960 et 1970. À cette époque, les fièvres nationalistes avaient des échos partout dans le monde, et pl</w:t>
      </w:r>
      <w:r w:rsidRPr="00CB4F2C">
        <w:t>u</w:t>
      </w:r>
      <w:r w:rsidRPr="00CB4F2C">
        <w:t>sieurs pays, notamment en Afrique, en furent inspirés pour briser leurs liens coloniaux et affirmer leur indépendance. Aujourd'hui, l'idée même d'indépendance laisse quasi indifférent et plus encore celle d'une lutte visant à renverser le pouvoir capitaliste qui était pourtant des plus v</w:t>
      </w:r>
      <w:r w:rsidRPr="00CB4F2C">
        <w:t>i</w:t>
      </w:r>
      <w:r w:rsidRPr="00CB4F2C">
        <w:t>vantes dans le Québec des années 1970 (Bariteau, 1993). Tout a changé. L'URSS, force de frappe de l'organisation communiste, s'est décomposée à la suite du détournement</w:t>
      </w:r>
      <w:r>
        <w:t xml:space="preserve"> [98] </w:t>
      </w:r>
      <w:r w:rsidRPr="00CB4F2C">
        <w:t>du rêve socialiste par une dictature politico-militaire. Et les pays européens, encore tout récemment fiers de leur indépendance respe</w:t>
      </w:r>
      <w:r w:rsidRPr="00CB4F2C">
        <w:t>c</w:t>
      </w:r>
      <w:r w:rsidRPr="00CB4F2C">
        <w:t>tive, s'engagent dans le projet de la Communauté économique eur</w:t>
      </w:r>
      <w:r w:rsidRPr="00CB4F2C">
        <w:t>o</w:t>
      </w:r>
      <w:r w:rsidRPr="00CB4F2C">
        <w:t>péenne afin de renforcer leurs assises, contrer l'hégémonie américaine, faire face à la puissance j</w:t>
      </w:r>
      <w:r w:rsidRPr="00CB4F2C">
        <w:t>a</w:t>
      </w:r>
      <w:r w:rsidRPr="00CB4F2C">
        <w:t>ponaise et créer une solidarité européenne.</w:t>
      </w:r>
    </w:p>
    <w:p w:rsidR="00B7214C" w:rsidRPr="00CB4F2C" w:rsidRDefault="00B7214C" w:rsidP="00B7214C">
      <w:pPr>
        <w:spacing w:before="120" w:after="120"/>
        <w:jc w:val="both"/>
      </w:pPr>
      <w:r w:rsidRPr="00CB4F2C">
        <w:t>Nous vivons présentement à l'ère de la mondialisation de l'écon</w:t>
      </w:r>
      <w:r w:rsidRPr="00CB4F2C">
        <w:t>o</w:t>
      </w:r>
      <w:r w:rsidRPr="00CB4F2C">
        <w:t>mie au sein de laquelle trois sous-ensembles supran</w:t>
      </w:r>
      <w:r w:rsidRPr="00CB4F2C">
        <w:t>a</w:t>
      </w:r>
      <w:r w:rsidRPr="00CB4F2C">
        <w:t>tionaux sont à se faire (Attali, 1990 ; Thurow, 1992) au m</w:t>
      </w:r>
      <w:r w:rsidRPr="00CB4F2C">
        <w:t>o</w:t>
      </w:r>
      <w:r w:rsidRPr="00CB4F2C">
        <w:t>ment où les acquis et les consensus politiques et socio-économiques à la base de l'état keyn</w:t>
      </w:r>
      <w:r w:rsidRPr="00CB4F2C">
        <w:t>é</w:t>
      </w:r>
      <w:r w:rsidRPr="00CB4F2C">
        <w:t>sien sont remis en cause afin de faciliter l'internationalisation du cap</w:t>
      </w:r>
      <w:r w:rsidRPr="00CB4F2C">
        <w:t>i</w:t>
      </w:r>
      <w:r w:rsidRPr="00CB4F2C">
        <w:t>tal. Dans cette ère nouvelle, l'État-nation est banalisé (De Brie, 1992 et 1993). Tout n'a désormais de sens qu'au niveau supranational, là où est valorisée la diversité culturelle, voire ethnique, ou au niveau infr</w:t>
      </w:r>
      <w:r w:rsidRPr="00CB4F2C">
        <w:t>a</w:t>
      </w:r>
      <w:r w:rsidRPr="00CB4F2C">
        <w:t>national, lieu des régions qui deviendront celui de l'expression des inégalités de demain (Bihr, 1992) si l'État-nation délaisse ses pouvoirs de répartition et ne freine pas l'enracinement en cours d'une société à deux vitesses qui mu</w:t>
      </w:r>
      <w:r w:rsidRPr="00CB4F2C">
        <w:t>l</w:t>
      </w:r>
      <w:r w:rsidRPr="00CB4F2C">
        <w:t>tiplie les exclus du système (Touraine, 1991).</w:t>
      </w:r>
    </w:p>
    <w:p w:rsidR="00B7214C" w:rsidRPr="00CB4F2C" w:rsidRDefault="00B7214C" w:rsidP="00B7214C">
      <w:pPr>
        <w:spacing w:before="120" w:after="120"/>
        <w:jc w:val="both"/>
      </w:pPr>
      <w:r w:rsidRPr="00CB4F2C">
        <w:t>Ce cadre général est aussi celui du Québec. En son sein, prendront sens et s'imposeront les nouveaux mécanismes de régulation de l'ordre international. Déjà, la plupart des débats qui nous animent s'y réfèrent. Je pense, entre autres, à ceux générés par le projet ALENA comme à ceux qui se sont d</w:t>
      </w:r>
      <w:r w:rsidRPr="00CB4F2C">
        <w:t>é</w:t>
      </w:r>
      <w:r w:rsidRPr="00CB4F2C">
        <w:t>ployés l'automne dernier au Canada et au Québec suite à l'Entente de Charlottetown. C'est à l'intérieur de ce cadre no</w:t>
      </w:r>
      <w:r w:rsidRPr="00CB4F2C">
        <w:t>u</w:t>
      </w:r>
      <w:r w:rsidRPr="00CB4F2C">
        <w:t>veau qu'il faut lire et comprendre les fièvres nationalistes présentes au Québec. Dans ce texte, après une mise en relief des tensions nation</w:t>
      </w:r>
      <w:r w:rsidRPr="00CB4F2C">
        <w:t>a</w:t>
      </w:r>
      <w:r w:rsidRPr="00CB4F2C">
        <w:t xml:space="preserve">listes et ethniques qui s'expriment au Québec, je ferai ressortir que l'affirmation ethnique ou culturelle a du vent dans les voiles, ce qui augure bien </w:t>
      </w:r>
      <w:r>
        <w:t>mal pour l'affirmation nationa</w:t>
      </w:r>
      <w:r w:rsidRPr="00CB4F2C">
        <w:t>litaire. S'agissant du cas québécois, j'indiquerai alors que la barre est haute pour réaliser l'ind</w:t>
      </w:r>
      <w:r w:rsidRPr="00CB4F2C">
        <w:t>é</w:t>
      </w:r>
      <w:r w:rsidRPr="00CB4F2C">
        <w:t>pendance et qu'elle ne saurait être atteinte sans des dépassements m</w:t>
      </w:r>
      <w:r w:rsidRPr="00CB4F2C">
        <w:t>a</w:t>
      </w:r>
      <w:r w:rsidRPr="00CB4F2C">
        <w:t>jeurs, ce qui n'est pas du tout le cas pour l'affirmation ethnique bien que des changements importants devront être réalisés pour en a</w:t>
      </w:r>
      <w:r w:rsidRPr="00CB4F2C">
        <w:t>s</w:t>
      </w:r>
      <w:r w:rsidRPr="00CB4F2C">
        <w:t>surer l'expression chez les Québécois francophones de so</w:t>
      </w:r>
      <w:r w:rsidRPr="00CB4F2C">
        <w:t>u</w:t>
      </w:r>
      <w:r w:rsidRPr="00CB4F2C">
        <w:t>che, ces ex-Canadiens français que l'on n'arrive plus à no</w:t>
      </w:r>
      <w:r w:rsidRPr="00CB4F2C">
        <w:t>m</w:t>
      </w:r>
      <w:r w:rsidRPr="00CB4F2C">
        <w:t>mer. En conclusion, j'identifierai les pistes d'avenir du nati</w:t>
      </w:r>
      <w:r w:rsidRPr="00CB4F2C">
        <w:t>o</w:t>
      </w:r>
      <w:r w:rsidRPr="00CB4F2C">
        <w:t>nalisme et soulignerai l'intérêt anthropologique de l'indépe</w:t>
      </w:r>
      <w:r w:rsidRPr="00CB4F2C">
        <w:t>n</w:t>
      </w:r>
      <w:r w:rsidRPr="00CB4F2C">
        <w:t>dantisme dès lors qu'il est construit au-delà d'une conception ethniciste.</w:t>
      </w:r>
    </w:p>
    <w:p w:rsidR="00B7214C" w:rsidRDefault="00B7214C" w:rsidP="00B7214C">
      <w:pPr>
        <w:spacing w:before="120" w:after="120"/>
        <w:jc w:val="both"/>
      </w:pPr>
    </w:p>
    <w:p w:rsidR="00B7214C" w:rsidRPr="00CB4F2C" w:rsidRDefault="00B7214C" w:rsidP="00B7214C">
      <w:pPr>
        <w:pStyle w:val="a"/>
      </w:pPr>
      <w:r>
        <w:t>AU QUÉBEC,</w:t>
      </w:r>
      <w:r>
        <w:br/>
      </w:r>
      <w:r w:rsidRPr="00CB4F2C">
        <w:t>« TOUT LE MONDE EST MALHE</w:t>
      </w:r>
      <w:r w:rsidRPr="00CB4F2C">
        <w:t>U</w:t>
      </w:r>
      <w:r w:rsidRPr="00CB4F2C">
        <w:t>REUX »</w:t>
      </w:r>
    </w:p>
    <w:p w:rsidR="00B7214C" w:rsidRDefault="00B7214C" w:rsidP="00B7214C">
      <w:pPr>
        <w:spacing w:before="120" w:after="120"/>
        <w:jc w:val="both"/>
      </w:pPr>
    </w:p>
    <w:p w:rsidR="00B7214C" w:rsidRPr="00CB4F2C" w:rsidRDefault="00B7214C" w:rsidP="00B7214C">
      <w:pPr>
        <w:spacing w:before="120" w:after="120"/>
        <w:jc w:val="both"/>
      </w:pPr>
      <w:r w:rsidRPr="00CB4F2C">
        <w:t>À mon avis, le 26 octobre 1992 demeurera un point de r</w:t>
      </w:r>
      <w:r w:rsidRPr="00CB4F2C">
        <w:t>e</w:t>
      </w:r>
      <w:r w:rsidRPr="00CB4F2C">
        <w:t>père de l'histoire contemporaine du Québec pour au moins trois raisons. La première renvoie à la tenue du référendum sur l'Entente de Charlott</w:t>
      </w:r>
      <w:r w:rsidRPr="00CB4F2C">
        <w:t>e</w:t>
      </w:r>
      <w:r w:rsidRPr="00CB4F2C">
        <w:t>town, la</w:t>
      </w:r>
      <w:r>
        <w:t xml:space="preserve"> [99] </w:t>
      </w:r>
      <w:r w:rsidRPr="00CB4F2C">
        <w:t>seconde, au contenu de cette entente et la troisième, aux résultats du vote référendaire sous l'angle des diverses composantes de la pop</w:t>
      </w:r>
      <w:r w:rsidRPr="00CB4F2C">
        <w:t>u</w:t>
      </w:r>
      <w:r w:rsidRPr="00CB4F2C">
        <w:t>lation du Québec, je traiterai les deux premières simultanément avant d'aborder la troisième.</w:t>
      </w:r>
    </w:p>
    <w:p w:rsidR="00B7214C" w:rsidRPr="00CB4F2C" w:rsidRDefault="00B7214C" w:rsidP="00B7214C">
      <w:pPr>
        <w:spacing w:before="120" w:after="120"/>
        <w:jc w:val="both"/>
      </w:pPr>
      <w:r w:rsidRPr="00CB4F2C">
        <w:t>Le référendum d'octobre 1992 fut pancanadien. Il s'est substitué au référendum sur la souveraineté du Québec prévu dans la loi 150 dans l'éventualité où le Gouvernement du C</w:t>
      </w:r>
      <w:r w:rsidRPr="00CB4F2C">
        <w:t>a</w:t>
      </w:r>
      <w:r w:rsidRPr="00CB4F2C">
        <w:t xml:space="preserve">nada ne parvenait pas à faire une proposition acceptable de modification de la </w:t>
      </w:r>
      <w:r w:rsidRPr="004369F2">
        <w:rPr>
          <w:i/>
          <w:iCs/>
        </w:rPr>
        <w:t>Loi constitutionnelle</w:t>
      </w:r>
      <w:r w:rsidRPr="00CB4F2C">
        <w:t xml:space="preserve"> liant les provinces. Adoptée suite à la commission Bélanger-Campeau, la loi 150 cherchait à éviter la répétition de l'échec de l'Accord du Lac-Meech. Dans l'esprit des membres de cette commission, il n'y a</w:t>
      </w:r>
      <w:r w:rsidRPr="00CB4F2C">
        <w:t>u</w:t>
      </w:r>
      <w:r w:rsidRPr="00CB4F2C">
        <w:t>rait pas de référendum sur la souveraineté du Québec si une propos</w:t>
      </w:r>
      <w:r w:rsidRPr="00CB4F2C">
        <w:t>i</w:t>
      </w:r>
      <w:r w:rsidRPr="00CB4F2C">
        <w:t>tion canadienne était présentée et véhiculait un contenu à tout le moins équivalent sinon supérieur à celui mis de l'avant à l'occasion de l'A</w:t>
      </w:r>
      <w:r w:rsidRPr="00CB4F2C">
        <w:t>c</w:t>
      </w:r>
      <w:r w:rsidRPr="00CB4F2C">
        <w:t>cord du Lac-Meech de 1987. Sur ce point, il y avait un certain conse</w:t>
      </w:r>
      <w:r w:rsidRPr="00CB4F2C">
        <w:t>n</w:t>
      </w:r>
      <w:r w:rsidRPr="00CB4F2C">
        <w:t>sus. Qu'en fut-il au juste ? Pour répondre à cette question, il faut se pencher sur le concept de société distincte car il fut au centre des préoccupations autonomistes du Gouvernement du Québec et d</w:t>
      </w:r>
      <w:r w:rsidRPr="00CB4F2C">
        <w:t>e</w:t>
      </w:r>
      <w:r w:rsidRPr="00CB4F2C">
        <w:t>vint, par la suite, la pierre d'</w:t>
      </w:r>
      <w:r>
        <w:t>achoppement de l'Accord du Lac-</w:t>
      </w:r>
      <w:r w:rsidRPr="00CB4F2C">
        <w:t>Meech dans la foulée d'une charge personnelle, à l'emporte-pièce, de Pierre Elliott Trudeau (Bariteau, 1991).</w:t>
      </w:r>
    </w:p>
    <w:p w:rsidR="00B7214C" w:rsidRPr="00CB4F2C" w:rsidRDefault="00B7214C" w:rsidP="00B7214C">
      <w:pPr>
        <w:spacing w:before="120" w:after="120"/>
        <w:jc w:val="both"/>
      </w:pPr>
      <w:r w:rsidRPr="00CB4F2C">
        <w:t>Dans l'Accord du Lac-Meech, le concept de société distincte ri</w:t>
      </w:r>
      <w:r w:rsidRPr="00CB4F2C">
        <w:t>s</w:t>
      </w:r>
      <w:r w:rsidRPr="00CB4F2C">
        <w:t>quait, selon l'ancien premier ministre du Canada, d'engendrer des in</w:t>
      </w:r>
      <w:r w:rsidRPr="00CB4F2C">
        <w:t>é</w:t>
      </w:r>
      <w:r w:rsidRPr="00CB4F2C">
        <w:t>galités de droit entre les citoyens can</w:t>
      </w:r>
      <w:r w:rsidRPr="00CB4F2C">
        <w:t>a</w:t>
      </w:r>
      <w:r w:rsidRPr="00CB4F2C">
        <w:t>diens car les lois québécoises pouvaient être interprétées comme n'étant pas subordonnées à la Cha</w:t>
      </w:r>
      <w:r w:rsidRPr="00CB4F2C">
        <w:t>r</w:t>
      </w:r>
      <w:r w:rsidRPr="00CB4F2C">
        <w:t>te canadienne des droits et libertés. De plus, comme l'Accord du Lac-Meech remettait entre les mains des tribunaux l'interprétation de ce concept, il y avait danger que disparaisse la possibilité de construire un Canada uni, les tribunaux pouvant statuer que le « Canada sera d</w:t>
      </w:r>
      <w:r w:rsidRPr="00CB4F2C">
        <w:t>é</w:t>
      </w:r>
      <w:r w:rsidRPr="00CB4F2C">
        <w:t>sormais gouverné par deux constitutions, l'une qui sera interprétée à l'avantage du Canada et l'autre qui sera interprétée de façon à prése</w:t>
      </w:r>
      <w:r w:rsidRPr="00CB4F2C">
        <w:t>r</w:t>
      </w:r>
      <w:r w:rsidRPr="00CB4F2C">
        <w:t>ver et à promouvoir la soci</w:t>
      </w:r>
      <w:r w:rsidRPr="00CB4F2C">
        <w:t>é</w:t>
      </w:r>
      <w:r w:rsidRPr="00CB4F2C">
        <w:t>té distincte du Québec, deux constitutions, deux chartes, deux systèmes de valeur et peut-être même deux Canada ou plutôt, un Canada et quelque chose d'autre » (Trudeau, 1989, p. 109).</w:t>
      </w:r>
    </w:p>
    <w:p w:rsidR="00B7214C" w:rsidRPr="00CB4F2C" w:rsidRDefault="00B7214C" w:rsidP="00B7214C">
      <w:pPr>
        <w:spacing w:before="120" w:after="120"/>
        <w:jc w:val="both"/>
      </w:pPr>
      <w:r w:rsidRPr="00CB4F2C">
        <w:t>Cette interprétation ne fut pas partagée par des spécialistes québ</w:t>
      </w:r>
      <w:r w:rsidRPr="00CB4F2C">
        <w:t>é</w:t>
      </w:r>
      <w:r w:rsidRPr="00CB4F2C">
        <w:t>cois en la matière qui voyaient dans cet accord tout au plus un certain flou ouvrant la porte dans une direction qu'a</w:t>
      </w:r>
      <w:r w:rsidRPr="00CB4F2C">
        <w:t>u</w:t>
      </w:r>
      <w:r w:rsidRPr="00CB4F2C">
        <w:t>raient rapidement fermée les juges de la Cour suprême. Dans les milieux nationalistes, on vo</w:t>
      </w:r>
      <w:r w:rsidRPr="00CB4F2C">
        <w:t>u</w:t>
      </w:r>
      <w:r w:rsidRPr="00CB4F2C">
        <w:t>lait plus de précision contra</w:t>
      </w:r>
      <w:r w:rsidRPr="00CB4F2C">
        <w:t>i</w:t>
      </w:r>
      <w:r w:rsidRPr="00CB4F2C">
        <w:t>rement à messie</w:t>
      </w:r>
      <w:r>
        <w:t>urs Robert Bourassa et Gil Rémill</w:t>
      </w:r>
      <w:r w:rsidRPr="00CB4F2C">
        <w:t>ard qui se félicitaient d'avoir en main un concept leur pe</w:t>
      </w:r>
      <w:r w:rsidRPr="00CB4F2C">
        <w:t>r</w:t>
      </w:r>
      <w:r w:rsidRPr="00CB4F2C">
        <w:t>mettant de d</w:t>
      </w:r>
      <w:r w:rsidRPr="00CB4F2C">
        <w:t>é</w:t>
      </w:r>
      <w:r w:rsidRPr="00CB4F2C">
        <w:t>ployer tout un arsenal de mesures visant à consolider le dév</w:t>
      </w:r>
      <w:r w:rsidRPr="00CB4F2C">
        <w:t>e</w:t>
      </w:r>
      <w:r w:rsidRPr="00CB4F2C">
        <w:t>loppement et l'affirmation du Québec. Par exemple, Dumont (1987) aurait aimé que le texte</w:t>
      </w:r>
      <w:r>
        <w:t xml:space="preserve"> [100] </w:t>
      </w:r>
      <w:r w:rsidRPr="00CB4F2C">
        <w:t>mentionne que le critère pour comprendre la société distincte qu</w:t>
      </w:r>
      <w:r w:rsidRPr="00CB4F2C">
        <w:t>é</w:t>
      </w:r>
      <w:r w:rsidRPr="00CB4F2C">
        <w:t>bécoise est le fait que le français y est la langue officielle décrétée par son gouvernement. D'autres ava</w:t>
      </w:r>
      <w:r w:rsidRPr="00CB4F2C">
        <w:t>n</w:t>
      </w:r>
      <w:r w:rsidRPr="00CB4F2C">
        <w:t>cèrent même que le terme « peuple » devait figurer dans la Constit</w:t>
      </w:r>
      <w:r w:rsidRPr="00CB4F2C">
        <w:t>u</w:t>
      </w:r>
      <w:r w:rsidRPr="00CB4F2C">
        <w:t>tion plutôt que le concept de société distincte, rejoignant en cela la principale condition que René Lévesque et son go</w:t>
      </w:r>
      <w:r w:rsidRPr="00CB4F2C">
        <w:t>u</w:t>
      </w:r>
      <w:r w:rsidRPr="00CB4F2C">
        <w:t>vernement avait mise de l'avant pour adhérer au Canada de 1982.</w:t>
      </w:r>
    </w:p>
    <w:p w:rsidR="00B7214C" w:rsidRPr="00CB4F2C" w:rsidRDefault="00B7214C" w:rsidP="00B7214C">
      <w:pPr>
        <w:jc w:val="both"/>
      </w:pPr>
      <w:r w:rsidRPr="00CB4F2C">
        <w:t>Après la sortie de Pierre Elliott Trudeau, Brian Mulroney chercha à colmater la brèche identifiée par son prédécesseur. Le 9 juin 1990, une nouvelle entente fut conclue avec l'aval du Québec. Elle restre</w:t>
      </w:r>
      <w:r w:rsidRPr="00CB4F2C">
        <w:t>i</w:t>
      </w:r>
      <w:r w:rsidRPr="00CB4F2C">
        <w:t>gnait la portée du concept de société distincte et fut qualifiée de cap</w:t>
      </w:r>
      <w:r w:rsidRPr="00CB4F2C">
        <w:t>i</w:t>
      </w:r>
      <w:r w:rsidRPr="00CB4F2C">
        <w:t>tulation par Fournier (1990) et plusieurs autres. L'entente du 28 août 1992 s'inscrivait dire</w:t>
      </w:r>
      <w:r w:rsidRPr="00CB4F2C">
        <w:t>c</w:t>
      </w:r>
      <w:r w:rsidRPr="00CB4F2C">
        <w:t>tement dans le sillon de cette capitulation. La société distin</w:t>
      </w:r>
      <w:r w:rsidRPr="00CB4F2C">
        <w:t>c</w:t>
      </w:r>
      <w:r w:rsidRPr="00CB4F2C">
        <w:t>te, définie comme comprenant notamment une majorité d'e</w:t>
      </w:r>
      <w:r w:rsidRPr="00CB4F2C">
        <w:t>x</w:t>
      </w:r>
      <w:r w:rsidRPr="00CB4F2C">
        <w:t>pression française, une culture qui est unique et une tradition de droit civil, avait une portée très limitée et tout écart d'i</w:t>
      </w:r>
      <w:r w:rsidRPr="00CB4F2C">
        <w:t>n</w:t>
      </w:r>
      <w:r w:rsidRPr="00CB4F2C">
        <w:t>terprétation était en quelque sorte verrouillé. Ce concept d</w:t>
      </w:r>
      <w:r w:rsidRPr="00CB4F2C">
        <w:t>e</w:t>
      </w:r>
      <w:r w:rsidRPr="00CB4F2C">
        <w:t>vint une coquille vide de tout potentiel, du moins du potentiel imaginé par Gil Rémillard même s'il prétendit qu'il était devenu un gain supérieur à celui qu'a</w:t>
      </w:r>
      <w:r w:rsidRPr="00CB4F2C">
        <w:t>u</w:t>
      </w:r>
      <w:r w:rsidRPr="004A7CC2">
        <w:t xml:space="preserve">rait été la reconnaissance du peuple québécois comme </w:t>
      </w:r>
      <w:r w:rsidRPr="004A7CC2">
        <w:rPr>
          <w:i/>
          <w:iCs/>
        </w:rPr>
        <w:t>peuple distinct</w:t>
      </w:r>
      <w:r w:rsidRPr="00CB4F2C">
        <w:t xml:space="preserve"> au Québec.</w:t>
      </w:r>
    </w:p>
    <w:p w:rsidR="00B7214C" w:rsidRPr="00CB4F2C" w:rsidRDefault="00B7214C" w:rsidP="00B7214C">
      <w:pPr>
        <w:spacing w:before="120" w:after="120"/>
        <w:jc w:val="both"/>
      </w:pPr>
      <w:r w:rsidRPr="00CB4F2C">
        <w:t>Seule une conception ethnique du peuple québécois pe</w:t>
      </w:r>
      <w:r w:rsidRPr="00CB4F2C">
        <w:t>r</w:t>
      </w:r>
      <w:r w:rsidRPr="00CB4F2C">
        <w:t>met de tenir de semblables propos. Elle s'oppose fondamentalement à une conce</w:t>
      </w:r>
      <w:r w:rsidRPr="00CB4F2C">
        <w:t>p</w:t>
      </w:r>
      <w:r w:rsidRPr="00CB4F2C">
        <w:t>tion nationale du peuple québécois, conception qui reconnaît comme Québécois et Québécoise celui ou celle qui habite le territoire du Québec et souscrit aux institutions comme aux lois qui encadrent la société civ</w:t>
      </w:r>
      <w:r w:rsidRPr="00CB4F2C">
        <w:t>i</w:t>
      </w:r>
      <w:r w:rsidRPr="00CB4F2C">
        <w:t>le. Or, contrairement aux allégations de Gil Rémillard, le concept de société distincte de l'Entente de Charlottetown ne perme</w:t>
      </w:r>
      <w:r w:rsidRPr="00CB4F2C">
        <w:t>t</w:t>
      </w:r>
      <w:r w:rsidRPr="00CB4F2C">
        <w:t>tait aucunement de penser que cette dernière conce</w:t>
      </w:r>
      <w:r w:rsidRPr="00CB4F2C">
        <w:t>p</w:t>
      </w:r>
      <w:r w:rsidRPr="00CB4F2C">
        <w:t>tion ait des assises quelconques. La société distincte y est d</w:t>
      </w:r>
      <w:r w:rsidRPr="00CB4F2C">
        <w:t>é</w:t>
      </w:r>
      <w:r w:rsidRPr="00CB4F2C">
        <w:t>finie par trois qualificatifs tous bien balisés dans la clause Canada. De ces trois qualificatifs, seul celui de tradition de droit civil spécifiait un peu le Québec, les deux autres, une majorité d'expression française et une culture unique, étant tout compte fait un constat démographique et une identific</w:t>
      </w:r>
      <w:r w:rsidRPr="00CB4F2C">
        <w:t>a</w:t>
      </w:r>
      <w:r w:rsidRPr="00CB4F2C">
        <w:t>tion de quelque chose de différent. Pas du tout l'affirmation que la langue française est la langue officielle du Québec et que le Québec est le heu de l'affirmation d'un peuple dont il faut favoriser l'expansion (Bar</w:t>
      </w:r>
      <w:r w:rsidRPr="00CB4F2C">
        <w:t>i</w:t>
      </w:r>
      <w:r w:rsidRPr="00CB4F2C">
        <w:t>teau, 1992).</w:t>
      </w:r>
    </w:p>
    <w:p w:rsidR="00B7214C" w:rsidRPr="00CB4F2C" w:rsidRDefault="00B7214C" w:rsidP="00B7214C">
      <w:pPr>
        <w:spacing w:before="120" w:after="120"/>
        <w:jc w:val="both"/>
      </w:pPr>
      <w:r w:rsidRPr="00CB4F2C">
        <w:t>En d'autres termes, tel que défini le 28 août 1992, il n'y avait aucun danger que ce concept puisse servir de tremplin à l'affirmation d'un statut particulier pour le Québec. De cheval de Troie, il était même devenu une épée de Damoclès au-dessus de la tête du Québec, ce qu'ont vite compris les tenants du fédéralisme décentralisé membres du Parti libéral du Qu</w:t>
      </w:r>
      <w:r w:rsidRPr="00CB4F2C">
        <w:t>é</w:t>
      </w:r>
      <w:r w:rsidRPr="00CB4F2C">
        <w:t>bec. En réalité, à l'exception des droits accordés aux autoc</w:t>
      </w:r>
      <w:r w:rsidRPr="00CB4F2C">
        <w:t>h</w:t>
      </w:r>
      <w:r w:rsidRPr="00CB4F2C">
        <w:t>tones et des nouveaux pouvoirs donnés aux juges, l'Entente de Charlottetown respectait en</w:t>
      </w:r>
      <w:r>
        <w:t xml:space="preserve"> [101] </w:t>
      </w:r>
      <w:r w:rsidRPr="00CB4F2C">
        <w:t>grande partie le Canada de 1982 et annonçait l'étouffement des derniers relents de la Révolution tra</w:t>
      </w:r>
      <w:r w:rsidRPr="00CB4F2C">
        <w:t>n</w:t>
      </w:r>
      <w:r w:rsidRPr="00CB4F2C">
        <w:t>quille. Elle enclavait le peuple québécois dans un cocon provincial après avoir détourné les dema</w:t>
      </w:r>
      <w:r w:rsidRPr="00CB4F2C">
        <w:t>n</w:t>
      </w:r>
      <w:r w:rsidRPr="00CB4F2C">
        <w:t>des du Québec de leur objectif initial, soit celui de garantir aux Qu</w:t>
      </w:r>
      <w:r w:rsidRPr="00CB4F2C">
        <w:t>é</w:t>
      </w:r>
      <w:r w:rsidRPr="00CB4F2C">
        <w:t>bécois et Québécoises un maximum d'autonomie au sein du Canada. Avec cette entente, le Gouvernement du Québec devenait le gestio</w:t>
      </w:r>
      <w:r w:rsidRPr="00CB4F2C">
        <w:t>n</w:t>
      </w:r>
      <w:r w:rsidRPr="00CB4F2C">
        <w:t>naire local des programmes canadiens comme l'a toujours souhaité l'élite fédéraliste du Québec. Cette ente</w:t>
      </w:r>
      <w:r w:rsidRPr="00CB4F2C">
        <w:t>n</w:t>
      </w:r>
      <w:r w:rsidRPr="00CB4F2C">
        <w:t>te lui offrit un moyen privil</w:t>
      </w:r>
      <w:r w:rsidRPr="00CB4F2C">
        <w:t>é</w:t>
      </w:r>
      <w:r w:rsidRPr="00CB4F2C">
        <w:t>gié pour qu'elle se maintienne à flots en empêchant le Qu</w:t>
      </w:r>
      <w:r w:rsidRPr="00CB4F2C">
        <w:t>é</w:t>
      </w:r>
      <w:r w:rsidRPr="00CB4F2C">
        <w:t>bec de s'émanciper davantage car, s'il y parvenait, cette élite savait qu'elle risquait de disparaître, nourrie qu'elle était de son assujettissement.</w:t>
      </w:r>
    </w:p>
    <w:p w:rsidR="00B7214C" w:rsidRPr="00CB4F2C" w:rsidRDefault="00B7214C" w:rsidP="00B7214C">
      <w:pPr>
        <w:spacing w:before="120" w:after="120"/>
        <w:jc w:val="both"/>
      </w:pPr>
      <w:r w:rsidRPr="00CB4F2C">
        <w:t>Robert Bourassa était conscient de tout cela. Obligé de tenir un r</w:t>
      </w:r>
      <w:r w:rsidRPr="00CB4F2C">
        <w:t>é</w:t>
      </w:r>
      <w:r w:rsidRPr="00CB4F2C">
        <w:t>férendum sur la souveraineté, ce qui risquait de faire éclater son parti et d'évacuer du décor canadien sa classe pol</w:t>
      </w:r>
      <w:r w:rsidRPr="00CB4F2C">
        <w:t>i</w:t>
      </w:r>
      <w:r w:rsidRPr="00CB4F2C">
        <w:t>tique d'appartenance, il n'avait guère de choix. Ceux avec qui il devait négocier ont d'ailleurs vite compris qu'il était coincé et devait jouer son va-tout dans tous les dossiers. Ainsi, a-t-il pu seulement éviter l'insertion de règles contra</w:t>
      </w:r>
      <w:r w:rsidRPr="00CB4F2C">
        <w:t>i</w:t>
      </w:r>
      <w:r w:rsidRPr="00CB4F2C">
        <w:t>gnantes sur l'union économique, calfeutrer certaines fissures seconda</w:t>
      </w:r>
      <w:r w:rsidRPr="00CB4F2C">
        <w:t>i</w:t>
      </w:r>
      <w:r w:rsidRPr="00CB4F2C">
        <w:t>res dans l'Accord du 7 juillet 1992 et revenir avec une poignée de v</w:t>
      </w:r>
      <w:r w:rsidRPr="00CB4F2C">
        <w:t>e</w:t>
      </w:r>
      <w:r w:rsidRPr="00CB4F2C">
        <w:t>tos sur l'accessoire, une protection antidémocratique à la Chambre des communes et des pouvoirs que le Québec avait déjà. Sur l'essentiel des aspirations maintes fois répétées par les différents gouvernements qui se sont succédés au Québec, rien de substantiel. En quelque sorte, Robert Bourassa a tout simplement participé à la réinvention du C</w:t>
      </w:r>
      <w:r w:rsidRPr="00CB4F2C">
        <w:t>a</w:t>
      </w:r>
      <w:r w:rsidRPr="00CB4F2C">
        <w:t>nada de 1867 après avoir jonglé avec un projet de souveraineté pour brouiller les cartes, ses troupes et la population du Québec. On retie</w:t>
      </w:r>
      <w:r w:rsidRPr="00CB4F2C">
        <w:t>n</w:t>
      </w:r>
      <w:r w:rsidRPr="00CB4F2C">
        <w:t>dra de lui que, ce faisant, il a placé les intérêts de son pa</w:t>
      </w:r>
      <w:r w:rsidRPr="00CB4F2C">
        <w:t>r</w:t>
      </w:r>
      <w:r w:rsidRPr="00CB4F2C">
        <w:t>ti au-dessus des intérêts de la population du Québec et obt</w:t>
      </w:r>
      <w:r w:rsidRPr="00CB4F2C">
        <w:t>e</w:t>
      </w:r>
      <w:r w:rsidRPr="00CB4F2C">
        <w:t>nu, tout compte fait, ce qu'auraient obtenu tous les premiers ministres du Québec s'ils avaient accepté l'approche can</w:t>
      </w:r>
      <w:r w:rsidRPr="00CB4F2C">
        <w:t>a</w:t>
      </w:r>
      <w:r w:rsidRPr="00CB4F2C">
        <w:t>dienne du développement du Québec.</w:t>
      </w:r>
    </w:p>
    <w:p w:rsidR="00B7214C" w:rsidRPr="00CB4F2C" w:rsidRDefault="00B7214C" w:rsidP="00B7214C">
      <w:pPr>
        <w:spacing w:before="120" w:after="120"/>
        <w:jc w:val="both"/>
      </w:pPr>
      <w:r w:rsidRPr="00CB4F2C">
        <w:t>Les résultats du référendum, ma troisième raison pour avancer que le 26 octobre 1992 est une date historique, ont révélé des divisions présentes au Canada et au sein de la p</w:t>
      </w:r>
      <w:r w:rsidRPr="00CB4F2C">
        <w:t>o</w:t>
      </w:r>
      <w:r w:rsidRPr="00CB4F2C">
        <w:t>pulation du Québec. Dans l'Ouest canadien, le NON fut r</w:t>
      </w:r>
      <w:r w:rsidRPr="00CB4F2C">
        <w:t>e</w:t>
      </w:r>
      <w:r w:rsidRPr="00CB4F2C">
        <w:t>tentissant. Exprimant à la fois un rejet net du centralisme f</w:t>
      </w:r>
      <w:r w:rsidRPr="00CB4F2C">
        <w:t>é</w:t>
      </w:r>
      <w:r w:rsidRPr="00CB4F2C">
        <w:t>déral, une froideur à l'égard de l'autonomie des autochtones et des garanties antidémocratiques pour le Québec, ce NON contrastait avec le OUI fortement majoritaire dans trois provi</w:t>
      </w:r>
      <w:r w:rsidRPr="00CB4F2C">
        <w:t>n</w:t>
      </w:r>
      <w:r w:rsidRPr="00CB4F2C">
        <w:t>ces maritimes pour des motifs liés à une nécessaire centr</w:t>
      </w:r>
      <w:r w:rsidRPr="00CB4F2C">
        <w:t>a</w:t>
      </w:r>
      <w:r w:rsidRPr="00CB4F2C">
        <w:t>lisation pour assurer une péréquation sans laquelle elles ne sauraient faire face à leurs obligations. Deux provinces, l'O</w:t>
      </w:r>
      <w:r w:rsidRPr="00CB4F2C">
        <w:t>n</w:t>
      </w:r>
      <w:r w:rsidRPr="00CB4F2C">
        <w:t>tario et la Nouvelle-Ecosse, parvinrent à peine à se déma</w:t>
      </w:r>
      <w:r w:rsidRPr="00CB4F2C">
        <w:t>r</w:t>
      </w:r>
      <w:r w:rsidRPr="00CB4F2C">
        <w:t>quer clairement alors que la province de Québec, province qui força toute cette démarche, s'afficha pour le NON. Un tel résultat met en évidence le fait que le Québec n'a pas eu d'o</w:t>
      </w:r>
      <w:r w:rsidRPr="00CB4F2C">
        <w:t>f</w:t>
      </w:r>
      <w:r w:rsidRPr="00CB4F2C">
        <w:t>fre. Pire, que le Québec a même brûlé ses cartes</w:t>
      </w:r>
      <w:r>
        <w:t xml:space="preserve"> [102] </w:t>
      </w:r>
      <w:r w:rsidRPr="00CB4F2C">
        <w:t>quant à la tenue d'un référendum sur la souveraineté. Fait passé quasi inaperçu, ce vote a aussi montré qu'exception fa</w:t>
      </w:r>
      <w:r w:rsidRPr="00CB4F2C">
        <w:t>i</w:t>
      </w:r>
      <w:r w:rsidRPr="00CB4F2C">
        <w:t>te du Québec, les entités qui ont été associées, entre 1866 et 1873, à la création du Canada et en devinrent les premières provinces, ont toutes voté en f</w:t>
      </w:r>
      <w:r w:rsidRPr="00CB4F2C">
        <w:t>a</w:t>
      </w:r>
      <w:r w:rsidRPr="00CB4F2C">
        <w:t>veur du OUI.</w:t>
      </w:r>
    </w:p>
    <w:p w:rsidR="00B7214C" w:rsidRPr="00CB4F2C" w:rsidRDefault="00B7214C" w:rsidP="00B7214C">
      <w:pPr>
        <w:spacing w:before="120" w:after="120"/>
        <w:jc w:val="both"/>
      </w:pPr>
      <w:r w:rsidRPr="00CB4F2C">
        <w:t>Le NON s'est exprimé à 56,7</w:t>
      </w:r>
      <w:r>
        <w:t>%</w:t>
      </w:r>
      <w:r w:rsidRPr="00CB4F2C">
        <w:t xml:space="preserve"> au Québec. Ce résultat nous a a</w:t>
      </w:r>
      <w:r w:rsidRPr="00CB4F2C">
        <w:t>p</w:t>
      </w:r>
      <w:r w:rsidRPr="00CB4F2C">
        <w:t>pris que la population du Québec ne partageait pas la position défe</w:t>
      </w:r>
      <w:r w:rsidRPr="00CB4F2C">
        <w:t>n</w:t>
      </w:r>
      <w:r w:rsidRPr="00CB4F2C">
        <w:t>due par les partis fédéralistes du Canada et par le Parti libéral du Qu</w:t>
      </w:r>
      <w:r w:rsidRPr="00CB4F2C">
        <w:t>é</w:t>
      </w:r>
      <w:r w:rsidRPr="00CB4F2C">
        <w:t>bec. Comme le projet d'entente r</w:t>
      </w:r>
      <w:r w:rsidRPr="00CB4F2C">
        <w:t>e</w:t>
      </w:r>
      <w:r w:rsidRPr="00CB4F2C">
        <w:t>flétait la constitution de 1867 et celle de 1982, exception faite de la reconnaissance de droits aux autocht</w:t>
      </w:r>
      <w:r w:rsidRPr="00CB4F2C">
        <w:t>o</w:t>
      </w:r>
      <w:r w:rsidRPr="00CB4F2C">
        <w:t>nes et de no</w:t>
      </w:r>
      <w:r w:rsidRPr="00CB4F2C">
        <w:t>u</w:t>
      </w:r>
      <w:r w:rsidRPr="00CB4F2C">
        <w:t>veaux pouvoirs aux juges, l'on serait tenté d'avancer que la population du Québec a manifesté son insatisfaction quant au contenu de ces deux constitutions, ce qu'elle n'a pu faire en 1867 et en 1982 puisqu'il n'y a pas eu de référendum. En quelque sorte, elle a avalisé, dix ans plus tard, la position pr</w:t>
      </w:r>
      <w:r w:rsidRPr="00CB4F2C">
        <w:t>i</w:t>
      </w:r>
      <w:r w:rsidRPr="00CB4F2C">
        <w:t>se par l'Assemblée nationale contre le rapatriement de la constitution au Canada et l'insertion en celle-ci de la Charte canadienne des droits et libertés.</w:t>
      </w:r>
    </w:p>
    <w:p w:rsidR="00B7214C" w:rsidRPr="00CB4F2C" w:rsidRDefault="00B7214C" w:rsidP="00B7214C">
      <w:pPr>
        <w:spacing w:before="120" w:after="120"/>
        <w:jc w:val="both"/>
      </w:pPr>
      <w:r w:rsidRPr="00CB4F2C">
        <w:t>Analysé sous l'angle des clivages sociaux qui morcellent la popul</w:t>
      </w:r>
      <w:r w:rsidRPr="00CB4F2C">
        <w:t>a</w:t>
      </w:r>
      <w:r w:rsidRPr="00CB4F2C">
        <w:t>tion du Québec, ce NON laisse songeur. De tous les clivages imagin</w:t>
      </w:r>
      <w:r w:rsidRPr="00CB4F2C">
        <w:t>a</w:t>
      </w:r>
      <w:r w:rsidRPr="00CB4F2C">
        <w:t>bles, celui qui ressort le plus est le clivage « ethnique » selon les an</w:t>
      </w:r>
      <w:r w:rsidRPr="00CB4F2C">
        <w:t>a</w:t>
      </w:r>
      <w:r w:rsidRPr="00CB4F2C">
        <w:t>lyses de Drouilly (1992). Les fra</w:t>
      </w:r>
      <w:r w:rsidRPr="00CB4F2C">
        <w:t>n</w:t>
      </w:r>
      <w:r w:rsidRPr="00CB4F2C">
        <w:t>cophones - ce concept débordant celui de Québécois franc</w:t>
      </w:r>
      <w:r w:rsidRPr="00CB4F2C">
        <w:t>o</w:t>
      </w:r>
      <w:r w:rsidRPr="00CB4F2C">
        <w:t>phones de souche ou pure laine tricoté serré et bien refoulé depuis plus de deux siècles - ont voté NON à 70</w:t>
      </w:r>
      <w:r>
        <w:t>%</w:t>
      </w:r>
      <w:r w:rsidRPr="00CB4F2C">
        <w:t xml:space="preserve"> alors que les anglophones, concept qui n'inclut pas seulement les me</w:t>
      </w:r>
      <w:r w:rsidRPr="00CB4F2C">
        <w:t>m</w:t>
      </w:r>
      <w:r w:rsidRPr="00CB4F2C">
        <w:t>bres des communautés anglaises implantées au Québec, ont voté OUI à plus de 90</w:t>
      </w:r>
      <w:r>
        <w:t>%</w:t>
      </w:r>
      <w:r w:rsidRPr="00CB4F2C">
        <w:rPr>
          <w:rStyle w:val="Corpsdutexte2Italique"/>
        </w:rPr>
        <w:t>.</w:t>
      </w:r>
      <w:r w:rsidRPr="00CB4F2C">
        <w:t xml:space="preserve"> Les allophones</w:t>
      </w:r>
      <w:r>
        <w:t> </w:t>
      </w:r>
      <w:r>
        <w:rPr>
          <w:rStyle w:val="Appelnotedebasdep"/>
        </w:rPr>
        <w:footnoteReference w:id="13"/>
      </w:r>
      <w:r w:rsidRPr="00CB4F2C">
        <w:t>, c'est-à-dire les membres des communautés culturelles qui n'ont ni l'anglais, ni le français comme langue maternelle, ont voté à plus de 90</w:t>
      </w:r>
      <w:r>
        <w:t>%</w:t>
      </w:r>
      <w:r w:rsidRPr="00CB4F2C">
        <w:t xml:space="preserve"> en faveur de l'Entente de Charlottetown. Quant aux a</w:t>
      </w:r>
      <w:r w:rsidRPr="00CB4F2C">
        <w:t>u</w:t>
      </w:r>
      <w:r w:rsidRPr="00CB4F2C">
        <w:t>tochtones, là où il y a eu vote, le OUI l'a emporté, confortant ainsi les prises de position favorable à l'entente venant de leurs représentants.</w:t>
      </w:r>
    </w:p>
    <w:p w:rsidR="00B7214C" w:rsidRDefault="00B7214C" w:rsidP="00B7214C">
      <w:pPr>
        <w:spacing w:before="120" w:after="120"/>
        <w:jc w:val="both"/>
      </w:pPr>
      <w:r w:rsidRPr="00CB4F2C">
        <w:t>Ce portrait du vote révèle donc que la position défendue par le gouvernement au pouvoir fut partagée principalement par 30</w:t>
      </w:r>
      <w:r>
        <w:t>%</w:t>
      </w:r>
      <w:r w:rsidRPr="00CB4F2C">
        <w:t xml:space="preserve"> des francophones et la grande majorité des angl</w:t>
      </w:r>
      <w:r w:rsidRPr="00CB4F2C">
        <w:t>o</w:t>
      </w:r>
      <w:r w:rsidRPr="00CB4F2C">
        <w:t>phones, des allophones et des autochtones. Inversement, il révèle que cette position fut rejetée par la majorité des francophones et une minorité d'anglophones, d'a</w:t>
      </w:r>
      <w:r w:rsidRPr="00CB4F2C">
        <w:t>l</w:t>
      </w:r>
      <w:r w:rsidRPr="00CB4F2C">
        <w:t>lophones et d'autochtones. Il y a donc au Québec une portion impo</w:t>
      </w:r>
      <w:r w:rsidRPr="00CB4F2C">
        <w:t>r</w:t>
      </w:r>
      <w:r w:rsidRPr="00CB4F2C">
        <w:t>tante de francophones, soit 30</w:t>
      </w:r>
      <w:r>
        <w:t>%</w:t>
      </w:r>
      <w:r w:rsidRPr="00CB4F2C">
        <w:rPr>
          <w:rStyle w:val="Corpsdutexte2Italique"/>
        </w:rPr>
        <w:t>,</w:t>
      </w:r>
      <w:r w:rsidRPr="00CB4F2C">
        <w:t xml:space="preserve"> qui véhicule une vision qui fait du Canada, le pays de référence, et du Québec, une province où les dive</w:t>
      </w:r>
      <w:r w:rsidRPr="00CB4F2C">
        <w:t>r</w:t>
      </w:r>
      <w:r w:rsidRPr="00CB4F2C">
        <w:t>ses composantes de la population peuvent posséder un espace vital tout en partageant le minimum avec les autres, ce avec quoi semblent d'accord la grande majorité des angl</w:t>
      </w:r>
      <w:r w:rsidRPr="00CB4F2C">
        <w:t>o</w:t>
      </w:r>
      <w:r w:rsidRPr="00CB4F2C">
        <w:t>phones, des allophones et des autochtones. Comme cette a</w:t>
      </w:r>
      <w:r w:rsidRPr="00CB4F2C">
        <w:t>p</w:t>
      </w:r>
      <w:r w:rsidRPr="00CB4F2C">
        <w:t>proche fut majoritairement récusée, il y a là en toile de fond tout ce qui peut conduire à l'expression de tensions.</w:t>
      </w:r>
    </w:p>
    <w:p w:rsidR="00B7214C" w:rsidRPr="00CB4F2C" w:rsidRDefault="00B7214C" w:rsidP="00B7214C">
      <w:pPr>
        <w:spacing w:before="120" w:after="120"/>
        <w:jc w:val="both"/>
      </w:pPr>
      <w:r>
        <w:t>[103]</w:t>
      </w:r>
    </w:p>
    <w:p w:rsidR="00B7214C" w:rsidRPr="00CB4F2C" w:rsidRDefault="00B7214C" w:rsidP="00B7214C">
      <w:pPr>
        <w:spacing w:before="120" w:after="120"/>
        <w:jc w:val="both"/>
      </w:pPr>
      <w:r w:rsidRPr="00CB4F2C">
        <w:t>Au-delà ou en deçà de cette analyse, au moins deux autres observ</w:t>
      </w:r>
      <w:r w:rsidRPr="00CB4F2C">
        <w:t>a</w:t>
      </w:r>
      <w:r w:rsidRPr="00CB4F2C">
        <w:t>tions peuvent être faites. La première concerne les promoteurs d'une conception ethnique de la société québécoise. À la lumière des résu</w:t>
      </w:r>
      <w:r w:rsidRPr="00CB4F2C">
        <w:t>l</w:t>
      </w:r>
      <w:r w:rsidRPr="00CB4F2C">
        <w:t>tats de ce référendum, ceux-ci co</w:t>
      </w:r>
      <w:r w:rsidRPr="00CB4F2C">
        <w:t>m</w:t>
      </w:r>
      <w:r w:rsidRPr="00CB4F2C">
        <w:t>prennent les tenants du OUI qui ont, par ailleurs, une conception nationale du Canada et une prope</w:t>
      </w:r>
      <w:r w:rsidRPr="00CB4F2C">
        <w:t>n</w:t>
      </w:r>
      <w:r w:rsidRPr="00CB4F2C">
        <w:t>sion à percevoir, sous cet angle, tout ce qui peut émerger au Québec, notamment l'idée de l'indépendance prônée par le Parti québécois et ce, d'autant plus qu'elle est associée aux francophones de souche. Ce</w:t>
      </w:r>
      <w:r w:rsidRPr="00CB4F2C">
        <w:t>t</w:t>
      </w:r>
      <w:r w:rsidRPr="00CB4F2C">
        <w:t>te observation est importante puisqu'elle permet de mettre en relief non seulement les critiques adressées par les tenants du OUI au projet d'indépendance mais aussi et surtout celles adressées au modèle de société que les tenants de l'indépe</w:t>
      </w:r>
      <w:r w:rsidRPr="00CB4F2C">
        <w:t>n</w:t>
      </w:r>
      <w:r w:rsidRPr="00CB4F2C">
        <w:t>dance entrevoient pour le Québec de demain : un modèle construit autour d'une citoyenneté définie en fonction des francophones de souche plutôt qu'en lien avec des obje</w:t>
      </w:r>
      <w:r w:rsidRPr="00CB4F2C">
        <w:t>c</w:t>
      </w:r>
      <w:r w:rsidRPr="00CB4F2C">
        <w:t>tifs partagés, ce qui est aussi une vision ethnique de la société québ</w:t>
      </w:r>
      <w:r w:rsidRPr="00CB4F2C">
        <w:t>é</w:t>
      </w:r>
      <w:r w:rsidRPr="00CB4F2C">
        <w:t>coise.</w:t>
      </w:r>
    </w:p>
    <w:p w:rsidR="00B7214C" w:rsidRPr="00CB4F2C" w:rsidRDefault="00B7214C" w:rsidP="00B7214C">
      <w:pPr>
        <w:spacing w:before="120" w:after="120"/>
        <w:jc w:val="both"/>
      </w:pPr>
      <w:r w:rsidRPr="00CB4F2C">
        <w:t>La seconde observation renvoie au titre qui coiffe cette section de mon texte. Ce titre avance que tout le monde est malheureux au Qu</w:t>
      </w:r>
      <w:r w:rsidRPr="00CB4F2C">
        <w:t>é</w:t>
      </w:r>
      <w:r w:rsidRPr="00CB4F2C">
        <w:t>bec. Inspiré d'une chanson de Vigneault, il traduit bien ce qu'on peut imaginer, du moins théoriqu</w:t>
      </w:r>
      <w:r w:rsidRPr="00CB4F2C">
        <w:t>e</w:t>
      </w:r>
      <w:r w:rsidRPr="00CB4F2C">
        <w:t>ment, de l'état d'esprit des Québécois et des Québécoises au lendemain de ce référendum. Les tenants du OUI n'avaient aucune raison de se réjouir puisque leur approche fut battue tant au Québec que dans l'ensemble du Canada. Tout au plus, po</w:t>
      </w:r>
      <w:r w:rsidRPr="00CB4F2C">
        <w:t>u</w:t>
      </w:r>
      <w:r w:rsidRPr="00CB4F2C">
        <w:t>vaient-ils se consoler en pensant qu'ils ont contribué à contrer la tenue d'un référendum sur la souveraineté du Qu</w:t>
      </w:r>
      <w:r w:rsidRPr="00CB4F2C">
        <w:t>é</w:t>
      </w:r>
      <w:r w:rsidRPr="00CB4F2C">
        <w:t>bec, ce qui est bien maigre car, sous l'angle de la démocratie, il est difficile d'être fier d'une telle contribution. Quant aux tenants du NON, leur victoire n'a rien de bien reluisant pui</w:t>
      </w:r>
      <w:r w:rsidRPr="00CB4F2C">
        <w:t>s</w:t>
      </w:r>
      <w:r w:rsidRPr="00CB4F2C">
        <w:t>que, tout compte fait, ils n'ont qu'empêché la ratification d'une entente. En quelque sorte, ils sortent gagnants mais sans la vi</w:t>
      </w:r>
      <w:r w:rsidRPr="00CB4F2C">
        <w:t>c</w:t>
      </w:r>
      <w:r w:rsidRPr="00CB4F2C">
        <w:t>toire qu'ils recherchaient : l'indépendance du Québec ou un aménag</w:t>
      </w:r>
      <w:r w:rsidRPr="00CB4F2C">
        <w:t>e</w:t>
      </w:r>
      <w:r w:rsidRPr="00CB4F2C">
        <w:t>ment constitutionnel permettant de poursuivre dans le sens des con</w:t>
      </w:r>
      <w:r w:rsidRPr="00CB4F2C">
        <w:t>s</w:t>
      </w:r>
      <w:r w:rsidRPr="00CB4F2C">
        <w:t>tructions réalisées depuis la R</w:t>
      </w:r>
      <w:r w:rsidRPr="00CB4F2C">
        <w:t>é</w:t>
      </w:r>
      <w:r w:rsidRPr="00CB4F2C">
        <w:t>volution tranquille.</w:t>
      </w:r>
    </w:p>
    <w:p w:rsidR="00B7214C" w:rsidRDefault="00B7214C" w:rsidP="00B7214C">
      <w:pPr>
        <w:spacing w:before="120" w:after="120"/>
        <w:jc w:val="both"/>
      </w:pPr>
    </w:p>
    <w:p w:rsidR="00B7214C" w:rsidRPr="00CB4F2C" w:rsidRDefault="00B7214C" w:rsidP="00B7214C">
      <w:pPr>
        <w:pStyle w:val="a"/>
      </w:pPr>
      <w:r>
        <w:t>QUÉBEC :</w:t>
      </w:r>
      <w:r>
        <w:br/>
      </w:r>
      <w:r w:rsidRPr="00CB4F2C">
        <w:t xml:space="preserve">PROVINCE DISTINCTE, </w:t>
      </w:r>
      <w:r>
        <w:br/>
      </w:r>
      <w:r w:rsidRPr="00CB4F2C">
        <w:t>TERRE D'E</w:t>
      </w:r>
      <w:r w:rsidRPr="00CB4F2C">
        <w:t>N</w:t>
      </w:r>
      <w:r w:rsidRPr="00CB4F2C">
        <w:t>CLAVES OU PAYS</w:t>
      </w:r>
    </w:p>
    <w:p w:rsidR="00B7214C" w:rsidRDefault="00B7214C" w:rsidP="00B7214C">
      <w:pPr>
        <w:spacing w:before="120" w:after="120"/>
        <w:jc w:val="both"/>
      </w:pPr>
    </w:p>
    <w:p w:rsidR="00B7214C" w:rsidRPr="00CB4F2C" w:rsidRDefault="00B7214C" w:rsidP="00B7214C">
      <w:pPr>
        <w:spacing w:before="120" w:after="120"/>
        <w:jc w:val="both"/>
      </w:pPr>
      <w:r w:rsidRPr="00CB4F2C">
        <w:t>J'ai insisté sur le dernier référendum parce qu'il révèle les tensions propres au Québec attisées, peu de temps après, par une déclaration inopportune de Jacques Parizeau. L'importa</w:t>
      </w:r>
      <w:r w:rsidRPr="00CB4F2C">
        <w:t>n</w:t>
      </w:r>
      <w:r w:rsidRPr="00CB4F2C">
        <w:t>ce de cette déclaration mérite une attention sérieuse à cause non pas de son contenu mais pl</w:t>
      </w:r>
      <w:r w:rsidRPr="00CB4F2C">
        <w:t>u</w:t>
      </w:r>
      <w:r w:rsidRPr="00CB4F2C">
        <w:t>tôt des positions hautement émotives qu'elle a générées, positions qui laissent entendre qu'un élagage d'émotivités négatives doit se faire avant que se lève le jour où l'on pourra noter des convergences no</w:t>
      </w:r>
      <w:r w:rsidRPr="00CB4F2C">
        <w:t>u</w:t>
      </w:r>
      <w:r w:rsidRPr="00CB4F2C">
        <w:t>velles et des rapprochements inédits sur l'affirmation nationalitaire entre les diverses composantes de la population québécoise. Dans ce</w:t>
      </w:r>
      <w:r w:rsidRPr="00CB4F2C">
        <w:t>t</w:t>
      </w:r>
      <w:r w:rsidRPr="00CB4F2C">
        <w:t>te section, après une brève présentation des</w:t>
      </w:r>
      <w:r>
        <w:t xml:space="preserve"> [104] </w:t>
      </w:r>
      <w:r w:rsidRPr="00CB4F2C">
        <w:t>approches nation</w:t>
      </w:r>
      <w:r w:rsidRPr="00CB4F2C">
        <w:t>a</w:t>
      </w:r>
      <w:r w:rsidRPr="00CB4F2C">
        <w:t>listes véhiculées au Québec et du contexte mo</w:t>
      </w:r>
      <w:r w:rsidRPr="00CB4F2C">
        <w:t>n</w:t>
      </w:r>
      <w:r w:rsidRPr="00CB4F2C">
        <w:t>dial actuel sous l'angle du nationalisme et de l'État-nation, j'avancerai que le nationalisme ethnique des Québécois francophones de souche n'a pas d'avenir au Can</w:t>
      </w:r>
      <w:r w:rsidRPr="00CB4F2C">
        <w:t>a</w:t>
      </w:r>
      <w:r w:rsidRPr="00CB4F2C">
        <w:t>da et ne saurait conduire à la création de l'État-nation du Québec. J'identifierai, dans ce dernier cas, des dépa</w:t>
      </w:r>
      <w:r w:rsidRPr="00CB4F2C">
        <w:t>s</w:t>
      </w:r>
      <w:r w:rsidRPr="00CB4F2C">
        <w:t>sements qui s'imposent en signalant leurs conséquences prévisibles sur les visions ethniques au Québec. Si c'est l'État-nation du Canada qui est le choix de la popul</w:t>
      </w:r>
      <w:r w:rsidRPr="00CB4F2C">
        <w:t>a</w:t>
      </w:r>
      <w:r w:rsidRPr="00CB4F2C">
        <w:t>tion du Québec, je sign</w:t>
      </w:r>
      <w:r w:rsidRPr="00CB4F2C">
        <w:t>a</w:t>
      </w:r>
      <w:r w:rsidRPr="00CB4F2C">
        <w:t>lerai que ce choix engendrera une remise à jour de l'ethnicité canadienne-française.</w:t>
      </w:r>
    </w:p>
    <w:p w:rsidR="00B7214C" w:rsidRPr="00CB4F2C" w:rsidRDefault="00B7214C" w:rsidP="00B7214C">
      <w:pPr>
        <w:spacing w:before="120" w:after="120"/>
        <w:jc w:val="both"/>
      </w:pPr>
      <w:r w:rsidRPr="00CB4F2C">
        <w:t>Au soir du référendum, l'enthousiasme débordant des t</w:t>
      </w:r>
      <w:r w:rsidRPr="00CB4F2C">
        <w:t>e</w:t>
      </w:r>
      <w:r w:rsidRPr="00CB4F2C">
        <w:t>nants du NON m'a surpris parce que le regroupement qui a conduit à cette vi</w:t>
      </w:r>
      <w:r w:rsidRPr="00CB4F2C">
        <w:t>c</w:t>
      </w:r>
      <w:r w:rsidRPr="00CB4F2C">
        <w:t>toire n'avait rien de permanent même s'il était principalement le fait de Québécois francophones. Sous l'angle de la permanence, les tenants du OUI offraient beaucoup plus de garantie parce que leur regroup</w:t>
      </w:r>
      <w:r w:rsidRPr="00CB4F2C">
        <w:t>e</w:t>
      </w:r>
      <w:r w:rsidRPr="00CB4F2C">
        <w:t>ment, bien que le produit d'un alliage très particulier, s'est réalisé au sein d'une même conception du Québec. Exception faite des autocht</w:t>
      </w:r>
      <w:r w:rsidRPr="00CB4F2C">
        <w:t>o</w:t>
      </w:r>
      <w:r w:rsidRPr="00CB4F2C">
        <w:t>nes</w:t>
      </w:r>
      <w:r>
        <w:t> </w:t>
      </w:r>
      <w:r>
        <w:rPr>
          <w:rStyle w:val="Appelnotedebasdep"/>
        </w:rPr>
        <w:footnoteReference w:id="14"/>
      </w:r>
      <w:r w:rsidRPr="00CB4F2C">
        <w:t>, on y retrouve une majorité d'anglophones pour qui le Canada est le pays de référence et une majorité d'all</w:t>
      </w:r>
      <w:r w:rsidRPr="00CB4F2C">
        <w:t>o</w:t>
      </w:r>
      <w:r w:rsidRPr="00CB4F2C">
        <w:t>phones dont le Canada est le pays d'adoption, ces deux majorités étant associées à une portion importante de francoph</w:t>
      </w:r>
      <w:r w:rsidRPr="00CB4F2C">
        <w:t>o</w:t>
      </w:r>
      <w:r w:rsidRPr="00CB4F2C">
        <w:t>nes qui s'estiment les héritiers du prétendu pacte fondateur du Canada de 1867, pacte qui fit du Québec une pr</w:t>
      </w:r>
      <w:r w:rsidRPr="00CB4F2C">
        <w:t>o</w:t>
      </w:r>
      <w:r w:rsidRPr="00CB4F2C">
        <w:t>vince à qui fut octroyée la gestion de questions locales et du Canada, l'État national où s'exercent les vrais pouvoirs, soit la politique éc</w:t>
      </w:r>
      <w:r w:rsidRPr="00CB4F2C">
        <w:t>o</w:t>
      </w:r>
      <w:r w:rsidRPr="00CB4F2C">
        <w:t>nomique, la monnaie, l'armée, les relations internati</w:t>
      </w:r>
      <w:r w:rsidRPr="00CB4F2C">
        <w:t>o</w:t>
      </w:r>
      <w:r w:rsidRPr="00CB4F2C">
        <w:t>nales, etc. En acceptant à nouveau cette approche, le Parti libéral du Québec a du coup abandonné celle du nationalisme revendicateur</w:t>
      </w:r>
      <w:r>
        <w:t> </w:t>
      </w:r>
      <w:r>
        <w:rPr>
          <w:rStyle w:val="Appelnotedebasdep"/>
        </w:rPr>
        <w:footnoteReference w:id="15"/>
      </w:r>
      <w:r w:rsidRPr="00CB4F2C">
        <w:t>. Chez les t</w:t>
      </w:r>
      <w:r w:rsidRPr="00CB4F2C">
        <w:t>e</w:t>
      </w:r>
      <w:r w:rsidRPr="00CB4F2C">
        <w:t>nants du NON, exception faite des factions du Parti Égalité et de ce</w:t>
      </w:r>
      <w:r w:rsidRPr="00CB4F2C">
        <w:t>r</w:t>
      </w:r>
      <w:r w:rsidRPr="00CB4F2C">
        <w:t>taines personnalités publ</w:t>
      </w:r>
      <w:r w:rsidRPr="00CB4F2C">
        <w:t>i</w:t>
      </w:r>
      <w:r w:rsidRPr="00CB4F2C">
        <w:t>ques, c'est un alliage foncièrement différent qui a pris forme. Il a été le fait d'indépendantistes, de « bloquistes » et d'« allairistes », ces deux derniers groupes étant désireux de doter le Québec de nouveaux pouvoirs et de donner un nouveau souffle au d</w:t>
      </w:r>
      <w:r w:rsidRPr="00CB4F2C">
        <w:t>y</w:t>
      </w:r>
      <w:r w:rsidRPr="00CB4F2C">
        <w:t>namisme qui s'y exprime. En quelque sorte, il s'agissait d'un alliage ayant comme pri</w:t>
      </w:r>
      <w:r w:rsidRPr="00CB4F2C">
        <w:t>n</w:t>
      </w:r>
      <w:r w:rsidRPr="00CB4F2C">
        <w:t>cipale caractéristique de refuser une entente pour en faire valoir d'a</w:t>
      </w:r>
      <w:r w:rsidRPr="00CB4F2C">
        <w:t>u</w:t>
      </w:r>
      <w:r w:rsidRPr="00CB4F2C">
        <w:t>tres dont la mise à jour risque fortement de les diviser.</w:t>
      </w:r>
    </w:p>
    <w:p w:rsidR="00B7214C" w:rsidRPr="00CB4F2C" w:rsidRDefault="00B7214C" w:rsidP="00B7214C">
      <w:pPr>
        <w:spacing w:before="120" w:after="120"/>
        <w:jc w:val="both"/>
      </w:pPr>
      <w:r w:rsidRPr="00CB4F2C">
        <w:t>S'agissant des Québécois francophones de souche, autant ceux pour le OUI que ceux pour le NON, il y a quelque chose de dramat</w:t>
      </w:r>
      <w:r w:rsidRPr="00CB4F2C">
        <w:t>i</w:t>
      </w:r>
      <w:r w:rsidRPr="00CB4F2C">
        <w:t>que qui ressort de leurs prises de position. Elles expriment des ident</w:t>
      </w:r>
      <w:r w:rsidRPr="00CB4F2C">
        <w:t>i</w:t>
      </w:r>
      <w:r w:rsidRPr="00CB4F2C">
        <w:t>tés contradictoires dont la réalité et les assises profondes sont trop souvent minimisées au nom d'un collectif imaginé et imaginaire. L'une de ces prises de pos</w:t>
      </w:r>
      <w:r w:rsidRPr="00CB4F2C">
        <w:t>i</w:t>
      </w:r>
      <w:r w:rsidRPr="00CB4F2C">
        <w:t>tion, celle des fédéralistes, affirme que nous sommes l'autre, ce « nous » étant les Québécois francophones de so</w:t>
      </w:r>
      <w:r w:rsidRPr="00CB4F2C">
        <w:t>u</w:t>
      </w:r>
      <w:r w:rsidRPr="00CB4F2C">
        <w:t>che et cet « autre », les Canadiens. Vad</w:t>
      </w:r>
      <w:r>
        <w:t>ebon</w:t>
      </w:r>
      <w:r w:rsidRPr="00CB4F2C">
        <w:t>coeur (1993) a qualifié une telle position d'aliénation. Elle n'a pas du tout ce sens chez les personnes qui s'identifient ainsi car elles disent partager un</w:t>
      </w:r>
      <w:r>
        <w:t xml:space="preserve"> [105] </w:t>
      </w:r>
      <w:r w:rsidRPr="00CB4F2C">
        <w:t>pr</w:t>
      </w:r>
      <w:r w:rsidRPr="00CB4F2C">
        <w:t>o</w:t>
      </w:r>
      <w:r w:rsidRPr="00CB4F2C">
        <w:t>jet leur permettant de se dépasser, surtout pas de s'a</w:t>
      </w:r>
      <w:r w:rsidRPr="00CB4F2C">
        <w:t>f</w:t>
      </w:r>
      <w:r w:rsidRPr="00CB4F2C">
        <w:t>firmer dans la résistance et la protection. L'autre prise de p</w:t>
      </w:r>
      <w:r w:rsidRPr="00CB4F2C">
        <w:t>o</w:t>
      </w:r>
      <w:r w:rsidRPr="00CB4F2C">
        <w:t>sition, celle véhiculée par le NON, trouve ses assises dans ce que May (1989) a découvert dans la production romanesque du Québec francophone pure laine, notamment celle des a</w:t>
      </w:r>
      <w:r w:rsidRPr="00CB4F2C">
        <w:t>n</w:t>
      </w:r>
      <w:r w:rsidRPr="00CB4F2C">
        <w:t>nées 1960 aux années 1990, soit une quête identitaire ayant des reflets pathologiques. Associée à l'affirmation d'être Qu</w:t>
      </w:r>
      <w:r w:rsidRPr="00CB4F2C">
        <w:t>é</w:t>
      </w:r>
      <w:r w:rsidRPr="00CB4F2C">
        <w:t>bécois, donc autre chose que d'être Canadien ou Canadien français, cette quête produit un imaginaire obnubilé par la perte de l'âme, celle qui hier était présente, et par l'espoir entretenu d'une vi</w:t>
      </w:r>
      <w:r w:rsidRPr="00CB4F2C">
        <w:t>c</w:t>
      </w:r>
      <w:r w:rsidRPr="00CB4F2C">
        <w:t>toire à venir qui permettrait de la recréer. Pour les personnes qui s'identifient ainsi, l'« autre » est perçu comme ne pouvant pas emp</w:t>
      </w:r>
      <w:r w:rsidRPr="00CB4F2C">
        <w:t>ê</w:t>
      </w:r>
      <w:r w:rsidRPr="00CB4F2C">
        <w:t>cher que ce rêve se réalise, ce qui est l'approche indépendantiste, ou comme devant aider à sa concrétisation, ce qui rejoint les thèses du fédéralisme d</w:t>
      </w:r>
      <w:r w:rsidRPr="00CB4F2C">
        <w:t>é</w:t>
      </w:r>
      <w:r w:rsidRPr="00CB4F2C">
        <w:t>centralisé et de la souveraineté à l'intérieur du Canada.</w:t>
      </w:r>
    </w:p>
    <w:p w:rsidR="00B7214C" w:rsidRPr="00CB4F2C" w:rsidRDefault="00B7214C" w:rsidP="00B7214C">
      <w:pPr>
        <w:spacing w:before="120" w:after="120"/>
        <w:jc w:val="both"/>
      </w:pPr>
      <w:r w:rsidRPr="00CB4F2C">
        <w:t>Pour les autres composantes de la population du Québec, les réf</w:t>
      </w:r>
      <w:r w:rsidRPr="00CB4F2C">
        <w:t>é</w:t>
      </w:r>
      <w:r w:rsidRPr="00CB4F2C">
        <w:t>rents historiques ont produit des ancrages très diff</w:t>
      </w:r>
      <w:r w:rsidRPr="00CB4F2C">
        <w:t>é</w:t>
      </w:r>
      <w:r w:rsidRPr="00CB4F2C">
        <w:t>rents. Leur quête identitaire ne s'apparente guère à celle des francophones. Il y a tout</w:t>
      </w:r>
      <w:r w:rsidRPr="00CB4F2C">
        <w:t>e</w:t>
      </w:r>
      <w:r w:rsidRPr="00CB4F2C">
        <w:t>fois certaines affinités avec cette dernière, notamment chez les autoc</w:t>
      </w:r>
      <w:r w:rsidRPr="00CB4F2C">
        <w:t>h</w:t>
      </w:r>
      <w:r w:rsidRPr="00CB4F2C">
        <w:t>tones, les autres francophones et les allophones. En effet, les autoc</w:t>
      </w:r>
      <w:r w:rsidRPr="00CB4F2C">
        <w:t>h</w:t>
      </w:r>
      <w:r w:rsidRPr="00CB4F2C">
        <w:t>tones rêvent au</w:t>
      </w:r>
      <w:r w:rsidRPr="00CB4F2C">
        <w:t>s</w:t>
      </w:r>
      <w:r w:rsidRPr="00CB4F2C">
        <w:t>si de retrouver l'âme perdue. Il en est parfois de même chez plusieurs allophones et francophones. Ces affinités, toutefois, ne sauraient conduire à une fusion puisque l'expression de ces quêtes</w:t>
      </w:r>
      <w:r>
        <w:t xml:space="preserve"> </w:t>
      </w:r>
      <w:r w:rsidRPr="00CB4F2C">
        <w:t>identitaires suppose le maintien de différences. Quant à la quête ide</w:t>
      </w:r>
      <w:r w:rsidRPr="00CB4F2C">
        <w:t>n</w:t>
      </w:r>
      <w:r w:rsidRPr="00CB4F2C">
        <w:t>titaire des anglophones, elle demeure surtout construite autour de l'idée d'assurer au Québec leur pérennité avec l'aide du Canada. Je dis « surtout construite » parce que Caldwell (1992) a identifié des fiss</w:t>
      </w:r>
      <w:r w:rsidRPr="00CB4F2C">
        <w:t>u</w:t>
      </w:r>
      <w:r w:rsidRPr="00CB4F2C">
        <w:t>res qui risquent de dev</w:t>
      </w:r>
      <w:r w:rsidRPr="00CB4F2C">
        <w:t>e</w:t>
      </w:r>
      <w:r w:rsidRPr="00CB4F2C">
        <w:t>nir importantes dans un contexte où le Québec serait un État-nation.</w:t>
      </w:r>
    </w:p>
    <w:p w:rsidR="00B7214C" w:rsidRPr="00CB4F2C" w:rsidRDefault="00B7214C" w:rsidP="00B7214C">
      <w:pPr>
        <w:spacing w:before="120" w:after="120"/>
        <w:jc w:val="both"/>
      </w:pPr>
      <w:r w:rsidRPr="00CB4F2C">
        <w:t>Compte tenu des approches politiques qui s'expriment au Québec comme de leurs enracinements identitaires, la prudence s'impose lor</w:t>
      </w:r>
      <w:r w:rsidRPr="00CB4F2C">
        <w:t>s</w:t>
      </w:r>
      <w:r w:rsidRPr="00CB4F2C">
        <w:t>qu'on tente de prédire ce qui va se d</w:t>
      </w:r>
      <w:r w:rsidRPr="00CB4F2C">
        <w:t>é</w:t>
      </w:r>
      <w:r w:rsidRPr="00CB4F2C">
        <w:t>ployer dans un avenir plus ou moins rapproché. Il n'y a rien qui soit clairement défini. Qui plus est, les pressions découlant de la mouvance de la mondialisation n'anno</w:t>
      </w:r>
      <w:r w:rsidRPr="00CB4F2C">
        <w:t>n</w:t>
      </w:r>
      <w:r w:rsidRPr="00CB4F2C">
        <w:t>cent surtout pas que des rapprochements se feront instantanément et que l'État-nation du Québec apparaîtra en 1995 un certain 24 juin. Dans cette ère de mondialisation, la contrepartie est « la r</w:t>
      </w:r>
      <w:r w:rsidRPr="00CB4F2C">
        <w:t>é</w:t>
      </w:r>
      <w:r w:rsidRPr="00CB4F2C">
        <w:t>surgence des identités a-étatiques de type culturel » (Th</w:t>
      </w:r>
      <w:r w:rsidRPr="00CB4F2C">
        <w:t>é</w:t>
      </w:r>
      <w:r w:rsidRPr="00CB4F2C">
        <w:t>riault, 1992, p. 16) et l'heure est surtout à la valorisation de l'affirmation identitaire sur base ethnique au sein d'ensembles polyethniques (Paquet, 1992)</w:t>
      </w:r>
      <w:r>
        <w:t> </w:t>
      </w:r>
      <w:r>
        <w:rPr>
          <w:rStyle w:val="Appelnotedebasdep"/>
        </w:rPr>
        <w:footnoteReference w:id="16"/>
      </w:r>
      <w:r w:rsidRPr="00CB4F2C">
        <w:t>. De plus, parmi ces pressions, il y a le fait que les chantres de l'indépe</w:t>
      </w:r>
      <w:r w:rsidRPr="00CB4F2C">
        <w:t>n</w:t>
      </w:r>
      <w:r w:rsidRPr="00CB4F2C">
        <w:t>dantisme ne s'expriment guère et, là où cette idée s'affirme par exe</w:t>
      </w:r>
      <w:r w:rsidRPr="00CB4F2C">
        <w:t>m</w:t>
      </w:r>
      <w:r w:rsidRPr="00CB4F2C">
        <w:t>ple en Croatie et en Bosnie-Herzégovine, c'est plutôt l'indifférence ou la n</w:t>
      </w:r>
      <w:r w:rsidRPr="00CB4F2C">
        <w:t>é</w:t>
      </w:r>
      <w:r w:rsidRPr="00CB4F2C">
        <w:t>gation qui a bonne presse comme l'a so</w:t>
      </w:r>
      <w:r>
        <w:t>uligné Finkiel</w:t>
      </w:r>
      <w:r w:rsidRPr="00CB4F2C">
        <w:t>kraut (1992). L'idée d'État-nation, celle qui a donné naissance aux pays e</w:t>
      </w:r>
      <w:r w:rsidRPr="00CB4F2C">
        <w:t>u</w:t>
      </w:r>
      <w:r w:rsidRPr="00CB4F2C">
        <w:t>ropéens et fourni les assises aux constr</w:t>
      </w:r>
      <w:r>
        <w:t>uctions nationales que nous con</w:t>
      </w:r>
      <w:r w:rsidRPr="00CB4F2C">
        <w:t>naissons,</w:t>
      </w:r>
      <w:r>
        <w:t xml:space="preserve"> [106]</w:t>
      </w:r>
      <w:r w:rsidRPr="00CB4F2C">
        <w:t xml:space="preserve"> serait même en perte de vitesse selon Hobsbawn (1992) parce que le nationalisme, en dépit de sa visibilité manifeste, « est hi</w:t>
      </w:r>
      <w:r w:rsidRPr="00CB4F2C">
        <w:t>s</w:t>
      </w:r>
      <w:r w:rsidRPr="00CB4F2C">
        <w:t>toriquement moins important [et] n'est plus, en quelque sorte, un pr</w:t>
      </w:r>
      <w:r w:rsidRPr="00CB4F2C">
        <w:t>o</w:t>
      </w:r>
      <w:r w:rsidRPr="00CB4F2C">
        <w:t>gramme politique global, comme on aurait pu le dire, et comme on l'a dit, au XIX</w:t>
      </w:r>
      <w:r w:rsidRPr="00CB4F2C">
        <w:rPr>
          <w:vertAlign w:val="superscript"/>
        </w:rPr>
        <w:t>e</w:t>
      </w:r>
      <w:r w:rsidRPr="00CB4F2C">
        <w:t xml:space="preserve"> siècle et au d</w:t>
      </w:r>
      <w:r w:rsidRPr="00CB4F2C">
        <w:t>é</w:t>
      </w:r>
      <w:r w:rsidRPr="00CB4F2C">
        <w:t>but du XX</w:t>
      </w:r>
      <w:r w:rsidRPr="00CB4F2C">
        <w:rPr>
          <w:vertAlign w:val="superscript"/>
        </w:rPr>
        <w:t>e</w:t>
      </w:r>
      <w:r w:rsidRPr="00CB4F2C">
        <w:t> » (Hobsbawn, 1992, p. 237). Selon cet auteur, le nationalisme serait tout au plus devenu un facteur de compl</w:t>
      </w:r>
      <w:r w:rsidRPr="00CB4F2C">
        <w:t>i</w:t>
      </w:r>
      <w:r w:rsidRPr="00CB4F2C">
        <w:t>cation ou un catalyseur d'autres phénomènes.</w:t>
      </w:r>
    </w:p>
    <w:p w:rsidR="00B7214C" w:rsidRPr="00CB4F2C" w:rsidRDefault="00B7214C" w:rsidP="00B7214C">
      <w:pPr>
        <w:spacing w:before="120" w:after="120"/>
        <w:jc w:val="both"/>
      </w:pPr>
      <w:r w:rsidRPr="00CB4F2C">
        <w:t>La thèse d'Hobsbawn (1992) mérite une attention partic</w:t>
      </w:r>
      <w:r w:rsidRPr="00CB4F2C">
        <w:t>u</w:t>
      </w:r>
      <w:r w:rsidRPr="00CB4F2C">
        <w:t>lière parce que les idées qu'elle véhicule sont partagées par plusieurs, entre autres Morin (1991) pour qui « l'ère où l'État-nation joue un rôle émancip</w:t>
      </w:r>
      <w:r w:rsidRPr="00CB4F2C">
        <w:t>a</w:t>
      </w:r>
      <w:r w:rsidRPr="00CB4F2C">
        <w:t>teur est révolue [et] tout indique que l'ère de fécondité du pouvoir a</w:t>
      </w:r>
      <w:r w:rsidRPr="00CB4F2C">
        <w:t>b</w:t>
      </w:r>
      <w:r w:rsidRPr="00CB4F2C">
        <w:t>solu de l'État-nation est dépassée » (Morin, 1991, p. 323). Selon ces deux auteurs, l'État-nation est devenu trop homogénéisateur dans un un</w:t>
      </w:r>
      <w:r w:rsidRPr="00CB4F2C">
        <w:t>i</w:t>
      </w:r>
      <w:r w:rsidRPr="00CB4F2C">
        <w:t>vers de plus en plus éclaté, dans un univers où, pour Morin, « les grands problèmes requièrent des solutions multinationales, transnati</w:t>
      </w:r>
      <w:r w:rsidRPr="00CB4F2C">
        <w:t>o</w:t>
      </w:r>
      <w:r w:rsidRPr="00CB4F2C">
        <w:t>nales, continentales, voire planétaires et nécessitent des systèmes a</w:t>
      </w:r>
      <w:r w:rsidRPr="00CB4F2C">
        <w:t>s</w:t>
      </w:r>
      <w:r w:rsidRPr="00CB4F2C">
        <w:t>sociatifs, confédératifs ou fédératifs métanationaux » (Morin, 1991, p. 323). Cet univers amènera les historiens de demain à considérer « les &lt;États-nations&gt; et les &lt;nations&gt; ou les groupes ethnolinguistiques essentiellement comme des forces en régression, résistant ou s'ada</w:t>
      </w:r>
      <w:r w:rsidRPr="00CB4F2C">
        <w:t>p</w:t>
      </w:r>
      <w:r w:rsidRPr="00CB4F2C">
        <w:t>tant à la nouvelle restructuration supranationale du globe, ou bien étant absorbés ou disloqués par elle » (Hobsbawn, 1992, p. 237). Pour ces deux auteurs, dans cette mouvance, les nations et les nationalismes se maintiendront mais joueront des rôles secondaires, parfois mineurs, mais importants surtout dans les systèmes éducatifs et la vie culture</w:t>
      </w:r>
      <w:r w:rsidRPr="00CB4F2C">
        <w:t>l</w:t>
      </w:r>
      <w:r w:rsidRPr="00CB4F2C">
        <w:t>le.</w:t>
      </w:r>
    </w:p>
    <w:p w:rsidR="00B7214C" w:rsidRPr="00CB4F2C" w:rsidRDefault="00B7214C" w:rsidP="00B7214C">
      <w:pPr>
        <w:spacing w:before="120" w:after="120"/>
        <w:jc w:val="both"/>
      </w:pPr>
      <w:r w:rsidRPr="00CB4F2C">
        <w:t>La thèse de ces auteurs s'appuie fondamentalement sur l'idée mise de l'avant par Gellner selon laquelle « le nation</w:t>
      </w:r>
      <w:r w:rsidRPr="00CB4F2C">
        <w:t>a</w:t>
      </w:r>
      <w:r w:rsidRPr="00CB4F2C">
        <w:t>lisme est une théorie de la légitimité politique qui exige que les limites ethniques coïncident avec les limites politiques » (Gellner 1989, p. 12). Ce nationalisme a connu ses heures de gloire principalement aux XIX</w:t>
      </w:r>
      <w:r w:rsidRPr="00CB4F2C">
        <w:rPr>
          <w:vertAlign w:val="superscript"/>
        </w:rPr>
        <w:t>e</w:t>
      </w:r>
      <w:r w:rsidRPr="00CB4F2C">
        <w:t xml:space="preserve"> et XX</w:t>
      </w:r>
      <w:r w:rsidRPr="00CB4F2C">
        <w:rPr>
          <w:vertAlign w:val="superscript"/>
        </w:rPr>
        <w:t>e</w:t>
      </w:r>
      <w:r w:rsidRPr="00CB4F2C">
        <w:t xml:space="preserve"> siècles et fut associé à des projets de construction nationale, projets qui ont connu leur apogée après la Deuxième Guerre mondiale et qui ont été associés à toute une mythologie matri-patriotique qui perdure prése</w:t>
      </w:r>
      <w:r w:rsidRPr="00CB4F2C">
        <w:t>n</w:t>
      </w:r>
      <w:r w:rsidRPr="00CB4F2C">
        <w:t>tement sous des formes plus relativisées. Ces référents mythologiques, analysés par Smith (1986), renvoient à un passé qui vient façonner et nourrir la quête identitaire des ethnies ou des peuples et construisent l'adhésion nationale par le haut en favorisant l'homogénéisation d'un produit national que véhiculent les divers agents de l'État-nation.</w:t>
      </w:r>
    </w:p>
    <w:p w:rsidR="00B7214C" w:rsidRPr="00CB4F2C" w:rsidRDefault="00B7214C" w:rsidP="00B7214C">
      <w:pPr>
        <w:spacing w:before="120" w:after="120"/>
        <w:jc w:val="both"/>
      </w:pPr>
      <w:r w:rsidRPr="00CB4F2C">
        <w:t>Avec la mondialisation des échanges, l'idée même de construire une économie nationale paraît des plus illusoires, ce qui mine l'une des visées fondamentales du nationalisme défini par Gellner. De plus, avec une</w:t>
      </w:r>
      <w:r>
        <w:t xml:space="preserve"> [107] </w:t>
      </w:r>
      <w:r w:rsidRPr="00CB4F2C">
        <w:t>urbanisation et une industrialisation qui reposent très souvent sur des migrations et des transferts massifs de popul</w:t>
      </w:r>
      <w:r w:rsidRPr="00CB4F2C">
        <w:t>a</w:t>
      </w:r>
      <w:r w:rsidRPr="00CB4F2C">
        <w:t>tions partout dans les principaux États-nations, il devient de plus en plus difficile de mai</w:t>
      </w:r>
      <w:r w:rsidRPr="00CB4F2C">
        <w:t>n</w:t>
      </w:r>
      <w:r w:rsidRPr="00CB4F2C">
        <w:t>tenir en place, sans qu'ils soient questionnés, tous les dispositifs d</w:t>
      </w:r>
      <w:r w:rsidRPr="00CB4F2C">
        <w:t>é</w:t>
      </w:r>
      <w:r w:rsidRPr="00CB4F2C">
        <w:t>ployés par l'État-nation en vue de faire de la population du territoire nationalement circonscrit une population homogène sur les plans et</w:t>
      </w:r>
      <w:r w:rsidRPr="00CB4F2C">
        <w:t>h</w:t>
      </w:r>
      <w:r w:rsidRPr="00CB4F2C">
        <w:t>nique, culturel et linguistique parce que, très rapidement, l'État-nation devient de plus en plus « polyethnique » ou « polycommunautaire ».</w:t>
      </w:r>
    </w:p>
    <w:p w:rsidR="00B7214C" w:rsidRPr="00CB4F2C" w:rsidRDefault="00B7214C" w:rsidP="00B7214C">
      <w:pPr>
        <w:spacing w:before="120" w:after="120"/>
        <w:jc w:val="both"/>
      </w:pPr>
      <w:r w:rsidRPr="00CB4F2C">
        <w:t>Ces points mis en relief, Hobsbawn arrive à la conclusion que les « mouvements nationalistes caractéristiques de la fin du XX</w:t>
      </w:r>
      <w:r w:rsidRPr="00CB4F2C">
        <w:rPr>
          <w:vertAlign w:val="superscript"/>
        </w:rPr>
        <w:t>e</w:t>
      </w:r>
      <w:r w:rsidRPr="00CB4F2C">
        <w:t xml:space="preserve"> siècle sont essentiellement négatifs, ou plutôt div</w:t>
      </w:r>
      <w:r w:rsidRPr="00CB4F2C">
        <w:t>i</w:t>
      </w:r>
      <w:r w:rsidRPr="00CB4F2C">
        <w:t>seurs (Hobsbawn, 1992, p. 210) ». Ils présentent « des réactions de faiblesse et de peur, des tent</w:t>
      </w:r>
      <w:r w:rsidRPr="00CB4F2C">
        <w:t>a</w:t>
      </w:r>
      <w:r w:rsidRPr="00CB4F2C">
        <w:t>tives d'érection de ba</w:t>
      </w:r>
      <w:r w:rsidRPr="00CB4F2C">
        <w:t>r</w:t>
      </w:r>
      <w:r w:rsidRPr="00CB4F2C">
        <w:t>ricades destinées à tenir à distance les forces du monde m</w:t>
      </w:r>
      <w:r w:rsidRPr="00CB4F2C">
        <w:t>o</w:t>
      </w:r>
      <w:r w:rsidRPr="00CB4F2C">
        <w:t>derne » (Hobsbawn, 1992, p. 211). C'est d'ailleurs ainsi qu'Hobsbawn lit le nationalisme qui s'exprime au sein de la population francophone de souche du Québec. Il le qualifie de petit bourgeois et voit en lui une réaction devant le choc du futur dont l'objectif est d'a</w:t>
      </w:r>
      <w:r w:rsidRPr="00CB4F2C">
        <w:t>c</w:t>
      </w:r>
      <w:r w:rsidRPr="00CB4F2C">
        <w:t>centuer la protection contre les menaces de submersion et de fournir de nouvelles certitudes à une génération désorientée suite, notamment, à « l'effondrement soudain et spectaculaire de l'Église cathol</w:t>
      </w:r>
      <w:r w:rsidRPr="00CB4F2C">
        <w:t>i</w:t>
      </w:r>
      <w:r w:rsidRPr="00CB4F2C">
        <w:t>que » (Hobsbawn, 1992, p. 213). Handler</w:t>
      </w:r>
      <w:r>
        <w:t> </w:t>
      </w:r>
      <w:r>
        <w:rPr>
          <w:rStyle w:val="Appelnotedebasdep"/>
        </w:rPr>
        <w:footnoteReference w:id="17"/>
      </w:r>
      <w:r w:rsidRPr="00CB4F2C">
        <w:t xml:space="preserve"> (1988) est arrivé à peu de ch</w:t>
      </w:r>
      <w:r w:rsidRPr="00CB4F2C">
        <w:t>o</w:t>
      </w:r>
      <w:r w:rsidRPr="00CB4F2C">
        <w:t>ses près aux mêmes conclusions. Il a identifié dans le nationalisme véhiculé par le Parti québécois de 1976 à 1984 un fort penchant à b</w:t>
      </w:r>
      <w:r w:rsidRPr="00CB4F2C">
        <w:t>a</w:t>
      </w:r>
      <w:r w:rsidRPr="00CB4F2C">
        <w:t>liser la culture québécoise par la création d'institutions pour la concr</w:t>
      </w:r>
      <w:r w:rsidRPr="00CB4F2C">
        <w:t>é</w:t>
      </w:r>
      <w:r w:rsidRPr="00CB4F2C">
        <w:t>tiser, ce qui minimisait du coup l'importance des régions, la créativité culturelle et la diversité grâce à la présence des communautés culture</w:t>
      </w:r>
      <w:r w:rsidRPr="00CB4F2C">
        <w:t>l</w:t>
      </w:r>
      <w:r w:rsidRPr="00CB4F2C">
        <w:t>les, des nations autochtones et d'un fort contingent d'anglophones.</w:t>
      </w:r>
    </w:p>
    <w:p w:rsidR="00B7214C" w:rsidRPr="00CB4F2C" w:rsidRDefault="00B7214C" w:rsidP="00B7214C">
      <w:pPr>
        <w:spacing w:before="120" w:after="120"/>
        <w:jc w:val="both"/>
      </w:pPr>
      <w:r w:rsidRPr="00CB4F2C">
        <w:t>Une telle visée est présente dans les différentes « sensibilités pol</w:t>
      </w:r>
      <w:r w:rsidRPr="00CB4F2C">
        <w:t>i</w:t>
      </w:r>
      <w:r w:rsidRPr="00CB4F2C">
        <w:t>tiques » des francophones de souche. On la retrouve plus particuli</w:t>
      </w:r>
      <w:r w:rsidRPr="00CB4F2C">
        <w:t>è</w:t>
      </w:r>
      <w:r w:rsidRPr="00CB4F2C">
        <w:t>rement chez les tenants du nationalisme revendicateur et chez pl</w:t>
      </w:r>
      <w:r w:rsidRPr="00CB4F2C">
        <w:t>u</w:t>
      </w:r>
      <w:r w:rsidRPr="00CB4F2C">
        <w:t>sieurs adeptes de l'indépenda</w:t>
      </w:r>
      <w:r w:rsidRPr="00CB4F2C">
        <w:t>n</w:t>
      </w:r>
      <w:r w:rsidRPr="00CB4F2C">
        <w:t>tisme qui voit dans l'indépendance la désaliénation et l'affi</w:t>
      </w:r>
      <w:r w:rsidRPr="00CB4F2C">
        <w:t>r</w:t>
      </w:r>
      <w:r w:rsidRPr="00CB4F2C">
        <w:t>mation d'un peuple stigmatisé par des défaites multiples. Elle n'en demeure pas moins existante chez les fédéralistes dans la mesure où ils privilégient un cadre politique et institutionnel, l'espace provincial, qui permet d'assurer une base à l'affirm</w:t>
      </w:r>
      <w:r w:rsidRPr="00CB4F2C">
        <w:t>a</w:t>
      </w:r>
      <w:r w:rsidRPr="00CB4F2C">
        <w:t>tion des francophones. Depuis la Révolution tranquille, tous les gouvern</w:t>
      </w:r>
      <w:r w:rsidRPr="00CB4F2C">
        <w:t>e</w:t>
      </w:r>
      <w:r w:rsidRPr="00CB4F2C">
        <w:t>ments du Québec, selon Handler (1988), ont v</w:t>
      </w:r>
      <w:r w:rsidRPr="00CB4F2C">
        <w:t>é</w:t>
      </w:r>
      <w:r w:rsidRPr="00CB4F2C">
        <w:t>hiculé une approche analogue</w:t>
      </w:r>
      <w:r>
        <w:t> </w:t>
      </w:r>
      <w:r>
        <w:rPr>
          <w:rStyle w:val="Appelnotedebasdep"/>
        </w:rPr>
        <w:footnoteReference w:id="18"/>
      </w:r>
      <w:r w:rsidRPr="00CB4F2C">
        <w:t>.</w:t>
      </w:r>
    </w:p>
    <w:p w:rsidR="00B7214C" w:rsidRPr="00CB4F2C" w:rsidRDefault="00B7214C" w:rsidP="00B7214C">
      <w:pPr>
        <w:spacing w:before="120" w:after="120"/>
        <w:jc w:val="both"/>
      </w:pPr>
      <w:r w:rsidRPr="00CB4F2C">
        <w:t>Cette lecture du nationalisme québécois met en relief sa liaison avec une conception intégratrice plutôt que contra</w:t>
      </w:r>
      <w:r w:rsidRPr="00CB4F2C">
        <w:t>c</w:t>
      </w:r>
      <w:r w:rsidRPr="00CB4F2C">
        <w:t>tuelle. Il s'agit là des deux conceptions les plus courantes de la nation selon Crowley (1991). L'une d'elles, la conception intégratrice, a des assises ethn</w:t>
      </w:r>
      <w:r w:rsidRPr="00CB4F2C">
        <w:t>i</w:t>
      </w:r>
      <w:r w:rsidRPr="00CB4F2C">
        <w:t>ques et culturelles. Dans la conjoncture internationale présente, elle ressort tel un an</w:t>
      </w:r>
      <w:r w:rsidRPr="00CB4F2C">
        <w:t>a</w:t>
      </w:r>
      <w:r w:rsidRPr="00CB4F2C">
        <w:t>chronisme de l'histoire.</w:t>
      </w:r>
      <w:r>
        <w:t xml:space="preserve"> [108] </w:t>
      </w:r>
      <w:r w:rsidRPr="00CB4F2C">
        <w:t>Seule une minorité d'États-nations s'y réfère. Concernant le Québec, cette conception, d</w:t>
      </w:r>
      <w:r w:rsidRPr="00CB4F2C">
        <w:t>é</w:t>
      </w:r>
      <w:r w:rsidRPr="00CB4F2C">
        <w:t>noncée récemment par plus d'un auteur,</w:t>
      </w:r>
      <w:r>
        <w:t> </w:t>
      </w:r>
      <w:r>
        <w:rPr>
          <w:rStyle w:val="Appelnotedebasdep"/>
        </w:rPr>
        <w:footnoteReference w:id="19"/>
      </w:r>
      <w:r w:rsidRPr="00CB4F2C">
        <w:t xml:space="preserve"> fut toujours la cible privil</w:t>
      </w:r>
      <w:r w:rsidRPr="00CB4F2C">
        <w:t>é</w:t>
      </w:r>
      <w:r w:rsidRPr="00CB4F2C">
        <w:t>giée de Pierre Elliott Trudeau. Dans le doc</w:t>
      </w:r>
      <w:r w:rsidRPr="00CB4F2C">
        <w:t>u</w:t>
      </w:r>
      <w:r w:rsidRPr="00CB4F2C">
        <w:t>ment du Parti québécois intitulé « Le Québec dans un monde no</w:t>
      </w:r>
      <w:r w:rsidRPr="00CB4F2C">
        <w:t>u</w:t>
      </w:r>
      <w:r w:rsidRPr="00CB4F2C">
        <w:t>veau » publié en 1993, cette conception, bien qu'atténuée, ressurgit non sous l'angle de l'expansion de la culture nationale de base mais en regard de l'enrichissement de cette culture grâce à des apports no</w:t>
      </w:r>
      <w:r w:rsidRPr="00CB4F2C">
        <w:t>u</w:t>
      </w:r>
      <w:r w:rsidRPr="00CB4F2C">
        <w:t>veaux. Pour Tassinari (1993), c'est précisément ce qui pose problème et rend le projet indépendanti</w:t>
      </w:r>
      <w:r w:rsidRPr="00CB4F2C">
        <w:t>s</w:t>
      </w:r>
      <w:r w:rsidRPr="00CB4F2C">
        <w:t>te inacceptable parce que cette conception est un renoncement impl</w:t>
      </w:r>
      <w:r w:rsidRPr="00CB4F2C">
        <w:t>i</w:t>
      </w:r>
      <w:r w:rsidRPr="00CB4F2C">
        <w:t>cite du polit</w:t>
      </w:r>
      <w:r w:rsidRPr="00CB4F2C">
        <w:t>i</w:t>
      </w:r>
      <w:r w:rsidRPr="00CB4F2C">
        <w:t>que et de l'harmonisation exigée par une réalité sociale pluriculturelle, « harmonisation qu'on devrait obtenir par des interve</w:t>
      </w:r>
      <w:r w:rsidRPr="00CB4F2C">
        <w:t>n</w:t>
      </w:r>
      <w:r w:rsidRPr="00CB4F2C">
        <w:t>tions radicales sur le tissu social et non par le cosmétique multicult</w:t>
      </w:r>
      <w:r w:rsidRPr="00CB4F2C">
        <w:t>u</w:t>
      </w:r>
      <w:r w:rsidRPr="00CB4F2C">
        <w:t>rel » (Tassinari, 1993, p. 11).</w:t>
      </w:r>
    </w:p>
    <w:p w:rsidR="00B7214C" w:rsidRPr="00CB4F2C" w:rsidRDefault="00B7214C" w:rsidP="00B7214C">
      <w:pPr>
        <w:spacing w:before="120" w:after="120"/>
        <w:jc w:val="both"/>
      </w:pPr>
      <w:r w:rsidRPr="00CB4F2C">
        <w:t>En signalant que l'idée d'État-nation est dépassée, ce n'est pas se</w:t>
      </w:r>
      <w:r w:rsidRPr="00CB4F2C">
        <w:t>u</w:t>
      </w:r>
      <w:r w:rsidRPr="00CB4F2C">
        <w:t>lement celle campée sur la conception ethnique que ciblaient Hob</w:t>
      </w:r>
      <w:r w:rsidRPr="00CB4F2C">
        <w:t>s</w:t>
      </w:r>
      <w:r w:rsidRPr="00CB4F2C">
        <w:t>bawn (1992) et Morin (1991), c'est le concept même d'État-nation, celui qui conduit à créer la nation en la façonnant, ce travail fut-il le produit d'un contrat social. À leurs yeux, ce concept fait désormais partie de l'histoire et de son côté sombre. Tout au plus, n'aurait-il de sens que sous l'angle des réalités provinciales qui ont été relativisées mais non abolies dans le cadre de l'État-nation. En d'autres termes, il peut perdurer si les États-nations sont transformés en autant de pr</w:t>
      </w:r>
      <w:r w:rsidRPr="00CB4F2C">
        <w:t>o</w:t>
      </w:r>
      <w:r w:rsidRPr="00CB4F2C">
        <w:t>vinces au sein d'un organisme supranational.</w:t>
      </w:r>
    </w:p>
    <w:p w:rsidR="00B7214C" w:rsidRPr="00CB4F2C" w:rsidRDefault="00B7214C" w:rsidP="00B7214C">
      <w:pPr>
        <w:spacing w:before="120" w:after="120"/>
        <w:jc w:val="both"/>
      </w:pPr>
      <w:r w:rsidRPr="00CB4F2C">
        <w:t>En prenant pour acquis cette dernière idée tout comme celle du c</w:t>
      </w:r>
      <w:r w:rsidRPr="00CB4F2C">
        <w:t>a</w:t>
      </w:r>
      <w:r w:rsidRPr="00CB4F2C">
        <w:t>ractère déphasé d'un nationalisme à base ethnique au Québec ou d'un nationalisme biethnique au Canada, se pose alors sans équivoque l'o</w:t>
      </w:r>
      <w:r w:rsidRPr="00CB4F2C">
        <w:t>p</w:t>
      </w:r>
      <w:r w:rsidRPr="00CB4F2C">
        <w:t>portunité de l'indépendance du Québec car, en bout de piste, sa portée demeurera des plus limitées et s'apparentera à celle d'une province au sein d'un ensemble plus vaste, l'ALENA ou quelque chose de sembl</w:t>
      </w:r>
      <w:r w:rsidRPr="00CB4F2C">
        <w:t>a</w:t>
      </w:r>
      <w:r w:rsidRPr="00CB4F2C">
        <w:t>ble en Amérique du Nord. Se pose aussi sans équivoque l'o</w:t>
      </w:r>
      <w:r w:rsidRPr="00CB4F2C">
        <w:t>p</w:t>
      </w:r>
      <w:r w:rsidRPr="00CB4F2C">
        <w:t>portunité de maintenir une province distincte et autonome dans le cadre de l'État-nation canadien dans la mesure où cet État-nation se « provincialisera » au sein de l'ALENA et y deviendra, avec le temps, ce qu'a été ces dernières années la province de Québec au sein de la fédération canadienne. À mon avis, dans la conjoncture actuelle, il n'y a guère d'autres façons de poser la problématique nationalitaire au Québec. En la posant ainsi, je postule que le nationalisme à base et</w:t>
      </w:r>
      <w:r w:rsidRPr="00CB4F2C">
        <w:t>h</w:t>
      </w:r>
      <w:r w:rsidRPr="00CB4F2C">
        <w:t>nique qui s'est développé au Québec avec la Révolution tra</w:t>
      </w:r>
      <w:r w:rsidRPr="00CB4F2C">
        <w:t>n</w:t>
      </w:r>
      <w:r w:rsidRPr="00CB4F2C">
        <w:t>quille est voué à un cul-de-sac à la fois dans ses versions revendicatrice, fédér</w:t>
      </w:r>
      <w:r w:rsidRPr="00CB4F2C">
        <w:t>a</w:t>
      </w:r>
      <w:r w:rsidRPr="00CB4F2C">
        <w:t>liste et indépendantiste. En s'affirmant de nouveau, ce type de nation</w:t>
      </w:r>
      <w:r w:rsidRPr="00CB4F2C">
        <w:t>a</w:t>
      </w:r>
      <w:r w:rsidRPr="00CB4F2C">
        <w:t>lisme poussera dans les déchets de l'histoire ceux-là mêmes qu'il vo</w:t>
      </w:r>
      <w:r w:rsidRPr="00CB4F2C">
        <w:t>u</w:t>
      </w:r>
      <w:r w:rsidRPr="00CB4F2C">
        <w:t>drait faire apparaître. Seules les façons d'y arriver varieront.</w:t>
      </w:r>
    </w:p>
    <w:p w:rsidR="00B7214C" w:rsidRPr="00CB4F2C" w:rsidRDefault="00B7214C" w:rsidP="00B7214C">
      <w:pPr>
        <w:spacing w:before="120" w:after="120"/>
        <w:jc w:val="both"/>
      </w:pPr>
      <w:r w:rsidRPr="00CB4F2C">
        <w:t>À mon avis, le nationalisme revendicateur, celui que V</w:t>
      </w:r>
      <w:r w:rsidRPr="00CB4F2C">
        <w:t>a</w:t>
      </w:r>
      <w:r w:rsidRPr="00CB4F2C">
        <w:t>cher (1992) décrit comme irresponsable et pleurnichard et qui a permis le renforcement de la position du Québec au sein du Canada durant les années 1960 et 1970, n'a plus d'avenir. Le contenu de l'Entente de Charlottetown a révélé qu'il n'y a pas</w:t>
      </w:r>
      <w:r>
        <w:t xml:space="preserve"> [109] </w:t>
      </w:r>
      <w:r w:rsidRPr="00CB4F2C">
        <w:t>d'ouverture au Canada pour mettre en place un système à deux v</w:t>
      </w:r>
      <w:r w:rsidRPr="00CB4F2C">
        <w:t>i</w:t>
      </w:r>
      <w:r w:rsidRPr="00CB4F2C">
        <w:t>tesses favorisant le Québec. De plus, relancer l'idée de l'affirmation du peuple québécois à l'int</w:t>
      </w:r>
      <w:r w:rsidRPr="00CB4F2C">
        <w:t>é</w:t>
      </w:r>
      <w:r w:rsidRPr="00CB4F2C">
        <w:t>rieur du territoire de la province de Québec soulèvera l'ire et la grogne des Québ</w:t>
      </w:r>
      <w:r w:rsidRPr="00CB4F2C">
        <w:t>é</w:t>
      </w:r>
      <w:r w:rsidRPr="00CB4F2C">
        <w:t>cois et des Québécoises dont les référents historiques n'ont rien en commun avec ceux des francophones de souche. Dès lors, to</w:t>
      </w:r>
      <w:r w:rsidRPr="00CB4F2C">
        <w:t>u</w:t>
      </w:r>
      <w:r w:rsidRPr="00CB4F2C">
        <w:t>te tentative en ce sens émanant du Bloc québécois ou toute démarche analogue venant d'un parti politique du Qu</w:t>
      </w:r>
      <w:r w:rsidRPr="00CB4F2C">
        <w:t>é</w:t>
      </w:r>
      <w:r w:rsidRPr="00CB4F2C">
        <w:t>bec est vouée à l'échec. L'activer serait tomber une fois de plus dans le piège du conquis dont les réflexes premiers sont de refuser la rupture de peur de se retrouver face à lui-même et maître de son destin comme de refuser l'assimil</w:t>
      </w:r>
      <w:r w:rsidRPr="00CB4F2C">
        <w:t>a</w:t>
      </w:r>
      <w:r w:rsidRPr="00CB4F2C">
        <w:t>tion par crainte de ne plus être. En bout de piste, cela conduirait à e</w:t>
      </w:r>
      <w:r w:rsidRPr="00CB4F2C">
        <w:t>n</w:t>
      </w:r>
      <w:r w:rsidRPr="00CB4F2C">
        <w:t>tretenir un rêve irréalisable, transformerait petit à petit ceux et celles qui s'y réfugient en faux prophètes et contribuerait à faire des Québ</w:t>
      </w:r>
      <w:r w:rsidRPr="00CB4F2C">
        <w:t>é</w:t>
      </w:r>
      <w:r w:rsidRPr="00CB4F2C">
        <w:t>cois francophones de souche d'éte</w:t>
      </w:r>
      <w:r>
        <w:t>rn</w:t>
      </w:r>
      <w:r w:rsidRPr="00CB4F2C">
        <w:t>els ma</w:t>
      </w:r>
      <w:r w:rsidRPr="00CB4F2C">
        <w:t>r</w:t>
      </w:r>
      <w:r w:rsidRPr="00CB4F2C">
        <w:t>tyrs de l'histoire. Dans la conjoncture actuelle, ce type de n</w:t>
      </w:r>
      <w:r w:rsidRPr="00CB4F2C">
        <w:t>a</w:t>
      </w:r>
      <w:r w:rsidRPr="00CB4F2C">
        <w:t xml:space="preserve">tionalisme ne peut mener qu'à une impasse. Il n'y a que deux voies possibles : la « déprovincialisation » </w:t>
      </w:r>
      <w:r>
        <w:t>du Québec pour laisser plus de p</w:t>
      </w:r>
      <w:r w:rsidRPr="00CB4F2C">
        <w:t>lace au Can</w:t>
      </w:r>
      <w:r w:rsidRPr="00CB4F2C">
        <w:t>a</w:t>
      </w:r>
      <w:r w:rsidRPr="00CB4F2C">
        <w:t>da ou la transformation de la province de Québec en un État-nation nouveau genre. Dans cette optique, le Bloc québécois ne saurait qu'être le dernier relent du nati</w:t>
      </w:r>
      <w:r w:rsidRPr="00CB4F2C">
        <w:t>o</w:t>
      </w:r>
      <w:r w:rsidRPr="00CB4F2C">
        <w:t>nalisme des année</w:t>
      </w:r>
      <w:r>
        <w:t>s 1960-1970 et le consolida</w:t>
      </w:r>
      <w:r w:rsidRPr="00CB4F2C">
        <w:t>teur d'une nouvelle a</w:t>
      </w:r>
      <w:r w:rsidRPr="00CB4F2C">
        <w:t>p</w:t>
      </w:r>
      <w:r w:rsidRPr="00CB4F2C">
        <w:t>proche de l'indépendantisme au Qu</w:t>
      </w:r>
      <w:r w:rsidRPr="00CB4F2C">
        <w:t>é</w:t>
      </w:r>
      <w:r w:rsidRPr="00CB4F2C">
        <w:t>bec.</w:t>
      </w:r>
    </w:p>
    <w:p w:rsidR="00B7214C" w:rsidRPr="00CB4F2C" w:rsidRDefault="00B7214C" w:rsidP="00B7214C">
      <w:pPr>
        <w:spacing w:before="120" w:after="120"/>
        <w:jc w:val="both"/>
      </w:pPr>
      <w:r w:rsidRPr="00CB4F2C">
        <w:t>Ces deux voies et ce qu'elles impliquent se définissent actuell</w:t>
      </w:r>
      <w:r w:rsidRPr="00CB4F2C">
        <w:t>e</w:t>
      </w:r>
      <w:r w:rsidRPr="00CB4F2C">
        <w:t>ment. Avec le Parti libéral du Québec, se mettent en place tous les éléments qui vont conduire à la banalisation de l'autonomie du Québec et, en regard de la population franc</w:t>
      </w:r>
      <w:r w:rsidRPr="00CB4F2C">
        <w:t>o</w:t>
      </w:r>
      <w:r w:rsidRPr="00CB4F2C">
        <w:t>phone, à son enclavement et sa redéfinition en sol québécois en liaison avec les francophones du C</w:t>
      </w:r>
      <w:r w:rsidRPr="00CB4F2C">
        <w:t>a</w:t>
      </w:r>
      <w:r w:rsidRPr="00CB4F2C">
        <w:t>nada. Les gestes r</w:t>
      </w:r>
      <w:r w:rsidRPr="00CB4F2C">
        <w:t>é</w:t>
      </w:r>
      <w:r w:rsidRPr="00CB4F2C">
        <w:t>cents du gouvernement Bourassa en donnent des signes révélateurs. Au Québec, le gouvernement provincial se ratat</w:t>
      </w:r>
      <w:r w:rsidRPr="00CB4F2C">
        <w:t>i</w:t>
      </w:r>
      <w:r w:rsidRPr="00CB4F2C">
        <w:t>nera au point de paraître d'ici peu semblable à ce qu'il était avant la Révolution tranquille, voire avant les poussées autonomi</w:t>
      </w:r>
      <w:r w:rsidRPr="00CB4F2C">
        <w:t>s</w:t>
      </w:r>
      <w:r w:rsidRPr="00CB4F2C">
        <w:t>tes qu'il a connues sous Duplessis. Il gérera d'ailleurs tout ce qui bouge en appl</w:t>
      </w:r>
      <w:r w:rsidRPr="00CB4F2C">
        <w:t>i</w:t>
      </w:r>
      <w:r w:rsidRPr="00CB4F2C">
        <w:t>quant les instructions venant du Canada. Pour ce faire, le gouvern</w:t>
      </w:r>
      <w:r w:rsidRPr="00CB4F2C">
        <w:t>e</w:t>
      </w:r>
      <w:r w:rsidRPr="00CB4F2C">
        <w:t>ment Bourassa cherchera à se pl</w:t>
      </w:r>
      <w:r w:rsidRPr="00CB4F2C">
        <w:t>a</w:t>
      </w:r>
      <w:r w:rsidRPr="00CB4F2C">
        <w:t>cer au-dessus des lois de l'Assemblée nationale et tentera d'affirmer, au nom d'une urgence nationale, la ju</w:t>
      </w:r>
      <w:r w:rsidRPr="00CB4F2C">
        <w:t>s</w:t>
      </w:r>
      <w:r w:rsidRPr="00CB4F2C">
        <w:t>tesse de ses visées. C'est ce qu'il a fait en banalisant la loi 150 pour faire adopter l'Entente de Charlottetown par l'Assemblée nationale et c'est ce qu'il fera d'ici peu avec la loi 86 et les lois qui s'a</w:t>
      </w:r>
      <w:r w:rsidRPr="00CB4F2C">
        <w:t>n</w:t>
      </w:r>
      <w:r w:rsidRPr="00CB4F2C">
        <w:t>noncent pour purger la province de ses excès autonomistes, surtout ceux des trente dernières années.</w:t>
      </w:r>
    </w:p>
    <w:p w:rsidR="00B7214C" w:rsidRPr="00CB4F2C" w:rsidRDefault="00B7214C" w:rsidP="00B7214C">
      <w:pPr>
        <w:spacing w:before="120" w:after="120"/>
        <w:jc w:val="both"/>
      </w:pPr>
      <w:r w:rsidRPr="00CB4F2C">
        <w:t>Une telle démarche va dans le sens de l'Entente de Cha</w:t>
      </w:r>
      <w:r w:rsidRPr="00CB4F2C">
        <w:t>r</w:t>
      </w:r>
      <w:r w:rsidRPr="00CB4F2C">
        <w:t>lottetown. Les défis qu'elle pose n'exigent guère de grands dépassements, seul</w:t>
      </w:r>
      <w:r w:rsidRPr="00CB4F2C">
        <w:t>e</w:t>
      </w:r>
      <w:r w:rsidRPr="00CB4F2C">
        <w:t>ment de l'audace pour rejeter du revers de la main les rêves beaucoup plus audacieux d'une portion i</w:t>
      </w:r>
      <w:r w:rsidRPr="00CB4F2C">
        <w:t>m</w:t>
      </w:r>
      <w:r w:rsidRPr="00CB4F2C">
        <w:t>portante de la population du Québec. Saura-t-elle déboucher sur la reconstitution et la survie du groupe et</w:t>
      </w:r>
      <w:r w:rsidRPr="00CB4F2C">
        <w:t>h</w:t>
      </w:r>
      <w:r w:rsidRPr="00CB4F2C">
        <w:t>nique « canadien-français ». Sur ce point, j'ai des doutes. Selon Sali</w:t>
      </w:r>
      <w:r w:rsidRPr="00CB4F2C">
        <w:t>s</w:t>
      </w:r>
      <w:r w:rsidRPr="00CB4F2C">
        <w:t>bury (1985), au moins cinq conditions sont nécessaires pour qu'un groupe ethnique minoritaire au sein d'une nation puisse assurer sa su</w:t>
      </w:r>
      <w:r w:rsidRPr="00CB4F2C">
        <w:t>r</w:t>
      </w:r>
      <w:r w:rsidRPr="00CB4F2C">
        <w:t>vie : 1) un milieu économiquement fav</w:t>
      </w:r>
      <w:r w:rsidRPr="00CB4F2C">
        <w:t>o</w:t>
      </w:r>
      <w:r>
        <w:t>risé, 2) l'accepta</w:t>
      </w:r>
      <w:r w:rsidRPr="00CB4F2C">
        <w:t>tion</w:t>
      </w:r>
      <w:r>
        <w:t xml:space="preserve"> [110]</w:t>
      </w:r>
      <w:r w:rsidRPr="00CB4F2C">
        <w:t xml:space="preserve"> avec discrimination des changements technologiques, 3) le maintien de frontières culturelles grâce à un pouvoir politique solidement enr</w:t>
      </w:r>
      <w:r w:rsidRPr="00CB4F2C">
        <w:t>a</w:t>
      </w:r>
      <w:r w:rsidRPr="00CB4F2C">
        <w:t>ciné, 4) l'affirmation d'une identité propre et 5) le refus des valeurs matérialistes prônées par la société dominante. L'enclave francophone</w:t>
      </w:r>
      <w:r>
        <w:t xml:space="preserve"> qui naîtra de la « reprovincia</w:t>
      </w:r>
      <w:r w:rsidRPr="00CB4F2C">
        <w:t>lisation » du Québec ne possédera auc</w:t>
      </w:r>
      <w:r w:rsidRPr="00CB4F2C">
        <w:t>u</w:t>
      </w:r>
      <w:r w:rsidRPr="00CB4F2C">
        <w:t>nement de telles assises. Présentement, les Québécois fra</w:t>
      </w:r>
      <w:r w:rsidRPr="00CB4F2C">
        <w:t>n</w:t>
      </w:r>
      <w:r w:rsidRPr="00CB4F2C">
        <w:t>cophones de souche ne se présentent plus tel un groupe ethnique hom</w:t>
      </w:r>
      <w:r w:rsidRPr="00CB4F2C">
        <w:t>o</w:t>
      </w:r>
      <w:r w:rsidRPr="00CB4F2C">
        <w:t>gène. Ils ont été traversés par des aspirations contradictoires que seule la valoris</w:t>
      </w:r>
      <w:r w:rsidRPr="00CB4F2C">
        <w:t>a</w:t>
      </w:r>
      <w:r w:rsidRPr="00CB4F2C">
        <w:t>tion de l'État du Québec permettait de conjuguer, du moins jusqu'à tout récemment. Aujourd'hui, ils sont pilotés par des dirigeants polit</w:t>
      </w:r>
      <w:r w:rsidRPr="00CB4F2C">
        <w:t>i</w:t>
      </w:r>
      <w:r w:rsidRPr="00CB4F2C">
        <w:t>ques surtout asservis au milieu des affaires. Guère enracinés, ces de</w:t>
      </w:r>
      <w:r w:rsidRPr="00CB4F2C">
        <w:t>r</w:t>
      </w:r>
      <w:r w:rsidRPr="00CB4F2C">
        <w:t>niers véhiculent précisément un modèle de société aux antipodes de ce qui pourrait favoriser l'émergence d'une identité pr</w:t>
      </w:r>
      <w:r w:rsidRPr="00CB4F2C">
        <w:t>o</w:t>
      </w:r>
      <w:r w:rsidRPr="00CB4F2C">
        <w:t>pre construite sur des valeurs distinctes de celles de la société dom</w:t>
      </w:r>
      <w:r w:rsidRPr="00CB4F2C">
        <w:t>i</w:t>
      </w:r>
      <w:r w:rsidRPr="00CB4F2C">
        <w:t>nante. De plus, le contexte social contemporain, selon Lipovetsky (1992), ne favorise guère de tels ancrages. L'accent est mis sur l'affi</w:t>
      </w:r>
      <w:r w:rsidRPr="00CB4F2C">
        <w:t>r</w:t>
      </w:r>
      <w:r w:rsidRPr="00CB4F2C">
        <w:t>mation des intérêts individuels plutôt que sur l'e</w:t>
      </w:r>
      <w:r w:rsidRPr="00CB4F2C">
        <w:t>n</w:t>
      </w:r>
      <w:r w:rsidRPr="00CB4F2C">
        <w:t>voûtement pour une cause collective. Dès lors, il sera difficile d'assurer cette reconstit</w:t>
      </w:r>
      <w:r w:rsidRPr="00CB4F2C">
        <w:t>u</w:t>
      </w:r>
      <w:r w:rsidRPr="00CB4F2C">
        <w:t>tion. On assistera plutôt à la manifestation de signes révélant un ce</w:t>
      </w:r>
      <w:r w:rsidRPr="00CB4F2C">
        <w:t>r</w:t>
      </w:r>
      <w:r w:rsidRPr="00CB4F2C">
        <w:t>tain désarroi. Encore là, ce sera l'impasse pour ce type de nationali</w:t>
      </w:r>
      <w:r w:rsidRPr="00CB4F2C">
        <w:t>s</w:t>
      </w:r>
      <w:r w:rsidRPr="00CB4F2C">
        <w:t>me.</w:t>
      </w:r>
    </w:p>
    <w:p w:rsidR="00B7214C" w:rsidRPr="00CB4F2C" w:rsidRDefault="00B7214C" w:rsidP="00B7214C">
      <w:pPr>
        <w:spacing w:before="120" w:after="120"/>
        <w:jc w:val="both"/>
      </w:pPr>
      <w:r w:rsidRPr="00CB4F2C">
        <w:t>L'autre voie, celle qui déboucherait sur un État-nation, est en cours de réalisation. Le statut de cet État-nation pourra être, selon Morin (1991), analogue à celui d'une province dans un gouvernement supr</w:t>
      </w:r>
      <w:r w:rsidRPr="00CB4F2C">
        <w:t>a</w:t>
      </w:r>
      <w:r w:rsidRPr="00CB4F2C">
        <w:t>national. Compte tenu des asp</w:t>
      </w:r>
      <w:r w:rsidRPr="00CB4F2C">
        <w:t>i</w:t>
      </w:r>
      <w:r w:rsidRPr="00CB4F2C">
        <w:t>rations nationalistes contradictoires des francophones de so</w:t>
      </w:r>
      <w:r w:rsidRPr="00CB4F2C">
        <w:t>u</w:t>
      </w:r>
      <w:r w:rsidRPr="00CB4F2C">
        <w:t>che, cette voie ne saurait facilement émaner d'eux seuls. Et, si tel était le cas, ce qui est possible, la création de ce type d'État-nation paraîtra tel un anarchisme de l'histoire et sera reçue n</w:t>
      </w:r>
      <w:r w:rsidRPr="00CB4F2C">
        <w:t>é</w:t>
      </w:r>
      <w:r w:rsidRPr="00CB4F2C">
        <w:t>gativement sur la scène internationale. Aussi, y a-t-il de grands risques que ce type de nationalisme débouche sur une impasse. À mon avis, pour que cette voie sorte gagnante, ce type de nationalisme doit être subordonné à la mise au point d'un projet de société construit en lia</w:t>
      </w:r>
      <w:r w:rsidRPr="00CB4F2C">
        <w:t>i</w:t>
      </w:r>
      <w:r w:rsidRPr="00CB4F2C">
        <w:t>son avec les diverses composantes de la société québécoise. En d'a</w:t>
      </w:r>
      <w:r w:rsidRPr="00CB4F2C">
        <w:t>u</w:t>
      </w:r>
      <w:r w:rsidRPr="00CB4F2C">
        <w:t>tres termes, la concrétisation de cette voie implique une rupture pr</w:t>
      </w:r>
      <w:r w:rsidRPr="00CB4F2C">
        <w:t>o</w:t>
      </w:r>
      <w:r w:rsidRPr="00CB4F2C">
        <w:t>fonde dans la façon de voir d'un grand nombre d'indépendantistes francophones de souche. Une rupture qui les amènera à év</w:t>
      </w:r>
      <w:r w:rsidRPr="00CB4F2C">
        <w:t>a</w:t>
      </w:r>
      <w:r w:rsidRPr="00CB4F2C">
        <w:t>cuer du projet indépendantiste toute vision ethniciste, passéi</w:t>
      </w:r>
      <w:r w:rsidRPr="00CB4F2C">
        <w:t>s</w:t>
      </w:r>
      <w:r w:rsidRPr="00CB4F2C">
        <w:t>te et culturelle, ce que plusieurs indépendantistes ont déjà fait. Ce n'est que par cette rupture qu'un mythe fondateur de l'État-nation du Québec pourra voir le jour sur des bases a</w:t>
      </w:r>
      <w:r w:rsidRPr="00CB4F2C">
        <w:t>u</w:t>
      </w:r>
      <w:r w:rsidRPr="00CB4F2C">
        <w:t>tres que les drames vécus par les francophones de souche. En d'autres termes, un tel mythe fondateur ne peut être que le produit de toutes les composantes de la population du Qu</w:t>
      </w:r>
      <w:r w:rsidRPr="00CB4F2C">
        <w:t>é</w:t>
      </w:r>
      <w:r w:rsidRPr="00CB4F2C">
        <w:t>bec.</w:t>
      </w:r>
    </w:p>
    <w:p w:rsidR="00B7214C" w:rsidRPr="00CB4F2C" w:rsidRDefault="00B7214C" w:rsidP="00B7214C">
      <w:pPr>
        <w:spacing w:before="120" w:after="120"/>
        <w:jc w:val="both"/>
      </w:pPr>
      <w:r w:rsidRPr="00CB4F2C">
        <w:t>Un tel dépassement interpellera les autres composantes de la pop</w:t>
      </w:r>
      <w:r w:rsidRPr="00CB4F2C">
        <w:t>u</w:t>
      </w:r>
      <w:r w:rsidRPr="00CB4F2C">
        <w:t>lation du Québec dont on sait qu'elles sont maintenues à distance par le déploiement de politiques canadiennes val</w:t>
      </w:r>
      <w:r w:rsidRPr="00CB4F2C">
        <w:t>o</w:t>
      </w:r>
      <w:r w:rsidRPr="00CB4F2C">
        <w:t>risant la pluriethnicité. Si ce dépassement prend forme, ce qui peut se produire assez rapid</w:t>
      </w:r>
      <w:r w:rsidRPr="00CB4F2C">
        <w:t>e</w:t>
      </w:r>
      <w:r w:rsidRPr="00CB4F2C">
        <w:t>ment, d'autres seront nécessaires. Ils renvoient aux façons d'être et aux façons</w:t>
      </w:r>
      <w:r>
        <w:t xml:space="preserve"> [111] </w:t>
      </w:r>
      <w:r w:rsidRPr="00CB4F2C">
        <w:t>d'aborder collectivement l'insertion économique et pol</w:t>
      </w:r>
      <w:r w:rsidRPr="00CB4F2C">
        <w:t>i</w:t>
      </w:r>
      <w:r w:rsidRPr="00CB4F2C">
        <w:t>tique du Québec sur la scène internationale comme aussi aux façons de redéf</w:t>
      </w:r>
      <w:r w:rsidRPr="00CB4F2C">
        <w:t>i</w:t>
      </w:r>
      <w:r w:rsidRPr="00CB4F2C">
        <w:t>nir l'État-nation en tenant compte de la conjoncture actuelle. Sous cet angle, le Québec du dépassement pourrait devenir un boui</w:t>
      </w:r>
      <w:r w:rsidRPr="00CB4F2C">
        <w:t>l</w:t>
      </w:r>
      <w:r w:rsidRPr="00CB4F2C">
        <w:t>lon de réflexions des plus r</w:t>
      </w:r>
      <w:r w:rsidRPr="00CB4F2C">
        <w:t>i</w:t>
      </w:r>
      <w:r w:rsidRPr="00CB4F2C">
        <w:t>ches et une source de motivation des plus fécondes. Il y a ici amplement de ressources humaines pour y travai</w:t>
      </w:r>
      <w:r w:rsidRPr="00CB4F2C">
        <w:t>l</w:t>
      </w:r>
      <w:r w:rsidRPr="00CB4F2C">
        <w:t>ler. Si ce travail est fait en cherchant fondamentalement à cimenter davantage les liens entre les diverses composantes de la popul</w:t>
      </w:r>
      <w:r w:rsidRPr="00CB4F2C">
        <w:t>a</w:t>
      </w:r>
      <w:r w:rsidRPr="00CB4F2C">
        <w:t>tion du Québec, émergera alors une conception du groupe des Québécois francophones de souche fort différente de celles présentement véhic</w:t>
      </w:r>
      <w:r w:rsidRPr="00CB4F2C">
        <w:t>u</w:t>
      </w:r>
      <w:r w:rsidRPr="00CB4F2C">
        <w:t>lées comme émergeront aussi des conceptions nouvelles au sein des autres comp</w:t>
      </w:r>
      <w:r w:rsidRPr="00CB4F2C">
        <w:t>o</w:t>
      </w:r>
      <w:r w:rsidRPr="00CB4F2C">
        <w:t>santes de la population du Québec, ce qui sera une sorte d'issue aux i</w:t>
      </w:r>
      <w:r w:rsidRPr="00CB4F2C">
        <w:t>m</w:t>
      </w:r>
      <w:r w:rsidRPr="00CB4F2C">
        <w:t>passes actuelles.</w:t>
      </w:r>
    </w:p>
    <w:p w:rsidR="00B7214C" w:rsidRDefault="00B7214C" w:rsidP="00B7214C">
      <w:pPr>
        <w:spacing w:before="120" w:after="120"/>
        <w:jc w:val="both"/>
      </w:pPr>
    </w:p>
    <w:p w:rsidR="00B7214C" w:rsidRPr="00CB4F2C" w:rsidRDefault="00B7214C" w:rsidP="00B7214C">
      <w:pPr>
        <w:pStyle w:val="a"/>
      </w:pPr>
      <w:r w:rsidRPr="00CB4F2C">
        <w:t>CONCLUSION</w:t>
      </w:r>
    </w:p>
    <w:p w:rsidR="00B7214C" w:rsidRDefault="00B7214C" w:rsidP="00B7214C">
      <w:pPr>
        <w:spacing w:before="120" w:after="120"/>
        <w:jc w:val="both"/>
      </w:pPr>
    </w:p>
    <w:p w:rsidR="00B7214C" w:rsidRPr="00CB4F2C" w:rsidRDefault="00B7214C" w:rsidP="00B7214C">
      <w:pPr>
        <w:spacing w:before="120" w:after="120"/>
        <w:jc w:val="both"/>
      </w:pPr>
      <w:r w:rsidRPr="00CB4F2C">
        <w:t>Des trois « sensibilités politiques » qui cohabitent chez les franc</w:t>
      </w:r>
      <w:r w:rsidRPr="00CB4F2C">
        <w:t>o</w:t>
      </w:r>
      <w:r w:rsidRPr="00CB4F2C">
        <w:t>phones de souche, aucune d'entre elles ne saurait d</w:t>
      </w:r>
      <w:r w:rsidRPr="00CB4F2C">
        <w:t>é</w:t>
      </w:r>
      <w:r w:rsidRPr="00CB4F2C">
        <w:t>boucher sur une entrée dans l'histoire. Toutes les trois condu</w:t>
      </w:r>
      <w:r w:rsidRPr="00CB4F2C">
        <w:t>i</w:t>
      </w:r>
      <w:r w:rsidRPr="00CB4F2C">
        <w:t xml:space="preserve">ront, si elles se déploient, à .des culs-de-sac. Le nationalisme revendicateur avec ses penchants en faveur de la souveraineté ou du renouvellement de la </w:t>
      </w:r>
      <w:r w:rsidRPr="007579C6">
        <w:rPr>
          <w:i/>
          <w:iCs/>
        </w:rPr>
        <w:t>Loi constit</w:t>
      </w:r>
      <w:r w:rsidRPr="007579C6">
        <w:rPr>
          <w:i/>
          <w:iCs/>
        </w:rPr>
        <w:t>u</w:t>
      </w:r>
      <w:r w:rsidRPr="007579C6">
        <w:rPr>
          <w:i/>
          <w:iCs/>
        </w:rPr>
        <w:t>tionnelle</w:t>
      </w:r>
      <w:r w:rsidRPr="00CB4F2C">
        <w:t xml:space="preserve"> a atteint ses limites. Le réactiver entretiendrait de façon p</w:t>
      </w:r>
      <w:r w:rsidRPr="00CB4F2C">
        <w:t>a</w:t>
      </w:r>
      <w:r w:rsidRPr="00CB4F2C">
        <w:t>thologique un rêve qui ne se réalisera pas. Le rapatriement de la con</w:t>
      </w:r>
      <w:r w:rsidRPr="00CB4F2C">
        <w:t>s</w:t>
      </w:r>
      <w:r w:rsidRPr="00CB4F2C">
        <w:t>tit</w:t>
      </w:r>
      <w:r w:rsidRPr="00CB4F2C">
        <w:t>u</w:t>
      </w:r>
      <w:r w:rsidRPr="00CB4F2C">
        <w:t>tion en 1982 l'a littéralement piégé et verrouillé à tout jamais. Quant au nationalisme fédératif, celui qui s'enracine avec l'orientation prise par le Parti libéral du Québec, il suscitera des tensions et des d</w:t>
      </w:r>
      <w:r w:rsidRPr="00CB4F2C">
        <w:t>é</w:t>
      </w:r>
      <w:r w:rsidRPr="00CB4F2C">
        <w:t>chir</w:t>
      </w:r>
      <w:r w:rsidRPr="00CB4F2C">
        <w:t>e</w:t>
      </w:r>
      <w:r w:rsidRPr="00CB4F2C">
        <w:t>ments si tant est qu'il parvient à s'imposer car il attaque de plein front des rêves longuement entretenus qui, ces dernières années, ont été perçus comme réalisables. Obligeant à des reniements et des aba</w:t>
      </w:r>
      <w:r w:rsidRPr="00CB4F2C">
        <w:t>n</w:t>
      </w:r>
      <w:r w:rsidRPr="00CB4F2C">
        <w:t>dons, tout au plus peut-il conduire à la « réethnicisation » des franc</w:t>
      </w:r>
      <w:r w:rsidRPr="00CB4F2C">
        <w:t>o</w:t>
      </w:r>
      <w:r w:rsidRPr="00CB4F2C">
        <w:t>phones de souche en tant que Canadiens français et ce, non sans aju</w:t>
      </w:r>
      <w:r w:rsidRPr="00CB4F2C">
        <w:t>s</w:t>
      </w:r>
      <w:r w:rsidRPr="00CB4F2C">
        <w:t>tements majeurs. Enfin, le nationalisme indépenda</w:t>
      </w:r>
      <w:r w:rsidRPr="00CB4F2C">
        <w:t>n</w:t>
      </w:r>
      <w:r w:rsidRPr="00CB4F2C">
        <w:t>tiste, parce qu'il véhicule un projet de société construit sur une vision ethnique, est aussi un rêve sans issue dans la m</w:t>
      </w:r>
      <w:r w:rsidRPr="00CB4F2C">
        <w:t>e</w:t>
      </w:r>
      <w:r w:rsidRPr="00CB4F2C">
        <w:t>sure où sa concrétisation inquiète plus qu'elle n'enthousiasme les autres composantes de la population du Québec et génér</w:t>
      </w:r>
      <w:r w:rsidRPr="00CB4F2C">
        <w:t>e</w:t>
      </w:r>
      <w:r w:rsidRPr="00CB4F2C">
        <w:t>ra, pour ces raisons, des réactions négatives sur la scène i</w:t>
      </w:r>
      <w:r w:rsidRPr="00CB4F2C">
        <w:t>n</w:t>
      </w:r>
      <w:r w:rsidRPr="00CB4F2C">
        <w:t>ternationale.</w:t>
      </w:r>
    </w:p>
    <w:p w:rsidR="00B7214C" w:rsidRPr="00CB4F2C" w:rsidRDefault="00B7214C" w:rsidP="00B7214C">
      <w:pPr>
        <w:spacing w:before="120" w:after="120"/>
        <w:jc w:val="both"/>
      </w:pPr>
      <w:r w:rsidRPr="00CB4F2C">
        <w:t>De ces trois voies, les deux premières ne peuvent débo</w:t>
      </w:r>
      <w:r w:rsidRPr="00CB4F2C">
        <w:t>u</w:t>
      </w:r>
      <w:r w:rsidRPr="00CB4F2C">
        <w:t>cher sur l'entrée dans l'histoire parce qu'elles ne sont que des formes de rési</w:t>
      </w:r>
      <w:r w:rsidRPr="00CB4F2C">
        <w:t>s</w:t>
      </w:r>
      <w:r w:rsidRPr="00CB4F2C">
        <w:t>tance à la marginalisation des francophones de souche. Aussi, est-il fondamental qu'elles soient ainsi pe</w:t>
      </w:r>
      <w:r w:rsidRPr="00CB4F2C">
        <w:t>r</w:t>
      </w:r>
      <w:r w:rsidRPr="00CB4F2C">
        <w:t>çues. Seul l'indépendantisme est une porte d'entrée. Dans l'ère actuelle de mondialisation, elle doit être bien jaugée afin d'éviter des dérapages qui auraient comme cons</w:t>
      </w:r>
      <w:r w:rsidRPr="00CB4F2C">
        <w:t>é</w:t>
      </w:r>
      <w:r w:rsidRPr="00CB4F2C">
        <w:t>quence de la fermer. C'est en ce sens que j'ai avancé, au début de ce texte, que la barre était haute pour faire l'indépendance. Elle est haute parce que sa réalisation nécessitera à la fois</w:t>
      </w:r>
      <w:r>
        <w:t xml:space="preserve"> [112] </w:t>
      </w:r>
      <w:r w:rsidRPr="00CB4F2C">
        <w:t>la mise au rancart de la conception ethnique qui anime plusieurs francophones de souche et l'affirmation d'une conception contractuelle nouveau genre. Pour l'essentiel, cette conception nouvelle devra mettre de l'avant un vo</w:t>
      </w:r>
      <w:r w:rsidRPr="00CB4F2C">
        <w:t>u</w:t>
      </w:r>
      <w:r w:rsidRPr="00CB4F2C">
        <w:t>loir v</w:t>
      </w:r>
      <w:r w:rsidRPr="00CB4F2C">
        <w:t>i</w:t>
      </w:r>
      <w:r w:rsidRPr="00CB4F2C">
        <w:t>vre en commun qui sert de code d'accès à l'universel tout en maintenant une grande ouverture à la diversité. Demain, les États r</w:t>
      </w:r>
      <w:r w:rsidRPr="00CB4F2C">
        <w:t>e</w:t>
      </w:r>
      <w:r w:rsidRPr="00CB4F2C">
        <w:t>connus sur la scène internationale seront des lieux de référence de ce type. Ils chercheront à assurer l'articulation entre « les instances inte</w:t>
      </w:r>
      <w:r w:rsidRPr="00CB4F2C">
        <w:t>r</w:t>
      </w:r>
      <w:r w:rsidRPr="00CB4F2C">
        <w:t>nationales trop détachées de l'hum</w:t>
      </w:r>
      <w:r w:rsidRPr="00CB4F2C">
        <w:t>a</w:t>
      </w:r>
      <w:r w:rsidRPr="00CB4F2C">
        <w:t>nité concrète et du jeu politique des forces sociales [et] les identités particularisantes trop éloignées des conceptions électives du vivre ensemble » (Th</w:t>
      </w:r>
      <w:r w:rsidRPr="00CB4F2C">
        <w:t>é</w:t>
      </w:r>
      <w:r w:rsidRPr="00CB4F2C">
        <w:t>riault, 1992, p. 18).</w:t>
      </w:r>
    </w:p>
    <w:p w:rsidR="00B7214C" w:rsidRPr="00CB4F2C" w:rsidRDefault="00B7214C" w:rsidP="00B7214C">
      <w:pPr>
        <w:spacing w:before="120" w:after="120"/>
        <w:jc w:val="both"/>
      </w:pPr>
      <w:r w:rsidRPr="00CB4F2C">
        <w:t>Cette façon d'aborder l'idée de l'indépendance du Québec m'app</w:t>
      </w:r>
      <w:r w:rsidRPr="00CB4F2C">
        <w:t>a</w:t>
      </w:r>
      <w:r w:rsidRPr="00CB4F2C">
        <w:t>raît la seule porteuse d'avenir. Si elle implique des d</w:t>
      </w:r>
      <w:r w:rsidRPr="00CB4F2C">
        <w:t>é</w:t>
      </w:r>
      <w:r w:rsidRPr="00CB4F2C">
        <w:t>passements, il importe cependant de souligner que certains d'entre eux s'expriment déjà et s'exprimeront de plus en plus dès que cette idée sera extirpée de sa gangue ethniciste. Personnellement, j'ai un net penchant en f</w:t>
      </w:r>
      <w:r w:rsidRPr="00CB4F2C">
        <w:t>a</w:t>
      </w:r>
      <w:r w:rsidRPr="00CB4F2C">
        <w:t>veur du Québec du dépassement. Je sais qu'il sera viable mais je sais surtout qu'il deviendra un lien d'où émergera une plus grande sociab</w:t>
      </w:r>
      <w:r w:rsidRPr="00CB4F2C">
        <w:t>i</w:t>
      </w:r>
      <w:r w:rsidRPr="00CB4F2C">
        <w:t>lité, ce qui contribuera à briser les cocons ethnicistes qui divisent sa population. Ce dernier point est important. Les groupes sociaux po</w:t>
      </w:r>
      <w:r w:rsidRPr="00CB4F2C">
        <w:t>r</w:t>
      </w:r>
      <w:r w:rsidRPr="00CB4F2C">
        <w:t>teurs du projet indépendantiste sont reconnus pour leur penchant en faveur de l'affirmation de mesures sociales plutôt que de mesures su</w:t>
      </w:r>
      <w:r w:rsidRPr="00CB4F2C">
        <w:t>s</w:t>
      </w:r>
      <w:r w:rsidRPr="00CB4F2C">
        <w:t>citant la concentration de la richesse entre les mains d'un nombre lim</w:t>
      </w:r>
      <w:r w:rsidRPr="00CB4F2C">
        <w:t>i</w:t>
      </w:r>
      <w:r w:rsidRPr="00CB4F2C">
        <w:t>té de privilégiés. Aussi, peut-on penser que ces groupes mettront d</w:t>
      </w:r>
      <w:r w:rsidRPr="00CB4F2C">
        <w:t>a</w:t>
      </w:r>
      <w:r w:rsidRPr="00CB4F2C">
        <w:t>vantage en valeur ce penchant, ce qui les amènera à définir l'État du Québec de demain en ciblant des caractéristiques différentes de celles qui définissaient hier encore les États-nations.</w:t>
      </w:r>
    </w:p>
    <w:p w:rsidR="00B7214C" w:rsidRDefault="00B7214C" w:rsidP="00B7214C">
      <w:pPr>
        <w:spacing w:before="120" w:after="120"/>
        <w:jc w:val="both"/>
      </w:pPr>
      <w:r w:rsidRPr="00CB4F2C">
        <w:t>Dans cet ordre d'idées, le Québec peut devenir un laboratoire su</w:t>
      </w:r>
      <w:r w:rsidRPr="00CB4F2C">
        <w:t>s</w:t>
      </w:r>
      <w:r w:rsidRPr="00CB4F2C">
        <w:t>ceptible d'enrichir l'approche anthropo</w:t>
      </w:r>
      <w:r>
        <w:t>logique de l'analyse de l'État-</w:t>
      </w:r>
      <w:r w:rsidRPr="00CB4F2C">
        <w:t>nation telle que présentée par Gellner (1989) et quelques autres. Et, si tel est le cas, il deviendra aussi un laboratoire pour l'étude des tran</w:t>
      </w:r>
      <w:r w:rsidRPr="00CB4F2C">
        <w:t>s</w:t>
      </w:r>
      <w:r w:rsidRPr="00CB4F2C">
        <w:t>formations au sein des diverses composantes de la population du Qu</w:t>
      </w:r>
      <w:r w:rsidRPr="00CB4F2C">
        <w:t>é</w:t>
      </w:r>
      <w:r w:rsidRPr="00CB4F2C">
        <w:t>bec pui</w:t>
      </w:r>
      <w:r w:rsidRPr="00CB4F2C">
        <w:t>s</w:t>
      </w:r>
      <w:r w:rsidRPr="00CB4F2C">
        <w:t>qu'il permettra de les aborder sous un angle d'approche connu mais en regard d'une dimension nouvelle, soit leur façon re</w:t>
      </w:r>
      <w:r w:rsidRPr="00CB4F2C">
        <w:t>s</w:t>
      </w:r>
      <w:r w:rsidRPr="00CB4F2C">
        <w:t>pective de se situer par rapport à la création d'une entité pol</w:t>
      </w:r>
      <w:r w:rsidRPr="00CB4F2C">
        <w:t>i</w:t>
      </w:r>
      <w:r w:rsidRPr="00CB4F2C">
        <w:t>tique nouvelle. Je dis « sous un angle d'approche connu » parce que les anthropologues ont surtout posé leur regard, au sein des États-nations, sur la situation des autochtones, des groupes marginalisés et des regroupements comm</w:t>
      </w:r>
      <w:r w:rsidRPr="00CB4F2C">
        <w:t>u</w:t>
      </w:r>
      <w:r w:rsidRPr="00CB4F2C">
        <w:t>nautaires ou ethniques. Si l'indépendance se réalise, ce regard anthr</w:t>
      </w:r>
      <w:r w:rsidRPr="00CB4F2C">
        <w:t>o</w:t>
      </w:r>
      <w:r w:rsidRPr="00CB4F2C">
        <w:t>pologique ne saurait disparaître. Il continuera, à mon avis, à questio</w:t>
      </w:r>
      <w:r w:rsidRPr="00CB4F2C">
        <w:t>n</w:t>
      </w:r>
      <w:r w:rsidRPr="00CB4F2C">
        <w:t>ner ce qui prend forme et à fournir l'éclairage qui lui est propre sur les changements profonds qui s'exprimeront.</w:t>
      </w:r>
    </w:p>
    <w:p w:rsidR="00B7214C" w:rsidRDefault="00B7214C" w:rsidP="00B7214C">
      <w:pPr>
        <w:pStyle w:val="p"/>
      </w:pPr>
      <w:r>
        <w:t>[113]</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pStyle w:val="p"/>
      </w:pPr>
      <w:r>
        <w:t>[114]</w:t>
      </w:r>
    </w:p>
    <w:p w:rsidR="00B7214C" w:rsidRDefault="00B7214C" w:rsidP="00B7214C">
      <w:pPr>
        <w:spacing w:before="120" w:after="120"/>
        <w:jc w:val="both"/>
      </w:pPr>
    </w:p>
    <w:p w:rsidR="00B7214C" w:rsidRDefault="00B7214C" w:rsidP="00B7214C">
      <w:pPr>
        <w:pStyle w:val="a"/>
      </w:pPr>
      <w:r w:rsidRPr="00CB4F2C">
        <w:t>BIBLIOGRAPHIE</w:t>
      </w:r>
    </w:p>
    <w:p w:rsidR="00B7214C" w:rsidRPr="00CB4F2C" w:rsidRDefault="00B7214C" w:rsidP="00B7214C">
      <w:pPr>
        <w:spacing w:before="120" w:after="120"/>
        <w:jc w:val="both"/>
      </w:pPr>
    </w:p>
    <w:p w:rsidR="00B7214C" w:rsidRPr="00CB4F2C" w:rsidRDefault="00B7214C" w:rsidP="00B7214C">
      <w:pPr>
        <w:spacing w:before="120" w:after="120"/>
        <w:jc w:val="both"/>
      </w:pPr>
      <w:r w:rsidRPr="00CB4F2C">
        <w:t xml:space="preserve">Attali, J., </w:t>
      </w:r>
      <w:r w:rsidRPr="00B01DD4">
        <w:rPr>
          <w:i/>
          <w:iCs/>
        </w:rPr>
        <w:t>Lignes d'horizon,</w:t>
      </w:r>
      <w:r w:rsidRPr="00CB4F2C">
        <w:t xml:space="preserve"> Paris, Fayard, 1990.</w:t>
      </w:r>
    </w:p>
    <w:p w:rsidR="00B7214C" w:rsidRPr="00CB4F2C" w:rsidRDefault="00B7214C" w:rsidP="00B7214C">
      <w:pPr>
        <w:spacing w:before="120" w:after="120"/>
        <w:jc w:val="both"/>
      </w:pPr>
      <w:r w:rsidRPr="00CB4F2C">
        <w:t xml:space="preserve">Bariteau, C., « La gauche québécoise en quête de sens ». </w:t>
      </w:r>
      <w:r w:rsidRPr="00B01DD4">
        <w:rPr>
          <w:i/>
          <w:iCs/>
        </w:rPr>
        <w:t>Possible,</w:t>
      </w:r>
      <w:r w:rsidRPr="00CB4F2C">
        <w:t xml:space="preserve"> 18 : 3-4,</w:t>
      </w:r>
      <w:r>
        <w:t xml:space="preserve"> </w:t>
      </w:r>
      <w:r w:rsidRPr="00CB4F2C">
        <w:t>1993, p</w:t>
      </w:r>
      <w:r>
        <w:t>p</w:t>
      </w:r>
      <w:r w:rsidRPr="00CB4F2C">
        <w:t>. 96-118.</w:t>
      </w:r>
    </w:p>
    <w:p w:rsidR="00B7214C" w:rsidRPr="00CB4F2C" w:rsidRDefault="00B7214C" w:rsidP="00B7214C">
      <w:pPr>
        <w:spacing w:before="120" w:after="120"/>
        <w:jc w:val="both"/>
      </w:pPr>
      <w:r w:rsidRPr="00CB4F2C">
        <w:t xml:space="preserve">Bariteau, C., « La société distincte : un cheval de Troie devenu une épée de Damoclès », dans Collectif, </w:t>
      </w:r>
      <w:r w:rsidRPr="00B01DD4">
        <w:rPr>
          <w:i/>
          <w:iCs/>
        </w:rPr>
        <w:t>Les objections de 20 spécialistes aux offres fédérales,</w:t>
      </w:r>
      <w:r w:rsidRPr="00CB4F2C">
        <w:t xml:space="preserve"> Montréal, Éd</w:t>
      </w:r>
      <w:r w:rsidRPr="00CB4F2C">
        <w:t>i</w:t>
      </w:r>
      <w:r w:rsidRPr="00CB4F2C">
        <w:t>tions Saint-Martin, 1992, p</w:t>
      </w:r>
      <w:r>
        <w:t>p</w:t>
      </w:r>
      <w:r w:rsidRPr="00CB4F2C">
        <w:t>. 45-51.</w:t>
      </w:r>
    </w:p>
    <w:p w:rsidR="00B7214C" w:rsidRPr="00CB4F2C" w:rsidRDefault="00B7214C" w:rsidP="00B7214C">
      <w:pPr>
        <w:spacing w:before="120" w:after="120"/>
        <w:jc w:val="both"/>
      </w:pPr>
      <w:r w:rsidRPr="00CB4F2C">
        <w:t>Bariteau, C., « </w:t>
      </w:r>
      <w:hyperlink r:id="rId45" w:history="1">
        <w:r w:rsidRPr="001B53DA">
          <w:rPr>
            <w:rStyle w:val="Lienhypertexte"/>
          </w:rPr>
          <w:t>Le Québec aux portes de la souveraineté </w:t>
        </w:r>
      </w:hyperlink>
      <w:r w:rsidRPr="00CB4F2C">
        <w:t xml:space="preserve">». </w:t>
      </w:r>
      <w:r w:rsidRPr="00B01DD4">
        <w:rPr>
          <w:i/>
          <w:iCs/>
        </w:rPr>
        <w:t>Le Monde diplomatique,</w:t>
      </w:r>
      <w:r w:rsidRPr="00CB4F2C">
        <w:t xml:space="preserve"> février 1991, p. 19.</w:t>
      </w:r>
    </w:p>
    <w:p w:rsidR="00B7214C" w:rsidRPr="00CB4F2C" w:rsidRDefault="00B7214C" w:rsidP="00B7214C">
      <w:pPr>
        <w:spacing w:before="120" w:after="120"/>
        <w:jc w:val="both"/>
      </w:pPr>
      <w:r w:rsidRPr="00CB4F2C">
        <w:t>Balthazar, L., « </w:t>
      </w:r>
      <w:hyperlink r:id="rId46" w:history="1">
        <w:r w:rsidRPr="00B01DD4">
          <w:rPr>
            <w:rStyle w:val="Lienhypertexte"/>
          </w:rPr>
          <w:t>L'évolution du nationalisme québécois </w:t>
        </w:r>
      </w:hyperlink>
      <w:r w:rsidRPr="00CB4F2C">
        <w:t xml:space="preserve">», dans G. Daigle, </w:t>
      </w:r>
      <w:r w:rsidRPr="00B01DD4">
        <w:rPr>
          <w:i/>
          <w:iCs/>
        </w:rPr>
        <w:t>Le Québec en jeu : comprendre les grands défis,</w:t>
      </w:r>
      <w:r w:rsidRPr="00CB4F2C">
        <w:t xml:space="preserve"> Montréal, Presses de l'Université de Montréal, 1992, p</w:t>
      </w:r>
      <w:r>
        <w:t>p</w:t>
      </w:r>
      <w:r w:rsidRPr="00CB4F2C">
        <w:t>. 647-667.</w:t>
      </w:r>
    </w:p>
    <w:p w:rsidR="00B7214C" w:rsidRPr="00CB4F2C" w:rsidRDefault="00B7214C" w:rsidP="00B7214C">
      <w:pPr>
        <w:spacing w:before="120" w:after="120"/>
        <w:jc w:val="both"/>
      </w:pPr>
      <w:r w:rsidRPr="00CB4F2C">
        <w:t>Bihr, A., « Le mirage des politiques de développement l</w:t>
      </w:r>
      <w:r w:rsidRPr="00CB4F2C">
        <w:t>o</w:t>
      </w:r>
      <w:r w:rsidRPr="00CB4F2C">
        <w:t xml:space="preserve">cal ». </w:t>
      </w:r>
      <w:r w:rsidRPr="00B01DD4">
        <w:rPr>
          <w:i/>
          <w:iCs/>
        </w:rPr>
        <w:t>Le Monde diplomatique,</w:t>
      </w:r>
      <w:r w:rsidRPr="00CB4F2C">
        <w:t xml:space="preserve"> 1992, n°</w:t>
      </w:r>
      <w:r>
        <w:t> </w:t>
      </w:r>
      <w:r w:rsidRPr="00CB4F2C">
        <w:t>464, novembre, p</w:t>
      </w:r>
      <w:r>
        <w:t>p</w:t>
      </w:r>
      <w:r w:rsidRPr="00CB4F2C">
        <w:t>. 18 et 19.</w:t>
      </w:r>
    </w:p>
    <w:p w:rsidR="00B7214C" w:rsidRPr="00CB4F2C" w:rsidRDefault="00B7214C" w:rsidP="00B7214C">
      <w:pPr>
        <w:spacing w:before="120" w:after="120"/>
        <w:jc w:val="both"/>
      </w:pPr>
      <w:r w:rsidRPr="00CB4F2C">
        <w:t xml:space="preserve">Boissel, H., « Le Québec : totalitaire dans le sirop d'érable », </w:t>
      </w:r>
      <w:r w:rsidRPr="00B01DD4">
        <w:rPr>
          <w:i/>
          <w:iCs/>
        </w:rPr>
        <w:t>L</w:t>
      </w:r>
      <w:r w:rsidRPr="00B01DD4">
        <w:rPr>
          <w:i/>
          <w:iCs/>
        </w:rPr>
        <w:t>i</w:t>
      </w:r>
      <w:r w:rsidRPr="00B01DD4">
        <w:rPr>
          <w:i/>
          <w:iCs/>
        </w:rPr>
        <w:t>berté,</w:t>
      </w:r>
      <w:r w:rsidRPr="00CB4F2C">
        <w:t xml:space="preserve"> juin 1989, n° 183.</w:t>
      </w:r>
    </w:p>
    <w:p w:rsidR="00B7214C" w:rsidRPr="00CB4F2C" w:rsidRDefault="00B7214C" w:rsidP="00B7214C">
      <w:pPr>
        <w:spacing w:before="120" w:after="120"/>
        <w:jc w:val="both"/>
      </w:pPr>
      <w:r w:rsidRPr="00CB4F2C">
        <w:t>Caldwell, G., « </w:t>
      </w:r>
      <w:hyperlink r:id="rId47" w:history="1">
        <w:r w:rsidRPr="003A1583">
          <w:rPr>
            <w:rStyle w:val="Lienhypertexte"/>
          </w:rPr>
          <w:t>Le Québec anglais : prélude à la disparition ou au renouveau </w:t>
        </w:r>
      </w:hyperlink>
      <w:r w:rsidRPr="00CB4F2C">
        <w:t xml:space="preserve">», dans G. Daigle, </w:t>
      </w:r>
      <w:r w:rsidRPr="00B01DD4">
        <w:rPr>
          <w:i/>
          <w:iCs/>
        </w:rPr>
        <w:t>Le Québec en jeu : comprendre les grands défis,</w:t>
      </w:r>
      <w:r w:rsidRPr="00CB4F2C">
        <w:t xml:space="preserve"> Montréal, Presses de l'Univers</w:t>
      </w:r>
      <w:r w:rsidRPr="00CB4F2C">
        <w:t>i</w:t>
      </w:r>
      <w:r w:rsidRPr="00CB4F2C">
        <w:t>té de Montréal, 1992, p</w:t>
      </w:r>
      <w:r>
        <w:t>p</w:t>
      </w:r>
      <w:r w:rsidRPr="00CB4F2C">
        <w:t>. 483-509.</w:t>
      </w:r>
    </w:p>
    <w:p w:rsidR="00B7214C" w:rsidRPr="00CB4F2C" w:rsidRDefault="00B7214C" w:rsidP="00B7214C">
      <w:pPr>
        <w:spacing w:before="120" w:after="120"/>
        <w:jc w:val="both"/>
      </w:pPr>
      <w:r w:rsidRPr="00CB4F2C">
        <w:t xml:space="preserve">Cameron, J. M., « The New Canadas », dans </w:t>
      </w:r>
      <w:r w:rsidRPr="00B01DD4">
        <w:rPr>
          <w:i/>
          <w:iCs/>
        </w:rPr>
        <w:t>The New York Review of</w:t>
      </w:r>
      <w:r>
        <w:rPr>
          <w:i/>
          <w:iCs/>
        </w:rPr>
        <w:t xml:space="preserve"> </w:t>
      </w:r>
      <w:r w:rsidRPr="00B01DD4">
        <w:rPr>
          <w:i/>
          <w:iCs/>
        </w:rPr>
        <w:t>Books,</w:t>
      </w:r>
      <w:r w:rsidRPr="00CB4F2C">
        <w:t xml:space="preserve"> août 1990, n° 16.</w:t>
      </w:r>
    </w:p>
    <w:p w:rsidR="00B7214C" w:rsidRPr="00CB4F2C" w:rsidRDefault="00B7214C" w:rsidP="00B7214C">
      <w:pPr>
        <w:spacing w:before="120" w:after="120"/>
        <w:jc w:val="both"/>
      </w:pPr>
      <w:r w:rsidRPr="00CB4F2C">
        <w:t>Crowley, J., « Ethnicité, nation et contrat social », dans G. Dela</w:t>
      </w:r>
      <w:r w:rsidRPr="00CB4F2C">
        <w:t>n</w:t>
      </w:r>
      <w:r w:rsidRPr="00CB4F2C">
        <w:t xml:space="preserve">noi et P.-A. Taguieff (dir.). </w:t>
      </w:r>
      <w:r w:rsidRPr="00B01DD4">
        <w:rPr>
          <w:i/>
          <w:iCs/>
        </w:rPr>
        <w:t>Théories du nationalisme,</w:t>
      </w:r>
      <w:r w:rsidRPr="00CB4F2C">
        <w:t xml:space="preserve"> Paris, Kimé, 1991, p</w:t>
      </w:r>
      <w:r>
        <w:t>p</w:t>
      </w:r>
      <w:r w:rsidRPr="00CB4F2C">
        <w:t>. 178-218.</w:t>
      </w:r>
    </w:p>
    <w:p w:rsidR="00B7214C" w:rsidRPr="00CB4F2C" w:rsidRDefault="00B7214C" w:rsidP="00B7214C">
      <w:pPr>
        <w:spacing w:before="120" w:after="120"/>
        <w:jc w:val="both"/>
      </w:pPr>
      <w:r w:rsidRPr="00CB4F2C">
        <w:t xml:space="preserve">De Brie, C., « La France des princes, loin des citoyens », </w:t>
      </w:r>
      <w:r w:rsidRPr="00B01DD4">
        <w:rPr>
          <w:i/>
          <w:iCs/>
        </w:rPr>
        <w:t>Le Mo</w:t>
      </w:r>
      <w:r w:rsidRPr="00B01DD4">
        <w:rPr>
          <w:i/>
          <w:iCs/>
        </w:rPr>
        <w:t>n</w:t>
      </w:r>
      <w:r w:rsidRPr="00B01DD4">
        <w:rPr>
          <w:i/>
          <w:iCs/>
        </w:rPr>
        <w:t>de diplomatique,</w:t>
      </w:r>
      <w:r w:rsidRPr="00CB4F2C">
        <w:t xml:space="preserve"> 1993, n° 467, février, p. 11.</w:t>
      </w:r>
    </w:p>
    <w:p w:rsidR="00B7214C" w:rsidRPr="00CB4F2C" w:rsidRDefault="00B7214C" w:rsidP="00B7214C">
      <w:pPr>
        <w:spacing w:before="120" w:after="120"/>
        <w:jc w:val="both"/>
      </w:pPr>
      <w:r w:rsidRPr="00CB4F2C">
        <w:t xml:space="preserve">De Brie, C., « Des démocrates sans voix », </w:t>
      </w:r>
      <w:r w:rsidRPr="00B01DD4">
        <w:rPr>
          <w:i/>
          <w:iCs/>
        </w:rPr>
        <w:t>Le Monde diplomat</w:t>
      </w:r>
      <w:r w:rsidRPr="00B01DD4">
        <w:rPr>
          <w:i/>
          <w:iCs/>
        </w:rPr>
        <w:t>i</w:t>
      </w:r>
      <w:r w:rsidRPr="00B01DD4">
        <w:rPr>
          <w:i/>
          <w:iCs/>
        </w:rPr>
        <w:t>que,</w:t>
      </w:r>
      <w:r w:rsidRPr="00CB4F2C">
        <w:t xml:space="preserve"> 1992, n°</w:t>
      </w:r>
      <w:r>
        <w:t> </w:t>
      </w:r>
      <w:r w:rsidRPr="00CB4F2C">
        <w:t>465, décembre, p.4.</w:t>
      </w:r>
    </w:p>
    <w:p w:rsidR="00B7214C" w:rsidRPr="00CB4F2C" w:rsidRDefault="00B7214C" w:rsidP="00B7214C">
      <w:pPr>
        <w:spacing w:before="120" w:after="120"/>
        <w:jc w:val="both"/>
      </w:pPr>
      <w:r w:rsidRPr="00CB4F2C">
        <w:t xml:space="preserve">Drouilly, P., « Ethnie et référendum », </w:t>
      </w:r>
      <w:r w:rsidRPr="00B01DD4">
        <w:rPr>
          <w:i/>
          <w:iCs/>
        </w:rPr>
        <w:t>La Presse,</w:t>
      </w:r>
      <w:r w:rsidRPr="00CB4F2C">
        <w:t xml:space="preserve"> 31 o</w:t>
      </w:r>
      <w:r w:rsidRPr="00CB4F2C">
        <w:t>c</w:t>
      </w:r>
      <w:r w:rsidRPr="00CB4F2C">
        <w:t>tobre 1992, p. B-7.</w:t>
      </w:r>
    </w:p>
    <w:p w:rsidR="00B7214C" w:rsidRPr="00CB4F2C" w:rsidRDefault="00B7214C" w:rsidP="00B7214C">
      <w:pPr>
        <w:spacing w:before="120" w:after="120"/>
        <w:jc w:val="both"/>
      </w:pPr>
      <w:r w:rsidRPr="00CB4F2C">
        <w:t>Dumont, F., « Exposé devant la Commission sur les inst</w:t>
      </w:r>
      <w:r w:rsidRPr="00CB4F2C">
        <w:t>i</w:t>
      </w:r>
      <w:r w:rsidRPr="00CB4F2C">
        <w:t xml:space="preserve">tutions, reproduit dans un dossier du Devoir », </w:t>
      </w:r>
      <w:r w:rsidRPr="00B01DD4">
        <w:rPr>
          <w:i/>
          <w:iCs/>
        </w:rPr>
        <w:t>Le Québec et le Lac-Meech,</w:t>
      </w:r>
      <w:r w:rsidRPr="00CB4F2C">
        <w:t xml:space="preserve"> Montréal, Guérin littérature, 1987, p</w:t>
      </w:r>
      <w:r>
        <w:t>p</w:t>
      </w:r>
      <w:r w:rsidRPr="00CB4F2C">
        <w:t>. 135-140.</w:t>
      </w:r>
    </w:p>
    <w:p w:rsidR="00B7214C" w:rsidRPr="00CB4F2C" w:rsidRDefault="00B7214C" w:rsidP="00B7214C">
      <w:pPr>
        <w:spacing w:before="120" w:after="120"/>
        <w:jc w:val="both"/>
      </w:pPr>
      <w:r w:rsidRPr="00CB4F2C">
        <w:t xml:space="preserve">Finkielkraut, A., </w:t>
      </w:r>
      <w:r w:rsidRPr="00B01DD4">
        <w:rPr>
          <w:i/>
          <w:iCs/>
        </w:rPr>
        <w:t>Comment peut-on être croate ?,</w:t>
      </w:r>
      <w:r w:rsidRPr="00CB4F2C">
        <w:t xml:space="preserve"> Paris, Gallimard, 1992.</w:t>
      </w:r>
    </w:p>
    <w:p w:rsidR="00B7214C" w:rsidRPr="00CB4F2C" w:rsidRDefault="00B7214C" w:rsidP="00B7214C">
      <w:pPr>
        <w:spacing w:before="120" w:after="120"/>
        <w:jc w:val="both"/>
      </w:pPr>
      <w:r w:rsidRPr="00CB4F2C">
        <w:t xml:space="preserve">Fournier, P., </w:t>
      </w:r>
      <w:hyperlink r:id="rId48" w:history="1">
        <w:r w:rsidRPr="003A1583">
          <w:rPr>
            <w:rStyle w:val="Lienhypertexte"/>
            <w:i/>
            <w:iCs/>
          </w:rPr>
          <w:t>Autopsie du Lac-Meech</w:t>
        </w:r>
      </w:hyperlink>
      <w:r w:rsidRPr="00B01DD4">
        <w:rPr>
          <w:i/>
          <w:iCs/>
        </w:rPr>
        <w:t>,</w:t>
      </w:r>
      <w:r w:rsidRPr="00CB4F2C">
        <w:t xml:space="preserve"> Montréal, VLB éd</w:t>
      </w:r>
      <w:r w:rsidRPr="00CB4F2C">
        <w:t>i</w:t>
      </w:r>
      <w:r w:rsidRPr="00CB4F2C">
        <w:t>teur, 1990.</w:t>
      </w:r>
    </w:p>
    <w:p w:rsidR="00B7214C" w:rsidRPr="00CB4F2C" w:rsidRDefault="00B7214C" w:rsidP="00B7214C">
      <w:pPr>
        <w:spacing w:before="120" w:after="120"/>
        <w:jc w:val="both"/>
      </w:pPr>
      <w:r w:rsidRPr="00CB4F2C">
        <w:t xml:space="preserve">Gellner, E., </w:t>
      </w:r>
      <w:r w:rsidRPr="00B01DD4">
        <w:rPr>
          <w:i/>
          <w:iCs/>
        </w:rPr>
        <w:t>Nations et nationalisme,</w:t>
      </w:r>
      <w:r w:rsidRPr="00CB4F2C">
        <w:t xml:space="preserve"> Paris, Bibliothèque historique Payot, 1989.</w:t>
      </w:r>
    </w:p>
    <w:p w:rsidR="00B7214C" w:rsidRPr="003A1583" w:rsidRDefault="00B7214C" w:rsidP="00B7214C">
      <w:pPr>
        <w:spacing w:before="120" w:after="120"/>
        <w:jc w:val="both"/>
      </w:pPr>
      <w:r w:rsidRPr="003A1583">
        <w:rPr>
          <w:iCs/>
        </w:rPr>
        <w:t xml:space="preserve">Handler, R., </w:t>
      </w:r>
      <w:r w:rsidRPr="003A1583">
        <w:rPr>
          <w:i/>
        </w:rPr>
        <w:t>Nationalism and The Politics of Culture in Québec</w:t>
      </w:r>
      <w:r w:rsidRPr="003A1583">
        <w:t>,</w:t>
      </w:r>
      <w:r w:rsidRPr="003A1583">
        <w:rPr>
          <w:iCs/>
        </w:rPr>
        <w:t xml:space="preserve"> Wisconsin, UWP, 1988.</w:t>
      </w:r>
    </w:p>
    <w:p w:rsidR="00B7214C" w:rsidRPr="00CB4F2C" w:rsidRDefault="00B7214C" w:rsidP="00B7214C">
      <w:pPr>
        <w:spacing w:before="120" w:after="120"/>
        <w:jc w:val="both"/>
      </w:pPr>
      <w:r w:rsidRPr="00CB4F2C">
        <w:t xml:space="preserve">Hobsbawn, E., </w:t>
      </w:r>
      <w:r w:rsidRPr="00B01DD4">
        <w:rPr>
          <w:i/>
          <w:iCs/>
        </w:rPr>
        <w:t>Nations et nationalisme depuis 1780,</w:t>
      </w:r>
      <w:r w:rsidRPr="00CB4F2C">
        <w:t xml:space="preserve"> Paris, Gall</w:t>
      </w:r>
      <w:r w:rsidRPr="00CB4F2C">
        <w:t>i</w:t>
      </w:r>
      <w:r w:rsidRPr="00CB4F2C">
        <w:t>mard, 1992.</w:t>
      </w:r>
    </w:p>
    <w:p w:rsidR="00B7214C" w:rsidRPr="00CB4F2C" w:rsidRDefault="00B7214C" w:rsidP="00B7214C">
      <w:pPr>
        <w:spacing w:before="120" w:after="120"/>
        <w:jc w:val="both"/>
      </w:pPr>
      <w:r w:rsidRPr="00CB4F2C">
        <w:t>Labelle, M., G. Beaudet, J. Lévy et F. Tardif, « </w:t>
      </w:r>
      <w:hyperlink r:id="rId49" w:history="1">
        <w:r w:rsidRPr="001B53DA">
          <w:rPr>
            <w:rStyle w:val="Lienhypertexte"/>
          </w:rPr>
          <w:t>La question nati</w:t>
        </w:r>
        <w:r w:rsidRPr="001B53DA">
          <w:rPr>
            <w:rStyle w:val="Lienhypertexte"/>
          </w:rPr>
          <w:t>o</w:t>
        </w:r>
        <w:r w:rsidRPr="001B53DA">
          <w:rPr>
            <w:rStyle w:val="Lienhypertexte"/>
          </w:rPr>
          <w:t>nale dans le discours de leaders d'associations ethniques de la région de Montréal </w:t>
        </w:r>
      </w:hyperlink>
      <w:r w:rsidRPr="00CB4F2C">
        <w:t xml:space="preserve">», </w:t>
      </w:r>
      <w:r w:rsidRPr="00B01DD4">
        <w:rPr>
          <w:i/>
          <w:iCs/>
        </w:rPr>
        <w:t>Cahiers de recherche sociologique,</w:t>
      </w:r>
      <w:r w:rsidRPr="00CB4F2C">
        <w:t xml:space="preserve"> 1993, vol. 20, </w:t>
      </w:r>
      <w:r>
        <w:t>p</w:t>
      </w:r>
      <w:r w:rsidRPr="00CB4F2C">
        <w:t>p. 85-111.</w:t>
      </w:r>
    </w:p>
    <w:p w:rsidR="00B7214C" w:rsidRDefault="00B7214C" w:rsidP="00B7214C">
      <w:pPr>
        <w:spacing w:before="120" w:after="120"/>
        <w:jc w:val="both"/>
      </w:pPr>
      <w:r w:rsidRPr="00CB4F2C">
        <w:t xml:space="preserve">Lipovetsky, G., </w:t>
      </w:r>
      <w:r w:rsidRPr="00B01DD4">
        <w:rPr>
          <w:i/>
          <w:iCs/>
        </w:rPr>
        <w:t>Le crépuscule du devoir,</w:t>
      </w:r>
      <w:r w:rsidRPr="00CB4F2C">
        <w:t xml:space="preserve"> Paris, Gallimard, 1992.</w:t>
      </w:r>
    </w:p>
    <w:p w:rsidR="00B7214C" w:rsidRPr="00CB4F2C" w:rsidRDefault="00B7214C" w:rsidP="00B7214C">
      <w:pPr>
        <w:spacing w:before="120" w:after="120"/>
        <w:jc w:val="both"/>
      </w:pPr>
      <w:r>
        <w:t>[</w:t>
      </w:r>
      <w:r w:rsidRPr="00CB4F2C">
        <w:t>115</w:t>
      </w:r>
      <w:r>
        <w:t>]</w:t>
      </w:r>
    </w:p>
    <w:p w:rsidR="00B7214C" w:rsidRPr="00CB4F2C" w:rsidRDefault="00B7214C" w:rsidP="00B7214C">
      <w:pPr>
        <w:spacing w:before="120" w:after="120"/>
        <w:jc w:val="both"/>
      </w:pPr>
      <w:r w:rsidRPr="00CB4F2C">
        <w:t>May, F., « La littérature canadienne-française. » Conf</w:t>
      </w:r>
      <w:r w:rsidRPr="00CB4F2C">
        <w:t>é</w:t>
      </w:r>
      <w:r w:rsidRPr="00CB4F2C">
        <w:t>rence à l'ambassade du Canada à Londres, 1989.</w:t>
      </w:r>
    </w:p>
    <w:p w:rsidR="00B7214C" w:rsidRPr="00CB4F2C" w:rsidRDefault="00B7214C" w:rsidP="00B7214C">
      <w:pPr>
        <w:spacing w:before="120" w:after="120"/>
        <w:jc w:val="both"/>
      </w:pPr>
      <w:r w:rsidRPr="00CB4F2C">
        <w:t xml:space="preserve">Milne, D., </w:t>
      </w:r>
      <w:r w:rsidRPr="00B01DD4">
        <w:rPr>
          <w:i/>
          <w:iCs/>
        </w:rPr>
        <w:t>The Canadian Constitution,</w:t>
      </w:r>
      <w:r w:rsidRPr="00CB4F2C">
        <w:t xml:space="preserve"> Toronto, James Lorimer and Company, 1991.</w:t>
      </w:r>
    </w:p>
    <w:p w:rsidR="00B7214C" w:rsidRPr="00CB4F2C" w:rsidRDefault="00B7214C" w:rsidP="00B7214C">
      <w:pPr>
        <w:spacing w:before="120" w:after="120"/>
        <w:jc w:val="both"/>
      </w:pPr>
      <w:r w:rsidRPr="00CB4F2C">
        <w:t xml:space="preserve">Morin, E., « L'État-nation », dans G. Delannoi et P.-A. Taguieff (dir.). </w:t>
      </w:r>
      <w:r w:rsidRPr="00B01DD4">
        <w:rPr>
          <w:i/>
          <w:iCs/>
        </w:rPr>
        <w:t>Théories du nationalisme,</w:t>
      </w:r>
      <w:r w:rsidRPr="00CB4F2C">
        <w:t xml:space="preserve"> Paris, Kimé, 1991, p. 319-324.</w:t>
      </w:r>
    </w:p>
    <w:p w:rsidR="00B7214C" w:rsidRPr="00CB4F2C" w:rsidRDefault="00B7214C" w:rsidP="00B7214C">
      <w:pPr>
        <w:spacing w:before="120" w:after="120"/>
        <w:jc w:val="both"/>
      </w:pPr>
      <w:r w:rsidRPr="00CB4F2C">
        <w:t>Paquet, G., « Le kaléidoscope de l'ethnicité : une approche con</w:t>
      </w:r>
      <w:r w:rsidRPr="00CB4F2C">
        <w:t>s</w:t>
      </w:r>
      <w:r w:rsidRPr="00CB4F2C">
        <w:t xml:space="preserve">tructiviste », dans C. Andrew, L. Cardinal, F. Houle et G. Paquet (dir.). </w:t>
      </w:r>
      <w:r w:rsidRPr="00B01DD4">
        <w:rPr>
          <w:i/>
          <w:iCs/>
        </w:rPr>
        <w:t>L'ethnicité à l'heure de la mondialisation,</w:t>
      </w:r>
      <w:r w:rsidRPr="00CB4F2C">
        <w:t xml:space="preserve"> A</w:t>
      </w:r>
      <w:r w:rsidRPr="00CB4F2C">
        <w:t>C</w:t>
      </w:r>
      <w:r w:rsidRPr="00CB4F2C">
        <w:t>FAS-Outaouais, 1992, p. 21-34.</w:t>
      </w:r>
    </w:p>
    <w:p w:rsidR="00B7214C" w:rsidRPr="00CB4F2C" w:rsidRDefault="00B7214C" w:rsidP="00B7214C">
      <w:pPr>
        <w:spacing w:before="120" w:after="120"/>
        <w:jc w:val="both"/>
      </w:pPr>
      <w:r w:rsidRPr="00CB4F2C">
        <w:t xml:space="preserve">Parti québécois. </w:t>
      </w:r>
      <w:r w:rsidRPr="00B01DD4">
        <w:rPr>
          <w:i/>
          <w:iCs/>
        </w:rPr>
        <w:t>Le Québec dans un monde nouveau,</w:t>
      </w:r>
      <w:r w:rsidRPr="00CB4F2C">
        <w:t xml:space="preserve"> Montréal, VLB édition, 1993.</w:t>
      </w:r>
    </w:p>
    <w:p w:rsidR="00B7214C" w:rsidRPr="00CB4F2C" w:rsidRDefault="00B7214C" w:rsidP="00B7214C">
      <w:pPr>
        <w:spacing w:before="120" w:after="120"/>
        <w:jc w:val="both"/>
      </w:pPr>
      <w:r w:rsidRPr="00CB4F2C">
        <w:t xml:space="preserve">Salisbury, R. F., </w:t>
      </w:r>
      <w:r w:rsidRPr="00B01DD4">
        <w:rPr>
          <w:i/>
          <w:iCs/>
        </w:rPr>
        <w:t>Affluence and Cultural Survival.</w:t>
      </w:r>
      <w:r w:rsidRPr="00CB4F2C">
        <w:t xml:space="preserve"> Proce</w:t>
      </w:r>
      <w:r w:rsidRPr="00CB4F2C">
        <w:t>e</w:t>
      </w:r>
      <w:r w:rsidRPr="00CB4F2C">
        <w:t>dings, American Ethnological Society Springs Meetings 1981,</w:t>
      </w:r>
      <w:r>
        <w:t xml:space="preserve"> </w:t>
      </w:r>
      <w:r w:rsidRPr="00CB4F2C">
        <w:t>1985.</w:t>
      </w:r>
    </w:p>
    <w:p w:rsidR="00B7214C" w:rsidRPr="00CB4F2C" w:rsidRDefault="00B7214C" w:rsidP="00B7214C">
      <w:pPr>
        <w:spacing w:before="120" w:after="120"/>
        <w:jc w:val="both"/>
      </w:pPr>
      <w:r w:rsidRPr="00CB4F2C">
        <w:t xml:space="preserve">Smith, A., </w:t>
      </w:r>
      <w:r w:rsidRPr="00B01DD4">
        <w:rPr>
          <w:i/>
          <w:iCs/>
        </w:rPr>
        <w:t>The Ethni</w:t>
      </w:r>
      <w:r>
        <w:rPr>
          <w:i/>
          <w:iCs/>
        </w:rPr>
        <w:t>c</w:t>
      </w:r>
      <w:r w:rsidRPr="00B01DD4">
        <w:rPr>
          <w:i/>
          <w:iCs/>
        </w:rPr>
        <w:t xml:space="preserve"> Origins of Nations,</w:t>
      </w:r>
      <w:r w:rsidRPr="00CB4F2C">
        <w:t xml:space="preserve"> Oxford, Basil Blackwell, 1986.</w:t>
      </w:r>
    </w:p>
    <w:p w:rsidR="00B7214C" w:rsidRPr="00CB4F2C" w:rsidRDefault="00B7214C" w:rsidP="00B7214C">
      <w:pPr>
        <w:spacing w:before="120" w:after="120"/>
        <w:jc w:val="both"/>
      </w:pPr>
      <w:r w:rsidRPr="00CB4F2C">
        <w:t xml:space="preserve">Tassinari, L., « Ethnicité, inaccomplissement et transculturel ». </w:t>
      </w:r>
      <w:r w:rsidRPr="00B01DD4">
        <w:rPr>
          <w:i/>
          <w:iCs/>
        </w:rPr>
        <w:t>V</w:t>
      </w:r>
      <w:r w:rsidRPr="00B01DD4">
        <w:rPr>
          <w:i/>
          <w:iCs/>
        </w:rPr>
        <w:t>i</w:t>
      </w:r>
      <w:r w:rsidRPr="00B01DD4">
        <w:rPr>
          <w:i/>
          <w:iCs/>
        </w:rPr>
        <w:t>ce Versa,</w:t>
      </w:r>
      <w:r w:rsidRPr="00CB4F2C">
        <w:t xml:space="preserve"> 1993, n°</w:t>
      </w:r>
      <w:r>
        <w:t> </w:t>
      </w:r>
      <w:r w:rsidRPr="00CB4F2C">
        <w:t>40, février-mars, p</w:t>
      </w:r>
      <w:r>
        <w:t>p</w:t>
      </w:r>
      <w:r w:rsidRPr="00CB4F2C">
        <w:t>. 10-11.</w:t>
      </w:r>
    </w:p>
    <w:p w:rsidR="00B7214C" w:rsidRPr="00CB4F2C" w:rsidRDefault="00B7214C" w:rsidP="00B7214C">
      <w:pPr>
        <w:spacing w:before="120" w:after="120"/>
        <w:jc w:val="both"/>
      </w:pPr>
      <w:r w:rsidRPr="00CB4F2C">
        <w:t>Thériault, J. Y., « Les mouvements ethno-culturels », dans C. A</w:t>
      </w:r>
      <w:r w:rsidRPr="00CB4F2C">
        <w:t>n</w:t>
      </w:r>
      <w:r w:rsidRPr="00CB4F2C">
        <w:t xml:space="preserve">drew, L. Cardinal, F. Houle et G. Paquet (dir.). </w:t>
      </w:r>
      <w:r>
        <w:rPr>
          <w:i/>
          <w:iCs/>
        </w:rPr>
        <w:t>L'ethnicité à l’</w:t>
      </w:r>
      <w:r w:rsidRPr="00B01DD4">
        <w:rPr>
          <w:i/>
          <w:iCs/>
        </w:rPr>
        <w:t>heure de la mondialisation,</w:t>
      </w:r>
      <w:r w:rsidRPr="00CB4F2C">
        <w:t xml:space="preserve"> ACFAS- Outaouais, 1992, p</w:t>
      </w:r>
      <w:r>
        <w:t>p</w:t>
      </w:r>
      <w:r w:rsidRPr="00CB4F2C">
        <w:t>. 5-20.</w:t>
      </w:r>
    </w:p>
    <w:p w:rsidR="00B7214C" w:rsidRPr="003A1583" w:rsidRDefault="00B7214C" w:rsidP="00B7214C">
      <w:pPr>
        <w:spacing w:before="120" w:after="120"/>
        <w:jc w:val="both"/>
      </w:pPr>
      <w:r w:rsidRPr="003A1583">
        <w:rPr>
          <w:iCs/>
        </w:rPr>
        <w:t xml:space="preserve">Thurow, L., </w:t>
      </w:r>
      <w:r w:rsidRPr="003A1583">
        <w:rPr>
          <w:i/>
        </w:rPr>
        <w:t>La maison Europe, Superpuissance du XXI</w:t>
      </w:r>
      <w:r w:rsidRPr="003A1583">
        <w:rPr>
          <w:i/>
          <w:vertAlign w:val="superscript"/>
        </w:rPr>
        <w:t>e</w:t>
      </w:r>
      <w:r w:rsidRPr="003A1583">
        <w:rPr>
          <w:i/>
        </w:rPr>
        <w:t xml:space="preserve"> siècle</w:t>
      </w:r>
      <w:r w:rsidRPr="003A1583">
        <w:t>,</w:t>
      </w:r>
      <w:r w:rsidRPr="003A1583">
        <w:rPr>
          <w:iCs/>
        </w:rPr>
        <w:t xml:space="preserve"> P</w:t>
      </w:r>
      <w:r w:rsidRPr="003A1583">
        <w:rPr>
          <w:iCs/>
        </w:rPr>
        <w:t>a</w:t>
      </w:r>
      <w:r w:rsidRPr="003A1583">
        <w:rPr>
          <w:iCs/>
        </w:rPr>
        <w:t>ris, Calmann-Lévy, 1992.</w:t>
      </w:r>
    </w:p>
    <w:p w:rsidR="00B7214C" w:rsidRPr="00CB4F2C" w:rsidRDefault="00B7214C" w:rsidP="00B7214C">
      <w:pPr>
        <w:spacing w:before="120" w:after="120"/>
        <w:jc w:val="both"/>
      </w:pPr>
      <w:r w:rsidRPr="00CB4F2C">
        <w:t xml:space="preserve">Touraine, A., « Face à l'exclusion », </w:t>
      </w:r>
      <w:r w:rsidRPr="00B01DD4">
        <w:rPr>
          <w:i/>
          <w:iCs/>
        </w:rPr>
        <w:t>Citoyenneté et urbanité,</w:t>
      </w:r>
      <w:r w:rsidRPr="00CB4F2C">
        <w:t xml:space="preserve"> Série Société, Paris, Éditions Esprit, 1991, p</w:t>
      </w:r>
      <w:r>
        <w:t>p</w:t>
      </w:r>
      <w:r w:rsidRPr="00CB4F2C">
        <w:t>. 165-173.</w:t>
      </w:r>
    </w:p>
    <w:p w:rsidR="00B7214C" w:rsidRPr="00CB4F2C" w:rsidRDefault="00B7214C" w:rsidP="00B7214C">
      <w:pPr>
        <w:spacing w:before="120" w:after="120"/>
        <w:jc w:val="both"/>
      </w:pPr>
      <w:r w:rsidRPr="00CB4F2C">
        <w:t xml:space="preserve">Trudeau, P. E., </w:t>
      </w:r>
      <w:r w:rsidRPr="00B01DD4">
        <w:rPr>
          <w:i/>
          <w:iCs/>
        </w:rPr>
        <w:t>Lac-Meech, Trudeau parle,</w:t>
      </w:r>
      <w:r w:rsidRPr="00CB4F2C">
        <w:t xml:space="preserve"> Montréal, Hurtubise HMH, 1989.</w:t>
      </w:r>
    </w:p>
    <w:p w:rsidR="00B7214C" w:rsidRPr="00CB4F2C" w:rsidRDefault="00B7214C" w:rsidP="00B7214C">
      <w:pPr>
        <w:spacing w:before="120" w:after="120"/>
        <w:jc w:val="both"/>
      </w:pPr>
      <w:r w:rsidRPr="00CB4F2C">
        <w:t xml:space="preserve">Vacher, L.-M., « Contre le nationalisme », </w:t>
      </w:r>
      <w:r w:rsidRPr="00B01DD4">
        <w:rPr>
          <w:i/>
          <w:iCs/>
        </w:rPr>
        <w:t>Le Devoir,</w:t>
      </w:r>
      <w:r w:rsidRPr="00CB4F2C">
        <w:t xml:space="preserve"> 28 octobre 1992, p. B-10.</w:t>
      </w:r>
    </w:p>
    <w:p w:rsidR="00B7214C" w:rsidRDefault="00B7214C" w:rsidP="00B7214C">
      <w:pPr>
        <w:spacing w:before="120" w:after="120"/>
        <w:jc w:val="both"/>
      </w:pPr>
      <w:r w:rsidRPr="00CB4F2C">
        <w:t xml:space="preserve">Vadeboncoeur, P., « La politique des autres ». </w:t>
      </w:r>
      <w:r w:rsidRPr="00B01DD4">
        <w:rPr>
          <w:i/>
          <w:iCs/>
        </w:rPr>
        <w:t>Le Devoir,</w:t>
      </w:r>
      <w:r w:rsidRPr="00CB4F2C">
        <w:t xml:space="preserve"> 28 avril 1993, p. A-9.</w:t>
      </w:r>
    </w:p>
    <w:p w:rsidR="00B7214C" w:rsidRPr="00CB4F2C" w:rsidRDefault="00B7214C" w:rsidP="00B7214C">
      <w:pPr>
        <w:spacing w:before="120" w:after="120"/>
        <w:jc w:val="both"/>
      </w:pPr>
    </w:p>
    <w:p w:rsidR="00B7214C" w:rsidRDefault="00B7214C" w:rsidP="00B7214C">
      <w:pPr>
        <w:spacing w:before="120" w:after="120"/>
        <w:jc w:val="both"/>
      </w:pPr>
      <w:r w:rsidRPr="00CB4F2C">
        <w:t>Vincent, S., « </w:t>
      </w:r>
      <w:hyperlink r:id="rId50" w:history="1">
        <w:r w:rsidRPr="003A1583">
          <w:rPr>
            <w:rStyle w:val="Lienhypertexte"/>
          </w:rPr>
          <w:t>La révélation d'une force politique : les Autocht</w:t>
        </w:r>
        <w:r w:rsidRPr="003A1583">
          <w:rPr>
            <w:rStyle w:val="Lienhypertexte"/>
          </w:rPr>
          <w:t>o</w:t>
        </w:r>
        <w:r w:rsidRPr="003A1583">
          <w:rPr>
            <w:rStyle w:val="Lienhypertexte"/>
          </w:rPr>
          <w:t>nes </w:t>
        </w:r>
      </w:hyperlink>
      <w:r w:rsidRPr="00CB4F2C">
        <w:t xml:space="preserve">», dans G. Daigle, </w:t>
      </w:r>
      <w:r w:rsidRPr="00B01DD4">
        <w:rPr>
          <w:i/>
          <w:iCs/>
        </w:rPr>
        <w:t>Le Québec en jeu : comprendre les grands d</w:t>
      </w:r>
      <w:r w:rsidRPr="00B01DD4">
        <w:rPr>
          <w:i/>
          <w:iCs/>
        </w:rPr>
        <w:t>é</w:t>
      </w:r>
      <w:r w:rsidRPr="00B01DD4">
        <w:rPr>
          <w:i/>
          <w:iCs/>
        </w:rPr>
        <w:t>fis,</w:t>
      </w:r>
      <w:r w:rsidRPr="00CB4F2C">
        <w:t xml:space="preserve"> Montréal, Presses de l'Université de Mo</w:t>
      </w:r>
      <w:r w:rsidRPr="00CB4F2C">
        <w:t>n</w:t>
      </w:r>
      <w:r w:rsidRPr="00CB4F2C">
        <w:t xml:space="preserve">tréal, 1992, </w:t>
      </w:r>
      <w:r>
        <w:t>p</w:t>
      </w:r>
      <w:r w:rsidRPr="00CB4F2C">
        <w:t>p. 779-790.</w:t>
      </w:r>
    </w:p>
    <w:p w:rsidR="00B7214C" w:rsidRPr="00CB4F2C" w:rsidRDefault="00481548" w:rsidP="00B7214C">
      <w:pPr>
        <w:pStyle w:val="p"/>
      </w:pPr>
      <w:r w:rsidRPr="00CB4F2C">
        <w:rPr>
          <w:noProof/>
        </w:rPr>
        <mc:AlternateContent>
          <mc:Choice Requires="wps">
            <w:drawing>
              <wp:anchor distT="0" distB="0" distL="63500" distR="63500" simplePos="0" relativeHeight="251658240" behindDoc="0" locked="0" layoutInCell="1" allowOverlap="1">
                <wp:simplePos x="0" y="0"/>
                <wp:positionH relativeFrom="margin">
                  <wp:posOffset>5005070</wp:posOffset>
                </wp:positionH>
                <wp:positionV relativeFrom="paragraph">
                  <wp:posOffset>7724775</wp:posOffset>
                </wp:positionV>
                <wp:extent cx="94615" cy="47688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61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14C" w:rsidRDefault="00B7214C" w:rsidP="00B7214C">
                            <w:pPr>
                              <w:pStyle w:val="Corpsdutexte50"/>
                              <w:shd w:val="clear" w:color="auto" w:fill="auto"/>
                              <w:spacing w:before="0" w:after="0" w:line="190" w:lineRule="exact"/>
                              <w:ind w:firstLine="58"/>
                              <w:jc w:val="left"/>
                            </w:pPr>
                            <w:r>
                              <w:rPr>
                                <w:rStyle w:val="Corpsdutexte5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94.1pt;margin-top:608.25pt;width:7.45pt;height:37.5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" filled="f" stroked="f">
                <v:path arrowok="t"/>
                <v:textbox style="mso-fit-shape-to-text:t" inset="0,0,0,0">
                  <w:txbxContent>
                    <w:p w:rsidR="00B7214C" w:rsidRDefault="00B7214C" w:rsidP="00B7214C">
                      <w:pPr>
                        <w:pStyle w:val="Corpsdutexte50"/>
                        <w:shd w:val="clear" w:color="auto" w:fill="auto"/>
                        <w:spacing w:before="0" w:after="0" w:line="190" w:lineRule="exact"/>
                        <w:ind w:firstLine="58"/>
                        <w:jc w:val="left"/>
                      </w:pPr>
                      <w:r>
                        <w:rPr>
                          <w:rStyle w:val="Corpsdutexte5Exact"/>
                          <w:i/>
                          <w:iCs/>
                        </w:rPr>
                        <w:t>.</w:t>
                      </w:r>
                    </w:p>
                  </w:txbxContent>
                </v:textbox>
                <w10:wrap anchorx="margin"/>
              </v:shape>
            </w:pict>
          </mc:Fallback>
        </mc:AlternateContent>
      </w:r>
      <w:r w:rsidR="00B7214C">
        <w:t>[116]</w:t>
      </w:r>
    </w:p>
    <w:p w:rsidR="00B7214C" w:rsidRPr="00CB4F2C" w:rsidRDefault="00B7214C" w:rsidP="00B7214C">
      <w:pPr>
        <w:pStyle w:val="p"/>
      </w:pPr>
      <w:r>
        <w:br w:type="page"/>
        <w:t>[117]</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1" w:name="Entre_tradition_pt_1_texte_05"/>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5</w:t>
      </w:r>
    </w:p>
    <w:p w:rsidR="00B7214C" w:rsidRDefault="00B7214C" w:rsidP="00B7214C">
      <w:pPr>
        <w:pStyle w:val="Titreniveau2"/>
      </w:pPr>
      <w:r>
        <w:t>“Religion et politique</w:t>
      </w:r>
      <w:r>
        <w:br/>
        <w:t>en Haïti.”</w:t>
      </w:r>
    </w:p>
    <w:bookmarkEnd w:id="11"/>
    <w:p w:rsidR="00B7214C" w:rsidRPr="00E07116" w:rsidRDefault="00B7214C" w:rsidP="00B7214C">
      <w:pPr>
        <w:jc w:val="both"/>
        <w:rPr>
          <w:szCs w:val="36"/>
        </w:rPr>
      </w:pPr>
    </w:p>
    <w:p w:rsidR="00B7214C" w:rsidRPr="00E07116" w:rsidRDefault="00B7214C" w:rsidP="00B7214C">
      <w:pPr>
        <w:pStyle w:val="suite"/>
      </w:pPr>
      <w:r>
        <w:t>Par Serge LAROSE</w:t>
      </w:r>
    </w:p>
    <w:p w:rsidR="00B7214C" w:rsidRPr="00E07116" w:rsidRDefault="00B7214C" w:rsidP="00B7214C">
      <w:pPr>
        <w:pStyle w:val="auteurst"/>
      </w:pPr>
      <w:r w:rsidRPr="00C57CFF">
        <w:t>Anthropologie, Cégep de Saint-Hyacinthe</w:t>
      </w: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M</w:t>
      </w:r>
      <w:r w:rsidRPr="00CB4F2C">
        <w:t>odernité et démocratie ne vont pas de soi. Les revendic</w:t>
      </w:r>
      <w:r w:rsidRPr="00CB4F2C">
        <w:t>a</w:t>
      </w:r>
      <w:r w:rsidRPr="00CB4F2C">
        <w:t>tions qu'elles recouvrent peuvent être formulées de façon bien souvent i</w:t>
      </w:r>
      <w:r w:rsidRPr="00CB4F2C">
        <w:t>m</w:t>
      </w:r>
      <w:r w:rsidRPr="00CB4F2C">
        <w:t>prévisible et contradictoire. C'est ainsi qu'en Haïti, les différentes tr</w:t>
      </w:r>
      <w:r w:rsidRPr="00CB4F2C">
        <w:t>a</w:t>
      </w:r>
      <w:r w:rsidRPr="00CB4F2C">
        <w:t>ditions religieuses entre lesquelles il est souvent difficile d'établir des limites précises, le cathol</w:t>
      </w:r>
      <w:r w:rsidRPr="00CB4F2C">
        <w:t>i</w:t>
      </w:r>
      <w:r w:rsidRPr="00CB4F2C">
        <w:t>cisme, le vodou et le protestantisme, ont contribué à remettre radicalement en question l'ordre ancien. Le r</w:t>
      </w:r>
      <w:r w:rsidRPr="00CB4F2C">
        <w:t>e</w:t>
      </w:r>
      <w:r w:rsidRPr="00CB4F2C">
        <w:t>cours au rel</w:t>
      </w:r>
      <w:r w:rsidRPr="00CB4F2C">
        <w:t>i</w:t>
      </w:r>
      <w:r w:rsidRPr="00CB4F2C">
        <w:t>gieux comme arme de contestation du pouvoir a pu en dérouter plusieurs, comme si la voie de la modernisation devait néce</w:t>
      </w:r>
      <w:r w:rsidRPr="00CB4F2C">
        <w:t>s</w:t>
      </w:r>
      <w:r w:rsidRPr="00CB4F2C">
        <w:t>sairement prendre, aux yeux de certains, un langage r</w:t>
      </w:r>
      <w:r w:rsidRPr="00CB4F2C">
        <w:t>a</w:t>
      </w:r>
      <w:r w:rsidRPr="00CB4F2C">
        <w:t>tionaliste et technocratique. Plusieurs intellectuels, souvent politiquement engagés en faveur de la démocratisation, n'ont ainsi vu dans la personne du président Aristide qu'un proph</w:t>
      </w:r>
      <w:r w:rsidRPr="00CB4F2C">
        <w:t>è</w:t>
      </w:r>
      <w:r w:rsidRPr="00CB4F2C">
        <w:t>te mystique, populiste et charismatique exploitant l'irrationalité et la superstition des masses pauvres et ana</w:t>
      </w:r>
      <w:r w:rsidRPr="00CB4F2C">
        <w:t>l</w:t>
      </w:r>
      <w:r w:rsidRPr="00CB4F2C">
        <w:t>phabètes.</w:t>
      </w:r>
    </w:p>
    <w:p w:rsidR="00B7214C" w:rsidRPr="00CB4F2C" w:rsidRDefault="00B7214C" w:rsidP="00B7214C">
      <w:pPr>
        <w:spacing w:before="120" w:after="120"/>
        <w:jc w:val="both"/>
      </w:pPr>
      <w:r w:rsidRPr="00CB4F2C">
        <w:t>Le recours à la dénonciation de la superstition pour délég</w:t>
      </w:r>
      <w:r w:rsidRPr="00CB4F2C">
        <w:t>i</w:t>
      </w:r>
      <w:r w:rsidRPr="00CB4F2C">
        <w:t>timer la prise de parole des masses populaires en Haïti re</w:t>
      </w:r>
      <w:r w:rsidRPr="00CB4F2C">
        <w:t>m</w:t>
      </w:r>
      <w:r w:rsidRPr="00CB4F2C">
        <w:t>plit à peu près la même fonction idéologique que la non-scientificité dans nos sociétés technocratiques ; elle dépouille le citoyen de son droit à la particip</w:t>
      </w:r>
      <w:r w:rsidRPr="00CB4F2C">
        <w:t>a</w:t>
      </w:r>
      <w:r w:rsidRPr="00CB4F2C">
        <w:t>tion sous prétexte d'i</w:t>
      </w:r>
      <w:r w:rsidRPr="00CB4F2C">
        <w:t>n</w:t>
      </w:r>
      <w:r w:rsidRPr="00CB4F2C">
        <w:t>compétence et le rend inapte à l'exercice de la démocratie. Comme l'a montré Hurbon (1979)</w:t>
      </w:r>
      <w:r>
        <w:t> </w:t>
      </w:r>
      <w:r>
        <w:rPr>
          <w:rStyle w:val="Appelnotedebasdep"/>
        </w:rPr>
        <w:footnoteReference w:id="20"/>
      </w:r>
      <w:r w:rsidRPr="00CB4F2C">
        <w:t>, cette supposée i</w:t>
      </w:r>
      <w:r w:rsidRPr="00CB4F2C">
        <w:t>n</w:t>
      </w:r>
      <w:r w:rsidRPr="00CB4F2C">
        <w:t>comp</w:t>
      </w:r>
      <w:r w:rsidRPr="00CB4F2C">
        <w:t>é</w:t>
      </w:r>
      <w:r w:rsidRPr="00CB4F2C">
        <w:t>tence du peuple haïtien repose sur la domination d'un code culturel occidental monopolisé par une petite « élite » sur les codes d'une culture populaire chosifiée et folklorisée. Le di</w:t>
      </w:r>
      <w:r w:rsidRPr="00CB4F2C">
        <w:t>s</w:t>
      </w:r>
      <w:r w:rsidRPr="00CB4F2C">
        <w:t>cours religieux est un important marqueur de la distance entre les deux codes. C'est ainsi que l'expression populaire « C'est le Bon Dieu qui nous a donné Aristide » serait pour certains le signe d'une mentalité</w:t>
      </w:r>
      <w:r>
        <w:t xml:space="preserve"> [118] </w:t>
      </w:r>
      <w:r w:rsidRPr="00CB4F2C">
        <w:t>superst</w:t>
      </w:r>
      <w:r w:rsidRPr="00CB4F2C">
        <w:t>i</w:t>
      </w:r>
      <w:r w:rsidRPr="00CB4F2C">
        <w:t>tieuse et infantile plutôt que l'expression d'une intentionn</w:t>
      </w:r>
      <w:r w:rsidRPr="00CB4F2C">
        <w:t>a</w:t>
      </w:r>
      <w:r w:rsidRPr="00CB4F2C">
        <w:t>lité et d'une résolution sociales.</w:t>
      </w:r>
    </w:p>
    <w:p w:rsidR="00B7214C" w:rsidRPr="00CB4F2C" w:rsidRDefault="00B7214C" w:rsidP="00B7214C">
      <w:pPr>
        <w:spacing w:before="120" w:after="120"/>
        <w:jc w:val="both"/>
      </w:pPr>
      <w:r w:rsidRPr="00CB4F2C">
        <w:t>Prétextant des valeurs de la modernité, plusieurs intelle</w:t>
      </w:r>
      <w:r w:rsidRPr="00CB4F2C">
        <w:t>c</w:t>
      </w:r>
      <w:r w:rsidRPr="00CB4F2C">
        <w:t>tuels et membres de la classe politique ont entériné la féroce répression des aspirations au changement qu'exprimait l'éle</w:t>
      </w:r>
      <w:r w:rsidRPr="00CB4F2C">
        <w:t>c</w:t>
      </w:r>
      <w:r w:rsidRPr="00CB4F2C">
        <w:t>tion démocratique de décembre 1991. On a tout simplement remis en question les résultats de l'élection ; après tout Hitler lui-même n'avait-il pas été élu dém</w:t>
      </w:r>
      <w:r w:rsidRPr="00CB4F2C">
        <w:t>o</w:t>
      </w:r>
      <w:r w:rsidRPr="00CB4F2C">
        <w:t>cratiquement ; le peuple n'a donc pas toujours raison. On a comparé Aristide à l'ay</w:t>
      </w:r>
      <w:r w:rsidRPr="00CB4F2C">
        <w:t>a</w:t>
      </w:r>
      <w:r w:rsidRPr="00CB4F2C">
        <w:t>tollah Khomeyni et le mouvement social lui-même à l'int</w:t>
      </w:r>
      <w:r w:rsidRPr="00CB4F2C">
        <w:t>é</w:t>
      </w:r>
      <w:r w:rsidRPr="00CB4F2C">
        <w:t>grisme musulman auquel il fallait faire barrage en Haïti comme en Algérie. Grossière propagande jouant néanmoins sur certaines pr</w:t>
      </w:r>
      <w:r w:rsidRPr="00CB4F2C">
        <w:t>é</w:t>
      </w:r>
      <w:r w:rsidRPr="00CB4F2C">
        <w:t>dispositions d'une opinion publique occidentale peu encline aux fo</w:t>
      </w:r>
      <w:r w:rsidRPr="00CB4F2C">
        <w:t>r</w:t>
      </w:r>
      <w:r w:rsidRPr="00CB4F2C">
        <w:t>mulations religieuses qui détonnent dans l'univers sécularisé dominant de nos sociétés, prédisposée également à associer religiosité, mouv</w:t>
      </w:r>
      <w:r w:rsidRPr="00CB4F2C">
        <w:t>e</w:t>
      </w:r>
      <w:r w:rsidRPr="00CB4F2C">
        <w:t>ments de masse et non-respect des droits individuels.</w:t>
      </w:r>
    </w:p>
    <w:p w:rsidR="00B7214C" w:rsidRPr="00CB4F2C" w:rsidRDefault="00B7214C" w:rsidP="00B7214C">
      <w:pPr>
        <w:spacing w:before="120" w:after="120"/>
        <w:jc w:val="both"/>
      </w:pPr>
      <w:r w:rsidRPr="00CB4F2C">
        <w:t>La distance entre la modernité et la barbarie n'est pas si grande et tout discours religieux n'est pas nécessairement barbare, obscurantiste et archaïque. La formulation religieuse des revendications populaires est subordonnée à des objectifs fondamentalement politiques appelant à l'émergence d'un État respectueux des droits du citoyen. Elle appe</w:t>
      </w:r>
      <w:r w:rsidRPr="00CB4F2C">
        <w:t>l</w:t>
      </w:r>
      <w:r w:rsidRPr="00CB4F2C">
        <w:t>le, en fait, à l'émergence du citoyen. On réclame la fin de la société d'exclusion mise en place au lendemain de l'indépendance, l'émerge</w:t>
      </w:r>
      <w:r w:rsidRPr="00CB4F2C">
        <w:t>n</w:t>
      </w:r>
      <w:r w:rsidRPr="00CB4F2C">
        <w:t>ce d'un ordre civil que l'État a jusqu'à maintenant empêché : c'est le contenu du slogan « Tout moun sé moun » (Midy, 1991)</w:t>
      </w:r>
      <w:r>
        <w:t> </w:t>
      </w:r>
      <w:r>
        <w:rPr>
          <w:rStyle w:val="Appelnotedebasdep"/>
        </w:rPr>
        <w:footnoteReference w:id="21"/>
      </w:r>
      <w:r w:rsidRPr="00CB4F2C">
        <w:t>. Il faut voir le religieux d'abord comme une arme de mobilisation dans la r</w:t>
      </w:r>
      <w:r w:rsidRPr="00CB4F2C">
        <w:t>é</w:t>
      </w:r>
      <w:r w:rsidRPr="00CB4F2C">
        <w:t>alis</w:t>
      </w:r>
      <w:r w:rsidRPr="00CB4F2C">
        <w:t>a</w:t>
      </w:r>
      <w:r w:rsidRPr="00CB4F2C">
        <w:t>tion de ces objectifs et non pas une fin en soi ou la réactualisation de traditions désuètes. Sur la base de ces enjeux, nous essaierons maint</w:t>
      </w:r>
      <w:r w:rsidRPr="00CB4F2C">
        <w:t>e</w:t>
      </w:r>
      <w:r w:rsidRPr="00CB4F2C">
        <w:t>nant de définir certaines pistes de réflexion sur la rencontre de la thé</w:t>
      </w:r>
      <w:r w:rsidRPr="00CB4F2C">
        <w:t>o</w:t>
      </w:r>
      <w:r w:rsidRPr="00CB4F2C">
        <w:t>logie de la libération et de la religion populaire en Haïti.</w:t>
      </w:r>
    </w:p>
    <w:p w:rsidR="00B7214C" w:rsidRDefault="00B7214C" w:rsidP="00B7214C">
      <w:pPr>
        <w:spacing w:before="120" w:after="120"/>
        <w:jc w:val="both"/>
      </w:pPr>
    </w:p>
    <w:p w:rsidR="00B7214C" w:rsidRPr="00CB4F2C" w:rsidRDefault="00B7214C" w:rsidP="00B7214C">
      <w:pPr>
        <w:pStyle w:val="a"/>
      </w:pPr>
      <w:r w:rsidRPr="00CB4F2C">
        <w:t>L'ÉGLISE CATHOLIQUE</w:t>
      </w:r>
    </w:p>
    <w:p w:rsidR="00B7214C" w:rsidRDefault="00B7214C" w:rsidP="00B7214C">
      <w:pPr>
        <w:spacing w:before="120" w:after="120"/>
        <w:jc w:val="both"/>
      </w:pPr>
    </w:p>
    <w:p w:rsidR="00B7214C" w:rsidRPr="00CB4F2C" w:rsidRDefault="00B7214C" w:rsidP="00B7214C">
      <w:pPr>
        <w:spacing w:before="120" w:after="120"/>
        <w:jc w:val="both"/>
      </w:pPr>
      <w:r w:rsidRPr="00CB4F2C">
        <w:t>Depuis 1860, l'Église catholique est liée à l'État haïtien par une e</w:t>
      </w:r>
      <w:r w:rsidRPr="00CB4F2C">
        <w:t>n</w:t>
      </w:r>
      <w:r w:rsidRPr="00CB4F2C">
        <w:t>tente concordataire qui lui assure prééminence. La n</w:t>
      </w:r>
      <w:r w:rsidRPr="00CB4F2C">
        <w:t>o</w:t>
      </w:r>
      <w:r w:rsidRPr="00CB4F2C">
        <w:t>mination des dignitaires ecclésiastiques dépend du double accord du président du pays et du Vatican (art. 4) et ceux-ci sont rémunérés par l'État (art. 3).</w:t>
      </w:r>
    </w:p>
    <w:p w:rsidR="00B7214C" w:rsidRPr="00CB4F2C" w:rsidRDefault="00B7214C" w:rsidP="00B7214C">
      <w:pPr>
        <w:spacing w:before="120" w:after="120"/>
        <w:jc w:val="both"/>
      </w:pPr>
      <w:r w:rsidRPr="00CB4F2C">
        <w:t>Cette Église a toujours été associée au pouvoir d'État. Le chant du Te Deum et la messe célébrée par l'archevêque de Port-au-Prince font partie des rites d'intronisation d'un no</w:t>
      </w:r>
      <w:r w:rsidRPr="00CB4F2C">
        <w:t>u</w:t>
      </w:r>
      <w:r w:rsidRPr="00CB4F2C">
        <w:t>veau président et expriment la soumission de l'Église à l'aut</w:t>
      </w:r>
      <w:r w:rsidRPr="00CB4F2C">
        <w:t>o</w:t>
      </w:r>
      <w:r w:rsidRPr="00CB4F2C">
        <w:t>rité constituée, au même titre que les 21 coups de canon</w:t>
      </w:r>
      <w:r>
        <w:t xml:space="preserve"> [119] </w:t>
      </w:r>
      <w:r w:rsidRPr="00CB4F2C">
        <w:t>tirés après le discours inaugural du président expriment celle de l'armée, pas un de plus, pas un de moins comme on a pu le constater lors de l'intronisation d'Aristide. Le refus des évêques de chanter le Te Deum au moment de la montée de Manigat en disait long sur sa légitimité ; les couches populaires sont très sensibles à ce</w:t>
      </w:r>
      <w:r w:rsidRPr="00CB4F2C">
        <w:t>t</w:t>
      </w:r>
      <w:r w:rsidRPr="00CB4F2C">
        <w:t>te symbolique et l'on connaît son poids au sein des couches politiques du pays.</w:t>
      </w:r>
    </w:p>
    <w:p w:rsidR="00B7214C" w:rsidRPr="00CB4F2C" w:rsidRDefault="00B7214C" w:rsidP="00B7214C">
      <w:pPr>
        <w:spacing w:before="120" w:after="120"/>
        <w:jc w:val="both"/>
      </w:pPr>
      <w:r w:rsidRPr="00CB4F2C">
        <w:t>Les rapports entre l'Église et les gouvernements n'ont pas toujours été des plus harmonieux. Ils ont souvent été marqués par des querelles de prérogatives, les couches dominantes défendant jalousement la stricte séparation des pouvoirs de l'Église et de l'État et la subordin</w:t>
      </w:r>
      <w:r w:rsidRPr="00CB4F2C">
        <w:t>a</w:t>
      </w:r>
      <w:r w:rsidRPr="00CB4F2C">
        <w:t>tion de l'Église au pouvoir temporel dans tout ce qui ne relève pas des questions proprement ecclésiastiques. Le concordat soumettait év</w:t>
      </w:r>
      <w:r w:rsidRPr="00CB4F2C">
        <w:t>ê</w:t>
      </w:r>
      <w:r w:rsidRPr="00CB4F2C">
        <w:t>ques et archevêques à un serment de loyauté qu'ils devaient prêter e</w:t>
      </w:r>
      <w:r w:rsidRPr="00CB4F2C">
        <w:t>n</w:t>
      </w:r>
      <w:r w:rsidRPr="00CB4F2C">
        <w:t>vers le président (art. 5). Tout service religieux devait se terminer par les vœux de meilleurs souhaits adressés à l'aut</w:t>
      </w:r>
      <w:r w:rsidRPr="00CB4F2C">
        <w:t>o</w:t>
      </w:r>
      <w:r w:rsidRPr="00CB4F2C">
        <w:t>rité constituée ; le concordat en fixait même la formulation latine (art. 15)</w:t>
      </w:r>
      <w:r>
        <w:t> </w:t>
      </w:r>
      <w:r>
        <w:rPr>
          <w:rStyle w:val="Appelnotedebasdep"/>
        </w:rPr>
        <w:footnoteReference w:id="22"/>
      </w:r>
      <w:r w:rsidRPr="00CB4F2C">
        <w:t>.</w:t>
      </w:r>
    </w:p>
    <w:p w:rsidR="00B7214C" w:rsidRPr="00CB4F2C" w:rsidRDefault="00B7214C" w:rsidP="00B7214C">
      <w:pPr>
        <w:spacing w:before="120" w:after="120"/>
        <w:jc w:val="both"/>
      </w:pPr>
      <w:r w:rsidRPr="00CB4F2C">
        <w:t>Le recours à cette Église ne fut finalement qu'une façon de mettre la paysannerie sous tutelle religieuse ; l'État lui demandait essentie</w:t>
      </w:r>
      <w:r w:rsidRPr="00CB4F2C">
        <w:t>l</w:t>
      </w:r>
      <w:r w:rsidRPr="00CB4F2C">
        <w:t>lement de remplir une fonction civilisatrice face à une masse de paysans barbares et incultes, encore sous le joug des vieilles superst</w:t>
      </w:r>
      <w:r w:rsidRPr="00CB4F2C">
        <w:t>i</w:t>
      </w:r>
      <w:r w:rsidRPr="00CB4F2C">
        <w:t>tions africaines.</w:t>
      </w:r>
    </w:p>
    <w:p w:rsidR="00B7214C" w:rsidRPr="00CB4F2C" w:rsidRDefault="00B7214C" w:rsidP="00B7214C">
      <w:pPr>
        <w:spacing w:before="120" w:after="120"/>
        <w:jc w:val="both"/>
      </w:pPr>
      <w:r w:rsidRPr="00CB4F2C">
        <w:t>Jusqu'aux années 1950, l'Église catholique demeura un corps étranger au sein de la société haïtienne. Prêtres, év</w:t>
      </w:r>
      <w:r w:rsidRPr="00CB4F2C">
        <w:t>ê</w:t>
      </w:r>
      <w:r w:rsidRPr="00CB4F2C">
        <w:t>ques, archevêques venaient de France ; peu d'efforts furent faits de former un clergé i</w:t>
      </w:r>
      <w:r w:rsidRPr="00CB4F2C">
        <w:t>n</w:t>
      </w:r>
      <w:r w:rsidRPr="00CB4F2C">
        <w:t>digène. Les paroisses furent org</w:t>
      </w:r>
      <w:r w:rsidRPr="00CB4F2C">
        <w:t>a</w:t>
      </w:r>
      <w:r w:rsidRPr="00CB4F2C">
        <w:t>nisées sur le modèle français, sans égard à la situation part</w:t>
      </w:r>
      <w:r w:rsidRPr="00CB4F2C">
        <w:t>i</w:t>
      </w:r>
      <w:r w:rsidRPr="00CB4F2C">
        <w:t>culière du pays. La messe était dite en latin et le prêche en français même là où l'auditoire ne parlait que créole. L'ennemi principal de cette Église était le vodou contre lequel elle e</w:t>
      </w:r>
      <w:r w:rsidRPr="00CB4F2C">
        <w:t>n</w:t>
      </w:r>
      <w:r w:rsidRPr="00CB4F2C">
        <w:t>gagea le fer à plusieurs reprises</w:t>
      </w:r>
      <w:r>
        <w:t> </w:t>
      </w:r>
      <w:r>
        <w:rPr>
          <w:rStyle w:val="Appelnotedebasdep"/>
        </w:rPr>
        <w:footnoteReference w:id="23"/>
      </w:r>
      <w:r w:rsidRPr="00CB4F2C">
        <w:t>.</w:t>
      </w:r>
    </w:p>
    <w:p w:rsidR="00B7214C" w:rsidRPr="00CB4F2C" w:rsidRDefault="00B7214C" w:rsidP="00B7214C">
      <w:pPr>
        <w:spacing w:before="120" w:after="120"/>
        <w:jc w:val="both"/>
      </w:pPr>
      <w:r w:rsidRPr="00CB4F2C">
        <w:t>Cette Église est à la fois proche et distante. Proche par le contrôle qu'elle exerce sur l'accès aux rites de passage fondamentaux de l'exi</w:t>
      </w:r>
      <w:r w:rsidRPr="00CB4F2C">
        <w:t>s</w:t>
      </w:r>
      <w:r w:rsidRPr="00CB4F2C">
        <w:t>tence humaine</w:t>
      </w:r>
      <w:r>
        <w:t> </w:t>
      </w:r>
      <w:r>
        <w:rPr>
          <w:rStyle w:val="Appelnotedebasdep"/>
        </w:rPr>
        <w:footnoteReference w:id="24"/>
      </w:r>
      <w:r w:rsidRPr="00CB4F2C">
        <w:t> ; distante, dans la mesure où elle est carrément ass</w:t>
      </w:r>
      <w:r w:rsidRPr="00CB4F2C">
        <w:t>o</w:t>
      </w:r>
      <w:r w:rsidRPr="00CB4F2C">
        <w:t>ciée aux couches dominantes de la société dont elle exprime la sup</w:t>
      </w:r>
      <w:r w:rsidRPr="00CB4F2C">
        <w:t>é</w:t>
      </w:r>
      <w:r w:rsidRPr="00CB4F2C">
        <w:t>riorité culturelle par son utilisation du français et la répression de ce</w:t>
      </w:r>
      <w:r w:rsidRPr="00CB4F2C">
        <w:t>r</w:t>
      </w:r>
      <w:r w:rsidRPr="00CB4F2C">
        <w:t>tains arrangements sociaux que s'est donnés la paysannerie comme la forme d'union coutumière que constitue le « plaçage ».</w:t>
      </w:r>
    </w:p>
    <w:p w:rsidR="00B7214C" w:rsidRPr="00CB4F2C" w:rsidRDefault="00B7214C" w:rsidP="00B7214C">
      <w:pPr>
        <w:spacing w:before="120" w:after="120"/>
        <w:jc w:val="both"/>
      </w:pPr>
      <w:r w:rsidRPr="00CB4F2C">
        <w:t>Le baptême est un rite essentiel pour le paysan haïtien, c</w:t>
      </w:r>
      <w:r w:rsidRPr="00CB4F2C">
        <w:t>e</w:t>
      </w:r>
      <w:r w:rsidRPr="00CB4F2C">
        <w:t>lui-là même qui l'introduit dans la société des êtres humains et sans lequel il ne serait qu'une bête (« io rétiré choual la »). Par les règlements ento</w:t>
      </w:r>
      <w:r w:rsidRPr="00CB4F2C">
        <w:t>u</w:t>
      </w:r>
      <w:r w:rsidRPr="00CB4F2C">
        <w:t>rant le choix des parrains (dans ce</w:t>
      </w:r>
      <w:r w:rsidRPr="00CB4F2C">
        <w:t>r</w:t>
      </w:r>
      <w:r w:rsidRPr="00CB4F2C">
        <w:t>taines circonstances, ils devaient être mariés) et la distinction faite entre enfants légitimes et illégitimes (les premiers étaient</w:t>
      </w:r>
      <w:r>
        <w:t xml:space="preserve"> [120] </w:t>
      </w:r>
      <w:r w:rsidRPr="00CB4F2C">
        <w:t>baptisés le dimanche et les seconds sur s</w:t>
      </w:r>
      <w:r w:rsidRPr="00CB4F2C">
        <w:t>e</w:t>
      </w:r>
      <w:r w:rsidRPr="00CB4F2C">
        <w:t>maine), l'Église véhiculait l'idée d'une supériorité culturelle des co</w:t>
      </w:r>
      <w:r w:rsidRPr="00CB4F2C">
        <w:t>u</w:t>
      </w:r>
      <w:r w:rsidRPr="00CB4F2C">
        <w:t>ches dominantes occide</w:t>
      </w:r>
      <w:r w:rsidRPr="00CB4F2C">
        <w:t>n</w:t>
      </w:r>
      <w:r w:rsidRPr="00CB4F2C">
        <w:t>talisées. C'est également à l'Église que le paysan demandait de ma</w:t>
      </w:r>
      <w:r w:rsidRPr="00CB4F2C">
        <w:t>r</w:t>
      </w:r>
      <w:r w:rsidRPr="00CB4F2C">
        <w:t>quer la fin de la prime enfance (première communion) et le passage dans l'au-delà, après la mort (rites de l'e</w:t>
      </w:r>
      <w:r w:rsidRPr="00CB4F2C">
        <w:t>n</w:t>
      </w:r>
      <w:r w:rsidRPr="00CB4F2C">
        <w:t>terrement). À chacune de ces occasions, le catholicisme ne manquait pas d'établir sa distance par rapport aux croyances et pratiques pop</w:t>
      </w:r>
      <w:r w:rsidRPr="00CB4F2C">
        <w:t>u</w:t>
      </w:r>
      <w:r w:rsidRPr="00CB4F2C">
        <w:t>laires en refusant, par exemple, de chanter l'enterrement d'une perso</w:t>
      </w:r>
      <w:r w:rsidRPr="00CB4F2C">
        <w:t>n</w:t>
      </w:r>
      <w:r w:rsidRPr="00CB4F2C">
        <w:t>ne soupçonnée de servir les « loas » ou en condamnant du haut de la chaire, en français, ces vei</w:t>
      </w:r>
      <w:r w:rsidRPr="00CB4F2C">
        <w:t>l</w:t>
      </w:r>
      <w:r w:rsidRPr="00CB4F2C">
        <w:t>lées funèbres animées et joyeuses que les prêtres français associaient au paganisme.</w:t>
      </w:r>
    </w:p>
    <w:p w:rsidR="00B7214C" w:rsidRPr="00CB4F2C" w:rsidRDefault="00B7214C" w:rsidP="00B7214C">
      <w:pPr>
        <w:spacing w:before="120" w:after="120"/>
        <w:jc w:val="both"/>
      </w:pPr>
      <w:r w:rsidRPr="00CB4F2C">
        <w:t>Le petit nombre de prêtres, l'inadéquation des structures et des a</w:t>
      </w:r>
      <w:r w:rsidRPr="00CB4F2C">
        <w:t>p</w:t>
      </w:r>
      <w:r w:rsidRPr="00CB4F2C">
        <w:t>proches pastorales, la résistance de la population qui ne voyait pas réellement de contradictions entre sa foi catholique et la perpétuation de ses propres traditions religieuses d'orig</w:t>
      </w:r>
      <w:r w:rsidRPr="00CB4F2C">
        <w:t>i</w:t>
      </w:r>
      <w:r w:rsidRPr="00CB4F2C">
        <w:t>ne africaine furent autant de facteurs qui limitèrent l'influence de l'Église. Le père Froisset le n</w:t>
      </w:r>
      <w:r w:rsidRPr="00CB4F2C">
        <w:t>o</w:t>
      </w:r>
      <w:r w:rsidRPr="00CB4F2C">
        <w:t>tait, en 1948 : « Le chrétien qui réfléchit sur la situation actuelle de la chrétienté dans n</w:t>
      </w:r>
      <w:r w:rsidRPr="00CB4F2C">
        <w:t>o</w:t>
      </w:r>
      <w:r w:rsidRPr="00CB4F2C">
        <w:t xml:space="preserve">tre pays se sent envahi par un sentiment de profonde tristesse [...] il n'est </w:t>
      </w:r>
      <w:r>
        <w:t>point exagéré de dire que les 8</w:t>
      </w:r>
      <w:r w:rsidRPr="00CB4F2C">
        <w:t>/10 de notre popul</w:t>
      </w:r>
      <w:r w:rsidRPr="00CB4F2C">
        <w:t>a</w:t>
      </w:r>
      <w:r w:rsidRPr="00CB4F2C">
        <w:t>tion ignorent hé</w:t>
      </w:r>
      <w:r>
        <w:t>las son évangile et son royaume </w:t>
      </w:r>
      <w:r>
        <w:rPr>
          <w:rStyle w:val="Appelnotedebasdep"/>
        </w:rPr>
        <w:footnoteReference w:id="25"/>
      </w:r>
      <w:r w:rsidRPr="00CB4F2C">
        <w:t> ».</w:t>
      </w:r>
    </w:p>
    <w:p w:rsidR="00B7214C" w:rsidRPr="00CB4F2C" w:rsidRDefault="00B7214C" w:rsidP="00B7214C">
      <w:pPr>
        <w:spacing w:before="120" w:after="120"/>
        <w:jc w:val="both"/>
      </w:pPr>
      <w:r w:rsidRPr="00CB4F2C">
        <w:t>À partir des années 1950, deux facteurs vont infléchir l'évolution de l'Église : le protestantisme et l'indigénisme.</w:t>
      </w:r>
    </w:p>
    <w:p w:rsidR="00B7214C" w:rsidRPr="00CB4F2C" w:rsidRDefault="00B7214C" w:rsidP="00B7214C">
      <w:pPr>
        <w:spacing w:before="120" w:after="120"/>
        <w:jc w:val="both"/>
      </w:pPr>
      <w:r w:rsidRPr="00CB4F2C">
        <w:t>Le courant indigéniste est né dans les années 1930. Réa</w:t>
      </w:r>
      <w:r w:rsidRPr="00CB4F2C">
        <w:t>f</w:t>
      </w:r>
      <w:r w:rsidRPr="00CB4F2C">
        <w:t>firmation de la culture nationale face à l'occupant américain, essentiellement véhiculé par les classes moyennes, il s'était heurté de plein front à l'Église catholique lors de la campagne des Rejetés</w:t>
      </w:r>
      <w:r>
        <w:t> </w:t>
      </w:r>
      <w:r>
        <w:rPr>
          <w:rStyle w:val="Appelnotedebasdep"/>
        </w:rPr>
        <w:footnoteReference w:id="26"/>
      </w:r>
      <w:r w:rsidRPr="00CB4F2C">
        <w:t>. Réaffirmation d'abord essentiellement artistique et littéraire de la valeur des racines africaines du peuple ha</w:t>
      </w:r>
      <w:r w:rsidRPr="00CB4F2C">
        <w:t>ï</w:t>
      </w:r>
      <w:r w:rsidRPr="00CB4F2C">
        <w:t>tien, le mouvement devait déboucher en 1946 sur le champ politique avec la montée du gouvernement Estimé. Cette nouvelle façon d'envisager le vodou mit l'Église sur la défe</w:t>
      </w:r>
      <w:r w:rsidRPr="00CB4F2C">
        <w:t>n</w:t>
      </w:r>
      <w:r w:rsidRPr="00CB4F2C">
        <w:t>sive.</w:t>
      </w:r>
    </w:p>
    <w:p w:rsidR="00B7214C" w:rsidRPr="00CB4F2C" w:rsidRDefault="00B7214C" w:rsidP="00B7214C">
      <w:pPr>
        <w:spacing w:before="120" w:after="120"/>
        <w:jc w:val="both"/>
      </w:pPr>
      <w:r w:rsidRPr="00CB4F2C">
        <w:t>Simultanément le nombre de jeunes religieuses et de je</w:t>
      </w:r>
      <w:r w:rsidRPr="00CB4F2C">
        <w:t>u</w:t>
      </w:r>
      <w:r w:rsidRPr="00CB4F2C">
        <w:t>nes prêtres haïtiens devait augmenter significativement dans les années qui suiv</w:t>
      </w:r>
      <w:r w:rsidRPr="00CB4F2C">
        <w:t>i</w:t>
      </w:r>
      <w:r w:rsidRPr="00CB4F2C">
        <w:t>rent ; de nombreux ordres religieux de l'Amérique du Nord franc</w:t>
      </w:r>
      <w:r w:rsidRPr="00CB4F2C">
        <w:t>o</w:t>
      </w:r>
      <w:r w:rsidRPr="00CB4F2C">
        <w:t>phone, introduits dans les années 1940, allaient avoir à ce niveau un plus grand succès que leurs prédécesseurs français. Ces jeunes ne manquèrent pas d'introduire au sein de l'Église une sensibilité nouve</w:t>
      </w:r>
      <w:r w:rsidRPr="00CB4F2C">
        <w:t>l</w:t>
      </w:r>
      <w:r w:rsidRPr="00CB4F2C">
        <w:t>le face à la culture populaire du pay</w:t>
      </w:r>
      <w:r>
        <w:t>s. Le premier évêque haïtien, M</w:t>
      </w:r>
      <w:r>
        <w:rPr>
          <w:vertAlign w:val="superscript"/>
        </w:rPr>
        <w:t>gr</w:t>
      </w:r>
      <w:r w:rsidRPr="00CB4F2C">
        <w:t xml:space="preserve"> Augustin, fut intronisé en 1955, presque cent ans après la s</w:t>
      </w:r>
      <w:r w:rsidRPr="00CB4F2C">
        <w:t>i</w:t>
      </w:r>
      <w:r w:rsidRPr="00CB4F2C">
        <w:t>gnature du concordat.</w:t>
      </w:r>
    </w:p>
    <w:p w:rsidR="00B7214C" w:rsidRPr="00CB4F2C" w:rsidRDefault="00B7214C" w:rsidP="00B7214C">
      <w:pPr>
        <w:spacing w:before="120" w:after="120"/>
        <w:jc w:val="both"/>
      </w:pPr>
      <w:r w:rsidRPr="00CB4F2C">
        <w:t>Mais après la guerre, ce furent les progrès du protestantisme bea</w:t>
      </w:r>
      <w:r w:rsidRPr="00CB4F2C">
        <w:t>u</w:t>
      </w:r>
      <w:r w:rsidRPr="00CB4F2C">
        <w:t>coup plus que le vodou qui préoccupèrent l'Église. Les protestants qui ne</w:t>
      </w:r>
      <w:r>
        <w:t xml:space="preserve"> [121] </w:t>
      </w:r>
      <w:r w:rsidRPr="00CB4F2C">
        <w:t>représentaient que 0,6</w:t>
      </w:r>
      <w:r>
        <w:t>%</w:t>
      </w:r>
      <w:r w:rsidRPr="00CB4F2C">
        <w:t xml:space="preserve"> de la population dans les années 1920, vont atteindre près de 13</w:t>
      </w:r>
      <w:r>
        <w:t>%</w:t>
      </w:r>
      <w:r w:rsidRPr="00CB4F2C">
        <w:t xml:space="preserve"> dans les années </w:t>
      </w:r>
      <w:r>
        <w:t>1</w:t>
      </w:r>
      <w:r w:rsidRPr="00CB4F2C">
        <w:t>960</w:t>
      </w:r>
      <w:r>
        <w:t> </w:t>
      </w:r>
      <w:r>
        <w:rPr>
          <w:rStyle w:val="Appelnotedebasdep"/>
        </w:rPr>
        <w:footnoteReference w:id="27"/>
      </w:r>
      <w:r w:rsidRPr="00CB4F2C">
        <w:t>. Cette mo</w:t>
      </w:r>
      <w:r w:rsidRPr="00CB4F2C">
        <w:t>n</w:t>
      </w:r>
      <w:r w:rsidRPr="00CB4F2C">
        <w:t>tée du protestantisme s'était amorcée sous l'occupation ; les autorités américaines avaient été surprises du faible intérêt des missions rel</w:t>
      </w:r>
      <w:r w:rsidRPr="00CB4F2C">
        <w:t>i</w:t>
      </w:r>
      <w:r w:rsidRPr="00CB4F2C">
        <w:t>gieuses américaines pour Haïti et s'étaient résolues à encourager leur implantation. Le succès des Églises protestantes s'explique par pl</w:t>
      </w:r>
      <w:r w:rsidRPr="00CB4F2C">
        <w:t>u</w:t>
      </w:r>
      <w:r w:rsidRPr="00CB4F2C">
        <w:t>sieurs facteurs mais leur prosélytisme férocement antivodou et antic</w:t>
      </w:r>
      <w:r w:rsidRPr="00CB4F2C">
        <w:t>a</w:t>
      </w:r>
      <w:r w:rsidRPr="00CB4F2C">
        <w:t>tholique amena paradoxalement l'Église catholique à réduire ses att</w:t>
      </w:r>
      <w:r w:rsidRPr="00CB4F2C">
        <w:t>a</w:t>
      </w:r>
      <w:r w:rsidRPr="00CB4F2C">
        <w:t>ques contre les voduisants qui se localisaient tout de même en son sein. La critique du protestantisme passait également chez les rel</w:t>
      </w:r>
      <w:r w:rsidRPr="00CB4F2C">
        <w:t>i</w:t>
      </w:r>
      <w:r w:rsidRPr="00CB4F2C">
        <w:t>gieux, dont plusieurs étaient français d'origine, par une dénonciation de l'impéri</w:t>
      </w:r>
      <w:r w:rsidRPr="00CB4F2C">
        <w:t>a</w:t>
      </w:r>
      <w:r w:rsidRPr="00CB4F2C">
        <w:t>lisme culturel américain dont il était le principal fer de lance. Le pr</w:t>
      </w:r>
      <w:r w:rsidRPr="00CB4F2C">
        <w:t>o</w:t>
      </w:r>
      <w:r w:rsidRPr="00CB4F2C">
        <w:t>testantisme amena également l'Église catholique à revoir de fond en comble son mode de fonctionnement en empruntant à son concurrent ce</w:t>
      </w:r>
      <w:r w:rsidRPr="00CB4F2C">
        <w:t>r</w:t>
      </w:r>
      <w:r w:rsidRPr="00CB4F2C">
        <w:t>tains des éléments qui étaient à la base de son succès.</w:t>
      </w:r>
    </w:p>
    <w:p w:rsidR="00B7214C" w:rsidRPr="00CB4F2C" w:rsidRDefault="00B7214C" w:rsidP="00B7214C">
      <w:pPr>
        <w:spacing w:before="120" w:after="120"/>
        <w:jc w:val="both"/>
      </w:pPr>
      <w:r w:rsidRPr="00CB4F2C">
        <w:t>Le succès des sectes protestantes repose en partie sur l'i</w:t>
      </w:r>
      <w:r w:rsidRPr="00CB4F2C">
        <w:t>m</w:t>
      </w:r>
      <w:r w:rsidRPr="00CB4F2C">
        <w:t>plication active des membres au sein de groupements bien enracinés au niveau local. Le protestantisme s'est également appuyé sur un leadership e</w:t>
      </w:r>
      <w:r w:rsidRPr="00CB4F2C">
        <w:t>s</w:t>
      </w:r>
      <w:r w:rsidRPr="00CB4F2C">
        <w:t>sentiellement haïtien. L'Église catholique, étrangère, s'était cantonnée dans un rôle de di</w:t>
      </w:r>
      <w:r w:rsidRPr="00CB4F2C">
        <w:t>s</w:t>
      </w:r>
      <w:r w:rsidRPr="00CB4F2C">
        <w:t>pensatrice de services spirituels. Elle n'avait pas recherché la participation des laïcs. On mit sur pied, dans les années 1960, un certain nombre d'organisations religieuses dont le fonctio</w:t>
      </w:r>
      <w:r w:rsidRPr="00CB4F2C">
        <w:t>n</w:t>
      </w:r>
      <w:r w:rsidRPr="00CB4F2C">
        <w:t>nement était plus ou moins calqué sur celui des sectes protestantes : « Sainte Famille », « Légionnaires » puis gro</w:t>
      </w:r>
      <w:r w:rsidRPr="00CB4F2C">
        <w:t>u</w:t>
      </w:r>
      <w:r w:rsidRPr="00CB4F2C">
        <w:t>pes de jeunes chrétiens. Les membres de ces organisations tenaient des séances de prières à leurs domiciles, ils visitaient les malades et priaient pour eux. L'Église se rapprochait ainsi de sa base. Ces organisations anticipèrent celles qui const</w:t>
      </w:r>
      <w:r w:rsidRPr="00CB4F2C">
        <w:t>i</w:t>
      </w:r>
      <w:r w:rsidRPr="00CB4F2C">
        <w:t>tueront dans les années 1980 les « ti-légliz » dont le rôle est central dans l'éveil démocratique actuel.</w:t>
      </w:r>
    </w:p>
    <w:p w:rsidR="00B7214C" w:rsidRPr="00CB4F2C" w:rsidRDefault="00B7214C" w:rsidP="00B7214C">
      <w:pPr>
        <w:spacing w:before="120" w:after="120"/>
        <w:jc w:val="both"/>
      </w:pPr>
      <w:r w:rsidRPr="00CB4F2C">
        <w:t>Le protestantisme s'impliquait également dans l'amélior</w:t>
      </w:r>
      <w:r w:rsidRPr="00CB4F2C">
        <w:t>a</w:t>
      </w:r>
      <w:r w:rsidRPr="00CB4F2C">
        <w:t>tion des conditions de vie de la population. La construction d'une église s'a</w:t>
      </w:r>
      <w:r w:rsidRPr="00CB4F2C">
        <w:t>c</w:t>
      </w:r>
      <w:r w:rsidRPr="00CB4F2C">
        <w:t>compagnait toujours de celle d'un dispensaire et d'une école. Cette préoccupation développementiste était absente au sein du catholicisme traditionnel et nul doute que le succès protestant contribua à son dév</w:t>
      </w:r>
      <w:r w:rsidRPr="00CB4F2C">
        <w:t>e</w:t>
      </w:r>
      <w:r w:rsidRPr="00CB4F2C">
        <w:t>loppement.</w:t>
      </w:r>
    </w:p>
    <w:p w:rsidR="00B7214C" w:rsidRPr="00CB4F2C" w:rsidRDefault="00B7214C" w:rsidP="00B7214C">
      <w:pPr>
        <w:spacing w:before="120" w:after="120"/>
        <w:jc w:val="both"/>
      </w:pPr>
      <w:r w:rsidRPr="00CB4F2C">
        <w:t>Duvalier n'épargna pas l'Église catholique. De 1959 à 1962, il s'a</w:t>
      </w:r>
      <w:r w:rsidRPr="00CB4F2C">
        <w:t>t</w:t>
      </w:r>
      <w:r w:rsidRPr="00CB4F2C">
        <w:t>taqua systématiquement à tous ceux qu'il sou</w:t>
      </w:r>
      <w:r w:rsidRPr="00CB4F2C">
        <w:t>p</w:t>
      </w:r>
      <w:r w:rsidRPr="00CB4F2C">
        <w:t>çonnait d'être contre lui : expulsion de l'archevêque de Port-au-Prince et du directeur du Petit Séminaire de Saint-Martial, expulsion des jésuites, nombreuses arrestations, interventions macoutes dans les églises</w:t>
      </w:r>
      <w:r>
        <w:t> </w:t>
      </w:r>
      <w:r>
        <w:rPr>
          <w:rStyle w:val="Appelnotedebasdep"/>
        </w:rPr>
        <w:footnoteReference w:id="28"/>
      </w:r>
      <w:r w:rsidRPr="00CB4F2C">
        <w:t>. Duvalier d</w:t>
      </w:r>
      <w:r w:rsidRPr="00CB4F2C">
        <w:t>e</w:t>
      </w:r>
      <w:r w:rsidRPr="00CB4F2C">
        <w:t>vait sortir vainqueur de l'affrontement qui s'ensuivit avec le Vatican ; fo</w:t>
      </w:r>
      <w:r w:rsidRPr="00CB4F2C">
        <w:t>r</w:t>
      </w:r>
      <w:r w:rsidRPr="00CB4F2C">
        <w:t>çant ce dernier au strict respect de l'entente concordataire, il utilisa son pouvoir de nomination des évêques et archevêques (sujet à l'inst</w:t>
      </w:r>
      <w:r w:rsidRPr="00CB4F2C">
        <w:t>i</w:t>
      </w:r>
      <w:r w:rsidRPr="00CB4F2C">
        <w:t>tution canonique qui, elle, est donnée par le pape) pour mettre en pl</w:t>
      </w:r>
      <w:r w:rsidRPr="00CB4F2C">
        <w:t>a</w:t>
      </w:r>
      <w:r w:rsidRPr="00CB4F2C">
        <w:t>ce une hiérarchie catholique indigène</w:t>
      </w:r>
      <w:r>
        <w:t xml:space="preserve"> [122] </w:t>
      </w:r>
      <w:r w:rsidRPr="00CB4F2C">
        <w:t>dévouée à sa cause. Hu</w:t>
      </w:r>
      <w:r w:rsidRPr="00CB4F2C">
        <w:t>r</w:t>
      </w:r>
      <w:r w:rsidRPr="00CB4F2C">
        <w:t>bon souligne avec beaucoup de justesse le paradoxe de Duvalier, l'ethnologue défenseur du vod</w:t>
      </w:r>
      <w:r>
        <w:t>ou, considérant cette indigéni</w:t>
      </w:r>
      <w:r w:rsidRPr="00CB4F2C">
        <w:t>sation de la hiérarchie c</w:t>
      </w:r>
      <w:r w:rsidRPr="00CB4F2C">
        <w:t>a</w:t>
      </w:r>
      <w:r w:rsidRPr="00CB4F2C">
        <w:t>tholique comme la plus grande victoire de son règne (1979)</w:t>
      </w:r>
      <w:r>
        <w:t> </w:t>
      </w:r>
      <w:r>
        <w:rPr>
          <w:rStyle w:val="Appelnotedebasdep"/>
        </w:rPr>
        <w:footnoteReference w:id="29"/>
      </w:r>
      <w:r w:rsidRPr="00CB4F2C">
        <w:t>. Duvalier s'assurait de la sorte, pour les années à venir, la collaboration du haut clergé haïtien, n'hésitant nu</w:t>
      </w:r>
      <w:r w:rsidRPr="00CB4F2C">
        <w:t>l</w:t>
      </w:r>
      <w:r w:rsidRPr="00CB4F2C">
        <w:t xml:space="preserve">lement à s'immiscer dans le processus de nomination des curés et des prêtres, imposant le déplacement ou l'envoi à l'étranger des éléments les plus remuants et les plus </w:t>
      </w:r>
      <w:r>
        <w:t>critiques. La dénonciation de M</w:t>
      </w:r>
      <w:r>
        <w:rPr>
          <w:vertAlign w:val="superscript"/>
        </w:rPr>
        <w:t>gr</w:t>
      </w:r>
      <w:r w:rsidRPr="00CB4F2C">
        <w:t xml:space="preserve"> Ligo</w:t>
      </w:r>
      <w:r w:rsidRPr="00CB4F2C">
        <w:t>n</w:t>
      </w:r>
      <w:r w:rsidRPr="00CB4F2C">
        <w:t>dé, archevêque de Port-au-Prince, par ses propres fidèles, peu après le départ de Duvalier fils, repose sur ce rôle de courroie de transmission des volontés prés</w:t>
      </w:r>
      <w:r w:rsidRPr="00CB4F2C">
        <w:t>i</w:t>
      </w:r>
      <w:r w:rsidRPr="00CB4F2C">
        <w:t>dentielles qu'il aurait selon certains rempli avec beaucoup de z</w:t>
      </w:r>
      <w:r w:rsidRPr="00CB4F2C">
        <w:t>è</w:t>
      </w:r>
      <w:r w:rsidRPr="00CB4F2C">
        <w:t>le. On vit également apparaître un certain nombre de curés macoutes, revo</w:t>
      </w:r>
      <w:r w:rsidRPr="00CB4F2C">
        <w:t>l</w:t>
      </w:r>
      <w:r w:rsidRPr="00CB4F2C">
        <w:t>ver à la ceinture, et partisans fanatiques du « Doc » ; Sucot à Caisse Coffre, Tatis à Saint-Yves, François à Sainte Rose. Mais le plus grand nombre se replièrent dans un apolitisme prudent</w:t>
      </w:r>
      <w:r>
        <w:t> </w:t>
      </w:r>
      <w:r>
        <w:rPr>
          <w:rStyle w:val="Appelnotedebasdep"/>
        </w:rPr>
        <w:footnoteReference w:id="30"/>
      </w:r>
      <w:r w:rsidRPr="00CB4F2C">
        <w:t>. Le politique d</w:t>
      </w:r>
      <w:r w:rsidRPr="00CB4F2C">
        <w:t>e</w:t>
      </w:r>
      <w:r w:rsidRPr="00CB4F2C">
        <w:t>vint littéralement t</w:t>
      </w:r>
      <w:r w:rsidRPr="00CB4F2C">
        <w:t>a</w:t>
      </w:r>
      <w:r w:rsidRPr="00CB4F2C">
        <w:t>bou.</w:t>
      </w:r>
    </w:p>
    <w:p w:rsidR="00B7214C" w:rsidRPr="00CB4F2C" w:rsidRDefault="00B7214C" w:rsidP="00B7214C">
      <w:pPr>
        <w:spacing w:before="120" w:after="120"/>
        <w:jc w:val="both"/>
      </w:pPr>
      <w:r w:rsidRPr="00CB4F2C">
        <w:t>Si inféodée soit-elle au pouvoir politique, l'Église haïtienne ne ce</w:t>
      </w:r>
      <w:r w:rsidRPr="00CB4F2C">
        <w:t>s</w:t>
      </w:r>
      <w:r w:rsidRPr="00CB4F2C">
        <w:t>sait néanmoins pas de faire partie d'une Église « universelle » et devait nécessairement être influencée par les courants de pensée qui trave</w:t>
      </w:r>
      <w:r w:rsidRPr="00CB4F2C">
        <w:t>r</w:t>
      </w:r>
      <w:r w:rsidRPr="00CB4F2C">
        <w:t>saient alors la catholicité.</w:t>
      </w:r>
    </w:p>
    <w:p w:rsidR="00B7214C" w:rsidRPr="00CB4F2C" w:rsidRDefault="00B7214C" w:rsidP="00B7214C">
      <w:pPr>
        <w:spacing w:before="120" w:after="120"/>
        <w:jc w:val="both"/>
      </w:pPr>
      <w:r w:rsidRPr="00CB4F2C">
        <w:t>Suite au Concile de Vatican</w:t>
      </w:r>
      <w:r>
        <w:t> </w:t>
      </w:r>
      <w:r w:rsidRPr="00CB4F2C">
        <w:t>II et dans la mesure où l'ind</w:t>
      </w:r>
      <w:r w:rsidRPr="00CB4F2C">
        <w:t>i</w:t>
      </w:r>
      <w:r w:rsidRPr="00CB4F2C">
        <w:t>génisme alors au pouvoir à Port-au-Prince le permettait, le clergé haïtien che</w:t>
      </w:r>
      <w:r w:rsidRPr="00CB4F2C">
        <w:t>r</w:t>
      </w:r>
      <w:r w:rsidRPr="00CB4F2C">
        <w:t>cha à redéfinir son approche pastorale par rapport au vodou et à la culture nationale</w:t>
      </w:r>
      <w:r>
        <w:t> </w:t>
      </w:r>
      <w:r>
        <w:rPr>
          <w:rStyle w:val="Appelnotedebasdep"/>
        </w:rPr>
        <w:footnoteReference w:id="31"/>
      </w:r>
      <w:r w:rsidRPr="00CB4F2C">
        <w:t>. Durant les années 1960 se développa une théol</w:t>
      </w:r>
      <w:r w:rsidRPr="00CB4F2C">
        <w:t>o</w:t>
      </w:r>
      <w:r w:rsidRPr="00CB4F2C">
        <w:t>gie des « pierres d'attente », soucieuse d'identifier au sein de la culture populaire haïtienne les éléments culturels sur lesquels faire reposer le message évangélique. Le remplacement du latin par le créole comme langue liturgique se fit également dans la foulée du concile et contr</w:t>
      </w:r>
      <w:r w:rsidRPr="00CB4F2C">
        <w:t>i</w:t>
      </w:r>
      <w:r w:rsidRPr="00CB4F2C">
        <w:t>bua à rapprocher l'Église des couches populaires.</w:t>
      </w:r>
    </w:p>
    <w:p w:rsidR="00B7214C" w:rsidRPr="00CB4F2C" w:rsidRDefault="00B7214C" w:rsidP="00B7214C">
      <w:pPr>
        <w:spacing w:before="120" w:after="120"/>
        <w:jc w:val="both"/>
      </w:pPr>
      <w:r w:rsidRPr="00CB4F2C">
        <w:t>La pénétration de la théologie de la libération se fit plus tardiv</w:t>
      </w:r>
      <w:r w:rsidRPr="00CB4F2C">
        <w:t>e</w:t>
      </w:r>
      <w:r w:rsidRPr="00CB4F2C">
        <w:t>ment dans la mesure où elle ne procédait pas de l'initiative hiérarch</w:t>
      </w:r>
      <w:r w:rsidRPr="00CB4F2C">
        <w:t>i</w:t>
      </w:r>
      <w:r w:rsidRPr="00CB4F2C">
        <w:t>que. Dès 1975 cependant, les actes du synode de Meddelin alimentent les discussions des jeunes séminari</w:t>
      </w:r>
      <w:r w:rsidRPr="00CB4F2C">
        <w:t>s</w:t>
      </w:r>
      <w:r w:rsidRPr="00CB4F2C">
        <w:t>tes et les réunions de pastorale. On commence à se demander, prêtres étrangers et natifs, comment tradu</w:t>
      </w:r>
      <w:r w:rsidRPr="00CB4F2C">
        <w:t>i</w:t>
      </w:r>
      <w:r w:rsidRPr="00CB4F2C">
        <w:t>re dans la réalité pastorale cette option préférentielle pour les pauvres dans le contexte haïtien. À partir de 1977, des projets de conscientisation sont mis sur pied, financés par Caritas ; ils rasse</w:t>
      </w:r>
      <w:r w:rsidRPr="00CB4F2C">
        <w:t>m</w:t>
      </w:r>
      <w:r w:rsidRPr="00CB4F2C">
        <w:t>blent prêtres, religieux et religieuses ainsi que de jeunes laïcs so</w:t>
      </w:r>
      <w:r w:rsidRPr="00CB4F2C">
        <w:t>u</w:t>
      </w:r>
      <w:r w:rsidRPr="00CB4F2C">
        <w:t>vent fraîchement sortis des universités autour de petits projets visant à d</w:t>
      </w:r>
      <w:r w:rsidRPr="00CB4F2C">
        <w:t>é</w:t>
      </w:r>
      <w:r w:rsidRPr="00CB4F2C">
        <w:t>velopper l'a</w:t>
      </w:r>
      <w:r w:rsidRPr="00CB4F2C">
        <w:t>u</w:t>
      </w:r>
      <w:r w:rsidRPr="00CB4F2C">
        <w:t>tonomie et l'initiative locale. Petit à petit, c'est à l'abri de l'institution qu'est l'Église que comme</w:t>
      </w:r>
      <w:r w:rsidRPr="00CB4F2C">
        <w:t>n</w:t>
      </w:r>
      <w:r w:rsidRPr="00CB4F2C">
        <w:t>ce à se structurer une parole indépendante ; ces développements se font inégalement dans le pays et dépendent bea</w:t>
      </w:r>
      <w:r w:rsidRPr="00CB4F2C">
        <w:t>u</w:t>
      </w:r>
      <w:r w:rsidRPr="00CB4F2C">
        <w:t>coup de l'initiative des curés les plus entreprenants.</w:t>
      </w:r>
      <w:r>
        <w:t xml:space="preserve"> [123] </w:t>
      </w:r>
      <w:r w:rsidRPr="00CB4F2C">
        <w:t>Entre les différents groupes qui se constituent, ici et là, des liens s'établissent brisant l'isolement auquel la dictature avait condamné le peuple.</w:t>
      </w:r>
    </w:p>
    <w:p w:rsidR="00B7214C" w:rsidRPr="00CB4F2C" w:rsidRDefault="00B7214C" w:rsidP="00B7214C">
      <w:pPr>
        <w:spacing w:before="120" w:after="120"/>
        <w:jc w:val="both"/>
      </w:pPr>
      <w:r w:rsidRPr="00CB4F2C">
        <w:t>Cette lente reconstitution de la société civile s'accomp</w:t>
      </w:r>
      <w:r w:rsidRPr="00CB4F2C">
        <w:t>a</w:t>
      </w:r>
      <w:r w:rsidRPr="00CB4F2C">
        <w:t>gne de l'émergence d'une presse et surtout d'une radio ind</w:t>
      </w:r>
      <w:r w:rsidRPr="00CB4F2C">
        <w:t>é</w:t>
      </w:r>
      <w:r w:rsidRPr="00CB4F2C">
        <w:t>pendante créole qui se fait de plus en plus le porte-parole des besoins du pays profond.</w:t>
      </w:r>
    </w:p>
    <w:p w:rsidR="00B7214C" w:rsidRPr="00CB4F2C" w:rsidRDefault="00B7214C" w:rsidP="00B7214C">
      <w:pPr>
        <w:spacing w:before="120" w:after="120"/>
        <w:jc w:val="both"/>
      </w:pPr>
      <w:r w:rsidRPr="00CB4F2C">
        <w:t>L'Église n'entre finalement dans la bataille qu'au lend</w:t>
      </w:r>
      <w:r w:rsidRPr="00CB4F2C">
        <w:t>e</w:t>
      </w:r>
      <w:r w:rsidRPr="00CB4F2C">
        <w:t>main de l'expulsion des journalistes de cette presse indépendante. La Conf</w:t>
      </w:r>
      <w:r w:rsidRPr="00CB4F2C">
        <w:t>é</w:t>
      </w:r>
      <w:r w:rsidRPr="00CB4F2C">
        <w:t>rence haïtienne des religieux, qui regroupe les éléments les plus d</w:t>
      </w:r>
      <w:r w:rsidRPr="00CB4F2C">
        <w:t>y</w:t>
      </w:r>
      <w:r w:rsidRPr="00CB4F2C">
        <w:t>namiques du clergé, rend publique une lettre dans laquelle elle invite les évêques à prendre le relai en décembre 1980 (Moïse et Oll</w:t>
      </w:r>
      <w:r w:rsidRPr="00CB4F2C">
        <w:t>i</w:t>
      </w:r>
      <w:r w:rsidRPr="00CB4F2C">
        <w:t>vier)</w:t>
      </w:r>
      <w:r>
        <w:t> </w:t>
      </w:r>
      <w:r>
        <w:rPr>
          <w:rStyle w:val="Appelnotedebasdep"/>
        </w:rPr>
        <w:footnoteReference w:id="32"/>
      </w:r>
      <w:r w:rsidRPr="00CB4F2C">
        <w:t> :</w:t>
      </w:r>
    </w:p>
    <w:p w:rsidR="00B7214C" w:rsidRDefault="00B7214C" w:rsidP="00B7214C">
      <w:pPr>
        <w:pStyle w:val="Grillecouleur-Accent1"/>
      </w:pPr>
    </w:p>
    <w:p w:rsidR="00B7214C" w:rsidRDefault="00B7214C" w:rsidP="00B7214C">
      <w:pPr>
        <w:pStyle w:val="Grillecouleur-Accent1"/>
      </w:pPr>
      <w:r w:rsidRPr="00CB4F2C">
        <w:t>L'heure est venue où nous devons faire un choix qui mènera l'Égl</w:t>
      </w:r>
      <w:r w:rsidRPr="00CB4F2C">
        <w:t>i</w:t>
      </w:r>
      <w:r w:rsidRPr="00CB4F2C">
        <w:t>se d'Haïti vers un autre tournant. Le choix est clair : c'est l'option préfére</w:t>
      </w:r>
      <w:r w:rsidRPr="00CB4F2C">
        <w:t>n</w:t>
      </w:r>
      <w:r w:rsidRPr="00CB4F2C">
        <w:t>tielle pour les pauvres. C'est une option évangélique qui, dans sa radical</w:t>
      </w:r>
      <w:r w:rsidRPr="00CB4F2C">
        <w:t>i</w:t>
      </w:r>
      <w:r w:rsidRPr="00CB4F2C">
        <w:t>té, nous demande la conversion et qui nous fera perdre l'appui des pui</w:t>
      </w:r>
      <w:r w:rsidRPr="00CB4F2C">
        <w:t>s</w:t>
      </w:r>
      <w:r w:rsidRPr="00CB4F2C">
        <w:t>sants.</w:t>
      </w:r>
    </w:p>
    <w:p w:rsidR="00B7214C" w:rsidRPr="00CB4F2C" w:rsidRDefault="00B7214C" w:rsidP="00B7214C">
      <w:pPr>
        <w:pStyle w:val="Grillecouleur-Accent1"/>
      </w:pPr>
    </w:p>
    <w:p w:rsidR="00B7214C" w:rsidRPr="00CB4F2C" w:rsidRDefault="00B7214C" w:rsidP="00B7214C">
      <w:pPr>
        <w:spacing w:before="120" w:after="120"/>
        <w:jc w:val="both"/>
      </w:pPr>
      <w:r w:rsidRPr="00CB4F2C">
        <w:t>Face à une répression croissante de la part des autorités, en janvier 1983, la Conférence épiscopale elle-même endo</w:t>
      </w:r>
      <w:r w:rsidRPr="00CB4F2C">
        <w:t>s</w:t>
      </w:r>
      <w:r w:rsidRPr="00CB4F2C">
        <w:t>se, de concert avec la Conférence des religieux, une manife</w:t>
      </w:r>
      <w:r w:rsidRPr="00CB4F2C">
        <w:t>s</w:t>
      </w:r>
      <w:r w:rsidRPr="00CB4F2C">
        <w:t>tation demandant la libération d'un jeune militant catholique qui avait été arrêté par les forces de p</w:t>
      </w:r>
      <w:r w:rsidRPr="00CB4F2C">
        <w:t>o</w:t>
      </w:r>
      <w:r w:rsidRPr="00CB4F2C">
        <w:t>lice du régime. En f</w:t>
      </w:r>
      <w:r w:rsidRPr="00CB4F2C">
        <w:t>é</w:t>
      </w:r>
      <w:r w:rsidRPr="00CB4F2C">
        <w:t xml:space="preserve">vrier de la même année, Jean-Paul II </w:t>
      </w:r>
      <w:r>
        <w:t>lui-même, de passage à Port-au-</w:t>
      </w:r>
      <w:r w:rsidRPr="00CB4F2C">
        <w:t>Prince, semble avaliser le mouvement : « Quelque chose doit changer ici ».</w:t>
      </w:r>
    </w:p>
    <w:p w:rsidR="00B7214C" w:rsidRPr="00CB4F2C" w:rsidRDefault="00B7214C" w:rsidP="00B7214C">
      <w:pPr>
        <w:spacing w:before="120" w:after="120"/>
        <w:jc w:val="both"/>
      </w:pPr>
      <w:r w:rsidRPr="00CB4F2C">
        <w:t>L'Église va par la suite devenir le fer de lance du mouvement d'o</w:t>
      </w:r>
      <w:r w:rsidRPr="00CB4F2C">
        <w:t>p</w:t>
      </w:r>
      <w:r w:rsidRPr="00CB4F2C">
        <w:t>position au régime, mouvement qui se structurera à l'extérieur des pa</w:t>
      </w:r>
      <w:r w:rsidRPr="00CB4F2C">
        <w:t>r</w:t>
      </w:r>
      <w:r w:rsidRPr="00CB4F2C">
        <w:t>tis politiques constitués. S'appuyant sur les « ti-légliz » et les groupes de jeunes militants catholiques, l'Eglise prendra la direction de la lutte au duvaliérisme (Mo</w:t>
      </w:r>
      <w:r w:rsidRPr="00CB4F2C">
        <w:t>ï</w:t>
      </w:r>
      <w:r>
        <w:t>se et Ollivier) </w:t>
      </w:r>
      <w:r>
        <w:rPr>
          <w:rStyle w:val="Appelnotedebasdep"/>
        </w:rPr>
        <w:footnoteReference w:id="33"/>
      </w:r>
      <w:r w:rsidRPr="00CB4F2C">
        <w:t>. La radio</w:t>
      </w:r>
      <w:r>
        <w:t xml:space="preserve"> officielle de l'Église, Radio-</w:t>
      </w:r>
      <w:r w:rsidRPr="00CB4F2C">
        <w:t>Soleil, prendra le relai de la presse indépendante en exil. L'identif</w:t>
      </w:r>
      <w:r w:rsidRPr="00CB4F2C">
        <w:t>i</w:t>
      </w:r>
      <w:r w:rsidRPr="00CB4F2C">
        <w:t>cation du macoutisme et du duvaliérisme au règne de Satan et au Mal accompagnera des réflexions plus sobres sur la néce</w:t>
      </w:r>
      <w:r w:rsidRPr="00CB4F2C">
        <w:t>s</w:t>
      </w:r>
      <w:r w:rsidRPr="00CB4F2C">
        <w:t>sité d'établir enfin un règne où les droits de la personne, de toutes les pe</w:t>
      </w:r>
      <w:r w:rsidRPr="00CB4F2C">
        <w:t>r</w:t>
      </w:r>
      <w:r w:rsidRPr="00CB4F2C">
        <w:t>sonnes (« Tout moun sé moun ») seraient re</w:t>
      </w:r>
      <w:r w:rsidRPr="00CB4F2C">
        <w:t>s</w:t>
      </w:r>
      <w:r w:rsidRPr="00CB4F2C">
        <w:t>pectés.</w:t>
      </w:r>
    </w:p>
    <w:p w:rsidR="00B7214C" w:rsidRPr="00CB4F2C" w:rsidRDefault="00B7214C" w:rsidP="00B7214C">
      <w:pPr>
        <w:spacing w:before="120" w:after="120"/>
        <w:jc w:val="both"/>
      </w:pPr>
      <w:r w:rsidRPr="00CB4F2C">
        <w:t>Au lendemain de la chute de Duvalier, en février 1986, jamais l'Église catholique n'avait joui, dans le pays, d'une te</w:t>
      </w:r>
      <w:r w:rsidRPr="00CB4F2C">
        <w:t>l</w:t>
      </w:r>
      <w:r w:rsidRPr="00CB4F2C">
        <w:t>le ascendance morale et d'une telle influence politique. Mais l'endossement de l'o</w:t>
      </w:r>
      <w:r w:rsidRPr="00CB4F2C">
        <w:t>p</w:t>
      </w:r>
      <w:r w:rsidRPr="00CB4F2C">
        <w:t>tion préférentielle pour les pauvres ne signifiait pas que la hiérarchie était prête à suivre ses fidèles les plus militants vers des voies polit</w:t>
      </w:r>
      <w:r w:rsidRPr="00CB4F2C">
        <w:t>i</w:t>
      </w:r>
      <w:r w:rsidRPr="00CB4F2C">
        <w:t>ques qu'elle désapprouvait par ailleurs. La plupart des évêques se s</w:t>
      </w:r>
      <w:r w:rsidRPr="00CB4F2C">
        <w:t>e</w:t>
      </w:r>
      <w:r w:rsidRPr="00CB4F2C">
        <w:t>raient contentés du seul départ de Duvalier. Deux jours après le départ du di</w:t>
      </w:r>
      <w:r w:rsidRPr="00CB4F2C">
        <w:t>c</w:t>
      </w:r>
      <w:r w:rsidRPr="00CB4F2C">
        <w:t>tateur, M8</w:t>
      </w:r>
      <w:r w:rsidRPr="00CB4F2C">
        <w:rPr>
          <w:vertAlign w:val="superscript"/>
        </w:rPr>
        <w:t>r</w:t>
      </w:r>
      <w:r w:rsidRPr="00CB4F2C">
        <w:t xml:space="preserve"> Gayot, successeur d'un Ligondé qui était parti se mettre provi</w:t>
      </w:r>
      <w:r>
        <w:t xml:space="preserve">soirement à l'abri à l'étranger, [124] </w:t>
      </w:r>
      <w:r w:rsidRPr="00CB4F2C">
        <w:t>ne disait-il pas que l'heure était à la réconciliation et que le princ</w:t>
      </w:r>
      <w:r w:rsidRPr="00CB4F2C">
        <w:t>i</w:t>
      </w:r>
      <w:r w:rsidRPr="00CB4F2C">
        <w:t>pal danger à surveiller était maintenant le communi</w:t>
      </w:r>
      <w:r w:rsidRPr="00CB4F2C">
        <w:t>s</w:t>
      </w:r>
      <w:r w:rsidRPr="00CB4F2C">
        <w:t>me</w:t>
      </w:r>
      <w:r>
        <w:t> </w:t>
      </w:r>
      <w:r>
        <w:rPr>
          <w:rStyle w:val="Appelnotedebasdep"/>
        </w:rPr>
        <w:footnoteReference w:id="34"/>
      </w:r>
      <w:r w:rsidRPr="00CB4F2C">
        <w:t>.</w:t>
      </w:r>
    </w:p>
    <w:p w:rsidR="00B7214C" w:rsidRDefault="00B7214C" w:rsidP="00B7214C">
      <w:pPr>
        <w:spacing w:before="120" w:after="120"/>
        <w:jc w:val="both"/>
      </w:pPr>
    </w:p>
    <w:p w:rsidR="00B7214C" w:rsidRPr="00CB4F2C" w:rsidRDefault="00B7214C" w:rsidP="00B7214C">
      <w:pPr>
        <w:pStyle w:val="a"/>
      </w:pPr>
      <w:r w:rsidRPr="00CB4F2C">
        <w:t>LE VODOU</w:t>
      </w:r>
    </w:p>
    <w:p w:rsidR="00B7214C" w:rsidRDefault="00B7214C" w:rsidP="00B7214C">
      <w:pPr>
        <w:spacing w:before="120" w:after="120"/>
        <w:jc w:val="both"/>
      </w:pPr>
    </w:p>
    <w:p w:rsidR="00B7214C" w:rsidRPr="00CB4F2C" w:rsidRDefault="00B7214C" w:rsidP="00B7214C">
      <w:pPr>
        <w:spacing w:before="120" w:after="120"/>
        <w:jc w:val="both"/>
      </w:pPr>
      <w:r w:rsidRPr="00CB4F2C">
        <w:t>Toute tentative de parler des rapports qu'entretient le v</w:t>
      </w:r>
      <w:r w:rsidRPr="00CB4F2C">
        <w:t>o</w:t>
      </w:r>
      <w:r w:rsidRPr="00CB4F2C">
        <w:t>dou et le politique se heurte, a priori, à la dichotomie du rationnel et de l'irr</w:t>
      </w:r>
      <w:r w:rsidRPr="00CB4F2C">
        <w:t>a</w:t>
      </w:r>
      <w:r w:rsidRPr="00CB4F2C">
        <w:t>tionnel. Traiter un adversaire politique de vodouisant, en Haïti, est une façon de salir l'adversaire ; l'idée qu'un ministre puisse être marié à un « loa » soulève la répu</w:t>
      </w:r>
      <w:r w:rsidRPr="00CB4F2C">
        <w:t>l</w:t>
      </w:r>
      <w:r w:rsidRPr="00CB4F2C">
        <w:t>sion et curieusement chez des gens qui sont parfois eux-mêmes vodouisants. D'où la difficulté de traiter un sujet dont le rapprochement chez beaucoup a quelque chose sinon d'obsc</w:t>
      </w:r>
      <w:r w:rsidRPr="00CB4F2C">
        <w:t>è</w:t>
      </w:r>
      <w:r w:rsidRPr="00CB4F2C">
        <w:t>ne, au moins d'inconvenant.</w:t>
      </w:r>
    </w:p>
    <w:p w:rsidR="00B7214C" w:rsidRPr="00CB4F2C" w:rsidRDefault="00B7214C" w:rsidP="00B7214C">
      <w:pPr>
        <w:spacing w:before="120" w:after="120"/>
        <w:jc w:val="both"/>
      </w:pPr>
      <w:r w:rsidRPr="00CB4F2C">
        <w:t>Il est peut-être superflu de rappeler à un auditoire comme le vôtre que point n'est besoin de croire aux esprits pour s'i</w:t>
      </w:r>
      <w:r w:rsidRPr="00CB4F2C">
        <w:t>n</w:t>
      </w:r>
      <w:r w:rsidRPr="00CB4F2C">
        <w:t>terroger sur les contextes dans lesquels on y a recours ; pour analyser les effets s</w:t>
      </w:r>
      <w:r w:rsidRPr="00CB4F2C">
        <w:t>o</w:t>
      </w:r>
      <w:r w:rsidRPr="00CB4F2C">
        <w:t>ciaux dont la croyance en leur existence est porteuse ; pour tenter de déchiffrer au travers des discours l'efficace que véhiculent certaines représentations mystiques du pouvoir et leur signification politique.</w:t>
      </w:r>
    </w:p>
    <w:p w:rsidR="00B7214C" w:rsidRPr="00CB4F2C" w:rsidRDefault="00B7214C" w:rsidP="00B7214C">
      <w:pPr>
        <w:spacing w:before="120" w:after="120"/>
        <w:jc w:val="both"/>
      </w:pPr>
      <w:r w:rsidRPr="00CB4F2C">
        <w:t>On a beaucoup parlé de l'emprise qu'exerçait Duvalier sur le pays grâce au vodou. L'association de papa Doc et des puissances occultes de la magie noire a fourni la thématique de bien des livres alléchants pour l'imaginaire occidental : Duvalier avait un parler nasillard co</w:t>
      </w:r>
      <w:r w:rsidRPr="00CB4F2C">
        <w:t>m</w:t>
      </w:r>
      <w:r>
        <w:t>me les gué</w:t>
      </w:r>
      <w:r w:rsidRPr="00CB4F2C">
        <w:t>dés des cimetières, il s'habillait à la façon de baron Sam</w:t>
      </w:r>
      <w:r w:rsidRPr="00CB4F2C">
        <w:t>e</w:t>
      </w:r>
      <w:r w:rsidRPr="00CB4F2C">
        <w:t>di, gardien des mêmes lieux, et ainsi de suite.</w:t>
      </w:r>
    </w:p>
    <w:p w:rsidR="00B7214C" w:rsidRDefault="00B7214C" w:rsidP="00B7214C">
      <w:pPr>
        <w:spacing w:before="120" w:after="120"/>
        <w:jc w:val="both"/>
      </w:pPr>
      <w:r w:rsidRPr="00CB4F2C">
        <w:t>Il est important, comme le souligne Marc Augé, de disti</w:t>
      </w:r>
      <w:r w:rsidRPr="00CB4F2C">
        <w:t>n</w:t>
      </w:r>
      <w:r w:rsidRPr="00CB4F2C">
        <w:t xml:space="preserve">guer dans un premier temps les </w:t>
      </w:r>
      <w:r w:rsidRPr="009327BA">
        <w:rPr>
          <w:i/>
          <w:iCs/>
        </w:rPr>
        <w:t>signes</w:t>
      </w:r>
      <w:r w:rsidRPr="00CB4F2C">
        <w:t xml:space="preserve"> du pouvoir du pouvoir lui-même</w:t>
      </w:r>
      <w:r>
        <w:t> </w:t>
      </w:r>
      <w:r>
        <w:rPr>
          <w:rStyle w:val="Appelnotedebasdep"/>
        </w:rPr>
        <w:footnoteReference w:id="35"/>
      </w:r>
      <w:r w:rsidRPr="00CB4F2C">
        <w:t>. D</w:t>
      </w:r>
      <w:r w:rsidRPr="00CB4F2C">
        <w:t>u</w:t>
      </w:r>
      <w:r w:rsidRPr="00CB4F2C">
        <w:t>valier était un diable d'homme, mais non parce qu'il manipulait la cr</w:t>
      </w:r>
      <w:r w:rsidRPr="00CB4F2C">
        <w:t>é</w:t>
      </w:r>
      <w:r w:rsidRPr="00CB4F2C">
        <w:t>dulité de pauvres gens incultes et analphabètes en butte aux terreurs primitives d'un autre âge. La seule représentation des signes du po</w:t>
      </w:r>
      <w:r w:rsidRPr="00CB4F2C">
        <w:t>u</w:t>
      </w:r>
      <w:r w:rsidRPr="00CB4F2C">
        <w:t>voir ne suffit pas à faire de vous un diable ; ce serait trop facile. Dans la m</w:t>
      </w:r>
      <w:r w:rsidRPr="00CB4F2C">
        <w:t>e</w:t>
      </w:r>
      <w:r w:rsidRPr="00CB4F2C">
        <w:t>sure où cette représentation ne s'appuie pas sur un pouvoir réel (dans le cas de Duvalier, l'inféodation de l'armée et des m</w:t>
      </w:r>
      <w:r w:rsidRPr="00CB4F2C">
        <w:t>a</w:t>
      </w:r>
      <w:r w:rsidRPr="00CB4F2C">
        <w:t>coutes à leur chef), une telle représentation ne ferait qu'exc</w:t>
      </w:r>
      <w:r w:rsidRPr="00CB4F2C">
        <w:t>i</w:t>
      </w:r>
      <w:r w:rsidRPr="00CB4F2C">
        <w:t>ter, au mieux le ridic</w:t>
      </w:r>
      <w:r w:rsidRPr="00CB4F2C">
        <w:t>u</w:t>
      </w:r>
      <w:r w:rsidRPr="00CB4F2C">
        <w:t>le, au pire la vindicte populaire. Lors de la chute de Jean-Claude Duvalier, les symboles mêmes util</w:t>
      </w:r>
      <w:r w:rsidRPr="00CB4F2C">
        <w:t>i</w:t>
      </w:r>
      <w:r w:rsidRPr="00CB4F2C">
        <w:t>sés par son père seront pour ainsi dire retournés contre lui. On a donc affaire à un langage qu'il nous faut décoder. Cette symbolique du pouvoir mysticisant n'est pas non plus exclusivement vodouesque ; elle peut aussi s'appuyer sur les gestes r</w:t>
      </w:r>
      <w:r w:rsidRPr="00CB4F2C">
        <w:t>i</w:t>
      </w:r>
      <w:r w:rsidRPr="00CB4F2C">
        <w:t>tuels et les symboles mêmes du catholicisme. Ce qui nous amène à traiter des rapports entre le vodou et le catholicisme.</w:t>
      </w:r>
    </w:p>
    <w:p w:rsidR="00B7214C" w:rsidRPr="00CB4F2C" w:rsidRDefault="00B7214C" w:rsidP="00B7214C">
      <w:pPr>
        <w:spacing w:before="120" w:after="120"/>
        <w:jc w:val="both"/>
      </w:pPr>
      <w:r>
        <w:t>[125]</w:t>
      </w:r>
    </w:p>
    <w:p w:rsidR="00B7214C" w:rsidRPr="00CB4F2C" w:rsidRDefault="00B7214C" w:rsidP="00B7214C">
      <w:pPr>
        <w:spacing w:before="120" w:after="120"/>
        <w:jc w:val="both"/>
      </w:pPr>
      <w:r w:rsidRPr="00CB4F2C">
        <w:t>L'école indigéniste haïtienne s'est complue dans la description et</w:t>
      </w:r>
      <w:r w:rsidRPr="00CB4F2C">
        <w:t>h</w:t>
      </w:r>
      <w:r w:rsidRPr="00CB4F2C">
        <w:t>nographique d'un système religieux que jusqu'à un certain point elle opposait à la chrétienté. Le désir de prouver que le vodou était une religion et donc un trait de civilisation l'a amené à négliger les ra</w:t>
      </w:r>
      <w:r w:rsidRPr="00CB4F2C">
        <w:t>p</w:t>
      </w:r>
      <w:r w:rsidRPr="00CB4F2C">
        <w:t>ports qu'entretenait le vodouisant avec les religions établies et en pa</w:t>
      </w:r>
      <w:r w:rsidRPr="00CB4F2C">
        <w:t>r</w:t>
      </w:r>
      <w:r w:rsidRPr="00CB4F2C">
        <w:t>ticulier le catholicisme.</w:t>
      </w:r>
    </w:p>
    <w:p w:rsidR="00B7214C" w:rsidRPr="00CB4F2C" w:rsidRDefault="00B7214C" w:rsidP="00B7214C">
      <w:pPr>
        <w:spacing w:before="120" w:after="120"/>
        <w:jc w:val="both"/>
      </w:pPr>
      <w:r w:rsidRPr="00CB4F2C">
        <w:t>Mais par son approche exclusivement culturaliste, elle a aussi di</w:t>
      </w:r>
      <w:r w:rsidRPr="00CB4F2C">
        <w:t>s</w:t>
      </w:r>
      <w:r w:rsidRPr="00CB4F2C">
        <w:t>simulé le vodouisant derrière le vodou. L'absence d'une sociologie du vodou est révélatrice à cet égard. Le v</w:t>
      </w:r>
      <w:r w:rsidRPr="00CB4F2C">
        <w:t>o</w:t>
      </w:r>
      <w:r w:rsidRPr="00CB4F2C">
        <w:t>dou n'est abordé que comme système de croyances et de r</w:t>
      </w:r>
      <w:r w:rsidRPr="00CB4F2C">
        <w:t>i</w:t>
      </w:r>
      <w:r w:rsidRPr="00CB4F2C">
        <w:t>tes ; les acteurs sociaux, la diversité de leurs attitudes et de leurs motivations ont été biffés. Le vodou est d</w:t>
      </w:r>
      <w:r w:rsidRPr="00CB4F2C">
        <w:t>e</w:t>
      </w:r>
      <w:r w:rsidRPr="00CB4F2C">
        <w:t>venu la figure même d'une altérité absolue, une figure idéologique qui aux mains des couches dominantes du pays et des étrangers est dev</w:t>
      </w:r>
      <w:r w:rsidRPr="00CB4F2C">
        <w:t>e</w:t>
      </w:r>
      <w:r w:rsidRPr="00CB4F2C">
        <w:t>nue le filet de plomb dans les mailles fantasmatiques duquel on a e</w:t>
      </w:r>
      <w:r w:rsidRPr="00CB4F2C">
        <w:t>n</w:t>
      </w:r>
      <w:r w:rsidRPr="00CB4F2C">
        <w:t>fermé le peuple haïtien, au lieu d'être ce qu'il est tout simplement : un lieu particulier, donc socialement défini, de prise de parole.</w:t>
      </w:r>
    </w:p>
    <w:p w:rsidR="00B7214C" w:rsidRDefault="00B7214C" w:rsidP="00B7214C">
      <w:pPr>
        <w:spacing w:before="120" w:after="120"/>
        <w:jc w:val="both"/>
      </w:pPr>
    </w:p>
    <w:p w:rsidR="00B7214C" w:rsidRPr="00242696" w:rsidRDefault="00B7214C" w:rsidP="00B7214C">
      <w:pPr>
        <w:pStyle w:val="b"/>
      </w:pPr>
      <w:r w:rsidRPr="00242696">
        <w:t>Qui est vodouisant ?</w:t>
      </w:r>
    </w:p>
    <w:p w:rsidR="00B7214C" w:rsidRDefault="00B7214C" w:rsidP="00B7214C">
      <w:pPr>
        <w:spacing w:before="120" w:after="120"/>
        <w:jc w:val="both"/>
      </w:pPr>
    </w:p>
    <w:p w:rsidR="00B7214C" w:rsidRPr="00CB4F2C" w:rsidRDefault="00B7214C" w:rsidP="00B7214C">
      <w:pPr>
        <w:spacing w:before="120" w:after="120"/>
        <w:jc w:val="both"/>
      </w:pPr>
      <w:r w:rsidRPr="00CB4F2C">
        <w:t>Il est difficile de répondre à cette question dans la mesure où, dans l'esprit de plusieurs, tous les Haïtiens sont soupço</w:t>
      </w:r>
      <w:r w:rsidRPr="00CB4F2C">
        <w:t>n</w:t>
      </w:r>
      <w:r w:rsidRPr="00CB4F2C">
        <w:t>nés a priori. C'est pourtant une question centrale pour toute sociologie du vodou.</w:t>
      </w:r>
    </w:p>
    <w:p w:rsidR="00B7214C" w:rsidRPr="00CB4F2C" w:rsidRDefault="00B7214C" w:rsidP="00B7214C">
      <w:pPr>
        <w:spacing w:before="120" w:after="120"/>
        <w:jc w:val="both"/>
      </w:pPr>
      <w:r w:rsidRPr="00CB4F2C">
        <w:t>Encore faut-il définir les paramètres de la question de façon sign</w:t>
      </w:r>
      <w:r w:rsidRPr="00CB4F2C">
        <w:t>i</w:t>
      </w:r>
      <w:r w:rsidRPr="00CB4F2C">
        <w:t>ficative. Aux yeux des protestants, tous les catholiques sont des v</w:t>
      </w:r>
      <w:r w:rsidRPr="00CB4F2C">
        <w:t>o</w:t>
      </w:r>
      <w:r w:rsidRPr="00CB4F2C">
        <w:t>duisants ; la conversion au protestantisme se définit sur la base du r</w:t>
      </w:r>
      <w:r w:rsidRPr="00CB4F2C">
        <w:t>e</w:t>
      </w:r>
      <w:r w:rsidRPr="00CB4F2C">
        <w:t>jet des pratiques vodouesques. Réciproquement, les catholiques repr</w:t>
      </w:r>
      <w:r w:rsidRPr="00CB4F2C">
        <w:t>o</w:t>
      </w:r>
      <w:r w:rsidRPr="00CB4F2C">
        <w:t>chent aux protestants leur hypocrisie ; selon eux, la plupart ne se s</w:t>
      </w:r>
      <w:r w:rsidRPr="00CB4F2C">
        <w:t>e</w:t>
      </w:r>
      <w:r w:rsidRPr="00CB4F2C">
        <w:t>raient convertis que par opportunisme et continueraient de pratiquer le vodou en cachette (« an ba chai »).</w:t>
      </w:r>
    </w:p>
    <w:p w:rsidR="00B7214C" w:rsidRPr="00CB4F2C" w:rsidRDefault="00B7214C" w:rsidP="00B7214C">
      <w:pPr>
        <w:spacing w:before="120" w:after="120"/>
        <w:jc w:val="both"/>
      </w:pPr>
      <w:r w:rsidRPr="00CB4F2C">
        <w:t>Michel Laguerre a décrit comment, dans le quartier du Bel Air, à Port-au-Prince, les vodouisants sont persuadés que les gens de « l'élite » ont besoin de leurs connaissances myst</w:t>
      </w:r>
      <w:r w:rsidRPr="00CB4F2C">
        <w:t>i</w:t>
      </w:r>
      <w:r w:rsidRPr="00CB4F2C">
        <w:t>ques ; il y voit un mécanisme imaginaire de renversement des statuts</w:t>
      </w:r>
      <w:r>
        <w:t> </w:t>
      </w:r>
      <w:r>
        <w:rPr>
          <w:rStyle w:val="Appelnotedebasdep"/>
        </w:rPr>
        <w:footnoteReference w:id="36"/>
      </w:r>
      <w:r w:rsidRPr="00CB4F2C">
        <w:t>. Inversement, les gens scolarisés des villes et ayant eu peu de contact avec le vodou, ont souvent tendance à prêter aux paysans des connaissances et des po</w:t>
      </w:r>
      <w:r w:rsidRPr="00CB4F2C">
        <w:t>u</w:t>
      </w:r>
      <w:r w:rsidRPr="00CB4F2C">
        <w:t>voirs d'autant plus grands que ceux-ci sont pauvres et habitent des r</w:t>
      </w:r>
      <w:r w:rsidRPr="00CB4F2C">
        <w:t>é</w:t>
      </w:r>
      <w:r w:rsidRPr="00CB4F2C">
        <w:t>gions éloignées.</w:t>
      </w:r>
    </w:p>
    <w:p w:rsidR="00B7214C" w:rsidRPr="00CB4F2C" w:rsidRDefault="00B7214C" w:rsidP="00B7214C">
      <w:pPr>
        <w:spacing w:before="120" w:after="120"/>
        <w:jc w:val="both"/>
      </w:pPr>
      <w:r w:rsidRPr="00CB4F2C">
        <w:t>Dans ce chassé-croisé de perceptions réciproques et dans la mesure où le plus grand secret entoure la consultation, peu de personnes sont au-dessus de tout soupçon. Tout au plus pouvons-nous dire que les gens de l'élite sont plus impliqués qu'on ne le dit gén</w:t>
      </w:r>
      <w:r>
        <w:t>éralement, mais qu'inver</w:t>
      </w:r>
      <w:r w:rsidRPr="00CB4F2C">
        <w:t>sement, les gens du peuple le sont moins qu'on ne le pense ; dans les</w:t>
      </w:r>
      <w:r>
        <w:t xml:space="preserve"> [126] </w:t>
      </w:r>
      <w:r w:rsidRPr="00CB4F2C">
        <w:t>discussions et les tractations qui entourent l'organis</w:t>
      </w:r>
      <w:r w:rsidRPr="00CB4F2C">
        <w:t>a</w:t>
      </w:r>
      <w:r w:rsidRPr="00CB4F2C">
        <w:t>tion des services familiaux, ces derniers font toujours la distin</w:t>
      </w:r>
      <w:r w:rsidRPr="00CB4F2C">
        <w:t>c</w:t>
      </w:r>
      <w:r w:rsidRPr="00CB4F2C">
        <w:t>tion entre ceux qui pratiquent et les autres (« sa ki ladann, sa ki pa l</w:t>
      </w:r>
      <w:r w:rsidRPr="00CB4F2C">
        <w:t>a</w:t>
      </w:r>
      <w:r w:rsidRPr="00CB4F2C">
        <w:t>dann »). De toute façon, tous ont un discours sur le vodou et doivent se situer par ra</w:t>
      </w:r>
      <w:r w:rsidRPr="00CB4F2C">
        <w:t>p</w:t>
      </w:r>
      <w:r w:rsidRPr="00CB4F2C">
        <w:t>port à lui.</w:t>
      </w:r>
    </w:p>
    <w:p w:rsidR="00B7214C" w:rsidRPr="00CB4F2C" w:rsidRDefault="00B7214C" w:rsidP="00B7214C">
      <w:pPr>
        <w:spacing w:before="120" w:after="120"/>
        <w:jc w:val="both"/>
      </w:pPr>
      <w:r w:rsidRPr="00CB4F2C">
        <w:t>Lorsqu'on interroge des gens sur leur religion, ils se déf</w:t>
      </w:r>
      <w:r w:rsidRPr="00CB4F2C">
        <w:t>i</w:t>
      </w:r>
      <w:r w:rsidRPr="00CB4F2C">
        <w:t>nissent comme catholiques ou protestants. Dans les enquêtes que j'ai faites, personne ne s'est jamais défini comme vodou</w:t>
      </w:r>
      <w:r w:rsidRPr="00CB4F2C">
        <w:t>i</w:t>
      </w:r>
      <w:r w:rsidRPr="00CB4F2C">
        <w:t>sant. Murray a fait des observations similaires dans la plaine du Cul de Sac</w:t>
      </w:r>
      <w:r>
        <w:t> </w:t>
      </w:r>
      <w:r>
        <w:rPr>
          <w:rStyle w:val="Appelnotedebasdep"/>
        </w:rPr>
        <w:footnoteReference w:id="37"/>
      </w:r>
      <w:r w:rsidRPr="00CB4F2C">
        <w:t>. Métraux avait déjà souligné que pour être vodouisant, il fallait d'abord être cathol</w:t>
      </w:r>
      <w:r w:rsidRPr="00CB4F2C">
        <w:t>i</w:t>
      </w:r>
      <w:r w:rsidRPr="00CB4F2C">
        <w:t>que</w:t>
      </w:r>
      <w:r>
        <w:t> </w:t>
      </w:r>
      <w:r>
        <w:rPr>
          <w:rStyle w:val="Appelnotedebasdep"/>
        </w:rPr>
        <w:footnoteReference w:id="38"/>
      </w:r>
      <w:r w:rsidRPr="00CB4F2C">
        <w:t>.</w:t>
      </w:r>
    </w:p>
    <w:p w:rsidR="00B7214C" w:rsidRPr="00CB4F2C" w:rsidRDefault="00B7214C" w:rsidP="00B7214C">
      <w:pPr>
        <w:spacing w:before="120" w:after="120"/>
        <w:jc w:val="both"/>
      </w:pPr>
      <w:r w:rsidRPr="00CB4F2C">
        <w:t>Il importe ensuite de distinguer croyances et pratiques. Les prote</w:t>
      </w:r>
      <w:r w:rsidRPr="00CB4F2C">
        <w:t>s</w:t>
      </w:r>
      <w:r w:rsidRPr="00CB4F2C">
        <w:t>tants croient dans l'existence des « loas » mais ils ne les servent pas. Une dame, catholique, me disait qu'elle n'avait rien à voir avec les « loas » (« m pa nan loa ») en dépit du fait qu'elle ait déjà été possédée à deux reprises par celui dont elle se savait la protégée, un « Grand Bois » : « je ne lui ai jamais donné à manger », disait-elle. La meille</w:t>
      </w:r>
      <w:r w:rsidRPr="00CB4F2C">
        <w:t>u</w:t>
      </w:r>
      <w:r w:rsidRPr="00CB4F2C">
        <w:t>re façon d'aborder le sujet était donc de demander s'ils donnaient à manger à leurs loas ou de les interroger sur les cérémonies familiales auxquelles ils avaient participé.</w:t>
      </w:r>
    </w:p>
    <w:p w:rsidR="00B7214C" w:rsidRPr="00CB4F2C" w:rsidRDefault="00B7214C" w:rsidP="00B7214C">
      <w:pPr>
        <w:spacing w:before="120" w:after="120"/>
        <w:jc w:val="both"/>
      </w:pPr>
      <w:r w:rsidRPr="00CB4F2C">
        <w:t>Il faut également dire que l'implication dans le vodou n'est pas une affaire de tout ou de rien. Il arrive souvent qu'un paysan, plus aisé que les autres, soit tout à fait indifférent aux services rituels organisés par d'autres membres de sa famille ; mais tout en étant un catholique d</w:t>
      </w:r>
      <w:r w:rsidRPr="00CB4F2C">
        <w:t>é</w:t>
      </w:r>
      <w:r w:rsidRPr="00CB4F2C">
        <w:t>vot (« fran »), il n'en contribue pas moins financièrement à la tenue de rituels auxquels il n'assiste pas, sur la base d'une certaine solidarité f</w:t>
      </w:r>
      <w:r w:rsidRPr="00CB4F2C">
        <w:t>a</w:t>
      </w:r>
      <w:r w:rsidRPr="00CB4F2C">
        <w:t>miliale ; s'il ne se perçoit pas lui-même comme un adepte, les autres participants ne manquent jamais de le considérer comme tel en son absence.</w:t>
      </w:r>
    </w:p>
    <w:p w:rsidR="00B7214C" w:rsidRPr="00CB4F2C" w:rsidRDefault="00B7214C" w:rsidP="00B7214C">
      <w:pPr>
        <w:spacing w:before="120" w:after="120"/>
        <w:jc w:val="both"/>
      </w:pPr>
      <w:r w:rsidRPr="00CB4F2C">
        <w:t>Par ailleurs, la participation de certains peut être tout à fait spor</w:t>
      </w:r>
      <w:r w:rsidRPr="00CB4F2C">
        <w:t>a</w:t>
      </w:r>
      <w:r w:rsidRPr="00CB4F2C">
        <w:t>dique. Dans les moments de crise (maladie, perte d'e</w:t>
      </w:r>
      <w:r w:rsidRPr="00CB4F2C">
        <w:t>m</w:t>
      </w:r>
      <w:r w:rsidRPr="00CB4F2C">
        <w:t>ploi, malchance prolongée...), certaines personnes peuvent retourner sur les lieux de culte familiaux et prendre part éventuellement à une séance thérape</w:t>
      </w:r>
      <w:r w:rsidRPr="00CB4F2C">
        <w:t>u</w:t>
      </w:r>
      <w:r w:rsidRPr="00CB4F2C">
        <w:t>tique sans pour autant se percevoir, par la suite, comme des adeptes.</w:t>
      </w:r>
    </w:p>
    <w:p w:rsidR="00B7214C" w:rsidRPr="00CB4F2C" w:rsidRDefault="00B7214C" w:rsidP="00B7214C">
      <w:pPr>
        <w:spacing w:before="120" w:after="120"/>
        <w:jc w:val="both"/>
      </w:pPr>
      <w:r w:rsidRPr="00CB4F2C">
        <w:t>Certaines variables semblent jouer de façon systématique ici. Et d'abord l'âge.</w:t>
      </w:r>
    </w:p>
    <w:p w:rsidR="00B7214C" w:rsidRPr="00CB4F2C" w:rsidRDefault="00B7214C" w:rsidP="00B7214C">
      <w:pPr>
        <w:spacing w:before="120" w:after="120"/>
        <w:jc w:val="both"/>
      </w:pPr>
      <w:r w:rsidRPr="00CB4F2C">
        <w:t>D'une façon générale, les jeunes voient d'abord dans le vodou une occasion de divertissement. La plupart ont d'ai</w:t>
      </w:r>
      <w:r w:rsidRPr="00CB4F2C">
        <w:t>l</w:t>
      </w:r>
      <w:r w:rsidRPr="00CB4F2C">
        <w:t>leurs une attitude très sceptique par rapport aux croyances de leurs parents ; ils racontent avec amusement comment ils se sont gavés de la nourriture des dieux, en passant outre aux interdits de leurs aînés ; les jeunes imitent so</w:t>
      </w:r>
      <w:r w:rsidRPr="00CB4F2C">
        <w:t>u</w:t>
      </w:r>
      <w:r w:rsidRPr="00CB4F2C">
        <w:t>vent, dans leurs jeux, les divinités. Lorsqu'on leur demande s'ils se</w:t>
      </w:r>
      <w:r w:rsidRPr="00CB4F2C">
        <w:t>r</w:t>
      </w:r>
      <w:r>
        <w:t>vent, ils se disent fréquem</w:t>
      </w:r>
      <w:r w:rsidRPr="00CB4F2C">
        <w:t>ment</w:t>
      </w:r>
      <w:r>
        <w:t xml:space="preserve"> [127]</w:t>
      </w:r>
      <w:r w:rsidRPr="00CB4F2C">
        <w:t xml:space="preserve"> trop jeunes pour s'occuper de ces choses, qu'ils verront plus tard lorsqu'ils auront des responsabil</w:t>
      </w:r>
      <w:r w:rsidRPr="00CB4F2C">
        <w:t>i</w:t>
      </w:r>
      <w:r w:rsidRPr="00CB4F2C">
        <w:t>tés.</w:t>
      </w:r>
    </w:p>
    <w:p w:rsidR="00B7214C" w:rsidRPr="00CB4F2C" w:rsidRDefault="00B7214C" w:rsidP="00B7214C">
      <w:pPr>
        <w:spacing w:before="120" w:after="120"/>
        <w:jc w:val="both"/>
      </w:pPr>
      <w:r w:rsidRPr="00CB4F2C">
        <w:t>À l'autre extrémité du cycle de la vie, les personnes âgées ont ég</w:t>
      </w:r>
      <w:r w:rsidRPr="00CB4F2C">
        <w:t>a</w:t>
      </w:r>
      <w:r w:rsidRPr="00CB4F2C">
        <w:t>lement tendance à se retirer de ces pratiques afin, d</w:t>
      </w:r>
      <w:r w:rsidRPr="00CB4F2C">
        <w:t>i</w:t>
      </w:r>
      <w:r w:rsidRPr="00CB4F2C">
        <w:t>sent-elles, de se préparer à rencontrer Dieu et à recevoir les derniers sacrements.</w:t>
      </w:r>
    </w:p>
    <w:p w:rsidR="00B7214C" w:rsidRPr="00CB4F2C" w:rsidRDefault="00B7214C" w:rsidP="00B7214C">
      <w:pPr>
        <w:spacing w:before="120" w:after="120"/>
        <w:jc w:val="both"/>
      </w:pPr>
      <w:r w:rsidRPr="00CB4F2C">
        <w:t>Le vodou apparaît donc comme une religion de l'âge mûr, associée au plein statut d'adulte et aux responsabilités soci</w:t>
      </w:r>
      <w:r w:rsidRPr="00CB4F2C">
        <w:t>a</w:t>
      </w:r>
      <w:r w:rsidRPr="00CB4F2C">
        <w:t>les qui vont avec la maturité, un système essentiellement orienté vers le bien-être ici-bas ; être adulte signifie essentiellement prendre épouse et avoir des e</w:t>
      </w:r>
      <w:r w:rsidRPr="00CB4F2C">
        <w:t>n</w:t>
      </w:r>
      <w:r w:rsidRPr="00CB4F2C">
        <w:t>fants.</w:t>
      </w:r>
    </w:p>
    <w:p w:rsidR="00B7214C" w:rsidRPr="00CB4F2C" w:rsidRDefault="00B7214C" w:rsidP="00B7214C">
      <w:pPr>
        <w:spacing w:before="120" w:after="120"/>
        <w:jc w:val="both"/>
      </w:pPr>
      <w:r w:rsidRPr="00CB4F2C">
        <w:t>Autre variable importante affectant le rapport au vodou : le sexe. Les femmes sont plus impliquées que les hommes. Elle peuvent ide</w:t>
      </w:r>
      <w:r w:rsidRPr="00CB4F2C">
        <w:t>n</w:t>
      </w:r>
      <w:r w:rsidRPr="00CB4F2C">
        <w:t>tifier un plus grand nombre de lieux de cultes familiaux (« démembré »)</w:t>
      </w:r>
      <w:r>
        <w:t> </w:t>
      </w:r>
      <w:r>
        <w:rPr>
          <w:rStyle w:val="Appelnotedebasdep"/>
        </w:rPr>
        <w:footnoteReference w:id="39"/>
      </w:r>
      <w:r w:rsidRPr="00CB4F2C">
        <w:t> ; elles sont plus nombreuses à participer aux serv</w:t>
      </w:r>
      <w:r w:rsidRPr="00CB4F2C">
        <w:t>i</w:t>
      </w:r>
      <w:r w:rsidRPr="00CB4F2C">
        <w:t>ces tenus sur les sites qu'elles ont identifiés ; elles sont également les véhicules privilégiés des dieux</w:t>
      </w:r>
      <w:r>
        <w:t> </w:t>
      </w:r>
      <w:r>
        <w:rPr>
          <w:rStyle w:val="Appelnotedebasdep"/>
        </w:rPr>
        <w:footnoteReference w:id="40"/>
      </w:r>
      <w:r w:rsidRPr="00CB4F2C">
        <w:t>. Ceci s'explique largement par la responsabilité pr</w:t>
      </w:r>
      <w:r w:rsidRPr="00CB4F2C">
        <w:t>e</w:t>
      </w:r>
      <w:r w:rsidRPr="00CB4F2C">
        <w:t>mière qu'elles exercent face à la santé et au bien-être de leurs enfants et de leurs conjoints ; cela s'explique également par l'accès que le vodou leur donne à des rôles socialement sign</w:t>
      </w:r>
      <w:r w:rsidRPr="00CB4F2C">
        <w:t>i</w:t>
      </w:r>
      <w:r w:rsidRPr="00CB4F2C">
        <w:t>ficatifs, court-circuitant une domination masculine qui s'exerce partout ai</w:t>
      </w:r>
      <w:r w:rsidRPr="00CB4F2C">
        <w:t>l</w:t>
      </w:r>
      <w:r w:rsidRPr="00CB4F2C">
        <w:t>leurs</w:t>
      </w:r>
      <w:r>
        <w:t> </w:t>
      </w:r>
      <w:r>
        <w:rPr>
          <w:rStyle w:val="Appelnotedebasdep"/>
        </w:rPr>
        <w:footnoteReference w:id="41"/>
      </w:r>
      <w:r w:rsidRPr="00CB4F2C">
        <w:t>.</w:t>
      </w:r>
    </w:p>
    <w:p w:rsidR="00B7214C" w:rsidRPr="00CB4F2C" w:rsidRDefault="00B7214C" w:rsidP="00B7214C">
      <w:pPr>
        <w:spacing w:before="120" w:after="120"/>
        <w:jc w:val="both"/>
      </w:pPr>
      <w:r w:rsidRPr="00CB4F2C">
        <w:t>Troisième variable, la classe sociale dont les meilleurs i</w:t>
      </w:r>
      <w:r w:rsidRPr="00CB4F2C">
        <w:t>n</w:t>
      </w:r>
      <w:r w:rsidRPr="00CB4F2C">
        <w:t>dices sont le niveau de scolarité et la façon dont le revenu est gagné plus que le niveau de revenu comme tel.</w:t>
      </w:r>
    </w:p>
    <w:p w:rsidR="00B7214C" w:rsidRPr="00CB4F2C" w:rsidRDefault="00B7214C" w:rsidP="00B7214C">
      <w:pPr>
        <w:spacing w:before="120" w:after="120"/>
        <w:jc w:val="both"/>
      </w:pPr>
      <w:r w:rsidRPr="00CB4F2C">
        <w:t>L'élévation du niveau de scolarité entraîne une certaine ambivale</w:t>
      </w:r>
      <w:r w:rsidRPr="00CB4F2C">
        <w:t>n</w:t>
      </w:r>
      <w:r w:rsidRPr="00CB4F2C">
        <w:t>ce par rapport à ces pratiques. Le système scolaire incite au rejet de pratiques qu'il associe le plus souvent aux masses pauvres et incultes des mornes. La pratique, lorsqu'e</w:t>
      </w:r>
      <w:r w:rsidRPr="00CB4F2C">
        <w:t>l</w:t>
      </w:r>
      <w:r w:rsidRPr="00CB4F2C">
        <w:t>le se maintient, se dissimule derrière une apparence de respectabilité et est rarement avouée. Plusieurs pe</w:t>
      </w:r>
      <w:r w:rsidRPr="00CB4F2C">
        <w:t>r</w:t>
      </w:r>
      <w:r w:rsidRPr="00CB4F2C">
        <w:t>sonnes nous ont raconté comment, toutes jeunes, elles avaient jeté les « gardes » que leurs parents leur avaient mises au cou, au poignet ou à la taille le jour où elles avaient commencé à fr</w:t>
      </w:r>
      <w:r w:rsidRPr="00CB4F2C">
        <w:t>é</w:t>
      </w:r>
      <w:r w:rsidRPr="00CB4F2C">
        <w:t>quenter l'école.</w:t>
      </w:r>
    </w:p>
    <w:p w:rsidR="00B7214C" w:rsidRPr="00CB4F2C" w:rsidRDefault="00B7214C" w:rsidP="00B7214C">
      <w:pPr>
        <w:spacing w:before="120" w:after="120"/>
        <w:jc w:val="both"/>
      </w:pPr>
      <w:r w:rsidRPr="00CB4F2C">
        <w:t>Par ailleurs, l'insertion dans certains types de réseaux d'exploitation ou de solidarité économique a tendance à r</w:t>
      </w:r>
      <w:r w:rsidRPr="00CB4F2C">
        <w:t>a</w:t>
      </w:r>
      <w:r w:rsidRPr="00CB4F2C">
        <w:t>mener même des gens scolarisés vers la pratique du vodou. Les commerçantes itinérantes (« sara »), à cause de la néce</w:t>
      </w:r>
      <w:r w:rsidRPr="00CB4F2C">
        <w:t>s</w:t>
      </w:r>
      <w:r w:rsidRPr="00CB4F2C">
        <w:t>sité de maintenir des réseaux étendus de fournisseurs et de clients, sont souvent dans une telle position. Les hommes i</w:t>
      </w:r>
      <w:r w:rsidRPr="00CB4F2C">
        <w:t>m</w:t>
      </w:r>
      <w:r w:rsidRPr="00CB4F2C">
        <w:t>pliqués dans des activités requérant un accès sporadique à de larges réservoirs de travailleurs qu'ils recrutent souvent à même les groupes de parents éloignés associés à des lieux de culte familiaux, ont également intérêt à maintenir</w:t>
      </w:r>
      <w:r>
        <w:t xml:space="preserve"> [128] </w:t>
      </w:r>
      <w:r w:rsidRPr="00CB4F2C">
        <w:t>leur participation ; c'est le cas des commerçants de canne et des spéculateurs de café. C'est aussi le cas de ces courtiers politiques (« chèf boukman ») en quête de votes pour leurs candidats ou de m</w:t>
      </w:r>
      <w:r w:rsidRPr="00CB4F2C">
        <w:t>a</w:t>
      </w:r>
      <w:r w:rsidRPr="00CB4F2C">
        <w:t>nifestants pour appuyer les politiques gouvernementales. Dans la plupart de ces cas cependant, l'a</w:t>
      </w:r>
      <w:r w:rsidRPr="00CB4F2C">
        <w:t>f</w:t>
      </w:r>
      <w:r w:rsidRPr="00CB4F2C">
        <w:t>filiation à un groupe rituel est largement optionnelle et repose sur des intérêts personnels spécifiques.</w:t>
      </w:r>
    </w:p>
    <w:p w:rsidR="00B7214C" w:rsidRDefault="00B7214C" w:rsidP="00B7214C">
      <w:pPr>
        <w:spacing w:before="120" w:after="120"/>
        <w:jc w:val="both"/>
      </w:pPr>
    </w:p>
    <w:p w:rsidR="00B7214C" w:rsidRDefault="00B7214C" w:rsidP="00B7214C">
      <w:pPr>
        <w:spacing w:before="120" w:after="120"/>
        <w:jc w:val="both"/>
      </w:pPr>
    </w:p>
    <w:p w:rsidR="00B7214C" w:rsidRPr="00242696" w:rsidRDefault="00B7214C" w:rsidP="00B7214C">
      <w:pPr>
        <w:pStyle w:val="b"/>
      </w:pPr>
      <w:r w:rsidRPr="00242696">
        <w:t>Vodou et rapports sociaux</w:t>
      </w:r>
    </w:p>
    <w:p w:rsidR="00B7214C" w:rsidRDefault="00B7214C" w:rsidP="00B7214C">
      <w:pPr>
        <w:spacing w:before="120" w:after="120"/>
        <w:jc w:val="both"/>
      </w:pPr>
    </w:p>
    <w:p w:rsidR="00B7214C" w:rsidRPr="00CB4F2C" w:rsidRDefault="00B7214C" w:rsidP="00B7214C">
      <w:pPr>
        <w:spacing w:before="120" w:after="120"/>
        <w:jc w:val="both"/>
      </w:pPr>
      <w:r w:rsidRPr="00CB4F2C">
        <w:t>Par le rôle qu'il joue dans la structuration des rapports s</w:t>
      </w:r>
      <w:r w:rsidRPr="00CB4F2C">
        <w:t>o</w:t>
      </w:r>
      <w:r w:rsidRPr="00CB4F2C">
        <w:t>ciaux au niveau communautaire, le vodou représente une fonction politique. On peut distinguer ici le vodou des confr</w:t>
      </w:r>
      <w:r w:rsidRPr="00CB4F2C">
        <w:t>é</w:t>
      </w:r>
      <w:r w:rsidRPr="00CB4F2C">
        <w:t>ries et celui des familles.</w:t>
      </w:r>
    </w:p>
    <w:p w:rsidR="00B7214C" w:rsidRPr="00CB4F2C" w:rsidRDefault="00B7214C" w:rsidP="00B7214C">
      <w:pPr>
        <w:spacing w:before="120" w:after="120"/>
        <w:jc w:val="both"/>
      </w:pPr>
      <w:r w:rsidRPr="00CB4F2C">
        <w:t>Dans le cas du vodou familial, l'affiliation se confond avec l'inse</w:t>
      </w:r>
      <w:r w:rsidRPr="00CB4F2C">
        <w:t>r</w:t>
      </w:r>
      <w:r w:rsidRPr="00CB4F2C">
        <w:t>tion au sein de groupes familiaux définis sur la base de la descendance (« ras », « lafanmi ») et identifiés à des pr</w:t>
      </w:r>
      <w:r w:rsidRPr="00CB4F2C">
        <w:t>o</w:t>
      </w:r>
      <w:r w:rsidRPr="00CB4F2C">
        <w:t>priétés (« démembrés », « bitation lafanmi », « lacou ») sur lesquelles on trouve souvent un cimetière et quelques lieux sacrés constituant les points d'ancrage des rites familiaux qui s'y déroulent à des intervalles plus ou moins ra</w:t>
      </w:r>
      <w:r w:rsidRPr="00CB4F2C">
        <w:t>p</w:t>
      </w:r>
      <w:r w:rsidRPr="00CB4F2C">
        <w:t>prochés. Ces lieux sont bien souvent à forte densité démographique ; ils sont les points d'ancrage d'une mémoire généalogique plus ou moins précise sur la base de laquelle peuvent se définir des groupes particulièrement vastes.</w:t>
      </w:r>
    </w:p>
    <w:p w:rsidR="00B7214C" w:rsidRPr="00CB4F2C" w:rsidRDefault="00B7214C" w:rsidP="00B7214C">
      <w:pPr>
        <w:spacing w:before="120" w:after="120"/>
        <w:jc w:val="both"/>
      </w:pPr>
      <w:r w:rsidRPr="00CB4F2C">
        <w:t>La confrérie, celle qui a le plus retenu l'attention des et</w:t>
      </w:r>
      <w:r w:rsidRPr="00CB4F2C">
        <w:t>h</w:t>
      </w:r>
      <w:r w:rsidRPr="00CB4F2C">
        <w:t>nologues à ce jour, est formellement une secte. Indépendant des réseaux fam</w:t>
      </w:r>
      <w:r w:rsidRPr="00CB4F2C">
        <w:t>i</w:t>
      </w:r>
      <w:r w:rsidRPr="00CB4F2C">
        <w:t>liaux sur lesquels il peut néanmoins s'a</w:t>
      </w:r>
      <w:r w:rsidRPr="00CB4F2C">
        <w:t>p</w:t>
      </w:r>
      <w:r w:rsidRPr="00CB4F2C">
        <w:t>puyer, le templ</w:t>
      </w:r>
      <w:r>
        <w:t>e est le produit de l'entrepre</w:t>
      </w:r>
      <w:r w:rsidRPr="00CB4F2C">
        <w:t>neurship d'un homme ou d'une femme qui rassemblent sous leur autorité un personnel diversifié par ses compétences : mus</w:t>
      </w:r>
      <w:r w:rsidRPr="00CB4F2C">
        <w:t>i</w:t>
      </w:r>
      <w:r w:rsidRPr="00CB4F2C">
        <w:t>ciens, cha</w:t>
      </w:r>
      <w:r w:rsidRPr="00CB4F2C">
        <w:t>n</w:t>
      </w:r>
      <w:r w:rsidRPr="00CB4F2C">
        <w:t>teurs, véhicules des dieux, spécialistes des plantes.</w:t>
      </w:r>
    </w:p>
    <w:p w:rsidR="00B7214C" w:rsidRPr="00CB4F2C" w:rsidRDefault="00B7214C" w:rsidP="00B7214C">
      <w:pPr>
        <w:spacing w:before="120" w:after="120"/>
        <w:jc w:val="both"/>
      </w:pPr>
      <w:r w:rsidRPr="00CB4F2C">
        <w:t xml:space="preserve">La confrérie est la forme la plus répandue dans la capitale. On </w:t>
      </w:r>
      <w:r w:rsidRPr="000D1A32">
        <w:rPr>
          <w:iCs/>
        </w:rPr>
        <w:t>d</w:t>
      </w:r>
      <w:r w:rsidRPr="000D1A32">
        <w:rPr>
          <w:iCs/>
        </w:rPr>
        <w:t>e</w:t>
      </w:r>
      <w:r w:rsidRPr="000D1A32">
        <w:rPr>
          <w:iCs/>
        </w:rPr>
        <w:t>vient</w:t>
      </w:r>
      <w:r w:rsidRPr="00CB4F2C">
        <w:t xml:space="preserve"> membre d'une confrérie suite à une maladie ou un coup du sort ; une personne consulte un « houngan » et l'in</w:t>
      </w:r>
      <w:r w:rsidRPr="00CB4F2C">
        <w:t>i</w:t>
      </w:r>
      <w:r w:rsidRPr="00CB4F2C">
        <w:t>tiation est proposée comme partie intégrante d'un processus thérapeutique.</w:t>
      </w:r>
    </w:p>
    <w:p w:rsidR="00B7214C" w:rsidRPr="00CB4F2C" w:rsidRDefault="00B7214C" w:rsidP="00B7214C">
      <w:pPr>
        <w:spacing w:before="120" w:after="120"/>
        <w:jc w:val="both"/>
      </w:pPr>
      <w:r w:rsidRPr="00CB4F2C">
        <w:t>Dans les cas du vodou familial, l'appartenance au groupe ne s'a</w:t>
      </w:r>
      <w:r w:rsidRPr="00CB4F2C">
        <w:t>c</w:t>
      </w:r>
      <w:r w:rsidRPr="00CB4F2C">
        <w:t>compagne bien souvent d'aucune initiation formelle et il arrive que les « démembrés » n'aient aucun prêtre attitré. On peut décider de ne pas participer aux fêtes rituelles org</w:t>
      </w:r>
      <w:r w:rsidRPr="00CB4F2C">
        <w:t>a</w:t>
      </w:r>
      <w:r w:rsidRPr="00CB4F2C">
        <w:t>nisées par la famille ; on n'en sera toujours pas moins considéré par les membres pratiquants comme fa</w:t>
      </w:r>
      <w:r w:rsidRPr="00CB4F2C">
        <w:t>i</w:t>
      </w:r>
      <w:r w:rsidRPr="00CB4F2C">
        <w:t>sant potentiell</w:t>
      </w:r>
      <w:r w:rsidRPr="00CB4F2C">
        <w:t>e</w:t>
      </w:r>
      <w:r w:rsidRPr="00CB4F2C">
        <w:t>ment partie du groupe.</w:t>
      </w:r>
    </w:p>
    <w:p w:rsidR="00B7214C" w:rsidRPr="00CB4F2C" w:rsidRDefault="00B7214C" w:rsidP="00B7214C">
      <w:pPr>
        <w:spacing w:before="120" w:after="120"/>
        <w:jc w:val="both"/>
      </w:pPr>
      <w:r w:rsidRPr="00CB4F2C">
        <w:t>Pour comprendre le vodou familial et l'héritage, il faut donc saisir la dynamique familiale qu'il sous-tend. Au sein d'une même famille, deux</w:t>
      </w:r>
      <w:r>
        <w:t xml:space="preserve"> [129] </w:t>
      </w:r>
      <w:r w:rsidRPr="00CB4F2C">
        <w:t>ou trois personnes peuvent se prétendre héritiers à la su</w:t>
      </w:r>
      <w:r w:rsidRPr="00CB4F2C">
        <w:t>c</w:t>
      </w:r>
      <w:r w:rsidRPr="00CB4F2C">
        <w:t>cession religieuse d'une famille. Chacun essaie alors de ra</w:t>
      </w:r>
      <w:r w:rsidRPr="00CB4F2C">
        <w:t>s</w:t>
      </w:r>
      <w:r w:rsidRPr="00CB4F2C">
        <w:t>sembler le plus de partisans possible et de faire avancer sa cause. Les problèmes de su</w:t>
      </w:r>
      <w:r w:rsidRPr="00CB4F2C">
        <w:t>c</w:t>
      </w:r>
      <w:r w:rsidRPr="00CB4F2C">
        <w:t>cession à la prise en charge des lieux de culte familiaux créent souvent des clivages ; l'incapacité de résoudre ces problèmes peut e</w:t>
      </w:r>
      <w:r w:rsidRPr="00CB4F2C">
        <w:t>n</w:t>
      </w:r>
      <w:r w:rsidRPr="00CB4F2C">
        <w:t>traîner une prolifération de temples, chacun des prétendants choisi</w:t>
      </w:r>
      <w:r w:rsidRPr="00CB4F2C">
        <w:t>s</w:t>
      </w:r>
      <w:r w:rsidRPr="00CB4F2C">
        <w:t>sant fin</w:t>
      </w:r>
      <w:r w:rsidRPr="00CB4F2C">
        <w:t>a</w:t>
      </w:r>
      <w:r w:rsidRPr="00CB4F2C">
        <w:t>lement de monter sa propre installation. En dernière analyse, ce sont les « loas » qui nomment le successeur ; soit dans le contexte d'une danse rituelle au cours de laquelle les dieux de la famille, par la bouche de leurs montures, font connaître leur choix ; soit par la bo</w:t>
      </w:r>
      <w:r w:rsidRPr="00CB4F2C">
        <w:t>u</w:t>
      </w:r>
      <w:r w:rsidRPr="00CB4F2C">
        <w:t>che d'un prêtre vodou des environs, qui les fait s'exprimer sur govi. L'appel des loas sur govi a</w:t>
      </w:r>
      <w:r w:rsidRPr="00CB4F2C">
        <w:t>p</w:t>
      </w:r>
      <w:r w:rsidRPr="00CB4F2C">
        <w:t>partient au rite vodou au sens strict du terme. Le prêtre se r</w:t>
      </w:r>
      <w:r w:rsidRPr="00CB4F2C">
        <w:t>e</w:t>
      </w:r>
      <w:r w:rsidRPr="00CB4F2C">
        <w:t>tire dans une chambre close et fait parler les loas de la famille sur un pot de terre cuite, le govi. Ailleurs, c'est la transe ritue</w:t>
      </w:r>
      <w:r w:rsidRPr="00CB4F2C">
        <w:t>l</w:t>
      </w:r>
      <w:r w:rsidRPr="00CB4F2C">
        <w:t>le qui est le principal mécanisme de communication avec les « loas ».</w:t>
      </w:r>
    </w:p>
    <w:p w:rsidR="00B7214C" w:rsidRPr="00CB4F2C" w:rsidRDefault="00B7214C" w:rsidP="00B7214C">
      <w:pPr>
        <w:spacing w:before="120" w:after="120"/>
        <w:jc w:val="both"/>
      </w:pPr>
      <w:r w:rsidRPr="00CB4F2C">
        <w:t>Dans la mesure où les problèmes soulevés par la succession à l'h</w:t>
      </w:r>
      <w:r w:rsidRPr="00CB4F2C">
        <w:t>é</w:t>
      </w:r>
      <w:r w:rsidRPr="00CB4F2C">
        <w:t>ritage spirituel d'une famille renvoient à des ra</w:t>
      </w:r>
      <w:r w:rsidRPr="00CB4F2C">
        <w:t>p</w:t>
      </w:r>
      <w:r w:rsidRPr="00CB4F2C">
        <w:t>ports de pouvoir et des formes de légitimation propre, il exi</w:t>
      </w:r>
      <w:r w:rsidRPr="00CB4F2C">
        <w:t>s</w:t>
      </w:r>
      <w:r w:rsidRPr="00CB4F2C">
        <w:t>te une politique du vodou ; le vodou est lui-même l'expre</w:t>
      </w:r>
      <w:r w:rsidRPr="00CB4F2C">
        <w:t>s</w:t>
      </w:r>
      <w:r w:rsidRPr="00CB4F2C">
        <w:t>sion de rapports politiques qui traversent les communautés où il est implanté.</w:t>
      </w:r>
    </w:p>
    <w:p w:rsidR="00B7214C" w:rsidRPr="00CB4F2C" w:rsidRDefault="00B7214C" w:rsidP="00B7214C">
      <w:pPr>
        <w:spacing w:before="120" w:after="120"/>
        <w:jc w:val="both"/>
      </w:pPr>
      <w:r w:rsidRPr="00CB4F2C">
        <w:t>On pourrait également extraire une troisième forme organisatio</w:t>
      </w:r>
      <w:r w:rsidRPr="00CB4F2C">
        <w:t>n</w:t>
      </w:r>
      <w:r w:rsidRPr="00CB4F2C">
        <w:t>nelle du vodou, celle du « rara ». Il s'agit de bandes carnavalesques rurales, placées sous le patronage d'un « loa » et qui compétitionnent entre elles, dans les campagnes, pour s'attirer le plus de partisans (« fanatik ») possible. L'appartenance aux bandes est ouverte et flu</w:t>
      </w:r>
      <w:r w:rsidRPr="00CB4F2C">
        <w:t>c</w:t>
      </w:r>
      <w:r w:rsidRPr="00CB4F2C">
        <w:t>tuante. Ces bandes jouent un rôle important dans le recrutement de clientèles politiques et leur réussite dépend souvent des connexions que leurs le</w:t>
      </w:r>
      <w:r w:rsidRPr="00CB4F2C">
        <w:t>a</w:t>
      </w:r>
      <w:r w:rsidRPr="00CB4F2C">
        <w:t>ders réussissent à établir avec des membres influents de l'armée ou du gouvernement. Essentiellement mobiles, les ba</w:t>
      </w:r>
      <w:r w:rsidRPr="00CB4F2C">
        <w:t>n</w:t>
      </w:r>
      <w:r w:rsidRPr="00CB4F2C">
        <w:t>des sont identifiées à des quartiers et ont toujours constitué une forme de lia</w:t>
      </w:r>
      <w:r w:rsidRPr="00CB4F2C">
        <w:t>i</w:t>
      </w:r>
      <w:r w:rsidRPr="00CB4F2C">
        <w:t>son avec la structure politique globale du pays. Sur le plan organis</w:t>
      </w:r>
      <w:r w:rsidRPr="00CB4F2C">
        <w:t>a</w:t>
      </w:r>
      <w:r w:rsidRPr="00CB4F2C">
        <w:t>tionnel, le rara est semblable aux « sociétés rouges » dont le nombre se serait multiplié à l'ép</w:t>
      </w:r>
      <w:r w:rsidRPr="00CB4F2C">
        <w:t>o</w:t>
      </w:r>
      <w:r w:rsidRPr="00CB4F2C">
        <w:t>que de Duvalier.</w:t>
      </w:r>
    </w:p>
    <w:p w:rsidR="00B7214C" w:rsidRDefault="00B7214C" w:rsidP="00B7214C">
      <w:pPr>
        <w:spacing w:before="120" w:after="120"/>
        <w:jc w:val="both"/>
      </w:pPr>
      <w:r w:rsidRPr="00CB4F2C">
        <w:t>La paysannerie distingue soigneusement les rites légitimes de Gu</w:t>
      </w:r>
      <w:r w:rsidRPr="00CB4F2C">
        <w:t>i</w:t>
      </w:r>
      <w:r w:rsidRPr="00CB4F2C">
        <w:t>née, dont le vodou, de ceux des sectes rouges (« sanpouèl », « zobop ») associés à la pratique de la sorcell</w:t>
      </w:r>
      <w:r w:rsidRPr="00CB4F2C">
        <w:t>e</w:t>
      </w:r>
      <w:r w:rsidRPr="00CB4F2C">
        <w:t>rie. Les pratiques de ces dernières sont moralement condamnées et impliquent souvent la pr</w:t>
      </w:r>
      <w:r w:rsidRPr="00CB4F2C">
        <w:t>o</w:t>
      </w:r>
      <w:r w:rsidRPr="00CB4F2C">
        <w:t>fanation de cimetières. Ces groupes se constituent autour d'un « djab », c'est-à-dire d'une puissance particulièrement forte acquise hors des cadres lég</w:t>
      </w:r>
      <w:r w:rsidRPr="00CB4F2C">
        <w:t>i</w:t>
      </w:r>
      <w:r w:rsidRPr="00CB4F2C">
        <w:t>timement constitués de la société. Le chef « sanpouèl » en a fait l'acquisition, contre argent sonnant, dans une localité éloignée. Ce « djab » se manifeste aussi par la transe.</w:t>
      </w:r>
    </w:p>
    <w:p w:rsidR="00B7214C" w:rsidRPr="00CB4F2C" w:rsidRDefault="00B7214C" w:rsidP="00B7214C">
      <w:pPr>
        <w:spacing w:before="120" w:after="120"/>
        <w:jc w:val="both"/>
      </w:pPr>
      <w:r>
        <w:t>[130]</w:t>
      </w:r>
    </w:p>
    <w:p w:rsidR="00B7214C" w:rsidRPr="00CB4F2C" w:rsidRDefault="00B7214C" w:rsidP="00B7214C">
      <w:pPr>
        <w:spacing w:before="120" w:after="120"/>
        <w:jc w:val="both"/>
      </w:pPr>
      <w:r w:rsidRPr="00CB4F2C">
        <w:t>Les sociétés « sanpouèl » exercent des pressions sur une popul</w:t>
      </w:r>
      <w:r w:rsidRPr="00CB4F2C">
        <w:t>a</w:t>
      </w:r>
      <w:r w:rsidRPr="00CB4F2C">
        <w:t>tion dans la mesure où elles ont la réputation de traiter les maladies qu'elles provoquent lors de leurs expéditions nocturnes et contre le</w:t>
      </w:r>
      <w:r w:rsidRPr="00CB4F2C">
        <w:t>s</w:t>
      </w:r>
      <w:r w:rsidRPr="00CB4F2C">
        <w:t>quelles on ne peut se protéger qu'en s'y joignant. L'accroissement de leur clientèle repose donc sur la menace qu'elles représentent et la pr</w:t>
      </w:r>
      <w:r w:rsidRPr="00CB4F2C">
        <w:t>o</w:t>
      </w:r>
      <w:r w:rsidRPr="00CB4F2C">
        <w:t>tection qu'elles fourni</w:t>
      </w:r>
      <w:r w:rsidRPr="00CB4F2C">
        <w:t>s</w:t>
      </w:r>
      <w:r w:rsidRPr="00CB4F2C">
        <w:t>sent. Elles sont également associées à la vente « de points chauds », ceux-là mêmes qui permettent à leurs détenteurs d'assouvir leurs ambitions de pouvoir et d'argent.</w:t>
      </w:r>
    </w:p>
    <w:p w:rsidR="00B7214C" w:rsidRPr="00CB4F2C" w:rsidRDefault="00B7214C" w:rsidP="00B7214C">
      <w:pPr>
        <w:spacing w:before="120" w:after="120"/>
        <w:jc w:val="both"/>
      </w:pPr>
      <w:r w:rsidRPr="00CB4F2C">
        <w:t>Ces groupes parareligieux recrutent le plus souvent leurs membres parmi les éléments les plus misérables de la société. Macoutes et mil</w:t>
      </w:r>
      <w:r w:rsidRPr="00CB4F2C">
        <w:t>i</w:t>
      </w:r>
      <w:r w:rsidRPr="00CB4F2C">
        <w:t>taires y sont particulièrement représentés. Ils ont proliféré sous Duv</w:t>
      </w:r>
      <w:r w:rsidRPr="00CB4F2C">
        <w:t>a</w:t>
      </w:r>
      <w:r w:rsidRPr="00CB4F2C">
        <w:t>lier. Le rite « sanpouèl » a fourni les éléments de base de toute une symbolique de l'intimidation et du terrorisme auquel les partisans du Doc n'ont pas manqué de puiser pour asseoir leur domination idéol</w:t>
      </w:r>
      <w:r w:rsidRPr="00CB4F2C">
        <w:t>o</w:t>
      </w:r>
      <w:r w:rsidRPr="00CB4F2C">
        <w:t>gique.</w:t>
      </w:r>
    </w:p>
    <w:p w:rsidR="00B7214C" w:rsidRDefault="00B7214C" w:rsidP="00B7214C">
      <w:pPr>
        <w:spacing w:before="120" w:after="120"/>
        <w:jc w:val="both"/>
      </w:pPr>
    </w:p>
    <w:p w:rsidR="00B7214C" w:rsidRPr="00CB4F2C" w:rsidRDefault="00B7214C" w:rsidP="00B7214C">
      <w:pPr>
        <w:pStyle w:val="a"/>
      </w:pPr>
      <w:r w:rsidRPr="00CB4F2C">
        <w:t>LES SIGNES DU POUVOIR</w:t>
      </w:r>
    </w:p>
    <w:p w:rsidR="00B7214C" w:rsidRDefault="00B7214C" w:rsidP="00B7214C">
      <w:pPr>
        <w:spacing w:before="120" w:after="120"/>
        <w:jc w:val="both"/>
      </w:pPr>
    </w:p>
    <w:p w:rsidR="00B7214C" w:rsidRPr="00CB4F2C" w:rsidRDefault="00B7214C" w:rsidP="00B7214C">
      <w:pPr>
        <w:spacing w:before="120" w:after="120"/>
        <w:jc w:val="both"/>
      </w:pPr>
      <w:r w:rsidRPr="00CB4F2C">
        <w:t>Peu après la mort de François Duvalier, toute personne qui e</w:t>
      </w:r>
      <w:r w:rsidRPr="00CB4F2C">
        <w:t>m</w:t>
      </w:r>
      <w:r w:rsidRPr="00CB4F2C">
        <w:t>pruntait la route des Cayes, vers le sud, devait passer d</w:t>
      </w:r>
      <w:r w:rsidRPr="00CB4F2C">
        <w:t>e</w:t>
      </w:r>
      <w:r w:rsidRPr="00CB4F2C">
        <w:t xml:space="preserve">vant un petit poste de macoutes dirigé par Gesner Chérubin, qui était, </w:t>
      </w:r>
      <w:r w:rsidRPr="000D1A32">
        <w:t xml:space="preserve">à </w:t>
      </w:r>
      <w:r w:rsidRPr="00CB4F2C">
        <w:t>l'époque, l'homme fort du quartier de Gressier. Les murs avaient été décorés, à la manière naïve, de portraits du Doc et de son épouse, maman Sim</w:t>
      </w:r>
      <w:r w:rsidRPr="00CB4F2C">
        <w:t>o</w:t>
      </w:r>
      <w:r w:rsidRPr="00CB4F2C">
        <w:t xml:space="preserve">ne, originaire de la zone. En face du petit poste, on avait érigé, sur un socle, le buste du président </w:t>
      </w:r>
      <w:r w:rsidRPr="000D1A32">
        <w:t xml:space="preserve">à </w:t>
      </w:r>
      <w:r w:rsidRPr="00CB4F2C">
        <w:t xml:space="preserve">vie que l'on avait enveloppé d'un drapeau noir et rouge ; sous le buste, on pouvait lire l'inscription suivante : « que celui qui aille dans le Sud sache que Duvalier n'est pas mort et que son esprit est toujours vivant ». L'utilisation </w:t>
      </w:r>
      <w:r w:rsidRPr="000D1A32">
        <w:t xml:space="preserve">à </w:t>
      </w:r>
      <w:r w:rsidRPr="00CB4F2C">
        <w:t>des fins d'intimid</w:t>
      </w:r>
      <w:r w:rsidRPr="00CB4F2C">
        <w:t>a</w:t>
      </w:r>
      <w:r w:rsidRPr="00CB4F2C">
        <w:t>tion d'une symbolique empruntée au langage de la sorcellerie - dans ce cas-ci le « zombi » ou mort, de l'e</w:t>
      </w:r>
      <w:r w:rsidRPr="00CB4F2C">
        <w:t>s</w:t>
      </w:r>
      <w:r w:rsidRPr="00CB4F2C">
        <w:t>prit duquel on s'est emparé - fut systématiquement pratiquée sous le régime des Duvalier.</w:t>
      </w:r>
    </w:p>
    <w:p w:rsidR="00B7214C" w:rsidRPr="00CB4F2C" w:rsidRDefault="00B7214C" w:rsidP="00B7214C">
      <w:pPr>
        <w:spacing w:before="120" w:after="120"/>
        <w:jc w:val="both"/>
      </w:pPr>
      <w:r w:rsidRPr="00CB4F2C">
        <w:t xml:space="preserve">On reconnaissait à papa Doc des pouvoirs d'invisibilité - il savait tout -, d'invulnérabilité - tous les complots visant </w:t>
      </w:r>
      <w:r w:rsidRPr="000D1A32">
        <w:t xml:space="preserve">à </w:t>
      </w:r>
      <w:r w:rsidRPr="00CB4F2C">
        <w:t xml:space="preserve">le renverser avaient échoué -, de déplacement </w:t>
      </w:r>
      <w:r w:rsidRPr="000D1A32">
        <w:t xml:space="preserve">à </w:t>
      </w:r>
      <w:r w:rsidRPr="00CB4F2C">
        <w:t>distance. Des enterrements d'o</w:t>
      </w:r>
      <w:r w:rsidRPr="00CB4F2C">
        <w:t>p</w:t>
      </w:r>
      <w:r w:rsidRPr="00CB4F2C">
        <w:t>posants avaient été interrompus par la mil</w:t>
      </w:r>
      <w:r w:rsidRPr="00CB4F2C">
        <w:t>i</w:t>
      </w:r>
      <w:r w:rsidRPr="00CB4F2C">
        <w:t>ce, des cadavres avaient disparu.</w:t>
      </w:r>
    </w:p>
    <w:p w:rsidR="00B7214C" w:rsidRPr="00CB4F2C" w:rsidRDefault="00B7214C" w:rsidP="00B7214C">
      <w:pPr>
        <w:spacing w:before="120" w:after="120"/>
        <w:jc w:val="both"/>
      </w:pPr>
      <w:r w:rsidRPr="00CB4F2C">
        <w:t>L'idée était aussi répandue que sous toutes les croix de chemin, plantées aux carrefours, des personnes avaient été enterrées vivantes ; des cérémonies nocturnes avaient eu lieu.</w:t>
      </w:r>
    </w:p>
    <w:p w:rsidR="00B7214C" w:rsidRDefault="00B7214C" w:rsidP="00B7214C">
      <w:pPr>
        <w:spacing w:before="120" w:after="120"/>
        <w:jc w:val="both"/>
      </w:pPr>
      <w:r w:rsidRPr="00CB4F2C">
        <w:t>Il importe ici de faire la part de l'imaginaire et du réel bien que la ligne les séparant soit parfois ténue. Ceci nous amène à parler du rite « sanpouèl » dont, curieusement, certains se</w:t>
      </w:r>
      <w:r w:rsidRPr="00CB4F2C">
        <w:t>m</w:t>
      </w:r>
      <w:r w:rsidRPr="00CB4F2C">
        <w:t>blent mettre en doute l'existence, l'imputant, une fois de plus, au seul débordement de l'im</w:t>
      </w:r>
      <w:r w:rsidRPr="00CB4F2C">
        <w:t>a</w:t>
      </w:r>
      <w:r w:rsidRPr="00CB4F2C">
        <w:t>ginaire paysan.</w:t>
      </w:r>
    </w:p>
    <w:p w:rsidR="00B7214C" w:rsidRPr="00CB4F2C" w:rsidRDefault="00B7214C" w:rsidP="00B7214C">
      <w:pPr>
        <w:spacing w:before="120" w:after="120"/>
        <w:jc w:val="both"/>
      </w:pPr>
      <w:r>
        <w:t>[131]</w:t>
      </w:r>
    </w:p>
    <w:p w:rsidR="00B7214C" w:rsidRPr="00CB4F2C" w:rsidRDefault="00B7214C" w:rsidP="00B7214C">
      <w:pPr>
        <w:spacing w:before="120" w:after="120"/>
        <w:jc w:val="both"/>
      </w:pPr>
      <w:r w:rsidRPr="00CB4F2C">
        <w:t>Dans la région de Léogane, certains se déclarent « sanpouèl ». L'un des chef « sanpouèl » les plus connus s'appelait Nicolas ; il habitait Baussan. Un autre, du nom d'Arnold habitait Carrefour du Fort ; il était macoute. Un a</w:t>
      </w:r>
      <w:r w:rsidRPr="00CB4F2C">
        <w:t>u</w:t>
      </w:r>
      <w:r w:rsidRPr="00CB4F2C">
        <w:t>tre, du nom de Télis, opérait depuis l'habitation Chavannes. Le rite « sanpouèl » se caractérise, entre autres, par une méthode thérapeutique qui le distingue. La maladie est souvent inte</w:t>
      </w:r>
      <w:r w:rsidRPr="00CB4F2C">
        <w:t>r</w:t>
      </w:r>
      <w:r w:rsidRPr="00CB4F2C">
        <w:t>prétée comme le fait d'un esprit qui dévore le malade et qu'il s'agit de renvoyer (« ranvoy ») ; la thérapie consiste le plus souvent à substituer à la personne malade une poule ou un coq que l'on passe sur le corps de celle-ci en invitant l'e</w:t>
      </w:r>
      <w:r w:rsidRPr="00CB4F2C">
        <w:t>s</w:t>
      </w:r>
      <w:r w:rsidRPr="00CB4F2C">
        <w:t>prit malfaisant à se nourrir de l'animal plutôt que du patient. La thérapie consiste à tromper l'esprit en lui faisant transférer son animosité sur l'animal plutôt que sur la personne et par l'identification de l'animal au patient. Le simulacre est poussé plus loin dans le rite « sanpouèl » ; la personne peut être mise dans une fosse, on peut chanter son enterrement, toujours dans le but de tro</w:t>
      </w:r>
      <w:r w:rsidRPr="00CB4F2C">
        <w:t>m</w:t>
      </w:r>
      <w:r w:rsidRPr="00CB4F2C">
        <w:t>per la force mauvaise et de l'amener à croire qu'elle a déjà « mangé » le malade et qu'elle peut jeter son dévolu ailleurs. Le cochon « sanpouèl » est alors l'équ</w:t>
      </w:r>
      <w:r w:rsidRPr="00CB4F2C">
        <w:t>i</w:t>
      </w:r>
      <w:r w:rsidRPr="00CB4F2C">
        <w:t>valent du cabri sans corne : l'image d'une victime humaine substituée à la victime animale. Ces rituels ont lieu, de nuit, dans un carrefour ; le carrefour étant, dans la tradition pop</w:t>
      </w:r>
      <w:r w:rsidRPr="00CB4F2C">
        <w:t>u</w:t>
      </w:r>
      <w:r w:rsidRPr="00CB4F2C">
        <w:t>laire, le lieu où passent toutes les forces, bonnes et mauva</w:t>
      </w:r>
      <w:r w:rsidRPr="00CB4F2C">
        <w:t>i</w:t>
      </w:r>
      <w:r w:rsidRPr="00CB4F2C">
        <w:t>ses. Ces rituels sont, dans l'esprit des paysans, illégitimes, et s'opposent à ceux localisés sur l'habitation familiale. On les représente comme une r</w:t>
      </w:r>
      <w:r w:rsidRPr="00CB4F2C">
        <w:t>e</w:t>
      </w:r>
      <w:r w:rsidRPr="00CB4F2C">
        <w:t>cherche indue de pouvoirs allant à l'encontre même de la volonté div</w:t>
      </w:r>
      <w:r w:rsidRPr="00CB4F2C">
        <w:t>i</w:t>
      </w:r>
      <w:r w:rsidRPr="00CB4F2C">
        <w:t>ne. La prolifération de ces rituels est, dans l'esprit de la plupart des personnes que nous avons interrogées, liée à la période duvaliériste bien que les plus âgés parlent de rites analogues beaucoup plus a</w:t>
      </w:r>
      <w:r w:rsidRPr="00CB4F2C">
        <w:t>n</w:t>
      </w:r>
      <w:r w:rsidRPr="00CB4F2C">
        <w:t>ciens que l'on désignait sous les noms de « sindindin » ou « vlingbinding ». La grande tolérance du régime duvaliériste face à ces pratiques sinon l'utilisation qui en fut systémat</w:t>
      </w:r>
      <w:r w:rsidRPr="00CB4F2C">
        <w:t>i</w:t>
      </w:r>
      <w:r w:rsidRPr="00CB4F2C">
        <w:t>quement faite à des fins d'intimidation, explique largement la symbolique prise par les croix de chemin sous la dictature. Il faut y voir un signe de l'emprise exercée par Duvalier sur l'imaginaire populaire. N'avait-il pas mis fin, disait-il, à la politique.</w:t>
      </w:r>
    </w:p>
    <w:p w:rsidR="00B7214C" w:rsidRPr="00CB4F2C" w:rsidRDefault="00B7214C" w:rsidP="00B7214C">
      <w:pPr>
        <w:spacing w:before="120" w:after="120"/>
        <w:jc w:val="both"/>
      </w:pPr>
      <w:r w:rsidRPr="00CB4F2C">
        <w:t>Au moment où la campagne de l'Église s'intensifia contre le régime de Jean-Claude, la lutte devait nécessairement passer par la confront</w:t>
      </w:r>
      <w:r w:rsidRPr="00CB4F2C">
        <w:t>a</w:t>
      </w:r>
      <w:r w:rsidRPr="00CB4F2C">
        <w:t>tion avec cette symbolique héritée du duvaliérisme. C'est par l'ident</w:t>
      </w:r>
      <w:r w:rsidRPr="00CB4F2C">
        <w:t>i</w:t>
      </w:r>
      <w:r w:rsidRPr="00CB4F2C">
        <w:t>fication du duvaliérisme et du macoutisme à Satan que l'Église eng</w:t>
      </w:r>
      <w:r w:rsidRPr="00CB4F2C">
        <w:t>a</w:t>
      </w:r>
      <w:r w:rsidRPr="00CB4F2C">
        <w:t>gea le combat, ident</w:t>
      </w:r>
      <w:r w:rsidRPr="00CB4F2C">
        <w:t>i</w:t>
      </w:r>
      <w:r w:rsidRPr="00CB4F2C">
        <w:t>fiant le régime, et non plus le vodou, comme la source du Mal. L'image du « zombi » devint celle-là même du peuple haïtien privé de sa liberté et de sa capacité de réagir à l'o</w:t>
      </w:r>
      <w:r w:rsidRPr="00CB4F2C">
        <w:t>p</w:t>
      </w:r>
      <w:r w:rsidRPr="00CB4F2C">
        <w:t>pression comme elle avait été auparavant celle de l'esclave ; une nouvelle lutte de libération devait s'engager.</w:t>
      </w:r>
    </w:p>
    <w:p w:rsidR="00B7214C" w:rsidRPr="00CB4F2C" w:rsidRDefault="00B7214C" w:rsidP="00B7214C">
      <w:pPr>
        <w:spacing w:before="120" w:after="120"/>
        <w:jc w:val="both"/>
      </w:pPr>
      <w:r w:rsidRPr="00CB4F2C">
        <w:t>Les aspects mystico-religieux qui accompagnèrent le mouvement populaire ne doivent pas faire oublier les r</w:t>
      </w:r>
      <w:r w:rsidRPr="00CB4F2C">
        <w:t>é</w:t>
      </w:r>
      <w:r w:rsidRPr="00CB4F2C">
        <w:t>flexions plus sobres qui s'élaboraient au sein des communautés ecclésiales de base, des mo</w:t>
      </w:r>
      <w:r w:rsidRPr="00CB4F2C">
        <w:t>u</w:t>
      </w:r>
      <w:r w:rsidRPr="00CB4F2C">
        <w:t>vements</w:t>
      </w:r>
      <w:r>
        <w:t xml:space="preserve"> [132] </w:t>
      </w:r>
      <w:r w:rsidRPr="00CB4F2C">
        <w:t>paysans et des groupements de quartiers ; ils remplirent cependant un rôle fondamental de mobilisation. La trame symbolique s'était retournée contre ceux qui l'avait jusque-là monopolisée. Mo</w:t>
      </w:r>
      <w:r w:rsidRPr="00CB4F2C">
        <w:t>n</w:t>
      </w:r>
      <w:r w:rsidRPr="00CB4F2C">
        <w:t>trant qu'il n'y avait pas de lien nécessaire entre vodou et duvaliérisme, mais que le langage mystico-sorcier pouvait se retourner contre ceux qui l'avaient jusque-là utilisé.</w:t>
      </w:r>
    </w:p>
    <w:p w:rsidR="00B7214C" w:rsidRPr="00CB4F2C" w:rsidRDefault="00B7214C" w:rsidP="00B7214C">
      <w:pPr>
        <w:spacing w:before="120" w:after="120"/>
        <w:jc w:val="both"/>
      </w:pPr>
      <w:r w:rsidRPr="00CB4F2C">
        <w:t>Durant les semaines qui précédèrent le départ de Jean-Claude D</w:t>
      </w:r>
      <w:r w:rsidRPr="00CB4F2C">
        <w:t>u</w:t>
      </w:r>
      <w:r w:rsidRPr="00CB4F2C">
        <w:t>valier, plusieurs croix de chemin furent renversées. Des rumeurs se répandirent suivant lesquelles des poudres particulièrement puissantes avaient été fabriquées ; elles po</w:t>
      </w:r>
      <w:r w:rsidRPr="00CB4F2C">
        <w:t>r</w:t>
      </w:r>
      <w:r w:rsidRPr="00CB4F2C">
        <w:t>taient les nom</w:t>
      </w:r>
      <w:r>
        <w:t>s évocateurs de « Satan, allez-</w:t>
      </w:r>
      <w:r w:rsidRPr="00CB4F2C">
        <w:t>vous-en », « tout gangan vous-en ». Au lendemain de l'assass</w:t>
      </w:r>
      <w:r w:rsidRPr="00CB4F2C">
        <w:t>i</w:t>
      </w:r>
      <w:r w:rsidRPr="00CB4F2C">
        <w:t>nat par l'armée, de trois jeunes des Gonaives, des cérémonies religie</w:t>
      </w:r>
      <w:r w:rsidRPr="00CB4F2C">
        <w:t>u</w:t>
      </w:r>
      <w:r w:rsidRPr="00CB4F2C">
        <w:t>ses furent organisées dans plusieurs églises du pays ; on se mit à r</w:t>
      </w:r>
      <w:r w:rsidRPr="00CB4F2C">
        <w:t>a</w:t>
      </w:r>
      <w:r w:rsidRPr="00CB4F2C">
        <w:t>conter qu'à Jérémie, l'évêque avait fait conduire les cercueils comm</w:t>
      </w:r>
      <w:r w:rsidRPr="00CB4F2C">
        <w:t>é</w:t>
      </w:r>
      <w:r w:rsidRPr="00CB4F2C">
        <w:t>moratifs au cimetière où on les avait incinérés ; monseigneur Romélus aurait alors croiciné les fronts des assistants avec la cendre des ce</w:t>
      </w:r>
      <w:r w:rsidRPr="00CB4F2C">
        <w:t>r</w:t>
      </w:r>
      <w:r w:rsidRPr="00CB4F2C">
        <w:t>cueils. La veille du départ de Duvalier, on raconte que le signal de la mobilis</w:t>
      </w:r>
      <w:r w:rsidRPr="00CB4F2C">
        <w:t>a</w:t>
      </w:r>
      <w:r w:rsidRPr="00CB4F2C">
        <w:t>tion popula</w:t>
      </w:r>
      <w:r w:rsidRPr="00CB4F2C">
        <w:t>i</w:t>
      </w:r>
      <w:r w:rsidRPr="00CB4F2C">
        <w:t>re avait été donné par un curé du Cap qui avait envoyé, le matin même, sept colombes, vers les sept villes les plus importantes du pays. Durant ces quelques semaines, de nombreux e</w:t>
      </w:r>
      <w:r w:rsidRPr="00CB4F2C">
        <w:t>n</w:t>
      </w:r>
      <w:r w:rsidRPr="00CB4F2C">
        <w:t>terrements symboliques du régime furent conduits dont certains, « à l'africaine », où le cercueil fut mené au pas de course dans des dire</w:t>
      </w:r>
      <w:r w:rsidRPr="00CB4F2C">
        <w:t>c</w:t>
      </w:r>
      <w:r w:rsidRPr="00CB4F2C">
        <w:t>tions contraires pour éviter que l'e</w:t>
      </w:r>
      <w:r w:rsidRPr="00CB4F2C">
        <w:t>s</w:t>
      </w:r>
      <w:r w:rsidRPr="00CB4F2C">
        <w:t>prit du mort ne retrouve par la suite le chemin du retour.</w:t>
      </w:r>
    </w:p>
    <w:p w:rsidR="00B7214C" w:rsidRPr="00CB4F2C" w:rsidRDefault="00B7214C" w:rsidP="00B7214C">
      <w:pPr>
        <w:spacing w:before="120" w:after="120"/>
        <w:jc w:val="both"/>
      </w:pPr>
      <w:r w:rsidRPr="00CB4F2C">
        <w:t>Dans une certaine mesure, les masses populaires ont a</w:t>
      </w:r>
      <w:r w:rsidRPr="00CB4F2C">
        <w:t>u</w:t>
      </w:r>
      <w:r w:rsidRPr="00CB4F2C">
        <w:t>jourd'hui investi le président Aristide du pouvoir symbolique dont elles ont d</w:t>
      </w:r>
      <w:r w:rsidRPr="00CB4F2C">
        <w:t>é</w:t>
      </w:r>
      <w:r w:rsidRPr="00CB4F2C">
        <w:t>pouillé le duvaliérisme. Les événements des dernières années ont su</w:t>
      </w:r>
      <w:r w:rsidRPr="00CB4F2C">
        <w:t>s</w:t>
      </w:r>
      <w:r w:rsidRPr="00CB4F2C">
        <w:t>cité un grand désir de changement ; au travers de l'élection du 16 d</w:t>
      </w:r>
      <w:r w:rsidRPr="00CB4F2C">
        <w:t>é</w:t>
      </w:r>
      <w:r w:rsidRPr="00CB4F2C">
        <w:t>cembre, les préoccupations des organisations populaires se sont éte</w:t>
      </w:r>
      <w:r w:rsidRPr="00CB4F2C">
        <w:t>n</w:t>
      </w:r>
      <w:r w:rsidRPr="00CB4F2C">
        <w:t>dues à l'ensemble de la population et ont acquis plus de force. C'est de ce pouvoir populaire qu'Aristide tire sa légitimité.</w:t>
      </w:r>
    </w:p>
    <w:p w:rsidR="00B7214C" w:rsidRPr="00CB4F2C" w:rsidRDefault="00B7214C" w:rsidP="00B7214C">
      <w:pPr>
        <w:spacing w:before="120" w:after="120"/>
        <w:jc w:val="both"/>
      </w:pPr>
      <w:r w:rsidRPr="00CB4F2C">
        <w:t>Le discours mysticisant des couches populaires accomp</w:t>
      </w:r>
      <w:r w:rsidRPr="00CB4F2C">
        <w:t>a</w:t>
      </w:r>
      <w:r w:rsidRPr="00CB4F2C">
        <w:t>gne la gestation d'une nouvelle société, l'émergence d'un nouvel État fondé sur les droits de tous les citoyens ; il s'al</w:t>
      </w:r>
      <w:r w:rsidRPr="00CB4F2C">
        <w:t>i</w:t>
      </w:r>
      <w:r w:rsidRPr="00CB4F2C">
        <w:t>mente non pas au seul vodou, mais à un imaginaire populaire qui transcende les frontières des Égl</w:t>
      </w:r>
      <w:r w:rsidRPr="00CB4F2C">
        <w:t>i</w:t>
      </w:r>
      <w:r w:rsidRPr="00CB4F2C">
        <w:t>ses instituées</w:t>
      </w:r>
      <w:r>
        <w:t> </w:t>
      </w:r>
      <w:r>
        <w:rPr>
          <w:rStyle w:val="Appelnotedebasdep"/>
        </w:rPr>
        <w:footnoteReference w:id="42"/>
      </w:r>
      <w:r w:rsidRPr="00CB4F2C">
        <w:t>. Jusqu'à un certain point, il tente de compenser la fa</w:t>
      </w:r>
      <w:r w:rsidRPr="00CB4F2C">
        <w:t>i</w:t>
      </w:r>
      <w:r w:rsidRPr="00CB4F2C">
        <w:t>blesse du mouvement populaire face aux armes de l'adversaire ; il e</w:t>
      </w:r>
      <w:r w:rsidRPr="00CB4F2C">
        <w:t>x</w:t>
      </w:r>
      <w:r w:rsidRPr="00CB4F2C">
        <w:t>prime et renforce, par le fait même, les convictions dans un pays où les consciences s'achètent pour quelques dollars et où la co</w:t>
      </w:r>
      <w:r w:rsidRPr="00CB4F2C">
        <w:t>r</w:t>
      </w:r>
      <w:r w:rsidRPr="00CB4F2C">
        <w:t>ruption est devenue un mode de vie. Jusqu'à un certain point, il intimide l'adve</w:t>
      </w:r>
      <w:r w:rsidRPr="00CB4F2C">
        <w:t>r</w:t>
      </w:r>
      <w:r w:rsidRPr="00CB4F2C">
        <w:t>saire qui n'y est pas insensible.</w:t>
      </w:r>
    </w:p>
    <w:p w:rsidR="00B7214C" w:rsidRDefault="00B7214C" w:rsidP="00B7214C">
      <w:pPr>
        <w:spacing w:before="120" w:after="120"/>
        <w:jc w:val="both"/>
      </w:pPr>
      <w:r w:rsidRPr="00CB4F2C">
        <w:t>L'utilisation à outrance de termes mal définis tels que charismat</w:t>
      </w:r>
      <w:r w:rsidRPr="00CB4F2C">
        <w:t>i</w:t>
      </w:r>
      <w:r w:rsidRPr="00CB4F2C">
        <w:t>que, populiste ou mystique pour désigner le leadership d'Aristide</w:t>
      </w:r>
      <w:r>
        <w:t> </w:t>
      </w:r>
      <w:r>
        <w:rPr>
          <w:rStyle w:val="Appelnotedebasdep"/>
        </w:rPr>
        <w:footnoteReference w:id="43"/>
      </w:r>
      <w:r w:rsidRPr="00CB4F2C">
        <w:t xml:space="preserve"> chez</w:t>
      </w:r>
      <w:r>
        <w:t xml:space="preserve"> [133] </w:t>
      </w:r>
      <w:r w:rsidRPr="00CB4F2C">
        <w:t>beaucoup de ses opposants, tend à faire dériver l'attention vers la personnalité du leader, au détriment des caractéristiques du mouvement populaire lui-même dont il n'est final</w:t>
      </w:r>
      <w:r w:rsidRPr="00CB4F2C">
        <w:t>e</w:t>
      </w:r>
      <w:r w:rsidRPr="00CB4F2C">
        <w:t>ment qu'un porte-parole. On ne peut ici que répéter la mise en garde de Worsley</w:t>
      </w:r>
      <w:r>
        <w:t> </w:t>
      </w:r>
      <w:r>
        <w:rPr>
          <w:rStyle w:val="Appelnotedebasdep"/>
        </w:rPr>
        <w:footnoteReference w:id="44"/>
      </w:r>
      <w:r w:rsidRPr="00CB4F2C">
        <w:t xml:space="preserve"> quant à l'utilisation du concept de charisme, que dans une certaine s</w:t>
      </w:r>
      <w:r w:rsidRPr="00CB4F2C">
        <w:t>o</w:t>
      </w:r>
      <w:r w:rsidRPr="00CB4F2C">
        <w:t>ciol</w:t>
      </w:r>
      <w:r w:rsidRPr="00CB4F2C">
        <w:t>o</w:t>
      </w:r>
      <w:r w:rsidRPr="00CB4F2C">
        <w:t>gie wébérienne l'on voudrait opposer à celui de rationalité. La rationalité s</w:t>
      </w:r>
      <w:r w:rsidRPr="00CB4F2C">
        <w:t>o</w:t>
      </w:r>
      <w:r w:rsidRPr="00CB4F2C">
        <w:t>ciale d'un mouvement ne réside pas nécessairement dans les cond</w:t>
      </w:r>
      <w:r w:rsidRPr="00CB4F2C">
        <w:t>i</w:t>
      </w:r>
      <w:r w:rsidRPr="00CB4F2C">
        <w:t>tions initiales dans lesquelles ce mouvement se met en place, mais dans la capacité qu'il a de se transformer pour mieux affronter l'adve</w:t>
      </w:r>
      <w:r w:rsidRPr="00CB4F2C">
        <w:t>r</w:t>
      </w:r>
      <w:r w:rsidRPr="00CB4F2C">
        <w:t>saire.</w:t>
      </w:r>
    </w:p>
    <w:p w:rsidR="00B7214C" w:rsidRPr="00CB4F2C"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Pr="00CB4F2C" w:rsidRDefault="00B7214C" w:rsidP="00B7214C">
      <w:pPr>
        <w:pStyle w:val="p"/>
      </w:pPr>
      <w:r>
        <w:t>[134]</w:t>
      </w:r>
    </w:p>
    <w:p w:rsidR="00B7214C" w:rsidRPr="00CB4F2C" w:rsidRDefault="00B7214C" w:rsidP="00B7214C">
      <w:pPr>
        <w:spacing w:before="120" w:after="120"/>
        <w:jc w:val="both"/>
      </w:pPr>
    </w:p>
    <w:p w:rsidR="00B7214C" w:rsidRDefault="00B7214C" w:rsidP="00B7214C">
      <w:pPr>
        <w:pStyle w:val="p"/>
      </w:pPr>
      <w:r w:rsidRPr="00CB4F2C">
        <w:br w:type="page"/>
      </w:r>
      <w:r>
        <w:t>[135]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2" w:name="Entre_tradition_pt_1_texte_06"/>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 xml:space="preserve">A. </w:t>
      </w:r>
      <w:r w:rsidRPr="00DA1F44">
        <w:rPr>
          <w:color w:val="FF0000"/>
          <w:sz w:val="24"/>
        </w:rPr>
        <w:t>ETHNICITÉ, NATIONALISME, POUVOIR</w:t>
      </w:r>
    </w:p>
    <w:p w:rsidR="00B7214C" w:rsidRPr="00384B20" w:rsidRDefault="00B7214C" w:rsidP="00B7214C">
      <w:pPr>
        <w:pStyle w:val="Titreniveau1"/>
      </w:pPr>
      <w:r>
        <w:t>6</w:t>
      </w:r>
    </w:p>
    <w:p w:rsidR="00B7214C" w:rsidRDefault="00B7214C" w:rsidP="00B7214C">
      <w:pPr>
        <w:pStyle w:val="Titreniveau2"/>
      </w:pPr>
      <w:r>
        <w:t>“Regard critique</w:t>
      </w:r>
      <w:r>
        <w:br/>
        <w:t>sur le drame haïtien.”</w:t>
      </w:r>
    </w:p>
    <w:bookmarkEnd w:id="12"/>
    <w:p w:rsidR="00B7214C" w:rsidRPr="00E07116" w:rsidRDefault="00B7214C" w:rsidP="00B7214C">
      <w:pPr>
        <w:jc w:val="both"/>
        <w:rPr>
          <w:szCs w:val="36"/>
        </w:rPr>
      </w:pPr>
    </w:p>
    <w:p w:rsidR="00B7214C" w:rsidRPr="00E07116" w:rsidRDefault="00B7214C" w:rsidP="00B7214C">
      <w:pPr>
        <w:pStyle w:val="suite"/>
      </w:pPr>
      <w:r>
        <w:t>Par Emerson DOUYON</w:t>
      </w:r>
    </w:p>
    <w:p w:rsidR="00B7214C" w:rsidRDefault="00B7214C" w:rsidP="00B7214C">
      <w:pPr>
        <w:pStyle w:val="auteurst"/>
      </w:pPr>
      <w:r w:rsidRPr="00C57CFF">
        <w:t>École de criminologie. Université de Montréal</w:t>
      </w:r>
    </w:p>
    <w:p w:rsidR="00B7214C" w:rsidRPr="00E07116" w:rsidRDefault="00B7214C" w:rsidP="00B7214C">
      <w:pPr>
        <w:pStyle w:val="auteurst"/>
      </w:pPr>
      <w:r w:rsidRPr="00CB4F2C">
        <w:t>Commentaire sur le texte de Serge Larose</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P</w:t>
      </w:r>
      <w:r w:rsidRPr="00CB4F2C">
        <w:t>ourquoi m'inviter personnellement à commenter le texte de mo</w:t>
      </w:r>
      <w:r w:rsidRPr="00CB4F2C">
        <w:t>n</w:t>
      </w:r>
      <w:r w:rsidRPr="00CB4F2C">
        <w:t>sieur Serge Larose sur « Religion et politique en Haïti » ? Serait-ce en qualité d'Haïtien, donc à titre de témoin privilégié ou de suspect, pour valider ou invalider sa parole... Selon un proverbe créole, « Chak Ha</w:t>
      </w:r>
      <w:r w:rsidRPr="00CB4F2C">
        <w:t>ï</w:t>
      </w:r>
      <w:r w:rsidRPr="00CB4F2C">
        <w:t>tien guin gnou grin z</w:t>
      </w:r>
      <w:r w:rsidRPr="00CB4F2C">
        <w:t>a</w:t>
      </w:r>
      <w:r w:rsidRPr="00CB4F2C">
        <w:t>no caille fev » (Chaque Haïtien possède une boucle d'oreille chez l'orfèvre), mais lorsqu'on connaît le degré d'enr</w:t>
      </w:r>
      <w:r w:rsidRPr="00CB4F2C">
        <w:t>a</w:t>
      </w:r>
      <w:r w:rsidRPr="00CB4F2C">
        <w:t>cinement de Serge Larose dans la culture haïtienne, on peut valabl</w:t>
      </w:r>
      <w:r w:rsidRPr="00CB4F2C">
        <w:t>e</w:t>
      </w:r>
      <w:r w:rsidRPr="00CB4F2C">
        <w:t>ment soupçonner que lui aussi cache quelque boucle d'oreille quelque part. La réponse à notre interrogation se trouve sans doute au coeur de cette convergence de nos préoccupations mutuelles quant à l'explic</w:t>
      </w:r>
      <w:r w:rsidRPr="00CB4F2C">
        <w:t>a</w:t>
      </w:r>
      <w:r w:rsidRPr="00CB4F2C">
        <w:t>tion du drame haïtien.</w:t>
      </w:r>
    </w:p>
    <w:p w:rsidR="00B7214C" w:rsidRPr="00CB4F2C" w:rsidRDefault="00B7214C" w:rsidP="00B7214C">
      <w:pPr>
        <w:spacing w:before="120" w:after="120"/>
        <w:jc w:val="both"/>
      </w:pPr>
      <w:r w:rsidRPr="00CB4F2C">
        <w:t>L'observateur étranger qui suit de loin l'imbroglio politico-social de la scène haïtienne se pose inévitablement cette que</w:t>
      </w:r>
      <w:r w:rsidRPr="00CB4F2C">
        <w:t>s</w:t>
      </w:r>
      <w:r w:rsidRPr="00CB4F2C">
        <w:t>tion : que se passe-t-il vraiment dans cette île turbulente des Caraïbes ? Pour aider à démêler l'écheveau de la société ha</w:t>
      </w:r>
      <w:r w:rsidRPr="00CB4F2C">
        <w:t>ï</w:t>
      </w:r>
      <w:r w:rsidRPr="00CB4F2C">
        <w:t>tienne et clarifier la conjoncture actuelle, Serge Larose propose dans un texte-témoignage d'une rema</w:t>
      </w:r>
      <w:r w:rsidRPr="00CB4F2C">
        <w:t>r</w:t>
      </w:r>
      <w:r w:rsidRPr="00CB4F2C">
        <w:t>quable densité intellectuelle, un fil conducteur sous la forme d'une mise en relation entre la religion et la politique en Haïti.</w:t>
      </w:r>
    </w:p>
    <w:p w:rsidR="00B7214C" w:rsidRPr="00CB4F2C" w:rsidRDefault="00B7214C" w:rsidP="00B7214C">
      <w:pPr>
        <w:spacing w:before="120" w:after="120"/>
        <w:jc w:val="both"/>
      </w:pPr>
      <w:r w:rsidRPr="00CB4F2C">
        <w:t>L'auteur n'est pas le premier à tenter cette mission insolite et pa</w:t>
      </w:r>
      <w:r w:rsidRPr="00CB4F2C">
        <w:t>r</w:t>
      </w:r>
      <w:r w:rsidRPr="00CB4F2C">
        <w:t>semée d'embûches. Rémy Bastien (1978), anthropol</w:t>
      </w:r>
      <w:r w:rsidRPr="00CB4F2C">
        <w:t>o</w:t>
      </w:r>
      <w:r w:rsidRPr="00CB4F2C">
        <w:t>gue haïtien, s'est autrefois risqué dans cette voie exploratrice. Le présent texte se situe dans</w:t>
      </w:r>
      <w:r>
        <w:t xml:space="preserve"> [136] </w:t>
      </w:r>
      <w:r w:rsidRPr="00CB4F2C">
        <w:t>une perspective plus large et plus contemporaine. Il év</w:t>
      </w:r>
      <w:r w:rsidRPr="00CB4F2C">
        <w:t>o</w:t>
      </w:r>
      <w:r w:rsidRPr="00CB4F2C">
        <w:t>que le conflit entre le poids des traditions séculaires et les aspirations vers la modernité. À cet égard le cas d'Haïti n'est pas unique, même s'il est exemplaire.</w:t>
      </w:r>
    </w:p>
    <w:p w:rsidR="00B7214C" w:rsidRPr="00CB4F2C" w:rsidRDefault="00B7214C" w:rsidP="00B7214C">
      <w:pPr>
        <w:spacing w:before="120" w:after="120"/>
        <w:jc w:val="both"/>
      </w:pPr>
      <w:r w:rsidRPr="00CB4F2C">
        <w:t>Si le cadre théorique demeure la sociologie des religions, l'angle de pénétration de la problématique haïtienne se ram</w:t>
      </w:r>
      <w:r w:rsidRPr="00CB4F2C">
        <w:t>è</w:t>
      </w:r>
      <w:r w:rsidRPr="00CB4F2C">
        <w:t>ne à un examen des relations de pouvoir aux différents n</w:t>
      </w:r>
      <w:r w:rsidRPr="00CB4F2C">
        <w:t>i</w:t>
      </w:r>
      <w:r w:rsidRPr="00CB4F2C">
        <w:t>veaux de la famille, du village, du quartier urbain et de la société globale. En quoi la religion et la p</w:t>
      </w:r>
      <w:r w:rsidRPr="00CB4F2C">
        <w:t>o</w:t>
      </w:r>
      <w:r w:rsidRPr="00CB4F2C">
        <w:t>litique annexent-elles de nouveaux territoires ou jouent-elles le rôle de tre</w:t>
      </w:r>
      <w:r w:rsidRPr="00CB4F2C">
        <w:t>m</w:t>
      </w:r>
      <w:r w:rsidRPr="00CB4F2C">
        <w:t>plin ou d'alibi pour redéfinir le rapport au po</w:t>
      </w:r>
      <w:r>
        <w:t>uvoir dans un contexte de sous-</w:t>
      </w:r>
      <w:r w:rsidRPr="00CB4F2C">
        <w:t>développement ? Tels sont les enjeux fo</w:t>
      </w:r>
      <w:r w:rsidRPr="00CB4F2C">
        <w:t>n</w:t>
      </w:r>
      <w:r w:rsidRPr="00CB4F2C">
        <w:t>damentaux du conflit entre le religieux et le politique en Ha</w:t>
      </w:r>
      <w:r w:rsidRPr="00CB4F2C">
        <w:t>ï</w:t>
      </w:r>
      <w:r w:rsidRPr="00CB4F2C">
        <w:t>ti.</w:t>
      </w:r>
    </w:p>
    <w:p w:rsidR="00B7214C" w:rsidRPr="00CB4F2C" w:rsidRDefault="00B7214C" w:rsidP="00B7214C">
      <w:pPr>
        <w:spacing w:before="120" w:after="120"/>
        <w:jc w:val="both"/>
      </w:pPr>
      <w:r w:rsidRPr="00CB4F2C">
        <w:t>La démarche originale de Serge Larose consiste, à partir d'une r</w:t>
      </w:r>
      <w:r w:rsidRPr="00CB4F2C">
        <w:t>e</w:t>
      </w:r>
      <w:r w:rsidRPr="00CB4F2C">
        <w:t>cherche de l'espace politico-religieux haïtien, à inst</w:t>
      </w:r>
      <w:r w:rsidRPr="00CB4F2C">
        <w:t>i</w:t>
      </w:r>
      <w:r w:rsidRPr="00CB4F2C">
        <w:t>tuer une analyse critique du mouvement de recours au rel</w:t>
      </w:r>
      <w:r w:rsidRPr="00CB4F2C">
        <w:t>i</w:t>
      </w:r>
      <w:r w:rsidRPr="00CB4F2C">
        <w:t>gieux comme arme de contestation du pouvoir établi. L'irruption de la politique dans le d</w:t>
      </w:r>
      <w:r w:rsidRPr="00CB4F2C">
        <w:t>o</w:t>
      </w:r>
      <w:r w:rsidRPr="00CB4F2C">
        <w:t>maine religieux et le débordement de la religion sur le terrain polit</w:t>
      </w:r>
      <w:r w:rsidRPr="00CB4F2C">
        <w:t>i</w:t>
      </w:r>
      <w:r w:rsidRPr="00CB4F2C">
        <w:t>que constituent un vieux contentieux entre l'Église et l'État en Haïti. Mais le r</w:t>
      </w:r>
      <w:r w:rsidRPr="00CB4F2C">
        <w:t>e</w:t>
      </w:r>
      <w:r w:rsidRPr="00CB4F2C">
        <w:t>cours aux valeurs théologiques pour promouvoir une remise en question du pouvoir politique et un changement radical dans les structures et le fonctionnement d'une société figée renvoie à un ai</w:t>
      </w:r>
      <w:r w:rsidRPr="00CB4F2C">
        <w:t>l</w:t>
      </w:r>
      <w:r w:rsidRPr="00CB4F2C">
        <w:t>leurs subversif et s'inscrit dans l'actualité d'un rapport conflictuel entre la religion et la politique dans le monde.</w:t>
      </w:r>
    </w:p>
    <w:p w:rsidR="00B7214C" w:rsidRPr="00CB4F2C" w:rsidRDefault="00B7214C" w:rsidP="00B7214C">
      <w:pPr>
        <w:spacing w:before="120" w:after="120"/>
        <w:jc w:val="both"/>
      </w:pPr>
      <w:r w:rsidRPr="00CB4F2C">
        <w:t>Certains ont pu découvrir dans le mouvement contestataire théolo- gico-politique haïtien, l'émergence d'un nouvel int</w:t>
      </w:r>
      <w:r w:rsidRPr="00CB4F2C">
        <w:t>é</w:t>
      </w:r>
      <w:r w:rsidRPr="00CB4F2C">
        <w:t>grisme, version antillaise. Force est de constater qu'un tel mouvement permet de pr</w:t>
      </w:r>
      <w:r w:rsidRPr="00CB4F2C">
        <w:t>o</w:t>
      </w:r>
      <w:r w:rsidRPr="00CB4F2C">
        <w:t>jeter un éclairage différent sur les acteurs du drame haïtien, sur leurs motivations, leurs attitudes et la signification profonde de leurs di</w:t>
      </w:r>
      <w:r w:rsidRPr="00CB4F2C">
        <w:t>s</w:t>
      </w:r>
      <w:r w:rsidRPr="00CB4F2C">
        <w:t>cours.</w:t>
      </w:r>
    </w:p>
    <w:p w:rsidR="00B7214C" w:rsidRPr="00CB4F2C" w:rsidRDefault="00B7214C" w:rsidP="00B7214C">
      <w:pPr>
        <w:spacing w:before="120" w:after="120"/>
        <w:jc w:val="both"/>
      </w:pPr>
      <w:r w:rsidRPr="00CB4F2C">
        <w:t>Dans la saga du petit monde politico-religieux en Haïti, se dét</w:t>
      </w:r>
      <w:r w:rsidRPr="00CB4F2C">
        <w:t>a</w:t>
      </w:r>
      <w:r w:rsidRPr="00CB4F2C">
        <w:t>chent deux figures charismatiques : feu François Duvalier qui a laissé en héritage un macoutisme militant et qui repr</w:t>
      </w:r>
      <w:r w:rsidRPr="00CB4F2C">
        <w:t>é</w:t>
      </w:r>
      <w:r w:rsidRPr="00CB4F2C">
        <w:t>sentait le pôle politique du pouvoir avec une interface rel</w:t>
      </w:r>
      <w:r w:rsidRPr="00CB4F2C">
        <w:t>i</w:t>
      </w:r>
      <w:r w:rsidRPr="00CB4F2C">
        <w:t>gieuse, et Jean-Bertrand Aristide qui symbolise le pôle rel</w:t>
      </w:r>
      <w:r w:rsidRPr="00CB4F2C">
        <w:t>i</w:t>
      </w:r>
      <w:r w:rsidRPr="00CB4F2C">
        <w:t>gieux axé sur une théologie de la libération avec comme i</w:t>
      </w:r>
      <w:r w:rsidRPr="00CB4F2C">
        <w:t>n</w:t>
      </w:r>
      <w:r w:rsidRPr="00CB4F2C">
        <w:t>terface la politique.</w:t>
      </w:r>
    </w:p>
    <w:p w:rsidR="00B7214C" w:rsidRDefault="00B7214C" w:rsidP="00B7214C">
      <w:pPr>
        <w:spacing w:before="120" w:after="120"/>
        <w:jc w:val="both"/>
      </w:pPr>
      <w:r w:rsidRPr="00CB4F2C">
        <w:t>En quoi le couple religion et politique est-il éclairant pour perme</w:t>
      </w:r>
      <w:r w:rsidRPr="00CB4F2C">
        <w:t>t</w:t>
      </w:r>
      <w:r w:rsidRPr="00CB4F2C">
        <w:t>tre de décoder la dialectique du pouvoir en Haïti ? La conjonction e</w:t>
      </w:r>
      <w:r w:rsidRPr="00CB4F2C">
        <w:t>n</w:t>
      </w:r>
      <w:r w:rsidRPr="00CB4F2C">
        <w:t>tre l'univers politique et l'univers religieux peut se lire ainsi : si la pol</w:t>
      </w:r>
      <w:r w:rsidRPr="00CB4F2C">
        <w:t>i</w:t>
      </w:r>
      <w:r w:rsidRPr="00CB4F2C">
        <w:t>tique est dominée par une oliga</w:t>
      </w:r>
      <w:r w:rsidRPr="00CB4F2C">
        <w:t>r</w:t>
      </w:r>
      <w:r w:rsidRPr="00CB4F2C">
        <w:t>chie traditionnelle (cadres supérieurs de l'armée, haut clergé aligné sur le Vatican, bourgeoisie marchande, magouilleurs professionnels), par contre l'univers religieux est clivé selon les « trois roches du feu » pour reprendre l'expression de Jean-Bertrand Aristide.</w:t>
      </w:r>
    </w:p>
    <w:p w:rsidR="00B7214C" w:rsidRPr="00CB4F2C" w:rsidRDefault="00B7214C" w:rsidP="00B7214C">
      <w:pPr>
        <w:spacing w:before="120" w:after="120"/>
        <w:jc w:val="both"/>
      </w:pPr>
      <w:r>
        <w:t>[</w:t>
      </w:r>
      <w:r w:rsidRPr="00CB4F2C">
        <w:t>137</w:t>
      </w:r>
      <w:r>
        <w:t>]</w:t>
      </w:r>
    </w:p>
    <w:p w:rsidR="00B7214C" w:rsidRPr="00CB4F2C" w:rsidRDefault="00B7214C" w:rsidP="00B7214C">
      <w:pPr>
        <w:spacing w:before="120" w:after="120"/>
        <w:jc w:val="both"/>
      </w:pPr>
      <w:r w:rsidRPr="00CB4F2C">
        <w:t>Ces roches qui font référence aux trois pierres du foyer traditionnel dans le « lakou » haïtien, sont l'église catholique, le temple protestant et le houmfort vaudou.</w:t>
      </w:r>
    </w:p>
    <w:p w:rsidR="00B7214C" w:rsidRPr="00CB4F2C" w:rsidRDefault="00B7214C" w:rsidP="00B7214C">
      <w:pPr>
        <w:spacing w:before="120" w:after="120"/>
        <w:jc w:val="both"/>
      </w:pPr>
      <w:r w:rsidRPr="00CB4F2C">
        <w:t>Le catholicisme qui a toujours été en Haïti une religion distante et élitiste tournée vers Rome avec ses pompes et ses œuvres connaît une évolution chaotique. Le mouvement de la base, dit « ti-légliz », est devenu un noyau de contestation. Il aura servi de plate-forme à Jean-Bertrand Aristide pour promouvoir son « option préférentielle pour les pauvres » pour tenter de restaurer « l'éminente dignité de la personne humaine » en donnant une voix à ceux qui n'en avaient plus.</w:t>
      </w:r>
    </w:p>
    <w:p w:rsidR="00B7214C" w:rsidRPr="00CB4F2C" w:rsidRDefault="00B7214C" w:rsidP="00B7214C">
      <w:pPr>
        <w:spacing w:before="120" w:after="120"/>
        <w:jc w:val="both"/>
      </w:pPr>
      <w:r w:rsidRPr="00CB4F2C">
        <w:t>Le protestantisme et ses innombrables sectes s'est partic</w:t>
      </w:r>
      <w:r w:rsidRPr="00CB4F2C">
        <w:t>u</w:t>
      </w:r>
      <w:r w:rsidRPr="00CB4F2C">
        <w:t>lièrement répandu parmi les classes démunies de la société urbaine et rurale. Son message évangélique engagé qui est véhiculé par un mouvement communautaire dynamique, lui confère un caractère de culte populaire orienté vers une m</w:t>
      </w:r>
      <w:r w:rsidRPr="00CB4F2C">
        <w:t>o</w:t>
      </w:r>
      <w:r w:rsidRPr="00CB4F2C">
        <w:t>dernité à l'américaine.</w:t>
      </w:r>
    </w:p>
    <w:p w:rsidR="00B7214C" w:rsidRPr="00CB4F2C" w:rsidRDefault="00B7214C" w:rsidP="00B7214C">
      <w:pPr>
        <w:spacing w:before="120" w:after="120"/>
        <w:jc w:val="both"/>
      </w:pPr>
      <w:r w:rsidRPr="00CB4F2C">
        <w:t xml:space="preserve">Le vaudou, culte populaire, longtemps forcé </w:t>
      </w:r>
      <w:r w:rsidRPr="000D1A32">
        <w:t xml:space="preserve">à </w:t>
      </w:r>
      <w:r w:rsidRPr="00CB4F2C">
        <w:t>la clande</w:t>
      </w:r>
      <w:r w:rsidRPr="00CB4F2C">
        <w:t>s</w:t>
      </w:r>
      <w:r w:rsidRPr="00CB4F2C">
        <w:t>tinité avant d'être reconnu, joue sur le registre de l'ambivalence de la société haïtienne. S'il charrie des valeurs ancestrales et nationalistes, s'il r</w:t>
      </w:r>
      <w:r w:rsidRPr="00CB4F2C">
        <w:t>e</w:t>
      </w:r>
      <w:r w:rsidRPr="00CB4F2C">
        <w:t>présente un lieu de « prise de parole » (possession et transe) par son volet « Guinin » ou « rada », il peut aussi se transformer en un lieu de maléfices et en matr</w:t>
      </w:r>
      <w:r w:rsidRPr="00CB4F2C">
        <w:t>i</w:t>
      </w:r>
      <w:r w:rsidRPr="00CB4F2C">
        <w:t>ce d'angoisse par son volet magique « Pétro ». Cette altern</w:t>
      </w:r>
      <w:r w:rsidRPr="00CB4F2C">
        <w:t>a</w:t>
      </w:r>
      <w:r w:rsidRPr="00CB4F2C">
        <w:t>tive a contribué à paver la voie à un terrorisme d'État en vertu d'une alliance tacite entre macoutes et sociétés secrètes.</w:t>
      </w:r>
    </w:p>
    <w:p w:rsidR="00B7214C" w:rsidRPr="00CB4F2C" w:rsidRDefault="00B7214C" w:rsidP="00B7214C">
      <w:pPr>
        <w:spacing w:before="120" w:after="120"/>
        <w:jc w:val="both"/>
      </w:pPr>
      <w:r w:rsidRPr="00CB4F2C">
        <w:t xml:space="preserve">François Duvalier, médecin du peuple et anthropologue, surnommé « baron Samedi » </w:t>
      </w:r>
      <w:r w:rsidRPr="000D1A32">
        <w:t xml:space="preserve">à </w:t>
      </w:r>
      <w:r w:rsidRPr="00CB4F2C">
        <w:t xml:space="preserve">cause de son « look » de génie de la mort, a su utiliser </w:t>
      </w:r>
      <w:r w:rsidRPr="000D1A32">
        <w:t xml:space="preserve">à </w:t>
      </w:r>
      <w:r w:rsidRPr="00CB4F2C">
        <w:t>son profit le tremplin du vaudou avec ses croyances, ses m</w:t>
      </w:r>
      <w:r w:rsidRPr="00CB4F2C">
        <w:t>y</w:t>
      </w:r>
      <w:r w:rsidRPr="00CB4F2C">
        <w:t>thes et ses symboles, pour faire accréditer la thèse de sa toute puissa</w:t>
      </w:r>
      <w:r w:rsidRPr="00CB4F2C">
        <w:t>n</w:t>
      </w:r>
      <w:r w:rsidRPr="00CB4F2C">
        <w:t xml:space="preserve">ce personnelle et de son invulnérabilité. La théologie vaudou lui aura servi </w:t>
      </w:r>
      <w:r w:rsidRPr="000D1A32">
        <w:t xml:space="preserve">à </w:t>
      </w:r>
      <w:r w:rsidRPr="00CB4F2C">
        <w:t>consol</w:t>
      </w:r>
      <w:r w:rsidRPr="00CB4F2C">
        <w:t>i</w:t>
      </w:r>
      <w:r w:rsidRPr="00CB4F2C">
        <w:t>der son pouvoir politique.</w:t>
      </w:r>
    </w:p>
    <w:p w:rsidR="00B7214C" w:rsidRPr="00CB4F2C" w:rsidRDefault="00B7214C" w:rsidP="00B7214C">
      <w:pPr>
        <w:spacing w:before="120" w:after="120"/>
        <w:jc w:val="both"/>
      </w:pPr>
      <w:r w:rsidRPr="00CB4F2C">
        <w:t>Sur cet univers religieux haïtien à la fois trouble, complexe et i</w:t>
      </w:r>
      <w:r w:rsidRPr="00CB4F2C">
        <w:t>n</w:t>
      </w:r>
      <w:r w:rsidRPr="00CB4F2C">
        <w:t>quiétant, le texte de Serge Larose a permis de lever le voile. Nous a</w:t>
      </w:r>
      <w:r w:rsidRPr="00CB4F2C">
        <w:t>u</w:t>
      </w:r>
      <w:r w:rsidRPr="00CB4F2C">
        <w:t>rions souhaité qu'en plus d'une anthropol</w:t>
      </w:r>
      <w:r w:rsidRPr="00CB4F2C">
        <w:t>o</w:t>
      </w:r>
      <w:r w:rsidRPr="00CB4F2C">
        <w:t>gie et d'une sociologie du vaudou, l'auteur prenne aussi en compte une psychopathologie du vaudou et un mode de ge</w:t>
      </w:r>
      <w:r w:rsidRPr="00CB4F2C">
        <w:t>s</w:t>
      </w:r>
      <w:r w:rsidRPr="00CB4F2C">
        <w:t>tion des conflits qui lui confère l'aspect d'un système de just</w:t>
      </w:r>
      <w:r w:rsidRPr="00CB4F2C">
        <w:t>i</w:t>
      </w:r>
      <w:r w:rsidRPr="00CB4F2C">
        <w:t>ce parallèle compensatoire.</w:t>
      </w:r>
    </w:p>
    <w:p w:rsidR="00B7214C" w:rsidRPr="00CB4F2C" w:rsidRDefault="00B7214C" w:rsidP="00B7214C">
      <w:pPr>
        <w:spacing w:before="120" w:after="120"/>
        <w:jc w:val="both"/>
      </w:pPr>
      <w:r w:rsidRPr="00CB4F2C">
        <w:t>Rappelons-nous en outre que le vaudou, basé sur un rationnel pe</w:t>
      </w:r>
      <w:r w:rsidRPr="00CB4F2C">
        <w:t>r</w:t>
      </w:r>
      <w:r w:rsidRPr="00CB4F2C">
        <w:t>sécutoire, est axé sur un modèle stratégique d'att</w:t>
      </w:r>
      <w:r w:rsidRPr="00CB4F2C">
        <w:t>a</w:t>
      </w:r>
      <w:r w:rsidRPr="00CB4F2C">
        <w:t>que et de défense. À côté des aspects rassembleurs de ce culte, i</w:t>
      </w:r>
      <w:r>
        <w:t>l existe aussi des aspects démo</w:t>
      </w:r>
      <w:r w:rsidRPr="00CB4F2C">
        <w:t>bilisateurs</w:t>
      </w:r>
      <w:r>
        <w:t xml:space="preserve"> [138]</w:t>
      </w:r>
      <w:r w:rsidRPr="00CB4F2C">
        <w:t xml:space="preserve"> et dysfonctionnels du vaudou, souvent occultés par les zélateurs de ce système qui amalgame des éléments religieux, méd</w:t>
      </w:r>
      <w:r w:rsidRPr="00CB4F2C">
        <w:t>i</w:t>
      </w:r>
      <w:r w:rsidRPr="00CB4F2C">
        <w:t>caux, juridiques et parapsychologiques.</w:t>
      </w:r>
    </w:p>
    <w:p w:rsidR="00B7214C" w:rsidRPr="00CB4F2C" w:rsidRDefault="00B7214C" w:rsidP="00B7214C">
      <w:pPr>
        <w:spacing w:before="120" w:after="120"/>
        <w:jc w:val="both"/>
      </w:pPr>
      <w:r w:rsidRPr="00CB4F2C">
        <w:t>Le texte de Serge Larose sur « Religion et politique en Haïti » comprend à la fois un certain nombre de constats ou un état des lieux, particulièrement bien documenté, et une partie prospective qui appelle de notre part certaines réserves.</w:t>
      </w:r>
    </w:p>
    <w:p w:rsidR="00B7214C" w:rsidRPr="00CB4F2C" w:rsidRDefault="00B7214C" w:rsidP="00B7214C">
      <w:pPr>
        <w:spacing w:before="120" w:after="120"/>
        <w:jc w:val="both"/>
      </w:pPr>
      <w:r w:rsidRPr="00CB4F2C">
        <w:t>Il est vrai que traditionnellement comme voie de solution au pr</w:t>
      </w:r>
      <w:r w:rsidRPr="00CB4F2C">
        <w:t>o</w:t>
      </w:r>
      <w:r w:rsidRPr="00CB4F2C">
        <w:t>blème haïtien, on avait tendance à mettre l'accent sur le développ</w:t>
      </w:r>
      <w:r w:rsidRPr="00CB4F2C">
        <w:t>e</w:t>
      </w:r>
      <w:r w:rsidRPr="00CB4F2C">
        <w:t>ment économique au bénéfice éventuel soit de la périphérie soit des classes dirigeantes qui ont toujours profité du sous-développement. Le discours des « développeurs » ou « programmeurs » était rassurant pour certains mais chloroformant pour d'autres. Les objectifs non fo</w:t>
      </w:r>
      <w:r w:rsidRPr="00CB4F2C">
        <w:t>r</w:t>
      </w:r>
      <w:r w:rsidRPr="00CB4F2C">
        <w:t>mulés deme</w:t>
      </w:r>
      <w:r w:rsidRPr="00CB4F2C">
        <w:t>u</w:t>
      </w:r>
      <w:r w:rsidRPr="00CB4F2C">
        <w:t>raient les mêmes : sous l'apparence d'une suractivité orientée vers le développement, maintenir le statu quo ou la distance sociale entre les classes avec une idéologie coloriste comme écran.</w:t>
      </w:r>
    </w:p>
    <w:p w:rsidR="00B7214C" w:rsidRPr="00CB4F2C" w:rsidRDefault="00B7214C" w:rsidP="00B7214C">
      <w:pPr>
        <w:spacing w:before="120" w:after="120"/>
        <w:jc w:val="both"/>
      </w:pPr>
      <w:r w:rsidRPr="00CB4F2C">
        <w:t>Aujourd'hui il faut réaliser que bien des formules qui ont réussi ai</w:t>
      </w:r>
      <w:r w:rsidRPr="00CB4F2C">
        <w:t>l</w:t>
      </w:r>
      <w:r w:rsidRPr="00CB4F2C">
        <w:t>leurs tournent court en Haïti. Les obstacles au dév</w:t>
      </w:r>
      <w:r w:rsidRPr="00CB4F2C">
        <w:t>e</w:t>
      </w:r>
      <w:r w:rsidRPr="00CB4F2C">
        <w:t>loppement du pays ne doivent plus être cherchés à l'extérieur sous la forme fantasmatique du mythe du « complot impéri</w:t>
      </w:r>
      <w:r w:rsidRPr="00CB4F2C">
        <w:t>a</w:t>
      </w:r>
      <w:r w:rsidRPr="00CB4F2C">
        <w:t>liste ». Ces obstacles sont</w:t>
      </w:r>
      <w:r>
        <w:t xml:space="preserve"> inhérents à une certaine mentali</w:t>
      </w:r>
      <w:r w:rsidRPr="00CB4F2C">
        <w:t>té, bien servie d'ailleurs par le vaudou qui incite par exemple ses adeptes à investir traditionnellement le plus clair de leurs re</w:t>
      </w:r>
      <w:r w:rsidRPr="00CB4F2C">
        <w:t>s</w:t>
      </w:r>
      <w:r w:rsidRPr="00CB4F2C">
        <w:t>sources dans un système ruineux de protection, de défense et de contre-attaque pour survivre dans un monde perçu comme dang</w:t>
      </w:r>
      <w:r w:rsidRPr="00CB4F2C">
        <w:t>e</w:t>
      </w:r>
      <w:r w:rsidRPr="00CB4F2C">
        <w:t>reux et peuplé d'ennemis plus fantasmes que réels.</w:t>
      </w:r>
    </w:p>
    <w:p w:rsidR="00B7214C" w:rsidRPr="00CB4F2C" w:rsidRDefault="00B7214C" w:rsidP="00B7214C">
      <w:pPr>
        <w:spacing w:before="120" w:after="120"/>
        <w:jc w:val="both"/>
      </w:pPr>
      <w:r w:rsidRPr="00CB4F2C">
        <w:t>Ce n'est pas à partir de ce modèle contre-productif du vaudou, ni des schémas rationnels des technocrates du dév</w:t>
      </w:r>
      <w:r w:rsidRPr="00CB4F2C">
        <w:t>e</w:t>
      </w:r>
      <w:r w:rsidRPr="00CB4F2C">
        <w:t>loppement que Jean-Bertrand Aristide a élaboré son message théologico-politique, d'une redoutable efficacité sur le plan de la mobilisation des masses popula</w:t>
      </w:r>
      <w:r w:rsidRPr="00CB4F2C">
        <w:t>i</w:t>
      </w:r>
      <w:r w:rsidRPr="00CB4F2C">
        <w:t>res. Sa lecture du drame haïtien lui a fait comprendre que ce n'est ni des religions tr</w:t>
      </w:r>
      <w:r w:rsidRPr="00CB4F2C">
        <w:t>a</w:t>
      </w:r>
      <w:r w:rsidRPr="00CB4F2C">
        <w:t>ditionnelles ni de la politique avec ses stratégies au ras du sol qu'on pouvait attendre le signal marqueur du changement.</w:t>
      </w:r>
    </w:p>
    <w:p w:rsidR="00B7214C" w:rsidRDefault="00B7214C" w:rsidP="00B7214C">
      <w:pPr>
        <w:spacing w:before="120" w:after="120"/>
        <w:jc w:val="both"/>
      </w:pPr>
      <w:r w:rsidRPr="00CB4F2C">
        <w:t>À notre sens ce n'est pas tout de rappeler comme Léona</w:t>
      </w:r>
      <w:r w:rsidRPr="00CB4F2C">
        <w:t>r</w:t>
      </w:r>
      <w:r w:rsidRPr="00CB4F2C">
        <w:t>do Boff (J.-B. Aristide, 1992, p. 13) que « le sens original du terme &lt;liturgie&gt; est de servir le peuple dans la justice et la dignité » et que pour un théologien comme Aristide « la pol</w:t>
      </w:r>
      <w:r w:rsidRPr="00CB4F2C">
        <w:t>i</w:t>
      </w:r>
      <w:r w:rsidRPr="00CB4F2C">
        <w:t>tique est l'art de savoir user du pouvoir comme intermédiaire pour atteindre la justice [et] comme d'un instrument pour parvenir aux changements nécessaires ».</w:t>
      </w:r>
    </w:p>
    <w:p w:rsidR="00B7214C" w:rsidRDefault="00B7214C" w:rsidP="00B7214C">
      <w:pPr>
        <w:spacing w:before="120" w:after="120"/>
        <w:jc w:val="both"/>
      </w:pPr>
      <w:r>
        <w:t>[139]</w:t>
      </w:r>
    </w:p>
    <w:p w:rsidR="00B7214C" w:rsidRPr="00CB4F2C" w:rsidRDefault="00B7214C" w:rsidP="00B7214C">
      <w:pPr>
        <w:spacing w:before="120" w:after="120"/>
        <w:jc w:val="both"/>
      </w:pPr>
      <w:r w:rsidRPr="00CB4F2C">
        <w:t>Certes l'accent sur la justice sociale est dérangeante en Haïti et i</w:t>
      </w:r>
      <w:r w:rsidRPr="00CB4F2C">
        <w:t>n</w:t>
      </w:r>
      <w:r w:rsidRPr="00CB4F2C">
        <w:t>cite à un renversement du rapport des forces en présence. Avec l'a</w:t>
      </w:r>
      <w:r w:rsidRPr="00CB4F2C">
        <w:t>p</w:t>
      </w:r>
      <w:r w:rsidRPr="00CB4F2C">
        <w:t>plication à Haïti du concept révolutionnaire « d'option préférentielle pour les pauvres » Jean-Bertrand Aristide a placé une bombe à reta</w:t>
      </w:r>
      <w:r w:rsidRPr="00CB4F2C">
        <w:t>r</w:t>
      </w:r>
      <w:r w:rsidRPr="00CB4F2C">
        <w:t>dement dans l'univers pol</w:t>
      </w:r>
      <w:r w:rsidRPr="00CB4F2C">
        <w:t>i</w:t>
      </w:r>
      <w:r w:rsidRPr="00CB4F2C">
        <w:t>tico-religieux haïtien. Par son slogan « Tout moun sé moun » (tout être humain est un sujet de droits), il fait réf</w:t>
      </w:r>
      <w:r w:rsidRPr="00CB4F2C">
        <w:t>é</w:t>
      </w:r>
      <w:r w:rsidRPr="00CB4F2C">
        <w:t>rence à la question taboue des castes sociales qui pour certains, au lieu d'assembler, divise, d'où l'éventualité de vagues de fond avec des r</w:t>
      </w:r>
      <w:r w:rsidRPr="00CB4F2C">
        <w:t>e</w:t>
      </w:r>
      <w:r w:rsidRPr="00CB4F2C">
        <w:t>to</w:t>
      </w:r>
      <w:r w:rsidRPr="00CB4F2C">
        <w:t>m</w:t>
      </w:r>
      <w:r w:rsidRPr="00CB4F2C">
        <w:t>bées inquiétantes.</w:t>
      </w:r>
    </w:p>
    <w:p w:rsidR="00B7214C" w:rsidRPr="00CB4F2C" w:rsidRDefault="00B7214C" w:rsidP="00B7214C">
      <w:pPr>
        <w:spacing w:before="120" w:after="120"/>
        <w:jc w:val="both"/>
      </w:pPr>
      <w:r w:rsidRPr="00CB4F2C">
        <w:t>Le texte de Serge Larose souligne bien l'émergence de ce théol</w:t>
      </w:r>
      <w:r w:rsidRPr="00CB4F2C">
        <w:t>o</w:t>
      </w:r>
      <w:r w:rsidRPr="00CB4F2C">
        <w:t>gien nouveau genre, au « parler vrai » dans les cercles secrets du po</w:t>
      </w:r>
      <w:r w:rsidRPr="00CB4F2C">
        <w:t>u</w:t>
      </w:r>
      <w:r w:rsidRPr="00CB4F2C">
        <w:t>voir politico-religieux en Haïti. Ce que Larose ne dit pas, c'est la m</w:t>
      </w:r>
      <w:r w:rsidRPr="00CB4F2C">
        <w:t>a</w:t>
      </w:r>
      <w:r w:rsidRPr="00CB4F2C">
        <w:t>nière dont Aristide s'est pris pour tran</w:t>
      </w:r>
      <w:r w:rsidRPr="00CB4F2C">
        <w:t>s</w:t>
      </w:r>
      <w:r w:rsidRPr="00CB4F2C">
        <w:t>former un message évangélique connu en un concept polit</w:t>
      </w:r>
      <w:r w:rsidRPr="00CB4F2C">
        <w:t>i</w:t>
      </w:r>
      <w:r w:rsidRPr="00CB4F2C">
        <w:t>que opératoire et signifiant.</w:t>
      </w:r>
    </w:p>
    <w:p w:rsidR="00B7214C" w:rsidRPr="00CB4F2C" w:rsidRDefault="00B7214C" w:rsidP="00B7214C">
      <w:pPr>
        <w:spacing w:before="120" w:after="120"/>
        <w:jc w:val="both"/>
      </w:pPr>
      <w:r w:rsidRPr="00CB4F2C">
        <w:t>À suivre Aristide à travers ses actes et ses discours, on d</w:t>
      </w:r>
      <w:r w:rsidRPr="00CB4F2C">
        <w:t>e</w:t>
      </w:r>
      <w:r w:rsidRPr="00CB4F2C">
        <w:t>vine en partie son secret : de sa formation biblique, il a gardé le sens des par</w:t>
      </w:r>
      <w:r w:rsidRPr="00CB4F2C">
        <w:t>a</w:t>
      </w:r>
      <w:r w:rsidRPr="00CB4F2C">
        <w:t>boles qui interpellent sur l'identité de celui qui parle et sur le sens énigmatique de son discours. Des asse</w:t>
      </w:r>
      <w:r w:rsidRPr="00CB4F2C">
        <w:t>m</w:t>
      </w:r>
      <w:r w:rsidRPr="00CB4F2C">
        <w:t>blées protestantes, il a retenu la cadence dynamique du que</w:t>
      </w:r>
      <w:r w:rsidRPr="00CB4F2C">
        <w:t>s</w:t>
      </w:r>
      <w:r w:rsidRPr="00CB4F2C">
        <w:t>tionnement oratoire entre l'émetteur et les récepteurs du me</w:t>
      </w:r>
      <w:r w:rsidRPr="00CB4F2C">
        <w:t>s</w:t>
      </w:r>
      <w:r w:rsidRPr="00CB4F2C">
        <w:t>sage. Du vaudou, il s'est inspiré quant au sens de la solidarité familiale, à la ferveur de « l'eucharistie sociale » (Moïse, O</w:t>
      </w:r>
      <w:r w:rsidRPr="00CB4F2C">
        <w:t>l</w:t>
      </w:r>
      <w:r w:rsidRPr="00CB4F2C">
        <w:t>livier, 1992), et à la nécessité de l'enracinement ethnoculturel. Du savoir populaire, il a tiré la technique du discours par le recours cont</w:t>
      </w:r>
      <w:r w:rsidRPr="00CB4F2C">
        <w:t>i</w:t>
      </w:r>
      <w:r w:rsidRPr="00CB4F2C">
        <w:t>nuel à des images-chocs et aux proverbes créoles. Aux conteurs pop</w:t>
      </w:r>
      <w:r w:rsidRPr="00CB4F2C">
        <w:t>u</w:t>
      </w:r>
      <w:r w:rsidRPr="00CB4F2C">
        <w:t>laires, il a emprunté la stratégie du dialogue entre le conteur et la foule (Krik-Krak ; Tim Bois Chèche...)</w:t>
      </w:r>
    </w:p>
    <w:p w:rsidR="00B7214C" w:rsidRPr="00CB4F2C" w:rsidRDefault="00B7214C" w:rsidP="00B7214C">
      <w:pPr>
        <w:spacing w:before="120" w:after="120"/>
        <w:jc w:val="both"/>
      </w:pPr>
      <w:r w:rsidRPr="00CB4F2C">
        <w:t>C'est grâce à ces techniques subtiles associées à un sens victimolo- gique du sacrifice de la rédemption et de l'identification au plus d</w:t>
      </w:r>
      <w:r w:rsidRPr="00CB4F2C">
        <w:t>é</w:t>
      </w:r>
      <w:r w:rsidRPr="00CB4F2C">
        <w:t>muni que Jean-Bertrand Aristide surprend, déroute, séduit et inquiète à la fois. Des multiples facettes de cette personnalité, on ne sait pas vraiment laquelle comporte le plus de prégnance dans le jeu de la pol</w:t>
      </w:r>
      <w:r w:rsidRPr="00CB4F2C">
        <w:t>i</w:t>
      </w:r>
      <w:r w:rsidRPr="00CB4F2C">
        <w:t>tique et de la rel</w:t>
      </w:r>
      <w:r w:rsidRPr="00CB4F2C">
        <w:t>i</w:t>
      </w:r>
      <w:r w:rsidRPr="00CB4F2C">
        <w:t>gion en Haïti.</w:t>
      </w:r>
    </w:p>
    <w:p w:rsidR="00B7214C" w:rsidRPr="00CB4F2C" w:rsidRDefault="00B7214C" w:rsidP="00B7214C">
      <w:pPr>
        <w:spacing w:before="120" w:after="120"/>
        <w:jc w:val="both"/>
      </w:pPr>
      <w:r w:rsidRPr="00CB4F2C">
        <w:t>Pour le « petit peuple », Jean-Bertrand Aristide est un Christ noir à la parole prophétique qui fait un clin d'œil au protestantisme et au vaudou. Pour certains secteurs conserv</w:t>
      </w:r>
      <w:r w:rsidRPr="00CB4F2C">
        <w:t>a</w:t>
      </w:r>
      <w:r w:rsidRPr="00CB4F2C">
        <w:t>teurs des classes dominantes, c'est un Attila des temps modernes qui évoque le « rouleau compre</w:t>
      </w:r>
      <w:r w:rsidRPr="00CB4F2C">
        <w:t>s</w:t>
      </w:r>
      <w:r w:rsidRPr="00CB4F2C">
        <w:t>seur » du tribun Daniel Fignolé et qui cache derrière un discours my</w:t>
      </w:r>
      <w:r w:rsidRPr="00CB4F2C">
        <w:t>s</w:t>
      </w:r>
      <w:r w:rsidRPr="00CB4F2C">
        <w:t>tico-social et son idéologie de la « non-violence active » un révol</w:t>
      </w:r>
      <w:r w:rsidRPr="00CB4F2C">
        <w:t>u</w:t>
      </w:r>
      <w:r w:rsidRPr="00CB4F2C">
        <w:t>tionnaire radical pur et dur.</w:t>
      </w:r>
    </w:p>
    <w:p w:rsidR="00B7214C" w:rsidRPr="00CB4F2C" w:rsidRDefault="00B7214C" w:rsidP="00B7214C">
      <w:pPr>
        <w:spacing w:before="120" w:after="120"/>
        <w:jc w:val="both"/>
      </w:pPr>
      <w:r w:rsidRPr="00CB4F2C">
        <w:t>Dans le contentieux qui oppose le sacré et le profane en Haïti, le pouvoir de César et celui du prophète consacré, d'où sortira le vai</w:t>
      </w:r>
      <w:r w:rsidRPr="00CB4F2C">
        <w:t>n</w:t>
      </w:r>
      <w:r w:rsidRPr="00CB4F2C">
        <w:t>queur ? Monsieur Serge Larose ne risque aucun pronostic et nous lai</w:t>
      </w:r>
      <w:r w:rsidRPr="00CB4F2C">
        <w:t>s</w:t>
      </w:r>
      <w:r w:rsidRPr="00CB4F2C">
        <w:t>se sur notre</w:t>
      </w:r>
      <w:r>
        <w:t xml:space="preserve"> [140] </w:t>
      </w:r>
      <w:r w:rsidRPr="00CB4F2C">
        <w:t>appétit quant à l'issue du conflit séculaire e</w:t>
      </w:r>
      <w:r>
        <w:t>ntre « Mère-Église » et « Papa-</w:t>
      </w:r>
      <w:r w:rsidRPr="00CB4F2C">
        <w:t>Président ».</w:t>
      </w:r>
    </w:p>
    <w:p w:rsidR="00B7214C" w:rsidRPr="00CB4F2C" w:rsidRDefault="00B7214C" w:rsidP="00B7214C">
      <w:pPr>
        <w:spacing w:before="120" w:after="120"/>
        <w:jc w:val="both"/>
      </w:pPr>
      <w:r w:rsidRPr="00CB4F2C">
        <w:t>François Duvalier avait réussi une mainmise du politique sur le r</w:t>
      </w:r>
      <w:r w:rsidRPr="00CB4F2C">
        <w:t>e</w:t>
      </w:r>
      <w:r w:rsidRPr="00CB4F2C">
        <w:t>ligieux. Dans ce domaine où il faisait figure de Machiavel, il était pa</w:t>
      </w:r>
      <w:r w:rsidRPr="00CB4F2C">
        <w:t>s</w:t>
      </w:r>
      <w:r w:rsidRPr="00CB4F2C">
        <w:t>sé maître. Jean-Bertrand Aristide a tenté une subversion de l'échiquier politique haïtien par le recours à l'arme de la justice sociale fondée sur l'église du « petit peuple ». Son mouvement devenu « Lavalasse » ri</w:t>
      </w:r>
      <w:r w:rsidRPr="00CB4F2C">
        <w:t>s</w:t>
      </w:r>
      <w:r w:rsidRPr="00CB4F2C">
        <w:t>que de brouiller la donne politique et d'instaurer un changement rad</w:t>
      </w:r>
      <w:r w:rsidRPr="00CB4F2C">
        <w:t>i</w:t>
      </w:r>
      <w:r w:rsidRPr="00CB4F2C">
        <w:t>cal certainement différent de celui qu'avait souhaité Jean-Paul II lors de son historique passage en Haïti.</w:t>
      </w:r>
    </w:p>
    <w:p w:rsidR="00B7214C" w:rsidRPr="00CB4F2C" w:rsidRDefault="00B7214C" w:rsidP="00B7214C">
      <w:pPr>
        <w:spacing w:before="120" w:after="120"/>
        <w:jc w:val="both"/>
      </w:pPr>
      <w:r w:rsidRPr="00CB4F2C">
        <w:t>Le « père-président » réussira-t-il à dépasser le « stade incantato</w:t>
      </w:r>
      <w:r w:rsidRPr="00CB4F2C">
        <w:t>i</w:t>
      </w:r>
      <w:r w:rsidRPr="00CB4F2C">
        <w:t>re » (Moïse, Ollivier, 1992) de l'amateurisme polit</w:t>
      </w:r>
      <w:r w:rsidRPr="00CB4F2C">
        <w:t>i</w:t>
      </w:r>
      <w:r w:rsidRPr="00CB4F2C">
        <w:t>que pour dénouer définitivement le drame haïtien ? Seul l'avenir dira si au théologien de la libération s'ajoutera la fig</w:t>
      </w:r>
      <w:r w:rsidRPr="00CB4F2C">
        <w:t>u</w:t>
      </w:r>
      <w:r w:rsidRPr="00CB4F2C">
        <w:t>re du psychologue-gestionnaire qui aura compris les vrais enjeux d'une culture de la faim, de la misère, de l'oppression et qui aura su proposer de façon réaliste, non pas une str</w:t>
      </w:r>
      <w:r w:rsidRPr="00CB4F2C">
        <w:t>a</w:t>
      </w:r>
      <w:r w:rsidRPr="00CB4F2C">
        <w:t>t</w:t>
      </w:r>
      <w:r w:rsidRPr="00CB4F2C">
        <w:t>é</w:t>
      </w:r>
      <w:r w:rsidRPr="00CB4F2C">
        <w:t>gie aliénante de développement à tout prix, mais l'exorcisme d'une justice sociale comme préalable au développement à visage humain.</w:t>
      </w:r>
    </w:p>
    <w:p w:rsidR="00B7214C" w:rsidRDefault="00B7214C" w:rsidP="00B7214C">
      <w:pPr>
        <w:spacing w:before="120" w:after="120"/>
        <w:jc w:val="both"/>
      </w:pPr>
    </w:p>
    <w:p w:rsidR="00B7214C" w:rsidRDefault="00B7214C" w:rsidP="00B7214C">
      <w:pPr>
        <w:pStyle w:val="a"/>
      </w:pPr>
      <w:r w:rsidRPr="00CB4F2C">
        <w:t>RÉFÉRENCES</w:t>
      </w:r>
    </w:p>
    <w:p w:rsidR="00B7214C" w:rsidRPr="00CB4F2C" w:rsidRDefault="00B7214C" w:rsidP="00B7214C">
      <w:pPr>
        <w:spacing w:before="120" w:after="120"/>
        <w:jc w:val="both"/>
      </w:pPr>
    </w:p>
    <w:p w:rsidR="00B7214C" w:rsidRPr="00CB4F2C" w:rsidRDefault="00B7214C" w:rsidP="00B7214C">
      <w:pPr>
        <w:spacing w:before="120" w:after="120"/>
        <w:jc w:val="both"/>
      </w:pPr>
      <w:r w:rsidRPr="00CB4F2C">
        <w:t xml:space="preserve">Aristide, J., </w:t>
      </w:r>
      <w:r w:rsidRPr="007579C6">
        <w:rPr>
          <w:i/>
          <w:iCs/>
        </w:rPr>
        <w:t>Théologie et politique en Haïti,</w:t>
      </w:r>
      <w:r w:rsidRPr="00CB4F2C">
        <w:t xml:space="preserve"> CIDHICA, Montréal, 1992.</w:t>
      </w:r>
    </w:p>
    <w:p w:rsidR="00B7214C" w:rsidRPr="007579C6" w:rsidRDefault="00B7214C" w:rsidP="00B7214C">
      <w:pPr>
        <w:spacing w:before="120" w:after="120"/>
        <w:jc w:val="both"/>
      </w:pPr>
      <w:r w:rsidRPr="007579C6">
        <w:rPr>
          <w:iCs/>
        </w:rPr>
        <w:t xml:space="preserve">Bastien, R., </w:t>
      </w:r>
      <w:r w:rsidRPr="007579C6">
        <w:rPr>
          <w:i/>
        </w:rPr>
        <w:t>Religion and Politics in Haïti</w:t>
      </w:r>
      <w:r w:rsidRPr="007579C6">
        <w:t>,</w:t>
      </w:r>
      <w:r w:rsidRPr="007579C6">
        <w:rPr>
          <w:iCs/>
        </w:rPr>
        <w:t xml:space="preserve"> Miami, 1978.</w:t>
      </w:r>
    </w:p>
    <w:p w:rsidR="00B7214C" w:rsidRPr="00CB4F2C" w:rsidRDefault="00B7214C" w:rsidP="00B7214C">
      <w:pPr>
        <w:spacing w:before="120" w:after="120"/>
        <w:jc w:val="both"/>
      </w:pPr>
      <w:r w:rsidRPr="00CB4F2C">
        <w:t>Boff, L., Préface du livre de Jean-Bertrand Aristide (1992).</w:t>
      </w:r>
    </w:p>
    <w:p w:rsidR="00B7214C" w:rsidRPr="007579C6" w:rsidRDefault="00B7214C" w:rsidP="00B7214C">
      <w:pPr>
        <w:spacing w:before="120" w:after="120"/>
        <w:jc w:val="both"/>
      </w:pPr>
      <w:r w:rsidRPr="007579C6">
        <w:t xml:space="preserve">Moïse, C. et E. Ollivier, </w:t>
      </w:r>
      <w:r w:rsidRPr="007579C6">
        <w:rPr>
          <w:i/>
        </w:rPr>
        <w:t>Repenser Haïti - Grandeur et misère d'un mouv</w:t>
      </w:r>
      <w:r w:rsidRPr="007579C6">
        <w:rPr>
          <w:i/>
        </w:rPr>
        <w:t>e</w:t>
      </w:r>
      <w:r w:rsidRPr="007579C6">
        <w:rPr>
          <w:i/>
        </w:rPr>
        <w:t>ment démocratique</w:t>
      </w:r>
      <w:r w:rsidRPr="00CB4F2C">
        <w:t xml:space="preserve">, </w:t>
      </w:r>
      <w:r w:rsidRPr="007579C6">
        <w:t>CIDHICA, Montréal, 1992.</w:t>
      </w:r>
    </w:p>
    <w:p w:rsidR="00B7214C" w:rsidRDefault="00B7214C" w:rsidP="00B7214C">
      <w:pPr>
        <w:jc w:val="both"/>
      </w:pPr>
      <w:r w:rsidRPr="00CB4F2C">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3" w:name="Entre_tradition_pt_1_B"/>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sidRPr="00DA1F44">
        <w:rPr>
          <w:b/>
          <w:caps/>
          <w:color w:val="000080"/>
          <w:sz w:val="36"/>
        </w:rPr>
        <w:t>Première partie</w:t>
      </w:r>
    </w:p>
    <w:p w:rsidR="00B7214C" w:rsidRDefault="00B7214C" w:rsidP="00B7214C">
      <w:pPr>
        <w:jc w:val="both"/>
      </w:pPr>
    </w:p>
    <w:p w:rsidR="00B7214C" w:rsidRPr="00DA1F44" w:rsidRDefault="00B7214C" w:rsidP="00B7214C">
      <w:pPr>
        <w:ind w:firstLine="0"/>
        <w:jc w:val="center"/>
        <w:rPr>
          <w:color w:val="FF0000"/>
          <w:sz w:val="32"/>
        </w:rPr>
      </w:pPr>
      <w:r>
        <w:rPr>
          <w:color w:val="FF0000"/>
          <w:sz w:val="32"/>
        </w:rPr>
        <w:t>B. ETHNICITÉS CULTURELLES</w:t>
      </w:r>
      <w:r>
        <w:rPr>
          <w:color w:val="FF0000"/>
          <w:sz w:val="32"/>
        </w:rPr>
        <w:br/>
        <w:t>ET INTÉGRATION SOCIALE</w:t>
      </w:r>
    </w:p>
    <w:bookmarkEnd w:id="13"/>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pStyle w:val="p"/>
      </w:pPr>
      <w:r>
        <w:br w:type="page"/>
        <w:t>[141]</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4" w:name="Entre_tradition_pt_1_texte_07"/>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B. ETHNICITÉS CULTURELLES ET INTÉGRATION SOCIALE</w:t>
      </w:r>
    </w:p>
    <w:p w:rsidR="00B7214C" w:rsidRPr="00384B20" w:rsidRDefault="00B7214C" w:rsidP="00B7214C">
      <w:pPr>
        <w:pStyle w:val="Titreniveau1"/>
      </w:pPr>
      <w:r>
        <w:t>7</w:t>
      </w:r>
    </w:p>
    <w:p w:rsidR="00B7214C" w:rsidRDefault="00B7214C" w:rsidP="00B7214C">
      <w:pPr>
        <w:pStyle w:val="Titreniveau2"/>
      </w:pPr>
      <w:r>
        <w:t>“Réflexions sur les identités culturelles</w:t>
      </w:r>
      <w:r>
        <w:br/>
        <w:t>et la postmodernité.”</w:t>
      </w:r>
    </w:p>
    <w:bookmarkEnd w:id="14"/>
    <w:p w:rsidR="00B7214C" w:rsidRPr="00E07116" w:rsidRDefault="00B7214C" w:rsidP="00B7214C">
      <w:pPr>
        <w:jc w:val="both"/>
        <w:rPr>
          <w:szCs w:val="36"/>
        </w:rPr>
      </w:pPr>
    </w:p>
    <w:p w:rsidR="00B7214C" w:rsidRPr="00E07116" w:rsidRDefault="00B7214C" w:rsidP="00B7214C">
      <w:pPr>
        <w:pStyle w:val="suite"/>
      </w:pPr>
      <w:r>
        <w:t>Par Yves BONNY</w:t>
      </w:r>
    </w:p>
    <w:p w:rsidR="00B7214C" w:rsidRPr="00E07116" w:rsidRDefault="00B7214C" w:rsidP="00B7214C">
      <w:pPr>
        <w:pStyle w:val="auteurst"/>
      </w:pPr>
      <w:r w:rsidRPr="004A7EF1">
        <w:t xml:space="preserve">Département de sociologie, Université du Québec à Montréal </w:t>
      </w: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 xml:space="preserve">Je </w:t>
      </w:r>
      <w:r w:rsidRPr="00CB4F2C">
        <w:t>voudrais, dans une perspective générale, m'intéresser aux fo</w:t>
      </w:r>
      <w:r w:rsidRPr="00CB4F2C">
        <w:t>r</w:t>
      </w:r>
      <w:r w:rsidRPr="00CB4F2C">
        <w:t>mes d'identité individuelle et collective contemporaines et à la mani</w:t>
      </w:r>
      <w:r w:rsidRPr="00CB4F2C">
        <w:t>è</w:t>
      </w:r>
      <w:r w:rsidRPr="00CB4F2C">
        <w:t>re dont s'effectue leur coexistence. Plus pr</w:t>
      </w:r>
      <w:r w:rsidRPr="00CB4F2C">
        <w:t>é</w:t>
      </w:r>
      <w:r w:rsidRPr="00CB4F2C">
        <w:t>cisément, j'aimerais tenter d'interpréter l'importante évolution que connaissent les sociétés contemporaines, à savoir un déclin plus ou moins important de l'un</w:t>
      </w:r>
      <w:r w:rsidRPr="00CB4F2C">
        <w:t>i</w:t>
      </w:r>
      <w:r w:rsidRPr="00CB4F2C">
        <w:t>versalisme et la montée en puissance des particularismes, l'expression vigoureuse de toutes sortes de spécificités (nationalisme, fondament</w:t>
      </w:r>
      <w:r w:rsidRPr="00CB4F2C">
        <w:t>a</w:t>
      </w:r>
      <w:r w:rsidRPr="00CB4F2C">
        <w:t>lisme religieux, mouvements de défense et de promotion des hom</w:t>
      </w:r>
      <w:r w:rsidRPr="00CB4F2C">
        <w:t>o</w:t>
      </w:r>
      <w:r w:rsidRPr="00CB4F2C">
        <w:t>sexuels, des femmes, des handicapés, des enfants, des pe</w:t>
      </w:r>
      <w:r w:rsidRPr="00CB4F2C">
        <w:t>r</w:t>
      </w:r>
      <w:r w:rsidRPr="00CB4F2C">
        <w:t>sonnes âgées, etc.). Alors que les modèles proposés jusqu'à récemment pour fonder l'identité collective étaient centrés autour de principes, de rep</w:t>
      </w:r>
      <w:r w:rsidRPr="00CB4F2C">
        <w:t>è</w:t>
      </w:r>
      <w:r w:rsidRPr="00CB4F2C">
        <w:t>res et de figures transcendant les différences linguistiques, religieuses ou ethniques et les part</w:t>
      </w:r>
      <w:r w:rsidRPr="00CB4F2C">
        <w:t>i</w:t>
      </w:r>
      <w:r w:rsidRPr="00CB4F2C">
        <w:t>cularismes de toute nature</w:t>
      </w:r>
      <w:r>
        <w:t> </w:t>
      </w:r>
      <w:r>
        <w:rPr>
          <w:rStyle w:val="Appelnotedebasdep"/>
        </w:rPr>
        <w:footnoteReference w:id="45"/>
      </w:r>
      <w:r w:rsidRPr="00CB4F2C">
        <w:t>, aujourd'hui, un peu partout, se cherchent des modèles respectueux des spécificités : on parle de plus en plus de multiethnicité, d'interculturalisme, de pl</w:t>
      </w:r>
      <w:r w:rsidRPr="00CB4F2C">
        <w:t>u</w:t>
      </w:r>
      <w:r w:rsidRPr="00CB4F2C">
        <w:t>ralisme culturel, d'égalité dans la différence.</w:t>
      </w:r>
    </w:p>
    <w:p w:rsidR="00B7214C" w:rsidRPr="00CB4F2C" w:rsidRDefault="00B7214C" w:rsidP="00B7214C">
      <w:pPr>
        <w:spacing w:before="120" w:after="120"/>
        <w:jc w:val="both"/>
      </w:pPr>
      <w:r w:rsidRPr="00CB4F2C">
        <w:t>Il faut questionner cette évolution, essayer de mieux la cerner, de saisir les enjeux qu'elle recouvre. Si le constat se retrouve sous la plume d'un grand nombre d'analystes, la le</w:t>
      </w:r>
      <w:r w:rsidRPr="00CB4F2C">
        <w:t>c</w:t>
      </w:r>
      <w:r w:rsidRPr="00CB4F2C">
        <w:t>ture qui en est proposée varie considérablement de l'un à l'a</w:t>
      </w:r>
      <w:r w:rsidRPr="00CB4F2C">
        <w:t>u</w:t>
      </w:r>
      <w:r w:rsidRPr="00CB4F2C">
        <w:t>tre. Certains parlent de régression traditionaliste, d'autres d'une nouvelle phase de la modernité, ou enc</w:t>
      </w:r>
      <w:r w:rsidRPr="00CB4F2C">
        <w:t>o</w:t>
      </w:r>
      <w:r w:rsidRPr="00CB4F2C">
        <w:t>re de l'entrée dans une ère postmoderne. Là où d'aucuns repèrent un approfondissement et une extension de la logique individualiste m</w:t>
      </w:r>
      <w:r w:rsidRPr="00CB4F2C">
        <w:t>o</w:t>
      </w:r>
      <w:r>
        <w:t>derne (Gauchet, 1985 ; Lipo</w:t>
      </w:r>
      <w:r w:rsidRPr="00CB4F2C">
        <w:t>vetsky, 1983 et 1987), d'autres au contra</w:t>
      </w:r>
      <w:r w:rsidRPr="00CB4F2C">
        <w:t>i</w:t>
      </w:r>
      <w:r>
        <w:t>re parlent d'un décli</w:t>
      </w:r>
      <w:r w:rsidRPr="00CB4F2C">
        <w:t>n de cette</w:t>
      </w:r>
      <w:r>
        <w:t xml:space="preserve"> [142] </w:t>
      </w:r>
      <w:r w:rsidRPr="00CB4F2C">
        <w:t>logique au profit d'une logique organique, fusionnelle, tr</w:t>
      </w:r>
      <w:r w:rsidRPr="00CB4F2C">
        <w:t>i</w:t>
      </w:r>
      <w:r w:rsidRPr="00CB4F2C">
        <w:t>bale (Baudrillard, 1982 ; Maffesoli, 1988) ou de formes d'identité fragiles et problématiques (Lasch, 1981 et 1985).</w:t>
      </w:r>
    </w:p>
    <w:p w:rsidR="00B7214C" w:rsidRPr="00CB4F2C" w:rsidRDefault="00B7214C" w:rsidP="00B7214C">
      <w:pPr>
        <w:spacing w:before="120" w:after="120"/>
        <w:jc w:val="both"/>
      </w:pPr>
      <w:r w:rsidRPr="00CB4F2C">
        <w:t>La question est donc : comment convient-il d'interpréter un tel mouvement et quelle extension précise peut-on lui donner ? S'agit-il simplement d'un contrepoids apporté à l'universalisme des Lumières qui a marqué les deux derniers siècles, sans remise en cause fond</w:t>
      </w:r>
      <w:r w:rsidRPr="00CB4F2C">
        <w:t>a</w:t>
      </w:r>
      <w:r w:rsidRPr="00CB4F2C">
        <w:t>mentale de celui-ci ? A-t-on affaire, au contraire, à un mouvement de balancier plus profond ? Et dans ce cas, doit-on y voir un retour du refoulé, la réaffirmation des modes d'identification traditionnels que l'utopie universaliste de la modernité avait cherché à dépa</w:t>
      </w:r>
      <w:r w:rsidRPr="00CB4F2C">
        <w:t>s</w:t>
      </w:r>
      <w:r w:rsidRPr="00CB4F2C">
        <w:t>ser ? S'agit-il plutôt d'une situation inédite qui ne peut être pensée adéquatement ni comme simple rééquilibrage par rapport à la modernité ou appr</w:t>
      </w:r>
      <w:r w:rsidRPr="00CB4F2C">
        <w:t>o</w:t>
      </w:r>
      <w:r w:rsidRPr="00CB4F2C">
        <w:t>fondissement de celle-ci ni comme réactivation de la tradition ? Afin d'essayer d'y voir un peu plus clair, je voudrais distinguer deux gra</w:t>
      </w:r>
      <w:r w:rsidRPr="00CB4F2C">
        <w:t>n</w:t>
      </w:r>
      <w:r w:rsidRPr="00CB4F2C">
        <w:t>des dyn</w:t>
      </w:r>
      <w:r w:rsidRPr="00CB4F2C">
        <w:t>a</w:t>
      </w:r>
      <w:r w:rsidRPr="00CB4F2C">
        <w:t>miques derrière l'affirmation contemporaine des identités culturelles et tenter d'en mesurer la portée. Je précise que mon analyse porte d'abord et avant tout sur les sociétés dites occidentales dévelo</w:t>
      </w:r>
      <w:r w:rsidRPr="00CB4F2C">
        <w:t>p</w:t>
      </w:r>
      <w:r w:rsidRPr="00CB4F2C">
        <w:t>pées, même si je crois qu'elle n'est pas entièrement sans pertinence pour essayer de saisir entre a</w:t>
      </w:r>
      <w:r w:rsidRPr="00CB4F2C">
        <w:t>u</w:t>
      </w:r>
      <w:r w:rsidRPr="00CB4F2C">
        <w:t>tres la montée des nationalismes et du fondamentalisme ailleurs dans le monde. Il s'agit également d'une an</w:t>
      </w:r>
      <w:r w:rsidRPr="00CB4F2C">
        <w:t>a</w:t>
      </w:r>
      <w:r w:rsidRPr="00CB4F2C">
        <w:t>lyse qui se veut radicale, au sens où elle pousse à leur limite ce que je crois être des tendances majeures et où elle néglige un certain nombre d'éléments conjoncturels ou contextuels qu'il faudrait également pre</w:t>
      </w:r>
      <w:r w:rsidRPr="00CB4F2C">
        <w:t>n</w:t>
      </w:r>
      <w:r w:rsidRPr="00CB4F2C">
        <w:t>dre en considération dans le cadre d'une an</w:t>
      </w:r>
      <w:r w:rsidRPr="00CB4F2C">
        <w:t>a</w:t>
      </w:r>
      <w:r w:rsidRPr="00CB4F2C">
        <w:t>lyse en profondeur des formes d'identité contemporaines.</w:t>
      </w:r>
    </w:p>
    <w:p w:rsidR="00B7214C" w:rsidRPr="00CB4F2C" w:rsidRDefault="00B7214C" w:rsidP="00B7214C">
      <w:pPr>
        <w:spacing w:before="120" w:after="120"/>
        <w:jc w:val="both"/>
      </w:pPr>
      <w:r w:rsidRPr="00CB4F2C">
        <w:t>Rappelons brièvement d'abord les principaux traits de l'identité moderne issue de la lutte victorieuse de la bourgeo</w:t>
      </w:r>
      <w:r w:rsidRPr="00CB4F2C">
        <w:t>i</w:t>
      </w:r>
      <w:r w:rsidRPr="00CB4F2C">
        <w:t>sie contre l'ordre traditionnel. Cette lutte s'est effectuée au nom de l'égalité et de la l</w:t>
      </w:r>
      <w:r w:rsidRPr="00CB4F2C">
        <w:t>i</w:t>
      </w:r>
      <w:r w:rsidRPr="00CB4F2C">
        <w:t>berté des « individus », considérés comme de purs êtres de raison, en faisant abstraction de leurs caractéristiques personnelles, puisque ces dernières étaient au fondement de l'ordre ancien qu'il s'agissait de re</w:t>
      </w:r>
      <w:r w:rsidRPr="00CB4F2C">
        <w:t>n</w:t>
      </w:r>
      <w:r w:rsidRPr="00CB4F2C">
        <w:t>verser. Le particularisme étant associé à l'arbitraire royal, aux privil</w:t>
      </w:r>
      <w:r w:rsidRPr="00CB4F2C">
        <w:t>è</w:t>
      </w:r>
      <w:r w:rsidRPr="00CB4F2C">
        <w:t>ges féodaux et aux freins à l'établissement d'une économie de marché, c'est à travers une représentation rationaliste et un</w:t>
      </w:r>
      <w:r w:rsidRPr="00CB4F2C">
        <w:t>i</w:t>
      </w:r>
      <w:r w:rsidRPr="00CB4F2C">
        <w:t>versaliste de l'être humain que vont être fondées les instit</w:t>
      </w:r>
      <w:r w:rsidRPr="00CB4F2C">
        <w:t>u</w:t>
      </w:r>
      <w:r w:rsidRPr="00CB4F2C">
        <w:t>tions centrales de la société durant l'époque moderne, à co</w:t>
      </w:r>
      <w:r w:rsidRPr="00CB4F2C">
        <w:t>m</w:t>
      </w:r>
      <w:r w:rsidRPr="00CB4F2C">
        <w:t>mencer par l'institution suprême, l'État. Celui-ci est le garant des droits universels de l'Homme et du Citoyen tels qu'ils s'expriment dans la « société civile », laquelle co</w:t>
      </w:r>
      <w:r w:rsidRPr="00CB4F2C">
        <w:t>r</w:t>
      </w:r>
      <w:r w:rsidRPr="00CB4F2C">
        <w:t>respond aux institutions qui définissent la sphère publique (Habermas, 1978), et en premier lieu aux institutions économiques (propriété pr</w:t>
      </w:r>
      <w:r w:rsidRPr="00CB4F2C">
        <w:t>i</w:t>
      </w:r>
      <w:r w:rsidRPr="00CB4F2C">
        <w:t>vée, contrat, marché). Quant à la vie privée, lieu d'expression des pa</w:t>
      </w:r>
      <w:r w:rsidRPr="00CB4F2C">
        <w:t>r</w:t>
      </w:r>
      <w:r w:rsidRPr="00CB4F2C">
        <w:t>ticularismes culturels, elle ne concerne pas directement l'État. Si elle joue bien un rôle important dans la constitution de l'identité de ch</w:t>
      </w:r>
      <w:r w:rsidRPr="00CB4F2C">
        <w:t>a</w:t>
      </w:r>
      <w:r w:rsidRPr="00CB4F2C">
        <w:t>cun, ce</w:t>
      </w:r>
      <w:r>
        <w:t xml:space="preserve"> </w:t>
      </w:r>
      <w:r w:rsidRPr="00B955F1">
        <w:rPr>
          <w:iCs/>
        </w:rPr>
        <w:t xml:space="preserve">[143] </w:t>
      </w:r>
      <w:r w:rsidRPr="00CB4F2C">
        <w:t>n'est pas d'abord autour de ce pôle que la vie collective s'articule et que les acteurs sociaux se mobilisent. Les ident</w:t>
      </w:r>
      <w:r w:rsidRPr="00CB4F2C">
        <w:t>i</w:t>
      </w:r>
      <w:r w:rsidRPr="00CB4F2C">
        <w:t>tés de type culturel sont résiduelles dans la société moderne, car celle-ci trouve son pri</w:t>
      </w:r>
      <w:r w:rsidRPr="00CB4F2C">
        <w:t>n</w:t>
      </w:r>
      <w:r w:rsidRPr="00CB4F2C">
        <w:t>cipe d'unité et d'identité avant tout aux niveaux politique et institutionnel (Freitag, 1986), sur la base d'un individualisme unive</w:t>
      </w:r>
      <w:r w:rsidRPr="00CB4F2C">
        <w:t>r</w:t>
      </w:r>
      <w:r w:rsidRPr="00CB4F2C">
        <w:t>saliste, les hommes étant compris comme des êtres rationnels, cap</w:t>
      </w:r>
      <w:r w:rsidRPr="00CB4F2C">
        <w:t>a</w:t>
      </w:r>
      <w:r w:rsidRPr="00CB4F2C">
        <w:t>bles grâce à leurs lumières de mettre en place une société juste, ha</w:t>
      </w:r>
      <w:r w:rsidRPr="00CB4F2C">
        <w:t>r</w:t>
      </w:r>
      <w:r w:rsidRPr="00CB4F2C">
        <w:t>monieuse, prospère. Du XVIII</w:t>
      </w:r>
      <w:r w:rsidRPr="00CB4F2C">
        <w:rPr>
          <w:vertAlign w:val="superscript"/>
        </w:rPr>
        <w:t>e</w:t>
      </w:r>
      <w:r w:rsidRPr="00CB4F2C">
        <w:t xml:space="preserve"> siècle jusqu'à la première moitié du XX</w:t>
      </w:r>
      <w:r w:rsidRPr="00CB4F2C">
        <w:rPr>
          <w:vertAlign w:val="superscript"/>
        </w:rPr>
        <w:t>e</w:t>
      </w:r>
      <w:r w:rsidRPr="00CB4F2C">
        <w:t xml:space="preserve"> siècle, les pays occidentaux sont structurés par cette vision des choses. L'idéologie communiste participe du même un</w:t>
      </w:r>
      <w:r w:rsidRPr="00CB4F2C">
        <w:t>i</w:t>
      </w:r>
      <w:r w:rsidRPr="00CB4F2C">
        <w:t>vers, quand bien même elle en inverse les signes, voyant dans la société capitaliste une société d'aliénation et reportant sur le socialisme les idéaux d'émancipation de l'individu et de rationalisation de l'existence colle</w:t>
      </w:r>
      <w:r w:rsidRPr="00CB4F2C">
        <w:t>c</w:t>
      </w:r>
      <w:r w:rsidRPr="00CB4F2C">
        <w:t>tive.</w:t>
      </w:r>
    </w:p>
    <w:p w:rsidR="00B7214C" w:rsidRPr="00CB4F2C" w:rsidRDefault="00B7214C" w:rsidP="00B7214C">
      <w:pPr>
        <w:spacing w:before="120" w:after="120"/>
        <w:jc w:val="both"/>
      </w:pPr>
      <w:r w:rsidRPr="00CB4F2C">
        <w:t>Je crois que ce modèle ne correspond plus à la réalité contemp</w:t>
      </w:r>
      <w:r w:rsidRPr="00CB4F2C">
        <w:t>o</w:t>
      </w:r>
      <w:r w:rsidRPr="00CB4F2C">
        <w:t>raine, en raison d'un certain nombre de transform</w:t>
      </w:r>
      <w:r w:rsidRPr="00CB4F2C">
        <w:t>a</w:t>
      </w:r>
      <w:r w:rsidRPr="00CB4F2C">
        <w:t>tions que je vais examiner de deux points de vue correspo</w:t>
      </w:r>
      <w:r w:rsidRPr="00CB4F2C">
        <w:t>n</w:t>
      </w:r>
      <w:r w:rsidRPr="00CB4F2C">
        <w:t>dant aux deux grandes orientations que l'on peut repérer dans la modernité : l'individualisme démocratique, dans lequel la modernité renvoie à un projet expressif d'émancipation de l'homme et le système capitaliste où elle réfère à un projet instrumental de domination de la nature et de développement des échanges marchands.</w:t>
      </w:r>
      <w:r>
        <w:t xml:space="preserve"> </w:t>
      </w:r>
      <w:r w:rsidRPr="00CB4F2C">
        <w:t>Ces deux orientations sont indiss</w:t>
      </w:r>
      <w:r w:rsidRPr="00CB4F2C">
        <w:t>o</w:t>
      </w:r>
      <w:r w:rsidRPr="00CB4F2C">
        <w:t>ciables l'une de l'autre dans le cadre de la modernité, puisque c'est essentie</w:t>
      </w:r>
      <w:r w:rsidRPr="00CB4F2C">
        <w:t>l</w:t>
      </w:r>
      <w:r w:rsidRPr="00CB4F2C">
        <w:t>lement à travers sa maîtrise de la nature et la traduction de celle-ci dans le progrès économique que l'homme manifestait sa liberté et d</w:t>
      </w:r>
      <w:r w:rsidRPr="00CB4F2C">
        <w:t>e</w:t>
      </w:r>
      <w:r w:rsidRPr="00CB4F2C">
        <w:t>vait trouver le bonheur. Elles ont cependant engendré des dynamiques partiellement autonomes, que je vais essayer de dégager.</w:t>
      </w:r>
    </w:p>
    <w:p w:rsidR="00B7214C" w:rsidRPr="00CB4F2C" w:rsidRDefault="00B7214C" w:rsidP="00B7214C">
      <w:pPr>
        <w:spacing w:before="120" w:after="120"/>
        <w:jc w:val="both"/>
      </w:pPr>
      <w:r w:rsidRPr="00CB4F2C">
        <w:t>Du premier point de vue, on a assisté d'abord à une exte</w:t>
      </w:r>
      <w:r w:rsidRPr="00CB4F2C">
        <w:t>n</w:t>
      </w:r>
      <w:r w:rsidRPr="00CB4F2C">
        <w:t>sion de la logique de l'individualisme universaliste à des groupes sociaux qui en avaient initialement été exclus. Les deux illustrations les plus évide</w:t>
      </w:r>
      <w:r w:rsidRPr="00CB4F2C">
        <w:t>n</w:t>
      </w:r>
      <w:r w:rsidRPr="00CB4F2C">
        <w:t>tes de cette extension sont le mouvement ouvrier et le mouvement f</w:t>
      </w:r>
      <w:r w:rsidRPr="00CB4F2C">
        <w:t>é</w:t>
      </w:r>
      <w:r w:rsidRPr="00CB4F2C">
        <w:t>ministe. À l'origine, ces deux mouvements revendiquaient l'applic</w:t>
      </w:r>
      <w:r w:rsidRPr="00CB4F2C">
        <w:t>a</w:t>
      </w:r>
      <w:r w:rsidRPr="00CB4F2C">
        <w:t>tion des idéaux de la modernité (égalité et liberté) à une partie majeure de la population maintenue jusque-là dans un état de minorité, de c</w:t>
      </w:r>
      <w:r w:rsidRPr="00CB4F2C">
        <w:t>i</w:t>
      </w:r>
      <w:r w:rsidRPr="00CB4F2C">
        <w:t>toyenneté de deuxième ordre, les ouvriers et les femmes. Cette exte</w:t>
      </w:r>
      <w:r w:rsidRPr="00CB4F2C">
        <w:t>n</w:t>
      </w:r>
      <w:r w:rsidRPr="00CB4F2C">
        <w:t>sion renvoie à l'opposition bien connue, établie par les marxistes, entre droits formels et droits réels. Il s'agit d'instaurer dans les faits, en fa</w:t>
      </w:r>
      <w:r w:rsidRPr="00CB4F2C">
        <w:t>i</w:t>
      </w:r>
      <w:r w:rsidRPr="00CB4F2C">
        <w:t>sant appel à l'interventionni</w:t>
      </w:r>
      <w:r w:rsidRPr="00CB4F2C">
        <w:t>s</w:t>
      </w:r>
      <w:r w:rsidRPr="00CB4F2C">
        <w:t>me étatique (lois sur la durée du travail, droit de grève, droit de vote des femmes, égalité juridique des époux, etc.), l'égal</w:t>
      </w:r>
      <w:r w:rsidRPr="00CB4F2C">
        <w:t>i</w:t>
      </w:r>
      <w:r w:rsidRPr="00CB4F2C">
        <w:t>té et la liberté de tous les citoyens qui sont proclamées dans les différentes constitutions des États modernes.</w:t>
      </w:r>
    </w:p>
    <w:p w:rsidR="00B7214C" w:rsidRPr="00CB4F2C" w:rsidRDefault="00B7214C" w:rsidP="00B7214C">
      <w:pPr>
        <w:spacing w:before="120" w:after="120"/>
        <w:jc w:val="both"/>
      </w:pPr>
      <w:r w:rsidRPr="00CB4F2C">
        <w:t>Cette extension n'est cependant que le premier moment d'une d</w:t>
      </w:r>
      <w:r w:rsidRPr="00CB4F2C">
        <w:t>y</w:t>
      </w:r>
      <w:r w:rsidRPr="00CB4F2C">
        <w:t>namique qui va graduellement changer de sens, basculer dans une a</w:t>
      </w:r>
      <w:r w:rsidRPr="00CB4F2C">
        <w:t>u</w:t>
      </w:r>
      <w:r w:rsidRPr="00CB4F2C">
        <w:t>tre logique, marquée par l'affirmation immédiate des spécificités ind</w:t>
      </w:r>
      <w:r w:rsidRPr="00CB4F2C">
        <w:t>i</w:t>
      </w:r>
      <w:r w:rsidRPr="00CB4F2C">
        <w:t>viduelles ou collectives. En effet, dans le sillage de ces deux mouv</w:t>
      </w:r>
      <w:r w:rsidRPr="00CB4F2C">
        <w:t>e</w:t>
      </w:r>
      <w:r w:rsidRPr="00CB4F2C">
        <w:t>ments, toute une</w:t>
      </w:r>
      <w:r>
        <w:t xml:space="preserve"> [144] </w:t>
      </w:r>
      <w:r w:rsidRPr="00CB4F2C">
        <w:t xml:space="preserve">foule d'autres groupes vont </w:t>
      </w:r>
      <w:r w:rsidRPr="000D1A32">
        <w:t xml:space="preserve">à </w:t>
      </w:r>
      <w:r w:rsidRPr="00CB4F2C">
        <w:t>leur tour revend</w:t>
      </w:r>
      <w:r w:rsidRPr="00CB4F2C">
        <w:t>i</w:t>
      </w:r>
      <w:r w:rsidRPr="00CB4F2C">
        <w:t>quer l'accès à une c</w:t>
      </w:r>
      <w:r w:rsidRPr="00CB4F2C">
        <w:t>i</w:t>
      </w:r>
      <w:r w:rsidRPr="00CB4F2C">
        <w:t xml:space="preserve">toyenneté pleine et entière et l'intervention de l'État </w:t>
      </w:r>
      <w:r w:rsidRPr="000D1A32">
        <w:t xml:space="preserve">à </w:t>
      </w:r>
      <w:r w:rsidRPr="00CB4F2C">
        <w:t>cette fin. Mais cette multiplication des groupes et de leurs d</w:t>
      </w:r>
      <w:r w:rsidRPr="00CB4F2C">
        <w:t>e</w:t>
      </w:r>
      <w:r w:rsidRPr="00CB4F2C">
        <w:t>mandes va s'accomp</w:t>
      </w:r>
      <w:r w:rsidRPr="00CB4F2C">
        <w:t>a</w:t>
      </w:r>
      <w:r w:rsidRPr="00CB4F2C">
        <w:t>gner de l'abandon progressif du point de vue de l'universel</w:t>
      </w:r>
      <w:r>
        <w:t> </w:t>
      </w:r>
      <w:r w:rsidRPr="000D1A32">
        <w:footnoteReference w:id="46"/>
      </w:r>
      <w:r w:rsidRPr="00CB4F2C">
        <w:t>. C'est ainsi que les différents groupes minoritaires se me</w:t>
      </w:r>
      <w:r w:rsidRPr="00CB4F2C">
        <w:t>t</w:t>
      </w:r>
      <w:r w:rsidRPr="00CB4F2C">
        <w:t>tent de plus en plus à revendiquer, non pas les moyens d'accéder à l'individualité abstraite qui est au fo</w:t>
      </w:r>
      <w:r w:rsidRPr="00CB4F2C">
        <w:t>n</w:t>
      </w:r>
      <w:r w:rsidRPr="00CB4F2C">
        <w:t>dement de l'État et de la société civile modernes, mais au contraire directement la protection et la promotion de leur spécificité (ce vers quoi le mouvement féministe lui-même va s'orienter progre</w:t>
      </w:r>
      <w:r w:rsidRPr="00CB4F2C">
        <w:t>s</w:t>
      </w:r>
      <w:r w:rsidRPr="00CB4F2C">
        <w:t xml:space="preserve">sivement). Ce basculement est tout </w:t>
      </w:r>
      <w:r w:rsidRPr="000D1A32">
        <w:t xml:space="preserve">à </w:t>
      </w:r>
      <w:r w:rsidRPr="00CB4F2C">
        <w:t>fait fondamental. En effet, la l</w:t>
      </w:r>
      <w:r w:rsidRPr="00CB4F2C">
        <w:t>o</w:t>
      </w:r>
      <w:r w:rsidRPr="00CB4F2C">
        <w:t xml:space="preserve">gique individualiste se retourne petit </w:t>
      </w:r>
      <w:r w:rsidRPr="000D1A32">
        <w:t xml:space="preserve">à </w:t>
      </w:r>
      <w:r w:rsidRPr="00CB4F2C">
        <w:t>petit contre ses formes premières d'expression et change du coup rad</w:t>
      </w:r>
      <w:r w:rsidRPr="00CB4F2C">
        <w:t>i</w:t>
      </w:r>
      <w:r w:rsidRPr="00CB4F2C">
        <w:t>cal</w:t>
      </w:r>
      <w:r w:rsidRPr="00CB4F2C">
        <w:t>e</w:t>
      </w:r>
      <w:r w:rsidRPr="00CB4F2C">
        <w:t>ment de sens (Bonny, 1988 et 1990).</w:t>
      </w:r>
    </w:p>
    <w:p w:rsidR="00B7214C" w:rsidRPr="00CB4F2C" w:rsidRDefault="00B7214C" w:rsidP="00B7214C">
      <w:pPr>
        <w:spacing w:before="120" w:after="120"/>
        <w:jc w:val="both"/>
      </w:pPr>
      <w:r w:rsidRPr="00CB4F2C">
        <w:t>L'universalisme moderne visait à dépasser les particularismes a</w:t>
      </w:r>
      <w:r w:rsidRPr="00CB4F2C">
        <w:t>s</w:t>
      </w:r>
      <w:r w:rsidRPr="00CB4F2C">
        <w:t>sociés à la tradition et identifiés à des privilèges, à des injustices, bref à des irrationalités. Aussi cette orientation trouvait-elle d'abord sa pe</w:t>
      </w:r>
      <w:r w:rsidRPr="00CB4F2C">
        <w:t>r</w:t>
      </w:r>
      <w:r w:rsidRPr="00CB4F2C">
        <w:t>tinence et son sens dans le contexte de la lutte contre la société trad</w:t>
      </w:r>
      <w:r w:rsidRPr="00CB4F2C">
        <w:t>i</w:t>
      </w:r>
      <w:r w:rsidRPr="00CB4F2C">
        <w:t>tionnelle. Par contre, au fur et à mesure que la nouvelle forme de s</w:t>
      </w:r>
      <w:r w:rsidRPr="00CB4F2C">
        <w:t>o</w:t>
      </w:r>
      <w:r w:rsidRPr="00CB4F2C">
        <w:t>ciété se met en place, la dialectique se déplace, comme l'a fort bien vu Simmel :</w:t>
      </w:r>
    </w:p>
    <w:p w:rsidR="00B7214C" w:rsidRDefault="00B7214C" w:rsidP="00B7214C">
      <w:pPr>
        <w:pStyle w:val="Grillecouleur-Accent1"/>
      </w:pPr>
    </w:p>
    <w:p w:rsidR="00B7214C" w:rsidRDefault="00B7214C" w:rsidP="00B7214C">
      <w:pPr>
        <w:pStyle w:val="Grillecouleur-Accent1"/>
      </w:pPr>
      <w:r w:rsidRPr="00CB4F2C">
        <w:t>Dès que le moi fut suffisamment fortifié par le sentiment d'égalité et d'universalité, il chercha de nouveau l'inégalité - mais cette fois une inég</w:t>
      </w:r>
      <w:r w:rsidRPr="00CB4F2C">
        <w:t>a</w:t>
      </w:r>
      <w:r w:rsidRPr="00CB4F2C">
        <w:t>lité déterminée seulement de l'int</w:t>
      </w:r>
      <w:r w:rsidRPr="00CB4F2C">
        <w:t>é</w:t>
      </w:r>
      <w:r w:rsidRPr="00CB4F2C">
        <w:t>rieur. Après que l'individu ait été libéré en principe des vieilles chaînes de la guilde, du statut hér</w:t>
      </w:r>
      <w:r w:rsidRPr="00CB4F2C">
        <w:t>é</w:t>
      </w:r>
      <w:r w:rsidRPr="00CB4F2C">
        <w:t>ditaire et de l'Église, la quête d'indépendance se poursuivit jusqu'au point où les indiv</w:t>
      </w:r>
      <w:r w:rsidRPr="00CB4F2C">
        <w:t>i</w:t>
      </w:r>
      <w:r w:rsidRPr="00CB4F2C">
        <w:t xml:space="preserve">dus qui avaient été rendus indépendants en ce sens voulurent également se distinguer </w:t>
      </w:r>
      <w:r w:rsidRPr="006418C8">
        <w:rPr>
          <w:i/>
          <w:iCs/>
        </w:rPr>
        <w:t>les uns des autres.</w:t>
      </w:r>
      <w:r w:rsidRPr="00CB4F2C">
        <w:t xml:space="preserve"> Ce qui impo</w:t>
      </w:r>
      <w:r w:rsidRPr="00CB4F2C">
        <w:t>r</w:t>
      </w:r>
      <w:r w:rsidRPr="00CB4F2C">
        <w:t>tait désormais n'était plus d'être un individu libre comme tel, mais d'être un individu particulier et irre</w:t>
      </w:r>
      <w:r w:rsidRPr="00CB4F2C">
        <w:t>m</w:t>
      </w:r>
      <w:r w:rsidRPr="00CB4F2C">
        <w:t>plaçable (1971, p. 222 ; traduction pe</w:t>
      </w:r>
      <w:r w:rsidRPr="00CB4F2C">
        <w:t>r</w:t>
      </w:r>
      <w:r w:rsidRPr="00CB4F2C">
        <w:t>sonnelle).</w:t>
      </w:r>
    </w:p>
    <w:p w:rsidR="00B7214C" w:rsidRPr="00CB4F2C" w:rsidRDefault="00B7214C" w:rsidP="00B7214C">
      <w:pPr>
        <w:pStyle w:val="Grillecouleur-Accent1"/>
      </w:pPr>
    </w:p>
    <w:p w:rsidR="00B7214C" w:rsidRPr="00CB4F2C" w:rsidRDefault="00B7214C" w:rsidP="00B7214C">
      <w:pPr>
        <w:spacing w:before="120" w:after="120"/>
        <w:jc w:val="both"/>
      </w:pPr>
      <w:r w:rsidRPr="00CB4F2C">
        <w:t>Plutôt que de parler d'inégalité, comme le fait Simmel, on devrait dire que ce développement correspond à une interpr</w:t>
      </w:r>
      <w:r w:rsidRPr="00CB4F2C">
        <w:t>é</w:t>
      </w:r>
      <w:r w:rsidRPr="00CB4F2C">
        <w:t>tation nouvelle de l'égalité. À l'égalité des semblables, qui mettait l'accent sur le d</w:t>
      </w:r>
      <w:r w:rsidRPr="00CB4F2C">
        <w:t>é</w:t>
      </w:r>
      <w:r w:rsidRPr="00CB4F2C">
        <w:t>passement des différences, succède une revendication d'« égalité dans la différence », où l'accent est mis sur la différence, à condition qu'elle soit choisie, vo</w:t>
      </w:r>
      <w:r w:rsidRPr="00CB4F2C">
        <w:t>u</w:t>
      </w:r>
      <w:r w:rsidRPr="00CB4F2C">
        <w:t>lue par l'individu, qu'elle lui permette d'exprimer son « authenticité », sa singularité, ses aspirations les plus pr</w:t>
      </w:r>
      <w:r w:rsidRPr="00CB4F2C">
        <w:t>o</w:t>
      </w:r>
      <w:r w:rsidRPr="00CB4F2C">
        <w:t>fondes. C'est dans une telle perspective que l'on peut co</w:t>
      </w:r>
      <w:r w:rsidRPr="00CB4F2C">
        <w:t>m</w:t>
      </w:r>
      <w:r w:rsidRPr="00CB4F2C">
        <w:t>prendre aussi bien, par exemple, l'apparition de pratiques p</w:t>
      </w:r>
      <w:r w:rsidRPr="00CB4F2C">
        <w:t>é</w:t>
      </w:r>
      <w:r w:rsidRPr="00CB4F2C">
        <w:t>dagogiques nouvelles, tournées vers l'épanouissement de l'élève, que celle de mouvements sociaux de promotion d'identités spécifiques (identité de femme, d'enfant, d'h</w:t>
      </w:r>
      <w:r w:rsidRPr="00CB4F2C">
        <w:t>o</w:t>
      </w:r>
      <w:r w:rsidRPr="00CB4F2C">
        <w:t>mosexuel, d'handicapé, de membre d'une minorité ethnique, etc.).</w:t>
      </w:r>
    </w:p>
    <w:p w:rsidR="00B7214C" w:rsidRPr="00CB4F2C" w:rsidRDefault="00B7214C" w:rsidP="00B7214C">
      <w:pPr>
        <w:spacing w:before="120" w:after="120"/>
        <w:jc w:val="both"/>
      </w:pPr>
      <w:r w:rsidRPr="00CB4F2C">
        <w:t>Cette évolution va de pair avec le développement de ce que Cha</w:t>
      </w:r>
      <w:r w:rsidRPr="00CB4F2C">
        <w:t>r</w:t>
      </w:r>
      <w:r w:rsidRPr="00CB4F2C">
        <w:t>les Taylor appelle le libéralisme de la neutralité (Taylor, 1992). Il se caractérise</w:t>
      </w:r>
      <w:r>
        <w:t xml:space="preserve"> [145] </w:t>
      </w:r>
      <w:r w:rsidRPr="00CB4F2C">
        <w:t>par un certain relativisme moral et par des modes d'organisation collective ayant un caractère essentiellement instrume</w:t>
      </w:r>
      <w:r w:rsidRPr="00CB4F2C">
        <w:t>n</w:t>
      </w:r>
      <w:r w:rsidRPr="00CB4F2C">
        <w:t>tal, au service de l'affirmation des singularités individuelles. Il se tr</w:t>
      </w:r>
      <w:r w:rsidRPr="00CB4F2C">
        <w:t>a</w:t>
      </w:r>
      <w:r w:rsidRPr="00CB4F2C">
        <w:t>duit notamment par l'importance croissante des droits et libertés de la personne et par une justice procédurale, évitant de prendre position sur les questions substantives, et procédant avant tout à un arbitrage pragmatique entre les di</w:t>
      </w:r>
      <w:r w:rsidRPr="00CB4F2C">
        <w:t>f</w:t>
      </w:r>
      <w:r w:rsidRPr="00CB4F2C">
        <w:t>férentes prétentions subjectives qui ont la capacité de se faire entendre. C'est dans le cadre d'un tel libéralisme que des revendications nouvelles de « droits » individuels, et pour ce</w:t>
      </w:r>
      <w:r w:rsidRPr="00CB4F2C">
        <w:t>t</w:t>
      </w:r>
      <w:r w:rsidRPr="00CB4F2C">
        <w:t>te raison souvent contradictoires et sans aucune cohérence d'e</w:t>
      </w:r>
      <w:r w:rsidRPr="00CB4F2C">
        <w:t>n</w:t>
      </w:r>
      <w:r w:rsidRPr="00CB4F2C">
        <w:t>semble, apparaissent constamment : « droit » à la libre disp</w:t>
      </w:r>
      <w:r w:rsidRPr="00CB4F2C">
        <w:t>o</w:t>
      </w:r>
      <w:r w:rsidRPr="00CB4F2C">
        <w:t>sition de son corps mais aussi « droit » du foetus et « droit » du père, « droit » de ne pas subir la f</w:t>
      </w:r>
      <w:r w:rsidRPr="00CB4F2C">
        <w:t>u</w:t>
      </w:r>
      <w:r w:rsidRPr="00CB4F2C">
        <w:t>mée d'autrui, « droit » à l'affichage unilingue, etc.</w:t>
      </w:r>
    </w:p>
    <w:p w:rsidR="00B7214C" w:rsidRPr="00CB4F2C" w:rsidRDefault="00B7214C" w:rsidP="00B7214C">
      <w:pPr>
        <w:spacing w:before="120" w:after="120"/>
        <w:jc w:val="both"/>
      </w:pPr>
      <w:r w:rsidRPr="00CB4F2C">
        <w:t>L'identité qui se développe ainsi correspond tout à la fois à des spécificités existentielles ou, de fait, à un idéal et à un mode de vie propres à l'individu. À côté d'éléments traditio</w:t>
      </w:r>
      <w:r w:rsidRPr="00CB4F2C">
        <w:t>n</w:t>
      </w:r>
      <w:r w:rsidRPr="00CB4F2C">
        <w:t>nels, d'autres aspects occupent une place importante dans sa définition : le style de vie, les consommations culturelles pr</w:t>
      </w:r>
      <w:r w:rsidRPr="00CB4F2C">
        <w:t>i</w:t>
      </w:r>
      <w:r w:rsidRPr="00CB4F2C">
        <w:t>vilégiées, les aspirations profondes. Au bout du compte, ce que chacun est et vit doit pouvoir s'exprimer aussi pleinement que possible et doit être pris en considération dans l'org</w:t>
      </w:r>
      <w:r w:rsidRPr="00CB4F2C">
        <w:t>a</w:t>
      </w:r>
      <w:r w:rsidRPr="00CB4F2C">
        <w:t>nis</w:t>
      </w:r>
      <w:r w:rsidRPr="00CB4F2C">
        <w:t>a</w:t>
      </w:r>
      <w:r w:rsidRPr="00CB4F2C">
        <w:t>tion des rapports sociaux, dans la mesure où l'individu est posé comme la valeur suprême. Mais il s'agit désormais de l'individu concret, empirique.</w:t>
      </w:r>
    </w:p>
    <w:p w:rsidR="00B7214C" w:rsidRPr="00CB4F2C" w:rsidRDefault="00B7214C" w:rsidP="00B7214C">
      <w:pPr>
        <w:spacing w:before="120" w:after="120"/>
        <w:jc w:val="both"/>
      </w:pPr>
      <w:r w:rsidRPr="00CB4F2C">
        <w:t>Examinons à présent l'autre orientation de la modernité déjà me</w:t>
      </w:r>
      <w:r w:rsidRPr="00CB4F2C">
        <w:t>n</w:t>
      </w:r>
      <w:r w:rsidRPr="00CB4F2C">
        <w:t>tionnée dont la dynamique s'exprime dans les transformations du sy</w:t>
      </w:r>
      <w:r w:rsidRPr="00CB4F2C">
        <w:t>s</w:t>
      </w:r>
      <w:r w:rsidRPr="00CB4F2C">
        <w:t>tème capitaliste. De ce point de vue, ce qui est déterminant pour la définition de l'identité, c'est la disparition graduelle de la division t</w:t>
      </w:r>
      <w:r w:rsidRPr="00CB4F2C">
        <w:t>y</w:t>
      </w:r>
      <w:r w:rsidRPr="00CB4F2C">
        <w:t>pique de la modernité entre État, société civile et sphère privée et l'imbrication de plus en plus poussée des différentes sphères d'existe</w:t>
      </w:r>
      <w:r w:rsidRPr="00CB4F2C">
        <w:t>n</w:t>
      </w:r>
      <w:r w:rsidRPr="00CB4F2C">
        <w:t>ce individuelle et collective. Cette transformation s'est opérée à pl</w:t>
      </w:r>
      <w:r w:rsidRPr="00CB4F2C">
        <w:t>u</w:t>
      </w:r>
      <w:r w:rsidRPr="00CB4F2C">
        <w:t>sieurs n</w:t>
      </w:r>
      <w:r w:rsidRPr="00CB4F2C">
        <w:t>i</w:t>
      </w:r>
      <w:r w:rsidRPr="00CB4F2C">
        <w:t>veaux : extension des activités relevant de l'État à une sphère privée ayant graduellement perdu son autonomie face à la progression des rapports marchands ; intervention croissante de l'État dans la rég</w:t>
      </w:r>
      <w:r w:rsidRPr="00CB4F2C">
        <w:t>u</w:t>
      </w:r>
      <w:r w:rsidRPr="00CB4F2C">
        <w:t>lation des rapports économiques, d'abord selon le modèle keynésien, puis dans le cadre de l'internati</w:t>
      </w:r>
      <w:r w:rsidRPr="00CB4F2C">
        <w:t>o</w:t>
      </w:r>
      <w:r w:rsidRPr="00CB4F2C">
        <w:t>nalisation des échanges (Gagné, 1985) ; politisation de la s</w:t>
      </w:r>
      <w:r w:rsidRPr="00CB4F2C">
        <w:t>o</w:t>
      </w:r>
      <w:r w:rsidRPr="00CB4F2C">
        <w:t>ciété à travers l'élaboration de décisions d'origine privée ayant une portée de droit public, à travers l'interve</w:t>
      </w:r>
      <w:r w:rsidRPr="00CB4F2C">
        <w:t>n</w:t>
      </w:r>
      <w:r w:rsidRPr="00CB4F2C">
        <w:t>tion des grands groupes industriels et financiers dans les décisions de l'État, etc. Tout cela débouche sur la remise en cause de l'art</w:t>
      </w:r>
      <w:r w:rsidRPr="00CB4F2C">
        <w:t>i</w:t>
      </w:r>
      <w:r w:rsidRPr="00CB4F2C">
        <w:t>culation entre État et marché comme pôles d'intégration et de régulation ce</w:t>
      </w:r>
      <w:r w:rsidRPr="00CB4F2C">
        <w:t>n</w:t>
      </w:r>
      <w:r w:rsidRPr="00CB4F2C">
        <w:t>traux de la société et comme pôles d'identific</w:t>
      </w:r>
      <w:r w:rsidRPr="00CB4F2C">
        <w:t>a</w:t>
      </w:r>
      <w:r w:rsidRPr="00CB4F2C">
        <w:t>tion privilégiés. À la place, on assiste à la formation d'un réseau d'organisations transce</w:t>
      </w:r>
      <w:r w:rsidRPr="00CB4F2C">
        <w:t>n</w:t>
      </w:r>
      <w:r w:rsidRPr="00CB4F2C">
        <w:t>dant les anciennes divisions et auxquelles les individus participent à différents titres : travailleurs, usagers, clients, consommateurs, me</w:t>
      </w:r>
      <w:r w:rsidRPr="00CB4F2C">
        <w:t>m</w:t>
      </w:r>
      <w:r w:rsidRPr="00CB4F2C">
        <w:t>bres de groupes cibles, partenaires sociaux. Tant l'intégration des i</w:t>
      </w:r>
      <w:r w:rsidRPr="00CB4F2C">
        <w:t>n</w:t>
      </w:r>
      <w:r w:rsidRPr="00CB4F2C">
        <w:t>div</w:t>
      </w:r>
      <w:r w:rsidRPr="00CB4F2C">
        <w:t>i</w:t>
      </w:r>
      <w:r w:rsidRPr="00CB4F2C">
        <w:t>dus que la r</w:t>
      </w:r>
      <w:r>
        <w:t>égula</w:t>
      </w:r>
      <w:r w:rsidRPr="00CB4F2C">
        <w:t>tion</w:t>
      </w:r>
      <w:r>
        <w:t xml:space="preserve"> [146]</w:t>
      </w:r>
      <w:r w:rsidRPr="00CB4F2C">
        <w:t xml:space="preserve"> des rapports sociaux sont désormais régis par une logique que l'on peut nommer organisationnelle, rep</w:t>
      </w:r>
      <w:r w:rsidRPr="00CB4F2C">
        <w:t>o</w:t>
      </w:r>
      <w:r w:rsidRPr="00CB4F2C">
        <w:t>sant sur la gestion opératio</w:t>
      </w:r>
      <w:r w:rsidRPr="00CB4F2C">
        <w:t>n</w:t>
      </w:r>
      <w:r w:rsidRPr="00CB4F2C">
        <w:t>nelle, l'information et la communication, la participation, la négociation. Les formes d'identification qui corre</w:t>
      </w:r>
      <w:r w:rsidRPr="00CB4F2C">
        <w:t>s</w:t>
      </w:r>
      <w:r w:rsidRPr="00CB4F2C">
        <w:t>pondent à cette logique sont définies à partir des multiples catégoris</w:t>
      </w:r>
      <w:r w:rsidRPr="00CB4F2C">
        <w:t>a</w:t>
      </w:r>
      <w:r w:rsidRPr="00CB4F2C">
        <w:t>tions établies en permanence par les bureaucraties étatiques, les gra</w:t>
      </w:r>
      <w:r w:rsidRPr="00CB4F2C">
        <w:t>n</w:t>
      </w:r>
      <w:r w:rsidRPr="00CB4F2C">
        <w:t>des entreprises, les agences de publicité, les instituts de sondage, les médias, les professionnels du « social » (sexologues, travailleurs s</w:t>
      </w:r>
      <w:r w:rsidRPr="00CB4F2C">
        <w:t>o</w:t>
      </w:r>
      <w:r w:rsidRPr="00CB4F2C">
        <w:t>ciaux, animateurs socioculturels, intervenants en tous genres) et les groupes de pression</w:t>
      </w:r>
      <w:r>
        <w:t> </w:t>
      </w:r>
      <w:r>
        <w:rPr>
          <w:rStyle w:val="Appelnotedebasdep"/>
        </w:rPr>
        <w:footnoteReference w:id="47"/>
      </w:r>
      <w:r w:rsidRPr="00CB4F2C">
        <w:t>. L'identité i</w:t>
      </w:r>
      <w:r w:rsidRPr="00CB4F2C">
        <w:t>n</w:t>
      </w:r>
      <w:r w:rsidRPr="00CB4F2C">
        <w:t>dividuelle se construit ici à partir des multiples branchements de l'individu sur le système organisatio</w:t>
      </w:r>
      <w:r w:rsidRPr="00CB4F2C">
        <w:t>n</w:t>
      </w:r>
      <w:r w:rsidRPr="00CB4F2C">
        <w:t>nel, de l'e</w:t>
      </w:r>
      <w:r w:rsidRPr="00CB4F2C">
        <w:t>n</w:t>
      </w:r>
      <w:r w:rsidRPr="00CB4F2C">
        <w:t>semble des attributs qui le définissent à différents niveaux : conditions d'existence (travailleur syndiqué, chômeur, chef de famille monoparentale), signes distinctifs (femme, « membre d'une comm</w:t>
      </w:r>
      <w:r w:rsidRPr="00CB4F2C">
        <w:t>u</w:t>
      </w:r>
      <w:r w:rsidRPr="00CB4F2C">
        <w:t>nauté culturelle »), style de vie et habitudes de consommation (ad</w:t>
      </w:r>
      <w:r w:rsidRPr="00CB4F2C">
        <w:t>o</w:t>
      </w:r>
      <w:r w:rsidRPr="00CB4F2C">
        <w:t>lescent, cadre en ascension sociale), état de fait (handicapé, cardiaque, condu</w:t>
      </w:r>
      <w:r w:rsidRPr="00CB4F2C">
        <w:t>c</w:t>
      </w:r>
      <w:r w:rsidRPr="00CB4F2C">
        <w:t>teur âgé de moins de 18 ans), etc. Ces attributs définissent la place de chacun dans le « système social », ainsi que les conséquences qui en résultent : c'est ainsi qu'en fonction des attributs qui me défini</w:t>
      </w:r>
      <w:r w:rsidRPr="00CB4F2C">
        <w:t>s</w:t>
      </w:r>
      <w:r w:rsidRPr="00CB4F2C">
        <w:t>sent je peux être touché positivement par certains programmes go</w:t>
      </w:r>
      <w:r w:rsidRPr="00CB4F2C">
        <w:t>u</w:t>
      </w:r>
      <w:r w:rsidRPr="00CB4F2C">
        <w:t>vernementaux, exclu de certains autres, identifié comme faisant partie d'une population « à risque », d'un groupe cible, pris en considération en tant que membre d'un groupe influent ou d'un agrégat statistique (Laufer et Paradeise, 1982). Il se développe ainsi une identité organ</w:t>
      </w:r>
      <w:r w:rsidRPr="00CB4F2C">
        <w:t>i</w:t>
      </w:r>
      <w:r w:rsidRPr="00CB4F2C">
        <w:t>sationnelle faite de to</w:t>
      </w:r>
      <w:r w:rsidRPr="00CB4F2C">
        <w:t>u</w:t>
      </w:r>
      <w:r w:rsidRPr="00CB4F2C">
        <w:t>tes sortes de contingences additionnées, qui en viennent à constituer une part centrale du mode d'identification des individus, de leur ra</w:t>
      </w:r>
      <w:r w:rsidRPr="00CB4F2C">
        <w:t>p</w:t>
      </w:r>
      <w:r w:rsidRPr="00CB4F2C">
        <w:t>port à eux-mêmes. Les catégorisations étant la condition de l'insertion sociétale, chacun en arrive à se définir lui-même en fonction de celles-ci et à adopter à partir de là différentes stratégies de mobilité individuelle ou collective, d'obtention de priv</w:t>
      </w:r>
      <w:r w:rsidRPr="00CB4F2C">
        <w:t>i</w:t>
      </w:r>
      <w:r w:rsidRPr="00CB4F2C">
        <w:t>lèges, de minimisation d'i</w:t>
      </w:r>
      <w:r w:rsidRPr="00CB4F2C">
        <w:t>n</w:t>
      </w:r>
      <w:r w:rsidRPr="00CB4F2C">
        <w:t>convénients et de désagréments.</w:t>
      </w:r>
    </w:p>
    <w:p w:rsidR="00B7214C" w:rsidRPr="00CB4F2C" w:rsidRDefault="00B7214C" w:rsidP="00B7214C">
      <w:pPr>
        <w:spacing w:before="120" w:after="120"/>
        <w:jc w:val="both"/>
      </w:pPr>
      <w:r w:rsidRPr="00CB4F2C">
        <w:t>Il faut je crois mettre en commun les deux approches précédentes pour avoir une idée quelque peu juste de l'identité contemporaine et de la place qu'y prend l'affirmation des identités culturelles. Pour m'en tenir à l'essentiel, je distinguerai ceux qui participent directement aux nouvelles modalités de régulation des rapports sociaux de ceux qui en sont plus ou moins exclus.</w:t>
      </w:r>
    </w:p>
    <w:p w:rsidR="00B7214C" w:rsidRPr="00CB4F2C" w:rsidRDefault="00B7214C" w:rsidP="00B7214C">
      <w:pPr>
        <w:spacing w:before="120" w:after="120"/>
        <w:jc w:val="both"/>
      </w:pPr>
      <w:r w:rsidRPr="00CB4F2C">
        <w:t>L'identité de ceux qui vivent au coeur du système est définie par deux pôles principaux : d'une part, le pôle intime, marqué par le co</w:t>
      </w:r>
      <w:r w:rsidRPr="00CB4F2C">
        <w:t>u</w:t>
      </w:r>
      <w:r w:rsidRPr="00CB4F2C">
        <w:t>ronnement de la logique individualiste dans l'affirmation des « spécificités existentielles de la condition de vie, du caractère pe</w:t>
      </w:r>
      <w:r w:rsidRPr="00CB4F2C">
        <w:t>r</w:t>
      </w:r>
      <w:r w:rsidRPr="00CB4F2C">
        <w:t>sonnel et des affinités expressives et électives » (Freitag, 1992) ; d'a</w:t>
      </w:r>
      <w:r w:rsidRPr="00CB4F2C">
        <w:t>u</w:t>
      </w:r>
      <w:r w:rsidRPr="00CB4F2C">
        <w:t>tre part, le pôle organisationnel, caractérisé par l'insertion dans toutes sortes d'organisations, de groupes, de réseaux, qui touchent à tous les aspects de l'existence. Ces deux pôles</w:t>
      </w:r>
      <w:r>
        <w:t xml:space="preserve"> [147] </w:t>
      </w:r>
      <w:r w:rsidRPr="00CB4F2C">
        <w:t>se chevauchent consta</w:t>
      </w:r>
      <w:r w:rsidRPr="00CB4F2C">
        <w:t>m</w:t>
      </w:r>
      <w:r w:rsidRPr="00CB4F2C">
        <w:t>ment et se renforcent mutuellement, dans la mesure où la participation organisationnelle définit dans une large mesure l'identité personnelle intériorisée (Pagès, 1979) ou assumée sur le mode du choix indiv</w:t>
      </w:r>
      <w:r w:rsidRPr="00CB4F2C">
        <w:t>i</w:t>
      </w:r>
      <w:r w:rsidRPr="00CB4F2C">
        <w:t>duel, et où inversement spécificités et aff</w:t>
      </w:r>
      <w:r w:rsidRPr="00CB4F2C">
        <w:t>i</w:t>
      </w:r>
      <w:r w:rsidRPr="00CB4F2C">
        <w:t>nités constituent autant de points de branchement sur le réseau organ</w:t>
      </w:r>
      <w:r w:rsidRPr="00CB4F2C">
        <w:t>i</w:t>
      </w:r>
      <w:r w:rsidRPr="00CB4F2C">
        <w:t>sationnel.</w:t>
      </w:r>
    </w:p>
    <w:p w:rsidR="00B7214C" w:rsidRPr="00CB4F2C" w:rsidRDefault="00B7214C" w:rsidP="00B7214C">
      <w:pPr>
        <w:spacing w:before="120" w:after="120"/>
        <w:jc w:val="both"/>
      </w:pPr>
      <w:r w:rsidRPr="00CB4F2C">
        <w:t>L'affirmation contemporaine des identités culturelles doit être r</w:t>
      </w:r>
      <w:r w:rsidRPr="00CB4F2C">
        <w:t>e</w:t>
      </w:r>
      <w:r w:rsidRPr="00CB4F2C">
        <w:t>placée dans ce cadre général. C'est à mon avis une erreur que de ne faire porter le regard que vers certaines identités : celles liées au sexe ou à l'ethnie en particulier. Ce qui est en effet central, c'est le mode sur lequel sont déclinées les identités, c'est la logique dans laquelle elles interviennent. Or, de ce point de vue, et au risque de choquer, je dirais que l'identité de femme ou de « membre d'une communauté culturelle », comme on dit, rejoint aujourd'hui dans bien des cas, bien davantage qu'elle ne s'en distingue, l'identité de gaucher, de non-fumeur, ou encore de riverain de l'aéroport X ou du site d'enfouiss</w:t>
      </w:r>
      <w:r w:rsidRPr="00CB4F2C">
        <w:t>e</w:t>
      </w:r>
      <w:r w:rsidRPr="00CB4F2C">
        <w:t>ment Y. L'identité est aujourd'hui constituée d'un amalgame d'él</w:t>
      </w:r>
      <w:r w:rsidRPr="00CB4F2C">
        <w:t>é</w:t>
      </w:r>
      <w:r w:rsidRPr="00CB4F2C">
        <w:t>ments contingents renvoyant autant à des catégories traditionnelles qu'à un mode de vie, un style de consommation, une position dans le système de stratification (Schecter, 1993), un état de fait devenu sou</w:t>
      </w:r>
      <w:r w:rsidRPr="00CB4F2C">
        <w:t>r</w:t>
      </w:r>
      <w:r w:rsidRPr="00CB4F2C">
        <w:t>ce de définition de soi. En ce sens, elle est en rupture aussi bien avec l'identité de type traditionnel, caractérisée par la stabilité et l'homog</w:t>
      </w:r>
      <w:r w:rsidRPr="00CB4F2C">
        <w:t>é</w:t>
      </w:r>
      <w:r w:rsidRPr="00CB4F2C">
        <w:t>néité des éléments d'identification, intégrés dans une culture, au sens fort du terme, qu'avec l'identité de type moderne, identité abstraite et universaliste à caractère politique et non culturel, renvoyant le partic</w:t>
      </w:r>
      <w:r w:rsidRPr="00CB4F2C">
        <w:t>u</w:t>
      </w:r>
      <w:r w:rsidRPr="00CB4F2C">
        <w:t>larisme de chacun à la sphère privée.</w:t>
      </w:r>
    </w:p>
    <w:p w:rsidR="00B7214C" w:rsidRPr="00CB4F2C" w:rsidRDefault="00B7214C" w:rsidP="00B7214C">
      <w:pPr>
        <w:spacing w:before="120" w:after="120"/>
        <w:jc w:val="both"/>
      </w:pPr>
      <w:r w:rsidRPr="00CB4F2C">
        <w:t>Si nous nous penchons à présent sur les formes d'identité qui s'e</w:t>
      </w:r>
      <w:r w:rsidRPr="00CB4F2C">
        <w:t>x</w:t>
      </w:r>
      <w:r w:rsidRPr="00CB4F2C">
        <w:t>priment chez ceux qui sont situés à la périphérie du système ou qui en sont exclus, on constate là encore la montée en puissance des identités culturelles, mais qui prennent ici d'autres figures : nationalisme, fo</w:t>
      </w:r>
      <w:r w:rsidRPr="00CB4F2C">
        <w:t>n</w:t>
      </w:r>
      <w:r w:rsidRPr="00CB4F2C">
        <w:t>damentalisme religieux, affirmation agressive de l'ethnicité ou du groupe territorial, notamment. Nous avons affaire ici à des identités de repli, de protection, d'affirmation d'une fierté également (Touraine, 1992). Face à l'exclusion vis-à-vis tant du libéralisme procédural que des réseaux organisationnels ou de la logique de puissance associée à l'uniformisation de fait de la planète à travers la techno-science, les entreprises transnationales et les médias, se développe une identité qui valorise les appartenances traditionnelles, le territoire, l'ethnie, la la</w:t>
      </w:r>
      <w:r w:rsidRPr="00CB4F2C">
        <w:t>n</w:t>
      </w:r>
      <w:r w:rsidRPr="00CB4F2C">
        <w:t>gue, la religion. C'est l'identité des groupes de jeunes exclus de la prospérité ou celle des sociétés exploitées ou bouleversées de fond en comble dans le cadre de la course effrénée aux marchés. Ces formes d'identification ne peuvent être analysées simplement en termes de retour à la tradition. L'orientation significative et normative de l'action qu'elles proposent doit se compr</w:t>
      </w:r>
      <w:r>
        <w:t xml:space="preserve">endre par rapport à l'exclusion, [148] </w:t>
      </w:r>
      <w:r w:rsidRPr="00CB4F2C">
        <w:t>à la dissolution des liens sociaux traditionnels, à l'exploitation, au non-sens ressenti.</w:t>
      </w:r>
    </w:p>
    <w:p w:rsidR="00B7214C" w:rsidRPr="00CB4F2C" w:rsidRDefault="00B7214C" w:rsidP="00B7214C">
      <w:pPr>
        <w:spacing w:before="120" w:after="120"/>
        <w:jc w:val="both"/>
      </w:pPr>
      <w:r w:rsidRPr="00CB4F2C">
        <w:t>Au terme de ce tour d'horizon, je voudrais soutenir que pour penser de façon appropriée l'affirmation contemporaine des identités culture</w:t>
      </w:r>
      <w:r w:rsidRPr="00CB4F2C">
        <w:t>l</w:t>
      </w:r>
      <w:r w:rsidRPr="00CB4F2C">
        <w:t>les, il faut sortir d'une problématique se situant « entre tradition et universalisme », pour reprendre le thème de ce colloque. Bien sûr, les formes d'identité qui se manifestent aujourd'hui peuvent s'enraciner dans des éléments qui relèvent de la tradition (ethnie, religion, n</w:t>
      </w:r>
      <w:r w:rsidRPr="00CB4F2C">
        <w:t>o</w:t>
      </w:r>
      <w:r w:rsidRPr="00CB4F2C">
        <w:t>tamment). Cependant, d'une part, ce n'est pas systématique, et, d'autre part, ces éléments traditionnels sont réactivés dans un contexte qui n'est pas celui de la tradition, où ils n'ont de ce fait aucunement le sens qu'ils avaient traditionnellement. De même, on n'assiste pas à un si</w:t>
      </w:r>
      <w:r w:rsidRPr="00CB4F2C">
        <w:t>m</w:t>
      </w:r>
      <w:r w:rsidRPr="00CB4F2C">
        <w:t>ple rééquilibrage par rapport à la modernité ou à un simple approfo</w:t>
      </w:r>
      <w:r w:rsidRPr="00CB4F2C">
        <w:t>n</w:t>
      </w:r>
      <w:r w:rsidRPr="00CB4F2C">
        <w:t>dissement de celle-ci, parce que l'identité contemporaine a perdu la dimension abstraite et universaliste qui la caractérisait durant toute la période moderne. Il me paraît donc justifié de parler de postmode</w:t>
      </w:r>
      <w:r>
        <w:t>rn</w:t>
      </w:r>
      <w:r w:rsidRPr="00CB4F2C">
        <w:t>ité pour désigner l'époque contemporaine. Ce qui la caractérise, c'est une gestion opérationnelle des rapports sociaux, de plus en plus compl</w:t>
      </w:r>
      <w:r w:rsidRPr="00CB4F2C">
        <w:t>è</w:t>
      </w:r>
      <w:r w:rsidRPr="00CB4F2C">
        <w:t>tement détachée des idéaux universalistes de la modernité, doublée d'une prolifération d'identités particulières qui n'ont plus grand-chose à voir avec des cultures traditionnelles au sens anthropologique du terme, et qui se situent au croisement des trois logiques que j'ai rep</w:t>
      </w:r>
      <w:r w:rsidRPr="00CB4F2C">
        <w:t>é</w:t>
      </w:r>
      <w:r w:rsidRPr="00CB4F2C">
        <w:t>rées ci-dessus : une logique individualiste ayant progressivement pe</w:t>
      </w:r>
      <w:r w:rsidRPr="00CB4F2C">
        <w:t>r</w:t>
      </w:r>
      <w:r w:rsidRPr="00CB4F2C">
        <w:t>du tout lien avec une conception d'ensemble de la société, une logique systémique et technocratique de plus en plus omniprésente et une l</w:t>
      </w:r>
      <w:r w:rsidRPr="00CB4F2C">
        <w:t>o</w:t>
      </w:r>
      <w:r w:rsidRPr="00CB4F2C">
        <w:t>gique de résistance à celle-ci, mobilisant souvent, à cette fin, les ide</w:t>
      </w:r>
      <w:r w:rsidRPr="00CB4F2C">
        <w:t>n</w:t>
      </w:r>
      <w:r w:rsidRPr="00CB4F2C">
        <w:t>tifications traditionnelles.</w:t>
      </w:r>
    </w:p>
    <w:p w:rsidR="00B7214C" w:rsidRPr="00CB4F2C" w:rsidRDefault="00B7214C" w:rsidP="00B7214C">
      <w:pPr>
        <w:spacing w:before="120" w:after="120"/>
        <w:jc w:val="both"/>
      </w:pPr>
      <w:r w:rsidRPr="00CB4F2C">
        <w:t>Tant cette gestion que cette prolifération sont préoccupantes, parce qu'elles s'accompagnent d'un déficit d'orientation collective et de la disparition tendancielle de toute intersubjectivité a priori, fondant la reconnaissance sociale de soi et d'autrui et assurant la mise en récipr</w:t>
      </w:r>
      <w:r w:rsidRPr="00CB4F2C">
        <w:t>o</w:t>
      </w:r>
      <w:r w:rsidRPr="00CB4F2C">
        <w:t>cité des subjectivités. L'interface entre les différentes identités qui pr</w:t>
      </w:r>
      <w:r w:rsidRPr="00CB4F2C">
        <w:t>o</w:t>
      </w:r>
      <w:r w:rsidRPr="00CB4F2C">
        <w:t>lifèrent aujourd'hui n'est pas pensée au niveau symbolique, même si elle est assurée plus ou moins efficacement au plan instrumental. Il y a une hétérogénéité croissante des formes d'expérience au sein d'une même société, source d'incommunicabilité, de juridicisation des ra</w:t>
      </w:r>
      <w:r w:rsidRPr="00CB4F2C">
        <w:t>p</w:t>
      </w:r>
      <w:r w:rsidRPr="00CB4F2C">
        <w:t>ports sociaux, de non-sens (Georges, 1978). Face à cela, il s'agit de savoir comment la prise en compte légitime des différences peut aller de pair avec le maintien d'un espace d'intersubjectivité commun, avec la mise en place de transcendances à même de dépasser la gestion technocratique des rapports sociaux, l'arbitraire de la puissance et l'e</w:t>
      </w:r>
      <w:r w:rsidRPr="00CB4F2C">
        <w:t>n</w:t>
      </w:r>
      <w:r w:rsidRPr="00CB4F2C">
        <w:t>fermement dans le particularisme.</w:t>
      </w:r>
    </w:p>
    <w:p w:rsidR="00B7214C" w:rsidRPr="00CB4F2C" w:rsidRDefault="00B7214C" w:rsidP="00B7214C">
      <w:pPr>
        <w:spacing w:before="120" w:after="120"/>
        <w:jc w:val="both"/>
      </w:pPr>
      <w:r w:rsidRPr="00CB4F2C">
        <w:t>De ce point de vue, l'idéologie du multiculturalisme, de l'inte</w:t>
      </w:r>
      <w:r w:rsidRPr="00CB4F2C">
        <w:t>r</w:t>
      </w:r>
      <w:r w:rsidRPr="00CB4F2C">
        <w:t>culturel, aujourd'hui de plus en plus dominante, ne fait que renforcer les</w:t>
      </w:r>
      <w:r>
        <w:t xml:space="preserve"> [149] </w:t>
      </w:r>
      <w:r w:rsidRPr="00CB4F2C">
        <w:t>tendances que j'ai essayé de dégager, d'abord parce qu'elle confond identité culturelle et identité traditionnelle et manque compl</w:t>
      </w:r>
      <w:r w:rsidRPr="00CB4F2C">
        <w:t>è</w:t>
      </w:r>
      <w:r w:rsidRPr="00CB4F2C">
        <w:t>tement, de ce fait, ce qui fonde aujourd'hui l'identité culturelle, y compris pour les membres des « communautés culturelles », et ensuite parce qu'elle conçoit la culture en termes individualistes et gestionna</w:t>
      </w:r>
      <w:r w:rsidRPr="00CB4F2C">
        <w:t>i</w:t>
      </w:r>
      <w:r w:rsidRPr="00CB4F2C">
        <w:t>res et n'est source d'aucune transcendance. Or il ne peut y avoir de multicultur</w:t>
      </w:r>
      <w:r w:rsidRPr="00CB4F2C">
        <w:t>a</w:t>
      </w:r>
      <w:r>
        <w:t>l</w:t>
      </w:r>
      <w:r w:rsidRPr="00CB4F2C">
        <w:t>isme authentique, c'est-à-dire de coexistence acceptée, souhaitée, v</w:t>
      </w:r>
      <w:r w:rsidRPr="00CB4F2C">
        <w:t>a</w:t>
      </w:r>
      <w:r w:rsidRPr="00CB4F2C">
        <w:t>lorisée, avec un autre qui ne soit pas une simple réplique de soi asso</w:t>
      </w:r>
      <w:r w:rsidRPr="00CB4F2C">
        <w:t>r</w:t>
      </w:r>
      <w:r w:rsidRPr="00CB4F2C">
        <w:t>tie d'éléments optionnels et secondaires (ce qui est souvent le cas aujourd'hui quand on parle de multiculturalisme), sans tran</w:t>
      </w:r>
      <w:r w:rsidRPr="00CB4F2C">
        <w:t>s</w:t>
      </w:r>
      <w:r w:rsidRPr="00CB4F2C">
        <w:t>culturalité, sans identité collective fondée sur un excès par rapport aux différentes identités particulières, assurant leur mise en réciprocité et justifiant cette coexistence, dans la perspective par exemple d'une a</w:t>
      </w:r>
      <w:r w:rsidRPr="00CB4F2C">
        <w:t>n</w:t>
      </w:r>
      <w:r w:rsidRPr="00CB4F2C">
        <w:t>thropologie fondamentale ou d'un projet humaniste de type nouveau. Mais cet e</w:t>
      </w:r>
      <w:r w:rsidRPr="00CB4F2C">
        <w:t>x</w:t>
      </w:r>
      <w:r w:rsidRPr="00CB4F2C">
        <w:t>cès semble bien difficile à trouver aujourd'hui. Le commun à tous semble se réduire de plus en plus à quelque chose de purement in</w:t>
      </w:r>
      <w:r w:rsidRPr="00CB4F2C">
        <w:t>s</w:t>
      </w:r>
      <w:r w:rsidRPr="00CB4F2C">
        <w:t>trumental, au service de l'affirmation brute des différences ou d'une logique de puissance qui s'auto-entretient et que plus personne ne semble maîtriser. Or ceci ne saurait fonder une identité collective.</w:t>
      </w:r>
    </w:p>
    <w:p w:rsidR="00B7214C"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pStyle w:val="p"/>
      </w:pPr>
    </w:p>
    <w:p w:rsidR="00B7214C" w:rsidRDefault="00B7214C" w:rsidP="00B7214C">
      <w:pPr>
        <w:pStyle w:val="p"/>
      </w:pPr>
      <w:r>
        <w:t>[150]</w:t>
      </w:r>
    </w:p>
    <w:p w:rsidR="00B7214C" w:rsidRDefault="00B7214C" w:rsidP="00B7214C">
      <w:pPr>
        <w:spacing w:before="120" w:after="120"/>
        <w:jc w:val="both"/>
      </w:pPr>
    </w:p>
    <w:p w:rsidR="00B7214C" w:rsidRDefault="00B7214C" w:rsidP="00B7214C">
      <w:pPr>
        <w:pStyle w:val="a"/>
      </w:pPr>
      <w:r w:rsidRPr="00CB4F2C">
        <w:t>RÉFÉRENCES</w:t>
      </w:r>
    </w:p>
    <w:p w:rsidR="00B7214C" w:rsidRPr="00CB4F2C" w:rsidRDefault="00B7214C" w:rsidP="00B7214C">
      <w:pPr>
        <w:spacing w:before="120" w:after="120"/>
        <w:jc w:val="both"/>
      </w:pPr>
    </w:p>
    <w:p w:rsidR="00B7214C" w:rsidRPr="007579C6" w:rsidRDefault="00B7214C" w:rsidP="00B7214C">
      <w:pPr>
        <w:spacing w:before="120" w:after="120"/>
        <w:jc w:val="both"/>
      </w:pPr>
      <w:r w:rsidRPr="007579C6">
        <w:rPr>
          <w:iCs/>
        </w:rPr>
        <w:t xml:space="preserve">Baudrillard, J., </w:t>
      </w:r>
      <w:r w:rsidRPr="007579C6">
        <w:rPr>
          <w:i/>
          <w:iCs/>
        </w:rPr>
        <w:t>À</w:t>
      </w:r>
      <w:r w:rsidRPr="007579C6">
        <w:rPr>
          <w:iCs/>
        </w:rPr>
        <w:t xml:space="preserve"> </w:t>
      </w:r>
      <w:r w:rsidRPr="007579C6">
        <w:t>l'ombre des majorités silencieuses ou la fin du social,</w:t>
      </w:r>
      <w:r w:rsidRPr="007579C6">
        <w:rPr>
          <w:iCs/>
        </w:rPr>
        <w:t xml:space="preserve"> Paris, Denoël/Gonthier, 1982.</w:t>
      </w:r>
    </w:p>
    <w:p w:rsidR="00B7214C" w:rsidRPr="00CB4F2C" w:rsidRDefault="00B7214C" w:rsidP="00B7214C">
      <w:pPr>
        <w:spacing w:before="120" w:after="120"/>
        <w:jc w:val="both"/>
      </w:pPr>
      <w:r w:rsidRPr="00CB4F2C">
        <w:t>Bonny, Y., « L'individualisme, de la modernité à la postmodernité. Contribution à une théorie de l'intersubjectivité ». Thèse de doctorat, non publiée, 1990.</w:t>
      </w:r>
    </w:p>
    <w:p w:rsidR="00B7214C" w:rsidRPr="00CB4F2C" w:rsidRDefault="00B7214C" w:rsidP="00B7214C">
      <w:pPr>
        <w:spacing w:before="120" w:after="120"/>
        <w:jc w:val="both"/>
      </w:pPr>
      <w:r w:rsidRPr="00CB4F2C">
        <w:t xml:space="preserve">Bonny, Y., « Réflexions sur l'individualisme ». </w:t>
      </w:r>
      <w:r w:rsidRPr="007579C6">
        <w:rPr>
          <w:i/>
          <w:iCs/>
        </w:rPr>
        <w:t>Société,</w:t>
      </w:r>
      <w:r w:rsidRPr="00CB4F2C">
        <w:t xml:space="preserve"> n°</w:t>
      </w:r>
      <w:r>
        <w:t> </w:t>
      </w:r>
      <w:r w:rsidRPr="00CB4F2C">
        <w:t>3, été 1988, p</w:t>
      </w:r>
      <w:r>
        <w:t>p</w:t>
      </w:r>
      <w:r w:rsidRPr="00CB4F2C">
        <w:t>. 125-157.</w:t>
      </w:r>
    </w:p>
    <w:p w:rsidR="00B7214C" w:rsidRPr="00CB4F2C" w:rsidRDefault="00B7214C" w:rsidP="00B7214C">
      <w:pPr>
        <w:spacing w:before="120" w:after="120"/>
        <w:jc w:val="both"/>
      </w:pPr>
      <w:r w:rsidRPr="00CB4F2C">
        <w:t xml:space="preserve">Freitag, M., « L'identité, l'altérité et le politique. Essai exploratoire de reconstruction conceptuelle-historique ». </w:t>
      </w:r>
      <w:r w:rsidRPr="007579C6">
        <w:rPr>
          <w:i/>
          <w:iCs/>
        </w:rPr>
        <w:t>Société,</w:t>
      </w:r>
      <w:r w:rsidRPr="00CB4F2C">
        <w:t xml:space="preserve"> n°</w:t>
      </w:r>
      <w:r>
        <w:t> </w:t>
      </w:r>
      <w:r w:rsidRPr="00CB4F2C">
        <w:t xml:space="preserve">9, hiver 1992, </w:t>
      </w:r>
      <w:r>
        <w:t>p</w:t>
      </w:r>
      <w:r w:rsidRPr="00CB4F2C">
        <w:t>p. 1-55.</w:t>
      </w:r>
    </w:p>
    <w:p w:rsidR="00B7214C" w:rsidRPr="007579C6" w:rsidRDefault="00B7214C" w:rsidP="00B7214C">
      <w:pPr>
        <w:spacing w:before="120" w:after="120"/>
        <w:jc w:val="both"/>
      </w:pPr>
      <w:r w:rsidRPr="007579C6">
        <w:rPr>
          <w:iCs/>
        </w:rPr>
        <w:t>Freitag, M.,</w:t>
      </w:r>
      <w:r w:rsidRPr="00E71A65">
        <w:rPr>
          <w:rStyle w:val="Corpsdutexte5NonItalique"/>
          <w:i w:val="0"/>
        </w:rPr>
        <w:t xml:space="preserve"> </w:t>
      </w:r>
      <w:hyperlink r:id="rId51" w:history="1">
        <w:r w:rsidRPr="001D2D05">
          <w:rPr>
            <w:rStyle w:val="Lienhypertexte"/>
            <w:i/>
          </w:rPr>
          <w:t>Dialectique et société</w:t>
        </w:r>
      </w:hyperlink>
      <w:r w:rsidRPr="00E71A65">
        <w:rPr>
          <w:i/>
        </w:rPr>
        <w:t>. Vol. 2 : Culture, pouvoir, contrôle. Les modes formels de reproduction de la société</w:t>
      </w:r>
      <w:r w:rsidRPr="007579C6">
        <w:t>,</w:t>
      </w:r>
      <w:r w:rsidRPr="007579C6">
        <w:rPr>
          <w:iCs/>
        </w:rPr>
        <w:t xml:space="preserve"> Montréal, Saint-Martin, 1986.</w:t>
      </w:r>
    </w:p>
    <w:p w:rsidR="00B7214C" w:rsidRPr="00CB4F2C" w:rsidRDefault="00B7214C" w:rsidP="00B7214C">
      <w:pPr>
        <w:spacing w:before="120" w:after="120"/>
        <w:jc w:val="both"/>
      </w:pPr>
      <w:r w:rsidRPr="00CB4F2C">
        <w:t>Gagné, G., « </w:t>
      </w:r>
      <w:hyperlink r:id="rId52" w:history="1">
        <w:r w:rsidRPr="001D2D05">
          <w:rPr>
            <w:rStyle w:val="Lienhypertexte"/>
          </w:rPr>
          <w:t>L'État commercial ouvert </w:t>
        </w:r>
      </w:hyperlink>
      <w:r w:rsidRPr="00CB4F2C">
        <w:t xml:space="preserve">», </w:t>
      </w:r>
      <w:r w:rsidRPr="007579C6">
        <w:rPr>
          <w:i/>
          <w:iCs/>
        </w:rPr>
        <w:t>Conjonctures et polit</w:t>
      </w:r>
      <w:r w:rsidRPr="007579C6">
        <w:rPr>
          <w:i/>
          <w:iCs/>
        </w:rPr>
        <w:t>i</w:t>
      </w:r>
      <w:r w:rsidRPr="007579C6">
        <w:rPr>
          <w:i/>
          <w:iCs/>
        </w:rPr>
        <w:t>que,</w:t>
      </w:r>
      <w:r w:rsidRPr="00CB4F2C">
        <w:t xml:space="preserve"> n°</w:t>
      </w:r>
      <w:r>
        <w:t> </w:t>
      </w:r>
      <w:r w:rsidRPr="00CB4F2C">
        <w:t>7, automne 1985, p</w:t>
      </w:r>
      <w:r>
        <w:t>p</w:t>
      </w:r>
      <w:r w:rsidRPr="00CB4F2C">
        <w:t>. 51-78.</w:t>
      </w:r>
    </w:p>
    <w:p w:rsidR="00B7214C" w:rsidRPr="007579C6" w:rsidRDefault="00B7214C" w:rsidP="00B7214C">
      <w:pPr>
        <w:spacing w:before="120" w:after="120"/>
        <w:jc w:val="both"/>
      </w:pPr>
      <w:r w:rsidRPr="007579C6">
        <w:rPr>
          <w:iCs/>
        </w:rPr>
        <w:t xml:space="preserve">Gauchet, M., </w:t>
      </w:r>
      <w:r w:rsidRPr="007579C6">
        <w:t>Le désenchantement du monde : une histoire polit</w:t>
      </w:r>
      <w:r w:rsidRPr="007579C6">
        <w:t>i</w:t>
      </w:r>
      <w:r w:rsidRPr="007579C6">
        <w:t>que de la religion,</w:t>
      </w:r>
      <w:r w:rsidRPr="007579C6">
        <w:rPr>
          <w:iCs/>
        </w:rPr>
        <w:t xml:space="preserve"> Paris, Gallimard, 1985.</w:t>
      </w:r>
    </w:p>
    <w:p w:rsidR="00B7214C" w:rsidRPr="007579C6" w:rsidRDefault="00B7214C" w:rsidP="00B7214C">
      <w:pPr>
        <w:spacing w:before="120" w:after="120"/>
        <w:jc w:val="both"/>
      </w:pPr>
      <w:r w:rsidRPr="007579C6">
        <w:rPr>
          <w:iCs/>
        </w:rPr>
        <w:t xml:space="preserve">Georges, R., </w:t>
      </w:r>
      <w:r w:rsidRPr="007579C6">
        <w:t xml:space="preserve">Hétérogénéité culturelle et communications : visages nouveaux de l'aliénation, </w:t>
      </w:r>
      <w:r w:rsidRPr="007579C6">
        <w:rPr>
          <w:iCs/>
        </w:rPr>
        <w:t>Paris, Anthropos, 1978.</w:t>
      </w:r>
    </w:p>
    <w:p w:rsidR="00B7214C" w:rsidRPr="007579C6" w:rsidRDefault="00B7214C" w:rsidP="00B7214C">
      <w:pPr>
        <w:spacing w:before="120" w:after="120"/>
        <w:jc w:val="both"/>
      </w:pPr>
      <w:r w:rsidRPr="007579C6">
        <w:rPr>
          <w:iCs/>
        </w:rPr>
        <w:t xml:space="preserve">Habermas, J., </w:t>
      </w:r>
      <w:r w:rsidRPr="007579C6">
        <w:t>L'espace public : archéologie de la publicité comme d</w:t>
      </w:r>
      <w:r w:rsidRPr="007579C6">
        <w:t>i</w:t>
      </w:r>
      <w:r w:rsidRPr="007579C6">
        <w:t>mension constitutive de la société bourgeoise,</w:t>
      </w:r>
      <w:r w:rsidRPr="007579C6">
        <w:rPr>
          <w:iCs/>
        </w:rPr>
        <w:t xml:space="preserve"> trad., Paris, Payot, 1978.</w:t>
      </w:r>
    </w:p>
    <w:p w:rsidR="00B7214C" w:rsidRPr="00CB4F2C" w:rsidRDefault="00B7214C" w:rsidP="00B7214C">
      <w:pPr>
        <w:spacing w:before="120" w:after="120"/>
        <w:jc w:val="both"/>
      </w:pPr>
      <w:r w:rsidRPr="00CB4F2C">
        <w:t xml:space="preserve">Lasch, C., </w:t>
      </w:r>
      <w:r w:rsidRPr="007579C6">
        <w:rPr>
          <w:i/>
          <w:iCs/>
        </w:rPr>
        <w:t>The Minimal Self,</w:t>
      </w:r>
      <w:r w:rsidRPr="00CB4F2C">
        <w:t xml:space="preserve"> Londres, Picador, 1985.</w:t>
      </w:r>
    </w:p>
    <w:p w:rsidR="00B7214C" w:rsidRPr="00CB4F2C" w:rsidRDefault="00B7214C" w:rsidP="00B7214C">
      <w:pPr>
        <w:spacing w:before="120" w:after="120"/>
        <w:jc w:val="both"/>
      </w:pPr>
      <w:r w:rsidRPr="00CB4F2C">
        <w:t xml:space="preserve">Lasch, C., </w:t>
      </w:r>
      <w:r w:rsidRPr="007579C6">
        <w:rPr>
          <w:i/>
          <w:iCs/>
        </w:rPr>
        <w:t>Le complexe de Narcisse,</w:t>
      </w:r>
      <w:r w:rsidRPr="00CB4F2C">
        <w:t xml:space="preserve"> trad., Paris, Laffont, 1981.</w:t>
      </w:r>
    </w:p>
    <w:p w:rsidR="00B7214C" w:rsidRPr="007579C6" w:rsidRDefault="00B7214C" w:rsidP="00B7214C">
      <w:pPr>
        <w:spacing w:before="120" w:after="120"/>
        <w:jc w:val="both"/>
      </w:pPr>
      <w:r w:rsidRPr="007579C6">
        <w:rPr>
          <w:iCs/>
        </w:rPr>
        <w:t xml:space="preserve">Laufer, R. et C. Paradeise, </w:t>
      </w:r>
      <w:r w:rsidRPr="007579C6">
        <w:t>Le Prince bureaucrate : Machiavel au pays du marketing,</w:t>
      </w:r>
      <w:r w:rsidRPr="007579C6">
        <w:rPr>
          <w:iCs/>
        </w:rPr>
        <w:t xml:space="preserve"> Paris, Flammarion, 1982.</w:t>
      </w:r>
    </w:p>
    <w:p w:rsidR="00B7214C" w:rsidRPr="007579C6" w:rsidRDefault="00B7214C" w:rsidP="00B7214C">
      <w:pPr>
        <w:spacing w:before="120" w:after="120"/>
        <w:jc w:val="both"/>
      </w:pPr>
      <w:r w:rsidRPr="007579C6">
        <w:rPr>
          <w:iCs/>
        </w:rPr>
        <w:t xml:space="preserve">Lipovetsky, </w:t>
      </w:r>
      <w:r w:rsidRPr="007579C6">
        <w:t>G., La société de l'éphémère : la mode et son destin dans les sociétés modernes,</w:t>
      </w:r>
      <w:r w:rsidRPr="007579C6">
        <w:rPr>
          <w:iCs/>
        </w:rPr>
        <w:t xml:space="preserve"> Paris, Gallimard, 1987.</w:t>
      </w:r>
    </w:p>
    <w:p w:rsidR="00B7214C" w:rsidRPr="007579C6" w:rsidRDefault="00B7214C" w:rsidP="00B7214C">
      <w:pPr>
        <w:spacing w:before="120" w:after="120"/>
        <w:jc w:val="both"/>
      </w:pPr>
      <w:r w:rsidRPr="007579C6">
        <w:rPr>
          <w:iCs/>
        </w:rPr>
        <w:t xml:space="preserve">Lipovetsky, G., </w:t>
      </w:r>
      <w:r w:rsidRPr="007579C6">
        <w:t>L'ère du vide : essais sur l'individualisme conte</w:t>
      </w:r>
      <w:r w:rsidRPr="007579C6">
        <w:t>m</w:t>
      </w:r>
      <w:r w:rsidRPr="007579C6">
        <w:t>p</w:t>
      </w:r>
      <w:r w:rsidRPr="007579C6">
        <w:t>o</w:t>
      </w:r>
      <w:r w:rsidRPr="007579C6">
        <w:t>rain,</w:t>
      </w:r>
      <w:r w:rsidRPr="007579C6">
        <w:rPr>
          <w:iCs/>
        </w:rPr>
        <w:t xml:space="preserve"> Paris, Gallimard, 1983.</w:t>
      </w:r>
    </w:p>
    <w:p w:rsidR="00B7214C" w:rsidRPr="007579C6" w:rsidRDefault="00B7214C" w:rsidP="00B7214C">
      <w:pPr>
        <w:spacing w:before="120" w:after="120"/>
        <w:jc w:val="both"/>
      </w:pPr>
      <w:r w:rsidRPr="007579C6">
        <w:rPr>
          <w:iCs/>
        </w:rPr>
        <w:t xml:space="preserve">Maffesoli, M., </w:t>
      </w:r>
      <w:r w:rsidRPr="007579C6">
        <w:t>Le temps des tribus : le déclin de l'individualisme dans les sociétés de masse,</w:t>
      </w:r>
      <w:r w:rsidRPr="007579C6">
        <w:rPr>
          <w:iCs/>
        </w:rPr>
        <w:t xml:space="preserve"> Paris, Klincksieck, 1988.</w:t>
      </w:r>
    </w:p>
    <w:p w:rsidR="00B7214C" w:rsidRPr="00CB4F2C" w:rsidRDefault="00B7214C" w:rsidP="00B7214C">
      <w:pPr>
        <w:spacing w:before="120" w:after="120"/>
        <w:jc w:val="both"/>
      </w:pPr>
      <w:r w:rsidRPr="00CB4F2C">
        <w:t xml:space="preserve">Pagès, M. </w:t>
      </w:r>
      <w:r w:rsidRPr="007579C6">
        <w:rPr>
          <w:i/>
          <w:iCs/>
        </w:rPr>
        <w:t>et al., L'emprise de l'organisation,</w:t>
      </w:r>
      <w:r w:rsidRPr="00CB4F2C">
        <w:t xml:space="preserve"> Paris, Presses unive</w:t>
      </w:r>
      <w:r w:rsidRPr="00CB4F2C">
        <w:t>r</w:t>
      </w:r>
      <w:r w:rsidRPr="00CB4F2C">
        <w:t>sitaires de France, 1979.</w:t>
      </w:r>
    </w:p>
    <w:p w:rsidR="00B7214C" w:rsidRPr="00CB4F2C" w:rsidRDefault="00B7214C" w:rsidP="00B7214C">
      <w:pPr>
        <w:spacing w:before="120" w:after="120"/>
        <w:jc w:val="both"/>
      </w:pPr>
      <w:r w:rsidRPr="00CB4F2C">
        <w:t>Schecter, S., « De la stratification sociale dans la société postm</w:t>
      </w:r>
      <w:r w:rsidRPr="00CB4F2C">
        <w:t>o</w:t>
      </w:r>
      <w:r w:rsidRPr="00CB4F2C">
        <w:t xml:space="preserve">derne ». </w:t>
      </w:r>
      <w:r w:rsidRPr="007579C6">
        <w:rPr>
          <w:i/>
          <w:iCs/>
        </w:rPr>
        <w:t>Société,</w:t>
      </w:r>
      <w:r w:rsidRPr="00CB4F2C">
        <w:t xml:space="preserve"> n° 11, été 1993, p</w:t>
      </w:r>
      <w:r>
        <w:t>p</w:t>
      </w:r>
      <w:r w:rsidRPr="00CB4F2C">
        <w:t>. 57-94.</w:t>
      </w:r>
    </w:p>
    <w:p w:rsidR="00B7214C" w:rsidRPr="00CB4F2C" w:rsidRDefault="00B7214C" w:rsidP="00B7214C">
      <w:pPr>
        <w:spacing w:before="120" w:after="120"/>
        <w:jc w:val="both"/>
      </w:pPr>
      <w:r w:rsidRPr="00CB4F2C">
        <w:t xml:space="preserve">Simmel, G., « Freedom and the Individual », dans G. Simmel, </w:t>
      </w:r>
      <w:r w:rsidRPr="007579C6">
        <w:rPr>
          <w:i/>
          <w:iCs/>
        </w:rPr>
        <w:t>I</w:t>
      </w:r>
      <w:r w:rsidRPr="007579C6">
        <w:rPr>
          <w:i/>
          <w:iCs/>
        </w:rPr>
        <w:t>n</w:t>
      </w:r>
      <w:r w:rsidRPr="007579C6">
        <w:rPr>
          <w:i/>
          <w:iCs/>
        </w:rPr>
        <w:t>dividuality and Social Forms,</w:t>
      </w:r>
      <w:r w:rsidRPr="00CB4F2C">
        <w:t xml:space="preserve"> Donald N. Levine (dir.), Chicago, The Uni versity of Chicago Press, 1971.</w:t>
      </w:r>
    </w:p>
    <w:p w:rsidR="00B7214C" w:rsidRPr="00CB4F2C" w:rsidRDefault="00B7214C" w:rsidP="00B7214C">
      <w:pPr>
        <w:spacing w:before="120" w:after="120"/>
        <w:jc w:val="both"/>
      </w:pPr>
      <w:r w:rsidRPr="00CB4F2C">
        <w:t xml:space="preserve">Taylor, C., </w:t>
      </w:r>
      <w:r w:rsidRPr="007579C6">
        <w:rPr>
          <w:i/>
          <w:iCs/>
        </w:rPr>
        <w:t>Grandeur et misère de la modernité,</w:t>
      </w:r>
      <w:r w:rsidRPr="00CB4F2C">
        <w:t xml:space="preserve"> Montréal, Bella</w:t>
      </w:r>
      <w:r w:rsidRPr="00CB4F2C">
        <w:t>r</w:t>
      </w:r>
      <w:r w:rsidRPr="00CB4F2C">
        <w:t>min, 1992.</w:t>
      </w:r>
    </w:p>
    <w:p w:rsidR="00B7214C" w:rsidRDefault="00B7214C" w:rsidP="00B7214C">
      <w:pPr>
        <w:spacing w:before="120" w:after="120"/>
        <w:jc w:val="both"/>
      </w:pPr>
      <w:r w:rsidRPr="00CB4F2C">
        <w:t xml:space="preserve">Touraine, A., </w:t>
      </w:r>
      <w:hyperlink r:id="rId53" w:history="1">
        <w:r w:rsidRPr="001D2D05">
          <w:rPr>
            <w:rStyle w:val="Lienhypertexte"/>
            <w:szCs w:val="19"/>
            <w:lang w:eastAsia="fr-FR" w:bidi="fr-FR"/>
          </w:rPr>
          <w:t>Critique de la modernité</w:t>
        </w:r>
      </w:hyperlink>
      <w:r w:rsidRPr="00CB4F2C">
        <w:rPr>
          <w:rStyle w:val="Corpsdutexte4Italique"/>
        </w:rPr>
        <w:t>,</w:t>
      </w:r>
      <w:r w:rsidRPr="00CB4F2C">
        <w:t xml:space="preserve"> Paris, Fayard, 1992.</w:t>
      </w:r>
    </w:p>
    <w:p w:rsidR="00B7214C" w:rsidRDefault="00B7214C" w:rsidP="00B7214C">
      <w:pPr>
        <w:pStyle w:val="p"/>
      </w:pPr>
      <w:r w:rsidRPr="00CB4F2C">
        <w:br w:type="page"/>
      </w:r>
      <w:r>
        <w:t>[151]</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5" w:name="Entre_tradition_pt_1_texte_08"/>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B. ETHNICITÉS CULTURELLES ET INTÉGRATION SOCIALE</w:t>
      </w:r>
    </w:p>
    <w:p w:rsidR="00B7214C" w:rsidRPr="00384B20" w:rsidRDefault="00B7214C" w:rsidP="00B7214C">
      <w:pPr>
        <w:pStyle w:val="Titreniveau1"/>
      </w:pPr>
      <w:r>
        <w:t>8</w:t>
      </w:r>
    </w:p>
    <w:p w:rsidR="00B7214C" w:rsidRDefault="00B7214C" w:rsidP="00B7214C">
      <w:pPr>
        <w:pStyle w:val="Titreniveau2"/>
      </w:pPr>
      <w:r>
        <w:t>“Pour éviter les pièges</w:t>
      </w:r>
      <w:r>
        <w:br/>
        <w:t>du relativisme culturel.”</w:t>
      </w:r>
    </w:p>
    <w:bookmarkEnd w:id="15"/>
    <w:p w:rsidR="00B7214C" w:rsidRPr="00E07116" w:rsidRDefault="00B7214C" w:rsidP="00B7214C">
      <w:pPr>
        <w:jc w:val="both"/>
        <w:rPr>
          <w:szCs w:val="36"/>
        </w:rPr>
      </w:pPr>
    </w:p>
    <w:p w:rsidR="00B7214C" w:rsidRPr="00E07116" w:rsidRDefault="00B7214C" w:rsidP="00B7214C">
      <w:pPr>
        <w:pStyle w:val="suite"/>
      </w:pPr>
      <w:r>
        <w:t>Par Fernand OUELLET</w:t>
      </w:r>
    </w:p>
    <w:p w:rsidR="00B7214C" w:rsidRPr="00E07116" w:rsidRDefault="00B7214C" w:rsidP="00B7214C">
      <w:pPr>
        <w:pStyle w:val="auteurst"/>
      </w:pPr>
      <w:r w:rsidRPr="004A7EF1">
        <w:t>Faculté de théologie. Université de Sherbrooke</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A</w:t>
      </w:r>
      <w:r w:rsidRPr="00CB4F2C">
        <w:t>u Québec, comme dans plusieurs sociétés démocratiques mode</w:t>
      </w:r>
      <w:r w:rsidRPr="00CB4F2C">
        <w:t>r</w:t>
      </w:r>
      <w:r w:rsidRPr="00CB4F2C">
        <w:t>nes, on assiste depuis plusieurs années à l'apparition d'un corpus de plus en plus imposant de travaux théoriques et de documents de r</w:t>
      </w:r>
      <w:r w:rsidRPr="00CB4F2C">
        <w:t>é</w:t>
      </w:r>
      <w:r w:rsidRPr="00CB4F2C">
        <w:t>flexion et d'orientation qui tentent de définir les rapports entre la s</w:t>
      </w:r>
      <w:r w:rsidRPr="00CB4F2C">
        <w:t>o</w:t>
      </w:r>
      <w:r w:rsidRPr="00CB4F2C">
        <w:t>ciété d'accueil et les populations toujours plus nombreuses et plus d</w:t>
      </w:r>
      <w:r w:rsidRPr="00CB4F2C">
        <w:t>i</w:t>
      </w:r>
      <w:r w:rsidRPr="00CB4F2C">
        <w:t>versifiées d'immigrants qui sont invités à venir combler les vides créés par la chute dramatique de la fécondité des familles. Ces documents sont généralement favorables au respect de la culture et des traditions que les nouveaux immigrants apportent avec eux et cherchent à définir des aménagements susceptibles de permettre une coexistence harm</w:t>
      </w:r>
      <w:r w:rsidRPr="00CB4F2C">
        <w:t>o</w:t>
      </w:r>
      <w:r w:rsidRPr="00CB4F2C">
        <w:t>nieuse et des échanges enrichissants entre ces nouvelles cultures et la culture de la société d'accueil. Cet appel à l'ouverture s'appuie so</w:t>
      </w:r>
      <w:r w:rsidRPr="00CB4F2C">
        <w:t>u</w:t>
      </w:r>
      <w:r w:rsidRPr="00CB4F2C">
        <w:t>vent, implicitement ou explicitement, sur une théorie du relativisme culturel (Conseil supérieur de l'éducation, 1987). Cette théorie, sous sa forme vulgarisée, repose sur l'idée générale qu'il n'est pas possible ni légitime de porter des jugements de valeur sur des conceptions, des pratiques et des normes qui émanent d'un système culturel différent à partir de celles qui émanent du système culturel dont on fait soi-même partie. Elle conduit tout naturellement à construire les rapports entre les cultures, au sein d'une société particulière et à l'échelle de la plan</w:t>
      </w:r>
      <w:r w:rsidRPr="00CB4F2C">
        <w:t>è</w:t>
      </w:r>
      <w:r w:rsidRPr="00CB4F2C">
        <w:t>te, comme la rencontre d'univers différents qui risquent de perdre leur authenticité et de se désagréger si des efforts spéciaux ne sont pas faits pour préserver leur intégrité en limitant les échanges interculturels ; en particulier, les cultures</w:t>
      </w:r>
      <w:r>
        <w:t xml:space="preserve"> [152] </w:t>
      </w:r>
      <w:r w:rsidRPr="00CB4F2C">
        <w:t>dites « traditionnelles » doivent tout mettre en œuvre pour se protéger d'une culture particulièrement da</w:t>
      </w:r>
      <w:r w:rsidRPr="00CB4F2C">
        <w:t>n</w:t>
      </w:r>
      <w:r w:rsidRPr="00CB4F2C">
        <w:t>gereuse, la « culture occide</w:t>
      </w:r>
      <w:r w:rsidRPr="00CB4F2C">
        <w:t>n</w:t>
      </w:r>
      <w:r w:rsidRPr="00CB4F2C">
        <w:t>tale ».</w:t>
      </w:r>
    </w:p>
    <w:p w:rsidR="00B7214C" w:rsidRPr="00CB4F2C" w:rsidRDefault="00B7214C" w:rsidP="00B7214C">
      <w:pPr>
        <w:spacing w:before="120" w:after="120"/>
        <w:jc w:val="both"/>
      </w:pPr>
      <w:r w:rsidRPr="00CB4F2C">
        <w:t>Plusieurs auteurs d'ici et d'ailleurs ont montré que le relativisme culturel ne constituait pas une base adéquate pour aménager les rel</w:t>
      </w:r>
      <w:r w:rsidRPr="00CB4F2C">
        <w:t>a</w:t>
      </w:r>
      <w:r w:rsidRPr="00CB4F2C">
        <w:t>tions interculturelles dans les sociétés pluralistes modernes et qu'il reposait sur une mauvaise analyse des rapports complexes et divers</w:t>
      </w:r>
      <w:r w:rsidRPr="00CB4F2C">
        <w:t>i</w:t>
      </w:r>
      <w:r w:rsidRPr="00CB4F2C">
        <w:t>fiés qu'entretiennent les individus au « champ culturel » particulier que constitue la culture ethnique dans laquelle ils sont nés. Je voudrais montrer, en m'appuyant sur les travaux de ces chercheurs, qu'il est i</w:t>
      </w:r>
      <w:r w:rsidRPr="00CB4F2C">
        <w:t>m</w:t>
      </w:r>
      <w:r w:rsidRPr="00CB4F2C">
        <w:t>possible de parvenir à une représentation adéquate de ces rapports sans les situer dans une analyse du phénomène de la modernité. Dans un premier temps, j'évoquerai rapidement les circonstances qui ont marqué l'apparition du « dogme du relativisme culturel » (Abou, 1992, p. 81) en F</w:t>
      </w:r>
      <w:r>
        <w:t>rance sous l'influence de Lévi-</w:t>
      </w:r>
      <w:r w:rsidRPr="00CB4F2C">
        <w:t>Strauss. La deuxième partie présentera les éléments d'une théorie de la modernité qui permet de sortir des impasses du relativisme culturel sans retomber dans l'ethn</w:t>
      </w:r>
      <w:r w:rsidRPr="00CB4F2C">
        <w:t>o</w:t>
      </w:r>
      <w:r w:rsidRPr="00CB4F2C">
        <w:t>centrisme. J'aborderai rapidement une autre forme de relativisme, le relativisme moral ou « relativisme doux », que Taylor (1992) consid</w:t>
      </w:r>
      <w:r w:rsidRPr="00CB4F2C">
        <w:t>è</w:t>
      </w:r>
      <w:r w:rsidRPr="00CB4F2C">
        <w:t>re comme un dérapage de la modernité. En conclusion, je tenterai de dégager quelques implications de cette discussion pour la formation interculturelle de tous ceux qui veulent travailler au renouvellement des institutions québécoises pour qu'elles contribuent efficacement au projet d'intégration pluraliste de tous les citoyens à un espace civique commun.</w:t>
      </w:r>
    </w:p>
    <w:p w:rsidR="00B7214C" w:rsidRDefault="00B7214C" w:rsidP="00B7214C">
      <w:pPr>
        <w:spacing w:before="120" w:after="120"/>
        <w:jc w:val="both"/>
      </w:pPr>
      <w:r>
        <w:br w:type="page"/>
      </w:r>
    </w:p>
    <w:p w:rsidR="00B7214C" w:rsidRPr="00CB4F2C" w:rsidRDefault="00B7214C" w:rsidP="00B7214C">
      <w:pPr>
        <w:pStyle w:val="a"/>
      </w:pPr>
      <w:r w:rsidRPr="00CB4F2C">
        <w:t xml:space="preserve">COMMENT ON EST TOMBÉ </w:t>
      </w:r>
      <w:r>
        <w:br/>
      </w:r>
      <w:r w:rsidRPr="00CB4F2C">
        <w:t>DANS L'ETHNOCENTRISME EN VOULANT L'ÉVITER</w:t>
      </w:r>
    </w:p>
    <w:p w:rsidR="00B7214C" w:rsidRDefault="00B7214C" w:rsidP="00B7214C">
      <w:pPr>
        <w:spacing w:before="120" w:after="120"/>
        <w:jc w:val="both"/>
      </w:pPr>
    </w:p>
    <w:p w:rsidR="00B7214C" w:rsidRPr="00CB4F2C" w:rsidRDefault="00B7214C" w:rsidP="00B7214C">
      <w:pPr>
        <w:spacing w:before="120" w:after="120"/>
        <w:jc w:val="both"/>
      </w:pPr>
      <w:r w:rsidRPr="00CB4F2C">
        <w:t xml:space="preserve">D'après </w:t>
      </w:r>
      <w:hyperlink r:id="rId54" w:history="1">
        <w:r w:rsidRPr="001D2D05">
          <w:rPr>
            <w:rStyle w:val="Lienhypertexte"/>
          </w:rPr>
          <w:t>Sélim Abou</w:t>
        </w:r>
      </w:hyperlink>
      <w:r w:rsidRPr="00CB4F2C">
        <w:t xml:space="preserve"> (1992, p. 13-24), la résurgence de l'ethnicité et l'affirmation du « droit à la différence » qui l'accompagne constitue, dans une large mesure, une réaction au fait que la Déclaration unive</w:t>
      </w:r>
      <w:r w:rsidRPr="00CB4F2C">
        <w:t>r</w:t>
      </w:r>
      <w:r w:rsidRPr="00CB4F2C">
        <w:t>selle des droits de l'homme, proclamée au lendemain de la Deuxième Guerre mondiale, n'accorde aucune place aux droits culturels partic</w:t>
      </w:r>
      <w:r w:rsidRPr="00CB4F2C">
        <w:t>u</w:t>
      </w:r>
      <w:r w:rsidRPr="00CB4F2C">
        <w:t>liers des entités ethniques. La Déclaration visait à éliminer les formes exacerbées de nationalisme qui avaient engendré, dans l'Allemagne nazie en particulier, les formes les plus barbares du racisme et de l'ethnocentrisme. « La Déclaration entendait affirmer les principes qui rapprochent les hommes et non ceux qui les séparent, leur droit à l'égalité, et donc à la ressemblance, et non leur droit à la différence » (p. 13). Abou distingue quatre courants principaux dans ce mouv</w:t>
      </w:r>
      <w:r w:rsidRPr="00CB4F2C">
        <w:t>e</w:t>
      </w:r>
      <w:r w:rsidRPr="00CB4F2C">
        <w:t>ment de réaffirmation de l'ethnicité :</w:t>
      </w:r>
    </w:p>
    <w:p w:rsidR="00B7214C" w:rsidRDefault="00B7214C" w:rsidP="00B7214C">
      <w:pPr>
        <w:spacing w:before="120" w:after="120"/>
        <w:jc w:val="both"/>
      </w:pPr>
    </w:p>
    <w:p w:rsidR="00B7214C" w:rsidRDefault="00B7214C" w:rsidP="00B7214C">
      <w:pPr>
        <w:spacing w:before="120" w:after="120"/>
        <w:ind w:left="720" w:hanging="360"/>
        <w:jc w:val="both"/>
      </w:pPr>
      <w:r w:rsidRPr="00CB4F2C">
        <w:t>-</w:t>
      </w:r>
      <w:r>
        <w:tab/>
      </w:r>
      <w:r w:rsidRPr="00CB4F2C">
        <w:t xml:space="preserve">celui des peuples décolonisés </w:t>
      </w:r>
      <w:r w:rsidRPr="00EF16F7">
        <w:t xml:space="preserve">d'Afrique </w:t>
      </w:r>
      <w:r w:rsidRPr="00CB4F2C">
        <w:t>et d'Asie soucieux d'a</w:t>
      </w:r>
      <w:r w:rsidRPr="00CB4F2C">
        <w:t>f</w:t>
      </w:r>
      <w:r w:rsidRPr="00CB4F2C">
        <w:t>firmer une identité incertaine ;</w:t>
      </w:r>
    </w:p>
    <w:p w:rsidR="00B7214C" w:rsidRPr="00CB4F2C" w:rsidRDefault="00B7214C" w:rsidP="00B7214C">
      <w:pPr>
        <w:pStyle w:val="p"/>
      </w:pPr>
      <w:r>
        <w:t>[</w:t>
      </w:r>
      <w:r w:rsidRPr="00CB4F2C">
        <w:t>153</w:t>
      </w:r>
      <w:r>
        <w:t>]</w:t>
      </w:r>
    </w:p>
    <w:p w:rsidR="00B7214C" w:rsidRPr="00CB4F2C" w:rsidRDefault="00B7214C" w:rsidP="00B7214C">
      <w:pPr>
        <w:spacing w:before="120" w:after="120"/>
        <w:ind w:left="720" w:hanging="360"/>
        <w:jc w:val="both"/>
      </w:pPr>
      <w:r>
        <w:t>-</w:t>
      </w:r>
      <w:r>
        <w:tab/>
      </w:r>
      <w:r w:rsidRPr="00CB4F2C">
        <w:t>celui des minorités ethniques soucieuses de préserver leur cult</w:t>
      </w:r>
      <w:r w:rsidRPr="00CB4F2C">
        <w:t>u</w:t>
      </w:r>
      <w:r w:rsidRPr="00CB4F2C">
        <w:t>re dans le processus d'intégration ;</w:t>
      </w:r>
    </w:p>
    <w:p w:rsidR="00B7214C" w:rsidRPr="00CB4F2C" w:rsidRDefault="00B7214C" w:rsidP="00B7214C">
      <w:pPr>
        <w:spacing w:before="120" w:after="120"/>
        <w:ind w:left="720" w:hanging="360"/>
        <w:jc w:val="both"/>
      </w:pPr>
      <w:r>
        <w:t>-</w:t>
      </w:r>
      <w:r>
        <w:tab/>
      </w:r>
      <w:r w:rsidRPr="00CB4F2C">
        <w:t>celui des peuples amérindiens qui résistent à l'assimilation ;</w:t>
      </w:r>
    </w:p>
    <w:p w:rsidR="00B7214C" w:rsidRPr="00CB4F2C" w:rsidRDefault="00B7214C" w:rsidP="00B7214C">
      <w:pPr>
        <w:spacing w:before="120" w:after="120"/>
        <w:ind w:left="720" w:hanging="360"/>
        <w:jc w:val="both"/>
      </w:pPr>
      <w:r>
        <w:t>-</w:t>
      </w:r>
      <w:r>
        <w:tab/>
      </w:r>
      <w:r w:rsidRPr="00CB4F2C">
        <w:t>celui des minorités ethnoreligieuses dans l'ancienne Union s</w:t>
      </w:r>
      <w:r w:rsidRPr="00CB4F2C">
        <w:t>o</w:t>
      </w:r>
      <w:r w:rsidRPr="00CB4F2C">
        <w:t>viét</w:t>
      </w:r>
      <w:r w:rsidRPr="00CB4F2C">
        <w:t>i</w:t>
      </w:r>
      <w:r w:rsidRPr="00CB4F2C">
        <w:t>que et dans les pays du bloc de l'Est.</w:t>
      </w:r>
    </w:p>
    <w:p w:rsidR="00B7214C" w:rsidRDefault="00B7214C" w:rsidP="00B7214C">
      <w:pPr>
        <w:spacing w:before="120" w:after="120"/>
        <w:jc w:val="both"/>
      </w:pPr>
    </w:p>
    <w:p w:rsidR="00B7214C" w:rsidRPr="00CB4F2C" w:rsidRDefault="00B7214C" w:rsidP="00B7214C">
      <w:pPr>
        <w:spacing w:before="120" w:after="120"/>
        <w:jc w:val="both"/>
      </w:pPr>
      <w:r w:rsidRPr="00CB4F2C">
        <w:t>Un cinquième courant, plus général, est lié au sentiment de la perte d'identité suscité par l'anonymat des sociétés industrielles avancées. Ce dernier courant est selon Abou « présent à l'acte même de la th</w:t>
      </w:r>
      <w:r w:rsidRPr="00CB4F2C">
        <w:t>é</w:t>
      </w:r>
      <w:r w:rsidRPr="00CB4F2C">
        <w:t>matisation du droit à la différence dans la mesure où les doctrines r</w:t>
      </w:r>
      <w:r w:rsidRPr="00CB4F2C">
        <w:t>e</w:t>
      </w:r>
      <w:r w:rsidRPr="00CB4F2C">
        <w:t>lativistes radicales impliquent chez leurs auteurs occidentaux, une d</w:t>
      </w:r>
      <w:r w:rsidRPr="00CB4F2C">
        <w:t>é</w:t>
      </w:r>
      <w:r w:rsidRPr="00CB4F2C">
        <w:t>préciation de leur propre civilisation, compensée par l'idéalisation des cultures primitives ou traditionnelles » (p. 24).</w:t>
      </w:r>
    </w:p>
    <w:p w:rsidR="00B7214C" w:rsidRPr="00CB4F2C" w:rsidRDefault="00B7214C" w:rsidP="00B7214C">
      <w:pPr>
        <w:spacing w:before="120" w:after="120"/>
        <w:jc w:val="both"/>
      </w:pPr>
      <w:r w:rsidRPr="00CB4F2C">
        <w:t>Abou retrace l'origine des doctrines et des idéologies du relativi</w:t>
      </w:r>
      <w:r w:rsidRPr="00CB4F2C">
        <w:t>s</w:t>
      </w:r>
      <w:r w:rsidRPr="00CB4F2C">
        <w:t xml:space="preserve">me dans le livre de Claude Lévi-Strauss, </w:t>
      </w:r>
      <w:r w:rsidRPr="007579C6">
        <w:rPr>
          <w:i/>
          <w:iCs/>
        </w:rPr>
        <w:t>Race et histoire,</w:t>
      </w:r>
      <w:r w:rsidRPr="00CB4F2C">
        <w:t xml:space="preserve"> commandé et publié par l'UNESCO en 1961. Ce livre est un réquisitoire vigo</w:t>
      </w:r>
      <w:r w:rsidRPr="00CB4F2C">
        <w:t>u</w:t>
      </w:r>
      <w:r w:rsidRPr="00CB4F2C">
        <w:t>reux contre l'ethnocentrisme occidental qui aurait sa source principale dans un « faux évolutionnisme » qui « traite les différents états où se tro</w:t>
      </w:r>
      <w:r w:rsidRPr="00CB4F2C">
        <w:t>u</w:t>
      </w:r>
      <w:r w:rsidRPr="00CB4F2C">
        <w:t xml:space="preserve">vent les sociétés, tant anciennes que lointaines, comme des </w:t>
      </w:r>
      <w:r w:rsidRPr="00EF16F7">
        <w:rPr>
          <w:i/>
          <w:iCs/>
        </w:rPr>
        <w:t>stades</w:t>
      </w:r>
      <w:r w:rsidRPr="00CB4F2C">
        <w:t xml:space="preserve"> ou des </w:t>
      </w:r>
      <w:r w:rsidRPr="00EF16F7">
        <w:rPr>
          <w:i/>
          <w:iCs/>
        </w:rPr>
        <w:t>étapes</w:t>
      </w:r>
      <w:r w:rsidRPr="00CB4F2C">
        <w:t xml:space="preserve"> d'un développement unique qui, partant du même point, doit les faire converger toutes vers le même but » (Lévi-Strauss, 1961, p</w:t>
      </w:r>
      <w:r>
        <w:t>p</w:t>
      </w:r>
      <w:r w:rsidRPr="00CB4F2C">
        <w:t>. 23-24). L'auteur s'attaque ainsi à la vision de l'Histoire qui place la civilisation occidentale au sommet d'un développement que n'ont pas encore atteint les autres cultures :</w:t>
      </w:r>
    </w:p>
    <w:p w:rsidR="00B7214C" w:rsidRDefault="00B7214C" w:rsidP="00B7214C">
      <w:pPr>
        <w:pStyle w:val="Grillecouleur-Accent1"/>
      </w:pPr>
    </w:p>
    <w:p w:rsidR="00B7214C" w:rsidRDefault="00B7214C" w:rsidP="00B7214C">
      <w:pPr>
        <w:pStyle w:val="Grillecouleur-Accent1"/>
      </w:pPr>
      <w:r w:rsidRPr="00CB4F2C">
        <w:t>La conclusion à laquelle aboutissent Lévi-Strauss et, dans son si</w:t>
      </w:r>
      <w:r w:rsidRPr="00CB4F2C">
        <w:t>l</w:t>
      </w:r>
      <w:r w:rsidRPr="00CB4F2C">
        <w:t>lage, nombre d'ethnologues, de sociologues, d'historiens, voire de ph</w:t>
      </w:r>
      <w:r w:rsidRPr="00CB4F2C">
        <w:t>i</w:t>
      </w:r>
      <w:r w:rsidRPr="00CB4F2C">
        <w:t>losophes, séduits par l'approche structuraliste qui privilégie le système ou la sy</w:t>
      </w:r>
      <w:r w:rsidRPr="00CB4F2C">
        <w:t>n</w:t>
      </w:r>
      <w:r w:rsidRPr="00CB4F2C">
        <w:t>chronie par rapport à l'histoire ou à la diachronie, c'est que la continuité du temps est fallacieuse, qu'elle n'est pas signifiante, qu'elle n'est orientée vers aucune finalité d'ordre noétique ou d'ordre moral. Ce qui s'est succédé au hasard du temps et qui coexiste au gré de l'e</w:t>
      </w:r>
      <w:r w:rsidRPr="00CB4F2C">
        <w:t>s</w:t>
      </w:r>
      <w:r w:rsidRPr="00CB4F2C">
        <w:t>pace, ce sont des cultures extrêmement diverses, irréductibles les unes aux autres. De ce point de vue, ce qu'on appelle la civilisation occidentale n'est rien d'autre qu'un e</w:t>
      </w:r>
      <w:r w:rsidRPr="00CB4F2C">
        <w:t>n</w:t>
      </w:r>
      <w:r w:rsidRPr="00CB4F2C">
        <w:t>semble de cultures différenciées qui ne jouissent d'aucun privilège, mais vont au contraire rejoindre les autres cultures sur le tableau immense de la diversité ethnique (Abou, p</w:t>
      </w:r>
      <w:r>
        <w:t>p</w:t>
      </w:r>
      <w:r w:rsidRPr="00CB4F2C">
        <w:t>. 26-27).</w:t>
      </w:r>
    </w:p>
    <w:p w:rsidR="00B7214C" w:rsidRPr="00CB4F2C" w:rsidRDefault="00B7214C" w:rsidP="00B7214C">
      <w:pPr>
        <w:pStyle w:val="Grillecouleur-Accent1"/>
      </w:pPr>
    </w:p>
    <w:p w:rsidR="00B7214C" w:rsidRPr="00CB4F2C" w:rsidRDefault="00B7214C" w:rsidP="00B7214C">
      <w:pPr>
        <w:spacing w:before="120" w:after="120"/>
        <w:jc w:val="both"/>
      </w:pPr>
      <w:r w:rsidRPr="00CB4F2C">
        <w:t>Deux conséquences découlent de cette conclusion : l'égalité des cultures qui « exercent toutes, avec leurs ressources propres, la fon</w:t>
      </w:r>
      <w:r w:rsidRPr="00CB4F2C">
        <w:t>c</w:t>
      </w:r>
      <w:r w:rsidRPr="00CB4F2C">
        <w:t>tion de protéger l'homme contre l'hostilité de la nature et les turbule</w:t>
      </w:r>
      <w:r w:rsidRPr="00CB4F2C">
        <w:t>n</w:t>
      </w:r>
      <w:r w:rsidRPr="00CB4F2C">
        <w:t xml:space="preserve">ces de l'histoire » (p. 27) et l'équivalence des cultures en ce sens que les systèmes de valeurs grâce auxquels elles accomplissent toute cette même fonction sont légitimés en principe et qu'il « n'y a pas d'étalon absolu auquel les mesurer et les juger ». </w:t>
      </w:r>
      <w:r w:rsidRPr="001D2D05">
        <w:rPr>
          <w:i/>
          <w:iCs/>
        </w:rPr>
        <w:t>(Ibid.)</w:t>
      </w:r>
      <w:r w:rsidRPr="00CB4F2C">
        <w:t xml:space="preserve"> Et la thèse relativiste ne s'arrête pas là. Lévi-Strauss</w:t>
      </w:r>
      <w:r>
        <w:t xml:space="preserve"> [154] </w:t>
      </w:r>
      <w:r w:rsidRPr="00CB4F2C">
        <w:t>considère comme légitime et souhaitable que les cultures traditio</w:t>
      </w:r>
      <w:r w:rsidRPr="00CB4F2C">
        <w:t>n</w:t>
      </w:r>
      <w:r w:rsidRPr="00CB4F2C">
        <w:t>nelles évitent le plus possible les contacts avec la « culture occidentale » à cause des processus d'a</w:t>
      </w:r>
      <w:r w:rsidRPr="00CB4F2C">
        <w:t>c</w:t>
      </w:r>
      <w:r w:rsidRPr="00CB4F2C">
        <w:t>culturation qui en résultent. Cette lég</w:t>
      </w:r>
      <w:r w:rsidRPr="00CB4F2C">
        <w:t>i</w:t>
      </w:r>
      <w:r w:rsidRPr="00CB4F2C">
        <w:t xml:space="preserve">timation de l'ethnocentrisme </w:t>
      </w:r>
      <w:r w:rsidRPr="00EF16F7">
        <w:rPr>
          <w:i/>
          <w:iCs/>
        </w:rPr>
        <w:t>pour les autres</w:t>
      </w:r>
      <w:r w:rsidRPr="00CB4F2C">
        <w:t xml:space="preserve"> serait « le prix à payer pour que le système de valeurs de chaque famille spirituelle ou de chaque communauté se conservent et trouvent dans leur propre fonds les re</w:t>
      </w:r>
      <w:r w:rsidRPr="00CB4F2C">
        <w:t>s</w:t>
      </w:r>
      <w:r w:rsidRPr="00CB4F2C">
        <w:t>sources nécessaires à leur renouvellement » (Lévi-Strauss, 1983, p. 15).</w:t>
      </w:r>
    </w:p>
    <w:p w:rsidR="00B7214C" w:rsidRPr="00CB4F2C" w:rsidRDefault="00B7214C" w:rsidP="00B7214C">
      <w:pPr>
        <w:spacing w:before="120" w:after="120"/>
        <w:jc w:val="both"/>
      </w:pPr>
      <w:r w:rsidRPr="00CB4F2C">
        <w:t>Le relativisme radical se distingue d'une forme de relativisme qui n'exclut ni l'existence de valeurs universelles, ni la possibilité de la communication interculturelle et de l'acculturation. Il considère co</w:t>
      </w:r>
      <w:r w:rsidRPr="00CB4F2C">
        <w:t>m</w:t>
      </w:r>
      <w:r w:rsidRPr="00CB4F2C">
        <w:t>me absolue la relativité des cultures : il n'y a pas de valeurs universe</w:t>
      </w:r>
      <w:r w:rsidRPr="00CB4F2C">
        <w:t>l</w:t>
      </w:r>
      <w:r w:rsidRPr="00CB4F2C">
        <w:t>les, les cultures sont imperméables les unes aux autres et il faut éviter les croisements de culture. On aboutit ainsi, par un étrange retourn</w:t>
      </w:r>
      <w:r w:rsidRPr="00CB4F2C">
        <w:t>e</w:t>
      </w:r>
      <w:r w:rsidRPr="00CB4F2C">
        <w:t>ment, à condamner l'ethnocentrisme dont l'Occident s'est rendu co</w:t>
      </w:r>
      <w:r w:rsidRPr="00CB4F2C">
        <w:t>u</w:t>
      </w:r>
      <w:r w:rsidRPr="00CB4F2C">
        <w:t>pable tout en justifiant et en valorisant celui que pratiquent les peuples du tiers monde.</w:t>
      </w:r>
    </w:p>
    <w:p w:rsidR="00B7214C" w:rsidRPr="00CB4F2C" w:rsidRDefault="00B7214C" w:rsidP="00B7214C">
      <w:pPr>
        <w:spacing w:before="120" w:after="120"/>
        <w:jc w:val="both"/>
      </w:pPr>
      <w:r w:rsidRPr="00CB4F2C">
        <w:t>Toutefois, selon Abou, les postulats sur lesquels repose ce « dogme du relativisme culturel » (p. 32) ne résistent toutefois pas à l'examen critique. Il n'est pas vrai qu'une philosophie politique guidée par le principe humaniste aboutisse nécessairement à l'homogénéisation de la société et à l'instauration du parti unique qui est son corollaire. Les démocraties occidentales régies par cette philosophie sont plus ouve</w:t>
      </w:r>
      <w:r w:rsidRPr="00CB4F2C">
        <w:t>r</w:t>
      </w:r>
      <w:r w:rsidRPr="00CB4F2C">
        <w:t>tes au pluralisme que les nations où règne le parti unique qui ont te</w:t>
      </w:r>
      <w:r w:rsidRPr="00CB4F2C">
        <w:t>n</w:t>
      </w:r>
      <w:r w:rsidRPr="00CB4F2C">
        <w:t>dance à se replier jalousement sur leur identité ethnique et leur hérit</w:t>
      </w:r>
      <w:r w:rsidRPr="00CB4F2C">
        <w:t>a</w:t>
      </w:r>
      <w:r w:rsidRPr="00CB4F2C">
        <w:t>ge culturel. D'autre part, le relativisme radical repose sur une mystif</w:t>
      </w:r>
      <w:r w:rsidRPr="00CB4F2C">
        <w:t>i</w:t>
      </w:r>
      <w:r w:rsidRPr="00CB4F2C">
        <w:t>cation du droit à la différence qui se retourne contre ceux en faveur de qui il était édicté. « En ne définissant l'homme que par sa culture, le relativisme radical le réduit à son être social ; il le dépouille de la ra</w:t>
      </w:r>
      <w:r w:rsidRPr="00CB4F2C">
        <w:t>i</w:t>
      </w:r>
      <w:r w:rsidRPr="00CB4F2C">
        <w:t>son théorique et pratique qui est identiquement liberté de pensée et d'action ; il lui interdit l'usage de cette raison/liberté qui le rend cap</w:t>
      </w:r>
      <w:r w:rsidRPr="00CB4F2C">
        <w:t>a</w:t>
      </w:r>
      <w:r w:rsidRPr="00CB4F2C">
        <w:t xml:space="preserve">ble de prendre ses distances par rapport à sa société et à sa culture, pour les critiquer et les transformer » </w:t>
      </w:r>
      <w:r>
        <w:t>(</w:t>
      </w:r>
      <w:r w:rsidRPr="001D2D05">
        <w:rPr>
          <w:i/>
          <w:iCs/>
        </w:rPr>
        <w:t>Ibid.).</w:t>
      </w:r>
      <w:r w:rsidRPr="00CB4F2C">
        <w:t xml:space="preserve"> On aboutit ainsi à trois avatars du droit à la différence :</w:t>
      </w:r>
    </w:p>
    <w:p w:rsidR="00B7214C" w:rsidRDefault="00B7214C" w:rsidP="00B7214C">
      <w:pPr>
        <w:spacing w:before="120" w:after="120"/>
        <w:jc w:val="both"/>
      </w:pPr>
    </w:p>
    <w:p w:rsidR="00B7214C" w:rsidRPr="00CB4F2C" w:rsidRDefault="00B7214C" w:rsidP="00B7214C">
      <w:pPr>
        <w:spacing w:before="120" w:after="120"/>
        <w:ind w:left="720" w:hanging="360"/>
        <w:jc w:val="both"/>
      </w:pPr>
      <w:r>
        <w:t>-</w:t>
      </w:r>
      <w:r>
        <w:tab/>
      </w:r>
      <w:r w:rsidRPr="00CB4F2C">
        <w:t xml:space="preserve">le </w:t>
      </w:r>
      <w:r w:rsidRPr="00A65CD4">
        <w:rPr>
          <w:i/>
          <w:iCs/>
          <w:color w:val="0000FF"/>
        </w:rPr>
        <w:t>droit à l'enfermement </w:t>
      </w:r>
      <w:r>
        <w:rPr>
          <w:i/>
          <w:iCs/>
        </w:rPr>
        <w:t>:</w:t>
      </w:r>
      <w:r w:rsidRPr="001D2D05">
        <w:t xml:space="preserve"> </w:t>
      </w:r>
      <w:r w:rsidRPr="00CB4F2C">
        <w:t>lorsque l'identité ethnique devient un pôle de référence exclusif pour les individus, elle se transforme fac</w:t>
      </w:r>
      <w:r w:rsidRPr="00CB4F2C">
        <w:t>i</w:t>
      </w:r>
      <w:r w:rsidRPr="00CB4F2C">
        <w:t xml:space="preserve">lement en une prison dont il est impossible de </w:t>
      </w:r>
      <w:r>
        <w:t>s'échapper. Le retour à l'ethnici</w:t>
      </w:r>
      <w:r w:rsidRPr="00CB4F2C">
        <w:t>té, auquel les relativistes convient les autres peuples n'a plus id la portée d'un repli stratégique permettant au groupe de s'ouvrir à l'a</w:t>
      </w:r>
      <w:r w:rsidRPr="00CB4F2C">
        <w:t>l</w:t>
      </w:r>
      <w:r w:rsidRPr="00CB4F2C">
        <w:t>térité sans s'y aliéner, mais celle d'une régression pathologique condamnant l'individu à l'enfermement dans les limites étroites d'une identité ethnique surinvestie (p. 33-34) ;</w:t>
      </w:r>
    </w:p>
    <w:p w:rsidR="00B7214C" w:rsidRPr="00CB4F2C" w:rsidRDefault="00B7214C" w:rsidP="00B7214C">
      <w:pPr>
        <w:spacing w:before="120" w:after="120"/>
        <w:ind w:left="720" w:hanging="360"/>
        <w:jc w:val="both"/>
      </w:pPr>
      <w:r>
        <w:t>-</w:t>
      </w:r>
      <w:r>
        <w:tab/>
      </w:r>
      <w:r w:rsidRPr="00CB4F2C">
        <w:t xml:space="preserve">le </w:t>
      </w:r>
      <w:r w:rsidRPr="00A65CD4">
        <w:rPr>
          <w:i/>
          <w:iCs/>
          <w:color w:val="0000FF"/>
        </w:rPr>
        <w:t>droit à l'oppression </w:t>
      </w:r>
      <w:r w:rsidRPr="001D2D05">
        <w:rPr>
          <w:i/>
          <w:iCs/>
        </w:rPr>
        <w:t>:</w:t>
      </w:r>
      <w:r w:rsidRPr="001D2D05">
        <w:t xml:space="preserve"> </w:t>
      </w:r>
      <w:r w:rsidRPr="00CB4F2C">
        <w:t>s'il y a autant d'éthiques que de cultures, il faut admettre que le droit à la différence justifie l'oppression qu'une société exerce sur ses sujets au nom de sa culture. Il fa</w:t>
      </w:r>
      <w:r w:rsidRPr="00CB4F2C">
        <w:t>u</w:t>
      </w:r>
      <w:r w:rsidRPr="00CB4F2C">
        <w:t>drait alors considérer</w:t>
      </w:r>
      <w:r>
        <w:t xml:space="preserve"> [</w:t>
      </w:r>
      <w:r w:rsidRPr="00CB4F2C">
        <w:t>155</w:t>
      </w:r>
      <w:r>
        <w:t xml:space="preserve">] </w:t>
      </w:r>
      <w:r w:rsidRPr="00CB4F2C">
        <w:t>comme légitime des pratiques ba</w:t>
      </w:r>
      <w:r w:rsidRPr="00CB4F2C">
        <w:t>r</w:t>
      </w:r>
      <w:r w:rsidRPr="00CB4F2C">
        <w:t>bares comme celles évoquées par Bruckner (1983, p. 194) et Finkielkraut (1987, p. 128-129) : mutilation corporelles, cann</w:t>
      </w:r>
      <w:r w:rsidRPr="00CB4F2C">
        <w:t>i</w:t>
      </w:r>
      <w:r w:rsidRPr="00CB4F2C">
        <w:t>balisme religieux, lapidation de la femme adu</w:t>
      </w:r>
      <w:r w:rsidRPr="00CB4F2C">
        <w:t>l</w:t>
      </w:r>
      <w:r w:rsidRPr="00CB4F2C">
        <w:t>tère, etc. (Abou, p. 35 ) ;</w:t>
      </w:r>
    </w:p>
    <w:p w:rsidR="00B7214C" w:rsidRPr="00CB4F2C" w:rsidRDefault="00B7214C" w:rsidP="00B7214C">
      <w:pPr>
        <w:spacing w:before="120" w:after="120"/>
        <w:ind w:left="720" w:hanging="360"/>
        <w:jc w:val="both"/>
      </w:pPr>
      <w:r>
        <w:t>-</w:t>
      </w:r>
      <w:r>
        <w:tab/>
      </w:r>
      <w:r w:rsidRPr="00CB4F2C">
        <w:t xml:space="preserve">le </w:t>
      </w:r>
      <w:r w:rsidRPr="00A65CD4">
        <w:rPr>
          <w:i/>
          <w:iCs/>
          <w:color w:val="0000FF"/>
        </w:rPr>
        <w:t>droit à la mort </w:t>
      </w:r>
      <w:r w:rsidRPr="007579C6">
        <w:rPr>
          <w:i/>
          <w:iCs/>
        </w:rPr>
        <w:t>:</w:t>
      </w:r>
      <w:r w:rsidRPr="00CB4F2C">
        <w:t xml:space="preserve"> par exemple, il faudrait mettre les Indiens d'Amérique à l'abri de tout projet de développement et de toute a</w:t>
      </w:r>
      <w:r w:rsidRPr="00CB4F2C">
        <w:t>c</w:t>
      </w:r>
      <w:r w:rsidRPr="00CB4F2C">
        <w:t>culturation (p. 35-36) ce qui équivaut à leur nier le droit d'exister, comme sujet historique, dans le monde tel qu'il est a</w:t>
      </w:r>
      <w:r w:rsidRPr="00CB4F2C">
        <w:t>u</w:t>
      </w:r>
      <w:r w:rsidRPr="00CB4F2C">
        <w:t>jourd'hui.</w:t>
      </w:r>
    </w:p>
    <w:p w:rsidR="00B7214C" w:rsidRDefault="00B7214C" w:rsidP="00B7214C">
      <w:pPr>
        <w:spacing w:before="120" w:after="120"/>
        <w:jc w:val="both"/>
      </w:pPr>
    </w:p>
    <w:p w:rsidR="00B7214C" w:rsidRPr="00CB4F2C" w:rsidRDefault="00B7214C" w:rsidP="00B7214C">
      <w:pPr>
        <w:spacing w:before="120" w:after="120"/>
        <w:jc w:val="both"/>
      </w:pPr>
      <w:r w:rsidRPr="00CB4F2C">
        <w:t>De tels renversements reposent sur des motivations cachées qui expliquent, selon Abou, les excès du relativisme culturel :</w:t>
      </w:r>
    </w:p>
    <w:p w:rsidR="00B7214C" w:rsidRDefault="00B7214C" w:rsidP="00B7214C">
      <w:pPr>
        <w:spacing w:before="120" w:after="120"/>
        <w:jc w:val="both"/>
      </w:pPr>
    </w:p>
    <w:p w:rsidR="00B7214C" w:rsidRPr="00CB4F2C" w:rsidRDefault="00B7214C" w:rsidP="00B7214C">
      <w:pPr>
        <w:spacing w:before="120" w:after="120"/>
        <w:ind w:left="720" w:hanging="360"/>
        <w:jc w:val="both"/>
      </w:pPr>
      <w:r>
        <w:t>-</w:t>
      </w:r>
      <w:r>
        <w:tab/>
      </w:r>
      <w:r w:rsidRPr="00CB4F2C">
        <w:t>la mauvaise conscience des Européens suite aux horreurs de la Deuxième Guerre mondiale et aux drames de la décolonisation ;</w:t>
      </w:r>
    </w:p>
    <w:p w:rsidR="00B7214C" w:rsidRPr="00CB4F2C" w:rsidRDefault="00B7214C" w:rsidP="00B7214C">
      <w:pPr>
        <w:spacing w:before="120" w:after="120"/>
        <w:ind w:left="720" w:hanging="360"/>
        <w:jc w:val="both"/>
      </w:pPr>
      <w:r>
        <w:t>-</w:t>
      </w:r>
      <w:r>
        <w:tab/>
      </w:r>
      <w:r w:rsidRPr="00CB4F2C">
        <w:t>un sentiment de culpabilité qui engendre des attitudes expiato</w:t>
      </w:r>
      <w:r w:rsidRPr="00CB4F2C">
        <w:t>i</w:t>
      </w:r>
      <w:r w:rsidRPr="00CB4F2C">
        <w:t>res ;</w:t>
      </w:r>
    </w:p>
    <w:p w:rsidR="00B7214C" w:rsidRPr="00CB4F2C" w:rsidRDefault="00B7214C" w:rsidP="00B7214C">
      <w:pPr>
        <w:spacing w:before="120" w:after="120"/>
        <w:ind w:left="720" w:hanging="360"/>
        <w:jc w:val="both"/>
      </w:pPr>
      <w:r>
        <w:t>-</w:t>
      </w:r>
      <w:r>
        <w:tab/>
      </w:r>
      <w:r w:rsidRPr="00CB4F2C">
        <w:t>une complaisance masochiste dans la haine de soi et le mépris de sa culture qu'on tient pour responsable de tous les malheurs du mo</w:t>
      </w:r>
      <w:r w:rsidRPr="00CB4F2C">
        <w:t>n</w:t>
      </w:r>
      <w:r w:rsidRPr="00CB4F2C">
        <w:t>de ;</w:t>
      </w:r>
    </w:p>
    <w:p w:rsidR="00B7214C" w:rsidRPr="00CB4F2C" w:rsidRDefault="00B7214C" w:rsidP="00B7214C">
      <w:pPr>
        <w:spacing w:before="120" w:after="120"/>
        <w:ind w:left="720" w:hanging="360"/>
        <w:jc w:val="both"/>
      </w:pPr>
      <w:r>
        <w:t>-</w:t>
      </w:r>
      <w:r>
        <w:tab/>
      </w:r>
      <w:r w:rsidRPr="00CB4F2C">
        <w:t>l'idéalisation compensatoire des sociétés primitives et traditio</w:t>
      </w:r>
      <w:r w:rsidRPr="00CB4F2C">
        <w:t>n</w:t>
      </w:r>
      <w:r w:rsidRPr="00CB4F2C">
        <w:t>ne</w:t>
      </w:r>
      <w:r w:rsidRPr="00CB4F2C">
        <w:t>l</w:t>
      </w:r>
      <w:r w:rsidRPr="00CB4F2C">
        <w:t>les devenues le lieu symbolique de l'évasion imaginaire ;</w:t>
      </w:r>
    </w:p>
    <w:p w:rsidR="00B7214C" w:rsidRPr="00CB4F2C" w:rsidRDefault="00B7214C" w:rsidP="00B7214C">
      <w:pPr>
        <w:spacing w:before="120" w:after="120"/>
        <w:ind w:left="720" w:hanging="360"/>
        <w:jc w:val="both"/>
      </w:pPr>
      <w:r>
        <w:t>-</w:t>
      </w:r>
      <w:r>
        <w:tab/>
      </w:r>
      <w:r w:rsidRPr="00CB4F2C">
        <w:t>la volonté secrète de garder les autres à distance par un racisme à référence culturaliste plutôt que biologique (p. 36-37).</w:t>
      </w:r>
    </w:p>
    <w:p w:rsidR="00B7214C" w:rsidRDefault="00B7214C" w:rsidP="00B7214C">
      <w:pPr>
        <w:spacing w:before="120" w:after="120"/>
        <w:jc w:val="both"/>
      </w:pPr>
    </w:p>
    <w:p w:rsidR="00B7214C" w:rsidRPr="00CB4F2C" w:rsidRDefault="00B7214C" w:rsidP="00B7214C">
      <w:pPr>
        <w:spacing w:before="120" w:after="120"/>
        <w:jc w:val="both"/>
      </w:pPr>
      <w:r w:rsidRPr="00CB4F2C">
        <w:t xml:space="preserve">Sur ce dernier point, on peut se référer aux travaux de Taguieff (1988,1991) et de Wieviorka (1991) sur le racisme différencialiste de la droite française. Mais ce n'est pas tout, même si tout cela constitue un ensemble suffisamment impressionnant d'objections pour remettre en question le dogme du relativisme culturel sous sa forme radicale. Abou mentionne une conséquence ultime de cette doctrine : la mise en question, plus ou moins masquée, des Droits de l'homme. Il cite à l'appui de cette affirmation un projet de déclaration soumis en 1947 à la Commission des droits de l'homme des Nations unies par le Bureau exécutif de </w:t>
      </w:r>
      <w:r>
        <w:t>l’</w:t>
      </w:r>
      <w:r w:rsidRPr="007579C6">
        <w:rPr>
          <w:i/>
          <w:iCs/>
        </w:rPr>
        <w:t>American Anthropological Association</w:t>
      </w:r>
      <w:r w:rsidRPr="00CB4F2C">
        <w:t xml:space="preserve"> qui disqualifie les valeurs universelles de liberté et d'égalité :</w:t>
      </w:r>
    </w:p>
    <w:p w:rsidR="00B7214C" w:rsidRDefault="00B7214C" w:rsidP="00B7214C">
      <w:pPr>
        <w:pStyle w:val="Grillecouleur-Accent1"/>
      </w:pPr>
    </w:p>
    <w:p w:rsidR="00B7214C" w:rsidRDefault="00B7214C" w:rsidP="00B7214C">
      <w:pPr>
        <w:pStyle w:val="Grillecouleur-Accent1"/>
      </w:pPr>
      <w:r w:rsidRPr="00CB4F2C">
        <w:t>Les buts qui guident la vie d'un peuple sont évidents en eux-mêmes et ne</w:t>
      </w:r>
      <w:r>
        <w:t xml:space="preserve"> </w:t>
      </w:r>
      <w:r w:rsidRPr="00CB4F2C">
        <w:t>peuvent être dépassés par aucun autre point de vue, y compris celui des</w:t>
      </w:r>
      <w:r>
        <w:t xml:space="preserve"> </w:t>
      </w:r>
      <w:r w:rsidRPr="00CB4F2C">
        <w:t>pseudo-vérités éternelles (cité dans Abou, 1992, p. 39).</w:t>
      </w:r>
    </w:p>
    <w:p w:rsidR="00B7214C" w:rsidRPr="00CB4F2C" w:rsidRDefault="00B7214C" w:rsidP="00B7214C">
      <w:pPr>
        <w:pStyle w:val="Grillecouleur-Accent1"/>
      </w:pPr>
    </w:p>
    <w:p w:rsidR="00B7214C" w:rsidRPr="00CB4F2C" w:rsidRDefault="00B7214C" w:rsidP="00B7214C">
      <w:pPr>
        <w:spacing w:before="120" w:after="120"/>
        <w:jc w:val="both"/>
      </w:pPr>
      <w:r w:rsidRPr="00CB4F2C">
        <w:t>L'analyse de Sélim Abou que nous avons évoquée rapidement ici fait apparaître une incompatibilité fondamentale entre la doctrine du relativisme culturel sous sa forme radicale et l'affirmation de valeurs universelles sur laquelle repose la légitimité de la Déclaration unive</w:t>
      </w:r>
      <w:r w:rsidRPr="00CB4F2C">
        <w:t>r</w:t>
      </w:r>
      <w:r w:rsidRPr="00CB4F2C">
        <w:t>selle des droits de l'homme. Selon cet auteur, il faut reconnaître que, « au-delà de ses déterminations socioculturelles, l'individ</w:t>
      </w:r>
      <w:r>
        <w:t>u appartient précisément à l'es</w:t>
      </w:r>
      <w:r w:rsidRPr="00CB4F2C">
        <w:t>pèce</w:t>
      </w:r>
      <w:r>
        <w:t xml:space="preserve"> [156]</w:t>
      </w:r>
      <w:r w:rsidRPr="00CB4F2C">
        <w:t xml:space="preserve"> humaine, et que c'est par référence à l'unité de l'espèce qu'il se définit et se pose comme être raisonnable et libre » (p</w:t>
      </w:r>
      <w:r>
        <w:t>p</w:t>
      </w:r>
      <w:r w:rsidRPr="00CB4F2C">
        <w:t>. 113-114). Les thèses du relativisme radical aboutissent donc finalement à nier cette appartenance à l'espèce humaine.</w:t>
      </w:r>
    </w:p>
    <w:p w:rsidR="00B7214C" w:rsidRPr="00CB4F2C" w:rsidRDefault="00B7214C" w:rsidP="00B7214C">
      <w:pPr>
        <w:spacing w:before="120" w:after="120"/>
        <w:jc w:val="both"/>
      </w:pPr>
      <w:r w:rsidRPr="00CB4F2C">
        <w:t>Présenté ainsi sous sa forme radicale, le relativisme culturel app</w:t>
      </w:r>
      <w:r w:rsidRPr="00CB4F2C">
        <w:t>a</w:t>
      </w:r>
      <w:r w:rsidRPr="00CB4F2C">
        <w:t>raît d'emblée comme une position théorique totalement indéfendable. Mais si on s'en tenait à cette condamnation globale, on risquerait de « jeter l'enfant avec l'eau du bain » (Camilleri, 1988/1990, p. 567). Il ne faut pas oublier, en effet, que le relativisme culturel « demeure l'a</w:t>
      </w:r>
      <w:r w:rsidRPr="00CB4F2C">
        <w:t>r</w:t>
      </w:r>
      <w:r w:rsidRPr="00CB4F2C">
        <w:t>gument scientifique le plus solide contre l'ethnocentrisme et ses dér</w:t>
      </w:r>
      <w:r w:rsidRPr="00CB4F2C">
        <w:t>i</w:t>
      </w:r>
      <w:r w:rsidRPr="00CB4F2C">
        <w:t xml:space="preserve">vés » </w:t>
      </w:r>
      <w:r w:rsidRPr="00043BD3">
        <w:rPr>
          <w:i/>
          <w:iCs/>
        </w:rPr>
        <w:t>(Ibid.).</w:t>
      </w:r>
      <w:r w:rsidRPr="00CB4F2C">
        <w:t xml:space="preserve"> Pour une approche critique et nuancée de la question du relativisme culturel, je ne puis que renvoyer aux analyses fines de Camilleri pour qui la source des problèmes ne se situe pas dans le r</w:t>
      </w:r>
      <w:r w:rsidRPr="00CB4F2C">
        <w:t>e</w:t>
      </w:r>
      <w:r w:rsidRPr="00CB4F2C">
        <w:t>lativisme culturel en tant que tel mais dans « la sacralisation incond</w:t>
      </w:r>
      <w:r w:rsidRPr="00CB4F2C">
        <w:t>i</w:t>
      </w:r>
      <w:r w:rsidRPr="00CB4F2C">
        <w:t>tionnelle des cultures et de leurs différences, dont on fait de surcroît le seul facteur explicatif des conduites de l'homme » (p. 574).</w:t>
      </w:r>
    </w:p>
    <w:p w:rsidR="00B7214C" w:rsidRDefault="00B7214C" w:rsidP="00B7214C">
      <w:pPr>
        <w:spacing w:before="120" w:after="120"/>
        <w:jc w:val="both"/>
      </w:pPr>
      <w:r w:rsidRPr="00CB4F2C">
        <w:t xml:space="preserve">Mais il existe des formes de relativisme culturel dont les arguments sont beaucoup moins faciles </w:t>
      </w:r>
      <w:r w:rsidRPr="00A65CD4">
        <w:t xml:space="preserve">à </w:t>
      </w:r>
      <w:r w:rsidRPr="00CB4F2C">
        <w:t xml:space="preserve">écarter que ceux du relativisme radical dénoncé par Abou. Par exemple, comment peut-on répondre </w:t>
      </w:r>
      <w:r w:rsidRPr="00A65CD4">
        <w:t xml:space="preserve">à </w:t>
      </w:r>
      <w:r w:rsidRPr="00CB4F2C">
        <w:t>ceux qui soutiennent que les univers culturels constituent des « mondes di</w:t>
      </w:r>
      <w:r w:rsidRPr="00CB4F2C">
        <w:t>f</w:t>
      </w:r>
      <w:r w:rsidRPr="00CB4F2C">
        <w:t>férents » et que, dans chacun de ces univers, il existe des façons rad</w:t>
      </w:r>
      <w:r w:rsidRPr="00CB4F2C">
        <w:t>i</w:t>
      </w:r>
      <w:r w:rsidRPr="00CB4F2C">
        <w:t>calement différentes d'être rationnels. Cette thèse centrale de la pos</w:t>
      </w:r>
      <w:r w:rsidRPr="00CB4F2C">
        <w:t>i</w:t>
      </w:r>
      <w:r w:rsidRPr="00CB4F2C">
        <w:t>tion relativiste a été défendue brillamment par Gilbert Rist (1988/1990) dans un article où il fait ressortir le caractère irrationnel du mythe o</w:t>
      </w:r>
      <w:r w:rsidRPr="00CB4F2C">
        <w:t>c</w:t>
      </w:r>
      <w:r w:rsidRPr="00CB4F2C">
        <w:t xml:space="preserve">cidental du « développement » en comparant les pratiques générées par ce mythe et les raisons apportées pour les justifier </w:t>
      </w:r>
      <w:r w:rsidRPr="00A65CD4">
        <w:t xml:space="preserve">à </w:t>
      </w:r>
      <w:r w:rsidRPr="00CB4F2C">
        <w:t>ce</w:t>
      </w:r>
      <w:r w:rsidRPr="00CB4F2C">
        <w:t>l</w:t>
      </w:r>
      <w:r w:rsidRPr="00CB4F2C">
        <w:t>les de la sorcellerie au Moyen Âge et des pratiques divinatoires chez les Azandés. Dans l'optique défendue par Rist, la « culture occident</w:t>
      </w:r>
      <w:r w:rsidRPr="00CB4F2C">
        <w:t>a</w:t>
      </w:r>
      <w:r w:rsidRPr="00CB4F2C">
        <w:t>le » app</w:t>
      </w:r>
      <w:r w:rsidRPr="00CB4F2C">
        <w:t>a</w:t>
      </w:r>
      <w:r w:rsidRPr="00CB4F2C">
        <w:t>raît comme une forme particulière de culture ethnique et elle ne peut avoir aucune prétention de supériorité intrinsèque par rapport aux a</w:t>
      </w:r>
      <w:r w:rsidRPr="00CB4F2C">
        <w:t>u</w:t>
      </w:r>
      <w:r w:rsidRPr="00CB4F2C">
        <w:t xml:space="preserve">tres systèmes culturels avec lesquels elle entre en contact. Lorsque le relativisme culturel est ainsi défini, on peut se demander si des valeurs modernes comme la possibilité pour l'individu de prendre une distance critique par rapport aux prescriptions de la coutume et de la tradition sont intrinsèquement liées </w:t>
      </w:r>
      <w:r w:rsidRPr="00A65CD4">
        <w:t xml:space="preserve">à </w:t>
      </w:r>
      <w:r w:rsidRPr="00CB4F2C">
        <w:t>la « culture occidentale ». Doit-on cons</w:t>
      </w:r>
      <w:r w:rsidRPr="00CB4F2C">
        <w:t>i</w:t>
      </w:r>
      <w:r w:rsidRPr="00CB4F2C">
        <w:t xml:space="preserve">dérer comme ethnocentriste toute initiative visant à promouvoir ces valeurs auprès de personnes qui n'appartiennent pas à cette culture ? La réponse apportée </w:t>
      </w:r>
      <w:r w:rsidRPr="00A65CD4">
        <w:t xml:space="preserve">à </w:t>
      </w:r>
      <w:r w:rsidRPr="00CB4F2C">
        <w:t>cette question fondamentale est susceptible d'avoir des implications éducatives considérables. Mais pour y répo</w:t>
      </w:r>
      <w:r w:rsidRPr="00CB4F2C">
        <w:t>n</w:t>
      </w:r>
      <w:r w:rsidRPr="00CB4F2C">
        <w:t>dre, il faut préciser ce qu'on entend par modernité.</w:t>
      </w:r>
    </w:p>
    <w:p w:rsidR="00B7214C" w:rsidRDefault="00B7214C" w:rsidP="00B7214C">
      <w:pPr>
        <w:spacing w:before="120" w:after="120"/>
        <w:jc w:val="both"/>
      </w:pPr>
      <w:r>
        <w:t>[157]</w:t>
      </w:r>
    </w:p>
    <w:p w:rsidR="00B7214C" w:rsidRPr="00CB4F2C" w:rsidRDefault="00B7214C" w:rsidP="00B7214C">
      <w:pPr>
        <w:spacing w:before="120" w:after="120"/>
        <w:jc w:val="both"/>
      </w:pPr>
    </w:p>
    <w:p w:rsidR="00B7214C" w:rsidRPr="00CB4F2C" w:rsidRDefault="00B7214C" w:rsidP="00B7214C">
      <w:pPr>
        <w:pStyle w:val="a"/>
      </w:pPr>
      <w:r w:rsidRPr="00CB4F2C">
        <w:t>LES VALEURS DE LA MODERNITÉ</w:t>
      </w:r>
      <w:r>
        <w:br/>
      </w:r>
      <w:r w:rsidRPr="00CB4F2C">
        <w:t>SONT-ELLES « OCCIDENTALES » ?</w:t>
      </w:r>
    </w:p>
    <w:p w:rsidR="00B7214C" w:rsidRDefault="00B7214C" w:rsidP="00B7214C">
      <w:pPr>
        <w:spacing w:before="120" w:after="120"/>
        <w:jc w:val="both"/>
      </w:pPr>
    </w:p>
    <w:p w:rsidR="00B7214C" w:rsidRPr="00CB4F2C" w:rsidRDefault="00B7214C" w:rsidP="00B7214C">
      <w:pPr>
        <w:spacing w:before="120" w:after="120"/>
        <w:jc w:val="both"/>
      </w:pPr>
      <w:r w:rsidRPr="00CB4F2C">
        <w:t>Jean-Jacques Simard est l'un des chercheurs en sciences sociales qui défend avec le plus de force la thèse centrale que la culture de la modernité n'est pas une culture ethnique parmi d'autres dont la seule particularité serait d'avoir eu un impact plus grand et plus destructeur sur l'ensemble des cultures de l'humanité. La modernité n'est pas une culture particulière mais une « matrice culturelle », « un mode général de production de la société par elle-même, conjuguant dialectiqu</w:t>
      </w:r>
      <w:r w:rsidRPr="00CB4F2C">
        <w:t>e</w:t>
      </w:r>
      <w:r w:rsidRPr="00CB4F2C">
        <w:t xml:space="preserve">ment dans une structure d'ensemble un mode d'appropriation </w:t>
      </w:r>
      <w:r w:rsidRPr="00043BD3">
        <w:rPr>
          <w:i/>
          <w:iCs/>
        </w:rPr>
        <w:t>instr</w:t>
      </w:r>
      <w:r w:rsidRPr="00043BD3">
        <w:rPr>
          <w:i/>
          <w:iCs/>
        </w:rPr>
        <w:t>u</w:t>
      </w:r>
      <w:r w:rsidRPr="00043BD3">
        <w:rPr>
          <w:i/>
          <w:iCs/>
        </w:rPr>
        <w:t>mentale</w:t>
      </w:r>
      <w:r w:rsidRPr="00CB4F2C">
        <w:t xml:space="preserve"> et un mode d'appropriation </w:t>
      </w:r>
      <w:r w:rsidRPr="00043BD3">
        <w:rPr>
          <w:i/>
          <w:iCs/>
        </w:rPr>
        <w:t>symbolique</w:t>
      </w:r>
      <w:r w:rsidRPr="00CB4F2C">
        <w:t xml:space="preserve"> du monde, par l'i</w:t>
      </w:r>
      <w:r w:rsidRPr="00CB4F2C">
        <w:t>n</w:t>
      </w:r>
      <w:r w:rsidRPr="00CB4F2C">
        <w:t>termédiaire de rapports sociaux déterminés de coopération et de communication » (1988/1990, p. 51). Et c'est parce qu'elles relèvent essentiellement de cette matrice culturelle à laquelle il n'est plus po</w:t>
      </w:r>
      <w:r w:rsidRPr="00CB4F2C">
        <w:t>s</w:t>
      </w:r>
      <w:r w:rsidRPr="00CB4F2C">
        <w:t>sible d'échapper et non d'une culture particulière, la « culture occide</w:t>
      </w:r>
      <w:r w:rsidRPr="00CB4F2C">
        <w:t>n</w:t>
      </w:r>
      <w:r w:rsidRPr="00CB4F2C">
        <w:t>tale », que les valeurs de la modernité peuvent légitimement prétendre avoir une portée universelle</w:t>
      </w:r>
      <w:r>
        <w:t> </w:t>
      </w:r>
      <w:r>
        <w:rPr>
          <w:rStyle w:val="Appelnotedebasdep"/>
        </w:rPr>
        <w:footnoteReference w:id="48"/>
      </w:r>
      <w:r w:rsidRPr="00CB4F2C">
        <w:t>.</w:t>
      </w:r>
    </w:p>
    <w:p w:rsidR="00B7214C" w:rsidRPr="00CB4F2C" w:rsidRDefault="00B7214C" w:rsidP="00B7214C">
      <w:pPr>
        <w:spacing w:before="120" w:after="120"/>
        <w:jc w:val="both"/>
      </w:pPr>
      <w:r w:rsidRPr="00CB4F2C">
        <w:t xml:space="preserve">Pour bien faire saisir la portée de ce concept, il propose, </w:t>
      </w:r>
      <w:r w:rsidRPr="00043BD3">
        <w:rPr>
          <w:i/>
          <w:iCs/>
        </w:rPr>
        <w:t>à titre d'i</w:t>
      </w:r>
      <w:r w:rsidRPr="00043BD3">
        <w:rPr>
          <w:i/>
          <w:iCs/>
        </w:rPr>
        <w:t>l</w:t>
      </w:r>
      <w:r w:rsidRPr="00043BD3">
        <w:rPr>
          <w:i/>
          <w:iCs/>
        </w:rPr>
        <w:t>lustration,</w:t>
      </w:r>
      <w:r w:rsidRPr="00CB4F2C">
        <w:t xml:space="preserve"> une typologie sommaire des deux principales matrices culturelles qui ont précédé la matrice de la modernité :</w:t>
      </w:r>
    </w:p>
    <w:p w:rsidR="00B7214C" w:rsidRDefault="00B7214C" w:rsidP="00B7214C">
      <w:pPr>
        <w:spacing w:before="120" w:after="120"/>
        <w:jc w:val="both"/>
      </w:pPr>
    </w:p>
    <w:p w:rsidR="00B7214C" w:rsidRPr="00CB4F2C" w:rsidRDefault="00B7214C" w:rsidP="00B7214C">
      <w:pPr>
        <w:spacing w:before="120" w:after="120"/>
        <w:ind w:left="720" w:hanging="360"/>
        <w:jc w:val="both"/>
      </w:pPr>
      <w:r>
        <w:t>-</w:t>
      </w:r>
      <w:r>
        <w:tab/>
      </w:r>
      <w:r w:rsidRPr="00CB4F2C">
        <w:t xml:space="preserve">celle des </w:t>
      </w:r>
      <w:r w:rsidRPr="00A65CD4">
        <w:rPr>
          <w:i/>
          <w:iCs/>
          <w:color w:val="0000FF"/>
        </w:rPr>
        <w:t>chasseurs-cueilleurs</w:t>
      </w:r>
      <w:r w:rsidRPr="00CB4F2C">
        <w:t xml:space="preserve"> où des bandes nomades vivaient de chasse, de pêche et de plantes sauvages sur des territoires imme</w:t>
      </w:r>
      <w:r w:rsidRPr="00CB4F2C">
        <w:t>n</w:t>
      </w:r>
      <w:r w:rsidRPr="00CB4F2C">
        <w:t>ses, peu peuplés et habités par des esprits. On peut parler d'une civil</w:t>
      </w:r>
      <w:r w:rsidRPr="00CB4F2C">
        <w:t>i</w:t>
      </w:r>
      <w:r w:rsidRPr="00CB4F2C">
        <w:t>sation « première » ou « primitive » pour désigner cette première m</w:t>
      </w:r>
      <w:r w:rsidRPr="00CB4F2C">
        <w:t>a</w:t>
      </w:r>
      <w:r w:rsidRPr="00CB4F2C">
        <w:t>trice culturelle.</w:t>
      </w:r>
    </w:p>
    <w:p w:rsidR="00B7214C" w:rsidRPr="00CB4F2C" w:rsidRDefault="00B7214C" w:rsidP="00B7214C">
      <w:pPr>
        <w:spacing w:before="120" w:after="120"/>
        <w:ind w:left="720" w:hanging="360"/>
        <w:jc w:val="both"/>
      </w:pPr>
      <w:r>
        <w:t>-</w:t>
      </w:r>
      <w:r>
        <w:tab/>
      </w:r>
      <w:r w:rsidRPr="00CB4F2C">
        <w:t xml:space="preserve">celle des </w:t>
      </w:r>
      <w:r w:rsidRPr="00A65CD4">
        <w:rPr>
          <w:i/>
          <w:iCs/>
          <w:color w:val="0000FF"/>
        </w:rPr>
        <w:t>cités-États</w:t>
      </w:r>
      <w:r w:rsidRPr="00CB4F2C">
        <w:t xml:space="preserve"> dont l'apparition a été rendue possible par les surplus générés par l'agriculture. Alors que dans les bandes nom</w:t>
      </w:r>
      <w:r w:rsidRPr="00CB4F2C">
        <w:t>a</w:t>
      </w:r>
      <w:r w:rsidRPr="00CB4F2C">
        <w:t>des, les rapports sociaux étaient généralement égalitaires et les déc</w:t>
      </w:r>
      <w:r w:rsidRPr="00CB4F2C">
        <w:t>i</w:t>
      </w:r>
      <w:r w:rsidRPr="00CB4F2C">
        <w:t>sions politiques se prenaient par consensus, on voit apparaître les spécialis</w:t>
      </w:r>
      <w:r w:rsidRPr="00CB4F2C">
        <w:t>a</w:t>
      </w:r>
      <w:r w:rsidRPr="00CB4F2C">
        <w:t>tions par métiers et par fonctions et les rapports sociaux sont maint</w:t>
      </w:r>
      <w:r w:rsidRPr="00CB4F2C">
        <w:t>e</w:t>
      </w:r>
      <w:r w:rsidRPr="00CB4F2C">
        <w:t>nant hiérarchisés. Cette hiérarchie se retrouve également dans le mo</w:t>
      </w:r>
      <w:r w:rsidRPr="00CB4F2C">
        <w:t>n</w:t>
      </w:r>
      <w:r w:rsidRPr="00CB4F2C">
        <w:t>de surnaturel peuplé par des dieux dont les fonctions sont elles aussi spécialisées. On peut parler de civilisations « archaïques » ou « anciennes » pour d</w:t>
      </w:r>
      <w:r w:rsidRPr="00CB4F2C">
        <w:t>é</w:t>
      </w:r>
      <w:r w:rsidRPr="00CB4F2C">
        <w:t>signer cette deuxième matrice de civilisation (1988, p. 95- 98).</w:t>
      </w:r>
    </w:p>
    <w:p w:rsidR="00B7214C" w:rsidRDefault="00B7214C" w:rsidP="00B7214C">
      <w:pPr>
        <w:spacing w:before="120" w:after="120"/>
        <w:jc w:val="both"/>
      </w:pPr>
    </w:p>
    <w:p w:rsidR="00B7214C" w:rsidRPr="00CB4F2C" w:rsidRDefault="00B7214C" w:rsidP="00B7214C">
      <w:pPr>
        <w:spacing w:before="120" w:after="120"/>
        <w:jc w:val="both"/>
      </w:pPr>
      <w:r w:rsidRPr="00CB4F2C">
        <w:t>On pourrait discuter longtemps sur la validité de certains aspects particuliers de cette typologie, mais elle a l'avantage de nous faire voir immédiatement qu'il existe une différence profonde entre la façon de produire de la culture dans chacune de ces deux matrices dont on peut encore trouver des traces dans la matrice de la modernité. Et cette dernière matrice a elle-même des caractéristiques tout à fait spécif</w:t>
      </w:r>
      <w:r w:rsidRPr="00CB4F2C">
        <w:t>i</w:t>
      </w:r>
      <w:r w:rsidRPr="00CB4F2C">
        <w:t>ques par rapport aux deux premières. Avec l'apparition du</w:t>
      </w:r>
      <w:r>
        <w:t xml:space="preserve"> marché dans les villes marchan</w:t>
      </w:r>
      <w:r w:rsidRPr="00CB4F2C">
        <w:t>des</w:t>
      </w:r>
      <w:r>
        <w:t xml:space="preserve"> [158]</w:t>
      </w:r>
      <w:r w:rsidRPr="00CB4F2C">
        <w:t xml:space="preserve"> européennes, on voit s'institutionn</w:t>
      </w:r>
      <w:r w:rsidRPr="00CB4F2C">
        <w:t>a</w:t>
      </w:r>
      <w:r w:rsidRPr="00CB4F2C">
        <w:t>liser un nouveau m</w:t>
      </w:r>
      <w:r w:rsidRPr="00CB4F2C">
        <w:t>o</w:t>
      </w:r>
      <w:r w:rsidRPr="00CB4F2C">
        <w:t>de de rapports sociaux qui échappe au contrôle de l'autorité civile et rel</w:t>
      </w:r>
      <w:r w:rsidRPr="00CB4F2C">
        <w:t>i</w:t>
      </w:r>
      <w:r w:rsidRPr="00CB4F2C">
        <w:t>gieuse. Le marché, sous sa forme capitaliste naissante, est « du s</w:t>
      </w:r>
      <w:r w:rsidRPr="00CB4F2C">
        <w:t>o</w:t>
      </w:r>
      <w:r w:rsidRPr="00CB4F2C">
        <w:t>cial qui fonctionne tout seul », par rétroaction cybernétique. Le phénomène de l'industrialisation constitue une man</w:t>
      </w:r>
      <w:r w:rsidRPr="00CB4F2C">
        <w:t>i</w:t>
      </w:r>
      <w:r w:rsidRPr="00CB4F2C">
        <w:t>festation particulière de ce nouveau mode de production de la culture où les changements rapides et la complexification des problèmes font qu'il devient impossible de recourir exclusivement aux modèles cri</w:t>
      </w:r>
      <w:r w:rsidRPr="00CB4F2C">
        <w:t>s</w:t>
      </w:r>
      <w:r w:rsidRPr="00CB4F2C">
        <w:t>tallisés dans la tradition. S</w:t>
      </w:r>
      <w:r w:rsidRPr="00CB4F2C">
        <w:t>e</w:t>
      </w:r>
      <w:r w:rsidRPr="00CB4F2C">
        <w:t>lon Simard, c'est essentiellement par son caractère cybernétique, son fonctionnement autorégulé à partir de m</w:t>
      </w:r>
      <w:r w:rsidRPr="00CB4F2C">
        <w:t>é</w:t>
      </w:r>
      <w:r w:rsidRPr="00CB4F2C">
        <w:t>canismes de « feed-back », que la nouvelle matrice culturelle se di</w:t>
      </w:r>
      <w:r w:rsidRPr="00CB4F2C">
        <w:t>s</w:t>
      </w:r>
      <w:r w:rsidRPr="00CB4F2C">
        <w:t>tingue des précéde</w:t>
      </w:r>
      <w:r w:rsidRPr="00CB4F2C">
        <w:t>n</w:t>
      </w:r>
      <w:r w:rsidRPr="00CB4F2C">
        <w:t>tes.</w:t>
      </w:r>
    </w:p>
    <w:p w:rsidR="00B7214C" w:rsidRPr="00CB4F2C" w:rsidRDefault="00B7214C" w:rsidP="00B7214C">
      <w:pPr>
        <w:spacing w:before="120" w:after="120"/>
        <w:jc w:val="both"/>
      </w:pPr>
      <w:r w:rsidRPr="00CB4F2C">
        <w:t>Après le domaine économique, c'est le domaine politique qui a commencé à fonctionner de cette manière avec l'apparition de la d</w:t>
      </w:r>
      <w:r w:rsidRPr="00CB4F2C">
        <w:t>é</w:t>
      </w:r>
      <w:r w:rsidRPr="00CB4F2C">
        <w:t>mocratie, puis tous les champs du social ont été envahis par ce « virus ». La mode comme autorégulation du choix et des préférences individuelles, la science comme processus de production du savoir par une autocritique constante basée sur le jugement des pairs en sont des manifestations importantes. C'est dans le cadre de ce processus de c</w:t>
      </w:r>
      <w:r w:rsidRPr="00CB4F2C">
        <w:t>y</w:t>
      </w:r>
      <w:r w:rsidRPr="00CB4F2C">
        <w:t>bernétisation du social que Simard interprète même la façon dont les individus construisent leur identité. Il n'y a plus de valeurs transce</w:t>
      </w:r>
      <w:r w:rsidRPr="00CB4F2C">
        <w:t>n</w:t>
      </w:r>
      <w:r w:rsidRPr="00CB4F2C">
        <w:t>dantes par rapport auxquelles les individus détermineraient leur vie, comme s'ils étaient orientés par un gyroscope. Aujourd'hui, c'est comme s'ils étaient équipés d'un radar transmettant sans cesse des données à un centre de contrôle qui rajuste constamment la trajectoire individuelle en fonction des changements dans l'environnement.</w:t>
      </w:r>
    </w:p>
    <w:p w:rsidR="00B7214C" w:rsidRPr="00CB4F2C" w:rsidRDefault="00B7214C" w:rsidP="00B7214C">
      <w:pPr>
        <w:spacing w:before="120" w:after="120"/>
        <w:jc w:val="both"/>
      </w:pPr>
      <w:r w:rsidRPr="00CB4F2C">
        <w:t>Ce dont parle ici Simard, ce n'est pas de cultures particulières, mais d'un mode particulier de fabrication de la culture, d'une matrice cult</w:t>
      </w:r>
      <w:r w:rsidRPr="00CB4F2C">
        <w:t>u</w:t>
      </w:r>
      <w:r w:rsidRPr="00CB4F2C">
        <w:t>relle transcendant toutes les cultures particulières et les emportant dans sa mouvance. La culture, au sens anthropologique issu du roma</w:t>
      </w:r>
      <w:r w:rsidRPr="00CB4F2C">
        <w:t>n</w:t>
      </w:r>
      <w:r w:rsidRPr="00CB4F2C">
        <w:t>tisme allemand, lui apparaît comme un reflet d'une immense nostalgie, du sentiment « inconsolable d'une perte irréversible » (1988, p. 99) qui accompagne le processus de « démantèlement » continuel des cultures particulières qui caractérise cette nouvelle matrice culturelle.</w:t>
      </w:r>
    </w:p>
    <w:p w:rsidR="00B7214C" w:rsidRPr="00CB4F2C" w:rsidRDefault="00B7214C" w:rsidP="00B7214C">
      <w:pPr>
        <w:spacing w:before="120" w:after="120"/>
        <w:jc w:val="both"/>
      </w:pPr>
      <w:r w:rsidRPr="00CB4F2C">
        <w:t>Parce qu'elle fonctionne à l'autocritique, à l'autodestruction et à la reconstruction continuelle, la nouvelle matrice modifie profondément les rapports des individus à leur culture particulière, leur culture « endémique »</w:t>
      </w:r>
      <w:r>
        <w:t> </w:t>
      </w:r>
      <w:r>
        <w:rPr>
          <w:rStyle w:val="Appelnotedebasdep"/>
        </w:rPr>
        <w:footnoteReference w:id="49"/>
      </w:r>
      <w:r w:rsidRPr="00CB4F2C">
        <w:t>, pour utiliser le terme forgé par Simard pour disti</w:t>
      </w:r>
      <w:r w:rsidRPr="00CB4F2C">
        <w:t>n</w:t>
      </w:r>
      <w:r w:rsidRPr="00CB4F2C">
        <w:t>guer les cultures au sens anthropologique de cette culture « épidémique »</w:t>
      </w:r>
      <w:r>
        <w:t> </w:t>
      </w:r>
      <w:r>
        <w:rPr>
          <w:rStyle w:val="Appelnotedebasdep"/>
        </w:rPr>
        <w:footnoteReference w:id="50"/>
      </w:r>
      <w:r>
        <w:t xml:space="preserve"> </w:t>
      </w:r>
      <w:r w:rsidRPr="00CB4F2C">
        <w:t>qui véhicule la matrice de la modernité. Parce qu'ils vivent dans un monde en constante transformation, les individus ne peuvent plus trouver le « mode d'emploi de la vie » dans la tradition, dans l'héritage fourni par leur culture endémique. La culture partic</w:t>
      </w:r>
      <w:r w:rsidRPr="00CB4F2C">
        <w:t>u</w:t>
      </w:r>
      <w:r w:rsidRPr="00CB4F2C">
        <w:t>lière est comme un dictionnaire où il manque des</w:t>
      </w:r>
      <w:r>
        <w:t xml:space="preserve"> [</w:t>
      </w:r>
      <w:r w:rsidRPr="00CB4F2C">
        <w:t>159</w:t>
      </w:r>
      <w:r>
        <w:t xml:space="preserve">] </w:t>
      </w:r>
      <w:r w:rsidRPr="00CB4F2C">
        <w:t>pages. Simard emploie l'image un peu rude de la « culture ébr</w:t>
      </w:r>
      <w:r w:rsidRPr="00CB4F2C">
        <w:t>é</w:t>
      </w:r>
      <w:r w:rsidRPr="00CB4F2C">
        <w:t>chée » pour évoquer cette situation des cultures particulières dans la matrice cybernétique. Le sens du monde n'est plus donné, mais il est à construire dans des « projets » que se donnent les individus et les groupes. Alors que dans les deux matrices précédentes les hommes vivaient dans un monde marqué par la « sagesse de l'incertitude » et par la réflexivité. La culture « endémique » et la culture « épidémique » apparaissent ainsi comme deux horizons aux limites sans cesse fuyantes par rapport auxquels les individus et les groupes cherchent à se situer et à définir leur identité.</w:t>
      </w:r>
    </w:p>
    <w:p w:rsidR="00B7214C" w:rsidRPr="00CB4F2C" w:rsidRDefault="00B7214C" w:rsidP="00B7214C">
      <w:pPr>
        <w:spacing w:before="120" w:after="120"/>
        <w:jc w:val="both"/>
      </w:pPr>
      <w:r w:rsidRPr="00CB4F2C">
        <w:t>Selon Simard, il est impossible d'échapper à ce tiraillement entre la culture endémique et la culture épidémique. Cette situation serait maintenant, à des degrés divers, celle de tous les peuples de la planète et on retrouve partout des manifestations de la nostalgie de la « culture pleine ».</w:t>
      </w:r>
    </w:p>
    <w:p w:rsidR="00B7214C" w:rsidRPr="00CB4F2C" w:rsidRDefault="00B7214C" w:rsidP="00B7214C">
      <w:pPr>
        <w:spacing w:before="120" w:after="120"/>
        <w:jc w:val="both"/>
      </w:pPr>
      <w:r w:rsidRPr="00CB4F2C">
        <w:t>C'est à partir de cette théorie de la culture et de la modernité que Simard aborde la question du relativisme culturel. Selon lui, il est e</w:t>
      </w:r>
      <w:r w:rsidRPr="00CB4F2C">
        <w:t>r</w:t>
      </w:r>
      <w:r w:rsidRPr="00CB4F2C">
        <w:t xml:space="preserve">roné d'attribuer à la « culture occidentale » considérée comme une macro-ethnie les caractéristiques générales qu'il attribue à la matrice de la modernité. Cette erreur bloque complètement la possibilité de comprendre ce qui se passe vraiment sur la planète. Elle conduit </w:t>
      </w:r>
      <w:r w:rsidRPr="000D1A32">
        <w:t xml:space="preserve">à </w:t>
      </w:r>
      <w:r w:rsidRPr="00CB4F2C">
        <w:t>a</w:t>
      </w:r>
      <w:r w:rsidRPr="00CB4F2C">
        <w:t>t</w:t>
      </w:r>
      <w:r w:rsidRPr="00CB4F2C">
        <w:t>tribuer à l'Occident et aux « Blancs » tous les maux qui affligent a</w:t>
      </w:r>
      <w:r w:rsidRPr="00CB4F2C">
        <w:t>u</w:t>
      </w:r>
      <w:r w:rsidRPr="00CB4F2C">
        <w:t>jourd'hui les cultures particulières à travers le monde. On oublie ainsi facilement, comme il l'a montré longuement (1988/1990, p. 45-50), que l'Occident a été la première victime de tous ces maux parce qu'il a été le premier vecteur de la matrice de la modernité. La distinction qu'il établit entre cultures particulières et matrice culturelle permet de porter des jugements non ethnocentristes sur les manifestations cult</w:t>
      </w:r>
      <w:r w:rsidRPr="00CB4F2C">
        <w:t>u</w:t>
      </w:r>
      <w:r w:rsidRPr="00CB4F2C">
        <w:t>relles étrangères. De tels jugements sont non seulement possibles mais inévitables dans la situation nouvelle créée par l'apparition de la m</w:t>
      </w:r>
      <w:r w:rsidRPr="00CB4F2C">
        <w:t>o</w:t>
      </w:r>
      <w:r w:rsidRPr="00CB4F2C">
        <w:t>dernité :</w:t>
      </w:r>
    </w:p>
    <w:p w:rsidR="00B7214C" w:rsidRDefault="00B7214C" w:rsidP="00B7214C">
      <w:pPr>
        <w:pStyle w:val="Grillecouleur-Accent1"/>
      </w:pPr>
    </w:p>
    <w:p w:rsidR="00B7214C" w:rsidRPr="00CB4F2C" w:rsidRDefault="00B7214C" w:rsidP="00B7214C">
      <w:pPr>
        <w:pStyle w:val="Grillecouleur-Accent1"/>
      </w:pPr>
      <w:r w:rsidRPr="00CB4F2C">
        <w:t>Supposons que l'histoire ait, par mutation imprévisible et non nécessa</w:t>
      </w:r>
      <w:r w:rsidRPr="00CB4F2C">
        <w:t>i</w:t>
      </w:r>
      <w:r w:rsidRPr="00CB4F2C">
        <w:t>re, donné naissance à une matrice culturelle dont l'aire spécif</w:t>
      </w:r>
      <w:r w:rsidRPr="00CB4F2C">
        <w:t>i</w:t>
      </w:r>
      <w:r w:rsidRPr="00CB4F2C">
        <w:t>que soit la planète des Hommes. Qu'elle ait constitué le monde entier en tant que ci</w:t>
      </w:r>
      <w:r w:rsidRPr="00CB4F2C">
        <w:t>r</w:t>
      </w:r>
      <w:r w:rsidRPr="00CB4F2C">
        <w:t>cuit d'interaction culturelle. Que cette matrice ait inve</w:t>
      </w:r>
      <w:r w:rsidRPr="00CB4F2C">
        <w:t>n</w:t>
      </w:r>
      <w:r w:rsidRPr="00CB4F2C">
        <w:t>té un concept pour définir ses membres, « l'espèce humaine », n'e</w:t>
      </w:r>
      <w:r w:rsidRPr="00CB4F2C">
        <w:t>x</w:t>
      </w:r>
      <w:r w:rsidRPr="00CB4F2C">
        <w:t>cluant, derrière elle, que les animaux, les arbres et les roches et, au-delà d'elle, que les extraterre</w:t>
      </w:r>
      <w:r w:rsidRPr="00CB4F2C">
        <w:t>s</w:t>
      </w:r>
      <w:r w:rsidRPr="00CB4F2C">
        <w:t>tres. Alors elle aurait dû s'approprier toutes les manières différentes d'a</w:t>
      </w:r>
      <w:r w:rsidRPr="00CB4F2C">
        <w:t>p</w:t>
      </w:r>
      <w:r w:rsidRPr="00CB4F2C">
        <w:t>partenir à son aire culturelle, et i</w:t>
      </w:r>
      <w:r w:rsidRPr="00CB4F2C">
        <w:t>n</w:t>
      </w:r>
      <w:r w:rsidRPr="00CB4F2C">
        <w:t xml:space="preserve">venter pour cela le mot </w:t>
      </w:r>
      <w:r w:rsidRPr="00043BD3">
        <w:rPr>
          <w:i/>
          <w:iCs/>
        </w:rPr>
        <w:t>culture</w:t>
      </w:r>
      <w:r w:rsidRPr="00CB4F2C">
        <w:t xml:space="preserve"> avec une manière </w:t>
      </w:r>
      <w:r w:rsidRPr="00043BD3">
        <w:rPr>
          <w:i/>
          <w:iCs/>
        </w:rPr>
        <w:t>d'expliquer</w:t>
      </w:r>
      <w:r w:rsidRPr="00CB4F2C">
        <w:t xml:space="preserve"> comment personne de l'espèce humaine ne peut en être exclu au titre de « singe de terre » ou d'« œuf de pou » ; et elle eût a</w:t>
      </w:r>
      <w:r w:rsidRPr="00CB4F2C">
        <w:t>p</w:t>
      </w:r>
      <w:r w:rsidRPr="00CB4F2C">
        <w:t>pelé cette manière de voir : anthropologique. En même temps, et nécessa</w:t>
      </w:r>
      <w:r w:rsidRPr="00CB4F2C">
        <w:t>i</w:t>
      </w:r>
      <w:r w:rsidRPr="00CB4F2C">
        <w:t xml:space="preserve">rement, elle eût imposé à tous les hommes (puisque son aire spécifique les englobe tous et toutes), le droit et le devoir </w:t>
      </w:r>
      <w:r w:rsidRPr="00043BD3">
        <w:rPr>
          <w:i/>
          <w:iCs/>
        </w:rPr>
        <w:t>normatifs</w:t>
      </w:r>
      <w:r w:rsidRPr="00CB4F2C">
        <w:t xml:space="preserve"> de participer à la form</w:t>
      </w:r>
      <w:r w:rsidRPr="00CB4F2C">
        <w:t>u</w:t>
      </w:r>
      <w:r w:rsidRPr="00CB4F2C">
        <w:t xml:space="preserve">lation de ce qui distingue </w:t>
      </w:r>
      <w:r w:rsidRPr="00043BD3">
        <w:rPr>
          <w:i/>
          <w:iCs/>
        </w:rPr>
        <w:t>toute l'humanité</w:t>
      </w:r>
      <w:r w:rsidRPr="00CB4F2C">
        <w:t xml:space="preserve"> du reste du cosmos, et de définir tout ce qu'elle doit considérer comme souhaitable, bon, humain - car bien sûr, elle s'imagine que seuls les animaux appelés </w:t>
      </w:r>
      <w:r w:rsidRPr="00043BD3">
        <w:rPr>
          <w:i/>
          <w:iCs/>
        </w:rPr>
        <w:t>homo</w:t>
      </w:r>
      <w:r>
        <w:rPr>
          <w:iCs/>
        </w:rPr>
        <w:t xml:space="preserve"> </w:t>
      </w:r>
      <w:r>
        <w:t xml:space="preserve">[160] </w:t>
      </w:r>
      <w:r w:rsidRPr="00043BD3">
        <w:rPr>
          <w:i/>
          <w:iCs/>
        </w:rPr>
        <w:t>s</w:t>
      </w:r>
      <w:r w:rsidRPr="00043BD3">
        <w:rPr>
          <w:i/>
          <w:iCs/>
        </w:rPr>
        <w:t>a</w:t>
      </w:r>
      <w:r w:rsidRPr="00043BD3">
        <w:rPr>
          <w:i/>
          <w:iCs/>
        </w:rPr>
        <w:t>piens</w:t>
      </w:r>
      <w:r w:rsidRPr="00CB4F2C">
        <w:t xml:space="preserve"> (selon ses propres catégories), sont aptes à définir eux-mêmes, à e</w:t>
      </w:r>
      <w:r w:rsidRPr="00CB4F2C">
        <w:t>x</w:t>
      </w:r>
      <w:r w:rsidRPr="00CB4F2C">
        <w:t>pliciter leurs raisons de vivre et le sens de leur monde. En cela, cette m</w:t>
      </w:r>
      <w:r w:rsidRPr="00CB4F2C">
        <w:t>a</w:t>
      </w:r>
      <w:r w:rsidRPr="00CB4F2C">
        <w:t>trice culturelle fait comme toutes celles qui l'ont préc</w:t>
      </w:r>
      <w:r w:rsidRPr="00CB4F2C">
        <w:t>é</w:t>
      </w:r>
      <w:r w:rsidRPr="00CB4F2C">
        <w:t>dée : elle prétend embrasser l'univers, sauf que son univers imaginaire réduit tous les an</w:t>
      </w:r>
      <w:r w:rsidRPr="00CB4F2C">
        <w:t>i</w:t>
      </w:r>
      <w:r w:rsidRPr="00CB4F2C">
        <w:t>maux capables de symbolisation, c'est-à-dire aptes à fournir des raisons pour lesquelles la vie mérite d'être vécue, à une seule et même catégorie.</w:t>
      </w:r>
    </w:p>
    <w:p w:rsidR="00B7214C" w:rsidRDefault="00B7214C" w:rsidP="00B7214C">
      <w:pPr>
        <w:pStyle w:val="Grillecouleur-Accent1"/>
      </w:pPr>
      <w:r w:rsidRPr="00CB4F2C">
        <w:t xml:space="preserve">En d'autres termes, le relativisme </w:t>
      </w:r>
      <w:r w:rsidRPr="00043BD3">
        <w:rPr>
          <w:i/>
          <w:iCs/>
        </w:rPr>
        <w:t>épistémologique,</w:t>
      </w:r>
      <w:r w:rsidRPr="00CB4F2C">
        <w:t xml:space="preserve"> seul moyen d'e</w:t>
      </w:r>
      <w:r w:rsidRPr="00CB4F2C">
        <w:t>x</w:t>
      </w:r>
      <w:r w:rsidRPr="00CB4F2C">
        <w:t xml:space="preserve">pliquer les différences entre les humains une fois admis que tous et toutes appartiennent à la même espèce, appelle le devoir </w:t>
      </w:r>
      <w:r w:rsidRPr="00043BD3">
        <w:rPr>
          <w:i/>
          <w:iCs/>
        </w:rPr>
        <w:t>moral</w:t>
      </w:r>
      <w:r w:rsidRPr="00CB4F2C">
        <w:t xml:space="preserve"> de définir </w:t>
      </w:r>
      <w:r w:rsidRPr="00043BD3">
        <w:rPr>
          <w:i/>
          <w:iCs/>
        </w:rPr>
        <w:t>norm</w:t>
      </w:r>
      <w:r w:rsidRPr="00043BD3">
        <w:rPr>
          <w:i/>
          <w:iCs/>
        </w:rPr>
        <w:t>a</w:t>
      </w:r>
      <w:r w:rsidRPr="00043BD3">
        <w:rPr>
          <w:i/>
          <w:iCs/>
        </w:rPr>
        <w:t>tivement</w:t>
      </w:r>
      <w:r w:rsidRPr="00CB4F2C">
        <w:t xml:space="preserve"> l'horizon de la commune humanité. Tout être humain peut (ou doit), dès lors, porter un jugement moral sur n'impo</w:t>
      </w:r>
      <w:r w:rsidRPr="00CB4F2C">
        <w:t>r</w:t>
      </w:r>
      <w:r w:rsidRPr="00CB4F2C">
        <w:t>te quel trait culturel particulier, n'importe où, n'importe quand, de quelques moeurs que ce soit (p</w:t>
      </w:r>
      <w:r>
        <w:t>p</w:t>
      </w:r>
      <w:r w:rsidRPr="00CB4F2C">
        <w:t>. 98-99).</w:t>
      </w:r>
    </w:p>
    <w:p w:rsidR="00B7214C" w:rsidRPr="00CB4F2C" w:rsidRDefault="00B7214C" w:rsidP="00B7214C">
      <w:pPr>
        <w:pStyle w:val="Grillecouleur-Accent1"/>
      </w:pPr>
    </w:p>
    <w:p w:rsidR="00B7214C" w:rsidRPr="00CB4F2C" w:rsidRDefault="00B7214C" w:rsidP="00B7214C">
      <w:pPr>
        <w:spacing w:before="120" w:after="120"/>
        <w:jc w:val="both"/>
      </w:pPr>
      <w:r w:rsidRPr="00CB4F2C">
        <w:t>Le raisonnement de Simard nous amène ainsi à reconnaître que dans la matrice culturelle moderne, l'horizon du groupe ethnique ou de la nation ne constituent pas les seuls cadres de référence pour les ind</w:t>
      </w:r>
      <w:r w:rsidRPr="00CB4F2C">
        <w:t>i</w:t>
      </w:r>
      <w:r w:rsidRPr="00CB4F2C">
        <w:t>vidus. Leur appartenance à la commune humanité comporte égal</w:t>
      </w:r>
      <w:r w:rsidRPr="00CB4F2C">
        <w:t>e</w:t>
      </w:r>
      <w:r w:rsidRPr="00CB4F2C">
        <w:t>ment des obligations morales qui s'imposent à tous les hommes. Cet élargissement de l'horizon d'appartenance à l'échelle de l'humanité distingue la situation moderne de la situation traditionnelle où le champ d'appartenance se réduisait à l'ethnie ou à la nation. Dans cette nouvelle situation, l'individu dispose désormais d'un point de référe</w:t>
      </w:r>
      <w:r w:rsidRPr="00CB4F2C">
        <w:t>n</w:t>
      </w:r>
      <w:r w:rsidRPr="00CB4F2C">
        <w:t>ce plus large qui lui permet de prendre une distance critique par ra</w:t>
      </w:r>
      <w:r w:rsidRPr="00CB4F2C">
        <w:t>p</w:t>
      </w:r>
      <w:r w:rsidRPr="00CB4F2C">
        <w:t>port aux normes de son groupe ethnique ou national. L'appartenance à la commune humanité confère donc à l'individu une valeur transce</w:t>
      </w:r>
      <w:r w:rsidRPr="00CB4F2C">
        <w:t>n</w:t>
      </w:r>
      <w:r w:rsidRPr="00CB4F2C">
        <w:t>dante. C'est cette valeur transcendante de l'individu, cette possibilité de porter des jugements critiques sur des pratiques culturelles de son groupe d'appartenance ou d'un groupe étranger, que l'analyse de S</w:t>
      </w:r>
      <w:r w:rsidRPr="00CB4F2C">
        <w:t>i</w:t>
      </w:r>
      <w:r w:rsidRPr="00CB4F2C">
        <w:t>mard souligne avec force.</w:t>
      </w:r>
    </w:p>
    <w:p w:rsidR="00B7214C" w:rsidRPr="00CB4F2C" w:rsidRDefault="00B7214C" w:rsidP="00B7214C">
      <w:pPr>
        <w:spacing w:before="120" w:after="120"/>
        <w:jc w:val="both"/>
      </w:pPr>
      <w:r w:rsidRPr="00CB4F2C">
        <w:t>Les analyses de la dialectique de la rationalisation et de la subjecti- visation par Alain Touraine permettent d'apporter des nuances impo</w:t>
      </w:r>
      <w:r w:rsidRPr="00CB4F2C">
        <w:t>r</w:t>
      </w:r>
      <w:r w:rsidRPr="00CB4F2C">
        <w:t>tantes à certaines formulations de Simard, en particulier au concept d'individu. Dans la théorie de Touraine, ce n'est pas l'individu mais le Sujet qui a une valeur transcendante. C'est cette valeur transcendante du Sujet libre qui lui permet d'échapper à l'enfermement dans l'univers clos de la société programmée ou de la communauté totalitaire :</w:t>
      </w:r>
    </w:p>
    <w:p w:rsidR="00B7214C" w:rsidRDefault="00B7214C" w:rsidP="00B7214C">
      <w:pPr>
        <w:pStyle w:val="Grillecouleur-Accent1"/>
      </w:pPr>
    </w:p>
    <w:p w:rsidR="00B7214C" w:rsidRDefault="00B7214C" w:rsidP="00B7214C">
      <w:pPr>
        <w:pStyle w:val="Grillecouleur-Accent1"/>
      </w:pPr>
      <w:r w:rsidRPr="00CB4F2C">
        <w:t>Le respect du sujet est aujourd'hui la définition du bien : qu'aucun i</w:t>
      </w:r>
      <w:r w:rsidRPr="00CB4F2C">
        <w:t>n</w:t>
      </w:r>
      <w:r w:rsidRPr="00CB4F2C">
        <w:t xml:space="preserve">dividu ou groupe ne soit considéré comme un instrument au service de la puissance ou du plaisir. Le mal n'est pas </w:t>
      </w:r>
      <w:r>
        <w:t>l’</w:t>
      </w:r>
      <w:r w:rsidRPr="00CB4F2C">
        <w:t>impersonnalité supp</w:t>
      </w:r>
      <w:r w:rsidRPr="00CB4F2C">
        <w:t>o</w:t>
      </w:r>
      <w:r w:rsidRPr="00CB4F2C">
        <w:t>sée de la tradition, car celle-ci confond plutôt l'individuel et l'unive</w:t>
      </w:r>
      <w:r w:rsidRPr="00CB4F2C">
        <w:t>r</w:t>
      </w:r>
      <w:r w:rsidRPr="00CB4F2C">
        <w:t>sel ; il est le pouvoir qui réduit le sujet à n'être qu'une ressource h</w:t>
      </w:r>
      <w:r w:rsidRPr="00CB4F2C">
        <w:t>u</w:t>
      </w:r>
      <w:r w:rsidRPr="00CB4F2C">
        <w:t>maine entrant dans la production de la richesse, de la puissance ou de l'information. La morale moderne ne valorise pas la raison comme instrument d'accord de l'être humain avec l'ordre du</w:t>
      </w:r>
      <w:r>
        <w:t xml:space="preserve"> [161] </w:t>
      </w:r>
      <w:r w:rsidRPr="00CB4F2C">
        <w:t>monde, mais la liberté comme moyen de fa</w:t>
      </w:r>
      <w:r w:rsidRPr="00CB4F2C">
        <w:t>i</w:t>
      </w:r>
      <w:r w:rsidRPr="00CB4F2C">
        <w:t>re de l'être humain une fin et non un moyen (Touraine, 1992, p. 268)</w:t>
      </w:r>
      <w:r>
        <w:t> </w:t>
      </w:r>
      <w:r>
        <w:rPr>
          <w:rStyle w:val="Appelnotedebasdep"/>
        </w:rPr>
        <w:footnoteReference w:id="51"/>
      </w:r>
      <w:r w:rsidRPr="00CB4F2C">
        <w:t>.</w:t>
      </w:r>
    </w:p>
    <w:p w:rsidR="00B7214C" w:rsidRPr="00CB4F2C" w:rsidRDefault="00B7214C" w:rsidP="00B7214C">
      <w:pPr>
        <w:pStyle w:val="Grillecouleur-Accent1"/>
      </w:pPr>
    </w:p>
    <w:p w:rsidR="00B7214C" w:rsidRPr="00CB4F2C" w:rsidRDefault="00B7214C" w:rsidP="00B7214C">
      <w:pPr>
        <w:spacing w:before="120" w:after="120"/>
        <w:jc w:val="both"/>
      </w:pPr>
      <w:r w:rsidRPr="00CB4F2C">
        <w:t>Touraine n'aborde pas explicitement la question du relativisme culturel, mais la théorie de la modernité qu'il a développée dans un ouvrage monumental (1992) repose sur une revalorisation de la liberté du Sujet humain. La thèse centrale de cet ouvrage est qu'il est impo</w:t>
      </w:r>
      <w:r w:rsidRPr="00CB4F2C">
        <w:t>s</w:t>
      </w:r>
      <w:r w:rsidRPr="00CB4F2C">
        <w:t>sible de comprendre la modernité si on ne montre pas comment l'inv</w:t>
      </w:r>
      <w:r w:rsidRPr="00CB4F2C">
        <w:t>a</w:t>
      </w:r>
      <w:r w:rsidRPr="00CB4F2C">
        <w:t>sion de tous les secteurs de la vie humaine par la raison instrumentale s'accompagne d'une subjectivation, d'une référence au sujet comme acteur social :</w:t>
      </w:r>
    </w:p>
    <w:p w:rsidR="00B7214C" w:rsidRDefault="00B7214C" w:rsidP="00B7214C">
      <w:pPr>
        <w:pStyle w:val="Grillecouleur-Accent1"/>
      </w:pPr>
    </w:p>
    <w:p w:rsidR="00B7214C" w:rsidRPr="00CB4F2C" w:rsidRDefault="00B7214C" w:rsidP="00B7214C">
      <w:pPr>
        <w:pStyle w:val="Grillecouleur-Accent1"/>
      </w:pPr>
      <w:r w:rsidRPr="00CB4F2C">
        <w:t>Trop longtemps, la modernité n'a été définie que par l'efficacité de la rationalité instrumentale, la maîtrise du monde rendue possible par la science et la technique. Cette vision rationaliste ne doit en aucun cas être rejeté, car elle est l'arme critique la plus puissante contre tous les holismes, tous les totalitarismes et tous les intégrismes. Mais elle ne donne pas une idée complète de la modernité ; elle en cache même la moitié : l'émerge</w:t>
      </w:r>
      <w:r w:rsidRPr="00CB4F2C">
        <w:t>n</w:t>
      </w:r>
      <w:r w:rsidRPr="00CB4F2C">
        <w:t>ce du sujet humain comme liberté et comme cré</w:t>
      </w:r>
      <w:r w:rsidRPr="00CB4F2C">
        <w:t>a</w:t>
      </w:r>
      <w:r w:rsidRPr="00CB4F2C">
        <w:t>tion ...</w:t>
      </w:r>
    </w:p>
    <w:p w:rsidR="00B7214C" w:rsidRDefault="00B7214C" w:rsidP="00B7214C">
      <w:pPr>
        <w:pStyle w:val="Grillecouleur-Accent1"/>
      </w:pPr>
      <w:r w:rsidRPr="00CB4F2C">
        <w:t>Ceux qui veulent identifier la modernité à la seule rationalisation ne parlent du Sujet que pour le réduire à la raison elle-même et pour imposer la dépersonnalisation, le sacrifice de soi et l'identification à l'ordre impe</w:t>
      </w:r>
      <w:r w:rsidRPr="00CB4F2C">
        <w:t>r</w:t>
      </w:r>
      <w:r w:rsidRPr="00CB4F2C">
        <w:t>sonnel de la nature ou de l'histoire. Le monde moderne est au contraire de plus en plus rempli par la référence à un Sujet qui est liberté, c'est-à-dire qui pose comme principe du bien le contrôle que l'individu exerce sur ses actions et sa situation, ce qui lui permet de concevoir et de sentir ses co</w:t>
      </w:r>
      <w:r w:rsidRPr="00CB4F2C">
        <w:t>m</w:t>
      </w:r>
      <w:r w:rsidRPr="00CB4F2C">
        <w:t xml:space="preserve">portements comme des composantes de son histoire personnelle de vie, de se concevoir lui-même comme un acteur. </w:t>
      </w:r>
      <w:r w:rsidRPr="00043BD3">
        <w:rPr>
          <w:i/>
          <w:iCs/>
        </w:rPr>
        <w:t>Le Sujet est la volonté d'un ind</w:t>
      </w:r>
      <w:r w:rsidRPr="00043BD3">
        <w:rPr>
          <w:i/>
          <w:iCs/>
        </w:rPr>
        <w:t>i</w:t>
      </w:r>
      <w:r w:rsidRPr="00043BD3">
        <w:rPr>
          <w:i/>
          <w:iCs/>
        </w:rPr>
        <w:t>vidu d'agir et d'être reconnu comme acteur</w:t>
      </w:r>
      <w:r w:rsidRPr="00CB4F2C">
        <w:t xml:space="preserve"> (Touraine, p. 240,</w:t>
      </w:r>
      <w:r>
        <w:t xml:space="preserve"> </w:t>
      </w:r>
      <w:r w:rsidRPr="00CB4F2C">
        <w:t>242).</w:t>
      </w:r>
    </w:p>
    <w:p w:rsidR="00B7214C" w:rsidRPr="00CB4F2C" w:rsidRDefault="00B7214C" w:rsidP="00B7214C">
      <w:pPr>
        <w:pStyle w:val="Grillecouleur-Accent1"/>
      </w:pPr>
    </w:p>
    <w:p w:rsidR="00B7214C" w:rsidRPr="00CB4F2C" w:rsidRDefault="00B7214C" w:rsidP="00B7214C">
      <w:pPr>
        <w:spacing w:before="120" w:after="120"/>
        <w:jc w:val="both"/>
      </w:pPr>
      <w:r w:rsidRPr="00CB4F2C">
        <w:t>À la lumière des analyses de Touraine, on peut distinguer trois moments principaux dans la modernité :</w:t>
      </w:r>
    </w:p>
    <w:p w:rsidR="00B7214C" w:rsidRDefault="00B7214C" w:rsidP="00B7214C">
      <w:pPr>
        <w:spacing w:before="120" w:after="120"/>
        <w:jc w:val="both"/>
      </w:pPr>
    </w:p>
    <w:p w:rsidR="00B7214C" w:rsidRPr="00CB4F2C" w:rsidRDefault="00B7214C" w:rsidP="00B7214C">
      <w:pPr>
        <w:spacing w:before="120" w:after="120"/>
        <w:ind w:left="720" w:hanging="360"/>
        <w:jc w:val="both"/>
      </w:pPr>
      <w:r>
        <w:t>-</w:t>
      </w:r>
      <w:r>
        <w:tab/>
      </w:r>
      <w:r w:rsidRPr="00CB4F2C">
        <w:t xml:space="preserve">la </w:t>
      </w:r>
      <w:r w:rsidRPr="00A65CD4">
        <w:rPr>
          <w:i/>
          <w:iCs/>
          <w:color w:val="0000FF"/>
        </w:rPr>
        <w:t>proto-modernité</w:t>
      </w:r>
      <w:r w:rsidRPr="00043BD3">
        <w:rPr>
          <w:i/>
          <w:iCs/>
        </w:rPr>
        <w:t>,</w:t>
      </w:r>
      <w:r w:rsidRPr="00CB4F2C">
        <w:t xml:space="preserve"> où l'enjeu principal était le combat de la ra</w:t>
      </w:r>
      <w:r w:rsidRPr="00CB4F2C">
        <w:t>i</w:t>
      </w:r>
      <w:r w:rsidRPr="00CB4F2C">
        <w:t>son contre les traditions et où l'acteur social le plus important fut la bou</w:t>
      </w:r>
      <w:r w:rsidRPr="00CB4F2C">
        <w:t>r</w:t>
      </w:r>
      <w:r w:rsidRPr="00CB4F2C">
        <w:t>geoisie marchande ;</w:t>
      </w:r>
    </w:p>
    <w:p w:rsidR="00B7214C" w:rsidRPr="00CB4F2C" w:rsidRDefault="00B7214C" w:rsidP="00B7214C">
      <w:pPr>
        <w:spacing w:before="120" w:after="120"/>
        <w:ind w:left="720" w:hanging="360"/>
        <w:jc w:val="both"/>
      </w:pPr>
      <w:r>
        <w:t>-</w:t>
      </w:r>
      <w:r>
        <w:tab/>
      </w:r>
      <w:r w:rsidRPr="00CB4F2C">
        <w:t xml:space="preserve">la </w:t>
      </w:r>
      <w:r w:rsidRPr="00A65CD4">
        <w:rPr>
          <w:i/>
          <w:iCs/>
          <w:color w:val="0000FF"/>
        </w:rPr>
        <w:t>modernité triomphante</w:t>
      </w:r>
      <w:r w:rsidRPr="00043BD3">
        <w:rPr>
          <w:i/>
          <w:iCs/>
        </w:rPr>
        <w:t>,</w:t>
      </w:r>
      <w:r w:rsidRPr="00CB4F2C">
        <w:t xml:space="preserve"> où l'enjeu était de répandre à travers le monde les bienfaits de la « civilisation » et où l'acteur social principal fut le capitaliste. Cette période, qui s'est étendue pe</w:t>
      </w:r>
      <w:r w:rsidRPr="00CB4F2C">
        <w:t>n</w:t>
      </w:r>
      <w:r w:rsidRPr="00CB4F2C">
        <w:t>dant tout le XIX</w:t>
      </w:r>
      <w:r w:rsidRPr="00A65CD4">
        <w:rPr>
          <w:vertAlign w:val="superscript"/>
        </w:rPr>
        <w:t>e</w:t>
      </w:r>
      <w:r w:rsidRPr="00CB4F2C">
        <w:t xml:space="preserve"> siècle, a été dominée par l'idée de progrès et par certains pays qui se sont cru investis de la mission d'arr</w:t>
      </w:r>
      <w:r w:rsidRPr="00CB4F2C">
        <w:t>a</w:t>
      </w:r>
      <w:r w:rsidRPr="00CB4F2C">
        <w:t>cher les sociétés traditio</w:t>
      </w:r>
      <w:r w:rsidRPr="00CB4F2C">
        <w:t>n</w:t>
      </w:r>
      <w:r w:rsidRPr="00CB4F2C">
        <w:t>nelles des ténèbres de leurs traditions en répandant à travers le monde les bienfaits de la science et de la technologie ;</w:t>
      </w:r>
    </w:p>
    <w:p w:rsidR="00B7214C" w:rsidRPr="00CB4F2C" w:rsidRDefault="00B7214C" w:rsidP="00B7214C">
      <w:pPr>
        <w:spacing w:before="120" w:after="120"/>
        <w:ind w:left="720" w:hanging="360"/>
        <w:jc w:val="both"/>
      </w:pPr>
      <w:r>
        <w:t>-</w:t>
      </w:r>
      <w:r>
        <w:tab/>
      </w:r>
      <w:r w:rsidRPr="00CB4F2C">
        <w:t xml:space="preserve">la </w:t>
      </w:r>
      <w:r w:rsidRPr="00A65CD4">
        <w:rPr>
          <w:i/>
          <w:iCs/>
          <w:color w:val="0000FF"/>
        </w:rPr>
        <w:t>modernité en question</w:t>
      </w:r>
      <w:r w:rsidRPr="00043BD3">
        <w:rPr>
          <w:i/>
          <w:iCs/>
        </w:rPr>
        <w:t>,</w:t>
      </w:r>
      <w:r w:rsidRPr="00CB4F2C">
        <w:t xml:space="preserve"> où la production culturelle a pris une importance dominante par rapport à la production d'objets et où l'a</w:t>
      </w:r>
      <w:r w:rsidRPr="00CB4F2C">
        <w:t>c</w:t>
      </w:r>
      <w:r w:rsidRPr="00CB4F2C">
        <w:t>teur principal est le Sujet qui doit lutter contre les appareils imperso</w:t>
      </w:r>
      <w:r w:rsidRPr="00CB4F2C">
        <w:t>n</w:t>
      </w:r>
      <w:r>
        <w:t>nels qui mena</w:t>
      </w:r>
      <w:r w:rsidRPr="00CB4F2C">
        <w:t>cent</w:t>
      </w:r>
      <w:r>
        <w:t xml:space="preserve"> [162]</w:t>
      </w:r>
      <w:r w:rsidRPr="00CB4F2C">
        <w:t xml:space="preserve"> sa liberté. Il</w:t>
      </w:r>
      <w:r>
        <w:t xml:space="preserve"> ne faut pas parler de postmodern</w:t>
      </w:r>
      <w:r w:rsidRPr="00CB4F2C">
        <w:t>ité mais d'hy</w:t>
      </w:r>
      <w:r>
        <w:t>permodern</w:t>
      </w:r>
      <w:r w:rsidRPr="00CB4F2C">
        <w:t>ité pour désigner cette s</w:t>
      </w:r>
      <w:r w:rsidRPr="00CB4F2C">
        <w:t>i</w:t>
      </w:r>
      <w:r w:rsidRPr="00CB4F2C">
        <w:t>tuation nouvelle qui caractér</w:t>
      </w:r>
      <w:r w:rsidRPr="00CB4F2C">
        <w:t>i</w:t>
      </w:r>
      <w:r w:rsidRPr="00CB4F2C">
        <w:t>se la « société programmée » : Dans la société programmée, l'individu, r</w:t>
      </w:r>
      <w:r w:rsidRPr="00CB4F2C">
        <w:t>é</w:t>
      </w:r>
      <w:r w:rsidRPr="00CB4F2C">
        <w:t>duit à n'être qu'un consommateur, une ressource humaine ou une dble, s'oppose à la logique dominante du système en s'affirmant comme s</w:t>
      </w:r>
      <w:r w:rsidRPr="00CB4F2C">
        <w:t>u</w:t>
      </w:r>
      <w:r w:rsidRPr="00CB4F2C">
        <w:t>jet, contre le monde des choses et contre l'objectivation de ses b</w:t>
      </w:r>
      <w:r w:rsidRPr="00CB4F2C">
        <w:t>e</w:t>
      </w:r>
      <w:r w:rsidRPr="00CB4F2C">
        <w:t>soins en demandes marchandes. C'est pourquoi l'idée de sujet n'est pas sép</w:t>
      </w:r>
      <w:r w:rsidRPr="00CB4F2C">
        <w:t>a</w:t>
      </w:r>
      <w:r w:rsidRPr="00CB4F2C">
        <w:t>rable d'une analyse de la société présente, non comme postmode</w:t>
      </w:r>
      <w:r>
        <w:t>rn</w:t>
      </w:r>
      <w:r w:rsidRPr="00CB4F2C">
        <w:t>e mais comme postindustrielle ou pr</w:t>
      </w:r>
      <w:r w:rsidRPr="00CB4F2C">
        <w:t>o</w:t>
      </w:r>
      <w:r w:rsidRPr="00CB4F2C">
        <w:t>grammée (Touraine, 1992, p. 291).</w:t>
      </w:r>
    </w:p>
    <w:p w:rsidR="00B7214C" w:rsidRDefault="00B7214C" w:rsidP="00B7214C">
      <w:pPr>
        <w:spacing w:before="120" w:after="120"/>
        <w:jc w:val="both"/>
      </w:pPr>
    </w:p>
    <w:p w:rsidR="00B7214C" w:rsidRPr="00CB4F2C" w:rsidRDefault="00B7214C" w:rsidP="00B7214C">
      <w:pPr>
        <w:spacing w:before="120" w:after="120"/>
        <w:jc w:val="both"/>
      </w:pPr>
      <w:r w:rsidRPr="00CB4F2C">
        <w:t>Selon Touraine, c'est parce l'homme moderne a fait l'expérience du totalitarisme et des excès de rationalisation de la société de conso</w:t>
      </w:r>
      <w:r w:rsidRPr="00CB4F2C">
        <w:t>m</w:t>
      </w:r>
      <w:r w:rsidRPr="00CB4F2C">
        <w:t>mation et du libéralisme triomphant que notre siècle est plus porté que les précédents à reconnaître l'idée de Sujet. Mais cela ne doit pas conduire au rejet de la rationalité instrumentale :</w:t>
      </w:r>
    </w:p>
    <w:p w:rsidR="00B7214C" w:rsidRDefault="00B7214C" w:rsidP="00B7214C">
      <w:pPr>
        <w:pStyle w:val="Grillecouleur-Accent1"/>
      </w:pPr>
    </w:p>
    <w:p w:rsidR="00B7214C" w:rsidRPr="00CB4F2C" w:rsidRDefault="00B7214C" w:rsidP="00B7214C">
      <w:pPr>
        <w:pStyle w:val="Grillecouleur-Accent1"/>
      </w:pPr>
      <w:r w:rsidRPr="00CB4F2C">
        <w:t>La société moderne naît avec la rupture de l'ordre sacré du monde ; à la place de celui-ci apparaît la séparation, mais aussi l'interdépe</w:t>
      </w:r>
      <w:r w:rsidRPr="00CB4F2C">
        <w:t>n</w:t>
      </w:r>
      <w:r w:rsidRPr="00CB4F2C">
        <w:t>dance de l'action rationnelle instrumentale et du sujet personnel. Si la première veut ignorer le second, elle y substitue le culte de la société et de la fonctionn</w:t>
      </w:r>
      <w:r w:rsidRPr="00CB4F2C">
        <w:t>a</w:t>
      </w:r>
      <w:r w:rsidRPr="00CB4F2C">
        <w:t>lité des conduites ; inversement, si le second écarte la première, il dégén</w:t>
      </w:r>
      <w:r w:rsidRPr="00CB4F2C">
        <w:t>è</w:t>
      </w:r>
      <w:r w:rsidRPr="00CB4F2C">
        <w:t>re en culte de l'identité individuelle ou comm</w:t>
      </w:r>
      <w:r w:rsidRPr="00CB4F2C">
        <w:t>u</w:t>
      </w:r>
      <w:r w:rsidRPr="00CB4F2C">
        <w:t>nautaire...</w:t>
      </w:r>
    </w:p>
    <w:p w:rsidR="00B7214C" w:rsidRDefault="00B7214C" w:rsidP="00B7214C">
      <w:pPr>
        <w:pStyle w:val="Grillecouleur-Accent1"/>
      </w:pPr>
      <w:r w:rsidRPr="00CB4F2C">
        <w:t xml:space="preserve">L'essentiel, aujourd'hui, est de s'opposer à toute absorption d'un des deux éléments de la modernité par l'autre. Ce qui ne peut être fait qu'en rappelant que le triomphe exclusif de la pensée instrumentale conduit à l'oppression, comme celui du subjectivisme mène à la fausse conscience (Touraine, 1992, </w:t>
      </w:r>
      <w:r>
        <w:t>p</w:t>
      </w:r>
      <w:r w:rsidRPr="00CB4F2C">
        <w:t>p. 251-252).</w:t>
      </w:r>
    </w:p>
    <w:p w:rsidR="00B7214C" w:rsidRPr="00CB4F2C" w:rsidRDefault="00B7214C" w:rsidP="00B7214C">
      <w:pPr>
        <w:pStyle w:val="Grillecouleur-Accent1"/>
      </w:pPr>
    </w:p>
    <w:p w:rsidR="00B7214C" w:rsidRPr="00CB4F2C" w:rsidRDefault="00B7214C" w:rsidP="00B7214C">
      <w:pPr>
        <w:spacing w:before="120" w:after="120"/>
        <w:jc w:val="both"/>
      </w:pPr>
      <w:r w:rsidRPr="00CB4F2C">
        <w:t>Touraine oppose la situation de modernité éclatée dominée par la rationalité instrumentale à la nouvelle modernité marqué par une int</w:t>
      </w:r>
      <w:r w:rsidRPr="00CB4F2C">
        <w:t>é</w:t>
      </w:r>
      <w:r w:rsidRPr="00CB4F2C">
        <w:t>gration de la rationalité et du Sujet. Cette dialectique de la raison et du Sujet permet de parvenir à une certaine réunification des « quatre fo</w:t>
      </w:r>
      <w:r w:rsidRPr="00CB4F2C">
        <w:t>r</w:t>
      </w:r>
      <w:r w:rsidRPr="00CB4F2C">
        <w:t>ces opposées dont la combinaison définit la société contemporaine : la sexualité, les besoins marchands, l'entreprise et la nation » (p. 310).</w:t>
      </w:r>
    </w:p>
    <w:p w:rsidR="00B7214C" w:rsidRPr="00CB4F2C" w:rsidRDefault="00B7214C" w:rsidP="00B7214C">
      <w:pPr>
        <w:spacing w:before="120" w:after="120"/>
        <w:jc w:val="both"/>
      </w:pPr>
      <w:r w:rsidRPr="00CB4F2C">
        <w:t>Cette approche, comme celle de Simard, est diamétralement opp</w:t>
      </w:r>
      <w:r w:rsidRPr="00CB4F2C">
        <w:t>o</w:t>
      </w:r>
      <w:r w:rsidRPr="00CB4F2C">
        <w:t>sée à celle des tenants des formes radicales du relativisme culturel. Elle s'éloigne également des positions plus nuancées comme celle de Rist. La Déclaration universelle des droits de l'homme repose sur une reconnaissance implicite de la transcendance du sujet humain libre sur des normes culturelles qui en sont venues à être considérées comme oppressives et déshumanisantes à la lumière des idéaux de la modern</w:t>
      </w:r>
      <w:r w:rsidRPr="00CB4F2C">
        <w:t>i</w:t>
      </w:r>
      <w:r w:rsidRPr="00CB4F2C">
        <w:t>té. Si la combinaison dialectique de rationalité et de liberté, qui est centrale dans ces idéaux, n'appartient pas en propre à une culture pa</w:t>
      </w:r>
      <w:r w:rsidRPr="00CB4F2C">
        <w:t>r</w:t>
      </w:r>
      <w:r w:rsidRPr="00CB4F2C">
        <w:t>ticulière, la « culture occidentale », mais découle de l'élargissement du champ culturel à l'échelle de</w:t>
      </w:r>
      <w:r>
        <w:t xml:space="preserve"> [</w:t>
      </w:r>
      <w:r w:rsidRPr="00CB4F2C">
        <w:t>163</w:t>
      </w:r>
      <w:r>
        <w:t xml:space="preserve">] </w:t>
      </w:r>
      <w:r w:rsidRPr="00CB4F2C">
        <w:t>l'humanité dans la situation no</w:t>
      </w:r>
      <w:r w:rsidRPr="00CB4F2C">
        <w:t>u</w:t>
      </w:r>
      <w:r w:rsidRPr="00CB4F2C">
        <w:t>velle créée par la modernité, il devient possible de promouvoir le re</w:t>
      </w:r>
      <w:r w:rsidRPr="00CB4F2C">
        <w:t>s</w:t>
      </w:r>
      <w:r w:rsidRPr="00CB4F2C">
        <w:t>pect des droits de l'homme sans tomber dans l'ethnocentrisme. Il est inévitable que cet engagement à promouvoir les droits de l'homme conduise dans certains cas à remettre en question des pratiques cult</w:t>
      </w:r>
      <w:r w:rsidRPr="00CB4F2C">
        <w:t>u</w:t>
      </w:r>
      <w:r w:rsidRPr="00CB4F2C">
        <w:t>relles consacrées par des traditions millénaires. Mais les idéaux de la modernité comportent le devoir m</w:t>
      </w:r>
      <w:r w:rsidRPr="00CB4F2C">
        <w:t>o</w:t>
      </w:r>
      <w:r w:rsidRPr="00CB4F2C">
        <w:t>ral de porter de tels jugements. En montrant que ces idéaux n'appa</w:t>
      </w:r>
      <w:r w:rsidRPr="00CB4F2C">
        <w:t>r</w:t>
      </w:r>
      <w:r w:rsidRPr="00CB4F2C">
        <w:t>tiennent pas en propre aux cultures occidentales même si c'est en Occident qu'ils ont émergé pour des ra</w:t>
      </w:r>
      <w:r w:rsidRPr="00CB4F2C">
        <w:t>i</w:t>
      </w:r>
      <w:r w:rsidRPr="00CB4F2C">
        <w:t>sons historiques particulières</w:t>
      </w:r>
      <w:r>
        <w:t> </w:t>
      </w:r>
      <w:r>
        <w:rPr>
          <w:rStyle w:val="Appelnotedebasdep"/>
        </w:rPr>
        <w:footnoteReference w:id="52"/>
      </w:r>
      <w:r w:rsidRPr="00CB4F2C">
        <w:t>, Simard contribue à les réhabiliter f</w:t>
      </w:r>
      <w:r w:rsidRPr="00CB4F2C">
        <w:t>a</w:t>
      </w:r>
      <w:r w:rsidRPr="00CB4F2C">
        <w:t>ce aux critiques des tenants du relativisme culturel. Le plaidoyer de To</w:t>
      </w:r>
      <w:r w:rsidRPr="00CB4F2C">
        <w:t>u</w:t>
      </w:r>
      <w:r w:rsidRPr="00CB4F2C">
        <w:t>raine en faveur d'un retour du Sujet et d'un meilleur équilibre entre rationalisation et subjectivation va dans le même sens.</w:t>
      </w:r>
    </w:p>
    <w:p w:rsidR="00B7214C" w:rsidRPr="00CB4F2C" w:rsidRDefault="00B7214C" w:rsidP="00B7214C">
      <w:pPr>
        <w:spacing w:before="120" w:after="120"/>
        <w:jc w:val="both"/>
      </w:pPr>
      <w:r w:rsidRPr="00CB4F2C">
        <w:t>C'est aussi par un appel aux idéaux de la modernité et par une te</w:t>
      </w:r>
      <w:r w:rsidRPr="00CB4F2C">
        <w:t>n</w:t>
      </w:r>
      <w:r w:rsidRPr="00CB4F2C">
        <w:t>tative en vue de les réhabiliter que Taylor (1992) rejette les arguments de certains critiques de la modernité. Dans un petit ouvrage qui const</w:t>
      </w:r>
      <w:r w:rsidRPr="00CB4F2C">
        <w:t>i</w:t>
      </w:r>
      <w:r w:rsidRPr="00CB4F2C">
        <w:t>tue une référence essentielle pour toute discussion sur la modernité, il identifie trois « malaises » engendrés par les transformations que la modernité a entraînées dans son sillage :</w:t>
      </w:r>
    </w:p>
    <w:p w:rsidR="00B7214C" w:rsidRDefault="00B7214C" w:rsidP="00B7214C">
      <w:pPr>
        <w:spacing w:before="120" w:after="120"/>
        <w:jc w:val="both"/>
      </w:pPr>
    </w:p>
    <w:p w:rsidR="00B7214C" w:rsidRPr="00CB4F2C" w:rsidRDefault="00B7214C" w:rsidP="00B7214C">
      <w:pPr>
        <w:spacing w:before="120" w:after="120"/>
        <w:ind w:left="720" w:hanging="360"/>
        <w:jc w:val="both"/>
      </w:pPr>
      <w:r>
        <w:t>-</w:t>
      </w:r>
      <w:r>
        <w:tab/>
      </w:r>
      <w:r w:rsidRPr="00CB4F2C">
        <w:t>un individualisme qui nous « permet de maîtriser notre existe</w:t>
      </w:r>
      <w:r w:rsidRPr="00CB4F2C">
        <w:t>n</w:t>
      </w:r>
      <w:r w:rsidRPr="00CB4F2C">
        <w:t>ce d'une foule de façons dont nos ancêtres n'avaient aucune idée » (p. 12) ;</w:t>
      </w:r>
    </w:p>
    <w:p w:rsidR="00B7214C" w:rsidRPr="00CB4F2C" w:rsidRDefault="00B7214C" w:rsidP="00B7214C">
      <w:pPr>
        <w:spacing w:before="120" w:after="120"/>
        <w:ind w:left="720" w:hanging="360"/>
        <w:jc w:val="both"/>
      </w:pPr>
      <w:r>
        <w:t>-</w:t>
      </w:r>
      <w:r>
        <w:tab/>
      </w:r>
      <w:r w:rsidRPr="00CB4F2C">
        <w:t>une primauté de la raison instrumentale et une domination de la technologie qui a entraîné « une perte de résonance, de profo</w:t>
      </w:r>
      <w:r w:rsidRPr="00CB4F2C">
        <w:t>n</w:t>
      </w:r>
      <w:r w:rsidRPr="00CB4F2C">
        <w:t>deur, ou de richesse dans l'environnement humain » (p. 17). Ces deux premiers malaises s'accompagnent d'un « désenchantement du monde » et du sentiment que nos vies ont été aplaties et rétrécies ;</w:t>
      </w:r>
      <w:r>
        <w:t> </w:t>
      </w:r>
      <w:r>
        <w:rPr>
          <w:rStyle w:val="Appelnotedebasdep"/>
        </w:rPr>
        <w:footnoteReference w:id="53"/>
      </w:r>
    </w:p>
    <w:p w:rsidR="00B7214C" w:rsidRPr="00CB4F2C" w:rsidRDefault="00B7214C" w:rsidP="00B7214C">
      <w:pPr>
        <w:spacing w:before="120" w:after="120"/>
        <w:ind w:left="720" w:hanging="360"/>
        <w:jc w:val="both"/>
      </w:pPr>
      <w:r>
        <w:t>-</w:t>
      </w:r>
      <w:r>
        <w:tab/>
      </w:r>
      <w:r w:rsidRPr="00CB4F2C">
        <w:t>la perte de liberté et l'aliénation du citoyen dans un monde de plus en plus centralisé et bureaucratisé.</w:t>
      </w:r>
    </w:p>
    <w:p w:rsidR="00B7214C" w:rsidRDefault="00B7214C" w:rsidP="00B7214C">
      <w:pPr>
        <w:spacing w:before="120" w:after="120"/>
        <w:jc w:val="both"/>
      </w:pPr>
    </w:p>
    <w:p w:rsidR="00B7214C" w:rsidRPr="00CB4F2C" w:rsidRDefault="00B7214C" w:rsidP="00B7214C">
      <w:pPr>
        <w:spacing w:before="120" w:after="120"/>
        <w:jc w:val="both"/>
      </w:pPr>
      <w:r w:rsidRPr="00CB4F2C">
        <w:t>Taylor ne traite ici que du premier malaise. Il discute tout d'abord les critiques formulées par plusieurs auteurs (Lasch, 1979 ; Lipovet</w:t>
      </w:r>
      <w:r w:rsidRPr="00CB4F2C">
        <w:t>s</w:t>
      </w:r>
      <w:r w:rsidRPr="00CB4F2C">
        <w:t>ky, 1983) à l'égard de l'idéologie de l'épanouissement de soi. Il s'en prend en particulier au ton méprisant avec lequel Bloom (1987) décrit la culture narcissique qu'il observe à l'université. Un des traits princ</w:t>
      </w:r>
      <w:r w:rsidRPr="00CB4F2C">
        <w:t>i</w:t>
      </w:r>
      <w:r w:rsidRPr="00CB4F2C">
        <w:t xml:space="preserve">paux de cette culture est un « relativisme doux » selon lequel chacun a droit </w:t>
      </w:r>
      <w:r w:rsidRPr="00A65CD4">
        <w:t xml:space="preserve">à </w:t>
      </w:r>
      <w:r w:rsidRPr="00CB4F2C">
        <w:t>choisir ses valeurs et il est impossible d'en discuter. Selon Bloom, ce relativisme ne représente pas qu'une position épistémolog</w:t>
      </w:r>
      <w:r w:rsidRPr="00CB4F2C">
        <w:t>i</w:t>
      </w:r>
      <w:r w:rsidRPr="00CB4F2C">
        <w:t>que sur les limites de la raison ; il représente également une position morale : « ...on ne doit pas contester les valeurs d'autrui. Ça le rega</w:t>
      </w:r>
      <w:r w:rsidRPr="00CB4F2C">
        <w:t>r</w:t>
      </w:r>
      <w:r w:rsidRPr="00CB4F2C">
        <w:t>de, c'est son choix, et il faut le respecter », (p. 26). Ce relativisme se ramène, selon Taylor à une forme d'individualisme qu'on peut définir comme suit :</w:t>
      </w:r>
    </w:p>
    <w:p w:rsidR="00B7214C" w:rsidRDefault="00B7214C" w:rsidP="00B7214C">
      <w:pPr>
        <w:pStyle w:val="Grillecouleur-Accent1"/>
      </w:pPr>
    </w:p>
    <w:p w:rsidR="00B7214C" w:rsidRDefault="00B7214C" w:rsidP="00B7214C">
      <w:pPr>
        <w:pStyle w:val="Grillecouleur-Accent1"/>
      </w:pPr>
      <w:r w:rsidRPr="00CB4F2C">
        <w:t>... chacun a le droit d'organiser sa propre vie en fonction de ce qu'il j</w:t>
      </w:r>
      <w:r w:rsidRPr="00CB4F2C">
        <w:t>u</w:t>
      </w:r>
      <w:r w:rsidRPr="00CB4F2C">
        <w:t>ge</w:t>
      </w:r>
      <w:r>
        <w:t xml:space="preserve"> </w:t>
      </w:r>
      <w:r w:rsidRPr="00CB4F2C">
        <w:t>vraiment important et valable. Il faut être sincère envers soi-même et chercher</w:t>
      </w:r>
      <w:r>
        <w:t xml:space="preserve"> </w:t>
      </w:r>
      <w:r w:rsidRPr="00CB4F2C">
        <w:t>en soi-même son propre épanouissement. En quoi consiste cet épa</w:t>
      </w:r>
      <w:r>
        <w:t>nouisse</w:t>
      </w:r>
      <w:r w:rsidRPr="00CB4F2C">
        <w:t>ment ?</w:t>
      </w:r>
      <w:r>
        <w:t xml:space="preserve"> [164]</w:t>
      </w:r>
      <w:r w:rsidRPr="00CB4F2C">
        <w:t xml:space="preserve"> En dernière analyse, c'est à chacun de le déterm</w:t>
      </w:r>
      <w:r w:rsidRPr="00CB4F2C">
        <w:t>i</w:t>
      </w:r>
      <w:r w:rsidRPr="00CB4F2C">
        <w:t>ner pour soi-même. Personne d'autre ne peut ou ne doit essayer de lui di</w:t>
      </w:r>
      <w:r w:rsidRPr="00CB4F2C">
        <w:t>c</w:t>
      </w:r>
      <w:r w:rsidRPr="00CB4F2C">
        <w:t>ter quoi que ce soit » (p. 26)</w:t>
      </w:r>
      <w:r>
        <w:t>. </w:t>
      </w:r>
      <w:r>
        <w:rPr>
          <w:rStyle w:val="Appelnotedebasdep"/>
        </w:rPr>
        <w:footnoteReference w:id="54"/>
      </w:r>
    </w:p>
    <w:p w:rsidR="00B7214C" w:rsidRPr="00CB4F2C" w:rsidRDefault="00B7214C" w:rsidP="00B7214C">
      <w:pPr>
        <w:pStyle w:val="Grillecouleur-Accent1"/>
      </w:pPr>
    </w:p>
    <w:p w:rsidR="00B7214C" w:rsidRPr="00CB4F2C" w:rsidRDefault="00B7214C" w:rsidP="00B7214C">
      <w:pPr>
        <w:spacing w:before="120" w:after="120"/>
        <w:jc w:val="both"/>
      </w:pPr>
      <w:r w:rsidRPr="00CB4F2C">
        <w:t>Taylor concède volontiers aux critiques de la modernité que la culture de l'épanouissement personnel a pris des formes égocentriques futiles qui peuvent parfois tourner à l'absurde. Mais il leur reproche d'oublier l'idéal moral de véracité à soi-même dans le sens moderne spécifiquement du terme qui se profile derrière la recherche de l'ép</w:t>
      </w:r>
      <w:r w:rsidRPr="00CB4F2C">
        <w:t>a</w:t>
      </w:r>
      <w:r w:rsidRPr="00CB4F2C">
        <w:t>nouissement de soi. « Loin d'offrir une raison de rejeter l'idéal moral de l'authenticité, il [le relativisme doux] devrait lui-même être rejeté en son nom » (p. 36).</w:t>
      </w:r>
    </w:p>
    <w:p w:rsidR="00B7214C" w:rsidRPr="00CB4F2C" w:rsidRDefault="00B7214C" w:rsidP="00B7214C">
      <w:pPr>
        <w:spacing w:before="120" w:after="120"/>
        <w:jc w:val="both"/>
      </w:pPr>
      <w:r w:rsidRPr="00CB4F2C">
        <w:t>Selon Taylor, certaines formes égocentriques de la culture de l'a</w:t>
      </w:r>
      <w:r w:rsidRPr="00CB4F2C">
        <w:t>u</w:t>
      </w:r>
      <w:r w:rsidRPr="00CB4F2C">
        <w:t>thenticité sont aberrantes à deux points de vue :</w:t>
      </w:r>
    </w:p>
    <w:p w:rsidR="00B7214C" w:rsidRPr="00CB4F2C" w:rsidRDefault="00B7214C" w:rsidP="00B7214C">
      <w:pPr>
        <w:spacing w:before="120" w:after="120"/>
        <w:jc w:val="both"/>
      </w:pPr>
      <w:r w:rsidRPr="00CB4F2C">
        <w:t xml:space="preserve">Elle situent la source des satisfactions dans l'individu, n'accordant à ses relations qu'un rôle purement instrumental : elle poussent, en d'autres mots, vers </w:t>
      </w:r>
      <w:r>
        <w:t>l’</w:t>
      </w:r>
      <w:r w:rsidRPr="00043BD3">
        <w:rPr>
          <w:i/>
          <w:iCs/>
        </w:rPr>
        <w:t>atomisme</w:t>
      </w:r>
      <w:r w:rsidRPr="00CB4F2C">
        <w:t xml:space="preserve"> social. Elle tendent, en outre, à ne pr</w:t>
      </w:r>
      <w:r w:rsidRPr="00CB4F2C">
        <w:t>o</w:t>
      </w:r>
      <w:r w:rsidRPr="00CB4F2C">
        <w:t>mouvoir que le développement du moi, négligeant ou délégitimant les exigences qui vont au-delà de nos désirs ou de nos aspirations, que celles-ci émanent de l'histoire, de la tradition, de la société, de la nat</w:t>
      </w:r>
      <w:r w:rsidRPr="00CB4F2C">
        <w:t>u</w:t>
      </w:r>
      <w:r w:rsidRPr="00CB4F2C">
        <w:t>re ou de Dieu : elles engendrent, en d'autres termes, un anthropoce</w:t>
      </w:r>
      <w:r w:rsidRPr="00CB4F2C">
        <w:t>n</w:t>
      </w:r>
      <w:r w:rsidRPr="00CB4F2C">
        <w:t>trisme radical (p. 77).</w:t>
      </w:r>
    </w:p>
    <w:p w:rsidR="00B7214C" w:rsidRPr="00CB4F2C" w:rsidRDefault="00B7214C" w:rsidP="00B7214C">
      <w:pPr>
        <w:spacing w:before="120" w:after="120"/>
        <w:jc w:val="both"/>
      </w:pPr>
      <w:r w:rsidRPr="00CB4F2C">
        <w:t>Ces deux attitudes, l'atomisme social et le refus de toute transce</w:t>
      </w:r>
      <w:r w:rsidRPr="00CB4F2C">
        <w:t>n</w:t>
      </w:r>
      <w:r w:rsidRPr="00CB4F2C">
        <w:t>dance, constituent les traits principaux de la culture du narcissisme. Elles constituent des déviations de l'un des idéaux de la modernité, l'idéal de l'authenticité dont Taylor retrace les origines dans la pensée de Jean-Jacques Rousseau. Ces déviations, qu'il considère comme des « dérapages de la modernité, s'expliquent en partie par la mobilité s</w:t>
      </w:r>
      <w:r w:rsidRPr="00CB4F2C">
        <w:t>o</w:t>
      </w:r>
      <w:r w:rsidRPr="00CB4F2C">
        <w:t>ciale forcée et par l'emprise grandissante de la raison instrumentale dans une société industrielle, bureaucratique et technologique. Elles se combinent avec « un mouvement de la &lt;grande&gt; culture vers une so</w:t>
      </w:r>
      <w:r w:rsidRPr="00CB4F2C">
        <w:t>r</w:t>
      </w:r>
      <w:r w:rsidRPr="00CB4F2C">
        <w:t>te de nihilisme, de négation de tous les horizons de sens, qui sévit d</w:t>
      </w:r>
      <w:r w:rsidRPr="00CB4F2C">
        <w:t>e</w:t>
      </w:r>
      <w:r w:rsidRPr="00CB4F2C">
        <w:t>puis un siècle et demi » (p. 79). Ce mouvement remonte à Nietzsche et il s'incarne de nos jours dans les théories à la mode de la « déconstruction », notamment celle de Foucault (Foucault, 1983).</w:t>
      </w:r>
    </w:p>
    <w:p w:rsidR="00B7214C" w:rsidRDefault="00B7214C" w:rsidP="00B7214C">
      <w:pPr>
        <w:spacing w:before="120" w:after="120"/>
        <w:jc w:val="both"/>
      </w:pPr>
      <w:r w:rsidRPr="00CB4F2C">
        <w:t>Taylor distingue deux catégories d'exigences de l'authenticité :</w:t>
      </w:r>
    </w:p>
    <w:p w:rsidR="00B7214C" w:rsidRPr="00CB4F2C" w:rsidRDefault="00B7214C" w:rsidP="00B7214C">
      <w:pPr>
        <w:spacing w:before="120" w:after="120"/>
        <w:jc w:val="both"/>
      </w:pPr>
    </w:p>
    <w:p w:rsidR="00B7214C" w:rsidRPr="00CB4F2C" w:rsidRDefault="00B7214C" w:rsidP="00B7214C">
      <w:pPr>
        <w:pStyle w:val="Citationliste"/>
      </w:pPr>
      <w:r w:rsidRPr="00CB4F2C">
        <w:t>a)</w:t>
      </w:r>
      <w:r>
        <w:tab/>
      </w:r>
      <w:r w:rsidRPr="00CB4F2C">
        <w:t>celles qui impliquent une création et une construction aussi bien qu'une découverte, une originalité et souvent une opposition aux r</w:t>
      </w:r>
      <w:r w:rsidRPr="00CB4F2C">
        <w:t>è</w:t>
      </w:r>
      <w:r w:rsidRPr="00CB4F2C">
        <w:t>gles sociales et même, éventuellement, à ce que nous reconnaissons comme la morale ;</w:t>
      </w:r>
    </w:p>
    <w:p w:rsidR="00B7214C" w:rsidRDefault="00B7214C" w:rsidP="00B7214C">
      <w:pPr>
        <w:pStyle w:val="Citationliste"/>
      </w:pPr>
      <w:r w:rsidRPr="00CB4F2C">
        <w:t>b)</w:t>
      </w:r>
      <w:r>
        <w:tab/>
      </w:r>
      <w:r w:rsidRPr="00CB4F2C">
        <w:t>une ouverture à des horizons de signification sans lesquels la création perd la perspective qui peut la sauver de l'insignifiance et une défin</w:t>
      </w:r>
      <w:r w:rsidRPr="00CB4F2C">
        <w:t>i</w:t>
      </w:r>
      <w:r w:rsidRPr="00CB4F2C">
        <w:t>tion de soi dans le dialogue.</w:t>
      </w:r>
    </w:p>
    <w:p w:rsidR="00B7214C" w:rsidRDefault="00B7214C" w:rsidP="00B7214C">
      <w:pPr>
        <w:spacing w:before="120" w:after="120"/>
        <w:jc w:val="both"/>
      </w:pPr>
    </w:p>
    <w:p w:rsidR="00B7214C" w:rsidRPr="00CB4F2C" w:rsidRDefault="00B7214C" w:rsidP="00B7214C">
      <w:pPr>
        <w:spacing w:before="120" w:after="120"/>
        <w:jc w:val="both"/>
      </w:pPr>
      <w:r>
        <w:t>[</w:t>
      </w:r>
      <w:r w:rsidRPr="00CB4F2C">
        <w:t>165</w:t>
      </w:r>
      <w:r>
        <w:t>]</w:t>
      </w:r>
    </w:p>
    <w:p w:rsidR="00B7214C" w:rsidRPr="00CB4F2C" w:rsidRDefault="00B7214C" w:rsidP="00B7214C">
      <w:pPr>
        <w:spacing w:before="120" w:after="120"/>
        <w:jc w:val="both"/>
      </w:pPr>
      <w:r w:rsidRPr="00CB4F2C">
        <w:t>Il est normal qu'il y ait des tensions entre ces deux catégories d'exigences, mais il est néfaste d'en privilégier une aux dépens de l'a</w:t>
      </w:r>
      <w:r w:rsidRPr="00CB4F2C">
        <w:t>u</w:t>
      </w:r>
      <w:r w:rsidRPr="00CB4F2C">
        <w:t>tre comme le font aujourd'hui les théories de la déconstruction qui « mettent l'accent sur la nature constructive, créatrice, de nos langages expressifs [...], tout en passant sous silence leurs horizons de signific</w:t>
      </w:r>
      <w:r w:rsidRPr="00CB4F2C">
        <w:t>a</w:t>
      </w:r>
      <w:r w:rsidRPr="00CB4F2C">
        <w:t>tion [...], prennent les formes extrêmes de l'amoralisme de la créativité [...], tout en ignorant son contexte dialogique qui nous lie à l'autre » (p. 87).</w:t>
      </w:r>
    </w:p>
    <w:p w:rsidR="00B7214C" w:rsidRPr="00CB4F2C" w:rsidRDefault="00B7214C" w:rsidP="00B7214C">
      <w:pPr>
        <w:spacing w:before="120" w:after="120"/>
        <w:jc w:val="both"/>
      </w:pPr>
      <w:r w:rsidRPr="00CB4F2C">
        <w:t>Un autre facteur qui a contribué selon Taylor à faire dévier l'idéal moderne de l'authenticité vers les excès égocentriques de la culture du narcissisme est son association avec un autre idéal de la modernité, celui de la liberté autodéterminée qui « exige que je me déprenne de toute obligation extérieure et que je décide pour moi seul » (p. 42). Cet idéal, lorsqu'il est poussé à bout, peut basculer dans les pires abus de l'anthropocentrisme. Lorsqu'elle s'associe à la liberté autodéterm</w:t>
      </w:r>
      <w:r w:rsidRPr="00CB4F2C">
        <w:t>i</w:t>
      </w:r>
      <w:r w:rsidRPr="00CB4F2C">
        <w:t>née, l'authenticité se détruit elle-même :</w:t>
      </w:r>
    </w:p>
    <w:p w:rsidR="00B7214C" w:rsidRDefault="00B7214C" w:rsidP="00B7214C">
      <w:pPr>
        <w:pStyle w:val="Grillecouleur-Accent1"/>
      </w:pPr>
    </w:p>
    <w:p w:rsidR="00B7214C" w:rsidRPr="00CB4F2C" w:rsidRDefault="00B7214C" w:rsidP="00B7214C">
      <w:pPr>
        <w:pStyle w:val="Grillecouleur-Accent1"/>
      </w:pPr>
      <w:r w:rsidRPr="00CB4F2C">
        <w:t>Et lorsque la tradition d'authenticité débouche, pour une raison ou une autre, dans l'anthropocentrisme, cette association s'impose et d</w:t>
      </w:r>
      <w:r w:rsidRPr="00CB4F2C">
        <w:t>e</w:t>
      </w:r>
      <w:r w:rsidRPr="00CB4F2C">
        <w:t>vient pour ainsi dire irrésistible. C'est parce qu'en abolissant tout horizon de signific</w:t>
      </w:r>
      <w:r w:rsidRPr="00CB4F2C">
        <w:t>a</w:t>
      </w:r>
      <w:r w:rsidRPr="00CB4F2C">
        <w:t>tion, l'anthropocentrisme nous menace d'une perte de sens et donc d'une banalisation de notre destin. À un moment, nous avons une vision tragique de notre situation, seuls dans un univers silencieux, sans signification i</w:t>
      </w:r>
      <w:r w:rsidRPr="00CB4F2C">
        <w:t>n</w:t>
      </w:r>
      <w:r w:rsidRPr="00CB4F2C">
        <w:t>trinsèque, condamnés à créer nous-mêmes des valeurs. Mais à un autre moment, la même théorie, par sa propre dynamique, nous livre un monde aplati dans lequel il ne reste aucun choix significatif parce qu'il n'existe plus d'enjeux cruciaux...</w:t>
      </w:r>
    </w:p>
    <w:p w:rsidR="00B7214C" w:rsidRDefault="00B7214C" w:rsidP="00B7214C">
      <w:pPr>
        <w:pStyle w:val="Grillecouleur-Accent1"/>
      </w:pPr>
      <w:r w:rsidRPr="00CB4F2C">
        <w:t>Dans un monde aplati dont les horizons de signification reculent, l'idéal de liberté autodéterminée en vient à exercer une attraction de plus en plus forte. Il semble que le fait de choisir puisse conférer du sens en faisant de la vie l'exercice d'une liberté, même quand toutes les autres sources font défaut. La liberté autodéterminée est en quelque sorte la sol</w:t>
      </w:r>
      <w:r w:rsidRPr="00CB4F2C">
        <w:t>u</w:t>
      </w:r>
      <w:r w:rsidRPr="00CB4F2C">
        <w:t>tion de rechange de la culture de l'authenticité, et elle est en même temps son poison puisqu'elle accentue son anthropocentrisme. Cela crée un ce</w:t>
      </w:r>
      <w:r w:rsidRPr="00CB4F2C">
        <w:t>r</w:t>
      </w:r>
      <w:r w:rsidRPr="00CB4F2C">
        <w:t>cle vicieux dans lequel la principale valeur qui nous reste réside dans le seul fait de choisir. Mais cela, comme nous l'avons vu, subvertit profo</w:t>
      </w:r>
      <w:r w:rsidRPr="00CB4F2C">
        <w:t>n</w:t>
      </w:r>
      <w:r w:rsidRPr="00CB4F2C">
        <w:t>dément à la fois l'idéal de l'authenticité et la reconnaissance des différe</w:t>
      </w:r>
      <w:r w:rsidRPr="00CB4F2C">
        <w:t>n</w:t>
      </w:r>
      <w:r w:rsidRPr="00CB4F2C">
        <w:t>ces qui lui est associée (p</w:t>
      </w:r>
      <w:r>
        <w:t>p</w:t>
      </w:r>
      <w:r w:rsidRPr="00CB4F2C">
        <w:t>. 89-90).</w:t>
      </w:r>
    </w:p>
    <w:p w:rsidR="00B7214C" w:rsidRPr="00CB4F2C" w:rsidRDefault="00B7214C" w:rsidP="00B7214C">
      <w:pPr>
        <w:pStyle w:val="Grillecouleur-Accent1"/>
      </w:pPr>
    </w:p>
    <w:p w:rsidR="00B7214C" w:rsidRPr="00CB4F2C" w:rsidRDefault="00B7214C" w:rsidP="00B7214C">
      <w:pPr>
        <w:spacing w:before="120" w:after="120"/>
        <w:jc w:val="both"/>
      </w:pPr>
      <w:r w:rsidRPr="00CB4F2C">
        <w:t>C'est donc par un appel aux idéaux sous-jacents à l'individualisme moderne que Taylor propose une voie susceptible d'en dépasser les dérapages narcissiques. C'est par une approche similaire et par « un retour aux principes moraux plus riches qui constituent son fond</w:t>
      </w:r>
      <w:r w:rsidRPr="00CB4F2C">
        <w:t>e</w:t>
      </w:r>
      <w:r w:rsidRPr="00CB4F2C">
        <w:t>ment » (p. 131) qu'il pense qu'il est possible de réhabiliter la raison instrumentale et d'éviter que la science moderne ne nous enferme dans la « cage de fer » dont parlait Weber. On ne peut qu'être frappé par les parallèles entre les idéaux de la modernité dont Taylor cherche à mo</w:t>
      </w:r>
      <w:r w:rsidRPr="00CB4F2C">
        <w:t>n</w:t>
      </w:r>
      <w:r w:rsidRPr="00CB4F2C">
        <w:t>trer la pertinence et l'idée de Sujet</w:t>
      </w:r>
      <w:r>
        <w:t xml:space="preserve"> [166] </w:t>
      </w:r>
      <w:r w:rsidRPr="00CB4F2C">
        <w:t>élaborée par Touraine. Cette idée repose elle aussi sur un idéal de liberté qui permet à l'individu de s'affirmer comme Je et de transce</w:t>
      </w:r>
      <w:r w:rsidRPr="00CB4F2C">
        <w:t>n</w:t>
      </w:r>
      <w:r w:rsidRPr="00CB4F2C">
        <w:t>der les déterminismes de la société programmée sans rejeter compl</w:t>
      </w:r>
      <w:r w:rsidRPr="00CB4F2C">
        <w:t>è</w:t>
      </w:r>
      <w:r w:rsidRPr="00CB4F2C">
        <w:t>tement la raison instrumentale ni les traditions culturelles de son groupe d'appartenance.</w:t>
      </w:r>
    </w:p>
    <w:p w:rsidR="00B7214C" w:rsidRPr="00CB4F2C" w:rsidRDefault="00B7214C" w:rsidP="00B7214C">
      <w:pPr>
        <w:spacing w:before="120" w:after="120"/>
        <w:jc w:val="both"/>
      </w:pPr>
      <w:r w:rsidRPr="00CB4F2C">
        <w:t>J'ai examiné ailleurs (Ouellet, 1992) les risques d'effets pervers e</w:t>
      </w:r>
      <w:r w:rsidRPr="00CB4F2C">
        <w:t>n</w:t>
      </w:r>
      <w:r w:rsidRPr="00CB4F2C">
        <w:t>gendrés par une trop grande insistance sur les particularismes ethn</w:t>
      </w:r>
      <w:r w:rsidRPr="00CB4F2C">
        <w:t>o</w:t>
      </w:r>
      <w:r w:rsidRPr="00CB4F2C">
        <w:t>culturels dans les initiatives visant à faire face aux défis du pluralisme ethnoculturel en éducation. Lorsque la « logique de la spécificité » n'est pas étroitement articulée à une « logique de l'égalité » (Pagé, 1993), on ne peut éviter de tomber dans l'un ou l'autre de ces effets pervers dont la simple énumération suffit à faire réfléchir :</w:t>
      </w:r>
    </w:p>
    <w:p w:rsidR="00B7214C" w:rsidRPr="00CB4F2C" w:rsidRDefault="00B7214C" w:rsidP="00B7214C">
      <w:pPr>
        <w:spacing w:before="120" w:after="120"/>
        <w:ind w:left="720" w:hanging="360"/>
        <w:jc w:val="both"/>
      </w:pPr>
      <w:r>
        <w:t>-</w:t>
      </w:r>
      <w:r>
        <w:tab/>
      </w:r>
      <w:r w:rsidRPr="00CB4F2C">
        <w:t>l'enfermement des individus dans une identité culturelle fixe et immuable qui les prive de leur liberté de choisir leur formule culture</w:t>
      </w:r>
      <w:r w:rsidRPr="00CB4F2C">
        <w:t>l</w:t>
      </w:r>
      <w:r w:rsidRPr="00CB4F2C">
        <w:t>le ;</w:t>
      </w:r>
    </w:p>
    <w:p w:rsidR="00B7214C" w:rsidRPr="00CB4F2C" w:rsidRDefault="00B7214C" w:rsidP="00B7214C">
      <w:pPr>
        <w:spacing w:before="120" w:after="120"/>
        <w:ind w:left="720" w:hanging="360"/>
        <w:jc w:val="both"/>
      </w:pPr>
      <w:r>
        <w:t>-</w:t>
      </w:r>
      <w:r>
        <w:tab/>
      </w:r>
      <w:r w:rsidRPr="00CB4F2C">
        <w:t>le renforcement des frontières entre les groupes et l'accentu</w:t>
      </w:r>
      <w:r w:rsidRPr="00CB4F2C">
        <w:t>a</w:t>
      </w:r>
      <w:r w:rsidRPr="00CB4F2C">
        <w:t>tion des risques d'intolérance et de rejet de l'Autre ;</w:t>
      </w:r>
    </w:p>
    <w:p w:rsidR="00B7214C" w:rsidRPr="00CB4F2C" w:rsidRDefault="00B7214C" w:rsidP="00B7214C">
      <w:pPr>
        <w:spacing w:before="120" w:after="120"/>
        <w:ind w:left="720" w:hanging="360"/>
        <w:jc w:val="both"/>
      </w:pPr>
      <w:r>
        <w:t>-</w:t>
      </w:r>
      <w:r>
        <w:tab/>
      </w:r>
      <w:r w:rsidRPr="00CB4F2C">
        <w:t>la perplexité paralysante qui risque de s'emparer du maître rel</w:t>
      </w:r>
      <w:r w:rsidRPr="00CB4F2C">
        <w:t>a</w:t>
      </w:r>
      <w:r w:rsidRPr="00CB4F2C">
        <w:t>tiviste qui ne sait plus ce qu'il a le droit d'enseigner s'il veut re</w:t>
      </w:r>
      <w:r w:rsidRPr="00CB4F2C">
        <w:t>s</w:t>
      </w:r>
      <w:r w:rsidRPr="00CB4F2C">
        <w:t>pecter la culture des élèves des minorités ;</w:t>
      </w:r>
    </w:p>
    <w:p w:rsidR="00B7214C" w:rsidRPr="00CB4F2C" w:rsidRDefault="00B7214C" w:rsidP="00B7214C">
      <w:pPr>
        <w:spacing w:before="120" w:after="120"/>
        <w:ind w:left="720" w:hanging="360"/>
        <w:jc w:val="both"/>
      </w:pPr>
      <w:r>
        <w:t>-</w:t>
      </w:r>
      <w:r>
        <w:tab/>
      </w:r>
      <w:r w:rsidRPr="00CB4F2C">
        <w:t>la stigmatisation et la marginalisation des élèves des minorités qu'on assigne à une identité socialement dévalorisée ;</w:t>
      </w:r>
    </w:p>
    <w:p w:rsidR="00B7214C" w:rsidRPr="00CB4F2C" w:rsidRDefault="00B7214C" w:rsidP="00B7214C">
      <w:pPr>
        <w:spacing w:before="120" w:after="120"/>
        <w:ind w:left="720" w:hanging="360"/>
        <w:jc w:val="both"/>
      </w:pPr>
      <w:r>
        <w:t>-</w:t>
      </w:r>
      <w:r>
        <w:tab/>
      </w:r>
      <w:r w:rsidRPr="00CB4F2C">
        <w:t>la réification et la folklorisation de la culture qui cesse d'être une réalité vivante qui fournit le mode d'emploi de la vie ;</w:t>
      </w:r>
    </w:p>
    <w:p w:rsidR="00B7214C" w:rsidRPr="00CB4F2C" w:rsidRDefault="00B7214C" w:rsidP="00B7214C">
      <w:pPr>
        <w:spacing w:before="120" w:after="120"/>
        <w:ind w:left="720" w:hanging="360"/>
        <w:jc w:val="both"/>
      </w:pPr>
      <w:r>
        <w:t>-</w:t>
      </w:r>
      <w:r>
        <w:tab/>
      </w:r>
      <w:r w:rsidRPr="00CB4F2C">
        <w:t>la fragmentation des programmes scolaires sous l'impact des revendications particularistes.</w:t>
      </w:r>
    </w:p>
    <w:p w:rsidR="00B7214C" w:rsidRPr="00CB4F2C" w:rsidRDefault="00B7214C" w:rsidP="00B7214C">
      <w:pPr>
        <w:spacing w:before="120" w:after="120"/>
        <w:jc w:val="both"/>
      </w:pPr>
      <w:r w:rsidRPr="00CB4F2C">
        <w:t>L'insistance trop exclusive sur les particularismes se fonde génér</w:t>
      </w:r>
      <w:r w:rsidRPr="00CB4F2C">
        <w:t>a</w:t>
      </w:r>
      <w:r w:rsidRPr="00CB4F2C">
        <w:t>lement sur une théorie du relativisme culturel dont Michel Pagé a s</w:t>
      </w:r>
      <w:r w:rsidRPr="00CB4F2C">
        <w:t>i</w:t>
      </w:r>
      <w:r w:rsidRPr="00CB4F2C">
        <w:t>gnalé les conséquences négatives sur les rapports entre les divers groupes dans une société pluriethnique :</w:t>
      </w:r>
    </w:p>
    <w:p w:rsidR="00B7214C" w:rsidRDefault="00B7214C" w:rsidP="00B7214C">
      <w:pPr>
        <w:pStyle w:val="Grillecouleur-Accent1"/>
      </w:pPr>
    </w:p>
    <w:p w:rsidR="00B7214C" w:rsidRDefault="00B7214C" w:rsidP="00B7214C">
      <w:pPr>
        <w:pStyle w:val="Grillecouleur-Accent1"/>
      </w:pPr>
      <w:r w:rsidRPr="00CB4F2C">
        <w:t>Un autre problème très important est que, en érigeant en principe pr</w:t>
      </w:r>
      <w:r w:rsidRPr="00CB4F2C">
        <w:t>e</w:t>
      </w:r>
      <w:r w:rsidRPr="00CB4F2C">
        <w:t>mier la protection des cultures particulières, on ne peut proposer que le r</w:t>
      </w:r>
      <w:r w:rsidRPr="00CB4F2C">
        <w:t>e</w:t>
      </w:r>
      <w:r w:rsidRPr="00CB4F2C">
        <w:t>lativisme comme principe de régulation des rapports entre groupes cult</w:t>
      </w:r>
      <w:r w:rsidRPr="00CB4F2C">
        <w:t>u</w:t>
      </w:r>
      <w:r w:rsidRPr="00CB4F2C">
        <w:t>rels. Le relativisme ne peut que conduire à de graves d</w:t>
      </w:r>
      <w:r w:rsidRPr="00CB4F2C">
        <w:t>é</w:t>
      </w:r>
      <w:r w:rsidRPr="00CB4F2C">
        <w:t>séquilibres dans les rapports entre groupes distincts qui coexistent dans une société. Le premier déséquilibre vient de ce que l'on exige que ce soit le groupe cult</w:t>
      </w:r>
      <w:r w:rsidRPr="00CB4F2C">
        <w:t>u</w:t>
      </w:r>
      <w:r w:rsidRPr="00CB4F2C">
        <w:t>rel majoritaire qui s'impose le plus grand changement pour s'adapter au pluralisme car dans la perspective relativiste, la société d'accueil doit me</w:t>
      </w:r>
      <w:r w:rsidRPr="00CB4F2C">
        <w:t>t</w:t>
      </w:r>
      <w:r w:rsidRPr="00CB4F2C">
        <w:t>tre en veilleuse ses normes cult</w:t>
      </w:r>
      <w:r w:rsidRPr="00CB4F2C">
        <w:t>u</w:t>
      </w:r>
      <w:r w:rsidRPr="00CB4F2C">
        <w:t>relles pour laisser le plus de place possible aux cultures accueillies. Ce déséquilibre provoque chez le groupe major</w:t>
      </w:r>
      <w:r w:rsidRPr="00CB4F2C">
        <w:t>i</w:t>
      </w:r>
      <w:r w:rsidRPr="00CB4F2C">
        <w:t>taire une forte résistance qui ne mène à rien mais qu'il faut sans doute considérer comme une réaction de défense naturelle.</w:t>
      </w:r>
      <w:r>
        <w:t xml:space="preserve"> [</w:t>
      </w:r>
      <w:r w:rsidRPr="00CB4F2C">
        <w:t>167</w:t>
      </w:r>
      <w:r>
        <w:t xml:space="preserve">] </w:t>
      </w:r>
      <w:r w:rsidRPr="00CB4F2C">
        <w:t>Le second d</w:t>
      </w:r>
      <w:r w:rsidRPr="00CB4F2C">
        <w:t>é</w:t>
      </w:r>
      <w:r w:rsidRPr="00CB4F2C">
        <w:t>séquilibre est que le relativisme, s'il est appliqué int</w:t>
      </w:r>
      <w:r w:rsidRPr="00CB4F2C">
        <w:t>é</w:t>
      </w:r>
      <w:r w:rsidRPr="00CB4F2C">
        <w:t>gralement, remet en question les no</w:t>
      </w:r>
      <w:r w:rsidRPr="00CB4F2C">
        <w:t>r</w:t>
      </w:r>
      <w:r w:rsidRPr="00CB4F2C">
        <w:t>mes acceptées par le consensus démocratique, par lequel on parvient non sans difficulté à instaurer un ordre social et une cohérence dans le fonctionnement des institutions (Pagé, 1991a, p. 124).</w:t>
      </w:r>
    </w:p>
    <w:p w:rsidR="00B7214C" w:rsidRPr="00CB4F2C" w:rsidRDefault="00B7214C" w:rsidP="00B7214C">
      <w:pPr>
        <w:pStyle w:val="Grillecouleur-Accent1"/>
      </w:pPr>
    </w:p>
    <w:p w:rsidR="00B7214C" w:rsidRPr="00CB4F2C" w:rsidRDefault="00B7214C" w:rsidP="00B7214C">
      <w:pPr>
        <w:spacing w:before="120" w:after="120"/>
        <w:jc w:val="both"/>
      </w:pPr>
      <w:r w:rsidRPr="00CB4F2C">
        <w:t xml:space="preserve">Dans ses récents écrits, Pagé (1991, 1993) soutient que seul un modèle d'intégration sur la base d'un </w:t>
      </w:r>
      <w:r w:rsidRPr="00043BD3">
        <w:rPr>
          <w:i/>
          <w:iCs/>
        </w:rPr>
        <w:t>espace civique commun</w:t>
      </w:r>
      <w:r w:rsidRPr="00CB4F2C">
        <w:t xml:space="preserve"> est su</w:t>
      </w:r>
      <w:r w:rsidRPr="00CB4F2C">
        <w:t>s</w:t>
      </w:r>
      <w:r w:rsidRPr="00CB4F2C">
        <w:t xml:space="preserve">ceptible de permettre des interventions pour faire face aux défis du pluralisme ethnoculturel dans une société et dans ses institutions, sans tomber dans les effets pervers et les déséquilibres engendrés par un relativisme qui cherche à protéger les particularismes. Sa position se rapproche de celle de Leca (1993). Ce dernier soutient que ce qui a le mieux fonctionné pour régler les rapports entre les groupes qui ont des systèmes de valeurs différents, c'est ce qu'il appelle le « principe des Pyrénées ». Ce principe, formulé par Biaise Pascal est très simple : </w:t>
      </w:r>
      <w:r w:rsidRPr="00043BD3">
        <w:rPr>
          <w:i/>
          <w:iCs/>
        </w:rPr>
        <w:t>« Vérité en deçà des Pyrénées, erreur au-delà ».</w:t>
      </w:r>
      <w:r w:rsidRPr="00CB4F2C">
        <w:t xml:space="preserve"> Nous devons mai</w:t>
      </w:r>
      <w:r w:rsidRPr="00CB4F2C">
        <w:t>n</w:t>
      </w:r>
      <w:r w:rsidRPr="00CB4F2C">
        <w:t>tenant vivre dans un monde où les frontières entre la « haute culture » et les « basses cultures » se sont brouillées et où il n'est plus possible de faire coïncider les frontières entre les groupes et les frontières entre les systèmes de valeurs. Deux solutions avancées pour régler les rel</w:t>
      </w:r>
      <w:r w:rsidRPr="00CB4F2C">
        <w:t>a</w:t>
      </w:r>
      <w:r w:rsidRPr="00CB4F2C">
        <w:t>tions entre « l'altérité et la civilité » lui apparaissent totalement inad</w:t>
      </w:r>
      <w:r w:rsidRPr="00CB4F2C">
        <w:t>é</w:t>
      </w:r>
      <w:r w:rsidRPr="00CB4F2C">
        <w:t>quates. La première est celle du multiculturalisme « qui met tout à plat et semble considérer que l'histoire, le passé, les traditions sont à rel</w:t>
      </w:r>
      <w:r w:rsidRPr="00CB4F2C">
        <w:t>é</w:t>
      </w:r>
      <w:r w:rsidRPr="00CB4F2C">
        <w:t xml:space="preserve">guer au statut de sucettes : </w:t>
      </w:r>
      <w:r>
        <w:t>« </w:t>
      </w:r>
      <w:r w:rsidRPr="00CB4F2C">
        <w:t>Tu as une sucette rose, j'ai une sucette bleue et tout va très bien ». (p. 14). La deuxième solution est celle du « bazar et du club ».</w:t>
      </w:r>
    </w:p>
    <w:p w:rsidR="00B7214C" w:rsidRDefault="00B7214C" w:rsidP="00B7214C">
      <w:pPr>
        <w:pStyle w:val="Grillecouleur-Accent1"/>
      </w:pPr>
    </w:p>
    <w:p w:rsidR="00B7214C" w:rsidRDefault="00B7214C" w:rsidP="00B7214C">
      <w:pPr>
        <w:pStyle w:val="Grillecouleur-Accent1"/>
      </w:pPr>
      <w:r w:rsidRPr="00CB4F2C">
        <w:t>Ce modèle stipule que nous vivons pendant la journée en côtoyant des gens auxquels nous ne voudrions ressembler à aucun prix, mais avec le</w:t>
      </w:r>
      <w:r w:rsidRPr="00CB4F2C">
        <w:t>s</w:t>
      </w:r>
      <w:r w:rsidRPr="00CB4F2C">
        <w:t>quels nous sommes bien obligés d'avoir commerce. Après cela nous re</w:t>
      </w:r>
      <w:r w:rsidRPr="00CB4F2C">
        <w:t>n</w:t>
      </w:r>
      <w:r w:rsidRPr="00CB4F2C">
        <w:t>trons chez nous et nous nous réconfortons dans un club, dans le comp</w:t>
      </w:r>
      <w:r w:rsidRPr="00CB4F2C">
        <w:t>a</w:t>
      </w:r>
      <w:r w:rsidRPr="00CB4F2C">
        <w:t>gnonnage de nos égaux moraux (Leca, p. 14).</w:t>
      </w:r>
    </w:p>
    <w:p w:rsidR="00B7214C" w:rsidRPr="00CB4F2C" w:rsidRDefault="00B7214C" w:rsidP="00B7214C">
      <w:pPr>
        <w:pStyle w:val="Grillecouleur-Accent1"/>
      </w:pPr>
    </w:p>
    <w:p w:rsidR="00B7214C" w:rsidRPr="00CB4F2C" w:rsidRDefault="00B7214C" w:rsidP="00B7214C">
      <w:pPr>
        <w:spacing w:before="120" w:after="120"/>
        <w:jc w:val="both"/>
      </w:pPr>
      <w:r w:rsidRPr="00CB4F2C">
        <w:t>Leca souligne le caractère odieux de cette position qui nous place dans un monde sans solidarité et qui évacue le fait que dans un monde sans Pyrénées, le ressentiment social s'exprime dans la rue et que le bazar et le club peuvent facilement être remplacés par la garnison et le bidonville. Une troisième solution lui apparaît susceptible de « conduire à la construction d'une culture pub</w:t>
      </w:r>
      <w:r>
        <w:t>li</w:t>
      </w:r>
      <w:r w:rsidRPr="00CB4F2C">
        <w:t>que relativement part</w:t>
      </w:r>
      <w:r w:rsidRPr="00CB4F2C">
        <w:t>a</w:t>
      </w:r>
      <w:r w:rsidRPr="00CB4F2C">
        <w:t xml:space="preserve">gée, qui permettrait de ne pas trop s'affronter et d'accepter quelques règles du jeu politique communes » </w:t>
      </w:r>
      <w:r w:rsidRPr="00774B32">
        <w:rPr>
          <w:i/>
          <w:iCs/>
        </w:rPr>
        <w:t>(Ibid.).</w:t>
      </w:r>
      <w:r w:rsidRPr="00CB4F2C">
        <w:t xml:space="preserve"> Cette solution se rappr</w:t>
      </w:r>
      <w:r w:rsidRPr="00CB4F2C">
        <w:t>o</w:t>
      </w:r>
      <w:r w:rsidRPr="00CB4F2C">
        <w:t>che de celle du « pluralisme démocratique » proposée par Gutmann (1993) pour dépasser les problèmes que soulèvent les deux réponses les plus fréquentes apportées aux défis du pluralisme ethnoculturel en éducation : un universalisme qui réprime les différences ou un partic</w:t>
      </w:r>
      <w:r w:rsidRPr="00CB4F2C">
        <w:t>u</w:t>
      </w:r>
      <w:r w:rsidRPr="00CB4F2C">
        <w:t>larisme générateur de discrimination entre les groupes. Mais cette s</w:t>
      </w:r>
      <w:r w:rsidRPr="00CB4F2C">
        <w:t>o</w:t>
      </w:r>
      <w:r w:rsidRPr="00CB4F2C">
        <w:t>lution elle-même n'est pas automatique et ne peut fonctionner que « lorsque les hautes cultures sont suffisamment fortes pour absorber les</w:t>
      </w:r>
      <w:r>
        <w:t xml:space="preserve"> [168] </w:t>
      </w:r>
      <w:r w:rsidRPr="00CB4F2C">
        <w:t>basses cultures, et quand des ressentiments sociaux ne sont pas a</w:t>
      </w:r>
      <w:r w:rsidRPr="00CB4F2C">
        <w:t>p</w:t>
      </w:r>
      <w:r w:rsidRPr="00CB4F2C">
        <w:t>puyés par une mémoire sur les relations entre amis et ennemis » (L</w:t>
      </w:r>
      <w:r w:rsidRPr="00CB4F2C">
        <w:t>e</w:t>
      </w:r>
      <w:r w:rsidRPr="00CB4F2C">
        <w:t xml:space="preserve">ca, </w:t>
      </w:r>
      <w:r w:rsidRPr="00774B32">
        <w:rPr>
          <w:i/>
          <w:iCs/>
        </w:rPr>
        <w:t>Ibid.).</w:t>
      </w:r>
    </w:p>
    <w:p w:rsidR="00B7214C" w:rsidRPr="00CB4F2C" w:rsidRDefault="00B7214C" w:rsidP="00B7214C">
      <w:pPr>
        <w:spacing w:before="120" w:after="120"/>
        <w:jc w:val="both"/>
      </w:pPr>
      <w:r w:rsidRPr="00CB4F2C">
        <w:t>Le relativisme est une de ces questions difficiles dont les facettes sont si nombreuses et les implications si sérieuses qu'il est difficile de l'aborder sans passion. Mais c'est aussi une question « passionnante », car elle nous oblige à explorer les tensions entre des dimensions app</w:t>
      </w:r>
      <w:r w:rsidRPr="00CB4F2C">
        <w:t>a</w:t>
      </w:r>
      <w:r w:rsidRPr="00CB4F2C">
        <w:t>remment irréconciliables de notre situation contemporaine : l'affirm</w:t>
      </w:r>
      <w:r w:rsidRPr="00CB4F2C">
        <w:t>a</w:t>
      </w:r>
      <w:r w:rsidRPr="00CB4F2C">
        <w:t>tion de la liberté du sujet face aux forces impersonnelles de la matrice cybernétique de la modernité, le maintien des traditions culturelles face à l'impact « désenchanteur » de la science moderne et aux v</w:t>
      </w:r>
      <w:r w:rsidRPr="00CB4F2C">
        <w:t>a</w:t>
      </w:r>
      <w:r w:rsidRPr="00CB4F2C">
        <w:t>leurs transcendantes sous-jacentes à la Déclaration universelle des droits de l'homme.</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r>
        <w:t>[</w:t>
      </w:r>
      <w:r w:rsidRPr="00CB4F2C">
        <w:t>169</w:t>
      </w:r>
      <w:r>
        <w:t>]</w:t>
      </w:r>
    </w:p>
    <w:p w:rsidR="00B7214C" w:rsidRDefault="00B7214C" w:rsidP="00B7214C">
      <w:pPr>
        <w:spacing w:before="120" w:after="120"/>
        <w:jc w:val="both"/>
      </w:pPr>
    </w:p>
    <w:p w:rsidR="00B7214C" w:rsidRDefault="00B7214C" w:rsidP="00B7214C">
      <w:pPr>
        <w:pStyle w:val="a"/>
      </w:pPr>
      <w:r>
        <w:t>Références</w:t>
      </w:r>
    </w:p>
    <w:p w:rsidR="00B7214C" w:rsidRPr="00CB4F2C" w:rsidRDefault="00B7214C" w:rsidP="00B7214C">
      <w:pPr>
        <w:spacing w:before="120" w:after="120"/>
        <w:jc w:val="both"/>
      </w:pPr>
    </w:p>
    <w:p w:rsidR="00B7214C" w:rsidRPr="00CB4F2C" w:rsidRDefault="00B7214C" w:rsidP="00B7214C">
      <w:pPr>
        <w:spacing w:before="120" w:after="120"/>
        <w:jc w:val="both"/>
      </w:pPr>
      <w:r w:rsidRPr="00CB4F2C">
        <w:t xml:space="preserve">Abou, S., </w:t>
      </w:r>
      <w:hyperlink r:id="rId55" w:history="1">
        <w:r w:rsidRPr="00774B32">
          <w:rPr>
            <w:rStyle w:val="Lienhypertexte"/>
            <w:i/>
            <w:szCs w:val="19"/>
            <w:lang w:eastAsia="fr-FR" w:bidi="fr-FR"/>
          </w:rPr>
          <w:t>Cultures et droits de l'homme</w:t>
        </w:r>
      </w:hyperlink>
      <w:r w:rsidRPr="00CB4F2C">
        <w:rPr>
          <w:rStyle w:val="Corpsdutexte4Italique"/>
        </w:rPr>
        <w:t>,</w:t>
      </w:r>
      <w:r w:rsidRPr="00CB4F2C">
        <w:t xml:space="preserve"> Paris, Hachette, 1992.</w:t>
      </w:r>
    </w:p>
    <w:p w:rsidR="00B7214C" w:rsidRPr="00774B32" w:rsidRDefault="00B7214C" w:rsidP="00B7214C">
      <w:pPr>
        <w:spacing w:before="120" w:after="120"/>
        <w:jc w:val="both"/>
      </w:pPr>
      <w:r w:rsidRPr="00774B32">
        <w:rPr>
          <w:iCs/>
        </w:rPr>
        <w:t xml:space="preserve">Bloom, A., </w:t>
      </w:r>
      <w:r w:rsidRPr="00774B32">
        <w:t xml:space="preserve">L </w:t>
      </w:r>
      <w:r w:rsidRPr="00774B32">
        <w:rPr>
          <w:i/>
        </w:rPr>
        <w:t>âme désarmée, essai sur le déclin de la culture gén</w:t>
      </w:r>
      <w:r w:rsidRPr="00774B32">
        <w:rPr>
          <w:i/>
        </w:rPr>
        <w:t>é</w:t>
      </w:r>
      <w:r w:rsidRPr="00774B32">
        <w:rPr>
          <w:i/>
        </w:rPr>
        <w:t>rale</w:t>
      </w:r>
      <w:r w:rsidRPr="00774B32">
        <w:t>,</w:t>
      </w:r>
      <w:r w:rsidRPr="00774B32">
        <w:rPr>
          <w:iCs/>
        </w:rPr>
        <w:t xml:space="preserve"> Paris/Montréal, Juliard/Guérin, 1987.</w:t>
      </w:r>
    </w:p>
    <w:p w:rsidR="00B7214C" w:rsidRPr="00774B32" w:rsidRDefault="00B7214C" w:rsidP="00B7214C">
      <w:pPr>
        <w:spacing w:before="120" w:after="120"/>
        <w:jc w:val="both"/>
      </w:pPr>
      <w:r w:rsidRPr="00774B32">
        <w:rPr>
          <w:iCs/>
        </w:rPr>
        <w:t xml:space="preserve">Bruckner, P., </w:t>
      </w:r>
      <w:r w:rsidRPr="00774B32">
        <w:rPr>
          <w:i/>
        </w:rPr>
        <w:t>Le sanglot de l'homme blanc. Tiers-Monde, culpab</w:t>
      </w:r>
      <w:r w:rsidRPr="00774B32">
        <w:rPr>
          <w:i/>
        </w:rPr>
        <w:t>i</w:t>
      </w:r>
      <w:r w:rsidRPr="00774B32">
        <w:rPr>
          <w:i/>
        </w:rPr>
        <w:t>lité, haine de soi</w:t>
      </w:r>
      <w:r w:rsidRPr="00774B32">
        <w:t>,</w:t>
      </w:r>
      <w:r w:rsidRPr="00774B32">
        <w:rPr>
          <w:iCs/>
        </w:rPr>
        <w:t xml:space="preserve"> Paris, Seuil 1983.</w:t>
      </w:r>
    </w:p>
    <w:p w:rsidR="00B7214C" w:rsidRPr="00CB4F2C" w:rsidRDefault="00B7214C" w:rsidP="00B7214C">
      <w:pPr>
        <w:spacing w:before="120" w:after="120"/>
        <w:jc w:val="both"/>
      </w:pPr>
      <w:r w:rsidRPr="00CB4F2C">
        <w:t>Camilleri, C., « Pertinence d'une approche scientifique de la cult</w:t>
      </w:r>
      <w:r w:rsidRPr="00CB4F2C">
        <w:t>u</w:t>
      </w:r>
      <w:r w:rsidRPr="00CB4F2C">
        <w:t xml:space="preserve">re pour une formation par l'éducation interculturelle ». </w:t>
      </w:r>
      <w:r w:rsidRPr="00774B32">
        <w:rPr>
          <w:i/>
          <w:iCs/>
        </w:rPr>
        <w:t>Pluralisme et école,</w:t>
      </w:r>
      <w:r w:rsidRPr="00CB4F2C">
        <w:t xml:space="preserve"> 1988/1990, </w:t>
      </w:r>
      <w:r>
        <w:t>p</w:t>
      </w:r>
      <w:r w:rsidRPr="00CB4F2C">
        <w:t>p. 565-594.</w:t>
      </w:r>
    </w:p>
    <w:p w:rsidR="00B7214C" w:rsidRPr="00CB4F2C" w:rsidRDefault="00B7214C" w:rsidP="00B7214C">
      <w:pPr>
        <w:spacing w:before="120" w:after="120"/>
        <w:jc w:val="both"/>
      </w:pPr>
      <w:r w:rsidRPr="00CB4F2C">
        <w:t xml:space="preserve">Conseil supérieur de l'éducation. </w:t>
      </w:r>
      <w:r w:rsidRPr="00774B32">
        <w:rPr>
          <w:i/>
          <w:iCs/>
        </w:rPr>
        <w:t>Les défis éducatifs de la pluralité,</w:t>
      </w:r>
      <w:r w:rsidRPr="00CB4F2C">
        <w:t xml:space="preserve"> Service des communications, Gouvernement du Québec, 1987.</w:t>
      </w:r>
    </w:p>
    <w:p w:rsidR="00B7214C" w:rsidRPr="00CB4F2C" w:rsidRDefault="00B7214C" w:rsidP="00B7214C">
      <w:pPr>
        <w:spacing w:before="120" w:after="120"/>
        <w:jc w:val="both"/>
      </w:pPr>
      <w:r w:rsidRPr="00CB4F2C">
        <w:t xml:space="preserve">Finkielkraut, A., </w:t>
      </w:r>
      <w:r w:rsidRPr="00774B32">
        <w:rPr>
          <w:i/>
          <w:iCs/>
        </w:rPr>
        <w:t>La défaite de la pensée,</w:t>
      </w:r>
      <w:r w:rsidRPr="00CB4F2C">
        <w:t xml:space="preserve"> Paris, Gallimard, 1987.</w:t>
      </w:r>
    </w:p>
    <w:p w:rsidR="00B7214C" w:rsidRDefault="00B7214C" w:rsidP="00B7214C">
      <w:pPr>
        <w:spacing w:before="120" w:after="120"/>
        <w:jc w:val="both"/>
      </w:pPr>
      <w:r w:rsidRPr="00CB4F2C">
        <w:t xml:space="preserve">Foucault, M., interview, dans H. Dreyfus et P. Rabinow, </w:t>
      </w:r>
      <w:r w:rsidRPr="00774B32">
        <w:rPr>
          <w:i/>
          <w:iCs/>
        </w:rPr>
        <w:t>Michel Foucault : Beyond Structuralism and Hermeneutics,</w:t>
      </w:r>
      <w:r w:rsidRPr="00CB4F2C">
        <w:t xml:space="preserve"> Chicago, Uni</w:t>
      </w:r>
      <w:r w:rsidRPr="00CB4F2C">
        <w:t>v</w:t>
      </w:r>
      <w:r w:rsidRPr="00CB4F2C">
        <w:t>crsity of Chicago Press, 1983, p</w:t>
      </w:r>
      <w:r>
        <w:t>p</w:t>
      </w:r>
      <w:r w:rsidRPr="00CB4F2C">
        <w:t>. 245 et</w:t>
      </w:r>
      <w:r>
        <w:t xml:space="preserve"> 251.</w:t>
      </w:r>
    </w:p>
    <w:p w:rsidR="00B7214C" w:rsidRPr="00CB4F2C" w:rsidRDefault="00B7214C" w:rsidP="00B7214C">
      <w:pPr>
        <w:spacing w:before="120" w:after="120"/>
        <w:jc w:val="both"/>
      </w:pPr>
      <w:r w:rsidRPr="00CB4F2C">
        <w:t xml:space="preserve">Geertz, C., </w:t>
      </w:r>
      <w:r w:rsidRPr="00774B32">
        <w:rPr>
          <w:i/>
          <w:iCs/>
        </w:rPr>
        <w:t>The Interpr</w:t>
      </w:r>
      <w:r>
        <w:rPr>
          <w:i/>
          <w:iCs/>
        </w:rPr>
        <w:t>e</w:t>
      </w:r>
      <w:r w:rsidRPr="00774B32">
        <w:rPr>
          <w:i/>
          <w:iCs/>
        </w:rPr>
        <w:t>tation of Cultures,</w:t>
      </w:r>
      <w:r w:rsidRPr="00CB4F2C">
        <w:t xml:space="preserve"> New York, Basic Books, 1973.</w:t>
      </w:r>
    </w:p>
    <w:p w:rsidR="00B7214C" w:rsidRPr="00CB4F2C" w:rsidRDefault="00B7214C" w:rsidP="00B7214C">
      <w:pPr>
        <w:spacing w:before="120" w:after="120"/>
        <w:jc w:val="both"/>
      </w:pPr>
      <w:r w:rsidRPr="00CB4F2C">
        <w:t>Gutmann, A., « The challenges of Multiculturalism in Démocratie Education », communication présentée au congrès « Education for Democracy in Multicultural Societies », Jérusalem, 1993.</w:t>
      </w:r>
    </w:p>
    <w:p w:rsidR="00B7214C" w:rsidRPr="00CB4F2C" w:rsidRDefault="00B7214C" w:rsidP="00B7214C">
      <w:pPr>
        <w:spacing w:before="120" w:after="120"/>
        <w:jc w:val="both"/>
      </w:pPr>
      <w:r w:rsidRPr="00CB4F2C">
        <w:t xml:space="preserve">Horton, R., « Modernity Revisited », dans M. Hollis et S. Lukes (dir.), </w:t>
      </w:r>
      <w:r w:rsidRPr="00774B32">
        <w:rPr>
          <w:i/>
          <w:iCs/>
        </w:rPr>
        <w:t>Rationality and Relativism,</w:t>
      </w:r>
      <w:r w:rsidRPr="00CB4F2C">
        <w:t xml:space="preserve"> Boston, The MIT Press, 1982, p</w:t>
      </w:r>
      <w:r>
        <w:t>p</w:t>
      </w:r>
      <w:r w:rsidRPr="00CB4F2C">
        <w:t>. 201-260.</w:t>
      </w:r>
    </w:p>
    <w:p w:rsidR="00B7214C" w:rsidRPr="00CB4F2C" w:rsidRDefault="00B7214C" w:rsidP="00B7214C">
      <w:pPr>
        <w:spacing w:before="120" w:after="120"/>
        <w:jc w:val="both"/>
      </w:pPr>
      <w:r w:rsidRPr="00CB4F2C">
        <w:t xml:space="preserve">Lasch, C., </w:t>
      </w:r>
      <w:r w:rsidRPr="00774B32">
        <w:rPr>
          <w:i/>
          <w:iCs/>
        </w:rPr>
        <w:t>The Culture of</w:t>
      </w:r>
      <w:r>
        <w:rPr>
          <w:i/>
          <w:iCs/>
        </w:rPr>
        <w:t xml:space="preserve"> </w:t>
      </w:r>
      <w:r w:rsidRPr="00774B32">
        <w:rPr>
          <w:i/>
          <w:iCs/>
        </w:rPr>
        <w:t>Narcissism,</w:t>
      </w:r>
      <w:r w:rsidRPr="00CB4F2C">
        <w:t xml:space="preserve"> New York, Warner Books, 1979.</w:t>
      </w:r>
    </w:p>
    <w:p w:rsidR="00B7214C" w:rsidRPr="00CB4F2C" w:rsidRDefault="00B7214C" w:rsidP="00B7214C">
      <w:pPr>
        <w:spacing w:before="120" w:after="120"/>
        <w:jc w:val="both"/>
      </w:pPr>
      <w:r w:rsidRPr="00CB4F2C">
        <w:t xml:space="preserve">Leca, J., « Du principe des Pyrénées », </w:t>
      </w:r>
      <w:r w:rsidRPr="00774B32">
        <w:rPr>
          <w:i/>
          <w:iCs/>
        </w:rPr>
        <w:t>Hommes et Migrations,</w:t>
      </w:r>
      <w:r w:rsidRPr="00CB4F2C">
        <w:t xml:space="preserve"> n°</w:t>
      </w:r>
      <w:r>
        <w:t> </w:t>
      </w:r>
      <w:r w:rsidRPr="00CB4F2C">
        <w:t xml:space="preserve">1164, avril 1993, </w:t>
      </w:r>
      <w:r>
        <w:t>p</w:t>
      </w:r>
      <w:r w:rsidRPr="00CB4F2C">
        <w:t>p. 11-14.</w:t>
      </w:r>
    </w:p>
    <w:p w:rsidR="00B7214C" w:rsidRPr="00CB4F2C" w:rsidRDefault="00B7214C" w:rsidP="00B7214C">
      <w:pPr>
        <w:spacing w:before="120" w:after="120"/>
        <w:jc w:val="both"/>
      </w:pPr>
      <w:r w:rsidRPr="00CB4F2C">
        <w:t xml:space="preserve">Lévi-Strauss, C., </w:t>
      </w:r>
      <w:r w:rsidRPr="00774B32">
        <w:rPr>
          <w:i/>
          <w:iCs/>
        </w:rPr>
        <w:t>Le regard éloigné,</w:t>
      </w:r>
      <w:r w:rsidRPr="00CB4F2C">
        <w:t xml:space="preserve"> Paris, Plon, 1983.</w:t>
      </w:r>
    </w:p>
    <w:p w:rsidR="00B7214C" w:rsidRPr="00CB4F2C" w:rsidRDefault="00B7214C" w:rsidP="00B7214C">
      <w:pPr>
        <w:spacing w:before="120" w:after="120"/>
        <w:jc w:val="both"/>
      </w:pPr>
      <w:r w:rsidRPr="00CB4F2C">
        <w:t xml:space="preserve">Lévi-Strauss, C., </w:t>
      </w:r>
      <w:r w:rsidRPr="00774B32">
        <w:rPr>
          <w:i/>
          <w:iCs/>
        </w:rPr>
        <w:t>Race et histoire,</w:t>
      </w:r>
      <w:r w:rsidRPr="00CB4F2C">
        <w:t xml:space="preserve"> Paris, Gonthier, UNESCO, 1961.</w:t>
      </w:r>
    </w:p>
    <w:p w:rsidR="00B7214C" w:rsidRPr="00774B32" w:rsidRDefault="00B7214C" w:rsidP="00B7214C">
      <w:pPr>
        <w:spacing w:before="120" w:after="120"/>
        <w:jc w:val="both"/>
      </w:pPr>
      <w:r>
        <w:rPr>
          <w:iCs/>
        </w:rPr>
        <w:t xml:space="preserve">Lipovetsky, G., </w:t>
      </w:r>
      <w:r w:rsidRPr="00774B32">
        <w:rPr>
          <w:i/>
          <w:iCs/>
        </w:rPr>
        <w:t>L’</w:t>
      </w:r>
      <w:r w:rsidRPr="00774B32">
        <w:rPr>
          <w:i/>
        </w:rPr>
        <w:t>ère du vide : essais sur l'individualisme conte</w:t>
      </w:r>
      <w:r w:rsidRPr="00774B32">
        <w:rPr>
          <w:i/>
        </w:rPr>
        <w:t>m</w:t>
      </w:r>
      <w:r w:rsidRPr="00774B32">
        <w:rPr>
          <w:i/>
        </w:rPr>
        <w:t>porain</w:t>
      </w:r>
      <w:r w:rsidRPr="00774B32">
        <w:t>,</w:t>
      </w:r>
      <w:r w:rsidRPr="00774B32">
        <w:rPr>
          <w:iCs/>
        </w:rPr>
        <w:t xml:space="preserve"> Paris, Gallimard 1983.</w:t>
      </w:r>
    </w:p>
    <w:p w:rsidR="00B7214C" w:rsidRPr="00CB4F2C" w:rsidRDefault="00B7214C" w:rsidP="00B7214C">
      <w:pPr>
        <w:spacing w:before="120" w:after="120"/>
        <w:jc w:val="both"/>
      </w:pPr>
      <w:r w:rsidRPr="00CB4F2C">
        <w:t>Ouellet, F., « L'éducation interculturelle : les risques d'effets pe</w:t>
      </w:r>
      <w:r w:rsidRPr="00CB4F2C">
        <w:t>r</w:t>
      </w:r>
      <w:r w:rsidRPr="00CB4F2C">
        <w:t xml:space="preserve">vers », dans </w:t>
      </w:r>
      <w:r w:rsidRPr="00774B32">
        <w:rPr>
          <w:i/>
          <w:iCs/>
        </w:rPr>
        <w:t>L'interculturel : une question d'identité, une question d'i</w:t>
      </w:r>
      <w:r w:rsidRPr="00774B32">
        <w:rPr>
          <w:i/>
          <w:iCs/>
        </w:rPr>
        <w:t>n</w:t>
      </w:r>
      <w:r w:rsidRPr="00774B32">
        <w:rPr>
          <w:i/>
          <w:iCs/>
        </w:rPr>
        <w:t>tégration,</w:t>
      </w:r>
      <w:r w:rsidRPr="00CB4F2C">
        <w:t xml:space="preserve"> actes du colloque du Musée de la civilisation, Québec, 1992, p</w:t>
      </w:r>
      <w:r>
        <w:t>p</w:t>
      </w:r>
      <w:r w:rsidRPr="00CB4F2C">
        <w:t>. 61-108.</w:t>
      </w:r>
    </w:p>
    <w:p w:rsidR="00B7214C" w:rsidRPr="00774B32" w:rsidRDefault="00B7214C" w:rsidP="00B7214C">
      <w:pPr>
        <w:spacing w:before="120" w:after="120"/>
        <w:jc w:val="both"/>
      </w:pPr>
      <w:r w:rsidRPr="00774B32">
        <w:rPr>
          <w:iCs/>
        </w:rPr>
        <w:t xml:space="preserve">Ouellet, F., </w:t>
      </w:r>
      <w:r w:rsidRPr="00774B32">
        <w:rPr>
          <w:i/>
        </w:rPr>
        <w:t>L'éducation interculturelle. Essai sur le contenu de la formation des maîtres</w:t>
      </w:r>
      <w:r w:rsidRPr="00774B32">
        <w:t>,</w:t>
      </w:r>
      <w:r w:rsidRPr="00774B32">
        <w:rPr>
          <w:iCs/>
        </w:rPr>
        <w:t xml:space="preserve"> Paris, L'Harmattan, 1991.</w:t>
      </w:r>
    </w:p>
    <w:p w:rsidR="00B7214C" w:rsidRPr="00CB4F2C" w:rsidRDefault="00B7214C" w:rsidP="00B7214C">
      <w:pPr>
        <w:spacing w:before="120" w:after="120"/>
        <w:jc w:val="both"/>
      </w:pPr>
      <w:r w:rsidRPr="00CB4F2C">
        <w:t>Pagé, M., « </w:t>
      </w:r>
      <w:r w:rsidRPr="00774B32">
        <w:rPr>
          <w:i/>
        </w:rPr>
        <w:t>Intégration, société civile et citoyenneté </w:t>
      </w:r>
      <w:r w:rsidRPr="00CB4F2C">
        <w:t>». Conseil de la langue française, 1993.</w:t>
      </w:r>
    </w:p>
    <w:p w:rsidR="00B7214C" w:rsidRDefault="00B7214C" w:rsidP="00B7214C">
      <w:pPr>
        <w:spacing w:before="120" w:after="120"/>
        <w:jc w:val="both"/>
      </w:pPr>
      <w:r w:rsidRPr="00CB4F2C">
        <w:t>Pagé, M., « Gouverner le pluralisme ethnoculturel par les instit</w:t>
      </w:r>
      <w:r w:rsidRPr="00CB4F2C">
        <w:t>u</w:t>
      </w:r>
      <w:r w:rsidRPr="00CB4F2C">
        <w:t xml:space="preserve">tions démocratiques » dans M. Lavallée, F. Ouellet et T. Larose (dir.), </w:t>
      </w:r>
      <w:r w:rsidRPr="00774B32">
        <w:rPr>
          <w:i/>
          <w:iCs/>
        </w:rPr>
        <w:t>Identité, culture et changement social,</w:t>
      </w:r>
      <w:r w:rsidRPr="00CB4F2C">
        <w:t xml:space="preserve"> Paris, L'Harmattan, 1991a, </w:t>
      </w:r>
      <w:r>
        <w:t>p</w:t>
      </w:r>
      <w:r w:rsidRPr="00CB4F2C">
        <w:t>p. 113-125.</w:t>
      </w:r>
    </w:p>
    <w:p w:rsidR="00B7214C" w:rsidRDefault="00B7214C" w:rsidP="00B7214C">
      <w:pPr>
        <w:spacing w:before="120" w:after="120"/>
        <w:jc w:val="both"/>
      </w:pPr>
      <w:r>
        <w:t>[170]</w:t>
      </w:r>
    </w:p>
    <w:p w:rsidR="00B7214C" w:rsidRPr="00CB4F2C" w:rsidRDefault="00B7214C" w:rsidP="00B7214C">
      <w:pPr>
        <w:spacing w:before="120" w:after="120"/>
        <w:jc w:val="both"/>
      </w:pPr>
      <w:r w:rsidRPr="00CB4F2C">
        <w:t xml:space="preserve">Pagé, M., « Intégration, identité ethnique et cohésion sociale », dans F. Ouellet et M. Pagé (dir.), </w:t>
      </w:r>
      <w:r w:rsidRPr="00774B32">
        <w:rPr>
          <w:i/>
          <w:iCs/>
        </w:rPr>
        <w:t>Pluriethnicité, éducation et société. Construire un espace commun,</w:t>
      </w:r>
      <w:r w:rsidRPr="00CB4F2C">
        <w:t xml:space="preserve"> Québec, Institut québécois de reche</w:t>
      </w:r>
      <w:r w:rsidRPr="00CB4F2C">
        <w:t>r</w:t>
      </w:r>
      <w:r w:rsidRPr="00CB4F2C">
        <w:t xml:space="preserve">che sur la culture, 1991, </w:t>
      </w:r>
      <w:r>
        <w:t>p</w:t>
      </w:r>
      <w:r w:rsidRPr="00CB4F2C">
        <w:t>p. 119-153.</w:t>
      </w:r>
    </w:p>
    <w:p w:rsidR="00B7214C" w:rsidRPr="00CB4F2C" w:rsidRDefault="00B7214C" w:rsidP="00B7214C">
      <w:pPr>
        <w:spacing w:before="120" w:after="120"/>
        <w:jc w:val="both"/>
      </w:pPr>
      <w:r w:rsidRPr="00CB4F2C">
        <w:t>Pagé, M., et J. Provencher, « </w:t>
      </w:r>
      <w:r w:rsidRPr="00774B32">
        <w:rPr>
          <w:i/>
        </w:rPr>
        <w:t>Création d'un instrument d'enquête pour mesurer les différentes conceptions de l'intégration à une société pluriethnique </w:t>
      </w:r>
      <w:r w:rsidRPr="00CB4F2C">
        <w:t>». Département de psychologie. Université de Montréal. (Cet instrument sera disponible au printemps 1994)</w:t>
      </w:r>
    </w:p>
    <w:p w:rsidR="00B7214C" w:rsidRPr="00CB4F2C" w:rsidRDefault="00B7214C" w:rsidP="00B7214C">
      <w:pPr>
        <w:spacing w:before="120" w:after="120"/>
        <w:jc w:val="both"/>
      </w:pPr>
      <w:r w:rsidRPr="00CB4F2C">
        <w:t>Rist, G., « Le développement est-il rationnel ? Un concept occ</w:t>
      </w:r>
      <w:r w:rsidRPr="00CB4F2C">
        <w:t>i</w:t>
      </w:r>
      <w:r w:rsidRPr="00CB4F2C">
        <w:t xml:space="preserve">dental à l'épreuve de la démarche interculturelle ». </w:t>
      </w:r>
      <w:r w:rsidRPr="00774B32">
        <w:rPr>
          <w:i/>
          <w:iCs/>
        </w:rPr>
        <w:t>Pluralisme et éc</w:t>
      </w:r>
      <w:r w:rsidRPr="00774B32">
        <w:rPr>
          <w:i/>
          <w:iCs/>
        </w:rPr>
        <w:t>o</w:t>
      </w:r>
      <w:r w:rsidRPr="00774B32">
        <w:rPr>
          <w:i/>
          <w:iCs/>
        </w:rPr>
        <w:t>le. Jalons pour une approche critique de la formation interculturelle des éducateurs,</w:t>
      </w:r>
      <w:r w:rsidRPr="00CB4F2C">
        <w:t xml:space="preserve"> Québec, Institut québécois de recherche sur la culture, 1988/1990, p</w:t>
      </w:r>
      <w:r>
        <w:t>p</w:t>
      </w:r>
      <w:r w:rsidRPr="00CB4F2C">
        <w:t>. 57-84.</w:t>
      </w:r>
    </w:p>
    <w:p w:rsidR="00B7214C" w:rsidRPr="00CB4F2C" w:rsidRDefault="00B7214C" w:rsidP="00B7214C">
      <w:pPr>
        <w:spacing w:before="120" w:after="120"/>
        <w:jc w:val="both"/>
      </w:pPr>
      <w:r w:rsidRPr="00CB4F2C">
        <w:t>Simard, J.-]., « </w:t>
      </w:r>
      <w:hyperlink r:id="rId56" w:history="1">
        <w:r w:rsidRPr="00774B32">
          <w:rPr>
            <w:rStyle w:val="Lienhypertexte"/>
          </w:rPr>
          <w:t>L'anthropologie et son casse-tête </w:t>
        </w:r>
      </w:hyperlink>
      <w:r w:rsidRPr="00CB4F2C">
        <w:t xml:space="preserve">», </w:t>
      </w:r>
      <w:r w:rsidRPr="00774B32">
        <w:rPr>
          <w:i/>
          <w:iCs/>
        </w:rPr>
        <w:t>Anthropologie et société,</w:t>
      </w:r>
      <w:r w:rsidRPr="00CB4F2C">
        <w:t xml:space="preserve"> vol.</w:t>
      </w:r>
      <w:r>
        <w:t> </w:t>
      </w:r>
      <w:r w:rsidRPr="00CB4F2C">
        <w:t>12, 1988, p</w:t>
      </w:r>
      <w:r>
        <w:t>p</w:t>
      </w:r>
      <w:r w:rsidRPr="00CB4F2C">
        <w:t>. 77-102.</w:t>
      </w:r>
    </w:p>
    <w:p w:rsidR="00B7214C" w:rsidRPr="00CB4F2C" w:rsidRDefault="00B7214C" w:rsidP="00B7214C">
      <w:pPr>
        <w:spacing w:before="120" w:after="120"/>
        <w:jc w:val="both"/>
      </w:pPr>
      <w:r w:rsidRPr="00CB4F2C">
        <w:t xml:space="preserve">Simard, J.-]., « La révolution pluraliste : une mutation du rapport de l'homme au monde ». </w:t>
      </w:r>
      <w:r w:rsidRPr="00774B32">
        <w:rPr>
          <w:i/>
          <w:iCs/>
        </w:rPr>
        <w:t>Pluralisme et école,</w:t>
      </w:r>
      <w:r w:rsidRPr="00CB4F2C">
        <w:t xml:space="preserve"> 1988/1990, p</w:t>
      </w:r>
      <w:r>
        <w:t>p</w:t>
      </w:r>
      <w:r w:rsidRPr="00CB4F2C">
        <w:t>. 23-55.</w:t>
      </w:r>
    </w:p>
    <w:p w:rsidR="00B7214C" w:rsidRPr="00CB4F2C" w:rsidRDefault="00B7214C" w:rsidP="00B7214C">
      <w:pPr>
        <w:spacing w:before="120" w:after="120"/>
        <w:jc w:val="both"/>
      </w:pPr>
      <w:r w:rsidRPr="00CB4F2C">
        <w:t xml:space="preserve">Taguieff, P.-A. (dir.). </w:t>
      </w:r>
      <w:r w:rsidRPr="00774B32">
        <w:rPr>
          <w:i/>
          <w:iCs/>
        </w:rPr>
        <w:t>Face au racisme,</w:t>
      </w:r>
      <w:r w:rsidRPr="00CB4F2C">
        <w:t xml:space="preserve"> Paris, La Découverte, 1991.</w:t>
      </w:r>
    </w:p>
    <w:p w:rsidR="00B7214C" w:rsidRPr="00774B32" w:rsidRDefault="00B7214C" w:rsidP="00B7214C">
      <w:pPr>
        <w:spacing w:before="120" w:after="120"/>
        <w:jc w:val="both"/>
      </w:pPr>
      <w:r w:rsidRPr="00774B32">
        <w:rPr>
          <w:iCs/>
        </w:rPr>
        <w:t xml:space="preserve">Taguieff, P.-A., </w:t>
      </w:r>
      <w:r w:rsidRPr="00774B32">
        <w:rPr>
          <w:i/>
        </w:rPr>
        <w:t>La Force du préjugé. Essai sur le racisme et ses doubles</w:t>
      </w:r>
      <w:r w:rsidRPr="00774B32">
        <w:t>,</w:t>
      </w:r>
      <w:r w:rsidRPr="00774B32">
        <w:rPr>
          <w:iCs/>
        </w:rPr>
        <w:t xml:space="preserve"> Paris, La Découverte, 1988.</w:t>
      </w:r>
    </w:p>
    <w:p w:rsidR="00B7214C" w:rsidRPr="00CB4F2C" w:rsidRDefault="00B7214C" w:rsidP="00B7214C">
      <w:pPr>
        <w:spacing w:before="120" w:after="120"/>
        <w:jc w:val="both"/>
      </w:pPr>
      <w:r w:rsidRPr="00CB4F2C">
        <w:t xml:space="preserve">Taylor, C., </w:t>
      </w:r>
      <w:r w:rsidRPr="00774B32">
        <w:rPr>
          <w:i/>
          <w:iCs/>
        </w:rPr>
        <w:t>Grandeur et misère de la modernité,</w:t>
      </w:r>
      <w:r w:rsidRPr="00CB4F2C">
        <w:t xml:space="preserve"> Montréal, Bella</w:t>
      </w:r>
      <w:r w:rsidRPr="00CB4F2C">
        <w:t>r</w:t>
      </w:r>
      <w:r w:rsidRPr="00CB4F2C">
        <w:t>min, 1992.</w:t>
      </w:r>
    </w:p>
    <w:p w:rsidR="00B7214C" w:rsidRPr="00CB4F2C" w:rsidRDefault="00B7214C" w:rsidP="00B7214C">
      <w:pPr>
        <w:spacing w:before="120" w:after="120"/>
        <w:jc w:val="both"/>
      </w:pPr>
      <w:r w:rsidRPr="00CB4F2C">
        <w:t xml:space="preserve">Touraine, A., </w:t>
      </w:r>
      <w:hyperlink r:id="rId57" w:history="1">
        <w:r w:rsidRPr="00774B32">
          <w:rPr>
            <w:rStyle w:val="Lienhypertexte"/>
            <w:i/>
            <w:iCs/>
          </w:rPr>
          <w:t>Critique de la modernité</w:t>
        </w:r>
      </w:hyperlink>
      <w:r w:rsidRPr="00774B32">
        <w:rPr>
          <w:i/>
          <w:iCs/>
        </w:rPr>
        <w:t>,</w:t>
      </w:r>
      <w:r w:rsidRPr="00CB4F2C">
        <w:t xml:space="preserve"> Paris, Fayard, 1992.</w:t>
      </w:r>
    </w:p>
    <w:p w:rsidR="00B7214C" w:rsidRDefault="00B7214C" w:rsidP="00B7214C">
      <w:pPr>
        <w:spacing w:before="120" w:after="120"/>
        <w:jc w:val="both"/>
      </w:pPr>
      <w:r w:rsidRPr="00CB4F2C">
        <w:t xml:space="preserve">Wieviorka, M., </w:t>
      </w:r>
      <w:r w:rsidRPr="00774B32">
        <w:rPr>
          <w:i/>
          <w:iCs/>
        </w:rPr>
        <w:t>L'espace du racisme,</w:t>
      </w:r>
      <w:r w:rsidRPr="00CB4F2C">
        <w:t xml:space="preserve"> Paris, Seuil, 1991.</w:t>
      </w:r>
    </w:p>
    <w:p w:rsidR="00B7214C" w:rsidRDefault="00B7214C" w:rsidP="00B7214C">
      <w:pPr>
        <w:pStyle w:val="p"/>
      </w:pPr>
      <w:r w:rsidRPr="00CB4F2C">
        <w:br w:type="page"/>
      </w:r>
      <w:r>
        <w:t>[171]</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6" w:name="Entre_tradition_pt_1_texte_09"/>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B. ETHNICITÉS CULTURELLES ET INTÉGRATION SOCIALE</w:t>
      </w:r>
    </w:p>
    <w:p w:rsidR="00B7214C" w:rsidRPr="00384B20" w:rsidRDefault="00B7214C" w:rsidP="00B7214C">
      <w:pPr>
        <w:pStyle w:val="Titreniveau1"/>
      </w:pPr>
      <w:r>
        <w:t>9</w:t>
      </w:r>
    </w:p>
    <w:p w:rsidR="00B7214C" w:rsidRDefault="00B7214C" w:rsidP="00B7214C">
      <w:pPr>
        <w:pStyle w:val="Titreniveau2"/>
      </w:pPr>
      <w:r>
        <w:t>“Du départ forcé</w:t>
      </w:r>
      <w:r>
        <w:br/>
        <w:t>à l’intégration manquée.”</w:t>
      </w:r>
    </w:p>
    <w:bookmarkEnd w:id="16"/>
    <w:p w:rsidR="00B7214C" w:rsidRPr="00E07116" w:rsidRDefault="00B7214C" w:rsidP="00B7214C">
      <w:pPr>
        <w:jc w:val="both"/>
        <w:rPr>
          <w:szCs w:val="36"/>
        </w:rPr>
      </w:pPr>
    </w:p>
    <w:p w:rsidR="00B7214C" w:rsidRPr="00E07116" w:rsidRDefault="00B7214C" w:rsidP="00B7214C">
      <w:pPr>
        <w:pStyle w:val="suite"/>
      </w:pPr>
      <w:r>
        <w:t>Par André JACOB et Joseph J. LÉVY</w:t>
      </w:r>
    </w:p>
    <w:p w:rsidR="00B7214C" w:rsidRPr="00924B2E" w:rsidRDefault="00B7214C" w:rsidP="00B7214C">
      <w:pPr>
        <w:ind w:firstLine="0"/>
        <w:jc w:val="center"/>
        <w:rPr>
          <w:sz w:val="24"/>
        </w:rPr>
      </w:pPr>
      <w:r w:rsidRPr="00924B2E">
        <w:rPr>
          <w:sz w:val="24"/>
        </w:rPr>
        <w:t>en collaboration avec</w:t>
      </w:r>
      <w:r w:rsidRPr="00924B2E">
        <w:rPr>
          <w:sz w:val="24"/>
        </w:rPr>
        <w:br/>
        <w:t>Jocelyne BERTOT, Hector POBLETE et Sonia SAUVÉ</w:t>
      </w:r>
    </w:p>
    <w:p w:rsidR="00B7214C" w:rsidRPr="00E07116" w:rsidRDefault="00B7214C" w:rsidP="00B7214C">
      <w:pPr>
        <w:jc w:val="both"/>
      </w:pPr>
    </w:p>
    <w:p w:rsidR="00B7214C" w:rsidRDefault="00B7214C" w:rsidP="00B7214C">
      <w:pPr>
        <w:pStyle w:val="auteurst"/>
      </w:pPr>
      <w:r>
        <w:t>Respectivement</w:t>
      </w:r>
      <w:r>
        <w:br/>
      </w:r>
      <w:r w:rsidRPr="00C57CFF">
        <w:t>Département de travail social. Université du Québec à Montréal</w:t>
      </w:r>
      <w:r>
        <w:br/>
        <w:t xml:space="preserve">et </w:t>
      </w:r>
      <w:r w:rsidRPr="00C57CFF">
        <w:t>Département de sexologie. Université du Québec à Montréal</w:t>
      </w:r>
    </w:p>
    <w:p w:rsidR="00B7214C"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Depuis l</w:t>
      </w:r>
      <w:r w:rsidRPr="00CB4F2C">
        <w:t>a Deuxième Guerre mondiale, un grand nombre de pays tant européens qu'africains, asiatiques ou américains ont connu des conflits internationaux ou internes. Ceux-ci se sont accompagnés du déplacement de populations civiles à la suite de persécutions réelles ou potentielles à cause de leurs croyances politiques ou religieuses, de leur origine ethnique ou nationale, créant un problème crucial pour les agences internationales et les pays d'accueil, celui des réfugiés. En 1990, le Haut Commissariat des Nations unies pour les réfugiés év</w:t>
      </w:r>
      <w:r w:rsidRPr="00CB4F2C">
        <w:t>a</w:t>
      </w:r>
      <w:r w:rsidRPr="00CB4F2C">
        <w:t>luait ce nombre à 15 millions répartis dans 80 pays à travers le monde, mais ce chiffre est aujourd'hui dépassé, atteignant les 20 millions.</w:t>
      </w:r>
    </w:p>
    <w:p w:rsidR="00B7214C" w:rsidRPr="00CB4F2C" w:rsidRDefault="00B7214C" w:rsidP="00B7214C">
      <w:pPr>
        <w:spacing w:before="120" w:after="120"/>
        <w:jc w:val="both"/>
      </w:pPr>
      <w:r w:rsidRPr="00CB4F2C">
        <w:t>Dans le contexte canadien, les vagues de réfugiés se sont accél</w:t>
      </w:r>
      <w:r w:rsidRPr="00CB4F2C">
        <w:t>é</w:t>
      </w:r>
      <w:r w:rsidRPr="00CB4F2C">
        <w:t>rées dans la décennie 1980-1990, passant de 1 600 à 27 000 demandes en 1989, atteignant, en 1991,</w:t>
      </w:r>
      <w:r>
        <w:t xml:space="preserve"> </w:t>
      </w:r>
      <w:r w:rsidRPr="00CB4F2C">
        <w:t>15</w:t>
      </w:r>
      <w:r>
        <w:t> </w:t>
      </w:r>
      <w:r w:rsidRPr="00CB4F2C">
        <w:t>500 réfugiés pour le Québec seul</w:t>
      </w:r>
      <w:r w:rsidRPr="00CB4F2C">
        <w:t>e</w:t>
      </w:r>
      <w:r w:rsidRPr="00CB4F2C">
        <w:t>ment, soit 30</w:t>
      </w:r>
      <w:r>
        <w:t>%</w:t>
      </w:r>
      <w:r w:rsidRPr="00CB4F2C">
        <w:t xml:space="preserve"> de toute l'immigration de cette province. Malgré le taux de rejet important lié au durcissement des politiques canadiennes, des groupes importants de réfugiés provenant d'Afrique, d'Amérique latine, d'Asie, d'Europe et du Moyen-Orient se sont installés au Qu</w:t>
      </w:r>
      <w:r w:rsidRPr="00CB4F2C">
        <w:t>é</w:t>
      </w:r>
      <w:r w:rsidRPr="00CB4F2C">
        <w:t xml:space="preserve">bec. Leurs processus d'intégration et d'acculturation ont donné lieu à plusieurs travaux (Dorais </w:t>
      </w:r>
      <w:r w:rsidRPr="00774B32">
        <w:rPr>
          <w:i/>
          <w:iCs/>
        </w:rPr>
        <w:t>et al.,</w:t>
      </w:r>
      <w:r w:rsidRPr="00CB4F2C">
        <w:t xml:space="preserve"> 1984 ; Dorais, 1987,1989 ; Dompierre et Lavallée, 1990 ; Jacob, 1991 ; Jacob et Bertot, 1991) qui ont permis de cerner les problèmes spécifiques et les stratégies multiples qui sous-tendent l'insertion dans</w:t>
      </w:r>
      <w:r>
        <w:t xml:space="preserve"> une société d'accueil nouvelle, [172] </w:t>
      </w:r>
      <w:r w:rsidRPr="00CB4F2C">
        <w:t>so</w:t>
      </w:r>
      <w:r w:rsidRPr="00CB4F2C">
        <w:t>u</w:t>
      </w:r>
      <w:r w:rsidRPr="00CB4F2C">
        <w:t>levant des questions qui sont au coeur des débats tant dans les sociétés postindustrialisées que dans la société québécoise : comment dévelo</w:t>
      </w:r>
      <w:r w:rsidRPr="00CB4F2C">
        <w:t>p</w:t>
      </w:r>
      <w:r w:rsidRPr="00CB4F2C">
        <w:t>per une société qui maintienne une certaine cohérence soci</w:t>
      </w:r>
      <w:r w:rsidRPr="00CB4F2C">
        <w:t>o</w:t>
      </w:r>
      <w:r w:rsidRPr="00CB4F2C">
        <w:t>culturelle et politique, tout en permettant l'expression d'une pluriethn</w:t>
      </w:r>
      <w:r w:rsidRPr="00CB4F2C">
        <w:t>i</w:t>
      </w:r>
      <w:r w:rsidRPr="00CB4F2C">
        <w:t>cité. Ce questionnement se pose, à notre avis, avec plus d'acuité dans le cas des réfugiés qui doivent s'intégrer à la fois à un nouveau pays, à sa culture et à sa langue et garder vivace le rapport à un pays d'orig</w:t>
      </w:r>
      <w:r w:rsidRPr="00CB4F2C">
        <w:t>i</w:t>
      </w:r>
      <w:r w:rsidRPr="00CB4F2C">
        <w:t>ne, à son histoire et à ses particularités, même si l'espoir de retour est ténu. Cette polarisation n'est pas sans créer des tensions, des contr</w:t>
      </w:r>
      <w:r w:rsidRPr="00CB4F2C">
        <w:t>a</w:t>
      </w:r>
      <w:r w:rsidRPr="00CB4F2C">
        <w:t>dictions, des dilemmes, des conflits qui traversent les individus, les couples et les familles, posant de façon aiguë des défis complexes et des que</w:t>
      </w:r>
      <w:r w:rsidRPr="00CB4F2C">
        <w:t>s</w:t>
      </w:r>
      <w:r w:rsidRPr="00CB4F2C">
        <w:t>tionnements aux réponses imprécises. Entre les aspirations à une no</w:t>
      </w:r>
      <w:r w:rsidRPr="00CB4F2C">
        <w:t>u</w:t>
      </w:r>
      <w:r w:rsidRPr="00CB4F2C">
        <w:t>velle vie et la mémoire encore vivante d'un pays souvent r</w:t>
      </w:r>
      <w:r w:rsidRPr="00CB4F2C">
        <w:t>e</w:t>
      </w:r>
      <w:r w:rsidRPr="00CB4F2C">
        <w:t>gretté, comment établir un équilibre ? L'intégration se vit au présent mais elle se situe entre, d'une part, des appartenances tissées dans un passé s</w:t>
      </w:r>
      <w:r w:rsidRPr="00CB4F2C">
        <w:t>i</w:t>
      </w:r>
      <w:r w:rsidRPr="00CB4F2C">
        <w:t>gnifiant ou une identité fondée sur un ensemble de significations s</w:t>
      </w:r>
      <w:r w:rsidRPr="00CB4F2C">
        <w:t>o</w:t>
      </w:r>
      <w:r w:rsidRPr="00CB4F2C">
        <w:t>ciopolitiques et, d'autre part, un projet de vie actuel face à un avenir incertain. De plus comme le note Abou (1990), l'une des caractérist</w:t>
      </w:r>
      <w:r w:rsidRPr="00CB4F2C">
        <w:t>i</w:t>
      </w:r>
      <w:r w:rsidRPr="00CB4F2C">
        <w:t>ques de ces migrants qui affecte les processus d'intégration au pays d'accueil, concerne la difficulté à affronter le deuil lié à l'exil fo</w:t>
      </w:r>
      <w:r w:rsidRPr="00CB4F2C">
        <w:t>r</w:t>
      </w:r>
      <w:r w:rsidRPr="00CB4F2C">
        <w:t>cé.</w:t>
      </w:r>
    </w:p>
    <w:p w:rsidR="00B7214C" w:rsidRPr="00CB4F2C" w:rsidRDefault="00B7214C" w:rsidP="00B7214C">
      <w:pPr>
        <w:spacing w:before="120" w:after="120"/>
        <w:jc w:val="both"/>
      </w:pPr>
      <w:r w:rsidRPr="00CB4F2C">
        <w:t>Dans cette perspective, notre communication tentera de dégager comment, à la suite d'un départ forcé, des réfugiés provenant de quatre horizons différents (Bulgarie, Guatemala, Iran et Salvador) vivent leur intégration à leur nouvel environnement ; elle cernera les problèmes qui parcourent le projet d'intégration et qui sont à la confluence du paradigme économique, social, politique et culturel d'origine et de c</w:t>
      </w:r>
      <w:r w:rsidRPr="00CB4F2C">
        <w:t>e</w:t>
      </w:r>
      <w:r w:rsidRPr="00CB4F2C">
        <w:t>lui propre à la formation sociale québécoise actuelle. Ce faisant, il s</w:t>
      </w:r>
      <w:r w:rsidRPr="00CB4F2C">
        <w:t>e</w:t>
      </w:r>
      <w:r w:rsidRPr="00CB4F2C">
        <w:t>ra possible de mieux comprendre la complexité des rapports entre tr</w:t>
      </w:r>
      <w:r w:rsidRPr="00CB4F2C">
        <w:t>a</w:t>
      </w:r>
      <w:r w:rsidRPr="00CB4F2C">
        <w:t>dition et modernité, entre passé, présent et devenir, entre universali</w:t>
      </w:r>
      <w:r w:rsidRPr="00CB4F2C">
        <w:t>s</w:t>
      </w:r>
      <w:r w:rsidRPr="00CB4F2C">
        <w:t>me et particularisme.</w:t>
      </w:r>
    </w:p>
    <w:p w:rsidR="00B7214C" w:rsidRDefault="00B7214C" w:rsidP="00B7214C">
      <w:pPr>
        <w:spacing w:before="120" w:after="120"/>
        <w:jc w:val="both"/>
      </w:pPr>
    </w:p>
    <w:p w:rsidR="00B7214C" w:rsidRPr="00CB4F2C" w:rsidRDefault="00B7214C" w:rsidP="00B7214C">
      <w:pPr>
        <w:pStyle w:val="a"/>
      </w:pPr>
      <w:r w:rsidRPr="00CB4F2C">
        <w:t>MÉTHODOLOGIE</w:t>
      </w:r>
    </w:p>
    <w:p w:rsidR="00B7214C" w:rsidRDefault="00B7214C" w:rsidP="00B7214C">
      <w:pPr>
        <w:spacing w:before="120" w:after="120"/>
        <w:jc w:val="both"/>
      </w:pPr>
    </w:p>
    <w:p w:rsidR="00B7214C" w:rsidRPr="00CB4F2C" w:rsidRDefault="00B7214C" w:rsidP="00B7214C">
      <w:pPr>
        <w:spacing w:before="120" w:after="120"/>
        <w:jc w:val="both"/>
      </w:pPr>
      <w:r w:rsidRPr="00CB4F2C">
        <w:t>Les données présentées ici proviennent d'une recherche comparat</w:t>
      </w:r>
      <w:r w:rsidRPr="00CB4F2C">
        <w:t>i</w:t>
      </w:r>
      <w:r w:rsidRPr="00CB4F2C">
        <w:t>ve auprès de réfugiés iraniens et salvadoriens déjà achevée (Jacob, 1991 ; Jacob et Bertot, 1991) et d'un projet de recherche en cours po</w:t>
      </w:r>
      <w:r w:rsidRPr="00CB4F2C">
        <w:t>r</w:t>
      </w:r>
      <w:r w:rsidRPr="00CB4F2C">
        <w:t>tant sur l'intégration de réfugiés d'origines géographiques variées v</w:t>
      </w:r>
      <w:r w:rsidRPr="00CB4F2C">
        <w:t>i</w:t>
      </w:r>
      <w:r w:rsidRPr="00CB4F2C">
        <w:t>vant à Montréal (Bulgares, Cambodgiens, Éthiopiens, Guatémalt</w:t>
      </w:r>
      <w:r w:rsidRPr="00CB4F2C">
        <w:t>è</w:t>
      </w:r>
      <w:r w:rsidRPr="00CB4F2C">
        <w:t>ques, Somaliens et Tamouls), ainsi que sur leur connaissance et leur utilisation des services sociaux et de santé. Cette étude fait appel à une triple méthodologie : a) une approche quantitative qui comprend un questionnaire portant sur les différentes dimensions de l'intégration au Québec rempli par cent répondants des deux sexes pour chaque gro</w:t>
      </w:r>
      <w:r w:rsidRPr="00CB4F2C">
        <w:t>u</w:t>
      </w:r>
      <w:r w:rsidRPr="00CB4F2C">
        <w:t>pe, b) une approche par focus-groupe où des répondants issus des groupes de réfugiés interviennent afin de dégager</w:t>
      </w:r>
      <w:r>
        <w:t xml:space="preserve"> [</w:t>
      </w:r>
      <w:r w:rsidRPr="00CB4F2C">
        <w:t>173</w:t>
      </w:r>
      <w:r>
        <w:t xml:space="preserve">] </w:t>
      </w:r>
      <w:r w:rsidRPr="00CB4F2C">
        <w:t>les problèmes les plus saillants qui se posent dans leur insertion et c) une approche qualitative basée sur des entrevues en profondeur auprès de cinq r</w:t>
      </w:r>
      <w:r w:rsidRPr="00CB4F2C">
        <w:t>é</w:t>
      </w:r>
      <w:r w:rsidRPr="00CB4F2C">
        <w:t>pondants de chaque sexe par groupe de réfugiés séle</w:t>
      </w:r>
      <w:r w:rsidRPr="00CB4F2C">
        <w:t>c</w:t>
      </w:r>
      <w:r w:rsidRPr="00CB4F2C">
        <w:t>tionnés à partir des critères d'âge, de statut civil, de scolarité et de lo</w:t>
      </w:r>
      <w:r w:rsidRPr="00CB4F2C">
        <w:t>n</w:t>
      </w:r>
      <w:r w:rsidRPr="00CB4F2C">
        <w:t>gueur du séjour au Québec. Les entrevues ont été par la suite codifiées selon les n</w:t>
      </w:r>
      <w:r w:rsidRPr="00CB4F2C">
        <w:t>i</w:t>
      </w:r>
      <w:r w:rsidRPr="00CB4F2C">
        <w:t>veaux d'analyse privilégiés, soit le contexte prémigratoire, l'intégr</w:t>
      </w:r>
      <w:r w:rsidRPr="00CB4F2C">
        <w:t>a</w:t>
      </w:r>
      <w:r w:rsidRPr="00CB4F2C">
        <w:t>tion linguistique, socio-économique et socioculturelle afin de dégager les points de convergence et les écarts les plus significatifs. Dans le cadre de cette présentation, il est impossible de faire toutes les nua</w:t>
      </w:r>
      <w:r w:rsidRPr="00CB4F2C">
        <w:t>n</w:t>
      </w:r>
      <w:r w:rsidRPr="00CB4F2C">
        <w:t>ces nécessaires et de rendre compte de la diversité des destins et des expériences personnelles qui forment le tissu essentiel de ces entr</w:t>
      </w:r>
      <w:r w:rsidRPr="00CB4F2C">
        <w:t>e</w:t>
      </w:r>
      <w:r w:rsidRPr="00CB4F2C">
        <w:t>vues. Cependant, elles permettent de dégager des hypothèses de tr</w:t>
      </w:r>
      <w:r w:rsidRPr="00CB4F2C">
        <w:t>a</w:t>
      </w:r>
      <w:r w:rsidRPr="00CB4F2C">
        <w:t>vail que les analyses subséquentes pourront confirmer et ce, à partir de notre triangulation méthodologique.</w:t>
      </w:r>
    </w:p>
    <w:p w:rsidR="00B7214C" w:rsidRDefault="00B7214C" w:rsidP="00B7214C">
      <w:pPr>
        <w:spacing w:before="120" w:after="120"/>
        <w:jc w:val="both"/>
      </w:pPr>
    </w:p>
    <w:p w:rsidR="00B7214C" w:rsidRPr="00CB4F2C" w:rsidRDefault="00B7214C" w:rsidP="00B7214C">
      <w:pPr>
        <w:pStyle w:val="a"/>
      </w:pPr>
      <w:r w:rsidRPr="00CB4F2C">
        <w:t>LE CONTEXTE PRÉMIGRATOIRE</w:t>
      </w:r>
    </w:p>
    <w:p w:rsidR="00B7214C" w:rsidRDefault="00B7214C" w:rsidP="00B7214C">
      <w:pPr>
        <w:spacing w:before="120" w:after="120"/>
        <w:jc w:val="both"/>
      </w:pPr>
    </w:p>
    <w:p w:rsidR="00B7214C" w:rsidRPr="00CB4F2C" w:rsidRDefault="00B7214C" w:rsidP="00B7214C">
      <w:pPr>
        <w:spacing w:before="120" w:after="120"/>
        <w:jc w:val="both"/>
      </w:pPr>
      <w:r w:rsidRPr="00CB4F2C">
        <w:t>Comme l'ont montré de nombreuses études (voir Jacob, 1991 ; J</w:t>
      </w:r>
      <w:r w:rsidRPr="00CB4F2C">
        <w:t>a</w:t>
      </w:r>
      <w:r w:rsidRPr="00CB4F2C">
        <w:t>cob et Bertot, 1991), le contexte prémigratoire influence profond</w:t>
      </w:r>
      <w:r w:rsidRPr="00CB4F2C">
        <w:t>é</w:t>
      </w:r>
      <w:r w:rsidRPr="00CB4F2C">
        <w:t>ment les vecteurs d'intégration ultérieurs en définissant les acquis avec lesquels les réfugiés quittent leur pays au plan de l'urbanisation, du niveau d'éducation, de la formation socioprofessionnelle, de la connaissance des langues, de l'engagement sociopolitique et des hab</w:t>
      </w:r>
      <w:r w:rsidRPr="00CB4F2C">
        <w:t>i</w:t>
      </w:r>
      <w:r w:rsidRPr="00CB4F2C">
        <w:t>tudes de vie qui peuvent ou non se rapprocher de celles du pays d'a</w:t>
      </w:r>
      <w:r w:rsidRPr="00CB4F2C">
        <w:t>c</w:t>
      </w:r>
      <w:r w:rsidRPr="00CB4F2C">
        <w:t>cueil. Ce contexte constitue donc la matrice principale qui influence les adaptations ultérieures et nos groupes présentent, à la fois, des points de convergence et de divergence. La guerre, la répression, pol</w:t>
      </w:r>
      <w:r w:rsidRPr="00CB4F2C">
        <w:t>i</w:t>
      </w:r>
      <w:r w:rsidRPr="00CB4F2C">
        <w:t>tique ou religieuse, et la détérioration des conditions économiques constituent l'arrière-fond commun de la situation des pays d'où pr</w:t>
      </w:r>
      <w:r w:rsidRPr="00CB4F2C">
        <w:t>o</w:t>
      </w:r>
      <w:r w:rsidRPr="00CB4F2C">
        <w:t>viennent les réfugiés que nous avons rencontrés. La majorité fait réf</w:t>
      </w:r>
      <w:r w:rsidRPr="00CB4F2C">
        <w:t>é</w:t>
      </w:r>
      <w:r w:rsidRPr="00CB4F2C">
        <w:t>rence aux menaces, aux formes de discrimination et de répression qui marquent le climat sociopolitique dans leur patrie et qui ont contribué à la décision de la quitter. Ces départs se sont souvent réalisés dans des conditions catastrophiques, amplifiées pour certains par des exp</w:t>
      </w:r>
      <w:r w:rsidRPr="00CB4F2C">
        <w:t>é</w:t>
      </w:r>
      <w:r w:rsidRPr="00CB4F2C">
        <w:t>riences traumatisantes ou dégradantes (harcèlement, torture, viol, etc.), soit dans le pays d'origine ou lors de la phase de transit, dans des pays d'accueil provisoires, eux-mêmes souvent confrontés à une situ</w:t>
      </w:r>
      <w:r w:rsidRPr="00CB4F2C">
        <w:t>a</w:t>
      </w:r>
      <w:r w:rsidRPr="00CB4F2C">
        <w:t>tion sociopolitique critique.</w:t>
      </w:r>
    </w:p>
    <w:p w:rsidR="00B7214C" w:rsidRPr="00CB4F2C" w:rsidRDefault="00B7214C" w:rsidP="00B7214C">
      <w:pPr>
        <w:spacing w:before="120" w:after="120"/>
        <w:jc w:val="both"/>
      </w:pPr>
      <w:r w:rsidRPr="00CB4F2C">
        <w:t>Les conditions de départ et la rupture avec le pays d'origine, par les stress profonds qu'elles provoquent, affectent l'équilibre sociopsych</w:t>
      </w:r>
      <w:r w:rsidRPr="00CB4F2C">
        <w:t>o</w:t>
      </w:r>
      <w:r>
        <w:t>logi</w:t>
      </w:r>
      <w:r w:rsidRPr="00CB4F2C">
        <w:t>que des migrants, mais elles seront tempérées par un certain no</w:t>
      </w:r>
      <w:r w:rsidRPr="00CB4F2C">
        <w:t>m</w:t>
      </w:r>
      <w:r w:rsidRPr="00CB4F2C">
        <w:t>bre de facteurs. Ainsi, le degré d'urbanisation présente des écarts i</w:t>
      </w:r>
      <w:r w:rsidRPr="00CB4F2C">
        <w:t>m</w:t>
      </w:r>
      <w:r w:rsidRPr="00CB4F2C">
        <w:t>portants selon les groupes. Alors que les Salvadoriens sont pour la majorité d'origine rurale, les Iraniens proviennent surtout du milieu urbain, tout comme les Guatémaltèques et les Bulgares. Les contrastes se retrouvent aussi dans le</w:t>
      </w:r>
      <w:r>
        <w:t xml:space="preserve"> [174] </w:t>
      </w:r>
      <w:r w:rsidRPr="00CB4F2C">
        <w:t>niveau de scolarité. Parmi les Salv</w:t>
      </w:r>
      <w:r w:rsidRPr="00CB4F2C">
        <w:t>a</w:t>
      </w:r>
      <w:r w:rsidRPr="00CB4F2C">
        <w:t>doriens, celui-ci est relativ</w:t>
      </w:r>
      <w:r w:rsidRPr="00CB4F2C">
        <w:t>e</w:t>
      </w:r>
      <w:r w:rsidRPr="00CB4F2C">
        <w:t>ment faible dans l'ensemble, tandis que chez les Iraniens, il est assez élevé tant chez les hommes que chez les femmes alors que plusieurs ont une formation de niveau universitaire. La majorité des Bulgares ont une formation professionnelle poussée qui reflète une scolarité universitaire. Chez les Guatémaltèques, le n</w:t>
      </w:r>
      <w:r w:rsidRPr="00CB4F2C">
        <w:t>i</w:t>
      </w:r>
      <w:r w:rsidRPr="00CB4F2C">
        <w:t>veau varie davantage, certains des répondants ayant une formation technique et d'autres plus académique.</w:t>
      </w:r>
    </w:p>
    <w:p w:rsidR="00B7214C" w:rsidRPr="00CB4F2C" w:rsidRDefault="00B7214C" w:rsidP="00B7214C">
      <w:pPr>
        <w:spacing w:before="120" w:after="120"/>
        <w:jc w:val="both"/>
      </w:pPr>
      <w:r w:rsidRPr="00CB4F2C">
        <w:t>La langue constitue un déterminant fondamental dans le processus d'intégration. De nombreuses études (voir par exemple, Tran, 1988 ; Lambert et Taylor, 1990) ont, en effet, montré que l'incapacité de pa</w:t>
      </w:r>
      <w:r w:rsidRPr="00CB4F2C">
        <w:t>r</w:t>
      </w:r>
      <w:r w:rsidRPr="00CB4F2C">
        <w:t>ler la langue d'adoption joue sur l'insertion socio-économique et ps</w:t>
      </w:r>
      <w:r w:rsidRPr="00CB4F2C">
        <w:t>y</w:t>
      </w:r>
      <w:r w:rsidRPr="00CB4F2C">
        <w:t>chologique, créant un cercle vicieux qui intervient sur le bien-être des réfugiés. En effet, sans l'apprentissage de la langue de travail de la majorité, le réfugié ne peut prétendre réussir pleinement son intégr</w:t>
      </w:r>
      <w:r w:rsidRPr="00CB4F2C">
        <w:t>a</w:t>
      </w:r>
      <w:r w:rsidRPr="00CB4F2C">
        <w:t>tion. Le niveau de connaissance des langues, le français ou l'anglais, présente à cet égard des disparités selon les groupes. Les Salvadoriens et les Guatémaltèques ont une connaissance faible ou nulle du fra</w:t>
      </w:r>
      <w:r w:rsidRPr="00CB4F2C">
        <w:t>n</w:t>
      </w:r>
      <w:r w:rsidRPr="00CB4F2C">
        <w:t>çais ; les Iraniens estiment mieux maîtriser l'anglais, tandis que pl</w:t>
      </w:r>
      <w:r w:rsidRPr="00CB4F2C">
        <w:t>u</w:t>
      </w:r>
      <w:r w:rsidRPr="00CB4F2C">
        <w:t>sieurs Bulgares disent avoir un assez bon niveau de connaissance du français ou même le maîtriser.</w:t>
      </w:r>
    </w:p>
    <w:p w:rsidR="00B7214C" w:rsidRPr="00CB4F2C" w:rsidRDefault="00B7214C" w:rsidP="00B7214C">
      <w:pPr>
        <w:spacing w:before="120" w:after="120"/>
        <w:jc w:val="both"/>
      </w:pPr>
      <w:r w:rsidRPr="00CB4F2C">
        <w:t>La prégnance de la culture d'origine, son degré d'ouverture et sa flexibilité interviennent aussi sur les processus d'intégration en favor</w:t>
      </w:r>
      <w:r w:rsidRPr="00CB4F2C">
        <w:t>i</w:t>
      </w:r>
      <w:r w:rsidRPr="00CB4F2C">
        <w:t>sant l'acculturation ou, au contraire, de la ségrégation et même la ma</w:t>
      </w:r>
      <w:r w:rsidRPr="00CB4F2C">
        <w:t>r</w:t>
      </w:r>
      <w:r w:rsidRPr="00CB4F2C">
        <w:t>ginalisation. Ces traits prémigratoires affectent à des degrés divers l'intégration socio-économique et orientent la participation à la société d'accueil par les réfugiés.</w:t>
      </w:r>
    </w:p>
    <w:p w:rsidR="00B7214C" w:rsidRDefault="00B7214C" w:rsidP="00B7214C">
      <w:pPr>
        <w:spacing w:before="120" w:after="120"/>
        <w:jc w:val="both"/>
      </w:pPr>
    </w:p>
    <w:p w:rsidR="00B7214C" w:rsidRPr="00CB4F2C" w:rsidRDefault="00B7214C" w:rsidP="00B7214C">
      <w:pPr>
        <w:pStyle w:val="a"/>
      </w:pPr>
      <w:r w:rsidRPr="00CB4F2C">
        <w:t>L'INTÉGRATION AU QUÉBEC</w:t>
      </w:r>
    </w:p>
    <w:p w:rsidR="00B7214C" w:rsidRDefault="00B7214C" w:rsidP="00B7214C">
      <w:pPr>
        <w:spacing w:before="120" w:after="120"/>
        <w:jc w:val="both"/>
      </w:pPr>
    </w:p>
    <w:p w:rsidR="00B7214C" w:rsidRDefault="00B7214C" w:rsidP="00B7214C">
      <w:pPr>
        <w:spacing w:before="120" w:after="120"/>
        <w:jc w:val="both"/>
      </w:pPr>
      <w:r w:rsidRPr="00CB4F2C">
        <w:t>L'accueil de la société hôtesse (politiques d'immigration et de s</w:t>
      </w:r>
      <w:r w:rsidRPr="00CB4F2C">
        <w:t>é</w:t>
      </w:r>
      <w:r w:rsidRPr="00CB4F2C">
        <w:t>lection, parrainage, attitudes des citoyens de la société d'accueil), la situation socio-économique (déclassement socioprofessionnel, ch</w:t>
      </w:r>
      <w:r w:rsidRPr="00CB4F2C">
        <w:t>ô</w:t>
      </w:r>
      <w:r w:rsidRPr="00CB4F2C">
        <w:t>mage, niveau de revenu, blocage de la part des collèges et corpor</w:t>
      </w:r>
      <w:r w:rsidRPr="00CB4F2C">
        <w:t>a</w:t>
      </w:r>
      <w:r w:rsidRPr="00CB4F2C">
        <w:t>tions professionnelles, etc.), la composition de la collectivité d'accueil de même origine (grandeur du groupe ethnique, cohésion sociale, s</w:t>
      </w:r>
      <w:r w:rsidRPr="00CB4F2C">
        <w:t>o</w:t>
      </w:r>
      <w:r w:rsidRPr="00CB4F2C">
        <w:t>lidarité, classe sociale (</w:t>
      </w:r>
      <w:r w:rsidRPr="004B79BC">
        <w:rPr>
          <w:i/>
          <w:iCs/>
        </w:rPr>
        <w:t>ethclass</w:t>
      </w:r>
      <w:r w:rsidRPr="00CB4F2C">
        <w:t>), la durée du séjour (vulnérabilité des réfugiés nouvellement arrivés comparativement à ceux installés d</w:t>
      </w:r>
      <w:r w:rsidRPr="00CB4F2C">
        <w:t>e</w:t>
      </w:r>
      <w:r w:rsidRPr="00CB4F2C">
        <w:t>puis plus longtemps) et les attitudes et les perceptions du réfugié, constituent des variables en interaction complexe. Nous dégagerons ici les principaux aspects liés à l'intégration de fonctionnement (cap</w:t>
      </w:r>
      <w:r w:rsidRPr="00CB4F2C">
        <w:t>a</w:t>
      </w:r>
      <w:r w:rsidRPr="00CB4F2C">
        <w:t>cité de communiquer dans la langue du pays et autonomie économ</w:t>
      </w:r>
      <w:r w:rsidRPr="00CB4F2C">
        <w:t>i</w:t>
      </w:r>
      <w:r w:rsidRPr="00CB4F2C">
        <w:t>que, Abou, 1990) et l'intégration socioculturelle.</w:t>
      </w:r>
    </w:p>
    <w:p w:rsidR="00B7214C" w:rsidRPr="00CB4F2C" w:rsidRDefault="00B7214C" w:rsidP="00B7214C">
      <w:pPr>
        <w:spacing w:before="120" w:after="120"/>
        <w:jc w:val="both"/>
      </w:pPr>
      <w:r>
        <w:t>[</w:t>
      </w:r>
      <w:r w:rsidRPr="00CB4F2C">
        <w:t>175</w:t>
      </w:r>
      <w:r>
        <w:t>]</w:t>
      </w:r>
    </w:p>
    <w:p w:rsidR="00B7214C" w:rsidRDefault="00B7214C" w:rsidP="00B7214C">
      <w:pPr>
        <w:spacing w:before="120" w:after="120"/>
        <w:jc w:val="both"/>
      </w:pPr>
    </w:p>
    <w:p w:rsidR="00B7214C" w:rsidRPr="004B79BC" w:rsidRDefault="00B7214C" w:rsidP="00B7214C">
      <w:pPr>
        <w:pStyle w:val="b"/>
      </w:pPr>
      <w:r w:rsidRPr="004B79BC">
        <w:t xml:space="preserve"> L'intégration linguistique</w:t>
      </w:r>
    </w:p>
    <w:p w:rsidR="00B7214C" w:rsidRDefault="00B7214C" w:rsidP="00B7214C">
      <w:pPr>
        <w:spacing w:before="120" w:after="120"/>
        <w:jc w:val="both"/>
      </w:pPr>
    </w:p>
    <w:p w:rsidR="00B7214C" w:rsidRPr="00CB4F2C" w:rsidRDefault="00B7214C" w:rsidP="00B7214C">
      <w:pPr>
        <w:spacing w:before="120" w:after="120"/>
        <w:jc w:val="both"/>
      </w:pPr>
      <w:r w:rsidRPr="00CB4F2C">
        <w:t>Notons tout d'abord que le rapport aux langues parlées au Québec n'obéit pas à une référence identitaire mais à d'autres critères : prestige international et avancement économique sous-tendu par la situation linguistique prémigratoire qui viennent colorer la perception des e</w:t>
      </w:r>
      <w:r w:rsidRPr="00CB4F2C">
        <w:t>n</w:t>
      </w:r>
      <w:r w:rsidRPr="00CB4F2C">
        <w:t>jeux linguistiques et orientent le processus d'intégration linguistique.</w:t>
      </w:r>
    </w:p>
    <w:p w:rsidR="00B7214C" w:rsidRPr="00CB4F2C" w:rsidRDefault="00B7214C" w:rsidP="00B7214C">
      <w:pPr>
        <w:spacing w:before="120" w:after="120"/>
        <w:jc w:val="both"/>
      </w:pPr>
      <w:r w:rsidRPr="00CB4F2C">
        <w:t>Le français est certes perçu comme la langue de la majorité de la population du Québec, mais la situation socio-économique de Mo</w:t>
      </w:r>
      <w:r w:rsidRPr="00CB4F2C">
        <w:t>n</w:t>
      </w:r>
      <w:r w:rsidRPr="00CB4F2C">
        <w:t>tréal et les messages linguistiques contradictoires véhiculés par pl</w:t>
      </w:r>
      <w:r w:rsidRPr="00CB4F2C">
        <w:t>u</w:t>
      </w:r>
      <w:r w:rsidRPr="00CB4F2C">
        <w:t>sieurs entreprises, leur porte-parole, le Conseil du patronat, ou le Gouvernement du Québec, suggèrent l'importance de l'anglais comme langue de travail et de promotion dans plusieurs milieux. Cette pe</w:t>
      </w:r>
      <w:r w:rsidRPr="00CB4F2C">
        <w:t>r</w:t>
      </w:r>
      <w:r w:rsidRPr="00CB4F2C">
        <w:t>ception est renforcée par le fait que le français n'est pas toujours bien vu dans certains milieux de travail où œuvrent bon nombre de réf</w:t>
      </w:r>
      <w:r w:rsidRPr="00CB4F2C">
        <w:t>u</w:t>
      </w:r>
      <w:r w:rsidRPr="00CB4F2C">
        <w:t>giés (textiles, restauration, hôtellerie, etc.). Langue internationale, l'anglais apparaît aussi comme un atout dans la situation de fait propre au Qu</w:t>
      </w:r>
      <w:r w:rsidRPr="00CB4F2C">
        <w:t>é</w:t>
      </w:r>
      <w:r w:rsidRPr="00CB4F2C">
        <w:t>bec et exprimée par plusieurs de nos répondants : pour réussir dans la société québécoise, il faut être bilingue. Ce bilinguisme leur semble d'autant plus nécessaire que l'anglais est encore perçu comme langue de promotion économique et d'accès aux emplois mieux rém</w:t>
      </w:r>
      <w:r w:rsidRPr="00CB4F2C">
        <w:t>u</w:t>
      </w:r>
      <w:r w:rsidRPr="00CB4F2C">
        <w:t>nérés ou un préalable dans plusieurs secteurs économiques.</w:t>
      </w:r>
    </w:p>
    <w:p w:rsidR="00B7214C" w:rsidRPr="00CB4F2C" w:rsidRDefault="00B7214C" w:rsidP="00B7214C">
      <w:pPr>
        <w:spacing w:before="120" w:after="120"/>
        <w:jc w:val="both"/>
      </w:pPr>
      <w:r w:rsidRPr="00CB4F2C">
        <w:t>Cette situation équivoque amplifie les contradictions profondes que connaissent ces réfugiés dans leur quête d'une meilleure intégr</w:t>
      </w:r>
      <w:r w:rsidRPr="00CB4F2C">
        <w:t>a</w:t>
      </w:r>
      <w:r w:rsidRPr="00CB4F2C">
        <w:t>tion linguistique. Pour les Salvadoriens et les Guatémaltèques, les plus ignorants du français au départ, son apprentissage devient une priorité. Parmi les Bulgares, souvent francisés avant leur arrivée ou sensibilisés à cette langue, l'attrait pour le français domine. Les Iraniens adoptent, par contre, une position plus ambiguë dans la mesure où l'anglais est déjà une langue de référence qu'il s'agit d'améliorer en prévision de déplacements ultérieurs au Canada ou aux États-Unis. Il semble exi</w:t>
      </w:r>
      <w:r w:rsidRPr="00CB4F2C">
        <w:t>s</w:t>
      </w:r>
      <w:r w:rsidRPr="00CB4F2C">
        <w:t>ter d'ailleurs, dans ce groupe, une confusion tant géographique qu'hi</w:t>
      </w:r>
      <w:r w:rsidRPr="00CB4F2C">
        <w:t>s</w:t>
      </w:r>
      <w:r w:rsidRPr="00CB4F2C">
        <w:t>torique qui empêche une nette perception de la singularité de l'espace québécois. Celui-ci n'est pas reconnu dans sa spécificité, mais il fait plutôt partie d'un ensemble géographique plus large et plus signifiant - l'Amérique - qui constitue le point de référence essentiel, d'où une ne</w:t>
      </w:r>
      <w:r w:rsidRPr="00CB4F2C">
        <w:t>t</w:t>
      </w:r>
      <w:r w:rsidRPr="00CB4F2C">
        <w:t>te attirance vers la société anglophone. Le rapport à la langue anglaise ou française dépend aussi des classes sociales, en particulier chez les Iraniens, ce qui peut créer des clivages internes au sein du groupe et</w:t>
      </w:r>
      <w:r w:rsidRPr="00CB4F2C">
        <w:t>h</w:t>
      </w:r>
      <w:r w:rsidRPr="00CB4F2C">
        <w:t>nique et influencer sa recomposition.</w:t>
      </w:r>
    </w:p>
    <w:p w:rsidR="00B7214C" w:rsidRPr="00CB4F2C" w:rsidRDefault="00B7214C" w:rsidP="00B7214C">
      <w:pPr>
        <w:spacing w:before="120" w:after="120"/>
        <w:jc w:val="both"/>
      </w:pPr>
      <w:r w:rsidRPr="00CB4F2C">
        <w:t>L'apprentissage du français se heurte à des obstacles majeurs. L'a</w:t>
      </w:r>
      <w:r w:rsidRPr="00CB4F2C">
        <w:t>c</w:t>
      </w:r>
      <w:r w:rsidRPr="00CB4F2C">
        <w:t>cessibilité au COFI peut être problématique pour certains réfugiés et le niveau du français qui y est enseigné n'en permet souvent qu'une maîtrise</w:t>
      </w:r>
      <w:r>
        <w:t xml:space="preserve"> [176] </w:t>
      </w:r>
      <w:r w:rsidRPr="00CB4F2C">
        <w:t>insuffisante. Cette carence se voit amplifiée par les contraintes économiques qui empêchent, à cause du manque de temps, de pouvoir compléter les cours de base ou d'accéder aux cours plus avancés. L'un des réfugiés résume ainsi la situation : « C'est un cercle vicieux ; pour trouver un emploi décent, il faut que tu parles français mais les cours au COFI sont insuffisants et on n'a pas le temps d'en prendre d'autres parce qu'il faut travailler dans n'importe quoi pour survivre ». La s</w:t>
      </w:r>
      <w:r w:rsidRPr="00CB4F2C">
        <w:t>o</w:t>
      </w:r>
      <w:r w:rsidRPr="00CB4F2C">
        <w:t>ciété d'accueil ne semble donc pas avoir mis sur pied des structures d'apprentissage du français qui permettent d'intégrer la langue de f</w:t>
      </w:r>
      <w:r w:rsidRPr="00CB4F2C">
        <w:t>a</w:t>
      </w:r>
      <w:r w:rsidRPr="00CB4F2C">
        <w:t>çon opérationnelle et valorisante, ce qui ne peut que contribuer à maintenir les particularismes ethnoculturels et à ralentir la particip</w:t>
      </w:r>
      <w:r w:rsidRPr="00CB4F2C">
        <w:t>a</w:t>
      </w:r>
      <w:r w:rsidRPr="00CB4F2C">
        <w:t>tion à la vie économique.</w:t>
      </w:r>
    </w:p>
    <w:p w:rsidR="00B7214C" w:rsidRDefault="00B7214C" w:rsidP="00B7214C">
      <w:pPr>
        <w:spacing w:before="120" w:after="120"/>
        <w:jc w:val="both"/>
      </w:pPr>
    </w:p>
    <w:p w:rsidR="00B7214C" w:rsidRPr="00CB4F2C" w:rsidRDefault="00B7214C" w:rsidP="00B7214C">
      <w:pPr>
        <w:pStyle w:val="b"/>
      </w:pPr>
      <w:r w:rsidRPr="00CB4F2C">
        <w:t>L'intégration socio-économique</w:t>
      </w:r>
    </w:p>
    <w:p w:rsidR="00B7214C" w:rsidRDefault="00B7214C" w:rsidP="00B7214C">
      <w:pPr>
        <w:spacing w:before="120" w:after="120"/>
        <w:jc w:val="both"/>
      </w:pPr>
    </w:p>
    <w:p w:rsidR="00B7214C" w:rsidRPr="00CB4F2C" w:rsidRDefault="00B7214C" w:rsidP="00B7214C">
      <w:pPr>
        <w:spacing w:before="120" w:after="120"/>
        <w:jc w:val="both"/>
      </w:pPr>
      <w:r w:rsidRPr="00CB4F2C">
        <w:t>Compte tenu du contexte économique problématique au Québec, l'intégration dans le marché du travail pose aux réfugiés des difficultés majeures. Celles-ci sont liées à plusieurs facteurs : la faible connai</w:t>
      </w:r>
      <w:r w:rsidRPr="00CB4F2C">
        <w:t>s</w:t>
      </w:r>
      <w:r w:rsidRPr="00CB4F2C">
        <w:t>sance des langues de travail, la déqualification professionnelle, l'e</w:t>
      </w:r>
      <w:r w:rsidRPr="00CB4F2C">
        <w:t>x</w:t>
      </w:r>
      <w:r w:rsidRPr="00CB4F2C">
        <w:t>ploitation à laquelle ils sont soumis et qui s'accompagne de discrim</w:t>
      </w:r>
      <w:r w:rsidRPr="00CB4F2C">
        <w:t>i</w:t>
      </w:r>
      <w:r w:rsidRPr="00CB4F2C">
        <w:t>nation de la part des patrons et, souvent, des autres travailleurs. Dans nos entrevues, les répondants soulignent l'échec global de leur intégr</w:t>
      </w:r>
      <w:r w:rsidRPr="00CB4F2C">
        <w:t>a</w:t>
      </w:r>
      <w:r w:rsidRPr="00CB4F2C">
        <w:t>tion économique. Le taux de chômage est élevé et les revenus faibles. Parmi ceux qui n'avaient pas, au départ, d'emploi spécialisé, certains rapportent avoir réussi une forme d'intégration économique minime, en acceptant des emplois peu valorisants, même s'ils sont cantonnés à des ghettos d'emploi et ont une faible mobilité professionnelle. Une faible proportion de ceux qui ont une formation professionnelle ont réussi à trouver un emploi et plusieurs tentent de se recycler en s'in</w:t>
      </w:r>
      <w:r w:rsidRPr="00CB4F2C">
        <w:t>s</w:t>
      </w:r>
      <w:r w:rsidRPr="00CB4F2C">
        <w:t>crivant à des programmes universitaires.</w:t>
      </w:r>
    </w:p>
    <w:p w:rsidR="00B7214C" w:rsidRPr="00CB4F2C" w:rsidRDefault="00B7214C" w:rsidP="00B7214C">
      <w:pPr>
        <w:spacing w:before="120" w:after="120"/>
        <w:jc w:val="both"/>
      </w:pPr>
      <w:r w:rsidRPr="00CB4F2C">
        <w:t>Les aspirations socio-économiques diffèrent cependant d'un groupe à l'autre. Les Bulgares visent d'abord à exercer un métier qui corre</w:t>
      </w:r>
      <w:r w:rsidRPr="00CB4F2C">
        <w:t>s</w:t>
      </w:r>
      <w:r w:rsidRPr="00CB4F2C">
        <w:t>pond à leurs intérêts et leurs compétences. Peu exigeants, ils aspirent à un revenu qui leur permettrait de subvenir correctement aux besoins du groupe familial. Les Guatémaltèques et les Salvadoriens adoptent généralement la même perspective. Par contre, chez les Iraniens, la motivation est très différente. En effet, à cause de leur origine de cla</w:t>
      </w:r>
      <w:r w:rsidRPr="00CB4F2C">
        <w:t>s</w:t>
      </w:r>
      <w:r w:rsidRPr="00CB4F2C">
        <w:t>se souvent élevée, ils espèrent retrouver un statut socio-économique semblable à celui du pays d'origine. Le revenu reste donc une préo</w:t>
      </w:r>
      <w:r w:rsidRPr="00CB4F2C">
        <w:t>c</w:t>
      </w:r>
      <w:r w:rsidRPr="00CB4F2C">
        <w:t>cupation majeure car la pauvreté provoque des sentiments de honte. La culture iranienne exige, en effet, un certain décorum dans les ra</w:t>
      </w:r>
      <w:r w:rsidRPr="00CB4F2C">
        <w:t>p</w:t>
      </w:r>
      <w:r w:rsidRPr="00CB4F2C">
        <w:t>ports interpersonnels, ce qui est difficile à atteindre dans une situation économique problématique. L'insuffisance de revenus signifie dès lors dévalorisation, atteinte à la dignité avec ses conséquences sociops</w:t>
      </w:r>
      <w:r w:rsidRPr="00CB4F2C">
        <w:t>y</w:t>
      </w:r>
      <w:r w:rsidRPr="00CB4F2C">
        <w:t>chologiques profondes. Ces contrastes semblent confirmer l'hypothèse que parmi ceux qui ont une formation professionnelle</w:t>
      </w:r>
      <w:r>
        <w:t xml:space="preserve"> [177] </w:t>
      </w:r>
      <w:r w:rsidRPr="00CB4F2C">
        <w:t>élevée, la déclassification professionnelle et la baisse du statut s</w:t>
      </w:r>
      <w:r w:rsidRPr="00CB4F2C">
        <w:t>o</w:t>
      </w:r>
      <w:r w:rsidRPr="00CB4F2C">
        <w:t>cial vécue dans le pays d'accueil amplifient les difficultés d'intégration socioculturelle.</w:t>
      </w:r>
    </w:p>
    <w:p w:rsidR="00B7214C" w:rsidRDefault="00B7214C" w:rsidP="00B7214C">
      <w:pPr>
        <w:spacing w:before="120" w:after="120"/>
        <w:jc w:val="both"/>
      </w:pPr>
    </w:p>
    <w:p w:rsidR="00B7214C" w:rsidRPr="00CB4F2C" w:rsidRDefault="00B7214C" w:rsidP="00B7214C">
      <w:pPr>
        <w:pStyle w:val="b"/>
      </w:pPr>
      <w:r w:rsidRPr="00CB4F2C">
        <w:t>L'intégration socioculturelle</w:t>
      </w:r>
    </w:p>
    <w:p w:rsidR="00B7214C" w:rsidRDefault="00B7214C" w:rsidP="00B7214C">
      <w:pPr>
        <w:spacing w:before="120" w:after="120"/>
        <w:jc w:val="both"/>
      </w:pPr>
    </w:p>
    <w:p w:rsidR="00B7214C" w:rsidRPr="00CB4F2C" w:rsidRDefault="00B7214C" w:rsidP="00B7214C">
      <w:pPr>
        <w:spacing w:before="120" w:after="120"/>
        <w:jc w:val="both"/>
      </w:pPr>
      <w:r w:rsidRPr="00CB4F2C">
        <w:t>Le rapport à la société québécoise présente aussi des contrastes importants. Les chocs culturels entraînent des tensions dans l'amén</w:t>
      </w:r>
      <w:r w:rsidRPr="00CB4F2C">
        <w:t>a</w:t>
      </w:r>
      <w:r w:rsidRPr="00CB4F2C">
        <w:t>gement de l'identité d'origine, ce qui peut provoquer un repli sur le noyau identitaire ou, au contraire, l'adoption de nouveaux schèmes de comportements.</w:t>
      </w:r>
    </w:p>
    <w:p w:rsidR="00B7214C" w:rsidRPr="00CB4F2C" w:rsidRDefault="00B7214C" w:rsidP="00B7214C">
      <w:pPr>
        <w:spacing w:before="120" w:after="120"/>
        <w:jc w:val="both"/>
      </w:pPr>
      <w:r w:rsidRPr="00CB4F2C">
        <w:t>Ainsi, chez les Salvadoriens, les changements de valeurs et de réf</w:t>
      </w:r>
      <w:r w:rsidRPr="00CB4F2C">
        <w:t>é</w:t>
      </w:r>
      <w:r w:rsidRPr="00CB4F2C">
        <w:t>rents culturels entraînent une désorientation dans les rapports ho</w:t>
      </w:r>
      <w:r w:rsidRPr="00CB4F2C">
        <w:t>m</w:t>
      </w:r>
      <w:r w:rsidRPr="00CB4F2C">
        <w:t>mes-femmes ou parents-enfants. Sans être généralisées, on observe, chez les femmes, des tentatives d'émancipation vis-à-vis du moule traditionnel avec, en corollaire, le rejet par les hommes de ces vellé</w:t>
      </w:r>
      <w:r w:rsidRPr="00CB4F2C">
        <w:t>i</w:t>
      </w:r>
      <w:r w:rsidRPr="00CB4F2C">
        <w:t>tés d'indépendance et d'égalitarisme, ce qui n'est pas sans susciter des tensions, sinon des conflits ouverts.</w:t>
      </w:r>
    </w:p>
    <w:p w:rsidR="00B7214C" w:rsidRPr="00CB4F2C" w:rsidRDefault="00B7214C" w:rsidP="00B7214C">
      <w:pPr>
        <w:spacing w:before="120" w:after="120"/>
        <w:jc w:val="both"/>
      </w:pPr>
      <w:r w:rsidRPr="00CB4F2C">
        <w:t>Parmi les Iraniens, l'intégration socioculturelle apparaît encore plus problématique. Dans la famille iranienne, isolée des parents qui font partie de la famille étendue et soumise à une profonde réorganisation de la division sexuelle du travail, les femmes ne privilégient pas l'émancipation. Elles tentent, au contraire, de préserver ou même de recréer les rapports et les rôles sexuels culturellement prescrits et de maintenir le statut dominant des maris iraniens. Les conjoints, confrontés à une détérioration des conditions de vie et à une margin</w:t>
      </w:r>
      <w:r w:rsidRPr="00CB4F2C">
        <w:t>a</w:t>
      </w:r>
      <w:r w:rsidRPr="00CB4F2C">
        <w:t>lisation qui est en rupture avec les modèles culturels iraniens, vivent alors une détresse importante.</w:t>
      </w:r>
    </w:p>
    <w:p w:rsidR="00B7214C" w:rsidRPr="00CB4F2C" w:rsidRDefault="00B7214C" w:rsidP="00B7214C">
      <w:pPr>
        <w:spacing w:before="120" w:after="120"/>
        <w:jc w:val="both"/>
      </w:pPr>
      <w:r w:rsidRPr="00CB4F2C">
        <w:t>Les Bulgares, pour qui le mode de vie québécois n'est pas trop étranger, valorisent l'intégration socioculturelle qui semble positiv</w:t>
      </w:r>
      <w:r w:rsidRPr="00CB4F2C">
        <w:t>e</w:t>
      </w:r>
      <w:r w:rsidRPr="00CB4F2C">
        <w:t>ment amorcée. On retrouve, dans l'ensemble, chez les Guatémalt</w:t>
      </w:r>
      <w:r w:rsidRPr="00CB4F2C">
        <w:t>è</w:t>
      </w:r>
      <w:r w:rsidRPr="00CB4F2C">
        <w:t>ques, une perception du Québec semblable à celle des Bulgares, mais, malgré une ouverture à la culture québécoise francophone, une rési</w:t>
      </w:r>
      <w:r w:rsidRPr="00CB4F2C">
        <w:t>s</w:t>
      </w:r>
      <w:r w:rsidRPr="00CB4F2C">
        <w:t>tance s'exprime surtout face à l'adoption des rapports familiaux et des modes de socialisation québécois dont les critères s'éloignent des v</w:t>
      </w:r>
      <w:r w:rsidRPr="00CB4F2C">
        <w:t>a</w:t>
      </w:r>
      <w:r w:rsidRPr="00CB4F2C">
        <w:t>leurs guatémaltèques.</w:t>
      </w:r>
    </w:p>
    <w:p w:rsidR="00B7214C" w:rsidRPr="00CB4F2C" w:rsidRDefault="00B7214C" w:rsidP="00B7214C">
      <w:pPr>
        <w:spacing w:before="120" w:after="120"/>
        <w:jc w:val="both"/>
      </w:pPr>
      <w:r w:rsidRPr="00CB4F2C">
        <w:t>Si l'intégration à une société se mesure par la création de rapports de sociabilité avec les citoyens nés dans le pays, il semble que l'exp</w:t>
      </w:r>
      <w:r w:rsidRPr="00CB4F2C">
        <w:t>é</w:t>
      </w:r>
      <w:r w:rsidRPr="00CB4F2C">
        <w:t>rience des réfugiés que nous avons interrogés soit pour le moins a</w:t>
      </w:r>
      <w:r w:rsidRPr="00CB4F2C">
        <w:t>m</w:t>
      </w:r>
      <w:r w:rsidRPr="00CB4F2C">
        <w:t>bivalente ; les répondants qui ont des contacts fréquents avec des Québécois francophones parlent d'un accueil chaleureux, le tout so</w:t>
      </w:r>
      <w:r w:rsidRPr="00CB4F2C">
        <w:t>u</w:t>
      </w:r>
      <w:r w:rsidRPr="00CB4F2C">
        <w:t>vent lié à des relations amicales bien établies, mais on observe aussi un sentiment de malaise et</w:t>
      </w:r>
      <w:r>
        <w:t xml:space="preserve"> [178] </w:t>
      </w:r>
      <w:r w:rsidRPr="00CB4F2C">
        <w:t>d'incompréhension. Les différences d'éthos entre les réfugiés et les Québécois sont alors soulignées, en insistant sur le manque de chaleur, l'absence d'intérêt envers les no</w:t>
      </w:r>
      <w:r w:rsidRPr="00CB4F2C">
        <w:t>u</w:t>
      </w:r>
      <w:r w:rsidRPr="00CB4F2C">
        <w:t>veaux arrivants. Les problèmes linguistiques, les distances sociocult</w:t>
      </w:r>
      <w:r w:rsidRPr="00CB4F2C">
        <w:t>u</w:t>
      </w:r>
      <w:r w:rsidRPr="00CB4F2C">
        <w:t>relles, les préjugés réciproques empêchent alors l'établissement de rapports conviviaux suivis. Ceci est particulièrement notable chez la majorité des Iraniens qui favor</w:t>
      </w:r>
      <w:r w:rsidRPr="00CB4F2C">
        <w:t>i</w:t>
      </w:r>
      <w:r w:rsidRPr="00CB4F2C">
        <w:t>sent une certaine ségrégation sociale fondée sur l'appartenance à une civilisation dont les valeurs et les comportements sont en nette oppos</w:t>
      </w:r>
      <w:r w:rsidRPr="00CB4F2C">
        <w:t>i</w:t>
      </w:r>
      <w:r w:rsidRPr="00CB4F2C">
        <w:t>tion avec ceux qui dominent dans la culture nord-américaine et québ</w:t>
      </w:r>
      <w:r w:rsidRPr="00CB4F2C">
        <w:t>é</w:t>
      </w:r>
      <w:r w:rsidRPr="00CB4F2C">
        <w:t>coise, en particulier dans la sphère familiale. Dans les autres groupes, les relations avec les Québécois francophones se présentent sous des formes plus ambivalentes. Le</w:t>
      </w:r>
      <w:r>
        <w:t>s militants politiques salvado</w:t>
      </w:r>
      <w:r w:rsidRPr="00CB4F2C">
        <w:t>riens et guatémaltèques développent des rapports de solidarité avec leur vis-à-vis québécois dans la lutte pour les droits de la personne dans leur pays d'origine, mais, pour d'autres, l'ouverture sur la société québécoise reste souvent limitée à leur gro</w:t>
      </w:r>
      <w:r w:rsidRPr="00CB4F2C">
        <w:t>u</w:t>
      </w:r>
      <w:r w:rsidRPr="00CB4F2C">
        <w:t>pe d'origine ou à d'autres immigrants avec qui ils partagent des préo</w:t>
      </w:r>
      <w:r w:rsidRPr="00CB4F2C">
        <w:t>c</w:t>
      </w:r>
      <w:r w:rsidRPr="00CB4F2C">
        <w:t>cupations communes, sans pour autant éliminer tous les conflits inte</w:t>
      </w:r>
      <w:r w:rsidRPr="00CB4F2C">
        <w:t>r</w:t>
      </w:r>
      <w:r w:rsidRPr="00CB4F2C">
        <w:t>groupes.</w:t>
      </w:r>
    </w:p>
    <w:p w:rsidR="00B7214C" w:rsidRDefault="00B7214C" w:rsidP="00B7214C">
      <w:pPr>
        <w:spacing w:before="120" w:after="120"/>
        <w:jc w:val="both"/>
      </w:pPr>
      <w:r>
        <w:br w:type="page"/>
      </w:r>
    </w:p>
    <w:p w:rsidR="00B7214C" w:rsidRPr="00CB4F2C" w:rsidRDefault="00B7214C" w:rsidP="00B7214C">
      <w:pPr>
        <w:pStyle w:val="a"/>
      </w:pPr>
      <w:r w:rsidRPr="00CB4F2C">
        <w:t>DISCUSSION ET CONCLUSIONS</w:t>
      </w:r>
    </w:p>
    <w:p w:rsidR="00B7214C" w:rsidRDefault="00B7214C" w:rsidP="00B7214C">
      <w:pPr>
        <w:spacing w:before="120" w:after="120"/>
        <w:jc w:val="both"/>
      </w:pPr>
    </w:p>
    <w:p w:rsidR="00B7214C" w:rsidRPr="00CB4F2C" w:rsidRDefault="00B7214C" w:rsidP="00B7214C">
      <w:pPr>
        <w:spacing w:before="120" w:after="120"/>
        <w:jc w:val="both"/>
      </w:pPr>
      <w:r w:rsidRPr="00CB4F2C">
        <w:t>Les motifs de départ et les conditions prémigratoires particulières de chacun des groupes que nous avons interviewés présentent des contrastes importants qui interviennent dans les problèmes d'intégr</w:t>
      </w:r>
      <w:r w:rsidRPr="00CB4F2C">
        <w:t>a</w:t>
      </w:r>
      <w:r w:rsidRPr="00CB4F2C">
        <w:t>tion que les réfugiés rencontrent et dont certains des paramètres leur échappent puisqu'ils sont liés aux conditions du pays d'accueil. Ainsi, les contradictions linguistiques propres au Québec et les difficultés liées à l'apprentissage des nouvelles langues nécessaires tant dans le travail que la vie quotidienne constituent une autre source de tensions qui freinent l'insertion dans la société d'accueil et maintiennent les particularismes d'origine. L'intégration socio-économique, essentielle, est souvent bloquée pour des raisons structurelles qui empêchent l'a</w:t>
      </w:r>
      <w:r w:rsidRPr="00CB4F2C">
        <w:t>c</w:t>
      </w:r>
      <w:r w:rsidRPr="00CB4F2C">
        <w:t>cès à l'emploi, mais le déclassement socioprofessionnel qui accomp</w:t>
      </w:r>
      <w:r w:rsidRPr="00CB4F2C">
        <w:t>a</w:t>
      </w:r>
      <w:r w:rsidRPr="00CB4F2C">
        <w:t>gne la non-reconnaissance des diplômes et de l'expérience de travail dans le pays d'origine constitue une barrière presque insurmontable. Ces formes de discrimination ne sont pas sans contribuer à un sent</w:t>
      </w:r>
      <w:r w:rsidRPr="00CB4F2C">
        <w:t>i</w:t>
      </w:r>
      <w:r w:rsidRPr="00CB4F2C">
        <w:t>ment profond d'exclusion et à une perte d'estime de soi qui peuvent amplifier les stress sociopsychologiques.</w:t>
      </w:r>
    </w:p>
    <w:p w:rsidR="00B7214C" w:rsidRDefault="00B7214C" w:rsidP="00B7214C">
      <w:pPr>
        <w:spacing w:before="120" w:after="120"/>
        <w:jc w:val="both"/>
      </w:pPr>
      <w:r w:rsidRPr="00CB4F2C">
        <w:t>Au plan socioculturel, la fermeture ou la flexibilité de la culture nationale interviennent sur la perception de la société d'accueil et l'étendue des emprunts matériels, culturels et linguistiques. On peut parler à cet égard de véritables bricolages où les trajectoires perso</w:t>
      </w:r>
      <w:r w:rsidRPr="00CB4F2C">
        <w:t>n</w:t>
      </w:r>
      <w:r w:rsidRPr="00CB4F2C">
        <w:t>nelles et les contraintes structurelles se conjuguent pour complexifier les spécificités identitaires. Dans certains cas, les particularismes ide</w:t>
      </w:r>
      <w:r w:rsidRPr="00CB4F2C">
        <w:t>n</w:t>
      </w:r>
      <w:r w:rsidRPr="00CB4F2C">
        <w:t>t</w:t>
      </w:r>
      <w:r>
        <w:t xml:space="preserve">itaires tendent à se rigidifier, [179] </w:t>
      </w:r>
      <w:r w:rsidRPr="00CB4F2C">
        <w:t>comme c'est le cas pour les Ir</w:t>
      </w:r>
      <w:r w:rsidRPr="00CB4F2C">
        <w:t>a</w:t>
      </w:r>
      <w:r w:rsidRPr="00CB4F2C">
        <w:t>niens, ou au contraire à se perméab</w:t>
      </w:r>
      <w:r w:rsidRPr="00CB4F2C">
        <w:t>i</w:t>
      </w:r>
      <w:r w:rsidRPr="00CB4F2C">
        <w:t>liser à différents niveaux parmi les autres groupes. Les écarts dans le système de valeurs peuvent interv</w:t>
      </w:r>
      <w:r w:rsidRPr="00CB4F2C">
        <w:t>e</w:t>
      </w:r>
      <w:r w:rsidRPr="00CB4F2C">
        <w:t>nir sur le maintien de noyaux ide</w:t>
      </w:r>
      <w:r w:rsidRPr="00CB4F2C">
        <w:t>n</w:t>
      </w:r>
      <w:r w:rsidRPr="00CB4F2C">
        <w:t>titaires, tout comme la perception de l'accueil offert par les membres de la société québécoise. À cet égard, la création de réseaux plus pe</w:t>
      </w:r>
      <w:r w:rsidRPr="00CB4F2C">
        <w:t>r</w:t>
      </w:r>
      <w:r w:rsidRPr="00CB4F2C">
        <w:t>sonnalisés grâce aux programmes de jumelage et aux rencontres inte</w:t>
      </w:r>
      <w:r w:rsidRPr="00CB4F2C">
        <w:t>r</w:t>
      </w:r>
      <w:r w:rsidRPr="00CB4F2C">
        <w:t>personnelles semble être un facteur important dans l'enracinement à la nouvelle patrie. En somme, l'int</w:t>
      </w:r>
      <w:r w:rsidRPr="00CB4F2C">
        <w:t>é</w:t>
      </w:r>
      <w:r w:rsidRPr="00CB4F2C">
        <w:t>gration des réfugiés ne tient pas se</w:t>
      </w:r>
      <w:r w:rsidRPr="00CB4F2C">
        <w:t>u</w:t>
      </w:r>
      <w:r w:rsidRPr="00CB4F2C">
        <w:t>lement à leurs caractéristiques et leurs projets, mais aussi aux cond</w:t>
      </w:r>
      <w:r w:rsidRPr="00CB4F2C">
        <w:t>i</w:t>
      </w:r>
      <w:r w:rsidRPr="00CB4F2C">
        <w:t>tions d'accueil qui leur sont faites. Celles-ci dépendent, certes, des programmes de l'État ou des organi</w:t>
      </w:r>
      <w:r w:rsidRPr="00CB4F2C">
        <w:t>s</w:t>
      </w:r>
      <w:r w:rsidRPr="00CB4F2C">
        <w:t>mes parapublics qui balisent leur entrée dans la vie sociale et polit</w:t>
      </w:r>
      <w:r w:rsidRPr="00CB4F2C">
        <w:t>i</w:t>
      </w:r>
      <w:r w:rsidRPr="00CB4F2C">
        <w:t>que, mais aussi de la qualité de l'a</w:t>
      </w:r>
      <w:r w:rsidRPr="00CB4F2C">
        <w:t>c</w:t>
      </w:r>
      <w:r w:rsidRPr="00CB4F2C">
        <w:t>cueil qui découle alors de chacun des citoyens dont la responsabilité devient alors incontournable.</w:t>
      </w:r>
    </w:p>
    <w:p w:rsidR="00B7214C" w:rsidRDefault="00B7214C" w:rsidP="00B7214C">
      <w:pPr>
        <w:pStyle w:val="p"/>
      </w:pPr>
      <w:r>
        <w:t>[180]</w:t>
      </w:r>
    </w:p>
    <w:p w:rsidR="00B7214C" w:rsidRDefault="00B7214C" w:rsidP="00B7214C">
      <w:pPr>
        <w:spacing w:before="120" w:after="120"/>
        <w:jc w:val="both"/>
      </w:pPr>
    </w:p>
    <w:p w:rsidR="00B7214C" w:rsidRDefault="00B7214C" w:rsidP="00B7214C">
      <w:pPr>
        <w:pStyle w:val="a"/>
      </w:pPr>
      <w:r w:rsidRPr="00CB4F2C">
        <w:t>RÉFÉRENCES</w:t>
      </w:r>
    </w:p>
    <w:p w:rsidR="00B7214C" w:rsidRPr="00CB4F2C" w:rsidRDefault="00B7214C" w:rsidP="00B7214C">
      <w:pPr>
        <w:spacing w:before="120" w:after="120"/>
        <w:jc w:val="both"/>
      </w:pPr>
    </w:p>
    <w:p w:rsidR="00B7214C" w:rsidRPr="00CB4F2C" w:rsidRDefault="00B7214C" w:rsidP="00B7214C">
      <w:pPr>
        <w:spacing w:before="120" w:after="120"/>
        <w:jc w:val="both"/>
      </w:pPr>
      <w:r w:rsidRPr="00CB4F2C">
        <w:t xml:space="preserve">Abou, S., « L'insertion des immigrés : approche conceptuelle », dans I. Simon-Barouh et P-J. Simon, </w:t>
      </w:r>
      <w:r w:rsidRPr="00924B2E">
        <w:rPr>
          <w:i/>
          <w:iCs/>
        </w:rPr>
        <w:t>Les étrangers dans la ville,</w:t>
      </w:r>
      <w:r w:rsidRPr="00CB4F2C">
        <w:t xml:space="preserve"> Paris, L'Ha</w:t>
      </w:r>
      <w:r w:rsidRPr="00CB4F2C">
        <w:t>r</w:t>
      </w:r>
      <w:r w:rsidRPr="00CB4F2C">
        <w:t>mattan, 1990, p</w:t>
      </w:r>
      <w:r>
        <w:t>p</w:t>
      </w:r>
      <w:r w:rsidRPr="00CB4F2C">
        <w:t>. 126-138.</w:t>
      </w:r>
    </w:p>
    <w:p w:rsidR="00B7214C" w:rsidRPr="00CB4F2C" w:rsidRDefault="00B7214C" w:rsidP="00B7214C">
      <w:pPr>
        <w:spacing w:before="120" w:after="120"/>
        <w:jc w:val="both"/>
      </w:pPr>
      <w:r w:rsidRPr="00CB4F2C">
        <w:t>Dompierre, S. et M. Lavallée, « Degré de contact et stress accult</w:t>
      </w:r>
      <w:r w:rsidRPr="00CB4F2C">
        <w:t>u</w:t>
      </w:r>
      <w:r w:rsidRPr="00CB4F2C">
        <w:t xml:space="preserve">ratif dans le processus d'adaptation des réfugiés africains », </w:t>
      </w:r>
      <w:r w:rsidRPr="00924B2E">
        <w:rPr>
          <w:i/>
          <w:iCs/>
        </w:rPr>
        <w:t>Intern</w:t>
      </w:r>
      <w:r w:rsidRPr="00924B2E">
        <w:rPr>
          <w:i/>
          <w:iCs/>
        </w:rPr>
        <w:t>a</w:t>
      </w:r>
      <w:r w:rsidRPr="00924B2E">
        <w:rPr>
          <w:i/>
          <w:iCs/>
        </w:rPr>
        <w:t>tional journal of Psychology,</w:t>
      </w:r>
      <w:r w:rsidRPr="00CB4F2C">
        <w:t xml:space="preserve"> 1990, vol. 25, </w:t>
      </w:r>
      <w:r>
        <w:t>p</w:t>
      </w:r>
      <w:r w:rsidRPr="00CB4F2C">
        <w:t>p. 417-437.</w:t>
      </w:r>
    </w:p>
    <w:p w:rsidR="00B7214C" w:rsidRPr="00CB4F2C" w:rsidRDefault="00B7214C" w:rsidP="00B7214C">
      <w:pPr>
        <w:spacing w:before="120" w:after="120"/>
        <w:jc w:val="both"/>
      </w:pPr>
      <w:r w:rsidRPr="00CB4F2C">
        <w:t xml:space="preserve">Dorais, L.-J., « Religion and refugee adaptation : the Vietnamese in Montréal », </w:t>
      </w:r>
      <w:r w:rsidRPr="00924B2E">
        <w:rPr>
          <w:i/>
          <w:iCs/>
        </w:rPr>
        <w:t>Canadian Ethni</w:t>
      </w:r>
      <w:r>
        <w:rPr>
          <w:i/>
          <w:iCs/>
        </w:rPr>
        <w:t>c</w:t>
      </w:r>
      <w:r w:rsidRPr="00924B2E">
        <w:rPr>
          <w:i/>
          <w:iCs/>
        </w:rPr>
        <w:t xml:space="preserve"> Studies - Études Ethniques au Can</w:t>
      </w:r>
      <w:r w:rsidRPr="00924B2E">
        <w:rPr>
          <w:i/>
          <w:iCs/>
        </w:rPr>
        <w:t>a</w:t>
      </w:r>
      <w:r w:rsidRPr="00924B2E">
        <w:rPr>
          <w:i/>
          <w:iCs/>
        </w:rPr>
        <w:t>da,</w:t>
      </w:r>
      <w:r w:rsidRPr="00CB4F2C">
        <w:t xml:space="preserve"> 1989, vol.</w:t>
      </w:r>
      <w:r>
        <w:t> </w:t>
      </w:r>
      <w:r w:rsidRPr="00CB4F2C">
        <w:t>21, p</w:t>
      </w:r>
      <w:r>
        <w:t>p</w:t>
      </w:r>
      <w:r w:rsidRPr="00CB4F2C">
        <w:t>. 19-29.</w:t>
      </w:r>
    </w:p>
    <w:p w:rsidR="00B7214C" w:rsidRPr="00CB4F2C" w:rsidRDefault="00B7214C" w:rsidP="00B7214C">
      <w:pPr>
        <w:spacing w:before="120" w:after="120"/>
        <w:jc w:val="both"/>
      </w:pPr>
      <w:r w:rsidRPr="00CB4F2C">
        <w:t xml:space="preserve">Dorais, L.-J., « Froide solitude et neige paisible : Les Indochinois à Québec », dans K. Bun Chan et L.-J. Dorais (dir.). </w:t>
      </w:r>
      <w:r w:rsidRPr="00924B2E">
        <w:rPr>
          <w:i/>
          <w:iCs/>
        </w:rPr>
        <w:t>Adaptation lingui</w:t>
      </w:r>
      <w:r w:rsidRPr="00924B2E">
        <w:rPr>
          <w:i/>
          <w:iCs/>
        </w:rPr>
        <w:t>s</w:t>
      </w:r>
      <w:r w:rsidRPr="00924B2E">
        <w:rPr>
          <w:i/>
          <w:iCs/>
        </w:rPr>
        <w:t>tique et culturelle : L'expérience des réfugiés d'Asie du Sud-Est au Québec,</w:t>
      </w:r>
      <w:r w:rsidRPr="00CB4F2C">
        <w:t xml:space="preserve"> Québec, Centre intern</w:t>
      </w:r>
      <w:r w:rsidRPr="00CB4F2C">
        <w:t>a</w:t>
      </w:r>
      <w:r w:rsidRPr="00CB4F2C">
        <w:t>tional de recherche sur le bilinguisme, 1987, p</w:t>
      </w:r>
      <w:r>
        <w:t>p</w:t>
      </w:r>
      <w:r w:rsidRPr="00CB4F2C">
        <w:t>. 89-117.</w:t>
      </w:r>
    </w:p>
    <w:p w:rsidR="00B7214C" w:rsidRPr="00CB4F2C" w:rsidRDefault="00B7214C" w:rsidP="00B7214C">
      <w:pPr>
        <w:spacing w:before="120" w:after="120"/>
        <w:jc w:val="both"/>
      </w:pPr>
      <w:r w:rsidRPr="00CB4F2C">
        <w:t xml:space="preserve">Dorais, L.J., L. Pilon-Lê, Quy Bong Nguyen, Huy Nguyen et R. Kaley, </w:t>
      </w:r>
      <w:r w:rsidRPr="00924B2E">
        <w:rPr>
          <w:i/>
          <w:iCs/>
        </w:rPr>
        <w:t>Les Vietnamiens du Québec : Profil sociolinguistique,</w:t>
      </w:r>
      <w:r w:rsidRPr="00CB4F2C">
        <w:t xml:space="preserve"> Québec, Université L</w:t>
      </w:r>
      <w:r w:rsidRPr="00CB4F2C">
        <w:t>a</w:t>
      </w:r>
      <w:r w:rsidRPr="00CB4F2C">
        <w:t>val, Centre international de recherche sur le bilinguisme, 1984.</w:t>
      </w:r>
    </w:p>
    <w:p w:rsidR="00B7214C" w:rsidRPr="00CB4F2C" w:rsidRDefault="00B7214C" w:rsidP="00B7214C">
      <w:pPr>
        <w:spacing w:before="120" w:after="120"/>
        <w:jc w:val="both"/>
      </w:pPr>
      <w:r w:rsidRPr="00CB4F2C">
        <w:t xml:space="preserve">Jacob, André G., </w:t>
      </w:r>
      <w:r w:rsidRPr="00924B2E">
        <w:rPr>
          <w:i/>
          <w:iCs/>
        </w:rPr>
        <w:t>Les rapports sociaux d'insertion des réfugiés sa</w:t>
      </w:r>
      <w:r w:rsidRPr="00924B2E">
        <w:rPr>
          <w:i/>
          <w:iCs/>
        </w:rPr>
        <w:t>l</w:t>
      </w:r>
      <w:r w:rsidRPr="00924B2E">
        <w:rPr>
          <w:i/>
          <w:iCs/>
        </w:rPr>
        <w:t>vadoriens et iraniens au Québec,</w:t>
      </w:r>
      <w:r w:rsidRPr="00CB4F2C">
        <w:t xml:space="preserve"> thèse de doctorat en science sociale-sociologie, Université de Paris 1, Paris, 1991.</w:t>
      </w:r>
    </w:p>
    <w:p w:rsidR="00B7214C" w:rsidRPr="00CB4F2C" w:rsidRDefault="00B7214C" w:rsidP="00B7214C">
      <w:pPr>
        <w:spacing w:before="120" w:after="120"/>
        <w:jc w:val="both"/>
      </w:pPr>
      <w:r w:rsidRPr="00CB4F2C">
        <w:t xml:space="preserve">Jacob, A., « Les réfugiés au Québec, du discours à la réalité », </w:t>
      </w:r>
      <w:r w:rsidRPr="00924B2E">
        <w:rPr>
          <w:i/>
          <w:iCs/>
        </w:rPr>
        <w:t>Se</w:t>
      </w:r>
      <w:r w:rsidRPr="00924B2E">
        <w:rPr>
          <w:i/>
          <w:iCs/>
        </w:rPr>
        <w:t>r</w:t>
      </w:r>
      <w:r w:rsidRPr="00924B2E">
        <w:rPr>
          <w:i/>
          <w:iCs/>
        </w:rPr>
        <w:t>vice social,</w:t>
      </w:r>
      <w:r w:rsidRPr="00CB4F2C">
        <w:t xml:space="preserve"> 1991, vol.</w:t>
      </w:r>
      <w:r>
        <w:t> </w:t>
      </w:r>
      <w:r w:rsidRPr="00CB4F2C">
        <w:t>40, n°</w:t>
      </w:r>
      <w:r>
        <w:t> </w:t>
      </w:r>
      <w:r w:rsidRPr="00CB4F2C">
        <w:t>68-81.</w:t>
      </w:r>
    </w:p>
    <w:p w:rsidR="00B7214C" w:rsidRPr="00CB4F2C" w:rsidRDefault="00B7214C" w:rsidP="00B7214C">
      <w:pPr>
        <w:spacing w:before="120" w:after="120"/>
        <w:jc w:val="both"/>
      </w:pPr>
      <w:r w:rsidRPr="00CB4F2C">
        <w:t xml:space="preserve">Jacob, A. et J. Bertot, </w:t>
      </w:r>
      <w:r w:rsidRPr="00924B2E">
        <w:rPr>
          <w:i/>
          <w:iCs/>
        </w:rPr>
        <w:t>Intervenir avec les immigrants et les réf</w:t>
      </w:r>
      <w:r w:rsidRPr="00924B2E">
        <w:rPr>
          <w:i/>
          <w:iCs/>
        </w:rPr>
        <w:t>u</w:t>
      </w:r>
      <w:r w:rsidRPr="00924B2E">
        <w:rPr>
          <w:i/>
          <w:iCs/>
        </w:rPr>
        <w:t>giés,</w:t>
      </w:r>
      <w:r w:rsidRPr="00CB4F2C">
        <w:t xml:space="preserve"> Montréal, Éditions du Méridien, 1991.</w:t>
      </w:r>
    </w:p>
    <w:p w:rsidR="00B7214C" w:rsidRPr="00CB4F2C" w:rsidRDefault="00B7214C" w:rsidP="00B7214C">
      <w:pPr>
        <w:spacing w:before="120" w:after="120"/>
        <w:jc w:val="both"/>
      </w:pPr>
      <w:r w:rsidRPr="00CB4F2C">
        <w:t xml:space="preserve">Jacob, A. et J. Bertot, « Être retraité, immigrant et parrainé ? », </w:t>
      </w:r>
      <w:r w:rsidRPr="00924B2E">
        <w:rPr>
          <w:i/>
          <w:iCs/>
        </w:rPr>
        <w:t xml:space="preserve">Santé mentale au Québec, </w:t>
      </w:r>
      <w:r w:rsidRPr="00CB4F2C">
        <w:t>1988, vol.</w:t>
      </w:r>
      <w:r>
        <w:t> </w:t>
      </w:r>
      <w:r w:rsidRPr="00CB4F2C">
        <w:t>13, p</w:t>
      </w:r>
      <w:r>
        <w:t>p</w:t>
      </w:r>
      <w:r w:rsidRPr="00CB4F2C">
        <w:t>. 150-154.</w:t>
      </w:r>
    </w:p>
    <w:p w:rsidR="00B7214C" w:rsidRPr="00CB4F2C" w:rsidRDefault="00B7214C" w:rsidP="00B7214C">
      <w:pPr>
        <w:spacing w:before="120" w:after="120"/>
        <w:jc w:val="both"/>
      </w:pPr>
      <w:r w:rsidRPr="00CB4F2C">
        <w:t>Lambert, W. et D. M. Taylor, « Language and culture in the lives of immigrants and refugees », dans W.H. Holtzman et T.H. Born</w:t>
      </w:r>
      <w:r w:rsidRPr="00CB4F2C">
        <w:t>e</w:t>
      </w:r>
      <w:r w:rsidRPr="00CB4F2C">
        <w:t xml:space="preserve">mann (dir.). </w:t>
      </w:r>
      <w:r w:rsidRPr="00924B2E">
        <w:rPr>
          <w:i/>
          <w:iCs/>
        </w:rPr>
        <w:t>Mental Health of immigrants and refugees,</w:t>
      </w:r>
      <w:r w:rsidRPr="00CB4F2C">
        <w:t xml:space="preserve"> Austin, The University of Texas, 1990, </w:t>
      </w:r>
      <w:r>
        <w:t>p</w:t>
      </w:r>
      <w:r w:rsidRPr="00CB4F2C">
        <w:t>p. 103-128.</w:t>
      </w:r>
    </w:p>
    <w:p w:rsidR="00B7214C" w:rsidRDefault="00B7214C" w:rsidP="00B7214C">
      <w:pPr>
        <w:spacing w:before="120" w:after="120"/>
        <w:jc w:val="both"/>
      </w:pPr>
      <w:r w:rsidRPr="00CB4F2C">
        <w:t>Tran, T.V., « Sex diff</w:t>
      </w:r>
      <w:r>
        <w:t>e</w:t>
      </w:r>
      <w:r w:rsidRPr="00CB4F2C">
        <w:t>rences in English language acculturation and lea</w:t>
      </w:r>
      <w:r>
        <w:t>rn</w:t>
      </w:r>
      <w:r w:rsidRPr="00CB4F2C">
        <w:t xml:space="preserve">ing strategies among vietnamese adults aged 40 and over in the United States », </w:t>
      </w:r>
      <w:r w:rsidRPr="00924B2E">
        <w:rPr>
          <w:i/>
          <w:iCs/>
        </w:rPr>
        <w:t xml:space="preserve">Sex Roles, </w:t>
      </w:r>
      <w:r w:rsidRPr="00CB4F2C">
        <w:t>1988, vol.</w:t>
      </w:r>
      <w:r>
        <w:t> </w:t>
      </w:r>
      <w:r w:rsidRPr="00CB4F2C">
        <w:t xml:space="preserve">18, </w:t>
      </w:r>
      <w:r>
        <w:t>p</w:t>
      </w:r>
      <w:r w:rsidRPr="00CB4F2C">
        <w:t>p. 747-758.</w:t>
      </w:r>
    </w:p>
    <w:p w:rsidR="00B7214C" w:rsidRDefault="00B7214C" w:rsidP="00B7214C">
      <w:pPr>
        <w:pStyle w:val="p"/>
      </w:pPr>
      <w:r w:rsidRPr="00CB4F2C">
        <w:br w:type="page"/>
      </w:r>
      <w:r>
        <w:t>[181]</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7" w:name="Entre_tradition_pt_1_texte_10"/>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B. ETHNICITÉS CULTURELLES ET INTÉGRATION SOCIALE</w:t>
      </w:r>
    </w:p>
    <w:p w:rsidR="00B7214C" w:rsidRPr="00384B20" w:rsidRDefault="00B7214C" w:rsidP="00B7214C">
      <w:pPr>
        <w:pStyle w:val="Titreniveau1"/>
      </w:pPr>
      <w:r>
        <w:t>10</w:t>
      </w:r>
    </w:p>
    <w:p w:rsidR="00B7214C" w:rsidRDefault="00B7214C" w:rsidP="00B7214C">
      <w:pPr>
        <w:pStyle w:val="Titreniveau2"/>
      </w:pPr>
      <w:r>
        <w:t>“Entre langues d’origine</w:t>
      </w:r>
      <w:r>
        <w:br/>
        <w:t>et langues d’accueil.” </w:t>
      </w:r>
      <w:r>
        <w:rPr>
          <w:rStyle w:val="Appelnotedebasdep"/>
        </w:rPr>
        <w:footnoteReference w:id="55"/>
      </w:r>
    </w:p>
    <w:bookmarkEnd w:id="17"/>
    <w:p w:rsidR="00B7214C" w:rsidRPr="00E07116" w:rsidRDefault="00B7214C" w:rsidP="00B7214C">
      <w:pPr>
        <w:jc w:val="both"/>
        <w:rPr>
          <w:szCs w:val="36"/>
        </w:rPr>
      </w:pPr>
    </w:p>
    <w:p w:rsidR="00B7214C" w:rsidRPr="00E07116" w:rsidRDefault="00B7214C" w:rsidP="00B7214C">
      <w:pPr>
        <w:pStyle w:val="suite"/>
      </w:pPr>
      <w:r>
        <w:t>Par Calvin VELTMAN</w:t>
      </w:r>
    </w:p>
    <w:p w:rsidR="00B7214C" w:rsidRPr="00E07116" w:rsidRDefault="00B7214C" w:rsidP="00B7214C">
      <w:pPr>
        <w:pStyle w:val="auteurst"/>
      </w:pPr>
      <w:r w:rsidRPr="00C57CFF">
        <w:t>Département d'études urbaines, Université du Québec à Mon-tréal</w:t>
      </w:r>
    </w:p>
    <w:p w:rsidR="00B7214C" w:rsidRDefault="00B7214C" w:rsidP="00B7214C">
      <w:pPr>
        <w:spacing w:before="120" w:after="120"/>
        <w:jc w:val="both"/>
      </w:pPr>
    </w:p>
    <w:p w:rsidR="00B7214C" w:rsidRDefault="00B7214C" w:rsidP="00B7214C">
      <w:pPr>
        <w:spacing w:before="120" w:after="120"/>
        <w:jc w:val="both"/>
      </w:pPr>
    </w:p>
    <w:p w:rsidR="00B7214C" w:rsidRPr="00CB4F2C" w:rsidRDefault="00B7214C" w:rsidP="00B7214C">
      <w:pPr>
        <w:pStyle w:val="a"/>
      </w:pPr>
      <w:r w:rsidRPr="00CB4F2C">
        <w:t>PROBLÉMATIQUE</w:t>
      </w:r>
    </w:p>
    <w:p w:rsidR="00B7214C" w:rsidRDefault="00B7214C" w:rsidP="00B7214C">
      <w:pPr>
        <w:spacing w:before="120" w:after="120"/>
        <w:jc w:val="both"/>
        <w:rPr>
          <w:rStyle w:val="Corpsdutexte228ptGrasItalique"/>
        </w:rPr>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rsidRPr="00924B2E">
        <w:t>L</w:t>
      </w:r>
      <w:r w:rsidRPr="00CB4F2C">
        <w:t>'insertion linguistique des immigrants est un problème relativ</w:t>
      </w:r>
      <w:r w:rsidRPr="00CB4F2C">
        <w:t>e</w:t>
      </w:r>
      <w:r w:rsidRPr="00CB4F2C">
        <w:t>ment nouveau pour les chercheurs québécois. Depuis longtemps les chercheurs francophones assistaient à l'anglicisation des populations immigrantes sans toutefois s'intéresser ni au rythme de l'apprentissage des langues ni aux mécanismes de la mobilité linguistique en général ou de transfert linguistique en particulier. L'ouverture de la comm</w:t>
      </w:r>
      <w:r w:rsidRPr="00CB4F2C">
        <w:t>u</w:t>
      </w:r>
      <w:r w:rsidRPr="00CB4F2C">
        <w:t>nauté et des institutions francophones annoncée par la loi 101 prov</w:t>
      </w:r>
      <w:r w:rsidRPr="00CB4F2C">
        <w:t>o</w:t>
      </w:r>
      <w:r w:rsidRPr="00CB4F2C">
        <w:t>que maintenant un vif intérêt chez les chercheurs québécois, d'autant plus que le Gouvernement québécois investit des sommes importantes pour soutenir et pour orienter, sinon contrôler, la recherche dans ce domaine.</w:t>
      </w:r>
    </w:p>
    <w:p w:rsidR="00B7214C" w:rsidRPr="00CB4F2C" w:rsidRDefault="00B7214C" w:rsidP="00B7214C">
      <w:pPr>
        <w:spacing w:before="120" w:after="120"/>
        <w:jc w:val="both"/>
      </w:pPr>
      <w:r w:rsidRPr="00CB4F2C">
        <w:t>Que la communauté francophone soit plus ouverte ou non à cette problématique, du point de vue de l'immigrant, les paramètres ne changent pas beaucoup. Il s'agit de bien s'adapter à la société d'accueil le plus rapidement possible, de trouver un logement, une école pour les enfants, un travail, des connaissances et des amis, de fuir l'isol</w:t>
      </w:r>
      <w:r w:rsidRPr="00CB4F2C">
        <w:t>e</w:t>
      </w:r>
      <w:r w:rsidRPr="00CB4F2C">
        <w:t>ment potentiel de sa nouvelle situation pour établir une identité sati</w:t>
      </w:r>
      <w:r w:rsidRPr="00CB4F2C">
        <w:t>s</w:t>
      </w:r>
      <w:r w:rsidRPr="00CB4F2C">
        <w:t>faisante et évolutive (à mesure que son séjour se prolonge). L'acquis</w:t>
      </w:r>
      <w:r w:rsidRPr="00CB4F2C">
        <w:t>i</w:t>
      </w:r>
      <w:r w:rsidRPr="00CB4F2C">
        <w:t>tion de la (ou d'une) langue d'accueil est souvent vue, du moins à l'origine, comme un instrument de promotion et non pas comme ph</w:t>
      </w:r>
      <w:r w:rsidRPr="00CB4F2C">
        <w:t>é</w:t>
      </w:r>
      <w:r w:rsidRPr="00CB4F2C">
        <w:t>nomène identitaire. Dans la mesure où</w:t>
      </w:r>
      <w:r>
        <w:t xml:space="preserve"> [182] </w:t>
      </w:r>
      <w:r w:rsidRPr="00CB4F2C">
        <w:t>cette langue est récup</w:t>
      </w:r>
      <w:r w:rsidRPr="00CB4F2C">
        <w:t>é</w:t>
      </w:r>
      <w:r w:rsidRPr="00CB4F2C">
        <w:t>rée par l'individu et qu'elle s'étend progre</w:t>
      </w:r>
      <w:r w:rsidRPr="00CB4F2C">
        <w:t>s</w:t>
      </w:r>
      <w:r w:rsidRPr="00CB4F2C">
        <w:t>sivement dans des domaines d'interaction de plus en plus complets, l'individu opère une transfo</w:t>
      </w:r>
      <w:r w:rsidRPr="00CB4F2C">
        <w:t>r</w:t>
      </w:r>
      <w:r w:rsidRPr="00CB4F2C">
        <w:t>mation de son identité, laissant de côté celle de l'origine au profit d'une nouvelle identité mieux adaptée à la réalité de la société d'a</w:t>
      </w:r>
      <w:r w:rsidRPr="00CB4F2C">
        <w:t>c</w:t>
      </w:r>
      <w:r w:rsidRPr="00CB4F2C">
        <w:t>cueil.</w:t>
      </w:r>
    </w:p>
    <w:p w:rsidR="00B7214C" w:rsidRPr="00CB4F2C" w:rsidRDefault="00B7214C" w:rsidP="00B7214C">
      <w:pPr>
        <w:spacing w:before="120" w:after="120"/>
        <w:jc w:val="both"/>
      </w:pPr>
      <w:r w:rsidRPr="00CB4F2C">
        <w:t>Tous les immigrants ne sont pas égaux par rapport au processus d'intégration linguistique. Certains partent avec des avantages, d'autres avec des inconvénients. Ce texte examine l'adaptation de cinq groupes d'immigrants en fonction de la langue maternelle et des connaissances linguistiques au moment de l'arrivée au pays. Il s'agit d'une analyse relativement globale en raison du regroupement de l'ensemble des langues allophones (sauf l'anglais) dans un seul groupe.</w:t>
      </w:r>
    </w:p>
    <w:p w:rsidR="00B7214C" w:rsidRDefault="00B7214C" w:rsidP="00B7214C">
      <w:pPr>
        <w:spacing w:before="120" w:after="120"/>
        <w:jc w:val="both"/>
      </w:pPr>
    </w:p>
    <w:p w:rsidR="00B7214C" w:rsidRPr="00CB4F2C" w:rsidRDefault="00B7214C" w:rsidP="00B7214C">
      <w:pPr>
        <w:pStyle w:val="a"/>
      </w:pPr>
      <w:r w:rsidRPr="00CB4F2C">
        <w:t>SOURCE DES DONNÉES</w:t>
      </w:r>
    </w:p>
    <w:p w:rsidR="00B7214C" w:rsidRDefault="00B7214C" w:rsidP="00B7214C">
      <w:pPr>
        <w:spacing w:before="120" w:after="120"/>
        <w:jc w:val="both"/>
      </w:pPr>
    </w:p>
    <w:p w:rsidR="00B7214C" w:rsidRPr="00CB4F2C" w:rsidRDefault="00B7214C" w:rsidP="00B7214C">
      <w:pPr>
        <w:spacing w:before="120" w:after="120"/>
        <w:jc w:val="both"/>
      </w:pPr>
      <w:r w:rsidRPr="00CB4F2C">
        <w:t>L'échantillon a été tiré de façon aléatoire du fichier administratif du MCCI (IMM-1000) dans l'objectif de représenter le plus fidèl</w:t>
      </w:r>
      <w:r w:rsidRPr="00CB4F2C">
        <w:t>e</w:t>
      </w:r>
      <w:r w:rsidRPr="00CB4F2C">
        <w:t>ment possible la population arrivée et admise au Québec pendant la décennie 1980, en choisissant des échantillons représentatifs pour les cohortes de 1981,</w:t>
      </w:r>
      <w:r>
        <w:t xml:space="preserve"> </w:t>
      </w:r>
      <w:r w:rsidRPr="00CB4F2C">
        <w:t>1983, 1985,</w:t>
      </w:r>
      <w:r>
        <w:t xml:space="preserve"> </w:t>
      </w:r>
      <w:r w:rsidRPr="00CB4F2C">
        <w:t>1987 et 1989. À cet effet, le personnel du MCCI a tiré un échantillon des 13 558 personnes âgées d'au moins 18 ans au moment de l'arrivée au Québec, pour lesquelles la RAMQ a retrouvé 9</w:t>
      </w:r>
      <w:r>
        <w:t> </w:t>
      </w:r>
      <w:r w:rsidRPr="00CB4F2C">
        <w:t>672 adresses. Ces personnes ont été sollicitées en deux ét</w:t>
      </w:r>
      <w:r w:rsidRPr="00CB4F2C">
        <w:t>a</w:t>
      </w:r>
      <w:r w:rsidRPr="00CB4F2C">
        <w:t>pes fort distinctes, tout d'abord par le Ministère afin qu'elles acceptent de participer à l'enquête (2</w:t>
      </w:r>
      <w:r>
        <w:t> </w:t>
      </w:r>
      <w:r w:rsidRPr="00CB4F2C">
        <w:t>750 personnes après un rappel), puis par l'équipe de l'UQAM pour qu'elles complètent le questionnaire (1</w:t>
      </w:r>
      <w:r>
        <w:t> </w:t>
      </w:r>
      <w:r w:rsidRPr="00CB4F2C">
        <w:t>662 personnes dont 1</w:t>
      </w:r>
      <w:r>
        <w:t> </w:t>
      </w:r>
      <w:r w:rsidRPr="00CB4F2C">
        <w:t>456 questionnaires relativement complets). Il s'agit donc d'un échantillon largement autosélectionné, ce qui présente de graves risques de biais et de contamination. Comme plusieurs vari</w:t>
      </w:r>
      <w:r w:rsidRPr="00CB4F2C">
        <w:t>a</w:t>
      </w:r>
      <w:r w:rsidRPr="00CB4F2C">
        <w:t>bles présentent des écarts importants à cet égard (Veltman et Paré, 1993), nous avons appliqué un système de pondération fondé sur le sexe, les connaissances linguistiques à l'origine et le niveau de scolar</w:t>
      </w:r>
      <w:r w:rsidRPr="00CB4F2C">
        <w:t>i</w:t>
      </w:r>
      <w:r w:rsidRPr="00CB4F2C">
        <w:t>té et cela, pour chaque cohorte étudiée dans notre recherche.</w:t>
      </w:r>
    </w:p>
    <w:p w:rsidR="00B7214C" w:rsidRDefault="00B7214C" w:rsidP="00B7214C">
      <w:pPr>
        <w:spacing w:before="120" w:after="120"/>
        <w:jc w:val="both"/>
      </w:pPr>
      <w:r w:rsidRPr="00CB4F2C">
        <w:t>La publication des données partielles du recensement fédéral de 1991</w:t>
      </w:r>
      <w:r>
        <w:t> </w:t>
      </w:r>
      <w:r>
        <w:rPr>
          <w:rStyle w:val="Appelnotedebasdep"/>
        </w:rPr>
        <w:footnoteReference w:id="56"/>
      </w:r>
      <w:r w:rsidRPr="00CB4F2C">
        <w:t xml:space="preserve"> nous permet également d'évaluer sommairement la qualité de notre échantillon allophone. Selon les données fédérales, la comm</w:t>
      </w:r>
      <w:r w:rsidRPr="00CB4F2C">
        <w:t>u</w:t>
      </w:r>
      <w:r w:rsidRPr="00CB4F2C">
        <w:t>nauté francophone aurait obtenu 69</w:t>
      </w:r>
      <w:r>
        <w:t>%</w:t>
      </w:r>
      <w:r w:rsidRPr="00CB4F2C">
        <w:t xml:space="preserve"> des transferts linguistiques en provenance des allophones arrivés entre 1981 et 1985 et 65</w:t>
      </w:r>
      <w:r>
        <w:t>%</w:t>
      </w:r>
      <w:r w:rsidRPr="00CB4F2C">
        <w:t xml:space="preserve"> chez ceux arrivés entre 1986 et 1991. À partir de notre échantillon, il s'agit de 70</w:t>
      </w:r>
      <w:r>
        <w:t>%</w:t>
      </w:r>
      <w:r w:rsidRPr="00CB4F2C">
        <w:t xml:space="preserve"> et 78</w:t>
      </w:r>
      <w:r>
        <w:t>%</w:t>
      </w:r>
      <w:r w:rsidRPr="00CB4F2C">
        <w:t xml:space="preserve"> respectivement. De toute évidence, notre échantillon pour les années 1987 et 1989 est quelque peu plus francophile que celui retenu par Statistique Canada, bien que sur le plan de la langue d'amitié et de quartier, le nôtre ressemble davantage aux données off</w:t>
      </w:r>
      <w:r w:rsidRPr="00CB4F2C">
        <w:t>i</w:t>
      </w:r>
      <w:r w:rsidRPr="00CB4F2C">
        <w:t>cielles.</w:t>
      </w:r>
    </w:p>
    <w:p w:rsidR="00B7214C" w:rsidRPr="00CB4F2C" w:rsidRDefault="00B7214C" w:rsidP="00B7214C">
      <w:pPr>
        <w:spacing w:before="120" w:after="120"/>
        <w:jc w:val="both"/>
      </w:pPr>
      <w:r>
        <w:t>[183]</w:t>
      </w:r>
    </w:p>
    <w:p w:rsidR="00B7214C" w:rsidRPr="00CB4F2C" w:rsidRDefault="00B7214C" w:rsidP="00B7214C">
      <w:pPr>
        <w:spacing w:before="120" w:after="120"/>
        <w:jc w:val="both"/>
      </w:pPr>
      <w:r w:rsidRPr="00CB4F2C">
        <w:t>Pour les fins de la présente analyse, nous avons sélectionné cinq sous-échantillons non francophones de l'immigration internationale selon la langue maternelle et la capacité (ou l'incapacité) de parler le français et l'anglais</w:t>
      </w:r>
      <w:r>
        <w:t> </w:t>
      </w:r>
      <w:r>
        <w:rPr>
          <w:rStyle w:val="Appelnotedebasdep"/>
        </w:rPr>
        <w:footnoteReference w:id="57"/>
      </w:r>
      <w:r w:rsidRPr="00CB4F2C">
        <w:t xml:space="preserve"> au moment de l'établissement au Québec. En plus de quatre groupes d'allophones, les allophones unilingues lors de l'établissement a</w:t>
      </w:r>
      <w:r>
        <w:t>u Québec (446 personnes), les all</w:t>
      </w:r>
      <w:r w:rsidRPr="00CB4F2C">
        <w:t>ophones français (qui parlaient bien ou très bien le français au moment de l'arrivée, 210 personnes), les allophones anglais (242 personnes) et les allophones bilingues en français et en anglais (200 personnes), nous avons ég</w:t>
      </w:r>
      <w:r w:rsidRPr="00CB4F2C">
        <w:t>a</w:t>
      </w:r>
      <w:r w:rsidRPr="00CB4F2C">
        <w:t>lement retenu les immigrants anglophones qui ne parlaient pas le fra</w:t>
      </w:r>
      <w:r w:rsidRPr="00CB4F2C">
        <w:t>n</w:t>
      </w:r>
      <w:r w:rsidRPr="00CB4F2C">
        <w:t>çais au moment de l'établissement au Québec (104 personnes).</w:t>
      </w:r>
    </w:p>
    <w:p w:rsidR="00B7214C" w:rsidRDefault="00B7214C" w:rsidP="00B7214C">
      <w:pPr>
        <w:spacing w:before="120" w:after="120"/>
        <w:jc w:val="both"/>
      </w:pPr>
    </w:p>
    <w:p w:rsidR="00B7214C" w:rsidRPr="00CB4F2C" w:rsidRDefault="00B7214C" w:rsidP="00B7214C">
      <w:pPr>
        <w:pStyle w:val="a"/>
      </w:pPr>
      <w:r w:rsidRPr="00CB4F2C">
        <w:t>RÉSULTATS</w:t>
      </w:r>
    </w:p>
    <w:p w:rsidR="00B7214C" w:rsidRDefault="00B7214C" w:rsidP="00B7214C">
      <w:pPr>
        <w:spacing w:before="120" w:after="120"/>
        <w:jc w:val="both"/>
      </w:pPr>
    </w:p>
    <w:p w:rsidR="00B7214C" w:rsidRPr="00CB4F2C" w:rsidRDefault="00B7214C" w:rsidP="00B7214C">
      <w:pPr>
        <w:spacing w:before="120" w:after="120"/>
        <w:jc w:val="both"/>
      </w:pPr>
      <w:r w:rsidRPr="00CB4F2C">
        <w:t>De manière générale, il y a une hiérarchisation de l'apprentissage et de la pratique linguistique. Evidemment, l'apprentissage linguistique contribue à la maîtrise d'une langue et précède sa mise en pratique. Celle-ci varie selon l'intimité du contexte, ce qui est en partie déterm</w:t>
      </w:r>
      <w:r w:rsidRPr="00CB4F2C">
        <w:t>i</w:t>
      </w:r>
      <w:r>
        <w:t>né pa</w:t>
      </w:r>
      <w:r w:rsidRPr="00CB4F2C">
        <w:t>r la compétence linguistique des autres personnes présentes. À titre d'exemple, il est attendu que tous les membres d'une famille comprennent la même langue, et même qu'ils la parlent. Dans l'intim</w:t>
      </w:r>
      <w:r w:rsidRPr="00CB4F2C">
        <w:t>i</w:t>
      </w:r>
      <w:r w:rsidRPr="00CB4F2C">
        <w:t>té du foyer, les langues d'origine ont donc une plus grande préséance qu'en dehors de la maison. Cependant, les immigrants peuvent to</w:t>
      </w:r>
      <w:r w:rsidRPr="00CB4F2C">
        <w:t>u</w:t>
      </w:r>
      <w:r w:rsidRPr="00CB4F2C">
        <w:t>jours choisir des amis qui parlent la langue de leur groupe, ce qui ne se fait plus dans les situations où l'immigrant ne peut contrôler son environnement, par exemple, lorsqu'il entre en contact avec les vo</w:t>
      </w:r>
      <w:r w:rsidRPr="00CB4F2C">
        <w:t>i</w:t>
      </w:r>
      <w:r w:rsidRPr="00CB4F2C">
        <w:t>sins. On s'attend donc, de manière générale, à la régression des la</w:t>
      </w:r>
      <w:r w:rsidRPr="00CB4F2C">
        <w:t>n</w:t>
      </w:r>
      <w:r w:rsidRPr="00CB4F2C">
        <w:t>gues non francophones dans ce contexte.</w:t>
      </w:r>
    </w:p>
    <w:p w:rsidR="00B7214C" w:rsidRDefault="00B7214C" w:rsidP="00B7214C">
      <w:pPr>
        <w:spacing w:before="120" w:after="120"/>
        <w:jc w:val="both"/>
      </w:pPr>
    </w:p>
    <w:p w:rsidR="00B7214C" w:rsidRPr="00EE3822" w:rsidRDefault="00B7214C" w:rsidP="00B7214C">
      <w:pPr>
        <w:pStyle w:val="b"/>
      </w:pPr>
      <w:r w:rsidRPr="00EE3822">
        <w:t>Les apprentissage</w:t>
      </w:r>
      <w:r>
        <w:t>s linguistiques</w:t>
      </w:r>
      <w:r>
        <w:br/>
      </w:r>
      <w:r w:rsidRPr="00EE3822">
        <w:t>depuis l'arrivée au pays</w:t>
      </w:r>
    </w:p>
    <w:p w:rsidR="00B7214C" w:rsidRDefault="00B7214C" w:rsidP="00B7214C">
      <w:pPr>
        <w:spacing w:before="120" w:after="120"/>
        <w:jc w:val="both"/>
      </w:pPr>
    </w:p>
    <w:p w:rsidR="00B7214C" w:rsidRDefault="00B7214C" w:rsidP="00B7214C">
      <w:pPr>
        <w:spacing w:before="120" w:after="120"/>
        <w:jc w:val="both"/>
      </w:pPr>
      <w:r w:rsidRPr="00CB4F2C">
        <w:t>L'analyse des résultats montre que les immigrants font d'importants investissements dans le but d'acquérir en priorité le français (pour ceux qui ne le connaissent pas), mais également pour apprendre l'a</w:t>
      </w:r>
      <w:r w:rsidRPr="00CB4F2C">
        <w:t>n</w:t>
      </w:r>
      <w:r w:rsidRPr="00CB4F2C">
        <w:t>glais, encore selon leur connaissance préalable de cette langue. Par exemple, les immigrants anglophones n'ont rien fait pour améliorer leur connaissance de l'anglais ; seulement 10</w:t>
      </w:r>
      <w:r>
        <w:t>%</w:t>
      </w:r>
      <w:r w:rsidRPr="00CB4F2C">
        <w:t xml:space="preserve"> des immigrants all</w:t>
      </w:r>
      <w:r w:rsidRPr="00CB4F2C">
        <w:t>o</w:t>
      </w:r>
      <w:r w:rsidRPr="00CB4F2C">
        <w:t>phones anglais n'ont rien fait pour améliorer leur français contre env</w:t>
      </w:r>
      <w:r w:rsidRPr="00CB4F2C">
        <w:t>i</w:t>
      </w:r>
      <w:r w:rsidRPr="00CB4F2C">
        <w:t>ron la moitié par rapport à l'anglais. Dans les deux cas, environ 60</w:t>
      </w:r>
      <w:r>
        <w:t>%</w:t>
      </w:r>
      <w:r w:rsidRPr="00CB4F2C">
        <w:t xml:space="preserve"> ont suivi des cours d'apprentissage du français, les anglophones moins souvent dans des COFI que les allophones anglais. De façon similaire, les immigrants allophones français ont consacré des efforts plus i</w:t>
      </w:r>
      <w:r w:rsidRPr="00CB4F2C">
        <w:t>m</w:t>
      </w:r>
      <w:r w:rsidRPr="00CB4F2C">
        <w:t>portants pour acquérir l'anglais, du moins en termes de cours formels, que pour améliorer leur français.</w:t>
      </w:r>
    </w:p>
    <w:p w:rsidR="00B7214C" w:rsidRPr="00CB4F2C" w:rsidRDefault="00B7214C" w:rsidP="00B7214C">
      <w:pPr>
        <w:spacing w:before="120" w:after="120"/>
        <w:jc w:val="both"/>
      </w:pPr>
      <w:r>
        <w:t>[184]</w:t>
      </w:r>
    </w:p>
    <w:p w:rsidR="00B7214C" w:rsidRPr="00CB4F2C" w:rsidRDefault="00B7214C" w:rsidP="00B7214C">
      <w:pPr>
        <w:spacing w:before="120" w:after="120"/>
        <w:jc w:val="both"/>
      </w:pPr>
      <w:r w:rsidRPr="00CB4F2C">
        <w:t>Évidemment, les deux groupes les plus opposés en termes de connaissance préalable des deux langues sont les allophones unili</w:t>
      </w:r>
      <w:r w:rsidRPr="00CB4F2C">
        <w:t>n</w:t>
      </w:r>
      <w:r w:rsidRPr="00CB4F2C">
        <w:t>gues et les allophones déjà bilingues en français et en anglais à l'arr</w:t>
      </w:r>
      <w:r w:rsidRPr="00CB4F2C">
        <w:t>i</w:t>
      </w:r>
      <w:r w:rsidRPr="00CB4F2C">
        <w:t>vée au pays. La très grande majorité du dernier groupe n'a rien fait pour améliorer ses connaissances linguistiques alors que dans le gro</w:t>
      </w:r>
      <w:r w:rsidRPr="00CB4F2C">
        <w:t>u</w:t>
      </w:r>
      <w:r w:rsidRPr="00CB4F2C">
        <w:t>pe allophone unilingue, environ les trois-quarts ont fait des efforts soutenus pour apprendre le français contre un peu plus de la moitié pour l'anglais.</w:t>
      </w:r>
    </w:p>
    <w:p w:rsidR="00B7214C" w:rsidRDefault="00B7214C" w:rsidP="00B7214C">
      <w:pPr>
        <w:spacing w:before="120" w:after="120"/>
        <w:jc w:val="both"/>
      </w:pPr>
      <w:r w:rsidRPr="00CB4F2C">
        <w:t>Nous concluons que l'effort d'apprentissage linguistique va en pri</w:t>
      </w:r>
      <w:r w:rsidRPr="00CB4F2C">
        <w:t>o</w:t>
      </w:r>
      <w:r w:rsidRPr="00CB4F2C">
        <w:t>rité vers le français et cela, dans tous les groupes. Lorsque le français est acquis, les immigrants se tournent vers la maîtrise de l'anglais.</w:t>
      </w:r>
    </w:p>
    <w:p w:rsidR="00B7214C" w:rsidRPr="00CB4F2C" w:rsidRDefault="00B7214C" w:rsidP="00B7214C">
      <w:pPr>
        <w:spacing w:before="120" w:after="120"/>
        <w:jc w:val="both"/>
      </w:pPr>
    </w:p>
    <w:p w:rsidR="00B7214C" w:rsidRPr="00EE3822" w:rsidRDefault="00B7214C" w:rsidP="00B7214C">
      <w:pPr>
        <w:pStyle w:val="b"/>
      </w:pPr>
      <w:r w:rsidRPr="00EE3822">
        <w:t>L'emploi des langues à la maison</w:t>
      </w:r>
    </w:p>
    <w:p w:rsidR="00B7214C" w:rsidRDefault="00B7214C" w:rsidP="00B7214C">
      <w:pPr>
        <w:spacing w:before="120" w:after="120"/>
        <w:jc w:val="both"/>
      </w:pPr>
    </w:p>
    <w:p w:rsidR="00B7214C" w:rsidRPr="00CB4F2C" w:rsidRDefault="00B7214C" w:rsidP="00B7214C">
      <w:pPr>
        <w:spacing w:before="120" w:after="120"/>
        <w:jc w:val="both"/>
      </w:pPr>
      <w:r w:rsidRPr="00CB4F2C">
        <w:t>Les tableaux 1 à 5 présentent l'emploi relatif du français, de l'a</w:t>
      </w:r>
      <w:r w:rsidRPr="00CB4F2C">
        <w:t>n</w:t>
      </w:r>
      <w:r w:rsidRPr="00CB4F2C">
        <w:t>glais et de la principale langue allophone au sein du foyer. Les répo</w:t>
      </w:r>
      <w:r w:rsidRPr="00CB4F2C">
        <w:t>n</w:t>
      </w:r>
      <w:r w:rsidRPr="00CB4F2C">
        <w:t>dants qui ont déclaré connaître une langue allophone ont dû répondre à la question suivante :</w:t>
      </w:r>
    </w:p>
    <w:p w:rsidR="00B7214C" w:rsidRDefault="00B7214C" w:rsidP="00B7214C">
      <w:pPr>
        <w:pStyle w:val="Grillecouleur-Accent1"/>
      </w:pPr>
    </w:p>
    <w:p w:rsidR="00B7214C" w:rsidRDefault="00B7214C" w:rsidP="00B7214C">
      <w:pPr>
        <w:pStyle w:val="Grillecouleur-Accent1"/>
      </w:pPr>
      <w:r w:rsidRPr="00CB4F2C">
        <w:t>« Parlez-vous cette langue à la maison ? » Les réponses suivantes ont été fournies : « exclusivement », « souvent », « parfois » et « jamais ».</w:t>
      </w:r>
    </w:p>
    <w:p w:rsidR="00B7214C" w:rsidRPr="00CB4F2C" w:rsidRDefault="00B7214C" w:rsidP="00B7214C">
      <w:pPr>
        <w:pStyle w:val="Grillecouleur-Accent1"/>
      </w:pPr>
    </w:p>
    <w:p w:rsidR="00B7214C" w:rsidRPr="00CB4F2C" w:rsidRDefault="00B7214C" w:rsidP="00B7214C">
      <w:pPr>
        <w:spacing w:before="120" w:after="120"/>
        <w:jc w:val="both"/>
      </w:pPr>
      <w:r w:rsidRPr="00CB4F2C">
        <w:t>Les personnes qui font état d'un certain bilinguisme au foyer ont dû répondre à une interrogation similaire concernant l'emploi du français et de l'anglais.</w:t>
      </w:r>
    </w:p>
    <w:p w:rsidR="00B7214C" w:rsidRDefault="00B7214C" w:rsidP="00B7214C">
      <w:pPr>
        <w:pStyle w:val="Grillecouleur-Accent1"/>
      </w:pPr>
    </w:p>
    <w:p w:rsidR="00B7214C" w:rsidRPr="00CB4F2C" w:rsidRDefault="00B7214C" w:rsidP="00B7214C">
      <w:pPr>
        <w:pStyle w:val="Grillecouleur-Accent1"/>
      </w:pPr>
      <w:r w:rsidRPr="00CB4F2C">
        <w:t>« Parlez-vous le français à la maison ? » et « Parlez-vous l'anglais à la maison ? »</w:t>
      </w:r>
    </w:p>
    <w:p w:rsidR="00B7214C" w:rsidRPr="00CB4F2C" w:rsidRDefault="00B7214C" w:rsidP="00B7214C">
      <w:pPr>
        <w:spacing w:before="120" w:after="120"/>
        <w:jc w:val="both"/>
        <w:rPr>
          <w:szCs w:val="2"/>
        </w:rPr>
      </w:pPr>
      <w:r>
        <w:br w:type="page"/>
      </w:r>
    </w:p>
    <w:p w:rsidR="00B7214C" w:rsidRPr="00CB4F2C" w:rsidRDefault="00B7214C" w:rsidP="00B7214C">
      <w:pPr>
        <w:pStyle w:val="figtitre"/>
      </w:pPr>
      <w:r w:rsidRPr="00CB4F2C">
        <w:t>TABLEAU 1</w:t>
      </w:r>
    </w:p>
    <w:p w:rsidR="00B7214C" w:rsidRPr="00191259" w:rsidRDefault="00B7214C" w:rsidP="00B7214C">
      <w:pPr>
        <w:pStyle w:val="figtitre"/>
      </w:pPr>
      <w:r w:rsidRPr="00191259">
        <w:t xml:space="preserve">Fréquence d'utilisation des langues à la maison, </w:t>
      </w:r>
      <w:r>
        <w:br/>
      </w:r>
      <w:r w:rsidRPr="00191259">
        <w:t>immigrants anglophones un</w:t>
      </w:r>
      <w:r w:rsidRPr="00191259">
        <w:t>i</w:t>
      </w:r>
      <w:r w:rsidRPr="00191259">
        <w:t>lingues, Québec, 1991</w:t>
      </w:r>
    </w:p>
    <w:tbl>
      <w:tblPr>
        <w:tblOverlap w:val="never"/>
        <w:tblW w:w="0" w:type="auto"/>
        <w:tblLayout w:type="fixed"/>
        <w:tblCellMar>
          <w:left w:w="10" w:type="dxa"/>
          <w:right w:w="10" w:type="dxa"/>
        </w:tblCellMar>
        <w:tblLook w:val="04A0" w:firstRow="1" w:lastRow="0" w:firstColumn="1" w:lastColumn="0" w:noHBand="0" w:noVBand="1"/>
      </w:tblPr>
      <w:tblGrid>
        <w:gridCol w:w="2710"/>
        <w:gridCol w:w="1484"/>
        <w:gridCol w:w="1695"/>
        <w:gridCol w:w="2041"/>
      </w:tblGrid>
      <w:tr w:rsidR="00B7214C" w:rsidRPr="00EE3822">
        <w:tblPrEx>
          <w:tblCellMar>
            <w:top w:w="0" w:type="dxa"/>
            <w:bottom w:w="0" w:type="dxa"/>
          </w:tblCellMar>
        </w:tblPrEx>
        <w:tc>
          <w:tcPr>
            <w:tcW w:w="2710" w:type="dxa"/>
            <w:vMerge w:val="restart"/>
            <w:tcBorders>
              <w:top w:val="single" w:sz="4" w:space="0" w:color="auto"/>
            </w:tcBorders>
            <w:shd w:val="clear" w:color="auto" w:fill="EDEAD1"/>
            <w:vAlign w:val="bottom"/>
          </w:tcPr>
          <w:p w:rsidR="00B7214C" w:rsidRPr="00EE3822" w:rsidRDefault="00B7214C" w:rsidP="00B7214C">
            <w:pPr>
              <w:spacing w:before="120" w:after="120"/>
              <w:ind w:left="180" w:firstLine="0"/>
              <w:jc w:val="both"/>
              <w:rPr>
                <w:sz w:val="24"/>
              </w:rPr>
            </w:pPr>
            <w:r w:rsidRPr="00EE3822">
              <w:rPr>
                <w:bCs/>
                <w:sz w:val="24"/>
              </w:rPr>
              <w:t>Fréquence</w:t>
            </w:r>
            <w:r>
              <w:rPr>
                <w:bCs/>
                <w:sz w:val="24"/>
              </w:rPr>
              <w:t xml:space="preserve"> </w:t>
            </w:r>
            <w:r w:rsidRPr="00EE3822">
              <w:rPr>
                <w:bCs/>
                <w:sz w:val="24"/>
              </w:rPr>
              <w:t>d'utilisation</w:t>
            </w:r>
          </w:p>
        </w:tc>
        <w:tc>
          <w:tcPr>
            <w:tcW w:w="5220" w:type="dxa"/>
            <w:gridSpan w:val="3"/>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Langues pa</w:t>
            </w:r>
            <w:r w:rsidRPr="00EE3822">
              <w:rPr>
                <w:bCs/>
                <w:sz w:val="24"/>
              </w:rPr>
              <w:t>r</w:t>
            </w:r>
            <w:r w:rsidRPr="00EE3822">
              <w:rPr>
                <w:bCs/>
                <w:sz w:val="24"/>
              </w:rPr>
              <w:t>lées</w:t>
            </w:r>
          </w:p>
        </w:tc>
      </w:tr>
      <w:tr w:rsidR="00B7214C" w:rsidRPr="00EE3822">
        <w:tblPrEx>
          <w:tblCellMar>
            <w:top w:w="0" w:type="dxa"/>
            <w:bottom w:w="0" w:type="dxa"/>
          </w:tblCellMar>
        </w:tblPrEx>
        <w:tc>
          <w:tcPr>
            <w:tcW w:w="2710" w:type="dxa"/>
            <w:vMerge/>
            <w:shd w:val="clear" w:color="auto" w:fill="EDEAD1"/>
            <w:vAlign w:val="bottom"/>
          </w:tcPr>
          <w:p w:rsidR="00B7214C" w:rsidRPr="00EE3822" w:rsidRDefault="00B7214C" w:rsidP="00B7214C">
            <w:pPr>
              <w:spacing w:before="120" w:after="120"/>
              <w:ind w:left="180" w:firstLine="0"/>
              <w:jc w:val="both"/>
              <w:rPr>
                <w:sz w:val="24"/>
              </w:rPr>
            </w:pPr>
          </w:p>
        </w:tc>
        <w:tc>
          <w:tcPr>
            <w:tcW w:w="1484"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Français</w:t>
            </w:r>
          </w:p>
        </w:tc>
        <w:tc>
          <w:tcPr>
            <w:tcW w:w="1695"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Anglais</w:t>
            </w:r>
          </w:p>
        </w:tc>
        <w:tc>
          <w:tcPr>
            <w:tcW w:w="2041"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Alloph</w:t>
            </w:r>
            <w:r w:rsidRPr="00EE3822">
              <w:rPr>
                <w:bCs/>
                <w:sz w:val="24"/>
              </w:rPr>
              <w:t>o</w:t>
            </w:r>
            <w:r w:rsidRPr="00EE3822">
              <w:rPr>
                <w:bCs/>
                <w:sz w:val="24"/>
              </w:rPr>
              <w:t>ne</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jc w:val="both"/>
              <w:rPr>
                <w:sz w:val="24"/>
              </w:rPr>
            </w:pPr>
            <w:r w:rsidRPr="00EE3822">
              <w:rPr>
                <w:sz w:val="24"/>
              </w:rPr>
              <w:t>Exclusiv</w:t>
            </w:r>
            <w:r w:rsidRPr="00EE3822">
              <w:rPr>
                <w:sz w:val="24"/>
              </w:rPr>
              <w:t>e</w:t>
            </w:r>
            <w:r w:rsidRPr="00EE3822">
              <w:rPr>
                <w:sz w:val="24"/>
              </w:rPr>
              <w:t>ment</w:t>
            </w:r>
          </w:p>
        </w:tc>
        <w:tc>
          <w:tcPr>
            <w:tcW w:w="1484"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2,9%</w:t>
            </w:r>
          </w:p>
        </w:tc>
        <w:tc>
          <w:tcPr>
            <w:tcW w:w="1695"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57,2%</w:t>
            </w:r>
          </w:p>
        </w:tc>
        <w:tc>
          <w:tcPr>
            <w:tcW w:w="2041"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2,8%</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Souvent</w:t>
            </w:r>
          </w:p>
        </w:tc>
        <w:tc>
          <w:tcPr>
            <w:tcW w:w="1484"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15,4</w:t>
            </w:r>
          </w:p>
        </w:tc>
        <w:tc>
          <w:tcPr>
            <w:tcW w:w="1695"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32,0</w:t>
            </w:r>
          </w:p>
        </w:tc>
        <w:tc>
          <w:tcPr>
            <w:tcW w:w="2041"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1,5</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Parfois</w:t>
            </w:r>
          </w:p>
        </w:tc>
        <w:tc>
          <w:tcPr>
            <w:tcW w:w="1484"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29,3</w:t>
            </w:r>
          </w:p>
        </w:tc>
        <w:tc>
          <w:tcPr>
            <w:tcW w:w="1695"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5,7</w:t>
            </w:r>
          </w:p>
        </w:tc>
        <w:tc>
          <w:tcPr>
            <w:tcW w:w="2041"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5,8</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Jamais</w:t>
            </w:r>
          </w:p>
        </w:tc>
        <w:tc>
          <w:tcPr>
            <w:tcW w:w="1484"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52,4</w:t>
            </w:r>
          </w:p>
        </w:tc>
        <w:tc>
          <w:tcPr>
            <w:tcW w:w="1695"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5,1</w:t>
            </w:r>
          </w:p>
        </w:tc>
        <w:tc>
          <w:tcPr>
            <w:tcW w:w="2041" w:type="dxa"/>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89,9</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jc w:val="both"/>
              <w:rPr>
                <w:sz w:val="24"/>
              </w:rPr>
            </w:pPr>
            <w:r w:rsidRPr="00EE3822">
              <w:rPr>
                <w:bCs/>
                <w:sz w:val="24"/>
              </w:rPr>
              <w:t>Total</w:t>
            </w:r>
          </w:p>
        </w:tc>
        <w:tc>
          <w:tcPr>
            <w:tcW w:w="1484"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100,0%</w:t>
            </w:r>
          </w:p>
        </w:tc>
        <w:tc>
          <w:tcPr>
            <w:tcW w:w="1695"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100,0%</w:t>
            </w:r>
          </w:p>
        </w:tc>
        <w:tc>
          <w:tcPr>
            <w:tcW w:w="2041" w:type="dxa"/>
            <w:tcBorders>
              <w:top w:val="single" w:sz="4" w:space="0" w:color="auto"/>
            </w:tcBorders>
            <w:shd w:val="clear" w:color="auto" w:fill="FFFFFF"/>
            <w:vAlign w:val="bottom"/>
          </w:tcPr>
          <w:p w:rsidR="00B7214C" w:rsidRPr="00EE3822" w:rsidRDefault="00B7214C" w:rsidP="00B7214C">
            <w:pPr>
              <w:tabs>
                <w:tab w:val="decimal" w:pos="710"/>
              </w:tabs>
              <w:spacing w:before="60" w:after="60"/>
              <w:ind w:firstLine="0"/>
              <w:jc w:val="both"/>
              <w:rPr>
                <w:sz w:val="24"/>
              </w:rPr>
            </w:pPr>
            <w:r w:rsidRPr="00EE3822">
              <w:rPr>
                <w:sz w:val="24"/>
              </w:rPr>
              <w:t>100,0%</w:t>
            </w:r>
          </w:p>
        </w:tc>
      </w:tr>
      <w:tr w:rsidR="00B7214C" w:rsidRPr="00EE3822">
        <w:tblPrEx>
          <w:tblCellMar>
            <w:top w:w="0" w:type="dxa"/>
            <w:bottom w:w="0" w:type="dxa"/>
          </w:tblCellMar>
        </w:tblPrEx>
        <w:tc>
          <w:tcPr>
            <w:tcW w:w="2710" w:type="dxa"/>
            <w:tcBorders>
              <w:bottom w:val="single" w:sz="4" w:space="0" w:color="auto"/>
            </w:tcBorders>
            <w:shd w:val="clear" w:color="auto" w:fill="FFFFFF"/>
          </w:tcPr>
          <w:p w:rsidR="00B7214C" w:rsidRPr="00EE3822" w:rsidRDefault="00B7214C" w:rsidP="00B7214C">
            <w:pPr>
              <w:spacing w:before="120" w:after="120"/>
              <w:ind w:left="180" w:firstLine="0"/>
              <w:jc w:val="both"/>
              <w:rPr>
                <w:sz w:val="24"/>
              </w:rPr>
            </w:pPr>
            <w:r w:rsidRPr="00EE3822">
              <w:rPr>
                <w:bCs/>
                <w:sz w:val="24"/>
              </w:rPr>
              <w:t>(N)</w:t>
            </w:r>
          </w:p>
        </w:tc>
        <w:tc>
          <w:tcPr>
            <w:tcW w:w="1484" w:type="dxa"/>
            <w:tcBorders>
              <w:bottom w:val="single" w:sz="4" w:space="0" w:color="auto"/>
            </w:tcBorders>
            <w:shd w:val="clear" w:color="auto" w:fill="FFFFFF"/>
          </w:tcPr>
          <w:p w:rsidR="00B7214C" w:rsidRPr="00EE3822" w:rsidRDefault="00B7214C" w:rsidP="00B7214C">
            <w:pPr>
              <w:spacing w:before="120" w:after="120"/>
              <w:ind w:firstLine="0"/>
              <w:jc w:val="center"/>
              <w:rPr>
                <w:sz w:val="24"/>
              </w:rPr>
            </w:pPr>
            <w:r w:rsidRPr="00EE3822">
              <w:rPr>
                <w:sz w:val="24"/>
              </w:rPr>
              <w:t>(105)</w:t>
            </w:r>
          </w:p>
        </w:tc>
        <w:tc>
          <w:tcPr>
            <w:tcW w:w="1695" w:type="dxa"/>
            <w:tcBorders>
              <w:bottom w:val="single" w:sz="4" w:space="0" w:color="auto"/>
            </w:tcBorders>
            <w:shd w:val="clear" w:color="auto" w:fill="FFFFFF"/>
          </w:tcPr>
          <w:p w:rsidR="00B7214C" w:rsidRPr="00EE3822" w:rsidRDefault="00B7214C" w:rsidP="00B7214C">
            <w:pPr>
              <w:spacing w:before="120" w:after="120"/>
              <w:ind w:firstLine="0"/>
              <w:jc w:val="center"/>
              <w:rPr>
                <w:sz w:val="24"/>
              </w:rPr>
            </w:pPr>
            <w:r w:rsidRPr="00EE3822">
              <w:rPr>
                <w:sz w:val="24"/>
              </w:rPr>
              <w:t>(105)</w:t>
            </w:r>
          </w:p>
        </w:tc>
        <w:tc>
          <w:tcPr>
            <w:tcW w:w="2041" w:type="dxa"/>
            <w:tcBorders>
              <w:bottom w:val="single" w:sz="4" w:space="0" w:color="auto"/>
            </w:tcBorders>
            <w:shd w:val="clear" w:color="auto" w:fill="FFFFFF"/>
          </w:tcPr>
          <w:p w:rsidR="00B7214C" w:rsidRPr="00EE3822" w:rsidRDefault="00B7214C" w:rsidP="00B7214C">
            <w:pPr>
              <w:spacing w:before="120" w:after="120"/>
              <w:ind w:firstLine="0"/>
              <w:jc w:val="center"/>
              <w:rPr>
                <w:sz w:val="24"/>
              </w:rPr>
            </w:pPr>
            <w:r w:rsidRPr="00EE3822">
              <w:rPr>
                <w:sz w:val="24"/>
              </w:rPr>
              <w:t>(104)</w:t>
            </w:r>
          </w:p>
        </w:tc>
      </w:tr>
    </w:tbl>
    <w:p w:rsidR="00B7214C" w:rsidRPr="00EE3822" w:rsidRDefault="00B7214C" w:rsidP="00B7214C">
      <w:pPr>
        <w:spacing w:before="120" w:after="120"/>
        <w:jc w:val="both"/>
        <w:rPr>
          <w:sz w:val="24"/>
        </w:rPr>
      </w:pPr>
      <w:r w:rsidRPr="00EE3822">
        <w:rPr>
          <w:sz w:val="24"/>
        </w:rPr>
        <w:t>Source : Enquête ALI, 1991</w:t>
      </w:r>
    </w:p>
    <w:p w:rsidR="00B7214C" w:rsidRPr="00CB4F2C" w:rsidRDefault="00B7214C" w:rsidP="00B7214C">
      <w:pPr>
        <w:spacing w:before="120" w:after="120"/>
        <w:jc w:val="both"/>
        <w:rPr>
          <w:szCs w:val="2"/>
        </w:rPr>
      </w:pPr>
    </w:p>
    <w:p w:rsidR="00B7214C" w:rsidRPr="00CB4F2C" w:rsidRDefault="00B7214C" w:rsidP="00B7214C">
      <w:pPr>
        <w:pStyle w:val="p"/>
      </w:pPr>
      <w:r>
        <w:rPr>
          <w:szCs w:val="2"/>
        </w:rPr>
        <w:t>[</w:t>
      </w:r>
      <w:r w:rsidRPr="00CB4F2C">
        <w:t>185</w:t>
      </w:r>
      <w:r>
        <w:t>]</w:t>
      </w:r>
    </w:p>
    <w:p w:rsidR="00B7214C" w:rsidRPr="00CB4F2C" w:rsidRDefault="00B7214C" w:rsidP="00B7214C">
      <w:pPr>
        <w:pStyle w:val="figtitre"/>
      </w:pPr>
      <w:r w:rsidRPr="00CB4F2C">
        <w:t>TABLEAU 2</w:t>
      </w:r>
    </w:p>
    <w:p w:rsidR="00B7214C" w:rsidRDefault="00B7214C" w:rsidP="00B7214C">
      <w:pPr>
        <w:pStyle w:val="figtitre"/>
      </w:pPr>
      <w:r w:rsidRPr="00CB4F2C">
        <w:t>Fréquence d'utilisation des langues à la maison,</w:t>
      </w:r>
      <w:r>
        <w:br/>
      </w:r>
      <w:r w:rsidRPr="00CB4F2C">
        <w:t>immigrants all</w:t>
      </w:r>
      <w:r w:rsidRPr="00CB4F2C">
        <w:t>o</w:t>
      </w:r>
      <w:r w:rsidRPr="00CB4F2C">
        <w:t>phones français, Québec, 1991</w:t>
      </w:r>
    </w:p>
    <w:p w:rsidR="00B7214C" w:rsidRDefault="00B7214C" w:rsidP="00B7214C">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2710"/>
        <w:gridCol w:w="1484"/>
        <w:gridCol w:w="10"/>
        <w:gridCol w:w="1685"/>
        <w:gridCol w:w="9"/>
        <w:gridCol w:w="2032"/>
      </w:tblGrid>
      <w:tr w:rsidR="00B7214C" w:rsidRPr="00EE3822">
        <w:tblPrEx>
          <w:tblCellMar>
            <w:top w:w="0" w:type="dxa"/>
            <w:bottom w:w="0" w:type="dxa"/>
          </w:tblCellMar>
        </w:tblPrEx>
        <w:tc>
          <w:tcPr>
            <w:tcW w:w="2710" w:type="dxa"/>
            <w:vMerge w:val="restart"/>
            <w:tcBorders>
              <w:top w:val="single" w:sz="4" w:space="0" w:color="auto"/>
            </w:tcBorders>
            <w:shd w:val="clear" w:color="auto" w:fill="EDEAD1"/>
            <w:vAlign w:val="bottom"/>
          </w:tcPr>
          <w:p w:rsidR="00B7214C" w:rsidRPr="00EE3822" w:rsidRDefault="00B7214C" w:rsidP="00B7214C">
            <w:pPr>
              <w:spacing w:before="120" w:after="120"/>
              <w:ind w:left="180" w:firstLine="0"/>
              <w:jc w:val="both"/>
              <w:rPr>
                <w:sz w:val="24"/>
              </w:rPr>
            </w:pPr>
            <w:r w:rsidRPr="00EE3822">
              <w:rPr>
                <w:bCs/>
                <w:sz w:val="24"/>
              </w:rPr>
              <w:t>Fréquence</w:t>
            </w:r>
            <w:r>
              <w:rPr>
                <w:bCs/>
                <w:sz w:val="24"/>
              </w:rPr>
              <w:t xml:space="preserve"> </w:t>
            </w:r>
            <w:r w:rsidRPr="00EE3822">
              <w:rPr>
                <w:bCs/>
                <w:sz w:val="24"/>
              </w:rPr>
              <w:t>d'utilisation</w:t>
            </w:r>
          </w:p>
        </w:tc>
        <w:tc>
          <w:tcPr>
            <w:tcW w:w="5220" w:type="dxa"/>
            <w:gridSpan w:val="5"/>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Langues pa</w:t>
            </w:r>
            <w:r w:rsidRPr="00EE3822">
              <w:rPr>
                <w:bCs/>
                <w:sz w:val="24"/>
              </w:rPr>
              <w:t>r</w:t>
            </w:r>
            <w:r w:rsidRPr="00EE3822">
              <w:rPr>
                <w:bCs/>
                <w:sz w:val="24"/>
              </w:rPr>
              <w:t>lées</w:t>
            </w:r>
          </w:p>
        </w:tc>
      </w:tr>
      <w:tr w:rsidR="00B7214C" w:rsidRPr="00EE3822">
        <w:tblPrEx>
          <w:tblCellMar>
            <w:top w:w="0" w:type="dxa"/>
            <w:bottom w:w="0" w:type="dxa"/>
          </w:tblCellMar>
        </w:tblPrEx>
        <w:tc>
          <w:tcPr>
            <w:tcW w:w="2710" w:type="dxa"/>
            <w:vMerge/>
            <w:shd w:val="clear" w:color="auto" w:fill="EDEAD1"/>
            <w:vAlign w:val="bottom"/>
          </w:tcPr>
          <w:p w:rsidR="00B7214C" w:rsidRPr="00EE3822" w:rsidRDefault="00B7214C" w:rsidP="00B7214C">
            <w:pPr>
              <w:spacing w:before="120" w:after="120"/>
              <w:ind w:left="180" w:firstLine="0"/>
              <w:jc w:val="both"/>
              <w:rPr>
                <w:sz w:val="24"/>
              </w:rPr>
            </w:pPr>
          </w:p>
        </w:tc>
        <w:tc>
          <w:tcPr>
            <w:tcW w:w="1484"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Français</w:t>
            </w:r>
          </w:p>
        </w:tc>
        <w:tc>
          <w:tcPr>
            <w:tcW w:w="1695" w:type="dxa"/>
            <w:gridSpan w:val="2"/>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Anglais</w:t>
            </w:r>
          </w:p>
        </w:tc>
        <w:tc>
          <w:tcPr>
            <w:tcW w:w="2041" w:type="dxa"/>
            <w:gridSpan w:val="2"/>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Alloph</w:t>
            </w:r>
            <w:r w:rsidRPr="00EE3822">
              <w:rPr>
                <w:bCs/>
                <w:sz w:val="24"/>
              </w:rPr>
              <w:t>o</w:t>
            </w:r>
            <w:r w:rsidRPr="00EE3822">
              <w:rPr>
                <w:bCs/>
                <w:sz w:val="24"/>
              </w:rPr>
              <w:t>ne</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jc w:val="both"/>
              <w:rPr>
                <w:sz w:val="24"/>
              </w:rPr>
            </w:pPr>
            <w:r w:rsidRPr="00EE3822">
              <w:rPr>
                <w:sz w:val="24"/>
              </w:rPr>
              <w:t>Exclusivement</w:t>
            </w:r>
          </w:p>
        </w:tc>
        <w:tc>
          <w:tcPr>
            <w:tcW w:w="1494" w:type="dxa"/>
            <w:gridSpan w:val="2"/>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9,4%</w:t>
            </w:r>
          </w:p>
        </w:tc>
        <w:tc>
          <w:tcPr>
            <w:tcW w:w="1694" w:type="dxa"/>
            <w:gridSpan w:val="2"/>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0,4%</w:t>
            </w:r>
          </w:p>
        </w:tc>
        <w:tc>
          <w:tcPr>
            <w:tcW w:w="2032" w:type="dxa"/>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29,4%</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Souvent</w:t>
            </w:r>
          </w:p>
        </w:tc>
        <w:tc>
          <w:tcPr>
            <w:tcW w:w="14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53,6</w:t>
            </w:r>
          </w:p>
        </w:tc>
        <w:tc>
          <w:tcPr>
            <w:tcW w:w="16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3,0</w:t>
            </w:r>
          </w:p>
        </w:tc>
        <w:tc>
          <w:tcPr>
            <w:tcW w:w="2032" w:type="dxa"/>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46,9</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Parfois</w:t>
            </w:r>
          </w:p>
        </w:tc>
        <w:tc>
          <w:tcPr>
            <w:tcW w:w="14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29,3</w:t>
            </w:r>
          </w:p>
        </w:tc>
        <w:tc>
          <w:tcPr>
            <w:tcW w:w="16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29,5</w:t>
            </w:r>
          </w:p>
        </w:tc>
        <w:tc>
          <w:tcPr>
            <w:tcW w:w="2032" w:type="dxa"/>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19,1</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Jamais</w:t>
            </w:r>
          </w:p>
        </w:tc>
        <w:tc>
          <w:tcPr>
            <w:tcW w:w="14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7,7</w:t>
            </w:r>
          </w:p>
        </w:tc>
        <w:tc>
          <w:tcPr>
            <w:tcW w:w="1694" w:type="dxa"/>
            <w:gridSpan w:val="2"/>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67,1</w:t>
            </w:r>
          </w:p>
        </w:tc>
        <w:tc>
          <w:tcPr>
            <w:tcW w:w="2032" w:type="dxa"/>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sz w:val="24"/>
              </w:rPr>
              <w:t>4,6</w:t>
            </w:r>
          </w:p>
        </w:tc>
      </w:tr>
      <w:tr w:rsidR="00B7214C" w:rsidRPr="00EE3822">
        <w:tblPrEx>
          <w:tblCellMar>
            <w:top w:w="0" w:type="dxa"/>
            <w:bottom w:w="0" w:type="dxa"/>
          </w:tblCellMar>
        </w:tblPrEx>
        <w:tc>
          <w:tcPr>
            <w:tcW w:w="2710" w:type="dxa"/>
            <w:tcBorders>
              <w:top w:val="single" w:sz="4" w:space="0" w:color="auto"/>
            </w:tcBorders>
            <w:shd w:val="clear" w:color="auto" w:fill="FFFFFF"/>
            <w:vAlign w:val="center"/>
          </w:tcPr>
          <w:p w:rsidR="00B7214C" w:rsidRPr="00EE3822" w:rsidRDefault="00B7214C" w:rsidP="00B7214C">
            <w:pPr>
              <w:spacing w:before="60" w:after="60"/>
              <w:ind w:left="180" w:firstLine="0"/>
              <w:jc w:val="both"/>
              <w:rPr>
                <w:sz w:val="24"/>
              </w:rPr>
            </w:pPr>
            <w:r w:rsidRPr="00EE3822">
              <w:rPr>
                <w:bCs/>
                <w:sz w:val="24"/>
              </w:rPr>
              <w:t>Total</w:t>
            </w:r>
          </w:p>
        </w:tc>
        <w:tc>
          <w:tcPr>
            <w:tcW w:w="1494" w:type="dxa"/>
            <w:gridSpan w:val="2"/>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bCs/>
                <w:sz w:val="24"/>
              </w:rPr>
              <w:t>100,0%</w:t>
            </w:r>
          </w:p>
        </w:tc>
        <w:tc>
          <w:tcPr>
            <w:tcW w:w="1694" w:type="dxa"/>
            <w:gridSpan w:val="2"/>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bCs/>
                <w:sz w:val="24"/>
              </w:rPr>
              <w:t>100,0%</w:t>
            </w:r>
          </w:p>
        </w:tc>
        <w:tc>
          <w:tcPr>
            <w:tcW w:w="2032" w:type="dxa"/>
            <w:tcBorders>
              <w:top w:val="single" w:sz="4" w:space="0" w:color="auto"/>
            </w:tcBorders>
            <w:shd w:val="clear" w:color="auto" w:fill="FFFFFF"/>
            <w:vAlign w:val="bottom"/>
          </w:tcPr>
          <w:p w:rsidR="00B7214C" w:rsidRPr="00EE3822" w:rsidRDefault="00B7214C" w:rsidP="00B7214C">
            <w:pPr>
              <w:tabs>
                <w:tab w:val="decimal" w:pos="800"/>
              </w:tabs>
              <w:spacing w:before="60" w:after="60"/>
              <w:ind w:firstLine="0"/>
              <w:jc w:val="both"/>
              <w:rPr>
                <w:sz w:val="24"/>
              </w:rPr>
            </w:pPr>
            <w:r w:rsidRPr="00EE3822">
              <w:rPr>
                <w:bCs/>
                <w:sz w:val="24"/>
              </w:rPr>
              <w:t>100,0%</w:t>
            </w:r>
          </w:p>
        </w:tc>
      </w:tr>
      <w:tr w:rsidR="00B7214C" w:rsidRPr="00EE3822">
        <w:tblPrEx>
          <w:tblCellMar>
            <w:top w:w="0" w:type="dxa"/>
            <w:bottom w:w="0" w:type="dxa"/>
          </w:tblCellMar>
        </w:tblPrEx>
        <w:tc>
          <w:tcPr>
            <w:tcW w:w="2710" w:type="dxa"/>
            <w:tcBorders>
              <w:bottom w:val="single" w:sz="4" w:space="0" w:color="auto"/>
            </w:tcBorders>
            <w:shd w:val="clear" w:color="auto" w:fill="FFFFFF"/>
          </w:tcPr>
          <w:p w:rsidR="00B7214C" w:rsidRPr="00EE3822" w:rsidRDefault="00B7214C" w:rsidP="00B7214C">
            <w:pPr>
              <w:spacing w:before="60" w:after="60"/>
              <w:ind w:left="180" w:firstLine="0"/>
              <w:jc w:val="both"/>
              <w:rPr>
                <w:sz w:val="24"/>
              </w:rPr>
            </w:pPr>
            <w:r w:rsidRPr="00EE3822">
              <w:rPr>
                <w:bCs/>
                <w:sz w:val="24"/>
              </w:rPr>
              <w:t>(N)</w:t>
            </w:r>
          </w:p>
        </w:tc>
        <w:tc>
          <w:tcPr>
            <w:tcW w:w="1494" w:type="dxa"/>
            <w:gridSpan w:val="2"/>
            <w:tcBorders>
              <w:bottom w:val="single" w:sz="4" w:space="0" w:color="auto"/>
            </w:tcBorders>
            <w:shd w:val="clear" w:color="auto" w:fill="FFFFFF"/>
          </w:tcPr>
          <w:p w:rsidR="00B7214C" w:rsidRPr="00EE3822" w:rsidRDefault="00B7214C" w:rsidP="00B7214C">
            <w:pPr>
              <w:tabs>
                <w:tab w:val="decimal" w:pos="800"/>
              </w:tabs>
              <w:spacing w:before="60" w:after="60"/>
              <w:ind w:firstLine="0"/>
              <w:jc w:val="both"/>
              <w:rPr>
                <w:sz w:val="24"/>
              </w:rPr>
            </w:pPr>
            <w:r w:rsidRPr="00EE3822">
              <w:rPr>
                <w:bCs/>
                <w:sz w:val="24"/>
              </w:rPr>
              <w:t>(210)</w:t>
            </w:r>
          </w:p>
        </w:tc>
        <w:tc>
          <w:tcPr>
            <w:tcW w:w="1694" w:type="dxa"/>
            <w:gridSpan w:val="2"/>
            <w:tcBorders>
              <w:bottom w:val="single" w:sz="4" w:space="0" w:color="auto"/>
            </w:tcBorders>
            <w:shd w:val="clear" w:color="auto" w:fill="FFFFFF"/>
          </w:tcPr>
          <w:p w:rsidR="00B7214C" w:rsidRPr="00EE3822" w:rsidRDefault="00B7214C" w:rsidP="00B7214C">
            <w:pPr>
              <w:tabs>
                <w:tab w:val="decimal" w:pos="800"/>
              </w:tabs>
              <w:spacing w:before="60" w:after="60"/>
              <w:ind w:firstLine="0"/>
              <w:jc w:val="both"/>
              <w:rPr>
                <w:sz w:val="24"/>
              </w:rPr>
            </w:pPr>
            <w:r w:rsidRPr="00EE3822">
              <w:rPr>
                <w:bCs/>
                <w:sz w:val="24"/>
              </w:rPr>
              <w:t>(209)</w:t>
            </w:r>
          </w:p>
        </w:tc>
        <w:tc>
          <w:tcPr>
            <w:tcW w:w="2032" w:type="dxa"/>
            <w:tcBorders>
              <w:bottom w:val="single" w:sz="4" w:space="0" w:color="auto"/>
            </w:tcBorders>
            <w:shd w:val="clear" w:color="auto" w:fill="FFFFFF"/>
          </w:tcPr>
          <w:p w:rsidR="00B7214C" w:rsidRPr="00EE3822" w:rsidRDefault="00B7214C" w:rsidP="00B7214C">
            <w:pPr>
              <w:tabs>
                <w:tab w:val="decimal" w:pos="800"/>
              </w:tabs>
              <w:spacing w:before="60" w:after="60"/>
              <w:ind w:firstLine="0"/>
              <w:jc w:val="both"/>
              <w:rPr>
                <w:sz w:val="24"/>
              </w:rPr>
            </w:pPr>
            <w:r w:rsidRPr="00EE3822">
              <w:rPr>
                <w:bCs/>
                <w:sz w:val="24"/>
              </w:rPr>
              <w:t>(208)</w:t>
            </w:r>
          </w:p>
        </w:tc>
      </w:tr>
    </w:tbl>
    <w:p w:rsidR="00B7214C" w:rsidRPr="00EE3822" w:rsidRDefault="00B7214C" w:rsidP="00B7214C">
      <w:pPr>
        <w:spacing w:before="120" w:after="120"/>
        <w:ind w:firstLine="0"/>
        <w:jc w:val="both"/>
        <w:rPr>
          <w:sz w:val="24"/>
        </w:rPr>
      </w:pPr>
      <w:r w:rsidRPr="00EE3822">
        <w:rPr>
          <w:sz w:val="24"/>
        </w:rPr>
        <w:t>Source : Enquête ALI, 1991</w:t>
      </w:r>
    </w:p>
    <w:p w:rsidR="00B7214C" w:rsidRPr="00EE3822" w:rsidRDefault="00B7214C" w:rsidP="00B7214C">
      <w:pPr>
        <w:spacing w:before="120" w:after="120"/>
        <w:ind w:firstLine="0"/>
        <w:jc w:val="both"/>
        <w:rPr>
          <w:sz w:val="24"/>
        </w:rPr>
      </w:pPr>
      <w:r>
        <w:rPr>
          <w:sz w:val="24"/>
        </w:rPr>
        <w:br w:type="page"/>
      </w:r>
    </w:p>
    <w:p w:rsidR="00B7214C" w:rsidRPr="00EE3822" w:rsidRDefault="00B7214C" w:rsidP="00B7214C">
      <w:pPr>
        <w:pStyle w:val="figtitre"/>
      </w:pPr>
      <w:r w:rsidRPr="00EE3822">
        <w:t>Tableau 3</w:t>
      </w:r>
    </w:p>
    <w:p w:rsidR="00B7214C" w:rsidRDefault="00B7214C" w:rsidP="00B7214C">
      <w:pPr>
        <w:pStyle w:val="figtitre"/>
      </w:pPr>
      <w:r w:rsidRPr="00EE3822">
        <w:t>Fréquence d'utili</w:t>
      </w:r>
      <w:r>
        <w:t>sation des langues à la maison,</w:t>
      </w:r>
      <w:r>
        <w:br/>
      </w:r>
      <w:r w:rsidRPr="00EE3822">
        <w:t>immigrants all</w:t>
      </w:r>
      <w:r w:rsidRPr="00EE3822">
        <w:t>o</w:t>
      </w:r>
      <w:r w:rsidRPr="00EE3822">
        <w:t>phones anglais, Québec, 1991</w:t>
      </w:r>
    </w:p>
    <w:tbl>
      <w:tblPr>
        <w:tblOverlap w:val="never"/>
        <w:tblW w:w="0" w:type="auto"/>
        <w:tblLayout w:type="fixed"/>
        <w:tblCellMar>
          <w:left w:w="10" w:type="dxa"/>
          <w:right w:w="10" w:type="dxa"/>
        </w:tblCellMar>
        <w:tblLook w:val="04A0" w:firstRow="1" w:lastRow="0" w:firstColumn="1" w:lastColumn="0" w:noHBand="0" w:noVBand="1"/>
      </w:tblPr>
      <w:tblGrid>
        <w:gridCol w:w="2710"/>
        <w:gridCol w:w="1503"/>
        <w:gridCol w:w="1676"/>
        <w:gridCol w:w="2043"/>
      </w:tblGrid>
      <w:tr w:rsidR="00B7214C" w:rsidRPr="00EE3822">
        <w:tblPrEx>
          <w:tblCellMar>
            <w:top w:w="0" w:type="dxa"/>
            <w:bottom w:w="0" w:type="dxa"/>
          </w:tblCellMar>
        </w:tblPrEx>
        <w:tc>
          <w:tcPr>
            <w:tcW w:w="2710" w:type="dxa"/>
            <w:vMerge w:val="restart"/>
            <w:tcBorders>
              <w:top w:val="single" w:sz="4" w:space="0" w:color="auto"/>
            </w:tcBorders>
            <w:shd w:val="clear" w:color="auto" w:fill="EDEAD1"/>
            <w:vAlign w:val="bottom"/>
          </w:tcPr>
          <w:p w:rsidR="00B7214C" w:rsidRPr="00EE3822" w:rsidRDefault="00B7214C" w:rsidP="00B7214C">
            <w:pPr>
              <w:spacing w:before="120" w:after="120"/>
              <w:ind w:left="180" w:firstLine="0"/>
              <w:jc w:val="both"/>
              <w:rPr>
                <w:sz w:val="24"/>
              </w:rPr>
            </w:pPr>
            <w:r w:rsidRPr="00EE3822">
              <w:rPr>
                <w:bCs/>
                <w:sz w:val="24"/>
              </w:rPr>
              <w:t>Fréquence</w:t>
            </w:r>
            <w:r>
              <w:rPr>
                <w:bCs/>
                <w:sz w:val="24"/>
              </w:rPr>
              <w:t xml:space="preserve"> </w:t>
            </w:r>
            <w:r w:rsidRPr="00EE3822">
              <w:rPr>
                <w:bCs/>
                <w:sz w:val="24"/>
              </w:rPr>
              <w:t>d'utilisation</w:t>
            </w:r>
          </w:p>
        </w:tc>
        <w:tc>
          <w:tcPr>
            <w:tcW w:w="5220" w:type="dxa"/>
            <w:gridSpan w:val="3"/>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Langues pa</w:t>
            </w:r>
            <w:r w:rsidRPr="00EE3822">
              <w:rPr>
                <w:bCs/>
                <w:sz w:val="24"/>
              </w:rPr>
              <w:t>r</w:t>
            </w:r>
            <w:r w:rsidRPr="00EE3822">
              <w:rPr>
                <w:bCs/>
                <w:sz w:val="24"/>
              </w:rPr>
              <w:t>lées</w:t>
            </w:r>
          </w:p>
        </w:tc>
      </w:tr>
      <w:tr w:rsidR="00B7214C" w:rsidRPr="00EE3822">
        <w:tblPrEx>
          <w:tblCellMar>
            <w:top w:w="0" w:type="dxa"/>
            <w:bottom w:w="0" w:type="dxa"/>
          </w:tblCellMar>
        </w:tblPrEx>
        <w:tc>
          <w:tcPr>
            <w:tcW w:w="2710" w:type="dxa"/>
            <w:vMerge/>
            <w:shd w:val="clear" w:color="auto" w:fill="EDEAD1"/>
            <w:vAlign w:val="bottom"/>
          </w:tcPr>
          <w:p w:rsidR="00B7214C" w:rsidRPr="00EE3822" w:rsidRDefault="00B7214C" w:rsidP="00B7214C">
            <w:pPr>
              <w:spacing w:before="120" w:after="120"/>
              <w:ind w:left="180" w:firstLine="0"/>
              <w:jc w:val="both"/>
              <w:rPr>
                <w:sz w:val="24"/>
              </w:rPr>
            </w:pPr>
          </w:p>
        </w:tc>
        <w:tc>
          <w:tcPr>
            <w:tcW w:w="1503"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Français</w:t>
            </w:r>
          </w:p>
        </w:tc>
        <w:tc>
          <w:tcPr>
            <w:tcW w:w="1676"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Anglais</w:t>
            </w:r>
          </w:p>
        </w:tc>
        <w:tc>
          <w:tcPr>
            <w:tcW w:w="2041"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Alloph</w:t>
            </w:r>
            <w:r w:rsidRPr="00EE3822">
              <w:rPr>
                <w:bCs/>
                <w:sz w:val="24"/>
              </w:rPr>
              <w:t>o</w:t>
            </w:r>
            <w:r w:rsidRPr="00EE3822">
              <w:rPr>
                <w:bCs/>
                <w:sz w:val="24"/>
              </w:rPr>
              <w:t>ne</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jc w:val="both"/>
              <w:rPr>
                <w:sz w:val="24"/>
              </w:rPr>
            </w:pPr>
            <w:r w:rsidRPr="00EE3822">
              <w:rPr>
                <w:sz w:val="24"/>
              </w:rPr>
              <w:t>Exclusivement</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5,0%</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10,9%</w:t>
            </w:r>
          </w:p>
        </w:tc>
        <w:tc>
          <w:tcPr>
            <w:tcW w:w="204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40,7%</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Souvent</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9,3</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22,8</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35,9</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Parfois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40,0</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42,3</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16,8</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Jamais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45,7</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24,0</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6,6</w:t>
            </w:r>
          </w:p>
        </w:tc>
      </w:tr>
      <w:tr w:rsidR="00B7214C" w:rsidRPr="00EE3822">
        <w:tblPrEx>
          <w:tblCellMar>
            <w:top w:w="0" w:type="dxa"/>
            <w:bottom w:w="0" w:type="dxa"/>
          </w:tblCellMar>
        </w:tblPrEx>
        <w:tc>
          <w:tcPr>
            <w:tcW w:w="2710" w:type="dxa"/>
            <w:tcBorders>
              <w:top w:val="single" w:sz="4" w:space="0" w:color="auto"/>
            </w:tcBorders>
            <w:shd w:val="clear" w:color="auto" w:fill="FFFFFF"/>
            <w:vAlign w:val="center"/>
          </w:tcPr>
          <w:p w:rsidR="00B7214C" w:rsidRPr="00EE3822" w:rsidRDefault="00B7214C" w:rsidP="00B7214C">
            <w:pPr>
              <w:spacing w:before="60" w:after="60"/>
              <w:ind w:left="180" w:firstLine="0"/>
              <w:jc w:val="both"/>
              <w:rPr>
                <w:sz w:val="24"/>
              </w:rPr>
            </w:pPr>
            <w:r w:rsidRPr="00EE3822">
              <w:rPr>
                <w:bCs/>
                <w:sz w:val="24"/>
              </w:rPr>
              <w:t>Total</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100,0%</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100,0%</w:t>
            </w:r>
          </w:p>
        </w:tc>
        <w:tc>
          <w:tcPr>
            <w:tcW w:w="204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100,0%</w:t>
            </w:r>
          </w:p>
        </w:tc>
      </w:tr>
      <w:tr w:rsidR="00B7214C" w:rsidRPr="00EE3822">
        <w:tblPrEx>
          <w:tblCellMar>
            <w:top w:w="0" w:type="dxa"/>
            <w:bottom w:w="0" w:type="dxa"/>
          </w:tblCellMar>
        </w:tblPrEx>
        <w:tc>
          <w:tcPr>
            <w:tcW w:w="2710" w:type="dxa"/>
            <w:tcBorders>
              <w:bottom w:val="single" w:sz="4" w:space="0" w:color="auto"/>
            </w:tcBorders>
            <w:shd w:val="clear" w:color="auto" w:fill="FFFFFF"/>
          </w:tcPr>
          <w:p w:rsidR="00B7214C" w:rsidRPr="00EE3822" w:rsidRDefault="00B7214C" w:rsidP="00B7214C">
            <w:pPr>
              <w:spacing w:before="60" w:after="60"/>
              <w:ind w:left="180" w:firstLine="0"/>
              <w:jc w:val="both"/>
              <w:rPr>
                <w:sz w:val="24"/>
              </w:rPr>
            </w:pPr>
            <w:r w:rsidRPr="00EE3822">
              <w:rPr>
                <w:bCs/>
                <w:sz w:val="24"/>
              </w:rPr>
              <w:t>(N)</w:t>
            </w:r>
          </w:p>
        </w:tc>
        <w:tc>
          <w:tcPr>
            <w:tcW w:w="1503"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(241)</w:t>
            </w:r>
          </w:p>
        </w:tc>
        <w:tc>
          <w:tcPr>
            <w:tcW w:w="1674"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(240)</w:t>
            </w:r>
          </w:p>
        </w:tc>
        <w:tc>
          <w:tcPr>
            <w:tcW w:w="2043"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(235)</w:t>
            </w:r>
          </w:p>
        </w:tc>
      </w:tr>
    </w:tbl>
    <w:p w:rsidR="00B7214C" w:rsidRPr="00EE3822" w:rsidRDefault="00B7214C" w:rsidP="00B7214C">
      <w:pPr>
        <w:spacing w:before="120" w:after="120"/>
        <w:ind w:firstLine="0"/>
        <w:jc w:val="both"/>
        <w:rPr>
          <w:sz w:val="24"/>
        </w:rPr>
      </w:pPr>
      <w:r w:rsidRPr="00EE3822">
        <w:rPr>
          <w:sz w:val="24"/>
        </w:rPr>
        <w:t>Source : Enquête ALI, 1991</w:t>
      </w:r>
    </w:p>
    <w:p w:rsidR="00B7214C" w:rsidRPr="00EE3822" w:rsidRDefault="00B7214C" w:rsidP="00B7214C">
      <w:pPr>
        <w:spacing w:before="120" w:after="120"/>
        <w:ind w:firstLine="0"/>
        <w:jc w:val="both"/>
        <w:rPr>
          <w:sz w:val="24"/>
        </w:rPr>
      </w:pPr>
    </w:p>
    <w:p w:rsidR="00B7214C" w:rsidRPr="00EE3822" w:rsidRDefault="00B7214C" w:rsidP="00B7214C">
      <w:pPr>
        <w:spacing w:before="120" w:after="120"/>
        <w:ind w:firstLine="0"/>
        <w:jc w:val="both"/>
        <w:rPr>
          <w:sz w:val="24"/>
        </w:rPr>
      </w:pPr>
    </w:p>
    <w:p w:rsidR="00B7214C" w:rsidRPr="00EE3822" w:rsidRDefault="00B7214C" w:rsidP="00B7214C">
      <w:pPr>
        <w:pStyle w:val="figtitre"/>
      </w:pPr>
      <w:r w:rsidRPr="00EE3822">
        <w:t>Tableau 4</w:t>
      </w:r>
    </w:p>
    <w:p w:rsidR="00B7214C" w:rsidRDefault="00B7214C" w:rsidP="00B7214C">
      <w:pPr>
        <w:pStyle w:val="figtitre"/>
      </w:pPr>
      <w:r w:rsidRPr="00EE3822">
        <w:t>Fréquence d'utilisation des langues à la maison,</w:t>
      </w:r>
      <w:r>
        <w:br/>
      </w:r>
      <w:r w:rsidRPr="00EE3822">
        <w:t>immigrants all</w:t>
      </w:r>
      <w:r w:rsidRPr="00EE3822">
        <w:t>o</w:t>
      </w:r>
      <w:r w:rsidRPr="00EE3822">
        <w:t>phones bilingues, Québec, 1991</w:t>
      </w:r>
    </w:p>
    <w:tbl>
      <w:tblPr>
        <w:tblOverlap w:val="never"/>
        <w:tblW w:w="0" w:type="auto"/>
        <w:tblLayout w:type="fixed"/>
        <w:tblCellMar>
          <w:left w:w="10" w:type="dxa"/>
          <w:right w:w="10" w:type="dxa"/>
        </w:tblCellMar>
        <w:tblLook w:val="04A0" w:firstRow="1" w:lastRow="0" w:firstColumn="1" w:lastColumn="0" w:noHBand="0" w:noVBand="1"/>
      </w:tblPr>
      <w:tblGrid>
        <w:gridCol w:w="2710"/>
        <w:gridCol w:w="1503"/>
        <w:gridCol w:w="1674"/>
        <w:gridCol w:w="2043"/>
      </w:tblGrid>
      <w:tr w:rsidR="00B7214C" w:rsidRPr="00EE3822">
        <w:tblPrEx>
          <w:tblCellMar>
            <w:top w:w="0" w:type="dxa"/>
            <w:bottom w:w="0" w:type="dxa"/>
          </w:tblCellMar>
        </w:tblPrEx>
        <w:tc>
          <w:tcPr>
            <w:tcW w:w="2710" w:type="dxa"/>
            <w:vMerge w:val="restart"/>
            <w:tcBorders>
              <w:top w:val="single" w:sz="4" w:space="0" w:color="auto"/>
            </w:tcBorders>
            <w:shd w:val="clear" w:color="auto" w:fill="EDEAD1"/>
            <w:vAlign w:val="bottom"/>
          </w:tcPr>
          <w:p w:rsidR="00B7214C" w:rsidRPr="00EE3822" w:rsidRDefault="00B7214C" w:rsidP="00B7214C">
            <w:pPr>
              <w:spacing w:before="120" w:after="120"/>
              <w:ind w:left="180" w:firstLine="0"/>
              <w:jc w:val="both"/>
              <w:rPr>
                <w:sz w:val="24"/>
              </w:rPr>
            </w:pPr>
            <w:r w:rsidRPr="00EE3822">
              <w:rPr>
                <w:bCs/>
                <w:sz w:val="24"/>
              </w:rPr>
              <w:t>Fréquence</w:t>
            </w:r>
            <w:r>
              <w:rPr>
                <w:bCs/>
                <w:sz w:val="24"/>
              </w:rPr>
              <w:t xml:space="preserve"> </w:t>
            </w:r>
            <w:r w:rsidRPr="00EE3822">
              <w:rPr>
                <w:bCs/>
                <w:sz w:val="24"/>
              </w:rPr>
              <w:t>d'utilisation</w:t>
            </w:r>
          </w:p>
        </w:tc>
        <w:tc>
          <w:tcPr>
            <w:tcW w:w="5220" w:type="dxa"/>
            <w:gridSpan w:val="3"/>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Langues pa</w:t>
            </w:r>
            <w:r w:rsidRPr="00EE3822">
              <w:rPr>
                <w:bCs/>
                <w:sz w:val="24"/>
              </w:rPr>
              <w:t>r</w:t>
            </w:r>
            <w:r w:rsidRPr="00EE3822">
              <w:rPr>
                <w:bCs/>
                <w:sz w:val="24"/>
              </w:rPr>
              <w:t>lées</w:t>
            </w:r>
          </w:p>
        </w:tc>
      </w:tr>
      <w:tr w:rsidR="00B7214C" w:rsidRPr="00EE3822">
        <w:tblPrEx>
          <w:tblCellMar>
            <w:top w:w="0" w:type="dxa"/>
            <w:bottom w:w="0" w:type="dxa"/>
          </w:tblCellMar>
        </w:tblPrEx>
        <w:tc>
          <w:tcPr>
            <w:tcW w:w="2710" w:type="dxa"/>
            <w:vMerge/>
            <w:shd w:val="clear" w:color="auto" w:fill="EDEAD1"/>
            <w:vAlign w:val="bottom"/>
          </w:tcPr>
          <w:p w:rsidR="00B7214C" w:rsidRPr="00EE3822" w:rsidRDefault="00B7214C" w:rsidP="00B7214C">
            <w:pPr>
              <w:spacing w:before="120" w:after="120"/>
              <w:ind w:firstLine="0"/>
              <w:jc w:val="both"/>
              <w:rPr>
                <w:sz w:val="24"/>
              </w:rPr>
            </w:pPr>
          </w:p>
        </w:tc>
        <w:tc>
          <w:tcPr>
            <w:tcW w:w="1503"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Français</w:t>
            </w:r>
          </w:p>
        </w:tc>
        <w:tc>
          <w:tcPr>
            <w:tcW w:w="1674"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Anglais</w:t>
            </w:r>
          </w:p>
        </w:tc>
        <w:tc>
          <w:tcPr>
            <w:tcW w:w="2043"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Alloph</w:t>
            </w:r>
            <w:r w:rsidRPr="00EE3822">
              <w:rPr>
                <w:bCs/>
                <w:sz w:val="24"/>
              </w:rPr>
              <w:t>o</w:t>
            </w:r>
            <w:r w:rsidRPr="00EE3822">
              <w:rPr>
                <w:bCs/>
                <w:sz w:val="24"/>
              </w:rPr>
              <w:t>ne</w:t>
            </w:r>
          </w:p>
        </w:tc>
      </w:tr>
      <w:tr w:rsidR="00B7214C" w:rsidRPr="00EE3822">
        <w:tblPrEx>
          <w:tblCellMar>
            <w:top w:w="0" w:type="dxa"/>
            <w:bottom w:w="0" w:type="dxa"/>
          </w:tblCellMar>
        </w:tblPrEx>
        <w:tc>
          <w:tcPr>
            <w:tcW w:w="2710" w:type="dxa"/>
            <w:tcBorders>
              <w:top w:val="single" w:sz="4" w:space="0" w:color="auto"/>
            </w:tcBorders>
            <w:shd w:val="clear" w:color="auto" w:fill="FFFFFF"/>
            <w:vAlign w:val="center"/>
          </w:tcPr>
          <w:p w:rsidR="00B7214C" w:rsidRPr="00EE3822" w:rsidRDefault="00B7214C" w:rsidP="00B7214C">
            <w:pPr>
              <w:spacing w:before="60" w:after="60"/>
              <w:ind w:left="180" w:firstLine="0"/>
              <w:jc w:val="both"/>
              <w:rPr>
                <w:sz w:val="24"/>
              </w:rPr>
            </w:pPr>
            <w:r w:rsidRPr="00EE3822">
              <w:rPr>
                <w:sz w:val="24"/>
              </w:rPr>
              <w:t>Exclusivement</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12,9%</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2,1%</w:t>
            </w:r>
          </w:p>
        </w:tc>
        <w:tc>
          <w:tcPr>
            <w:tcW w:w="204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26,6%</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Souvent</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47,1</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19,2</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45,9</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Parfois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30,5</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39,1</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21,4</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jc w:val="both"/>
              <w:rPr>
                <w:sz w:val="24"/>
              </w:rPr>
            </w:pPr>
            <w:r w:rsidRPr="00EE3822">
              <w:rPr>
                <w:sz w:val="24"/>
              </w:rPr>
              <w:t>Jamais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9,5</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39,6</w:t>
            </w:r>
          </w:p>
        </w:tc>
        <w:tc>
          <w:tcPr>
            <w:tcW w:w="2043" w:type="dxa"/>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sz w:val="24"/>
              </w:rPr>
              <w:t>6,1</w:t>
            </w:r>
          </w:p>
        </w:tc>
      </w:tr>
      <w:tr w:rsidR="00B7214C" w:rsidRPr="00EE3822">
        <w:tblPrEx>
          <w:tblCellMar>
            <w:top w:w="0" w:type="dxa"/>
            <w:bottom w:w="0" w:type="dxa"/>
          </w:tblCellMar>
        </w:tblPrEx>
        <w:tc>
          <w:tcPr>
            <w:tcW w:w="2710" w:type="dxa"/>
            <w:tcBorders>
              <w:top w:val="single" w:sz="4" w:space="0" w:color="auto"/>
            </w:tcBorders>
            <w:shd w:val="clear" w:color="auto" w:fill="FFFFFF"/>
            <w:vAlign w:val="center"/>
          </w:tcPr>
          <w:p w:rsidR="00B7214C" w:rsidRPr="00EE3822" w:rsidRDefault="00B7214C" w:rsidP="00B7214C">
            <w:pPr>
              <w:spacing w:before="60" w:after="60"/>
              <w:ind w:left="180" w:firstLine="0"/>
              <w:jc w:val="both"/>
              <w:rPr>
                <w:sz w:val="24"/>
              </w:rPr>
            </w:pPr>
            <w:r w:rsidRPr="00EE3822">
              <w:rPr>
                <w:bCs/>
                <w:sz w:val="24"/>
              </w:rPr>
              <w:t>Total</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bCs/>
                <w:sz w:val="24"/>
              </w:rPr>
              <w:t>100,0%</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bCs/>
                <w:sz w:val="24"/>
              </w:rPr>
              <w:t>100,0%</w:t>
            </w:r>
          </w:p>
        </w:tc>
        <w:tc>
          <w:tcPr>
            <w:tcW w:w="204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sz w:val="24"/>
              </w:rPr>
            </w:pPr>
            <w:r w:rsidRPr="00EE3822">
              <w:rPr>
                <w:bCs/>
                <w:sz w:val="24"/>
              </w:rPr>
              <w:t>100,0%</w:t>
            </w:r>
          </w:p>
        </w:tc>
      </w:tr>
      <w:tr w:rsidR="00B7214C" w:rsidRPr="00EE3822">
        <w:tblPrEx>
          <w:tblCellMar>
            <w:top w:w="0" w:type="dxa"/>
            <w:bottom w:w="0" w:type="dxa"/>
          </w:tblCellMar>
        </w:tblPrEx>
        <w:tc>
          <w:tcPr>
            <w:tcW w:w="2710" w:type="dxa"/>
            <w:tcBorders>
              <w:bottom w:val="single" w:sz="4" w:space="0" w:color="auto"/>
            </w:tcBorders>
            <w:shd w:val="clear" w:color="auto" w:fill="FFFFFF"/>
          </w:tcPr>
          <w:p w:rsidR="00B7214C" w:rsidRPr="00EE3822" w:rsidRDefault="00B7214C" w:rsidP="00B7214C">
            <w:pPr>
              <w:spacing w:before="60" w:after="60"/>
              <w:ind w:left="180" w:firstLine="0"/>
              <w:jc w:val="both"/>
              <w:rPr>
                <w:sz w:val="24"/>
              </w:rPr>
            </w:pPr>
            <w:r w:rsidRPr="00EE3822">
              <w:rPr>
                <w:bCs/>
                <w:sz w:val="24"/>
              </w:rPr>
              <w:t>(N)</w:t>
            </w:r>
          </w:p>
        </w:tc>
        <w:tc>
          <w:tcPr>
            <w:tcW w:w="1503"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(200)</w:t>
            </w:r>
          </w:p>
        </w:tc>
        <w:tc>
          <w:tcPr>
            <w:tcW w:w="1674"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(198)</w:t>
            </w:r>
          </w:p>
        </w:tc>
        <w:tc>
          <w:tcPr>
            <w:tcW w:w="2043" w:type="dxa"/>
            <w:tcBorders>
              <w:bottom w:val="single" w:sz="4" w:space="0" w:color="auto"/>
            </w:tcBorders>
            <w:shd w:val="clear" w:color="auto" w:fill="FFFFFF"/>
          </w:tcPr>
          <w:p w:rsidR="00B7214C" w:rsidRPr="00EE3822" w:rsidRDefault="00B7214C" w:rsidP="00B7214C">
            <w:pPr>
              <w:tabs>
                <w:tab w:val="decimal" w:pos="890"/>
              </w:tabs>
              <w:spacing w:before="60" w:after="60"/>
              <w:ind w:firstLine="0"/>
              <w:jc w:val="both"/>
              <w:rPr>
                <w:sz w:val="24"/>
              </w:rPr>
            </w:pPr>
            <w:r w:rsidRPr="00EE3822">
              <w:rPr>
                <w:bCs/>
                <w:sz w:val="24"/>
              </w:rPr>
              <w:t>(195)</w:t>
            </w:r>
          </w:p>
        </w:tc>
      </w:tr>
    </w:tbl>
    <w:p w:rsidR="00B7214C" w:rsidRPr="00EE3822" w:rsidRDefault="00B7214C" w:rsidP="00B7214C">
      <w:pPr>
        <w:spacing w:before="120" w:after="120"/>
        <w:ind w:firstLine="0"/>
        <w:jc w:val="both"/>
        <w:rPr>
          <w:sz w:val="24"/>
        </w:rPr>
      </w:pPr>
      <w:r w:rsidRPr="00EE3822">
        <w:rPr>
          <w:sz w:val="24"/>
        </w:rPr>
        <w:t>Source : Enquête ALI, 1991</w:t>
      </w:r>
    </w:p>
    <w:p w:rsidR="00B7214C" w:rsidRDefault="00B7214C" w:rsidP="00B7214C">
      <w:pPr>
        <w:pStyle w:val="p"/>
      </w:pPr>
      <w:r w:rsidRPr="00CB4F2C">
        <w:br w:type="page"/>
      </w:r>
      <w:r>
        <w:t>[186]</w:t>
      </w:r>
    </w:p>
    <w:p w:rsidR="00B7214C" w:rsidRDefault="00B7214C" w:rsidP="00B7214C">
      <w:pPr>
        <w:spacing w:before="120" w:after="120"/>
        <w:jc w:val="both"/>
        <w:rPr>
          <w:szCs w:val="2"/>
        </w:rPr>
      </w:pPr>
    </w:p>
    <w:p w:rsidR="00B7214C" w:rsidRPr="008072CF" w:rsidRDefault="00B7214C" w:rsidP="00B7214C">
      <w:pPr>
        <w:pStyle w:val="figtitre"/>
      </w:pPr>
      <w:r w:rsidRPr="008072CF">
        <w:t>TABLEAU 5</w:t>
      </w:r>
    </w:p>
    <w:p w:rsidR="00B7214C" w:rsidRDefault="00B7214C" w:rsidP="00B7214C">
      <w:pPr>
        <w:pStyle w:val="figtitre"/>
      </w:pPr>
      <w:r w:rsidRPr="00EE3822">
        <w:t>Fréquence d'utili</w:t>
      </w:r>
      <w:r>
        <w:t>sation des langues à la maison,</w:t>
      </w:r>
      <w:r>
        <w:br/>
      </w:r>
      <w:r w:rsidRPr="00EE3822">
        <w:t>immigrants allophones unili</w:t>
      </w:r>
      <w:r w:rsidRPr="00EE3822">
        <w:t>n</w:t>
      </w:r>
      <w:r w:rsidRPr="00EE3822">
        <w:t>gues, Québec, 1991</w:t>
      </w:r>
    </w:p>
    <w:tbl>
      <w:tblPr>
        <w:tblOverlap w:val="never"/>
        <w:tblW w:w="0" w:type="auto"/>
        <w:tblLayout w:type="fixed"/>
        <w:tblCellMar>
          <w:left w:w="10" w:type="dxa"/>
          <w:right w:w="10" w:type="dxa"/>
        </w:tblCellMar>
        <w:tblLook w:val="04A0" w:firstRow="1" w:lastRow="0" w:firstColumn="1" w:lastColumn="0" w:noHBand="0" w:noVBand="1"/>
      </w:tblPr>
      <w:tblGrid>
        <w:gridCol w:w="2710"/>
        <w:gridCol w:w="1503"/>
        <w:gridCol w:w="1674"/>
        <w:gridCol w:w="2031"/>
      </w:tblGrid>
      <w:tr w:rsidR="00B7214C" w:rsidRPr="00EE3822">
        <w:tblPrEx>
          <w:tblCellMar>
            <w:top w:w="0" w:type="dxa"/>
            <w:bottom w:w="0" w:type="dxa"/>
          </w:tblCellMar>
        </w:tblPrEx>
        <w:tc>
          <w:tcPr>
            <w:tcW w:w="2710" w:type="dxa"/>
            <w:vMerge w:val="restart"/>
            <w:tcBorders>
              <w:top w:val="single" w:sz="4" w:space="0" w:color="auto"/>
            </w:tcBorders>
            <w:shd w:val="clear" w:color="auto" w:fill="EDEAD1"/>
            <w:vAlign w:val="bottom"/>
          </w:tcPr>
          <w:p w:rsidR="00B7214C" w:rsidRPr="00EE3822" w:rsidRDefault="00B7214C" w:rsidP="00B7214C">
            <w:pPr>
              <w:spacing w:before="120" w:after="120"/>
              <w:ind w:left="180" w:firstLine="0"/>
              <w:rPr>
                <w:sz w:val="24"/>
              </w:rPr>
            </w:pPr>
            <w:r w:rsidRPr="00EE3822">
              <w:rPr>
                <w:bCs/>
                <w:sz w:val="24"/>
              </w:rPr>
              <w:t>Fréquence</w:t>
            </w:r>
            <w:r>
              <w:rPr>
                <w:bCs/>
                <w:sz w:val="24"/>
              </w:rPr>
              <w:t xml:space="preserve"> </w:t>
            </w:r>
            <w:r w:rsidRPr="00EE3822">
              <w:rPr>
                <w:bCs/>
                <w:sz w:val="24"/>
              </w:rPr>
              <w:t>d'utilisation</w:t>
            </w:r>
          </w:p>
        </w:tc>
        <w:tc>
          <w:tcPr>
            <w:tcW w:w="5208" w:type="dxa"/>
            <w:gridSpan w:val="3"/>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Langues pa</w:t>
            </w:r>
            <w:r w:rsidRPr="00EE3822">
              <w:rPr>
                <w:bCs/>
                <w:sz w:val="24"/>
              </w:rPr>
              <w:t>r</w:t>
            </w:r>
            <w:r w:rsidRPr="00EE3822">
              <w:rPr>
                <w:bCs/>
                <w:sz w:val="24"/>
              </w:rPr>
              <w:t>lées</w:t>
            </w:r>
          </w:p>
        </w:tc>
      </w:tr>
      <w:tr w:rsidR="00B7214C" w:rsidRPr="00EE3822">
        <w:tblPrEx>
          <w:tblCellMar>
            <w:top w:w="0" w:type="dxa"/>
            <w:bottom w:w="0" w:type="dxa"/>
          </w:tblCellMar>
        </w:tblPrEx>
        <w:tc>
          <w:tcPr>
            <w:tcW w:w="2710" w:type="dxa"/>
            <w:vMerge/>
            <w:shd w:val="clear" w:color="auto" w:fill="EDEAD1"/>
            <w:vAlign w:val="bottom"/>
          </w:tcPr>
          <w:p w:rsidR="00B7214C" w:rsidRPr="00EE3822" w:rsidRDefault="00B7214C" w:rsidP="00B7214C">
            <w:pPr>
              <w:spacing w:before="120" w:after="120"/>
              <w:ind w:left="180" w:firstLine="0"/>
              <w:rPr>
                <w:sz w:val="24"/>
              </w:rPr>
            </w:pPr>
          </w:p>
        </w:tc>
        <w:tc>
          <w:tcPr>
            <w:tcW w:w="1503"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Français</w:t>
            </w:r>
          </w:p>
        </w:tc>
        <w:tc>
          <w:tcPr>
            <w:tcW w:w="1674"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Anglais</w:t>
            </w:r>
          </w:p>
        </w:tc>
        <w:tc>
          <w:tcPr>
            <w:tcW w:w="2031" w:type="dxa"/>
            <w:tcBorders>
              <w:top w:val="single" w:sz="4" w:space="0" w:color="auto"/>
            </w:tcBorders>
            <w:shd w:val="clear" w:color="auto" w:fill="EDEAD1"/>
            <w:vAlign w:val="bottom"/>
          </w:tcPr>
          <w:p w:rsidR="00B7214C" w:rsidRPr="00EE3822" w:rsidRDefault="00B7214C" w:rsidP="00B7214C">
            <w:pPr>
              <w:spacing w:before="120" w:after="120"/>
              <w:ind w:firstLine="0"/>
              <w:jc w:val="center"/>
              <w:rPr>
                <w:sz w:val="24"/>
              </w:rPr>
            </w:pPr>
            <w:r w:rsidRPr="00EE3822">
              <w:rPr>
                <w:bCs/>
                <w:sz w:val="24"/>
              </w:rPr>
              <w:t>Alloph</w:t>
            </w:r>
            <w:r w:rsidRPr="00EE3822">
              <w:rPr>
                <w:bCs/>
                <w:sz w:val="24"/>
              </w:rPr>
              <w:t>o</w:t>
            </w:r>
            <w:r w:rsidRPr="00EE3822">
              <w:rPr>
                <w:bCs/>
                <w:sz w:val="24"/>
              </w:rPr>
              <w:t>ne</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rPr>
                <w:bCs/>
                <w:sz w:val="24"/>
              </w:rPr>
            </w:pPr>
            <w:r w:rsidRPr="00EE3822">
              <w:rPr>
                <w:bCs/>
                <w:sz w:val="24"/>
              </w:rPr>
              <w:t>Exclusivement</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2,3%</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0,2%</w:t>
            </w:r>
          </w:p>
        </w:tc>
        <w:tc>
          <w:tcPr>
            <w:tcW w:w="2031"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63,9%</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rPr>
                <w:bCs/>
                <w:sz w:val="24"/>
              </w:rPr>
            </w:pPr>
            <w:r w:rsidRPr="00EE3822">
              <w:rPr>
                <w:bCs/>
                <w:sz w:val="24"/>
              </w:rPr>
              <w:t>Souvent</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sz w:val="24"/>
              </w:rPr>
              <w:t>14,4</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3,1</w:t>
            </w:r>
          </w:p>
        </w:tc>
        <w:tc>
          <w:tcPr>
            <w:tcW w:w="2031"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sz w:val="24"/>
              </w:rPr>
              <w:t>28,1</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rPr>
                <w:bCs/>
                <w:sz w:val="24"/>
              </w:rPr>
            </w:pPr>
            <w:r w:rsidRPr="00EE3822">
              <w:rPr>
                <w:bCs/>
                <w:sz w:val="24"/>
              </w:rPr>
              <w:t>Parfois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41,1</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21,1</w:t>
            </w:r>
          </w:p>
        </w:tc>
        <w:tc>
          <w:tcPr>
            <w:tcW w:w="2031"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6,6</w:t>
            </w:r>
          </w:p>
        </w:tc>
      </w:tr>
      <w:tr w:rsidR="00B7214C" w:rsidRPr="00EE3822">
        <w:tblPrEx>
          <w:tblCellMar>
            <w:top w:w="0" w:type="dxa"/>
            <w:bottom w:w="0" w:type="dxa"/>
          </w:tblCellMar>
        </w:tblPrEx>
        <w:tc>
          <w:tcPr>
            <w:tcW w:w="2710" w:type="dxa"/>
            <w:shd w:val="clear" w:color="auto" w:fill="FFFFFF"/>
            <w:vAlign w:val="bottom"/>
          </w:tcPr>
          <w:p w:rsidR="00B7214C" w:rsidRPr="00EE3822" w:rsidRDefault="00B7214C" w:rsidP="00B7214C">
            <w:pPr>
              <w:spacing w:before="60" w:after="60"/>
              <w:ind w:left="180" w:firstLine="0"/>
              <w:rPr>
                <w:bCs/>
                <w:sz w:val="24"/>
              </w:rPr>
            </w:pPr>
            <w:r w:rsidRPr="00EE3822">
              <w:rPr>
                <w:bCs/>
                <w:sz w:val="24"/>
              </w:rPr>
              <w:t>Jamais</w:t>
            </w:r>
          </w:p>
        </w:tc>
        <w:tc>
          <w:tcPr>
            <w:tcW w:w="1503"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42,2</w:t>
            </w:r>
          </w:p>
        </w:tc>
        <w:tc>
          <w:tcPr>
            <w:tcW w:w="1674"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bCs/>
                <w:sz w:val="24"/>
              </w:rPr>
              <w:t>75,6</w:t>
            </w:r>
          </w:p>
        </w:tc>
        <w:tc>
          <w:tcPr>
            <w:tcW w:w="2031" w:type="dxa"/>
            <w:shd w:val="clear" w:color="auto" w:fill="FFFFFF"/>
            <w:vAlign w:val="bottom"/>
          </w:tcPr>
          <w:p w:rsidR="00B7214C" w:rsidRPr="00EE3822" w:rsidRDefault="00B7214C" w:rsidP="00B7214C">
            <w:pPr>
              <w:tabs>
                <w:tab w:val="decimal" w:pos="890"/>
              </w:tabs>
              <w:spacing w:before="60" w:after="60"/>
              <w:ind w:firstLine="0"/>
              <w:jc w:val="both"/>
              <w:rPr>
                <w:bCs/>
                <w:sz w:val="24"/>
              </w:rPr>
            </w:pPr>
            <w:r w:rsidRPr="00EE3822">
              <w:rPr>
                <w:sz w:val="24"/>
              </w:rPr>
              <w:t>1,4</w:t>
            </w:r>
          </w:p>
        </w:tc>
      </w:tr>
      <w:tr w:rsidR="00B7214C" w:rsidRPr="00EE3822">
        <w:tblPrEx>
          <w:tblCellMar>
            <w:top w:w="0" w:type="dxa"/>
            <w:bottom w:w="0" w:type="dxa"/>
          </w:tblCellMar>
        </w:tblPrEx>
        <w:tc>
          <w:tcPr>
            <w:tcW w:w="2710" w:type="dxa"/>
            <w:tcBorders>
              <w:top w:val="single" w:sz="4" w:space="0" w:color="auto"/>
            </w:tcBorders>
            <w:shd w:val="clear" w:color="auto" w:fill="FFFFFF"/>
            <w:vAlign w:val="bottom"/>
          </w:tcPr>
          <w:p w:rsidR="00B7214C" w:rsidRPr="00EE3822" w:rsidRDefault="00B7214C" w:rsidP="00B7214C">
            <w:pPr>
              <w:spacing w:before="60" w:after="60"/>
              <w:ind w:left="180" w:firstLine="0"/>
              <w:rPr>
                <w:b/>
                <w:bCs/>
                <w:sz w:val="24"/>
              </w:rPr>
            </w:pPr>
            <w:r w:rsidRPr="00EE3822">
              <w:rPr>
                <w:sz w:val="24"/>
              </w:rPr>
              <w:t>Total</w:t>
            </w:r>
          </w:p>
        </w:tc>
        <w:tc>
          <w:tcPr>
            <w:tcW w:w="1503"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
                <w:bCs/>
                <w:sz w:val="24"/>
              </w:rPr>
            </w:pPr>
            <w:r w:rsidRPr="00EE3822">
              <w:rPr>
                <w:sz w:val="24"/>
              </w:rPr>
              <w:t>100,0%</w:t>
            </w:r>
          </w:p>
        </w:tc>
        <w:tc>
          <w:tcPr>
            <w:tcW w:w="1674"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
                <w:bCs/>
                <w:sz w:val="24"/>
              </w:rPr>
            </w:pPr>
            <w:r w:rsidRPr="00EE3822">
              <w:rPr>
                <w:sz w:val="24"/>
              </w:rPr>
              <w:t>100,0%</w:t>
            </w:r>
          </w:p>
        </w:tc>
        <w:tc>
          <w:tcPr>
            <w:tcW w:w="2031" w:type="dxa"/>
            <w:tcBorders>
              <w:top w:val="single" w:sz="4" w:space="0" w:color="auto"/>
            </w:tcBorders>
            <w:shd w:val="clear" w:color="auto" w:fill="FFFFFF"/>
            <w:vAlign w:val="bottom"/>
          </w:tcPr>
          <w:p w:rsidR="00B7214C" w:rsidRPr="00EE3822" w:rsidRDefault="00B7214C" w:rsidP="00B7214C">
            <w:pPr>
              <w:tabs>
                <w:tab w:val="decimal" w:pos="890"/>
              </w:tabs>
              <w:spacing w:before="60" w:after="60"/>
              <w:ind w:firstLine="0"/>
              <w:jc w:val="both"/>
              <w:rPr>
                <w:b/>
                <w:bCs/>
                <w:sz w:val="24"/>
              </w:rPr>
            </w:pPr>
            <w:r w:rsidRPr="00EE3822">
              <w:rPr>
                <w:sz w:val="24"/>
              </w:rPr>
              <w:t>100,0%</w:t>
            </w:r>
          </w:p>
        </w:tc>
      </w:tr>
      <w:tr w:rsidR="00B7214C" w:rsidRPr="00EE3822">
        <w:tblPrEx>
          <w:tblCellMar>
            <w:top w:w="0" w:type="dxa"/>
            <w:bottom w:w="0" w:type="dxa"/>
          </w:tblCellMar>
        </w:tblPrEx>
        <w:tc>
          <w:tcPr>
            <w:tcW w:w="2710" w:type="dxa"/>
            <w:tcBorders>
              <w:bottom w:val="single" w:sz="4" w:space="0" w:color="auto"/>
            </w:tcBorders>
            <w:shd w:val="clear" w:color="auto" w:fill="FFFFFF"/>
          </w:tcPr>
          <w:p w:rsidR="00B7214C" w:rsidRPr="00EE3822" w:rsidRDefault="00B7214C" w:rsidP="00B7214C">
            <w:pPr>
              <w:spacing w:before="120" w:after="120"/>
              <w:ind w:left="180" w:firstLine="0"/>
              <w:rPr>
                <w:b/>
                <w:bCs/>
                <w:sz w:val="24"/>
              </w:rPr>
            </w:pPr>
            <w:r w:rsidRPr="00EE3822">
              <w:rPr>
                <w:sz w:val="24"/>
              </w:rPr>
              <w:t>(N)</w:t>
            </w:r>
          </w:p>
        </w:tc>
        <w:tc>
          <w:tcPr>
            <w:tcW w:w="1503" w:type="dxa"/>
            <w:tcBorders>
              <w:bottom w:val="single" w:sz="4" w:space="0" w:color="auto"/>
            </w:tcBorders>
            <w:shd w:val="clear" w:color="auto" w:fill="FFFFFF"/>
          </w:tcPr>
          <w:p w:rsidR="00B7214C" w:rsidRPr="00EE3822" w:rsidRDefault="00B7214C" w:rsidP="00B7214C">
            <w:pPr>
              <w:tabs>
                <w:tab w:val="decimal" w:pos="890"/>
              </w:tabs>
              <w:spacing w:before="120" w:after="120"/>
              <w:ind w:firstLine="0"/>
              <w:jc w:val="both"/>
              <w:rPr>
                <w:b/>
                <w:bCs/>
                <w:sz w:val="24"/>
              </w:rPr>
            </w:pPr>
            <w:r w:rsidRPr="00EE3822">
              <w:rPr>
                <w:sz w:val="24"/>
              </w:rPr>
              <w:t>(446)</w:t>
            </w:r>
          </w:p>
        </w:tc>
        <w:tc>
          <w:tcPr>
            <w:tcW w:w="1674" w:type="dxa"/>
            <w:tcBorders>
              <w:bottom w:val="single" w:sz="4" w:space="0" w:color="auto"/>
            </w:tcBorders>
            <w:shd w:val="clear" w:color="auto" w:fill="FFFFFF"/>
          </w:tcPr>
          <w:p w:rsidR="00B7214C" w:rsidRPr="00EE3822" w:rsidRDefault="00B7214C" w:rsidP="00B7214C">
            <w:pPr>
              <w:tabs>
                <w:tab w:val="decimal" w:pos="890"/>
              </w:tabs>
              <w:spacing w:before="120" w:after="120"/>
              <w:ind w:firstLine="0"/>
              <w:jc w:val="both"/>
              <w:rPr>
                <w:b/>
                <w:bCs/>
                <w:sz w:val="24"/>
              </w:rPr>
            </w:pPr>
            <w:r w:rsidRPr="00EE3822">
              <w:rPr>
                <w:sz w:val="24"/>
              </w:rPr>
              <w:t>(446)</w:t>
            </w:r>
          </w:p>
        </w:tc>
        <w:tc>
          <w:tcPr>
            <w:tcW w:w="2031" w:type="dxa"/>
            <w:tcBorders>
              <w:bottom w:val="single" w:sz="4" w:space="0" w:color="auto"/>
            </w:tcBorders>
            <w:shd w:val="clear" w:color="auto" w:fill="FFFFFF"/>
          </w:tcPr>
          <w:p w:rsidR="00B7214C" w:rsidRPr="00EE3822" w:rsidRDefault="00B7214C" w:rsidP="00B7214C">
            <w:pPr>
              <w:tabs>
                <w:tab w:val="decimal" w:pos="890"/>
              </w:tabs>
              <w:spacing w:before="120" w:after="120"/>
              <w:ind w:firstLine="0"/>
              <w:jc w:val="both"/>
              <w:rPr>
                <w:b/>
                <w:bCs/>
                <w:sz w:val="24"/>
              </w:rPr>
            </w:pPr>
            <w:r w:rsidRPr="00EE3822">
              <w:rPr>
                <w:sz w:val="24"/>
              </w:rPr>
              <w:t>(435)</w:t>
            </w:r>
          </w:p>
        </w:tc>
      </w:tr>
    </w:tbl>
    <w:p w:rsidR="00B7214C" w:rsidRPr="00EE3822" w:rsidRDefault="00B7214C" w:rsidP="00B7214C">
      <w:pPr>
        <w:spacing w:before="120" w:after="120"/>
        <w:ind w:firstLine="0"/>
        <w:jc w:val="both"/>
        <w:rPr>
          <w:bCs/>
          <w:sz w:val="24"/>
        </w:rPr>
      </w:pPr>
      <w:r w:rsidRPr="00EE3822">
        <w:rPr>
          <w:bCs/>
          <w:sz w:val="24"/>
        </w:rPr>
        <w:t>Source : Enquête ALI, 1991</w:t>
      </w:r>
    </w:p>
    <w:p w:rsidR="00B7214C" w:rsidRPr="00CB4F2C" w:rsidRDefault="00B7214C" w:rsidP="00B7214C">
      <w:pPr>
        <w:spacing w:before="120" w:after="120"/>
        <w:jc w:val="both"/>
        <w:rPr>
          <w:szCs w:val="2"/>
        </w:rPr>
      </w:pPr>
    </w:p>
    <w:p w:rsidR="00B7214C" w:rsidRPr="00CB4F2C" w:rsidRDefault="00B7214C" w:rsidP="00B7214C">
      <w:pPr>
        <w:spacing w:before="120" w:after="120"/>
        <w:jc w:val="both"/>
        <w:rPr>
          <w:szCs w:val="2"/>
        </w:rPr>
      </w:pPr>
    </w:p>
    <w:p w:rsidR="00B7214C" w:rsidRPr="00CB4F2C" w:rsidRDefault="00B7214C" w:rsidP="00B7214C">
      <w:pPr>
        <w:spacing w:before="120" w:after="120"/>
        <w:jc w:val="both"/>
      </w:pPr>
      <w:r w:rsidRPr="00CB4F2C">
        <w:t>De façon générale, le français a pénétré de façon remarquable les foyers d'immigrants allophones bilingues et allophones français, c'est-à-dire les deux groupes qui ont fait preuve d'une connaissance de cette langue avant l'arrivée au pays. En fait, le français est presque autant parlé que les langues allophones ; environ un quart des ménages a ce</w:t>
      </w:r>
      <w:r w:rsidRPr="00CB4F2C">
        <w:t>s</w:t>
      </w:r>
      <w:r w:rsidRPr="00CB4F2C">
        <w:t>sé la pratique régulière des langues allophones.</w:t>
      </w:r>
    </w:p>
    <w:p w:rsidR="00B7214C" w:rsidRPr="00CB4F2C" w:rsidRDefault="00B7214C" w:rsidP="00B7214C">
      <w:pPr>
        <w:spacing w:before="120" w:after="120"/>
        <w:jc w:val="both"/>
      </w:pPr>
      <w:r w:rsidRPr="00CB4F2C">
        <w:t>Les allophones anglais n'ont pas connu le même niveau d'intégr</w:t>
      </w:r>
      <w:r w:rsidRPr="00CB4F2C">
        <w:t>a</w:t>
      </w:r>
      <w:r w:rsidRPr="00CB4F2C">
        <w:t>tion à la communauté d'accueil anglophone. Si un quart des ménages a également abandonné l'utilisation régulière des langues allophones, l'anglais n'est parlé de façon régulière que deux fois plus souvent que le français. Cette dernière langue est régulièrement employée dans environ un ménage sur sept, chiffre qui se retrouve également chez les anglophones autrefois unilingues.</w:t>
      </w:r>
    </w:p>
    <w:p w:rsidR="00B7214C" w:rsidRPr="00CB4F2C" w:rsidRDefault="00B7214C" w:rsidP="00B7214C">
      <w:pPr>
        <w:spacing w:before="120" w:after="120"/>
        <w:jc w:val="both"/>
      </w:pPr>
      <w:r w:rsidRPr="00CB4F2C">
        <w:t>Le seul groupe qui conserve une fidélité très forte à une langue a</w:t>
      </w:r>
      <w:r w:rsidRPr="00CB4F2C">
        <w:t>l</w:t>
      </w:r>
      <w:r w:rsidRPr="00CB4F2C">
        <w:t>lo- phone est celui qui était unilingue à l'arrivée au pays. Néanmoins, le français est souvent parlé dans un ménage sur six alors que l'anglais est quasiment absent. Peu de ménages allophones unilingues ont cessé la pratique des langues allophones.</w:t>
      </w:r>
    </w:p>
    <w:p w:rsidR="00B7214C" w:rsidRPr="00CB4F2C" w:rsidRDefault="00B7214C" w:rsidP="00B7214C">
      <w:pPr>
        <w:spacing w:before="120" w:after="120"/>
        <w:jc w:val="both"/>
      </w:pPr>
      <w:r w:rsidRPr="00CB4F2C">
        <w:t>Il est important de souligner que les foyers immigrants font donc une large place au bilinguisme de toutes sortes, dont le plus hétérog</w:t>
      </w:r>
      <w:r w:rsidRPr="00CB4F2C">
        <w:t>è</w:t>
      </w:r>
      <w:r w:rsidRPr="00CB4F2C">
        <w:t>ne est le modèle allophone anglais. Attiré naturellement par l'anglais, ce groupe fait néanmoins une petite place au français ; en cela, il suit l'exemple des immigrants anglophones.</w:t>
      </w:r>
    </w:p>
    <w:p w:rsidR="00B7214C" w:rsidRDefault="00B7214C" w:rsidP="00B7214C">
      <w:pPr>
        <w:spacing w:before="120" w:after="120"/>
        <w:jc w:val="both"/>
      </w:pPr>
    </w:p>
    <w:p w:rsidR="00B7214C" w:rsidRPr="00B33FA7" w:rsidRDefault="00B7214C" w:rsidP="00B7214C">
      <w:pPr>
        <w:pStyle w:val="b"/>
      </w:pPr>
      <w:r w:rsidRPr="00B33FA7">
        <w:t>La langue d'amitié,</w:t>
      </w:r>
      <w:r>
        <w:br/>
      </w:r>
      <w:r w:rsidRPr="00B33FA7">
        <w:t>la langue de voisinage et la langue d'usage</w:t>
      </w:r>
    </w:p>
    <w:p w:rsidR="00B7214C" w:rsidRDefault="00B7214C" w:rsidP="00B7214C">
      <w:pPr>
        <w:spacing w:before="120" w:after="120"/>
        <w:jc w:val="both"/>
      </w:pPr>
    </w:p>
    <w:p w:rsidR="00B7214C" w:rsidRPr="00CB4F2C" w:rsidRDefault="00B7214C" w:rsidP="00B7214C">
      <w:pPr>
        <w:spacing w:before="120" w:after="120"/>
        <w:jc w:val="both"/>
      </w:pPr>
      <w:r w:rsidRPr="00CB4F2C">
        <w:t>Trois autres indicateurs de la pratique linguistique sont examinés aux tableaux 6 à 10 : la langue d'amitié, la langue d'usage et la langue</w:t>
      </w:r>
      <w:r>
        <w:t xml:space="preserve"> [187] </w:t>
      </w:r>
      <w:r w:rsidRPr="00CB4F2C">
        <w:t>d'échange avec les voisins. Les deux premières questions nous permettent de distinguer, dans les ménages bilingues, l'idée d'une la</w:t>
      </w:r>
      <w:r w:rsidRPr="00CB4F2C">
        <w:t>n</w:t>
      </w:r>
      <w:r w:rsidRPr="00CB4F2C">
        <w:t>gue principale, alors que la dernière fournit une indication de l'orient</w:t>
      </w:r>
      <w:r w:rsidRPr="00CB4F2C">
        <w:t>a</w:t>
      </w:r>
      <w:r w:rsidRPr="00CB4F2C">
        <w:t>tion linguistique de l'individu en dehors de la maison.</w:t>
      </w:r>
    </w:p>
    <w:p w:rsidR="00B7214C" w:rsidRDefault="00B7214C" w:rsidP="00B7214C">
      <w:pPr>
        <w:spacing w:before="120" w:after="120"/>
        <w:jc w:val="both"/>
      </w:pPr>
    </w:p>
    <w:p w:rsidR="00B7214C" w:rsidRPr="00CB4F2C" w:rsidRDefault="00B7214C" w:rsidP="00B7214C">
      <w:pPr>
        <w:pStyle w:val="Grillecouleur-Accent1"/>
      </w:pPr>
      <w:r w:rsidRPr="00CB4F2C">
        <w:t xml:space="preserve">Langue d'amitié : « Quelle langue parlez-vous </w:t>
      </w:r>
      <w:r w:rsidRPr="00B33FA7">
        <w:rPr>
          <w:i/>
          <w:iCs/>
        </w:rPr>
        <w:t>le plus souvent</w:t>
      </w:r>
      <w:r w:rsidRPr="00CB4F2C">
        <w:t xml:space="preserve"> avec </w:t>
      </w:r>
      <w:r w:rsidRPr="00B33FA7">
        <w:rPr>
          <w:i/>
          <w:iCs/>
        </w:rPr>
        <w:t>vos meilleurs amis</w:t>
      </w:r>
      <w:r w:rsidRPr="00CB4F2C">
        <w:t> ? »</w:t>
      </w:r>
    </w:p>
    <w:p w:rsidR="00B7214C" w:rsidRDefault="00B7214C" w:rsidP="00B7214C">
      <w:pPr>
        <w:pStyle w:val="Grillecouleur-Accent1"/>
      </w:pPr>
      <w:r w:rsidRPr="00CB4F2C">
        <w:t xml:space="preserve">Langue d'usage : « Quelle langue parlez-vous </w:t>
      </w:r>
      <w:r w:rsidRPr="00B33FA7">
        <w:rPr>
          <w:i/>
          <w:iCs/>
        </w:rPr>
        <w:t>le plus souvent</w:t>
      </w:r>
      <w:r w:rsidRPr="00CB4F2C">
        <w:t xml:space="preserve"> à la ma</w:t>
      </w:r>
      <w:r w:rsidRPr="00CB4F2C">
        <w:t>i</w:t>
      </w:r>
      <w:r w:rsidRPr="00CB4F2C">
        <w:t xml:space="preserve">son ? » Langue de voisinage : « Quelle langue parlez-vous </w:t>
      </w:r>
      <w:r w:rsidRPr="00B33FA7">
        <w:rPr>
          <w:i/>
          <w:iCs/>
        </w:rPr>
        <w:t>le plus souvent</w:t>
      </w:r>
      <w:r w:rsidRPr="00CB4F2C">
        <w:t xml:space="preserve"> avec vos voisins ? »</w:t>
      </w:r>
    </w:p>
    <w:p w:rsidR="00B7214C" w:rsidRPr="00CB4F2C" w:rsidRDefault="00B7214C" w:rsidP="00B7214C">
      <w:pPr>
        <w:spacing w:before="120" w:after="120"/>
        <w:jc w:val="both"/>
      </w:pPr>
      <w:r>
        <w:br w:type="page"/>
      </w:r>
    </w:p>
    <w:p w:rsidR="00B7214C" w:rsidRPr="00CB4F2C" w:rsidRDefault="00B7214C" w:rsidP="00B7214C">
      <w:pPr>
        <w:pStyle w:val="figtitre"/>
      </w:pPr>
      <w:r w:rsidRPr="00CB4F2C">
        <w:t>TABLEAU 6</w:t>
      </w:r>
    </w:p>
    <w:p w:rsidR="00B7214C" w:rsidRDefault="00B7214C" w:rsidP="00B7214C">
      <w:pPr>
        <w:pStyle w:val="figtitre"/>
      </w:pPr>
      <w:r w:rsidRPr="00CB4F2C">
        <w:t xml:space="preserve">Dimensions de la pratique linguistique, </w:t>
      </w:r>
      <w:r>
        <w:br/>
      </w:r>
      <w:r w:rsidRPr="00CB4F2C">
        <w:t>immigrants anglophones unilingues, Qu</w:t>
      </w:r>
      <w:r w:rsidRPr="00CB4F2C">
        <w:t>é</w:t>
      </w:r>
      <w:r w:rsidRPr="00CB4F2C">
        <w:t>bec, 1991</w:t>
      </w:r>
    </w:p>
    <w:tbl>
      <w:tblPr>
        <w:tblOverlap w:val="never"/>
        <w:tblW w:w="7948" w:type="dxa"/>
        <w:tblLayout w:type="fixed"/>
        <w:tblCellMar>
          <w:left w:w="10" w:type="dxa"/>
          <w:right w:w="10" w:type="dxa"/>
        </w:tblCellMar>
        <w:tblLook w:val="04A0" w:firstRow="1" w:lastRow="0" w:firstColumn="1" w:lastColumn="0" w:noHBand="0" w:noVBand="1"/>
      </w:tblPr>
      <w:tblGrid>
        <w:gridCol w:w="2424"/>
        <w:gridCol w:w="1810"/>
        <w:gridCol w:w="1474"/>
        <w:gridCol w:w="2240"/>
      </w:tblGrid>
      <w:tr w:rsidR="00B7214C" w:rsidRPr="00EE3822">
        <w:tblPrEx>
          <w:tblCellMar>
            <w:top w:w="0" w:type="dxa"/>
            <w:bottom w:w="0" w:type="dxa"/>
          </w:tblCellMar>
        </w:tblPrEx>
        <w:tc>
          <w:tcPr>
            <w:tcW w:w="2424" w:type="dxa"/>
            <w:vMerge w:val="restart"/>
            <w:tcBorders>
              <w:top w:val="single" w:sz="4" w:space="0" w:color="auto"/>
            </w:tcBorders>
            <w:shd w:val="clear" w:color="auto" w:fill="EDEAD1"/>
            <w:vAlign w:val="bottom"/>
          </w:tcPr>
          <w:p w:rsidR="00B7214C" w:rsidRPr="00EE3822" w:rsidRDefault="00B7214C" w:rsidP="00B7214C">
            <w:pPr>
              <w:spacing w:before="60" w:after="60"/>
              <w:ind w:left="180" w:firstLine="0"/>
              <w:rPr>
                <w:sz w:val="24"/>
              </w:rPr>
            </w:pPr>
            <w:r w:rsidRPr="00B33FA7">
              <w:rPr>
                <w:sz w:val="24"/>
              </w:rPr>
              <w:t>Langues</w:t>
            </w:r>
            <w:r>
              <w:rPr>
                <w:sz w:val="24"/>
              </w:rPr>
              <w:t xml:space="preserve"> </w:t>
            </w:r>
            <w:r w:rsidRPr="00B33FA7">
              <w:rPr>
                <w:sz w:val="24"/>
              </w:rPr>
              <w:t>employées</w:t>
            </w:r>
          </w:p>
        </w:tc>
        <w:tc>
          <w:tcPr>
            <w:tcW w:w="5524" w:type="dxa"/>
            <w:gridSpan w:val="3"/>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Dimension de la pratique linguist</w:t>
            </w:r>
            <w:r w:rsidRPr="00B33FA7">
              <w:rPr>
                <w:sz w:val="24"/>
              </w:rPr>
              <w:t>i</w:t>
            </w:r>
            <w:r w:rsidRPr="00B33FA7">
              <w:rPr>
                <w:sz w:val="24"/>
              </w:rPr>
              <w:t>que</w:t>
            </w:r>
          </w:p>
        </w:tc>
      </w:tr>
      <w:tr w:rsidR="00B7214C" w:rsidRPr="00EE3822">
        <w:tblPrEx>
          <w:tblCellMar>
            <w:top w:w="0" w:type="dxa"/>
            <w:bottom w:w="0" w:type="dxa"/>
          </w:tblCellMar>
        </w:tblPrEx>
        <w:tc>
          <w:tcPr>
            <w:tcW w:w="2424" w:type="dxa"/>
            <w:vMerge/>
            <w:shd w:val="clear" w:color="auto" w:fill="EDEAD1"/>
            <w:vAlign w:val="bottom"/>
          </w:tcPr>
          <w:p w:rsidR="00B7214C" w:rsidRPr="00EE3822" w:rsidRDefault="00B7214C" w:rsidP="00B7214C">
            <w:pPr>
              <w:spacing w:before="60" w:after="60"/>
              <w:ind w:left="180" w:firstLine="0"/>
              <w:rPr>
                <w:sz w:val="24"/>
              </w:rPr>
            </w:pPr>
          </w:p>
        </w:tc>
        <w:tc>
          <w:tcPr>
            <w:tcW w:w="1810"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Amitié</w:t>
            </w:r>
          </w:p>
        </w:tc>
        <w:tc>
          <w:tcPr>
            <w:tcW w:w="1474"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Quartier</w:t>
            </w:r>
          </w:p>
        </w:tc>
        <w:tc>
          <w:tcPr>
            <w:tcW w:w="2240"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D'usage</w:t>
            </w:r>
          </w:p>
        </w:tc>
      </w:tr>
      <w:tr w:rsidR="00B7214C" w:rsidRPr="00B33FA7">
        <w:tblPrEx>
          <w:tblCellMar>
            <w:top w:w="0" w:type="dxa"/>
            <w:bottom w:w="0" w:type="dxa"/>
          </w:tblCellMar>
        </w:tblPrEx>
        <w:tc>
          <w:tcPr>
            <w:tcW w:w="2424" w:type="dxa"/>
            <w:tcBorders>
              <w:top w:val="single" w:sz="4" w:space="0" w:color="auto"/>
            </w:tcBorders>
            <w:shd w:val="clear" w:color="auto" w:fill="FFFFFF"/>
            <w:vAlign w:val="bottom"/>
          </w:tcPr>
          <w:p w:rsidR="00B7214C" w:rsidRPr="00B33FA7" w:rsidRDefault="00B7214C" w:rsidP="00B7214C">
            <w:pPr>
              <w:spacing w:before="60" w:after="60"/>
              <w:ind w:left="180" w:firstLine="0"/>
              <w:rPr>
                <w:sz w:val="24"/>
              </w:rPr>
            </w:pPr>
            <w:r w:rsidRPr="00B33FA7">
              <w:rPr>
                <w:sz w:val="24"/>
              </w:rPr>
              <w:t>français</w:t>
            </w:r>
          </w:p>
        </w:tc>
        <w:tc>
          <w:tcPr>
            <w:tcW w:w="1810"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11,8%</w:t>
            </w:r>
          </w:p>
        </w:tc>
        <w:tc>
          <w:tcPr>
            <w:tcW w:w="1474"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26,0%</w:t>
            </w:r>
          </w:p>
        </w:tc>
        <w:tc>
          <w:tcPr>
            <w:tcW w:w="2240"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8,7%</w:t>
            </w:r>
          </w:p>
        </w:tc>
      </w:tr>
      <w:tr w:rsidR="00B7214C" w:rsidRPr="00B33FA7">
        <w:tblPrEx>
          <w:tblCellMar>
            <w:top w:w="0" w:type="dxa"/>
            <w:bottom w:w="0" w:type="dxa"/>
          </w:tblCellMar>
        </w:tblPrEx>
        <w:tc>
          <w:tcPr>
            <w:tcW w:w="2424" w:type="dxa"/>
            <w:shd w:val="clear" w:color="auto" w:fill="FFFFFF"/>
            <w:vAlign w:val="bottom"/>
          </w:tcPr>
          <w:p w:rsidR="00B7214C" w:rsidRPr="00B33FA7" w:rsidRDefault="00B7214C" w:rsidP="00B7214C">
            <w:pPr>
              <w:spacing w:before="60" w:after="60"/>
              <w:ind w:left="180" w:firstLine="0"/>
              <w:rPr>
                <w:sz w:val="24"/>
              </w:rPr>
            </w:pPr>
            <w:r w:rsidRPr="00B33FA7">
              <w:rPr>
                <w:sz w:val="24"/>
              </w:rPr>
              <w:t>anglais</w:t>
            </w:r>
          </w:p>
        </w:tc>
        <w:tc>
          <w:tcPr>
            <w:tcW w:w="181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84,9</w:t>
            </w:r>
          </w:p>
        </w:tc>
        <w:tc>
          <w:tcPr>
            <w:tcW w:w="1474"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72,8</w:t>
            </w:r>
          </w:p>
        </w:tc>
        <w:tc>
          <w:tcPr>
            <w:tcW w:w="224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86,8</w:t>
            </w:r>
          </w:p>
        </w:tc>
      </w:tr>
      <w:tr w:rsidR="00B7214C" w:rsidRPr="00B33FA7">
        <w:tblPrEx>
          <w:tblCellMar>
            <w:top w:w="0" w:type="dxa"/>
            <w:bottom w:w="0" w:type="dxa"/>
          </w:tblCellMar>
        </w:tblPrEx>
        <w:tc>
          <w:tcPr>
            <w:tcW w:w="2424" w:type="dxa"/>
            <w:shd w:val="clear" w:color="auto" w:fill="FFFFFF"/>
            <w:vAlign w:val="center"/>
          </w:tcPr>
          <w:p w:rsidR="00B7214C" w:rsidRPr="00B33FA7" w:rsidRDefault="00B7214C" w:rsidP="00B7214C">
            <w:pPr>
              <w:spacing w:before="60" w:after="60"/>
              <w:ind w:left="180" w:firstLine="0"/>
              <w:rPr>
                <w:sz w:val="24"/>
              </w:rPr>
            </w:pPr>
            <w:r w:rsidRPr="00B33FA7">
              <w:rPr>
                <w:sz w:val="24"/>
              </w:rPr>
              <w:t>français et anglais</w:t>
            </w:r>
          </w:p>
        </w:tc>
        <w:tc>
          <w:tcPr>
            <w:tcW w:w="181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0,8</w:t>
            </w:r>
          </w:p>
        </w:tc>
        <w:tc>
          <w:tcPr>
            <w:tcW w:w="1474"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1,2</w:t>
            </w:r>
          </w:p>
        </w:tc>
        <w:tc>
          <w:tcPr>
            <w:tcW w:w="224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0,6</w:t>
            </w:r>
          </w:p>
        </w:tc>
      </w:tr>
      <w:tr w:rsidR="00B7214C" w:rsidRPr="00B33FA7">
        <w:tblPrEx>
          <w:tblCellMar>
            <w:top w:w="0" w:type="dxa"/>
            <w:bottom w:w="0" w:type="dxa"/>
          </w:tblCellMar>
        </w:tblPrEx>
        <w:tc>
          <w:tcPr>
            <w:tcW w:w="2424" w:type="dxa"/>
            <w:shd w:val="clear" w:color="auto" w:fill="FFFFFF"/>
            <w:vAlign w:val="bottom"/>
          </w:tcPr>
          <w:p w:rsidR="00B7214C" w:rsidRPr="00B33FA7" w:rsidRDefault="00B7214C" w:rsidP="00B7214C">
            <w:pPr>
              <w:spacing w:before="60" w:after="60"/>
              <w:ind w:left="180" w:firstLine="0"/>
              <w:rPr>
                <w:sz w:val="24"/>
              </w:rPr>
            </w:pPr>
            <w:r w:rsidRPr="00B33FA7">
              <w:rPr>
                <w:sz w:val="24"/>
              </w:rPr>
              <w:t>français et autre</w:t>
            </w:r>
          </w:p>
        </w:tc>
        <w:tc>
          <w:tcPr>
            <w:tcW w:w="181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0,0</w:t>
            </w:r>
          </w:p>
        </w:tc>
        <w:tc>
          <w:tcPr>
            <w:tcW w:w="1474"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0,0</w:t>
            </w:r>
          </w:p>
        </w:tc>
        <w:tc>
          <w:tcPr>
            <w:tcW w:w="224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0,7</w:t>
            </w:r>
          </w:p>
        </w:tc>
      </w:tr>
      <w:tr w:rsidR="00B7214C" w:rsidRPr="00B33FA7">
        <w:tblPrEx>
          <w:tblCellMar>
            <w:top w:w="0" w:type="dxa"/>
            <w:bottom w:w="0" w:type="dxa"/>
          </w:tblCellMar>
        </w:tblPrEx>
        <w:tc>
          <w:tcPr>
            <w:tcW w:w="2424" w:type="dxa"/>
            <w:shd w:val="clear" w:color="auto" w:fill="FFFFFF"/>
            <w:vAlign w:val="bottom"/>
          </w:tcPr>
          <w:p w:rsidR="00B7214C" w:rsidRPr="00B33FA7" w:rsidRDefault="00B7214C" w:rsidP="00B7214C">
            <w:pPr>
              <w:spacing w:before="60" w:after="60"/>
              <w:ind w:left="180" w:firstLine="0"/>
              <w:rPr>
                <w:sz w:val="24"/>
              </w:rPr>
            </w:pPr>
            <w:r w:rsidRPr="00B33FA7">
              <w:rPr>
                <w:sz w:val="24"/>
              </w:rPr>
              <w:t>langue allophone</w:t>
            </w:r>
          </w:p>
        </w:tc>
        <w:tc>
          <w:tcPr>
            <w:tcW w:w="181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2,5</w:t>
            </w:r>
          </w:p>
        </w:tc>
        <w:tc>
          <w:tcPr>
            <w:tcW w:w="1474"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0,0</w:t>
            </w:r>
          </w:p>
        </w:tc>
        <w:tc>
          <w:tcPr>
            <w:tcW w:w="2240" w:type="dxa"/>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3,2</w:t>
            </w:r>
          </w:p>
        </w:tc>
      </w:tr>
      <w:tr w:rsidR="00B7214C" w:rsidRPr="00B33FA7">
        <w:tblPrEx>
          <w:tblCellMar>
            <w:top w:w="0" w:type="dxa"/>
            <w:bottom w:w="0" w:type="dxa"/>
          </w:tblCellMar>
        </w:tblPrEx>
        <w:tc>
          <w:tcPr>
            <w:tcW w:w="2424" w:type="dxa"/>
            <w:tcBorders>
              <w:top w:val="single" w:sz="4" w:space="0" w:color="auto"/>
            </w:tcBorders>
            <w:shd w:val="clear" w:color="auto" w:fill="FFFFFF"/>
            <w:vAlign w:val="center"/>
          </w:tcPr>
          <w:p w:rsidR="00B7214C" w:rsidRPr="00B33FA7" w:rsidRDefault="00B7214C" w:rsidP="00B7214C">
            <w:pPr>
              <w:spacing w:before="60" w:after="60"/>
              <w:ind w:left="180" w:firstLine="0"/>
              <w:rPr>
                <w:sz w:val="24"/>
              </w:rPr>
            </w:pPr>
            <w:r w:rsidRPr="00B33FA7">
              <w:rPr>
                <w:sz w:val="24"/>
              </w:rPr>
              <w:t>Total</w:t>
            </w:r>
          </w:p>
        </w:tc>
        <w:tc>
          <w:tcPr>
            <w:tcW w:w="1810"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100,0%</w:t>
            </w:r>
          </w:p>
        </w:tc>
        <w:tc>
          <w:tcPr>
            <w:tcW w:w="1474"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100,0%</w:t>
            </w:r>
          </w:p>
        </w:tc>
        <w:tc>
          <w:tcPr>
            <w:tcW w:w="2240" w:type="dxa"/>
            <w:tcBorders>
              <w:top w:val="single" w:sz="4" w:space="0" w:color="auto"/>
            </w:tcBorders>
            <w:shd w:val="clear" w:color="auto" w:fill="FFFFFF"/>
            <w:vAlign w:val="bottom"/>
          </w:tcPr>
          <w:p w:rsidR="00B7214C" w:rsidRPr="00B33FA7" w:rsidRDefault="00B7214C" w:rsidP="00B7214C">
            <w:pPr>
              <w:tabs>
                <w:tab w:val="decimal" w:pos="996"/>
              </w:tabs>
              <w:spacing w:before="60" w:after="60"/>
              <w:ind w:firstLine="0"/>
              <w:jc w:val="both"/>
              <w:rPr>
                <w:sz w:val="24"/>
              </w:rPr>
            </w:pPr>
            <w:r w:rsidRPr="00B33FA7">
              <w:rPr>
                <w:sz w:val="24"/>
              </w:rPr>
              <w:t>100,0%</w:t>
            </w:r>
          </w:p>
        </w:tc>
      </w:tr>
      <w:tr w:rsidR="00B7214C" w:rsidRPr="00B33FA7">
        <w:tblPrEx>
          <w:tblCellMar>
            <w:top w:w="0" w:type="dxa"/>
            <w:bottom w:w="0" w:type="dxa"/>
          </w:tblCellMar>
        </w:tblPrEx>
        <w:tc>
          <w:tcPr>
            <w:tcW w:w="2424" w:type="dxa"/>
            <w:tcBorders>
              <w:bottom w:val="single" w:sz="12" w:space="0" w:color="auto"/>
            </w:tcBorders>
            <w:shd w:val="clear" w:color="auto" w:fill="FFFFFF"/>
          </w:tcPr>
          <w:p w:rsidR="00B7214C" w:rsidRPr="00B33FA7" w:rsidRDefault="00B7214C" w:rsidP="00B7214C">
            <w:pPr>
              <w:spacing w:before="60" w:after="60"/>
              <w:ind w:left="180" w:firstLine="0"/>
              <w:rPr>
                <w:sz w:val="24"/>
              </w:rPr>
            </w:pPr>
            <w:r w:rsidRPr="00B33FA7">
              <w:rPr>
                <w:sz w:val="24"/>
              </w:rPr>
              <w:t>(n)</w:t>
            </w:r>
          </w:p>
        </w:tc>
        <w:tc>
          <w:tcPr>
            <w:tcW w:w="1810" w:type="dxa"/>
            <w:tcBorders>
              <w:bottom w:val="single" w:sz="12" w:space="0" w:color="auto"/>
            </w:tcBorders>
            <w:shd w:val="clear" w:color="auto" w:fill="FFFFFF"/>
          </w:tcPr>
          <w:p w:rsidR="00B7214C" w:rsidRPr="00B33FA7" w:rsidRDefault="00B7214C" w:rsidP="00B7214C">
            <w:pPr>
              <w:tabs>
                <w:tab w:val="decimal" w:pos="996"/>
              </w:tabs>
              <w:spacing w:before="60" w:after="60"/>
              <w:ind w:firstLine="0"/>
              <w:jc w:val="both"/>
              <w:rPr>
                <w:sz w:val="24"/>
              </w:rPr>
            </w:pPr>
            <w:r w:rsidRPr="00B33FA7">
              <w:rPr>
                <w:sz w:val="24"/>
              </w:rPr>
              <w:t>(104)</w:t>
            </w:r>
          </w:p>
        </w:tc>
        <w:tc>
          <w:tcPr>
            <w:tcW w:w="1474" w:type="dxa"/>
            <w:tcBorders>
              <w:bottom w:val="single" w:sz="12" w:space="0" w:color="auto"/>
            </w:tcBorders>
            <w:shd w:val="clear" w:color="auto" w:fill="FFFFFF"/>
          </w:tcPr>
          <w:p w:rsidR="00B7214C" w:rsidRPr="00B33FA7" w:rsidRDefault="00B7214C" w:rsidP="00B7214C">
            <w:pPr>
              <w:tabs>
                <w:tab w:val="decimal" w:pos="996"/>
              </w:tabs>
              <w:spacing w:before="60" w:after="60"/>
              <w:ind w:firstLine="0"/>
              <w:jc w:val="both"/>
              <w:rPr>
                <w:sz w:val="24"/>
              </w:rPr>
            </w:pPr>
            <w:r w:rsidRPr="00B33FA7">
              <w:rPr>
                <w:sz w:val="24"/>
              </w:rPr>
              <w:t>(104)</w:t>
            </w:r>
          </w:p>
        </w:tc>
        <w:tc>
          <w:tcPr>
            <w:tcW w:w="2240" w:type="dxa"/>
            <w:tcBorders>
              <w:bottom w:val="single" w:sz="12" w:space="0" w:color="auto"/>
            </w:tcBorders>
            <w:shd w:val="clear" w:color="auto" w:fill="FFFFFF"/>
          </w:tcPr>
          <w:p w:rsidR="00B7214C" w:rsidRPr="00B33FA7" w:rsidRDefault="00B7214C" w:rsidP="00B7214C">
            <w:pPr>
              <w:tabs>
                <w:tab w:val="decimal" w:pos="996"/>
              </w:tabs>
              <w:spacing w:before="60" w:after="60"/>
              <w:ind w:firstLine="0"/>
              <w:jc w:val="both"/>
              <w:rPr>
                <w:sz w:val="24"/>
              </w:rPr>
            </w:pPr>
            <w:r w:rsidRPr="00B33FA7">
              <w:rPr>
                <w:sz w:val="24"/>
              </w:rPr>
              <w:t>(105)</w:t>
            </w:r>
          </w:p>
        </w:tc>
      </w:tr>
    </w:tbl>
    <w:p w:rsidR="00B7214C" w:rsidRPr="00B33FA7" w:rsidRDefault="00B7214C" w:rsidP="00B7214C">
      <w:pPr>
        <w:spacing w:before="120" w:after="120"/>
        <w:ind w:firstLine="0"/>
        <w:jc w:val="both"/>
        <w:rPr>
          <w:sz w:val="24"/>
        </w:rPr>
      </w:pPr>
      <w:r w:rsidRPr="00B33FA7">
        <w:rPr>
          <w:sz w:val="24"/>
        </w:rPr>
        <w:t>Source : Enquête ALI, 1991</w:t>
      </w:r>
    </w:p>
    <w:p w:rsidR="00B7214C" w:rsidRDefault="00B7214C" w:rsidP="00B7214C">
      <w:pPr>
        <w:spacing w:before="120" w:after="120"/>
        <w:ind w:firstLine="0"/>
        <w:jc w:val="both"/>
        <w:rPr>
          <w:sz w:val="24"/>
        </w:rPr>
      </w:pPr>
    </w:p>
    <w:p w:rsidR="00B7214C" w:rsidRDefault="00B7214C" w:rsidP="00B7214C">
      <w:pPr>
        <w:pStyle w:val="figtitre"/>
      </w:pPr>
      <w:r>
        <w:t>Tableau 7</w:t>
      </w:r>
    </w:p>
    <w:p w:rsidR="00B7214C" w:rsidRDefault="00B7214C" w:rsidP="00B7214C">
      <w:pPr>
        <w:pStyle w:val="figtitre"/>
        <w:rPr>
          <w:bCs/>
        </w:rPr>
      </w:pPr>
      <w:r w:rsidRPr="00B33FA7">
        <w:rPr>
          <w:bCs/>
        </w:rPr>
        <w:t>Dimensions de la pratique linguistique,</w:t>
      </w:r>
      <w:r>
        <w:rPr>
          <w:bCs/>
        </w:rPr>
        <w:br/>
      </w:r>
      <w:r w:rsidRPr="00B33FA7">
        <w:rPr>
          <w:bCs/>
        </w:rPr>
        <w:t>immigrants all</w:t>
      </w:r>
      <w:r w:rsidRPr="00B33FA7">
        <w:rPr>
          <w:bCs/>
        </w:rPr>
        <w:t>o</w:t>
      </w:r>
      <w:r w:rsidRPr="00B33FA7">
        <w:rPr>
          <w:bCs/>
        </w:rPr>
        <w:t>phones français, Québec, 1991</w:t>
      </w:r>
    </w:p>
    <w:tbl>
      <w:tblPr>
        <w:tblOverlap w:val="never"/>
        <w:tblW w:w="7948" w:type="dxa"/>
        <w:tblLayout w:type="fixed"/>
        <w:tblCellMar>
          <w:left w:w="10" w:type="dxa"/>
          <w:right w:w="10" w:type="dxa"/>
        </w:tblCellMar>
        <w:tblLook w:val="04A0" w:firstRow="1" w:lastRow="0" w:firstColumn="1" w:lastColumn="0" w:noHBand="0" w:noVBand="1"/>
      </w:tblPr>
      <w:tblGrid>
        <w:gridCol w:w="2423"/>
        <w:gridCol w:w="7"/>
        <w:gridCol w:w="1802"/>
        <w:gridCol w:w="1474"/>
        <w:gridCol w:w="2242"/>
      </w:tblGrid>
      <w:tr w:rsidR="00B7214C" w:rsidRPr="00EE3822">
        <w:tblPrEx>
          <w:tblCellMar>
            <w:top w:w="0" w:type="dxa"/>
            <w:bottom w:w="0" w:type="dxa"/>
          </w:tblCellMar>
        </w:tblPrEx>
        <w:tc>
          <w:tcPr>
            <w:tcW w:w="2431" w:type="dxa"/>
            <w:gridSpan w:val="2"/>
            <w:vMerge w:val="restart"/>
            <w:tcBorders>
              <w:top w:val="single" w:sz="4" w:space="0" w:color="auto"/>
            </w:tcBorders>
            <w:shd w:val="clear" w:color="auto" w:fill="EDEAD1"/>
            <w:vAlign w:val="bottom"/>
          </w:tcPr>
          <w:p w:rsidR="00B7214C" w:rsidRPr="00EE3822" w:rsidRDefault="00B7214C" w:rsidP="00B7214C">
            <w:pPr>
              <w:spacing w:before="60" w:after="60"/>
              <w:ind w:left="180" w:firstLine="0"/>
              <w:rPr>
                <w:sz w:val="24"/>
              </w:rPr>
            </w:pPr>
            <w:r w:rsidRPr="00B33FA7">
              <w:rPr>
                <w:sz w:val="24"/>
              </w:rPr>
              <w:t>Langues</w:t>
            </w:r>
            <w:r>
              <w:rPr>
                <w:sz w:val="24"/>
              </w:rPr>
              <w:br/>
            </w:r>
            <w:r w:rsidRPr="00B33FA7">
              <w:rPr>
                <w:sz w:val="24"/>
              </w:rPr>
              <w:t>employées</w:t>
            </w:r>
          </w:p>
        </w:tc>
        <w:tc>
          <w:tcPr>
            <w:tcW w:w="5517" w:type="dxa"/>
            <w:gridSpan w:val="3"/>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Dimension de la pratique linguist</w:t>
            </w:r>
            <w:r w:rsidRPr="00B33FA7">
              <w:rPr>
                <w:sz w:val="24"/>
              </w:rPr>
              <w:t>i</w:t>
            </w:r>
            <w:r w:rsidRPr="00B33FA7">
              <w:rPr>
                <w:sz w:val="24"/>
              </w:rPr>
              <w:t>que</w:t>
            </w:r>
          </w:p>
        </w:tc>
      </w:tr>
      <w:tr w:rsidR="00B7214C" w:rsidRPr="00EE3822">
        <w:tblPrEx>
          <w:tblCellMar>
            <w:top w:w="0" w:type="dxa"/>
            <w:bottom w:w="0" w:type="dxa"/>
          </w:tblCellMar>
        </w:tblPrEx>
        <w:tc>
          <w:tcPr>
            <w:tcW w:w="2431" w:type="dxa"/>
            <w:gridSpan w:val="2"/>
            <w:vMerge/>
            <w:shd w:val="clear" w:color="auto" w:fill="EDEAD1"/>
            <w:vAlign w:val="bottom"/>
          </w:tcPr>
          <w:p w:rsidR="00B7214C" w:rsidRPr="00EE3822" w:rsidRDefault="00B7214C" w:rsidP="00B7214C">
            <w:pPr>
              <w:spacing w:before="60" w:after="60"/>
              <w:ind w:left="180" w:firstLine="0"/>
              <w:rPr>
                <w:sz w:val="24"/>
              </w:rPr>
            </w:pPr>
          </w:p>
        </w:tc>
        <w:tc>
          <w:tcPr>
            <w:tcW w:w="1802"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Amitié</w:t>
            </w:r>
          </w:p>
        </w:tc>
        <w:tc>
          <w:tcPr>
            <w:tcW w:w="1474"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Quartier</w:t>
            </w:r>
          </w:p>
        </w:tc>
        <w:tc>
          <w:tcPr>
            <w:tcW w:w="2241"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D'usage</w:t>
            </w:r>
          </w:p>
        </w:tc>
      </w:tr>
      <w:tr w:rsidR="00B7214C" w:rsidRPr="00B33FA7">
        <w:tblPrEx>
          <w:tblCellMar>
            <w:top w:w="0" w:type="dxa"/>
            <w:bottom w:w="0" w:type="dxa"/>
          </w:tblCellMar>
        </w:tblPrEx>
        <w:tc>
          <w:tcPr>
            <w:tcW w:w="2424" w:type="dxa"/>
            <w:tcBorders>
              <w:top w:val="single" w:sz="4" w:space="0" w:color="auto"/>
            </w:tcBorders>
            <w:shd w:val="clear" w:color="auto" w:fill="FFFFFF"/>
            <w:vAlign w:val="bottom"/>
          </w:tcPr>
          <w:p w:rsidR="00B7214C" w:rsidRPr="00B33FA7" w:rsidRDefault="00B7214C" w:rsidP="00B7214C">
            <w:pPr>
              <w:spacing w:before="60" w:after="60"/>
              <w:ind w:left="180" w:firstLine="0"/>
              <w:rPr>
                <w:sz w:val="24"/>
              </w:rPr>
            </w:pPr>
            <w:r w:rsidRPr="00B33FA7">
              <w:rPr>
                <w:sz w:val="24"/>
              </w:rPr>
              <w:t>français</w:t>
            </w:r>
          </w:p>
        </w:tc>
        <w:tc>
          <w:tcPr>
            <w:tcW w:w="1809" w:type="dxa"/>
            <w:gridSpan w:val="2"/>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47,8%</w:t>
            </w:r>
          </w:p>
        </w:tc>
        <w:tc>
          <w:tcPr>
            <w:tcW w:w="1473" w:type="dxa"/>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79,5%</w:t>
            </w:r>
          </w:p>
        </w:tc>
        <w:tc>
          <w:tcPr>
            <w:tcW w:w="2242" w:type="dxa"/>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39,2%</w:t>
            </w:r>
          </w:p>
        </w:tc>
      </w:tr>
      <w:tr w:rsidR="00B7214C" w:rsidRPr="00B33FA7">
        <w:tblPrEx>
          <w:tblCellMar>
            <w:top w:w="0" w:type="dxa"/>
            <w:bottom w:w="0" w:type="dxa"/>
          </w:tblCellMar>
        </w:tblPrEx>
        <w:tc>
          <w:tcPr>
            <w:tcW w:w="2424" w:type="dxa"/>
            <w:shd w:val="clear" w:color="auto" w:fill="FFFFFF"/>
            <w:vAlign w:val="center"/>
          </w:tcPr>
          <w:p w:rsidR="00B7214C" w:rsidRPr="00B33FA7" w:rsidRDefault="00B7214C" w:rsidP="00B7214C">
            <w:pPr>
              <w:spacing w:before="60" w:after="60"/>
              <w:ind w:left="180" w:firstLine="0"/>
              <w:rPr>
                <w:sz w:val="24"/>
              </w:rPr>
            </w:pPr>
            <w:r w:rsidRPr="00B33FA7">
              <w:rPr>
                <w:sz w:val="24"/>
              </w:rPr>
              <w:t>anglais</w:t>
            </w:r>
          </w:p>
        </w:tc>
        <w:tc>
          <w:tcPr>
            <w:tcW w:w="1809" w:type="dxa"/>
            <w:gridSpan w:val="2"/>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1,1</w:t>
            </w:r>
          </w:p>
        </w:tc>
        <w:tc>
          <w:tcPr>
            <w:tcW w:w="1473"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10,0</w:t>
            </w:r>
          </w:p>
        </w:tc>
        <w:tc>
          <w:tcPr>
            <w:tcW w:w="2242"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1,2</w:t>
            </w:r>
          </w:p>
        </w:tc>
      </w:tr>
      <w:tr w:rsidR="00B7214C" w:rsidRPr="00B33FA7">
        <w:tblPrEx>
          <w:tblCellMar>
            <w:top w:w="0" w:type="dxa"/>
            <w:bottom w:w="0" w:type="dxa"/>
          </w:tblCellMar>
        </w:tblPrEx>
        <w:tc>
          <w:tcPr>
            <w:tcW w:w="2424" w:type="dxa"/>
            <w:shd w:val="clear" w:color="auto" w:fill="FFFFFF"/>
            <w:vAlign w:val="bottom"/>
          </w:tcPr>
          <w:p w:rsidR="00B7214C" w:rsidRPr="00B33FA7" w:rsidRDefault="00B7214C" w:rsidP="00B7214C">
            <w:pPr>
              <w:spacing w:before="60" w:after="60"/>
              <w:ind w:left="180" w:firstLine="0"/>
              <w:rPr>
                <w:sz w:val="24"/>
              </w:rPr>
            </w:pPr>
            <w:r w:rsidRPr="00B33FA7">
              <w:rPr>
                <w:sz w:val="24"/>
              </w:rPr>
              <w:t>français et anglais</w:t>
            </w:r>
          </w:p>
        </w:tc>
        <w:tc>
          <w:tcPr>
            <w:tcW w:w="1809" w:type="dxa"/>
            <w:gridSpan w:val="2"/>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0,9</w:t>
            </w:r>
          </w:p>
        </w:tc>
        <w:tc>
          <w:tcPr>
            <w:tcW w:w="1473"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2,6</w:t>
            </w:r>
          </w:p>
        </w:tc>
        <w:tc>
          <w:tcPr>
            <w:tcW w:w="2242"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0,8</w:t>
            </w:r>
          </w:p>
        </w:tc>
      </w:tr>
      <w:tr w:rsidR="00B7214C" w:rsidRPr="00B33FA7">
        <w:tblPrEx>
          <w:tblCellMar>
            <w:top w:w="0" w:type="dxa"/>
            <w:bottom w:w="0" w:type="dxa"/>
          </w:tblCellMar>
        </w:tblPrEx>
        <w:tc>
          <w:tcPr>
            <w:tcW w:w="2424" w:type="dxa"/>
            <w:shd w:val="clear" w:color="auto" w:fill="FFFFFF"/>
            <w:vAlign w:val="bottom"/>
          </w:tcPr>
          <w:p w:rsidR="00B7214C" w:rsidRPr="00B33FA7" w:rsidRDefault="00B7214C" w:rsidP="00B7214C">
            <w:pPr>
              <w:spacing w:before="60" w:after="60"/>
              <w:ind w:left="180" w:firstLine="0"/>
              <w:rPr>
                <w:sz w:val="24"/>
              </w:rPr>
            </w:pPr>
            <w:r w:rsidRPr="00B33FA7">
              <w:rPr>
                <w:sz w:val="24"/>
              </w:rPr>
              <w:t>français et autre</w:t>
            </w:r>
          </w:p>
        </w:tc>
        <w:tc>
          <w:tcPr>
            <w:tcW w:w="1809" w:type="dxa"/>
            <w:gridSpan w:val="2"/>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3,1</w:t>
            </w:r>
          </w:p>
        </w:tc>
        <w:tc>
          <w:tcPr>
            <w:tcW w:w="1473"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0,7</w:t>
            </w:r>
          </w:p>
        </w:tc>
        <w:tc>
          <w:tcPr>
            <w:tcW w:w="2242" w:type="dxa"/>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0,0</w:t>
            </w:r>
          </w:p>
        </w:tc>
      </w:tr>
      <w:tr w:rsidR="00B7214C" w:rsidRPr="00B33FA7">
        <w:tblPrEx>
          <w:tblCellMar>
            <w:top w:w="0" w:type="dxa"/>
            <w:bottom w:w="0" w:type="dxa"/>
          </w:tblCellMar>
        </w:tblPrEx>
        <w:tc>
          <w:tcPr>
            <w:tcW w:w="2424" w:type="dxa"/>
            <w:shd w:val="clear" w:color="auto" w:fill="FFFFFF"/>
          </w:tcPr>
          <w:p w:rsidR="00B7214C" w:rsidRPr="00B33FA7" w:rsidRDefault="00B7214C" w:rsidP="00B7214C">
            <w:pPr>
              <w:spacing w:before="60" w:after="60"/>
              <w:ind w:left="180" w:firstLine="0"/>
              <w:rPr>
                <w:sz w:val="24"/>
              </w:rPr>
            </w:pPr>
            <w:r w:rsidRPr="00B33FA7">
              <w:rPr>
                <w:sz w:val="24"/>
              </w:rPr>
              <w:t>allophone unili</w:t>
            </w:r>
            <w:r w:rsidRPr="00B33FA7">
              <w:rPr>
                <w:sz w:val="24"/>
              </w:rPr>
              <w:t>n</w:t>
            </w:r>
            <w:r w:rsidRPr="00B33FA7">
              <w:rPr>
                <w:sz w:val="24"/>
              </w:rPr>
              <w:t>gue</w:t>
            </w:r>
          </w:p>
        </w:tc>
        <w:tc>
          <w:tcPr>
            <w:tcW w:w="1809" w:type="dxa"/>
            <w:gridSpan w:val="2"/>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48,1</w:t>
            </w:r>
          </w:p>
        </w:tc>
        <w:tc>
          <w:tcPr>
            <w:tcW w:w="1473" w:type="dxa"/>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7,2</w:t>
            </w:r>
          </w:p>
        </w:tc>
        <w:tc>
          <w:tcPr>
            <w:tcW w:w="2242" w:type="dxa"/>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58,8</w:t>
            </w:r>
          </w:p>
        </w:tc>
      </w:tr>
      <w:tr w:rsidR="00B7214C" w:rsidRPr="00B33FA7">
        <w:tblPrEx>
          <w:tblCellMar>
            <w:top w:w="0" w:type="dxa"/>
            <w:bottom w:w="0" w:type="dxa"/>
          </w:tblCellMar>
        </w:tblPrEx>
        <w:tc>
          <w:tcPr>
            <w:tcW w:w="2424" w:type="dxa"/>
            <w:tcBorders>
              <w:top w:val="single" w:sz="4" w:space="0" w:color="auto"/>
            </w:tcBorders>
            <w:shd w:val="clear" w:color="auto" w:fill="FFFFFF"/>
            <w:vAlign w:val="center"/>
          </w:tcPr>
          <w:p w:rsidR="00B7214C" w:rsidRPr="00B33FA7" w:rsidRDefault="00B7214C" w:rsidP="00B7214C">
            <w:pPr>
              <w:spacing w:before="60" w:after="60"/>
              <w:ind w:left="180" w:firstLine="0"/>
              <w:rPr>
                <w:sz w:val="24"/>
              </w:rPr>
            </w:pPr>
            <w:r w:rsidRPr="00B33FA7">
              <w:rPr>
                <w:sz w:val="24"/>
              </w:rPr>
              <w:t>Total</w:t>
            </w:r>
          </w:p>
        </w:tc>
        <w:tc>
          <w:tcPr>
            <w:tcW w:w="1809" w:type="dxa"/>
            <w:gridSpan w:val="2"/>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100,0%</w:t>
            </w:r>
          </w:p>
        </w:tc>
        <w:tc>
          <w:tcPr>
            <w:tcW w:w="1473" w:type="dxa"/>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100,0%</w:t>
            </w:r>
          </w:p>
        </w:tc>
        <w:tc>
          <w:tcPr>
            <w:tcW w:w="2242" w:type="dxa"/>
            <w:tcBorders>
              <w:top w:val="single" w:sz="4" w:space="0" w:color="auto"/>
            </w:tcBorders>
            <w:shd w:val="clear" w:color="auto" w:fill="FFFFFF"/>
            <w:vAlign w:val="bottom"/>
          </w:tcPr>
          <w:p w:rsidR="00B7214C" w:rsidRPr="00B33FA7" w:rsidRDefault="00B7214C" w:rsidP="00B7214C">
            <w:pPr>
              <w:tabs>
                <w:tab w:val="decimal" w:pos="907"/>
              </w:tabs>
              <w:spacing w:before="60" w:after="60"/>
              <w:ind w:firstLine="0"/>
              <w:jc w:val="both"/>
              <w:rPr>
                <w:sz w:val="24"/>
              </w:rPr>
            </w:pPr>
            <w:r w:rsidRPr="00B33FA7">
              <w:rPr>
                <w:sz w:val="24"/>
              </w:rPr>
              <w:t>100,0%</w:t>
            </w:r>
          </w:p>
        </w:tc>
      </w:tr>
      <w:tr w:rsidR="00B7214C" w:rsidRPr="00B33FA7">
        <w:tblPrEx>
          <w:tblCellMar>
            <w:top w:w="0" w:type="dxa"/>
            <w:bottom w:w="0" w:type="dxa"/>
          </w:tblCellMar>
        </w:tblPrEx>
        <w:tc>
          <w:tcPr>
            <w:tcW w:w="2424" w:type="dxa"/>
            <w:tcBorders>
              <w:bottom w:val="single" w:sz="4" w:space="0" w:color="auto"/>
            </w:tcBorders>
            <w:shd w:val="clear" w:color="auto" w:fill="FFFFFF"/>
          </w:tcPr>
          <w:p w:rsidR="00B7214C" w:rsidRPr="00B33FA7" w:rsidRDefault="00B7214C" w:rsidP="00B7214C">
            <w:pPr>
              <w:spacing w:before="60" w:after="60"/>
              <w:ind w:left="180" w:firstLine="0"/>
              <w:rPr>
                <w:sz w:val="24"/>
              </w:rPr>
            </w:pPr>
            <w:r w:rsidRPr="00B33FA7">
              <w:rPr>
                <w:sz w:val="24"/>
              </w:rPr>
              <w:t>(n)</w:t>
            </w:r>
          </w:p>
        </w:tc>
        <w:tc>
          <w:tcPr>
            <w:tcW w:w="1809" w:type="dxa"/>
            <w:gridSpan w:val="2"/>
            <w:tcBorders>
              <w:bottom w:val="single" w:sz="4" w:space="0" w:color="auto"/>
            </w:tcBorders>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(209)</w:t>
            </w:r>
          </w:p>
        </w:tc>
        <w:tc>
          <w:tcPr>
            <w:tcW w:w="1473" w:type="dxa"/>
            <w:tcBorders>
              <w:bottom w:val="single" w:sz="4" w:space="0" w:color="auto"/>
            </w:tcBorders>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(206)</w:t>
            </w:r>
          </w:p>
        </w:tc>
        <w:tc>
          <w:tcPr>
            <w:tcW w:w="2242" w:type="dxa"/>
            <w:tcBorders>
              <w:bottom w:val="single" w:sz="4" w:space="0" w:color="auto"/>
            </w:tcBorders>
            <w:shd w:val="clear" w:color="auto" w:fill="FFFFFF"/>
          </w:tcPr>
          <w:p w:rsidR="00B7214C" w:rsidRPr="00B33FA7" w:rsidRDefault="00B7214C" w:rsidP="00B7214C">
            <w:pPr>
              <w:tabs>
                <w:tab w:val="decimal" w:pos="907"/>
              </w:tabs>
              <w:spacing w:before="60" w:after="60"/>
              <w:ind w:firstLine="0"/>
              <w:jc w:val="both"/>
              <w:rPr>
                <w:sz w:val="24"/>
              </w:rPr>
            </w:pPr>
            <w:r w:rsidRPr="00B33FA7">
              <w:rPr>
                <w:sz w:val="24"/>
              </w:rPr>
              <w:t>(210)</w:t>
            </w:r>
          </w:p>
        </w:tc>
      </w:tr>
    </w:tbl>
    <w:p w:rsidR="00B7214C" w:rsidRPr="00B33FA7" w:rsidRDefault="00B7214C" w:rsidP="00B7214C">
      <w:pPr>
        <w:spacing w:before="120" w:after="120"/>
        <w:ind w:firstLine="0"/>
        <w:jc w:val="both"/>
        <w:rPr>
          <w:sz w:val="24"/>
        </w:rPr>
      </w:pPr>
      <w:r w:rsidRPr="00B33FA7">
        <w:rPr>
          <w:sz w:val="24"/>
        </w:rPr>
        <w:t>Source : Enquête ALI, 1991</w:t>
      </w:r>
    </w:p>
    <w:p w:rsidR="00B7214C" w:rsidRDefault="00B7214C" w:rsidP="00B7214C">
      <w:pPr>
        <w:pStyle w:val="p"/>
      </w:pPr>
      <w:r>
        <w:br w:type="page"/>
        <w:t>[188]</w:t>
      </w:r>
    </w:p>
    <w:p w:rsidR="00B7214C" w:rsidRDefault="00B7214C" w:rsidP="00B7214C">
      <w:pPr>
        <w:pStyle w:val="figtitre"/>
      </w:pPr>
      <w:r>
        <w:t>Tableau 8</w:t>
      </w:r>
    </w:p>
    <w:p w:rsidR="00B7214C" w:rsidRDefault="00B7214C" w:rsidP="00B7214C">
      <w:pPr>
        <w:pStyle w:val="figtitre"/>
        <w:rPr>
          <w:szCs w:val="2"/>
        </w:rPr>
      </w:pPr>
      <w:r>
        <w:rPr>
          <w:szCs w:val="2"/>
        </w:rPr>
        <w:t>Dimensions de la pratique linguistique,</w:t>
      </w:r>
      <w:r>
        <w:rPr>
          <w:szCs w:val="2"/>
        </w:rPr>
        <w:br/>
        <w:t>immigrants allophones anglais, Québec, 1991</w:t>
      </w:r>
    </w:p>
    <w:tbl>
      <w:tblPr>
        <w:tblOverlap w:val="never"/>
        <w:tblW w:w="0" w:type="auto"/>
        <w:tblLayout w:type="fixed"/>
        <w:tblCellMar>
          <w:left w:w="10" w:type="dxa"/>
          <w:right w:w="10" w:type="dxa"/>
        </w:tblCellMar>
        <w:tblLook w:val="04A0" w:firstRow="1" w:lastRow="0" w:firstColumn="1" w:lastColumn="0" w:noHBand="0" w:noVBand="1"/>
      </w:tblPr>
      <w:tblGrid>
        <w:gridCol w:w="2413"/>
        <w:gridCol w:w="1818"/>
        <w:gridCol w:w="1361"/>
        <w:gridCol w:w="115"/>
        <w:gridCol w:w="2223"/>
      </w:tblGrid>
      <w:tr w:rsidR="00B7214C" w:rsidRPr="00991B28">
        <w:tblPrEx>
          <w:tblCellMar>
            <w:top w:w="0" w:type="dxa"/>
            <w:bottom w:w="0" w:type="dxa"/>
          </w:tblCellMar>
        </w:tblPrEx>
        <w:tc>
          <w:tcPr>
            <w:tcW w:w="2413" w:type="dxa"/>
            <w:vMerge w:val="restart"/>
            <w:tcBorders>
              <w:top w:val="single" w:sz="4" w:space="0" w:color="auto"/>
            </w:tcBorders>
            <w:shd w:val="clear" w:color="auto" w:fill="EDEAD1"/>
            <w:vAlign w:val="bottom"/>
          </w:tcPr>
          <w:p w:rsidR="00B7214C" w:rsidRPr="00991B28" w:rsidRDefault="00B7214C" w:rsidP="00B7214C">
            <w:pPr>
              <w:spacing w:before="60" w:after="60"/>
              <w:ind w:left="180" w:firstLine="0"/>
              <w:rPr>
                <w:sz w:val="24"/>
              </w:rPr>
            </w:pPr>
            <w:r w:rsidRPr="00991B28">
              <w:rPr>
                <w:sz w:val="24"/>
              </w:rPr>
              <w:t>Langues</w:t>
            </w:r>
            <w:r w:rsidRPr="00991B28">
              <w:rPr>
                <w:sz w:val="24"/>
              </w:rPr>
              <w:br/>
              <w:t>employées</w:t>
            </w:r>
          </w:p>
        </w:tc>
        <w:tc>
          <w:tcPr>
            <w:tcW w:w="5517" w:type="dxa"/>
            <w:gridSpan w:val="4"/>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Dimension de la pratique linguist</w:t>
            </w:r>
            <w:r w:rsidRPr="00991B28">
              <w:rPr>
                <w:sz w:val="24"/>
              </w:rPr>
              <w:t>i</w:t>
            </w:r>
            <w:r w:rsidRPr="00991B28">
              <w:rPr>
                <w:sz w:val="24"/>
              </w:rPr>
              <w:t>que</w:t>
            </w:r>
          </w:p>
        </w:tc>
      </w:tr>
      <w:tr w:rsidR="00B7214C" w:rsidRPr="00991B28">
        <w:tblPrEx>
          <w:tblCellMar>
            <w:top w:w="0" w:type="dxa"/>
            <w:bottom w:w="0" w:type="dxa"/>
          </w:tblCellMar>
        </w:tblPrEx>
        <w:tc>
          <w:tcPr>
            <w:tcW w:w="2413" w:type="dxa"/>
            <w:vMerge/>
            <w:shd w:val="clear" w:color="auto" w:fill="EDEAD1"/>
            <w:vAlign w:val="bottom"/>
          </w:tcPr>
          <w:p w:rsidR="00B7214C" w:rsidRPr="00991B28" w:rsidRDefault="00B7214C" w:rsidP="00B7214C">
            <w:pPr>
              <w:spacing w:before="60" w:after="60"/>
              <w:ind w:left="180" w:firstLine="0"/>
              <w:rPr>
                <w:sz w:val="24"/>
              </w:rPr>
            </w:pPr>
          </w:p>
        </w:tc>
        <w:tc>
          <w:tcPr>
            <w:tcW w:w="1818" w:type="dxa"/>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Amitié</w:t>
            </w:r>
          </w:p>
        </w:tc>
        <w:tc>
          <w:tcPr>
            <w:tcW w:w="1361" w:type="dxa"/>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Quartier</w:t>
            </w:r>
          </w:p>
        </w:tc>
        <w:tc>
          <w:tcPr>
            <w:tcW w:w="2338" w:type="dxa"/>
            <w:gridSpan w:val="2"/>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D'usage</w:t>
            </w:r>
          </w:p>
        </w:tc>
      </w:tr>
      <w:tr w:rsidR="00B7214C" w:rsidRPr="00991B28">
        <w:tblPrEx>
          <w:tblCellMar>
            <w:top w:w="0" w:type="dxa"/>
            <w:bottom w:w="0" w:type="dxa"/>
          </w:tblCellMar>
        </w:tblPrEx>
        <w:tc>
          <w:tcPr>
            <w:tcW w:w="2413" w:type="dxa"/>
            <w:tcBorders>
              <w:top w:val="single" w:sz="4" w:space="0" w:color="auto"/>
            </w:tcBorders>
            <w:shd w:val="clear" w:color="auto" w:fill="FFFFFF"/>
            <w:vAlign w:val="bottom"/>
          </w:tcPr>
          <w:p w:rsidR="00B7214C" w:rsidRPr="00991B28" w:rsidRDefault="00B7214C" w:rsidP="00B7214C">
            <w:pPr>
              <w:spacing w:before="60" w:after="60"/>
              <w:ind w:left="180" w:firstLine="0"/>
              <w:rPr>
                <w:sz w:val="24"/>
              </w:rPr>
            </w:pPr>
            <w:r w:rsidRPr="00991B28">
              <w:rPr>
                <w:sz w:val="24"/>
              </w:rPr>
              <w:t>français</w:t>
            </w:r>
          </w:p>
        </w:tc>
        <w:tc>
          <w:tcPr>
            <w:tcW w:w="1818"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9,6%</w:t>
            </w:r>
          </w:p>
        </w:tc>
        <w:tc>
          <w:tcPr>
            <w:tcW w:w="1476" w:type="dxa"/>
            <w:gridSpan w:val="2"/>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31,3%</w:t>
            </w:r>
          </w:p>
        </w:tc>
        <w:tc>
          <w:tcPr>
            <w:tcW w:w="2223"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9,9%</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sz w:val="24"/>
              </w:rPr>
              <w:t>anglais</w:t>
            </w:r>
          </w:p>
        </w:tc>
        <w:tc>
          <w:tcPr>
            <w:tcW w:w="1818"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35,8</w:t>
            </w:r>
          </w:p>
        </w:tc>
        <w:tc>
          <w:tcPr>
            <w:tcW w:w="1476" w:type="dxa"/>
            <w:gridSpan w:val="2"/>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63,0</w:t>
            </w:r>
          </w:p>
        </w:tc>
        <w:tc>
          <w:tcPr>
            <w:tcW w:w="2223"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23,0</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sz w:val="24"/>
              </w:rPr>
              <w:t>français et a</w:t>
            </w:r>
            <w:r w:rsidRPr="00991B28">
              <w:rPr>
                <w:sz w:val="24"/>
              </w:rPr>
              <w:t>n</w:t>
            </w:r>
            <w:r w:rsidRPr="00991B28">
              <w:rPr>
                <w:sz w:val="24"/>
              </w:rPr>
              <w:t>glais</w:t>
            </w:r>
          </w:p>
        </w:tc>
        <w:tc>
          <w:tcPr>
            <w:tcW w:w="1818"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1,9</w:t>
            </w:r>
          </w:p>
        </w:tc>
        <w:tc>
          <w:tcPr>
            <w:tcW w:w="1476" w:type="dxa"/>
            <w:gridSpan w:val="2"/>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1,3</w:t>
            </w:r>
          </w:p>
        </w:tc>
        <w:tc>
          <w:tcPr>
            <w:tcW w:w="2223"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0,4</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sz w:val="24"/>
              </w:rPr>
              <w:t>français et a</w:t>
            </w:r>
            <w:r w:rsidRPr="00991B28">
              <w:rPr>
                <w:sz w:val="24"/>
              </w:rPr>
              <w:t>u</w:t>
            </w:r>
            <w:r w:rsidRPr="00991B28">
              <w:rPr>
                <w:sz w:val="24"/>
              </w:rPr>
              <w:t>tre</w:t>
            </w:r>
          </w:p>
        </w:tc>
        <w:tc>
          <w:tcPr>
            <w:tcW w:w="1818" w:type="dxa"/>
            <w:shd w:val="clear" w:color="auto" w:fill="FFFFFF"/>
            <w:vAlign w:val="center"/>
          </w:tcPr>
          <w:p w:rsidR="00B7214C" w:rsidRPr="00991B28" w:rsidRDefault="00B7214C" w:rsidP="00B7214C">
            <w:pPr>
              <w:tabs>
                <w:tab w:val="decimal" w:pos="1007"/>
              </w:tabs>
              <w:spacing w:before="60" w:after="60"/>
              <w:ind w:firstLine="0"/>
              <w:jc w:val="both"/>
              <w:rPr>
                <w:sz w:val="24"/>
              </w:rPr>
            </w:pPr>
            <w:r w:rsidRPr="00991B28">
              <w:rPr>
                <w:sz w:val="24"/>
              </w:rPr>
              <w:t>2,0</w:t>
            </w:r>
          </w:p>
        </w:tc>
        <w:tc>
          <w:tcPr>
            <w:tcW w:w="1476" w:type="dxa"/>
            <w:gridSpan w:val="2"/>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0,4</w:t>
            </w:r>
          </w:p>
        </w:tc>
        <w:tc>
          <w:tcPr>
            <w:tcW w:w="2223" w:type="dxa"/>
            <w:shd w:val="clear" w:color="auto" w:fill="FFFFFF"/>
            <w:vAlign w:val="center"/>
          </w:tcPr>
          <w:p w:rsidR="00B7214C" w:rsidRPr="00991B28" w:rsidRDefault="00B7214C" w:rsidP="00B7214C">
            <w:pPr>
              <w:tabs>
                <w:tab w:val="decimal" w:pos="1007"/>
              </w:tabs>
              <w:spacing w:before="60" w:after="60"/>
              <w:ind w:firstLine="0"/>
              <w:jc w:val="both"/>
              <w:rPr>
                <w:sz w:val="24"/>
              </w:rPr>
            </w:pPr>
            <w:r w:rsidRPr="00991B28">
              <w:rPr>
                <w:sz w:val="24"/>
              </w:rPr>
              <w:t>0,0</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sz w:val="24"/>
              </w:rPr>
              <w:t>anglais et autre</w:t>
            </w:r>
          </w:p>
        </w:tc>
        <w:tc>
          <w:tcPr>
            <w:tcW w:w="1818"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2,9</w:t>
            </w:r>
          </w:p>
        </w:tc>
        <w:tc>
          <w:tcPr>
            <w:tcW w:w="1476" w:type="dxa"/>
            <w:gridSpan w:val="2"/>
            <w:shd w:val="clear" w:color="auto" w:fill="FFFFFF"/>
            <w:vAlign w:val="center"/>
          </w:tcPr>
          <w:p w:rsidR="00B7214C" w:rsidRPr="00991B28" w:rsidRDefault="00B7214C" w:rsidP="00B7214C">
            <w:pPr>
              <w:tabs>
                <w:tab w:val="decimal" w:pos="1007"/>
              </w:tabs>
              <w:spacing w:before="60" w:after="60"/>
              <w:ind w:firstLine="0"/>
              <w:jc w:val="both"/>
              <w:rPr>
                <w:sz w:val="24"/>
              </w:rPr>
            </w:pPr>
            <w:r w:rsidRPr="00991B28">
              <w:rPr>
                <w:sz w:val="24"/>
              </w:rPr>
              <w:t>0,0</w:t>
            </w:r>
          </w:p>
        </w:tc>
        <w:tc>
          <w:tcPr>
            <w:tcW w:w="2223" w:type="dxa"/>
            <w:shd w:val="clear" w:color="auto" w:fill="FFFFFF"/>
            <w:vAlign w:val="center"/>
          </w:tcPr>
          <w:p w:rsidR="00B7214C" w:rsidRPr="00991B28" w:rsidRDefault="00B7214C" w:rsidP="00B7214C">
            <w:pPr>
              <w:tabs>
                <w:tab w:val="decimal" w:pos="1007"/>
              </w:tabs>
              <w:spacing w:before="60" w:after="60"/>
              <w:ind w:firstLine="0"/>
              <w:jc w:val="both"/>
              <w:rPr>
                <w:sz w:val="24"/>
              </w:rPr>
            </w:pPr>
            <w:r w:rsidRPr="00991B28">
              <w:rPr>
                <w:sz w:val="24"/>
              </w:rPr>
              <w:t>0,0</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sz w:val="24"/>
              </w:rPr>
              <w:t>allophone unili</w:t>
            </w:r>
            <w:r w:rsidRPr="00991B28">
              <w:rPr>
                <w:sz w:val="24"/>
              </w:rPr>
              <w:t>n</w:t>
            </w:r>
            <w:r w:rsidRPr="00991B28">
              <w:rPr>
                <w:sz w:val="24"/>
              </w:rPr>
              <w:t>gue</w:t>
            </w:r>
          </w:p>
        </w:tc>
        <w:tc>
          <w:tcPr>
            <w:tcW w:w="1818"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47,8</w:t>
            </w:r>
          </w:p>
        </w:tc>
        <w:tc>
          <w:tcPr>
            <w:tcW w:w="1476" w:type="dxa"/>
            <w:gridSpan w:val="2"/>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4,0</w:t>
            </w:r>
          </w:p>
        </w:tc>
        <w:tc>
          <w:tcPr>
            <w:tcW w:w="2223"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66,7</w:t>
            </w:r>
          </w:p>
        </w:tc>
      </w:tr>
      <w:tr w:rsidR="00B7214C" w:rsidRPr="00991B28">
        <w:tblPrEx>
          <w:tblCellMar>
            <w:top w:w="0" w:type="dxa"/>
            <w:bottom w:w="0" w:type="dxa"/>
          </w:tblCellMar>
        </w:tblPrEx>
        <w:tc>
          <w:tcPr>
            <w:tcW w:w="2413" w:type="dxa"/>
            <w:tcBorders>
              <w:top w:val="single" w:sz="4" w:space="0" w:color="auto"/>
            </w:tcBorders>
            <w:shd w:val="clear" w:color="auto" w:fill="FFFFFF"/>
            <w:vAlign w:val="bottom"/>
          </w:tcPr>
          <w:p w:rsidR="00B7214C" w:rsidRPr="00991B28" w:rsidRDefault="00B7214C" w:rsidP="00B7214C">
            <w:pPr>
              <w:spacing w:before="60" w:after="60"/>
              <w:ind w:left="180" w:firstLine="0"/>
              <w:rPr>
                <w:sz w:val="24"/>
              </w:rPr>
            </w:pPr>
            <w:r w:rsidRPr="00991B28">
              <w:rPr>
                <w:bCs/>
                <w:sz w:val="24"/>
              </w:rPr>
              <w:t>Total</w:t>
            </w:r>
          </w:p>
        </w:tc>
        <w:tc>
          <w:tcPr>
            <w:tcW w:w="1818"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c>
          <w:tcPr>
            <w:tcW w:w="1476" w:type="dxa"/>
            <w:gridSpan w:val="2"/>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c>
          <w:tcPr>
            <w:tcW w:w="2223"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r>
      <w:tr w:rsidR="00B7214C" w:rsidRPr="00991B28">
        <w:tblPrEx>
          <w:tblCellMar>
            <w:top w:w="0" w:type="dxa"/>
            <w:bottom w:w="0" w:type="dxa"/>
          </w:tblCellMar>
        </w:tblPrEx>
        <w:tc>
          <w:tcPr>
            <w:tcW w:w="2413" w:type="dxa"/>
            <w:shd w:val="clear" w:color="auto" w:fill="FFFFFF"/>
          </w:tcPr>
          <w:p w:rsidR="00B7214C" w:rsidRPr="00991B28" w:rsidRDefault="00B7214C" w:rsidP="00B7214C">
            <w:pPr>
              <w:spacing w:before="60" w:after="60"/>
              <w:ind w:left="180" w:firstLine="0"/>
              <w:rPr>
                <w:sz w:val="24"/>
              </w:rPr>
            </w:pPr>
            <w:r w:rsidRPr="00991B28">
              <w:rPr>
                <w:bCs/>
                <w:sz w:val="24"/>
              </w:rPr>
              <w:t>(n)</w:t>
            </w:r>
          </w:p>
        </w:tc>
        <w:tc>
          <w:tcPr>
            <w:tcW w:w="1818"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(238)</w:t>
            </w:r>
          </w:p>
        </w:tc>
        <w:tc>
          <w:tcPr>
            <w:tcW w:w="1476" w:type="dxa"/>
            <w:gridSpan w:val="2"/>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(241)</w:t>
            </w:r>
          </w:p>
        </w:tc>
        <w:tc>
          <w:tcPr>
            <w:tcW w:w="2223" w:type="dxa"/>
            <w:shd w:val="clear" w:color="auto" w:fill="FFFFFF"/>
          </w:tcPr>
          <w:p w:rsidR="00B7214C" w:rsidRPr="00991B28" w:rsidRDefault="00B7214C" w:rsidP="00B7214C">
            <w:pPr>
              <w:tabs>
                <w:tab w:val="decimal" w:pos="1007"/>
              </w:tabs>
              <w:spacing w:before="60" w:after="60"/>
              <w:ind w:firstLine="0"/>
              <w:jc w:val="both"/>
              <w:rPr>
                <w:sz w:val="24"/>
              </w:rPr>
            </w:pPr>
            <w:r w:rsidRPr="00991B28">
              <w:rPr>
                <w:sz w:val="24"/>
              </w:rPr>
              <w:t>(242)</w:t>
            </w:r>
          </w:p>
        </w:tc>
      </w:tr>
      <w:tr w:rsidR="00B7214C" w:rsidRPr="00991B28">
        <w:tblPrEx>
          <w:tblCellMar>
            <w:top w:w="0" w:type="dxa"/>
            <w:bottom w:w="0" w:type="dxa"/>
          </w:tblCellMar>
        </w:tblPrEx>
        <w:tc>
          <w:tcPr>
            <w:tcW w:w="7930" w:type="dxa"/>
            <w:gridSpan w:val="5"/>
            <w:tcBorders>
              <w:top w:val="single" w:sz="4" w:space="0" w:color="auto"/>
            </w:tcBorders>
            <w:shd w:val="clear" w:color="auto" w:fill="FFFFFF"/>
            <w:vAlign w:val="bottom"/>
          </w:tcPr>
          <w:p w:rsidR="00B7214C" w:rsidRPr="00991B28" w:rsidRDefault="00B7214C" w:rsidP="00B7214C">
            <w:pPr>
              <w:spacing w:before="60" w:after="60"/>
              <w:ind w:firstLine="0"/>
              <w:jc w:val="both"/>
              <w:rPr>
                <w:sz w:val="24"/>
              </w:rPr>
            </w:pPr>
            <w:r w:rsidRPr="00991B28">
              <w:rPr>
                <w:bCs/>
                <w:sz w:val="24"/>
              </w:rPr>
              <w:t xml:space="preserve">Source : </w:t>
            </w:r>
            <w:r w:rsidRPr="00991B28">
              <w:rPr>
                <w:sz w:val="24"/>
              </w:rPr>
              <w:t>Enquête ALI, 1991</w:t>
            </w:r>
          </w:p>
        </w:tc>
      </w:tr>
    </w:tbl>
    <w:p w:rsidR="00B7214C" w:rsidRPr="00B33FA7" w:rsidRDefault="00B7214C" w:rsidP="00B7214C">
      <w:pPr>
        <w:spacing w:before="120" w:after="120"/>
        <w:jc w:val="both"/>
        <w:rPr>
          <w:sz w:val="24"/>
        </w:rPr>
      </w:pPr>
    </w:p>
    <w:p w:rsidR="00B7214C" w:rsidRPr="00B33FA7" w:rsidRDefault="00B7214C" w:rsidP="00B7214C">
      <w:pPr>
        <w:pStyle w:val="figtitre"/>
      </w:pPr>
      <w:r w:rsidRPr="00B33FA7">
        <w:t>Tableau 9</w:t>
      </w:r>
    </w:p>
    <w:p w:rsidR="00B7214C" w:rsidRDefault="00B7214C" w:rsidP="00B7214C">
      <w:pPr>
        <w:pStyle w:val="figtitre"/>
        <w:rPr>
          <w:bCs/>
        </w:rPr>
      </w:pPr>
      <w:r w:rsidRPr="00B33FA7">
        <w:rPr>
          <w:bCs/>
        </w:rPr>
        <w:t>Dimensions de la pratique linguistique,</w:t>
      </w:r>
      <w:r>
        <w:rPr>
          <w:bCs/>
        </w:rPr>
        <w:br/>
      </w:r>
      <w:r w:rsidRPr="00B33FA7">
        <w:rPr>
          <w:bCs/>
        </w:rPr>
        <w:t xml:space="preserve"> immigrants allophones bili</w:t>
      </w:r>
      <w:r w:rsidRPr="00B33FA7">
        <w:rPr>
          <w:bCs/>
        </w:rPr>
        <w:t>n</w:t>
      </w:r>
      <w:r w:rsidRPr="00B33FA7">
        <w:rPr>
          <w:bCs/>
        </w:rPr>
        <w:t>gues, Québec, 1991</w:t>
      </w:r>
    </w:p>
    <w:tbl>
      <w:tblPr>
        <w:tblOverlap w:val="never"/>
        <w:tblW w:w="0" w:type="auto"/>
        <w:tblLayout w:type="fixed"/>
        <w:tblCellMar>
          <w:left w:w="10" w:type="dxa"/>
          <w:right w:w="10" w:type="dxa"/>
        </w:tblCellMar>
        <w:tblLook w:val="04A0" w:firstRow="1" w:lastRow="0" w:firstColumn="1" w:lastColumn="0" w:noHBand="0" w:noVBand="1"/>
      </w:tblPr>
      <w:tblGrid>
        <w:gridCol w:w="2413"/>
        <w:gridCol w:w="1818"/>
        <w:gridCol w:w="1458"/>
        <w:gridCol w:w="2241"/>
      </w:tblGrid>
      <w:tr w:rsidR="00B7214C" w:rsidRPr="00EE3822">
        <w:tblPrEx>
          <w:tblCellMar>
            <w:top w:w="0" w:type="dxa"/>
            <w:bottom w:w="0" w:type="dxa"/>
          </w:tblCellMar>
        </w:tblPrEx>
        <w:tc>
          <w:tcPr>
            <w:tcW w:w="2413" w:type="dxa"/>
            <w:vMerge w:val="restart"/>
            <w:tcBorders>
              <w:top w:val="single" w:sz="4" w:space="0" w:color="auto"/>
            </w:tcBorders>
            <w:shd w:val="clear" w:color="auto" w:fill="EDEAD1"/>
            <w:vAlign w:val="bottom"/>
          </w:tcPr>
          <w:p w:rsidR="00B7214C" w:rsidRPr="00EE3822" w:rsidRDefault="00B7214C" w:rsidP="00B7214C">
            <w:pPr>
              <w:spacing w:before="60" w:after="60"/>
              <w:ind w:left="180" w:firstLine="0"/>
              <w:jc w:val="both"/>
              <w:rPr>
                <w:sz w:val="24"/>
              </w:rPr>
            </w:pPr>
            <w:r w:rsidRPr="00B33FA7">
              <w:rPr>
                <w:sz w:val="24"/>
              </w:rPr>
              <w:t>Langues</w:t>
            </w:r>
            <w:r>
              <w:rPr>
                <w:sz w:val="24"/>
              </w:rPr>
              <w:t xml:space="preserve"> </w:t>
            </w:r>
            <w:r w:rsidRPr="00B33FA7">
              <w:rPr>
                <w:sz w:val="24"/>
              </w:rPr>
              <w:t>employées</w:t>
            </w:r>
          </w:p>
        </w:tc>
        <w:tc>
          <w:tcPr>
            <w:tcW w:w="5517" w:type="dxa"/>
            <w:gridSpan w:val="3"/>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Dimension de la pratique linguist</w:t>
            </w:r>
            <w:r w:rsidRPr="00B33FA7">
              <w:rPr>
                <w:sz w:val="24"/>
              </w:rPr>
              <w:t>i</w:t>
            </w:r>
            <w:r w:rsidRPr="00B33FA7">
              <w:rPr>
                <w:sz w:val="24"/>
              </w:rPr>
              <w:t>que</w:t>
            </w:r>
          </w:p>
        </w:tc>
      </w:tr>
      <w:tr w:rsidR="00B7214C" w:rsidRPr="00EE3822">
        <w:tblPrEx>
          <w:tblCellMar>
            <w:top w:w="0" w:type="dxa"/>
            <w:bottom w:w="0" w:type="dxa"/>
          </w:tblCellMar>
        </w:tblPrEx>
        <w:tc>
          <w:tcPr>
            <w:tcW w:w="2413" w:type="dxa"/>
            <w:vMerge/>
            <w:shd w:val="clear" w:color="auto" w:fill="EDEAD1"/>
            <w:vAlign w:val="bottom"/>
          </w:tcPr>
          <w:p w:rsidR="00B7214C" w:rsidRPr="00EE3822" w:rsidRDefault="00B7214C" w:rsidP="00B7214C">
            <w:pPr>
              <w:spacing w:before="60" w:after="60"/>
              <w:ind w:left="180" w:firstLine="0"/>
              <w:jc w:val="both"/>
              <w:rPr>
                <w:sz w:val="24"/>
              </w:rPr>
            </w:pPr>
          </w:p>
        </w:tc>
        <w:tc>
          <w:tcPr>
            <w:tcW w:w="1818"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Amitié</w:t>
            </w:r>
          </w:p>
        </w:tc>
        <w:tc>
          <w:tcPr>
            <w:tcW w:w="1458"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Quartier</w:t>
            </w:r>
          </w:p>
        </w:tc>
        <w:tc>
          <w:tcPr>
            <w:tcW w:w="2241" w:type="dxa"/>
            <w:tcBorders>
              <w:top w:val="single" w:sz="4" w:space="0" w:color="auto"/>
            </w:tcBorders>
            <w:shd w:val="clear" w:color="auto" w:fill="EDEAD1"/>
            <w:vAlign w:val="bottom"/>
          </w:tcPr>
          <w:p w:rsidR="00B7214C" w:rsidRPr="00EE3822" w:rsidRDefault="00B7214C" w:rsidP="00B7214C">
            <w:pPr>
              <w:spacing w:before="60" w:after="60"/>
              <w:ind w:firstLine="0"/>
              <w:jc w:val="center"/>
              <w:rPr>
                <w:sz w:val="24"/>
              </w:rPr>
            </w:pPr>
            <w:r w:rsidRPr="00B33FA7">
              <w:rPr>
                <w:sz w:val="24"/>
              </w:rPr>
              <w:t>D'usage</w:t>
            </w:r>
          </w:p>
        </w:tc>
      </w:tr>
      <w:tr w:rsidR="00B7214C" w:rsidRPr="00B33FA7">
        <w:tblPrEx>
          <w:tblCellMar>
            <w:top w:w="0" w:type="dxa"/>
            <w:bottom w:w="0" w:type="dxa"/>
          </w:tblCellMar>
        </w:tblPrEx>
        <w:tc>
          <w:tcPr>
            <w:tcW w:w="2413" w:type="dxa"/>
            <w:tcBorders>
              <w:top w:val="single" w:sz="4" w:space="0" w:color="auto"/>
            </w:tcBorders>
            <w:shd w:val="clear" w:color="auto" w:fill="FFFFFF"/>
            <w:vAlign w:val="bottom"/>
          </w:tcPr>
          <w:p w:rsidR="00B7214C" w:rsidRPr="00B33FA7" w:rsidRDefault="00B7214C" w:rsidP="00B7214C">
            <w:pPr>
              <w:spacing w:before="60" w:after="60"/>
              <w:ind w:left="180" w:firstLine="0"/>
              <w:jc w:val="both"/>
              <w:rPr>
                <w:sz w:val="24"/>
              </w:rPr>
            </w:pPr>
            <w:r w:rsidRPr="00B33FA7">
              <w:rPr>
                <w:sz w:val="24"/>
              </w:rPr>
              <w:t>français</w:t>
            </w:r>
          </w:p>
        </w:tc>
        <w:tc>
          <w:tcPr>
            <w:tcW w:w="1818"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sz w:val="24"/>
              </w:rPr>
              <w:t>39,2%</w:t>
            </w:r>
          </w:p>
        </w:tc>
        <w:tc>
          <w:tcPr>
            <w:tcW w:w="1458"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sz w:val="24"/>
              </w:rPr>
              <w:t>67,9%</w:t>
            </w:r>
          </w:p>
        </w:tc>
        <w:tc>
          <w:tcPr>
            <w:tcW w:w="2241"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sz w:val="24"/>
              </w:rPr>
              <w:t>38,3%</w:t>
            </w:r>
          </w:p>
        </w:tc>
      </w:tr>
      <w:tr w:rsidR="00B7214C" w:rsidRPr="00B33FA7">
        <w:tblPrEx>
          <w:tblCellMar>
            <w:top w:w="0" w:type="dxa"/>
            <w:bottom w:w="0" w:type="dxa"/>
          </w:tblCellMar>
        </w:tblPrEx>
        <w:tc>
          <w:tcPr>
            <w:tcW w:w="2413" w:type="dxa"/>
            <w:shd w:val="clear" w:color="auto" w:fill="FFFFFF"/>
          </w:tcPr>
          <w:p w:rsidR="00B7214C" w:rsidRPr="00B33FA7" w:rsidRDefault="00B7214C" w:rsidP="00B7214C">
            <w:pPr>
              <w:spacing w:before="60" w:after="60"/>
              <w:ind w:left="180" w:firstLine="0"/>
              <w:jc w:val="both"/>
              <w:rPr>
                <w:sz w:val="24"/>
              </w:rPr>
            </w:pPr>
            <w:r w:rsidRPr="00B33FA7">
              <w:rPr>
                <w:sz w:val="24"/>
              </w:rPr>
              <w:t>anglais</w:t>
            </w:r>
          </w:p>
        </w:tc>
        <w:tc>
          <w:tcPr>
            <w:tcW w:w="1818" w:type="dxa"/>
            <w:shd w:val="clear" w:color="auto" w:fill="FFFFFF"/>
          </w:tcPr>
          <w:p w:rsidR="00B7214C" w:rsidRPr="00B33FA7" w:rsidRDefault="00B7214C" w:rsidP="00B7214C">
            <w:pPr>
              <w:spacing w:before="60" w:after="60"/>
              <w:ind w:firstLine="0"/>
              <w:jc w:val="both"/>
              <w:rPr>
                <w:sz w:val="24"/>
              </w:rPr>
            </w:pPr>
            <w:r w:rsidRPr="00B33FA7">
              <w:rPr>
                <w:sz w:val="24"/>
              </w:rPr>
              <w:t>15,1</w:t>
            </w:r>
          </w:p>
        </w:tc>
        <w:tc>
          <w:tcPr>
            <w:tcW w:w="1458" w:type="dxa"/>
            <w:shd w:val="clear" w:color="auto" w:fill="FFFFFF"/>
          </w:tcPr>
          <w:p w:rsidR="00B7214C" w:rsidRPr="00B33FA7" w:rsidRDefault="00B7214C" w:rsidP="00B7214C">
            <w:pPr>
              <w:spacing w:before="60" w:after="60"/>
              <w:ind w:firstLine="0"/>
              <w:jc w:val="both"/>
              <w:rPr>
                <w:sz w:val="24"/>
              </w:rPr>
            </w:pPr>
            <w:r w:rsidRPr="00B33FA7">
              <w:rPr>
                <w:sz w:val="24"/>
              </w:rPr>
              <w:t>25,1</w:t>
            </w:r>
          </w:p>
        </w:tc>
        <w:tc>
          <w:tcPr>
            <w:tcW w:w="2241" w:type="dxa"/>
            <w:shd w:val="clear" w:color="auto" w:fill="FFFFFF"/>
          </w:tcPr>
          <w:p w:rsidR="00B7214C" w:rsidRPr="00B33FA7" w:rsidRDefault="00B7214C" w:rsidP="00B7214C">
            <w:pPr>
              <w:spacing w:before="60" w:after="60"/>
              <w:ind w:firstLine="0"/>
              <w:jc w:val="both"/>
              <w:rPr>
                <w:sz w:val="24"/>
              </w:rPr>
            </w:pPr>
            <w:r w:rsidRPr="00B33FA7">
              <w:rPr>
                <w:sz w:val="24"/>
              </w:rPr>
              <w:t>5,1</w:t>
            </w:r>
          </w:p>
        </w:tc>
      </w:tr>
      <w:tr w:rsidR="00B7214C" w:rsidRPr="00B33FA7">
        <w:tblPrEx>
          <w:tblCellMar>
            <w:top w:w="0" w:type="dxa"/>
            <w:bottom w:w="0" w:type="dxa"/>
          </w:tblCellMar>
        </w:tblPrEx>
        <w:tc>
          <w:tcPr>
            <w:tcW w:w="2413" w:type="dxa"/>
            <w:shd w:val="clear" w:color="auto" w:fill="FFFFFF"/>
          </w:tcPr>
          <w:p w:rsidR="00B7214C" w:rsidRPr="00B33FA7" w:rsidRDefault="00B7214C" w:rsidP="00B7214C">
            <w:pPr>
              <w:spacing w:before="60" w:after="60"/>
              <w:ind w:left="180" w:firstLine="0"/>
              <w:jc w:val="both"/>
              <w:rPr>
                <w:sz w:val="24"/>
              </w:rPr>
            </w:pPr>
            <w:r w:rsidRPr="00B33FA7">
              <w:rPr>
                <w:sz w:val="24"/>
              </w:rPr>
              <w:t>français et a</w:t>
            </w:r>
            <w:r w:rsidRPr="00B33FA7">
              <w:rPr>
                <w:sz w:val="24"/>
              </w:rPr>
              <w:t>n</w:t>
            </w:r>
            <w:r w:rsidRPr="00B33FA7">
              <w:rPr>
                <w:sz w:val="24"/>
              </w:rPr>
              <w:t>glais</w:t>
            </w:r>
          </w:p>
        </w:tc>
        <w:tc>
          <w:tcPr>
            <w:tcW w:w="1818" w:type="dxa"/>
            <w:shd w:val="clear" w:color="auto" w:fill="FFFFFF"/>
            <w:vAlign w:val="bottom"/>
          </w:tcPr>
          <w:p w:rsidR="00B7214C" w:rsidRPr="00B33FA7" w:rsidRDefault="00B7214C" w:rsidP="00B7214C">
            <w:pPr>
              <w:spacing w:before="60" w:after="60"/>
              <w:ind w:firstLine="0"/>
              <w:jc w:val="both"/>
              <w:rPr>
                <w:sz w:val="24"/>
              </w:rPr>
            </w:pPr>
            <w:r w:rsidRPr="00B33FA7">
              <w:rPr>
                <w:sz w:val="24"/>
              </w:rPr>
              <w:t>0,0</w:t>
            </w:r>
          </w:p>
        </w:tc>
        <w:tc>
          <w:tcPr>
            <w:tcW w:w="1458" w:type="dxa"/>
            <w:shd w:val="clear" w:color="auto" w:fill="FFFFFF"/>
          </w:tcPr>
          <w:p w:rsidR="00B7214C" w:rsidRPr="00B33FA7" w:rsidRDefault="00B7214C" w:rsidP="00B7214C">
            <w:pPr>
              <w:spacing w:before="60" w:after="60"/>
              <w:ind w:firstLine="0"/>
              <w:jc w:val="both"/>
              <w:rPr>
                <w:sz w:val="24"/>
              </w:rPr>
            </w:pPr>
            <w:r w:rsidRPr="00B33FA7">
              <w:rPr>
                <w:sz w:val="24"/>
              </w:rPr>
              <w:t>4,1</w:t>
            </w:r>
          </w:p>
        </w:tc>
        <w:tc>
          <w:tcPr>
            <w:tcW w:w="2241" w:type="dxa"/>
            <w:shd w:val="clear" w:color="auto" w:fill="FFFFFF"/>
          </w:tcPr>
          <w:p w:rsidR="00B7214C" w:rsidRPr="00B33FA7" w:rsidRDefault="00B7214C" w:rsidP="00B7214C">
            <w:pPr>
              <w:spacing w:before="60" w:after="60"/>
              <w:ind w:firstLine="0"/>
              <w:jc w:val="both"/>
              <w:rPr>
                <w:sz w:val="24"/>
              </w:rPr>
            </w:pPr>
            <w:r w:rsidRPr="00B33FA7">
              <w:rPr>
                <w:sz w:val="24"/>
              </w:rPr>
              <w:t>0,9</w:t>
            </w:r>
          </w:p>
        </w:tc>
      </w:tr>
      <w:tr w:rsidR="00B7214C" w:rsidRPr="00B33FA7">
        <w:tblPrEx>
          <w:tblCellMar>
            <w:top w:w="0" w:type="dxa"/>
            <w:bottom w:w="0" w:type="dxa"/>
          </w:tblCellMar>
        </w:tblPrEx>
        <w:tc>
          <w:tcPr>
            <w:tcW w:w="2413" w:type="dxa"/>
            <w:shd w:val="clear" w:color="auto" w:fill="FFFFFF"/>
          </w:tcPr>
          <w:p w:rsidR="00B7214C" w:rsidRPr="00B33FA7" w:rsidRDefault="00B7214C" w:rsidP="00B7214C">
            <w:pPr>
              <w:spacing w:before="60" w:after="60"/>
              <w:ind w:left="180" w:firstLine="0"/>
              <w:jc w:val="both"/>
              <w:rPr>
                <w:sz w:val="24"/>
              </w:rPr>
            </w:pPr>
            <w:r w:rsidRPr="00B33FA7">
              <w:rPr>
                <w:sz w:val="24"/>
              </w:rPr>
              <w:t>français et autre</w:t>
            </w:r>
          </w:p>
        </w:tc>
        <w:tc>
          <w:tcPr>
            <w:tcW w:w="1818" w:type="dxa"/>
            <w:shd w:val="clear" w:color="auto" w:fill="FFFFFF"/>
          </w:tcPr>
          <w:p w:rsidR="00B7214C" w:rsidRPr="00B33FA7" w:rsidRDefault="00B7214C" w:rsidP="00B7214C">
            <w:pPr>
              <w:spacing w:before="60" w:after="60"/>
              <w:ind w:firstLine="0"/>
              <w:jc w:val="both"/>
              <w:rPr>
                <w:sz w:val="24"/>
              </w:rPr>
            </w:pPr>
            <w:r w:rsidRPr="00B33FA7">
              <w:rPr>
                <w:sz w:val="24"/>
              </w:rPr>
              <w:t>4,5</w:t>
            </w:r>
          </w:p>
        </w:tc>
        <w:tc>
          <w:tcPr>
            <w:tcW w:w="1458" w:type="dxa"/>
            <w:shd w:val="clear" w:color="auto" w:fill="FFFFFF"/>
          </w:tcPr>
          <w:p w:rsidR="00B7214C" w:rsidRPr="00B33FA7" w:rsidRDefault="00B7214C" w:rsidP="00B7214C">
            <w:pPr>
              <w:spacing w:before="60" w:after="60"/>
              <w:ind w:firstLine="0"/>
              <w:jc w:val="both"/>
              <w:rPr>
                <w:sz w:val="24"/>
              </w:rPr>
            </w:pPr>
            <w:r w:rsidRPr="00B33FA7">
              <w:rPr>
                <w:sz w:val="24"/>
              </w:rPr>
              <w:t>0,5</w:t>
            </w:r>
          </w:p>
        </w:tc>
        <w:tc>
          <w:tcPr>
            <w:tcW w:w="2241" w:type="dxa"/>
            <w:shd w:val="clear" w:color="auto" w:fill="FFFFFF"/>
            <w:vAlign w:val="bottom"/>
          </w:tcPr>
          <w:p w:rsidR="00B7214C" w:rsidRPr="00B33FA7" w:rsidRDefault="00B7214C" w:rsidP="00B7214C">
            <w:pPr>
              <w:spacing w:before="60" w:after="60"/>
              <w:ind w:firstLine="0"/>
              <w:jc w:val="both"/>
              <w:rPr>
                <w:sz w:val="24"/>
              </w:rPr>
            </w:pPr>
            <w:r w:rsidRPr="00B33FA7">
              <w:rPr>
                <w:sz w:val="24"/>
              </w:rPr>
              <w:t>0,0</w:t>
            </w:r>
          </w:p>
        </w:tc>
      </w:tr>
      <w:tr w:rsidR="00B7214C" w:rsidRPr="00B33FA7">
        <w:tblPrEx>
          <w:tblCellMar>
            <w:top w:w="0" w:type="dxa"/>
            <w:bottom w:w="0" w:type="dxa"/>
          </w:tblCellMar>
        </w:tblPrEx>
        <w:tc>
          <w:tcPr>
            <w:tcW w:w="2413" w:type="dxa"/>
            <w:shd w:val="clear" w:color="auto" w:fill="FFFFFF"/>
            <w:vAlign w:val="center"/>
          </w:tcPr>
          <w:p w:rsidR="00B7214C" w:rsidRPr="00B33FA7" w:rsidRDefault="00B7214C" w:rsidP="00B7214C">
            <w:pPr>
              <w:spacing w:before="60" w:after="60"/>
              <w:ind w:left="180" w:firstLine="0"/>
              <w:jc w:val="both"/>
              <w:rPr>
                <w:sz w:val="24"/>
              </w:rPr>
            </w:pPr>
            <w:r w:rsidRPr="00B33FA7">
              <w:rPr>
                <w:sz w:val="24"/>
              </w:rPr>
              <w:t>anglais et autre</w:t>
            </w:r>
          </w:p>
        </w:tc>
        <w:tc>
          <w:tcPr>
            <w:tcW w:w="1818" w:type="dxa"/>
            <w:shd w:val="clear" w:color="auto" w:fill="FFFFFF"/>
            <w:vAlign w:val="bottom"/>
          </w:tcPr>
          <w:p w:rsidR="00B7214C" w:rsidRPr="00B33FA7" w:rsidRDefault="00B7214C" w:rsidP="00B7214C">
            <w:pPr>
              <w:spacing w:before="60" w:after="60"/>
              <w:ind w:firstLine="0"/>
              <w:jc w:val="both"/>
              <w:rPr>
                <w:sz w:val="24"/>
              </w:rPr>
            </w:pPr>
            <w:r w:rsidRPr="00B33FA7">
              <w:rPr>
                <w:sz w:val="24"/>
              </w:rPr>
              <w:t>0,0</w:t>
            </w:r>
          </w:p>
        </w:tc>
        <w:tc>
          <w:tcPr>
            <w:tcW w:w="1458" w:type="dxa"/>
            <w:shd w:val="clear" w:color="auto" w:fill="FFFFFF"/>
            <w:vAlign w:val="bottom"/>
          </w:tcPr>
          <w:p w:rsidR="00B7214C" w:rsidRPr="00B33FA7" w:rsidRDefault="00B7214C" w:rsidP="00B7214C">
            <w:pPr>
              <w:spacing w:before="60" w:after="60"/>
              <w:ind w:firstLine="0"/>
              <w:jc w:val="both"/>
              <w:rPr>
                <w:sz w:val="24"/>
              </w:rPr>
            </w:pPr>
            <w:r w:rsidRPr="00B33FA7">
              <w:rPr>
                <w:sz w:val="24"/>
              </w:rPr>
              <w:t>1,0</w:t>
            </w:r>
          </w:p>
        </w:tc>
        <w:tc>
          <w:tcPr>
            <w:tcW w:w="2241" w:type="dxa"/>
            <w:shd w:val="clear" w:color="auto" w:fill="FFFFFF"/>
            <w:vAlign w:val="bottom"/>
          </w:tcPr>
          <w:p w:rsidR="00B7214C" w:rsidRPr="00B33FA7" w:rsidRDefault="00B7214C" w:rsidP="00B7214C">
            <w:pPr>
              <w:spacing w:before="60" w:after="60"/>
              <w:ind w:firstLine="0"/>
              <w:jc w:val="both"/>
              <w:rPr>
                <w:sz w:val="24"/>
              </w:rPr>
            </w:pPr>
            <w:r w:rsidRPr="00B33FA7">
              <w:rPr>
                <w:sz w:val="24"/>
              </w:rPr>
              <w:t>0,0</w:t>
            </w:r>
          </w:p>
        </w:tc>
      </w:tr>
      <w:tr w:rsidR="00B7214C" w:rsidRPr="00B33FA7">
        <w:tblPrEx>
          <w:tblCellMar>
            <w:top w:w="0" w:type="dxa"/>
            <w:bottom w:w="0" w:type="dxa"/>
          </w:tblCellMar>
        </w:tblPrEx>
        <w:tc>
          <w:tcPr>
            <w:tcW w:w="2413" w:type="dxa"/>
            <w:shd w:val="clear" w:color="auto" w:fill="FFFFFF"/>
          </w:tcPr>
          <w:p w:rsidR="00B7214C" w:rsidRPr="00B33FA7" w:rsidRDefault="00B7214C" w:rsidP="00B7214C">
            <w:pPr>
              <w:spacing w:before="60" w:after="60"/>
              <w:ind w:left="180" w:firstLine="0"/>
              <w:jc w:val="both"/>
              <w:rPr>
                <w:sz w:val="24"/>
              </w:rPr>
            </w:pPr>
            <w:r w:rsidRPr="00B33FA7">
              <w:rPr>
                <w:sz w:val="24"/>
              </w:rPr>
              <w:t>allophone un</w:t>
            </w:r>
            <w:r w:rsidRPr="00B33FA7">
              <w:rPr>
                <w:sz w:val="24"/>
              </w:rPr>
              <w:t>i</w:t>
            </w:r>
            <w:r w:rsidRPr="00B33FA7">
              <w:rPr>
                <w:sz w:val="24"/>
              </w:rPr>
              <w:t>lingue</w:t>
            </w:r>
          </w:p>
        </w:tc>
        <w:tc>
          <w:tcPr>
            <w:tcW w:w="1818" w:type="dxa"/>
            <w:shd w:val="clear" w:color="auto" w:fill="FFFFFF"/>
          </w:tcPr>
          <w:p w:rsidR="00B7214C" w:rsidRPr="00B33FA7" w:rsidRDefault="00B7214C" w:rsidP="00B7214C">
            <w:pPr>
              <w:spacing w:before="60" w:after="60"/>
              <w:ind w:firstLine="0"/>
              <w:jc w:val="both"/>
              <w:rPr>
                <w:sz w:val="24"/>
              </w:rPr>
            </w:pPr>
            <w:r w:rsidRPr="00B33FA7">
              <w:rPr>
                <w:sz w:val="24"/>
              </w:rPr>
              <w:t>41,2</w:t>
            </w:r>
          </w:p>
        </w:tc>
        <w:tc>
          <w:tcPr>
            <w:tcW w:w="1458" w:type="dxa"/>
            <w:shd w:val="clear" w:color="auto" w:fill="FFFFFF"/>
          </w:tcPr>
          <w:p w:rsidR="00B7214C" w:rsidRPr="00B33FA7" w:rsidRDefault="00B7214C" w:rsidP="00B7214C">
            <w:pPr>
              <w:spacing w:before="60" w:after="60"/>
              <w:ind w:firstLine="0"/>
              <w:jc w:val="both"/>
              <w:rPr>
                <w:sz w:val="24"/>
              </w:rPr>
            </w:pPr>
            <w:r w:rsidRPr="00B33FA7">
              <w:rPr>
                <w:sz w:val="24"/>
              </w:rPr>
              <w:t>1,4</w:t>
            </w:r>
          </w:p>
        </w:tc>
        <w:tc>
          <w:tcPr>
            <w:tcW w:w="2241" w:type="dxa"/>
            <w:shd w:val="clear" w:color="auto" w:fill="FFFFFF"/>
          </w:tcPr>
          <w:p w:rsidR="00B7214C" w:rsidRPr="00B33FA7" w:rsidRDefault="00B7214C" w:rsidP="00B7214C">
            <w:pPr>
              <w:spacing w:before="60" w:after="60"/>
              <w:ind w:firstLine="0"/>
              <w:jc w:val="both"/>
              <w:rPr>
                <w:sz w:val="24"/>
              </w:rPr>
            </w:pPr>
            <w:r w:rsidRPr="00B33FA7">
              <w:rPr>
                <w:sz w:val="24"/>
              </w:rPr>
              <w:t>55,7</w:t>
            </w:r>
          </w:p>
        </w:tc>
      </w:tr>
      <w:tr w:rsidR="00B7214C" w:rsidRPr="00B33FA7">
        <w:tblPrEx>
          <w:tblCellMar>
            <w:top w:w="0" w:type="dxa"/>
            <w:bottom w:w="0" w:type="dxa"/>
          </w:tblCellMar>
        </w:tblPrEx>
        <w:tc>
          <w:tcPr>
            <w:tcW w:w="2413" w:type="dxa"/>
            <w:tcBorders>
              <w:top w:val="single" w:sz="4" w:space="0" w:color="auto"/>
            </w:tcBorders>
            <w:shd w:val="clear" w:color="auto" w:fill="FFFFFF"/>
            <w:vAlign w:val="bottom"/>
          </w:tcPr>
          <w:p w:rsidR="00B7214C" w:rsidRPr="00B33FA7" w:rsidRDefault="00B7214C" w:rsidP="00B7214C">
            <w:pPr>
              <w:spacing w:before="60" w:after="60"/>
              <w:ind w:left="180" w:firstLine="0"/>
              <w:jc w:val="both"/>
              <w:rPr>
                <w:sz w:val="24"/>
              </w:rPr>
            </w:pPr>
            <w:r w:rsidRPr="00B33FA7">
              <w:rPr>
                <w:bCs/>
                <w:sz w:val="24"/>
              </w:rPr>
              <w:t>Total</w:t>
            </w:r>
          </w:p>
        </w:tc>
        <w:tc>
          <w:tcPr>
            <w:tcW w:w="1818"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bCs/>
                <w:sz w:val="24"/>
              </w:rPr>
              <w:t>100,0%</w:t>
            </w:r>
          </w:p>
        </w:tc>
        <w:tc>
          <w:tcPr>
            <w:tcW w:w="1458"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bCs/>
                <w:sz w:val="24"/>
              </w:rPr>
              <w:t>100,0%</w:t>
            </w:r>
          </w:p>
        </w:tc>
        <w:tc>
          <w:tcPr>
            <w:tcW w:w="2241" w:type="dxa"/>
            <w:tcBorders>
              <w:top w:val="single" w:sz="4" w:space="0" w:color="auto"/>
            </w:tcBorders>
            <w:shd w:val="clear" w:color="auto" w:fill="FFFFFF"/>
            <w:vAlign w:val="bottom"/>
          </w:tcPr>
          <w:p w:rsidR="00B7214C" w:rsidRPr="00B33FA7" w:rsidRDefault="00B7214C" w:rsidP="00B7214C">
            <w:pPr>
              <w:spacing w:before="60" w:after="60"/>
              <w:ind w:firstLine="0"/>
              <w:jc w:val="both"/>
              <w:rPr>
                <w:sz w:val="24"/>
              </w:rPr>
            </w:pPr>
            <w:r w:rsidRPr="00B33FA7">
              <w:rPr>
                <w:bCs/>
                <w:sz w:val="24"/>
              </w:rPr>
              <w:t>100,0%</w:t>
            </w:r>
          </w:p>
        </w:tc>
      </w:tr>
      <w:tr w:rsidR="00B7214C" w:rsidRPr="00B33FA7">
        <w:tblPrEx>
          <w:tblCellMar>
            <w:top w:w="0" w:type="dxa"/>
            <w:bottom w:w="0" w:type="dxa"/>
          </w:tblCellMar>
        </w:tblPrEx>
        <w:tc>
          <w:tcPr>
            <w:tcW w:w="2413" w:type="dxa"/>
            <w:tcBorders>
              <w:bottom w:val="single" w:sz="4" w:space="0" w:color="auto"/>
            </w:tcBorders>
            <w:shd w:val="clear" w:color="auto" w:fill="FFFFFF"/>
          </w:tcPr>
          <w:p w:rsidR="00B7214C" w:rsidRPr="00B33FA7" w:rsidRDefault="00B7214C" w:rsidP="00B7214C">
            <w:pPr>
              <w:spacing w:before="60" w:after="60"/>
              <w:ind w:left="180" w:firstLine="0"/>
              <w:jc w:val="both"/>
              <w:rPr>
                <w:sz w:val="24"/>
              </w:rPr>
            </w:pPr>
            <w:r w:rsidRPr="00B33FA7">
              <w:rPr>
                <w:bCs/>
                <w:sz w:val="24"/>
              </w:rPr>
              <w:t>(n)</w:t>
            </w:r>
          </w:p>
        </w:tc>
        <w:tc>
          <w:tcPr>
            <w:tcW w:w="1818" w:type="dxa"/>
            <w:tcBorders>
              <w:bottom w:val="single" w:sz="4" w:space="0" w:color="auto"/>
            </w:tcBorders>
            <w:shd w:val="clear" w:color="auto" w:fill="FFFFFF"/>
          </w:tcPr>
          <w:p w:rsidR="00B7214C" w:rsidRPr="00B33FA7" w:rsidRDefault="00B7214C" w:rsidP="00B7214C">
            <w:pPr>
              <w:spacing w:before="60" w:after="60"/>
              <w:ind w:firstLine="0"/>
              <w:jc w:val="both"/>
              <w:rPr>
                <w:sz w:val="24"/>
              </w:rPr>
            </w:pPr>
            <w:r w:rsidRPr="00B33FA7">
              <w:rPr>
                <w:bCs/>
                <w:sz w:val="24"/>
              </w:rPr>
              <w:t>(199)</w:t>
            </w:r>
          </w:p>
        </w:tc>
        <w:tc>
          <w:tcPr>
            <w:tcW w:w="1458" w:type="dxa"/>
            <w:tcBorders>
              <w:bottom w:val="single" w:sz="4" w:space="0" w:color="auto"/>
            </w:tcBorders>
            <w:shd w:val="clear" w:color="auto" w:fill="FFFFFF"/>
          </w:tcPr>
          <w:p w:rsidR="00B7214C" w:rsidRPr="00B33FA7" w:rsidRDefault="00B7214C" w:rsidP="00B7214C">
            <w:pPr>
              <w:spacing w:before="60" w:after="60"/>
              <w:ind w:firstLine="0"/>
              <w:jc w:val="both"/>
              <w:rPr>
                <w:sz w:val="24"/>
              </w:rPr>
            </w:pPr>
            <w:r w:rsidRPr="00B33FA7">
              <w:rPr>
                <w:bCs/>
                <w:sz w:val="24"/>
              </w:rPr>
              <w:t>(192)</w:t>
            </w:r>
          </w:p>
        </w:tc>
        <w:tc>
          <w:tcPr>
            <w:tcW w:w="2241" w:type="dxa"/>
            <w:tcBorders>
              <w:bottom w:val="single" w:sz="4" w:space="0" w:color="auto"/>
            </w:tcBorders>
            <w:shd w:val="clear" w:color="auto" w:fill="FFFFFF"/>
          </w:tcPr>
          <w:p w:rsidR="00B7214C" w:rsidRPr="00B33FA7" w:rsidRDefault="00B7214C" w:rsidP="00B7214C">
            <w:pPr>
              <w:spacing w:before="60" w:after="60"/>
              <w:ind w:firstLine="0"/>
              <w:jc w:val="both"/>
              <w:rPr>
                <w:sz w:val="24"/>
              </w:rPr>
            </w:pPr>
            <w:r w:rsidRPr="00B33FA7">
              <w:rPr>
                <w:bCs/>
                <w:sz w:val="24"/>
              </w:rPr>
              <w:t>(200)</w:t>
            </w:r>
          </w:p>
        </w:tc>
      </w:tr>
    </w:tbl>
    <w:p w:rsidR="00B7214C" w:rsidRPr="00B33FA7" w:rsidRDefault="00B7214C" w:rsidP="00B7214C">
      <w:pPr>
        <w:spacing w:before="120" w:after="120"/>
        <w:jc w:val="both"/>
        <w:rPr>
          <w:sz w:val="24"/>
        </w:rPr>
      </w:pPr>
      <w:r w:rsidRPr="00B33FA7">
        <w:rPr>
          <w:sz w:val="24"/>
        </w:rPr>
        <w:t xml:space="preserve">Source : </w:t>
      </w:r>
      <w:r w:rsidRPr="00B33FA7">
        <w:rPr>
          <w:rStyle w:val="Lgendedutableau485ptNonGras"/>
          <w:b w:val="0"/>
          <w:sz w:val="24"/>
        </w:rPr>
        <w:t xml:space="preserve">Enquête </w:t>
      </w:r>
      <w:r w:rsidRPr="00B33FA7">
        <w:rPr>
          <w:sz w:val="24"/>
        </w:rPr>
        <w:t xml:space="preserve">ALI, </w:t>
      </w:r>
      <w:r w:rsidRPr="00B33FA7">
        <w:rPr>
          <w:rStyle w:val="Lgendedutableau485ptNonGras"/>
          <w:b w:val="0"/>
          <w:sz w:val="24"/>
        </w:rPr>
        <w:t>1991</w:t>
      </w:r>
    </w:p>
    <w:p w:rsidR="00B7214C" w:rsidRPr="00CB4F2C" w:rsidRDefault="00B7214C" w:rsidP="00B7214C">
      <w:pPr>
        <w:spacing w:before="120" w:after="120"/>
        <w:jc w:val="both"/>
        <w:rPr>
          <w:szCs w:val="2"/>
        </w:rPr>
      </w:pPr>
    </w:p>
    <w:p w:rsidR="00B7214C" w:rsidRPr="00CB4F2C" w:rsidRDefault="00B7214C" w:rsidP="00B7214C">
      <w:pPr>
        <w:spacing w:before="120" w:after="120"/>
        <w:jc w:val="both"/>
        <w:rPr>
          <w:szCs w:val="2"/>
        </w:rPr>
      </w:pPr>
    </w:p>
    <w:p w:rsidR="00B7214C" w:rsidRDefault="00B7214C" w:rsidP="00B7214C">
      <w:pPr>
        <w:spacing w:before="120" w:after="120"/>
        <w:jc w:val="both"/>
      </w:pPr>
      <w:r w:rsidRPr="00CB4F2C">
        <w:t xml:space="preserve">Les données concernant </w:t>
      </w:r>
      <w:r w:rsidRPr="008072CF">
        <w:rPr>
          <w:i/>
          <w:iCs/>
        </w:rPr>
        <w:t>la langue d'usage principale à la maison</w:t>
      </w:r>
      <w:r w:rsidRPr="00CB4F2C">
        <w:t xml:space="preserve"> suivent fidèlement les tendances observées précédemment. Par exe</w:t>
      </w:r>
      <w:r w:rsidRPr="00CB4F2C">
        <w:t>m</w:t>
      </w:r>
      <w:r w:rsidRPr="00CB4F2C">
        <w:t xml:space="preserve">ple, les allophones anglais s'intègrent deux fois plus souvent </w:t>
      </w:r>
      <w:r w:rsidRPr="00CB4F2C">
        <w:rPr>
          <w:rStyle w:val="Corpsdutexte295pt"/>
        </w:rPr>
        <w:t xml:space="preserve">à </w:t>
      </w:r>
      <w:r w:rsidRPr="00CB4F2C">
        <w:t>la communauté anglophone qu'à celle d'expression française alors que les allophones français et bilingues se francisent en très grand nombre (autour de 40</w:t>
      </w:r>
      <w:r>
        <w:t>%</w:t>
      </w:r>
      <w:r w:rsidRPr="00CB4F2C">
        <w:t>) et très peu s'anglicisent. Environ 10</w:t>
      </w:r>
      <w:r>
        <w:t>%</w:t>
      </w:r>
      <w:r w:rsidRPr="00CB4F2C">
        <w:t xml:space="preserve"> du groupe a</w:t>
      </w:r>
      <w:r w:rsidRPr="00CB4F2C">
        <w:t>n</w:t>
      </w:r>
      <w:r w:rsidRPr="00CB4F2C">
        <w:t>glophone est maintenant francisé, tout comme les allophones unili</w:t>
      </w:r>
      <w:r w:rsidRPr="00CB4F2C">
        <w:t>n</w:t>
      </w:r>
      <w:r w:rsidRPr="00CB4F2C">
        <w:t>gues.</w:t>
      </w:r>
    </w:p>
    <w:p w:rsidR="00B7214C" w:rsidRDefault="00B7214C" w:rsidP="00B7214C">
      <w:pPr>
        <w:spacing w:before="120" w:after="120"/>
        <w:jc w:val="both"/>
      </w:pPr>
      <w:r>
        <w:t>[189]</w:t>
      </w:r>
    </w:p>
    <w:p w:rsidR="00B7214C" w:rsidRPr="00CB4F2C" w:rsidRDefault="00B7214C" w:rsidP="00B7214C">
      <w:pPr>
        <w:spacing w:before="120" w:after="120"/>
        <w:jc w:val="both"/>
      </w:pPr>
    </w:p>
    <w:p w:rsidR="00B7214C" w:rsidRPr="00CB4F2C" w:rsidRDefault="00B7214C" w:rsidP="00B7214C">
      <w:pPr>
        <w:pStyle w:val="figtitre"/>
      </w:pPr>
      <w:r w:rsidRPr="00991B28">
        <w:t>Tableau 10</w:t>
      </w:r>
    </w:p>
    <w:p w:rsidR="00B7214C" w:rsidRDefault="00B7214C" w:rsidP="00B7214C">
      <w:pPr>
        <w:pStyle w:val="figtitre"/>
      </w:pPr>
      <w:r w:rsidRPr="00CB4F2C">
        <w:t>Dimensions de la pratique linguistique,</w:t>
      </w:r>
      <w:r>
        <w:br/>
      </w:r>
      <w:r w:rsidRPr="00CB4F2C">
        <w:t>immigrants allophones un</w:t>
      </w:r>
      <w:r w:rsidRPr="00CB4F2C">
        <w:t>i</w:t>
      </w:r>
      <w:r w:rsidRPr="00CB4F2C">
        <w:t>lingues, Québec, 1991</w:t>
      </w:r>
    </w:p>
    <w:tbl>
      <w:tblPr>
        <w:tblOverlap w:val="never"/>
        <w:tblW w:w="0" w:type="auto"/>
        <w:tblInd w:w="-26" w:type="dxa"/>
        <w:tblLayout w:type="fixed"/>
        <w:tblCellMar>
          <w:left w:w="10" w:type="dxa"/>
          <w:right w:w="10" w:type="dxa"/>
        </w:tblCellMar>
        <w:tblLook w:val="04A0" w:firstRow="1" w:lastRow="0" w:firstColumn="1" w:lastColumn="0" w:noHBand="0" w:noVBand="1"/>
      </w:tblPr>
      <w:tblGrid>
        <w:gridCol w:w="2412"/>
        <w:gridCol w:w="27"/>
        <w:gridCol w:w="1818"/>
        <w:gridCol w:w="1539"/>
        <w:gridCol w:w="2161"/>
      </w:tblGrid>
      <w:tr w:rsidR="00B7214C" w:rsidRPr="00991B28">
        <w:tblPrEx>
          <w:tblCellMar>
            <w:top w:w="0" w:type="dxa"/>
            <w:bottom w:w="0" w:type="dxa"/>
          </w:tblCellMar>
        </w:tblPrEx>
        <w:tc>
          <w:tcPr>
            <w:tcW w:w="2412" w:type="dxa"/>
            <w:vMerge w:val="restart"/>
            <w:tcBorders>
              <w:top w:val="single" w:sz="4" w:space="0" w:color="auto"/>
            </w:tcBorders>
            <w:shd w:val="clear" w:color="auto" w:fill="EDEAD1"/>
            <w:vAlign w:val="bottom"/>
          </w:tcPr>
          <w:p w:rsidR="00B7214C" w:rsidRPr="00991B28" w:rsidRDefault="00B7214C" w:rsidP="00B7214C">
            <w:pPr>
              <w:spacing w:before="60" w:after="60"/>
              <w:ind w:left="206" w:firstLine="0"/>
              <w:jc w:val="both"/>
              <w:rPr>
                <w:sz w:val="24"/>
              </w:rPr>
            </w:pPr>
            <w:r w:rsidRPr="00991B28">
              <w:rPr>
                <w:sz w:val="24"/>
              </w:rPr>
              <w:t>Langues</w:t>
            </w:r>
            <w:r>
              <w:rPr>
                <w:sz w:val="24"/>
              </w:rPr>
              <w:t xml:space="preserve"> </w:t>
            </w:r>
            <w:r w:rsidRPr="00991B28">
              <w:rPr>
                <w:sz w:val="24"/>
              </w:rPr>
              <w:t>employées</w:t>
            </w:r>
          </w:p>
        </w:tc>
        <w:tc>
          <w:tcPr>
            <w:tcW w:w="5545" w:type="dxa"/>
            <w:gridSpan w:val="4"/>
            <w:tcBorders>
              <w:top w:val="single" w:sz="4" w:space="0" w:color="auto"/>
            </w:tcBorders>
            <w:shd w:val="clear" w:color="auto" w:fill="EDEAD1"/>
            <w:vAlign w:val="bottom"/>
          </w:tcPr>
          <w:p w:rsidR="00B7214C" w:rsidRPr="00991B28" w:rsidRDefault="00B7214C" w:rsidP="00B7214C">
            <w:pPr>
              <w:spacing w:before="60" w:after="60"/>
              <w:ind w:left="206" w:firstLine="0"/>
              <w:jc w:val="center"/>
              <w:rPr>
                <w:sz w:val="24"/>
              </w:rPr>
            </w:pPr>
            <w:r w:rsidRPr="00991B28">
              <w:rPr>
                <w:sz w:val="24"/>
              </w:rPr>
              <w:t>Dimension de la pratique linguist</w:t>
            </w:r>
            <w:r w:rsidRPr="00991B28">
              <w:rPr>
                <w:sz w:val="24"/>
              </w:rPr>
              <w:t>i</w:t>
            </w:r>
            <w:r w:rsidRPr="00991B28">
              <w:rPr>
                <w:sz w:val="24"/>
              </w:rPr>
              <w:t>que</w:t>
            </w:r>
          </w:p>
        </w:tc>
      </w:tr>
      <w:tr w:rsidR="00B7214C" w:rsidRPr="00991B28">
        <w:tblPrEx>
          <w:tblCellMar>
            <w:top w:w="0" w:type="dxa"/>
            <w:bottom w:w="0" w:type="dxa"/>
          </w:tblCellMar>
        </w:tblPrEx>
        <w:tc>
          <w:tcPr>
            <w:tcW w:w="2412" w:type="dxa"/>
            <w:vMerge/>
            <w:shd w:val="clear" w:color="auto" w:fill="EDEAD1"/>
            <w:vAlign w:val="bottom"/>
          </w:tcPr>
          <w:p w:rsidR="00B7214C" w:rsidRPr="00991B28" w:rsidRDefault="00B7214C" w:rsidP="00B7214C">
            <w:pPr>
              <w:spacing w:before="60" w:after="60"/>
              <w:ind w:left="206" w:firstLine="0"/>
              <w:jc w:val="both"/>
              <w:rPr>
                <w:sz w:val="24"/>
              </w:rPr>
            </w:pPr>
          </w:p>
        </w:tc>
        <w:tc>
          <w:tcPr>
            <w:tcW w:w="1845" w:type="dxa"/>
            <w:gridSpan w:val="2"/>
            <w:tcBorders>
              <w:top w:val="single" w:sz="4" w:space="0" w:color="auto"/>
            </w:tcBorders>
            <w:shd w:val="clear" w:color="auto" w:fill="EDEAD1"/>
            <w:vAlign w:val="bottom"/>
          </w:tcPr>
          <w:p w:rsidR="00B7214C" w:rsidRPr="00991B28" w:rsidRDefault="00B7214C" w:rsidP="00B7214C">
            <w:pPr>
              <w:spacing w:before="60" w:after="60"/>
              <w:ind w:left="206" w:firstLine="0"/>
              <w:jc w:val="center"/>
              <w:rPr>
                <w:sz w:val="24"/>
              </w:rPr>
            </w:pPr>
            <w:r w:rsidRPr="00991B28">
              <w:rPr>
                <w:sz w:val="24"/>
              </w:rPr>
              <w:t>Amitié</w:t>
            </w:r>
          </w:p>
        </w:tc>
        <w:tc>
          <w:tcPr>
            <w:tcW w:w="1539" w:type="dxa"/>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Quartier</w:t>
            </w:r>
          </w:p>
        </w:tc>
        <w:tc>
          <w:tcPr>
            <w:tcW w:w="2161" w:type="dxa"/>
            <w:tcBorders>
              <w:top w:val="single" w:sz="4" w:space="0" w:color="auto"/>
            </w:tcBorders>
            <w:shd w:val="clear" w:color="auto" w:fill="EDEAD1"/>
            <w:vAlign w:val="bottom"/>
          </w:tcPr>
          <w:p w:rsidR="00B7214C" w:rsidRPr="00991B28" w:rsidRDefault="00B7214C" w:rsidP="00B7214C">
            <w:pPr>
              <w:spacing w:before="60" w:after="60"/>
              <w:ind w:firstLine="0"/>
              <w:jc w:val="center"/>
              <w:rPr>
                <w:sz w:val="24"/>
              </w:rPr>
            </w:pPr>
            <w:r w:rsidRPr="00991B28">
              <w:rPr>
                <w:sz w:val="24"/>
              </w:rPr>
              <w:t>D'usage</w:t>
            </w:r>
          </w:p>
        </w:tc>
      </w:tr>
      <w:tr w:rsidR="00B7214C" w:rsidRPr="00991B28">
        <w:tblPrEx>
          <w:tblCellMar>
            <w:top w:w="0" w:type="dxa"/>
            <w:bottom w:w="0" w:type="dxa"/>
          </w:tblCellMar>
        </w:tblPrEx>
        <w:tc>
          <w:tcPr>
            <w:tcW w:w="2439" w:type="dxa"/>
            <w:gridSpan w:val="2"/>
            <w:tcBorders>
              <w:top w:val="single" w:sz="4" w:space="0" w:color="auto"/>
            </w:tcBorders>
            <w:shd w:val="clear" w:color="auto" w:fill="FFFFFF"/>
            <w:vAlign w:val="bottom"/>
          </w:tcPr>
          <w:p w:rsidR="00B7214C" w:rsidRPr="00991B28" w:rsidRDefault="00B7214C" w:rsidP="00B7214C">
            <w:pPr>
              <w:spacing w:before="60" w:after="60"/>
              <w:ind w:left="206" w:firstLine="0"/>
              <w:jc w:val="both"/>
              <w:rPr>
                <w:sz w:val="24"/>
              </w:rPr>
            </w:pPr>
            <w:r w:rsidRPr="00991B28">
              <w:rPr>
                <w:sz w:val="24"/>
              </w:rPr>
              <w:t>français</w:t>
            </w:r>
          </w:p>
        </w:tc>
        <w:tc>
          <w:tcPr>
            <w:tcW w:w="1818"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21,7%</w:t>
            </w:r>
          </w:p>
        </w:tc>
        <w:tc>
          <w:tcPr>
            <w:tcW w:w="1539"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59,7%</w:t>
            </w:r>
          </w:p>
        </w:tc>
        <w:tc>
          <w:tcPr>
            <w:tcW w:w="2161"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10,9%</w:t>
            </w:r>
          </w:p>
        </w:tc>
      </w:tr>
      <w:tr w:rsidR="00B7214C" w:rsidRPr="00991B28">
        <w:tblPrEx>
          <w:tblCellMar>
            <w:top w:w="0" w:type="dxa"/>
            <w:bottom w:w="0" w:type="dxa"/>
          </w:tblCellMar>
        </w:tblPrEx>
        <w:tc>
          <w:tcPr>
            <w:tcW w:w="2439" w:type="dxa"/>
            <w:gridSpan w:val="2"/>
            <w:shd w:val="clear" w:color="auto" w:fill="FFFFFF"/>
            <w:vAlign w:val="bottom"/>
          </w:tcPr>
          <w:p w:rsidR="00B7214C" w:rsidRPr="00991B28" w:rsidRDefault="00B7214C" w:rsidP="00B7214C">
            <w:pPr>
              <w:spacing w:before="60" w:after="60"/>
              <w:ind w:left="206" w:firstLine="0"/>
              <w:jc w:val="both"/>
              <w:rPr>
                <w:sz w:val="24"/>
              </w:rPr>
            </w:pPr>
            <w:r w:rsidRPr="00991B28">
              <w:rPr>
                <w:sz w:val="24"/>
              </w:rPr>
              <w:t>anglais</w:t>
            </w:r>
          </w:p>
        </w:tc>
        <w:tc>
          <w:tcPr>
            <w:tcW w:w="1818"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7,9</w:t>
            </w:r>
          </w:p>
        </w:tc>
        <w:tc>
          <w:tcPr>
            <w:tcW w:w="1539"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21,7</w:t>
            </w:r>
          </w:p>
        </w:tc>
        <w:tc>
          <w:tcPr>
            <w:tcW w:w="2161"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0,9</w:t>
            </w:r>
          </w:p>
        </w:tc>
      </w:tr>
      <w:tr w:rsidR="00B7214C" w:rsidRPr="00991B28">
        <w:tblPrEx>
          <w:tblCellMar>
            <w:top w:w="0" w:type="dxa"/>
            <w:bottom w:w="0" w:type="dxa"/>
          </w:tblCellMar>
        </w:tblPrEx>
        <w:tc>
          <w:tcPr>
            <w:tcW w:w="2439" w:type="dxa"/>
            <w:gridSpan w:val="2"/>
            <w:shd w:val="clear" w:color="auto" w:fill="FFFFFF"/>
            <w:vAlign w:val="center"/>
          </w:tcPr>
          <w:p w:rsidR="00B7214C" w:rsidRPr="00991B28" w:rsidRDefault="00B7214C" w:rsidP="00B7214C">
            <w:pPr>
              <w:spacing w:before="60" w:after="60"/>
              <w:ind w:left="206" w:firstLine="0"/>
              <w:jc w:val="both"/>
              <w:rPr>
                <w:sz w:val="24"/>
              </w:rPr>
            </w:pPr>
            <w:r w:rsidRPr="00991B28">
              <w:rPr>
                <w:sz w:val="24"/>
              </w:rPr>
              <w:t>français et a</w:t>
            </w:r>
            <w:r w:rsidRPr="00991B28">
              <w:rPr>
                <w:sz w:val="24"/>
              </w:rPr>
              <w:t>n</w:t>
            </w:r>
            <w:r w:rsidRPr="00991B28">
              <w:rPr>
                <w:sz w:val="24"/>
              </w:rPr>
              <w:t>glais</w:t>
            </w:r>
          </w:p>
        </w:tc>
        <w:tc>
          <w:tcPr>
            <w:tcW w:w="1818"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0,0</w:t>
            </w:r>
          </w:p>
        </w:tc>
        <w:tc>
          <w:tcPr>
            <w:tcW w:w="1539"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1,2</w:t>
            </w:r>
          </w:p>
        </w:tc>
        <w:tc>
          <w:tcPr>
            <w:tcW w:w="2161"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0,0</w:t>
            </w:r>
          </w:p>
        </w:tc>
      </w:tr>
      <w:tr w:rsidR="00B7214C" w:rsidRPr="00991B28">
        <w:tblPrEx>
          <w:tblCellMar>
            <w:top w:w="0" w:type="dxa"/>
            <w:bottom w:w="0" w:type="dxa"/>
          </w:tblCellMar>
        </w:tblPrEx>
        <w:tc>
          <w:tcPr>
            <w:tcW w:w="2439" w:type="dxa"/>
            <w:gridSpan w:val="2"/>
            <w:shd w:val="clear" w:color="auto" w:fill="FFFFFF"/>
            <w:vAlign w:val="bottom"/>
          </w:tcPr>
          <w:p w:rsidR="00B7214C" w:rsidRPr="00991B28" w:rsidRDefault="00B7214C" w:rsidP="00B7214C">
            <w:pPr>
              <w:spacing w:before="60" w:after="60"/>
              <w:ind w:left="206" w:firstLine="0"/>
              <w:jc w:val="both"/>
              <w:rPr>
                <w:sz w:val="24"/>
              </w:rPr>
            </w:pPr>
            <w:r w:rsidRPr="00991B28">
              <w:rPr>
                <w:sz w:val="24"/>
              </w:rPr>
              <w:t>français et a</w:t>
            </w:r>
            <w:r w:rsidRPr="00991B28">
              <w:rPr>
                <w:sz w:val="24"/>
              </w:rPr>
              <w:t>u</w:t>
            </w:r>
            <w:r w:rsidRPr="00991B28">
              <w:rPr>
                <w:sz w:val="24"/>
              </w:rPr>
              <w:t>tre</w:t>
            </w:r>
          </w:p>
        </w:tc>
        <w:tc>
          <w:tcPr>
            <w:tcW w:w="1818"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1,6</w:t>
            </w:r>
          </w:p>
        </w:tc>
        <w:tc>
          <w:tcPr>
            <w:tcW w:w="1539"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0,7</w:t>
            </w:r>
          </w:p>
        </w:tc>
        <w:tc>
          <w:tcPr>
            <w:tcW w:w="2161"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0,0</w:t>
            </w:r>
          </w:p>
        </w:tc>
      </w:tr>
      <w:tr w:rsidR="00B7214C" w:rsidRPr="00991B28">
        <w:tblPrEx>
          <w:tblCellMar>
            <w:top w:w="0" w:type="dxa"/>
            <w:bottom w:w="0" w:type="dxa"/>
          </w:tblCellMar>
        </w:tblPrEx>
        <w:tc>
          <w:tcPr>
            <w:tcW w:w="2439" w:type="dxa"/>
            <w:gridSpan w:val="2"/>
            <w:shd w:val="clear" w:color="auto" w:fill="FFFFFF"/>
            <w:vAlign w:val="bottom"/>
          </w:tcPr>
          <w:p w:rsidR="00B7214C" w:rsidRPr="00991B28" w:rsidRDefault="00B7214C" w:rsidP="00B7214C">
            <w:pPr>
              <w:spacing w:before="60" w:after="60"/>
              <w:ind w:left="206" w:firstLine="0"/>
              <w:jc w:val="both"/>
              <w:rPr>
                <w:sz w:val="24"/>
              </w:rPr>
            </w:pPr>
            <w:r w:rsidRPr="00991B28">
              <w:rPr>
                <w:sz w:val="24"/>
              </w:rPr>
              <w:t>anglais et autre</w:t>
            </w:r>
          </w:p>
        </w:tc>
        <w:tc>
          <w:tcPr>
            <w:tcW w:w="1818"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0,0</w:t>
            </w:r>
          </w:p>
        </w:tc>
        <w:tc>
          <w:tcPr>
            <w:tcW w:w="1539"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0,3</w:t>
            </w:r>
          </w:p>
        </w:tc>
        <w:tc>
          <w:tcPr>
            <w:tcW w:w="2161"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0,0</w:t>
            </w:r>
          </w:p>
        </w:tc>
      </w:tr>
      <w:tr w:rsidR="00B7214C" w:rsidRPr="00991B28">
        <w:tblPrEx>
          <w:tblCellMar>
            <w:top w:w="0" w:type="dxa"/>
            <w:bottom w:w="0" w:type="dxa"/>
          </w:tblCellMar>
        </w:tblPrEx>
        <w:tc>
          <w:tcPr>
            <w:tcW w:w="2439" w:type="dxa"/>
            <w:gridSpan w:val="2"/>
            <w:shd w:val="clear" w:color="auto" w:fill="FFFFFF"/>
            <w:vAlign w:val="bottom"/>
          </w:tcPr>
          <w:p w:rsidR="00B7214C" w:rsidRPr="00991B28" w:rsidRDefault="00B7214C" w:rsidP="00B7214C">
            <w:pPr>
              <w:spacing w:before="60" w:after="60"/>
              <w:ind w:left="206" w:firstLine="0"/>
              <w:jc w:val="both"/>
              <w:rPr>
                <w:sz w:val="24"/>
              </w:rPr>
            </w:pPr>
            <w:r w:rsidRPr="00991B28">
              <w:rPr>
                <w:sz w:val="24"/>
              </w:rPr>
              <w:t>allophone unili</w:t>
            </w:r>
            <w:r w:rsidRPr="00991B28">
              <w:rPr>
                <w:sz w:val="24"/>
              </w:rPr>
              <w:t>n</w:t>
            </w:r>
            <w:r w:rsidRPr="00991B28">
              <w:rPr>
                <w:sz w:val="24"/>
              </w:rPr>
              <w:t>gue</w:t>
            </w:r>
          </w:p>
        </w:tc>
        <w:tc>
          <w:tcPr>
            <w:tcW w:w="1818"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68,8</w:t>
            </w:r>
          </w:p>
        </w:tc>
        <w:tc>
          <w:tcPr>
            <w:tcW w:w="1539"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16,4</w:t>
            </w:r>
          </w:p>
        </w:tc>
        <w:tc>
          <w:tcPr>
            <w:tcW w:w="2161" w:type="dxa"/>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88,2</w:t>
            </w:r>
          </w:p>
        </w:tc>
      </w:tr>
      <w:tr w:rsidR="00B7214C" w:rsidRPr="00991B28">
        <w:tblPrEx>
          <w:tblCellMar>
            <w:top w:w="0" w:type="dxa"/>
            <w:bottom w:w="0" w:type="dxa"/>
          </w:tblCellMar>
        </w:tblPrEx>
        <w:tc>
          <w:tcPr>
            <w:tcW w:w="2439" w:type="dxa"/>
            <w:gridSpan w:val="2"/>
            <w:tcBorders>
              <w:top w:val="single" w:sz="4" w:space="0" w:color="auto"/>
            </w:tcBorders>
            <w:shd w:val="clear" w:color="auto" w:fill="FFFFFF"/>
            <w:vAlign w:val="center"/>
          </w:tcPr>
          <w:p w:rsidR="00B7214C" w:rsidRPr="00991B28" w:rsidRDefault="00B7214C" w:rsidP="00B7214C">
            <w:pPr>
              <w:spacing w:before="60" w:after="60"/>
              <w:ind w:left="206" w:firstLine="0"/>
              <w:jc w:val="both"/>
              <w:rPr>
                <w:sz w:val="24"/>
              </w:rPr>
            </w:pPr>
            <w:r w:rsidRPr="00991B28">
              <w:rPr>
                <w:bCs/>
                <w:sz w:val="24"/>
              </w:rPr>
              <w:t>Total</w:t>
            </w:r>
          </w:p>
        </w:tc>
        <w:tc>
          <w:tcPr>
            <w:tcW w:w="1818"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c>
          <w:tcPr>
            <w:tcW w:w="1539"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c>
          <w:tcPr>
            <w:tcW w:w="2161" w:type="dxa"/>
            <w:tcBorders>
              <w:top w:val="single" w:sz="4" w:space="0" w:color="auto"/>
            </w:tcBorders>
            <w:shd w:val="clear" w:color="auto" w:fill="FFFFFF"/>
            <w:vAlign w:val="bottom"/>
          </w:tcPr>
          <w:p w:rsidR="00B7214C" w:rsidRPr="00991B28" w:rsidRDefault="00B7214C" w:rsidP="00B7214C">
            <w:pPr>
              <w:tabs>
                <w:tab w:val="decimal" w:pos="1007"/>
              </w:tabs>
              <w:spacing w:before="60" w:after="60"/>
              <w:ind w:firstLine="0"/>
              <w:jc w:val="both"/>
              <w:rPr>
                <w:sz w:val="24"/>
              </w:rPr>
            </w:pPr>
            <w:r w:rsidRPr="00991B28">
              <w:rPr>
                <w:sz w:val="24"/>
              </w:rPr>
              <w:t>100,0%</w:t>
            </w:r>
          </w:p>
        </w:tc>
      </w:tr>
      <w:tr w:rsidR="00B7214C" w:rsidRPr="00991B28">
        <w:tblPrEx>
          <w:tblCellMar>
            <w:top w:w="0" w:type="dxa"/>
            <w:bottom w:w="0" w:type="dxa"/>
          </w:tblCellMar>
        </w:tblPrEx>
        <w:tc>
          <w:tcPr>
            <w:tcW w:w="2439" w:type="dxa"/>
            <w:gridSpan w:val="2"/>
            <w:tcBorders>
              <w:bottom w:val="single" w:sz="4" w:space="0" w:color="auto"/>
            </w:tcBorders>
            <w:shd w:val="clear" w:color="auto" w:fill="FFFFFF"/>
          </w:tcPr>
          <w:p w:rsidR="00B7214C" w:rsidRPr="00991B28" w:rsidRDefault="00B7214C" w:rsidP="00B7214C">
            <w:pPr>
              <w:spacing w:before="60" w:after="60"/>
              <w:ind w:left="206" w:firstLine="0"/>
              <w:jc w:val="both"/>
              <w:rPr>
                <w:sz w:val="24"/>
              </w:rPr>
            </w:pPr>
            <w:r w:rsidRPr="00991B28">
              <w:rPr>
                <w:bCs/>
                <w:sz w:val="24"/>
              </w:rPr>
              <w:t>(n)</w:t>
            </w:r>
          </w:p>
        </w:tc>
        <w:tc>
          <w:tcPr>
            <w:tcW w:w="1818" w:type="dxa"/>
            <w:tcBorders>
              <w:bottom w:val="single" w:sz="4" w:space="0" w:color="auto"/>
            </w:tcBorders>
            <w:shd w:val="clear" w:color="auto" w:fill="FFFFFF"/>
          </w:tcPr>
          <w:p w:rsidR="00B7214C" w:rsidRPr="00991B28" w:rsidRDefault="00B7214C" w:rsidP="00B7214C">
            <w:pPr>
              <w:tabs>
                <w:tab w:val="decimal" w:pos="1007"/>
              </w:tabs>
              <w:spacing w:before="60" w:after="60"/>
              <w:ind w:firstLine="0"/>
              <w:jc w:val="both"/>
              <w:rPr>
                <w:sz w:val="24"/>
              </w:rPr>
            </w:pPr>
            <w:r w:rsidRPr="00991B28">
              <w:rPr>
                <w:bCs/>
                <w:sz w:val="24"/>
              </w:rPr>
              <w:t>(445)</w:t>
            </w:r>
          </w:p>
        </w:tc>
        <w:tc>
          <w:tcPr>
            <w:tcW w:w="1539" w:type="dxa"/>
            <w:tcBorders>
              <w:bottom w:val="single" w:sz="4" w:space="0" w:color="auto"/>
            </w:tcBorders>
            <w:shd w:val="clear" w:color="auto" w:fill="FFFFFF"/>
          </w:tcPr>
          <w:p w:rsidR="00B7214C" w:rsidRPr="00991B28" w:rsidRDefault="00B7214C" w:rsidP="00B7214C">
            <w:pPr>
              <w:tabs>
                <w:tab w:val="decimal" w:pos="1007"/>
              </w:tabs>
              <w:spacing w:before="60" w:after="60"/>
              <w:ind w:firstLine="0"/>
              <w:jc w:val="both"/>
              <w:rPr>
                <w:sz w:val="24"/>
              </w:rPr>
            </w:pPr>
            <w:r w:rsidRPr="00991B28">
              <w:rPr>
                <w:bCs/>
                <w:sz w:val="24"/>
              </w:rPr>
              <w:t>(423)</w:t>
            </w:r>
          </w:p>
        </w:tc>
        <w:tc>
          <w:tcPr>
            <w:tcW w:w="2161" w:type="dxa"/>
            <w:tcBorders>
              <w:bottom w:val="single" w:sz="4" w:space="0" w:color="auto"/>
            </w:tcBorders>
            <w:shd w:val="clear" w:color="auto" w:fill="FFFFFF"/>
          </w:tcPr>
          <w:p w:rsidR="00B7214C" w:rsidRPr="00991B28" w:rsidRDefault="00B7214C" w:rsidP="00B7214C">
            <w:pPr>
              <w:tabs>
                <w:tab w:val="decimal" w:pos="1007"/>
              </w:tabs>
              <w:spacing w:before="60" w:after="60"/>
              <w:ind w:firstLine="0"/>
              <w:jc w:val="both"/>
              <w:rPr>
                <w:sz w:val="24"/>
              </w:rPr>
            </w:pPr>
            <w:r w:rsidRPr="00991B28">
              <w:rPr>
                <w:bCs/>
                <w:sz w:val="24"/>
              </w:rPr>
              <w:t>(446)</w:t>
            </w:r>
          </w:p>
        </w:tc>
      </w:tr>
    </w:tbl>
    <w:p w:rsidR="00B7214C" w:rsidRPr="00B33FA7" w:rsidRDefault="00B7214C" w:rsidP="00B7214C">
      <w:pPr>
        <w:spacing w:before="120" w:after="120"/>
        <w:jc w:val="both"/>
        <w:rPr>
          <w:sz w:val="24"/>
        </w:rPr>
      </w:pPr>
      <w:r w:rsidRPr="00B33FA7">
        <w:rPr>
          <w:sz w:val="24"/>
        </w:rPr>
        <w:t>Source : Enquête ALI, 1991</w:t>
      </w:r>
    </w:p>
    <w:p w:rsidR="00B7214C" w:rsidRPr="00CB4F2C" w:rsidRDefault="00B7214C" w:rsidP="00B7214C">
      <w:pPr>
        <w:spacing w:before="120" w:after="120"/>
        <w:jc w:val="both"/>
        <w:rPr>
          <w:szCs w:val="2"/>
        </w:rPr>
      </w:pPr>
    </w:p>
    <w:p w:rsidR="00B7214C" w:rsidRPr="00CB4F2C" w:rsidRDefault="00B7214C" w:rsidP="00B7214C">
      <w:pPr>
        <w:spacing w:before="120" w:after="120"/>
        <w:jc w:val="both"/>
      </w:pPr>
      <w:r w:rsidRPr="00CB4F2C">
        <w:t>De façon générale, la place accordée à la langue maternelle a te</w:t>
      </w:r>
      <w:r w:rsidRPr="00CB4F2C">
        <w:t>n</w:t>
      </w:r>
      <w:r w:rsidRPr="00CB4F2C">
        <w:t xml:space="preserve">dance </w:t>
      </w:r>
      <w:r w:rsidRPr="008072CF">
        <w:t xml:space="preserve">à </w:t>
      </w:r>
      <w:r w:rsidRPr="00CB4F2C">
        <w:t xml:space="preserve">régresser lorsqu'on passe de la langue d'usage </w:t>
      </w:r>
      <w:r w:rsidRPr="008072CF">
        <w:t xml:space="preserve">à </w:t>
      </w:r>
      <w:r w:rsidRPr="008072CF">
        <w:rPr>
          <w:i/>
          <w:iCs/>
        </w:rPr>
        <w:t xml:space="preserve">la langue d'amitié. </w:t>
      </w:r>
      <w:r w:rsidRPr="00CB4F2C">
        <w:t>Le français prend davantage de place chez les anglophones et chez .les allophones anglais. Par contre, la place accordée à l'anglais est plus importante chez les trois autres groupes, ce qui suggère la présence d'un grand brassage des populations en termes de choix d'amis en dehors de la maison. À titre d'exemple, le taux de francis</w:t>
      </w:r>
      <w:r w:rsidRPr="00CB4F2C">
        <w:t>a</w:t>
      </w:r>
      <w:r w:rsidRPr="00CB4F2C">
        <w:t>tion des all</w:t>
      </w:r>
      <w:r w:rsidRPr="00CB4F2C">
        <w:t>o</w:t>
      </w:r>
      <w:r w:rsidRPr="00CB4F2C">
        <w:t>phones unilingues selon la langue d'amitié atteint environ 22</w:t>
      </w:r>
      <w:r>
        <w:t>%</w:t>
      </w:r>
      <w:r w:rsidRPr="00CB4F2C">
        <w:t xml:space="preserve"> (contre 11</w:t>
      </w:r>
      <w:r>
        <w:t>%</w:t>
      </w:r>
      <w:r w:rsidRPr="00CB4F2C">
        <w:t xml:space="preserve"> comme langue d'usage) mais le taux d'anglicisation passe de 0,9</w:t>
      </w:r>
      <w:r>
        <w:t>%</w:t>
      </w:r>
      <w:r w:rsidRPr="00CB4F2C">
        <w:t xml:space="preserve"> à 7,9</w:t>
      </w:r>
      <w:r>
        <w:t>%</w:t>
      </w:r>
      <w:r w:rsidRPr="00CB4F2C">
        <w:t>.</w:t>
      </w:r>
    </w:p>
    <w:p w:rsidR="00B7214C" w:rsidRPr="00CB4F2C" w:rsidRDefault="00B7214C" w:rsidP="00B7214C">
      <w:pPr>
        <w:spacing w:before="120" w:after="120"/>
        <w:jc w:val="both"/>
      </w:pPr>
      <w:r w:rsidRPr="00CB4F2C">
        <w:t xml:space="preserve">Pour ce qui est de </w:t>
      </w:r>
      <w:r w:rsidRPr="008072CF">
        <w:rPr>
          <w:i/>
        </w:rPr>
        <w:t>la langue de voisinage</w:t>
      </w:r>
      <w:r w:rsidRPr="008072CF">
        <w:t>,</w:t>
      </w:r>
      <w:r w:rsidRPr="00CB4F2C">
        <w:t xml:space="preserve"> les langues allophones sont </w:t>
      </w:r>
      <w:r w:rsidRPr="008072CF">
        <w:t xml:space="preserve">à </w:t>
      </w:r>
      <w:r w:rsidRPr="00CB4F2C">
        <w:t xml:space="preserve">toutes fins utiles absentes. Seuls les allophones unilingues continuent </w:t>
      </w:r>
      <w:r w:rsidRPr="008072CF">
        <w:t xml:space="preserve">à </w:t>
      </w:r>
      <w:r w:rsidRPr="00CB4F2C">
        <w:t>parler leur langue en sortant dans le quartier (1 sur 6). Trois-quarts des anglophones et deux-tiers des allophones anglais s'expriment en anglais, alors que trois fois plus d'allophones unili</w:t>
      </w:r>
      <w:r w:rsidRPr="00CB4F2C">
        <w:t>n</w:t>
      </w:r>
      <w:r w:rsidRPr="00CB4F2C">
        <w:t>gues et d'allophones bilingues se servent du français plutôt que de l'anglais. Dans le groupe allophone français, le rapport de force est de 8 pour 1. On conclut donc que le heu public reste relativement hétér</w:t>
      </w:r>
      <w:r w:rsidRPr="00CB4F2C">
        <w:t>o</w:t>
      </w:r>
      <w:r w:rsidRPr="00CB4F2C">
        <w:t>gène en termes de pratique linguistique, surtout lorsqu'on compare cette pratique à celle plus intime de la langue d'amitié ou de la langue d'usage à la maison.</w:t>
      </w:r>
    </w:p>
    <w:p w:rsidR="00B7214C" w:rsidRDefault="00B7214C" w:rsidP="00B7214C">
      <w:pPr>
        <w:spacing w:before="120" w:after="120"/>
        <w:jc w:val="both"/>
      </w:pPr>
    </w:p>
    <w:p w:rsidR="00B7214C" w:rsidRPr="00CB4F2C" w:rsidRDefault="00B7214C" w:rsidP="00B7214C">
      <w:pPr>
        <w:pStyle w:val="a"/>
      </w:pPr>
      <w:r w:rsidRPr="00CB4F2C">
        <w:t>CONCLUSION</w:t>
      </w:r>
    </w:p>
    <w:p w:rsidR="00B7214C" w:rsidRDefault="00B7214C" w:rsidP="00B7214C">
      <w:pPr>
        <w:spacing w:before="120" w:after="120"/>
        <w:jc w:val="both"/>
      </w:pPr>
    </w:p>
    <w:p w:rsidR="00B7214C" w:rsidRPr="00CB4F2C" w:rsidRDefault="00B7214C" w:rsidP="00B7214C">
      <w:pPr>
        <w:spacing w:before="120" w:after="120"/>
        <w:jc w:val="both"/>
      </w:pPr>
      <w:r w:rsidRPr="00CB4F2C">
        <w:t>Les données présentées dans ce texte jettent un éclairage intére</w:t>
      </w:r>
      <w:r w:rsidRPr="00CB4F2C">
        <w:t>s</w:t>
      </w:r>
      <w:r w:rsidRPr="00CB4F2C">
        <w:t>sant sur l'insertion linguistique des immigrants. Tout d'abord, elle se fait partiellement en fonction des orientations linguistiques préalables, telles que mesurées par la connaissance du français et de l'anglais à l'arrivée. Nous</w:t>
      </w:r>
      <w:r>
        <w:t xml:space="preserve"> [190] </w:t>
      </w:r>
      <w:r w:rsidRPr="00CB4F2C">
        <w:t>disons « partiellement » parce que le français attire beaucoup plus les immigrants que l'anglais ou, du moins, bén</w:t>
      </w:r>
      <w:r w:rsidRPr="00CB4F2C">
        <w:t>é</w:t>
      </w:r>
      <w:r w:rsidRPr="00CB4F2C">
        <w:t>ficie davantage de la mobilité linguistique des allophones.</w:t>
      </w:r>
    </w:p>
    <w:p w:rsidR="00B7214C" w:rsidRPr="00CB4F2C" w:rsidRDefault="00B7214C" w:rsidP="00B7214C">
      <w:pPr>
        <w:spacing w:before="120" w:after="120"/>
        <w:jc w:val="both"/>
      </w:pPr>
      <w:r w:rsidRPr="00CB4F2C">
        <w:t>Ensuite, l'analyse montre l'importance de désagréger le groupe a</w:t>
      </w:r>
      <w:r w:rsidRPr="00CB4F2C">
        <w:t>l</w:t>
      </w:r>
      <w:r w:rsidRPr="00CB4F2C">
        <w:t>lophone selon les connaissances linguistiques à l'arrivée, qui, de toute évidence, structurent le degré et le type de mobilité linguistique o</w:t>
      </w:r>
      <w:r w:rsidRPr="00CB4F2C">
        <w:t>b</w:t>
      </w:r>
      <w:r w:rsidRPr="00CB4F2C">
        <w:t>servée. À ce chapitre, le comportement des immigrants allophones anglais n'a rien de commun avec celui des immigrants allophones français, à titre d'exemple. Par ailleurs, les immigrants allophones un</w:t>
      </w:r>
      <w:r w:rsidRPr="00CB4F2C">
        <w:t>i</w:t>
      </w:r>
      <w:r w:rsidRPr="00CB4F2C">
        <w:t>lingues font preuve de beaucoup moins de mobilité linguistique, que</w:t>
      </w:r>
      <w:r w:rsidRPr="00CB4F2C">
        <w:t>l</w:t>
      </w:r>
      <w:r w:rsidRPr="00CB4F2C">
        <w:t>le que soit la dimension étudiée, que les autres immigrants. La connaissance d'une langue d'accueil préalablement à l'arrivée au pays facilite l'intégration linguistique des immigrants.</w:t>
      </w:r>
    </w:p>
    <w:p w:rsidR="00B7214C" w:rsidRPr="00CB4F2C" w:rsidRDefault="00B7214C" w:rsidP="00B7214C">
      <w:pPr>
        <w:spacing w:before="120" w:after="120"/>
        <w:jc w:val="both"/>
      </w:pPr>
      <w:r w:rsidRPr="00CB4F2C">
        <w:t>Trois groupes d'allophones vivent des situations partagées entre l'intégration permanente aux communautés d'accueil et le rattach</w:t>
      </w:r>
      <w:r w:rsidRPr="00CB4F2C">
        <w:t>e</w:t>
      </w:r>
      <w:r w:rsidRPr="00CB4F2C">
        <w:t>ment au groupe linguistique d'origine : d'une part, les allophones fra</w:t>
      </w:r>
      <w:r w:rsidRPr="00CB4F2C">
        <w:t>n</w:t>
      </w:r>
      <w:r w:rsidRPr="00CB4F2C">
        <w:t>çais et allophones bilingues pratiquant un bilinguisme français-allophone très poussé, d'autre part le groupe allophone anglais prat</w:t>
      </w:r>
      <w:r w:rsidRPr="00CB4F2C">
        <w:t>i</w:t>
      </w:r>
      <w:r w:rsidRPr="00CB4F2C">
        <w:t>quant généralement un bilinguisme anglais-allophone. Toutefois, dans ce groupe, comme dans le cas des immigrants anglophones, une min</w:t>
      </w:r>
      <w:r w:rsidRPr="00CB4F2C">
        <w:t>o</w:t>
      </w:r>
      <w:r w:rsidRPr="00CB4F2C">
        <w:t>rité vit des situations de bilinguisme impliquant plutôt le français.</w:t>
      </w:r>
    </w:p>
    <w:p w:rsidR="00B7214C" w:rsidRPr="00CB4F2C" w:rsidRDefault="00B7214C" w:rsidP="00B7214C">
      <w:pPr>
        <w:spacing w:before="120" w:after="120"/>
        <w:jc w:val="both"/>
      </w:pPr>
      <w:r w:rsidRPr="00CB4F2C">
        <w:t>Le groupe allophone unilingue fait preuve de la plus grande fidélité à la langue maternelle. Les langues d'accueil, notamment l'anglais, sont peu présentes dans les foyers allophones uni</w:t>
      </w:r>
      <w:r>
        <w:t>li</w:t>
      </w:r>
      <w:r w:rsidRPr="00CB4F2C">
        <w:t>ngues et la mobilité linguistique mesurée selon la langue d'usage, ou même la langue d'amitié, reste très marginale. La division entre la langue de quartier et les autres domaines de la pratique linguistique est donc plus étanche que dans les autres groupes qui se montrent plus perméables au niveau de la pratique plus intime.</w:t>
      </w:r>
    </w:p>
    <w:p w:rsidR="00B7214C"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r w:rsidRPr="00CB4F2C">
        <w:br w:type="page"/>
      </w:r>
      <w:r>
        <w:t>[191]</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8" w:name="Entre_tradition_pt_1_texte_1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sidRPr="00124590">
        <w:rPr>
          <w:b/>
          <w:caps/>
          <w:color w:val="000080"/>
          <w:sz w:val="24"/>
        </w:rPr>
        <w:t>Première partie</w:t>
      </w:r>
    </w:p>
    <w:p w:rsidR="00B7214C" w:rsidRPr="00DA1F44" w:rsidRDefault="00B7214C" w:rsidP="00B7214C">
      <w:pPr>
        <w:spacing w:after="120"/>
        <w:ind w:firstLine="0"/>
        <w:jc w:val="center"/>
        <w:rPr>
          <w:color w:val="FF0000"/>
          <w:sz w:val="24"/>
        </w:rPr>
      </w:pPr>
      <w:r>
        <w:rPr>
          <w:color w:val="FF0000"/>
          <w:sz w:val="24"/>
        </w:rPr>
        <w:t>B. ETHNICITÉS CULTURELLES ET INTÉGRATION SOCIALE</w:t>
      </w:r>
    </w:p>
    <w:p w:rsidR="00B7214C" w:rsidRPr="00384B20" w:rsidRDefault="00B7214C" w:rsidP="00B7214C">
      <w:pPr>
        <w:pStyle w:val="Titreniveau1"/>
      </w:pPr>
      <w:r>
        <w:t>11</w:t>
      </w:r>
    </w:p>
    <w:p w:rsidR="00B7214C" w:rsidRDefault="00B7214C" w:rsidP="00B7214C">
      <w:pPr>
        <w:pStyle w:val="Titreniveau2"/>
      </w:pPr>
      <w:r>
        <w:t>“L’indien, du sud au nord :</w:t>
      </w:r>
      <w:r>
        <w:br/>
        <w:t>perception et changement.”</w:t>
      </w:r>
    </w:p>
    <w:bookmarkEnd w:id="18"/>
    <w:p w:rsidR="00B7214C" w:rsidRPr="00E07116" w:rsidRDefault="00B7214C" w:rsidP="00B7214C">
      <w:pPr>
        <w:jc w:val="both"/>
        <w:rPr>
          <w:szCs w:val="36"/>
        </w:rPr>
      </w:pPr>
    </w:p>
    <w:p w:rsidR="00B7214C" w:rsidRPr="00E07116" w:rsidRDefault="00B7214C" w:rsidP="00B7214C">
      <w:pPr>
        <w:pStyle w:val="suite"/>
      </w:pPr>
      <w:r>
        <w:t>Par Milagros ORTIZ</w:t>
      </w:r>
    </w:p>
    <w:p w:rsidR="00B7214C" w:rsidRPr="00E07116" w:rsidRDefault="00B7214C" w:rsidP="00B7214C">
      <w:pPr>
        <w:pStyle w:val="auteurst"/>
      </w:pPr>
      <w:r w:rsidRPr="00C57CFF">
        <w:t>Anthropologue, Dawson Creek</w:t>
      </w: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CB4F2C" w:rsidRDefault="00B7214C" w:rsidP="00B7214C">
      <w:pPr>
        <w:spacing w:before="120" w:after="120"/>
        <w:jc w:val="both"/>
      </w:pPr>
      <w:r>
        <w:t xml:space="preserve">Je </w:t>
      </w:r>
      <w:r w:rsidRPr="00CB4F2C">
        <w:t>vous propose de faire une comparaison entre la situation des I</w:t>
      </w:r>
      <w:r w:rsidRPr="00CB4F2C">
        <w:t>n</w:t>
      </w:r>
      <w:r w:rsidRPr="00CB4F2C">
        <w:t>diens Miskitos, qui habitent la côte Atlantique du Nicaragua, et celle des Indiens de la famille athapascane ou déné - la plus étendue en Amérique du Nord</w:t>
      </w:r>
      <w:r>
        <w:t> </w:t>
      </w:r>
      <w:r>
        <w:rPr>
          <w:rStyle w:val="Appelnotedebasdep"/>
        </w:rPr>
        <w:footnoteReference w:id="58"/>
      </w:r>
      <w:r w:rsidRPr="00CB4F2C">
        <w:t xml:space="preserve"> - plus spécifiquement, les groupes</w:t>
      </w:r>
      <w:r>
        <w:t xml:space="preserve"> qui habitent l'extrémité nord-</w:t>
      </w:r>
      <w:r w:rsidRPr="00CB4F2C">
        <w:t>est de la Colombie-Britannique où il est courant de diviser les cultures indiennes, celle des Indiens de la côte, très connus pour le potlatch et les mâts totémiques, et celle des Indiens de l'int</w:t>
      </w:r>
      <w:r w:rsidRPr="00CB4F2C">
        <w:t>é</w:t>
      </w:r>
      <w:r w:rsidRPr="00CB4F2C">
        <w:t>rieur qui avaient moins d'opportunité d'accumuler des biens</w:t>
      </w:r>
      <w:r>
        <w:t> </w:t>
      </w:r>
      <w:r>
        <w:rPr>
          <w:rStyle w:val="Appelnotedebasdep"/>
        </w:rPr>
        <w:footnoteReference w:id="59"/>
      </w:r>
      <w:r w:rsidRPr="00CB4F2C">
        <w:t>.</w:t>
      </w:r>
    </w:p>
    <w:p w:rsidR="00B7214C" w:rsidRPr="00CB4F2C" w:rsidRDefault="00B7214C" w:rsidP="00B7214C">
      <w:pPr>
        <w:spacing w:before="120" w:after="120"/>
        <w:jc w:val="both"/>
      </w:pPr>
      <w:r w:rsidRPr="00CB4F2C">
        <w:t>De prime abord, les deux contextes semblent différents : au Nic</w:t>
      </w:r>
      <w:r w:rsidRPr="00CB4F2C">
        <w:t>a</w:t>
      </w:r>
      <w:r w:rsidRPr="00CB4F2C">
        <w:t>ragua, l'appareil d'État est contrôlé par une majorité métisse, héritière du système colonial espagnol, tandis qu'en Colombie-Britannique il est dirigé par une majorité blanche qui applique le droit britannique. Cependant, durant la période précédant le contact et même longtemps après, les deux cultures autochtones étaient nomades, (les Miskitos étant plutôt semi-nomades) et avaient des organisations sociales sans pouvoir politique défini. Us partagent aussi un fait historique très i</w:t>
      </w:r>
      <w:r w:rsidRPr="00CB4F2C">
        <w:t>m</w:t>
      </w:r>
      <w:r w:rsidRPr="00CB4F2C">
        <w:t>portant, ni les uns ni les autres n'ont été conquis militairement (à la différence de la majorité des Indiens d'Amérique latine, par exemple).</w:t>
      </w:r>
    </w:p>
    <w:p w:rsidR="00B7214C" w:rsidRPr="00CB4F2C" w:rsidRDefault="00B7214C" w:rsidP="00B7214C">
      <w:pPr>
        <w:spacing w:before="120" w:after="120"/>
        <w:jc w:val="both"/>
      </w:pPr>
      <w:r w:rsidRPr="00CB4F2C">
        <w:t>Nous allons voir que cette comparaison entre l'Indien du sud et l'Indien du nord permet de dégager des constantes et des stratégies et réponses différentes à la domination occidentale. Dans un premi</w:t>
      </w:r>
      <w:r>
        <w:t xml:space="preserve">er temps, [192] </w:t>
      </w:r>
      <w:r w:rsidRPr="00CB4F2C">
        <w:t>nous ferons une description succincte des deux groupes et de leur contexte historique. Ensuite, nous verrons l'image que la majorité, dans les deux cas, se fait de l'Indien, les perceptions que l'Indien se fait de l'Autre et les relations interethniques qui en résu</w:t>
      </w:r>
      <w:r w:rsidRPr="00CB4F2C">
        <w:t>l</w:t>
      </w:r>
      <w:r w:rsidRPr="00CB4F2C">
        <w:t>tent. Final</w:t>
      </w:r>
      <w:r w:rsidRPr="00CB4F2C">
        <w:t>e</w:t>
      </w:r>
      <w:r w:rsidRPr="00CB4F2C">
        <w:t>ment, il s'agira de voir l'émergence d'une nouvelle image de l'Indien qui se dégage à travers leurs nouvelles revendications.</w:t>
      </w:r>
    </w:p>
    <w:p w:rsidR="00B7214C" w:rsidRPr="00CB4F2C" w:rsidRDefault="00B7214C" w:rsidP="00B7214C">
      <w:pPr>
        <w:spacing w:before="120" w:after="120"/>
        <w:jc w:val="both"/>
      </w:pPr>
      <w:r w:rsidRPr="00CB4F2C">
        <w:t>Le territoire ancestral des Miskitos (en espagnol la Mosquitia), comprend la côte Atlantique du Nicaragua et le nord-est du Honduras. Leur population actuelle est approximativement de 100</w:t>
      </w:r>
      <w:r>
        <w:t> </w:t>
      </w:r>
      <w:r w:rsidRPr="00CB4F2C">
        <w:t>000 habitants, par rapport à 35 Créoles, 6</w:t>
      </w:r>
      <w:r>
        <w:t> </w:t>
      </w:r>
      <w:r w:rsidRPr="00CB4F2C">
        <w:t>000 Sumos, 700 Ramas et 182</w:t>
      </w:r>
      <w:r>
        <w:t> </w:t>
      </w:r>
      <w:r w:rsidRPr="00CB4F2C">
        <w:t>000 M</w:t>
      </w:r>
      <w:r w:rsidRPr="00CB4F2C">
        <w:t>é</w:t>
      </w:r>
      <w:r w:rsidRPr="00CB4F2C">
        <w:t>tis</w:t>
      </w:r>
      <w:r>
        <w:t> </w:t>
      </w:r>
      <w:r>
        <w:rPr>
          <w:rStyle w:val="Appelnotedebasdep"/>
        </w:rPr>
        <w:footnoteReference w:id="60"/>
      </w:r>
      <w:r w:rsidRPr="00CB4F2C">
        <w:t>. Pour sa part, la région de Peace River est constituée de quatre di</w:t>
      </w:r>
      <w:r w:rsidRPr="00CB4F2C">
        <w:t>s</w:t>
      </w:r>
      <w:r w:rsidRPr="00CB4F2C">
        <w:t>tricts : Fort St. John, Tumbler Ridge, Chetwyn et Dawson Creek au centre. Les Indiens de cette région proviennent de la section nord des Indiens de l'intérieur de la Colombie-Britannique, donc de la région subarctique de l'ouest</w:t>
      </w:r>
      <w:r>
        <w:t> </w:t>
      </w:r>
      <w:r>
        <w:rPr>
          <w:rStyle w:val="Appelnotedebasdep"/>
        </w:rPr>
        <w:footnoteReference w:id="61"/>
      </w:r>
      <w:r w:rsidRPr="00CB4F2C">
        <w:t>. Ici habitent les Castors, Sekanis, Chipp</w:t>
      </w:r>
      <w:r w:rsidRPr="00CB4F2C">
        <w:t>e</w:t>
      </w:r>
      <w:r w:rsidRPr="00CB4F2C">
        <w:t>wyans et les Etchaottinés ou « Esclaves » de la famille athapascane du nord, connue sous le nom de Tinneh ou Déné, comme ils s'appellent eu mêmes</w:t>
      </w:r>
      <w:r>
        <w:t> </w:t>
      </w:r>
      <w:r>
        <w:rPr>
          <w:rStyle w:val="Appelnotedebasdep"/>
        </w:rPr>
        <w:footnoteReference w:id="62"/>
      </w:r>
      <w:r w:rsidRPr="00CB4F2C">
        <w:t>. La population totale des autochtones de la Colombie-Britannique est de 80</w:t>
      </w:r>
      <w:r>
        <w:t> </w:t>
      </w:r>
      <w:r w:rsidRPr="00CB4F2C">
        <w:t>000 personnes, 15</w:t>
      </w:r>
      <w:r>
        <w:t> </w:t>
      </w:r>
      <w:r w:rsidRPr="00CB4F2C">
        <w:t>000 habitant la région de Peace River. Selon les sources autochtones, la population des Indiens sans statut est trois fois supérieure</w:t>
      </w:r>
      <w:r>
        <w:t> </w:t>
      </w:r>
      <w:r>
        <w:rPr>
          <w:rStyle w:val="Appelnotedebasdep"/>
        </w:rPr>
        <w:footnoteReference w:id="63"/>
      </w:r>
      <w:r w:rsidRPr="00CB4F2C">
        <w:t>.</w:t>
      </w:r>
    </w:p>
    <w:p w:rsidR="00B7214C" w:rsidRPr="00CB4F2C" w:rsidRDefault="00B7214C" w:rsidP="00B7214C">
      <w:pPr>
        <w:spacing w:before="120" w:after="120"/>
        <w:jc w:val="both"/>
      </w:pPr>
      <w:r w:rsidRPr="00CB4F2C">
        <w:t>Au Nicaragua, l'appareil d'État, contrôlé par une majorité métisse, héritière d'un système colonial qui avait détruit la structure sociale des Indiens, était très faible et presque inexistant sur la côte Atlantique avant la révolution de 1979. Les Miskitos ont donc joui d'une grande autonomie et ont toujours défini eux-mêmes leur identité ethnique, ou indianité, même après l'annexion (réincorporation) de la Mosquitia par le gouvernement de Zelaya, en 1894.</w:t>
      </w:r>
    </w:p>
    <w:p w:rsidR="00B7214C" w:rsidRPr="00CB4F2C" w:rsidRDefault="00B7214C" w:rsidP="00B7214C">
      <w:pPr>
        <w:spacing w:before="120" w:after="120"/>
        <w:jc w:val="both"/>
      </w:pPr>
      <w:r w:rsidRPr="00CB4F2C">
        <w:t>Les Athapascans, quant à eux, durent négocier avec un système p</w:t>
      </w:r>
      <w:r w:rsidRPr="00CB4F2C">
        <w:t>o</w:t>
      </w:r>
      <w:r w:rsidRPr="00CB4F2C">
        <w:t>litique fédéral contrôlé par une majorité blanche qui appliquait et a</w:t>
      </w:r>
      <w:r w:rsidRPr="00CB4F2C">
        <w:t>p</w:t>
      </w:r>
      <w:r w:rsidRPr="00CB4F2C">
        <w:t>plique le droit britannique. Celui-ci n'éteignait pas automatiquement les droits des aborigènes mais il fut assez fort, surtout après la création de la Gendarmerie royale, pour exercer des pressions afin d'obtenir la signature des traités et, fait plus fondamental, pour imposer une déf</w:t>
      </w:r>
      <w:r w:rsidRPr="00CB4F2C">
        <w:t>i</w:t>
      </w:r>
      <w:r w:rsidRPr="00CB4F2C">
        <w:t>nition de l'indianité par le biais de la Loi sur les Indiens. Waldran nous fait remarquer l'importante influence des différents statuts accordés sur la définition de l'identité des Indiens du nord-ouest subarctique</w:t>
      </w:r>
      <w:r>
        <w:t> </w:t>
      </w:r>
      <w:r>
        <w:rPr>
          <w:rStyle w:val="Appelnotedebasdep"/>
        </w:rPr>
        <w:footnoteReference w:id="64"/>
      </w:r>
      <w:r w:rsidRPr="00CB4F2C">
        <w:t>. Cette influence a été corroborée par une autochtone qui croit que cette stratégie était planifiée pour les diviser.</w:t>
      </w:r>
    </w:p>
    <w:p w:rsidR="00B7214C" w:rsidRPr="00CB4F2C" w:rsidRDefault="00B7214C" w:rsidP="00B7214C">
      <w:pPr>
        <w:spacing w:before="120" w:after="120"/>
        <w:jc w:val="both"/>
      </w:pPr>
      <w:r w:rsidRPr="00CB4F2C">
        <w:t>Ces situations sont le résultat de deux cheminements historiques très différents qui ont eu parfois des conséquences opposées. Par exemple,</w:t>
      </w:r>
      <w:r>
        <w:t xml:space="preserve"> [193] </w:t>
      </w:r>
      <w:r w:rsidRPr="00CB4F2C">
        <w:t>la plupart des populations autochtones, dont les Ath</w:t>
      </w:r>
      <w:r w:rsidRPr="00CB4F2C">
        <w:t>a</w:t>
      </w:r>
      <w:r w:rsidRPr="00CB4F2C">
        <w:t>pascans de la région de Peace River, ont vécu un effondrement dém</w:t>
      </w:r>
      <w:r w:rsidRPr="00CB4F2C">
        <w:t>o</w:t>
      </w:r>
      <w:r w:rsidRPr="00CB4F2C">
        <w:t>graphique après le contact avec les Européens, effondrement qui a été suivi, dans la majorité des cas, par une perte d'autonomie et de po</w:t>
      </w:r>
      <w:r w:rsidRPr="00CB4F2C">
        <w:t>u</w:t>
      </w:r>
      <w:r w:rsidRPr="00CB4F2C">
        <w:t>voir politique. Les Miskitos, au contraire, d'une branche Baxinkha de la famille S</w:t>
      </w:r>
      <w:r w:rsidRPr="00CB4F2C">
        <w:t>u</w:t>
      </w:r>
      <w:r w:rsidRPr="00CB4F2C">
        <w:t>mo, se sont constitués en ethnie dominante dans le contexte colonial grâce aux armes et à leur statut d'intermédiaires culturels. Ils ont eu les premiers contacts avec des boucaniers autour de 1634 et ont, par la suite, établi des relations commerciales, amic</w:t>
      </w:r>
      <w:r w:rsidRPr="00CB4F2C">
        <w:t>a</w:t>
      </w:r>
      <w:r w:rsidRPr="00CB4F2C">
        <w:t>les et d'alliance milita</w:t>
      </w:r>
      <w:r w:rsidRPr="00CB4F2C">
        <w:t>i</w:t>
      </w:r>
      <w:r w:rsidRPr="00CB4F2C">
        <w:t>re avec les Anglais contre les Espagnols.</w:t>
      </w:r>
    </w:p>
    <w:p w:rsidR="00B7214C" w:rsidRPr="00CB4F2C" w:rsidRDefault="00B7214C" w:rsidP="00B7214C">
      <w:pPr>
        <w:spacing w:before="120" w:after="120"/>
        <w:jc w:val="both"/>
      </w:pPr>
      <w:r w:rsidRPr="00CB4F2C">
        <w:t>Cette autonomie a permis aux Miskitos de connaître un processus d'ethnogenèse particulièrement dynamique, selon le terme de Gonz</w:t>
      </w:r>
      <w:r w:rsidRPr="00CB4F2C">
        <w:t>a</w:t>
      </w:r>
      <w:r w:rsidRPr="00CB4F2C">
        <w:t>lez</w:t>
      </w:r>
      <w:r>
        <w:t> </w:t>
      </w:r>
      <w:r>
        <w:rPr>
          <w:rStyle w:val="Appelnotedebasdep"/>
        </w:rPr>
        <w:footnoteReference w:id="65"/>
      </w:r>
      <w:r w:rsidRPr="00CB4F2C">
        <w:t>. Durant plusieurs siècles, ils ont intégré, dans une matrice a</w:t>
      </w:r>
      <w:r w:rsidRPr="00CB4F2C">
        <w:t>u</w:t>
      </w:r>
      <w:r w:rsidRPr="00CB4F2C">
        <w:t>toc</w:t>
      </w:r>
      <w:r w:rsidRPr="00CB4F2C">
        <w:t>h</w:t>
      </w:r>
      <w:r w:rsidRPr="00CB4F2C">
        <w:t>tone, des traits culturels provenant des Européens et des esclaves noirs avec lesquels ils ont entretenu des rapports étroits. Les Miskitos ont développé une haine envers les Espagnols égalée seulement par un sentiment d'anglophilie. Lorsque la domination américaine a pris la relève à la fin du XVIII</w:t>
      </w:r>
      <w:r w:rsidRPr="00CB4F2C">
        <w:rPr>
          <w:vertAlign w:val="superscript"/>
        </w:rPr>
        <w:t>e</w:t>
      </w:r>
      <w:r w:rsidRPr="00CB4F2C">
        <w:t xml:space="preserve"> siècle, les Miskitos sont devenus de la main-d'œuvre à bon marché pour les compagnies américaines d'extraction de ressources (et ce jusqu'à la révolution). Ils ont connu une baisse de statut dans la hiérarchie ethnique de la côte, mais, avec ce que Haie appelle « une fausse conscience », étant donné qu'ils considéraient les Américains comme leurs amis</w:t>
      </w:r>
      <w:r>
        <w:t> </w:t>
      </w:r>
      <w:r>
        <w:rPr>
          <w:rStyle w:val="Appelnotedebasdep"/>
        </w:rPr>
        <w:footnoteReference w:id="66"/>
      </w:r>
      <w:r w:rsidRPr="00CB4F2C">
        <w:t>.</w:t>
      </w:r>
    </w:p>
    <w:p w:rsidR="00B7214C" w:rsidRPr="00CB4F2C" w:rsidRDefault="00B7214C" w:rsidP="00B7214C">
      <w:pPr>
        <w:spacing w:before="120" w:after="120"/>
        <w:jc w:val="both"/>
      </w:pPr>
      <w:r w:rsidRPr="00CB4F2C">
        <w:t>Selon différentes sources, dont une étude réalisée par l'Université de la Colombie-Britannique, les Indiens de la région subarctique, ont d'abord eu des contacts avec des explorateurs, des missionnaires et des commerçants, sans que leur culture soit vraiment transformée jusqu'à la dernière moitié du XIX</w:t>
      </w:r>
      <w:r w:rsidRPr="00CB4F2C">
        <w:rPr>
          <w:vertAlign w:val="superscript"/>
        </w:rPr>
        <w:t>e</w:t>
      </w:r>
      <w:r w:rsidRPr="00CB4F2C">
        <w:t xml:space="preserve"> siècle</w:t>
      </w:r>
      <w:r>
        <w:t> </w:t>
      </w:r>
      <w:r>
        <w:rPr>
          <w:rStyle w:val="Appelnotedebasdep"/>
        </w:rPr>
        <w:footnoteReference w:id="67"/>
      </w:r>
      <w:r w:rsidRPr="00CB4F2C">
        <w:t>. L'établissement des Européens dans la région de Peace River est assez récente. En 1898, lors de la ruée vers l'or, les migrations d'Edmonton vers le Yukon sont passées à 3,2 km de Peace River</w:t>
      </w:r>
      <w:r>
        <w:t> </w:t>
      </w:r>
      <w:r>
        <w:rPr>
          <w:rStyle w:val="Appelnotedebasdep"/>
        </w:rPr>
        <w:footnoteReference w:id="68"/>
      </w:r>
      <w:r w:rsidRPr="00CB4F2C">
        <w:t>. C'est le potentiel agricole de la région qui att</w:t>
      </w:r>
      <w:r w:rsidRPr="00CB4F2C">
        <w:t>i</w:t>
      </w:r>
      <w:r w:rsidRPr="00CB4F2C">
        <w:t>ra les colons et qui constitue actuellement sa base commerciale. Ils sont surtout arrivés en 1912, pour occuper les terres offertes par le gouvernement</w:t>
      </w:r>
      <w:r>
        <w:t> </w:t>
      </w:r>
      <w:r>
        <w:rPr>
          <w:rStyle w:val="Appelnotedebasdep"/>
        </w:rPr>
        <w:footnoteReference w:id="69"/>
      </w:r>
      <w:r w:rsidRPr="00CB4F2C">
        <w:t>.</w:t>
      </w:r>
    </w:p>
    <w:p w:rsidR="00B7214C" w:rsidRDefault="00B7214C" w:rsidP="00B7214C">
      <w:pPr>
        <w:spacing w:before="120" w:after="120"/>
        <w:jc w:val="both"/>
      </w:pPr>
      <w:r>
        <w:br w:type="page"/>
      </w:r>
    </w:p>
    <w:p w:rsidR="00B7214C" w:rsidRPr="00CB4F2C" w:rsidRDefault="00B7214C" w:rsidP="00B7214C">
      <w:pPr>
        <w:pStyle w:val="a"/>
      </w:pPr>
      <w:r w:rsidRPr="00CB4F2C">
        <w:t>LES PERCEPTIONS DES MAJORITÉS</w:t>
      </w:r>
      <w:r>
        <w:br/>
      </w:r>
      <w:r w:rsidRPr="00CB4F2C">
        <w:t>ENVERS LES AUT</w:t>
      </w:r>
      <w:r w:rsidRPr="00CB4F2C">
        <w:t>O</w:t>
      </w:r>
      <w:r w:rsidRPr="00CB4F2C">
        <w:t>CHONES :</w:t>
      </w:r>
      <w:r>
        <w:br/>
      </w:r>
      <w:r w:rsidRPr="00CB4F2C">
        <w:t>LES RELATIONS INTERETHNIQUES</w:t>
      </w:r>
    </w:p>
    <w:p w:rsidR="00B7214C" w:rsidRDefault="00B7214C" w:rsidP="00B7214C">
      <w:pPr>
        <w:spacing w:before="120" w:after="120"/>
        <w:jc w:val="both"/>
      </w:pPr>
    </w:p>
    <w:p w:rsidR="00B7214C" w:rsidRPr="00CB4F2C" w:rsidRDefault="00B7214C" w:rsidP="00B7214C">
      <w:pPr>
        <w:spacing w:before="120" w:after="120"/>
        <w:jc w:val="both"/>
      </w:pPr>
      <w:r w:rsidRPr="00CB4F2C">
        <w:t>Ces faits historiques ont façonné les perceptions des majorités e</w:t>
      </w:r>
      <w:r w:rsidRPr="00CB4F2C">
        <w:t>n</w:t>
      </w:r>
      <w:r w:rsidRPr="00CB4F2C">
        <w:t>vers les autochtones et la vision que ces derniers ont de l'Autre. Au Nicaragua, dans le discours officiel, l'Indien est un personnage myth</w:t>
      </w:r>
      <w:r w:rsidRPr="00CB4F2C">
        <w:t>i</w:t>
      </w:r>
      <w:r w:rsidRPr="00CB4F2C">
        <w:t>que qui n'a rien à voir avec le réel. L'indianité y est exaltée, mais dans le cadre d'une idéologie du métissage qui relègue les Indiens dans un groupe disparu depuis la Conquête espagnole. À l'époque somociste, cela se faisait surtout à travers l'histoire enseignée à l'école. Les rév</w:t>
      </w:r>
      <w:r w:rsidRPr="00CB4F2C">
        <w:t>o</w:t>
      </w:r>
      <w:r>
        <w:t>lutionnaires sandi</w:t>
      </w:r>
      <w:r w:rsidRPr="00CB4F2C">
        <w:t>nistes,</w:t>
      </w:r>
      <w:r>
        <w:t xml:space="preserve"> [194]</w:t>
      </w:r>
      <w:r w:rsidRPr="00CB4F2C">
        <w:t xml:space="preserve"> quant à eux, ont glorifié l'Indien et la résistance a</w:t>
      </w:r>
      <w:r w:rsidRPr="00CB4F2C">
        <w:t>u</w:t>
      </w:r>
      <w:r w:rsidRPr="00CB4F2C">
        <w:t>tochtone de l'époque de la Conquête. L'Indien du présent apparaît cependant comme le résultat du retard économique et un ob</w:t>
      </w:r>
      <w:r w:rsidRPr="00CB4F2C">
        <w:t>s</w:t>
      </w:r>
      <w:r w:rsidRPr="00CB4F2C">
        <w:t>tacle à l'unité nati</w:t>
      </w:r>
      <w:r w:rsidRPr="00CB4F2C">
        <w:t>o</w:t>
      </w:r>
      <w:r w:rsidRPr="00CB4F2C">
        <w:t>nale. Les Miskitos en particulier, étant anglophiles et anti-espagnols ou antimétis, étaient perçus comme une menace</w:t>
      </w:r>
      <w:r>
        <w:t> </w:t>
      </w:r>
      <w:r>
        <w:rPr>
          <w:rStyle w:val="Appelnotedebasdep"/>
        </w:rPr>
        <w:footnoteReference w:id="70"/>
      </w:r>
      <w:r w:rsidRPr="00CB4F2C">
        <w:t>.</w:t>
      </w:r>
    </w:p>
    <w:p w:rsidR="00B7214C" w:rsidRPr="00CB4F2C" w:rsidRDefault="00B7214C" w:rsidP="00B7214C">
      <w:pPr>
        <w:spacing w:before="120" w:after="120"/>
        <w:jc w:val="both"/>
      </w:pPr>
      <w:r w:rsidRPr="00CB4F2C">
        <w:t>La littérature reflète bien cette idéologie post-coloniale ; les poètes, romanciers et ouvrages historiques servent l'idéologie du métissage. Ceci est mis en évidence par Pablo Antonio Cuadra dans son ouvrage « El Nicaragüense</w:t>
      </w:r>
      <w:r>
        <w:t> </w:t>
      </w:r>
      <w:r>
        <w:rPr>
          <w:rStyle w:val="Appelnotedebasdep"/>
        </w:rPr>
        <w:footnoteReference w:id="71"/>
      </w:r>
      <w:r>
        <w:t> », par Ruben Darí</w:t>
      </w:r>
      <w:r w:rsidRPr="00CB4F2C">
        <w:t>o dans ses poèmes, dont « Caupolic</w:t>
      </w:r>
      <w:r>
        <w:t>á</w:t>
      </w:r>
      <w:r w:rsidRPr="00CB4F2C">
        <w:t>n</w:t>
      </w:r>
      <w:r>
        <w:t> </w:t>
      </w:r>
      <w:r>
        <w:rPr>
          <w:rStyle w:val="Appelnotedebasdep"/>
        </w:rPr>
        <w:footnoteReference w:id="72"/>
      </w:r>
      <w:r w:rsidRPr="00CB4F2C">
        <w:t> », et par Jaime Wheelock, dans son ouvrage « Ra</w:t>
      </w:r>
      <w:r>
        <w:t>í</w:t>
      </w:r>
      <w:r w:rsidRPr="00CB4F2C">
        <w:t>ces ind</w:t>
      </w:r>
      <w:r>
        <w:t>í</w:t>
      </w:r>
      <w:r w:rsidRPr="00CB4F2C">
        <w:t>genas en la lucha anticolonialista », pour ne citer que les plus connus</w:t>
      </w:r>
      <w:r>
        <w:t> </w:t>
      </w:r>
      <w:r>
        <w:rPr>
          <w:rStyle w:val="Appelnotedebasdep"/>
        </w:rPr>
        <w:footnoteReference w:id="73"/>
      </w:r>
      <w:r w:rsidRPr="00CB4F2C">
        <w:t>.</w:t>
      </w:r>
    </w:p>
    <w:p w:rsidR="00B7214C" w:rsidRPr="00CB4F2C" w:rsidRDefault="00B7214C" w:rsidP="00B7214C">
      <w:pPr>
        <w:spacing w:before="120" w:after="120"/>
        <w:jc w:val="both"/>
      </w:pPr>
      <w:r w:rsidRPr="00CB4F2C">
        <w:t>Sur la côte Pacifique, les autochtones étaient généralement perçus de façon négative. Le pôle « Indien » (tout comme le pôle « Noir ») est laid, inférieur, sale, retardé, méchant, sorcier, dur, paresseux et parle des dialectes inconnus et inférieurs. Dans cet état de choses, dire « paresseux comme un Indien » ou « c'est un Indien » équivaut à dire c'est un rustre, c'est un ignorant, il est laid, il manque de manières, de savoir-faire, cela même si la personne n'est pas au bas de l'échelle s</w:t>
      </w:r>
      <w:r w:rsidRPr="00CB4F2C">
        <w:t>o</w:t>
      </w:r>
      <w:r w:rsidRPr="00CB4F2C">
        <w:t>ciale</w:t>
      </w:r>
      <w:r>
        <w:t> </w:t>
      </w:r>
      <w:r>
        <w:rPr>
          <w:rStyle w:val="Appelnotedebasdep"/>
        </w:rPr>
        <w:footnoteReference w:id="74"/>
      </w:r>
      <w:r w:rsidRPr="00CB4F2C">
        <w:t>. Cela peut aussi vouloir dire que « quelqu'un est placé au plus bas de celle-ci ».</w:t>
      </w:r>
    </w:p>
    <w:p w:rsidR="00B7214C" w:rsidRPr="00CB4F2C" w:rsidRDefault="00B7214C" w:rsidP="00B7214C">
      <w:pPr>
        <w:spacing w:before="120" w:after="120"/>
        <w:jc w:val="both"/>
      </w:pPr>
      <w:r w:rsidRPr="00CB4F2C">
        <w:t>Diskin signale pertinemment que les Métis du Pacifique voyaient toute la population de la côte Atlantique comme une masse indiffére</w:t>
      </w:r>
      <w:r w:rsidRPr="00CB4F2C">
        <w:t>n</w:t>
      </w:r>
      <w:r w:rsidRPr="00CB4F2C">
        <w:t>ciée et les Miskitos comme des « Zambos », terme péjoratif (« cagneux ») qui date de la période coloniale, appliqué aux Miskitos aux traits négroïdes</w:t>
      </w:r>
      <w:r>
        <w:t> </w:t>
      </w:r>
      <w:r>
        <w:rPr>
          <w:rStyle w:val="Appelnotedebasdep"/>
        </w:rPr>
        <w:footnoteReference w:id="75"/>
      </w:r>
      <w:r w:rsidRPr="00CB4F2C">
        <w:t>. Il y avait toutes sortes de préjugés contre la population de la côte Atlantique. J'ai grandi en écoutant des histoires d</w:t>
      </w:r>
      <w:r w:rsidRPr="00CB4F2C">
        <w:t>é</w:t>
      </w:r>
      <w:r w:rsidRPr="00CB4F2C">
        <w:t>jà rapportées par Conzemius en 1932, sur les femmes de la côte, qui seraient des sorcières</w:t>
      </w:r>
      <w:r>
        <w:t> </w:t>
      </w:r>
      <w:r>
        <w:rPr>
          <w:rStyle w:val="Appelnotedebasdep"/>
        </w:rPr>
        <w:footnoteReference w:id="76"/>
      </w:r>
      <w:r w:rsidRPr="00CB4F2C">
        <w:t>.</w:t>
      </w:r>
    </w:p>
    <w:p w:rsidR="00B7214C" w:rsidRPr="00CB4F2C" w:rsidRDefault="00B7214C" w:rsidP="00B7214C">
      <w:pPr>
        <w:spacing w:before="120" w:after="120"/>
        <w:jc w:val="both"/>
      </w:pPr>
      <w:r w:rsidRPr="00CB4F2C">
        <w:t>De leur côté, les Miskitos avaient transposé leur haine envers les Espagnols vers les Métis qu'ils ont toujours appelés « Spaniards ». Dans les années 1970, se sont formées les premières organisations autochtones de la côte Atlantique, dont Misurasata après la révolution. Les années 1980 ont vu une prolifération de demandes et d'organis</w:t>
      </w:r>
      <w:r w:rsidRPr="00CB4F2C">
        <w:t>a</w:t>
      </w:r>
      <w:r w:rsidRPr="00CB4F2C">
        <w:t>tions. Les conflits avec le gouvernement sandiniste sont devenus très intenses jusqu'en 1984, pour ensuite décliner lentement. Un chang</w:t>
      </w:r>
      <w:r w:rsidRPr="00CB4F2C">
        <w:t>e</w:t>
      </w:r>
      <w:r w:rsidRPr="00CB4F2C">
        <w:t>ment de perspectives forcé par la guerre (1983-1987) et par une mei</w:t>
      </w:r>
      <w:r w:rsidRPr="00CB4F2C">
        <w:t>l</w:t>
      </w:r>
      <w:r w:rsidRPr="00CB4F2C">
        <w:t>leure connaissance mutuelle a permis l'élaboration du projet d'aut</w:t>
      </w:r>
      <w:r w:rsidRPr="00CB4F2C">
        <w:t>o</w:t>
      </w:r>
      <w:r w:rsidRPr="00CB4F2C">
        <w:t>nomie.</w:t>
      </w:r>
    </w:p>
    <w:p w:rsidR="00B7214C" w:rsidRPr="00CB4F2C" w:rsidRDefault="00B7214C" w:rsidP="00B7214C">
      <w:pPr>
        <w:spacing w:before="120" w:after="120"/>
        <w:jc w:val="both"/>
      </w:pPr>
      <w:r w:rsidRPr="00CB4F2C">
        <w:t>En Colombie-Britannique il n'y a pas de glorification de l'Indien. Selon l'étude menée par l'Université de la Colombie-Britannique, l'image que le Blanc s'est faite de l'Indien s'est modifiée à travers le temps. Jusqu'en 1849, les Blancs auraient reconnu leur dép</w:t>
      </w:r>
      <w:r>
        <w:t xml:space="preserve">endance envers l'Indien considéré [195] </w:t>
      </w:r>
      <w:r w:rsidRPr="00CB4F2C">
        <w:t>comme un trappeur estimé, un co</w:t>
      </w:r>
      <w:r w:rsidRPr="00CB4F2C">
        <w:t>m</w:t>
      </w:r>
      <w:r w:rsidRPr="00CB4F2C">
        <w:t>merçant, un travailleur ou une âme à sauver. Entre 1885 et 1916, il aurait été l'occupant d'un territoire désiré, et comme un obstacle à l'o</w:t>
      </w:r>
      <w:r w:rsidRPr="00CB4F2C">
        <w:t>b</w:t>
      </w:r>
      <w:r w:rsidRPr="00CB4F2C">
        <w:t>tention d'autres ressources comme l'or, plus particulièrement dans la région de Peace River qui était, à la fin du XIX</w:t>
      </w:r>
      <w:r w:rsidRPr="00CB4F2C">
        <w:rPr>
          <w:vertAlign w:val="superscript"/>
        </w:rPr>
        <w:t>e</w:t>
      </w:r>
      <w:r w:rsidRPr="00CB4F2C">
        <w:t xml:space="preserve"> siècle et au début du XX</w:t>
      </w:r>
      <w:r w:rsidRPr="00CB4F2C">
        <w:rPr>
          <w:vertAlign w:val="superscript"/>
        </w:rPr>
        <w:t>e</w:t>
      </w:r>
      <w:r w:rsidRPr="00CB4F2C">
        <w:t xml:space="preserve"> siècle, au centre de l'expansion territoriale européenne et la pri</w:t>
      </w:r>
      <w:r w:rsidRPr="00CB4F2C">
        <w:t>n</w:t>
      </w:r>
      <w:r w:rsidRPr="00CB4F2C">
        <w:t>cipale route de commun</w:t>
      </w:r>
      <w:r w:rsidRPr="00CB4F2C">
        <w:t>i</w:t>
      </w:r>
      <w:r w:rsidRPr="00CB4F2C">
        <w:t>cation par laquelle arrivaient les nouveautés culturelles</w:t>
      </w:r>
      <w:r>
        <w:t> </w:t>
      </w:r>
      <w:r>
        <w:rPr>
          <w:rStyle w:val="Appelnotedebasdep"/>
        </w:rPr>
        <w:footnoteReference w:id="77"/>
      </w:r>
      <w:r w:rsidRPr="00CB4F2C">
        <w:t>.</w:t>
      </w:r>
    </w:p>
    <w:p w:rsidR="00B7214C" w:rsidRPr="00CB4F2C" w:rsidRDefault="00B7214C" w:rsidP="00B7214C">
      <w:pPr>
        <w:spacing w:before="120" w:after="120"/>
        <w:jc w:val="both"/>
      </w:pPr>
      <w:r w:rsidRPr="00CB4F2C">
        <w:t>Les Indiens sont alors perçus comme menaçants à cause de leur comportement violent, et nuisibles à cause de leur morale. On les qu</w:t>
      </w:r>
      <w:r w:rsidRPr="00CB4F2C">
        <w:t>a</w:t>
      </w:r>
      <w:r w:rsidRPr="00CB4F2C">
        <w:t>lifie aussi « the vanished Red Man</w:t>
      </w:r>
      <w:r>
        <w:t> </w:t>
      </w:r>
      <w:r>
        <w:rPr>
          <w:rStyle w:val="Appelnotedebasdep"/>
        </w:rPr>
        <w:footnoteReference w:id="78"/>
      </w:r>
      <w:r w:rsidRPr="00CB4F2C">
        <w:t> » et cette vision cohabite avec la précédente. Entre 1850 et 1946, les Indiens sont considérés comme des personnes à occidentaliser par des politiques déterminées et adm</w:t>
      </w:r>
      <w:r w:rsidRPr="00CB4F2C">
        <w:t>i</w:t>
      </w:r>
      <w:r w:rsidRPr="00CB4F2C">
        <w:t>nistrées par les Blancs. Cependant, la population autochtone s'accroît et prend de plus en plus sa destinée en main. L'Indien n'est plus le « vanished » ou « vanishing ». L'idéologie dominante en fait un barb</w:t>
      </w:r>
      <w:r w:rsidRPr="00CB4F2C">
        <w:t>a</w:t>
      </w:r>
      <w:r w:rsidRPr="00CB4F2C">
        <w:t>re qui a besoin d'être civilisé. On le considère comme un enfant inc</w:t>
      </w:r>
      <w:r w:rsidRPr="00CB4F2C">
        <w:t>a</w:t>
      </w:r>
      <w:r w:rsidRPr="00CB4F2C">
        <w:t>pable de se prendre en main. Comme exemple, je cite les propos du juge en chef M. Davey, lors du cas Calder en 1970 : « they were i</w:t>
      </w:r>
      <w:r w:rsidRPr="00CB4F2C">
        <w:t>n</w:t>
      </w:r>
      <w:r w:rsidRPr="00CB4F2C">
        <w:t>doubtedly at the time of settlement a very primitive people with few of the institutions of c</w:t>
      </w:r>
      <w:r>
        <w:t>ivilized society, and none at al</w:t>
      </w:r>
      <w:r w:rsidRPr="00CB4F2C">
        <w:t>l of our notions of private property</w:t>
      </w:r>
      <w:r>
        <w:t> </w:t>
      </w:r>
      <w:r>
        <w:rPr>
          <w:rStyle w:val="Appelnotedebasdep"/>
        </w:rPr>
        <w:footnoteReference w:id="79"/>
      </w:r>
      <w:r w:rsidRPr="00CB4F2C">
        <w:t> ».</w:t>
      </w:r>
    </w:p>
    <w:p w:rsidR="00B7214C" w:rsidRPr="00CB4F2C" w:rsidRDefault="00B7214C" w:rsidP="00B7214C">
      <w:pPr>
        <w:spacing w:before="120" w:after="120"/>
        <w:jc w:val="both"/>
      </w:pPr>
      <w:r w:rsidRPr="00CB4F2C">
        <w:t>À propos de l'image de l'Indien en Amérique du Nord, Hertzberg nous dit que :</w:t>
      </w:r>
    </w:p>
    <w:p w:rsidR="00B7214C" w:rsidRDefault="00B7214C" w:rsidP="00B7214C">
      <w:pPr>
        <w:pStyle w:val="Grillecouleur-Accent1"/>
      </w:pPr>
    </w:p>
    <w:p w:rsidR="00B7214C" w:rsidRDefault="00B7214C" w:rsidP="00B7214C">
      <w:pPr>
        <w:pStyle w:val="Grillecouleur-Accent1"/>
      </w:pPr>
      <w:r w:rsidRPr="00CB4F2C">
        <w:t>Sometimes, the « vanishing Indian » was referred to in now forgo</w:t>
      </w:r>
      <w:r w:rsidRPr="00CB4F2C">
        <w:t>t</w:t>
      </w:r>
      <w:r w:rsidRPr="00CB4F2C">
        <w:t>ten phrase as « Poor Lo », a d</w:t>
      </w:r>
      <w:r>
        <w:t>e</w:t>
      </w:r>
      <w:r w:rsidRPr="00CB4F2C">
        <w:t>signation contracted from « Lo, the poor I</w:t>
      </w:r>
      <w:r w:rsidRPr="00CB4F2C">
        <w:t>n</w:t>
      </w:r>
      <w:r w:rsidRPr="00CB4F2C">
        <w:t>dian » a l</w:t>
      </w:r>
      <w:r w:rsidRPr="00DE3364">
        <w:t>i</w:t>
      </w:r>
      <w:r w:rsidRPr="00CB4F2C">
        <w:t>ne from Alexander Pope's poem « Essay on Man ». While « Poor Lo » has vanished, other images of the Indian held in the early d</w:t>
      </w:r>
      <w:r>
        <w:t>e</w:t>
      </w:r>
      <w:r w:rsidRPr="00CB4F2C">
        <w:t>cades of this century h</w:t>
      </w:r>
      <w:r>
        <w:t>a</w:t>
      </w:r>
      <w:r w:rsidRPr="00CB4F2C">
        <w:t>ve remained remarkably persi</w:t>
      </w:r>
      <w:r w:rsidRPr="00CB4F2C">
        <w:t>s</w:t>
      </w:r>
      <w:r w:rsidRPr="00CB4F2C">
        <w:t>tent</w:t>
      </w:r>
      <w:r>
        <w:t> </w:t>
      </w:r>
      <w:r>
        <w:rPr>
          <w:rStyle w:val="Appelnotedebasdep"/>
        </w:rPr>
        <w:footnoteReference w:id="80"/>
      </w:r>
      <w:r w:rsidRPr="00CB4F2C">
        <w:t>.</w:t>
      </w:r>
    </w:p>
    <w:p w:rsidR="00B7214C" w:rsidRPr="00CB4F2C" w:rsidRDefault="00B7214C" w:rsidP="00B7214C">
      <w:pPr>
        <w:pStyle w:val="Grillecouleur-Accent1"/>
      </w:pPr>
    </w:p>
    <w:p w:rsidR="00B7214C" w:rsidRPr="00CB4F2C" w:rsidRDefault="00B7214C" w:rsidP="00B7214C">
      <w:pPr>
        <w:spacing w:before="120" w:after="120"/>
        <w:jc w:val="both"/>
      </w:pPr>
      <w:r w:rsidRPr="00CB4F2C">
        <w:t>L'image des Indiens oscille entre celle de la brute sanguinaire, de l'ivrogne dégénéré, et celle du noble sauvage, de la victime pathétique de l'homme blanc, de l'homme silencieux, endurant et absent. Les femmes, elles, sont perçues comme des « squaws » très travailleuses et surchargées qui effectuent le travail pendant que les hommes da</w:t>
      </w:r>
      <w:r w:rsidRPr="00CB4F2C">
        <w:t>n</w:t>
      </w:r>
      <w:r w:rsidRPr="00CB4F2C">
        <w:t>sent autour d'un feu : car, malgré leurs représentations de guerriers qui aiment scalper, on les considère comme des fainéants. Selon le même auteur, le développement des mass-médias, loin de permettre une i</w:t>
      </w:r>
      <w:r w:rsidRPr="00CB4F2C">
        <w:t>n</w:t>
      </w:r>
      <w:r w:rsidRPr="00CB4F2C">
        <w:t>formation plus nuancée, a renforcé tous ces stéréotypes</w:t>
      </w:r>
      <w:r>
        <w:t> </w:t>
      </w:r>
      <w:r>
        <w:rPr>
          <w:rStyle w:val="Appelnotedebasdep"/>
        </w:rPr>
        <w:footnoteReference w:id="81"/>
      </w:r>
      <w:r w:rsidRPr="00CB4F2C">
        <w:t>.</w:t>
      </w:r>
    </w:p>
    <w:p w:rsidR="00B7214C" w:rsidRPr="00CB4F2C" w:rsidRDefault="00B7214C" w:rsidP="00B7214C">
      <w:pPr>
        <w:spacing w:before="120" w:after="120"/>
        <w:jc w:val="both"/>
      </w:pPr>
      <w:r w:rsidRPr="00CB4F2C">
        <w:t>En ce qui a trait à la littérature, dans le manuel scolaire d'histoire utilisé dans l'unique collège postsecondaire et de métiers de la région de Peace River, l'Indien est présenté comme passif</w:t>
      </w:r>
      <w:r>
        <w:t> </w:t>
      </w:r>
      <w:r>
        <w:rPr>
          <w:rStyle w:val="Appelnotedebasdep"/>
        </w:rPr>
        <w:footnoteReference w:id="82"/>
      </w:r>
      <w:r w:rsidRPr="00CB4F2C">
        <w:t xml:space="preserve">. Cam Hubert, dans sa pièce </w:t>
      </w:r>
      <w:r w:rsidRPr="003349E2">
        <w:rPr>
          <w:i/>
          <w:iCs/>
        </w:rPr>
        <w:t>The Twin Sinks of Allan Sammy,</w:t>
      </w:r>
      <w:r w:rsidRPr="00CB4F2C">
        <w:t xml:space="preserve"> créée en 1973, présente les tiraillements</w:t>
      </w:r>
      <w:r>
        <w:t xml:space="preserve"> [196] </w:t>
      </w:r>
      <w:r w:rsidRPr="00CB4F2C">
        <w:t>que vivent les Indiens qui, pour participer au monde des Blancs, doivent sacrifier leur héritage et leur fierté.</w:t>
      </w:r>
    </w:p>
    <w:p w:rsidR="00B7214C" w:rsidRPr="00CB4F2C" w:rsidRDefault="00B7214C" w:rsidP="00B7214C">
      <w:pPr>
        <w:spacing w:before="120" w:after="120"/>
        <w:jc w:val="both"/>
      </w:pPr>
      <w:r w:rsidRPr="00CB4F2C">
        <w:t>Les préjugés des habitants de Colombie-Britannique à l'égard des Indiens ont changé. Actuellement, ils sont perçus comme une menace et une nuisance comme ayant trop de pouvoir, comme des destru</w:t>
      </w:r>
      <w:r w:rsidRPr="00CB4F2C">
        <w:t>c</w:t>
      </w:r>
      <w:r w:rsidRPr="00CB4F2C">
        <w:t>teurs de l'environnement et des « faiseurs de troubles », etc. On accuse les Indiens d'abuser de leur droit de chasse</w:t>
      </w:r>
      <w:r>
        <w:t> </w:t>
      </w:r>
      <w:r>
        <w:rPr>
          <w:rStyle w:val="Appelnotedebasdep"/>
        </w:rPr>
        <w:footnoteReference w:id="83"/>
      </w:r>
      <w:r w:rsidRPr="00CB4F2C">
        <w:t>. On lit dans les revues et les journaux des plaintes comme celle-ci : « why are Indians allowed more privil</w:t>
      </w:r>
      <w:r>
        <w:t>e</w:t>
      </w:r>
      <w:r w:rsidRPr="00CB4F2C">
        <w:t>ges than anyone else ? They were offered land through treaties so now they think that they won the war and the rest of Can</w:t>
      </w:r>
      <w:r w:rsidRPr="00CB4F2C">
        <w:t>a</w:t>
      </w:r>
      <w:r w:rsidRPr="00CB4F2C">
        <w:t>da owes them everything</w:t>
      </w:r>
      <w:r>
        <w:t> </w:t>
      </w:r>
      <w:r>
        <w:rPr>
          <w:rStyle w:val="Appelnotedebasdep"/>
        </w:rPr>
        <w:footnoteReference w:id="84"/>
      </w:r>
      <w:r w:rsidRPr="00CB4F2C">
        <w:t> ».</w:t>
      </w:r>
    </w:p>
    <w:p w:rsidR="00B7214C" w:rsidRPr="00CB4F2C" w:rsidRDefault="00B7214C" w:rsidP="00B7214C">
      <w:pPr>
        <w:spacing w:before="120" w:after="120"/>
        <w:jc w:val="both"/>
      </w:pPr>
      <w:r w:rsidRPr="00CB4F2C">
        <w:t xml:space="preserve">Dans la région de Peace River, j'ai recueilli des propos tels que : « I was teached at the high school that when Europeans came natives move to the reserves because they can't deal in the western </w:t>
      </w:r>
      <w:r>
        <w:t>way. They didn't go in depth, al</w:t>
      </w:r>
      <w:r w:rsidRPr="00CB4F2C">
        <w:t>l people were happy. » En référence à la violence familiale, les Indiens apparaissent comme des ivrognes qui n'aiment pas leurs femmes. Ce sont des paresseux qui n'ont pas d'ambition ; ils ne veulent pas travailler. Ce sont des profiteurs du système et le go</w:t>
      </w:r>
      <w:r w:rsidRPr="00CB4F2C">
        <w:t>u</w:t>
      </w:r>
      <w:r w:rsidRPr="00CB4F2C">
        <w:t>vernement prélève des impôts pour les soutenir. Les zones urbaines où il y a une forte concentration d'indiens sont considérées les mauvaises zones de la ville.</w:t>
      </w:r>
    </w:p>
    <w:p w:rsidR="00B7214C" w:rsidRPr="00CB4F2C" w:rsidRDefault="00B7214C" w:rsidP="00B7214C">
      <w:pPr>
        <w:spacing w:before="120" w:after="120"/>
        <w:jc w:val="both"/>
      </w:pPr>
      <w:r w:rsidRPr="00CB4F2C">
        <w:t>Je pense que s'appliquent ici certains des propos de Bodry selon lesquels la cause de l'insuccès des Indiens se situerait dans leurs co</w:t>
      </w:r>
      <w:r w:rsidRPr="00CB4F2C">
        <w:t>u</w:t>
      </w:r>
      <w:r w:rsidRPr="00CB4F2C">
        <w:t>tumes et leurs attitudes étrangères à la classe moyenne. De là découl</w:t>
      </w:r>
      <w:r w:rsidRPr="00CB4F2C">
        <w:t>e</w:t>
      </w:r>
      <w:r w:rsidRPr="00CB4F2C">
        <w:t>rait la discrimination qui engendre une propension à ne pas vouloir les loger ou les employer</w:t>
      </w:r>
      <w:r>
        <w:t> </w:t>
      </w:r>
      <w:r>
        <w:rPr>
          <w:rStyle w:val="Appelnotedebasdep"/>
        </w:rPr>
        <w:footnoteReference w:id="85"/>
      </w:r>
      <w:r w:rsidRPr="00CB4F2C">
        <w:t>. J'ai entendu, en 1993, les mêmes commenta</w:t>
      </w:r>
      <w:r w:rsidRPr="00CB4F2C">
        <w:t>i</w:t>
      </w:r>
      <w:r w:rsidRPr="00CB4F2C">
        <w:t>res que Bodry en 1971 : si le gouvernement arrêtait de leur donner de l'argent, ils se mettraient à travailler. On a aussi suggéré de leur do</w:t>
      </w:r>
      <w:r w:rsidRPr="00CB4F2C">
        <w:t>n</w:t>
      </w:r>
      <w:r w:rsidRPr="00CB4F2C">
        <w:t>ner un État, bien que, contrairement à Bodry, le but ne soit pas de s</w:t>
      </w:r>
      <w:r w:rsidRPr="00CB4F2C">
        <w:t>a</w:t>
      </w:r>
      <w:r w:rsidRPr="00CB4F2C">
        <w:t>tisfaire leurs revendications mais plutôt de cesser de leur verser autant d'argent et de faire la preuve, par surcroît, que les Indiens seraient t</w:t>
      </w:r>
      <w:r w:rsidRPr="00CB4F2C">
        <w:t>o</w:t>
      </w:r>
      <w:r w:rsidRPr="00CB4F2C">
        <w:t>talement incapables de se gouverner, ils comprendraient alors à quel point ils étaient gâtés par le gouvernement.</w:t>
      </w:r>
    </w:p>
    <w:p w:rsidR="00B7214C" w:rsidRDefault="00B7214C" w:rsidP="00B7214C">
      <w:pPr>
        <w:spacing w:before="120" w:after="120"/>
        <w:jc w:val="both"/>
      </w:pPr>
      <w:r w:rsidRPr="00CB4F2C">
        <w:t>Selon l'étude de l'Université de la Colombie-Britannique, les I</w:t>
      </w:r>
      <w:r w:rsidRPr="00CB4F2C">
        <w:t>n</w:t>
      </w:r>
      <w:r w:rsidRPr="00CB4F2C">
        <w:t>diens percevaient les Blancs jusqu'à 1850 comme utiles au commerce. La supériorité technologique des Blancs leur semblait limitée et leurs propres techniques de subsistance meilleures. Mais, après cette date, le sentiment de la supériorité indienne dans les autres champs a co</w:t>
      </w:r>
      <w:r w:rsidRPr="00CB4F2C">
        <w:t>m</w:t>
      </w:r>
      <w:r w:rsidRPr="00CB4F2C">
        <w:t>mencé à diminuer</w:t>
      </w:r>
      <w:r>
        <w:t> </w:t>
      </w:r>
      <w:r>
        <w:rPr>
          <w:rStyle w:val="Appelnotedebasdep"/>
        </w:rPr>
        <w:footnoteReference w:id="86"/>
      </w:r>
      <w:r w:rsidRPr="00CB4F2C">
        <w:t>. Les Indiens ont accepté de plus en plus l'idée du pouvoir des Blancs les considérant avec méfiance et dégoût et comme étant injustes et hostiles à leur égard.</w:t>
      </w:r>
    </w:p>
    <w:p w:rsidR="00B7214C" w:rsidRPr="00CB4F2C" w:rsidRDefault="00B7214C" w:rsidP="00B7214C">
      <w:pPr>
        <w:spacing w:before="120" w:after="120"/>
        <w:jc w:val="both"/>
      </w:pPr>
      <w:r>
        <w:t>[</w:t>
      </w:r>
      <w:r w:rsidRPr="00CB4F2C">
        <w:t>197</w:t>
      </w:r>
      <w:r>
        <w:t>]</w:t>
      </w:r>
    </w:p>
    <w:p w:rsidR="00B7214C" w:rsidRPr="00CB4F2C" w:rsidRDefault="00B7214C" w:rsidP="00B7214C">
      <w:pPr>
        <w:spacing w:before="120" w:after="120"/>
        <w:jc w:val="both"/>
      </w:pPr>
      <w:r w:rsidRPr="00DE3364">
        <w:rPr>
          <w:iCs/>
        </w:rPr>
        <w:t>J’</w:t>
      </w:r>
      <w:r w:rsidRPr="00CB4F2C">
        <w:t>ai trouvé qu'à Dawson Creek, les autochtones et les non-autochtones vivent dans deux mondes séparés. Il y a très peu d'intera</w:t>
      </w:r>
      <w:r w:rsidRPr="00CB4F2C">
        <w:t>c</w:t>
      </w:r>
      <w:r w:rsidRPr="00CB4F2C">
        <w:t>tion entre les deux groupes. Par exemple, certains bars sont quasi e</w:t>
      </w:r>
      <w:r w:rsidRPr="00CB4F2C">
        <w:t>x</w:t>
      </w:r>
      <w:r w:rsidRPr="00CB4F2C">
        <w:t>clusivement fréquentés par des Indiens et très peu de Blancs s'y ave</w:t>
      </w:r>
      <w:r w:rsidRPr="00CB4F2C">
        <w:t>n</w:t>
      </w:r>
      <w:r w:rsidRPr="00CB4F2C">
        <w:t>turent au risque de se faire expulser alors qu'ailleurs les autochtones sont exclus faute de pouvoir payer. À ce niveau, les relations interet</w:t>
      </w:r>
      <w:r w:rsidRPr="00CB4F2C">
        <w:t>h</w:t>
      </w:r>
      <w:r w:rsidRPr="00CB4F2C">
        <w:t>niques n'auraient pas tellement changé depuis les années 1950, lorsque l'étude de l'Université de la Colombie-Britannique nous décrivit une situation similaire en plusieurs endroits de cette province, ou encore, il y a 20 ans, lors de l'étude de Bodry. Je crois que les vieux stéréotypes cohabitent avec une nouvelle image qui émerge. Autant, les autocht</w:t>
      </w:r>
      <w:r w:rsidRPr="00CB4F2C">
        <w:t>o</w:t>
      </w:r>
      <w:r w:rsidRPr="00CB4F2C">
        <w:t>nes que la population eurocanadienne sont sur la défensive. Ceci a été mis en relief récemment lors d'un conflit entre une professeur et un élève, ce qui a mis en branle un réseau de solidarité autochtone alors que la cause n'était pas juste.</w:t>
      </w:r>
    </w:p>
    <w:p w:rsidR="00B7214C" w:rsidRDefault="00B7214C" w:rsidP="00B7214C">
      <w:pPr>
        <w:spacing w:before="120" w:after="120"/>
        <w:jc w:val="both"/>
      </w:pPr>
    </w:p>
    <w:p w:rsidR="00B7214C" w:rsidRPr="00CB4F2C" w:rsidRDefault="00B7214C" w:rsidP="00B7214C">
      <w:pPr>
        <w:pStyle w:val="a"/>
      </w:pPr>
      <w:r w:rsidRPr="00CB4F2C">
        <w:t>LES REVENDICATIONS</w:t>
      </w:r>
      <w:r>
        <w:br/>
      </w:r>
      <w:r w:rsidRPr="00CB4F2C">
        <w:t>ET L'ÉMERGENCE DU « NOUVEL INDIEN »</w:t>
      </w:r>
    </w:p>
    <w:p w:rsidR="00B7214C" w:rsidRDefault="00B7214C" w:rsidP="00B7214C">
      <w:pPr>
        <w:spacing w:before="120" w:after="120"/>
        <w:jc w:val="both"/>
      </w:pPr>
    </w:p>
    <w:p w:rsidR="00B7214C" w:rsidRPr="00CB4F2C" w:rsidRDefault="00B7214C" w:rsidP="00B7214C">
      <w:pPr>
        <w:spacing w:before="120" w:after="120"/>
        <w:jc w:val="both"/>
      </w:pPr>
      <w:r w:rsidRPr="00CB4F2C">
        <w:t>Les années 1970, a-t-on rappelé, ont vu la renaissance des organ</w:t>
      </w:r>
      <w:r w:rsidRPr="00CB4F2C">
        <w:t>i</w:t>
      </w:r>
      <w:r w:rsidRPr="00CB4F2C">
        <w:t>sations, des demandes et des revendications. Après la révolution sa</w:t>
      </w:r>
      <w:r w:rsidRPr="00CB4F2C">
        <w:t>n</w:t>
      </w:r>
      <w:r w:rsidRPr="00CB4F2C">
        <w:t>diniste, les autochtones de la côte Atlantique du Nicaragua, ont const</w:t>
      </w:r>
      <w:r w:rsidRPr="00CB4F2C">
        <w:t>i</w:t>
      </w:r>
      <w:r w:rsidRPr="00CB4F2C">
        <w:t>tué pour la première fois plusieurs organisations dont Misurasata. À cause de la manipulation américaine, on a toutefois oublié que les r</w:t>
      </w:r>
      <w:r w:rsidRPr="00CB4F2C">
        <w:t>e</w:t>
      </w:r>
      <w:r>
        <w:t>vendications des Mis</w:t>
      </w:r>
      <w:r w:rsidRPr="00CB4F2C">
        <w:t>kitos datent de très loin : l'empereur autrichien avait dû trancher à propos des querelles entre les Miskitos et le go</w:t>
      </w:r>
      <w:r w:rsidRPr="00CB4F2C">
        <w:t>u</w:t>
      </w:r>
      <w:r w:rsidRPr="00CB4F2C">
        <w:t>vernement de Zelaya à la fin du XIX</w:t>
      </w:r>
      <w:r w:rsidRPr="00CB4F2C">
        <w:rPr>
          <w:vertAlign w:val="superscript"/>
        </w:rPr>
        <w:t>e</w:t>
      </w:r>
      <w:r w:rsidRPr="00CB4F2C">
        <w:t xml:space="preserve"> siècle. En Colombie-Britannique, la formation de la première organisation autochtone date de 1909</w:t>
      </w:r>
      <w:r>
        <w:t> </w:t>
      </w:r>
      <w:r>
        <w:rPr>
          <w:rStyle w:val="Appelnotedebasdep"/>
        </w:rPr>
        <w:footnoteReference w:id="87"/>
      </w:r>
      <w:r w:rsidRPr="00CB4F2C">
        <w:t>. Cumming et Mickenberg nous font cependant remarquer que les Indiens avaient déjà mis beaucoup d'insistance à garder leurs droits de chasse et pêche</w:t>
      </w:r>
      <w:r>
        <w:t> </w:t>
      </w:r>
      <w:r>
        <w:rPr>
          <w:rStyle w:val="Appelnotedebasdep"/>
        </w:rPr>
        <w:footnoteReference w:id="88"/>
      </w:r>
      <w:r w:rsidRPr="00CB4F2C">
        <w:t>. De même. Barber Lloyd souligne que les Indiens ayant signé les traités 8 et 11 affirment qu'ils n'ont pas alors cédé leur territoire mais fait un traité de paix. Comme ce traité n'a pas été respecté, le gouvernement accepte de recevoir des propositions pour une meilleure occupation du territoire</w:t>
      </w:r>
      <w:r>
        <w:t> </w:t>
      </w:r>
      <w:r>
        <w:rPr>
          <w:rStyle w:val="Appelnotedebasdep"/>
        </w:rPr>
        <w:footnoteReference w:id="89"/>
      </w:r>
      <w:r w:rsidRPr="00CB4F2C">
        <w:t>.</w:t>
      </w:r>
    </w:p>
    <w:p w:rsidR="00B7214C" w:rsidRPr="00CB4F2C" w:rsidRDefault="00B7214C" w:rsidP="00B7214C">
      <w:pPr>
        <w:spacing w:before="120" w:after="120"/>
        <w:jc w:val="both"/>
      </w:pPr>
      <w:r w:rsidRPr="00CB4F2C">
        <w:t>Mais il y a des domaines de revendications plus récents, par exe</w:t>
      </w:r>
      <w:r w:rsidRPr="00CB4F2C">
        <w:t>m</w:t>
      </w:r>
      <w:r w:rsidRPr="00CB4F2C">
        <w:t>ple, celui d'un contrôle de la culture à travers l'éducation. Au Nicar</w:t>
      </w:r>
      <w:r w:rsidRPr="00CB4F2C">
        <w:t>a</w:t>
      </w:r>
      <w:r w:rsidRPr="00CB4F2C">
        <w:t>gua, les Miskitos ont demandé au gouvernement sandiniste, et ont o</w:t>
      </w:r>
      <w:r w:rsidRPr="00CB4F2C">
        <w:t>b</w:t>
      </w:r>
      <w:r w:rsidRPr="00CB4F2C">
        <w:t>tenu, une campagne d'alphabétisation en langues autochtones et en anglais. En Colombie-Britannique, les autochtones demandent une participation majeure au système scolaire. Ils veulent plus de profe</w:t>
      </w:r>
      <w:r w:rsidRPr="00CB4F2C">
        <w:t>s</w:t>
      </w:r>
      <w:r w:rsidRPr="00CB4F2C">
        <w:t>seurs autochtones.</w:t>
      </w:r>
    </w:p>
    <w:p w:rsidR="00B7214C" w:rsidRPr="00CB4F2C" w:rsidRDefault="00B7214C" w:rsidP="00B7214C">
      <w:pPr>
        <w:spacing w:before="120" w:after="120"/>
        <w:jc w:val="both"/>
      </w:pPr>
      <w:r w:rsidRPr="00CB4F2C">
        <w:t>Ces nouvelles revendications concernent aussi l'appropriation de l'économie. Au Nicaragua, les Miskitos ont farouchement demandé le contrôle des ressources naturelles sur leur territoire et ils ont obtenu, de la</w:t>
      </w:r>
      <w:r>
        <w:t xml:space="preserve"> [198] </w:t>
      </w:r>
      <w:r w:rsidRPr="00CB4F2C">
        <w:t>part du gouvernement sandiniste, une reconnaissance de la nécess</w:t>
      </w:r>
      <w:r w:rsidRPr="00CB4F2C">
        <w:t>i</w:t>
      </w:r>
      <w:r w:rsidRPr="00CB4F2C">
        <w:t>té d'une base économique pour la survie de leur culture, ce qui fut promulgué dans le statut d'autonomie, statut qui n'a cependant pas été respecté par le gouvernement actuel. La revue du Conseil canadien pour les entreprises autochtones, « Financial Post Magazine », affiche le titre : « This land is my land » et l'image de la couverture, un ho</w:t>
      </w:r>
      <w:r w:rsidRPr="00CB4F2C">
        <w:t>m</w:t>
      </w:r>
      <w:r w:rsidRPr="00CB4F2C">
        <w:t>me d'affaires autochtone, vaut mille mots. On peut aussi lire des titres comme « Native business conf</w:t>
      </w:r>
      <w:r>
        <w:t>e</w:t>
      </w:r>
      <w:r w:rsidRPr="00CB4F2C">
        <w:t>rence goes international », ou voir a</w:t>
      </w:r>
      <w:r w:rsidRPr="00CB4F2C">
        <w:t>n</w:t>
      </w:r>
      <w:r w:rsidRPr="00CB4F2C">
        <w:t xml:space="preserve">noncés des programmes pour initier les autochtones aux affaires dans le journal </w:t>
      </w:r>
      <w:r>
        <w:t>des autochtones de la Colombie-</w:t>
      </w:r>
      <w:r w:rsidRPr="00CB4F2C">
        <w:t>Britannique.</w:t>
      </w:r>
    </w:p>
    <w:p w:rsidR="00B7214C" w:rsidRPr="00CB4F2C" w:rsidRDefault="00B7214C" w:rsidP="00B7214C">
      <w:pPr>
        <w:spacing w:before="120" w:after="120"/>
        <w:jc w:val="both"/>
      </w:pPr>
      <w:r w:rsidRPr="00CB4F2C">
        <w:t>Nous avons vu que du sud au nord, à partir des années 1970, on a assisté à un renouveau de la culture autochtone sur tout le continent, qui a infirmé toutes les théories de l'assimilation. Très graduellement donc, émerge l'image d'un autre Indien qui, à mon avis, cohabite avec l'ancienne, mais de nouveaux préjugés font leur apparition. En fait, les autochtones n'avaient jamais été « passifs » mais ils demandent à pa</w:t>
      </w:r>
      <w:r w:rsidRPr="00CB4F2C">
        <w:t>r</w:t>
      </w:r>
      <w:r w:rsidRPr="00CB4F2C">
        <w:t>tir de ce moment, un contrôle politique important et désormais les p</w:t>
      </w:r>
      <w:r w:rsidRPr="00CB4F2C">
        <w:t>o</w:t>
      </w:r>
      <w:r w:rsidRPr="00CB4F2C">
        <w:t>liticiens doivent compter avec eux.</w:t>
      </w:r>
    </w:p>
    <w:p w:rsidR="00B7214C" w:rsidRPr="00CB4F2C" w:rsidRDefault="00B7214C" w:rsidP="00B7214C">
      <w:pPr>
        <w:spacing w:before="120" w:after="120"/>
        <w:jc w:val="both"/>
      </w:pPr>
      <w:r w:rsidRPr="00CB4F2C">
        <w:t>Au Nicaragua, le gouvernement sandiniste a introduit des chang</w:t>
      </w:r>
      <w:r w:rsidRPr="00CB4F2C">
        <w:t>e</w:t>
      </w:r>
      <w:r w:rsidRPr="00CB4F2C">
        <w:t>ments dans la constitution qui sont sans précédent : le statut d'aut</w:t>
      </w:r>
      <w:r w:rsidRPr="00CB4F2C">
        <w:t>o</w:t>
      </w:r>
      <w:r w:rsidRPr="00CB4F2C">
        <w:t>nomie, qui implique des reconnaissances importantes, au moins au niveau théorique. Et lors des dernières élections en 1990, il a été établi que tous les partis politiques au Nicaragua doivent compter avec l'a</w:t>
      </w:r>
      <w:r w:rsidRPr="00CB4F2C">
        <w:t>p</w:t>
      </w:r>
      <w:r w:rsidRPr="00CB4F2C">
        <w:t>pui des autochtones, situation inimaginable quelques années aupar</w:t>
      </w:r>
      <w:r w:rsidRPr="00CB4F2C">
        <w:t>a</w:t>
      </w:r>
      <w:r w:rsidRPr="00CB4F2C">
        <w:t>vant. On peut distinguer aujourd'hui deux niveaux de conscience et</w:t>
      </w:r>
      <w:r w:rsidRPr="00CB4F2C">
        <w:t>h</w:t>
      </w:r>
      <w:r w:rsidRPr="00CB4F2C">
        <w:t>nique : l'une traditionnelle, avec une notion diffuse de ce que sont les Miskitos et leur territoire et l'autre organisationnelle, avec des strat</w:t>
      </w:r>
      <w:r w:rsidRPr="00CB4F2C">
        <w:t>é</w:t>
      </w:r>
      <w:r w:rsidRPr="00CB4F2C">
        <w:t>gies individuelles et collectives pour tirer parti des situations ou s'y adapter le mieux possible.</w:t>
      </w:r>
    </w:p>
    <w:p w:rsidR="00B7214C" w:rsidRPr="00CB4F2C" w:rsidRDefault="00B7214C" w:rsidP="00B7214C">
      <w:pPr>
        <w:spacing w:before="120" w:after="120"/>
        <w:jc w:val="both"/>
      </w:pPr>
      <w:r w:rsidRPr="00CB4F2C">
        <w:t>En Colombie-Britannique actuellement, il y a vingt-et-une reve</w:t>
      </w:r>
      <w:r w:rsidRPr="00CB4F2C">
        <w:t>n</w:t>
      </w:r>
      <w:r w:rsidRPr="00CB4F2C">
        <w:t>dications territoriales qui concernent 75</w:t>
      </w:r>
      <w:r>
        <w:t>%</w:t>
      </w:r>
      <w:r w:rsidRPr="00CB4F2C">
        <w:t xml:space="preserve"> du territoire ainsi que le respect du traité n°</w:t>
      </w:r>
      <w:r>
        <w:t> </w:t>
      </w:r>
      <w:r w:rsidRPr="00CB4F2C">
        <w:t>8. Les autochtones demandent au gouvernement d'agrandir la réserve pour les jeunes générations et de rendre les pa</w:t>
      </w:r>
      <w:r w:rsidRPr="00CB4F2C">
        <w:t>r</w:t>
      </w:r>
      <w:r w:rsidRPr="00CB4F2C">
        <w:t>ties du territoire qui ont été expropriées. En ce qui concerne leur ide</w:t>
      </w:r>
      <w:r w:rsidRPr="00CB4F2C">
        <w:t>n</w:t>
      </w:r>
      <w:r w:rsidRPr="00CB4F2C">
        <w:t>tité, on peut dire qu'elle a été fortement influencée par les divers st</w:t>
      </w:r>
      <w:r w:rsidRPr="00CB4F2C">
        <w:t>a</w:t>
      </w:r>
      <w:r w:rsidRPr="00CB4F2C">
        <w:t>tuts légaux créés par le droit canadien et par l'idée que l'Autre non-autochtone se fait de l'Amérindien.</w:t>
      </w:r>
    </w:p>
    <w:p w:rsidR="00B7214C" w:rsidRPr="00CB4F2C" w:rsidRDefault="00B7214C" w:rsidP="00B7214C">
      <w:pPr>
        <w:spacing w:before="120" w:after="120"/>
        <w:jc w:val="both"/>
      </w:pPr>
      <w:r w:rsidRPr="00CB4F2C">
        <w:t>Cette comparaison entre la situation des Miskitos au Nicaragua et celles des Athaspascans du nord-est de la Colombie-Britannique pe</w:t>
      </w:r>
      <w:r w:rsidRPr="00CB4F2C">
        <w:t>r</w:t>
      </w:r>
      <w:r w:rsidRPr="00CB4F2C">
        <w:t>met de voir qu'au-delà de maints aspects différents, les deux popul</w:t>
      </w:r>
      <w:r w:rsidRPr="00CB4F2C">
        <w:t>a</w:t>
      </w:r>
      <w:r w:rsidRPr="00CB4F2C">
        <w:t>tions partagent un vécu commun. La pertinence d'un tel procédé ne se situe pas seulement au niveau académique : les autochtones eux-mêmes s'y sont intéressés</w:t>
      </w:r>
      <w:r>
        <w:t xml:space="preserve"> [199] </w:t>
      </w:r>
      <w:r w:rsidRPr="00CB4F2C">
        <w:t>avant. Il suffirait d'analyser comment les revendications des Misk</w:t>
      </w:r>
      <w:r w:rsidRPr="00CB4F2C">
        <w:t>i</w:t>
      </w:r>
      <w:r w:rsidRPr="00CB4F2C">
        <w:t>tos ont été influencées par la notion de « droit aborigène », centrale dans les revendications territoriales des autochtones de l'Amérique du Nord, et comment ces derniers ont suivi le déroulement des évén</w:t>
      </w:r>
      <w:r w:rsidRPr="00CB4F2C">
        <w:t>e</w:t>
      </w:r>
      <w:r w:rsidRPr="00CB4F2C">
        <w:t>ments au Nicaragua.</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pStyle w:val="p"/>
      </w:pPr>
      <w:r>
        <w:t>[200]</w:t>
      </w:r>
    </w:p>
    <w:p w:rsidR="00B7214C" w:rsidRDefault="00B7214C" w:rsidP="00B7214C">
      <w:pPr>
        <w:spacing w:before="120" w:after="120"/>
        <w:jc w:val="both"/>
      </w:pPr>
    </w:p>
    <w:p w:rsidR="00B7214C" w:rsidRPr="00E07116" w:rsidRDefault="00B7214C" w:rsidP="00B7214C">
      <w:pPr>
        <w:pStyle w:val="p"/>
      </w:pPr>
      <w:r>
        <w:br w:type="page"/>
      </w:r>
      <w:r w:rsidRPr="00E07116">
        <w:t>[</w:t>
      </w:r>
      <w:r>
        <w:t>201</w:t>
      </w:r>
      <w:r w:rsidRPr="00E07116">
        <w:t>]</w:t>
      </w:r>
    </w:p>
    <w:p w:rsidR="00B7214C" w:rsidRPr="00E07116" w:rsidRDefault="00B7214C" w:rsidP="00B7214C">
      <w:pPr>
        <w:jc w:val="both"/>
      </w:pPr>
    </w:p>
    <w:p w:rsidR="00B7214C" w:rsidRPr="00E07116" w:rsidRDefault="00B7214C" w:rsidP="00B7214C"/>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19" w:name="Entre_tradition_pt_2"/>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E07116" w:rsidRDefault="00B7214C" w:rsidP="00B7214C">
      <w:pPr>
        <w:jc w:val="both"/>
      </w:pPr>
    </w:p>
    <w:p w:rsidR="00B7214C" w:rsidRPr="00384B20" w:rsidRDefault="00B7214C" w:rsidP="00B7214C">
      <w:pPr>
        <w:pStyle w:val="partie"/>
        <w:jc w:val="center"/>
        <w:rPr>
          <w:sz w:val="72"/>
        </w:rPr>
      </w:pPr>
      <w:r>
        <w:rPr>
          <w:sz w:val="72"/>
        </w:rPr>
        <w:t>Deuxième</w:t>
      </w:r>
      <w:r w:rsidRPr="00384B20">
        <w:rPr>
          <w:sz w:val="72"/>
        </w:rPr>
        <w:t xml:space="preserve"> partie</w:t>
      </w:r>
    </w:p>
    <w:p w:rsidR="00B7214C" w:rsidRPr="00E07116" w:rsidRDefault="00B7214C" w:rsidP="00B7214C">
      <w:pPr>
        <w:jc w:val="both"/>
      </w:pPr>
    </w:p>
    <w:p w:rsidR="00B7214C" w:rsidRPr="00384B20" w:rsidRDefault="00B7214C" w:rsidP="00B7214C">
      <w:pPr>
        <w:pStyle w:val="Titreniveau2"/>
      </w:pPr>
      <w:r>
        <w:t>LE LIEN SOCIAL</w:t>
      </w:r>
    </w:p>
    <w:bookmarkEnd w:id="19"/>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07116" w:rsidRDefault="00B7214C" w:rsidP="00B7214C">
      <w:pPr>
        <w:jc w:val="both"/>
      </w:pPr>
    </w:p>
    <w:p w:rsidR="00B7214C" w:rsidRDefault="00B7214C" w:rsidP="00B7214C">
      <w:pPr>
        <w:pStyle w:val="p"/>
      </w:pPr>
      <w:r>
        <w:t>[202]</w:t>
      </w:r>
    </w:p>
    <w:p w:rsidR="00B7214C" w:rsidRPr="00E07116" w:rsidRDefault="00B7214C" w:rsidP="00B7214C">
      <w:pPr>
        <w:pStyle w:val="p"/>
      </w:pPr>
      <w:r w:rsidRPr="00E07116">
        <w:br w:type="page"/>
        <w:t>[</w:t>
      </w:r>
      <w:r>
        <w:t>203</w:t>
      </w:r>
      <w:r w:rsidRPr="00E07116">
        <w:t>]</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0" w:name="Entre_tradition_pt_2_texte_12"/>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384B20" w:rsidRDefault="00B7214C" w:rsidP="00B7214C">
      <w:pPr>
        <w:pStyle w:val="Titreniveau1"/>
      </w:pPr>
      <w:r>
        <w:t>12</w:t>
      </w:r>
    </w:p>
    <w:p w:rsidR="00B7214C" w:rsidRDefault="00B7214C" w:rsidP="00B7214C">
      <w:pPr>
        <w:pStyle w:val="Titreniveau2"/>
      </w:pPr>
      <w:r>
        <w:t>“L’éthique de la communication</w:t>
      </w:r>
      <w:r>
        <w:br/>
        <w:t>chez Bakhtine et Habermas:</w:t>
      </w:r>
      <w:r>
        <w:br/>
        <w:t>entre tradition et universalisme.”</w:t>
      </w:r>
    </w:p>
    <w:bookmarkEnd w:id="20"/>
    <w:p w:rsidR="00B7214C" w:rsidRPr="00E07116" w:rsidRDefault="00B7214C" w:rsidP="00B7214C">
      <w:pPr>
        <w:jc w:val="both"/>
        <w:rPr>
          <w:szCs w:val="36"/>
        </w:rPr>
      </w:pPr>
    </w:p>
    <w:p w:rsidR="00B7214C" w:rsidRPr="00E07116" w:rsidRDefault="00B7214C" w:rsidP="00B7214C">
      <w:pPr>
        <w:pStyle w:val="suite"/>
      </w:pPr>
      <w:r>
        <w:t>Par Greg Marc NIELSON</w:t>
      </w:r>
    </w:p>
    <w:p w:rsidR="00B7214C" w:rsidRPr="00E07116" w:rsidRDefault="00B7214C" w:rsidP="00B7214C">
      <w:pPr>
        <w:pStyle w:val="auteurst"/>
      </w:pPr>
      <w:r w:rsidRPr="004A7EF1">
        <w:t>Département de sociologie, York University</w:t>
      </w:r>
    </w:p>
    <w:p w:rsidR="00B7214C" w:rsidRPr="00E07116" w:rsidRDefault="00B7214C" w:rsidP="00B7214C">
      <w:pPr>
        <w:jc w:val="both"/>
      </w:pPr>
    </w:p>
    <w:p w:rsidR="00B7214C" w:rsidRPr="00FC161A" w:rsidRDefault="00B7214C" w:rsidP="00B7214C">
      <w:pPr>
        <w:spacing w:before="120" w:after="120"/>
        <w:ind w:left="1440"/>
        <w:jc w:val="both"/>
        <w:rPr>
          <w:color w:val="000090"/>
          <w:sz w:val="24"/>
        </w:rPr>
      </w:pPr>
      <w:r w:rsidRPr="00FC161A">
        <w:rPr>
          <w:color w:val="000090"/>
          <w:sz w:val="24"/>
        </w:rPr>
        <w:t>La recherche qui fait l'objet des sciences humaines ne peut pas se concevoir elle-même en opposition pure et simple avec l'attitude que nous avons à l'égard du passé en tant que nous vivons dans l'histoire. En tout cas, notre disposition permanente à l'égard du passé dans lequel nous sommes constamment impliqués ne consi</w:t>
      </w:r>
      <w:r w:rsidRPr="00FC161A">
        <w:rPr>
          <w:color w:val="000090"/>
          <w:sz w:val="24"/>
        </w:rPr>
        <w:t>s</w:t>
      </w:r>
      <w:r w:rsidRPr="00FC161A">
        <w:rPr>
          <w:color w:val="000090"/>
          <w:sz w:val="24"/>
        </w:rPr>
        <w:t>te pas à nous tenir à distance et à nous libérer de la tradition tran</w:t>
      </w:r>
      <w:r w:rsidRPr="00FC161A">
        <w:rPr>
          <w:color w:val="000090"/>
          <w:sz w:val="24"/>
        </w:rPr>
        <w:t>s</w:t>
      </w:r>
      <w:r w:rsidRPr="00FC161A">
        <w:rPr>
          <w:color w:val="000090"/>
          <w:sz w:val="24"/>
        </w:rPr>
        <w:t>mise. Au contraire nous nous retrouvons constamment au sein de traditions et cette i</w:t>
      </w:r>
      <w:r w:rsidRPr="00FC161A">
        <w:rPr>
          <w:color w:val="000090"/>
          <w:sz w:val="24"/>
        </w:rPr>
        <w:t>m</w:t>
      </w:r>
      <w:r w:rsidRPr="00FC161A">
        <w:rPr>
          <w:color w:val="000090"/>
          <w:sz w:val="24"/>
        </w:rPr>
        <w:t>mersion exclut toute attitude objectivante qui nous ferait consid</w:t>
      </w:r>
      <w:r w:rsidRPr="00FC161A">
        <w:rPr>
          <w:color w:val="000090"/>
          <w:sz w:val="24"/>
        </w:rPr>
        <w:t>é</w:t>
      </w:r>
      <w:r w:rsidRPr="00FC161A">
        <w:rPr>
          <w:color w:val="000090"/>
          <w:sz w:val="24"/>
        </w:rPr>
        <w:t>rer l'apport de la tradition comme quelque chose d'autre, d'étranger.</w:t>
      </w:r>
    </w:p>
    <w:p w:rsidR="00B7214C" w:rsidRPr="00FC161A" w:rsidRDefault="00B7214C" w:rsidP="00B7214C">
      <w:pPr>
        <w:spacing w:before="120" w:after="120"/>
        <w:ind w:left="1440"/>
        <w:jc w:val="center"/>
        <w:rPr>
          <w:sz w:val="24"/>
        </w:rPr>
      </w:pPr>
      <w:r w:rsidRPr="00FC161A">
        <w:rPr>
          <w:sz w:val="24"/>
        </w:rPr>
        <w:t>Hans-Georg GADAMER</w:t>
      </w:r>
      <w:r>
        <w:rPr>
          <w:sz w:val="24"/>
        </w:rPr>
        <w:t> </w:t>
      </w:r>
      <w:r>
        <w:rPr>
          <w:rStyle w:val="Appelnotedebasdep"/>
        </w:rPr>
        <w:footnoteReference w:id="90"/>
      </w:r>
    </w:p>
    <w:p w:rsidR="00B7214C" w:rsidRDefault="00B7214C" w:rsidP="00B7214C">
      <w:pPr>
        <w:spacing w:before="120" w:after="120"/>
        <w:rPr>
          <w:rStyle w:val="Corpsdutexte2Italique"/>
          <w:i w:val="0"/>
        </w:rPr>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spacing w:before="120" w:after="120"/>
        <w:jc w:val="both"/>
        <w:rPr>
          <w:iCs/>
        </w:rPr>
      </w:pPr>
      <w:r>
        <w:rPr>
          <w:iCs/>
        </w:rPr>
        <w:br w:type="page"/>
      </w:r>
    </w:p>
    <w:p w:rsidR="00B7214C" w:rsidRPr="00A37731" w:rsidRDefault="00B7214C" w:rsidP="00B7214C">
      <w:pPr>
        <w:spacing w:before="120" w:after="120"/>
        <w:jc w:val="both"/>
      </w:pPr>
      <w:r w:rsidRPr="00FC161A">
        <w:rPr>
          <w:iCs/>
        </w:rPr>
        <w:t>Le</w:t>
      </w:r>
      <w:r w:rsidRPr="00A37731">
        <w:t xml:space="preserve"> thème « Entre tradition et universalisme » évoque un très vieux débat philosophique. Il s'agit de l'architectonique du rapport e</w:t>
      </w:r>
      <w:r w:rsidRPr="00A37731">
        <w:t>n</w:t>
      </w:r>
      <w:r w:rsidRPr="00A37731">
        <w:t>tre les parties et le tout. L'ancienne métaphys</w:t>
      </w:r>
      <w:r w:rsidRPr="00A37731">
        <w:t>i</w:t>
      </w:r>
      <w:r w:rsidRPr="00A37731">
        <w:t>que soutenait que les parties de la culture étaient issues d'une origine, d'une tradition et d'une autorité unique. De Platon à Hegel on a cherché à comprendre l'origine myth</w:t>
      </w:r>
      <w:r w:rsidRPr="00A37731">
        <w:t>i</w:t>
      </w:r>
      <w:r w:rsidRPr="00A37731">
        <w:t>que ou abs</w:t>
      </w:r>
      <w:r w:rsidRPr="00A37731">
        <w:t>o</w:t>
      </w:r>
      <w:r w:rsidRPr="00A37731">
        <w:t>lue du tout. Il faut se rappeler que même « la conscience malheureuse », ce désir inassouvi de l'autre, n'est qu'un moment di</w:t>
      </w:r>
      <w:r w:rsidRPr="00A37731">
        <w:t>a</w:t>
      </w:r>
      <w:r w:rsidRPr="00A37731">
        <w:t>lectique de la connaissance absolue. Par contre, dès l'époque des L</w:t>
      </w:r>
      <w:r w:rsidRPr="00A37731">
        <w:t>u</w:t>
      </w:r>
      <w:r w:rsidRPr="00A37731">
        <w:t>mières, les philosophies postmétaphysiques s'él</w:t>
      </w:r>
      <w:r w:rsidRPr="00A37731">
        <w:t>è</w:t>
      </w:r>
      <w:r w:rsidRPr="00A37731">
        <w:t>vent contre l'idée qu'il puisse exister une origine ou une forme essentielle d'universalisme</w:t>
      </w:r>
      <w:r>
        <w:t> </w:t>
      </w:r>
      <w:r>
        <w:rPr>
          <w:rStyle w:val="Appelnotedebasdep"/>
        </w:rPr>
        <w:footnoteReference w:id="91"/>
      </w:r>
      <w:r w:rsidRPr="00A37731">
        <w:t>. Tout d'abord l'universalisme culturel se limite aux consensus co</w:t>
      </w:r>
      <w:r w:rsidRPr="00A37731">
        <w:t>m</w:t>
      </w:r>
      <w:r w:rsidRPr="00A37731">
        <w:t>muns à l'ensemble d'une société</w:t>
      </w:r>
      <w:r>
        <w:t xml:space="preserve"> [204] </w:t>
      </w:r>
      <w:r w:rsidRPr="00A37731">
        <w:t>donnée. La pensée postmét</w:t>
      </w:r>
      <w:r w:rsidRPr="00A37731">
        <w:t>a</w:t>
      </w:r>
      <w:r w:rsidRPr="00A37731">
        <w:t>physique est basée sur l'idée que l'unité se construit sur la diversité plutôt que l'inverse.</w:t>
      </w:r>
    </w:p>
    <w:p w:rsidR="00B7214C" w:rsidRPr="00A37731" w:rsidRDefault="00B7214C" w:rsidP="00B7214C">
      <w:pPr>
        <w:spacing w:before="120" w:after="120"/>
        <w:jc w:val="both"/>
      </w:pPr>
      <w:r w:rsidRPr="00A37731">
        <w:t>Plus que toute autre chose, la diversité a défini la tradition de la s</w:t>
      </w:r>
      <w:r w:rsidRPr="00A37731">
        <w:t>o</w:t>
      </w:r>
      <w:r w:rsidRPr="00A37731">
        <w:t>ciété moderne et continue à marquer celle de la société postmode</w:t>
      </w:r>
      <w:r>
        <w:t>rn</w:t>
      </w:r>
      <w:r w:rsidRPr="00A37731">
        <w:t>e. La postmode</w:t>
      </w:r>
      <w:r>
        <w:t>rn</w:t>
      </w:r>
      <w:r w:rsidRPr="00A37731">
        <w:t xml:space="preserve">ité, nous dit Zigmut Bauman, n'est que la modernité </w:t>
      </w:r>
      <w:r w:rsidRPr="00FC161A">
        <w:rPr>
          <w:i/>
          <w:iCs/>
        </w:rPr>
        <w:t xml:space="preserve">für sich, </w:t>
      </w:r>
      <w:r w:rsidRPr="00A37731">
        <w:t>c'est-à-dire, une modernité qui devient plus consciente de tout ce qu'elle était déjà en train de faire et de ce qu'elle fait toujours au n</w:t>
      </w:r>
      <w:r w:rsidRPr="00A37731">
        <w:t>i</w:t>
      </w:r>
      <w:r w:rsidRPr="00A37731">
        <w:t>veau de la réalisation de la pluralité et de l'ambivalence face à la vérité absolue</w:t>
      </w:r>
      <w:r>
        <w:t> </w:t>
      </w:r>
      <w:r>
        <w:rPr>
          <w:rStyle w:val="Appelnotedebasdep"/>
        </w:rPr>
        <w:footnoteReference w:id="92"/>
      </w:r>
      <w:r w:rsidRPr="00A37731">
        <w:t>. Comment fournir alors le fondement normatif de la co</w:t>
      </w:r>
      <w:r w:rsidRPr="00A37731">
        <w:t>m</w:t>
      </w:r>
      <w:r w:rsidRPr="00A37731">
        <w:t>munication pour les sociétés constituées non seulement par le plur</w:t>
      </w:r>
      <w:r w:rsidRPr="00A37731">
        <w:t>a</w:t>
      </w:r>
      <w:r w:rsidRPr="00A37731">
        <w:t>lisme des mondes vécus, mais vraisemblablement aussi par la dil</w:t>
      </w:r>
      <w:r w:rsidRPr="00A37731">
        <w:t>u</w:t>
      </w:r>
      <w:r w:rsidRPr="00A37731">
        <w:t>tion de l'autorité et des traditions ? Deux penseurs se sont penchés sur cette question d'un point de vue postmétaphysique : le sociologue, philos</w:t>
      </w:r>
      <w:r w:rsidRPr="00A37731">
        <w:t>o</w:t>
      </w:r>
      <w:r w:rsidRPr="00A37731">
        <w:t>phe et membre de la tradition de Francfort, Jürgen Habermas</w:t>
      </w:r>
      <w:r>
        <w:t> </w:t>
      </w:r>
      <w:r>
        <w:rPr>
          <w:rStyle w:val="Appelnotedebasdep"/>
        </w:rPr>
        <w:footnoteReference w:id="93"/>
      </w:r>
      <w:r w:rsidRPr="00A37731">
        <w:t>, et le philologue et anthropologue littéraire russe, Mikhaïl Bakhtine</w:t>
      </w:r>
      <w:r>
        <w:t> </w:t>
      </w:r>
      <w:r>
        <w:rPr>
          <w:rStyle w:val="Appelnotedebasdep"/>
        </w:rPr>
        <w:footnoteReference w:id="94"/>
      </w:r>
      <w:r w:rsidRPr="00A37731">
        <w:t>. Je présente ici une réflexion sur leurs théories de l'éthique de « l'agir co</w:t>
      </w:r>
      <w:r w:rsidRPr="00A37731">
        <w:t>m</w:t>
      </w:r>
      <w:r w:rsidRPr="00A37731">
        <w:t>municationnel » (Hab</w:t>
      </w:r>
      <w:r>
        <w:t>ermas) et de la nature « dialo</w:t>
      </w:r>
      <w:r w:rsidRPr="00A37731">
        <w:t>gique » de tout langage et communication (Bakhtine). Je voudrais montrer l'importa</w:t>
      </w:r>
      <w:r w:rsidRPr="00A37731">
        <w:t>n</w:t>
      </w:r>
      <w:r w:rsidRPr="00A37731">
        <w:t>ce de leurs concepts pour la compréhension du rapport co</w:t>
      </w:r>
      <w:r w:rsidRPr="00A37731">
        <w:t>m</w:t>
      </w:r>
      <w:r w:rsidRPr="00A37731">
        <w:t>plexe entre la construction des identités intersubjectives et des catégories unive</w:t>
      </w:r>
      <w:r w:rsidRPr="00A37731">
        <w:t>r</w:t>
      </w:r>
      <w:r w:rsidRPr="00A37731">
        <w:t>se</w:t>
      </w:r>
      <w:r w:rsidRPr="00A37731">
        <w:t>l</w:t>
      </w:r>
      <w:r w:rsidRPr="00A37731">
        <w:t>les de responsabilité.</w:t>
      </w:r>
    </w:p>
    <w:p w:rsidR="00B7214C" w:rsidRPr="00A37731" w:rsidRDefault="00B7214C" w:rsidP="00B7214C">
      <w:pPr>
        <w:spacing w:before="120" w:after="120"/>
        <w:jc w:val="both"/>
      </w:pPr>
      <w:r w:rsidRPr="00A37731">
        <w:t>Bakhtine soutient que l'identité du sujet se développe grâce à son entrée dans le monde par le moyen discursif de l'énoncé et non par la réception passive des médias de communication ou de la tradition culturelle</w:t>
      </w:r>
      <w:r>
        <w:t> </w:t>
      </w:r>
      <w:r>
        <w:rPr>
          <w:rStyle w:val="Appelnotedebasdep"/>
        </w:rPr>
        <w:footnoteReference w:id="95"/>
      </w:r>
      <w:r w:rsidRPr="00A37731">
        <w:t>. On peut dire que pour lui, la tradition n'est pas uniqu</w:t>
      </w:r>
      <w:r w:rsidRPr="00A37731">
        <w:t>e</w:t>
      </w:r>
      <w:r w:rsidRPr="00A37731">
        <w:t>ment un mécanisme de transmission, elle a un effet à la fois centripète et centrifuge sur la société. Par exemple, les traditions carnavalesques reproduisent l'image du renversement de la hiérarchie et de l'hétér</w:t>
      </w:r>
      <w:r w:rsidRPr="00A37731">
        <w:t>o</w:t>
      </w:r>
      <w:r w:rsidRPr="00A37731">
        <w:t>glossie ou de la diversité des genres de discours</w:t>
      </w:r>
      <w:r>
        <w:t> </w:t>
      </w:r>
      <w:r>
        <w:rPr>
          <w:rStyle w:val="Appelnotedebasdep"/>
        </w:rPr>
        <w:footnoteReference w:id="96"/>
      </w:r>
      <w:r w:rsidRPr="00A37731">
        <w:t>. En même temps cepe</w:t>
      </w:r>
      <w:r w:rsidRPr="00A37731">
        <w:t>n</w:t>
      </w:r>
      <w:r w:rsidRPr="00A37731">
        <w:t>dant ses divers rites retiennent ensemble l'unité de la culture par leur transmission de valeurs. C'est entre ces deux pôles que les prat</w:t>
      </w:r>
      <w:r w:rsidRPr="00A37731">
        <w:t>i</w:t>
      </w:r>
      <w:r w:rsidRPr="00A37731">
        <w:t>ques dialogiques créent et recréent la tradition. Donc non seulement ne sommes-nous jamais en dehors de la tradition, comme le dit G</w:t>
      </w:r>
      <w:r w:rsidRPr="00A37731">
        <w:t>a</w:t>
      </w:r>
      <w:r w:rsidRPr="00A37731">
        <w:t>damer ci-haut, mais nous sommes également constamment impliqués dans sa création.</w:t>
      </w:r>
    </w:p>
    <w:p w:rsidR="00B7214C" w:rsidRPr="00A37731" w:rsidRDefault="00B7214C" w:rsidP="00B7214C">
      <w:pPr>
        <w:spacing w:before="120" w:after="120"/>
        <w:jc w:val="both"/>
      </w:pPr>
      <w:r w:rsidRPr="00A37731">
        <w:t>La théorie de l'intersubjectivité chez Habermas répond aux que</w:t>
      </w:r>
      <w:r w:rsidRPr="00A37731">
        <w:t>s</w:t>
      </w:r>
      <w:r w:rsidRPr="00A37731">
        <w:t>tions normatives de l'action et de l'éthique de la discu</w:t>
      </w:r>
      <w:r w:rsidRPr="00A37731">
        <w:t>s</w:t>
      </w:r>
      <w:r w:rsidRPr="00A37731">
        <w:t>sion. De ce point de vue, la notion de la tradition retient d</w:t>
      </w:r>
      <w:r w:rsidRPr="00A37731">
        <w:t>a</w:t>
      </w:r>
      <w:r w:rsidRPr="00A37731">
        <w:t>vantage le sens de la transmission. La tradition demeure en quelque sorte « le contrepoids conservateur » qui retient le monde vécu ensemble. Pour Habermas « l'agir communic</w:t>
      </w:r>
      <w:r w:rsidRPr="00A37731">
        <w:t>a</w:t>
      </w:r>
      <w:r w:rsidRPr="00A37731">
        <w:t>tionnel » est un passage de l'intuition morale vers la mise en action de l'éthique de la discussion. L'activité communic</w:t>
      </w:r>
      <w:r w:rsidRPr="00A37731">
        <w:t>a</w:t>
      </w:r>
      <w:r w:rsidRPr="00A37731">
        <w:t>tionnelle cherche à établir les accords entre les interlocuteurs. Habe</w:t>
      </w:r>
      <w:r w:rsidRPr="00A37731">
        <w:t>r</w:t>
      </w:r>
      <w:r w:rsidRPr="00A37731">
        <w:t>mas renforce son argument en faveur de</w:t>
      </w:r>
      <w:r>
        <w:t xml:space="preserve"> [205] </w:t>
      </w:r>
      <w:r w:rsidRPr="00A37731">
        <w:t>l'universalité par l'idée du contrat social et du développement pos</w:t>
      </w:r>
      <w:r w:rsidRPr="00A37731">
        <w:t>t</w:t>
      </w:r>
      <w:r w:rsidRPr="00A37731">
        <w:t>conventionnel des droits humains. Selon lui, ces droits fondamentaux représentent l'accumul</w:t>
      </w:r>
      <w:r w:rsidRPr="00A37731">
        <w:t>a</w:t>
      </w:r>
      <w:r w:rsidRPr="00A37731">
        <w:t>tion des activités communicationnelles des groupes et des individus après une longue histoire de sacrifices, d'e</w:t>
      </w:r>
      <w:r w:rsidRPr="00A37731">
        <w:t>f</w:t>
      </w:r>
      <w:r w:rsidRPr="00A37731">
        <w:t>forts collectifs et de débats raisonnés</w:t>
      </w:r>
      <w:r>
        <w:t> </w:t>
      </w:r>
      <w:r>
        <w:rPr>
          <w:rStyle w:val="Appelnotedebasdep"/>
        </w:rPr>
        <w:footnoteReference w:id="97"/>
      </w:r>
      <w:r w:rsidRPr="00A37731">
        <w:t>.</w:t>
      </w:r>
    </w:p>
    <w:p w:rsidR="00B7214C" w:rsidRPr="00A37731" w:rsidRDefault="00B7214C" w:rsidP="00B7214C">
      <w:pPr>
        <w:spacing w:before="120" w:after="120"/>
        <w:jc w:val="both"/>
      </w:pPr>
      <w:r w:rsidRPr="00A37731">
        <w:t>Alors que pour Habermas et Bakhtine l'universel découle des diff</w:t>
      </w:r>
      <w:r w:rsidRPr="00A37731">
        <w:t>é</w:t>
      </w:r>
      <w:r w:rsidRPr="00A37731">
        <w:t>rences issues de l'intersubjectivité, leurs problémat</w:t>
      </w:r>
      <w:r w:rsidRPr="00A37731">
        <w:t>i</w:t>
      </w:r>
      <w:r w:rsidRPr="00A37731">
        <w:t>ques révèlent deux cheminements différents. Pour Bakhtine, l'altérité se trouve au centre de la langue et de la tradition culturelle qu'il conçoit comme pratique de dépassement au sens le plus large. « Je vis dans l'univers des mots d'autrui. Et toute ma vie consiste à me diriger dans cet univers », dit-t-il</w:t>
      </w:r>
      <w:r>
        <w:t> </w:t>
      </w:r>
      <w:r>
        <w:rPr>
          <w:rStyle w:val="Appelnotedebasdep"/>
        </w:rPr>
        <w:footnoteReference w:id="98"/>
      </w:r>
      <w:r>
        <w:t>.</w:t>
      </w:r>
      <w:r w:rsidRPr="00A37731">
        <w:t xml:space="preserve"> Son approche et celle d'Habermas se complètent et s'opposent en même temps. Bakhtine et Habermas partagent l'intérêt pour « l'agir communicationnel » et les forces centripètes et centrifuges agissant dans la culture et la société. Qu'il s'agisse du discours social ou litt</w:t>
      </w:r>
      <w:r w:rsidRPr="00A37731">
        <w:t>é</w:t>
      </w:r>
      <w:r w:rsidRPr="00A37731">
        <w:t>raire, la nature dialogique de la langue signifie que tout énoncé co</w:t>
      </w:r>
      <w:r w:rsidRPr="00A37731">
        <w:t>m</w:t>
      </w:r>
      <w:r w:rsidRPr="00A37731">
        <w:t>porte une attente de réponse de l'énonciataire. Il faut ainsi retenir que la théorie de cet a</w:t>
      </w:r>
      <w:r w:rsidRPr="00A37731">
        <w:t>s</w:t>
      </w:r>
      <w:r w:rsidRPr="00A37731">
        <w:t>pect de la communication prend, chez Bakhtine, un virage existentiel et non pragmatique comme chez Habermas. Pour Bakhtine, le rapport dialogique au coeur de toute sociabilité relève de la volonté plutôt que de la raison. La « responsivité active » de l'éno</w:t>
      </w:r>
      <w:r w:rsidRPr="00A37731">
        <w:t>n</w:t>
      </w:r>
      <w:r w:rsidRPr="00A37731">
        <w:t>cé ne se limite pas à la réponse rationnelle de l'auditeur, même si elle exige toujours que l'émetteur pa</w:t>
      </w:r>
      <w:r w:rsidRPr="00A37731">
        <w:t>r</w:t>
      </w:r>
      <w:r w:rsidRPr="00A37731">
        <w:t>tage une « responsabilité » sociale avec lui et sa société.</w:t>
      </w:r>
    </w:p>
    <w:p w:rsidR="00B7214C" w:rsidRPr="00A37731" w:rsidRDefault="00B7214C" w:rsidP="00B7214C">
      <w:pPr>
        <w:spacing w:before="120" w:after="120"/>
        <w:jc w:val="both"/>
      </w:pPr>
      <w:r w:rsidRPr="00A37731">
        <w:t>Je voudrais maintenant comparer les deux problématiques et leurs positions diverses sur la reconstruction des rapports entre éthique et acte de parole, subjectivité et intersubjectiv</w:t>
      </w:r>
      <w:r w:rsidRPr="00A37731">
        <w:t>i</w:t>
      </w:r>
      <w:r w:rsidRPr="00A37731">
        <w:t>té, langue et sens. À la lumière de cette comparaison, nous verrons que la théorie du dialogue chez Bakhtine peut combler la lacune laissée par le virage pragmat</w:t>
      </w:r>
      <w:r w:rsidRPr="00A37731">
        <w:t>i</w:t>
      </w:r>
      <w:r w:rsidRPr="00A37731">
        <w:t>que qui sous-tend le concept habermassien de « l'agir communicatio</w:t>
      </w:r>
      <w:r w:rsidRPr="00A37731">
        <w:t>n</w:t>
      </w:r>
      <w:r w:rsidRPr="00A37731">
        <w:t>nel ». Enfin, je préfère garder le parallèle entre les deux penseurs o</w:t>
      </w:r>
      <w:r w:rsidRPr="00A37731">
        <w:t>u</w:t>
      </w:r>
      <w:r w:rsidRPr="00A37731">
        <w:t>vert que de conclure par la synthèse de leurs problématiques.</w:t>
      </w:r>
    </w:p>
    <w:p w:rsidR="00B7214C" w:rsidRDefault="00B7214C" w:rsidP="00B7214C">
      <w:pPr>
        <w:spacing w:before="120" w:after="120"/>
        <w:jc w:val="both"/>
      </w:pPr>
    </w:p>
    <w:p w:rsidR="00B7214C" w:rsidRDefault="00B7214C" w:rsidP="00B7214C">
      <w:pPr>
        <w:pStyle w:val="a"/>
      </w:pPr>
      <w:r w:rsidRPr="00A37731">
        <w:t xml:space="preserve">HABERMAS : </w:t>
      </w:r>
      <w:r>
        <w:br/>
      </w:r>
      <w:r w:rsidRPr="00A37731">
        <w:t>LE PRINCIPE UNIVERSEL ET L'ACTE DE P</w:t>
      </w:r>
      <w:r w:rsidRPr="00A37731">
        <w:t>A</w:t>
      </w:r>
      <w:r w:rsidRPr="00A37731">
        <w:t>ROLE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Habermas se sert de l'interactionnisme symbolique de Mead pour montrer la nécessité de reconstruire une théorie de l'action qui puisse prendre en considération ce qui se retrouve médiatisé par le système social. C'est surtout la recherche de la compréhension à travers l'act</w:t>
      </w:r>
      <w:r w:rsidRPr="00A37731">
        <w:t>i</w:t>
      </w:r>
      <w:r w:rsidRPr="00A37731">
        <w:t>vité communicationnelle qui l'intéresse. Il abandonne la question de la subjectivité au sens de l'intériorité telle que proposée par Fichte, Kie</w:t>
      </w:r>
      <w:r w:rsidRPr="00A37731">
        <w:t>r</w:t>
      </w:r>
      <w:r w:rsidRPr="00A37731">
        <w:t>kegaard et</w:t>
      </w:r>
      <w:r>
        <w:t xml:space="preserve"> </w:t>
      </w:r>
      <w:r w:rsidRPr="00A37731">
        <w:t>Humboldt. Il cherche plutôt à expliquer la façon par laque</w:t>
      </w:r>
      <w:r w:rsidRPr="00A37731">
        <w:t>l</w:t>
      </w:r>
      <w:r w:rsidRPr="00A37731">
        <w:t>le l'identité se développe dans les pratiques communicationne</w:t>
      </w:r>
      <w:r w:rsidRPr="00A37731">
        <w:t>l</w:t>
      </w:r>
      <w:r w:rsidRPr="00A37731">
        <w:t xml:space="preserve">les. </w:t>
      </w:r>
      <w:r>
        <w:t xml:space="preserve">« J'appelle communicationnelles, [206] </w:t>
      </w:r>
      <w:r w:rsidRPr="00A37731">
        <w:t>dit Habermas, les interactions dans lesquelles les participants sont d'accord pour coordonner en bo</w:t>
      </w:r>
      <w:r w:rsidRPr="00A37731">
        <w:t>n</w:t>
      </w:r>
      <w:r w:rsidRPr="00A37731">
        <w:t>ne intelligence leurs plans d'action ; l'entente ainsi obtenue se trouve alors déterminée à la mesure de la reconnaissance intersubjective des exigences de validité</w:t>
      </w:r>
      <w:r>
        <w:t> </w:t>
      </w:r>
      <w:r>
        <w:rPr>
          <w:rStyle w:val="Appelnotedebasdep"/>
        </w:rPr>
        <w:footnoteReference w:id="99"/>
      </w:r>
      <w:r w:rsidRPr="00A37731">
        <w:t>. »</w:t>
      </w:r>
    </w:p>
    <w:p w:rsidR="00B7214C" w:rsidRPr="00A37731" w:rsidRDefault="00B7214C" w:rsidP="00B7214C">
      <w:pPr>
        <w:jc w:val="both"/>
      </w:pPr>
      <w:r w:rsidRPr="00A37731">
        <w:t>Les actes de parole où les acteurs recherchent un « consensus r</w:t>
      </w:r>
      <w:r w:rsidRPr="00A37731">
        <w:t>a</w:t>
      </w:r>
      <w:r w:rsidRPr="00A37731">
        <w:t>tionnellement motivé » ont une certaine mod</w:t>
      </w:r>
      <w:r w:rsidRPr="00A37731">
        <w:t>a</w:t>
      </w:r>
      <w:r w:rsidRPr="00A37731">
        <w:t>lité en commun selon Habermas. D'abord, l'interlocuteur/acteur réclame une validité unive</w:t>
      </w:r>
      <w:r w:rsidRPr="00A37731">
        <w:t>r</w:t>
      </w:r>
      <w:r w:rsidRPr="00A37731">
        <w:t>selle « U » au niveau de la vérité, de la justice et de la sincérité de ses arguments. Cette triple réclamation de validité réfère à quelque chose qui se produit « dans le monde objectif, [...] dans le monde de la communauté sociale, [...] ou dans le monde subjectif perso</w:t>
      </w:r>
      <w:r w:rsidRPr="00A37731">
        <w:t>n</w:t>
      </w:r>
      <w:r w:rsidRPr="00A37731">
        <w:t>nel ». Comme le dit Rainer Roschlitz : « Notre langage quot</w:t>
      </w:r>
      <w:r w:rsidRPr="00A37731">
        <w:t>i</w:t>
      </w:r>
      <w:r w:rsidRPr="00A37731">
        <w:t>dien s'appuie à chaque instant sur des présentations rationne</w:t>
      </w:r>
      <w:r w:rsidRPr="00A37731">
        <w:t>l</w:t>
      </w:r>
      <w:r w:rsidRPr="00A37731">
        <w:t>les [...] un bon argument présenté ici et maintenant, reste valable ailleurs et demain</w:t>
      </w:r>
      <w:r>
        <w:t> </w:t>
      </w:r>
      <w:r>
        <w:rPr>
          <w:rStyle w:val="Appelnotedebasdep"/>
        </w:rPr>
        <w:footnoteReference w:id="100"/>
      </w:r>
      <w:r w:rsidRPr="00A37731">
        <w:t> ». L'a</w:t>
      </w:r>
      <w:r w:rsidRPr="00A37731">
        <w:t>c</w:t>
      </w:r>
      <w:r w:rsidRPr="00A37731">
        <w:t>tivité communicationnelle diffère de l'activité stratégique qui cherche à manipuler l'autre par la menace des sanctions ou par des promesses de gratifications. Dans l'activité communicationnelle « chacun est m</w:t>
      </w:r>
      <w:r w:rsidRPr="00A37731">
        <w:t>o</w:t>
      </w:r>
      <w:r w:rsidRPr="00A37731">
        <w:t>tivé rationnellement par l'autre à agir conjointement et ce, en vertu des ef</w:t>
      </w:r>
      <w:r w:rsidRPr="00AA4795">
        <w:t xml:space="preserve">fets d'engagement illocutoires </w:t>
      </w:r>
      <w:r w:rsidRPr="00AA4795">
        <w:rPr>
          <w:i/>
          <w:iCs/>
        </w:rPr>
        <w:t>[bildungsefekt]</w:t>
      </w:r>
      <w:r w:rsidRPr="00AA4795">
        <w:t xml:space="preserve"> i</w:t>
      </w:r>
      <w:r w:rsidRPr="00AA4795">
        <w:t>n</w:t>
      </w:r>
      <w:r w:rsidRPr="00AA4795">
        <w:t>hérents au fait que</w:t>
      </w:r>
      <w:r w:rsidRPr="00A37731">
        <w:t xml:space="preserve"> l'on propose un acte de parole</w:t>
      </w:r>
      <w:r>
        <w:t> </w:t>
      </w:r>
      <w:r>
        <w:rPr>
          <w:rStyle w:val="Appelnotedebasdep"/>
        </w:rPr>
        <w:footnoteReference w:id="101"/>
      </w:r>
      <w:r w:rsidRPr="00A37731">
        <w:t> ».</w:t>
      </w:r>
    </w:p>
    <w:p w:rsidR="00B7214C" w:rsidRDefault="00B7214C" w:rsidP="00B7214C">
      <w:pPr>
        <w:spacing w:before="120" w:after="120"/>
        <w:jc w:val="both"/>
      </w:pPr>
      <w:r w:rsidRPr="00A37731">
        <w:t>L'acte de parole s'appuie sur les structurations régulatrices ou con</w:t>
      </w:r>
      <w:r w:rsidRPr="00A37731">
        <w:t>s</w:t>
      </w:r>
      <w:r w:rsidRPr="00A37731">
        <w:t>tatives. L'auditeur peut accepter les réclamations non seulement grâce aux arguments mais aussi parce qu'il s'eng</w:t>
      </w:r>
      <w:r w:rsidRPr="00A37731">
        <w:t>a</w:t>
      </w:r>
      <w:r w:rsidRPr="00A37731">
        <w:t>ge à garantir leur vérité. C'est cette garantie qui effectue la coordination entre locuteur et aud</w:t>
      </w:r>
      <w:r w:rsidRPr="00A37731">
        <w:t>i</w:t>
      </w:r>
      <w:r w:rsidRPr="00A37731">
        <w:t>teur. « Dès que l'auditeur compte sur la garantie du locuteur, inte</w:t>
      </w:r>
      <w:r w:rsidRPr="00A37731">
        <w:t>r</w:t>
      </w:r>
      <w:r w:rsidRPr="00A37731">
        <w:t>viennent alors ces a</w:t>
      </w:r>
      <w:r w:rsidRPr="00A37731">
        <w:t>s</w:t>
      </w:r>
      <w:r w:rsidRPr="00A37731">
        <w:t>treintes essentielles à la poursuite de l'interaction, comprises dans la signification de ce qui est dit. » Par contre, p</w:t>
      </w:r>
      <w:r>
        <w:t>our les actes de paroles consta</w:t>
      </w:r>
      <w:r w:rsidRPr="00A37731">
        <w:t>tifs, l'obligation tient uniquement aux situ</w:t>
      </w:r>
      <w:r w:rsidRPr="00A37731">
        <w:t>a</w:t>
      </w:r>
      <w:r w:rsidRPr="00A37731">
        <w:t>tions sur lesquelles les interlocuteurs sont d'accord. « Ainsi, des actes de paroles expressifs, il résulte immédiatement des obligations prat</w:t>
      </w:r>
      <w:r w:rsidRPr="00A37731">
        <w:t>i</w:t>
      </w:r>
      <w:r w:rsidRPr="00A37731">
        <w:t>ques qui conduisent le locuteur à spécifier ce avec quoi son compo</w:t>
      </w:r>
      <w:r w:rsidRPr="00A37731">
        <w:t>r</w:t>
      </w:r>
      <w:r w:rsidRPr="00A37731">
        <w:t>tement n'est pas en contradiction</w:t>
      </w:r>
      <w:r>
        <w:t> </w:t>
      </w:r>
      <w:r>
        <w:rPr>
          <w:rStyle w:val="Appelnotedebasdep"/>
        </w:rPr>
        <w:footnoteReference w:id="102"/>
      </w:r>
      <w:r w:rsidRPr="00A37731">
        <w:t>. » Il faut rappeler que ces deux ex</w:t>
      </w:r>
      <w:r w:rsidRPr="00A37731">
        <w:t>i</w:t>
      </w:r>
      <w:r w:rsidRPr="00A37731">
        <w:t>gences de validité ont le rôle de coordonner l'action communicationnelle au niveau quotidien. On peut discerner la dynamique de cette coordin</w:t>
      </w:r>
      <w:r w:rsidRPr="00A37731">
        <w:t>a</w:t>
      </w:r>
      <w:r w:rsidRPr="00A37731">
        <w:t>tion entre l'acte de parole et le principe de l'universalité dans le t</w:t>
      </w:r>
      <w:r w:rsidRPr="00A37731">
        <w:t>a</w:t>
      </w:r>
      <w:r w:rsidRPr="00A37731">
        <w:t>bleau ci-dessous :</w:t>
      </w:r>
    </w:p>
    <w:p w:rsidR="00B7214C" w:rsidRPr="00A37731" w:rsidRDefault="00B7214C" w:rsidP="00B7214C">
      <w:pPr>
        <w:spacing w:before="120" w:after="120"/>
        <w:jc w:val="both"/>
      </w:pPr>
    </w:p>
    <w:tbl>
      <w:tblPr>
        <w:tblOverlap w:val="never"/>
        <w:tblW w:w="0" w:type="auto"/>
        <w:tblInd w:w="-980" w:type="dxa"/>
        <w:tblLayout w:type="fixed"/>
        <w:tblCellMar>
          <w:left w:w="10" w:type="dxa"/>
          <w:right w:w="10" w:type="dxa"/>
        </w:tblCellMar>
        <w:tblLook w:val="0000" w:firstRow="0" w:lastRow="0" w:firstColumn="0" w:lastColumn="0" w:noHBand="0" w:noVBand="0"/>
      </w:tblPr>
      <w:tblGrid>
        <w:gridCol w:w="2610"/>
        <w:gridCol w:w="1440"/>
        <w:gridCol w:w="2340"/>
        <w:gridCol w:w="2520"/>
      </w:tblGrid>
      <w:tr w:rsidR="00B7214C" w:rsidRPr="00C25308">
        <w:tblPrEx>
          <w:tblCellMar>
            <w:top w:w="0" w:type="dxa"/>
            <w:bottom w:w="0" w:type="dxa"/>
          </w:tblCellMar>
        </w:tblPrEx>
        <w:tc>
          <w:tcPr>
            <w:tcW w:w="2610" w:type="dxa"/>
            <w:tcBorders>
              <w:top w:val="single" w:sz="4" w:space="0" w:color="auto"/>
            </w:tcBorders>
            <w:shd w:val="clear" w:color="auto" w:fill="EDEAD1"/>
            <w:vAlign w:val="bottom"/>
          </w:tcPr>
          <w:p w:rsidR="00B7214C" w:rsidRPr="00C25308" w:rsidRDefault="00B7214C" w:rsidP="00B7214C">
            <w:pPr>
              <w:spacing w:before="120" w:after="120"/>
              <w:ind w:firstLine="0"/>
              <w:jc w:val="both"/>
              <w:rPr>
                <w:sz w:val="24"/>
                <w:szCs w:val="2"/>
              </w:rPr>
            </w:pPr>
            <w:r w:rsidRPr="00C25308">
              <w:rPr>
                <w:bCs/>
                <w:sz w:val="24"/>
                <w:szCs w:val="2"/>
              </w:rPr>
              <w:t>U</w:t>
            </w:r>
          </w:p>
        </w:tc>
        <w:tc>
          <w:tcPr>
            <w:tcW w:w="1440" w:type="dxa"/>
            <w:tcBorders>
              <w:top w:val="single" w:sz="4" w:space="0" w:color="auto"/>
            </w:tcBorders>
            <w:shd w:val="clear" w:color="auto" w:fill="EDEAD1"/>
            <w:vAlign w:val="bottom"/>
          </w:tcPr>
          <w:p w:rsidR="00B7214C" w:rsidRPr="00C25308" w:rsidRDefault="00B7214C" w:rsidP="00B7214C">
            <w:pPr>
              <w:spacing w:before="120" w:after="120"/>
              <w:ind w:firstLine="0"/>
              <w:jc w:val="both"/>
              <w:rPr>
                <w:sz w:val="24"/>
                <w:szCs w:val="2"/>
              </w:rPr>
            </w:pPr>
            <w:r w:rsidRPr="00C25308">
              <w:rPr>
                <w:bCs/>
                <w:sz w:val="24"/>
                <w:szCs w:val="2"/>
              </w:rPr>
              <w:t>Récl</w:t>
            </w:r>
            <w:r w:rsidRPr="00C25308">
              <w:rPr>
                <w:bCs/>
                <w:sz w:val="24"/>
                <w:szCs w:val="2"/>
              </w:rPr>
              <w:t>a</w:t>
            </w:r>
            <w:r w:rsidRPr="00C25308">
              <w:rPr>
                <w:bCs/>
                <w:sz w:val="24"/>
                <w:szCs w:val="2"/>
              </w:rPr>
              <w:t>mation</w:t>
            </w:r>
          </w:p>
        </w:tc>
        <w:tc>
          <w:tcPr>
            <w:tcW w:w="2340" w:type="dxa"/>
            <w:tcBorders>
              <w:top w:val="single" w:sz="4" w:space="0" w:color="auto"/>
            </w:tcBorders>
            <w:shd w:val="clear" w:color="auto" w:fill="EDEAD1"/>
            <w:vAlign w:val="bottom"/>
          </w:tcPr>
          <w:p w:rsidR="00B7214C" w:rsidRPr="00C25308" w:rsidRDefault="00B7214C" w:rsidP="00B7214C">
            <w:pPr>
              <w:spacing w:before="120" w:after="120"/>
              <w:ind w:firstLine="0"/>
              <w:jc w:val="both"/>
              <w:rPr>
                <w:sz w:val="24"/>
                <w:szCs w:val="2"/>
              </w:rPr>
            </w:pPr>
            <w:r w:rsidRPr="00C25308">
              <w:rPr>
                <w:bCs/>
                <w:sz w:val="24"/>
                <w:szCs w:val="2"/>
              </w:rPr>
              <w:t>Référence</w:t>
            </w:r>
          </w:p>
        </w:tc>
        <w:tc>
          <w:tcPr>
            <w:tcW w:w="2520" w:type="dxa"/>
            <w:tcBorders>
              <w:top w:val="single" w:sz="4" w:space="0" w:color="auto"/>
            </w:tcBorders>
            <w:shd w:val="clear" w:color="auto" w:fill="EDEAD1"/>
            <w:vAlign w:val="bottom"/>
          </w:tcPr>
          <w:p w:rsidR="00B7214C" w:rsidRPr="00C25308" w:rsidRDefault="00B7214C" w:rsidP="00B7214C">
            <w:pPr>
              <w:spacing w:before="120" w:after="120"/>
              <w:ind w:firstLine="0"/>
              <w:jc w:val="both"/>
              <w:rPr>
                <w:sz w:val="24"/>
                <w:szCs w:val="2"/>
              </w:rPr>
            </w:pPr>
            <w:r w:rsidRPr="00C25308">
              <w:rPr>
                <w:bCs/>
                <w:sz w:val="24"/>
                <w:szCs w:val="2"/>
              </w:rPr>
              <w:t>Acte de p</w:t>
            </w:r>
            <w:r w:rsidRPr="00C25308">
              <w:rPr>
                <w:bCs/>
                <w:sz w:val="24"/>
                <w:szCs w:val="2"/>
              </w:rPr>
              <w:t>a</w:t>
            </w:r>
            <w:r w:rsidRPr="00C25308">
              <w:rPr>
                <w:bCs/>
                <w:sz w:val="24"/>
                <w:szCs w:val="2"/>
              </w:rPr>
              <w:t>role</w:t>
            </w:r>
          </w:p>
        </w:tc>
      </w:tr>
      <w:tr w:rsidR="00B7214C" w:rsidRPr="00C25308">
        <w:tblPrEx>
          <w:tblCellMar>
            <w:top w:w="0" w:type="dxa"/>
            <w:bottom w:w="0" w:type="dxa"/>
          </w:tblCellMar>
        </w:tblPrEx>
        <w:tc>
          <w:tcPr>
            <w:tcW w:w="2610" w:type="dxa"/>
            <w:vMerge w:val="restart"/>
            <w:tcBorders>
              <w:top w:val="single" w:sz="4" w:space="0" w:color="auto"/>
            </w:tcBorders>
            <w:shd w:val="clear" w:color="auto" w:fill="FFFFFF"/>
            <w:vAlign w:val="center"/>
          </w:tcPr>
          <w:p w:rsidR="00B7214C" w:rsidRPr="00C25308" w:rsidRDefault="00B7214C" w:rsidP="00B7214C">
            <w:pPr>
              <w:spacing w:before="120" w:after="120"/>
              <w:ind w:firstLine="0"/>
              <w:jc w:val="both"/>
              <w:rPr>
                <w:sz w:val="24"/>
                <w:szCs w:val="2"/>
              </w:rPr>
            </w:pPr>
            <w:r w:rsidRPr="00C25308">
              <w:rPr>
                <w:sz w:val="24"/>
                <w:szCs w:val="2"/>
              </w:rPr>
              <w:t>Principe</w:t>
            </w:r>
            <w:r>
              <w:rPr>
                <w:sz w:val="24"/>
                <w:szCs w:val="2"/>
              </w:rPr>
              <w:br/>
            </w:r>
            <w:r w:rsidRPr="00C25308">
              <w:rPr>
                <w:sz w:val="24"/>
                <w:szCs w:val="2"/>
              </w:rPr>
              <w:t>de l'un</w:t>
            </w:r>
            <w:r w:rsidRPr="00C25308">
              <w:rPr>
                <w:sz w:val="24"/>
                <w:szCs w:val="2"/>
              </w:rPr>
              <w:t>i</w:t>
            </w:r>
            <w:r w:rsidRPr="00C25308">
              <w:rPr>
                <w:sz w:val="24"/>
                <w:szCs w:val="2"/>
              </w:rPr>
              <w:t>versalité morale</w:t>
            </w:r>
          </w:p>
        </w:tc>
        <w:tc>
          <w:tcPr>
            <w:tcW w:w="1440" w:type="dxa"/>
            <w:tcBorders>
              <w:top w:val="single" w:sz="4" w:space="0" w:color="auto"/>
            </w:tcBorders>
            <w:shd w:val="clear" w:color="auto" w:fill="FFFFFF"/>
            <w:vAlign w:val="bottom"/>
          </w:tcPr>
          <w:p w:rsidR="00B7214C" w:rsidRPr="00C25308" w:rsidRDefault="00B7214C" w:rsidP="00B7214C">
            <w:pPr>
              <w:spacing w:before="120"/>
              <w:ind w:firstLine="0"/>
              <w:jc w:val="both"/>
              <w:rPr>
                <w:sz w:val="24"/>
                <w:szCs w:val="2"/>
              </w:rPr>
            </w:pPr>
            <w:r w:rsidRPr="00C25308">
              <w:rPr>
                <w:sz w:val="24"/>
                <w:szCs w:val="2"/>
              </w:rPr>
              <w:t>de vér</w:t>
            </w:r>
            <w:r w:rsidRPr="00C25308">
              <w:rPr>
                <w:sz w:val="24"/>
                <w:szCs w:val="2"/>
              </w:rPr>
              <w:t>i</w:t>
            </w:r>
            <w:r w:rsidRPr="00C25308">
              <w:rPr>
                <w:sz w:val="24"/>
                <w:szCs w:val="2"/>
              </w:rPr>
              <w:t>tés</w:t>
            </w:r>
          </w:p>
        </w:tc>
        <w:tc>
          <w:tcPr>
            <w:tcW w:w="2340" w:type="dxa"/>
            <w:tcBorders>
              <w:top w:val="single" w:sz="4" w:space="0" w:color="auto"/>
            </w:tcBorders>
            <w:shd w:val="clear" w:color="auto" w:fill="FFFFFF"/>
            <w:vAlign w:val="bottom"/>
          </w:tcPr>
          <w:p w:rsidR="00B7214C" w:rsidRPr="00C25308" w:rsidRDefault="00B7214C" w:rsidP="00B7214C">
            <w:pPr>
              <w:spacing w:before="120"/>
              <w:ind w:firstLine="0"/>
              <w:rPr>
                <w:sz w:val="24"/>
                <w:szCs w:val="2"/>
              </w:rPr>
            </w:pPr>
            <w:r w:rsidRPr="00C25308">
              <w:rPr>
                <w:sz w:val="24"/>
                <w:szCs w:val="2"/>
              </w:rPr>
              <w:t>Monde obje</w:t>
            </w:r>
            <w:r w:rsidRPr="00C25308">
              <w:rPr>
                <w:sz w:val="24"/>
                <w:szCs w:val="2"/>
              </w:rPr>
              <w:t>c</w:t>
            </w:r>
            <w:r w:rsidRPr="00C25308">
              <w:rPr>
                <w:sz w:val="24"/>
                <w:szCs w:val="2"/>
              </w:rPr>
              <w:t>tif</w:t>
            </w:r>
          </w:p>
        </w:tc>
        <w:tc>
          <w:tcPr>
            <w:tcW w:w="2520" w:type="dxa"/>
            <w:tcBorders>
              <w:top w:val="single" w:sz="4" w:space="0" w:color="auto"/>
            </w:tcBorders>
            <w:shd w:val="clear" w:color="auto" w:fill="FFFFFF"/>
            <w:vAlign w:val="bottom"/>
          </w:tcPr>
          <w:p w:rsidR="00B7214C" w:rsidRPr="00C25308" w:rsidRDefault="00B7214C" w:rsidP="00B7214C">
            <w:pPr>
              <w:spacing w:before="120"/>
              <w:ind w:firstLine="0"/>
              <w:rPr>
                <w:sz w:val="24"/>
                <w:szCs w:val="2"/>
              </w:rPr>
            </w:pPr>
            <w:r w:rsidRPr="00C25308">
              <w:rPr>
                <w:sz w:val="24"/>
                <w:szCs w:val="2"/>
              </w:rPr>
              <w:t>Régulatif</w:t>
            </w:r>
          </w:p>
        </w:tc>
      </w:tr>
      <w:tr w:rsidR="00B7214C" w:rsidRPr="00C25308">
        <w:tblPrEx>
          <w:tblCellMar>
            <w:top w:w="0" w:type="dxa"/>
            <w:bottom w:w="0" w:type="dxa"/>
          </w:tblCellMar>
        </w:tblPrEx>
        <w:tc>
          <w:tcPr>
            <w:tcW w:w="2610" w:type="dxa"/>
            <w:vMerge/>
            <w:shd w:val="clear" w:color="auto" w:fill="FFFFFF"/>
          </w:tcPr>
          <w:p w:rsidR="00B7214C" w:rsidRPr="00C25308" w:rsidRDefault="00B7214C" w:rsidP="00B7214C">
            <w:pPr>
              <w:spacing w:before="120" w:after="120"/>
              <w:ind w:firstLine="0"/>
              <w:jc w:val="both"/>
              <w:rPr>
                <w:sz w:val="24"/>
                <w:szCs w:val="2"/>
              </w:rPr>
            </w:pPr>
          </w:p>
        </w:tc>
        <w:tc>
          <w:tcPr>
            <w:tcW w:w="1440" w:type="dxa"/>
            <w:shd w:val="clear" w:color="auto" w:fill="FFFFFF"/>
            <w:vAlign w:val="bottom"/>
          </w:tcPr>
          <w:p w:rsidR="00B7214C" w:rsidRPr="00C25308" w:rsidRDefault="00B7214C" w:rsidP="00B7214C">
            <w:pPr>
              <w:spacing w:before="120" w:after="120"/>
              <w:ind w:firstLine="0"/>
              <w:jc w:val="both"/>
              <w:rPr>
                <w:sz w:val="24"/>
                <w:szCs w:val="2"/>
              </w:rPr>
            </w:pPr>
          </w:p>
        </w:tc>
        <w:tc>
          <w:tcPr>
            <w:tcW w:w="2340" w:type="dxa"/>
            <w:shd w:val="clear" w:color="auto" w:fill="FFFFFF"/>
            <w:vAlign w:val="bottom"/>
          </w:tcPr>
          <w:p w:rsidR="00B7214C" w:rsidRPr="00C25308" w:rsidRDefault="00B7214C" w:rsidP="00B7214C">
            <w:pPr>
              <w:spacing w:before="120" w:after="120"/>
              <w:ind w:firstLine="0"/>
              <w:rPr>
                <w:sz w:val="24"/>
                <w:szCs w:val="2"/>
              </w:rPr>
            </w:pPr>
          </w:p>
        </w:tc>
        <w:tc>
          <w:tcPr>
            <w:tcW w:w="2520" w:type="dxa"/>
            <w:shd w:val="clear" w:color="auto" w:fill="FFFFFF"/>
          </w:tcPr>
          <w:p w:rsidR="00B7214C" w:rsidRPr="00C25308" w:rsidRDefault="00B7214C" w:rsidP="00B7214C">
            <w:pPr>
              <w:spacing w:before="120" w:after="120"/>
              <w:ind w:firstLine="0"/>
              <w:rPr>
                <w:sz w:val="24"/>
                <w:szCs w:val="2"/>
              </w:rPr>
            </w:pPr>
            <w:r w:rsidRPr="00C25308">
              <w:rPr>
                <w:sz w:val="24"/>
                <w:szCs w:val="2"/>
              </w:rPr>
              <w:t xml:space="preserve">(propos normatifs) </w:t>
            </w:r>
          </w:p>
        </w:tc>
      </w:tr>
      <w:tr w:rsidR="00B7214C" w:rsidRPr="00C25308">
        <w:tblPrEx>
          <w:tblCellMar>
            <w:top w:w="0" w:type="dxa"/>
            <w:bottom w:w="0" w:type="dxa"/>
          </w:tblCellMar>
        </w:tblPrEx>
        <w:tc>
          <w:tcPr>
            <w:tcW w:w="2610" w:type="dxa"/>
            <w:vMerge/>
            <w:shd w:val="clear" w:color="auto" w:fill="FFFFFF"/>
          </w:tcPr>
          <w:p w:rsidR="00B7214C" w:rsidRPr="00C25308" w:rsidRDefault="00B7214C" w:rsidP="00B7214C">
            <w:pPr>
              <w:spacing w:before="120" w:after="120"/>
              <w:ind w:firstLine="0"/>
              <w:jc w:val="both"/>
              <w:rPr>
                <w:sz w:val="24"/>
                <w:szCs w:val="2"/>
              </w:rPr>
            </w:pPr>
          </w:p>
        </w:tc>
        <w:tc>
          <w:tcPr>
            <w:tcW w:w="1440" w:type="dxa"/>
            <w:shd w:val="clear" w:color="auto" w:fill="FFFFFF"/>
            <w:vAlign w:val="bottom"/>
          </w:tcPr>
          <w:p w:rsidR="00B7214C" w:rsidRPr="00C25308" w:rsidRDefault="00B7214C" w:rsidP="00B7214C">
            <w:pPr>
              <w:spacing w:before="120" w:after="120"/>
              <w:ind w:firstLine="0"/>
              <w:jc w:val="both"/>
              <w:rPr>
                <w:sz w:val="24"/>
                <w:szCs w:val="2"/>
              </w:rPr>
            </w:pPr>
            <w:r w:rsidRPr="00C25308">
              <w:rPr>
                <w:sz w:val="24"/>
                <w:szCs w:val="2"/>
              </w:rPr>
              <w:t>de val</w:t>
            </w:r>
            <w:r w:rsidRPr="00C25308">
              <w:rPr>
                <w:sz w:val="24"/>
                <w:szCs w:val="2"/>
              </w:rPr>
              <w:t>i</w:t>
            </w:r>
            <w:r w:rsidRPr="00C25308">
              <w:rPr>
                <w:sz w:val="24"/>
                <w:szCs w:val="2"/>
              </w:rPr>
              <w:t>dité</w:t>
            </w:r>
          </w:p>
        </w:tc>
        <w:tc>
          <w:tcPr>
            <w:tcW w:w="2340" w:type="dxa"/>
            <w:shd w:val="clear" w:color="auto" w:fill="FFFFFF"/>
            <w:vAlign w:val="bottom"/>
          </w:tcPr>
          <w:p w:rsidR="00B7214C" w:rsidRPr="00C25308" w:rsidRDefault="00B7214C" w:rsidP="00B7214C">
            <w:pPr>
              <w:spacing w:before="120" w:after="120"/>
              <w:ind w:firstLine="0"/>
              <w:rPr>
                <w:sz w:val="24"/>
                <w:szCs w:val="2"/>
              </w:rPr>
            </w:pPr>
            <w:r w:rsidRPr="00C25308">
              <w:rPr>
                <w:sz w:val="24"/>
                <w:szCs w:val="2"/>
              </w:rPr>
              <w:t>Monde social</w:t>
            </w:r>
          </w:p>
        </w:tc>
        <w:tc>
          <w:tcPr>
            <w:tcW w:w="2520" w:type="dxa"/>
            <w:shd w:val="clear" w:color="auto" w:fill="FFFFFF"/>
          </w:tcPr>
          <w:p w:rsidR="00B7214C" w:rsidRPr="00C25308" w:rsidRDefault="00B7214C" w:rsidP="00B7214C">
            <w:pPr>
              <w:spacing w:before="120" w:after="120"/>
              <w:ind w:firstLine="0"/>
              <w:rPr>
                <w:sz w:val="24"/>
                <w:szCs w:val="2"/>
              </w:rPr>
            </w:pPr>
            <w:r w:rsidRPr="00C25308">
              <w:rPr>
                <w:sz w:val="24"/>
                <w:szCs w:val="2"/>
              </w:rPr>
              <w:t>Con</w:t>
            </w:r>
            <w:r w:rsidRPr="00C25308">
              <w:rPr>
                <w:sz w:val="24"/>
                <w:szCs w:val="2"/>
              </w:rPr>
              <w:t>s</w:t>
            </w:r>
            <w:r w:rsidRPr="00C25308">
              <w:rPr>
                <w:sz w:val="24"/>
                <w:szCs w:val="2"/>
              </w:rPr>
              <w:t>tatif</w:t>
            </w:r>
          </w:p>
        </w:tc>
      </w:tr>
      <w:tr w:rsidR="00B7214C" w:rsidRPr="00C25308">
        <w:tblPrEx>
          <w:tblCellMar>
            <w:top w:w="0" w:type="dxa"/>
            <w:bottom w:w="0" w:type="dxa"/>
          </w:tblCellMar>
        </w:tblPrEx>
        <w:tc>
          <w:tcPr>
            <w:tcW w:w="2610" w:type="dxa"/>
            <w:vMerge/>
            <w:tcBorders>
              <w:bottom w:val="single" w:sz="12" w:space="0" w:color="auto"/>
            </w:tcBorders>
            <w:shd w:val="clear" w:color="auto" w:fill="FFFFFF"/>
          </w:tcPr>
          <w:p w:rsidR="00B7214C" w:rsidRPr="00C25308" w:rsidRDefault="00B7214C" w:rsidP="00B7214C">
            <w:pPr>
              <w:spacing w:before="120" w:after="120"/>
              <w:ind w:firstLine="0"/>
              <w:jc w:val="both"/>
              <w:rPr>
                <w:sz w:val="24"/>
                <w:szCs w:val="2"/>
              </w:rPr>
            </w:pPr>
          </w:p>
        </w:tc>
        <w:tc>
          <w:tcPr>
            <w:tcW w:w="1440" w:type="dxa"/>
            <w:tcBorders>
              <w:bottom w:val="single" w:sz="12" w:space="0" w:color="auto"/>
            </w:tcBorders>
            <w:shd w:val="clear" w:color="auto" w:fill="FFFFFF"/>
            <w:vAlign w:val="bottom"/>
          </w:tcPr>
          <w:p w:rsidR="00B7214C" w:rsidRPr="00C25308" w:rsidRDefault="00B7214C" w:rsidP="00B7214C">
            <w:pPr>
              <w:spacing w:after="120"/>
              <w:ind w:firstLine="0"/>
              <w:jc w:val="both"/>
              <w:rPr>
                <w:sz w:val="24"/>
                <w:szCs w:val="2"/>
              </w:rPr>
            </w:pPr>
            <w:r w:rsidRPr="00C25308">
              <w:rPr>
                <w:sz w:val="24"/>
                <w:szCs w:val="2"/>
              </w:rPr>
              <w:t>de si</w:t>
            </w:r>
            <w:r w:rsidRPr="00C25308">
              <w:rPr>
                <w:sz w:val="24"/>
                <w:szCs w:val="2"/>
              </w:rPr>
              <w:t>n</w:t>
            </w:r>
            <w:r w:rsidRPr="00C25308">
              <w:rPr>
                <w:sz w:val="24"/>
                <w:szCs w:val="2"/>
              </w:rPr>
              <w:t>cérité</w:t>
            </w:r>
          </w:p>
        </w:tc>
        <w:tc>
          <w:tcPr>
            <w:tcW w:w="2340" w:type="dxa"/>
            <w:tcBorders>
              <w:bottom w:val="single" w:sz="12" w:space="0" w:color="auto"/>
            </w:tcBorders>
            <w:shd w:val="clear" w:color="auto" w:fill="FFFFFF"/>
            <w:vAlign w:val="bottom"/>
          </w:tcPr>
          <w:p w:rsidR="00B7214C" w:rsidRPr="00C25308" w:rsidRDefault="00B7214C" w:rsidP="00B7214C">
            <w:pPr>
              <w:spacing w:after="120"/>
              <w:ind w:firstLine="0"/>
              <w:rPr>
                <w:sz w:val="24"/>
                <w:szCs w:val="2"/>
              </w:rPr>
            </w:pPr>
            <w:r w:rsidRPr="00C25308">
              <w:rPr>
                <w:sz w:val="24"/>
                <w:szCs w:val="2"/>
              </w:rPr>
              <w:t>Expérience pe</w:t>
            </w:r>
            <w:r w:rsidRPr="00C25308">
              <w:rPr>
                <w:sz w:val="24"/>
                <w:szCs w:val="2"/>
              </w:rPr>
              <w:t>r</w:t>
            </w:r>
            <w:r w:rsidRPr="00C25308">
              <w:rPr>
                <w:sz w:val="24"/>
                <w:szCs w:val="2"/>
              </w:rPr>
              <w:t>sonnelle</w:t>
            </w:r>
          </w:p>
        </w:tc>
        <w:tc>
          <w:tcPr>
            <w:tcW w:w="2520" w:type="dxa"/>
            <w:tcBorders>
              <w:bottom w:val="single" w:sz="12" w:space="0" w:color="auto"/>
            </w:tcBorders>
            <w:shd w:val="clear" w:color="auto" w:fill="FFFFFF"/>
          </w:tcPr>
          <w:p w:rsidR="00B7214C" w:rsidRPr="00C25308" w:rsidRDefault="00B7214C" w:rsidP="00B7214C">
            <w:pPr>
              <w:spacing w:after="120"/>
              <w:ind w:firstLine="0"/>
              <w:rPr>
                <w:sz w:val="24"/>
                <w:szCs w:val="2"/>
              </w:rPr>
            </w:pPr>
            <w:r w:rsidRPr="00C25308">
              <w:rPr>
                <w:sz w:val="24"/>
                <w:szCs w:val="2"/>
              </w:rPr>
              <w:t>(propos assertor</w:t>
            </w:r>
            <w:r w:rsidRPr="00C25308">
              <w:rPr>
                <w:sz w:val="24"/>
                <w:szCs w:val="2"/>
              </w:rPr>
              <w:t>i</w:t>
            </w:r>
            <w:r w:rsidRPr="00C25308">
              <w:rPr>
                <w:sz w:val="24"/>
                <w:szCs w:val="2"/>
              </w:rPr>
              <w:t>ques)</w:t>
            </w:r>
          </w:p>
        </w:tc>
      </w:tr>
    </w:tbl>
    <w:p w:rsidR="00B7214C" w:rsidRPr="00A53AEB" w:rsidRDefault="00B7214C" w:rsidP="00B7214C">
      <w:pPr>
        <w:spacing w:before="120" w:after="120"/>
        <w:jc w:val="both"/>
      </w:pPr>
    </w:p>
    <w:p w:rsidR="00B7214C" w:rsidRPr="00A37731" w:rsidRDefault="00B7214C" w:rsidP="00B7214C">
      <w:pPr>
        <w:spacing w:before="120" w:after="120"/>
        <w:jc w:val="both"/>
      </w:pPr>
      <w:r>
        <w:br w:type="page"/>
        <w:t>[207]</w:t>
      </w:r>
    </w:p>
    <w:p w:rsidR="00B7214C" w:rsidRPr="00A37731" w:rsidRDefault="00B7214C" w:rsidP="00B7214C">
      <w:pPr>
        <w:spacing w:before="120" w:after="120"/>
        <w:jc w:val="both"/>
      </w:pPr>
      <w:r w:rsidRPr="00A37731">
        <w:t>« L'agir communicationnel » est toujours un mouvement du sujet/ locuteur vers une cohérence partagée.</w:t>
      </w:r>
    </w:p>
    <w:p w:rsidR="00B7214C" w:rsidRPr="00A37731" w:rsidRDefault="00B7214C" w:rsidP="00B7214C">
      <w:pPr>
        <w:spacing w:before="120" w:after="120"/>
        <w:jc w:val="both"/>
      </w:pPr>
      <w:r w:rsidRPr="00A37731">
        <w:t>Mais comment l'interlocuteur peut-il espérer obtenir une réponse cohérente si la compétence de l'énonciataire est déjà prédéterminée par sa position dans une tradition différente ? La compétence comm</w:t>
      </w:r>
      <w:r w:rsidRPr="00A37731">
        <w:t>u</w:t>
      </w:r>
      <w:r w:rsidRPr="00A37731">
        <w:t>nicationnelle s'insère dans un proce</w:t>
      </w:r>
      <w:r w:rsidRPr="00A37731">
        <w:t>s</w:t>
      </w:r>
      <w:r w:rsidRPr="00A37731">
        <w:t>sus social de transformation, et n'est pas simplement un mécanisme possédant des règles linguist</w:t>
      </w:r>
      <w:r w:rsidRPr="00A37731">
        <w:t>i</w:t>
      </w:r>
      <w:r w:rsidRPr="00A37731">
        <w:t>ques. Les acteurs che</w:t>
      </w:r>
      <w:r w:rsidRPr="00A37731">
        <w:t>r</w:t>
      </w:r>
      <w:r w:rsidRPr="00A37731">
        <w:t>chent une cohérence ou une compréhension communicatio</w:t>
      </w:r>
      <w:r w:rsidRPr="00A37731">
        <w:t>n</w:t>
      </w:r>
      <w:r w:rsidRPr="00A37731">
        <w:t xml:space="preserve">nelle dans l'horizon limité d'un monde vécu. « Leur monde vécu </w:t>
      </w:r>
      <w:r>
        <w:t>s'édifie à partir d'un arrière-</w:t>
      </w:r>
      <w:r w:rsidRPr="00A37731">
        <w:t>fond de convictions plus ou moins diffuses, qui n'est jamais problématique. » À l'intérieur des pr</w:t>
      </w:r>
      <w:r w:rsidRPr="00A37731">
        <w:t>o</w:t>
      </w:r>
      <w:r w:rsidRPr="00A37731">
        <w:t>cessus interprétatifs, les membres d'une collectivité délimitent un monde objectif unique et leur monde social face aux autres individus et groupes. « Le monde vécu engrange le travail d'interprétation effe</w:t>
      </w:r>
      <w:r w:rsidRPr="00A37731">
        <w:t>c</w:t>
      </w:r>
      <w:r w:rsidRPr="00A37731">
        <w:t>tué par les générations passées ; il est ce contrepoids conservateur face au risque de dissensus qui naît avec chaque procès d'intercompréhe</w:t>
      </w:r>
      <w:r w:rsidRPr="00A37731">
        <w:t>n</w:t>
      </w:r>
      <w:r w:rsidRPr="00A37731">
        <w:t>sion actuel. » Le stock culturel de savoir, maintenu dans l'image d</w:t>
      </w:r>
      <w:r w:rsidRPr="00A37731">
        <w:t>é</w:t>
      </w:r>
      <w:r w:rsidRPr="00A37731">
        <w:t>centrée du monde vécu, peut plus ou moins se rationaliser : « Plus est décentrée l'image du monde qui tient en réserve le stock culturel de savoir, moins le besoin d'entente est couvert a priori par un monde vécu résistant à toute critique ; et plus il est nécessaire que ce besoin d'entente soit satisfait par les interprétations que réalisent les partic</w:t>
      </w:r>
      <w:r w:rsidRPr="00A37731">
        <w:t>i</w:t>
      </w:r>
      <w:r w:rsidRPr="00A37731">
        <w:t>pants eux-mêmes</w:t>
      </w:r>
      <w:r>
        <w:t> </w:t>
      </w:r>
      <w:r>
        <w:rPr>
          <w:rStyle w:val="Appelnotedebasdep"/>
        </w:rPr>
        <w:footnoteReference w:id="103"/>
      </w:r>
      <w:r w:rsidRPr="00A37731">
        <w:t>. »</w:t>
      </w:r>
    </w:p>
    <w:p w:rsidR="00B7214C" w:rsidRDefault="00B7214C" w:rsidP="00B7214C">
      <w:pPr>
        <w:spacing w:before="120" w:after="120"/>
        <w:jc w:val="both"/>
      </w:pPr>
      <w:r w:rsidRPr="00A37731">
        <w:t>Habermas nous oblige à examiner de plus près l'organisation fo</w:t>
      </w:r>
      <w:r w:rsidRPr="00A37731">
        <w:t>r</w:t>
      </w:r>
      <w:r w:rsidRPr="00A37731">
        <w:t>melle et pragmatique de la langue comme discours ou « rationalité communicationnelle » qui maintient ensemble des « mondes vécus » distincts à l'intérieur d'un système social</w:t>
      </w:r>
      <w:r>
        <w:t> </w:t>
      </w:r>
      <w:r>
        <w:rPr>
          <w:rStyle w:val="Appelnotedebasdep"/>
        </w:rPr>
        <w:footnoteReference w:id="104"/>
      </w:r>
      <w:r w:rsidRPr="00A37731">
        <w:t>. Il récuse la thèse de Horkheimer et Adorno sur la di</w:t>
      </w:r>
      <w:r w:rsidRPr="00A37731">
        <w:t>a</w:t>
      </w:r>
      <w:r w:rsidRPr="00A37731">
        <w:t>lectique des Lumières ainsi que la critique de la réification de la production culturelle moderne</w:t>
      </w:r>
      <w:r>
        <w:t> </w:t>
      </w:r>
      <w:r>
        <w:rPr>
          <w:rStyle w:val="Appelnotedebasdep"/>
        </w:rPr>
        <w:footnoteReference w:id="105"/>
      </w:r>
      <w:r w:rsidRPr="00A37731">
        <w:t xml:space="preserve">. Il juge que la raison négative constitue « une négation </w:t>
      </w:r>
      <w:r w:rsidRPr="00021091">
        <w:rPr>
          <w:i/>
          <w:iCs/>
        </w:rPr>
        <w:t>ad hoc</w:t>
      </w:r>
      <w:r w:rsidRPr="00A37731">
        <w:t xml:space="preserve"> déterm</w:t>
      </w:r>
      <w:r w:rsidRPr="00A37731">
        <w:t>i</w:t>
      </w:r>
      <w:r w:rsidRPr="00A37731">
        <w:t>née ». Elle n'offre guère d'espoir d'échapper aux contraintes de la r</w:t>
      </w:r>
      <w:r w:rsidRPr="00A37731">
        <w:t>a</w:t>
      </w:r>
      <w:r w:rsidRPr="00A37731">
        <w:t>tionalité instrumentale. Elle réduit tellement la possibilité d'émancip</w:t>
      </w:r>
      <w:r w:rsidRPr="00A37731">
        <w:t>a</w:t>
      </w:r>
      <w:r w:rsidRPr="00A37731">
        <w:t>tion qu'on aboutit inévitablement à « un pessimisme global ». La pr</w:t>
      </w:r>
      <w:r w:rsidRPr="00A37731">
        <w:t>o</w:t>
      </w:r>
      <w:r w:rsidRPr="00A37731">
        <w:t>blématique de Adorno et Horkheimer n'offrait aucune i</w:t>
      </w:r>
      <w:r w:rsidRPr="00A37731">
        <w:t>s</w:t>
      </w:r>
      <w:r w:rsidRPr="00A37731">
        <w:t>sue « à un scepticisme effréné vis-à-vis de la raison</w:t>
      </w:r>
      <w:r>
        <w:t> </w:t>
      </w:r>
      <w:r>
        <w:rPr>
          <w:rStyle w:val="Appelnotedebasdep"/>
        </w:rPr>
        <w:footnoteReference w:id="106"/>
      </w:r>
      <w:r w:rsidRPr="00A37731">
        <w:t> ». Ce rejet de la raison au nom de l'esthétique de la négation démontre, selon Habermas, les l</w:t>
      </w:r>
      <w:r w:rsidRPr="00A37731">
        <w:t>i</w:t>
      </w:r>
      <w:r w:rsidRPr="00A37731">
        <w:t>mites d'une démarche fondée sur l'historicisme (volonté du sujet eff</w:t>
      </w:r>
      <w:r w:rsidRPr="00A37731">
        <w:t>a</w:t>
      </w:r>
      <w:r w:rsidRPr="00A37731">
        <w:t>cée de façon systémique par les institutions au pouvoir) et la sociol</w:t>
      </w:r>
      <w:r w:rsidRPr="00A37731">
        <w:t>o</w:t>
      </w:r>
      <w:r w:rsidRPr="00A37731">
        <w:t>gie de la con</w:t>
      </w:r>
      <w:r w:rsidRPr="00A37731">
        <w:t>s</w:t>
      </w:r>
      <w:r w:rsidRPr="00A37731">
        <w:t>cience (conscience qui sous-tend le discours manifeste). Pour bâtir une nouvelle théorie critique, Habermas propose plutôt de recourir à la raison, en passant du paradigme de la conscience et de l'historici</w:t>
      </w:r>
      <w:r w:rsidRPr="00A37731">
        <w:t>s</w:t>
      </w:r>
      <w:r w:rsidRPr="00A37731">
        <w:t>me à celui de la langue et d'une sociologie de la raison communicationnelle. Ses travaux sont centrés sur le médium repr</w:t>
      </w:r>
      <w:r w:rsidRPr="00A37731">
        <w:t>o</w:t>
      </w:r>
      <w:r w:rsidRPr="00A37731">
        <w:t>ducteur de l'a</w:t>
      </w:r>
      <w:r w:rsidRPr="00A37731">
        <w:t>s</w:t>
      </w:r>
      <w:r w:rsidRPr="00A37731">
        <w:t>pect pragmatique et universel de la compréhension et les tentatives d'« agir co</w:t>
      </w:r>
      <w:r w:rsidRPr="00A37731">
        <w:t>m</w:t>
      </w:r>
      <w:r w:rsidRPr="00A37731">
        <w:t>municationnel » des interlocuteurs.</w:t>
      </w:r>
    </w:p>
    <w:p w:rsidR="00B7214C" w:rsidRDefault="00B7214C" w:rsidP="00B7214C">
      <w:pPr>
        <w:spacing w:before="120" w:after="120"/>
        <w:jc w:val="both"/>
      </w:pPr>
      <w:r>
        <w:t>[208]</w:t>
      </w:r>
    </w:p>
    <w:p w:rsidR="00B7214C" w:rsidRPr="00A37731" w:rsidRDefault="00B7214C" w:rsidP="00B7214C">
      <w:pPr>
        <w:spacing w:before="120" w:after="120"/>
        <w:jc w:val="both"/>
      </w:pPr>
      <w:r w:rsidRPr="00A37731">
        <w:t>Si Habermas réussit à greffer la théorie du discours au courant de Francfort, c'est en abandonnant la théorie esthétique de ce dernier. Il faut toutefois veiller à ce que le renversement de la sociologie de la conscience ne néglige pas la dimension cré</w:t>
      </w:r>
      <w:r w:rsidRPr="00A37731">
        <w:t>a</w:t>
      </w:r>
      <w:r w:rsidRPr="00A37731">
        <w:t>trice de l'énoncé. Je vais maintenant considérer ce qu'implique le changement théorique produit par le passage d'une sociol</w:t>
      </w:r>
      <w:r w:rsidRPr="00A37731">
        <w:t>o</w:t>
      </w:r>
      <w:r w:rsidRPr="00A37731">
        <w:t>gie de la conscience, non à une sociologie de la communic</w:t>
      </w:r>
      <w:r w:rsidRPr="00A37731">
        <w:t>a</w:t>
      </w:r>
      <w:r w:rsidRPr="00A37731">
        <w:t>tion ou à une sémiologie, mais à une sociologie de la nature dialogique de tout énoncé.</w:t>
      </w:r>
    </w:p>
    <w:p w:rsidR="00B7214C" w:rsidRDefault="00B7214C" w:rsidP="00B7214C">
      <w:pPr>
        <w:spacing w:before="120" w:after="120"/>
        <w:jc w:val="both"/>
      </w:pPr>
      <w:r>
        <w:br w:type="page"/>
      </w:r>
    </w:p>
    <w:p w:rsidR="00B7214C" w:rsidRDefault="00B7214C" w:rsidP="00B7214C">
      <w:pPr>
        <w:pStyle w:val="a"/>
      </w:pPr>
      <w:r w:rsidRPr="00A37731">
        <w:t>BAKHTINE :</w:t>
      </w:r>
      <w:r>
        <w:br/>
      </w:r>
      <w:r w:rsidRPr="00A37731">
        <w:t>L'INTERSUBJECTIVITÉ ET L'IDENTITÉ TRI</w:t>
      </w:r>
      <w:r w:rsidRPr="00A37731">
        <w:t>A</w:t>
      </w:r>
      <w:r w:rsidRPr="00A37731">
        <w:t>DIQUE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Bakhtine s'intéresse lui aussi à la situation d'intersubject</w:t>
      </w:r>
      <w:r w:rsidRPr="00A37731">
        <w:t>i</w:t>
      </w:r>
      <w:r w:rsidRPr="00A37731">
        <w:t>vité mais dans une perspective existentielle et dans un paradigme de la philos</w:t>
      </w:r>
      <w:r w:rsidRPr="00A37731">
        <w:t>o</w:t>
      </w:r>
      <w:r w:rsidRPr="00A37731">
        <w:t>phie esthétique</w:t>
      </w:r>
      <w:r>
        <w:t> </w:t>
      </w:r>
      <w:r>
        <w:rPr>
          <w:rStyle w:val="Appelnotedebasdep"/>
        </w:rPr>
        <w:footnoteReference w:id="107"/>
      </w:r>
      <w:r w:rsidRPr="00A37731">
        <w:t>. Comme Mead, Bakhtine croit que le sujet devient sujet à partir de sa relation avec autrui. Il considère que le sujet che</w:t>
      </w:r>
      <w:r w:rsidRPr="00A37731">
        <w:t>r</w:t>
      </w:r>
      <w:r w:rsidRPr="00A37731">
        <w:t>che à se voir dans le regard de l'autre. Par contre, à la différence de Mead et d'Habermas, il soutient qu'« après s'être vu soi-même par les yeux d'un autre, on opère toujours un retour en soi-même et l'évén</w:t>
      </w:r>
      <w:r w:rsidRPr="00A37731">
        <w:t>e</w:t>
      </w:r>
      <w:r w:rsidRPr="00A37731">
        <w:t>ment ultime, celui qui, dirait-on, résume le tout, s'accomplit to</w:t>
      </w:r>
      <w:r w:rsidRPr="00A37731">
        <w:t>u</w:t>
      </w:r>
      <w:r w:rsidRPr="00A37731">
        <w:t>jours dans les catégories de sa propre vie à soi</w:t>
      </w:r>
      <w:r>
        <w:t> </w:t>
      </w:r>
      <w:r>
        <w:rPr>
          <w:rStyle w:val="Appelnotedebasdep"/>
        </w:rPr>
        <w:footnoteReference w:id="108"/>
      </w:r>
      <w:r w:rsidRPr="00A37731">
        <w:t> ». Dans un de ses pr</w:t>
      </w:r>
      <w:r w:rsidRPr="00A37731">
        <w:t>e</w:t>
      </w:r>
      <w:r w:rsidRPr="00A37731">
        <w:t>miers essais, il propose une étude du rapport entre l'a</w:t>
      </w:r>
      <w:r w:rsidRPr="00A37731">
        <w:t>u</w:t>
      </w:r>
      <w:r w:rsidRPr="00A37731">
        <w:t>teur et le héros qui explore l'éthique phénoménologique du rapport soi-autrui</w:t>
      </w:r>
      <w:r>
        <w:t> </w:t>
      </w:r>
      <w:r>
        <w:rPr>
          <w:rStyle w:val="Appelnotedebasdep"/>
        </w:rPr>
        <w:footnoteReference w:id="109"/>
      </w:r>
      <w:r w:rsidRPr="00A37731">
        <w:t>. Il part de la simple observation que chaque sujet occupe un espace un</w:t>
      </w:r>
      <w:r w:rsidRPr="00A37731">
        <w:t>i</w:t>
      </w:r>
      <w:r w:rsidRPr="00A37731">
        <w:t>que et que chaque sujet est en quelque sorte physiquement irrempl</w:t>
      </w:r>
      <w:r w:rsidRPr="00A37731">
        <w:t>a</w:t>
      </w:r>
      <w:r w:rsidRPr="00A37731">
        <w:t>çable</w:t>
      </w:r>
      <w:r>
        <w:t> </w:t>
      </w:r>
      <w:r>
        <w:rPr>
          <w:rStyle w:val="Appelnotedebasdep"/>
        </w:rPr>
        <w:footnoteReference w:id="110"/>
      </w:r>
      <w:r w:rsidRPr="00A37731">
        <w:t>. Le sujet ou l'a</w:t>
      </w:r>
      <w:r w:rsidRPr="00A37731">
        <w:t>u</w:t>
      </w:r>
      <w:r w:rsidRPr="00A37731">
        <w:t>teur entre dans l'événement éthique avec un surplus de vision. Ceci fait que le sujet est toujours à l'extérieur de quelqu'un - ce que Bakhtine a nommé une exotopie.</w:t>
      </w:r>
    </w:p>
    <w:p w:rsidR="00B7214C" w:rsidRPr="00A37731" w:rsidRDefault="00B7214C" w:rsidP="00B7214C">
      <w:pPr>
        <w:spacing w:before="120" w:after="120"/>
        <w:jc w:val="both"/>
      </w:pPr>
      <w:r w:rsidRPr="00A37731">
        <w:t>Il est frappant de voir que le jeune Bakhtine définit une théorie de l'intersubjectivité qui n'efface ni la subjectivité ni le concept de l'éth</w:t>
      </w:r>
      <w:r w:rsidRPr="00A37731">
        <w:t>i</w:t>
      </w:r>
      <w:r w:rsidRPr="00A37731">
        <w:t>que de la discussion. Pour Bakhtine l'éthique est à la fois vécue et ra</w:t>
      </w:r>
      <w:r w:rsidRPr="00A37731">
        <w:t>i</w:t>
      </w:r>
      <w:r w:rsidRPr="00A37731">
        <w:t>sonnée. L'éthique relève du jugement neutre, « indifférent à la perso</w:t>
      </w:r>
      <w:r w:rsidRPr="00A37731">
        <w:t>n</w:t>
      </w:r>
      <w:r w:rsidRPr="00A37731">
        <w:t>ne et à l'événement</w:t>
      </w:r>
      <w:r>
        <w:t> </w:t>
      </w:r>
      <w:r>
        <w:rPr>
          <w:rStyle w:val="Appelnotedebasdep"/>
        </w:rPr>
        <w:footnoteReference w:id="111"/>
      </w:r>
      <w:r w:rsidRPr="00A37731">
        <w:t> ». Cette « raison pure », par contre, est toujours impliquée dans le contexte ou la situation pragmatique de l'intersu</w:t>
      </w:r>
      <w:r w:rsidRPr="00A37731">
        <w:t>b</w:t>
      </w:r>
      <w:r w:rsidRPr="00A37731">
        <w:t>jectivité. Je n'ai d'existence ni éthique ni esthétique sans l'autre. L'e</w:t>
      </w:r>
      <w:r w:rsidRPr="00A37731">
        <w:t>n</w:t>
      </w:r>
      <w:r w:rsidRPr="00A37731">
        <w:t>gagement subjectif et le raisonnement objectif de l'éthique de la di</w:t>
      </w:r>
      <w:r w:rsidRPr="00A37731">
        <w:t>s</w:t>
      </w:r>
      <w:r w:rsidRPr="00A37731">
        <w:t>cussion sont également discernés ici, quoique dans une esthétique ph</w:t>
      </w:r>
      <w:r w:rsidRPr="00A37731">
        <w:t>i</w:t>
      </w:r>
      <w:r w:rsidRPr="00A37731">
        <w:t>losophique et pas encore dans une théorie dialogique. Bakhtine reco</w:t>
      </w:r>
      <w:r w:rsidRPr="00A37731">
        <w:t>n</w:t>
      </w:r>
      <w:r w:rsidRPr="00A37731">
        <w:t>naît un réseau de sentiments moraux par son concept du « transgrédient »</w:t>
      </w:r>
      <w:r>
        <w:t> </w:t>
      </w:r>
      <w:r>
        <w:rPr>
          <w:rStyle w:val="Appelnotedebasdep"/>
        </w:rPr>
        <w:footnoteReference w:id="112"/>
      </w:r>
      <w:r w:rsidRPr="00A37731">
        <w:t xml:space="preserve"> et il relie l'éthique et l'action à un moment exi</w:t>
      </w:r>
      <w:r w:rsidRPr="00A37731">
        <w:t>s</w:t>
      </w:r>
      <w:r w:rsidRPr="00A37731">
        <w:t>tentiel d'achèvement.</w:t>
      </w:r>
    </w:p>
    <w:p w:rsidR="00B7214C" w:rsidRPr="00A37731" w:rsidRDefault="00B7214C" w:rsidP="00B7214C">
      <w:pPr>
        <w:spacing w:before="120" w:after="120"/>
        <w:jc w:val="both"/>
      </w:pPr>
      <w:r w:rsidRPr="00A37731">
        <w:t>La subjectivité ou l'être intérieur « prend sa forme soit dans la conscience que j'ai de moi-même, soit dans la con</w:t>
      </w:r>
      <w:r w:rsidRPr="00A37731">
        <w:t>s</w:t>
      </w:r>
      <w:r>
        <w:t>cience que j'ai de l'au</w:t>
      </w:r>
      <w:r w:rsidRPr="00A37731">
        <w:t>tre</w:t>
      </w:r>
      <w:r>
        <w:t> </w:t>
      </w:r>
      <w:r>
        <w:rPr>
          <w:rStyle w:val="Appelnotedebasdep"/>
        </w:rPr>
        <w:footnoteReference w:id="113"/>
      </w:r>
      <w:r w:rsidRPr="00A37731">
        <w:t> ».</w:t>
      </w:r>
      <w:r>
        <w:t xml:space="preserve"> [209]</w:t>
      </w:r>
      <w:r w:rsidRPr="00A37731">
        <w:t xml:space="preserve"> De ce double rapport émerge une identité triadique du sujet chez Bakhtine où il distingue : i) </w:t>
      </w:r>
      <w:r w:rsidRPr="008245FF">
        <w:rPr>
          <w:i/>
          <w:iCs/>
        </w:rPr>
        <w:t>le je pour moi-même</w:t>
      </w:r>
      <w:r w:rsidRPr="00A37731">
        <w:t xml:space="preserve"> - co</w:t>
      </w:r>
      <w:r w:rsidRPr="00A37731">
        <w:t>m</w:t>
      </w:r>
      <w:r w:rsidRPr="00A37731">
        <w:t xml:space="preserve">ment je me vois ; ii) </w:t>
      </w:r>
      <w:r w:rsidRPr="008245FF">
        <w:rPr>
          <w:i/>
          <w:iCs/>
        </w:rPr>
        <w:t>le je pour autrui</w:t>
      </w:r>
      <w:r w:rsidRPr="00A37731">
        <w:t xml:space="preserve"> - comment j'imagine que l'autre m'im</w:t>
      </w:r>
      <w:r w:rsidRPr="00A37731">
        <w:t>a</w:t>
      </w:r>
      <w:r w:rsidRPr="00A37731">
        <w:t xml:space="preserve">gine ; et iii) </w:t>
      </w:r>
      <w:r w:rsidRPr="008245FF">
        <w:rPr>
          <w:i/>
          <w:iCs/>
        </w:rPr>
        <w:t>l'autrui pour moi-même</w:t>
      </w:r>
      <w:r w:rsidRPr="00A37731">
        <w:t xml:space="preserve"> - comment (je veux que) les autres possibles me voient. Bak</w:t>
      </w:r>
      <w:r w:rsidRPr="00A37731">
        <w:t>h</w:t>
      </w:r>
      <w:r w:rsidRPr="00A37731">
        <w:t>tine explore ces trois moments de la vision « que nous avons de notre aspect physique lorsque nous nous regardons dans le miroir. » D'abord, nous ne nous voyons pas dire</w:t>
      </w:r>
      <w:r w:rsidRPr="00A37731">
        <w:t>c</w:t>
      </w:r>
      <w:r w:rsidRPr="00A37731">
        <w:t>tement. « Visiblement, nous nous voyons sans médiation [mais] nous restons en nous-mêmes et ne voyons que notre reflet</w:t>
      </w:r>
      <w:r>
        <w:t> </w:t>
      </w:r>
      <w:r>
        <w:rPr>
          <w:rStyle w:val="Appelnotedebasdep"/>
        </w:rPr>
        <w:footnoteReference w:id="114"/>
      </w:r>
      <w:r w:rsidRPr="00A37731">
        <w:t>. » Le</w:t>
      </w:r>
      <w:r>
        <w:t xml:space="preserve"> </w:t>
      </w:r>
      <w:r>
        <w:rPr>
          <w:i/>
        </w:rPr>
        <w:t>je</w:t>
      </w:r>
      <w:r w:rsidRPr="00A37731">
        <w:t xml:space="preserve"> </w:t>
      </w:r>
      <w:r w:rsidRPr="008245FF">
        <w:rPr>
          <w:i/>
          <w:iCs/>
        </w:rPr>
        <w:t>pour moi-même</w:t>
      </w:r>
      <w:r w:rsidRPr="00A37731">
        <w:t xml:space="preserve"> existe dans cet espace intérieur où l'on fait d'abord notre propre jugement de valeur sur l'image. Dans ce jugement « nous nous identifions à un autre possible, indéterminé, à l'aide duquel nous e</w:t>
      </w:r>
      <w:r w:rsidRPr="00A37731">
        <w:t>s</w:t>
      </w:r>
      <w:r w:rsidRPr="00A37731">
        <w:t xml:space="preserve">sayons de trouver une position de valeurs par rapport à nous-mêmes ». </w:t>
      </w:r>
      <w:r w:rsidRPr="008245FF">
        <w:t>Le je pour autrui</w:t>
      </w:r>
      <w:r w:rsidRPr="00A37731">
        <w:t xml:space="preserve"> comprend l'anticipation d'une évaluation de l'autre possible. Par contre, c'est dans la relation à l'autre possible et à ce que je veux qu'il imagine de moi dans son évaluation, que se di</w:t>
      </w:r>
      <w:r w:rsidRPr="00A37731">
        <w:t>s</w:t>
      </w:r>
      <w:r w:rsidRPr="00A37731">
        <w:t xml:space="preserve">tingue </w:t>
      </w:r>
      <w:r w:rsidRPr="008245FF">
        <w:rPr>
          <w:i/>
          <w:iCs/>
        </w:rPr>
        <w:t>l'autrui pour moi-même.</w:t>
      </w:r>
      <w:r w:rsidRPr="00A37731">
        <w:t xml:space="preserve"> « Nous souhaiterions voir sur notre visage, non pas pour nous-mêmes, bien entendu, mais pour les autres. »</w:t>
      </w:r>
    </w:p>
    <w:p w:rsidR="00B7214C" w:rsidRPr="00A37731" w:rsidRDefault="00B7214C" w:rsidP="00B7214C">
      <w:pPr>
        <w:spacing w:before="120" w:after="120"/>
        <w:jc w:val="both"/>
      </w:pPr>
      <w:r w:rsidRPr="00A37731">
        <w:t>Bakhtine pourrait ajouter au concept de l'activité communicatio</w:t>
      </w:r>
      <w:r w:rsidRPr="00A37731">
        <w:t>n</w:t>
      </w:r>
      <w:r w:rsidRPr="00A37731">
        <w:t>nelle l'idée que le sujet de son action s'inscrit avant tout « dans un monde d'un futur intérieurement présumé ». On accorde ainsi un ce</w:t>
      </w:r>
      <w:r w:rsidRPr="00A37731">
        <w:t>r</w:t>
      </w:r>
      <w:r w:rsidRPr="00A37731">
        <w:t>tain rôle au raisonnement. Mais Bakhtine s'intéresse davantage à l'a</w:t>
      </w:r>
      <w:r w:rsidRPr="00A37731">
        <w:t>n</w:t>
      </w:r>
      <w:r w:rsidRPr="00A37731">
        <w:t>ticipation de réponse entre les s</w:t>
      </w:r>
      <w:r w:rsidRPr="00A37731">
        <w:t>u</w:t>
      </w:r>
      <w:r w:rsidRPr="00A37731">
        <w:t>jets qu'à l'accord qui résult</w:t>
      </w:r>
      <w:r>
        <w:t>e de leur interaction. C'est-à-</w:t>
      </w:r>
      <w:r w:rsidRPr="00A37731">
        <w:t xml:space="preserve">dire que le sujet </w:t>
      </w:r>
      <w:r w:rsidRPr="008245FF">
        <w:rPr>
          <w:i/>
          <w:iCs/>
        </w:rPr>
        <w:t>(le je pour l'autre)</w:t>
      </w:r>
      <w:r w:rsidRPr="00A37731">
        <w:t xml:space="preserve"> de l'activité communicatio</w:t>
      </w:r>
      <w:r w:rsidRPr="00A37731">
        <w:t>n</w:t>
      </w:r>
      <w:r w:rsidRPr="00A37731">
        <w:t>nelle peut séparer le fondement rationnel de l'action des v</w:t>
      </w:r>
      <w:r w:rsidRPr="00A37731">
        <w:t>a</w:t>
      </w:r>
      <w:r w:rsidRPr="00A37731">
        <w:t>leurs éthiques et esthétiques. C'est dans l'espace entre raison et sentiment que le dialogue se déroule entre les acteurs. L'e</w:t>
      </w:r>
      <w:r w:rsidRPr="00A37731">
        <w:t>x</w:t>
      </w:r>
      <w:r w:rsidRPr="00A37731">
        <w:t>tériorité physique du corps, ses frontières extérieures et sa configuration sp</w:t>
      </w:r>
      <w:r w:rsidRPr="00A37731">
        <w:t>a</w:t>
      </w:r>
      <w:r w:rsidRPr="00A37731">
        <w:t>tiale se situent sur le plan éthique dans ce sens que le corps s'inscrit dans l'action.</w:t>
      </w:r>
    </w:p>
    <w:p w:rsidR="00B7214C" w:rsidRDefault="00B7214C" w:rsidP="00B7214C">
      <w:pPr>
        <w:spacing w:before="120" w:after="120"/>
        <w:jc w:val="both"/>
      </w:pPr>
      <w:r w:rsidRPr="00A37731">
        <w:t xml:space="preserve">Bakhtine s'oppose à une théorie de la langue et de l'énoncé fondée sur « l'intériorité absolue » du </w:t>
      </w:r>
      <w:r w:rsidRPr="008245FF">
        <w:rPr>
          <w:i/>
          <w:iCs/>
        </w:rPr>
        <w:t>je pour moi-même.</w:t>
      </w:r>
      <w:r w:rsidRPr="00A37731">
        <w:t xml:space="preserve"> Il refuse le psych</w:t>
      </w:r>
      <w:r w:rsidRPr="00A37731">
        <w:t>o</w:t>
      </w:r>
      <w:r w:rsidRPr="00A37731">
        <w:t>logisme qu'une telle position implique. Il r</w:t>
      </w:r>
      <w:r w:rsidRPr="00A37731">
        <w:t>e</w:t>
      </w:r>
      <w:r w:rsidRPr="00A37731">
        <w:t>met en question également le traitement uniquement objectif de la langue. Chaque énoncé antic</w:t>
      </w:r>
      <w:r w:rsidRPr="00A37731">
        <w:t>i</w:t>
      </w:r>
      <w:r w:rsidRPr="00A37731">
        <w:t>pe la réponse de l'auditeur ou de l'énonciataire, « l'autre » imaginé dans la formation de n'importe quel énoncé, écrit, parlé, radio ou tél</w:t>
      </w:r>
      <w:r w:rsidRPr="00A37731">
        <w:t>é</w:t>
      </w:r>
      <w:r w:rsidRPr="00A37731">
        <w:t>diffusé. Cette attente n'est pas nécessairement rationnelle comme chez H</w:t>
      </w:r>
      <w:r w:rsidRPr="00A37731">
        <w:t>a</w:t>
      </w:r>
      <w:r w:rsidRPr="00A37731">
        <w:t xml:space="preserve">bermas. Bakhtine souligne que la compréhension « s'accompagne toujours d'une </w:t>
      </w:r>
      <w:r w:rsidRPr="008245FF">
        <w:rPr>
          <w:i/>
          <w:iCs/>
        </w:rPr>
        <w:t xml:space="preserve">responsivité active </w:t>
      </w:r>
      <w:r w:rsidRPr="00A37731">
        <w:t>(dont le degré varie beaucoup) ; to</w:t>
      </w:r>
      <w:r w:rsidRPr="00A37731">
        <w:t>u</w:t>
      </w:r>
      <w:r w:rsidRPr="00A37731">
        <w:t>te compréhension est prégnante de réponse et, sous une forme ou sous une autre, la produit obligatoirement : l'auditeur devient le loc</w:t>
      </w:r>
      <w:r w:rsidRPr="00A37731">
        <w:t>u</w:t>
      </w:r>
      <w:r w:rsidRPr="00A37731">
        <w:t>teur</w:t>
      </w:r>
      <w:r>
        <w:t> </w:t>
      </w:r>
      <w:r>
        <w:rPr>
          <w:rStyle w:val="Appelnotedebasdep"/>
        </w:rPr>
        <w:footnoteReference w:id="115"/>
      </w:r>
      <w:r w:rsidRPr="00A37731">
        <w:t> ». Selon l'approche dialogique, la langue est formée par le triangle en mo</w:t>
      </w:r>
      <w:r w:rsidRPr="00A37731">
        <w:t>u</w:t>
      </w:r>
      <w:r w:rsidRPr="00A37731">
        <w:t>vement que dessinent le rapport entre la responsabilité de l'a</w:t>
      </w:r>
      <w:r w:rsidRPr="00A37731">
        <w:t>u</w:t>
      </w:r>
      <w:r w:rsidRPr="00A37731">
        <w:t>teur et son attente d'une réponse de l'énonciataire à propos de l'événement ou de l'objet auquel l'énoncé se réfère</w:t>
      </w:r>
      <w:r>
        <w:t> </w:t>
      </w:r>
      <w:r>
        <w:rPr>
          <w:rStyle w:val="Appelnotedebasdep"/>
        </w:rPr>
        <w:footnoteReference w:id="116"/>
      </w:r>
      <w:r w:rsidRPr="00A37731">
        <w:t>.</w:t>
      </w:r>
    </w:p>
    <w:p w:rsidR="00B7214C" w:rsidRPr="00A37731" w:rsidRDefault="00B7214C" w:rsidP="00B7214C">
      <w:pPr>
        <w:spacing w:before="120" w:after="120"/>
        <w:jc w:val="both"/>
      </w:pPr>
      <w:r>
        <w:t>[210]</w:t>
      </w:r>
    </w:p>
    <w:p w:rsidR="00B7214C" w:rsidRPr="00A37731" w:rsidRDefault="00B7214C" w:rsidP="00B7214C">
      <w:pPr>
        <w:spacing w:before="120" w:after="120"/>
        <w:jc w:val="both"/>
      </w:pPr>
      <w:r w:rsidRPr="00A37731">
        <w:t>Or, sur le plan du discours social, dans chaque culture primaire ou monde vécu, c'est le cadre dialogique, au sens le plus étendu, qui fo</w:t>
      </w:r>
      <w:r w:rsidRPr="00A37731">
        <w:t>r</w:t>
      </w:r>
      <w:r w:rsidRPr="00A37731">
        <w:t>me l'ensemble des énoncés où tout interl</w:t>
      </w:r>
      <w:r w:rsidRPr="00A37731">
        <w:t>o</w:t>
      </w:r>
      <w:r w:rsidRPr="00A37731">
        <w:t>cuteur attend, à un nombre infini de niveaux, une réponse de l'autre. La théorie du dialogue chez Bakhtine ne s'inscrit pas dans une sociologie du consensus où la vérité est prise pour une réalité que l'acteur lui-même pourrait posséder. En ceci elle se situe à l'opposé de la théorie de « l'agir communicatio</w:t>
      </w:r>
      <w:r w:rsidRPr="00A37731">
        <w:t>n</w:t>
      </w:r>
      <w:r w:rsidRPr="00A37731">
        <w:t>nel » émise par Habermas. La pratique dialogique part du principe que la vérité est quelque chose qu'il faut toujours chercher en s'efforçant de surmonter les différents points de vue dans la vie sociale. La thé</w:t>
      </w:r>
      <w:r w:rsidRPr="00A37731">
        <w:t>o</w:t>
      </w:r>
      <w:r w:rsidRPr="00A37731">
        <w:t>rie dialogique vise à expliquer les processus du dialogisme dans la culture, l'affrontement de diverses pratiques discursives et de différe</w:t>
      </w:r>
      <w:r w:rsidRPr="00A37731">
        <w:t>n</w:t>
      </w:r>
      <w:r w:rsidRPr="00A37731">
        <w:t>tes perspectives dans la même société ou entre sociétés, sans nécessa</w:t>
      </w:r>
      <w:r w:rsidRPr="00A37731">
        <w:t>i</w:t>
      </w:r>
      <w:r w:rsidRPr="00A37731">
        <w:t>rement chercher à obtenir un consensus. « Il n'y a pas de mot qui soit le premier ou le dernier, et il n'y a pas de limites au contexte dialog</w:t>
      </w:r>
      <w:r w:rsidRPr="00A37731">
        <w:t>i</w:t>
      </w:r>
      <w:r w:rsidRPr="00A37731">
        <w:t>que</w:t>
      </w:r>
      <w:r>
        <w:t> </w:t>
      </w:r>
      <w:r>
        <w:rPr>
          <w:rStyle w:val="Appelnotedebasdep"/>
        </w:rPr>
        <w:footnoteReference w:id="117"/>
      </w:r>
      <w:r>
        <w:t>.</w:t>
      </w:r>
      <w:r w:rsidRPr="00A37731">
        <w:t> »</w:t>
      </w:r>
    </w:p>
    <w:p w:rsidR="00B7214C" w:rsidRDefault="00B7214C" w:rsidP="00B7214C">
      <w:pPr>
        <w:spacing w:before="120" w:after="120"/>
        <w:jc w:val="both"/>
      </w:pPr>
      <w:r w:rsidRPr="00A37731">
        <w:t>Enfin, l'interlocuteur ou l'auteur des énoncés n'est jamais leur pr</w:t>
      </w:r>
      <w:r w:rsidRPr="00A37731">
        <w:t>o</w:t>
      </w:r>
      <w:r w:rsidRPr="00A37731">
        <w:t>priétaire définitif, car le dialogue n'est jamais fermé. Un mot énoncé, dit Bakhtine, est toujours la moitié de que</w:t>
      </w:r>
      <w:r w:rsidRPr="00A37731">
        <w:t>l</w:t>
      </w:r>
      <w:r w:rsidRPr="00A37731">
        <w:t>qu'un d'autre et est donc peuplé, voire surpeuplé, par les i</w:t>
      </w:r>
      <w:r w:rsidRPr="00A37731">
        <w:t>n</w:t>
      </w:r>
      <w:r w:rsidRPr="00A37731">
        <w:t>tentions des autres. « Tout mot de son propre contexte provient d'un autre contexte, déjà marqué par l'i</w:t>
      </w:r>
      <w:r w:rsidRPr="00A37731">
        <w:t>n</w:t>
      </w:r>
      <w:r w:rsidRPr="00A37731">
        <w:t>terprétation d'autrui. Sa pensée ne rencontre que des mots déjà o</w:t>
      </w:r>
      <w:r w:rsidRPr="00A37731">
        <w:t>c</w:t>
      </w:r>
      <w:r w:rsidRPr="00A37731">
        <w:t>cupés. Il les reçoit par la voix d'autrui, remplis de la voix d'a</w:t>
      </w:r>
      <w:r w:rsidRPr="00A37731">
        <w:t>u</w:t>
      </w:r>
      <w:r w:rsidRPr="00A37731">
        <w:t>trui</w:t>
      </w:r>
      <w:r>
        <w:t> </w:t>
      </w:r>
      <w:r>
        <w:rPr>
          <w:rStyle w:val="Appelnotedebasdep"/>
        </w:rPr>
        <w:footnoteReference w:id="118"/>
      </w:r>
      <w:r>
        <w:t>.</w:t>
      </w:r>
      <w:r w:rsidRPr="00A37731">
        <w:t> » Pour Bakhtine, la définition de « l'agir communicationnel », ou la la</w:t>
      </w:r>
      <w:r w:rsidRPr="00A37731">
        <w:t>n</w:t>
      </w:r>
      <w:r w:rsidRPr="00A37731">
        <w:t>gue vue comme pragmatique universelle, ne rend pas compte de cette altérité. Comme pour Habermas, la langue pour Bakhtine se réalise à travers l'interaction sociale des locuteurs dans et entre des mondes vécus. Selon Bakhtine tout</w:t>
      </w:r>
      <w:r w:rsidRPr="00A37731">
        <w:t>e</w:t>
      </w:r>
      <w:r w:rsidRPr="00A37731">
        <w:t>fois, cette perspective comporte uniquement un niveau d'échange d'informations et ne révèle pas la nature dialog</w:t>
      </w:r>
      <w:r w:rsidRPr="00A37731">
        <w:t>i</w:t>
      </w:r>
      <w:r w:rsidRPr="00A37731">
        <w:t>que du sujet transindividuel. Pour le montrer, il se réfère au mot énoncé, à la plus petite unité de sens dans la langue, qui poss</w:t>
      </w:r>
      <w:r w:rsidRPr="00A37731">
        <w:t>è</w:t>
      </w:r>
      <w:r w:rsidRPr="00A37731">
        <w:t>de une pureté sémiotique et forme le dispositif le plus se</w:t>
      </w:r>
      <w:r w:rsidRPr="00A37731">
        <w:t>n</w:t>
      </w:r>
      <w:r w:rsidRPr="00A37731">
        <w:t>sible pour créer le sens. Le mot fait partie du dialogue entre les interlocuteurs, mais ceux-ci peuvent toujours l'intérioriser. Neutre au sens linguist</w:t>
      </w:r>
      <w:r w:rsidRPr="00A37731">
        <w:t>i</w:t>
      </w:r>
      <w:r w:rsidRPr="00A37731">
        <w:t>que, le mot est obligatoirement présent dans tout acte de conscience et ne se situe jamais en d</w:t>
      </w:r>
      <w:r w:rsidRPr="00A37731">
        <w:t>e</w:t>
      </w:r>
      <w:r w:rsidRPr="00A37731">
        <w:t>hors du symbolique.</w:t>
      </w:r>
    </w:p>
    <w:p w:rsidR="00B7214C" w:rsidRPr="00A37731" w:rsidRDefault="00B7214C" w:rsidP="00B7214C">
      <w:pPr>
        <w:spacing w:before="120" w:after="120"/>
        <w:jc w:val="both"/>
      </w:pPr>
    </w:p>
    <w:p w:rsidR="00B7214C" w:rsidRPr="00A37731" w:rsidRDefault="00B7214C" w:rsidP="00B7214C">
      <w:pPr>
        <w:pStyle w:val="a"/>
      </w:pPr>
      <w:r w:rsidRPr="001A18B6">
        <w:t>CONCLUSION</w:t>
      </w:r>
    </w:p>
    <w:p w:rsidR="00B7214C" w:rsidRDefault="00B7214C" w:rsidP="00B7214C">
      <w:pPr>
        <w:spacing w:before="120" w:after="120"/>
        <w:jc w:val="both"/>
      </w:pPr>
    </w:p>
    <w:p w:rsidR="00B7214C" w:rsidRDefault="00B7214C" w:rsidP="00B7214C">
      <w:pPr>
        <w:spacing w:before="120" w:after="120"/>
        <w:jc w:val="both"/>
      </w:pPr>
      <w:r w:rsidRPr="00A37731">
        <w:t>J'ai considéré ici deux problématiques de façon parallèle, tout en proposant que la théorie du dialogue chez Bakhtine peut combler l'i</w:t>
      </w:r>
      <w:r w:rsidRPr="00A37731">
        <w:t>n</w:t>
      </w:r>
      <w:r w:rsidRPr="00A37731">
        <w:t>suffisance du concept de l'agir communic</w:t>
      </w:r>
      <w:r w:rsidRPr="00A37731">
        <w:t>a</w:t>
      </w:r>
      <w:r w:rsidRPr="00A37731">
        <w:t>tionnel chez Habermas. On peut en déduire que, pour Bakht</w:t>
      </w:r>
      <w:r w:rsidRPr="00A37731">
        <w:t>i</w:t>
      </w:r>
      <w:r w:rsidRPr="00A37731">
        <w:t>ne, le mot constitue le matériau le plus immédiat</w:t>
      </w:r>
      <w:r>
        <w:t xml:space="preserve"> [</w:t>
      </w:r>
      <w:r w:rsidRPr="00A37731">
        <w:t>211</w:t>
      </w:r>
      <w:r>
        <w:t xml:space="preserve">] </w:t>
      </w:r>
      <w:r w:rsidRPr="00A37731">
        <w:t>de l'activité communicationnelle, matériau peu théorisé par H</w:t>
      </w:r>
      <w:r w:rsidRPr="00A37731">
        <w:t>a</w:t>
      </w:r>
      <w:r w:rsidRPr="00A37731">
        <w:t>bermas. Enfin, pour Bakhtine, c'est l'énoncé et non l'agir communicationnel qui travaille en créant des liens symbol</w:t>
      </w:r>
      <w:r w:rsidRPr="00A37731">
        <w:t>i</w:t>
      </w:r>
      <w:r w:rsidRPr="00A37731">
        <w:t>ques avec les énoncés antérieurs, ainsi qu'entre l'auteur et son énonciataire. La question de la sociabilité, du rapport existentiel et créatif à l'int</w:t>
      </w:r>
      <w:r w:rsidRPr="00A37731">
        <w:t>é</w:t>
      </w:r>
      <w:r w:rsidRPr="00A37731">
        <w:t>rieur de la comm</w:t>
      </w:r>
      <w:r w:rsidRPr="00A37731">
        <w:t>u</w:t>
      </w:r>
      <w:r w:rsidRPr="00A37731">
        <w:t>nication, ne peut pas être saisie uniquement dans une perspective pragmatique. Pour Habermas, la langue se réalise à travers l'interaction s</w:t>
      </w:r>
      <w:r w:rsidRPr="00A37731">
        <w:t>o</w:t>
      </w:r>
      <w:r w:rsidRPr="00A37731">
        <w:t>ciale des locuteurs, à l'intérieur et entre des mondes vécus. Par contre, chez Bakhtine, ce genre de propositions privilégié par Habermas comporte uniquement un niveau d'échange d'i</w:t>
      </w:r>
      <w:r w:rsidRPr="00A37731">
        <w:t>n</w:t>
      </w:r>
      <w:r w:rsidRPr="00A37731">
        <w:t xml:space="preserve">formations et de cimentation de la cohésion sociale, et ne rend pas compte de la nature dialogique de l'énoncé. C'est ainsi pour lui </w:t>
      </w:r>
      <w:r w:rsidRPr="008245FF">
        <w:rPr>
          <w:i/>
          <w:iCs/>
        </w:rPr>
        <w:t>dans,</w:t>
      </w:r>
      <w:r w:rsidRPr="00A37731">
        <w:t xml:space="preserve"> et non pas </w:t>
      </w:r>
      <w:r w:rsidRPr="008245FF">
        <w:rPr>
          <w:i/>
          <w:iCs/>
        </w:rPr>
        <w:t>entre</w:t>
      </w:r>
      <w:r w:rsidRPr="00A37731">
        <w:t xml:space="preserve"> la tradition et l'universalisme qu'existe, moments par moments, la cré</w:t>
      </w:r>
      <w:r w:rsidRPr="00A37731">
        <w:t>a</w:t>
      </w:r>
      <w:r w:rsidRPr="00A37731">
        <w:t>tion par des sujets sociaux d'identités intersubjectives partagées.</w:t>
      </w:r>
    </w:p>
    <w:p w:rsidR="00B7214C" w:rsidRDefault="00B7214C" w:rsidP="00B7214C">
      <w:pPr>
        <w:pStyle w:val="p"/>
      </w:pPr>
      <w:r>
        <w:br w:type="page"/>
        <w:t>[212]</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jc w:val="both"/>
      </w:pPr>
    </w:p>
    <w:p w:rsidR="00B7214C" w:rsidRPr="00A37731" w:rsidRDefault="00B7214C" w:rsidP="00B7214C">
      <w:pPr>
        <w:pStyle w:val="p"/>
      </w:pPr>
      <w:r>
        <w:t>[</w:t>
      </w:r>
      <w:r w:rsidRPr="00A37731">
        <w:t>213</w:t>
      </w:r>
      <w:r>
        <w:t>]</w:t>
      </w:r>
    </w:p>
    <w:p w:rsidR="00B7214C" w:rsidRDefault="00B7214C" w:rsidP="00B7214C">
      <w:pPr>
        <w:pStyle w:val="p"/>
      </w:pPr>
      <w:r>
        <w:t>[214]</w:t>
      </w:r>
    </w:p>
    <w:p w:rsidR="00B7214C" w:rsidRDefault="00B7214C" w:rsidP="00B7214C">
      <w:pPr>
        <w:jc w:val="both"/>
      </w:pPr>
      <w:r w:rsidRPr="00A37731">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1" w:name="Entre_tradition_pt_2_A"/>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DEUXIÈME</w:t>
      </w:r>
      <w:r w:rsidRPr="00DA1F44">
        <w:rPr>
          <w:b/>
          <w:caps/>
          <w:color w:val="000080"/>
          <w:sz w:val="36"/>
        </w:rPr>
        <w:t xml:space="preserve"> partie</w:t>
      </w:r>
    </w:p>
    <w:p w:rsidR="00B7214C" w:rsidRDefault="00B7214C" w:rsidP="00B7214C">
      <w:pPr>
        <w:jc w:val="both"/>
      </w:pPr>
    </w:p>
    <w:p w:rsidR="00B7214C" w:rsidRPr="00DA1F44" w:rsidRDefault="00B7214C" w:rsidP="00B7214C">
      <w:pPr>
        <w:ind w:firstLine="0"/>
        <w:jc w:val="center"/>
        <w:rPr>
          <w:color w:val="FF0000"/>
          <w:sz w:val="32"/>
        </w:rPr>
      </w:pPr>
      <w:r>
        <w:rPr>
          <w:color w:val="FF0000"/>
          <w:sz w:val="32"/>
        </w:rPr>
        <w:t>A. LA FILIATION</w:t>
      </w:r>
    </w:p>
    <w:bookmarkEnd w:id="21"/>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pStyle w:val="p"/>
      </w:pPr>
      <w:r>
        <w:br w:type="page"/>
        <w:t>[215]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2" w:name="Entre_tradition_pt_2_texte_13"/>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13</w:t>
      </w:r>
    </w:p>
    <w:p w:rsidR="00B7214C" w:rsidRDefault="00B7214C" w:rsidP="00B7214C">
      <w:pPr>
        <w:pStyle w:val="Titreniveau2"/>
      </w:pPr>
      <w:r>
        <w:t>“Une anomalie algérienne :</w:t>
      </w:r>
      <w:r>
        <w:br/>
        <w:t>femmes et islamisme.”</w:t>
      </w:r>
    </w:p>
    <w:bookmarkEnd w:id="22"/>
    <w:p w:rsidR="00B7214C" w:rsidRPr="00E07116" w:rsidRDefault="00B7214C" w:rsidP="00B7214C">
      <w:pPr>
        <w:jc w:val="both"/>
        <w:rPr>
          <w:szCs w:val="36"/>
        </w:rPr>
      </w:pPr>
    </w:p>
    <w:p w:rsidR="00B7214C" w:rsidRPr="00E07116" w:rsidRDefault="00B7214C" w:rsidP="00B7214C">
      <w:pPr>
        <w:pStyle w:val="suite"/>
      </w:pPr>
      <w:r>
        <w:t>Par Marie-Blanche TAHON</w:t>
      </w:r>
    </w:p>
    <w:p w:rsidR="00B7214C" w:rsidRPr="00E07116" w:rsidRDefault="00B7214C" w:rsidP="00B7214C">
      <w:pPr>
        <w:pStyle w:val="auteurst"/>
      </w:pPr>
      <w:r w:rsidRPr="004A7EF1">
        <w:t>Département de sociologie. Université d'Ottawa</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spacing w:before="120" w:after="120"/>
        <w:jc w:val="both"/>
      </w:pPr>
      <w:r>
        <w:t xml:space="preserve">En </w:t>
      </w:r>
      <w:r w:rsidRPr="00A37731">
        <w:t>préparant cette conférence, je me suis demandé pourquoi j'avais été approchée pour la faire « autour de fe</w:t>
      </w:r>
      <w:r w:rsidRPr="00A37731">
        <w:t>m</w:t>
      </w:r>
      <w:r w:rsidRPr="00A37731">
        <w:t>mes et Islam », et, qui plus est, sous le thème « Entre tradition et universalisme ». Il était trop tard ! J'avais accepté, en préc</w:t>
      </w:r>
      <w:r w:rsidRPr="00A37731">
        <w:t>i</w:t>
      </w:r>
      <w:r w:rsidRPr="00A37731">
        <w:t>sant quelque peu. Non pas « Islam » mais islamisme et en s</w:t>
      </w:r>
      <w:r w:rsidRPr="00A37731">
        <w:t>i</w:t>
      </w:r>
      <w:r w:rsidRPr="00A37731">
        <w:t>tuant le propos dans le pays que je connais le moins mal de ceux dont l'islam</w:t>
      </w:r>
      <w:r>
        <w:t> </w:t>
      </w:r>
      <w:r>
        <w:rPr>
          <w:rStyle w:val="Appelnotedebasdep"/>
        </w:rPr>
        <w:footnoteReference w:id="119"/>
      </w:r>
      <w:r w:rsidRPr="00A37731">
        <w:t xml:space="preserve"> est la religion du peuple.</w:t>
      </w:r>
    </w:p>
    <w:p w:rsidR="00B7214C" w:rsidRPr="00A37731" w:rsidRDefault="00B7214C" w:rsidP="00B7214C">
      <w:pPr>
        <w:spacing w:before="120" w:after="120"/>
        <w:jc w:val="both"/>
      </w:pPr>
      <w:r w:rsidRPr="00A37731">
        <w:t>Quelles sont les attentes face à ce thème, aujourd'hui, ici, dans le Québec profond ? Il ne s'agit pas seulement d'une question à résoudre pour tenter de capter au mieux votre attention. Il est probable que v</w:t>
      </w:r>
      <w:r w:rsidRPr="00A37731">
        <w:t>o</w:t>
      </w:r>
      <w:r w:rsidRPr="00A37731">
        <w:t>tre présence à cette conférence est partiellement dictée par un intérêt alimenté surtout par les médias occidentaux. Or, leur discours, quant à la situation des pays dont l'islam est la religion du peuple, est surtout révélateur de l'Occident, de son incompréhension entretenue sécula</w:t>
      </w:r>
      <w:r w:rsidRPr="00A37731">
        <w:t>i</w:t>
      </w:r>
      <w:r w:rsidRPr="00A37731">
        <w:t>rement à l'égard de l'Islam</w:t>
      </w:r>
      <w:r>
        <w:t> </w:t>
      </w:r>
      <w:r>
        <w:rPr>
          <w:rStyle w:val="Appelnotedebasdep"/>
        </w:rPr>
        <w:footnoteReference w:id="120"/>
      </w:r>
      <w:r w:rsidRPr="00A37731">
        <w:t>. Quant à la situation des fe</w:t>
      </w:r>
      <w:r w:rsidRPr="00A37731">
        <w:t>m</w:t>
      </w:r>
      <w:r w:rsidRPr="00A37731">
        <w:t>mes dans ces pays, elle fournit le plus souvent l'occasion de nourrir sans verg</w:t>
      </w:r>
      <w:r w:rsidRPr="00A37731">
        <w:t>o</w:t>
      </w:r>
      <w:r w:rsidRPr="00A37731">
        <w:t>gne le racisme « anti-arabe », au nom d'un féminisme universaliste de salon</w:t>
      </w:r>
      <w:r>
        <w:t> </w:t>
      </w:r>
      <w:r>
        <w:rPr>
          <w:rStyle w:val="Appelnotedebasdep"/>
        </w:rPr>
        <w:footnoteReference w:id="121"/>
      </w:r>
      <w:r w:rsidRPr="00A37731">
        <w:t>. Mon objet n'est pas de re</w:t>
      </w:r>
      <w:r w:rsidRPr="00A37731">
        <w:t>c</w:t>
      </w:r>
      <w:r w:rsidRPr="00A37731">
        <w:t>tifier ces présentations « tronquées » ; mon angoisse réside dans la crainte de les renforcer.</w:t>
      </w:r>
    </w:p>
    <w:p w:rsidR="00B7214C" w:rsidRPr="00A37731" w:rsidRDefault="00B7214C" w:rsidP="00B7214C">
      <w:pPr>
        <w:spacing w:before="120" w:after="120"/>
        <w:jc w:val="both"/>
      </w:pPr>
      <w:r w:rsidRPr="00A37731">
        <w:t>Seraient nécessaires tant de préalables que l'on en resterait là, tant de prudence dans la formulation des hypothèses qu'elles seraient su</w:t>
      </w:r>
      <w:r w:rsidRPr="00A37731">
        <w:t>r</w:t>
      </w:r>
      <w:r w:rsidRPr="00A37731">
        <w:t>tout banales, tant de nuances dans l'exposé qu'il en deviendrait inco</w:t>
      </w:r>
      <w:r w:rsidRPr="00A37731">
        <w:t>m</w:t>
      </w:r>
      <w:r>
        <w:t>préhen</w:t>
      </w:r>
      <w:r w:rsidRPr="00A37731">
        <w:t>sible.</w:t>
      </w:r>
      <w:r>
        <w:t xml:space="preserve"> [216]</w:t>
      </w:r>
      <w:r w:rsidRPr="00A37731">
        <w:t xml:space="preserve"> Ces risques sont inhérents à toute conférence. Ce</w:t>
      </w:r>
      <w:r w:rsidRPr="00A37731">
        <w:t>l</w:t>
      </w:r>
      <w:r w:rsidRPr="00A37731">
        <w:t>le-ci se s</w:t>
      </w:r>
      <w:r w:rsidRPr="00A37731">
        <w:t>i</w:t>
      </w:r>
      <w:r w:rsidRPr="00A37731">
        <w:t>tue pourtant en terrain miné par treize siècles d'histoire tissés au plus profond des mythes puisqu'ils renvoient au rel</w:t>
      </w:r>
      <w:r w:rsidRPr="00A37731">
        <w:t>i</w:t>
      </w:r>
      <w:r w:rsidRPr="00A37731">
        <w:t>gieux - à ce qui relie et à ce qui fait sens. Cette tension est ici d'autant plus profonde que je veux faire intervenir le rapport social le plus fondamental, le plus i</w:t>
      </w:r>
      <w:r w:rsidRPr="00A37731">
        <w:t>n</w:t>
      </w:r>
      <w:r w:rsidRPr="00A37731">
        <w:t>contournable, donc, le plus occulté, le rapport entre les sexes.</w:t>
      </w:r>
    </w:p>
    <w:p w:rsidR="00B7214C" w:rsidRPr="00A37731" w:rsidRDefault="00B7214C" w:rsidP="00B7214C">
      <w:pPr>
        <w:spacing w:before="120" w:after="120"/>
        <w:jc w:val="both"/>
      </w:pPr>
      <w:r w:rsidRPr="00A37731">
        <w:t>Depuis que les observateurs occidentaux ont redécouvert l'Islam, depuis que la révolution iranienne de 1979 leur a fait redouter « la montée de l'islamisme » et son « fanatisme », il est partout comm</w:t>
      </w:r>
      <w:r w:rsidRPr="00A37731">
        <w:t>u</w:t>
      </w:r>
      <w:r w:rsidRPr="00A37731">
        <w:t>nément admis, en cette ère de démocrati</w:t>
      </w:r>
      <w:r w:rsidRPr="00A37731">
        <w:t>s</w:t>
      </w:r>
      <w:r w:rsidRPr="00A37731">
        <w:t>me universaliste, que LE problème des États où l'islam est la religion du peuple réside dans la non-séparation du religieux et du politique ; proposition soutenue i</w:t>
      </w:r>
      <w:r w:rsidRPr="00A37731">
        <w:t>m</w:t>
      </w:r>
      <w:r w:rsidRPr="00A37731">
        <w:t>plicitement : dans ces États, le politique est soumis au religieux. Cette explication paresseusement rabâchée a le mérite de promouvoir une autre fois la supériorité de l'Occident... Que des analystes s'acha</w:t>
      </w:r>
      <w:r w:rsidRPr="00A37731">
        <w:t>r</w:t>
      </w:r>
      <w:r w:rsidRPr="00A37731">
        <w:t>nent à dire que c'est le religieux qui est instrumentalisé à des fins partisanes n'atteint guère la logorrhée médiatique.</w:t>
      </w:r>
    </w:p>
    <w:p w:rsidR="00B7214C" w:rsidRPr="00A37731" w:rsidRDefault="00B7214C" w:rsidP="00B7214C">
      <w:pPr>
        <w:spacing w:before="120" w:after="120"/>
        <w:jc w:val="both"/>
      </w:pPr>
      <w:r w:rsidRPr="00A37731">
        <w:t>Sans dédaigner le terrain du politique, mon intérêt pour les femmes et l'Algérie me permet de déplacer quelque peu l'a</w:t>
      </w:r>
      <w:r w:rsidRPr="00A37731">
        <w:t>n</w:t>
      </w:r>
      <w:r w:rsidRPr="00A37731">
        <w:t>gle d'approche. La sécularisation des sociétés dites musulm</w:t>
      </w:r>
      <w:r w:rsidRPr="00A37731">
        <w:t>a</w:t>
      </w:r>
      <w:r w:rsidRPr="00A37731">
        <w:t>nes - je me réfugie à l'ombre de ce terme commode de sécul</w:t>
      </w:r>
      <w:r w:rsidRPr="00A37731">
        <w:t>a</w:t>
      </w:r>
      <w:r w:rsidRPr="00A37731">
        <w:t>risation ; il faudrait lui donner un contenu plus précis non se</w:t>
      </w:r>
      <w:r w:rsidRPr="00A37731">
        <w:t>u</w:t>
      </w:r>
      <w:r w:rsidRPr="00A37731">
        <w:t>lement eu égard à la religion considérée mais encore en tenant compte de l'angle d'approche : le rapport social-anthropologique entre les sexes -, mais disons, jusqu'à mieux, la séc</w:t>
      </w:r>
      <w:r w:rsidRPr="00A37731">
        <w:t>u</w:t>
      </w:r>
      <w:r w:rsidRPr="00A37731">
        <w:t>larisation des sociétés dites musulmanes ne reposerait pas sur la sép</w:t>
      </w:r>
      <w:r w:rsidRPr="00A37731">
        <w:t>a</w:t>
      </w:r>
      <w:r w:rsidRPr="00A37731">
        <w:t>ration de l'Église et de l'État - il n'y a pas d'Église ni de clergé en Islam non chiite - mais sur la sécular</w:t>
      </w:r>
      <w:r w:rsidRPr="00A37731">
        <w:t>i</w:t>
      </w:r>
      <w:r w:rsidRPr="00A37731">
        <w:t>sation de cette partie du code civil, appelée en Algérie « statut personnel » sous la colonisation et « code de la famille » d</w:t>
      </w:r>
      <w:r w:rsidRPr="00A37731">
        <w:t>e</w:t>
      </w:r>
      <w:r w:rsidRPr="00A37731">
        <w:t>puis l'indépendance, cette partie du code civil qui régit l'a</w:t>
      </w:r>
      <w:r w:rsidRPr="00A37731">
        <w:t>l</w:t>
      </w:r>
      <w:r w:rsidRPr="00A37731">
        <w:t xml:space="preserve">liance et l'héritage. Aujourd'hui en Algérie, comme sous la colonisation, cette partie du code civil est directement inspirée de la </w:t>
      </w:r>
      <w:r w:rsidRPr="000D1A32">
        <w:rPr>
          <w:i/>
          <w:iCs/>
        </w:rPr>
        <w:t>Sharia,</w:t>
      </w:r>
      <w:r w:rsidRPr="00A37731">
        <w:t xml:space="preserve"> de la loi islamique. Et il en va de même, à que</w:t>
      </w:r>
      <w:r w:rsidRPr="00A37731">
        <w:t>l</w:t>
      </w:r>
      <w:r w:rsidRPr="00A37731">
        <w:t>ques nuances près, dans les pays où l'islam est la religion un</w:t>
      </w:r>
      <w:r w:rsidRPr="00A37731">
        <w:t>i</w:t>
      </w:r>
      <w:r w:rsidRPr="00A37731">
        <w:t>que ou majoritaire et pour les communautés musulmanes là où l'islam n'est pas majoritaire (en Inde, par exemple), à l'e</w:t>
      </w:r>
      <w:r w:rsidRPr="00A37731">
        <w:t>x</w:t>
      </w:r>
      <w:r w:rsidRPr="00A37731">
        <w:t>ception de la Turquie qui a sécularisé son code civil en 1926.</w:t>
      </w:r>
    </w:p>
    <w:p w:rsidR="00B7214C" w:rsidRDefault="00B7214C" w:rsidP="00B7214C">
      <w:pPr>
        <w:spacing w:before="120" w:after="120"/>
        <w:jc w:val="both"/>
      </w:pPr>
      <w:r w:rsidRPr="00A37731">
        <w:t>Ce faisant, je ne déserte pas le terrain du politique car je propose de considérer, en me basant sur les travaux de Pierre Legendre, que cette matière - celle qui régit l'alliance et l'hér</w:t>
      </w:r>
      <w:r w:rsidRPr="00A37731">
        <w:t>i</w:t>
      </w:r>
      <w:r w:rsidRPr="00A37731">
        <w:t>tage - constitue le coeur du politique puisque c'est « là où se joue de façon décisive la repr</w:t>
      </w:r>
      <w:r w:rsidRPr="00A37731">
        <w:t>o</w:t>
      </w:r>
      <w:r w:rsidRPr="00A37731">
        <w:t>duction de l'Interdit</w:t>
      </w:r>
      <w:r>
        <w:t> </w:t>
      </w:r>
      <w:r>
        <w:rPr>
          <w:rStyle w:val="Appelnotedebasdep"/>
        </w:rPr>
        <w:footnoteReference w:id="122"/>
      </w:r>
      <w:r w:rsidRPr="00A37731">
        <w:t> ». Interdit entendu comme un dit d'interpos</w:t>
      </w:r>
      <w:r w:rsidRPr="00A37731">
        <w:t>i</w:t>
      </w:r>
      <w:r w:rsidRPr="00A37731">
        <w:t>tion qui permet à l'humain l'accès à l'espèce parlante en surmontant « l'horreur des co</w:t>
      </w:r>
      <w:r w:rsidRPr="00A37731">
        <w:t>m</w:t>
      </w:r>
      <w:r w:rsidRPr="00A37731">
        <w:t>mencements</w:t>
      </w:r>
      <w:r>
        <w:t> </w:t>
      </w:r>
      <w:r>
        <w:rPr>
          <w:rStyle w:val="Appelnotedebasdep"/>
        </w:rPr>
        <w:footnoteReference w:id="123"/>
      </w:r>
      <w:r w:rsidRPr="00A37731">
        <w:t> ».</w:t>
      </w:r>
    </w:p>
    <w:p w:rsidR="00B7214C" w:rsidRPr="00A37731" w:rsidRDefault="00B7214C" w:rsidP="00B7214C">
      <w:pPr>
        <w:spacing w:before="120" w:after="120"/>
        <w:jc w:val="both"/>
      </w:pPr>
      <w:r>
        <w:t>[</w:t>
      </w:r>
      <w:r w:rsidRPr="00A37731">
        <w:t>217</w:t>
      </w:r>
      <w:r>
        <w:t>]</w:t>
      </w:r>
    </w:p>
    <w:p w:rsidR="00B7214C" w:rsidRPr="00A37731" w:rsidRDefault="00B7214C" w:rsidP="00B7214C">
      <w:pPr>
        <w:spacing w:before="120" w:after="120"/>
        <w:jc w:val="both"/>
      </w:pPr>
      <w:r w:rsidRPr="00A37731">
        <w:t>Dans un premier temps, je me laisserai témérairement</w:t>
      </w:r>
      <w:r>
        <w:t> </w:t>
      </w:r>
      <w:r>
        <w:rPr>
          <w:rStyle w:val="Appelnotedebasdep"/>
        </w:rPr>
        <w:footnoteReference w:id="124"/>
      </w:r>
      <w:r w:rsidRPr="00A37731">
        <w:t xml:space="preserve"> aller à cerner comment l'islam s'y est pris pour surmonter l'horreur des co</w:t>
      </w:r>
      <w:r w:rsidRPr="00A37731">
        <w:t>m</w:t>
      </w:r>
      <w:r w:rsidRPr="00A37731">
        <w:t>mencements, pour raconter l'origine. Ensuite, j'en viendrai plus dire</w:t>
      </w:r>
      <w:r w:rsidRPr="00A37731">
        <w:t>c</w:t>
      </w:r>
      <w:r w:rsidRPr="00A37731">
        <w:t>tement à l'Algérie et j'examinerai comment la perdurance de la gestion de la matière qui régit l'alliance et l'héritage sous la colonisation et après l'indépendance permet de saisir que ce peuple était prêt, en d</w:t>
      </w:r>
      <w:r w:rsidRPr="00A37731">
        <w:t>é</w:t>
      </w:r>
      <w:r w:rsidRPr="00A37731">
        <w:t>cembre 1991, à remettre sa destinée aux mains du si bien nommé Front islamique du salut</w:t>
      </w:r>
      <w:r>
        <w:t> </w:t>
      </w:r>
      <w:r>
        <w:rPr>
          <w:rStyle w:val="Appelnotedebasdep"/>
        </w:rPr>
        <w:footnoteReference w:id="125"/>
      </w:r>
      <w:r w:rsidRPr="00A37731">
        <w:t>. Je n'ai pas dit sa destinée politique car je me demande si l</w:t>
      </w:r>
      <w:r w:rsidRPr="005A2A0E">
        <w:rPr>
          <w:i/>
          <w:iCs/>
        </w:rPr>
        <w:t>'instance</w:t>
      </w:r>
      <w:r w:rsidRPr="00A37731">
        <w:t xml:space="preserve"> politique existe, a existé, en Algérie. Je te</w:t>
      </w:r>
      <w:r w:rsidRPr="00A37731">
        <w:t>n</w:t>
      </w:r>
      <w:r w:rsidRPr="00A37731">
        <w:t>terai - malgré les analyses qui classent les femmes en Algérie sous la rubrique de la morale</w:t>
      </w:r>
      <w:r>
        <w:t> </w:t>
      </w:r>
      <w:r>
        <w:rPr>
          <w:rStyle w:val="Appelnotedebasdep"/>
        </w:rPr>
        <w:footnoteReference w:id="126"/>
      </w:r>
      <w:r w:rsidRPr="00A37731">
        <w:t xml:space="preserve"> - d'illustrer qu'elles sont soumises à une ge</w:t>
      </w:r>
      <w:r w:rsidRPr="00A37731">
        <w:t>s</w:t>
      </w:r>
      <w:r w:rsidRPr="00A37731">
        <w:t>tion politique, marquée par l'exclusion</w:t>
      </w:r>
      <w:r>
        <w:t> </w:t>
      </w:r>
      <w:r>
        <w:rPr>
          <w:rStyle w:val="Appelnotedebasdep"/>
        </w:rPr>
        <w:footnoteReference w:id="127"/>
      </w:r>
      <w:r w:rsidRPr="00A37731">
        <w:t>, exclusion non seulement repérable dans leur absence des institutions, mais exclusion structure</w:t>
      </w:r>
      <w:r w:rsidRPr="00A37731">
        <w:t>l</w:t>
      </w:r>
      <w:r w:rsidRPr="00A37731">
        <w:t>le en quelque sorte, éclairée par l'utilisation de la matière qui régit l'a</w:t>
      </w:r>
      <w:r w:rsidRPr="00A37731">
        <w:t>l</w:t>
      </w:r>
      <w:r w:rsidRPr="00A37731">
        <w:t>liance et l'héritage.</w:t>
      </w:r>
    </w:p>
    <w:p w:rsidR="00B7214C" w:rsidRDefault="00B7214C" w:rsidP="00B7214C">
      <w:pPr>
        <w:spacing w:before="120" w:after="120"/>
        <w:jc w:val="both"/>
      </w:pPr>
      <w:r w:rsidRPr="00A37731">
        <w:t>L'ordre de présentation tient à ce que si la matière qui régit l'allia</w:t>
      </w:r>
      <w:r w:rsidRPr="00A37731">
        <w:t>n</w:t>
      </w:r>
      <w:r w:rsidRPr="00A37731">
        <w:t>ce et l'héritage a une telle importance en Algérie, au point que la Fra</w:t>
      </w:r>
      <w:r w:rsidRPr="00A37731">
        <w:t>n</w:t>
      </w:r>
      <w:r w:rsidRPr="00A37731">
        <w:t>ce coloniale, républicaine et laïque a préféré la fétichiser plutôt que l'affronter et que l'Algérie indépenda</w:t>
      </w:r>
      <w:r w:rsidRPr="00A37731">
        <w:t>n</w:t>
      </w:r>
      <w:r w:rsidRPr="00A37731">
        <w:t>te a tergiversé pendant vingt-deux ans avant de l'officialiser, cela tient à une donnée anthropolog</w:t>
      </w:r>
      <w:r w:rsidRPr="00A37731">
        <w:t>i</w:t>
      </w:r>
      <w:r w:rsidRPr="00A37731">
        <w:t>que de l'islam qui nous est difficilement représentable à nous qui sommes nés ma</w:t>
      </w:r>
      <w:r w:rsidRPr="00A37731">
        <w:t>r</w:t>
      </w:r>
      <w:r w:rsidRPr="00A37731">
        <w:t>qués du péché originel.</w:t>
      </w:r>
    </w:p>
    <w:p w:rsidR="00B7214C" w:rsidRPr="00A37731" w:rsidRDefault="00B7214C" w:rsidP="00B7214C">
      <w:pPr>
        <w:spacing w:before="120" w:after="120"/>
        <w:jc w:val="both"/>
      </w:pPr>
    </w:p>
    <w:p w:rsidR="00B7214C" w:rsidRPr="00A37731" w:rsidRDefault="00B7214C" w:rsidP="00B7214C">
      <w:pPr>
        <w:pStyle w:val="a"/>
      </w:pPr>
      <w:r w:rsidRPr="00A37731">
        <w:t>L'ORIGINE DURE LONGTEMPS</w:t>
      </w:r>
    </w:p>
    <w:p w:rsidR="00B7214C" w:rsidRDefault="00B7214C" w:rsidP="00B7214C">
      <w:pPr>
        <w:spacing w:before="120" w:after="120"/>
        <w:jc w:val="both"/>
      </w:pPr>
    </w:p>
    <w:p w:rsidR="00B7214C" w:rsidRPr="00A37731" w:rsidRDefault="00B7214C" w:rsidP="00B7214C">
      <w:pPr>
        <w:spacing w:before="120" w:after="120"/>
        <w:jc w:val="both"/>
      </w:pPr>
      <w:r w:rsidRPr="00A37731">
        <w:t>Pour saisir cette donnée anthropologique, deux éléments doivent être pris en compte et articulés ; le premier a trait au récit des origines ou de l'origine et le second au traitement de la différence des sexes qui en découle.</w:t>
      </w:r>
    </w:p>
    <w:p w:rsidR="00B7214C" w:rsidRPr="00A37731" w:rsidRDefault="00B7214C" w:rsidP="00B7214C">
      <w:pPr>
        <w:spacing w:before="120" w:after="120"/>
        <w:jc w:val="both"/>
      </w:pPr>
      <w:r w:rsidRPr="00A37731">
        <w:t>Selon O. Roy</w:t>
      </w:r>
      <w:r>
        <w:t> </w:t>
      </w:r>
      <w:r>
        <w:rPr>
          <w:rStyle w:val="Appelnotedebasdep"/>
        </w:rPr>
        <w:footnoteReference w:id="128"/>
      </w:r>
      <w:r w:rsidRPr="00A37731">
        <w:t xml:space="preserve">, pour les </w:t>
      </w:r>
      <w:r w:rsidRPr="00B011B6">
        <w:rPr>
          <w:i/>
          <w:iCs/>
        </w:rPr>
        <w:t>islamistes,</w:t>
      </w:r>
      <w:r w:rsidRPr="00A37731">
        <w:t xml:space="preserve"> le concept politique qui e</w:t>
      </w:r>
      <w:r w:rsidRPr="00A37731">
        <w:t>x</w:t>
      </w:r>
      <w:r w:rsidRPr="00A37731">
        <w:t>prime la société islamique idéale est le concept d'unicité (</w:t>
      </w:r>
      <w:r w:rsidRPr="005A2A0E">
        <w:rPr>
          <w:i/>
          <w:iCs/>
        </w:rPr>
        <w:t>towhîd</w:t>
      </w:r>
      <w:r w:rsidRPr="00A37731">
        <w:t>) ; unic</w:t>
      </w:r>
      <w:r w:rsidRPr="00A37731">
        <w:t>i</w:t>
      </w:r>
      <w:r w:rsidRPr="00A37731">
        <w:t>té qui nie les classes sociales, les clivages nationaux, ethniques ou tr</w:t>
      </w:r>
      <w:r w:rsidRPr="00A37731">
        <w:t>i</w:t>
      </w:r>
      <w:r w:rsidRPr="00A37731">
        <w:t xml:space="preserve">baux. La segmentation est perçue comme péché et non comme donnée sociologique. Toute différenciation est négation de </w:t>
      </w:r>
      <w:r>
        <w:t>l’</w:t>
      </w:r>
      <w:r w:rsidRPr="005A2A0E">
        <w:rPr>
          <w:i/>
          <w:iCs/>
        </w:rPr>
        <w:t>Oumma,</w:t>
      </w:r>
      <w:r w:rsidRPr="00A37731">
        <w:t xml:space="preserve"> la co</w:t>
      </w:r>
      <w:r w:rsidRPr="00A37731">
        <w:t>m</w:t>
      </w:r>
      <w:r w:rsidRPr="00A37731">
        <w:t>munauté des croyants. « L'islam n'a pas d'histoire, l'Oumma n'a pas de d</w:t>
      </w:r>
      <w:r w:rsidRPr="00A37731">
        <w:t>i</w:t>
      </w:r>
      <w:r w:rsidRPr="00A37731">
        <w:t xml:space="preserve">visions, l'homme n'a pas d'inconscient. », dit-il de manière qui peut </w:t>
      </w:r>
      <w:r>
        <w:t>sembler abrupte. Il cite Muham</w:t>
      </w:r>
      <w:r w:rsidRPr="00A37731">
        <w:t>med Qotb</w:t>
      </w:r>
      <w:r>
        <w:t> </w:t>
      </w:r>
      <w:r>
        <w:rPr>
          <w:rStyle w:val="Appelnotedebasdep"/>
        </w:rPr>
        <w:footnoteReference w:id="129"/>
      </w:r>
      <w:r w:rsidRPr="00A37731">
        <w:t xml:space="preserve"> qui écrit : « L'islam englobe chaque aspect de l'âme humaine parce qu'il est rév</w:t>
      </w:r>
      <w:r w:rsidRPr="00A37731">
        <w:t>é</w:t>
      </w:r>
      <w:r w:rsidRPr="00A37731">
        <w:t>lé pour ch</w:t>
      </w:r>
      <w:r w:rsidRPr="00A37731">
        <w:t>a</w:t>
      </w:r>
      <w:r w:rsidRPr="00A37731">
        <w:t>que personne individuelle vivant sur cette terre, sans considération pour sa race, sa couleur, sa langue, son lieu, son env</w:t>
      </w:r>
      <w:r w:rsidRPr="00A37731">
        <w:t>i</w:t>
      </w:r>
      <w:r w:rsidRPr="00A37731">
        <w:t>ronnement, les circonstances géographiques ou historiques, l'héritage culturel ou i</w:t>
      </w:r>
      <w:r w:rsidRPr="00A37731">
        <w:t>n</w:t>
      </w:r>
      <w:r w:rsidRPr="00A37731">
        <w:t>tellectuel [...] ; l'islam englobe et réalise tous les besoins de la vie, passée et future, que ces besoins soient spirituels, matériels, politiques, économiques, sociaux, moraux, intellectuels ou esthét</w:t>
      </w:r>
      <w:r w:rsidRPr="00A37731">
        <w:t>i</w:t>
      </w:r>
      <w:r>
        <w:t>ques. » Roy com</w:t>
      </w:r>
      <w:r w:rsidRPr="00A37731">
        <w:t>mente :</w:t>
      </w:r>
      <w:r>
        <w:t xml:space="preserve"> [218]</w:t>
      </w:r>
      <w:r w:rsidRPr="00A37731">
        <w:t xml:space="preserve"> « L'universalité du message se paie de la grande pauvreté de son objet anthropologique : une nature humaine universe</w:t>
      </w:r>
      <w:r w:rsidRPr="00A37731">
        <w:t>l</w:t>
      </w:r>
      <w:r w:rsidRPr="00A37731">
        <w:t>le conçue comme un ensemble de besoins, de désirs et de capacités physiques, centrée autour du fait primordial de la différence biologique des sexes, et sur qui la culture et l'histoire ne font que gli</w:t>
      </w:r>
      <w:r w:rsidRPr="00A37731">
        <w:t>s</w:t>
      </w:r>
      <w:r w:rsidRPr="00A37731">
        <w:t>ser. La quête du &lt;m</w:t>
      </w:r>
      <w:r w:rsidRPr="00A37731">
        <w:t>u</w:t>
      </w:r>
      <w:r w:rsidRPr="00A37731">
        <w:t>sulman pur&gt; suppose que l'homme s'arrache aux déterminismes sociaux et culturels, en particulier aux références ide</w:t>
      </w:r>
      <w:r w:rsidRPr="00A37731">
        <w:t>n</w:t>
      </w:r>
      <w:r w:rsidRPr="00A37731">
        <w:t>tita</w:t>
      </w:r>
      <w:r w:rsidRPr="00A37731">
        <w:t>i</w:t>
      </w:r>
      <w:r w:rsidRPr="00A37731">
        <w:t>res autres qu'islamiques qui structurent la société dans le non-dit (segment</w:t>
      </w:r>
      <w:r w:rsidRPr="00A37731">
        <w:t>a</w:t>
      </w:r>
      <w:r w:rsidRPr="00A37731">
        <w:t>tion ethnique, tribale, sociale, nationale, etc.) pour rejoindre et spiritualiser le modèle anthropologique initial. »</w:t>
      </w:r>
    </w:p>
    <w:p w:rsidR="00B7214C" w:rsidRPr="00A37731" w:rsidRDefault="00B7214C" w:rsidP="00B7214C">
      <w:pPr>
        <w:spacing w:before="120" w:after="120"/>
        <w:jc w:val="both"/>
      </w:pPr>
      <w:r w:rsidRPr="00A37731">
        <w:t>S'arracher aux déterminismes sociaux et culturels, passe encore, mais comment s'arracher à ce que l'on appelle les déterminismes bi</w:t>
      </w:r>
      <w:r w:rsidRPr="00A37731">
        <w:t>o</w:t>
      </w:r>
      <w:r w:rsidRPr="00A37731">
        <w:t>logiques, et en particulier ceux qui divisent l'humanité en deux sexes ? La tentation n'est-elle pas d'en nier un pour que l'unité soit maint</w:t>
      </w:r>
      <w:r w:rsidRPr="00A37731">
        <w:t>e</w:t>
      </w:r>
      <w:r w:rsidRPr="00A37731">
        <w:t>nue ? Ou encore de faire de la femme la personnification du péché de segmentation, l'enn</w:t>
      </w:r>
      <w:r w:rsidRPr="00A37731">
        <w:t>e</w:t>
      </w:r>
      <w:r w:rsidRPr="00A37731">
        <w:t xml:space="preserve">mi intérieur parce qu'en elle peut se concentrer l'essence de la scission, de la division </w:t>
      </w:r>
      <w:r w:rsidRPr="005A2A0E">
        <w:rPr>
          <w:i/>
          <w:iCs/>
        </w:rPr>
        <w:t>(fitna).</w:t>
      </w:r>
      <w:r w:rsidRPr="00A37731">
        <w:t xml:space="preserve"> De cause ultimement désignée de la scission, de la division, elle finit par la personnifier</w:t>
      </w:r>
      <w:r>
        <w:t> </w:t>
      </w:r>
      <w:r>
        <w:rPr>
          <w:rStyle w:val="Appelnotedebasdep"/>
        </w:rPr>
        <w:footnoteReference w:id="130"/>
      </w:r>
      <w:r w:rsidRPr="00A37731">
        <w:t>. Grâce à elle et contre elle - au-delà de ceux qui considèrent l'islam comme idéologie politique - peut être constamment réaffirmée l'unic</w:t>
      </w:r>
      <w:r w:rsidRPr="00A37731">
        <w:t>i</w:t>
      </w:r>
      <w:r w:rsidRPr="00A37731">
        <w:t>té de la communauté. De la communauté des croyants mais aussi de la communauté des citoyens, si cette expression avait un sens, de la communauté du peuple.</w:t>
      </w:r>
    </w:p>
    <w:p w:rsidR="00B7214C" w:rsidRPr="00A37731" w:rsidRDefault="00B7214C" w:rsidP="00B7214C">
      <w:pPr>
        <w:spacing w:before="120" w:after="120"/>
        <w:jc w:val="both"/>
      </w:pPr>
      <w:r w:rsidRPr="00A37731">
        <w:t>L'achoppement sur la différence biologique érigée en seule diff</w:t>
      </w:r>
      <w:r w:rsidRPr="00A37731">
        <w:t>é</w:t>
      </w:r>
      <w:r w:rsidRPr="00A37731">
        <w:t>rence interne</w:t>
      </w:r>
      <w:r>
        <w:t> </w:t>
      </w:r>
      <w:r>
        <w:rPr>
          <w:rStyle w:val="Appelnotedebasdep"/>
        </w:rPr>
        <w:footnoteReference w:id="131"/>
      </w:r>
      <w:r>
        <w:rPr>
          <w:vertAlign w:val="superscript"/>
        </w:rPr>
        <w:t xml:space="preserve"> </w:t>
      </w:r>
      <w:r w:rsidRPr="00A37731">
        <w:t>représentable peut sans doute être renvoyé au pr</w:t>
      </w:r>
      <w:r w:rsidRPr="00A37731">
        <w:t>o</w:t>
      </w:r>
      <w:r w:rsidRPr="00A37731">
        <w:t>blème de l'établissement de l'origine de l'islam. Pour ce faire, un d</w:t>
      </w:r>
      <w:r w:rsidRPr="00A37731">
        <w:t>é</w:t>
      </w:r>
      <w:r w:rsidRPr="00A37731">
        <w:t>tour par une histoire de famille, celle d'Abraham, de ses fils - Isaac et I</w:t>
      </w:r>
      <w:r w:rsidRPr="00A37731">
        <w:t>s</w:t>
      </w:r>
      <w:r w:rsidRPr="00A37731">
        <w:t>maël - et, une fois n'est pas coutume, de leur mère respective, Sarah et Agar, permettra de mieux v</w:t>
      </w:r>
      <w:r w:rsidRPr="00A37731">
        <w:t>i</w:t>
      </w:r>
      <w:r w:rsidRPr="00A37731">
        <w:t>sualiser la question.</w:t>
      </w:r>
    </w:p>
    <w:p w:rsidR="00B7214C" w:rsidRDefault="00B7214C" w:rsidP="00B7214C">
      <w:pPr>
        <w:spacing w:before="120" w:after="120"/>
        <w:jc w:val="both"/>
      </w:pPr>
      <w:r w:rsidRPr="00A37731">
        <w:t xml:space="preserve">Pour mémoire, dans </w:t>
      </w:r>
      <w:r w:rsidRPr="00BD1471">
        <w:rPr>
          <w:i/>
          <w:iCs/>
        </w:rPr>
        <w:t>L'homme Moïse et la religion monothéiste,</w:t>
      </w:r>
      <w:r w:rsidRPr="00A37731">
        <w:t xml:space="preserve"> les connai</w:t>
      </w:r>
      <w:r w:rsidRPr="00A37731">
        <w:t>s</w:t>
      </w:r>
      <w:r w:rsidRPr="00A37731">
        <w:t>sances limitées de Freud « lui permettent seulement d'ajouter que le cas de la fondation de la religion mahométane lui apparaît comme une répétition abrégée de la fondation de la religion juive, dont elle se m</w:t>
      </w:r>
      <w:r w:rsidRPr="00A37731">
        <w:t>a</w:t>
      </w:r>
      <w:r w:rsidRPr="00A37731">
        <w:t>nifesta comme une imitation. Il semble en effet que le Prophète eut d'abord l'intention d'adapter intégralement le judaïsme pour lui et pour son peuple. La récupération du seul grand Père prim</w:t>
      </w:r>
      <w:r w:rsidRPr="00A37731">
        <w:t>i</w:t>
      </w:r>
      <w:r w:rsidRPr="00A37731">
        <w:t>tif pr</w:t>
      </w:r>
      <w:r w:rsidRPr="00A37731">
        <w:t>o</w:t>
      </w:r>
      <w:r w:rsidRPr="00A37731">
        <w:t>duisit chez les Arabes un extraordinaire accroissement de leur conscience d'eux-mêmes, qui conduisit à de grands succès temporels mais s'épuisa aussi avec eux. Allah se montra beaucoup plus reco</w:t>
      </w:r>
      <w:r w:rsidRPr="00A37731">
        <w:t>n</w:t>
      </w:r>
      <w:r w:rsidRPr="00A37731">
        <w:t>naissant à l'égard de son peuple élu que jadis Yahvé à l'égard du sien. Mais le développement intérieur de la nouvelle religion s'arrêta bie</w:t>
      </w:r>
      <w:r w:rsidRPr="00A37731">
        <w:t>n</w:t>
      </w:r>
      <w:r w:rsidRPr="00A37731">
        <w:t>tôt, peut-être parce qu'il manquait l'approfondissement que produisit, dans le cas du pe</w:t>
      </w:r>
      <w:r w:rsidRPr="00A37731">
        <w:t>u</w:t>
      </w:r>
      <w:r w:rsidRPr="00A37731">
        <w:t>ple juif, le meurtre du fondateur de la religion</w:t>
      </w:r>
      <w:r>
        <w:t> </w:t>
      </w:r>
      <w:r>
        <w:rPr>
          <w:rStyle w:val="Appelnotedebasdep"/>
        </w:rPr>
        <w:footnoteReference w:id="132"/>
      </w:r>
      <w:r w:rsidRPr="00A37731">
        <w:t> ».</w:t>
      </w:r>
    </w:p>
    <w:p w:rsidR="00B7214C" w:rsidRDefault="00B7214C" w:rsidP="00B7214C">
      <w:pPr>
        <w:spacing w:before="120" w:after="120"/>
        <w:jc w:val="both"/>
      </w:pPr>
      <w:r>
        <w:t>[219]</w:t>
      </w:r>
    </w:p>
    <w:p w:rsidR="00B7214C" w:rsidRPr="00A37731" w:rsidRDefault="00B7214C" w:rsidP="00B7214C">
      <w:pPr>
        <w:spacing w:before="120" w:after="120"/>
        <w:jc w:val="both"/>
      </w:pPr>
      <w:r w:rsidRPr="00A37731">
        <w:t>Se pourrait-il que « cet handicap » de l'islam - l'absence du meurtre qui structure le rapport à la Loi via la faute initiale ; la Loi qui est lig</w:t>
      </w:r>
      <w:r w:rsidRPr="00A37731">
        <w:t>a</w:t>
      </w:r>
      <w:r w:rsidRPr="00A37731">
        <w:t>ture d'un manque qu'elle reconnaît - soit r</w:t>
      </w:r>
      <w:r w:rsidRPr="00A37731">
        <w:t>e</w:t>
      </w:r>
      <w:r w:rsidRPr="00A37731">
        <w:t>devable à un autre, d'ordre socio- historique : son arrivée tardive, au VII</w:t>
      </w:r>
      <w:r w:rsidRPr="00A37731">
        <w:rPr>
          <w:vertAlign w:val="superscript"/>
        </w:rPr>
        <w:t>e</w:t>
      </w:r>
      <w:r w:rsidRPr="00A37731">
        <w:t xml:space="preserve"> siècle de l'ère chrétie</w:t>
      </w:r>
      <w:r w:rsidRPr="00A37731">
        <w:t>n</w:t>
      </w:r>
      <w:r w:rsidRPr="00A37731">
        <w:t>ne, tandis que, comme la religion chrétienne et contrairement au j</w:t>
      </w:r>
      <w:r w:rsidRPr="00A37731">
        <w:t>u</w:t>
      </w:r>
      <w:r w:rsidRPr="00A37731">
        <w:t>daïsme, il se veut universel. Si, pour la chrétienté, l'islam peut ais</w:t>
      </w:r>
      <w:r w:rsidRPr="00A37731">
        <w:t>é</w:t>
      </w:r>
      <w:r w:rsidRPr="00A37731">
        <w:t>ment être représenté comme une hérésie, une doctrine fausse, la cré</w:t>
      </w:r>
      <w:r w:rsidRPr="00A37731">
        <w:t>a</w:t>
      </w:r>
      <w:r w:rsidRPr="00A37731">
        <w:t>tion d'un homme hérétique ou imposteur, pour Muhammad, la t</w:t>
      </w:r>
      <w:r w:rsidRPr="00A37731">
        <w:t>â</w:t>
      </w:r>
      <w:r w:rsidRPr="00A37731">
        <w:t>che est moins aisée, il doit établir que son message contient les précédents afin d'amener les juifs et les chrétiens à la conversion, à délaisser leurs erreurs.</w:t>
      </w:r>
    </w:p>
    <w:p w:rsidR="00B7214C" w:rsidRPr="00A37731" w:rsidRDefault="00B7214C" w:rsidP="00B7214C">
      <w:pPr>
        <w:spacing w:before="120" w:after="120"/>
        <w:jc w:val="both"/>
      </w:pPr>
      <w:r w:rsidRPr="00A37731">
        <w:t>Son trait de génie consisterait à islamiser le message et les perso</w:t>
      </w:r>
      <w:r w:rsidRPr="00A37731">
        <w:t>n</w:t>
      </w:r>
      <w:r w:rsidRPr="00A37731">
        <w:t>nages antérieurs. Ainsi d'Abraham, appelé le Père des Croyants, le Coran dit qu'il n'a été ni un juif, ni un chrétien, mais un musulman, c'est-à-dire un soumis. Selon Arkoun</w:t>
      </w:r>
      <w:r>
        <w:t> </w:t>
      </w:r>
      <w:r>
        <w:rPr>
          <w:rStyle w:val="Appelnotedebasdep"/>
        </w:rPr>
        <w:footnoteReference w:id="133"/>
      </w:r>
      <w:r w:rsidRPr="00A37731">
        <w:t>, qui insiste aussi sur le cara</w:t>
      </w:r>
      <w:r w:rsidRPr="00A37731">
        <w:t>c</w:t>
      </w:r>
      <w:r w:rsidRPr="00A37731">
        <w:t>tère religieux du modèle que r</w:t>
      </w:r>
      <w:r w:rsidRPr="00A37731">
        <w:t>e</w:t>
      </w:r>
      <w:r w:rsidRPr="00A37731">
        <w:t xml:space="preserve">présente Abraham, cette qualification « ne renvoyait pas à l'islam, défini par les théologiens et les juristes après le Coran et les enseignements de Muhammad ; </w:t>
      </w:r>
      <w:r w:rsidRPr="005A2A0E">
        <w:rPr>
          <w:i/>
          <w:iCs/>
        </w:rPr>
        <w:t>muslim</w:t>
      </w:r>
      <w:r w:rsidRPr="00A37731">
        <w:t xml:space="preserve"> désigne donc l'attitude religieuse, idéale, symbolisée par la conduite d'Abr</w:t>
      </w:r>
      <w:r w:rsidRPr="00A37731">
        <w:t>a</w:t>
      </w:r>
      <w:r w:rsidRPr="00A37731">
        <w:t>ham, conformément au Pacte ou Alliance (</w:t>
      </w:r>
      <w:r w:rsidRPr="005A2A0E">
        <w:rPr>
          <w:i/>
          <w:iCs/>
        </w:rPr>
        <w:t>mithaq</w:t>
      </w:r>
      <w:r w:rsidRPr="00A37731">
        <w:t>) dont parlent la B</w:t>
      </w:r>
      <w:r w:rsidRPr="00A37731">
        <w:t>i</w:t>
      </w:r>
      <w:r w:rsidRPr="00A37731">
        <w:t xml:space="preserve">ble et le Coran. C'est pour cela qu'Abraham est nommé le Père des Croyants : il incarne l'attitude religieuse fondatrice du monothéisme </w:t>
      </w:r>
      <w:r w:rsidRPr="00BD1471">
        <w:rPr>
          <w:i/>
          <w:iCs/>
        </w:rPr>
        <w:t>avant</w:t>
      </w:r>
      <w:r w:rsidRPr="00A37731">
        <w:t xml:space="preserve"> l'institution des rituels et des législations qui définissent et pa</w:t>
      </w:r>
      <w:r w:rsidRPr="00A37731">
        <w:t>r</w:t>
      </w:r>
      <w:r w:rsidRPr="00A37731">
        <w:t>ticularisent les trois rel</w:t>
      </w:r>
      <w:r w:rsidRPr="00A37731">
        <w:t>i</w:t>
      </w:r>
      <w:r w:rsidRPr="00A37731">
        <w:t>gions monothéistes. Cette attitude religieuse initiale, fondatr</w:t>
      </w:r>
      <w:r w:rsidRPr="00A37731">
        <w:t>i</w:t>
      </w:r>
      <w:r w:rsidRPr="00A37731">
        <w:t xml:space="preserve">ce de l'Alliance, non dans un temps historique et un espace repérable, mais dans l'espace-temps infini de la conscience, sollicitée par l'Absolu, hors de toutes les déterminations du langage, de la loi, de la tradition... Cette attitude, en arabe, dans </w:t>
      </w:r>
      <w:r>
        <w:t>le Coran, se nomme islam [&lt;sou</w:t>
      </w:r>
      <w:r w:rsidRPr="00A37731">
        <w:t>mission&gt;]. » Moubarac</w:t>
      </w:r>
      <w:r>
        <w:t> </w:t>
      </w:r>
      <w:r>
        <w:rPr>
          <w:rStyle w:val="Appelnotedebasdep"/>
        </w:rPr>
        <w:footnoteReference w:id="134"/>
      </w:r>
      <w:r w:rsidRPr="00A37731">
        <w:t xml:space="preserve"> lui aussi souligne la priorité du religieux sur le politique. Il ne s'agirait pas d'un renouve</w:t>
      </w:r>
      <w:r w:rsidRPr="00A37731">
        <w:t>l</w:t>
      </w:r>
      <w:r w:rsidRPr="00A37731">
        <w:t>lement de la doctrine par les différents prophètes, dont Jésus et M</w:t>
      </w:r>
      <w:r w:rsidRPr="00A37731">
        <w:t>u</w:t>
      </w:r>
      <w:r w:rsidRPr="00A37731">
        <w:t>hammad, mais d'un re</w:t>
      </w:r>
      <w:r w:rsidRPr="00A37731">
        <w:t>s</w:t>
      </w:r>
      <w:r w:rsidRPr="00A37731">
        <w:t>sourcement opéré par ce dernier : l'Islam se désolidarise des juifs et des chrétiens « pour avoir découvert en Abr</w:t>
      </w:r>
      <w:r w:rsidRPr="00A37731">
        <w:t>a</w:t>
      </w:r>
      <w:r w:rsidRPr="00A37731">
        <w:t xml:space="preserve">ham un type religieux </w:t>
      </w:r>
      <w:r w:rsidRPr="005A2A0E">
        <w:rPr>
          <w:i/>
          <w:iCs/>
        </w:rPr>
        <w:t>antérieur</w:t>
      </w:r>
      <w:r w:rsidRPr="00A37731">
        <w:t xml:space="preserve"> à la révélation judéo-chrétienne qui en sera venue à la défigurer. ».</w:t>
      </w:r>
    </w:p>
    <w:p w:rsidR="00B7214C" w:rsidRDefault="00B7214C" w:rsidP="00B7214C">
      <w:pPr>
        <w:spacing w:before="120" w:after="120"/>
        <w:jc w:val="both"/>
      </w:pPr>
      <w:r w:rsidRPr="00A37731">
        <w:t>Cette antériorité, Sibony</w:t>
      </w:r>
      <w:r>
        <w:t> </w:t>
      </w:r>
      <w:r>
        <w:rPr>
          <w:rStyle w:val="Appelnotedebasdep"/>
        </w:rPr>
        <w:footnoteReference w:id="135"/>
      </w:r>
      <w:r w:rsidRPr="00A37731">
        <w:t xml:space="preserve"> la traduit</w:t>
      </w:r>
      <w:r>
        <w:t> </w:t>
      </w:r>
      <w:r>
        <w:rPr>
          <w:rStyle w:val="Appelnotedebasdep"/>
        </w:rPr>
        <w:footnoteReference w:id="136"/>
      </w:r>
      <w:r w:rsidRPr="00A37731">
        <w:t xml:space="preserve"> par : « l'élaboration que fait le Coran de l'origine introduit, dans l'identité qu'il fonde, une sorte d'achèvement, de perfection qui l'encombre, qui l'empêche de &lt;bo</w:t>
      </w:r>
      <w:r w:rsidRPr="00A37731">
        <w:t>u</w:t>
      </w:r>
      <w:r w:rsidRPr="00A37731">
        <w:t xml:space="preserve">ger&gt;, sur le plan collectif comme sur le plan individuel, et qui semble la soustraire au temps, donc à l'histoire ». En d'autres mots, toujours selon cet auteur, « le messianisme coranique, </w:t>
      </w:r>
      <w:r w:rsidRPr="005A2A0E">
        <w:rPr>
          <w:i/>
          <w:iCs/>
        </w:rPr>
        <w:t>c'est</w:t>
      </w:r>
      <w:r w:rsidRPr="00A37731">
        <w:t xml:space="preserve"> l'origine plein</w:t>
      </w:r>
      <w:r w:rsidRPr="00A37731">
        <w:t>e</w:t>
      </w:r>
      <w:r w:rsidRPr="00A37731">
        <w:t>ment achevée qu'il élabore</w:t>
      </w:r>
      <w:r>
        <w:t> </w:t>
      </w:r>
      <w:r>
        <w:rPr>
          <w:rStyle w:val="Appelnotedebasdep"/>
        </w:rPr>
        <w:footnoteReference w:id="137"/>
      </w:r>
      <w:r w:rsidRPr="00A37731">
        <w:t> ». L'horreur des commencements fait place au sentiment que l'appartenance est payée d'avance - l'enfant naît musulman et non pas marqué par le péché originel. L'horreur des commencements fait place à la plénitude, à la totalité e</w:t>
      </w:r>
      <w:r w:rsidRPr="00A37731">
        <w:t>x</w:t>
      </w:r>
      <w:r w:rsidRPr="00A37731">
        <w:t>haustive, à l'absence de manque.</w:t>
      </w:r>
    </w:p>
    <w:p w:rsidR="00B7214C" w:rsidRPr="00A37731" w:rsidRDefault="00B7214C" w:rsidP="00B7214C">
      <w:pPr>
        <w:spacing w:before="120" w:after="120"/>
        <w:jc w:val="both"/>
      </w:pPr>
      <w:r>
        <w:t>[220]</w:t>
      </w:r>
    </w:p>
    <w:p w:rsidR="00B7214C" w:rsidRPr="00A37731" w:rsidRDefault="00B7214C" w:rsidP="00B7214C">
      <w:pPr>
        <w:spacing w:before="120" w:after="120"/>
        <w:jc w:val="both"/>
      </w:pPr>
      <w:r w:rsidRPr="00A37731">
        <w:t>L'altérité est absorbée par Allah et</w:t>
      </w:r>
      <w:r>
        <w:t xml:space="preserve"> par les « insoumis », les non-</w:t>
      </w:r>
      <w:r w:rsidRPr="00A37731">
        <w:t>musulmans, au sein desquels sont toutefois distingués les gens du L</w:t>
      </w:r>
      <w:r w:rsidRPr="00A37731">
        <w:t>i</w:t>
      </w:r>
      <w:r w:rsidRPr="00A37731">
        <w:t>vre. L'altérité ne traverse pas l'homme musu</w:t>
      </w:r>
      <w:r w:rsidRPr="00A37731">
        <w:t>l</w:t>
      </w:r>
      <w:r w:rsidRPr="00A37731">
        <w:t>man. On pourrait, si le temps n'était pas compté, revenir lo</w:t>
      </w:r>
      <w:r w:rsidRPr="00A37731">
        <w:t>n</w:t>
      </w:r>
      <w:r w:rsidRPr="00A37731">
        <w:t>guement sur le personnage d'Abraham, le Père des Croyants, en étant attentif à celui qui personn</w:t>
      </w:r>
      <w:r w:rsidRPr="00A37731">
        <w:t>i</w:t>
      </w:r>
      <w:r w:rsidRPr="00A37731">
        <w:t>fie le sacrifice</w:t>
      </w:r>
      <w:r>
        <w:t> </w:t>
      </w:r>
      <w:r>
        <w:rPr>
          <w:rStyle w:val="Appelnotedebasdep"/>
        </w:rPr>
        <w:footnoteReference w:id="138"/>
      </w:r>
      <w:r w:rsidRPr="00A37731">
        <w:t>. Qu'il s'agisse d'Isaac dans la version juive puis chrétienne ou d'Ismaël dans la version islamique, son existence ma</w:t>
      </w:r>
      <w:r w:rsidRPr="00A37731">
        <w:t>r</w:t>
      </w:r>
      <w:r w:rsidRPr="00A37731">
        <w:t>que une vi</w:t>
      </w:r>
      <w:r w:rsidRPr="00A37731">
        <w:t>c</w:t>
      </w:r>
      <w:r w:rsidRPr="00A37731">
        <w:t>toire « artificielle » sur la stérilité - féminine, comme il se doit</w:t>
      </w:r>
      <w:r>
        <w:t> </w:t>
      </w:r>
      <w:r>
        <w:rPr>
          <w:rStyle w:val="Appelnotedebasdep"/>
        </w:rPr>
        <w:footnoteReference w:id="139"/>
      </w:r>
      <w:r w:rsidRPr="00A37731">
        <w:t xml:space="preserve"> - sublimée par le « sacrifice » premier de Sarah qui permet à sa servante de la remplacer dans son rôle de mère. L'Alliance est re</w:t>
      </w:r>
      <w:r w:rsidRPr="00A37731">
        <w:t>n</w:t>
      </w:r>
      <w:r w:rsidRPr="00A37731">
        <w:t>due possible par cette sublimation féminine-là, mais c'est bien sûr Abraham qui en tire la gloire</w:t>
      </w:r>
      <w:r>
        <w:t> </w:t>
      </w:r>
      <w:r>
        <w:rPr>
          <w:rStyle w:val="Appelnotedebasdep"/>
        </w:rPr>
        <w:footnoteReference w:id="140"/>
      </w:r>
      <w:r w:rsidRPr="00A37731">
        <w:t>. Autr</w:t>
      </w:r>
      <w:r w:rsidRPr="00A37731">
        <w:t>e</w:t>
      </w:r>
      <w:r w:rsidRPr="00A37731">
        <w:t>ment dit aussi, par « l'Alliance », de géniteur, de donneur de sperme à la servante</w:t>
      </w:r>
      <w:r>
        <w:t> </w:t>
      </w:r>
      <w:r>
        <w:rPr>
          <w:rStyle w:val="Appelnotedebasdep"/>
        </w:rPr>
        <w:footnoteReference w:id="141"/>
      </w:r>
      <w:r w:rsidRPr="00A37731">
        <w:t>, il d</w:t>
      </w:r>
      <w:r w:rsidRPr="00A37731">
        <w:t>e</w:t>
      </w:r>
      <w:r w:rsidRPr="00A37731">
        <w:t>vient Père des Croyants. N'est-ce pas la métaphore incontournable de ce que la m</w:t>
      </w:r>
      <w:r w:rsidRPr="00A37731">
        <w:t>a</w:t>
      </w:r>
      <w:r w:rsidRPr="00A37731">
        <w:t>tière qui régit l'alliance et l'héritage constitue le coeur du politique ?</w:t>
      </w:r>
    </w:p>
    <w:p w:rsidR="00B7214C" w:rsidRPr="00A37731" w:rsidRDefault="00B7214C" w:rsidP="00B7214C">
      <w:pPr>
        <w:spacing w:before="120" w:after="120"/>
        <w:jc w:val="both"/>
      </w:pPr>
      <w:r w:rsidRPr="00A37731">
        <w:t>Dans cette occultation de l'horreur des commencements - Abraham pour tous - est exclu le féminin. Sont construites les femmes de telle sorte qu'elles incorporent en elles la segme</w:t>
      </w:r>
      <w:r w:rsidRPr="00A37731">
        <w:t>n</w:t>
      </w:r>
      <w:r w:rsidRPr="00A37731">
        <w:t>tation - Sara pour les juifs puis les chrétiens, Agar pour les musulmans. C'est bien d'incorpor</w:t>
      </w:r>
      <w:r w:rsidRPr="00A37731">
        <w:t>a</w:t>
      </w:r>
      <w:r w:rsidRPr="00A37731">
        <w:t>tion qu'il s'agit dans le sens où « ce qui est appris par le corps n'est pas quelque chose que l'on a, comme un savoir que l'on peut tenir devant soi, mais quelque chose que l'on est</w:t>
      </w:r>
      <w:r>
        <w:t> </w:t>
      </w:r>
      <w:r>
        <w:rPr>
          <w:rStyle w:val="Appelnotedebasdep"/>
        </w:rPr>
        <w:footnoteReference w:id="142"/>
      </w:r>
      <w:r w:rsidRPr="00A37731">
        <w:t> ». Et c'est bien de « femmes » qu'il s'agit. L'insistance sur le terme « femmes » renvoie à l'impérative distinction qu'il m'apparaît constamment néce</w:t>
      </w:r>
      <w:r w:rsidRPr="00A37731">
        <w:t>s</w:t>
      </w:r>
      <w:r w:rsidRPr="00A37731">
        <w:t>saire de maintenir entre « femme » et « mère », la première relevant d'une construction résu</w:t>
      </w:r>
      <w:r w:rsidRPr="00A37731">
        <w:t>l</w:t>
      </w:r>
      <w:r w:rsidRPr="00A37731">
        <w:t>tant d'un rapport binaire et la seconde d'un rapport trinaire. Au niveau de la représentation, il peut ainsi se faire que des mères ne sont pas femmes ou que des femmes ayant donné naissance à des enfants ne sont pas mères</w:t>
      </w:r>
      <w:r>
        <w:t> </w:t>
      </w:r>
      <w:r>
        <w:rPr>
          <w:rStyle w:val="Appelnotedebasdep"/>
        </w:rPr>
        <w:footnoteReference w:id="143"/>
      </w:r>
      <w:r w:rsidRPr="00A37731">
        <w:t>. Cela dit, revenons au Coran et retenons-en rapid</w:t>
      </w:r>
      <w:r w:rsidRPr="00A37731">
        <w:t>e</w:t>
      </w:r>
      <w:r w:rsidRPr="00A37731">
        <w:t xml:space="preserve">ment deux caractères qui </w:t>
      </w:r>
      <w:r w:rsidRPr="000D1A32">
        <w:t xml:space="preserve">y </w:t>
      </w:r>
      <w:r w:rsidRPr="00A37731">
        <w:t>président à la construction de la femme.</w:t>
      </w:r>
    </w:p>
    <w:p w:rsidR="00B7214C" w:rsidRPr="00A37731" w:rsidRDefault="00B7214C" w:rsidP="00B7214C">
      <w:pPr>
        <w:spacing w:before="120" w:after="120"/>
        <w:jc w:val="both"/>
      </w:pPr>
      <w:r w:rsidRPr="00A37731">
        <w:t>À la femme est reconnue une personnalité économique, e</w:t>
      </w:r>
      <w:r w:rsidRPr="00A37731">
        <w:t>l</w:t>
      </w:r>
      <w:r w:rsidRPr="00A37731">
        <w:t>le peut gérer ses biens. Cette reconnaissance est mise de l'avant pour soutenir que l'islam est une religion « féministe » et que le Prophète est venu libérer les femmes. La femme peut gérer ses biens, mais s'agit-il de biens propres ? Ses biens sont ceux qu'elle a reçus en dot de son mari. La dot est une condition du mariage. Elle est aussi le signe de la pr</w:t>
      </w:r>
      <w:r w:rsidRPr="00A37731">
        <w:t>é</w:t>
      </w:r>
      <w:r w:rsidRPr="00A37731">
        <w:t>éminence des hommes sur les femmes</w:t>
      </w:r>
      <w:r>
        <w:t> </w:t>
      </w:r>
      <w:r>
        <w:rPr>
          <w:rStyle w:val="Appelnotedebasdep"/>
        </w:rPr>
        <w:footnoteReference w:id="144"/>
      </w:r>
      <w:r w:rsidRPr="00A37731">
        <w:t> ! Ses biens sont aussi ceux qu'elle a reçus en héritage. Toutefois, parce qu'elle a une autonomie de gestion, sa part d'héritage représente une demi-portion de la part d'un héritier masculin de même niveau qui, lui, est censé la faire fructifier pour d'autres. On pourrait dire qu'une pe</w:t>
      </w:r>
      <w:r w:rsidRPr="00A37731">
        <w:t>r</w:t>
      </w:r>
      <w:r w:rsidRPr="00A37731">
        <w:t>sonnalité économique lui est reconnue à fonds perdus et que les biens dont elle dispose ne sont pas destinés à lui assurer un rôle de partenaire conjugal. Son mari est tenu, le mariage d</w:t>
      </w:r>
      <w:r w:rsidRPr="00A37731">
        <w:t>u</w:t>
      </w:r>
      <w:r w:rsidRPr="00A37731">
        <w:t>rant, de fair</w:t>
      </w:r>
      <w:r>
        <w:t>e face à son entretien intégral, [</w:t>
      </w:r>
      <w:r w:rsidRPr="00A37731">
        <w:t>221</w:t>
      </w:r>
      <w:r>
        <w:t xml:space="preserve">] </w:t>
      </w:r>
      <w:r w:rsidRPr="00A37731">
        <w:t>quelle que soit sa fortune à elle. Son capital économique ne l'int</w:t>
      </w:r>
      <w:r w:rsidRPr="00A37731">
        <w:t>è</w:t>
      </w:r>
      <w:r w:rsidRPr="00A37731">
        <w:t>gre pas à une communauté familiale. Elle est à l'ext</w:t>
      </w:r>
      <w:r w:rsidRPr="00A37731">
        <w:t>é</w:t>
      </w:r>
      <w:r w:rsidRPr="00A37731">
        <w:t>rieur.</w:t>
      </w:r>
    </w:p>
    <w:p w:rsidR="00B7214C" w:rsidRPr="00A37731" w:rsidRDefault="00B7214C" w:rsidP="00B7214C">
      <w:pPr>
        <w:spacing w:before="120" w:after="120"/>
        <w:jc w:val="both"/>
      </w:pPr>
      <w:r w:rsidRPr="00A37731">
        <w:t>Exorbitée économiquement, elle n'est pas propriétaire de son corps. Son père ou son représentant le livre vierge, into</w:t>
      </w:r>
      <w:r w:rsidRPr="00A37731">
        <w:t>u</w:t>
      </w:r>
      <w:r w:rsidRPr="00A37731">
        <w:t>ché, au mari qu'il choisit - celui-ci peut le renvoyer, séance de la nuit de noces t</w:t>
      </w:r>
      <w:r w:rsidRPr="00A37731">
        <w:t>e</w:t>
      </w:r>
      <w:r w:rsidRPr="00A37731">
        <w:t>nante, s'il estime qu'il a déjà été entamé. Ce privilège de la répudiation lui est accordé à tout moment, s</w:t>
      </w:r>
      <w:r w:rsidRPr="00A37731">
        <w:t>e</w:t>
      </w:r>
      <w:r w:rsidRPr="00A37731">
        <w:t>lon sa volonté, par exemple si le corps de la femme ne produit que des filles. Elle n'aura un statut de mère reconnu que lor</w:t>
      </w:r>
      <w:r w:rsidRPr="00A37731">
        <w:t>s</w:t>
      </w:r>
      <w:r w:rsidRPr="00A37731">
        <w:t>qu'elle sera belle-mère et donc grand-mère, lorsque son corps cessera d'être un outil de production d'enfants ma</w:t>
      </w:r>
      <w:r w:rsidRPr="00A37731">
        <w:t>s</w:t>
      </w:r>
      <w:r w:rsidRPr="00A37731">
        <w:t>culins. En ce sens, la virginité initiale, au moment du mariage, est r</w:t>
      </w:r>
      <w:r w:rsidRPr="00A37731">
        <w:t>e</w:t>
      </w:r>
      <w:r w:rsidRPr="00A37731">
        <w:t>conduite à chaque conception de fils. Il est le fruit d'une vie</w:t>
      </w:r>
      <w:r w:rsidRPr="00A37731">
        <w:t>r</w:t>
      </w:r>
      <w:r w:rsidRPr="00A37731">
        <w:t>ge. Cette obsession de la virginité</w:t>
      </w:r>
      <w:r>
        <w:t> </w:t>
      </w:r>
      <w:r>
        <w:rPr>
          <w:rStyle w:val="Appelnotedebasdep"/>
        </w:rPr>
        <w:footnoteReference w:id="145"/>
      </w:r>
      <w:r w:rsidRPr="00A37731">
        <w:t>, qui exprime le fantasme de l'origine sans faille, se lit dans la représentation du paradis coranique : la récompe</w:t>
      </w:r>
      <w:r w:rsidRPr="00A37731">
        <w:t>n</w:t>
      </w:r>
      <w:r w:rsidRPr="00A37731">
        <w:t>se des vrais croyants consiste en la jouissance sexuelle de la femme vierge en son essence : « l'homme jouit de ces femmes &lt;paradisi</w:t>
      </w:r>
      <w:r w:rsidRPr="00A37731">
        <w:t>a</w:t>
      </w:r>
      <w:r w:rsidRPr="00A37731">
        <w:t xml:space="preserve">ques&gt; </w:t>
      </w:r>
      <w:r w:rsidRPr="00B011B6">
        <w:rPr>
          <w:iCs/>
        </w:rPr>
        <w:t>et</w:t>
      </w:r>
      <w:r w:rsidRPr="00A37731">
        <w:t xml:space="preserve"> elles re</w:t>
      </w:r>
      <w:r w:rsidRPr="00A37731">
        <w:t>s</w:t>
      </w:r>
      <w:r w:rsidRPr="00A37731">
        <w:t>tent intouchées</w:t>
      </w:r>
      <w:r>
        <w:t> </w:t>
      </w:r>
      <w:r>
        <w:rPr>
          <w:rStyle w:val="Appelnotedebasdep"/>
        </w:rPr>
        <w:footnoteReference w:id="146"/>
      </w:r>
      <w:r w:rsidRPr="00A37731">
        <w:t> ». L'occultation de l'horreu</w:t>
      </w:r>
      <w:r>
        <w:t>r des commencements rend inenta</w:t>
      </w:r>
      <w:r w:rsidRPr="00A37731">
        <w:t>mée la Mère originaire ; elle est immo</w:t>
      </w:r>
      <w:r w:rsidRPr="00A37731">
        <w:t>r</w:t>
      </w:r>
      <w:r w:rsidRPr="00A37731">
        <w:t>celable en autant de mères avec minuscule. Aussi les femmes restent-elles femmes tant qu'elles ne sont pas grand-mères. Cette représent</w:t>
      </w:r>
      <w:r w:rsidRPr="00A37731">
        <w:t>a</w:t>
      </w:r>
      <w:r w:rsidRPr="00A37731">
        <w:t>tion sociale n'empêche certes pas chaque fils de prendre la femme de son père pour la Mère et elle-même de s'y laisser prendre.</w:t>
      </w:r>
    </w:p>
    <w:p w:rsidR="00B7214C" w:rsidRDefault="00B7214C" w:rsidP="00B7214C">
      <w:pPr>
        <w:spacing w:before="120" w:after="120"/>
        <w:jc w:val="both"/>
      </w:pPr>
      <w:r w:rsidRPr="00A37731">
        <w:t>Le fantasme de l'origine sans faille qui s'imprime quot</w:t>
      </w:r>
      <w:r w:rsidRPr="00A37731">
        <w:t>i</w:t>
      </w:r>
      <w:r w:rsidRPr="00A37731">
        <w:t>diennement sur le corps des femmes, sur l'irreprésentée mère avec minuscule, dont l'autonomie économique joue à l'exclusion de la communauté famili</w:t>
      </w:r>
      <w:r w:rsidRPr="00A37731">
        <w:t>a</w:t>
      </w:r>
      <w:r w:rsidRPr="00A37731">
        <w:t>le alors que les moyens de ce</w:t>
      </w:r>
      <w:r w:rsidRPr="00A37731">
        <w:t>t</w:t>
      </w:r>
      <w:r w:rsidRPr="00A37731">
        <w:t>te autonomie sont endogènes à cette communauté, a encore d'autres conséquences qui, elles, reçoivent une attention plus médiatique... ou scientifique. Les islamistes n'ont pas de « projet » politique, la cité idéale qu'ils prônent se situe de</w:t>
      </w:r>
      <w:r w:rsidRPr="00A37731">
        <w:t>r</w:t>
      </w:r>
      <w:r w:rsidRPr="00A37731">
        <w:t>rière eux, à l'origine, et non devant. Il ne s'agit pas de travai</w:t>
      </w:r>
      <w:r w:rsidRPr="00A37731">
        <w:t>l</w:t>
      </w:r>
      <w:r w:rsidRPr="00A37731">
        <w:t>ler à l'avènement du royaume de Dieu sur terre mais de rev</w:t>
      </w:r>
      <w:r w:rsidRPr="00A37731">
        <w:t>e</w:t>
      </w:r>
      <w:r w:rsidRPr="00A37731">
        <w:t>nir au temps du Prophète. L'âge d'or politique n'est pas à con</w:t>
      </w:r>
      <w:r w:rsidRPr="00A37731">
        <w:t>s</w:t>
      </w:r>
      <w:r w:rsidRPr="00A37731">
        <w:t>truire, il a existé au premier siècle de l'Hégire, il « suffit » d'y revenir. C'est aussi en tenant compte de cette perception de l'origine que l'on peut comprendre le caractère i</w:t>
      </w:r>
      <w:r w:rsidRPr="00A37731">
        <w:t>n</w:t>
      </w:r>
      <w:r w:rsidRPr="00A37731">
        <w:t>tolérable que représente l'État d'Israël ou encore la faute qu'a constitué sa réécriture par Shalman Rusdhie. Plus profondément, si possible, cette perfection de départ imprègne la gestion du politique - ou du non-politique ; comment le politique pou</w:t>
      </w:r>
      <w:r w:rsidRPr="00A37731">
        <w:t>r</w:t>
      </w:r>
      <w:r w:rsidRPr="00A37731">
        <w:t>rait-il se construire sur la base d'une perfection originaire ? - dans sa quotidienneté, même lor</w:t>
      </w:r>
      <w:r w:rsidRPr="00A37731">
        <w:t>s</w:t>
      </w:r>
      <w:r w:rsidRPr="00A37731">
        <w:t>qu'elle n'est pas aux mains des islamistes. Reprenons le fil de l'histo</w:t>
      </w:r>
      <w:r w:rsidRPr="00A37731">
        <w:t>i</w:t>
      </w:r>
      <w:r w:rsidRPr="00A37731">
        <w:t>re.</w:t>
      </w:r>
    </w:p>
    <w:p w:rsidR="00B7214C" w:rsidRDefault="00B7214C" w:rsidP="00B7214C">
      <w:pPr>
        <w:spacing w:before="120" w:after="120"/>
        <w:jc w:val="both"/>
      </w:pPr>
      <w:r>
        <w:t>[222]</w:t>
      </w:r>
    </w:p>
    <w:p w:rsidR="00B7214C" w:rsidRDefault="00B7214C" w:rsidP="00B7214C">
      <w:pPr>
        <w:spacing w:before="120" w:after="120"/>
        <w:jc w:val="both"/>
      </w:pPr>
    </w:p>
    <w:p w:rsidR="00B7214C" w:rsidRDefault="00B7214C" w:rsidP="00B7214C">
      <w:pPr>
        <w:pStyle w:val="a"/>
      </w:pPr>
      <w:r>
        <w:t>LE VOILE-SIGNAL</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À certains égards, l'Algérie - le terme lui-même n'existe que depuis 1831</w:t>
      </w:r>
      <w:r>
        <w:t> </w:t>
      </w:r>
      <w:r>
        <w:rPr>
          <w:rStyle w:val="Appelnotedebasdep"/>
        </w:rPr>
        <w:footnoteReference w:id="147"/>
      </w:r>
      <w:r w:rsidRPr="00A37731">
        <w:t>, soit après la prise d'Alger par les Français - est une anom</w:t>
      </w:r>
      <w:r w:rsidRPr="00A37731">
        <w:t>a</w:t>
      </w:r>
      <w:r w:rsidRPr="00A37731">
        <w:t>lie : elle est une construction anomale, c'est-à-dire une construction qui présente un caractère aberrant, sans être incorrect ou anormal, par rapport à un type ou à une r</w:t>
      </w:r>
      <w:r w:rsidRPr="00A37731">
        <w:t>è</w:t>
      </w:r>
      <w:r w:rsidRPr="00A37731">
        <w:t>gle. L'Algérie incarne l'anomalie de la France colonisatrice-héritière de la Révolution</w:t>
      </w:r>
      <w:r>
        <w:t> </w:t>
      </w:r>
      <w:r>
        <w:rPr>
          <w:rStyle w:val="Appelnotedebasdep"/>
        </w:rPr>
        <w:footnoteReference w:id="148"/>
      </w:r>
      <w:r w:rsidRPr="00A37731">
        <w:t>. Il n'est pas ici le lieu de réécrire l'histoire de la colonisation française en Algérie. Pour avancer dans cet exposé, je soulignerai seulement qu'elle a exacerbé l'identification du peuple algérien à la religion islamique.</w:t>
      </w:r>
    </w:p>
    <w:p w:rsidR="00B7214C" w:rsidRPr="00A37731" w:rsidRDefault="00B7214C" w:rsidP="00B7214C">
      <w:pPr>
        <w:spacing w:before="120" w:after="120"/>
        <w:jc w:val="both"/>
      </w:pPr>
      <w:r w:rsidRPr="00A37731">
        <w:t>C'est en prenant appui sur la religion que les Algériens purent r</w:t>
      </w:r>
      <w:r w:rsidRPr="00A37731">
        <w:t>e</w:t>
      </w:r>
      <w:r w:rsidRPr="00A37731">
        <w:t>vendiquer leur indépendance. Ceci ne tient pas à ce que la religion islamique ait une assise « nationaliste » - au contraire, on l'a vu, l'im</w:t>
      </w:r>
      <w:r w:rsidRPr="00A37731">
        <w:t>a</w:t>
      </w:r>
      <w:r w:rsidRPr="00A37731">
        <w:t xml:space="preserve">ginaire islamique ne renvoie pas à la nation, mais à </w:t>
      </w:r>
      <w:r>
        <w:t>l’</w:t>
      </w:r>
      <w:r w:rsidRPr="00BD1471">
        <w:rPr>
          <w:i/>
          <w:iCs/>
        </w:rPr>
        <w:t>Oumma,</w:t>
      </w:r>
      <w:r w:rsidRPr="00A37731">
        <w:t xml:space="preserve"> la co</w:t>
      </w:r>
      <w:r w:rsidRPr="00A37731">
        <w:t>m</w:t>
      </w:r>
      <w:r w:rsidRPr="00A37731">
        <w:t>munauté des croyants, qui transcende les frontières nationales. La r</w:t>
      </w:r>
      <w:r w:rsidRPr="00A37731">
        <w:t>e</w:t>
      </w:r>
      <w:r w:rsidRPr="00A37731">
        <w:t>ligion put servir d'assise à la revendication de l'indépendance parce qu'elle était le seul terrain sur lequel les Algériens n'avaient pas été totalement spoliés</w:t>
      </w:r>
      <w:r>
        <w:t> </w:t>
      </w:r>
      <w:r>
        <w:rPr>
          <w:rStyle w:val="Appelnotedebasdep"/>
        </w:rPr>
        <w:footnoteReference w:id="149"/>
      </w:r>
      <w:r w:rsidRPr="00A37731">
        <w:t>.</w:t>
      </w:r>
    </w:p>
    <w:p w:rsidR="00B7214C" w:rsidRPr="00A37731" w:rsidRDefault="00B7214C" w:rsidP="00B7214C">
      <w:pPr>
        <w:spacing w:before="120" w:after="120"/>
        <w:jc w:val="both"/>
      </w:pPr>
      <w:r w:rsidRPr="00A37731">
        <w:t>Il ne faudrait pourtant pas passer sous silence la destru</w:t>
      </w:r>
      <w:r w:rsidRPr="00A37731">
        <w:t>c</w:t>
      </w:r>
      <w:r w:rsidRPr="00A37731">
        <w:t>tion de nombreuses mosquées, au début de la colonisation, ou leur transfo</w:t>
      </w:r>
      <w:r w:rsidRPr="00A37731">
        <w:t>r</w:t>
      </w:r>
      <w:r w:rsidRPr="00A37731">
        <w:t>mation en églises catholiques ; l'accaparement des fondations pieuses ou la dispersion de cimetières ; plus grave, de multiples tracasseries furent opposées à l'enseign</w:t>
      </w:r>
      <w:r w:rsidRPr="00A37731">
        <w:t>e</w:t>
      </w:r>
      <w:r w:rsidRPr="00A37731">
        <w:t>ment du Coran parce qu'il consistait aussi en un enseignement de la langue arabe ; ce qui aura des conséquences lointaines, notamment en ce que la culture religieuse sera relativement frustre. Il n'y a pas lieu d'assimiler l'Algérie à l'Iran. Sans compter « la création d'un clergé officiel nommé et rémunéré par les autorités fra</w:t>
      </w:r>
      <w:r w:rsidRPr="00A37731">
        <w:t>n</w:t>
      </w:r>
      <w:r w:rsidRPr="00A37731">
        <w:t>çaises</w:t>
      </w:r>
      <w:r>
        <w:t> </w:t>
      </w:r>
      <w:r>
        <w:rPr>
          <w:rStyle w:val="Appelnotedebasdep"/>
        </w:rPr>
        <w:footnoteReference w:id="150"/>
      </w:r>
      <w:r w:rsidRPr="00A37731">
        <w:t> ».</w:t>
      </w:r>
    </w:p>
    <w:p w:rsidR="00B7214C" w:rsidRPr="00A37731" w:rsidRDefault="00B7214C" w:rsidP="00B7214C">
      <w:pPr>
        <w:spacing w:before="120" w:after="120"/>
        <w:jc w:val="both"/>
      </w:pPr>
      <w:r w:rsidRPr="00A37731">
        <w:t>Plus, il n'est pas peu important que l'accès à la citoyenneté se jouait, déjà sous la colonisation, autour du statut personnel. Alors que l'Algérie avait un statut qui l'assimilait à un ense</w:t>
      </w:r>
      <w:r w:rsidRPr="00A37731">
        <w:t>m</w:t>
      </w:r>
      <w:r w:rsidRPr="00A37731">
        <w:t>ble de départements français, les Algériens — « les indigènes » ou encore « les musu</w:t>
      </w:r>
      <w:r w:rsidRPr="00A37731">
        <w:t>l</w:t>
      </w:r>
      <w:r w:rsidRPr="00A37731">
        <w:t>mans » — ne pouvaient accéder à la citoyenneté française que s'ils renonçaient au « statut personnel ». La France se garda bien de to</w:t>
      </w:r>
      <w:r w:rsidRPr="00A37731">
        <w:t>u</w:t>
      </w:r>
      <w:r w:rsidRPr="00A37731">
        <w:t>cher aux lois qui g</w:t>
      </w:r>
      <w:r w:rsidRPr="00A37731">
        <w:t>é</w:t>
      </w:r>
      <w:r w:rsidRPr="00A37731">
        <w:t>raient le mariage, le divorce</w:t>
      </w:r>
      <w:r>
        <w:t> </w:t>
      </w:r>
      <w:r>
        <w:rPr>
          <w:rStyle w:val="Appelnotedebasdep"/>
        </w:rPr>
        <w:footnoteReference w:id="151"/>
      </w:r>
      <w:r w:rsidRPr="00A37731">
        <w:t xml:space="preserve"> ou l'héritage alors qu'elle imp</w:t>
      </w:r>
      <w:r w:rsidRPr="00A37731">
        <w:t>o</w:t>
      </w:r>
      <w:r w:rsidRPr="00A37731">
        <w:t>sa son droit sur toutes les autres matières.</w:t>
      </w:r>
      <w:r>
        <w:t xml:space="preserve"> Elle </w:t>
      </w:r>
      <w:r w:rsidRPr="00A37731">
        <w:t>s'employa au contraire à unifier le respect de la loi islamique en matière de statut personnel sur l'ensemble du territoire en rognant les éléments de « la coutume kabyle » qui ne s'y conformaient pas</w:t>
      </w:r>
      <w:r>
        <w:t> </w:t>
      </w:r>
      <w:r>
        <w:rPr>
          <w:rStyle w:val="Appelnotedebasdep"/>
        </w:rPr>
        <w:footnoteReference w:id="152"/>
      </w:r>
      <w:r w:rsidRPr="00A37731">
        <w:t>.</w:t>
      </w:r>
    </w:p>
    <w:p w:rsidR="00B7214C" w:rsidRPr="00A37731" w:rsidRDefault="00B7214C" w:rsidP="00B7214C">
      <w:pPr>
        <w:spacing w:before="120" w:after="120"/>
        <w:jc w:val="both"/>
      </w:pPr>
      <w:r w:rsidRPr="00A37731">
        <w:t>Par l'obligation du renoncement au statut personnel comme cond</w:t>
      </w:r>
      <w:r w:rsidRPr="00A37731">
        <w:t>i</w:t>
      </w:r>
      <w:r w:rsidRPr="00A37731">
        <w:t>tion d'accès à la citoyenneté, la France coloniale, républicaine et la</w:t>
      </w:r>
      <w:r w:rsidRPr="00A37731">
        <w:t>ï</w:t>
      </w:r>
      <w:r w:rsidRPr="00A37731">
        <w:t>que, mettaient ceux qu'elle appelait les musulmans face à l'alternat</w:t>
      </w:r>
      <w:r w:rsidRPr="00A37731">
        <w:t>i</w:t>
      </w:r>
      <w:r w:rsidRPr="00A37731">
        <w:t>ve : rester</w:t>
      </w:r>
      <w:r>
        <w:t xml:space="preserve"> [</w:t>
      </w:r>
      <w:r w:rsidRPr="00A37731">
        <w:t>223</w:t>
      </w:r>
      <w:r>
        <w:t xml:space="preserve">] </w:t>
      </w:r>
      <w:r w:rsidRPr="00A37731">
        <w:t>fidèles à leur religion et demeurer sujets, renoncer à leur religion et devenir citoyens français. Ce qu'ils firent en no</w:t>
      </w:r>
      <w:r w:rsidRPr="00A37731">
        <w:t>m</w:t>
      </w:r>
      <w:r w:rsidRPr="00A37731">
        <w:t>bre infime. En posant cette condition, la France républicaine et laïque, sous la poussée ha</w:t>
      </w:r>
      <w:r w:rsidRPr="00A37731">
        <w:t>r</w:t>
      </w:r>
      <w:r w:rsidRPr="00A37731">
        <w:t>gneuse des colons, imposait un apartheid politique. Mais, en compe</w:t>
      </w:r>
      <w:r w:rsidRPr="00A37731">
        <w:t>n</w:t>
      </w:r>
      <w:r w:rsidRPr="00A37731">
        <w:t>sation pourrait-on dire, la patrie de l'égalité laissait aux hommes col</w:t>
      </w:r>
      <w:r w:rsidRPr="00A37731">
        <w:t>o</w:t>
      </w:r>
      <w:r w:rsidRPr="00A37731">
        <w:t>nisés le pouvoir de dominer quotidiennement, au plus intime du privé mais en conformité avec sa loi, les femmes col</w:t>
      </w:r>
      <w:r w:rsidRPr="00A37731">
        <w:t>o</w:t>
      </w:r>
      <w:r w:rsidRPr="00A37731">
        <w:t>nisées</w:t>
      </w:r>
      <w:r>
        <w:t> </w:t>
      </w:r>
      <w:r>
        <w:rPr>
          <w:rStyle w:val="Appelnotedebasdep"/>
        </w:rPr>
        <w:footnoteReference w:id="153"/>
      </w:r>
      <w:r w:rsidRPr="00A37731">
        <w:t>. À ma connaissance, cette donnée a été peu étudiée, en pa</w:t>
      </w:r>
      <w:r w:rsidRPr="00A37731">
        <w:t>r</w:t>
      </w:r>
      <w:r w:rsidRPr="00A37731">
        <w:t>ticulier par les auteurs algériens qui s'efforcent de soutenir que la c</w:t>
      </w:r>
      <w:r w:rsidRPr="00A37731">
        <w:t>o</w:t>
      </w:r>
      <w:r w:rsidRPr="00A37731">
        <w:t>lon</w:t>
      </w:r>
      <w:r w:rsidRPr="00A37731">
        <w:t>i</w:t>
      </w:r>
      <w:r w:rsidRPr="00A37731">
        <w:t>sation a aussi paradoxalement apporté les valeurs des Lumières et de la Révolution française</w:t>
      </w:r>
      <w:r>
        <w:t> </w:t>
      </w:r>
      <w:r>
        <w:rPr>
          <w:rStyle w:val="Appelnotedebasdep"/>
        </w:rPr>
        <w:footnoteReference w:id="154"/>
      </w:r>
      <w:r w:rsidRPr="00A37731">
        <w:t>.</w:t>
      </w:r>
    </w:p>
    <w:p w:rsidR="00B7214C" w:rsidRPr="00A37731" w:rsidRDefault="00B7214C" w:rsidP="00B7214C">
      <w:pPr>
        <w:spacing w:before="120" w:after="120"/>
        <w:jc w:val="both"/>
      </w:pPr>
      <w:r w:rsidRPr="00A37731">
        <w:t>En faisant de l'abandon du « statut personnel » le critère d'accès à la citoyenneté française, le colonisateur le fétichise : la structure fam</w:t>
      </w:r>
      <w:r w:rsidRPr="00A37731">
        <w:t>i</w:t>
      </w:r>
      <w:r w:rsidRPr="00A37731">
        <w:t>liale agnatique est le seul lieu où l'identité du colonisé est implicit</w:t>
      </w:r>
      <w:r w:rsidRPr="00A37731">
        <w:t>e</w:t>
      </w:r>
      <w:r w:rsidRPr="00A37731">
        <w:t>ment admise. Ce qui n'empêchait certes pas, du côté des « civilisateurs », des couplets larmoyants sur le triste sort des « femmes musulmanes » dont la métaphore obsessive est le voile</w:t>
      </w:r>
      <w:r>
        <w:t> </w:t>
      </w:r>
      <w:r>
        <w:rPr>
          <w:rStyle w:val="Appelnotedebasdep"/>
        </w:rPr>
        <w:footnoteReference w:id="155"/>
      </w:r>
      <w:r w:rsidRPr="00A37731">
        <w:t xml:space="preserve"> et, par ricochet, du côté des colonisés, une crispation sur le rôle des fe</w:t>
      </w:r>
      <w:r w:rsidRPr="00A37731">
        <w:t>m</w:t>
      </w:r>
      <w:r w:rsidRPr="00A37731">
        <w:t>mes comme « gardiennes des traditions ».</w:t>
      </w:r>
    </w:p>
    <w:p w:rsidR="00B7214C" w:rsidRPr="00A37731" w:rsidRDefault="00B7214C" w:rsidP="00B7214C">
      <w:pPr>
        <w:spacing w:before="120" w:after="120"/>
        <w:jc w:val="both"/>
      </w:pPr>
      <w:r w:rsidRPr="00A37731">
        <w:t>La lutte pour l'indépendance c</w:t>
      </w:r>
      <w:r>
        <w:t xml:space="preserve">ristallisera la transformation </w:t>
      </w:r>
      <w:r w:rsidRPr="00A37731">
        <w:t>de l'unanimisme des croyants en unanimisme du peuple. Le problème se situant moins, on l'aura compris, dans la valoris</w:t>
      </w:r>
      <w:r w:rsidRPr="00A37731">
        <w:t>a</w:t>
      </w:r>
      <w:r w:rsidRPr="00A37731">
        <w:t>tion du « peuple » que dans son unanimisme hérité directement de la religion mais re</w:t>
      </w:r>
      <w:r w:rsidRPr="00A37731">
        <w:t>n</w:t>
      </w:r>
      <w:r w:rsidRPr="00A37731">
        <w:t>forcé par la colonisation. L'appa</w:t>
      </w:r>
      <w:r w:rsidRPr="00A37731">
        <w:t>r</w:t>
      </w:r>
      <w:r w:rsidRPr="00A37731">
        <w:t>tenance religieuse sera le ciment de l'unanimisme du peuple puisque c'est le seul refuge identificatoire laissé aux colon</w:t>
      </w:r>
      <w:r w:rsidRPr="00A37731">
        <w:t>i</w:t>
      </w:r>
      <w:r w:rsidRPr="00A37731">
        <w:t>sés. La crispation sur l'univers familial - forcée par la polit</w:t>
      </w:r>
      <w:r w:rsidRPr="00A37731">
        <w:t>i</w:t>
      </w:r>
      <w:r w:rsidRPr="00A37731">
        <w:t>que coloniale - aboutira, pour faire prévaloir l'unanimisme du peuple, à y enfermer les femmes (dans le peuple).</w:t>
      </w:r>
    </w:p>
    <w:p w:rsidR="00B7214C" w:rsidRPr="00A37731" w:rsidRDefault="00B7214C" w:rsidP="00B7214C">
      <w:pPr>
        <w:spacing w:before="120" w:after="120"/>
        <w:jc w:val="both"/>
      </w:pPr>
      <w:r w:rsidRPr="00A37731">
        <w:t>Un des artisans</w:t>
      </w:r>
      <w:r>
        <w:t> </w:t>
      </w:r>
      <w:r>
        <w:rPr>
          <w:rStyle w:val="Appelnotedebasdep"/>
        </w:rPr>
        <w:footnoteReference w:id="156"/>
      </w:r>
      <w:r w:rsidRPr="00A37731">
        <w:t xml:space="preserve"> de cet enfermement est sans doute un produit de la France révolutionnaire en la personne d'un autre colonisé, mais lui laïc : </w:t>
      </w:r>
      <w:hyperlink r:id="rId58" w:history="1">
        <w:r w:rsidRPr="005A2A0E">
          <w:rPr>
            <w:rStyle w:val="Lienhypertexte"/>
          </w:rPr>
          <w:t>Franz Fanon</w:t>
        </w:r>
      </w:hyperlink>
      <w:r w:rsidRPr="00A37731">
        <w:t xml:space="preserve">. Il faut relire ses livres et ses textes publiés dans </w:t>
      </w:r>
      <w:r w:rsidRPr="00BD1471">
        <w:rPr>
          <w:i/>
          <w:iCs/>
        </w:rPr>
        <w:t xml:space="preserve">El Moudjahid </w:t>
      </w:r>
      <w:r w:rsidRPr="00A37731">
        <w:t>qu'il dirigeait pendant la guerre. D'une phrase, écrite en 1959 : « L'Algérienne n'attend pas d'être émancipée, elle est déjà libre parce qu'elle participe à la libération du pays », il va sceller pour lon</w:t>
      </w:r>
      <w:r w:rsidRPr="00A37731">
        <w:t>g</w:t>
      </w:r>
      <w:r w:rsidRPr="00A37731">
        <w:t>temps - c'est encore le cas aujourd'hui - la possibilité des Algériennes d'être autre chose qu'un enjeu du politique. Ses pages sur « l'Algérie se dévoile</w:t>
      </w:r>
      <w:r>
        <w:t> </w:t>
      </w:r>
      <w:r>
        <w:rPr>
          <w:rStyle w:val="Appelnotedebasdep"/>
        </w:rPr>
        <w:footnoteReference w:id="157"/>
      </w:r>
      <w:r w:rsidRPr="00A37731">
        <w:t> » sont exemplaires : les femmes sont érigées en symbole national, mais le voile - exhibé ou enlevé selon les circonstances co</w:t>
      </w:r>
      <w:r w:rsidRPr="00A37731">
        <w:t>m</w:t>
      </w:r>
      <w:r w:rsidRPr="00A37731">
        <w:t>mandées par la résistance ou la guerre - est là pour signifier que les femmes érigées en symbole sont des femmes anonymes. Des antih</w:t>
      </w:r>
      <w:r w:rsidRPr="00A37731">
        <w:t>é</w:t>
      </w:r>
      <w:r w:rsidRPr="00A37731">
        <w:t>roïnes</w:t>
      </w:r>
      <w:r>
        <w:t> </w:t>
      </w:r>
      <w:r>
        <w:rPr>
          <w:rStyle w:val="Appelnotedebasdep"/>
        </w:rPr>
        <w:footnoteReference w:id="158"/>
      </w:r>
      <w:r w:rsidRPr="00A37731">
        <w:t>.</w:t>
      </w:r>
    </w:p>
    <w:p w:rsidR="00B7214C" w:rsidRPr="00A37731" w:rsidRDefault="00B7214C" w:rsidP="00B7214C">
      <w:pPr>
        <w:spacing w:before="120" w:after="120"/>
        <w:jc w:val="both"/>
      </w:pPr>
      <w:r w:rsidRPr="00A37731">
        <w:t>Avec la représentation qu'en propose Fanon, le voile devient un s</w:t>
      </w:r>
      <w:r w:rsidRPr="00A37731">
        <w:t>i</w:t>
      </w:r>
      <w:r w:rsidRPr="00A37731">
        <w:t>gnal, le signal de la récupération de l'identité nati</w:t>
      </w:r>
      <w:r w:rsidRPr="00A37731">
        <w:t>o</w:t>
      </w:r>
      <w:r w:rsidRPr="00A37731">
        <w:t>nale et/ou islamique</w:t>
      </w:r>
      <w:r>
        <w:t xml:space="preserve"> [224] </w:t>
      </w:r>
      <w:r w:rsidRPr="00A37731">
        <w:t>persécutée par l'impérialisme colonialiste. Mais, réduit au signal d'insoumission à l'égard des insoumis, le voile ainsi qualifié largue encore plus ses porteuses en dehors de la cl</w:t>
      </w:r>
      <w:r w:rsidRPr="00A37731">
        <w:t>ô</w:t>
      </w:r>
      <w:r w:rsidRPr="00A37731">
        <w:t>ture religieuse. Il ne sera dès lors pas étonnant que trente a</w:t>
      </w:r>
      <w:r w:rsidRPr="00A37731">
        <w:t>n</w:t>
      </w:r>
      <w:r w:rsidRPr="00A37731">
        <w:t>nées plus tard, des Algériennes, nées après 1962, troquent le voile traditionnel, le haïk (ou le jean), pour le voile islamique, le hijab....</w:t>
      </w:r>
    </w:p>
    <w:p w:rsidR="00B7214C" w:rsidRDefault="00B7214C" w:rsidP="00B7214C">
      <w:pPr>
        <w:spacing w:before="120" w:after="120"/>
        <w:jc w:val="both"/>
      </w:pPr>
      <w:r>
        <w:br w:type="page"/>
      </w:r>
    </w:p>
    <w:p w:rsidR="00B7214C" w:rsidRPr="00A37731" w:rsidRDefault="00B7214C" w:rsidP="00B7214C">
      <w:pPr>
        <w:pStyle w:val="a"/>
      </w:pPr>
      <w:r w:rsidRPr="00A37731">
        <w:t>« UN SEUL HÉROS : LE PEUPLE</w:t>
      </w:r>
      <w:r>
        <w:t> </w:t>
      </w:r>
      <w:r w:rsidRPr="00442749">
        <w:rPr>
          <w:rStyle w:val="Appelnotedebasdep"/>
          <w:b w:val="0"/>
          <w:i w:val="0"/>
        </w:rPr>
        <w:footnoteReference w:id="159"/>
      </w:r>
      <w:r w:rsidRPr="00A37731">
        <w:t> »</w:t>
      </w:r>
    </w:p>
    <w:p w:rsidR="00B7214C" w:rsidRDefault="00B7214C" w:rsidP="00B7214C">
      <w:pPr>
        <w:spacing w:before="120" w:after="120"/>
        <w:jc w:val="both"/>
      </w:pPr>
    </w:p>
    <w:p w:rsidR="00B7214C" w:rsidRPr="00A37731" w:rsidRDefault="00B7214C" w:rsidP="00B7214C">
      <w:pPr>
        <w:spacing w:before="120" w:after="120"/>
        <w:jc w:val="both"/>
      </w:pPr>
      <w:r w:rsidRPr="00A37731">
        <w:t>Si l'Algérie incarne l'anomalie de la France colonisatrice-héritière de la Révolution, ce pays est confronté à reprendre à son compte les principes de la puissance coloniale pour les retourner contre la France et ainsi arracher son indépendance tandis que la France n'a pas appl</w:t>
      </w:r>
      <w:r w:rsidRPr="00A37731">
        <w:t>i</w:t>
      </w:r>
      <w:r w:rsidRPr="00A37731">
        <w:t>qué ces principes aux « musulmans ». Si l'indépendance finalement arrachée met fin à la colonisation, cette page ne</w:t>
      </w:r>
      <w:r>
        <w:t xml:space="preserve"> peut être effacée. D'autant qu’</w:t>
      </w:r>
      <w:r w:rsidRPr="00A37731">
        <w:t>avant la prise d'Alger en 1831, l'État n'y avait été qu'une inst</w:t>
      </w:r>
      <w:r w:rsidRPr="00A37731">
        <w:t>i</w:t>
      </w:r>
      <w:r w:rsidRPr="00A37731">
        <w:t>tution discontinue dans l'espace et dans le temps. D'autant que, malgré leur grandeur passée, depuis le XVI</w:t>
      </w:r>
      <w:r w:rsidRPr="00A37731">
        <w:rPr>
          <w:vertAlign w:val="superscript"/>
        </w:rPr>
        <w:t>e</w:t>
      </w:r>
      <w:r w:rsidRPr="00A37731">
        <w:t xml:space="preserve"> siècle, les sociétés m</w:t>
      </w:r>
      <w:r w:rsidRPr="00A37731">
        <w:t>u</w:t>
      </w:r>
      <w:r w:rsidRPr="00A37731">
        <w:t>sulmanes n'ont connu ni la continuité de l'action historique conduite par la bourgeoisie marchande puis capit</w:t>
      </w:r>
      <w:r w:rsidRPr="00A37731">
        <w:t>a</w:t>
      </w:r>
      <w:r w:rsidRPr="00A37731">
        <w:t>liste, ni le dynamisme et la diversité de la vie intellectuelle et scientifique que connaît l'Europe. La période coloniale n'a structurellement rien corrigé à ce chapitre ; au contraire, elle a empêché un profond réformisme religieux</w:t>
      </w:r>
      <w:r>
        <w:t> </w:t>
      </w:r>
      <w:r>
        <w:rPr>
          <w:rStyle w:val="Appelnotedebasdep"/>
        </w:rPr>
        <w:footnoteReference w:id="160"/>
      </w:r>
      <w:r w:rsidRPr="00A37731">
        <w:t xml:space="preserve"> en obl</w:t>
      </w:r>
      <w:r w:rsidRPr="00A37731">
        <w:t>i</w:t>
      </w:r>
      <w:r w:rsidRPr="00A37731">
        <w:t>geant les acteurs sociaux à transformer la religion en idéologie de co</w:t>
      </w:r>
      <w:r w:rsidRPr="00A37731">
        <w:t>m</w:t>
      </w:r>
      <w:r w:rsidRPr="00A37731">
        <w:t>bat</w:t>
      </w:r>
      <w:r>
        <w:t> </w:t>
      </w:r>
      <w:r>
        <w:rPr>
          <w:rStyle w:val="Appelnotedebasdep"/>
        </w:rPr>
        <w:footnoteReference w:id="161"/>
      </w:r>
      <w:r w:rsidRPr="00A37731">
        <w:t>.</w:t>
      </w:r>
    </w:p>
    <w:p w:rsidR="00B7214C" w:rsidRPr="00A37731" w:rsidRDefault="00B7214C" w:rsidP="00B7214C">
      <w:pPr>
        <w:spacing w:before="120" w:after="120"/>
        <w:jc w:val="both"/>
      </w:pPr>
      <w:r w:rsidRPr="00A37731">
        <w:t>À l'indépendance, compte tenu de ces facteurs et de 1 hér</w:t>
      </w:r>
      <w:r w:rsidRPr="00A37731">
        <w:t>i</w:t>
      </w:r>
      <w:r w:rsidRPr="00A37731">
        <w:t>tage même de la lutte de libération, est ouvert moins que j</w:t>
      </w:r>
      <w:r w:rsidRPr="00A37731">
        <w:t>a</w:t>
      </w:r>
      <w:r w:rsidRPr="00A37731">
        <w:t>mais un espace où gérer la segmentation comme donnée sociologique. Je serai atr</w:t>
      </w:r>
      <w:r w:rsidRPr="00A37731">
        <w:t>o</w:t>
      </w:r>
      <w:r w:rsidRPr="00A37731">
        <w:t>cement réductrice et dirai que la se</w:t>
      </w:r>
      <w:r w:rsidRPr="00A37731">
        <w:t>g</w:t>
      </w:r>
      <w:r w:rsidRPr="00A37731">
        <w:t>mentation ethnicolinguistique (« la question berbère ») est réglée par la proclamation de l'arabe comme seule langue n</w:t>
      </w:r>
      <w:r w:rsidRPr="00A37731">
        <w:t>a</w:t>
      </w:r>
      <w:r w:rsidRPr="00A37731">
        <w:t>tionale. La segmentation sociale est réglée par la proclamation d'un socialisme spécifique qui dénie l'existence de luttes de classes. La question de la construction politique de l'État est réglée par la proclamation de l'unipartisme à l'ombre de l'a</w:t>
      </w:r>
      <w:r w:rsidRPr="00A37731">
        <w:t>r</w:t>
      </w:r>
      <w:r w:rsidRPr="00A37731">
        <w:t>mée dont la vigilance ne s'est pas encore démentie. Le « vivre en commun » est réglé par une gestion astucieuse de la rente énergétique mise au serv</w:t>
      </w:r>
      <w:r w:rsidRPr="00A37731">
        <w:t>i</w:t>
      </w:r>
      <w:r w:rsidRPr="00A37731">
        <w:t>ce de l'intérêt général sans que puissent s'y opposer des intérêts part</w:t>
      </w:r>
      <w:r w:rsidRPr="00A37731">
        <w:t>i</w:t>
      </w:r>
      <w:r w:rsidRPr="00A37731">
        <w:t>culiers. L'État nourricier</w:t>
      </w:r>
      <w:r>
        <w:t> </w:t>
      </w:r>
      <w:r>
        <w:rPr>
          <w:rStyle w:val="Appelnotedebasdep"/>
        </w:rPr>
        <w:footnoteReference w:id="162"/>
      </w:r>
      <w:r w:rsidRPr="00A37731">
        <w:t xml:space="preserve"> repose sur l'apolitique et le « rejet de la violence économ</w:t>
      </w:r>
      <w:r w:rsidRPr="00A37731">
        <w:t>i</w:t>
      </w:r>
      <w:r w:rsidRPr="00A37731">
        <w:t>que</w:t>
      </w:r>
      <w:r>
        <w:t> </w:t>
      </w:r>
      <w:r>
        <w:rPr>
          <w:rStyle w:val="Appelnotedebasdep"/>
        </w:rPr>
        <w:footnoteReference w:id="163"/>
      </w:r>
      <w:r w:rsidRPr="00A37731">
        <w:t> ».</w:t>
      </w:r>
    </w:p>
    <w:p w:rsidR="00B7214C" w:rsidRPr="00A37731" w:rsidRDefault="00B7214C" w:rsidP="00B7214C">
      <w:pPr>
        <w:spacing w:before="120" w:after="120"/>
        <w:jc w:val="both"/>
      </w:pPr>
      <w:r w:rsidRPr="00A37731">
        <w:t>L'instauration d'un État algérien sans faille - l'horreur des co</w:t>
      </w:r>
      <w:r w:rsidRPr="00A37731">
        <w:t>m</w:t>
      </w:r>
      <w:r w:rsidRPr="00A37731">
        <w:t>mencements n'a pas de raison d'être, elle peut être exorc</w:t>
      </w:r>
      <w:r w:rsidRPr="00A37731">
        <w:t>i</w:t>
      </w:r>
      <w:r w:rsidRPr="00A37731">
        <w:t>sée dans l'horreur du précommencement (la colonisation et la lutte pour 1 ind</w:t>
      </w:r>
      <w:r w:rsidRPr="00A37731">
        <w:t>é</w:t>
      </w:r>
      <w:r w:rsidRPr="00A37731">
        <w:t>pendance) - paraît inattaquable - sinon par les ainsi dénommés enn</w:t>
      </w:r>
      <w:r w:rsidRPr="00A37731">
        <w:t>e</w:t>
      </w:r>
      <w:r>
        <w:t>mis de la Révo</w:t>
      </w:r>
      <w:r w:rsidRPr="00A37731">
        <w:t>lution</w:t>
      </w:r>
      <w:r>
        <w:t xml:space="preserve"> [225]</w:t>
      </w:r>
      <w:r w:rsidRPr="00A37731">
        <w:t xml:space="preserve"> peu nombreux à l'intérieur - d'autant que Boumediène (1965-1978) s'emploie et parvient largement</w:t>
      </w:r>
      <w:r>
        <w:t> </w:t>
      </w:r>
      <w:r>
        <w:rPr>
          <w:rStyle w:val="Appelnotedebasdep"/>
        </w:rPr>
        <w:footnoteReference w:id="164"/>
      </w:r>
      <w:r w:rsidRPr="00A37731">
        <w:t xml:space="preserve"> à ass</w:t>
      </w:r>
      <w:r w:rsidRPr="00A37731">
        <w:t>o</w:t>
      </w:r>
      <w:r w:rsidRPr="00A37731">
        <w:t>cier socialisme et islam tels qu'il les entend et à rendre crédible cette association. Une coexis</w:t>
      </w:r>
      <w:r w:rsidRPr="00576A74">
        <w:t xml:space="preserve">tence, pacifique </w:t>
      </w:r>
      <w:r>
        <w:t>ell</w:t>
      </w:r>
      <w:r w:rsidRPr="00576A74">
        <w:t>e aussi, s'établit même au niveau de l'instance gou</w:t>
      </w:r>
      <w:r w:rsidRPr="00A37731">
        <w:t>vernementale : les m</w:t>
      </w:r>
      <w:r w:rsidRPr="00A37731">
        <w:t>i</w:t>
      </w:r>
      <w:r w:rsidRPr="00A37731">
        <w:t>nistères économiques sont aux mains des « socialistes » - dont l'actuel premier ministre A</w:t>
      </w:r>
      <w:r w:rsidRPr="00A37731">
        <w:t>b</w:t>
      </w:r>
      <w:r w:rsidRPr="00A37731">
        <w:t>de</w:t>
      </w:r>
      <w:r w:rsidRPr="00A37731">
        <w:t>s</w:t>
      </w:r>
      <w:r w:rsidRPr="00A37731">
        <w:t>slam</w:t>
      </w:r>
      <w:r>
        <w:t> </w:t>
      </w:r>
      <w:r>
        <w:rPr>
          <w:rStyle w:val="Appelnotedebasdep"/>
        </w:rPr>
        <w:footnoteReference w:id="165"/>
      </w:r>
      <w:r w:rsidRPr="00A37731">
        <w:t xml:space="preserve"> qui fut le brillant avocat des pays pétroliers en octobre 1973 - et les ministères « superstructurels » (Affaires religieuses, ce</w:t>
      </w:r>
      <w:r w:rsidRPr="00A37731">
        <w:t>r</w:t>
      </w:r>
      <w:r w:rsidRPr="00A37731">
        <w:t>tes, mais aussi Éducation et Justice) aux héritiers des « réformistes m</w:t>
      </w:r>
      <w:r w:rsidRPr="00A37731">
        <w:t>u</w:t>
      </w:r>
      <w:r w:rsidRPr="00A37731">
        <w:t>sulmans ». À l'extérieur, l'Algérie est le chantre écouté du « nouvel ordre économique international », tout en s'imposant comme l'interl</w:t>
      </w:r>
      <w:r w:rsidRPr="00A37731">
        <w:t>o</w:t>
      </w:r>
      <w:r w:rsidRPr="00A37731">
        <w:t>cuteur le plus crédible des « impérialistes occidentaux » au plan d</w:t>
      </w:r>
      <w:r w:rsidRPr="00A37731">
        <w:t>i</w:t>
      </w:r>
      <w:r w:rsidRPr="00A37731">
        <w:t>plomatique (voir, par exemple, son rôle dans le dénouement de l'affa</w:t>
      </w:r>
      <w:r w:rsidRPr="00A37731">
        <w:t>i</w:t>
      </w:r>
      <w:r w:rsidRPr="00A37731">
        <w:t>re des otages américains à Téh</w:t>
      </w:r>
      <w:r w:rsidRPr="00A37731">
        <w:t>é</w:t>
      </w:r>
      <w:r w:rsidRPr="00A37731">
        <w:t>ran en 1980).</w:t>
      </w:r>
    </w:p>
    <w:p w:rsidR="00B7214C" w:rsidRPr="00A37731" w:rsidRDefault="00B7214C" w:rsidP="00B7214C">
      <w:pPr>
        <w:spacing w:before="120" w:after="120"/>
        <w:jc w:val="both"/>
      </w:pPr>
      <w:r w:rsidRPr="00A37731">
        <w:t>Dans le réglage assez réussi de la mise en scène de « la r</w:t>
      </w:r>
      <w:r w:rsidRPr="00A37731">
        <w:t>é</w:t>
      </w:r>
      <w:r w:rsidRPr="00A37731">
        <w:t>publique algérienne démocratique et populaire », la femme sans nom, symbole de la lutte pour l'indépendance, n'échappe pas à la plénitude puisqu'e</w:t>
      </w:r>
      <w:r w:rsidRPr="00A37731">
        <w:t>l</w:t>
      </w:r>
      <w:r w:rsidRPr="00A37731">
        <w:t xml:space="preserve">le va officiellement être qualifiée de « citoyenne à part entière ». Cette proclamation survient en 1976 </w:t>
      </w:r>
      <w:r w:rsidRPr="00576A74">
        <w:rPr>
          <w:i/>
          <w:iCs/>
        </w:rPr>
        <w:t>(Charte nationale</w:t>
      </w:r>
      <w:r w:rsidRPr="00A37731">
        <w:t>) tandis que l'élabor</w:t>
      </w:r>
      <w:r w:rsidRPr="00A37731">
        <w:t>a</w:t>
      </w:r>
      <w:r w:rsidRPr="00A37731">
        <w:t>tion d'un « code de la famille » pour gérer l'alliance et l'héritage, pr</w:t>
      </w:r>
      <w:r w:rsidRPr="00A37731">
        <w:t>o</w:t>
      </w:r>
      <w:r w:rsidRPr="00A37731">
        <w:t>grammée dès 1963,</w:t>
      </w:r>
      <w:r>
        <w:t xml:space="preserve"> </w:t>
      </w:r>
      <w:r w:rsidRPr="00A37731">
        <w:t>va s'enliser pendant près de vingt ans. Il n'est pas impossible, rétrospectivement, d'interpréter cet enlisement comme l'indice du souci du pouvoir algérien de ne pas régler une fois pour toutes « la question des femmes » en la re</w:t>
      </w:r>
      <w:r w:rsidRPr="00A37731">
        <w:t>n</w:t>
      </w:r>
      <w:r w:rsidRPr="00A37731">
        <w:t xml:space="preserve">voyant aux solutions de la </w:t>
      </w:r>
      <w:r w:rsidRPr="000D1A32">
        <w:rPr>
          <w:i/>
          <w:iCs/>
        </w:rPr>
        <w:t>Sharia.</w:t>
      </w:r>
      <w:r w:rsidRPr="00A37731">
        <w:t xml:space="preserve"> Cela se produira en 1984, mais n'anticipons pas.</w:t>
      </w:r>
    </w:p>
    <w:p w:rsidR="00B7214C" w:rsidRPr="00A37731" w:rsidRDefault="00B7214C" w:rsidP="00B7214C">
      <w:pPr>
        <w:spacing w:before="120" w:after="120"/>
        <w:jc w:val="both"/>
      </w:pPr>
      <w:r w:rsidRPr="00A37731">
        <w:t>Proclamées « citoyennes à part entière », les femmes con</w:t>
      </w:r>
      <w:r w:rsidRPr="00A37731">
        <w:t>s</w:t>
      </w:r>
      <w:r w:rsidRPr="00A37731">
        <w:t>tituent le seul groupe social dont l'interpellation est connotée politiquement. Cette connotation tient à ce que les femmes ne sont pas situables en un lieu où se localisent « les forces v</w:t>
      </w:r>
      <w:r w:rsidRPr="00A37731">
        <w:t>i</w:t>
      </w:r>
      <w:r w:rsidRPr="00A37731">
        <w:t>ves » de la Nation : dans une société nationale (les travailleurs et leur organisation de masse : l'U</w:t>
      </w:r>
      <w:r w:rsidRPr="00A37731">
        <w:t>G</w:t>
      </w:r>
      <w:r w:rsidRPr="00A37731">
        <w:t>TA</w:t>
      </w:r>
      <w:r>
        <w:t> </w:t>
      </w:r>
      <w:r>
        <w:rPr>
          <w:rStyle w:val="Appelnotedebasdep"/>
        </w:rPr>
        <w:footnoteReference w:id="166"/>
      </w:r>
      <w:r w:rsidRPr="00A37731">
        <w:t>), dans une coopérative agricole (les paysans et l'UNPA), à l'université (les jeunes et l'UNJA)</w:t>
      </w:r>
      <w:r>
        <w:t> </w:t>
      </w:r>
      <w:r>
        <w:rPr>
          <w:rStyle w:val="Appelnotedebasdep"/>
        </w:rPr>
        <w:footnoteReference w:id="167"/>
      </w:r>
      <w:r w:rsidRPr="00A37731">
        <w:t>. Les femmes sont désignées comme des citoyennes à part entière parce qu'elles relèvent d'un heu indescript</w:t>
      </w:r>
      <w:r w:rsidRPr="00A37731">
        <w:t>i</w:t>
      </w:r>
      <w:r w:rsidRPr="00A37731">
        <w:t>ble publiquement : elles sont des citoyennes parce qu'elles sont des épouses et des mères tandis que ces qualifications ne sont pas e</w:t>
      </w:r>
      <w:r w:rsidRPr="00A37731">
        <w:t>n</w:t>
      </w:r>
      <w:r w:rsidRPr="00A37731">
        <w:t>core codifiées officiellement. Mais, étant des épouses et des mères, elles ne sont pas des travailleuses, pas des paysannes, pas des étudia</w:t>
      </w:r>
      <w:r w:rsidRPr="00A37731">
        <w:t>n</w:t>
      </w:r>
      <w:r w:rsidRPr="00A37731">
        <w:t>tes. Faute de pouvoir appart</w:t>
      </w:r>
      <w:r w:rsidRPr="00A37731">
        <w:t>e</w:t>
      </w:r>
      <w:r w:rsidRPr="00A37731">
        <w:t>nir à une organisation de masse crédible, elles sont assignées à un corps politique désincarné puisque les ho</w:t>
      </w:r>
      <w:r w:rsidRPr="00A37731">
        <w:t>m</w:t>
      </w:r>
      <w:r w:rsidRPr="00A37731">
        <w:t>mes n'en sont pas, eux qui ne sont pas nommés comme citoyens mais comme travailleurs, paysans ou étudiants et qu'il n'y a pas d'instit</w:t>
      </w:r>
      <w:r w:rsidRPr="00A37731">
        <w:t>u</w:t>
      </w:r>
      <w:r w:rsidRPr="00A37731">
        <w:t>tions représentatives. La difficulté de nommer la place des femmes aboutit à les proclamer citoyennes à part entière : est pris ainsi acte qu'elles sont des ressortissantes de l'Algérie devenue indépendante. Cette dénomination dit</w:t>
      </w:r>
      <w:r>
        <w:t xml:space="preserve"> [226] </w:t>
      </w:r>
      <w:r w:rsidRPr="00A37731">
        <w:t>une autre fois leur solitude mais indique également leur a</w:t>
      </w:r>
      <w:r w:rsidRPr="00A37731">
        <w:t>t</w:t>
      </w:r>
      <w:r w:rsidRPr="00A37731">
        <w:t>tache problématique à la nation.</w:t>
      </w:r>
    </w:p>
    <w:p w:rsidR="00B7214C" w:rsidRDefault="00B7214C" w:rsidP="00B7214C">
      <w:pPr>
        <w:spacing w:before="120" w:after="120"/>
        <w:jc w:val="both"/>
      </w:pPr>
      <w:r w:rsidRPr="00A37731">
        <w:t>Cette acrobatie emprunte les accents de la glorification de la part</w:t>
      </w:r>
      <w:r w:rsidRPr="00A37731">
        <w:t>i</w:t>
      </w:r>
      <w:r w:rsidRPr="00A37731">
        <w:t>cipation des femmes à la guerre qui a abouti à l'indépendance en a</w:t>
      </w:r>
      <w:r w:rsidRPr="00A37731">
        <w:t>d</w:t>
      </w:r>
      <w:r w:rsidRPr="00A37731">
        <w:t>mettant leur rôle de productrices d'enfants a</w:t>
      </w:r>
      <w:r w:rsidRPr="00A37731">
        <w:t>l</w:t>
      </w:r>
      <w:r w:rsidRPr="00A37731">
        <w:t>gériens. Cet équilibre précaire ne peut avoir qu'un temps. D'autant que le pouvoir est i</w:t>
      </w:r>
      <w:r w:rsidRPr="00A37731">
        <w:t>n</w:t>
      </w:r>
      <w:r w:rsidRPr="00A37731">
        <w:t>confortablement appelé à rabâcher que « dès le début, la femme alg</w:t>
      </w:r>
      <w:r w:rsidRPr="00A37731">
        <w:t>é</w:t>
      </w:r>
      <w:r w:rsidRPr="00A37731">
        <w:t>rienne a lié sa liberté à celle de son peuple » (Yahaoui, Congrès de l'UNFA, 1978) tandis qu'il se sent tenu de rappeler que « l'émancipation de la femme n'implique pas l'abandon de l'éthique dont notre pe</w:t>
      </w:r>
      <w:r w:rsidRPr="00A37731">
        <w:t>u</w:t>
      </w:r>
      <w:r w:rsidRPr="00A37731">
        <w:t xml:space="preserve">ple est profondément imprégné » </w:t>
      </w:r>
      <w:r w:rsidRPr="00576A74">
        <w:rPr>
          <w:i/>
          <w:iCs/>
        </w:rPr>
        <w:t xml:space="preserve">(Charte Nationale, </w:t>
      </w:r>
      <w:r w:rsidRPr="00A37731">
        <w:t>1976), indiquant bien ainsi que tout en étant « citoyenne à part enti</w:t>
      </w:r>
      <w:r w:rsidRPr="00A37731">
        <w:t>è</w:t>
      </w:r>
      <w:r w:rsidRPr="00A37731">
        <w:t xml:space="preserve">re », la femme </w:t>
      </w:r>
      <w:r w:rsidRPr="00576A74">
        <w:rPr>
          <w:i/>
          <w:iCs/>
        </w:rPr>
        <w:t>émancipée</w:t>
      </w:r>
      <w:r w:rsidRPr="00A37731">
        <w:t xml:space="preserve"> est étrangère au peuple algérien. Le temps passant, l'effritement de « l'esprit de novembre » va aboutir à ce que, en 1984, il soit possible de mettre la femme à sa place.</w:t>
      </w:r>
    </w:p>
    <w:p w:rsidR="00B7214C" w:rsidRPr="00A37731" w:rsidRDefault="00B7214C" w:rsidP="00B7214C">
      <w:pPr>
        <w:spacing w:before="120" w:after="120"/>
        <w:jc w:val="both"/>
      </w:pPr>
    </w:p>
    <w:p w:rsidR="00B7214C" w:rsidRPr="00A37731" w:rsidRDefault="00B7214C" w:rsidP="00B7214C">
      <w:pPr>
        <w:pStyle w:val="a"/>
      </w:pPr>
      <w:r w:rsidRPr="00A37731">
        <w:t>1984</w:t>
      </w:r>
    </w:p>
    <w:p w:rsidR="00B7214C" w:rsidRDefault="00B7214C" w:rsidP="00B7214C">
      <w:pPr>
        <w:spacing w:before="120" w:after="120"/>
        <w:jc w:val="both"/>
      </w:pPr>
    </w:p>
    <w:p w:rsidR="00B7214C" w:rsidRPr="00A37731" w:rsidRDefault="00B7214C" w:rsidP="00B7214C">
      <w:pPr>
        <w:spacing w:before="120" w:after="120"/>
        <w:jc w:val="both"/>
      </w:pPr>
      <w:r w:rsidRPr="00A37731">
        <w:t>Il faut mettre la femme à sa place parce que les tergivers</w:t>
      </w:r>
      <w:r w:rsidRPr="00A37731">
        <w:t>a</w:t>
      </w:r>
      <w:r w:rsidRPr="00A37731">
        <w:t>tions et autres acrobaties postindépendance risquent d'entér</w:t>
      </w:r>
      <w:r w:rsidRPr="00A37731">
        <w:t>i</w:t>
      </w:r>
      <w:r w:rsidRPr="00A37731">
        <w:t>ner que doit leur être reconnu un rôle actif dans la production d'enfants, à défaut de leur en reconnaître un autre ailleurs. I</w:t>
      </w:r>
      <w:r w:rsidRPr="00A37731">
        <w:t>r</w:t>
      </w:r>
      <w:r w:rsidRPr="00A37731">
        <w:t>représentables comme travailleuses, paysannes ou étudiantes, il faudrait leur reconnaître le rôle social de mères. Et parce que mères, citoyennes à part entières ! Cette équation ressort d'une anomalie</w:t>
      </w:r>
      <w:r>
        <w:t> </w:t>
      </w:r>
      <w:r>
        <w:rPr>
          <w:rStyle w:val="Appelnotedebasdep"/>
        </w:rPr>
        <w:footnoteReference w:id="168"/>
      </w:r>
      <w:r w:rsidRPr="00A37731">
        <w:t xml:space="preserve"> qui, grâce à Dieu !, sera corrigée par la pr</w:t>
      </w:r>
      <w:r w:rsidRPr="00A37731">
        <w:t>o</w:t>
      </w:r>
      <w:r w:rsidRPr="00A37731">
        <w:t>mulgation d'un code de la famille en 1984.</w:t>
      </w:r>
    </w:p>
    <w:p w:rsidR="00B7214C" w:rsidRPr="00A37731" w:rsidRDefault="00B7214C" w:rsidP="00B7214C">
      <w:pPr>
        <w:spacing w:before="120" w:after="120"/>
        <w:jc w:val="both"/>
      </w:pPr>
      <w:r w:rsidRPr="00A37731">
        <w:t>Je ne peux entrer dans le détail du Code</w:t>
      </w:r>
      <w:r>
        <w:t> </w:t>
      </w:r>
      <w:r>
        <w:rPr>
          <w:rStyle w:val="Appelnotedebasdep"/>
        </w:rPr>
        <w:footnoteReference w:id="169"/>
      </w:r>
      <w:r w:rsidRPr="00A37731">
        <w:t>. En passant, il r</w:t>
      </w:r>
      <w:r w:rsidRPr="00A37731">
        <w:t>e</w:t>
      </w:r>
      <w:r w:rsidRPr="00A37731">
        <w:t>conduit la répudiation par l'homme, bien sûr, et la polygamie, ou plus just</w:t>
      </w:r>
      <w:r w:rsidRPr="00A37731">
        <w:t>e</w:t>
      </w:r>
      <w:r w:rsidRPr="00A37731">
        <w:t>ment, la polygynie. La femme n'est toujours héritière que d'une demi-part, et son droit d'avoir une profe</w:t>
      </w:r>
      <w:r w:rsidRPr="00A37731">
        <w:t>s</w:t>
      </w:r>
      <w:r w:rsidRPr="00A37731">
        <w:t>sion est laissée à la discrétion du mari</w:t>
      </w:r>
      <w:r>
        <w:t> </w:t>
      </w:r>
      <w:r>
        <w:rPr>
          <w:rStyle w:val="Appelnotedebasdep"/>
        </w:rPr>
        <w:footnoteReference w:id="170"/>
      </w:r>
      <w:r w:rsidRPr="00A37731">
        <w:t xml:space="preserve"> puisqu'elle a le devoir d'obéissance (art. 39). J'insisterai sur l'a</w:t>
      </w:r>
      <w:r w:rsidRPr="00A37731">
        <w:t>l</w:t>
      </w:r>
      <w:r w:rsidRPr="00A37731">
        <w:t>liance.</w:t>
      </w:r>
    </w:p>
    <w:p w:rsidR="00B7214C" w:rsidRPr="00A37731" w:rsidRDefault="00B7214C" w:rsidP="00B7214C">
      <w:pPr>
        <w:spacing w:before="120" w:after="120"/>
        <w:jc w:val="both"/>
      </w:pPr>
      <w:r w:rsidRPr="00A37731">
        <w:t>L'article 11 stipule que « la conclusion du mariage pour la femme incombe à son tuteur matrimonial qui est soit son p</w:t>
      </w:r>
      <w:r w:rsidRPr="00A37731">
        <w:t>è</w:t>
      </w:r>
      <w:r w:rsidRPr="00A37731">
        <w:t>re, soit l'un de ses proches parents. Le juge est le tuteur m</w:t>
      </w:r>
      <w:r w:rsidRPr="00A37731">
        <w:t>a</w:t>
      </w:r>
      <w:r w:rsidRPr="00A37731">
        <w:t>trimonial de la personne qui n'en a pas ». Cette prérogative est accordée aux seuls hommes, la mère ne peut pas être tuteur matrimonial. Le tuteur n'a pas le droit de contraindre la fille au mariage, mais le père peut s'opposer au mariage de sa fille vierge</w:t>
      </w:r>
      <w:r>
        <w:t> </w:t>
      </w:r>
      <w:r>
        <w:rPr>
          <w:rStyle w:val="Appelnotedebasdep"/>
        </w:rPr>
        <w:footnoteReference w:id="171"/>
      </w:r>
      <w:r w:rsidRPr="00A37731">
        <w:t xml:space="preserve"> si tel est l'intérêt de la fille. Ainsi, si la majorité civile de la fille est fixée à 19 ans (comme pour le garçon), il n'en re</w:t>
      </w:r>
      <w:r w:rsidRPr="00A37731">
        <w:t>s</w:t>
      </w:r>
      <w:r w:rsidRPr="00A37731">
        <w:t>te pas moins qu'elle ne devient femme que par la consommation du m</w:t>
      </w:r>
      <w:r w:rsidRPr="00A37731">
        <w:t>a</w:t>
      </w:r>
      <w:r w:rsidRPr="00A37731">
        <w:t xml:space="preserve">riage, par la </w:t>
      </w:r>
      <w:r>
        <w:t xml:space="preserve">perte de sa virginité. En effet, [227] </w:t>
      </w:r>
      <w:r w:rsidRPr="00A37731">
        <w:t>l'article 75 prévoit que « le père est tenu de subvenir à l'e</w:t>
      </w:r>
      <w:r w:rsidRPr="00A37731">
        <w:t>n</w:t>
      </w:r>
      <w:r w:rsidRPr="00A37731">
        <w:t>tretien de son enfant à moins que celui-ci ne dispose de ressources. Pour les enfants mâles, l'entr</w:t>
      </w:r>
      <w:r w:rsidRPr="00A37731">
        <w:t>e</w:t>
      </w:r>
      <w:r w:rsidRPr="00A37731">
        <w:t>tien est dû jusqu'à la majorité, pour les filles jusqu'à la consommation du mari</w:t>
      </w:r>
      <w:r w:rsidRPr="00A37731">
        <w:t>a</w:t>
      </w:r>
      <w:r w:rsidRPr="00A37731">
        <w:t>ge ». À ce moment, elle sera entretenue par son mari (art. 37). C'est donc la perte de sa virginité, l'impression de la marque d'un homme sur son corps qui fait office d'accès à la majorité pour une femme.</w:t>
      </w:r>
    </w:p>
    <w:p w:rsidR="00B7214C" w:rsidRPr="00A37731" w:rsidRDefault="00B7214C" w:rsidP="00B7214C">
      <w:pPr>
        <w:spacing w:before="120" w:after="120"/>
        <w:jc w:val="both"/>
      </w:pPr>
      <w:r w:rsidRPr="00A37731">
        <w:t>Concernant les droits et devoirs de l'épouse, le Code ma</w:t>
      </w:r>
      <w:r w:rsidRPr="00A37731">
        <w:t>r</w:t>
      </w:r>
      <w:r w:rsidRPr="00A37731">
        <w:t>que très clairement le sens de la circulation des femmes vers la lignée du mari. L'épouse a le droit de visiter ses parents prohibés - c'est-à-dire les p</w:t>
      </w:r>
      <w:r w:rsidRPr="00A37731">
        <w:t>a</w:t>
      </w:r>
      <w:r w:rsidRPr="00A37731">
        <w:t>rents très proches avec lesquels le mariage est prohibé -, de les rec</w:t>
      </w:r>
      <w:r w:rsidRPr="00A37731">
        <w:t>e</w:t>
      </w:r>
      <w:r w:rsidRPr="00A37731">
        <w:t>voir conformément aux us</w:t>
      </w:r>
      <w:r w:rsidRPr="00A37731">
        <w:t>a</w:t>
      </w:r>
      <w:r w:rsidRPr="00A37731">
        <w:t>ges et aux coutumes et de disposer de ses biens en toute libe</w:t>
      </w:r>
      <w:r w:rsidRPr="00A37731">
        <w:t>r</w:t>
      </w:r>
      <w:r w:rsidRPr="00A37731">
        <w:t>té. Par contre, elle est tenue de 1) obéir à son mari et de lui accorder des égards en sa qua</w:t>
      </w:r>
      <w:r>
        <w:t>li</w:t>
      </w:r>
      <w:r w:rsidRPr="00A37731">
        <w:t>té de chef de famille, 2) alla</w:t>
      </w:r>
      <w:r w:rsidRPr="00A37731">
        <w:t>i</w:t>
      </w:r>
      <w:r w:rsidRPr="00A37731">
        <w:t>ter sa progéniture si elle est en mesure de le faire et de l'élever, 3) re</w:t>
      </w:r>
      <w:r w:rsidRPr="00A37731">
        <w:t>s</w:t>
      </w:r>
      <w:r w:rsidRPr="00A37731">
        <w:t>pecter les parents de son mari et ses proches. La femme passe donc de la tutelle de son père à celle de son mari. La position de l'épouse au sein du foyer en est une d'assujetti</w:t>
      </w:r>
      <w:r w:rsidRPr="00A37731">
        <w:t>s</w:t>
      </w:r>
      <w:r w:rsidRPr="00A37731">
        <w:t>sement à la lignée du mari (lui, ses descendants et ses asce</w:t>
      </w:r>
      <w:r w:rsidRPr="00A37731">
        <w:t>n</w:t>
      </w:r>
      <w:r w:rsidRPr="00A37731">
        <w:t>dants) tandis que lui est reconnue la capacité de gérer ses biens. On</w:t>
      </w:r>
      <w:r>
        <w:t xml:space="preserve"> retrouve bien la schrizophrén</w:t>
      </w:r>
      <w:r w:rsidRPr="00A37731">
        <w:t>isation originaire.</w:t>
      </w:r>
    </w:p>
    <w:p w:rsidR="00B7214C" w:rsidRDefault="00B7214C" w:rsidP="00B7214C">
      <w:pPr>
        <w:spacing w:before="120" w:after="120"/>
        <w:jc w:val="both"/>
      </w:pPr>
      <w:r w:rsidRPr="00A37731">
        <w:t>L'article 31 interdit le mari</w:t>
      </w:r>
      <w:r>
        <w:t>age d'une musulmane avec un non-</w:t>
      </w:r>
      <w:r w:rsidRPr="00A37731">
        <w:t>m</w:t>
      </w:r>
      <w:r w:rsidRPr="00A37731">
        <w:t>u</w:t>
      </w:r>
      <w:r w:rsidRPr="00A37731">
        <w:t xml:space="preserve">sulman. L'inverse n'est pas prévu, donc permis. En ce cas, pour les hommes, le Code algérien est plus permissif que la </w:t>
      </w:r>
      <w:r w:rsidRPr="000D1A32">
        <w:rPr>
          <w:i/>
          <w:iCs/>
        </w:rPr>
        <w:t>Sharia</w:t>
      </w:r>
      <w:r w:rsidRPr="00A37731">
        <w:t xml:space="preserve"> qui limite les femmes non musulmanes à celles du Livre, les juives et les chrétie</w:t>
      </w:r>
      <w:r w:rsidRPr="00A37731">
        <w:t>n</w:t>
      </w:r>
      <w:r w:rsidRPr="00A37731">
        <w:t>nes. On peut considérer que cette interdiction enferme les femmes dans la clôture religie</w:t>
      </w:r>
      <w:r w:rsidRPr="00A37731">
        <w:t>u</w:t>
      </w:r>
      <w:r w:rsidRPr="00A37731">
        <w:t>se mais, et ce serait plutôt mon hypothèse, on peut aussi est</w:t>
      </w:r>
      <w:r w:rsidRPr="00A37731">
        <w:t>i</w:t>
      </w:r>
      <w:r w:rsidRPr="00A37731">
        <w:t>mer que la musulmanité des femmes ne se maintient que si elle est confortée par le mariage avec un musulman. Elle est to</w:t>
      </w:r>
      <w:r w:rsidRPr="00A37731">
        <w:t>u</w:t>
      </w:r>
      <w:r w:rsidRPr="00A37731">
        <w:t>jours suspecte d'apostasie, du péché par excellence. A</w:t>
      </w:r>
      <w:r w:rsidRPr="00A37731">
        <w:t>u</w:t>
      </w:r>
      <w:r w:rsidRPr="00A37731">
        <w:t>trement dit, seul l'homme peut transmettre la religion. Si l'e</w:t>
      </w:r>
      <w:r w:rsidRPr="00A37731">
        <w:t>n</w:t>
      </w:r>
      <w:r w:rsidRPr="00A37731">
        <w:t>fant naît musulman, il doit naître d'un père musulman. L'art</w:t>
      </w:r>
      <w:r w:rsidRPr="00A37731">
        <w:t>i</w:t>
      </w:r>
      <w:r w:rsidRPr="00A37731">
        <w:t>cle 62 précise que « Le droit de garde consiste en l'entretien, la scolarisation et l'éducation de l'enfant dans la religion de son père ainsi qu'en la sauvegarde de sa santé ph</w:t>
      </w:r>
      <w:r w:rsidRPr="00A37731">
        <w:t>y</w:t>
      </w:r>
      <w:r w:rsidRPr="00A37731">
        <w:t>sique et m</w:t>
      </w:r>
      <w:r w:rsidRPr="00A37731">
        <w:t>o</w:t>
      </w:r>
      <w:r w:rsidRPr="00A37731">
        <w:t>rale. Le titulaire de ce droit doit être apte à en assurer la cha</w:t>
      </w:r>
      <w:r w:rsidRPr="00A37731">
        <w:t>r</w:t>
      </w:r>
      <w:r w:rsidRPr="00A37731">
        <w:t>ge. » Lors de la séparation, le code prévoit que le droit de garde est d'abord dévolu à la mère. Encore faut-il qu'elle soit de la religion du père et qu'elle ne se remarie pas. La garde de la fille par sa mère cesse lorsqu'elle a « l'âge de capacité de mariage », tandis que celle du fils cesse à dix ans révolus, ce</w:t>
      </w:r>
      <w:r w:rsidRPr="00A37731">
        <w:t>t</w:t>
      </w:r>
      <w:r w:rsidRPr="00A37731">
        <w:t>te garde peut être prolongée par le juge jusqu'à 16 ans si la mère n'est pas remariée. La fin de l'alliance met fin à cette prolongation : le corps de la vierge ayant été cédé au mari lors du mariage, le fils vivra son adolescence avec l'ex-épouse du père à condition qu'elle reste chaste, qu'elle reste l'épouse d</w:t>
      </w:r>
      <w:r w:rsidRPr="00A37731">
        <w:t>é</w:t>
      </w:r>
      <w:r w:rsidRPr="00A37731">
        <w:t>laissée du père.</w:t>
      </w:r>
    </w:p>
    <w:p w:rsidR="00B7214C" w:rsidRPr="00A37731" w:rsidRDefault="00B7214C" w:rsidP="00B7214C">
      <w:pPr>
        <w:spacing w:before="120" w:after="120"/>
        <w:jc w:val="both"/>
      </w:pPr>
      <w:r>
        <w:t>[228]</w:t>
      </w:r>
    </w:p>
    <w:p w:rsidR="00B7214C" w:rsidRPr="00A37731" w:rsidRDefault="00B7214C" w:rsidP="00B7214C">
      <w:pPr>
        <w:spacing w:before="120" w:after="120"/>
        <w:jc w:val="both"/>
      </w:pPr>
      <w:r w:rsidRPr="00A37731">
        <w:t>La promulgation du code de la famille rend caduque la fi</w:t>
      </w:r>
      <w:r w:rsidRPr="00A37731">
        <w:t>c</w:t>
      </w:r>
      <w:r w:rsidRPr="00A37731">
        <w:t>tion de la proclamation de la femme-citoyenne à part entière. Il indique clair</w:t>
      </w:r>
      <w:r w:rsidRPr="00A37731">
        <w:t>e</w:t>
      </w:r>
      <w:r w:rsidRPr="00A37731">
        <w:t>ment qu'elle est celle qui reste à soumettre à l'intérieur, elle est l'e</w:t>
      </w:r>
      <w:r w:rsidRPr="00A37731">
        <w:t>n</w:t>
      </w:r>
      <w:r w:rsidRPr="00A37731">
        <w:t>nemi intérieur. Le plus redoutable parce qu'incontournable. Pour que le fantasme de l'origine sans faille puisse rester à l'horizon de l'imag</w:t>
      </w:r>
      <w:r w:rsidRPr="00A37731">
        <w:t>i</w:t>
      </w:r>
      <w:r w:rsidRPr="00A37731">
        <w:t xml:space="preserve">naire quotidien, l'alliance, nécessaire à la production d'enfants, est placée sous le signe de la soumission de la femme à l'homme et de la négation de sa maternité comme </w:t>
      </w:r>
      <w:r w:rsidRPr="00576A74">
        <w:rPr>
          <w:i/>
          <w:iCs/>
        </w:rPr>
        <w:t>représentation.</w:t>
      </w:r>
      <w:r w:rsidRPr="00A37731">
        <w:t xml:space="preserve"> La musulmanité non a</w:t>
      </w:r>
      <w:r w:rsidRPr="00A37731">
        <w:t>s</w:t>
      </w:r>
      <w:r w:rsidRPr="00A37731">
        <w:t>surée de la femme le justifie.</w:t>
      </w:r>
    </w:p>
    <w:p w:rsidR="00B7214C" w:rsidRDefault="00B7214C" w:rsidP="00B7214C">
      <w:pPr>
        <w:spacing w:before="120" w:after="120"/>
        <w:jc w:val="both"/>
      </w:pPr>
    </w:p>
    <w:p w:rsidR="00B7214C" w:rsidRPr="00A37731" w:rsidRDefault="00B7214C" w:rsidP="00B7214C">
      <w:pPr>
        <w:pStyle w:val="a"/>
      </w:pPr>
      <w:r w:rsidRPr="00A37731">
        <w:t>LES RISQUES DE SÉCESSION</w:t>
      </w:r>
    </w:p>
    <w:p w:rsidR="00B7214C" w:rsidRDefault="00B7214C" w:rsidP="00B7214C">
      <w:pPr>
        <w:spacing w:before="120" w:after="120"/>
        <w:jc w:val="both"/>
      </w:pPr>
    </w:p>
    <w:p w:rsidR="00B7214C" w:rsidRPr="00A37731" w:rsidRDefault="00B7214C" w:rsidP="00B7214C">
      <w:pPr>
        <w:spacing w:before="120" w:after="120"/>
        <w:jc w:val="both"/>
      </w:pPr>
      <w:r w:rsidRPr="00A37731">
        <w:t>Ce code a été promulgué en 1984. À un moment où « la montée de l'islamisme » en Algérie n'en était plus à ses balbutiements. Les o</w:t>
      </w:r>
      <w:r w:rsidRPr="00A37731">
        <w:t>b</w:t>
      </w:r>
      <w:r w:rsidRPr="00A37731">
        <w:t>servateurs ne s'accordent pas sur le moment de son éclosion. Certains sont prêts, rétrospectivement, à considérer qu'il a toujours été puissant. D'autres estiment qu'il a commencé à occuper l'espace de la parole au moment du débat sur la Charte nationale en 1976 et qu'il s'est renforcé ou a pris vigueur après la prise du pouvoir par Khomeyni en f</w:t>
      </w:r>
      <w:r w:rsidRPr="00A37731">
        <w:t>é</w:t>
      </w:r>
      <w:r w:rsidRPr="00A37731">
        <w:t>vrier 1979. L'automne 1979 a été chaud dans les universités qui ont connu un mouvement pour l'arabisation totale de la langue d'enseignement, ce qui entraîna en réaction le « printemps kabyle » en 1980. En n</w:t>
      </w:r>
      <w:r w:rsidRPr="00A37731">
        <w:t>o</w:t>
      </w:r>
      <w:r w:rsidRPr="00A37731">
        <w:t>vembre 1982, une manifestation de masse à Alger qui se soldait n</w:t>
      </w:r>
      <w:r w:rsidRPr="00A37731">
        <w:t>o</w:t>
      </w:r>
      <w:r w:rsidRPr="00A37731">
        <w:t>tamment par l'a</w:t>
      </w:r>
      <w:r w:rsidRPr="00A37731">
        <w:t>r</w:t>
      </w:r>
      <w:r w:rsidRPr="00A37731">
        <w:t>restation d'Abassi Madani - le chef « historique » du futur FIS - indiquait publiquement la puissance du mouvement.</w:t>
      </w:r>
    </w:p>
    <w:p w:rsidR="00B7214C" w:rsidRPr="00A37731" w:rsidRDefault="00B7214C" w:rsidP="00B7214C">
      <w:pPr>
        <w:spacing w:before="120" w:after="120"/>
        <w:jc w:val="both"/>
      </w:pPr>
      <w:r w:rsidRPr="00A37731">
        <w:t>On pourrait donc considérer que la promulgation d'un code de la famille avec un tel contenu gynophobe est une conce</w:t>
      </w:r>
      <w:r w:rsidRPr="00A37731">
        <w:t>s</w:t>
      </w:r>
      <w:r w:rsidRPr="00A37731">
        <w:t>sion du pouvoir pour calmer l'effervescence islamiste. Mais, comme le souligne H. Benkheira</w:t>
      </w:r>
      <w:r>
        <w:t> </w:t>
      </w:r>
      <w:r>
        <w:rPr>
          <w:rStyle w:val="Appelnotedebasdep"/>
        </w:rPr>
        <w:footnoteReference w:id="172"/>
      </w:r>
      <w:r w:rsidRPr="00A37731">
        <w:t>, « il faut se demander dans quelle mesure les succès du fondamentalisme ne peuvent pas s'expliquer, en partie, par une man</w:t>
      </w:r>
      <w:r w:rsidRPr="00A37731">
        <w:t>i</w:t>
      </w:r>
      <w:r w:rsidRPr="00A37731">
        <w:t>pulation intelligente de l'affect machiste de la part des prédicateurs fondamentali</w:t>
      </w:r>
      <w:r w:rsidRPr="00A37731">
        <w:t>s</w:t>
      </w:r>
      <w:r w:rsidRPr="00A37731">
        <w:t>tes ». Ceux-ci ne s'en priveront pas</w:t>
      </w:r>
      <w:r>
        <w:t> </w:t>
      </w:r>
      <w:r>
        <w:rPr>
          <w:rStyle w:val="Appelnotedebasdep"/>
        </w:rPr>
        <w:footnoteReference w:id="173"/>
      </w:r>
      <w:r w:rsidRPr="00A37731">
        <w:t xml:space="preserve"> et Roy</w:t>
      </w:r>
      <w:r>
        <w:t> </w:t>
      </w:r>
      <w:r>
        <w:rPr>
          <w:rStyle w:val="Appelnotedebasdep"/>
        </w:rPr>
        <w:footnoteReference w:id="174"/>
      </w:r>
      <w:r w:rsidRPr="00A37731">
        <w:t xml:space="preserve"> fait de la perception du statut de la femme une des différences les plus fra</w:t>
      </w:r>
      <w:r w:rsidRPr="00A37731">
        <w:t>p</w:t>
      </w:r>
      <w:r w:rsidRPr="00A37731">
        <w:t>pantes entre l'islamisme (qui a eu cours en Iran</w:t>
      </w:r>
      <w:r>
        <w:t> </w:t>
      </w:r>
      <w:r>
        <w:rPr>
          <w:rStyle w:val="Appelnotedebasdep"/>
        </w:rPr>
        <w:footnoteReference w:id="175"/>
      </w:r>
      <w:r w:rsidRPr="00A37731">
        <w:t>) et le néofond</w:t>
      </w:r>
      <w:r w:rsidRPr="00A37731">
        <w:t>a</w:t>
      </w:r>
      <w:r w:rsidRPr="00A37731">
        <w:t>mentalisme que représente à ses yeux le FIS alg</w:t>
      </w:r>
      <w:r w:rsidRPr="00A37731">
        <w:t>é</w:t>
      </w:r>
      <w:r w:rsidRPr="00A37731">
        <w:t>rien.</w:t>
      </w:r>
    </w:p>
    <w:p w:rsidR="00B7214C" w:rsidRDefault="00B7214C" w:rsidP="00B7214C">
      <w:pPr>
        <w:spacing w:before="120" w:after="120"/>
        <w:jc w:val="both"/>
      </w:pPr>
      <w:r w:rsidRPr="00A37731">
        <w:t>M'importe plus, pour conclure, de tenter d'appréhender la réaction des femmes algériennes à cette situation. Nombre d'entre elles, parmi les intellectuelles, n'ont eu d'autre choix que l'exil. D'autres, appart</w:t>
      </w:r>
      <w:r w:rsidRPr="00A37731">
        <w:t>e</w:t>
      </w:r>
      <w:r w:rsidRPr="00A37731">
        <w:t>nant elles aussi à la petite bourgeoisie intellectuelle, se sont mobil</w:t>
      </w:r>
      <w:r w:rsidRPr="00A37731">
        <w:t>i</w:t>
      </w:r>
      <w:r w:rsidRPr="00A37731">
        <w:t>sées dans des groupes f</w:t>
      </w:r>
      <w:r w:rsidRPr="00A37731">
        <w:t>é</w:t>
      </w:r>
      <w:r w:rsidRPr="00A37731">
        <w:t>ministes qui ont un certain impact dans leur milieu</w:t>
      </w:r>
      <w:r>
        <w:t> </w:t>
      </w:r>
      <w:r>
        <w:rPr>
          <w:rStyle w:val="Appelnotedebasdep"/>
        </w:rPr>
        <w:footnoteReference w:id="176"/>
      </w:r>
      <w:r w:rsidRPr="00A37731">
        <w:t>. Ce sont des réactions attendues.</w:t>
      </w:r>
    </w:p>
    <w:p w:rsidR="00B7214C" w:rsidRDefault="00B7214C" w:rsidP="00B7214C">
      <w:pPr>
        <w:spacing w:before="120" w:after="120"/>
        <w:jc w:val="both"/>
      </w:pPr>
    </w:p>
    <w:p w:rsidR="00B7214C" w:rsidRPr="00A37731" w:rsidRDefault="00B7214C" w:rsidP="00B7214C">
      <w:pPr>
        <w:spacing w:before="120" w:after="120"/>
        <w:jc w:val="both"/>
      </w:pPr>
      <w:r>
        <w:t>[229]</w:t>
      </w:r>
    </w:p>
    <w:p w:rsidR="00B7214C" w:rsidRPr="00A37731" w:rsidRDefault="00B7214C" w:rsidP="00B7214C">
      <w:pPr>
        <w:spacing w:before="120" w:after="120"/>
        <w:jc w:val="both"/>
      </w:pPr>
      <w:r w:rsidRPr="00A37731">
        <w:t>Est plus intrigante la position de celles</w:t>
      </w:r>
      <w:r>
        <w:t> </w:t>
      </w:r>
      <w:r>
        <w:rPr>
          <w:rStyle w:val="Appelnotedebasdep"/>
        </w:rPr>
        <w:footnoteReference w:id="177"/>
      </w:r>
      <w:r w:rsidRPr="00A37731">
        <w:t xml:space="preserve"> qui revendiquent d'aff</w:t>
      </w:r>
      <w:r w:rsidRPr="00A37731">
        <w:t>i</w:t>
      </w:r>
      <w:r w:rsidRPr="00A37731">
        <w:t>cher, y compris par « la tenue », leur appartenance à la religion isl</w:t>
      </w:r>
      <w:r w:rsidRPr="00A37731">
        <w:t>a</w:t>
      </w:r>
      <w:r w:rsidRPr="00A37731">
        <w:t>mique. Elles portent le hijab, rompant ainsi avec leur mère qui porte ou portait le haïk traditionnel. Le passage de l'un à l'autre est prob</w:t>
      </w:r>
      <w:r w:rsidRPr="00A37731">
        <w:t>a</w:t>
      </w:r>
      <w:r w:rsidRPr="00A37731">
        <w:t>blement lourd de sens et ne peut manquer de plonger les hommes dans le m</w:t>
      </w:r>
      <w:r w:rsidRPr="00A37731">
        <w:t>a</w:t>
      </w:r>
      <w:r w:rsidRPr="00A37731">
        <w:t>laise</w:t>
      </w:r>
      <w:r>
        <w:t> </w:t>
      </w:r>
      <w:r>
        <w:rPr>
          <w:rStyle w:val="Appelnotedebasdep"/>
        </w:rPr>
        <w:footnoteReference w:id="178"/>
      </w:r>
      <w:r w:rsidRPr="00A37731">
        <w:t>. Le haïk</w:t>
      </w:r>
      <w:r>
        <w:t xml:space="preserve"> — </w:t>
      </w:r>
      <w:r w:rsidRPr="00A37731">
        <w:t xml:space="preserve">le voile traditionnel, celui du temps de la colonisation dont parlait Fanon </w:t>
      </w:r>
      <w:r>
        <w:t>—</w:t>
      </w:r>
      <w:r w:rsidRPr="00A37731">
        <w:t xml:space="preserve"> marque le retranchement des fe</w:t>
      </w:r>
      <w:r w:rsidRPr="00A37731">
        <w:t>m</w:t>
      </w:r>
      <w:r w:rsidRPr="00A37731">
        <w:t>mes de l'e</w:t>
      </w:r>
      <w:r w:rsidRPr="00A37731">
        <w:t>s</w:t>
      </w:r>
      <w:r w:rsidRPr="00A37731">
        <w:t>pace public : quand elles y sont</w:t>
      </w:r>
      <w:r>
        <w:t xml:space="preserve"> — </w:t>
      </w:r>
      <w:r w:rsidRPr="00A37731">
        <w:t xml:space="preserve">elles ne portent le haïk que dans la rue </w:t>
      </w:r>
      <w:r>
        <w:t>—</w:t>
      </w:r>
      <w:r w:rsidRPr="00A37731">
        <w:t>, elles doivent y être méconnaissables. Le second, le hijab, « le voile islamiste » marque le bouleversement des repères de l'espace public : les femmes y sont d</w:t>
      </w:r>
      <w:r w:rsidRPr="00A37731">
        <w:t>é</w:t>
      </w:r>
      <w:r w:rsidRPr="00A37731">
        <w:t>sormais à visage découvert. De plus, le hijab permet aux femmes ainsi revêtues de recevoir des étra</w:t>
      </w:r>
      <w:r w:rsidRPr="00A37731">
        <w:t>n</w:t>
      </w:r>
      <w:r w:rsidRPr="00A37731">
        <w:t>gers, y compris des hommes, dans la clôture de l'espace privé. Le haïk marque la frontière entre l'espace des hommes et l'e</w:t>
      </w:r>
      <w:r w:rsidRPr="00A37731">
        <w:t>s</w:t>
      </w:r>
      <w:r w:rsidRPr="00A37731">
        <w:t>pace des femmes. Le hijab transcende la frontière entre les sexes et permet aux femmes d'afficher leur « désir politique de Dieu</w:t>
      </w:r>
      <w:r>
        <w:t> </w:t>
      </w:r>
      <w:r>
        <w:rPr>
          <w:rStyle w:val="Appelnotedebasdep"/>
        </w:rPr>
        <w:footnoteReference w:id="179"/>
      </w:r>
      <w:r w:rsidRPr="00A37731">
        <w:t> ». Il n'est pas impossible d'y voir un geste féministe.</w:t>
      </w:r>
    </w:p>
    <w:p w:rsidR="00B7214C" w:rsidRPr="00A37731" w:rsidRDefault="00B7214C" w:rsidP="00B7214C">
      <w:pPr>
        <w:spacing w:before="120" w:after="120"/>
        <w:jc w:val="both"/>
      </w:pPr>
      <w:r w:rsidRPr="00A37731">
        <w:t>Cette affirmation est passablement provocatrice. Il est pr</w:t>
      </w:r>
      <w:r w:rsidRPr="00A37731">
        <w:t>o</w:t>
      </w:r>
      <w:r w:rsidRPr="00A37731">
        <w:t>bable que, statistiquement, la majorité des femmes algériennes qui aujou</w:t>
      </w:r>
      <w:r w:rsidRPr="00A37731">
        <w:t>r</w:t>
      </w:r>
      <w:r w:rsidRPr="00A37731">
        <w:t>d'hui portent le hijab, le font dans un esprit de soumission moins à Dieu qu'aux « barbus ». Ne serait-ce que pour qu'ils leur laissent la paix. Mais réduire la diffusion du port du hijab à cette occurrence ri</w:t>
      </w:r>
      <w:r w:rsidRPr="00A37731">
        <w:t>s</w:t>
      </w:r>
      <w:r w:rsidRPr="00A37731">
        <w:t>que de manquer l'essentiel : le travail qui s'effectue au niveau des ra</w:t>
      </w:r>
      <w:r w:rsidRPr="00A37731">
        <w:t>p</w:t>
      </w:r>
      <w:r w:rsidRPr="00A37731">
        <w:t>ports sociaux de sexe. Au-delà de la domination, qui continue à ma</w:t>
      </w:r>
      <w:r w:rsidRPr="00A37731">
        <w:t>r</w:t>
      </w:r>
      <w:r w:rsidRPr="00A37731">
        <w:t>quer les rapports des hommes algériens sur l'écrasante majorité des femmes algériennes, le hijab peut aussi être tenu, pour certa</w:t>
      </w:r>
      <w:r w:rsidRPr="00A37731">
        <w:t>i</w:t>
      </w:r>
      <w:r w:rsidRPr="00A37731">
        <w:t>nes de celles qui le portent, pour un signe de sécession. Elles touchent là à un interdit au royaume des hommes, elles transforment le rêve - l'excl</w:t>
      </w:r>
      <w:r w:rsidRPr="00A37731">
        <w:t>u</w:t>
      </w:r>
      <w:r w:rsidRPr="00A37731">
        <w:t>sion des femmes - en cauchemar, en scandale : leur sécession</w:t>
      </w:r>
      <w:r>
        <w:t> </w:t>
      </w:r>
      <w:r>
        <w:rPr>
          <w:rStyle w:val="Appelnotedebasdep"/>
        </w:rPr>
        <w:footnoteReference w:id="180"/>
      </w:r>
      <w:r w:rsidRPr="00A37731">
        <w:t>. Et elles le font au nom de Dieu dans une société qui était prête à se doter d'un « État islamiste ». Croyant Dieu sur parole, elles sont au-delà des ra</w:t>
      </w:r>
      <w:r w:rsidRPr="00A37731">
        <w:t>p</w:t>
      </w:r>
      <w:r w:rsidRPr="00A37731">
        <w:t>ports que les hommes, y compris barbus, leur imposent.</w:t>
      </w:r>
    </w:p>
    <w:p w:rsidR="00B7214C" w:rsidRDefault="00B7214C" w:rsidP="00B7214C">
      <w:pPr>
        <w:spacing w:before="120" w:after="120"/>
        <w:jc w:val="both"/>
      </w:pPr>
      <w:r w:rsidRPr="00A37731">
        <w:t>Mais est-ce en « femmes » qu'elles portent le hijab ou e</w:t>
      </w:r>
      <w:r w:rsidRPr="00A37731">
        <w:t>s</w:t>
      </w:r>
      <w:r w:rsidRPr="00A37731">
        <w:t>pèrent-elles, ainsi vêtues, participer de la Mère originaire ? La question se pose d'autant plus que, on l'a vu, au niveau de la représentation remise à l'honneur avec la promulgation du Code de la famille, les mères avec minuscule n'ont pas d'existence. Il se pourrait que cet affich</w:t>
      </w:r>
      <w:r w:rsidRPr="00A37731">
        <w:t>e</w:t>
      </w:r>
      <w:r w:rsidRPr="00A37731">
        <w:t>ment dise la tentation de participer de l'origine pleine et d'en tirer des bénéfices immédiats. Ce geste serait compréhensible eu égard au pa</w:t>
      </w:r>
      <w:r w:rsidRPr="00A37731">
        <w:t>s</w:t>
      </w:r>
      <w:r w:rsidRPr="00A37731">
        <w:t>sé et au présent, à la représentation et à la vie quotidienne, au rel</w:t>
      </w:r>
      <w:r w:rsidRPr="00A37731">
        <w:t>i</w:t>
      </w:r>
      <w:r w:rsidRPr="00A37731">
        <w:t>gieux et au politique. Il ne résoudrait pourtant rien pour pe</w:t>
      </w:r>
      <w:r w:rsidRPr="00A37731">
        <w:t>r</w:t>
      </w:r>
      <w:r w:rsidRPr="00A37731">
        <w:t>sonne.</w:t>
      </w:r>
    </w:p>
    <w:p w:rsidR="00B7214C" w:rsidRDefault="00B7214C" w:rsidP="00B7214C">
      <w:pPr>
        <w:spacing w:before="120" w:after="120"/>
        <w:jc w:val="both"/>
      </w:pPr>
      <w:r>
        <w:t>[230]</w:t>
      </w:r>
    </w:p>
    <w:p w:rsidR="00B7214C" w:rsidRPr="00A37731" w:rsidRDefault="00B7214C" w:rsidP="00B7214C">
      <w:pPr>
        <w:spacing w:before="120" w:after="120"/>
        <w:jc w:val="both"/>
      </w:pPr>
    </w:p>
    <w:p w:rsidR="00B7214C" w:rsidRPr="00A37731" w:rsidRDefault="00B7214C" w:rsidP="00B7214C">
      <w:pPr>
        <w:pStyle w:val="a"/>
      </w:pPr>
      <w:r w:rsidRPr="00BD1471">
        <w:t>POST-SCRIPTUM</w:t>
      </w:r>
    </w:p>
    <w:p w:rsidR="00B7214C" w:rsidRDefault="00B7214C" w:rsidP="00B7214C">
      <w:pPr>
        <w:spacing w:before="120" w:after="120"/>
        <w:jc w:val="both"/>
      </w:pPr>
    </w:p>
    <w:p w:rsidR="00B7214C" w:rsidRPr="00A37731" w:rsidRDefault="00B7214C" w:rsidP="00B7214C">
      <w:pPr>
        <w:spacing w:before="120" w:after="120"/>
        <w:jc w:val="both"/>
      </w:pPr>
      <w:r w:rsidRPr="00A37731">
        <w:t>Ceux qui y ont assisté se souviendront qu'un débat n'a pu suivre cette conférence et le commentaire de Ratiba Hadj-Moussa puisque la période de questions fut dominée par des militants aussi bruyants que sourds...</w:t>
      </w:r>
    </w:p>
    <w:p w:rsidR="00B7214C" w:rsidRPr="00A37731" w:rsidRDefault="00B7214C" w:rsidP="00B7214C">
      <w:pPr>
        <w:spacing w:before="120" w:after="120"/>
        <w:jc w:val="both"/>
      </w:pPr>
      <w:r w:rsidRPr="00A37731">
        <w:t>Ce texte méritait pourtant bien des critiques. Sa faiblesse principale tient à la difficulté même de la question que je tente d'éclaircir depuis plusieurs années et qui n'est toujours pas claire : comment cerner la difficulté que représente l'accès des femmes à la pleine capacité civile et civique, à la pleine c</w:t>
      </w:r>
      <w:r w:rsidRPr="00A37731">
        <w:t>i</w:t>
      </w:r>
      <w:r w:rsidRPr="00A37731">
        <w:t>toyenneté. Je tente d'asseoir l'hypothèse que cette difficulté renvoie moins au « machisme » sous toutes ses formes qu'à la représentation de la femme comme individu tant que ne lui est pas reconnu à elle le contrôle de sa fécondité. Autrement dit, la femme n'adviendrait que lorsqu'elle est désincorporée de la mère, ou aussi, mais cela ne se recouvre pas nécessairement, la représentation de la maternité est incompatible avec le pol</w:t>
      </w:r>
      <w:r w:rsidRPr="00A37731">
        <w:t>i</w:t>
      </w:r>
      <w:r w:rsidRPr="00A37731">
        <w:t>tique. M'intéresse de cerner la maternité comme catégorie p</w:t>
      </w:r>
      <w:r w:rsidRPr="00A37731">
        <w:t>o</w:t>
      </w:r>
      <w:r w:rsidRPr="00A37731">
        <w:t>litique, la place faite aux mères avec minuscule dans la repr</w:t>
      </w:r>
      <w:r w:rsidRPr="00A37731">
        <w:t>é</w:t>
      </w:r>
      <w:r w:rsidRPr="00A37731">
        <w:t>sentation du politique. On m'accordera que si le questionn</w:t>
      </w:r>
      <w:r w:rsidRPr="00A37731">
        <w:t>e</w:t>
      </w:r>
      <w:r w:rsidRPr="00A37731">
        <w:t>ment est passionnant, il n'est pas simple et incite dès lors parfois à la simplification. Ainsi des « citoyennes à part enti</w:t>
      </w:r>
      <w:r w:rsidRPr="00A37731">
        <w:t>è</w:t>
      </w:r>
      <w:r w:rsidRPr="00A37731">
        <w:t>re ».</w:t>
      </w:r>
    </w:p>
    <w:p w:rsidR="00B7214C" w:rsidRDefault="00B7214C" w:rsidP="00B7214C">
      <w:pPr>
        <w:spacing w:before="120" w:after="120"/>
        <w:jc w:val="both"/>
      </w:pPr>
      <w:r w:rsidRPr="00A37731">
        <w:t>Avant d'y venir, je signale que c'est précisément cette fo</w:t>
      </w:r>
      <w:r w:rsidRPr="00A37731">
        <w:t>r</w:t>
      </w:r>
      <w:r w:rsidRPr="00A37731">
        <w:t>mulation qui m'a aiguillé vers ce terrain de recherche</w:t>
      </w:r>
      <w:r>
        <w:t> </w:t>
      </w:r>
      <w:r>
        <w:rPr>
          <w:rStyle w:val="Appelnotedebasdep"/>
        </w:rPr>
        <w:footnoteReference w:id="181"/>
      </w:r>
      <w:r w:rsidRPr="00A37731">
        <w:t>. Par la suite, j'ai fait des avancées en interrogeant l'État-providence et sa gestion des êtres vivants (Foucault</w:t>
      </w:r>
      <w:r>
        <w:t> </w:t>
      </w:r>
      <w:r>
        <w:rPr>
          <w:rStyle w:val="Appelnotedebasdep"/>
        </w:rPr>
        <w:footnoteReference w:id="182"/>
      </w:r>
      <w:r w:rsidRPr="00A37731">
        <w:t>), puis j'ai puisé dans les analyses fécondes de N</w:t>
      </w:r>
      <w:r w:rsidRPr="00A37731">
        <w:t>i</w:t>
      </w:r>
      <w:r w:rsidRPr="00A37731">
        <w:t>cole Loraux sur la Grèce classique ; le tout alimenté par les textes de L</w:t>
      </w:r>
      <w:r w:rsidRPr="00A37731">
        <w:t>e</w:t>
      </w:r>
      <w:r w:rsidRPr="00A37731">
        <w:t>gendre. Ainsi munie, j'en suis revenue à l'Algérie. Dans cette trajectoire, il est un problème méthodologique majeur : peut-on cons</w:t>
      </w:r>
      <w:r w:rsidRPr="00A37731">
        <w:t>i</w:t>
      </w:r>
      <w:r w:rsidRPr="00A37731">
        <w:t>dérer que la mère avec minuscule, ou, plus précisément le rapport M</w:t>
      </w:r>
      <w:r w:rsidRPr="00A37731">
        <w:t>è</w:t>
      </w:r>
      <w:r w:rsidRPr="00A37731">
        <w:t>re-mère est soumis à un même traitement universel au plan de la r</w:t>
      </w:r>
      <w:r w:rsidRPr="00A37731">
        <w:t>e</w:t>
      </w:r>
      <w:r w:rsidRPr="00A37731">
        <w:t>présent</w:t>
      </w:r>
      <w:r w:rsidRPr="00A37731">
        <w:t>a</w:t>
      </w:r>
      <w:r w:rsidRPr="00A37731">
        <w:t>tion du politique ? Je ne sais pas. Peut-être... Par contre, pour l'instant, il m'app</w:t>
      </w:r>
      <w:r>
        <w:t>araît que « le ficelage » mère-</w:t>
      </w:r>
      <w:r w:rsidRPr="00A37731">
        <w:t>femme n'est pas partout pareil. Je suis momentanément tentée de penser qu'en « Occident », en « latinité »... la femme a été recouverte par la mère, incorporée en elle, tandis que le fic</w:t>
      </w:r>
      <w:r w:rsidRPr="00A37731">
        <w:t>e</w:t>
      </w:r>
      <w:r w:rsidRPr="00A37731">
        <w:t>lage pourrait être inverse en « islamité ». Mais que signifie « inverse » ? Les éléments présentés en première partie do</w:t>
      </w:r>
      <w:r w:rsidRPr="00A37731">
        <w:t>i</w:t>
      </w:r>
      <w:r w:rsidRPr="00A37731">
        <w:t>vent être creusés, notamment quant à la représentation de la différence des sexes. Se pourrait-il qu'elle soit structurante de la représentation en islam alors qu'elle pourrait être niée dans celle de la chrétienté r</w:t>
      </w:r>
      <w:r w:rsidRPr="00A37731">
        <w:t>o</w:t>
      </w:r>
      <w:r w:rsidRPr="00A37731">
        <w:t>maine ? Cette question m'occupera à l'avenir. Il se pourrait que ma réflexion soit aveuglément christianocentriste, malgré les tentatives respectueuses dans les passages... Je crois pourtant que le voyage peut être ent</w:t>
      </w:r>
      <w:r w:rsidRPr="00A37731">
        <w:t>a</w:t>
      </w:r>
      <w:r w:rsidRPr="00A37731">
        <w:t>mé...</w:t>
      </w:r>
    </w:p>
    <w:p w:rsidR="00B7214C" w:rsidRPr="00A37731" w:rsidRDefault="00B7214C" w:rsidP="00B7214C">
      <w:pPr>
        <w:spacing w:before="120" w:after="120"/>
        <w:jc w:val="both"/>
      </w:pPr>
      <w:r w:rsidRPr="00A37731">
        <w:br w:type="page"/>
      </w:r>
      <w:r>
        <w:t>[231]</w:t>
      </w:r>
    </w:p>
    <w:p w:rsidR="00B7214C" w:rsidRPr="00A37731" w:rsidRDefault="00B7214C" w:rsidP="00B7214C">
      <w:pPr>
        <w:spacing w:before="120" w:after="120"/>
        <w:jc w:val="both"/>
      </w:pPr>
      <w:r w:rsidRPr="00A37731">
        <w:t>Ratiba Hadj-Moussa a probablement raison de me rappeler à l'o</w:t>
      </w:r>
      <w:r w:rsidRPr="00A37731">
        <w:t>r</w:t>
      </w:r>
      <w:r w:rsidRPr="00A37731">
        <w:t xml:space="preserve">dre à propos des « citoyennes </w:t>
      </w:r>
      <w:r w:rsidRPr="00BD1471">
        <w:t xml:space="preserve">à </w:t>
      </w:r>
      <w:r w:rsidRPr="00A37731">
        <w:t xml:space="preserve">part entière ». Je ne suis sans doute pas assez attentive </w:t>
      </w:r>
      <w:r w:rsidRPr="00BD1471">
        <w:t xml:space="preserve">à </w:t>
      </w:r>
      <w:r w:rsidRPr="00A37731">
        <w:t>ce que cela implique d'incl</w:t>
      </w:r>
      <w:r w:rsidRPr="00A37731">
        <w:t>u</w:t>
      </w:r>
      <w:r w:rsidRPr="00A37731">
        <w:t>sion des « femmes » au peuple, trop occupée à tenter d'illu</w:t>
      </w:r>
      <w:r w:rsidRPr="00A37731">
        <w:t>s</w:t>
      </w:r>
      <w:r w:rsidRPr="00A37731">
        <w:t>trer leur exclusion, leur mise en dehors, leur statut d'« ennemi intérieur</w:t>
      </w:r>
      <w:r>
        <w:t> </w:t>
      </w:r>
      <w:r>
        <w:rPr>
          <w:rStyle w:val="Appelnotedebasdep"/>
        </w:rPr>
        <w:footnoteReference w:id="183"/>
      </w:r>
      <w:r w:rsidRPr="00A37731">
        <w:t> », voire intime. Toutefois, je n'adhérerai pas sans approfondissement de la question au lien entre cette reconnaissance et le fait qu'elles soient érigées en mères de ma</w:t>
      </w:r>
      <w:r w:rsidRPr="00A37731">
        <w:t>r</w:t>
      </w:r>
      <w:r w:rsidRPr="00A37731">
        <w:t>tyrs. Ce serait tentant parce que cela rapprocherait l'appréhension pol</w:t>
      </w:r>
      <w:r w:rsidRPr="00A37731">
        <w:t>i</w:t>
      </w:r>
      <w:r w:rsidRPr="00A37731">
        <w:t xml:space="preserve">tique quant </w:t>
      </w:r>
      <w:r w:rsidRPr="00BD1471">
        <w:t xml:space="preserve">à </w:t>
      </w:r>
      <w:r w:rsidRPr="00A37731">
        <w:t>la citoyenneté des femmes algériennes et des femmes occidentales. Ainsi, alors que toutes les femmes be</w:t>
      </w:r>
      <w:r w:rsidRPr="00A37731">
        <w:t>l</w:t>
      </w:r>
      <w:r w:rsidRPr="00A37731">
        <w:t xml:space="preserve">ges n'ont eu le droit de suffrage qu'après la Deuxième Guerre mondiale, les veuves et les mères des soldats tués au front l'ont obtenu après la Première Guerre mondiale. Le rapport d'appartenance des femmes </w:t>
      </w:r>
      <w:r w:rsidRPr="000D1A32">
        <w:t xml:space="preserve">à </w:t>
      </w:r>
      <w:r w:rsidRPr="00A37731">
        <w:t>la Nation transiterait par leur rapport au « sang du guerrier</w:t>
      </w:r>
      <w:r>
        <w:t> </w:t>
      </w:r>
      <w:r>
        <w:rPr>
          <w:rStyle w:val="Appelnotedebasdep"/>
        </w:rPr>
        <w:footnoteReference w:id="184"/>
      </w:r>
      <w:r w:rsidRPr="00A37731">
        <w:t> ». Peut-être, mais ne s'agit-il pas d'un voile pour dire le renversement de la ma trie en la patrie, la terre des pères ? La question se pose d'autant plus intens</w:t>
      </w:r>
      <w:r w:rsidRPr="00A37731">
        <w:t>é</w:t>
      </w:r>
      <w:r w:rsidRPr="00A37731">
        <w:t>ment en Algérie que la représentation de la Nation pu</w:t>
      </w:r>
      <w:r w:rsidRPr="00A37731">
        <w:t>i</w:t>
      </w:r>
      <w:r w:rsidRPr="00A37731">
        <w:t xml:space="preserve">se des éléments dans celle de </w:t>
      </w:r>
      <w:r>
        <w:t>l’</w:t>
      </w:r>
      <w:r w:rsidRPr="00BD1471">
        <w:rPr>
          <w:i/>
          <w:iCs/>
        </w:rPr>
        <w:t xml:space="preserve">Oumma </w:t>
      </w:r>
      <w:r w:rsidRPr="00A37731">
        <w:t>mais encore que l'i</w:t>
      </w:r>
      <w:r w:rsidRPr="00A37731">
        <w:t>n</w:t>
      </w:r>
      <w:r w:rsidRPr="00A37731">
        <w:t xml:space="preserve">dépendance est arrachée grâce </w:t>
      </w:r>
      <w:r w:rsidRPr="00BD1471">
        <w:t xml:space="preserve">à </w:t>
      </w:r>
      <w:r w:rsidRPr="00A37731">
        <w:t>une guérilla anticoloniale dans laquelle se jouait aussi un ra</w:t>
      </w:r>
      <w:r w:rsidRPr="00A37731">
        <w:t>p</w:t>
      </w:r>
      <w:r w:rsidRPr="00A37731">
        <w:t xml:space="preserve">porta la métropole - </w:t>
      </w:r>
      <w:r w:rsidRPr="00BD1471">
        <w:t xml:space="preserve">à </w:t>
      </w:r>
      <w:r w:rsidRPr="00A37731">
        <w:t>la ville-mère. Il y aurait lieu d'approfondir.</w:t>
      </w:r>
    </w:p>
    <w:p w:rsidR="00B7214C" w:rsidRDefault="00B7214C" w:rsidP="00B7214C">
      <w:pPr>
        <w:spacing w:before="120" w:after="120"/>
        <w:jc w:val="both"/>
      </w:pPr>
      <w:r w:rsidRPr="00A37731">
        <w:t>La constitution de la « citoyenne à part entière » peut être repérée comme exclusive dans la mesure où le citoyen masc</w:t>
      </w:r>
      <w:r w:rsidRPr="00A37731">
        <w:t>u</w:t>
      </w:r>
      <w:r w:rsidRPr="00A37731">
        <w:t xml:space="preserve">lin n'existe pas dans le discours. Il y aurait peut-être lieu d'y voir l'expression d'un « suffrage </w:t>
      </w:r>
      <w:r w:rsidRPr="00BD1471">
        <w:rPr>
          <w:i/>
          <w:iCs/>
        </w:rPr>
        <w:t>universel »</w:t>
      </w:r>
      <w:r w:rsidRPr="00A37731">
        <w:t xml:space="preserve"> </w:t>
      </w:r>
      <w:r w:rsidRPr="00BD1471">
        <w:t xml:space="preserve">à </w:t>
      </w:r>
      <w:r w:rsidRPr="00A37731">
        <w:t>l'envers. Il est possible que je sois, malgré moi comme on dit, marquée au plus enfoui par l'idée que l'universel est informulable à partir des femmes... Au plus conscient, cette perspect</w:t>
      </w:r>
      <w:r w:rsidRPr="00A37731">
        <w:t>i</w:t>
      </w:r>
      <w:r w:rsidRPr="00A37731">
        <w:t>ve ne me semble pas adéquate dans la mesure où il ressort que la c</w:t>
      </w:r>
      <w:r w:rsidRPr="00A37731">
        <w:t>i</w:t>
      </w:r>
      <w:r w:rsidRPr="00A37731">
        <w:t xml:space="preserve">toyenneté est liée </w:t>
      </w:r>
      <w:r w:rsidRPr="00BD1471">
        <w:t xml:space="preserve">à </w:t>
      </w:r>
      <w:r w:rsidRPr="00A37731">
        <w:t>l'apparition de l'individu abstrait ; or, la femme ne pourrait être absorbée dans l'individu abstrait que lorsque le sauvage est dompté en elle, que lorsqu'elle est c</w:t>
      </w:r>
      <w:r w:rsidRPr="00A37731">
        <w:t>a</w:t>
      </w:r>
      <w:r w:rsidRPr="00A37731">
        <w:t>pable elle-même de contrôler sa production d'enfants. Il m'a</w:t>
      </w:r>
      <w:r w:rsidRPr="00A37731">
        <w:t>p</w:t>
      </w:r>
      <w:r w:rsidRPr="00A37731">
        <w:t>paraît donc irreprésentable - ce serait une anomalie - que la citoyenneté des femmes soit fondée sur la m</w:t>
      </w:r>
      <w:r w:rsidRPr="00A37731">
        <w:t>a</w:t>
      </w:r>
      <w:r w:rsidRPr="00A37731">
        <w:t>ternité. Ici enc</w:t>
      </w:r>
      <w:r w:rsidRPr="00A37731">
        <w:t>o</w:t>
      </w:r>
      <w:r w:rsidRPr="00A37731">
        <w:t>re, il faudra creuser. Pour l'instant, il me semble qu'un des o</w:t>
      </w:r>
      <w:r w:rsidRPr="00A37731">
        <w:t>u</w:t>
      </w:r>
      <w:r w:rsidRPr="00A37731">
        <w:t>tils indispensables pour le faire consiste en un retour sur la construction de « femme » et de « mère », la première rel</w:t>
      </w:r>
      <w:r w:rsidRPr="00A37731">
        <w:t>e</w:t>
      </w:r>
      <w:r w:rsidRPr="00A37731">
        <w:t>vant de la différence des sexes, la seconde...</w:t>
      </w:r>
    </w:p>
    <w:p w:rsidR="00B7214C" w:rsidRDefault="00B7214C" w:rsidP="00B7214C">
      <w:pPr>
        <w:pStyle w:val="p"/>
      </w:pPr>
      <w:r>
        <w:t>[232]</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jc w:val="both"/>
      </w:pPr>
    </w:p>
    <w:p w:rsidR="00B7214C" w:rsidRDefault="00B7214C" w:rsidP="00B7214C">
      <w:pPr>
        <w:pStyle w:val="p"/>
      </w:pPr>
      <w:r>
        <w:t>[233]</w:t>
      </w:r>
    </w:p>
    <w:p w:rsidR="00B7214C" w:rsidRDefault="00B7214C" w:rsidP="00B7214C">
      <w:pPr>
        <w:pStyle w:val="p"/>
      </w:pPr>
      <w:r>
        <w:t>[234]</w:t>
      </w:r>
    </w:p>
    <w:p w:rsidR="00B7214C" w:rsidRDefault="00B7214C" w:rsidP="00B7214C">
      <w:pPr>
        <w:pStyle w:val="p"/>
      </w:pPr>
      <w:r>
        <w:t>[235]</w:t>
      </w:r>
    </w:p>
    <w:p w:rsidR="00B7214C" w:rsidRPr="00A37731" w:rsidRDefault="00B7214C" w:rsidP="00B7214C">
      <w:pPr>
        <w:pStyle w:val="p"/>
      </w:pPr>
      <w:r>
        <w:t>[236]</w:t>
      </w:r>
    </w:p>
    <w:p w:rsidR="00B7214C" w:rsidRDefault="00B7214C" w:rsidP="00B7214C">
      <w:pPr>
        <w:pStyle w:val="p"/>
      </w:pPr>
      <w:r w:rsidRPr="00A37731">
        <w:br w:type="page"/>
      </w:r>
      <w:r>
        <w:t>[237]</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3" w:name="Entre_tradition_pt_2_texte_14"/>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14</w:t>
      </w:r>
    </w:p>
    <w:p w:rsidR="00B7214C" w:rsidRDefault="00B7214C" w:rsidP="00B7214C">
      <w:pPr>
        <w:pStyle w:val="Titreniveau2"/>
      </w:pPr>
      <w:r>
        <w:t>“Les femmes algériennes :</w:t>
      </w:r>
      <w:r>
        <w:br/>
        <w:t>enjeux et actrices.”</w:t>
      </w:r>
    </w:p>
    <w:bookmarkEnd w:id="23"/>
    <w:p w:rsidR="00B7214C" w:rsidRPr="00E07116" w:rsidRDefault="00B7214C" w:rsidP="00B7214C">
      <w:pPr>
        <w:jc w:val="both"/>
        <w:rPr>
          <w:szCs w:val="36"/>
        </w:rPr>
      </w:pPr>
    </w:p>
    <w:p w:rsidR="00B7214C" w:rsidRPr="00E07116" w:rsidRDefault="00B7214C" w:rsidP="00B7214C">
      <w:pPr>
        <w:pStyle w:val="suite"/>
      </w:pPr>
      <w:r>
        <w:t>Par Ratiba HADJ-MOUSSA</w:t>
      </w:r>
    </w:p>
    <w:p w:rsidR="00B7214C" w:rsidRDefault="00B7214C" w:rsidP="00B7214C">
      <w:pPr>
        <w:pStyle w:val="auteurst"/>
      </w:pPr>
      <w:r w:rsidRPr="004A7EF1">
        <w:t>Sociologue, Montréal</w:t>
      </w:r>
    </w:p>
    <w:p w:rsidR="00B7214C" w:rsidRPr="00BD1471" w:rsidRDefault="00B7214C" w:rsidP="00B7214C">
      <w:pPr>
        <w:ind w:firstLine="0"/>
        <w:jc w:val="center"/>
        <w:rPr>
          <w:sz w:val="24"/>
        </w:rPr>
      </w:pPr>
      <w:r w:rsidRPr="00BD1471">
        <w:rPr>
          <w:sz w:val="24"/>
        </w:rPr>
        <w:t>Commentaire sur le texte de Marie-Blanche Tahon</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spacing w:before="120" w:after="120"/>
        <w:jc w:val="both"/>
      </w:pPr>
      <w:r>
        <w:t>U</w:t>
      </w:r>
      <w:r w:rsidRPr="00A37731">
        <w:t>ne première remarque : le texte de Marie-Blanche Tahon dépa</w:t>
      </w:r>
      <w:r w:rsidRPr="00A37731">
        <w:t>s</w:t>
      </w:r>
      <w:r w:rsidRPr="00A37731">
        <w:t>se de loin le titre de sa conférence. S'agit-il en effet de la position des femmes face à une doctrine religieuse, à un mouvement, ou bien s'agit-il de leur position dans ce qu'on appelle islamisme ; appellation qui aurait mérité une petite définition eût-elle été contextuelle ?</w:t>
      </w:r>
    </w:p>
    <w:p w:rsidR="00B7214C" w:rsidRPr="00A37731" w:rsidRDefault="00B7214C" w:rsidP="00B7214C">
      <w:pPr>
        <w:spacing w:before="120" w:after="120"/>
        <w:jc w:val="both"/>
      </w:pPr>
      <w:r w:rsidRPr="00A37731">
        <w:t>Ce texte, extrêmement riche, a néanmoins le mérite d'inte</w:t>
      </w:r>
      <w:r w:rsidRPr="00A37731">
        <w:t>r</w:t>
      </w:r>
      <w:r w:rsidRPr="00A37731">
        <w:t>roger non seulement le lieu d'où on parle des femmes, mais aussi les mod</w:t>
      </w:r>
      <w:r w:rsidRPr="00A37731">
        <w:t>a</w:t>
      </w:r>
      <w:r w:rsidRPr="00A37731">
        <w:t>lités et la dynamique de leur positionnement social et des enjeux que celui-ci soulève. D'emblée, on le voit, la réflexion ne se contente pas de renvoyer aux discours et aux pratiques des islamistes contemp</w:t>
      </w:r>
      <w:r w:rsidRPr="00A37731">
        <w:t>o</w:t>
      </w:r>
      <w:r w:rsidRPr="00A37731">
        <w:t>rains, mais tente d'insérer la dynamique de positionnement des fe</w:t>
      </w:r>
      <w:r w:rsidRPr="00A37731">
        <w:t>m</w:t>
      </w:r>
      <w:r w:rsidRPr="00A37731">
        <w:t>mes dans son hi</w:t>
      </w:r>
      <w:r w:rsidRPr="00A37731">
        <w:t>s</w:t>
      </w:r>
      <w:r w:rsidRPr="00A37731">
        <w:t>toricité, dans ses contradictions inéluctables.</w:t>
      </w:r>
    </w:p>
    <w:p w:rsidR="00B7214C" w:rsidRPr="00A37731" w:rsidRDefault="00B7214C" w:rsidP="00B7214C">
      <w:pPr>
        <w:spacing w:before="120" w:after="120"/>
        <w:jc w:val="both"/>
      </w:pPr>
      <w:r w:rsidRPr="00A37731">
        <w:t>La remarque à retenir, et qui est d'importance, est celle-ci : la « confrontation » femme et islamisme se joue dans les sociétés impr</w:t>
      </w:r>
      <w:r w:rsidRPr="00A37731">
        <w:t>o</w:t>
      </w:r>
      <w:r w:rsidRPr="00A37731">
        <w:t>prement appelées musulmanes. Il s'agit plutôt de sociétés « dites m</w:t>
      </w:r>
      <w:r w:rsidRPr="00A37731">
        <w:t>u</w:t>
      </w:r>
      <w:r w:rsidRPr="00A37731">
        <w:t>sulmanes », car comme le rappelle Mohamed Arkoun, cette préca</w:t>
      </w:r>
      <w:r w:rsidRPr="00A37731">
        <w:t>u</w:t>
      </w:r>
      <w:r w:rsidRPr="00A37731">
        <w:t>tion permet de « réintroduire la n</w:t>
      </w:r>
      <w:r w:rsidRPr="00A37731">
        <w:t>é</w:t>
      </w:r>
      <w:r w:rsidRPr="00A37731">
        <w:t>cessité scientifique de regarder les sociétés d'abord et non la religion qui est produite par la société plus que celle-ci ne la produit » (1990, p. 500). En outre, dans « les soci</w:t>
      </w:r>
      <w:r w:rsidRPr="00A37731">
        <w:t>é</w:t>
      </w:r>
      <w:r w:rsidRPr="00A37731">
        <w:t>tés dites musulmanes », « le politique domine le religieux et l'utilise à ses propres fins et non l'inverse » (p. 501). Ce</w:t>
      </w:r>
      <w:r>
        <w:t xml:space="preserve"> [238] </w:t>
      </w:r>
      <w:r w:rsidRPr="00A37731">
        <w:t>qui signifie, pour reprendre les termes de Marie-Blanche T</w:t>
      </w:r>
      <w:r w:rsidRPr="00A37731">
        <w:t>a</w:t>
      </w:r>
      <w:r w:rsidRPr="00A37731">
        <w:t>hon, que « le religieux est instrumenté à des fins partisanes ». L'exemple le plus patent dans le cas algérien se traduit dans les manipulations et les tergiversations dont le code de la famille a été l'objet ; à travers ces dernières se ma</w:t>
      </w:r>
      <w:r w:rsidRPr="00A37731">
        <w:t>r</w:t>
      </w:r>
      <w:r w:rsidRPr="00A37731">
        <w:t>quent les h</w:t>
      </w:r>
      <w:r w:rsidRPr="00A37731">
        <w:t>é</w:t>
      </w:r>
      <w:r w:rsidRPr="00A37731">
        <w:t>sitations de la société algérienne à se choisir une option.</w:t>
      </w:r>
    </w:p>
    <w:p w:rsidR="00B7214C" w:rsidRPr="00A37731" w:rsidRDefault="00B7214C" w:rsidP="00B7214C">
      <w:pPr>
        <w:spacing w:before="120" w:after="120"/>
        <w:jc w:val="both"/>
      </w:pPr>
      <w:r w:rsidRPr="00A37731">
        <w:t>Marie-Blanche Tahon a raison de soutenir, à la suite de Pierre L</w:t>
      </w:r>
      <w:r w:rsidRPr="00A37731">
        <w:t>e</w:t>
      </w:r>
      <w:r w:rsidRPr="00A37731">
        <w:t>gendre, qu'à travers le code, « qui régit l'alliance et l'héritage » se joue la symbolique de cette société et qu'il est donc au coeur du politique. En d'autres termes, il est le geste par excellence qui institue l'humain, qui lui fraie un passage et le place vis-à</w:t>
      </w:r>
      <w:r>
        <w:t>-</w:t>
      </w:r>
      <w:r w:rsidRPr="00A37731">
        <w:t>vis de ses semblables (les a</w:t>
      </w:r>
      <w:r w:rsidRPr="00A37731">
        <w:t>u</w:t>
      </w:r>
      <w:r w:rsidRPr="00A37731">
        <w:t>tres humains). En somme, il serait question d'un travail d'ordonna</w:t>
      </w:r>
      <w:r w:rsidRPr="00A37731">
        <w:t>n</w:t>
      </w:r>
      <w:r w:rsidRPr="00A37731">
        <w:t>cement des sujets. Comment cela se manifeste dans le cas algérien ? M.-B. Tahon, et elle n'est pas la seule, répond par l'exclusion struct</w:t>
      </w:r>
      <w:r w:rsidRPr="00A37731">
        <w:t>u</w:t>
      </w:r>
      <w:r w:rsidRPr="00A37731">
        <w:t>relle des femmes des institutions politiques repérables, hélas, dans l'ensemble de l'espace public. Mais cette réponse, même si elle est démontrable dans les faits n'est pas à mes yeux convaincante, car elle superpose deux types d'interprét</w:t>
      </w:r>
      <w:r w:rsidRPr="00A37731">
        <w:t>a</w:t>
      </w:r>
      <w:r w:rsidRPr="00A37731">
        <w:t>tion qui sont loin d'être compatibles. D'une part, il y a la Règle qui exprime « un interdit, un dit d'interpos</w:t>
      </w:r>
      <w:r w:rsidRPr="00A37731">
        <w:t>i</w:t>
      </w:r>
      <w:r w:rsidRPr="00A37731">
        <w:t>tion » qui pe</w:t>
      </w:r>
      <w:r w:rsidRPr="00A37731">
        <w:t>r</w:t>
      </w:r>
      <w:r w:rsidRPr="00A37731">
        <w:t>met de surmonter « l'horreur des commencements » et d'autre part, les formes historiques, les réponses que chaque société donne à la Règle.</w:t>
      </w:r>
    </w:p>
    <w:p w:rsidR="00B7214C" w:rsidRPr="00A37731" w:rsidRDefault="00B7214C" w:rsidP="00B7214C">
      <w:pPr>
        <w:spacing w:before="120" w:after="120"/>
        <w:jc w:val="both"/>
      </w:pPr>
      <w:r w:rsidRPr="00A37731">
        <w:t>Arrêtons-nous un instant sur cette réponse sociale à la R</w:t>
      </w:r>
      <w:r w:rsidRPr="00A37731">
        <w:t>è</w:t>
      </w:r>
      <w:r w:rsidRPr="00A37731">
        <w:t>gle, le code de la famille dont l'utilisation « éclaire l'exclusion des femmes des institutions politiques ». Est-ce à dire que l'institution familiale n'en n'est pas une, comme le laisse cro</w:t>
      </w:r>
      <w:r w:rsidRPr="00A37731">
        <w:t>i</w:t>
      </w:r>
      <w:r w:rsidRPr="00A37731">
        <w:t>re le texte, elle qui est pourtant traversée de part en part par « cette matière qui régit l'alliance et l'hér</w:t>
      </w:r>
      <w:r w:rsidRPr="00A37731">
        <w:t>i</w:t>
      </w:r>
      <w:r w:rsidRPr="00A37731">
        <w:t>tage » ? Peut-on pa</w:t>
      </w:r>
      <w:r w:rsidRPr="00A37731">
        <w:t>r</w:t>
      </w:r>
      <w:r w:rsidRPr="00A37731">
        <w:t>ler dans ce cas d'exclusion, terme qui me paraît très excessif parce qu'il bloque l'interprétation, en fait une sorte de constat arrêté, et fige dans le même mouvement son propre objet. Ne peut-on plutôt parler de marginalisation, de mise à l'écart, qui met en scène et à contrario la présence lancinante des fe</w:t>
      </w:r>
      <w:r w:rsidRPr="00A37731">
        <w:t>m</w:t>
      </w:r>
      <w:r w:rsidRPr="00A37731">
        <w:t>mes ? Le voile, le voilement des femmes, serait dans ce sens l'expression de cette pr</w:t>
      </w:r>
      <w:r w:rsidRPr="00A37731">
        <w:t>é</w:t>
      </w:r>
      <w:r w:rsidRPr="00A37731">
        <w:t>sence.</w:t>
      </w:r>
    </w:p>
    <w:p w:rsidR="00B7214C" w:rsidRPr="00A37731" w:rsidRDefault="00B7214C" w:rsidP="00B7214C">
      <w:pPr>
        <w:spacing w:before="120" w:after="120"/>
        <w:jc w:val="both"/>
      </w:pPr>
      <w:r w:rsidRPr="00A37731">
        <w:t>La thèse de l'exclusion ne tient pas compte de la réalité, fût-elle f</w:t>
      </w:r>
      <w:r w:rsidRPr="00A37731">
        <w:t>u</w:t>
      </w:r>
      <w:r w:rsidRPr="00A37731">
        <w:t>gitive et silencieuse, des femmes (le silence parle aussi). J'irais plus loin encore, tant le texte de M.-B. Tahon soulève, par son effort de réflexion, d'importantes questions. En effet, ne peut-on supposer, étant donné le constat de ma</w:t>
      </w:r>
      <w:r w:rsidRPr="00A37731">
        <w:t>r</w:t>
      </w:r>
      <w:r w:rsidRPr="00A37731">
        <w:t>ginalisation des femmes dans l'espace public, que la famille, en tant qu'institution, est le lieu de leur insertion dans le destin de leur société. Se pose ici le problème de l'approche soci</w:t>
      </w:r>
      <w:r w:rsidRPr="00A37731">
        <w:t>o</w:t>
      </w:r>
      <w:r w:rsidRPr="00A37731">
        <w:t>logique de la famille qui ne réussit pas, surtout lorsqu'elle s'int</w:t>
      </w:r>
      <w:r w:rsidRPr="00A37731">
        <w:t>é</w:t>
      </w:r>
      <w:r w:rsidRPr="00A37731">
        <w:t>resse aux « sociétés exotiques », à sortir la famille de sa ga</w:t>
      </w:r>
      <w:r w:rsidRPr="00A37731">
        <w:t>n</w:t>
      </w:r>
      <w:r w:rsidRPr="00A37731">
        <w:t>gue morale et ce, bien que les faits et les enseignements, y compris ceux des islami</w:t>
      </w:r>
      <w:r w:rsidRPr="00A37731">
        <w:t>s</w:t>
      </w:r>
      <w:r w:rsidRPr="00A37731">
        <w:t>tes (toutes tendances confondues) disent</w:t>
      </w:r>
      <w:r>
        <w:t xml:space="preserve"> [</w:t>
      </w:r>
      <w:r w:rsidRPr="00A37731">
        <w:t>239</w:t>
      </w:r>
      <w:r>
        <w:t xml:space="preserve">] </w:t>
      </w:r>
      <w:r w:rsidRPr="00A37731">
        <w:t>autre chose. Prenons ces derniers aux mots : ils nous disent - je schématise un peu - que la place des femmes est dans la famille, et que leur Fonction (la maju</w:t>
      </w:r>
      <w:r w:rsidRPr="00A37731">
        <w:t>s</w:t>
      </w:r>
      <w:r w:rsidRPr="00A37731">
        <w:t>cule est de rigueur) est d'éduquer les e</w:t>
      </w:r>
      <w:r w:rsidRPr="00A37731">
        <w:t>n</w:t>
      </w:r>
      <w:r w:rsidRPr="00A37731">
        <w:t>fants non seulement pour en faire de bons c</w:t>
      </w:r>
      <w:r w:rsidRPr="00A37731">
        <w:t>i</w:t>
      </w:r>
      <w:r w:rsidRPr="00A37731">
        <w:t>toyens, mais aussi pour qu'ils soient de bons citoyens de la nation islamique. Ils confèrent ai</w:t>
      </w:r>
      <w:r w:rsidRPr="00A37731">
        <w:t>n</w:t>
      </w:r>
      <w:r w:rsidRPr="00A37731">
        <w:t>si une tâche immense aux femmes. Elles sont appelées, en quelque sorte, à faire office d'école ; une école qui n'est pas sans lien avec le reste. Certes on peut refuser cette codification et discuter de ce choix, en chercher les causes et les origines pour éclairer un tant soit peu « le point aveugle », comme le fait le texte de M.-B. Tahon, et même tenter de le déplacer. Car co</w:t>
      </w:r>
      <w:r w:rsidRPr="00A37731">
        <w:t>m</w:t>
      </w:r>
      <w:r w:rsidRPr="00A37731">
        <w:t>me tout choix, il est arbitraire et contingent et par conséquent sujet à des transformations. Ainsi, si on considère bien ce choix, en toute l</w:t>
      </w:r>
      <w:r w:rsidRPr="00A37731">
        <w:t>o</w:t>
      </w:r>
      <w:r w:rsidRPr="00A37731">
        <w:t>gique, la famille est une institution politique et non un r</w:t>
      </w:r>
      <w:r w:rsidRPr="00A37731">
        <w:t>e</w:t>
      </w:r>
      <w:r w:rsidRPr="00A37731">
        <w:t>poussoir dans lequel s'agglutinerait la masse informe des femmes, simples génitrices de mammifères ; elle viendrait alors r</w:t>
      </w:r>
      <w:r w:rsidRPr="00A37731">
        <w:t>é</w:t>
      </w:r>
      <w:r w:rsidRPr="00A37731">
        <w:t>équilibrer la marginalisation dont elles sont l'objet ailleurs. On comprendra aisément que ma pos</w:t>
      </w:r>
      <w:r w:rsidRPr="00A37731">
        <w:t>i</w:t>
      </w:r>
      <w:r w:rsidRPr="00A37731">
        <w:t>tion ici n'est pas de légitimer un point de vue ou de justifier (de glisser aussi dans une position conservatrice parce que trop respectueuse de la littéralité des discours des autres, des islamistes en l'occurrence), mais plutôt de pointer la famille co</w:t>
      </w:r>
      <w:r w:rsidRPr="00A37731">
        <w:t>m</w:t>
      </w:r>
      <w:r w:rsidRPr="00A37731">
        <w:t xml:space="preserve">me le lieu de tous les enjeux - de tous les dangers - et de la réinscrire au centre des débats. Par quels moyens et à quels moments la famille a-t-elle « droit de </w:t>
      </w:r>
      <w:r w:rsidRPr="006E3FBD">
        <w:rPr>
          <w:i/>
          <w:iCs/>
        </w:rPr>
        <w:t>Cité » ?</w:t>
      </w:r>
      <w:r w:rsidRPr="00A37731">
        <w:t xml:space="preserve"> Lor</w:t>
      </w:r>
      <w:r w:rsidRPr="00A37731">
        <w:t>s</w:t>
      </w:r>
      <w:r w:rsidRPr="00A37731">
        <w:t>que j'évoque la famille, je fais par la même occasion référence à celles qui en sont le « pilier » : les fe</w:t>
      </w:r>
      <w:r w:rsidRPr="00A37731">
        <w:t>m</w:t>
      </w:r>
      <w:r w:rsidRPr="00A37731">
        <w:t>mes. La famille serait ainsi l'ombre portée du reste qui ne peut se transformer sans que l'ombre ne le soit (et l'on sait à quel point l'ombre est importante !) En la famille réso</w:t>
      </w:r>
      <w:r w:rsidRPr="00A37731">
        <w:t>n</w:t>
      </w:r>
      <w:r w:rsidRPr="00A37731">
        <w:t>nerait le dispositif de mise en place, d'ordonnancement du masculin et du féminin. En d'autres termes, il faudrait m</w:t>
      </w:r>
      <w:r w:rsidRPr="00A37731">
        <w:t>e</w:t>
      </w:r>
      <w:r w:rsidRPr="00A37731">
        <w:t>ner à bout et interroger toutes les conséquences de l'hypothèse affirmant que « la matière qui régit l'alliance et l'héritage constitue le coeur du politique » ; hypoth</w:t>
      </w:r>
      <w:r w:rsidRPr="00A37731">
        <w:t>è</w:t>
      </w:r>
      <w:r w:rsidRPr="00A37731">
        <w:t>se qui permet préc</w:t>
      </w:r>
      <w:r w:rsidRPr="00A37731">
        <w:t>i</w:t>
      </w:r>
      <w:r w:rsidRPr="00A37731">
        <w:t>sément de considérer la famille non plus comme un espace de refoulement, mais un espace de rapports de forces (entre autres celui des formes et des contenus de la transmission do</w:t>
      </w:r>
      <w:r w:rsidRPr="00A37731">
        <w:t>n</w:t>
      </w:r>
      <w:r w:rsidRPr="00A37731">
        <w:t>née aux enfants).</w:t>
      </w:r>
    </w:p>
    <w:p w:rsidR="00B7214C" w:rsidRPr="00A37731" w:rsidRDefault="00B7214C" w:rsidP="00B7214C">
      <w:pPr>
        <w:spacing w:before="120" w:after="120"/>
        <w:jc w:val="both"/>
      </w:pPr>
      <w:r w:rsidRPr="00A37731">
        <w:t>Me retient un autre point du texte de M.-B. Tahon : celui de « la gérance de la segmentation » dont les femmes sont les dépositaires par excellence. S'il est vrai que l'idée de scission (</w:t>
      </w:r>
      <w:r w:rsidRPr="006E3FBD">
        <w:rPr>
          <w:i/>
          <w:iCs/>
        </w:rPr>
        <w:t>fitna</w:t>
      </w:r>
      <w:r w:rsidRPr="00A37731">
        <w:t xml:space="preserve">) est intolérable dans la conception islamique, et s'il est facile d'adopter le point de vue de l'occultation du féminin dans son élaboration symbolique, peut-être faudrait-il ajouter pour nuancer l'interprétation que cette occultation est fondée sur </w:t>
      </w:r>
      <w:r w:rsidRPr="006E3FBD">
        <w:rPr>
          <w:i/>
          <w:iCs/>
        </w:rPr>
        <w:t>l'aspect actif du corps des femmes</w:t>
      </w:r>
      <w:r w:rsidRPr="00A37731">
        <w:t xml:space="preserve"> (de la sexualité f</w:t>
      </w:r>
      <w:r w:rsidRPr="00A37731">
        <w:t>é</w:t>
      </w:r>
      <w:r w:rsidRPr="00A37731">
        <w:t>min</w:t>
      </w:r>
      <w:r w:rsidRPr="00A37731">
        <w:t>i</w:t>
      </w:r>
      <w:r w:rsidRPr="00A37731">
        <w:t>ne) face auquel le musulman, aussi soumis à son Dieu, est sans résistance, un être faible.</w:t>
      </w:r>
    </w:p>
    <w:p w:rsidR="00B7214C" w:rsidRPr="00A37731" w:rsidRDefault="00B7214C" w:rsidP="00B7214C">
      <w:pPr>
        <w:spacing w:before="120" w:after="120"/>
        <w:jc w:val="both"/>
      </w:pPr>
      <w:r w:rsidRPr="00A37731">
        <w:t>À l'affirmation bruyante et explicite du masculin répond la pui</w:t>
      </w:r>
      <w:r w:rsidRPr="00A37731">
        <w:t>s</w:t>
      </w:r>
      <w:r w:rsidRPr="00A37731">
        <w:t>sance implicitement active du féminin. C'est dans ce sens que l'on peut</w:t>
      </w:r>
      <w:r>
        <w:t xml:space="preserve"> [240] </w:t>
      </w:r>
      <w:r w:rsidRPr="00A37731">
        <w:t>parler de « l'incorporation de la segmentation » par les femmes ou plutôt de son « incarnation », selon les termes de M. de Certeau, « c'est-à-dire le moment où le logos se fait chair » (1979, p. 3). Je pense aussi à l'obsession de la virginité et à toutes les injon</w:t>
      </w:r>
      <w:r w:rsidRPr="00A37731">
        <w:t>c</w:t>
      </w:r>
      <w:r w:rsidRPr="00A37731">
        <w:t>tions et les prescriptions coraniques concernant le corps féminin. Il ne s'agit pas pour moi de r</w:t>
      </w:r>
      <w:r w:rsidRPr="00A37731">
        <w:t>e</w:t>
      </w:r>
      <w:r w:rsidRPr="00A37731">
        <w:t>mettre en cause l'idée de l'occultation parce qu'elle permet de comprendre - lorsqu'on la prend dans le bon sens, c'est-à-dire lorsqu'on n'en fait pas une dénonciation - un grand nombre de phénomènes empiriques, mais plutôt de la confronter avec l'idée de la « peur », de la « frayeur » suscitée par le féminin, idée qui pourrait, dans le même mouvement, rendre compte de la tentative vaine de combler le manque (sur le plan anecdotique, ou si l'on veut événeme</w:t>
      </w:r>
      <w:r w:rsidRPr="00A37731">
        <w:t>n</w:t>
      </w:r>
      <w:r w:rsidRPr="00A37731">
        <w:t>tiel pour ne pas heurter les esprits, on peut citer la boulimie sexuelle du prophète M</w:t>
      </w:r>
      <w:r w:rsidRPr="00A37731">
        <w:t>o</w:t>
      </w:r>
      <w:r w:rsidRPr="00A37731">
        <w:t xml:space="preserve">hammed qui a épousé plusieurs femmes). Le fait de déduire, comme le fait Olivier Roy cité par M.-B. Tahon, que « l'Islam n'a pas d'histoire [ou] que l'homme n'a pas d'inconscient » à partir du constat que la segmentation est un péché et qu'elle est la négation de </w:t>
      </w:r>
      <w:r>
        <w:t>l’</w:t>
      </w:r>
      <w:r w:rsidRPr="00BD1471">
        <w:rPr>
          <w:i/>
          <w:iCs/>
        </w:rPr>
        <w:t>Oumma</w:t>
      </w:r>
      <w:r w:rsidRPr="00A37731">
        <w:t xml:space="preserve"> me paraît quelque peu hâtif. Ce serait oublier que le concept de </w:t>
      </w:r>
      <w:r w:rsidRPr="00BD1471">
        <w:rPr>
          <w:i/>
          <w:iCs/>
        </w:rPr>
        <w:t>towhîd</w:t>
      </w:r>
      <w:r w:rsidRPr="00A37731">
        <w:t xml:space="preserve"> réfère à une action (processus historique ?), à une dynam</w:t>
      </w:r>
      <w:r w:rsidRPr="00A37731">
        <w:t>i</w:t>
      </w:r>
      <w:r w:rsidRPr="00A37731">
        <w:t>que et non à un état achevé. B. Étienne rappelle que l'unité</w:t>
      </w:r>
      <w:r>
        <w:t> </w:t>
      </w:r>
      <w:r>
        <w:rPr>
          <w:rStyle w:val="Appelnotedebasdep"/>
        </w:rPr>
        <w:footnoteReference w:id="185"/>
      </w:r>
      <w:r w:rsidRPr="00A37731">
        <w:t xml:space="preserve"> (la non-</w:t>
      </w:r>
      <w:r>
        <w:t>division) n'advient pas d'elle-</w:t>
      </w:r>
      <w:r w:rsidRPr="00A37731">
        <w:t>même. À ce propos il écrit : « Phénomène moins connu des Occidentaux, la discussion préalable, la verse et la controverse (munâzara) est la norme dans la société m</w:t>
      </w:r>
      <w:r w:rsidRPr="00A37731">
        <w:t>u</w:t>
      </w:r>
      <w:r w:rsidRPr="00A37731">
        <w:t>sulmane ; mais une fois la décision prise sur la base de celui qui a produit les meilleurs arguments, la minorité accepte au nom de l'unité de la communauté de ne pas diviser les musulmans par une option contraire » (1987, p. 68).</w:t>
      </w:r>
    </w:p>
    <w:p w:rsidR="00B7214C" w:rsidRPr="00A37731" w:rsidRDefault="00B7214C" w:rsidP="00B7214C">
      <w:pPr>
        <w:spacing w:before="120" w:after="120"/>
        <w:jc w:val="both"/>
      </w:pPr>
      <w:r w:rsidRPr="00A37731">
        <w:t>L'interprétation de M.-B. Tahon de l'histoire du trio. Abraham, S</w:t>
      </w:r>
      <w:r w:rsidRPr="00A37731">
        <w:t>a</w:t>
      </w:r>
      <w:r w:rsidRPr="00A37731">
        <w:t>rah et Agar, donne trop de crédit à Abraham qui, dit-elle, réussit le doublet d'être l'ensemenceur, le « fertilisateur », et le « Père de tous les Croyants ». Si on voit dans cette op</w:t>
      </w:r>
      <w:r w:rsidRPr="00A37731">
        <w:t>é</w:t>
      </w:r>
      <w:r w:rsidRPr="00A37731">
        <w:t xml:space="preserve">ration le </w:t>
      </w:r>
      <w:r w:rsidRPr="006E3FBD">
        <w:rPr>
          <w:i/>
          <w:iCs/>
        </w:rPr>
        <w:t>déni</w:t>
      </w:r>
      <w:r w:rsidRPr="00A37731">
        <w:t xml:space="preserve"> du féminin et la glorification du masculin (d'Abraham), où est la Mère dans tout ça ? Dans la conception islamique, elle « est » justement dans ce lieu ind</w:t>
      </w:r>
      <w:r w:rsidRPr="00A37731">
        <w:t>é</w:t>
      </w:r>
      <w:r w:rsidRPr="00A37731">
        <w:t xml:space="preserve">finissable, lieu de la fiction par excellence : </w:t>
      </w:r>
      <w:r>
        <w:t>l’</w:t>
      </w:r>
      <w:r w:rsidRPr="006E3FBD">
        <w:rPr>
          <w:i/>
          <w:iCs/>
        </w:rPr>
        <w:t>Oumma.</w:t>
      </w:r>
      <w:r w:rsidRPr="00A37731">
        <w:t xml:space="preserve"> Je rappelle qu'en arabe Mère</w:t>
      </w:r>
      <w:r>
        <w:t> </w:t>
      </w:r>
      <w:r>
        <w:rPr>
          <w:rStyle w:val="Appelnotedebasdep"/>
        </w:rPr>
        <w:footnoteReference w:id="186"/>
      </w:r>
      <w:r w:rsidRPr="00A37731">
        <w:t xml:space="preserve"> (</w:t>
      </w:r>
      <w:r w:rsidRPr="006E3FBD">
        <w:rPr>
          <w:i/>
          <w:iCs/>
        </w:rPr>
        <w:t xml:space="preserve">Oum) </w:t>
      </w:r>
      <w:r w:rsidRPr="00A37731">
        <w:t xml:space="preserve">et </w:t>
      </w:r>
      <w:r>
        <w:t>l’</w:t>
      </w:r>
      <w:r w:rsidRPr="006E3FBD">
        <w:rPr>
          <w:i/>
          <w:iCs/>
        </w:rPr>
        <w:t>Oumma</w:t>
      </w:r>
      <w:r w:rsidRPr="00A37731">
        <w:t xml:space="preserve"> ont la même racine et que sou</w:t>
      </w:r>
      <w:r>
        <w:t>vent elles se con-</w:t>
      </w:r>
      <w:r w:rsidRPr="00A37731">
        <w:t>fondent (au sens de co-fondation et de conf</w:t>
      </w:r>
      <w:r w:rsidRPr="00A37731">
        <w:t>u</w:t>
      </w:r>
      <w:r w:rsidRPr="00A37731">
        <w:t>sion). Lorsqu'on dit par exemple « Notre nation arabe ou musulmane » (</w:t>
      </w:r>
      <w:r w:rsidRPr="006E3FBD">
        <w:rPr>
          <w:i/>
          <w:iCs/>
        </w:rPr>
        <w:t>Oummatouna el Arabia</w:t>
      </w:r>
      <w:r w:rsidRPr="00A37731">
        <w:t xml:space="preserve"> ou </w:t>
      </w:r>
      <w:r w:rsidRPr="006E3FBD">
        <w:rPr>
          <w:i/>
          <w:iCs/>
        </w:rPr>
        <w:t>el islamiya),</w:t>
      </w:r>
      <w:r w:rsidRPr="00A37731">
        <w:t xml:space="preserve"> on dit simultanément « notre mère arabe ou islamique ». Cette </w:t>
      </w:r>
      <w:r w:rsidRPr="006E3FBD">
        <w:rPr>
          <w:i/>
          <w:iCs/>
        </w:rPr>
        <w:t>Oumma</w:t>
      </w:r>
      <w:r w:rsidRPr="00A37731">
        <w:t xml:space="preserve"> inappropriable par le fait d'un possessif au singulier, incluse dans une appropriation collective et communautaire. Donc non morcelable, car dès que j'essaie de la faire mienne, elle change par l'effet d'un accent ou d'une lettre sans pour autant disparaître. C'est en cet endroit que se concentre la pui</w:t>
      </w:r>
      <w:r w:rsidRPr="00A37731">
        <w:t>s</w:t>
      </w:r>
      <w:r w:rsidRPr="00A37731">
        <w:t xml:space="preserve">sance du mot </w:t>
      </w:r>
      <w:r w:rsidRPr="006E3FBD">
        <w:rPr>
          <w:i/>
          <w:iCs/>
        </w:rPr>
        <w:t>Oumma</w:t>
      </w:r>
      <w:r w:rsidRPr="00A37731">
        <w:t xml:space="preserve"> et que s'expose la singularité de la conception islamique du politique, c'est-à-dire ici dans son sens restreint, celui de la mise en ordre du féminin et du ma</w:t>
      </w:r>
      <w:r w:rsidRPr="00A37731">
        <w:t>s</w:t>
      </w:r>
      <w:r w:rsidRPr="00A37731">
        <w:t>culin. Trop collés à la logorrhée des discours islamistes</w:t>
      </w:r>
      <w:r>
        <w:t xml:space="preserve"> [241] </w:t>
      </w:r>
      <w:r w:rsidRPr="00A37731">
        <w:t>et à leurs idéologies fluctuantes (par la force des choses), de no</w:t>
      </w:r>
      <w:r w:rsidRPr="00A37731">
        <w:t>m</w:t>
      </w:r>
      <w:r w:rsidRPr="00A37731">
        <w:t>breux textes réduisent la symbolique à la « pratique » et les rendent isomorphes l'une à l'autre (i.e., l'explication d'une réalité complexe par la différenciation dont les femmes sont po</w:t>
      </w:r>
      <w:r w:rsidRPr="00A37731">
        <w:t>r</w:t>
      </w:r>
      <w:r w:rsidRPr="00A37731">
        <w:t>teuses et son corollaire, la peur de la division). En se fondant sur le paradigme de la différenci</w:t>
      </w:r>
      <w:r w:rsidRPr="00A37731">
        <w:t>a</w:t>
      </w:r>
      <w:r w:rsidRPr="00A37731">
        <w:t xml:space="preserve">tion, on risque de faire l'économie de la question du lieu de la Mère qui touche à mon avis de près à la notion de </w:t>
      </w:r>
      <w:r w:rsidRPr="006E3FBD">
        <w:rPr>
          <w:i/>
          <w:iCs/>
        </w:rPr>
        <w:t>Oumma,</w:t>
      </w:r>
      <w:r w:rsidRPr="00A37731">
        <w:t xml:space="preserve"> qui est, faut-il le rappeler, une notion politique, l'essence et le devenir espéré d'une co</w:t>
      </w:r>
      <w:r w:rsidRPr="00A37731">
        <w:t>l</w:t>
      </w:r>
      <w:r w:rsidRPr="00A37731">
        <w:t xml:space="preserve">lectivité. On fait par là même l'économie d'une réflexion sur la </w:t>
      </w:r>
      <w:r w:rsidRPr="006E3FBD">
        <w:rPr>
          <w:i/>
          <w:iCs/>
        </w:rPr>
        <w:t>tension</w:t>
      </w:r>
      <w:r w:rsidRPr="00A37731">
        <w:t xml:space="preserve"> qui existe entre l'idée de la segmentation et l'idée de l'unité de la communauté, de l</w:t>
      </w:r>
      <w:r w:rsidRPr="006E3FBD">
        <w:rPr>
          <w:i/>
          <w:iCs/>
        </w:rPr>
        <w:t>'Oumma,</w:t>
      </w:r>
      <w:r w:rsidRPr="00A37731">
        <w:t xml:space="preserve"> qui ne saurait être, selon moi, uniquement attribuable aux hommes et dont on a vu la proximité discursive avec la Mère. La reconnaissance de cette tension entre les deux termes pou</w:t>
      </w:r>
      <w:r w:rsidRPr="00A37731">
        <w:t>r</w:t>
      </w:r>
      <w:r w:rsidRPr="00A37731">
        <w:t>rait éclairer autrement la « gynophobie » du code de la famille en A</w:t>
      </w:r>
      <w:r w:rsidRPr="00A37731">
        <w:t>l</w:t>
      </w:r>
      <w:r w:rsidRPr="00A37731">
        <w:t>gérie et l'échec des tentatives des réformistes musulmans (et ils sont nombreux).</w:t>
      </w:r>
    </w:p>
    <w:p w:rsidR="00B7214C" w:rsidRPr="00A37731" w:rsidRDefault="00B7214C" w:rsidP="00B7214C">
      <w:pPr>
        <w:spacing w:before="120" w:after="120"/>
        <w:jc w:val="both"/>
      </w:pPr>
      <w:r w:rsidRPr="00A37731">
        <w:t>Ces remarques, hypothèses suscitées par le texte stimulant de M.-B. Tahon, veulent seulement indiquer qu'on ne saurait s'arrêter à un seul niveau, en l'occurrence la segmentation et en faire le terme expl</w:t>
      </w:r>
      <w:r w:rsidRPr="00A37731">
        <w:t>i</w:t>
      </w:r>
      <w:r w:rsidRPr="00A37731">
        <w:t xml:space="preserve">catif de l'enfermement ou de l'exclusion des femmes du politique, car les femmes, on l'a vu, y sont inscrites par les vertus de cette entité et esperées : </w:t>
      </w:r>
      <w:r>
        <w:t>l’</w:t>
      </w:r>
      <w:r w:rsidRPr="006E3FBD">
        <w:rPr>
          <w:i/>
          <w:iCs/>
        </w:rPr>
        <w:t>Oumma.</w:t>
      </w:r>
      <w:r w:rsidRPr="00A37731">
        <w:t xml:space="preserve"> Autrement, on verserait dans la tautologie et le redoublement constatif. Il existe un nombre impressionnant de livres qui se gargarisent du malheur des femmes algériennes - arabes, m</w:t>
      </w:r>
      <w:r w:rsidRPr="00A37731">
        <w:t>u</w:t>
      </w:r>
      <w:r w:rsidRPr="00A37731">
        <w:t>sulmanes et méditerranéennes du sud de surcroît - sans qu'on y trouve indiquée la moindre petite clé...</w:t>
      </w:r>
    </w:p>
    <w:p w:rsidR="00B7214C" w:rsidRPr="00A37731" w:rsidRDefault="00B7214C" w:rsidP="00B7214C">
      <w:pPr>
        <w:spacing w:before="120" w:after="120"/>
        <w:jc w:val="both"/>
      </w:pPr>
      <w:r w:rsidRPr="00A37731">
        <w:t>Ramener l'exclusion des femmes à la peur de la segment</w:t>
      </w:r>
      <w:r w:rsidRPr="00A37731">
        <w:t>a</w:t>
      </w:r>
      <w:r w:rsidRPr="00A37731">
        <w:t>tion est quelque peu réducteur comme l'est le fait d'expliquer les options pol</w:t>
      </w:r>
      <w:r w:rsidRPr="00A37731">
        <w:t>i</w:t>
      </w:r>
      <w:r w:rsidRPr="00A37731">
        <w:t>ticiennes par la peur de la « faille de l'orig</w:t>
      </w:r>
      <w:r w:rsidRPr="00A37731">
        <w:t>i</w:t>
      </w:r>
      <w:r w:rsidRPr="00A37731">
        <w:t>ne ». En effet, comme elle le dit elle-même, M.-B. Tahon est « atrocement réductrice », lorsqu'e</w:t>
      </w:r>
      <w:r w:rsidRPr="00A37731">
        <w:t>l</w:t>
      </w:r>
      <w:r w:rsidRPr="00A37731">
        <w:t>le rabat les politiques v</w:t>
      </w:r>
      <w:r w:rsidRPr="00A37731">
        <w:t>o</w:t>
      </w:r>
      <w:r w:rsidRPr="00A37731">
        <w:t>lontaristes et populistes (et non populaires) - soit la proclam</w:t>
      </w:r>
      <w:r w:rsidRPr="00A37731">
        <w:t>a</w:t>
      </w:r>
      <w:r w:rsidRPr="00A37731">
        <w:t>tion de la langue arabe comme seule langue nationale, la valorisation du frontisme et de l'unipartisme, le « socialisme spéc</w:t>
      </w:r>
      <w:r w:rsidRPr="00A37731">
        <w:t>i</w:t>
      </w:r>
      <w:r w:rsidRPr="00A37731">
        <w:t>fique qui dénie les luttes de classes », et enfin la qualific</w:t>
      </w:r>
      <w:r w:rsidRPr="00A37731">
        <w:t>a</w:t>
      </w:r>
      <w:r w:rsidRPr="00A37731">
        <w:t>tion des femmes comme « citoyennes à part entière » - lor</w:t>
      </w:r>
      <w:r w:rsidRPr="00A37731">
        <w:t>s</w:t>
      </w:r>
      <w:r w:rsidRPr="00A37731">
        <w:t>qu'elle rabat donc ces politiques sur la recherche de la plénitude qui trouverait sa justif</w:t>
      </w:r>
      <w:r w:rsidRPr="00A37731">
        <w:t>i</w:t>
      </w:r>
      <w:r w:rsidRPr="00A37731">
        <w:t>cation dans la version symbolique du tout plein du commencement.</w:t>
      </w:r>
    </w:p>
    <w:p w:rsidR="00B7214C" w:rsidRPr="00A37731" w:rsidRDefault="00B7214C" w:rsidP="00B7214C">
      <w:pPr>
        <w:spacing w:before="120" w:after="120"/>
        <w:jc w:val="both"/>
      </w:pPr>
      <w:r w:rsidRPr="00A37731">
        <w:t>En me déplaçant sur un autre terrain, celui de la politique polit</w:t>
      </w:r>
      <w:r w:rsidRPr="00A37731">
        <w:t>i</w:t>
      </w:r>
      <w:r w:rsidRPr="00A37731">
        <w:t>cienne, je ne peux m'empêcher quand même de m'inte</w:t>
      </w:r>
      <w:r w:rsidRPr="00A37731">
        <w:t>r</w:t>
      </w:r>
      <w:r w:rsidRPr="00A37731">
        <w:t>roger sur les bouleversements introduits par le syntagme, a</w:t>
      </w:r>
      <w:r w:rsidRPr="00A37731">
        <w:t>u</w:t>
      </w:r>
      <w:r w:rsidRPr="00A37731">
        <w:t>quel j'ai moi-même été confronté, de « citoyenne à part entière » et sur ses effets. Même all</w:t>
      </w:r>
      <w:r w:rsidRPr="00A37731">
        <w:t>u</w:t>
      </w:r>
      <w:r w:rsidRPr="00A37731">
        <w:t>sive, même fictive, j'allais écrire factice, que signifie donc cette « catégorie vide » dans une</w:t>
      </w:r>
      <w:r>
        <w:t xml:space="preserve"> [242] </w:t>
      </w:r>
      <w:r w:rsidRPr="00A37731">
        <w:t>société où la séparation entre les hommes et les femmes est « structurante » (selon le mot de P. Bou</w:t>
      </w:r>
      <w:r w:rsidRPr="00A37731">
        <w:t>r</w:t>
      </w:r>
      <w:r w:rsidRPr="00A37731">
        <w:t>dieu), où les femmes occupent traditionnellement le dedans et non le d</w:t>
      </w:r>
      <w:r w:rsidRPr="00A37731">
        <w:t>e</w:t>
      </w:r>
      <w:r w:rsidRPr="00A37731">
        <w:t>hors ?</w:t>
      </w:r>
    </w:p>
    <w:p w:rsidR="00B7214C" w:rsidRPr="00A37731" w:rsidRDefault="00B7214C" w:rsidP="00B7214C">
      <w:pPr>
        <w:spacing w:before="120" w:after="120"/>
        <w:jc w:val="both"/>
      </w:pPr>
      <w:r w:rsidRPr="00A37731">
        <w:t>Ce « terme vide » d'une politique volontariste tous azimuts a quand même une efficacité idéologique et symbolique, car si les femmes l'ont gagné à force d'être mères et épouses, su</w:t>
      </w:r>
      <w:r w:rsidRPr="00A37731">
        <w:t>r</w:t>
      </w:r>
      <w:r w:rsidRPr="00A37731">
        <w:t>tout mères de martyrs qui ont permis à leur alterego (la nation algérienne) de renaître de ses cendres, elles sont pour la pr</w:t>
      </w:r>
      <w:r w:rsidRPr="00A37731">
        <w:t>e</w:t>
      </w:r>
      <w:r w:rsidRPr="00A37731">
        <w:t>mière fois, malgré les mises en garde et les prudences (no</w:t>
      </w:r>
      <w:r w:rsidRPr="00A37731">
        <w:t>m</w:t>
      </w:r>
      <w:r w:rsidRPr="00A37731">
        <w:t>breuses) agrémentées de çi de là par les valeurs arabo-musulmanes, interpelées directement par le pouvoir. Cette i</w:t>
      </w:r>
      <w:r w:rsidRPr="00A37731">
        <w:t>n</w:t>
      </w:r>
      <w:r w:rsidRPr="00A37731">
        <w:t>terpellation les transforment en interlocutrices. Que signifie ce geste lorsqu'on se déplace du côté des hommes, puisque l'intérêt d'une r</w:t>
      </w:r>
      <w:r w:rsidRPr="00A37731">
        <w:t>é</w:t>
      </w:r>
      <w:r w:rsidRPr="00A37731">
        <w:t>flexion sur les femmes se trouve dans la rel</w:t>
      </w:r>
      <w:r w:rsidRPr="00A37731">
        <w:t>a</w:t>
      </w:r>
      <w:r w:rsidRPr="00A37731">
        <w:t>tion qui les positionne par rapport à ces derniers ? Il signifie que les hommes ne sont plus les i</w:t>
      </w:r>
      <w:r w:rsidRPr="00A37731">
        <w:t>n</w:t>
      </w:r>
      <w:r w:rsidRPr="00A37731">
        <w:t>tercesseurs exclusifs ou si l'on veut les intermédiaires entre le monde du dedans et celui du dehors. Le déni du féminin - qui est semble-t-il à la racine de la pensée musulmane - plus exactement le déni du corps sexué, est au centre de l'opération discursive qui consiste au nom de la modernité, du « socialisme spécifique », à assimiler les femmes à la notion de peuple. Dans les discours politiques en effet, les femmes deviennent, par la vertu de leur particip</w:t>
      </w:r>
      <w:r w:rsidRPr="00A37731">
        <w:t>a</w:t>
      </w:r>
      <w:r>
        <w:t>tion à la guerre de li</w:t>
      </w:r>
      <w:r w:rsidRPr="00A37731">
        <w:t>bération, le peuple, elles sont le Peuple.</w:t>
      </w:r>
    </w:p>
    <w:p w:rsidR="00B7214C" w:rsidRPr="00A37731" w:rsidRDefault="00B7214C" w:rsidP="00B7214C">
      <w:pPr>
        <w:spacing w:before="120" w:after="120"/>
        <w:jc w:val="both"/>
      </w:pPr>
      <w:r w:rsidRPr="00A37731">
        <w:t>Au-delà des cris d'alarme, dont j'ai moi-même il y a que</w:t>
      </w:r>
      <w:r w:rsidRPr="00A37731">
        <w:t>l</w:t>
      </w:r>
      <w:r w:rsidRPr="00A37731">
        <w:t>que temps actionné les sonnettes, sur la perte de l'intégrité féminine, de la « femme véritable », la « notion vide » de citoyenne à part entière d</w:t>
      </w:r>
      <w:r w:rsidRPr="00A37731">
        <w:t>é</w:t>
      </w:r>
      <w:r w:rsidRPr="00A37731">
        <w:t>place sérieusement le préformé cult</w:t>
      </w:r>
      <w:r w:rsidRPr="00A37731">
        <w:t>u</w:t>
      </w:r>
      <w:r w:rsidRPr="00A37731">
        <w:t>rel dans la mesure où elle tend à renverser les positions d'a</w:t>
      </w:r>
      <w:r w:rsidRPr="00A37731">
        <w:t>u</w:t>
      </w:r>
      <w:r w:rsidRPr="00A37731">
        <w:t>torité, à redisposer la place des agents, à faire des femmes des interlocutrices alors qu'elles étaient essentiell</w:t>
      </w:r>
      <w:r w:rsidRPr="00A37731">
        <w:t>e</w:t>
      </w:r>
      <w:r w:rsidRPr="00A37731">
        <w:t>ment les réce</w:t>
      </w:r>
      <w:r w:rsidRPr="00A37731">
        <w:t>p</w:t>
      </w:r>
      <w:r w:rsidRPr="00A37731">
        <w:t>trices du dedans, à affaiblir la place des pères et enfin, à red</w:t>
      </w:r>
      <w:r w:rsidRPr="00A37731">
        <w:t>é</w:t>
      </w:r>
      <w:r w:rsidRPr="00A37731">
        <w:t>finir les rapports État/société civile. C'est dire ce que le vide (le terme de citoyenne à part entière) peut parfois produire !</w:t>
      </w:r>
    </w:p>
    <w:p w:rsidR="00B7214C" w:rsidRPr="00A37731" w:rsidRDefault="00B7214C" w:rsidP="00B7214C">
      <w:pPr>
        <w:spacing w:before="120" w:after="120"/>
        <w:jc w:val="both"/>
      </w:pPr>
      <w:r w:rsidRPr="00A37731">
        <w:t>Le code de la famille de 1984 ne serait dans ce sens que l'expre</w:t>
      </w:r>
      <w:r w:rsidRPr="00A37731">
        <w:t>s</w:t>
      </w:r>
      <w:r w:rsidRPr="00A37731">
        <w:t>sion du retour du refoulé, le retour de l'autorité des pères, des frères par la même occasion. Je ne reprendrai pas les critiques pour la pl</w:t>
      </w:r>
      <w:r w:rsidRPr="00A37731">
        <w:t>u</w:t>
      </w:r>
      <w:r w:rsidRPr="00A37731">
        <w:t>part judicieuses de M.-B. Tahon, sinon pour dire que la société alg</w:t>
      </w:r>
      <w:r w:rsidRPr="00A37731">
        <w:t>é</w:t>
      </w:r>
      <w:r w:rsidRPr="00A37731">
        <w:t>rienne n'a pas attendu la promulgation du code de la famille pour bal</w:t>
      </w:r>
      <w:r w:rsidRPr="00A37731">
        <w:t>i</w:t>
      </w:r>
      <w:r w:rsidRPr="00A37731">
        <w:t>ser l'échange des fe</w:t>
      </w:r>
      <w:r w:rsidRPr="00A37731">
        <w:t>m</w:t>
      </w:r>
      <w:r w:rsidRPr="00A37731">
        <w:t>mes, pour contrôler leur intégrité physique (ce que M.-B. T</w:t>
      </w:r>
      <w:r w:rsidRPr="00A37731">
        <w:t>a</w:t>
      </w:r>
      <w:r w:rsidRPr="00A37731">
        <w:t>hon écrit à propos de la belle-mère par exemple, et qui mériterait une réponse détaillée, n'est pas le produit ou l'effet du c</w:t>
      </w:r>
      <w:r w:rsidRPr="00A37731">
        <w:t>o</w:t>
      </w:r>
      <w:r w:rsidRPr="00A37731">
        <w:t>de de la famille).</w:t>
      </w:r>
    </w:p>
    <w:p w:rsidR="00B7214C" w:rsidRPr="00A37731" w:rsidRDefault="00B7214C" w:rsidP="00B7214C">
      <w:pPr>
        <w:spacing w:before="120" w:after="120"/>
        <w:jc w:val="both"/>
      </w:pPr>
      <w:r w:rsidRPr="00A37731">
        <w:t>D'autre part, il me semble qu'on ne peut s'appuyer sur la minimal</w:t>
      </w:r>
      <w:r w:rsidRPr="00A37731">
        <w:t>i</w:t>
      </w:r>
      <w:r w:rsidRPr="00A37731">
        <w:t>sation du contrôle ou de l'autorité des mères sur leurs enfants pour</w:t>
      </w:r>
      <w:r>
        <w:t xml:space="preserve"> [243] </w:t>
      </w:r>
      <w:r w:rsidRPr="00A37731">
        <w:t>affirmer ou conclure à leur « non-ma</w:t>
      </w:r>
      <w:r>
        <w:t>ter</w:t>
      </w:r>
      <w:r w:rsidRPr="00A37731">
        <w:t>nité » ! Si on accepte l'hypothèse du mariage avec un musulman comme condition de la p</w:t>
      </w:r>
      <w:r w:rsidRPr="00A37731">
        <w:t>e</w:t>
      </w:r>
      <w:r w:rsidRPr="00A37731">
        <w:t>rénisation de la musulmanité d'une femme, peut-on justifier pour a</w:t>
      </w:r>
      <w:r w:rsidRPr="00A37731">
        <w:t>u</w:t>
      </w:r>
      <w:r w:rsidRPr="00A37731">
        <w:t>tant l'interprétation, lourde de cons</w:t>
      </w:r>
      <w:r w:rsidRPr="00A37731">
        <w:t>é</w:t>
      </w:r>
      <w:r w:rsidRPr="00A37731">
        <w:t>quences, de la « non-maternité » des femmes sous prétexte que ce ne sont pas elles qui transmettent la religion ? Ont-elles d'ailleurs besoin de le faire puisque fondament</w:t>
      </w:r>
      <w:r w:rsidRPr="00A37731">
        <w:t>a</w:t>
      </w:r>
      <w:r w:rsidRPr="00A37731">
        <w:t>lement on ne devient pas musulman, on naît musulman (le mieux qu'on puisse faire sur cette terre est d'entretenir cet état, fon</w:t>
      </w:r>
      <w:r w:rsidRPr="00A37731">
        <w:t>c</w:t>
      </w:r>
      <w:r w:rsidRPr="00A37731">
        <w:t>tion « paradoxalement » dévolue aux femmes). Il faudrait sans doute alors s'interroger sur l'interdiction (la prohibition) faite aux femmes musu</w:t>
      </w:r>
      <w:r w:rsidRPr="00A37731">
        <w:t>l</w:t>
      </w:r>
      <w:r w:rsidRPr="00A37731">
        <w:t>manes d'épouser des non-musulmans (des insoumis), et également la prodigalité religieuse dont le code de la famille dote les pères ; prod</w:t>
      </w:r>
      <w:r w:rsidRPr="00A37731">
        <w:t>i</w:t>
      </w:r>
      <w:r w:rsidRPr="00A37731">
        <w:t>galité qui devrait so</w:t>
      </w:r>
      <w:r w:rsidRPr="00A37731">
        <w:t>u</w:t>
      </w:r>
      <w:r w:rsidRPr="00A37731">
        <w:t>lever la suspicion.</w:t>
      </w:r>
    </w:p>
    <w:p w:rsidR="00B7214C" w:rsidRDefault="00B7214C" w:rsidP="00B7214C">
      <w:pPr>
        <w:spacing w:before="120" w:after="120"/>
        <w:jc w:val="both"/>
      </w:pPr>
      <w:r w:rsidRPr="00A37731">
        <w:t>Encore une fois, il peut sembler que je suis en train de d</w:t>
      </w:r>
      <w:r w:rsidRPr="00A37731">
        <w:t>é</w:t>
      </w:r>
      <w:r w:rsidRPr="00A37731">
        <w:t>fendre le code ou que je justifie l'injustice qui y est contenue. Mon intention a été plutôt d'essayer de comprendre la logique à laquelle il appartient et la société qu'il représente. Car obl</w:t>
      </w:r>
      <w:r w:rsidRPr="00A37731">
        <w:t>i</w:t>
      </w:r>
      <w:r w:rsidRPr="00A37731">
        <w:t>térer la place de la femme (mère), présenter celle-ci selon une vision un peu apocalyptique, inscrite dans un mouvement de perte (juridique, économique, symbolique), et eff</w:t>
      </w:r>
      <w:r w:rsidRPr="00A37731">
        <w:t>a</w:t>
      </w:r>
      <w:r w:rsidRPr="00A37731">
        <w:t>cer de la sorte toute forme d'échange, me fait douter de l'existence même de la société sur laquelle porte le regard critique. En est-elle encore une ?</w:t>
      </w:r>
    </w:p>
    <w:p w:rsidR="00B7214C" w:rsidRPr="00A37731" w:rsidRDefault="00B7214C" w:rsidP="00B7214C">
      <w:pPr>
        <w:spacing w:before="120" w:after="120"/>
        <w:jc w:val="both"/>
      </w:pP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jc w:val="both"/>
      </w:pPr>
    </w:p>
    <w:p w:rsidR="00B7214C" w:rsidRDefault="00B7214C" w:rsidP="00B7214C">
      <w:pPr>
        <w:pStyle w:val="p"/>
      </w:pPr>
      <w:r>
        <w:t>[244]</w:t>
      </w:r>
    </w:p>
    <w:p w:rsidR="00B7214C" w:rsidRDefault="00B7214C" w:rsidP="00B7214C">
      <w:pPr>
        <w:spacing w:before="120" w:after="120"/>
        <w:jc w:val="both"/>
      </w:pPr>
    </w:p>
    <w:p w:rsidR="00B7214C" w:rsidRDefault="00B7214C" w:rsidP="00B7214C">
      <w:pPr>
        <w:pStyle w:val="a"/>
      </w:pPr>
      <w:r w:rsidRPr="00A37731">
        <w:t>BIBLIOGRAPHIE</w:t>
      </w:r>
    </w:p>
    <w:p w:rsidR="00B7214C" w:rsidRPr="00A37731" w:rsidRDefault="00B7214C" w:rsidP="00B7214C">
      <w:pPr>
        <w:spacing w:before="120" w:after="120"/>
        <w:jc w:val="both"/>
      </w:pPr>
    </w:p>
    <w:p w:rsidR="00B7214C" w:rsidRDefault="00B7214C" w:rsidP="00B7214C">
      <w:pPr>
        <w:spacing w:before="120" w:after="120"/>
        <w:jc w:val="both"/>
      </w:pPr>
      <w:r w:rsidRPr="00A37731">
        <w:t xml:space="preserve">Arkoun, M., « Entretien avec Mohamed Arkoun », </w:t>
      </w:r>
      <w:r w:rsidRPr="00BD1471">
        <w:rPr>
          <w:i/>
          <w:iCs/>
        </w:rPr>
        <w:t>Revue Tiers-Monde,</w:t>
      </w:r>
      <w:r w:rsidRPr="00A37731">
        <w:t xml:space="preserve"> tome XXXI, n°</w:t>
      </w:r>
      <w:r>
        <w:t> </w:t>
      </w:r>
      <w:r w:rsidRPr="00A37731">
        <w:t>123, juillet-septembre 1990, p</w:t>
      </w:r>
      <w:r>
        <w:t>p</w:t>
      </w:r>
      <w:r w:rsidRPr="00A37731">
        <w:t>. 499-508.</w:t>
      </w:r>
    </w:p>
    <w:p w:rsidR="00B7214C" w:rsidRDefault="00B7214C" w:rsidP="00B7214C">
      <w:pPr>
        <w:spacing w:before="120" w:after="120"/>
        <w:jc w:val="both"/>
      </w:pPr>
      <w:r w:rsidRPr="00A37731">
        <w:t xml:space="preserve">de Certeau, M., « Des outils pour écrire le corps », </w:t>
      </w:r>
      <w:r w:rsidRPr="00BD1471">
        <w:rPr>
          <w:i/>
          <w:iCs/>
        </w:rPr>
        <w:t>Traverses,</w:t>
      </w:r>
      <w:r w:rsidRPr="00A37731">
        <w:t xml:space="preserve"> 1979, n</w:t>
      </w:r>
      <w:r>
        <w:t>os 13-14, pp. 3-14.</w:t>
      </w:r>
    </w:p>
    <w:p w:rsidR="00B7214C" w:rsidRDefault="00B7214C" w:rsidP="00B7214C">
      <w:pPr>
        <w:spacing w:before="120" w:after="120"/>
        <w:jc w:val="both"/>
      </w:pPr>
      <w:r w:rsidRPr="00A37731">
        <w:t xml:space="preserve">Étienne, B., </w:t>
      </w:r>
      <w:r w:rsidRPr="00BD1471">
        <w:rPr>
          <w:i/>
          <w:iCs/>
        </w:rPr>
        <w:t>L'islamisme radical,</w:t>
      </w:r>
      <w:r w:rsidRPr="00A37731">
        <w:t xml:space="preserve"> Paris, H</w:t>
      </w:r>
      <w:r w:rsidRPr="00A37731">
        <w:t>a</w:t>
      </w:r>
      <w:r w:rsidRPr="00A37731">
        <w:t>chette, 1987.</w:t>
      </w:r>
    </w:p>
    <w:p w:rsidR="00B7214C" w:rsidRDefault="00B7214C" w:rsidP="00B7214C">
      <w:pPr>
        <w:pStyle w:val="p"/>
      </w:pPr>
      <w:r w:rsidRPr="00A37731">
        <w:br w:type="page"/>
      </w:r>
      <w:r>
        <w:t>[245]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4" w:name="Entre_tradition_pt_2_texte_15"/>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15</w:t>
      </w:r>
    </w:p>
    <w:p w:rsidR="00B7214C" w:rsidRDefault="00B7214C" w:rsidP="00B7214C">
      <w:pPr>
        <w:pStyle w:val="Titreniveau2"/>
      </w:pPr>
      <w:r>
        <w:t>“L’évolution des modes de contrôle</w:t>
      </w:r>
      <w:r>
        <w:br/>
        <w:t>de l’autorité parentale et son impact</w:t>
      </w:r>
      <w:r>
        <w:br/>
        <w:t>sur les relations entre parents et enfants</w:t>
      </w:r>
      <w:r>
        <w:br/>
        <w:t>dans la société québécoise.” </w:t>
      </w:r>
      <w:r>
        <w:rPr>
          <w:rStyle w:val="Appelnotedebasdep"/>
        </w:rPr>
        <w:footnoteReference w:customMarkFollows="1" w:id="187"/>
        <w:t>*</w:t>
      </w:r>
    </w:p>
    <w:bookmarkEnd w:id="24"/>
    <w:p w:rsidR="00B7214C" w:rsidRPr="00E07116" w:rsidRDefault="00B7214C" w:rsidP="00B7214C">
      <w:pPr>
        <w:jc w:val="both"/>
        <w:rPr>
          <w:szCs w:val="36"/>
        </w:rPr>
      </w:pPr>
    </w:p>
    <w:p w:rsidR="00B7214C" w:rsidRPr="00E07116" w:rsidRDefault="00B7214C" w:rsidP="00B7214C">
      <w:pPr>
        <w:pStyle w:val="suite"/>
      </w:pPr>
      <w:r>
        <w:t>Par Renée JOYAL</w:t>
      </w:r>
    </w:p>
    <w:p w:rsidR="00B7214C" w:rsidRPr="00E07116" w:rsidRDefault="00B7214C" w:rsidP="00B7214C">
      <w:pPr>
        <w:pStyle w:val="auteurst"/>
      </w:pPr>
      <w:r w:rsidRPr="004A7EF1">
        <w:t>Sociologie, Cégep Lionel-Groulx</w:t>
      </w: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spacing w:before="120" w:after="120"/>
        <w:jc w:val="both"/>
      </w:pPr>
      <w:r>
        <w:t>L</w:t>
      </w:r>
      <w:r w:rsidRPr="00A37731">
        <w:t>'autorité parentale est un concept relativement nouveau en droit québécois. Jusqu'en 1977, en effet, c'est autour de la notion de pui</w:t>
      </w:r>
      <w:r w:rsidRPr="00A37731">
        <w:t>s</w:t>
      </w:r>
      <w:r w:rsidRPr="00A37731">
        <w:t>sance paternelle que s'organisaient les rapports entre parents et e</w:t>
      </w:r>
      <w:r w:rsidRPr="00A37731">
        <w:t>n</w:t>
      </w:r>
      <w:r w:rsidRPr="00A37731">
        <w:t>fants. Les modifications législatives alors effectuées</w:t>
      </w:r>
      <w:r>
        <w:t> </w:t>
      </w:r>
      <w:r>
        <w:rPr>
          <w:rStyle w:val="Appelnotedebasdep"/>
        </w:rPr>
        <w:footnoteReference w:id="188"/>
      </w:r>
      <w:r w:rsidRPr="00A37731">
        <w:t xml:space="preserve"> n'ont cepe</w:t>
      </w:r>
      <w:r w:rsidRPr="00A37731">
        <w:t>n</w:t>
      </w:r>
      <w:r w:rsidRPr="00A37731">
        <w:t>dant pas entraîné qu'un changement de terminologie. L'autorité pare</w:t>
      </w:r>
      <w:r w:rsidRPr="00A37731">
        <w:t>n</w:t>
      </w:r>
      <w:r w:rsidRPr="00A37731">
        <w:t xml:space="preserve">tale est depuis lors définie par le Code civil comme un ensemble de droits et de devoirs exercés conjointement par les parents à l'égard de leurs enfants, alors que l'ancienne puissance paternelle affirmait les droits du père sur ses enfants, la mère n'exerçant qu'un rôle supplétif. C'est également en 1977 qu'apparaissent de nouvelles mesures de contrôle de l'autorité parentale. L'Assemblée nationale adopte une nouvelle </w:t>
      </w:r>
      <w:r w:rsidRPr="00383569">
        <w:rPr>
          <w:i/>
          <w:iCs/>
        </w:rPr>
        <w:t>Loi sur la protection de la jeunesse</w:t>
      </w:r>
      <w:r>
        <w:rPr>
          <w:iCs/>
        </w:rPr>
        <w:t> </w:t>
      </w:r>
      <w:r>
        <w:rPr>
          <w:rStyle w:val="Appelnotedebasdep"/>
          <w:iCs/>
        </w:rPr>
        <w:footnoteReference w:id="189"/>
      </w:r>
      <w:r w:rsidRPr="00A37731">
        <w:rPr>
          <w:rStyle w:val="Corpsdutexte2Italique"/>
        </w:rPr>
        <w:t>,</w:t>
      </w:r>
      <w:r w:rsidRPr="00A37731">
        <w:t xml:space="preserve"> en vue d'assurer la pr</w:t>
      </w:r>
      <w:r w:rsidRPr="00A37731">
        <w:t>o</w:t>
      </w:r>
      <w:r w:rsidRPr="00A37731">
        <w:t>tection par l'État des enfants maltraités, abandonnés ou négligés. Des dispositions prévoyant la déchéance de l'autorité parentale, pour m</w:t>
      </w:r>
      <w:r w:rsidRPr="00A37731">
        <w:t>o</w:t>
      </w:r>
      <w:r w:rsidRPr="00A37731">
        <w:t>tifs graves et dans l'intérêt de l'enfant, sont par ailleurs intégrées au Code civil</w:t>
      </w:r>
      <w:r>
        <w:t> </w:t>
      </w:r>
      <w:r>
        <w:rPr>
          <w:rStyle w:val="Appelnotedebasdep"/>
        </w:rPr>
        <w:footnoteReference w:id="190"/>
      </w:r>
      <w:r w:rsidRPr="00A37731">
        <w:t>. Cette d</w:t>
      </w:r>
      <w:r w:rsidRPr="00A37731">
        <w:t>é</w:t>
      </w:r>
      <w:r w:rsidRPr="00A37731">
        <w:t>cennie voit également l'avènement de l'enfant comme sujet de droits, la notion d'intérêt de l'enfant étant alors jugée insuffisante, voire dangereuse d'utilisation dans les décisions conce</w:t>
      </w:r>
      <w:r w:rsidRPr="00A37731">
        <w:t>r</w:t>
      </w:r>
      <w:r w:rsidRPr="00A37731">
        <w:t>nant des perso</w:t>
      </w:r>
      <w:r w:rsidRPr="00A37731">
        <w:t>n</w:t>
      </w:r>
      <w:r w:rsidRPr="00A37731">
        <w:t>nes mineures (Joyal, 1991, p. 787).</w:t>
      </w:r>
    </w:p>
    <w:p w:rsidR="00B7214C" w:rsidRDefault="00B7214C" w:rsidP="00B7214C">
      <w:pPr>
        <w:spacing w:before="120" w:after="120"/>
        <w:jc w:val="both"/>
      </w:pPr>
      <w:r>
        <w:t>[246]</w:t>
      </w:r>
    </w:p>
    <w:p w:rsidR="00B7214C" w:rsidRPr="00A37731" w:rsidRDefault="00B7214C" w:rsidP="00B7214C">
      <w:pPr>
        <w:spacing w:before="120" w:after="120"/>
        <w:jc w:val="both"/>
      </w:pPr>
      <w:r w:rsidRPr="00A37731">
        <w:t>Ces changements législatifs marquent une étape importante d'une lo</w:t>
      </w:r>
      <w:r w:rsidRPr="00A37731">
        <w:t>n</w:t>
      </w:r>
      <w:r w:rsidRPr="00A37731">
        <w:t>gue évolution dont on peut situer le point de départ dans la seconde moitié du XIX</w:t>
      </w:r>
      <w:r w:rsidRPr="00A37731">
        <w:rPr>
          <w:vertAlign w:val="superscript"/>
        </w:rPr>
        <w:t>e</w:t>
      </w:r>
      <w:r w:rsidRPr="00A37731">
        <w:t xml:space="preserve"> siècle, plus précisément en 1869. Avant cette date, en effet, il faut chercher ailleurs que dans des dispositions légales les principaux modes de régulation des comportements familiaux. La f</w:t>
      </w:r>
      <w:r w:rsidRPr="00A37731">
        <w:t>a</w:t>
      </w:r>
      <w:r w:rsidRPr="00A37731">
        <w:t>mille élargie, le vo</w:t>
      </w:r>
      <w:r w:rsidRPr="00A37731">
        <w:t>i</w:t>
      </w:r>
      <w:r w:rsidRPr="00A37731">
        <w:t xml:space="preserve">sinage et la communauté villageoise jouent alors, à cet égard, un rôle primordial, le tout sous l'œil attentif de l'Église et du clergé (Voisine, Beaulieu et Hamelin, 1971, p. 57 ; Roy, 1976, </w:t>
      </w:r>
      <w:r>
        <w:t>p</w:t>
      </w:r>
      <w:r w:rsidRPr="00A37731">
        <w:t>p. 44-45). Sauf quelques exceptions visant des probl</w:t>
      </w:r>
      <w:r w:rsidRPr="00A37731">
        <w:t>è</w:t>
      </w:r>
      <w:r w:rsidRPr="00A37731">
        <w:t>mes spécifiques</w:t>
      </w:r>
      <w:r>
        <w:t> </w:t>
      </w:r>
      <w:r>
        <w:rPr>
          <w:rStyle w:val="Appelnotedebasdep"/>
        </w:rPr>
        <w:footnoteReference w:id="191"/>
      </w:r>
      <w:r w:rsidRPr="00A37731">
        <w:t>, les rapports entre parents et enfants ne sont touchés que par les lois gén</w:t>
      </w:r>
      <w:r w:rsidRPr="00A37731">
        <w:t>é</w:t>
      </w:r>
      <w:r w:rsidRPr="00A37731">
        <w:t xml:space="preserve">rales de police et d'assistance. En 1869, toutefois, la Législature du Québec adopte </w:t>
      </w:r>
      <w:r>
        <w:t>l’</w:t>
      </w:r>
      <w:r w:rsidRPr="00383569">
        <w:rPr>
          <w:i/>
          <w:iCs/>
        </w:rPr>
        <w:t>Acte concernant les écoles d'industrie</w:t>
      </w:r>
      <w:r>
        <w:rPr>
          <w:iCs/>
        </w:rPr>
        <w:t> </w:t>
      </w:r>
      <w:r>
        <w:rPr>
          <w:rStyle w:val="Appelnotedebasdep"/>
          <w:iCs/>
        </w:rPr>
        <w:footnoteReference w:id="192"/>
      </w:r>
      <w:r w:rsidRPr="00A37731">
        <w:t>. Premi</w:t>
      </w:r>
      <w:r w:rsidRPr="00A37731">
        <w:t>è</w:t>
      </w:r>
      <w:r w:rsidRPr="00A37731">
        <w:t>re véritable inte</w:t>
      </w:r>
      <w:r w:rsidRPr="00A37731">
        <w:t>r</w:t>
      </w:r>
      <w:r w:rsidRPr="00A37731">
        <w:t>vention législative en la matière, cette loi inaugure une évolution qui, s'étendant sur plus d'un siècle, assurera une place a</w:t>
      </w:r>
      <w:r w:rsidRPr="00A37731">
        <w:t>c</w:t>
      </w:r>
      <w:r w:rsidRPr="00A37731">
        <w:t>crue à l'État dans la vie familiale.</w:t>
      </w:r>
    </w:p>
    <w:p w:rsidR="00B7214C" w:rsidRPr="00A37731" w:rsidRDefault="00B7214C" w:rsidP="00B7214C">
      <w:pPr>
        <w:spacing w:before="120" w:after="120"/>
        <w:jc w:val="both"/>
      </w:pPr>
      <w:r w:rsidRPr="00A37731">
        <w:t>Nous distinguerons deux périodes dans l'étude de cette évolution : la première se caractérise par la présence massive de l'Église et de ses institutions dans le secteur de l'aide à l'e</w:t>
      </w:r>
      <w:r w:rsidRPr="00A37731">
        <w:t>n</w:t>
      </w:r>
      <w:r w:rsidRPr="00A37731">
        <w:t>fance, tandis que la seconde marque le retrait de celle-ci au profit des organismes et appareils d'État. Parallèlement à ce transfert de responsabilités, qui ne va d'ai</w:t>
      </w:r>
      <w:r w:rsidRPr="00A37731">
        <w:t>l</w:t>
      </w:r>
      <w:r w:rsidRPr="00A37731">
        <w:t>leurs pas sans résistance, les textes législatifs connaissent une évol</w:t>
      </w:r>
      <w:r w:rsidRPr="00A37731">
        <w:t>u</w:t>
      </w:r>
      <w:r w:rsidRPr="00A37731">
        <w:t>tion, assez lente au départ, qui s'accélère sous la pression des chang</w:t>
      </w:r>
      <w:r w:rsidRPr="00A37731">
        <w:t>e</w:t>
      </w:r>
      <w:r w:rsidRPr="00A37731">
        <w:t>ments sociaux liés à la Révolution tranquille des années 1960.</w:t>
      </w:r>
    </w:p>
    <w:p w:rsidR="00B7214C" w:rsidRDefault="00B7214C" w:rsidP="00B7214C">
      <w:pPr>
        <w:spacing w:before="120" w:after="120"/>
        <w:jc w:val="both"/>
      </w:pPr>
    </w:p>
    <w:p w:rsidR="00B7214C" w:rsidRPr="00A37731" w:rsidRDefault="00B7214C" w:rsidP="00B7214C">
      <w:pPr>
        <w:pStyle w:val="a"/>
      </w:pPr>
      <w:r w:rsidRPr="00A37731">
        <w:t xml:space="preserve">SOUS L'OEIL VIGILANT DE L'ÉGLISE </w:t>
      </w:r>
      <w:r>
        <w:br/>
      </w:r>
      <w:r w:rsidRPr="00A37731">
        <w:t>(1869-1945)</w:t>
      </w:r>
    </w:p>
    <w:p w:rsidR="00B7214C" w:rsidRDefault="00B7214C" w:rsidP="00B7214C">
      <w:pPr>
        <w:spacing w:before="120" w:after="120"/>
        <w:jc w:val="both"/>
      </w:pPr>
    </w:p>
    <w:p w:rsidR="00B7214C" w:rsidRDefault="00B7214C" w:rsidP="00B7214C">
      <w:pPr>
        <w:spacing w:before="120" w:after="120"/>
        <w:jc w:val="both"/>
      </w:pPr>
      <w:r w:rsidRPr="00A37731">
        <w:t>Durant la période qui s'étend de 1869 à la Deuxième Guerre mo</w:t>
      </w:r>
      <w:r w:rsidRPr="00A37731">
        <w:t>n</w:t>
      </w:r>
      <w:r w:rsidRPr="00A37731">
        <w:t>diale, l'intervention des pouvoirs publics en faveur de l'enfance ma</w:t>
      </w:r>
      <w:r w:rsidRPr="00A37731">
        <w:t>l</w:t>
      </w:r>
      <w:r w:rsidRPr="00A37731">
        <w:t xml:space="preserve">heureuse évolue somme toute assez peu. </w:t>
      </w:r>
      <w:r w:rsidRPr="00383569">
        <w:rPr>
          <w:i/>
          <w:iCs/>
        </w:rPr>
        <w:t xml:space="preserve">L'Acte concernant les écoles d'industrie </w:t>
      </w:r>
      <w:r w:rsidRPr="00A37731">
        <w:t>est modifié à quelques reprises sans toutefois que les m</w:t>
      </w:r>
      <w:r w:rsidRPr="00A37731">
        <w:t>é</w:t>
      </w:r>
      <w:r w:rsidRPr="00A37731">
        <w:t>canismes qui en assurent l'application ne soient touchés par ces cha</w:t>
      </w:r>
      <w:r w:rsidRPr="00A37731">
        <w:t>n</w:t>
      </w:r>
      <w:r w:rsidRPr="00A37731">
        <w:t>gements. Les institutions chargées de recueillir les enfants visés par la loi demeurent sous le contrôle du clergé et des communautés religie</w:t>
      </w:r>
      <w:r w:rsidRPr="00A37731">
        <w:t>u</w:t>
      </w:r>
      <w:r w:rsidRPr="00A37731">
        <w:t>ses. Une tentative de réforme, amorcée dans les années 1940, tourne court, mais n'en est pas moins annonciatrice d'un vir</w:t>
      </w:r>
      <w:r w:rsidRPr="00A37731">
        <w:t>a</w:t>
      </w:r>
      <w:r w:rsidRPr="00A37731">
        <w:t>ge majeur.</w:t>
      </w:r>
    </w:p>
    <w:p w:rsidR="00B7214C" w:rsidRPr="00A37731" w:rsidRDefault="00B7214C" w:rsidP="00B7214C">
      <w:pPr>
        <w:spacing w:before="120" w:after="120"/>
        <w:jc w:val="both"/>
      </w:pPr>
    </w:p>
    <w:p w:rsidR="00B7214C" w:rsidRPr="006F637F" w:rsidRDefault="00B7214C" w:rsidP="00B7214C">
      <w:pPr>
        <w:pStyle w:val="b"/>
      </w:pPr>
      <w:r w:rsidRPr="006F637F">
        <w:t>Le caractère limité de l'intervention étatique</w:t>
      </w:r>
    </w:p>
    <w:p w:rsidR="00B7214C" w:rsidRDefault="00B7214C" w:rsidP="00B7214C">
      <w:pPr>
        <w:spacing w:before="120" w:after="120"/>
        <w:jc w:val="both"/>
      </w:pPr>
    </w:p>
    <w:p w:rsidR="00B7214C" w:rsidRPr="00A37731" w:rsidRDefault="00B7214C" w:rsidP="00B7214C">
      <w:pPr>
        <w:spacing w:before="120" w:after="120"/>
        <w:jc w:val="both"/>
      </w:pPr>
      <w:r w:rsidRPr="00A37731">
        <w:t xml:space="preserve">On peut se demander, d'abord, pourquoi la Législature du Québec sent le besoin d'adopter, en 1869, </w:t>
      </w:r>
      <w:r>
        <w:t>l’</w:t>
      </w:r>
      <w:r w:rsidRPr="00383569">
        <w:rPr>
          <w:i/>
          <w:iCs/>
        </w:rPr>
        <w:t>Acte concernant les écoles d'indu</w:t>
      </w:r>
      <w:r w:rsidRPr="00383569">
        <w:rPr>
          <w:i/>
          <w:iCs/>
        </w:rPr>
        <w:t>s</w:t>
      </w:r>
      <w:r w:rsidRPr="00383569">
        <w:rPr>
          <w:i/>
          <w:iCs/>
        </w:rPr>
        <w:t>trie.</w:t>
      </w:r>
      <w:r w:rsidRPr="00A37731">
        <w:t xml:space="preserve"> Cette initiative ne peut certes pas être dissociée des grands cha</w:t>
      </w:r>
      <w:r w:rsidRPr="00A37731">
        <w:t>n</w:t>
      </w:r>
      <w:r w:rsidRPr="00A37731">
        <w:t>gements socio</w:t>
      </w:r>
      <w:r>
        <w:t>-</w:t>
      </w:r>
      <w:r w:rsidRPr="00A37731">
        <w:t>économiques qui c</w:t>
      </w:r>
      <w:r w:rsidRPr="00A37731">
        <w:t>a</w:t>
      </w:r>
      <w:r w:rsidRPr="00A37731">
        <w:t>ractérisent l'époque. B</w:t>
      </w:r>
      <w:r>
        <w:t>ien qu'on ne puisse parler d'in</w:t>
      </w:r>
      <w:r w:rsidRPr="00A37731">
        <w:t>dustrialisation</w:t>
      </w:r>
      <w:r>
        <w:t xml:space="preserve"> [247]</w:t>
      </w:r>
      <w:r w:rsidRPr="00A37731">
        <w:t xml:space="preserve"> massive pour le Québec avant le XX</w:t>
      </w:r>
      <w:r w:rsidRPr="00A37731">
        <w:rPr>
          <w:vertAlign w:val="superscript"/>
        </w:rPr>
        <w:t>e</w:t>
      </w:r>
      <w:r w:rsidRPr="00A37731">
        <w:t xml:space="preserve"> siècle (Poulin, 1955, p. 38), une économie capitaliste y est c</w:t>
      </w:r>
      <w:r w:rsidRPr="00A37731">
        <w:t>e</w:t>
      </w:r>
      <w:r w:rsidRPr="00A37731">
        <w:t>pendant en formation, fondée sur l'établissement de manufactures l</w:t>
      </w:r>
      <w:r w:rsidRPr="00A37731">
        <w:t>o</w:t>
      </w:r>
      <w:r w:rsidRPr="00A37731">
        <w:t>cales et l'afflux d'une main-d'œuvre immigrante en provenance n</w:t>
      </w:r>
      <w:r w:rsidRPr="00A37731">
        <w:t>o</w:t>
      </w:r>
      <w:r w:rsidRPr="00A37731">
        <w:t>tamment de l'Irlande (Ryerson, 1972, p. 235). La population est enc</w:t>
      </w:r>
      <w:r w:rsidRPr="00A37731">
        <w:t>o</w:t>
      </w:r>
      <w:r w:rsidRPr="00A37731">
        <w:t>re rurale à plus de 75</w:t>
      </w:r>
      <w:r>
        <w:t>%</w:t>
      </w:r>
      <w:r w:rsidRPr="00A37731">
        <w:t xml:space="preserve"> (Poulin, 1955, p. 38), mais Montréal et Qu</w:t>
      </w:r>
      <w:r w:rsidRPr="00A37731">
        <w:t>é</w:t>
      </w:r>
      <w:r w:rsidRPr="00A37731">
        <w:t>bec sont devenues des agglomér</w:t>
      </w:r>
      <w:r w:rsidRPr="00A37731">
        <w:t>a</w:t>
      </w:r>
      <w:r w:rsidRPr="00A37731">
        <w:t>tions importantes. Des conditions de travail p</w:t>
      </w:r>
      <w:r w:rsidRPr="00A37731">
        <w:t>é</w:t>
      </w:r>
      <w:r w:rsidRPr="00A37731">
        <w:t>nibles comme le « sweating System » s'y développent, alors que les saisons mortes et les crises économiques amènent chômage et misère (Ham</w:t>
      </w:r>
      <w:r w:rsidRPr="00A37731">
        <w:t>e</w:t>
      </w:r>
      <w:r w:rsidRPr="00A37731">
        <w:t>lin et Roby, 1971, p. 307). Il n'existe aucune mesure sociale pour soulager ces maux. Hôpitaux, hospices et crèches recuei</w:t>
      </w:r>
      <w:r w:rsidRPr="00A37731">
        <w:t>l</w:t>
      </w:r>
      <w:r w:rsidRPr="00A37731">
        <w:t>lent les orphelins, ainsi que les malades et les vieillards indigents. Pour le reste, il faut s'en remettre à la charité privée, aux œuvres p</w:t>
      </w:r>
      <w:r w:rsidRPr="00A37731">
        <w:t>a</w:t>
      </w:r>
      <w:r w:rsidRPr="00A37731">
        <w:t>roissiales et aux sociétés de bienveillance et de secours (Hamelin et Roby, 1971, p. 302).</w:t>
      </w:r>
    </w:p>
    <w:p w:rsidR="00B7214C" w:rsidRPr="00A37731" w:rsidRDefault="00B7214C" w:rsidP="00B7214C">
      <w:pPr>
        <w:spacing w:before="120" w:after="120"/>
        <w:jc w:val="both"/>
      </w:pPr>
      <w:r w:rsidRPr="00A37731">
        <w:t>Toutes ces mutations et la désorganisation sociale qui s'e</w:t>
      </w:r>
      <w:r w:rsidRPr="00A37731">
        <w:t>n</w:t>
      </w:r>
      <w:r w:rsidRPr="00A37731">
        <w:t xml:space="preserve">suit ont des répercussions sur la vie familiale. Le nombre des enfants errants ou abandonnés augmente, surtout en milieu urbain. </w:t>
      </w:r>
      <w:r w:rsidRPr="006F637F">
        <w:rPr>
          <w:i/>
          <w:iCs/>
        </w:rPr>
        <w:t>L'Acte concernant les écoles d'industrie</w:t>
      </w:r>
      <w:r>
        <w:rPr>
          <w:iCs/>
        </w:rPr>
        <w:t> </w:t>
      </w:r>
      <w:r>
        <w:rPr>
          <w:rStyle w:val="Appelnotedebasdep"/>
          <w:iCs/>
        </w:rPr>
        <w:footnoteReference w:id="193"/>
      </w:r>
      <w:r w:rsidRPr="00A37731">
        <w:t xml:space="preserve"> assurera la prise en charge de ces enfants pe</w:t>
      </w:r>
      <w:r w:rsidRPr="00A37731">
        <w:t>r</w:t>
      </w:r>
      <w:r w:rsidRPr="00A37731">
        <w:t>çus comme des délinquants potentiels et, donc, comme une menace à l'o</w:t>
      </w:r>
      <w:r w:rsidRPr="00A37731">
        <w:t>r</w:t>
      </w:r>
      <w:r w:rsidRPr="00A37731">
        <w:t>dre social.</w:t>
      </w:r>
    </w:p>
    <w:p w:rsidR="00B7214C" w:rsidRPr="00A37731" w:rsidRDefault="00B7214C" w:rsidP="00B7214C">
      <w:pPr>
        <w:spacing w:before="120" w:after="120"/>
        <w:jc w:val="both"/>
      </w:pPr>
      <w:r w:rsidRPr="00A37731">
        <w:t>C'est à la suite de plusieurs pétitions émanant surtout de personn</w:t>
      </w:r>
      <w:r w:rsidRPr="00A37731">
        <w:t>a</w:t>
      </w:r>
      <w:r w:rsidRPr="00A37731">
        <w:t>lités ecclésiastiques tant de Montréal que de Québec</w:t>
      </w:r>
      <w:r>
        <w:t> </w:t>
      </w:r>
      <w:r>
        <w:rPr>
          <w:rStyle w:val="Appelnotedebasdep"/>
        </w:rPr>
        <w:footnoteReference w:id="194"/>
      </w:r>
      <w:r w:rsidRPr="00A37731">
        <w:t>, que l'Asse</w:t>
      </w:r>
      <w:r w:rsidRPr="00A37731">
        <w:t>m</w:t>
      </w:r>
      <w:r w:rsidRPr="00A37731">
        <w:t>blée adopte cette loi. En réponse aux que</w:t>
      </w:r>
      <w:r w:rsidRPr="00A37731">
        <w:t>s</w:t>
      </w:r>
      <w:r w:rsidRPr="00A37731">
        <w:t>tions qui lui sont adressées par des membres de la Législature, l'honorable Pierre-Joseph-Olivier Chauveau explique que le but du « bill » est de protéger les enfants et de leur éviter les dangers conduisant à une vie immorale</w:t>
      </w:r>
      <w:r>
        <w:t> </w:t>
      </w:r>
      <w:r>
        <w:rPr>
          <w:rStyle w:val="Appelnotedebasdep"/>
        </w:rPr>
        <w:footnoteReference w:id="195"/>
      </w:r>
      <w:r w:rsidRPr="00A37731">
        <w:t>. Au m</w:t>
      </w:r>
      <w:r w:rsidRPr="00A37731">
        <w:t>o</w:t>
      </w:r>
      <w:r w:rsidRPr="00A37731">
        <w:t>ment de la présentation de celui-ci, il avait indiqué qu'il avait pour objet de permettre, comme en Angleterre</w:t>
      </w:r>
      <w:r>
        <w:t> </w:t>
      </w:r>
      <w:r>
        <w:rPr>
          <w:rStyle w:val="Appelnotedebasdep"/>
        </w:rPr>
        <w:footnoteReference w:id="196"/>
      </w:r>
      <w:r w:rsidRPr="00A37731">
        <w:t>, l'envoi des jeunes déli</w:t>
      </w:r>
      <w:r w:rsidRPr="00A37731">
        <w:t>n</w:t>
      </w:r>
      <w:r w:rsidRPr="00A37731">
        <w:t xml:space="preserve">quants dans des maisons de réforme privées établies par des personnes charitables. Il convient de remarquer ici que </w:t>
      </w:r>
      <w:r w:rsidRPr="006F637F">
        <w:rPr>
          <w:i/>
          <w:iCs/>
        </w:rPr>
        <w:t>l'Acte concernant les éc</w:t>
      </w:r>
      <w:r w:rsidRPr="006F637F">
        <w:rPr>
          <w:i/>
          <w:iCs/>
        </w:rPr>
        <w:t>o</w:t>
      </w:r>
      <w:r w:rsidRPr="006F637F">
        <w:rPr>
          <w:i/>
          <w:iCs/>
        </w:rPr>
        <w:t>les d'indu</w:t>
      </w:r>
      <w:r w:rsidRPr="006F637F">
        <w:rPr>
          <w:i/>
          <w:iCs/>
        </w:rPr>
        <w:t>s</w:t>
      </w:r>
      <w:r w:rsidRPr="006F637F">
        <w:rPr>
          <w:i/>
          <w:iCs/>
        </w:rPr>
        <w:t>trie</w:t>
      </w:r>
      <w:r w:rsidRPr="00A37731">
        <w:t xml:space="preserve"> fut présenté et adopté au même moment que </w:t>
      </w:r>
      <w:r>
        <w:t>l’</w:t>
      </w:r>
      <w:r w:rsidRPr="006F637F">
        <w:rPr>
          <w:i/>
          <w:iCs/>
        </w:rPr>
        <w:t>Acte concernant les écoles de réforme</w:t>
      </w:r>
      <w:r>
        <w:rPr>
          <w:iCs/>
        </w:rPr>
        <w:t> </w:t>
      </w:r>
      <w:r>
        <w:rPr>
          <w:rStyle w:val="Appelnotedebasdep"/>
          <w:iCs/>
        </w:rPr>
        <w:footnoteReference w:id="197"/>
      </w:r>
      <w:r w:rsidRPr="00A37731">
        <w:t>, ce qui illustre l'étroite associ</w:t>
      </w:r>
      <w:r w:rsidRPr="00A37731">
        <w:t>a</w:t>
      </w:r>
      <w:r w:rsidRPr="00A37731">
        <w:t>tion que les parlementaires faisaient entre le placement en école de réforme, qui visait le redressement des jeunes délinquants et le plac</w:t>
      </w:r>
      <w:r w:rsidRPr="00A37731">
        <w:t>e</w:t>
      </w:r>
      <w:r w:rsidRPr="00A37731">
        <w:t>ment en école d'i</w:t>
      </w:r>
      <w:r w:rsidRPr="00A37731">
        <w:t>n</w:t>
      </w:r>
      <w:r w:rsidRPr="00A37731">
        <w:t>dustrie, dont le but était de prévenir la délinquance chez les enfants errants ou abandonnés.</w:t>
      </w:r>
    </w:p>
    <w:p w:rsidR="00B7214C" w:rsidRDefault="00B7214C" w:rsidP="00B7214C">
      <w:pPr>
        <w:spacing w:before="120" w:after="120"/>
        <w:jc w:val="both"/>
      </w:pPr>
      <w:r w:rsidRPr="006F637F">
        <w:rPr>
          <w:i/>
          <w:iCs/>
        </w:rPr>
        <w:t>L'Acte concernant les écoles d'industrie</w:t>
      </w:r>
      <w:r w:rsidRPr="00A37731">
        <w:t xml:space="preserve"> s'applique aux e</w:t>
      </w:r>
      <w:r w:rsidRPr="00A37731">
        <w:t>n</w:t>
      </w:r>
      <w:r w:rsidRPr="00A37731">
        <w:t>fants de moins de 14 ans trouvés errants ou en compagnie de voleurs, les o</w:t>
      </w:r>
      <w:r w:rsidRPr="00A37731">
        <w:t>r</w:t>
      </w:r>
      <w:r w:rsidRPr="00A37731">
        <w:t>phelins ou les enfants dont le père a été condamné à une peine de pr</w:t>
      </w:r>
      <w:r w:rsidRPr="00A37731">
        <w:t>i</w:t>
      </w:r>
      <w:r w:rsidRPr="00A37731">
        <w:t>son ou de travaux forcés. Toute personne peut conduire un enfant se trouvant dans une telle situation devant un magistrat qui, après une enquête somma</w:t>
      </w:r>
      <w:r w:rsidRPr="00A37731">
        <w:t>i</w:t>
      </w:r>
      <w:r w:rsidRPr="00A37731">
        <w:t>re, peut ordonner son placement en école d'industrie. Un père de famille ou le directeur d'une institution de charité peut ég</w:t>
      </w:r>
      <w:r w:rsidRPr="00A37731">
        <w:t>a</w:t>
      </w:r>
      <w:r w:rsidRPr="00A37731">
        <w:t>lement se prévaloir de ce mécanisme dans le cas d'un enfant « incontrôlable » ou « réfractaire ».</w:t>
      </w:r>
    </w:p>
    <w:p w:rsidR="00B7214C" w:rsidRPr="00A37731" w:rsidRDefault="00B7214C" w:rsidP="00B7214C">
      <w:pPr>
        <w:spacing w:before="120" w:after="120"/>
        <w:jc w:val="both"/>
      </w:pPr>
      <w:r>
        <w:t>[248]</w:t>
      </w:r>
    </w:p>
    <w:p w:rsidR="00B7214C" w:rsidRPr="00A37731" w:rsidRDefault="00B7214C" w:rsidP="00B7214C">
      <w:pPr>
        <w:spacing w:before="120" w:after="120"/>
        <w:jc w:val="both"/>
      </w:pPr>
      <w:r w:rsidRPr="00A37731">
        <w:t>Les écoles d'industrie sont approuvées par le lieutenant-gouverneur en conseil après inspection. Elles sont tenues d'instruire et d'élever l'enfant ainsi que de pourvoir à sa subsistance. L'ordonnance de pl</w:t>
      </w:r>
      <w:r w:rsidRPr="00A37731">
        <w:t>a</w:t>
      </w:r>
      <w:r w:rsidRPr="00A37731">
        <w:t>cement constitue un ordre de détention pour une durée déterminée et le fait de quitter l'éc</w:t>
      </w:r>
      <w:r w:rsidRPr="00A37731">
        <w:t>o</w:t>
      </w:r>
      <w:r w:rsidRPr="00A37731">
        <w:t>le sans autorisation est considéré comme une évasion et, dans certains cas, puni comme tel. Après une certaine p</w:t>
      </w:r>
      <w:r w:rsidRPr="00A37731">
        <w:t>é</w:t>
      </w:r>
      <w:r w:rsidRPr="00A37731">
        <w:t>riode d'hébergement, l'enfant peut être autorisé à loger à l'extérieur ou être placé en apprentissage, le tout sous la supervision des autorités de l'école. Le financement de ces institutions est en partie à la charge de la Législature et en partie à la charge des municipalités concernées. Dans certains cas, les parents seront tenus à une contribution.</w:t>
      </w:r>
    </w:p>
    <w:p w:rsidR="00B7214C" w:rsidRPr="00A37731" w:rsidRDefault="00B7214C" w:rsidP="00B7214C">
      <w:pPr>
        <w:spacing w:before="120" w:after="120"/>
        <w:jc w:val="both"/>
      </w:pPr>
      <w:r w:rsidRPr="00A37731">
        <w:t>La nomenclature des enfants visés par la loi de 1869 t</w:t>
      </w:r>
      <w:r w:rsidRPr="00A37731">
        <w:t>é</w:t>
      </w:r>
      <w:r w:rsidRPr="00A37731">
        <w:t>moigne du fait que le souci du législateur d'alors en était d'abord un de sécurité publique. Il s'agissait de combattre l'oisiveté, les mauvais comp</w:t>
      </w:r>
      <w:r w:rsidRPr="00A37731">
        <w:t>a</w:t>
      </w:r>
      <w:r w:rsidRPr="00A37731">
        <w:t>gnons, l'esprit de révolte et de pourvoir au redressement de l'enfant par l'imposition d'un c</w:t>
      </w:r>
      <w:r w:rsidRPr="00A37731">
        <w:t>a</w:t>
      </w:r>
      <w:r w:rsidRPr="00A37731">
        <w:t>dre de vie rigide et l'apprentissage d'un métier.</w:t>
      </w:r>
    </w:p>
    <w:p w:rsidR="00B7214C" w:rsidRPr="00A37731" w:rsidRDefault="00B7214C" w:rsidP="00B7214C">
      <w:pPr>
        <w:spacing w:before="120" w:after="120"/>
        <w:jc w:val="both"/>
      </w:pPr>
      <w:r w:rsidRPr="00A37731">
        <w:t>Cette approche ne sera sérieusement remise en cause que dans les années 1940. Toutefois, dans l'intervalle, l'on verra s'ajouter à la liste des enfants concernés par la loi de nouvelles catégories qui témo</w:t>
      </w:r>
      <w:r w:rsidRPr="00A37731">
        <w:t>i</w:t>
      </w:r>
      <w:r w:rsidRPr="00A37731">
        <w:t>gnent de l'apparition d'une certaine compassion à l'égard de l'enfant. Ainsi, à partir de 1884</w:t>
      </w:r>
      <w:r>
        <w:t> </w:t>
      </w:r>
      <w:r>
        <w:rPr>
          <w:rStyle w:val="Appelnotedebasdep"/>
        </w:rPr>
        <w:footnoteReference w:id="198"/>
      </w:r>
      <w:r w:rsidRPr="00A37731">
        <w:t>, les enfants « en besoin » de protection à ca</w:t>
      </w:r>
      <w:r w:rsidRPr="00A37731">
        <w:t>u</w:t>
      </w:r>
      <w:r w:rsidRPr="00A37731">
        <w:t>se de la maladie continuelle, de l'extrême pauvreté, de l'ivrognerie ou des « habitudes vicieuses » de leurs parents seront-ils couverts par la loi. En 1912</w:t>
      </w:r>
      <w:r>
        <w:t> </w:t>
      </w:r>
      <w:r>
        <w:rPr>
          <w:rStyle w:val="Appelnotedebasdep"/>
        </w:rPr>
        <w:footnoteReference w:id="199"/>
      </w:r>
      <w:r w:rsidRPr="00A37731">
        <w:t>, on y ajoutera les enfants « habituellement battus ou traités cruellement » par leurs parents ou gardiens.</w:t>
      </w:r>
    </w:p>
    <w:p w:rsidR="00B7214C" w:rsidRPr="00A37731" w:rsidRDefault="00B7214C" w:rsidP="00B7214C">
      <w:pPr>
        <w:spacing w:before="120" w:after="120"/>
        <w:jc w:val="both"/>
      </w:pPr>
      <w:r w:rsidRPr="006F637F">
        <w:rPr>
          <w:i/>
          <w:iCs/>
        </w:rPr>
        <w:t>L'Acte concernant les écoles d'industrie,</w:t>
      </w:r>
      <w:r w:rsidRPr="00A37731">
        <w:t xml:space="preserve"> malgré quelques ajouts traduisant une préoccupation nouvelle pour l'enfant, ne peut être vu comme un mécanisme de contrôle de la puissance paternelle. </w:t>
      </w:r>
      <w:r>
        <w:t>À</w:t>
      </w:r>
      <w:r w:rsidRPr="00A37731">
        <w:t xml:space="preserve"> l'e</w:t>
      </w:r>
      <w:r w:rsidRPr="00A37731">
        <w:t>x</w:t>
      </w:r>
      <w:r w:rsidRPr="00A37731">
        <w:t>ception de cas d'une extrême gravité, ce texte législatif vient au contraire renforcer l'exercice de la puissance paternelle à l'égard d'e</w:t>
      </w:r>
      <w:r w:rsidRPr="00A37731">
        <w:t>n</w:t>
      </w:r>
      <w:r w:rsidRPr="00A37731">
        <w:t>fants jugés « incontrôlables » ou « récalcitrants ». On ne peut donc relever aucune tentative sérieuse des pouvoirs publics de percer une brèche dans cette « institution » avant la Deuxième Guerre mondiale.</w:t>
      </w:r>
    </w:p>
    <w:p w:rsidR="00B7214C" w:rsidRDefault="00B7214C" w:rsidP="00B7214C">
      <w:pPr>
        <w:spacing w:before="120" w:after="120"/>
        <w:jc w:val="both"/>
      </w:pPr>
    </w:p>
    <w:p w:rsidR="00B7214C" w:rsidRPr="006F637F" w:rsidRDefault="00B7214C" w:rsidP="00B7214C">
      <w:pPr>
        <w:pStyle w:val="b"/>
      </w:pPr>
      <w:r w:rsidRPr="006F637F">
        <w:t>L'émergence d'une volonté de réforme</w:t>
      </w:r>
    </w:p>
    <w:p w:rsidR="00B7214C" w:rsidRPr="00A37731" w:rsidRDefault="00B7214C" w:rsidP="00B7214C">
      <w:pPr>
        <w:spacing w:before="120" w:after="120"/>
        <w:jc w:val="both"/>
      </w:pPr>
    </w:p>
    <w:p w:rsidR="00B7214C" w:rsidRDefault="00B7214C" w:rsidP="00B7214C">
      <w:pPr>
        <w:spacing w:before="120" w:after="120"/>
        <w:jc w:val="both"/>
      </w:pPr>
      <w:r w:rsidRPr="00A37731">
        <w:t>Les années 1940 constituent en effet un moment signific</w:t>
      </w:r>
      <w:r w:rsidRPr="00A37731">
        <w:t>a</w:t>
      </w:r>
      <w:r w:rsidRPr="00A37731">
        <w:t xml:space="preserve">tif de l'histoire de la protection de l'enfance et de la jeunesse au Québec. L'année 1944 voit même l'adoption de la </w:t>
      </w:r>
      <w:r w:rsidRPr="006F637F">
        <w:rPr>
          <w:i/>
          <w:iCs/>
        </w:rPr>
        <w:t>Loi de la protection de l'e</w:t>
      </w:r>
      <w:r w:rsidRPr="006F637F">
        <w:rPr>
          <w:i/>
          <w:iCs/>
        </w:rPr>
        <w:t>n</w:t>
      </w:r>
      <w:r w:rsidRPr="006F637F">
        <w:rPr>
          <w:i/>
          <w:iCs/>
        </w:rPr>
        <w:t>fance</w:t>
      </w:r>
      <w:r>
        <w:rPr>
          <w:iCs/>
        </w:rPr>
        <w:t> </w:t>
      </w:r>
      <w:r>
        <w:rPr>
          <w:rStyle w:val="Appelnotedebasdep"/>
          <w:iCs/>
        </w:rPr>
        <w:footnoteReference w:id="200"/>
      </w:r>
      <w:r w:rsidRPr="00A37731">
        <w:t>, qui se démarque radicalement de la législation applicable ju</w:t>
      </w:r>
      <w:r w:rsidRPr="00A37731">
        <w:t>s</w:t>
      </w:r>
      <w:r w:rsidRPr="00A37731">
        <w:t>qu'alors.</w:t>
      </w:r>
    </w:p>
    <w:p w:rsidR="00B7214C" w:rsidRPr="00A37731" w:rsidRDefault="00B7214C" w:rsidP="00B7214C">
      <w:pPr>
        <w:spacing w:before="120" w:after="120"/>
        <w:jc w:val="both"/>
      </w:pPr>
      <w:r>
        <w:t>[249]</w:t>
      </w:r>
    </w:p>
    <w:p w:rsidR="00B7214C" w:rsidRPr="00A37731" w:rsidRDefault="00B7214C" w:rsidP="00B7214C">
      <w:pPr>
        <w:spacing w:before="120" w:after="120"/>
        <w:jc w:val="both"/>
      </w:pPr>
      <w:r w:rsidRPr="00A37731">
        <w:t>C'est dans la foulée du rapport de la Commission d'ass</w:t>
      </w:r>
      <w:r w:rsidRPr="00A37731">
        <w:t>u</w:t>
      </w:r>
      <w:r w:rsidRPr="00A37731">
        <w:t>rance-ma- ladie de Québec</w:t>
      </w:r>
      <w:r>
        <w:t> </w:t>
      </w:r>
      <w:r>
        <w:rPr>
          <w:rStyle w:val="Appelnotedebasdep"/>
        </w:rPr>
        <w:footnoteReference w:id="201"/>
      </w:r>
      <w:r w:rsidRPr="00A37731">
        <w:t>, instituée par l'Assemblée lég</w:t>
      </w:r>
      <w:r w:rsidRPr="00A37731">
        <w:t>i</w:t>
      </w:r>
      <w:r w:rsidRPr="00A37731">
        <w:t>slative en 1943, que ce texte législatif prend forme. À la suite de seize décès survenus parmi les jeunes enfants fréquentant des garderies privées de la région de Montréal, cette Commission est invitée à faire enquête sur le pr</w:t>
      </w:r>
      <w:r w:rsidRPr="00A37731">
        <w:t>o</w:t>
      </w:r>
      <w:r w:rsidRPr="00A37731">
        <w:t>blème des garderies et de la protection de l'enfance. Après avoir tenu quinze aud</w:t>
      </w:r>
      <w:r w:rsidRPr="00A37731">
        <w:t>i</w:t>
      </w:r>
      <w:r w:rsidRPr="00A37731">
        <w:t>tions publiques au cours desquelles ils entendent soixante et onze personnes représentant plus de cent dix communautés rel</w:t>
      </w:r>
      <w:r w:rsidRPr="00A37731">
        <w:t>i</w:t>
      </w:r>
      <w:r w:rsidRPr="00A37731">
        <w:t>gieuses et organismes de charité</w:t>
      </w:r>
      <w:r>
        <w:t> </w:t>
      </w:r>
      <w:r>
        <w:rPr>
          <w:rStyle w:val="Appelnotedebasdep"/>
        </w:rPr>
        <w:footnoteReference w:id="202"/>
      </w:r>
      <w:r w:rsidRPr="00A37731">
        <w:t>, les commissaires déposent un ra</w:t>
      </w:r>
      <w:r w:rsidRPr="00A37731">
        <w:t>p</w:t>
      </w:r>
      <w:r w:rsidRPr="00A37731">
        <w:t>port qui reconnaît l'existence des besoins affectifs de l'enfant et traduit une volonté marquée de responsabiliser les pouvoirs publics face au bien-être de l'enfance.</w:t>
      </w:r>
    </w:p>
    <w:p w:rsidR="00B7214C" w:rsidRPr="00A37731" w:rsidRDefault="00B7214C" w:rsidP="00B7214C">
      <w:pPr>
        <w:spacing w:before="120" w:after="120"/>
        <w:jc w:val="both"/>
      </w:pPr>
      <w:r w:rsidRPr="00A37731">
        <w:t>Dans une société devenue urbaine à plus de 65</w:t>
      </w:r>
      <w:r>
        <w:t>%</w:t>
      </w:r>
      <w:r w:rsidRPr="00A37731">
        <w:t xml:space="preserve"> (Poulin, 1955, p. 38), fortement industrialisée et qui demeure marquée par la grande dépression des années 1930 et son cortège de misères, nombreux sont ceux, politiciens, clercs et membres de diverses professions, qui croient en la nécessité d'une prise en charge accrue par l'État de ce</w:t>
      </w:r>
      <w:r w:rsidRPr="00A37731">
        <w:t>r</w:t>
      </w:r>
      <w:r w:rsidRPr="00A37731">
        <w:t>tains problèmes sociaux (Joyal et Chatillon, 1993). Faisant siennes les positions soutenues par les tenants de ce courant moderniste, le ra</w:t>
      </w:r>
      <w:r w:rsidRPr="00A37731">
        <w:t>p</w:t>
      </w:r>
      <w:r w:rsidRPr="00A37731">
        <w:t>port de la Commission d'assurance-maladie de Québec propose un avant-projet de loi de protection de l'enfance qui est présenté comme projet de loi à l'Assemblée législative le 10 mai 1944.</w:t>
      </w:r>
    </w:p>
    <w:p w:rsidR="00B7214C" w:rsidRPr="00A37731" w:rsidRDefault="00B7214C" w:rsidP="00B7214C">
      <w:pPr>
        <w:spacing w:before="120" w:after="120"/>
        <w:jc w:val="both"/>
      </w:pPr>
      <w:r w:rsidRPr="00A37731">
        <w:t>La nomenclature des enfants concernés par ce texte législatif r</w:t>
      </w:r>
      <w:r w:rsidRPr="00A37731">
        <w:t>e</w:t>
      </w:r>
      <w:r w:rsidRPr="00A37731">
        <w:t xml:space="preserve">joint sensiblement celle que l'on retrouve à l'époque dans la </w:t>
      </w:r>
      <w:r w:rsidRPr="006F637F">
        <w:rPr>
          <w:i/>
          <w:iCs/>
        </w:rPr>
        <w:t>Loi des écoles d'industrie</w:t>
      </w:r>
      <w:r>
        <w:rPr>
          <w:iCs/>
        </w:rPr>
        <w:t> </w:t>
      </w:r>
      <w:r>
        <w:rPr>
          <w:rStyle w:val="Appelnotedebasdep"/>
          <w:iCs/>
        </w:rPr>
        <w:footnoteReference w:id="203"/>
      </w:r>
      <w:r w:rsidRPr="00A37731">
        <w:t xml:space="preserve"> telle que modifiée au fil du temps. Mais c'est surtout au plan des structures proposées que le projet de loi se déma</w:t>
      </w:r>
      <w:r w:rsidRPr="00A37731">
        <w:t>r</w:t>
      </w:r>
      <w:r w:rsidRPr="00A37731">
        <w:t>que de la législation antérieure. Celui-ci prévoit, au plan local, la cré</w:t>
      </w:r>
      <w:r w:rsidRPr="00A37731">
        <w:t>a</w:t>
      </w:r>
      <w:r w:rsidRPr="00A37731">
        <w:t>tion de sociétés de protection de l'enfance ayant pour fonction de conduire devant un juge tout enfant visé par la loi et, le cas échéant, de voir à l'exécution de l'ordonnance rendue par le tribunal. Ces soci</w:t>
      </w:r>
      <w:r w:rsidRPr="00A37731">
        <w:t>é</w:t>
      </w:r>
      <w:r w:rsidRPr="00A37731">
        <w:t>tés sont supervisées par un Conseil supérieur de la protection de l'e</w:t>
      </w:r>
      <w:r w:rsidRPr="00A37731">
        <w:t>n</w:t>
      </w:r>
      <w:r w:rsidRPr="00A37731">
        <w:t>fance, composé de douze membres, dont dix de religion c</w:t>
      </w:r>
      <w:r w:rsidRPr="00A37731">
        <w:t>a</w:t>
      </w:r>
      <w:r w:rsidRPr="00A37731">
        <w:t>tholique romaine et deux de religion protestante. L'ensemble du système est sous la responsabilité d'un directeur de la protection de l'enfance agi</w:t>
      </w:r>
      <w:r w:rsidRPr="00A37731">
        <w:t>s</w:t>
      </w:r>
      <w:r w:rsidRPr="00A37731">
        <w:t>sant sous l'autorité d'un ministre.</w:t>
      </w:r>
    </w:p>
    <w:p w:rsidR="00B7214C" w:rsidRDefault="00B7214C" w:rsidP="00B7214C">
      <w:pPr>
        <w:spacing w:before="120" w:after="120"/>
        <w:jc w:val="both"/>
      </w:pPr>
      <w:r w:rsidRPr="00A37731">
        <w:t>Les décisions rendues par le tribunal à l'égard d'un enfant peuvent être de plusieurs ordres : remise de l'enfant à ses parents sous la su</w:t>
      </w:r>
      <w:r w:rsidRPr="00A37731">
        <w:t>r</w:t>
      </w:r>
      <w:r w:rsidRPr="00A37731">
        <w:t>veillance d'une société de protection de l'enfance, attribution temp</w:t>
      </w:r>
      <w:r w:rsidRPr="00A37731">
        <w:t>o</w:t>
      </w:r>
      <w:r w:rsidRPr="00A37731">
        <w:t>raire ou permanente de la garde de l'enfant à une telle société, qui en devient alors la tutrice et peut le placer dans un foyer nourricier, dans une institution ou encore en apprentissage ou en service domestique.</w:t>
      </w:r>
    </w:p>
    <w:p w:rsidR="00B7214C" w:rsidRPr="00A37731" w:rsidRDefault="00B7214C" w:rsidP="00B7214C">
      <w:pPr>
        <w:spacing w:before="120" w:after="120"/>
        <w:jc w:val="both"/>
      </w:pPr>
      <w:r>
        <w:t>[250]</w:t>
      </w:r>
    </w:p>
    <w:p w:rsidR="00B7214C" w:rsidRPr="00A37731" w:rsidRDefault="00B7214C" w:rsidP="00B7214C">
      <w:pPr>
        <w:spacing w:before="120" w:after="120"/>
        <w:jc w:val="both"/>
      </w:pPr>
      <w:r w:rsidRPr="00A37731">
        <w:t>Ce projet législatif, qui conférait de larges pouvoirs à des sociétés de protection de l'enfance placées sous le contrôle de l'État, élargissait l'éventail des mesures applicables à un enfant touché par la loi et lim</w:t>
      </w:r>
      <w:r w:rsidRPr="00A37731">
        <w:t>i</w:t>
      </w:r>
      <w:r w:rsidRPr="00A37731">
        <w:t>tait l'exercice de la puissance paternelle, n'allait pas manquer de so</w:t>
      </w:r>
      <w:r w:rsidRPr="00A37731">
        <w:t>u</w:t>
      </w:r>
      <w:r w:rsidRPr="00A37731">
        <w:t>lever de vives protestations. Au moment de la présentation de ce pr</w:t>
      </w:r>
      <w:r w:rsidRPr="00A37731">
        <w:t>o</w:t>
      </w:r>
      <w:r w:rsidRPr="00A37731">
        <w:t>jet de loi, la plupart des institutions recevant des enfants étaient dir</w:t>
      </w:r>
      <w:r w:rsidRPr="00A37731">
        <w:t>i</w:t>
      </w:r>
      <w:r w:rsidRPr="00A37731">
        <w:t>gées par le clergé ou des communautés religieuses (Bourgeois, 1947, p. 240). Plusieurs représentants du milieu clérical et les politiciens conservateurs qui y étaient associés ne pouvaient manquer de voir l'adoption de cette loi comme une menace pour les institutions rel</w:t>
      </w:r>
      <w:r w:rsidRPr="00A37731">
        <w:t>i</w:t>
      </w:r>
      <w:r w:rsidRPr="00A37731">
        <w:t>gieuses. La composition « mixte » du Conseil supérieur de la prote</w:t>
      </w:r>
      <w:r w:rsidRPr="00A37731">
        <w:t>c</w:t>
      </w:r>
      <w:r w:rsidRPr="00A37731">
        <w:t xml:space="preserve">tion de l'enfance était également loin d'emporter leur assentiment (Joyal et Chatillon, 1993). Malgré ce fort courant d opposition, la </w:t>
      </w:r>
      <w:r w:rsidRPr="006F637F">
        <w:rPr>
          <w:i/>
          <w:iCs/>
        </w:rPr>
        <w:t>Loi de la protection de l'enfance</w:t>
      </w:r>
      <w:r w:rsidRPr="00A37731">
        <w:t xml:space="preserve"> est adoptée par l'Assemblée, le 3 juin 1944, sous le gouvernement libéral et réformiste d'Adélard Godbout. Tout</w:t>
      </w:r>
      <w:r w:rsidRPr="00A37731">
        <w:t>e</w:t>
      </w:r>
      <w:r w:rsidRPr="00A37731">
        <w:t>fois, quelques mois plus tard, ce gouvernement est défait et le retour au pouvoir de Maurice Duplessis, en août 1944 (Li</w:t>
      </w:r>
      <w:r w:rsidRPr="00A37731">
        <w:t>n</w:t>
      </w:r>
      <w:r w:rsidRPr="00A37731">
        <w:t xml:space="preserve">teau, </w:t>
      </w:r>
      <w:r w:rsidRPr="006F637F">
        <w:rPr>
          <w:i/>
          <w:iCs/>
        </w:rPr>
        <w:t>et al.,</w:t>
      </w:r>
      <w:r w:rsidRPr="00A37731">
        <w:t xml:space="preserve"> 1986, p. 143), suspend à jamais la mise en application de ce texte lég</w:t>
      </w:r>
      <w:r w:rsidRPr="00A37731">
        <w:t>i</w:t>
      </w:r>
      <w:r w:rsidRPr="00A37731">
        <w:t>slatif.</w:t>
      </w:r>
    </w:p>
    <w:p w:rsidR="00B7214C" w:rsidRDefault="00B7214C" w:rsidP="00B7214C">
      <w:pPr>
        <w:spacing w:before="120" w:after="120"/>
        <w:jc w:val="both"/>
      </w:pPr>
      <w:r w:rsidRPr="00A37731">
        <w:t xml:space="preserve">Dans le domaine de la protection de l'enfance, on en est donc au statu quo. L'idéologie conservatrice triomphe et la </w:t>
      </w:r>
      <w:r w:rsidRPr="006F637F">
        <w:rPr>
          <w:i/>
          <w:iCs/>
        </w:rPr>
        <w:t>Loi des écoles d'i</w:t>
      </w:r>
      <w:r w:rsidRPr="006F637F">
        <w:rPr>
          <w:i/>
          <w:iCs/>
        </w:rPr>
        <w:t>n</w:t>
      </w:r>
      <w:r w:rsidRPr="006F637F">
        <w:rPr>
          <w:i/>
          <w:iCs/>
        </w:rPr>
        <w:t xml:space="preserve">dustrie </w:t>
      </w:r>
      <w:r w:rsidRPr="00A37731">
        <w:t>continue de s'appliquer. Il faut to</w:t>
      </w:r>
      <w:r w:rsidRPr="00A37731">
        <w:t>u</w:t>
      </w:r>
      <w:r w:rsidRPr="00A37731">
        <w:t>tefois se garder de croire que la réflexion sociale entreprise autour de la loi de 1944 n'aura eu auc</w:t>
      </w:r>
      <w:r w:rsidRPr="00A37731">
        <w:t>u</w:t>
      </w:r>
      <w:r w:rsidRPr="00A37731">
        <w:t>ne retombée. Il est vrai qu'à court terme, le seul changement à interv</w:t>
      </w:r>
      <w:r w:rsidRPr="00A37731">
        <w:t>e</w:t>
      </w:r>
      <w:r w:rsidRPr="00A37731">
        <w:t>nir en la matière est la création, en 1946, du ministère du Bien-Être social et de la Jeunesse</w:t>
      </w:r>
      <w:r>
        <w:t> </w:t>
      </w:r>
      <w:r>
        <w:rPr>
          <w:rStyle w:val="Appelnotedebasdep"/>
        </w:rPr>
        <w:footnoteReference w:id="204"/>
      </w:r>
      <w:r w:rsidRPr="00A37731">
        <w:t>, dont le rôle, au départ, semble avoir été l</w:t>
      </w:r>
      <w:r w:rsidRPr="00A37731">
        <w:t>i</w:t>
      </w:r>
      <w:r w:rsidRPr="00A37731">
        <w:t>mité à la gestion des allocations sociales (Vaillancourt, 1988, p. 132). Cependant, une nouvelle loi et surtout de nouvelles pr</w:t>
      </w:r>
      <w:r w:rsidRPr="00A37731">
        <w:t>a</w:t>
      </w:r>
      <w:r w:rsidRPr="00A37731">
        <w:t>tiques devaient bientôt voir le jour en la matière et contribuer à l'effacement progressif des institutions religieuses au profit de l'</w:t>
      </w:r>
      <w:r>
        <w:t>État</w:t>
      </w:r>
      <w:r w:rsidRPr="00A37731">
        <w:t xml:space="preserve"> dans ce d</w:t>
      </w:r>
      <w:r w:rsidRPr="00A37731">
        <w:t>o</w:t>
      </w:r>
      <w:r w:rsidRPr="00A37731">
        <w:t>maine n</w:t>
      </w:r>
      <w:r w:rsidRPr="00A37731">
        <w:t>é</w:t>
      </w:r>
      <w:r w:rsidRPr="00A37731">
        <w:t>vralgique.</w:t>
      </w:r>
    </w:p>
    <w:p w:rsidR="00B7214C" w:rsidRPr="00A37731" w:rsidRDefault="00B7214C" w:rsidP="00B7214C">
      <w:pPr>
        <w:spacing w:before="120" w:after="120"/>
        <w:jc w:val="both"/>
      </w:pPr>
      <w:r>
        <w:br w:type="page"/>
      </w:r>
    </w:p>
    <w:p w:rsidR="00B7214C" w:rsidRPr="00A37731" w:rsidRDefault="00B7214C" w:rsidP="00B7214C">
      <w:pPr>
        <w:pStyle w:val="a"/>
      </w:pPr>
      <w:r w:rsidRPr="00A37731">
        <w:t>L'INÉLUCTABLE AVANCÉE DE L'ÉTAT</w:t>
      </w:r>
      <w:r>
        <w:br/>
      </w:r>
      <w:r w:rsidRPr="00A37731">
        <w:t>(1945-1977)</w:t>
      </w:r>
    </w:p>
    <w:p w:rsidR="00B7214C" w:rsidRDefault="00B7214C" w:rsidP="00B7214C">
      <w:pPr>
        <w:spacing w:before="120" w:after="120"/>
        <w:jc w:val="both"/>
      </w:pPr>
    </w:p>
    <w:p w:rsidR="00B7214C" w:rsidRDefault="00B7214C" w:rsidP="00B7214C">
      <w:pPr>
        <w:spacing w:before="120" w:after="120"/>
        <w:jc w:val="both"/>
      </w:pPr>
      <w:r w:rsidRPr="00A37731">
        <w:t xml:space="preserve">C'est en 1950 qu'est adoptée une nouvelle législation qui, à défaut de s'inspirer du courant moderniste à l'origine de la </w:t>
      </w:r>
      <w:r w:rsidRPr="006F637F">
        <w:rPr>
          <w:i/>
          <w:iCs/>
        </w:rPr>
        <w:t>Loi de la prote</w:t>
      </w:r>
      <w:r w:rsidRPr="006F637F">
        <w:rPr>
          <w:i/>
          <w:iCs/>
        </w:rPr>
        <w:t>c</w:t>
      </w:r>
      <w:r w:rsidRPr="006F637F">
        <w:rPr>
          <w:i/>
          <w:iCs/>
        </w:rPr>
        <w:t>tion de l'enfance</w:t>
      </w:r>
      <w:r w:rsidRPr="00A37731">
        <w:t xml:space="preserve"> de 1944, pave cependant la voie à des changements notables. Dans les années qui suivent, le cadre social traditionnel écl</w:t>
      </w:r>
      <w:r w:rsidRPr="00A37731">
        <w:t>a</w:t>
      </w:r>
      <w:r w:rsidRPr="00A37731">
        <w:t>te en même temps que s'affirment les nouveaux professionnels de l'i</w:t>
      </w:r>
      <w:r w:rsidRPr="00A37731">
        <w:t>n</w:t>
      </w:r>
      <w:r w:rsidRPr="00A37731">
        <w:t>tervention sociale. Cette effervescence atteint son paroxysme dans les années 1960 ; c'est également à ce moment que se développe la thé</w:t>
      </w:r>
      <w:r w:rsidRPr="00A37731">
        <w:t>o</w:t>
      </w:r>
      <w:r w:rsidRPr="00A37731">
        <w:t xml:space="preserve">rie des droits. La </w:t>
      </w:r>
      <w:r w:rsidRPr="006F637F">
        <w:rPr>
          <w:i/>
          <w:iCs/>
        </w:rPr>
        <w:t>Loi sur la protection de la jeunesse</w:t>
      </w:r>
      <w:r w:rsidRPr="00A37731">
        <w:t xml:space="preserve"> de 1977 sera le fruit de ces profondes mutations.</w:t>
      </w:r>
    </w:p>
    <w:p w:rsidR="00B7214C" w:rsidRDefault="00B7214C" w:rsidP="00B7214C">
      <w:pPr>
        <w:spacing w:before="120" w:after="120"/>
        <w:jc w:val="both"/>
      </w:pPr>
      <w:r>
        <w:t>[251]</w:t>
      </w:r>
    </w:p>
    <w:p w:rsidR="00B7214C" w:rsidRDefault="00B7214C" w:rsidP="00B7214C">
      <w:pPr>
        <w:spacing w:before="120" w:after="120"/>
        <w:jc w:val="both"/>
      </w:pPr>
    </w:p>
    <w:p w:rsidR="00B7214C" w:rsidRDefault="00B7214C" w:rsidP="00B7214C">
      <w:pPr>
        <w:pStyle w:val="b"/>
      </w:pPr>
      <w:r>
        <w:t>Une législation de type paternaliste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 xml:space="preserve">La </w:t>
      </w:r>
      <w:r w:rsidRPr="006F637F">
        <w:rPr>
          <w:i/>
          <w:iCs/>
        </w:rPr>
        <w:t>Loi relative aux écoles de protection de la jeunesse</w:t>
      </w:r>
      <w:r>
        <w:rPr>
          <w:iCs/>
        </w:rPr>
        <w:t> </w:t>
      </w:r>
      <w:r>
        <w:rPr>
          <w:rStyle w:val="Appelnotedebasdep"/>
          <w:iCs/>
        </w:rPr>
        <w:footnoteReference w:id="205"/>
      </w:r>
      <w:r w:rsidRPr="00A37731">
        <w:t>, adoptée en 1950, étend la protection de l'État à tout enfant de plus de six ans et de moins de dix-huit ans « particulièrement exposé à des dangers m</w:t>
      </w:r>
      <w:r w:rsidRPr="00A37731">
        <w:t>o</w:t>
      </w:r>
      <w:r w:rsidRPr="00A37731">
        <w:t>raux ou physiques, en raison de son milieu ou d'autres circonstances spéciales ». Les termes très généraux de cette formulation ouvrent la porte à un contrôle accru, et potentiellement arbitraire, de la puissance paternelle, jusque-là peu menacée par les pouvoirs publics. Le no</w:t>
      </w:r>
      <w:r w:rsidRPr="00A37731">
        <w:t>u</w:t>
      </w:r>
      <w:r w:rsidRPr="00A37731">
        <w:t>veau texte législatif ménage cependant les appréhensions des gens d'Église, puisqu'il demeure centré sur le placement des e</w:t>
      </w:r>
      <w:r w:rsidRPr="00A37731">
        <w:t>n</w:t>
      </w:r>
      <w:r w:rsidRPr="00A37731">
        <w:t>fants concernés dans les écoles spéciales qu'ils dirigent. Le magistrat qui préside l'enquête doit, s'il est satisfait de la preuve qui lui est prése</w:t>
      </w:r>
      <w:r w:rsidRPr="00A37731">
        <w:t>n</w:t>
      </w:r>
      <w:r w:rsidRPr="00A37731">
        <w:t>tée, adresser au ministre du Bien-Être social et de la jeunesse un ra</w:t>
      </w:r>
      <w:r w:rsidRPr="00A37731">
        <w:t>p</w:t>
      </w:r>
      <w:r w:rsidRPr="00A37731">
        <w:t>port recommandant le plac</w:t>
      </w:r>
      <w:r w:rsidRPr="00A37731">
        <w:t>e</w:t>
      </w:r>
      <w:r w:rsidRPr="00A37731">
        <w:t xml:space="preserve">ment de l'enfant. C'est au ministre qu'il revient d'ordonner ce placement, de le prolonger et, le cas échéant, de donner son congé à l'enfant. La </w:t>
      </w:r>
      <w:r w:rsidRPr="006F637F">
        <w:rPr>
          <w:i/>
          <w:iCs/>
        </w:rPr>
        <w:t>Loi des tribunaux judiciaires</w:t>
      </w:r>
      <w:r w:rsidRPr="00A37731">
        <w:t xml:space="preserve"> est m</w:t>
      </w:r>
      <w:r w:rsidRPr="00A37731">
        <w:t>o</w:t>
      </w:r>
      <w:r w:rsidRPr="00A37731">
        <w:t xml:space="preserve">difiée la même année par la </w:t>
      </w:r>
      <w:r w:rsidRPr="006F637F">
        <w:rPr>
          <w:i/>
          <w:iCs/>
        </w:rPr>
        <w:t>Loi instituant la Cour de bien-être s</w:t>
      </w:r>
      <w:r w:rsidRPr="006F637F">
        <w:rPr>
          <w:i/>
          <w:iCs/>
        </w:rPr>
        <w:t>o</w:t>
      </w:r>
      <w:r w:rsidRPr="006F637F">
        <w:rPr>
          <w:i/>
          <w:iCs/>
        </w:rPr>
        <w:t>cial</w:t>
      </w:r>
      <w:r>
        <w:rPr>
          <w:iCs/>
        </w:rPr>
        <w:t> </w:t>
      </w:r>
      <w:r>
        <w:rPr>
          <w:rStyle w:val="Appelnotedebasdep"/>
          <w:iCs/>
        </w:rPr>
        <w:footnoteReference w:id="206"/>
      </w:r>
      <w:r w:rsidRPr="00A37731">
        <w:t>. À partir de cette date, les magistrats appelés à présider les e</w:t>
      </w:r>
      <w:r w:rsidRPr="00A37731">
        <w:t>n</w:t>
      </w:r>
      <w:r w:rsidRPr="00A37731">
        <w:t>quêtes relatives aux cas de protection appartiendront progressivement à ce tribunal spécialisé.</w:t>
      </w:r>
    </w:p>
    <w:p w:rsidR="00B7214C" w:rsidRPr="00A37731" w:rsidRDefault="00B7214C" w:rsidP="00B7214C">
      <w:pPr>
        <w:spacing w:before="120" w:after="120"/>
        <w:jc w:val="both"/>
      </w:pPr>
      <w:r w:rsidRPr="00A37731">
        <w:t xml:space="preserve">L'année suivante, la </w:t>
      </w:r>
      <w:r w:rsidRPr="006F637F">
        <w:rPr>
          <w:i/>
          <w:iCs/>
        </w:rPr>
        <w:t>Loi des écoles de protection de la jeunesse</w:t>
      </w:r>
      <w:r w:rsidRPr="00A37731">
        <w:t xml:space="preserve"> est modifiée de manière à s'appliquer à tous les enfants de moins de dix-huit ans ; l'éventail des mesures applicables à ceux-ci est en outre élargi. « Le magistrat peut alors, suivant les circonstances et après consultation, s'il y a lieu, avec une agence sociale reconnue par le m</w:t>
      </w:r>
      <w:r w:rsidRPr="00A37731">
        <w:t>i</w:t>
      </w:r>
      <w:r w:rsidRPr="00A37731">
        <w:t>nistre, laisser l'enfant en liberté surveillée, le confier à toute agence sociale, société, institution, recommander son placement dans une école, ou prendre toute autre décision dans le meilleur intérêt de l'e</w:t>
      </w:r>
      <w:r w:rsidRPr="00A37731">
        <w:t>n</w:t>
      </w:r>
      <w:r w:rsidRPr="00A37731">
        <w:t>fant. »</w:t>
      </w:r>
      <w:r>
        <w:t> </w:t>
      </w:r>
      <w:r>
        <w:rPr>
          <w:rStyle w:val="Appelnotedebasdep"/>
        </w:rPr>
        <w:footnoteReference w:id="207"/>
      </w:r>
      <w:r w:rsidRPr="00A37731">
        <w:t xml:space="preserve"> Ce changement n'est pas négligeable, puisqu'il entraîne la reconnaissance légale des divers organismes œu</w:t>
      </w:r>
      <w:r w:rsidRPr="00A37731">
        <w:t>v</w:t>
      </w:r>
      <w:r w:rsidRPr="00A37731">
        <w:t>rant dans le domaine de la protection de l'enfance. Ces org</w:t>
      </w:r>
      <w:r w:rsidRPr="00A37731">
        <w:t>a</w:t>
      </w:r>
      <w:r w:rsidRPr="00A37731">
        <w:t>nismes sont cependant pour la plupart organisés sur une base diocésaine et assujettis à l'autorité e</w:t>
      </w:r>
      <w:r w:rsidRPr="00A37731">
        <w:t>c</w:t>
      </w:r>
      <w:r w:rsidRPr="00A37731">
        <w:t>clésiastique, du moins en milieu canadien-français (D'Amours, 1982, p. 22). L'ouvert</w:t>
      </w:r>
      <w:r w:rsidRPr="00A37731">
        <w:t>u</w:t>
      </w:r>
      <w:r w:rsidRPr="00A37731">
        <w:t>re législative ainsi effectuée ne heurte donc pas de front les intérêts du milieu clérical.</w:t>
      </w:r>
    </w:p>
    <w:p w:rsidR="00B7214C" w:rsidRPr="00A37731" w:rsidRDefault="00B7214C" w:rsidP="00B7214C">
      <w:pPr>
        <w:spacing w:before="120" w:after="120"/>
        <w:jc w:val="both"/>
      </w:pPr>
      <w:r w:rsidRPr="00A37731">
        <w:t>Sans établir un véritable système intégré de protection de l'enfance, les lois de 1950 et de 1951 assurent la diversification des mesures su</w:t>
      </w:r>
      <w:r w:rsidRPr="00A37731">
        <w:t>s</w:t>
      </w:r>
      <w:r w:rsidRPr="00A37731">
        <w:t>ceptibles d'être recommandées ou ordonnées à l'égard des enfants v</w:t>
      </w:r>
      <w:r w:rsidRPr="00A37731">
        <w:t>i</w:t>
      </w:r>
      <w:r w:rsidRPr="00A37731">
        <w:t>sés par la loi et font une place o</w:t>
      </w:r>
      <w:r w:rsidRPr="00A37731">
        <w:t>f</w:t>
      </w:r>
      <w:r w:rsidRPr="00A37731">
        <w:t>ficielle aux organismes de protection de l'enfance. La Cour de bien-être social est créée, quoique, dans bien des cas, ce tribunal n'ait qu'un pouvoir de recommandation au mini</w:t>
      </w:r>
      <w:r w:rsidRPr="00A37731">
        <w:t>s</w:t>
      </w:r>
      <w:r w:rsidRPr="00A37731">
        <w:t>tre. Le cadre procédural dans lequel il intervient manque de formali</w:t>
      </w:r>
      <w:r w:rsidRPr="00A37731">
        <w:t>s</w:t>
      </w:r>
      <w:r w:rsidRPr="00A37731">
        <w:t>me et de rigueur ; les droits de l'enfant et de ses parents ne sont nulle part explicitement énoncés. Les agences sociales, reconnues par le texte législatif à partir de 1951, seront</w:t>
      </w:r>
      <w:r>
        <w:t xml:space="preserve"> [252] </w:t>
      </w:r>
      <w:r w:rsidRPr="00A37731">
        <w:t>toutefois le ferment d'une approche renouvelée de la pr</w:t>
      </w:r>
      <w:r w:rsidRPr="00A37731">
        <w:t>o</w:t>
      </w:r>
      <w:r w:rsidRPr="00A37731">
        <w:t>tection de l'enfance.</w:t>
      </w:r>
    </w:p>
    <w:p w:rsidR="00B7214C" w:rsidRDefault="00B7214C" w:rsidP="00B7214C">
      <w:pPr>
        <w:spacing w:before="120" w:after="120"/>
        <w:jc w:val="both"/>
      </w:pPr>
      <w:r>
        <w:br w:type="page"/>
      </w:r>
    </w:p>
    <w:p w:rsidR="00B7214C" w:rsidRPr="006F637F" w:rsidRDefault="00B7214C" w:rsidP="00B7214C">
      <w:pPr>
        <w:pStyle w:val="b"/>
      </w:pPr>
      <w:r w:rsidRPr="006F637F">
        <w:t>La conjonction de nombreux facteurs de changement</w:t>
      </w:r>
    </w:p>
    <w:p w:rsidR="00B7214C" w:rsidRDefault="00B7214C" w:rsidP="00B7214C">
      <w:pPr>
        <w:spacing w:before="120" w:after="120"/>
        <w:jc w:val="both"/>
      </w:pPr>
    </w:p>
    <w:p w:rsidR="00B7214C" w:rsidRPr="00A37731" w:rsidRDefault="00B7214C" w:rsidP="00B7214C">
      <w:pPr>
        <w:spacing w:before="120" w:after="120"/>
        <w:jc w:val="both"/>
      </w:pPr>
      <w:r w:rsidRPr="00A37731">
        <w:t>À la forte croissance économique de l'après-guerre s'ajo</w:t>
      </w:r>
      <w:r w:rsidRPr="00A37731">
        <w:t>u</w:t>
      </w:r>
      <w:r w:rsidRPr="00A37731">
        <w:t>te, pour le Québec, une importante poussée démographique. En 1961, la popul</w:t>
      </w:r>
      <w:r w:rsidRPr="00A37731">
        <w:t>a</w:t>
      </w:r>
      <w:r w:rsidRPr="00A37731">
        <w:t>tion atteint cinq millions d'habitants et est urbaine à près de 75</w:t>
      </w:r>
      <w:r>
        <w:t>%</w:t>
      </w:r>
      <w:r w:rsidRPr="00A37731">
        <w:t xml:space="preserve"> (Li</w:t>
      </w:r>
      <w:r w:rsidRPr="00A37731">
        <w:t>n</w:t>
      </w:r>
      <w:r w:rsidRPr="00A37731">
        <w:t xml:space="preserve">teau, </w:t>
      </w:r>
      <w:r w:rsidRPr="000D1A32">
        <w:rPr>
          <w:i/>
          <w:iCs/>
        </w:rPr>
        <w:t xml:space="preserve">et al, </w:t>
      </w:r>
      <w:r w:rsidRPr="00A37731">
        <w:t>1986, p. 187 et 256). Malgré le conservatisme politique qui caractérise le gouve</w:t>
      </w:r>
      <w:r w:rsidRPr="00A37731">
        <w:t>r</w:t>
      </w:r>
      <w:r w:rsidRPr="00A37731">
        <w:t>nement de Maurice Duplessis, au pouvoir de 1944 à 1959, de puissants courants réformistes se manifestent, so</w:t>
      </w:r>
      <w:r w:rsidRPr="00A37731">
        <w:t>u</w:t>
      </w:r>
      <w:r w:rsidRPr="00A37731">
        <w:t>vent véhiculés par les nouvelles élites que sont les professeurs, journ</w:t>
      </w:r>
      <w:r w:rsidRPr="00A37731">
        <w:t>a</w:t>
      </w:r>
      <w:r w:rsidRPr="00A37731">
        <w:t>listes, économistes et spécialistes en sciences humaines (Li</w:t>
      </w:r>
      <w:r w:rsidRPr="00A37731">
        <w:t>n</w:t>
      </w:r>
      <w:r w:rsidRPr="00A37731">
        <w:t xml:space="preserve">teau, </w:t>
      </w:r>
      <w:r w:rsidRPr="000D1A32">
        <w:rPr>
          <w:i/>
          <w:iCs/>
        </w:rPr>
        <w:t>et al,</w:t>
      </w:r>
      <w:r w:rsidRPr="00A37731">
        <w:t xml:space="preserve"> 1986, p. 280). La vague d'immigration de l'après-guerre, l'ouverture sur le monde que favorisent les médias, notamment la télévision, contribuent à l'effondrement des v</w:t>
      </w:r>
      <w:r w:rsidRPr="00A37731">
        <w:t>a</w:t>
      </w:r>
      <w:r w:rsidRPr="00A37731">
        <w:t>leurs toutes faites de la société québécoise traditionnelle.</w:t>
      </w:r>
    </w:p>
    <w:p w:rsidR="00B7214C" w:rsidRPr="00A37731" w:rsidRDefault="00B7214C" w:rsidP="00B7214C">
      <w:pPr>
        <w:spacing w:before="120" w:after="120"/>
        <w:jc w:val="both"/>
      </w:pPr>
      <w:r w:rsidRPr="00A37731">
        <w:t>En 1960, le Parti libéral de Jean Lesage arrache le pouvoir à l'Union nationale de Maurice Duplessis, décédé en 1959. Le Québec est mûr pour un grand changement : ce sera la Rév</w:t>
      </w:r>
      <w:r w:rsidRPr="00A37731">
        <w:t>o</w:t>
      </w:r>
      <w:r w:rsidRPr="00A37731">
        <w:t>lution tranquille. Cette expression désigne aussi bien le bo</w:t>
      </w:r>
      <w:r w:rsidRPr="00A37731">
        <w:t>u</w:t>
      </w:r>
      <w:r w:rsidRPr="00A37731">
        <w:t>leversement des valeurs et des mentalités qui se fait jour à cette époque que les grandes réformes politiques et structurelles entreprises à partir de 1960 par le gouve</w:t>
      </w:r>
      <w:r w:rsidRPr="00A37731">
        <w:t>r</w:t>
      </w:r>
      <w:r w:rsidRPr="00A37731">
        <w:t>nement de Jean Lesage et ceux qui lui ont succédé. Les secteurs de l'éducation, de la santé et des affaires sociales sont prioritairement v</w:t>
      </w:r>
      <w:r w:rsidRPr="00A37731">
        <w:t>i</w:t>
      </w:r>
      <w:r w:rsidRPr="00A37731">
        <w:t>sés par ce processus qui implique la prise en charge par l'</w:t>
      </w:r>
      <w:r>
        <w:t>État</w:t>
      </w:r>
      <w:r w:rsidRPr="00A37731">
        <w:t xml:space="preserve"> d'instit</w:t>
      </w:r>
      <w:r w:rsidRPr="00A37731">
        <w:t>u</w:t>
      </w:r>
      <w:r w:rsidRPr="00A37731">
        <w:t>tions jusqu'alors dominées par des groupes pr</w:t>
      </w:r>
      <w:r w:rsidRPr="00A37731">
        <w:t>i</w:t>
      </w:r>
      <w:r w:rsidRPr="00A37731">
        <w:t xml:space="preserve">vés, notamment l'Église catholique (Linteau, </w:t>
      </w:r>
      <w:r w:rsidRPr="006F637F">
        <w:rPr>
          <w:i/>
          <w:iCs/>
        </w:rPr>
        <w:t>et al,</w:t>
      </w:r>
      <w:r w:rsidRPr="00A37731">
        <w:t xml:space="preserve"> 1986, p. 394).</w:t>
      </w:r>
    </w:p>
    <w:p w:rsidR="00B7214C" w:rsidRPr="00A37731" w:rsidRDefault="00B7214C" w:rsidP="00B7214C">
      <w:pPr>
        <w:spacing w:before="120" w:after="120"/>
        <w:jc w:val="both"/>
      </w:pPr>
      <w:r w:rsidRPr="00A37731">
        <w:t>Dans le domaine de la protection de l'enfance, le milieu franc</w:t>
      </w:r>
      <w:r w:rsidRPr="00A37731">
        <w:t>o</w:t>
      </w:r>
      <w:r w:rsidRPr="00A37731">
        <w:t>phone a diversifié ses modes d'intervention, puisque, à partir de 1950, des agences diocésaines de services sociaux sont rapidement mises sur pied dans l'ensemble du territoire du Québec (D'Amours, 1982, p. 22). En plus d'assurer la di</w:t>
      </w:r>
      <w:r w:rsidRPr="00A37731">
        <w:t>s</w:t>
      </w:r>
      <w:r w:rsidRPr="00A37731">
        <w:t>tribution de certaines allocations sociales, ces agences visent la protection de l'enfance et la solution des problèmes de la famille. En 1963, elles se regroupent pour former la Fédér</w:t>
      </w:r>
      <w:r w:rsidRPr="00A37731">
        <w:t>a</w:t>
      </w:r>
      <w:r w:rsidRPr="00A37731">
        <w:t>tion des services sociaux à la famille du Québec. Elles recr</w:t>
      </w:r>
      <w:r w:rsidRPr="00A37731">
        <w:t>u</w:t>
      </w:r>
      <w:r w:rsidRPr="00A37731">
        <w:t>tent en partie leur personnel parmi les diplômés des Écoles de service social fondées à l'Université de Montréal et à l'Un</w:t>
      </w:r>
      <w:r w:rsidRPr="00A37731">
        <w:t>i</w:t>
      </w:r>
      <w:r w:rsidRPr="00A37731">
        <w:t>versité Laval dans les années 1940 (Joyal et Chatillon, 1993). Ces nouveaux professionnels contribuent sans conteste à r</w:t>
      </w:r>
      <w:r w:rsidRPr="00A37731">
        <w:t>e</w:t>
      </w:r>
      <w:r w:rsidRPr="00A37731">
        <w:t>nouveler l'approche des problèmes sociaux et sont partie pr</w:t>
      </w:r>
      <w:r w:rsidRPr="00A37731">
        <w:t>e</w:t>
      </w:r>
      <w:r w:rsidRPr="00A37731">
        <w:t>nante aux réformes entreprises à cet égard dans la foulée de la Révolution tranquille.</w:t>
      </w:r>
    </w:p>
    <w:p w:rsidR="00B7214C" w:rsidRPr="00A37731" w:rsidRDefault="00B7214C" w:rsidP="00B7214C">
      <w:pPr>
        <w:spacing w:before="120" w:after="120"/>
        <w:jc w:val="both"/>
      </w:pPr>
      <w:r w:rsidRPr="00A37731">
        <w:t>C'est également durant les années 1960 que s'accentue l'a</w:t>
      </w:r>
      <w:r w:rsidRPr="00A37731">
        <w:t>f</w:t>
      </w:r>
      <w:r w:rsidRPr="00A37731">
        <w:t>firmation collective des femmes et que sont mis sur pied d'importants groupes de</w:t>
      </w:r>
      <w:r>
        <w:t xml:space="preserve"> [253] </w:t>
      </w:r>
      <w:r w:rsidRPr="00A37731">
        <w:t>pression. La Fédération des femmes du Québec et l'Associ</w:t>
      </w:r>
      <w:r w:rsidRPr="00A37731">
        <w:t>a</w:t>
      </w:r>
      <w:r w:rsidRPr="00A37731">
        <w:t xml:space="preserve">tion féminine pour l'éducation et l'action sociale voient respectivement le jour en 1965 et en 1966 (Dumont, </w:t>
      </w:r>
      <w:r w:rsidRPr="006F637F">
        <w:rPr>
          <w:i/>
          <w:iCs/>
        </w:rPr>
        <w:t>et al.,</w:t>
      </w:r>
      <w:r w:rsidRPr="00A37731">
        <w:t xml:space="preserve"> 1982, p. 449 et ss.). Ce mo</w:t>
      </w:r>
      <w:r w:rsidRPr="00A37731">
        <w:t>u</w:t>
      </w:r>
      <w:r w:rsidRPr="00A37731">
        <w:t>vement d'émancipation aura des répercussions au plan législatif. On assiste d'abord, en 1964, à l'adoption par l'Assemblée législative du bill</w:t>
      </w:r>
      <w:r>
        <w:t> </w:t>
      </w:r>
      <w:r w:rsidRPr="00A37731">
        <w:t>16</w:t>
      </w:r>
      <w:r>
        <w:t> </w:t>
      </w:r>
      <w:r>
        <w:rPr>
          <w:rStyle w:val="Appelnotedebasdep"/>
        </w:rPr>
        <w:footnoteReference w:id="208"/>
      </w:r>
      <w:r w:rsidRPr="00A37731">
        <w:t>, qui cons</w:t>
      </w:r>
      <w:r w:rsidRPr="00A37731">
        <w:t>a</w:t>
      </w:r>
      <w:r w:rsidRPr="00A37731">
        <w:t>cre l'égalité juridique des époux ; puis, en 1969, est adopté le bill</w:t>
      </w:r>
      <w:r>
        <w:t> </w:t>
      </w:r>
      <w:r w:rsidRPr="00A37731">
        <w:t>10</w:t>
      </w:r>
      <w:r>
        <w:t> </w:t>
      </w:r>
      <w:r>
        <w:rPr>
          <w:rStyle w:val="Appelnotedebasdep"/>
        </w:rPr>
        <w:footnoteReference w:id="209"/>
      </w:r>
      <w:r w:rsidRPr="00A37731">
        <w:t>, qui fait de la société d'acquêts le régime matrimonial légal, en lieu et place de l'ancienne communauté de me</w:t>
      </w:r>
      <w:r w:rsidRPr="00A37731">
        <w:t>u</w:t>
      </w:r>
      <w:r w:rsidRPr="00A37731">
        <w:t>bles et acquêts, laquelle, dirigée par le mari, était difficilement comp</w:t>
      </w:r>
      <w:r w:rsidRPr="00A37731">
        <w:t>a</w:t>
      </w:r>
      <w:r w:rsidRPr="00A37731">
        <w:t>tible avec le principe d'égalité consacré en 1964.</w:t>
      </w:r>
    </w:p>
    <w:p w:rsidR="00B7214C" w:rsidRPr="00A37731" w:rsidRDefault="00B7214C" w:rsidP="00B7214C">
      <w:pPr>
        <w:spacing w:before="120" w:after="120"/>
        <w:jc w:val="both"/>
      </w:pPr>
      <w:r w:rsidRPr="00A37731">
        <w:t>La transformation des rapports hommes-femmes, l'avèn</w:t>
      </w:r>
      <w:r w:rsidRPr="00A37731">
        <w:t>e</w:t>
      </w:r>
      <w:r w:rsidRPr="00A37731">
        <w:t>ment du pluralisme, l'émergence de nouvelles élites comptent parmi les él</w:t>
      </w:r>
      <w:r w:rsidRPr="00A37731">
        <w:t>é</w:t>
      </w:r>
      <w:r w:rsidRPr="00A37731">
        <w:t>ments déterminants qui rendent nécessaire la r</w:t>
      </w:r>
      <w:r w:rsidRPr="00A37731">
        <w:t>é</w:t>
      </w:r>
      <w:r w:rsidRPr="00A37731">
        <w:t>vision des lois alors en vigueur en matière de protection de l'enfance et qui contribuent à f</w:t>
      </w:r>
      <w:r w:rsidRPr="00A37731">
        <w:t>a</w:t>
      </w:r>
      <w:r w:rsidRPr="00A37731">
        <w:t>çonner le nouvel ensemble législatif qui prend corps durant les années 1970.</w:t>
      </w:r>
    </w:p>
    <w:p w:rsidR="00B7214C" w:rsidRDefault="00B7214C" w:rsidP="00B7214C">
      <w:pPr>
        <w:spacing w:before="120" w:after="120"/>
        <w:jc w:val="both"/>
      </w:pPr>
    </w:p>
    <w:p w:rsidR="00B7214C" w:rsidRPr="006F637F" w:rsidRDefault="00B7214C" w:rsidP="00B7214C">
      <w:pPr>
        <w:pStyle w:val="b"/>
      </w:pPr>
      <w:r w:rsidRPr="006F637F">
        <w:t>L'</w:t>
      </w:r>
      <w:r>
        <w:t>enfant, les parents et l'État :</w:t>
      </w:r>
      <w:r>
        <w:br/>
      </w:r>
      <w:r w:rsidRPr="006F637F">
        <w:t>une nouvelle dynamique</w:t>
      </w:r>
    </w:p>
    <w:p w:rsidR="00B7214C" w:rsidRDefault="00B7214C" w:rsidP="00B7214C">
      <w:pPr>
        <w:spacing w:before="120" w:after="120"/>
        <w:jc w:val="both"/>
      </w:pPr>
    </w:p>
    <w:p w:rsidR="00B7214C" w:rsidRPr="00A37731" w:rsidRDefault="00B7214C" w:rsidP="00B7214C">
      <w:pPr>
        <w:spacing w:before="120" w:after="120"/>
        <w:jc w:val="both"/>
      </w:pPr>
      <w:r w:rsidRPr="00A37731">
        <w:t>L'une des premières préoccupations d</w:t>
      </w:r>
      <w:r>
        <w:t>e l'État à l'époque consiste en</w:t>
      </w:r>
      <w:r w:rsidRPr="00A37731">
        <w:t xml:space="preserve"> l'élaboration d'un cadre permettant une meilleure planification et une coordination plus efficace des services sociaux. La diversification ethnique et religieuse de la population s'accommode par ailleurs diff</w:t>
      </w:r>
      <w:r w:rsidRPr="00A37731">
        <w:t>i</w:t>
      </w:r>
      <w:r w:rsidRPr="00A37731">
        <w:t>cilement d'un système relevant en grande partie des autorités eccl</w:t>
      </w:r>
      <w:r w:rsidRPr="00A37731">
        <w:t>é</w:t>
      </w:r>
      <w:r w:rsidRPr="00A37731">
        <w:t xml:space="preserve">siastiques. </w:t>
      </w:r>
      <w:r>
        <w:t>À</w:t>
      </w:r>
      <w:r w:rsidRPr="00A37731">
        <w:t xml:space="preserve"> la suite du rapport de la Commission d'enquête sur la santé et le bien-être social, l'Assemblée nationale adopte la </w:t>
      </w:r>
      <w:r w:rsidRPr="006F637F">
        <w:rPr>
          <w:i/>
          <w:iCs/>
        </w:rPr>
        <w:t>Loi sur les services de santé et les services sociaux</w:t>
      </w:r>
      <w:r>
        <w:rPr>
          <w:iCs/>
        </w:rPr>
        <w:t> </w:t>
      </w:r>
      <w:r>
        <w:rPr>
          <w:rStyle w:val="Appelnotedebasdep"/>
          <w:iCs/>
        </w:rPr>
        <w:footnoteReference w:id="210"/>
      </w:r>
      <w:r w:rsidRPr="00A37731">
        <w:t> : celle-ci a pour effet de créer des Centres de services sociaux régionaux, qui assument alors les fonctions des anciennes agences. Le réseau est d</w:t>
      </w:r>
      <w:r w:rsidRPr="00A37731">
        <w:t>é</w:t>
      </w:r>
      <w:r w:rsidRPr="00A37731">
        <w:t>sormais étatisé.</w:t>
      </w:r>
    </w:p>
    <w:p w:rsidR="00B7214C" w:rsidRPr="00A37731" w:rsidRDefault="00B7214C" w:rsidP="00B7214C">
      <w:pPr>
        <w:spacing w:before="120" w:after="120"/>
        <w:jc w:val="both"/>
      </w:pPr>
      <w:r w:rsidRPr="00A37731">
        <w:t xml:space="preserve">Au même moment, la </w:t>
      </w:r>
      <w:r w:rsidRPr="006F637F">
        <w:rPr>
          <w:i/>
          <w:iCs/>
        </w:rPr>
        <w:t>Loi de la protection de la jeunesse</w:t>
      </w:r>
      <w:r w:rsidRPr="00A37731">
        <w:t xml:space="preserve"> est viv</w:t>
      </w:r>
      <w:r w:rsidRPr="00A37731">
        <w:t>e</w:t>
      </w:r>
      <w:r w:rsidRPr="00A37731">
        <w:t>ment critiquée. On lui reproche notamment de recourir au système judiciaire exclusivement, alors que plusieurs interventions sur une b</w:t>
      </w:r>
      <w:r w:rsidRPr="00A37731">
        <w:t>a</w:t>
      </w:r>
      <w:r w:rsidRPr="00A37731">
        <w:t>se volontaire auprès de l'enfant et de sa famille pourraient relever des services sociaux. Plusieurs personnes et groupes déplorent aussi l'a</w:t>
      </w:r>
      <w:r w:rsidRPr="00A37731">
        <w:t>b</w:t>
      </w:r>
      <w:r w:rsidRPr="00A37731">
        <w:t>sence de reconnaissance explicite des droits de l'enfant dans la législ</w:t>
      </w:r>
      <w:r w:rsidRPr="00A37731">
        <w:t>a</w:t>
      </w:r>
      <w:r w:rsidRPr="00A37731">
        <w:t>tion alors applicable. C'est dans ce contexte que s'ouvre un débat s</w:t>
      </w:r>
      <w:r w:rsidRPr="00A37731">
        <w:t>o</w:t>
      </w:r>
      <w:r w:rsidRPr="00A37731">
        <w:t>cial de cinq ans autour d'une réforme législative en la matière. Le pr</w:t>
      </w:r>
      <w:r w:rsidRPr="00A37731">
        <w:t>o</w:t>
      </w:r>
      <w:r w:rsidRPr="00A37731">
        <w:t>cessus, qui s'amorce en 1972, voit le dépôt successif à l'Assemblée nationale de trois propositions législatives qui font l'objet d'autant de commissions parlementaires au cours desquelles citoyens et organi</w:t>
      </w:r>
      <w:r w:rsidRPr="00A37731">
        <w:t>s</w:t>
      </w:r>
      <w:r w:rsidRPr="00A37731">
        <w:t>mes s'expriment abondamment sur la question (Joyal et Provost, 1993).</w:t>
      </w:r>
    </w:p>
    <w:p w:rsidR="00B7214C" w:rsidRPr="00A37731" w:rsidRDefault="00B7214C" w:rsidP="00B7214C">
      <w:pPr>
        <w:spacing w:before="120" w:after="120"/>
        <w:jc w:val="both"/>
      </w:pPr>
      <w:r w:rsidRPr="00A37731">
        <w:t xml:space="preserve">Dès 1974, l'Assemblée nationale décide de légiférer sur un aspect particulier de cette problématique et adopte la </w:t>
      </w:r>
      <w:r w:rsidRPr="006F637F">
        <w:rPr>
          <w:i/>
          <w:iCs/>
        </w:rPr>
        <w:t>Loi concernant la pr</w:t>
      </w:r>
      <w:r w:rsidRPr="006F637F">
        <w:rPr>
          <w:i/>
          <w:iCs/>
        </w:rPr>
        <w:t>o</w:t>
      </w:r>
      <w:r w:rsidRPr="006F637F">
        <w:rPr>
          <w:i/>
          <w:iCs/>
        </w:rPr>
        <w:t>tection des</w:t>
      </w:r>
      <w:r>
        <w:rPr>
          <w:iCs/>
        </w:rPr>
        <w:t xml:space="preserve"> </w:t>
      </w:r>
      <w:r>
        <w:t xml:space="preserve">[254] </w:t>
      </w:r>
      <w:r w:rsidRPr="00383569">
        <w:rPr>
          <w:i/>
          <w:iCs/>
        </w:rPr>
        <w:t>enfants soumis à des mauvais traitements</w:t>
      </w:r>
      <w:r>
        <w:rPr>
          <w:iCs/>
        </w:rPr>
        <w:t> </w:t>
      </w:r>
      <w:r>
        <w:rPr>
          <w:rStyle w:val="Appelnotedebasdep"/>
          <w:iCs/>
        </w:rPr>
        <w:footnoteReference w:id="211"/>
      </w:r>
      <w:r w:rsidRPr="00A37731">
        <w:t>. Il s'agit d'une solution d'urge</w:t>
      </w:r>
      <w:r w:rsidRPr="00A37731">
        <w:t>n</w:t>
      </w:r>
      <w:r w:rsidRPr="00A37731">
        <w:t>ce destinée à calmer une opinion publique en alerte à la suite de la médiatisation de plusieurs cas d'enfants ba</w:t>
      </w:r>
      <w:r w:rsidRPr="00A37731">
        <w:t>t</w:t>
      </w:r>
      <w:r w:rsidRPr="00A37731">
        <w:t>tus. Le système mis en place par cette loi sert en même temps de pr</w:t>
      </w:r>
      <w:r w:rsidRPr="00A37731">
        <w:t>o</w:t>
      </w:r>
      <w:r w:rsidRPr="00A37731">
        <w:t>jet-pilote pour la réforme globale en cours. Celle-ci aboutit à l'ado</w:t>
      </w:r>
      <w:r w:rsidRPr="00A37731">
        <w:t>p</w:t>
      </w:r>
      <w:r w:rsidRPr="00A37731">
        <w:t xml:space="preserve">tion, en 1977, d'une nouvelle </w:t>
      </w:r>
      <w:r w:rsidRPr="00383569">
        <w:rPr>
          <w:i/>
          <w:iCs/>
        </w:rPr>
        <w:t>Loi sur la protection de la jeunesse</w:t>
      </w:r>
      <w:r>
        <w:rPr>
          <w:iCs/>
        </w:rPr>
        <w:t> </w:t>
      </w:r>
      <w:r>
        <w:rPr>
          <w:rStyle w:val="Appelnotedebasdep"/>
          <w:iCs/>
        </w:rPr>
        <w:footnoteReference w:id="212"/>
      </w:r>
      <w:r w:rsidRPr="00A37731">
        <w:t xml:space="preserve"> qui favorise le règlement volonta</w:t>
      </w:r>
      <w:r w:rsidRPr="00A37731">
        <w:t>i</w:t>
      </w:r>
      <w:r w:rsidRPr="00A37731">
        <w:t>re des situations de protection et le respect des droits des enfants concernés, tout en établissant de nouve</w:t>
      </w:r>
      <w:r w:rsidRPr="00A37731">
        <w:t>l</w:t>
      </w:r>
      <w:r w:rsidRPr="00A37731">
        <w:t>les structures d'intervention dans le d</w:t>
      </w:r>
      <w:r w:rsidRPr="00A37731">
        <w:t>o</w:t>
      </w:r>
      <w:r w:rsidRPr="00A37731">
        <w:t>maine (Joyal et Provost, 1993).</w:t>
      </w:r>
    </w:p>
    <w:p w:rsidR="00B7214C" w:rsidRPr="00A37731" w:rsidRDefault="00B7214C" w:rsidP="00B7214C">
      <w:pPr>
        <w:spacing w:before="120" w:after="120"/>
        <w:jc w:val="both"/>
      </w:pPr>
      <w:r w:rsidRPr="00A37731">
        <w:t>Désormais, chaque Centre de services sociaux</w:t>
      </w:r>
      <w:r>
        <w:t> </w:t>
      </w:r>
      <w:r>
        <w:rPr>
          <w:rStyle w:val="Appelnotedebasdep"/>
        </w:rPr>
        <w:footnoteReference w:id="213"/>
      </w:r>
      <w:r w:rsidRPr="00A37731">
        <w:t xml:space="preserve"> est doté d'un D.P.J., fonctionnaire responsable de services de réception et d'orient</w:t>
      </w:r>
      <w:r w:rsidRPr="00A37731">
        <w:t>a</w:t>
      </w:r>
      <w:r w:rsidRPr="00A37731">
        <w:t>tion des situations de protection énumérées par la Loi.</w:t>
      </w:r>
      <w:r>
        <w:t> </w:t>
      </w:r>
      <w:r>
        <w:rPr>
          <w:rStyle w:val="Appelnotedebasdep"/>
        </w:rPr>
        <w:footnoteReference w:id="214"/>
      </w:r>
      <w:r w:rsidRPr="00A37731">
        <w:t xml:space="preserve"> Des mes</w:t>
      </w:r>
      <w:r w:rsidRPr="00A37731">
        <w:t>u</w:t>
      </w:r>
      <w:r w:rsidRPr="00A37731">
        <w:t>res volontaires peuvent être proposées à l'enfant et à ses parents en vue de mettre fin à la situation constatée ; cependant, seul le tribunal est habilité à trancher les conflits susceptibles de survenir entre l'e</w:t>
      </w:r>
      <w:r w:rsidRPr="00A37731">
        <w:t>n</w:t>
      </w:r>
      <w:r w:rsidRPr="00A37731">
        <w:t>fant, ses parents et le D.P.J. C'est à celui-ci qu'est par ailleurs confiée l'exécution des décisions rendues par le tribunal. Un organisme pr</w:t>
      </w:r>
      <w:r w:rsidRPr="00A37731">
        <w:t>o</w:t>
      </w:r>
      <w:r w:rsidRPr="00A37731">
        <w:t>vincial, le Comité de la protection de la jeunesse</w:t>
      </w:r>
      <w:r>
        <w:t> </w:t>
      </w:r>
      <w:r>
        <w:rPr>
          <w:rStyle w:val="Appelnotedebasdep"/>
        </w:rPr>
        <w:footnoteReference w:id="215"/>
      </w:r>
      <w:r w:rsidRPr="00A37731">
        <w:t>, est chargé d'ass</w:t>
      </w:r>
      <w:r w:rsidRPr="00A37731">
        <w:t>u</w:t>
      </w:r>
      <w:r w:rsidRPr="00A37731">
        <w:t>rer le re</w:t>
      </w:r>
      <w:r w:rsidRPr="00A37731">
        <w:t>s</w:t>
      </w:r>
      <w:r w:rsidRPr="00A37731">
        <w:t>pect des droits des enfants reconnus à la Loi et dispose de divers moyens d'action à cet égard.</w:t>
      </w:r>
    </w:p>
    <w:p w:rsidR="00B7214C" w:rsidRPr="00A37731" w:rsidRDefault="00B7214C" w:rsidP="00B7214C">
      <w:pPr>
        <w:spacing w:before="120" w:after="120"/>
        <w:jc w:val="both"/>
      </w:pPr>
      <w:r w:rsidRPr="00A37731">
        <w:t>La même année, cette réforme trouve son écho dans le Code civil, où la puissance paternelle est remplacée par l'aut</w:t>
      </w:r>
      <w:r w:rsidRPr="00A37731">
        <w:t>o</w:t>
      </w:r>
      <w:r w:rsidRPr="00A37731">
        <w:t>rité parentale ; celle-ci comporte le droit et le devoir de garde, de surveillance et d'éduc</w:t>
      </w:r>
      <w:r w:rsidRPr="00A37731">
        <w:t>a</w:t>
      </w:r>
      <w:r w:rsidRPr="00A37731">
        <w:t>tion</w:t>
      </w:r>
      <w:r>
        <w:t> </w:t>
      </w:r>
      <w:r>
        <w:rPr>
          <w:rStyle w:val="Appelnotedebasdep"/>
        </w:rPr>
        <w:footnoteReference w:id="216"/>
      </w:r>
      <w:r w:rsidRPr="00A37731">
        <w:t>. Ces responsabilités sont d</w:t>
      </w:r>
      <w:r w:rsidRPr="00A37731">
        <w:t>é</w:t>
      </w:r>
      <w:r w:rsidRPr="00A37731">
        <w:t>sormais exercées conjointement par le père et la mère, le législateur consacrant ainsi le principe d'ég</w:t>
      </w:r>
      <w:r w:rsidRPr="00A37731">
        <w:t>a</w:t>
      </w:r>
      <w:r w:rsidRPr="00A37731">
        <w:t>lité reconnu par ailleurs dans les rapports entre époux. L'autorité p</w:t>
      </w:r>
      <w:r w:rsidRPr="00A37731">
        <w:t>a</w:t>
      </w:r>
      <w:r w:rsidRPr="00A37731">
        <w:t>rentale peut faire l'objet d'une déchéance, pour motifs graves et dans l'intérêt de l'enfant. Ce mode de contrôle de l'autorité parentale s'ajo</w:t>
      </w:r>
      <w:r w:rsidRPr="00A37731">
        <w:t>u</w:t>
      </w:r>
      <w:r w:rsidRPr="00A37731">
        <w:t xml:space="preserve">te à ceux prévus à la </w:t>
      </w:r>
      <w:r w:rsidRPr="00383569">
        <w:rPr>
          <w:i/>
          <w:iCs/>
        </w:rPr>
        <w:t>Loi sur la protection de la jeunesse.</w:t>
      </w:r>
      <w:r w:rsidRPr="00A37731">
        <w:t xml:space="preserve"> Produisant des effets m</w:t>
      </w:r>
      <w:r>
        <w:t>ajeurs sur la relation parents-</w:t>
      </w:r>
      <w:r w:rsidRPr="00A37731">
        <w:t>e</w:t>
      </w:r>
      <w:r w:rsidRPr="00A37731">
        <w:t>n</w:t>
      </w:r>
      <w:r w:rsidRPr="00A37731">
        <w:t>fant et pouvant même conduire dans certains cas à l'adoption de celui-ci par des tiers, la d</w:t>
      </w:r>
      <w:r w:rsidRPr="00A37731">
        <w:t>é</w:t>
      </w:r>
      <w:r w:rsidRPr="00A37731">
        <w:t>chéance ne sera prono</w:t>
      </w:r>
      <w:r w:rsidRPr="00A37731">
        <w:t>n</w:t>
      </w:r>
      <w:r w:rsidRPr="00A37731">
        <w:t>cée qu'en dernier ressort.</w:t>
      </w:r>
    </w:p>
    <w:p w:rsidR="00B7214C" w:rsidRDefault="00B7214C" w:rsidP="00B7214C">
      <w:pPr>
        <w:spacing w:before="120" w:after="120"/>
        <w:jc w:val="both"/>
      </w:pPr>
      <w:r w:rsidRPr="00A37731">
        <w:t>À partir de la Révolution tranquille se dessinent donc des rapports différents entre les citoyens et l'État. Une nouvelle culture laïque et bureaucratique s'impose. La famille se replie sur elle-même dans l'anonymat des grandes villes. La co</w:t>
      </w:r>
      <w:r w:rsidRPr="00A37731">
        <w:t>m</w:t>
      </w:r>
      <w:r w:rsidRPr="00A37731">
        <w:t>munauté environnante n'existe plus comme instance de rég</w:t>
      </w:r>
      <w:r w:rsidRPr="00A37731">
        <w:t>u</w:t>
      </w:r>
      <w:r w:rsidRPr="00A37731">
        <w:t>lation des comportements et structure de soutien dans les épreuves. L'État a pris le relais de l'Église dans les secteurs de l'éducation, de la santé et des services sociaux. La théorie des droits connaît un développement sans précédent qui marque toutes les nouvelles législations : droit des femmes à l'égalité, droit des e</w:t>
      </w:r>
      <w:r w:rsidRPr="00A37731">
        <w:t>n</w:t>
      </w:r>
      <w:r w:rsidRPr="00A37731">
        <w:t>fants à la sécurité et au développement ainsi qu'à des services ad</w:t>
      </w:r>
      <w:r w:rsidRPr="00A37731">
        <w:t>é</w:t>
      </w:r>
      <w:r w:rsidRPr="00A37731">
        <w:t>quats et droit de tous les citoyens à la protection contre les interve</w:t>
      </w:r>
      <w:r w:rsidRPr="00A37731">
        <w:t>n</w:t>
      </w:r>
      <w:r w:rsidRPr="00A37731">
        <w:t>tions arbitraires ou abusives de l'</w:t>
      </w:r>
      <w:r>
        <w:t>État</w:t>
      </w:r>
      <w:r w:rsidRPr="00A37731">
        <w:t>.</w:t>
      </w:r>
    </w:p>
    <w:p w:rsidR="00B7214C" w:rsidRDefault="00B7214C" w:rsidP="00B7214C">
      <w:pPr>
        <w:spacing w:before="120" w:after="120"/>
        <w:jc w:val="both"/>
      </w:pPr>
      <w:r w:rsidRPr="00A37731">
        <w:br w:type="page"/>
      </w:r>
      <w:r>
        <w:t>[255]</w:t>
      </w:r>
    </w:p>
    <w:p w:rsidR="00B7214C" w:rsidRDefault="00B7214C" w:rsidP="00B7214C">
      <w:pPr>
        <w:spacing w:before="120" w:after="120"/>
        <w:jc w:val="both"/>
      </w:pPr>
      <w:r w:rsidRPr="00A37731">
        <w:t>La puissance paternelle pouvait jadis compter sur l'appui de l'État et du système judiciaire ; désormais l'autorité parentale passe au crible des nouvelles normes sociales et les parents exercent leurs responsab</w:t>
      </w:r>
      <w:r w:rsidRPr="00A37731">
        <w:t>i</w:t>
      </w:r>
      <w:r w:rsidRPr="00A37731">
        <w:t>lités sous l'œil de l'administration autant que de la justice. A</w:t>
      </w:r>
      <w:r w:rsidRPr="00A37731">
        <w:t>u</w:t>
      </w:r>
      <w:r w:rsidRPr="00A37731">
        <w:t>trefois centrées sur l'autorité des parents, notamment celle du père de famille, les politiques législatives sont maintenant axées sur la prote</w:t>
      </w:r>
      <w:r w:rsidRPr="00A37731">
        <w:t>c</w:t>
      </w:r>
      <w:r w:rsidRPr="00A37731">
        <w:t>tion de l'enfant. L'émergence de la théorie des droits a fait de tous les me</w:t>
      </w:r>
      <w:r w:rsidRPr="00A37731">
        <w:t>m</w:t>
      </w:r>
      <w:r w:rsidRPr="00A37731">
        <w:t>bres de la famille des égaux face à l'État et à ses instances de régul</w:t>
      </w:r>
      <w:r w:rsidRPr="00A37731">
        <w:t>a</w:t>
      </w:r>
      <w:r w:rsidRPr="00A37731">
        <w:t>tion (Durant-Brault, 1991, p. 136). Elle devient périlleuse, la fon</w:t>
      </w:r>
      <w:r w:rsidRPr="00A37731">
        <w:t>c</w:t>
      </w:r>
      <w:r w:rsidRPr="00A37731">
        <w:t>tion parentale, dans un tel contexte, d'autant plus que les pouvoirs publics, en prenant le relais des ancie</w:t>
      </w:r>
      <w:r w:rsidRPr="00A37731">
        <w:t>n</w:t>
      </w:r>
      <w:r w:rsidRPr="00A37731">
        <w:t>nes instances normatives, n'ont pas su jusqu'à maintenant remplacer les structures de soutien d'antan.</w:t>
      </w:r>
    </w:p>
    <w:p w:rsidR="00B7214C" w:rsidRDefault="00B7214C" w:rsidP="00B7214C">
      <w:pPr>
        <w:spacing w:before="120" w:after="120"/>
        <w:jc w:val="both"/>
      </w:pPr>
      <w:r>
        <w:t>[</w:t>
      </w:r>
      <w:r w:rsidRPr="00A37731">
        <w:t>256</w:t>
      </w:r>
      <w:r>
        <w:t>]</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jc w:val="both"/>
      </w:pPr>
    </w:p>
    <w:p w:rsidR="00B7214C" w:rsidRPr="00A37731" w:rsidRDefault="00B7214C" w:rsidP="00B7214C">
      <w:pPr>
        <w:pStyle w:val="p"/>
      </w:pPr>
      <w:r>
        <w:t>[257]</w:t>
      </w:r>
    </w:p>
    <w:p w:rsidR="00B7214C" w:rsidRDefault="00B7214C" w:rsidP="00B7214C">
      <w:pPr>
        <w:pStyle w:val="p"/>
      </w:pPr>
      <w:r w:rsidRPr="00C94C96">
        <w:t>[258]</w:t>
      </w:r>
    </w:p>
    <w:p w:rsidR="00B7214C" w:rsidRDefault="00B7214C" w:rsidP="00B7214C">
      <w:pPr>
        <w:spacing w:before="120" w:after="120"/>
        <w:jc w:val="both"/>
      </w:pPr>
    </w:p>
    <w:p w:rsidR="00B7214C" w:rsidRPr="00A37731" w:rsidRDefault="00B7214C" w:rsidP="00B7214C">
      <w:pPr>
        <w:pStyle w:val="a"/>
      </w:pPr>
      <w:r w:rsidRPr="00A37731">
        <w:t>BIBLIOGRAPHIE</w:t>
      </w:r>
    </w:p>
    <w:p w:rsidR="00B7214C" w:rsidRDefault="00B7214C" w:rsidP="00B7214C">
      <w:pPr>
        <w:spacing w:before="120" w:after="120"/>
        <w:jc w:val="both"/>
      </w:pPr>
    </w:p>
    <w:p w:rsidR="00B7214C" w:rsidRPr="00A37731" w:rsidRDefault="00B7214C" w:rsidP="00B7214C">
      <w:pPr>
        <w:spacing w:before="120" w:after="120"/>
        <w:jc w:val="both"/>
      </w:pPr>
      <w:r w:rsidRPr="00A37731">
        <w:t xml:space="preserve">Bourgeois, C.-É., </w:t>
      </w:r>
      <w:r w:rsidRPr="00C94C96">
        <w:rPr>
          <w:i/>
          <w:iCs/>
        </w:rPr>
        <w:t>Une richesse à sauver : l'enfant sans soutien,</w:t>
      </w:r>
      <w:r w:rsidRPr="00A37731">
        <w:t xml:space="preserve"> Trois-Rivières, Éditions du bien public, 1947.</w:t>
      </w:r>
    </w:p>
    <w:p w:rsidR="00B7214C" w:rsidRPr="00A37731" w:rsidRDefault="00B7214C" w:rsidP="00B7214C">
      <w:pPr>
        <w:spacing w:before="120" w:after="120"/>
        <w:jc w:val="both"/>
      </w:pPr>
      <w:r>
        <w:t>D'Amours, O</w:t>
      </w:r>
      <w:r w:rsidRPr="00A37731">
        <w:t xml:space="preserve">., </w:t>
      </w:r>
      <w:r w:rsidRPr="00C94C96">
        <w:rPr>
          <w:i/>
          <w:iCs/>
        </w:rPr>
        <w:t>Survol historique de la protection de l’enfance au Québec de 1608 à 1977,</w:t>
      </w:r>
      <w:r w:rsidRPr="00A37731">
        <w:t xml:space="preserve"> annexe au Rapport de la commission parl</w:t>
      </w:r>
      <w:r w:rsidRPr="00A37731">
        <w:t>e</w:t>
      </w:r>
      <w:r w:rsidRPr="00A37731">
        <w:t>mentaire spéciale sur la protection de la je</w:t>
      </w:r>
      <w:r w:rsidRPr="00A37731">
        <w:t>u</w:t>
      </w:r>
      <w:r w:rsidRPr="00A37731">
        <w:t>nesse. Éditeur officiel du Québec, 1982.</w:t>
      </w:r>
    </w:p>
    <w:p w:rsidR="00B7214C" w:rsidRPr="00A37731" w:rsidRDefault="00B7214C" w:rsidP="00B7214C">
      <w:pPr>
        <w:spacing w:before="120" w:after="120"/>
        <w:jc w:val="both"/>
      </w:pPr>
      <w:r w:rsidRPr="00A37731">
        <w:t xml:space="preserve">Dumont, M., M. Jean, M. Lavigne et J. Stoddart, </w:t>
      </w:r>
      <w:r w:rsidRPr="00C94C96">
        <w:rPr>
          <w:i/>
          <w:iCs/>
        </w:rPr>
        <w:t>L'histoire des femmes au Québec depuis quatre siècles,</w:t>
      </w:r>
      <w:r w:rsidRPr="00A37731">
        <w:t xml:space="preserve"> Montréal, Qui</w:t>
      </w:r>
      <w:r w:rsidRPr="00A37731">
        <w:t>n</w:t>
      </w:r>
      <w:r w:rsidRPr="00A37731">
        <w:t>ze, 1982.</w:t>
      </w:r>
    </w:p>
    <w:p w:rsidR="00B7214C" w:rsidRPr="00A37731" w:rsidRDefault="00B7214C" w:rsidP="00B7214C">
      <w:pPr>
        <w:spacing w:before="120" w:after="120"/>
        <w:jc w:val="both"/>
      </w:pPr>
      <w:r w:rsidRPr="00A37731">
        <w:t>Durand-Brault, G., « La Charte et la famille, du nivell</w:t>
      </w:r>
      <w:r w:rsidRPr="00A37731">
        <w:t>e</w:t>
      </w:r>
      <w:r w:rsidRPr="00A37731">
        <w:t xml:space="preserve">ment des droits au nivellement des rôles ». </w:t>
      </w:r>
      <w:r w:rsidRPr="00C94C96">
        <w:rPr>
          <w:i/>
          <w:iCs/>
        </w:rPr>
        <w:t>Apprentissage et socialisation,</w:t>
      </w:r>
      <w:r w:rsidRPr="00A37731">
        <w:t xml:space="preserve"> 1991, vol.</w:t>
      </w:r>
      <w:r>
        <w:t> </w:t>
      </w:r>
      <w:r w:rsidRPr="00A37731">
        <w:t>14, n°</w:t>
      </w:r>
      <w:r>
        <w:t> </w:t>
      </w:r>
      <w:r w:rsidRPr="00A37731">
        <w:t>2, p. 135.</w:t>
      </w:r>
    </w:p>
    <w:p w:rsidR="00B7214C" w:rsidRPr="00C94C96" w:rsidRDefault="00B7214C" w:rsidP="00B7214C">
      <w:pPr>
        <w:spacing w:before="120" w:after="120"/>
        <w:jc w:val="both"/>
      </w:pPr>
      <w:r w:rsidRPr="00C94C96">
        <w:rPr>
          <w:iCs/>
        </w:rPr>
        <w:t xml:space="preserve">Fecteau, J.-M., </w:t>
      </w:r>
      <w:r w:rsidRPr="00C94C96">
        <w:t>Un nouvel ordre des choses : la pauvreté, le crime, l'État au Québec, de la fin du XVIII</w:t>
      </w:r>
      <w:r w:rsidRPr="00DC63DA">
        <w:rPr>
          <w:vertAlign w:val="superscript"/>
        </w:rPr>
        <w:t>e</w:t>
      </w:r>
      <w:r w:rsidRPr="00C94C96">
        <w:rPr>
          <w:iCs/>
        </w:rPr>
        <w:t xml:space="preserve"> siècle à 1840, Montréal, VLB Éditeur, 1989.</w:t>
      </w:r>
    </w:p>
    <w:p w:rsidR="00B7214C" w:rsidRPr="00A37731" w:rsidRDefault="00B7214C" w:rsidP="00B7214C">
      <w:pPr>
        <w:spacing w:before="120" w:after="120"/>
        <w:jc w:val="both"/>
      </w:pPr>
      <w:r w:rsidRPr="00A37731">
        <w:t xml:space="preserve">Hamelin, J. et Y. Roby, </w:t>
      </w:r>
      <w:r w:rsidRPr="00C94C96">
        <w:rPr>
          <w:i/>
          <w:iCs/>
        </w:rPr>
        <w:t>Histoire économique du Québec (1851-1896),</w:t>
      </w:r>
      <w:r w:rsidRPr="00A37731">
        <w:t xml:space="preserve"> Montréal, Fides, 1971.</w:t>
      </w:r>
    </w:p>
    <w:p w:rsidR="00B7214C" w:rsidRPr="00A37731" w:rsidRDefault="00B7214C" w:rsidP="00B7214C">
      <w:pPr>
        <w:spacing w:before="120" w:after="120"/>
        <w:jc w:val="both"/>
      </w:pPr>
      <w:r w:rsidRPr="00A37731">
        <w:t xml:space="preserve">Joyal, R., </w:t>
      </w:r>
      <w:r w:rsidRPr="00C94C96">
        <w:rPr>
          <w:i/>
          <w:iCs/>
        </w:rPr>
        <w:t>Précis de droit des jeunes,</w:t>
      </w:r>
      <w:r w:rsidRPr="00A37731">
        <w:t xml:space="preserve"> tome 2, Cowansville, Les Éditions Yvon Blais Inc., 1988.</w:t>
      </w:r>
    </w:p>
    <w:p w:rsidR="00B7214C" w:rsidRPr="00A37731" w:rsidRDefault="00B7214C" w:rsidP="00B7214C">
      <w:pPr>
        <w:spacing w:before="120" w:after="120"/>
        <w:jc w:val="both"/>
      </w:pPr>
      <w:r w:rsidRPr="00A37731">
        <w:t xml:space="preserve">Joyal, R., « La notion d'intérêt supérieur de l'enfant. Sa place dans la Convention des Nations unies sur les droits de l'enfant ». </w:t>
      </w:r>
      <w:r w:rsidRPr="00C94C96">
        <w:rPr>
          <w:i/>
          <w:iCs/>
        </w:rPr>
        <w:t>Revue i</w:t>
      </w:r>
      <w:r w:rsidRPr="00C94C96">
        <w:rPr>
          <w:i/>
          <w:iCs/>
        </w:rPr>
        <w:t>n</w:t>
      </w:r>
      <w:r w:rsidRPr="00C94C96">
        <w:rPr>
          <w:i/>
          <w:iCs/>
        </w:rPr>
        <w:t>ternationale de droit pénal,</w:t>
      </w:r>
      <w:r w:rsidRPr="00A37731">
        <w:t xml:space="preserve"> 1991, n°</w:t>
      </w:r>
      <w:r>
        <w:t> </w:t>
      </w:r>
      <w:r w:rsidRPr="00A37731">
        <w:t>62, p. 785.</w:t>
      </w:r>
    </w:p>
    <w:p w:rsidR="00B7214C" w:rsidRPr="00A37731" w:rsidRDefault="00B7214C" w:rsidP="00B7214C">
      <w:pPr>
        <w:spacing w:before="120" w:after="120"/>
        <w:jc w:val="both"/>
      </w:pPr>
      <w:r w:rsidRPr="00A37731">
        <w:t>Joyal, R. et C, Chatillon, « La loi québécoise de protection de l'e</w:t>
      </w:r>
      <w:r w:rsidRPr="00A37731">
        <w:t>n</w:t>
      </w:r>
      <w:r w:rsidRPr="00A37731">
        <w:t xml:space="preserve">fance de 1944. Genèse et avortement d'une réforme » (à paraître dans la revue </w:t>
      </w:r>
      <w:r w:rsidRPr="00C94C96">
        <w:rPr>
          <w:i/>
          <w:iCs/>
        </w:rPr>
        <w:t>Histoire sociale).</w:t>
      </w:r>
    </w:p>
    <w:p w:rsidR="00B7214C" w:rsidRPr="00A37731" w:rsidRDefault="00B7214C" w:rsidP="00B7214C">
      <w:pPr>
        <w:spacing w:before="120" w:after="120"/>
        <w:jc w:val="both"/>
      </w:pPr>
      <w:r w:rsidRPr="00A37731">
        <w:t xml:space="preserve">Joyal, R. et M. Provost, « La </w:t>
      </w:r>
      <w:r w:rsidRPr="00C94C96">
        <w:rPr>
          <w:i/>
          <w:iCs/>
        </w:rPr>
        <w:t>Loi sur la protection de la jeunesse</w:t>
      </w:r>
      <w:r w:rsidRPr="00A37731">
        <w:t xml:space="preserve"> de 1977. Une maturation laborieuse, un texte po</w:t>
      </w:r>
      <w:r w:rsidRPr="00A37731">
        <w:t>r</w:t>
      </w:r>
      <w:r w:rsidRPr="00A37731">
        <w:t xml:space="preserve">teur » (à paraître dans la revue </w:t>
      </w:r>
      <w:r w:rsidRPr="00C94C96">
        <w:rPr>
          <w:i/>
          <w:iCs/>
        </w:rPr>
        <w:t>Les Cahiers de Droit).</w:t>
      </w:r>
    </w:p>
    <w:p w:rsidR="00B7214C" w:rsidRPr="00A37731" w:rsidRDefault="00B7214C" w:rsidP="00B7214C">
      <w:pPr>
        <w:spacing w:before="120" w:after="120"/>
        <w:jc w:val="both"/>
      </w:pPr>
      <w:r w:rsidRPr="00A37731">
        <w:t xml:space="preserve">Laplante, J., </w:t>
      </w:r>
      <w:r w:rsidRPr="00C94C96">
        <w:rPr>
          <w:i/>
          <w:iCs/>
        </w:rPr>
        <w:t>Prison et ordre social au Québec,</w:t>
      </w:r>
      <w:r w:rsidRPr="00A37731">
        <w:t xml:space="preserve"> Ottawa, Presses de l'Université d'Ottawa, 1989.</w:t>
      </w:r>
    </w:p>
    <w:p w:rsidR="00B7214C" w:rsidRPr="00A37731" w:rsidRDefault="00B7214C" w:rsidP="00B7214C">
      <w:pPr>
        <w:spacing w:before="120" w:after="120"/>
        <w:jc w:val="both"/>
      </w:pPr>
      <w:r w:rsidRPr="00A37731">
        <w:t xml:space="preserve">Linteau, P.-A., R. Durocher, J.-C. Robert et F. Ricard, </w:t>
      </w:r>
      <w:r w:rsidRPr="00C94C96">
        <w:rPr>
          <w:i/>
          <w:iCs/>
        </w:rPr>
        <w:t xml:space="preserve">Histoire du Québec contemporain, </w:t>
      </w:r>
      <w:r w:rsidRPr="00A37731">
        <w:t>vol.</w:t>
      </w:r>
      <w:r>
        <w:t> </w:t>
      </w:r>
      <w:r w:rsidRPr="00A37731">
        <w:t>2 : « Le Québec depuis 1930 », Québec, Boréal Express, 1986.</w:t>
      </w:r>
    </w:p>
    <w:p w:rsidR="00B7214C" w:rsidRPr="00A37731" w:rsidRDefault="00B7214C" w:rsidP="00B7214C">
      <w:pPr>
        <w:spacing w:before="120" w:after="120"/>
        <w:jc w:val="both"/>
      </w:pPr>
      <w:r w:rsidRPr="00A37731">
        <w:t xml:space="preserve">Meyer, P., </w:t>
      </w:r>
      <w:r w:rsidRPr="00C94C96">
        <w:rPr>
          <w:i/>
          <w:iCs/>
        </w:rPr>
        <w:t>L'enfant et la raison d'État,</w:t>
      </w:r>
      <w:r w:rsidRPr="00A37731">
        <w:t xml:space="preserve"> Paris, Seuil, 1977.</w:t>
      </w:r>
    </w:p>
    <w:p w:rsidR="00B7214C" w:rsidRPr="00C94C96" w:rsidRDefault="00B7214C" w:rsidP="00B7214C">
      <w:pPr>
        <w:spacing w:before="120" w:after="120"/>
        <w:jc w:val="both"/>
      </w:pPr>
      <w:r w:rsidRPr="00C94C96">
        <w:rPr>
          <w:iCs/>
        </w:rPr>
        <w:t xml:space="preserve">Mongeau, S., </w:t>
      </w:r>
      <w:r w:rsidRPr="00C94C96">
        <w:t>Évolution de l'assistance au Québec, Une étude hi</w:t>
      </w:r>
      <w:r w:rsidRPr="00C94C96">
        <w:t>s</w:t>
      </w:r>
      <w:r w:rsidRPr="00C94C96">
        <w:t>torique des diverses modalités d’assistance au Qu</w:t>
      </w:r>
      <w:r w:rsidRPr="00C94C96">
        <w:t>é</w:t>
      </w:r>
      <w:r w:rsidRPr="00C94C96">
        <w:t>bec des origines de la colonie à nos jours,</w:t>
      </w:r>
      <w:r w:rsidRPr="00C94C96">
        <w:rPr>
          <w:iCs/>
        </w:rPr>
        <w:t xml:space="preserve"> Montréal, Éditions du Jour, 1967.</w:t>
      </w:r>
    </w:p>
    <w:p w:rsidR="00B7214C" w:rsidRPr="00A37731" w:rsidRDefault="00B7214C" w:rsidP="00B7214C">
      <w:pPr>
        <w:spacing w:before="120" w:after="120"/>
        <w:jc w:val="both"/>
      </w:pPr>
      <w:r w:rsidRPr="00A37731">
        <w:t xml:space="preserve">Poulin, G., </w:t>
      </w:r>
      <w:r w:rsidRPr="00C94C96">
        <w:rPr>
          <w:i/>
          <w:iCs/>
        </w:rPr>
        <w:t>L'assistance sociale dans la province de Québec, 1608-1951,</w:t>
      </w:r>
      <w:r w:rsidRPr="00A37731">
        <w:t xml:space="preserve"> Québec, Commission royale d'enquête sur les problèmes const</w:t>
      </w:r>
      <w:r w:rsidRPr="00A37731">
        <w:t>i</w:t>
      </w:r>
      <w:r w:rsidRPr="00A37731">
        <w:t>tutionnels, 1955.</w:t>
      </w:r>
    </w:p>
    <w:p w:rsidR="00B7214C" w:rsidRPr="00A37731" w:rsidRDefault="00B7214C" w:rsidP="00B7214C">
      <w:pPr>
        <w:spacing w:before="120" w:after="120"/>
        <w:jc w:val="both"/>
      </w:pPr>
      <w:r w:rsidRPr="00A37731">
        <w:t>Provost, M., « Le mauvais traitement de l'enfant : perspectives hi</w:t>
      </w:r>
      <w:r w:rsidRPr="00A37731">
        <w:t>s</w:t>
      </w:r>
      <w:r w:rsidRPr="00A37731">
        <w:t>toriques et comparatives de la législation sur la protection de la je</w:t>
      </w:r>
      <w:r w:rsidRPr="00A37731">
        <w:t>u</w:t>
      </w:r>
      <w:r w:rsidRPr="00A37731">
        <w:t xml:space="preserve">nesse », </w:t>
      </w:r>
      <w:r w:rsidRPr="00C94C96">
        <w:rPr>
          <w:i/>
          <w:iCs/>
        </w:rPr>
        <w:t>Revue de droit,</w:t>
      </w:r>
      <w:r w:rsidRPr="00A37731">
        <w:t xml:space="preserve"> 1991,</w:t>
      </w:r>
      <w:r>
        <w:t xml:space="preserve"> </w:t>
      </w:r>
      <w:r w:rsidRPr="00A37731">
        <w:t>22,</w:t>
      </w:r>
      <w:r>
        <w:t xml:space="preserve"> </w:t>
      </w:r>
      <w:r w:rsidRPr="00A37731">
        <w:t>1.</w:t>
      </w:r>
    </w:p>
    <w:p w:rsidR="00B7214C" w:rsidRPr="00C94C96" w:rsidRDefault="00B7214C" w:rsidP="00B7214C">
      <w:pPr>
        <w:spacing w:before="120" w:after="120"/>
        <w:jc w:val="both"/>
      </w:pPr>
      <w:r w:rsidRPr="00C94C96">
        <w:rPr>
          <w:iCs/>
        </w:rPr>
        <w:t xml:space="preserve">Roy, J.-L., </w:t>
      </w:r>
      <w:r w:rsidRPr="00C94C96">
        <w:t>La marche des Québécois : le temps des rupt</w:t>
      </w:r>
      <w:r w:rsidRPr="00C94C96">
        <w:t>u</w:t>
      </w:r>
      <w:r w:rsidRPr="00C94C96">
        <w:t>res 1945-1960,</w:t>
      </w:r>
      <w:r w:rsidRPr="00C94C96">
        <w:rPr>
          <w:iCs/>
        </w:rPr>
        <w:t xml:space="preserve"> Montréal, Leméac, 1976.</w:t>
      </w:r>
    </w:p>
    <w:p w:rsidR="00B7214C" w:rsidRPr="00A37731" w:rsidRDefault="00B7214C" w:rsidP="00B7214C">
      <w:pPr>
        <w:spacing w:before="120" w:after="120"/>
        <w:jc w:val="both"/>
      </w:pPr>
      <w:r w:rsidRPr="00A37731">
        <w:t xml:space="preserve">Ryerson, S. B., </w:t>
      </w:r>
      <w:r w:rsidRPr="00C94C96">
        <w:rPr>
          <w:i/>
          <w:iCs/>
        </w:rPr>
        <w:t>Le capitalisme et la Confédération,</w:t>
      </w:r>
      <w:r w:rsidRPr="00A37731">
        <w:t xml:space="preserve"> Montréal, Éd</w:t>
      </w:r>
      <w:r w:rsidRPr="00A37731">
        <w:t>i</w:t>
      </w:r>
      <w:r w:rsidRPr="00A37731">
        <w:t>tions Parti-Pris, 1972.</w:t>
      </w:r>
    </w:p>
    <w:p w:rsidR="00B7214C" w:rsidRPr="00A37731" w:rsidRDefault="00B7214C" w:rsidP="00B7214C">
      <w:pPr>
        <w:spacing w:before="120" w:after="120"/>
        <w:jc w:val="both"/>
      </w:pPr>
      <w:r w:rsidRPr="00A37731">
        <w:t xml:space="preserve">Vaillancourt, Y., </w:t>
      </w:r>
      <w:r w:rsidRPr="00C94C96">
        <w:rPr>
          <w:i/>
          <w:iCs/>
        </w:rPr>
        <w:t>L'évolution des politiques sociales au Québec, 1940-1960,</w:t>
      </w:r>
      <w:r w:rsidRPr="00A37731">
        <w:t xml:space="preserve"> Montréal, Presses de l'Université de Montréal, 1988.</w:t>
      </w:r>
    </w:p>
    <w:p w:rsidR="00B7214C" w:rsidRDefault="00B7214C" w:rsidP="00B7214C">
      <w:pPr>
        <w:spacing w:before="120" w:after="120"/>
        <w:jc w:val="both"/>
      </w:pPr>
      <w:r w:rsidRPr="00A37731">
        <w:t xml:space="preserve">Voisine, N., en collaboration avec A. Beaulieu et J. Hamelin, </w:t>
      </w:r>
      <w:r w:rsidRPr="00C94C96">
        <w:rPr>
          <w:i/>
          <w:iCs/>
        </w:rPr>
        <w:t>Hi</w:t>
      </w:r>
      <w:r w:rsidRPr="00C94C96">
        <w:rPr>
          <w:i/>
          <w:iCs/>
        </w:rPr>
        <w:t>s</w:t>
      </w:r>
      <w:r w:rsidRPr="00C94C96">
        <w:rPr>
          <w:i/>
          <w:iCs/>
        </w:rPr>
        <w:t>toire de l'Église catholique au Québec (1608-1970),</w:t>
      </w:r>
      <w:r w:rsidRPr="00A37731">
        <w:t xml:space="preserve"> Montréal, Fides, 1971.</w:t>
      </w:r>
    </w:p>
    <w:p w:rsidR="00B7214C" w:rsidRDefault="00B7214C" w:rsidP="00B7214C">
      <w:pPr>
        <w:pStyle w:val="p"/>
      </w:pPr>
      <w:r w:rsidRPr="00A37731">
        <w:br w:type="page"/>
      </w:r>
      <w:r>
        <w:t>[259]</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5" w:name="Entre_tradition_pt_2_texte_16"/>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16</w:t>
      </w:r>
    </w:p>
    <w:p w:rsidR="00B7214C" w:rsidRDefault="00B7214C" w:rsidP="00B7214C">
      <w:pPr>
        <w:pStyle w:val="Titreniveau2"/>
      </w:pPr>
      <w:r>
        <w:t>“Modernité, filiation</w:t>
      </w:r>
      <w:r>
        <w:br/>
        <w:t>et pratiques d’adoption.” </w:t>
      </w:r>
      <w:r>
        <w:rPr>
          <w:rStyle w:val="Appelnotedebasdep"/>
        </w:rPr>
        <w:footnoteReference w:customMarkFollows="1" w:id="217"/>
        <w:t>*</w:t>
      </w:r>
    </w:p>
    <w:bookmarkEnd w:id="25"/>
    <w:p w:rsidR="00B7214C" w:rsidRPr="00E07116" w:rsidRDefault="00B7214C" w:rsidP="00B7214C">
      <w:pPr>
        <w:jc w:val="both"/>
        <w:rPr>
          <w:szCs w:val="36"/>
        </w:rPr>
      </w:pPr>
    </w:p>
    <w:p w:rsidR="00B7214C" w:rsidRPr="00E07116" w:rsidRDefault="00B7214C" w:rsidP="00B7214C">
      <w:pPr>
        <w:pStyle w:val="suite"/>
      </w:pPr>
      <w:r>
        <w:t>Par Françoise-Romaine OUELLETTE</w:t>
      </w:r>
    </w:p>
    <w:p w:rsidR="00B7214C" w:rsidRPr="00E07116" w:rsidRDefault="00B7214C" w:rsidP="00B7214C">
      <w:pPr>
        <w:pStyle w:val="auteurst"/>
      </w:pPr>
      <w:r w:rsidRPr="004A7EF1">
        <w:t>Institut québécois de recherche sur la culture</w:t>
      </w: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spacing w:before="120" w:after="120"/>
        <w:jc w:val="both"/>
      </w:pPr>
      <w:r>
        <w:t>On</w:t>
      </w:r>
      <w:r w:rsidRPr="00A37731">
        <w:t xml:space="preserve"> n'entre pas par l'effet de sa propre volonté dans une l</w:t>
      </w:r>
      <w:r w:rsidRPr="00A37731">
        <w:t>i</w:t>
      </w:r>
      <w:r w:rsidRPr="00A37731">
        <w:t>gnée et dans un réseau de liens de parenté. L'établissement de la filiation soumet l'enfant et ses parents à la loi du groupe (Héritier-Augé, 1985). Bien que la relation parents-enfant se construise progressivement dans les maintes circonstances de la vie, ce lien identitaire se trouve fondé, subjectivement et socialement, par le droit de la filiation dont l'État est le garant (Legendre, 1992).</w:t>
      </w:r>
    </w:p>
    <w:p w:rsidR="00B7214C" w:rsidRPr="00A37731" w:rsidRDefault="00B7214C" w:rsidP="00B7214C">
      <w:pPr>
        <w:spacing w:before="120" w:after="120"/>
        <w:jc w:val="both"/>
      </w:pPr>
      <w:r w:rsidRPr="00A37731">
        <w:t>Les règles d'attribution des statuts de filiation étaient s</w:t>
      </w:r>
      <w:r w:rsidRPr="00A37731">
        <w:t>o</w:t>
      </w:r>
      <w:r w:rsidRPr="00A37731">
        <w:t>cialement et culturellement abordées, jusqu'à récemment, comme une référence indiscutable dépassant le champ des interventions individuelles et ayant un sens pour tous. Les écarts à la règle représentaient une tran</w:t>
      </w:r>
      <w:r w:rsidRPr="00A37731">
        <w:t>s</w:t>
      </w:r>
      <w:r w:rsidRPr="00A37731">
        <w:t>gression. Néanmoins, dans les sociétés occidentales de la modernité avancée, l'o</w:t>
      </w:r>
      <w:r w:rsidRPr="00A37731">
        <w:t>r</w:t>
      </w:r>
      <w:r w:rsidRPr="00A37731">
        <w:t>ganisation sociale et juridique de la filiation se révèle maint</w:t>
      </w:r>
      <w:r w:rsidRPr="00A37731">
        <w:t>e</w:t>
      </w:r>
      <w:r w:rsidRPr="00A37731">
        <w:t>nant objet de controverses et de redéfinitions. Sa dimension normative ainsi que sa fonction de médiation des rapports qu'ont les individus entre eux et avec l'État sont disqualifiées. De plus en plus, la relation de filiation est envisagée comme une relation duelle, volonta</w:t>
      </w:r>
      <w:r w:rsidRPr="00A37731">
        <w:t>i</w:t>
      </w:r>
      <w:r w:rsidRPr="00A37731">
        <w:t>re et potentiellement réversible, centrée sur l'enfant, au service des personnes individuelles.</w:t>
      </w:r>
    </w:p>
    <w:p w:rsidR="00B7214C" w:rsidRPr="00A37731" w:rsidRDefault="00B7214C" w:rsidP="00B7214C">
      <w:pPr>
        <w:spacing w:before="120" w:after="120"/>
        <w:jc w:val="both"/>
      </w:pPr>
      <w:r w:rsidRPr="00A37731">
        <w:t>Je veux ici considérer ce mouvement de remise en cause de la fili</w:t>
      </w:r>
      <w:r w:rsidRPr="00A37731">
        <w:t>a</w:t>
      </w:r>
      <w:r w:rsidRPr="00A37731">
        <w:t>tion en prenant l'exemple de l'adoption telle qu'elle se présente au Québec dans les années 1990. Je m'appuie sur une recherche réalisée</w:t>
      </w:r>
      <w:r>
        <w:t xml:space="preserve"> [260] </w:t>
      </w:r>
      <w:r w:rsidRPr="00A37731">
        <w:t>récemment qui portait sur les pratiques et les prises de p</w:t>
      </w:r>
      <w:r w:rsidRPr="00A37731">
        <w:t>o</w:t>
      </w:r>
      <w:r w:rsidRPr="00A37731">
        <w:t>sitions des principales organisations mobilisées sur l'adoption, ainsi que sur les valeurs et les normes qu'elles véhiculent (Ouellette et Séguin, 1992 ; Ouellette, 1992)</w:t>
      </w:r>
      <w:r>
        <w:t> </w:t>
      </w:r>
      <w:r>
        <w:rPr>
          <w:rStyle w:val="Appelnotedebasdep"/>
        </w:rPr>
        <w:footnoteReference w:id="218"/>
      </w:r>
      <w:r w:rsidRPr="00A37731">
        <w:t xml:space="preserve"> Je montrerai que l'adoption est actuell</w:t>
      </w:r>
      <w:r w:rsidRPr="00A37731">
        <w:t>e</w:t>
      </w:r>
      <w:r w:rsidRPr="00A37731">
        <w:t>ment pratiquée moins en référence à l'organisation de la parenté (et à ses fonctions identitaires, pour les sujets qu'elle inscrit dans un réseau de liens de consanguinité et d'alliance) qu'en référence à des droits et i</w:t>
      </w:r>
      <w:r w:rsidRPr="00A37731">
        <w:t>n</w:t>
      </w:r>
      <w:r w:rsidRPr="00A37731">
        <w:t>térêts individuels ou à des revendications particularistes, ou encore en rapport avec les besoins des administrations chargées de la prote</w:t>
      </w:r>
      <w:r w:rsidRPr="00A37731">
        <w:t>c</w:t>
      </w:r>
      <w:r w:rsidRPr="00A37731">
        <w:t>tion de l'enfance. En ce sens, l'adoption participe d'un mouvement de redéfinition du lien social et du po</w:t>
      </w:r>
      <w:r w:rsidRPr="00A37731">
        <w:t>u</w:t>
      </w:r>
      <w:r w:rsidRPr="00A37731">
        <w:t>voir. Les différents principes et valeurs mis de l'avant pour déterminer ce qui est bon, juste ou légitime en matière de transferts d'enfants et d'adoption témoignent de ce d</w:t>
      </w:r>
      <w:r w:rsidRPr="00A37731">
        <w:t>é</w:t>
      </w:r>
      <w:r w:rsidRPr="00A37731">
        <w:t>plac</w:t>
      </w:r>
      <w:r w:rsidRPr="00A37731">
        <w:t>e</w:t>
      </w:r>
      <w:r w:rsidRPr="00A37731">
        <w:t>ment dans la manière d'aborder le rapport des sujets humains aux in</w:t>
      </w:r>
      <w:r w:rsidRPr="00A37731">
        <w:t>s</w:t>
      </w:r>
      <w:r w:rsidRPr="00A37731">
        <w:t>titutions.</w:t>
      </w:r>
    </w:p>
    <w:p w:rsidR="00B7214C" w:rsidRDefault="00B7214C" w:rsidP="00B7214C">
      <w:pPr>
        <w:spacing w:before="120" w:after="120"/>
        <w:jc w:val="both"/>
      </w:pPr>
    </w:p>
    <w:p w:rsidR="00B7214C" w:rsidRPr="00A37731" w:rsidRDefault="00B7214C" w:rsidP="00B7214C">
      <w:pPr>
        <w:pStyle w:val="a"/>
      </w:pPr>
      <w:r w:rsidRPr="00A37731">
        <w:t>L'ADOPTION</w:t>
      </w:r>
      <w:r>
        <w:br/>
      </w:r>
      <w:r w:rsidRPr="00A37731">
        <w:t>ET LES CONCEPTIONS OCCIDENT</w:t>
      </w:r>
      <w:r w:rsidRPr="00A37731">
        <w:t>A</w:t>
      </w:r>
      <w:r>
        <w:t>LES</w:t>
      </w:r>
      <w:r>
        <w:br/>
      </w:r>
      <w:r w:rsidRPr="00A37731">
        <w:t>DE LA PARENTÉ</w:t>
      </w:r>
    </w:p>
    <w:p w:rsidR="00B7214C" w:rsidRDefault="00B7214C" w:rsidP="00B7214C">
      <w:pPr>
        <w:spacing w:before="120" w:after="120"/>
        <w:jc w:val="both"/>
      </w:pPr>
    </w:p>
    <w:p w:rsidR="00B7214C" w:rsidRPr="00A37731" w:rsidRDefault="00B7214C" w:rsidP="00B7214C">
      <w:pPr>
        <w:spacing w:before="120" w:after="120"/>
        <w:jc w:val="both"/>
      </w:pPr>
      <w:r w:rsidRPr="00A37731">
        <w:t>C'est un des apports spécifiques de l'anthropologie que d'avoir mis en évidence le caractère construit des systèmes de parenté et d'avoir montré que les conceptions occidentales privilégiant les liens créés par le sang plutôt que les liens d'a</w:t>
      </w:r>
      <w:r w:rsidRPr="00A37731">
        <w:t>l</w:t>
      </w:r>
      <w:r w:rsidRPr="00A37731">
        <w:t>liance relèvent d'un choix culturel (Héritier-Augé, 1985 ; Schneider, 1980). Étant donné cette valoris</w:t>
      </w:r>
      <w:r w:rsidRPr="00A37731">
        <w:t>a</w:t>
      </w:r>
      <w:r w:rsidRPr="00A37731">
        <w:t>tion d'une « communauté de substance » dans les représentations de la parenté, l'adoption est le plus souvent perçue comme inst</w:t>
      </w:r>
      <w:r w:rsidRPr="00A37731">
        <w:t>i</w:t>
      </w:r>
      <w:r w:rsidRPr="00A37731">
        <w:t>tuant une filiation marginale ou de second ordre. Aussi, de nombreux couples acceptent les risques et les échecs répétés des nouvelles techniques de reproduction humaine plutôt que de recourir à l'adoption. La stigmat</w:t>
      </w:r>
      <w:r w:rsidRPr="00A37731">
        <w:t>i</w:t>
      </w:r>
      <w:r w:rsidRPr="00A37731">
        <w:t>sation que subissent souvent les familles adoptives confirme la pr</w:t>
      </w:r>
      <w:r w:rsidRPr="00A37731">
        <w:t>i</w:t>
      </w:r>
      <w:r w:rsidRPr="00A37731">
        <w:t>mauté attribuée culturellement au versant biologique de la parenté (Kirk, 1985 ; Miall, 1987). Elle pousse vers une normalisation app</w:t>
      </w:r>
      <w:r w:rsidRPr="00A37731">
        <w:t>a</w:t>
      </w:r>
      <w:r w:rsidRPr="00A37731">
        <w:t>rente de la famille adoptive, sur le modèle des familles dites biolog</w:t>
      </w:r>
      <w:r w:rsidRPr="00A37731">
        <w:t>i</w:t>
      </w:r>
      <w:r w:rsidRPr="00A37731">
        <w:t>ques ou naturelles (Hartman, 1984 ; Hoffmann-Riem, 1986 ; Miall, 1989), entravant la reconnaissance de la spécif</w:t>
      </w:r>
      <w:r w:rsidRPr="00A37731">
        <w:t>i</w:t>
      </w:r>
      <w:r w:rsidRPr="00A37731">
        <w:t>cité de cette parenté marginale qui « a aussi ses propres règles de fonctionnement et [...] n'est pas seulement une copie du système de parenté dominant » (Co</w:t>
      </w:r>
      <w:r w:rsidRPr="00A37731">
        <w:t>l</w:t>
      </w:r>
      <w:r w:rsidRPr="00A37731">
        <w:t>lard, 1988, p. 119). L'importance qu'ont pris dernièrement les mouv</w:t>
      </w:r>
      <w:r w:rsidRPr="00A37731">
        <w:t>e</w:t>
      </w:r>
      <w:r w:rsidRPr="00A37731">
        <w:t>ments de retro</w:t>
      </w:r>
      <w:r w:rsidRPr="00A37731">
        <w:t>u</w:t>
      </w:r>
      <w:r w:rsidRPr="00A37731">
        <w:t>vailles entre des adoptés et leurs parents de naissance témoignent aussi de cette conception de la parenté comme fait de n</w:t>
      </w:r>
      <w:r w:rsidRPr="00A37731">
        <w:t>a</w:t>
      </w:r>
      <w:r w:rsidRPr="00A37731">
        <w:t>ture et, en particulier, de la force attribuée au lien biolog</w:t>
      </w:r>
      <w:r w:rsidRPr="00A37731">
        <w:t>i</w:t>
      </w:r>
      <w:r w:rsidRPr="00A37731">
        <w:t>que mère-enfant (Modell, 1986). Aussi, c'est souvent en se référant à la procré</w:t>
      </w:r>
      <w:r w:rsidRPr="00A37731">
        <w:t>a</w:t>
      </w:r>
      <w:r w:rsidRPr="00A37731">
        <w:t>tion que les mères adoptives parlent de leur maternité (Collard, 1988, p. 117). Dans les entrevues que nous avons faites, plusieurs disent avoir vécu la première re</w:t>
      </w:r>
      <w:r w:rsidRPr="00A37731">
        <w:t>n</w:t>
      </w:r>
      <w:r w:rsidRPr="00A37731">
        <w:t>contre avec leur enfant</w:t>
      </w:r>
      <w:r>
        <w:t xml:space="preserve"> [</w:t>
      </w:r>
      <w:r w:rsidRPr="00A37731">
        <w:t>261</w:t>
      </w:r>
      <w:r>
        <w:t xml:space="preserve">] </w:t>
      </w:r>
      <w:r w:rsidRPr="00A37731">
        <w:t>comme « un accouchement ». Le placement d'enfant qui a échoué a été vécu co</w:t>
      </w:r>
      <w:r w:rsidRPr="00A37731">
        <w:t>m</w:t>
      </w:r>
      <w:r w:rsidRPr="00A37731">
        <w:t>me une fausse couche. Les délais d'attente avant l'arr</w:t>
      </w:r>
      <w:r w:rsidRPr="00A37731">
        <w:t>i</w:t>
      </w:r>
      <w:r w:rsidRPr="00A37731">
        <w:t>vée de l'enfant sont discutés en référence à la durée d'une grossesse normale.</w:t>
      </w:r>
    </w:p>
    <w:p w:rsidR="00B7214C" w:rsidRPr="00A37731" w:rsidRDefault="00B7214C" w:rsidP="00B7214C">
      <w:pPr>
        <w:spacing w:before="120" w:after="120"/>
        <w:jc w:val="both"/>
      </w:pPr>
      <w:r w:rsidRPr="00A37731">
        <w:t>Au Québec, l'adoption légale telle que nous l</w:t>
      </w:r>
      <w:r>
        <w:t>a connaissons - c'est-</w:t>
      </w:r>
      <w:r w:rsidRPr="00A37731">
        <w:t>à-dire l'adoption plénière qui rompt définitivement tout lien de fili</w:t>
      </w:r>
      <w:r w:rsidRPr="00A37731">
        <w:t>a</w:t>
      </w:r>
      <w:r w:rsidRPr="00A37731">
        <w:t>tion antérieur - n'existait pas avant 1924. Lors de placements d'enfants et d'adoptions coutumières, on r</w:t>
      </w:r>
      <w:r w:rsidRPr="00A37731">
        <w:t>e</w:t>
      </w:r>
      <w:r w:rsidRPr="00A37731">
        <w:t>cueillait de préférence comme siens des enfants avec qui on avait un lien de consanguinité</w:t>
      </w:r>
      <w:r>
        <w:t> </w:t>
      </w:r>
      <w:r>
        <w:rPr>
          <w:rStyle w:val="Appelnotedebasdep"/>
        </w:rPr>
        <w:footnoteReference w:id="219"/>
      </w:r>
      <w:r w:rsidRPr="00A37731">
        <w:t>. Lorsque, suite à un veuvage ou une maladie, un parent acceptait de confier ses e</w:t>
      </w:r>
      <w:r w:rsidRPr="00A37731">
        <w:t>n</w:t>
      </w:r>
      <w:r w:rsidRPr="00A37731">
        <w:t>fants à sa parenté, ce don obligé était conçu comme une perte et n'était pas valorisé (Collard, 1991). Le geste de confier son enfant à d'autres a toujours été admis lorsque dicté par la nécessité et encadré par la famille et, plus tard, par l'Eglise, mais non comme une dispos</w:t>
      </w:r>
      <w:r w:rsidRPr="00A37731">
        <w:t>i</w:t>
      </w:r>
      <w:r w:rsidRPr="00A37731">
        <w:t>tion libre d'un enfant par sa mère. La société québécoise ne reconna</w:t>
      </w:r>
      <w:r w:rsidRPr="00A37731">
        <w:t>î</w:t>
      </w:r>
      <w:r w:rsidRPr="00A37731">
        <w:t>trait pas « le don direct d'enfant ni l'alliance qui en résulterait » (Co</w:t>
      </w:r>
      <w:r w:rsidRPr="00A37731">
        <w:t>l</w:t>
      </w:r>
      <w:r w:rsidRPr="00A37731">
        <w:t>lard, 1988, p. 118). Encore maintenant, notre système d'adoption laïc</w:t>
      </w:r>
      <w:r w:rsidRPr="00A37731">
        <w:t>i</w:t>
      </w:r>
      <w:r w:rsidRPr="00A37731">
        <w:t>sé s'articule sur l'idée d'abandon et de consentement à l'adoption, et non sur celle de don. Nul ne peut disposer volontairement de son e</w:t>
      </w:r>
      <w:r w:rsidRPr="00A37731">
        <w:t>n</w:t>
      </w:r>
      <w:r w:rsidRPr="00A37731">
        <w:t>fant autrement que dans l'intérêt de l'enfant lui-même et dans les c</w:t>
      </w:r>
      <w:r w:rsidRPr="00A37731">
        <w:t>a</w:t>
      </w:r>
      <w:r w:rsidRPr="00A37731">
        <w:t>dres prévus par les autorités étatiques qui ont pris le r</w:t>
      </w:r>
      <w:r w:rsidRPr="00A37731">
        <w:t>e</w:t>
      </w:r>
      <w:r w:rsidRPr="00A37731">
        <w:t>lais de l'Église.</w:t>
      </w:r>
    </w:p>
    <w:p w:rsidR="00B7214C" w:rsidRDefault="00B7214C" w:rsidP="00B7214C">
      <w:pPr>
        <w:spacing w:before="120" w:after="120"/>
        <w:jc w:val="both"/>
      </w:pPr>
    </w:p>
    <w:p w:rsidR="00B7214C" w:rsidRPr="00A37731" w:rsidRDefault="00B7214C" w:rsidP="00B7214C">
      <w:pPr>
        <w:pStyle w:val="a"/>
      </w:pPr>
      <w:r w:rsidRPr="00A37731">
        <w:t>LES REPRÉSEN</w:t>
      </w:r>
      <w:r>
        <w:t>TATIONS NOUVELLES</w:t>
      </w:r>
      <w:r>
        <w:br/>
      </w:r>
      <w:r w:rsidRPr="00A37731">
        <w:t>DE LA F</w:t>
      </w:r>
      <w:r w:rsidRPr="00A37731">
        <w:t>I</w:t>
      </w:r>
      <w:r w:rsidRPr="00A37731">
        <w:t>LIATION ET DE L'ADOPTION</w:t>
      </w:r>
    </w:p>
    <w:p w:rsidR="00B7214C" w:rsidRDefault="00B7214C" w:rsidP="00B7214C">
      <w:pPr>
        <w:spacing w:before="120" w:after="120"/>
        <w:jc w:val="both"/>
      </w:pPr>
    </w:p>
    <w:p w:rsidR="00B7214C" w:rsidRPr="00A37731" w:rsidRDefault="00B7214C" w:rsidP="00B7214C">
      <w:pPr>
        <w:spacing w:before="120" w:after="120"/>
        <w:jc w:val="both"/>
      </w:pPr>
      <w:r w:rsidRPr="00A37731">
        <w:t>Cette approche, construite en référence aux conceptions culturelles de la parenté, structure encore les représentations et la construction de l'expérience de l'adoption. Néanmoins depuis les années 1970, malgré la stigmatisation possible, c'est progressivement devenu une norme imposée aux parents adoptifs que d'affirmer ouvertement leur diff</w:t>
      </w:r>
      <w:r w:rsidRPr="00A37731">
        <w:t>é</w:t>
      </w:r>
      <w:r w:rsidRPr="00A37731">
        <w:t>rence par ra</w:t>
      </w:r>
      <w:r w:rsidRPr="00A37731">
        <w:t>p</w:t>
      </w:r>
      <w:r w:rsidRPr="00A37731">
        <w:t>port au modèle dominant de la famille biologique. Ceci, d'autant plus que l'origine étrangère de leur enfant est souvent évide</w:t>
      </w:r>
      <w:r w:rsidRPr="00A37731">
        <w:t>n</w:t>
      </w:r>
      <w:r w:rsidRPr="00A37731">
        <w:t>te maintenant que les adoptions sont surtout internati</w:t>
      </w:r>
      <w:r w:rsidRPr="00A37731">
        <w:t>o</w:t>
      </w:r>
      <w:r w:rsidRPr="00A37731">
        <w:t>nales. Une telle démarche d'acceptation de la marginalité serait une condition esse</w:t>
      </w:r>
      <w:r w:rsidRPr="00A37731">
        <w:t>n</w:t>
      </w:r>
      <w:r w:rsidRPr="00A37731">
        <w:t>tielle au développement de liens d'empathie avec l'enfant adopté (Kirk, 1984, 1985). Cepe</w:t>
      </w:r>
      <w:r w:rsidRPr="00A37731">
        <w:t>n</w:t>
      </w:r>
      <w:r w:rsidRPr="00A37731">
        <w:t>dant, dans le contexte contemporain, cette reconnaissance ouverte et publique des situations d'adoption comme</w:t>
      </w:r>
      <w:r w:rsidRPr="00A37731">
        <w:t>n</w:t>
      </w:r>
      <w:r w:rsidRPr="00A37731">
        <w:t>ce à pre</w:t>
      </w:r>
      <w:r w:rsidRPr="00A37731">
        <w:t>n</w:t>
      </w:r>
      <w:r w:rsidRPr="00A37731">
        <w:t>dre un autre sens. En droit, la filiation adoptive a maintenant des effets identiques à la filiation par le sang, pour l'enfant et pour tous les membres de sa parenté (Code civil du Québec, art. 594), alors qu'auparavant l'adoption ne créait un lien lég</w:t>
      </w:r>
      <w:r w:rsidRPr="00A37731">
        <w:t>i</w:t>
      </w:r>
      <w:r w:rsidRPr="00A37731">
        <w:t>time qu'entre parent et enfant. En pratique, cette relation de filiation dans laquelle on s'eng</w:t>
      </w:r>
      <w:r w:rsidRPr="00A37731">
        <w:t>a</w:t>
      </w:r>
      <w:r w:rsidRPr="00A37731">
        <w:t>ge volontairement et qui ne trouve sa légitimité que dans l'intérêt de l'enfant, tend même à se constituer en mod</w:t>
      </w:r>
      <w:r>
        <w:t xml:space="preserve">èle du lien parent-enfant et ce, [262] </w:t>
      </w:r>
      <w:r w:rsidRPr="00A37731">
        <w:t>malgré une tendance divergente, souvent commentée, à une biologis</w:t>
      </w:r>
      <w:r w:rsidRPr="00A37731">
        <w:t>a</w:t>
      </w:r>
      <w:r w:rsidRPr="00A37731">
        <w:t>tion accrue de la parenté.</w:t>
      </w:r>
    </w:p>
    <w:p w:rsidR="00B7214C" w:rsidRPr="00A37731" w:rsidRDefault="00B7214C" w:rsidP="00B7214C">
      <w:pPr>
        <w:spacing w:before="120" w:after="120"/>
        <w:jc w:val="both"/>
      </w:pPr>
      <w:r w:rsidRPr="00A37731">
        <w:t>Dans le contexte de la modernité, les identités personnelles sont construites à travers les choix personnels et la recherche de l'authent</w:t>
      </w:r>
      <w:r w:rsidRPr="00A37731">
        <w:t>i</w:t>
      </w:r>
      <w:r w:rsidRPr="00A37731">
        <w:t>cité (Giddens, 1991 ; Taylor, 1992). De plus en plus, en matière de filiation, on prétend définir les relations sur le mode volontaire et contractuel ; devenir parent serait un geste libre et consenti. L'enfant désiré n'a « pas de prix » (Z</w:t>
      </w:r>
      <w:r w:rsidRPr="00A37731">
        <w:t>e</w:t>
      </w:r>
      <w:r w:rsidRPr="00A37731">
        <w:t>litzer, 1987). Il est l'incarnation des désirs et des choix de ses parents avant d'être avec eux en relation de fils ou de fille, c'est-à-dire une personnalité dépendante de son intégration spécifique dans un ensemble de relations sociales organisées. Quant à la famille, elle est considérée comme le milieu de vie stable par exce</w:t>
      </w:r>
      <w:r w:rsidRPr="00A37731">
        <w:t>l</w:t>
      </w:r>
      <w:r w:rsidRPr="00A37731">
        <w:t>lence, le domaine privilégié des relations a</w:t>
      </w:r>
      <w:r w:rsidRPr="00A37731">
        <w:t>f</w:t>
      </w:r>
      <w:r w:rsidRPr="00A37731">
        <w:t>fectives et de la prise en charge des enfants. Cependant, elle représente plus un groupe réside</w:t>
      </w:r>
      <w:r w:rsidRPr="00A37731">
        <w:t>n</w:t>
      </w:r>
      <w:r w:rsidRPr="00A37731">
        <w:t>tiel ayant charge d'enfant qu'une institution de parenté. Bref, la pr</w:t>
      </w:r>
      <w:r w:rsidRPr="00A37731">
        <w:t>o</w:t>
      </w:r>
      <w:r w:rsidRPr="00A37731">
        <w:t>fondeur de champ des relations f</w:t>
      </w:r>
      <w:r>
        <w:t>amiliales est seconda</w:t>
      </w:r>
      <w:r w:rsidRPr="00A37731">
        <w:t>risée ou év</w:t>
      </w:r>
      <w:r w:rsidRPr="00A37731">
        <w:t>a</w:t>
      </w:r>
      <w:r w:rsidRPr="00A37731">
        <w:t>cuée. Les engagements affectifs dans l'immédiateté de la vie quot</w:t>
      </w:r>
      <w:r w:rsidRPr="00A37731">
        <w:t>i</w:t>
      </w:r>
      <w:r w:rsidRPr="00A37731">
        <w:t xml:space="preserve">dienne constituent la principale source de production de sens, mais l'engagement envers l'enfant est conçu en évacuant la problématique du lien social : « l'enfant devient une valeur en soi, un absolu </w:t>
      </w:r>
      <w:r>
        <w:t>[</w:t>
      </w:r>
      <w:r w:rsidRPr="00A37731">
        <w:t>...] vo</w:t>
      </w:r>
      <w:r w:rsidRPr="00A37731">
        <w:t>i</w:t>
      </w:r>
      <w:r w:rsidRPr="00A37731">
        <w:t>là l'Enfance à son tour promue comme le point de vue totalisant à pa</w:t>
      </w:r>
      <w:r w:rsidRPr="00A37731">
        <w:t>r</w:t>
      </w:r>
      <w:r w:rsidRPr="00A37731">
        <w:t>tir duquel toute la société peut être pensée et régulée. » (Théry, 1992, p. 349). La relation adulte-enfant résumerait les questions de la fili</w:t>
      </w:r>
      <w:r w:rsidRPr="00A37731">
        <w:t>a</w:t>
      </w:r>
      <w:r w:rsidRPr="00A37731">
        <w:t>tion et de l'institution familiale ou s'y substituerait</w:t>
      </w:r>
      <w:r>
        <w:t> </w:t>
      </w:r>
      <w:r>
        <w:rPr>
          <w:rStyle w:val="Appelnotedebasdep"/>
        </w:rPr>
        <w:footnoteReference w:id="220"/>
      </w:r>
      <w:r w:rsidRPr="00A37731">
        <w:t>.</w:t>
      </w:r>
    </w:p>
    <w:p w:rsidR="00B7214C" w:rsidRPr="00A37731" w:rsidRDefault="00B7214C" w:rsidP="00B7214C">
      <w:pPr>
        <w:spacing w:before="120" w:after="120"/>
        <w:jc w:val="both"/>
      </w:pPr>
      <w:r>
        <w:t>La revendication du li</w:t>
      </w:r>
      <w:r w:rsidRPr="00A37731">
        <w:t>bre choix de devenir parent est l'un des th</w:t>
      </w:r>
      <w:r w:rsidRPr="00A37731">
        <w:t>è</w:t>
      </w:r>
      <w:r w:rsidRPr="00A37731">
        <w:t>mes récurrents des luttes pour la liberté d'avorter, th</w:t>
      </w:r>
      <w:r w:rsidRPr="00A37731">
        <w:t>è</w:t>
      </w:r>
      <w:r w:rsidRPr="00A37731">
        <w:t>me allant de pair avec l'idée que les enfants doivent avoir été désirés (Cannell, 1990). Ce qui est plus récent, c'est que le statut de parent soit vu comme une acquisition individuelle délibérée, ce qu'illustrent différentes formes d'autoproclamation de soi en tant que parent, comme celle des post</w:t>
      </w:r>
      <w:r w:rsidRPr="00A37731">
        <w:t>u</w:t>
      </w:r>
      <w:r w:rsidRPr="00A37731">
        <w:t>lants à l'adoption qui ont gagné d'être, plus souvent qu'autrement, d</w:t>
      </w:r>
      <w:r w:rsidRPr="00A37731">
        <w:t>é</w:t>
      </w:r>
      <w:r w:rsidRPr="00A37731">
        <w:t>signés comme des « parents » avant même d'avoir un fils ou une fi</w:t>
      </w:r>
      <w:r w:rsidRPr="00A37731">
        <w:t>l</w:t>
      </w:r>
      <w:r w:rsidRPr="00A37731">
        <w:t>le</w:t>
      </w:r>
      <w:r>
        <w:t> </w:t>
      </w:r>
      <w:r>
        <w:rPr>
          <w:rStyle w:val="Appelnotedebasdep"/>
        </w:rPr>
        <w:footnoteReference w:id="221"/>
      </w:r>
      <w:r w:rsidRPr="00A37731">
        <w:t>. Quant à l'abandon légal ou de fait d'un enfant, il est maintenant moins traité comme une transgression que, plus platement, comme un manquement aux devoirs envers l'enfant ou envers l'autre parent. Pr</w:t>
      </w:r>
      <w:r w:rsidRPr="00A37731">
        <w:t>o</w:t>
      </w:r>
      <w:r w:rsidRPr="00A37731">
        <w:t>v</w:t>
      </w:r>
      <w:r w:rsidRPr="00A37731">
        <w:t>o</w:t>
      </w:r>
      <w:r w:rsidRPr="00A37731">
        <w:t>quer la rupture légale d'un lien de filiation devient, soit une punition infligée à un parent fautif (Manaï, 1990), soit une mesure de prote</w:t>
      </w:r>
      <w:r w:rsidRPr="00A37731">
        <w:t>c</w:t>
      </w:r>
      <w:r w:rsidRPr="00A37731">
        <w:t>tion de l'enfance négligée ou maltraitée. Le lie</w:t>
      </w:r>
      <w:r>
        <w:t>n parent-</w:t>
      </w:r>
      <w:r w:rsidRPr="00A37731">
        <w:t>enfant est ai</w:t>
      </w:r>
      <w:r w:rsidRPr="00A37731">
        <w:t>n</w:t>
      </w:r>
      <w:r w:rsidRPr="00A37731">
        <w:t>si grandement fragilisé et l'enfant n'a plus l'assurance d'un statut de fili</w:t>
      </w:r>
      <w:r w:rsidRPr="00A37731">
        <w:t>a</w:t>
      </w:r>
      <w:r w:rsidRPr="00A37731">
        <w:t>tion. Il se trouve en position précaire entre, d'une part, des adultes a</w:t>
      </w:r>
      <w:r w:rsidRPr="00A37731">
        <w:t>u</w:t>
      </w:r>
      <w:r w:rsidRPr="00A37731">
        <w:t>tonomes exerçant des choix personnels et, d'autre part, l'État dont le pouvoir d'intervention sur les familles s'accroît à la mesure des b</w:t>
      </w:r>
      <w:r w:rsidRPr="00A37731">
        <w:t>e</w:t>
      </w:r>
      <w:r w:rsidRPr="00A37731">
        <w:t>soins identifiés de protection des enfants. Une grande attention est maintenant portée à la protection des droits des enfants, comme en témoigne</w:t>
      </w:r>
      <w:r>
        <w:t xml:space="preserve"> [</w:t>
      </w:r>
      <w:r w:rsidRPr="00A37731">
        <w:t>263</w:t>
      </w:r>
      <w:r>
        <w:t xml:space="preserve">] </w:t>
      </w:r>
      <w:r w:rsidRPr="00A37731">
        <w:t>l'adoption par les Nations unies de la Convention i</w:t>
      </w:r>
      <w:r w:rsidRPr="00A37731">
        <w:t>n</w:t>
      </w:r>
      <w:r w:rsidRPr="00A37731">
        <w:t>ternationale des droits de l'enfant le 20 novembre 1989. Cepe</w:t>
      </w:r>
      <w:r w:rsidRPr="00A37731">
        <w:t>n</w:t>
      </w:r>
      <w:r w:rsidRPr="00A37731">
        <w:t>dant, la cause sociale des enfants s'avère aussi permettre de nouvelles ingére</w:t>
      </w:r>
      <w:r w:rsidRPr="00A37731">
        <w:t>n</w:t>
      </w:r>
      <w:r w:rsidRPr="00A37731">
        <w:t>ces admini</w:t>
      </w:r>
      <w:r w:rsidRPr="00A37731">
        <w:t>s</w:t>
      </w:r>
      <w:r w:rsidRPr="00A37731">
        <w:t>tratives et bureaucratiques dans la vie privée des familles, « la forme postmode</w:t>
      </w:r>
      <w:r>
        <w:t>rn</w:t>
      </w:r>
      <w:r w:rsidRPr="00A37731">
        <w:t>e du paternalisme, non plus le paternalisme f</w:t>
      </w:r>
      <w:r w:rsidRPr="00A37731">
        <w:t>a</w:t>
      </w:r>
      <w:r w:rsidRPr="00A37731">
        <w:t>milial, mais le paternalisme d'État » (Théry, 1992, p. 345).</w:t>
      </w:r>
    </w:p>
    <w:p w:rsidR="00B7214C" w:rsidRPr="00A37731" w:rsidRDefault="00B7214C" w:rsidP="00B7214C">
      <w:pPr>
        <w:spacing w:before="120" w:after="120"/>
        <w:jc w:val="both"/>
      </w:pPr>
      <w:r w:rsidRPr="00A37731">
        <w:t>Les pratiques contemporaines d'adoption sont exemplaires de ce changement de perspective sur le lien de filiation ; l'adoption est de moins en moins abordée comme une instit</w:t>
      </w:r>
      <w:r w:rsidRPr="00A37731">
        <w:t>u</w:t>
      </w:r>
      <w:r w:rsidRPr="00A37731">
        <w:t>tion de filiation fondée sur « l'imitation de la nature » (Lege</w:t>
      </w:r>
      <w:r w:rsidRPr="00A37731">
        <w:t>n</w:t>
      </w:r>
      <w:r w:rsidRPr="00A37731">
        <w:t>dre, 1992, p. 316) au service de la relance des générations. Centrée sur l'enfant dont elle doit garantir l'intérêt et les droits, l'adoption est plutôt, pour les institutions état</w:t>
      </w:r>
      <w:r w:rsidRPr="00A37731">
        <w:t>i</w:t>
      </w:r>
      <w:r w:rsidRPr="00A37731">
        <w:t>ques de service social, une forme de prise en charge familiale stable et permanente de la personne mineure en difficulté. Pour les adoptants, elle est le moyen de réalisation d'un projet parental et, souvent, un droit qu'ils estiment pouvoir revendiquer en vertu de la Charte québ</w:t>
      </w:r>
      <w:r w:rsidRPr="00A37731">
        <w:t>é</w:t>
      </w:r>
      <w:r w:rsidRPr="00A37731">
        <w:t>coise des droits et liberté de la pe</w:t>
      </w:r>
      <w:r w:rsidRPr="00A37731">
        <w:t>r</w:t>
      </w:r>
      <w:r w:rsidRPr="00A37731">
        <w:t>sonne. Pratique juridique encadrée par l'État, l'adoption se développe cependant de manière telle que ce dernier joue d</w:t>
      </w:r>
      <w:r w:rsidRPr="00A37731">
        <w:t>a</w:t>
      </w:r>
      <w:r w:rsidRPr="00A37731">
        <w:t>vantage un rôle de gestion des demandes individuelles et des problèmes sociaux que de garant de l'ordre juridique des fili</w:t>
      </w:r>
      <w:r w:rsidRPr="00A37731">
        <w:t>a</w:t>
      </w:r>
      <w:r w:rsidRPr="00A37731">
        <w:t>tions. Bref, dans l'ensemble, l'adoption n'apparaît plus comme un écart par rapport à un modèle dominant de reproduction de la lignée, mais bien comme une manifestation de la mouvance plus générale de red</w:t>
      </w:r>
      <w:r w:rsidRPr="00A37731">
        <w:t>é</w:t>
      </w:r>
      <w:r w:rsidRPr="00A37731">
        <w:t>finition des liens sociaux primaires.</w:t>
      </w:r>
    </w:p>
    <w:p w:rsidR="00B7214C" w:rsidRDefault="00B7214C" w:rsidP="00B7214C">
      <w:pPr>
        <w:spacing w:before="120" w:after="120"/>
        <w:jc w:val="both"/>
      </w:pPr>
      <w:r>
        <w:br w:type="page"/>
      </w:r>
    </w:p>
    <w:p w:rsidR="00B7214C" w:rsidRPr="00A37731" w:rsidRDefault="00B7214C" w:rsidP="00B7214C">
      <w:pPr>
        <w:pStyle w:val="a"/>
      </w:pPr>
      <w:r w:rsidRPr="00A37731">
        <w:t>LES PRATIQUES CONTEMPORAINES</w:t>
      </w:r>
      <w:r>
        <w:br/>
      </w:r>
      <w:r w:rsidRPr="00A37731">
        <w:t>D'ADOPTION</w:t>
      </w:r>
    </w:p>
    <w:p w:rsidR="00B7214C" w:rsidRDefault="00B7214C" w:rsidP="00B7214C">
      <w:pPr>
        <w:spacing w:before="120" w:after="120"/>
        <w:jc w:val="both"/>
      </w:pPr>
    </w:p>
    <w:p w:rsidR="00B7214C" w:rsidRPr="00A37731" w:rsidRDefault="00B7214C" w:rsidP="00B7214C">
      <w:pPr>
        <w:spacing w:before="120" w:after="120"/>
        <w:jc w:val="both"/>
      </w:pPr>
      <w:r w:rsidRPr="00A37731">
        <w:t>Brièvement, l'adoption au Québec se subdivise en deux grands domaines : l'adoption internationale et l'adoption régulière ou québ</w:t>
      </w:r>
      <w:r w:rsidRPr="00A37731">
        <w:t>é</w:t>
      </w:r>
      <w:r w:rsidRPr="00A37731">
        <w:t>coise. Dans ces deux domaines, la règle pr</w:t>
      </w:r>
      <w:r w:rsidRPr="00A37731">
        <w:t>i</w:t>
      </w:r>
      <w:r w:rsidRPr="00A37731">
        <w:t>mordiale et la valeur de référence pour tous est l'intérêt de l'enfant, entendu comme personne mineure, c'est-à-dire de moins de 18 ans. Toutefois, en pratique, l'int</w:t>
      </w:r>
      <w:r w:rsidRPr="00A37731">
        <w:t>é</w:t>
      </w:r>
      <w:r w:rsidRPr="00A37731">
        <w:t>rêt de l'enfant apparaît subordonné à ceux des institutions étatiques ou des adoptants.</w:t>
      </w:r>
    </w:p>
    <w:p w:rsidR="00B7214C" w:rsidRPr="00A37731" w:rsidRDefault="00B7214C" w:rsidP="00B7214C">
      <w:pPr>
        <w:spacing w:before="120" w:after="120"/>
        <w:jc w:val="both"/>
      </w:pPr>
      <w:r w:rsidRPr="00A37731">
        <w:t>Dans l'adoption québécoise, les instances étatiques contrôlent l'e</w:t>
      </w:r>
      <w:r w:rsidRPr="00A37731">
        <w:t>n</w:t>
      </w:r>
      <w:r w:rsidRPr="00A37731">
        <w:t>semble du processus. Les demandes des adoptants influencent peu les décisions des responsables ; ces adoptants ne sont d'ailleurs ni regro</w:t>
      </w:r>
      <w:r w:rsidRPr="00A37731">
        <w:t>u</w:t>
      </w:r>
      <w:r w:rsidRPr="00A37731">
        <w:t>pés ni mobilisés. De plus, les ado</w:t>
      </w:r>
      <w:r w:rsidRPr="00A37731">
        <w:t>p</w:t>
      </w:r>
      <w:r w:rsidRPr="00A37731">
        <w:t>tions favorisées correspondent aux préoccupations des profe</w:t>
      </w:r>
      <w:r w:rsidRPr="00A37731">
        <w:t>s</w:t>
      </w:r>
      <w:r w:rsidRPr="00A37731">
        <w:t>sionnels des services de la protection de la jeunesse. Elles sont réalisées dans la recherche du meilleur intérêt de l'enfant, mais le découpage par problème et par clientèle auquel elles s'articulent témoigne du fait qu'elles sont au service des inst</w:t>
      </w:r>
      <w:r w:rsidRPr="00A37731">
        <w:t>i</w:t>
      </w:r>
      <w:r w:rsidRPr="00A37731">
        <w:t>tutions pour lesquelles les enfants</w:t>
      </w:r>
      <w:r>
        <w:t xml:space="preserve"> [264] </w:t>
      </w:r>
      <w:r w:rsidRPr="00A37731">
        <w:t>victimes de carences parentales r</w:t>
      </w:r>
      <w:r w:rsidRPr="00A37731">
        <w:t>e</w:t>
      </w:r>
      <w:r w:rsidRPr="00A37731">
        <w:t>présentent une charge très lou</w:t>
      </w:r>
      <w:r w:rsidRPr="00A37731">
        <w:t>r</w:t>
      </w:r>
      <w:r w:rsidRPr="00A37731">
        <w:t>de. Au cours des dernières décennies, les services de protection de la jeunesse préconisaient, presque à tout prix, le maintien du lien pare</w:t>
      </w:r>
      <w:r w:rsidRPr="00A37731">
        <w:t>n</w:t>
      </w:r>
      <w:r w:rsidRPr="00A37731">
        <w:t>tal pour les enfants placés en famille d'accueil. Actuellement, un di</w:t>
      </w:r>
      <w:r w:rsidRPr="00A37731">
        <w:t>s</w:t>
      </w:r>
      <w:r w:rsidRPr="00A37731">
        <w:t>cours inverse se développe. Invoquant le besoin de stabilité de l'enfant placé, on prône plutôt la rupture déf</w:t>
      </w:r>
      <w:r w:rsidRPr="00A37731">
        <w:t>i</w:t>
      </w:r>
      <w:r w:rsidRPr="00A37731">
        <w:t>nitive du lien avec les parents jugés ina</w:t>
      </w:r>
      <w:r w:rsidRPr="00A37731">
        <w:t>p</w:t>
      </w:r>
      <w:r w:rsidRPr="00A37731">
        <w:t>tes, même pour des enfants déjà grands. On s'oriente donc vers une production professionnelle d'abandons légaux d'enfants. Par les adoptions qui s'ensuivent, on v</w:t>
      </w:r>
      <w:r w:rsidRPr="00A37731">
        <w:t>i</w:t>
      </w:r>
      <w:r w:rsidRPr="00A37731">
        <w:t>se, de façon r</w:t>
      </w:r>
      <w:r w:rsidRPr="00A37731">
        <w:t>é</w:t>
      </w:r>
      <w:r w:rsidRPr="00A37731">
        <w:t>aliste, à procurer un accompagnement stable à l'enfant sans chercher à s'enligner sur le modèle familial traditionnel ; d'ai</w:t>
      </w:r>
      <w:r w:rsidRPr="00A37731">
        <w:t>l</w:t>
      </w:r>
      <w:r w:rsidRPr="00A37731">
        <w:t>leurs, les adoptants sont alors séle</w:t>
      </w:r>
      <w:r w:rsidRPr="00A37731">
        <w:t>c</w:t>
      </w:r>
      <w:r w:rsidRPr="00A37731">
        <w:t>tionnés en fonction de leur capacité à s'écarter de ce modèle. À l'adoption québécoise, on tend donc mai</w:t>
      </w:r>
      <w:r w:rsidRPr="00A37731">
        <w:t>n</w:t>
      </w:r>
      <w:r w:rsidRPr="00A37731">
        <w:t>tenant à investir dans les « adoptions tardives », c'est-à-dire d'enfants qui ont été placés pl</w:t>
      </w:r>
      <w:r w:rsidRPr="00A37731">
        <w:t>u</w:t>
      </w:r>
      <w:r w:rsidRPr="00A37731">
        <w:t>sieurs années en famille d'accueil (Vanier et Oxman-Martinez, 1989) et dans les adoptions d'« enfants ayant des besoins spéciaux » (enfants carencés, sidéens, handicapés physiques ou mentaux). On développe aussi, dans certaines régions, des pr</w:t>
      </w:r>
      <w:r w:rsidRPr="00A37731">
        <w:t>o</w:t>
      </w:r>
      <w:r w:rsidRPr="00A37731">
        <w:t>grammes visant à placer chez des adoptants éventuels les enfants que l'on envisage pouvoir rendre ado</w:t>
      </w:r>
      <w:r w:rsidRPr="00A37731">
        <w:t>p</w:t>
      </w:r>
      <w:r w:rsidRPr="00A37731">
        <w:t>tables, à court ou moyen terme, en obtenant le consentement des parents ou e</w:t>
      </w:r>
      <w:r w:rsidRPr="00A37731">
        <w:t>n</w:t>
      </w:r>
      <w:r w:rsidRPr="00A37731">
        <w:t>core une déclaration d'adoptabilité.</w:t>
      </w:r>
    </w:p>
    <w:p w:rsidR="00B7214C" w:rsidRPr="00A37731" w:rsidRDefault="00B7214C" w:rsidP="00B7214C">
      <w:pPr>
        <w:spacing w:before="120" w:after="120"/>
        <w:jc w:val="both"/>
      </w:pPr>
      <w:r w:rsidRPr="00A37731">
        <w:t>Par ailleurs, au Québec comme dans les autres grands pays occ</w:t>
      </w:r>
      <w:r w:rsidRPr="00A37731">
        <w:t>i</w:t>
      </w:r>
      <w:r w:rsidRPr="00A37731">
        <w:t>dentaux, une autre pratique se développe, en marge des services de protection de la jeunesse. Il s'agit de l'adoption d'un enfant par le no</w:t>
      </w:r>
      <w:r w:rsidRPr="00A37731">
        <w:t>u</w:t>
      </w:r>
      <w:r w:rsidRPr="00A37731">
        <w:t>veau conjoint du parent qui en a la ga</w:t>
      </w:r>
      <w:r w:rsidRPr="00A37731">
        <w:t>r</w:t>
      </w:r>
      <w:r w:rsidRPr="00A37731">
        <w:t>de. On autorise donc la rupture légale du lien avec l'autre parent biologique ainsi qu'avec toute la p</w:t>
      </w:r>
      <w:r w:rsidRPr="00A37731">
        <w:t>a</w:t>
      </w:r>
      <w:r w:rsidRPr="00A37731">
        <w:t>renté de ce dernier. Le fait que de telles adoptions soient de plus en plus souvent prononcées par les tribunaux en inquiètent plusieurs. Ces d</w:t>
      </w:r>
      <w:r w:rsidRPr="00A37731">
        <w:t>é</w:t>
      </w:r>
      <w:r w:rsidRPr="00A37731">
        <w:t>cisions reconnaissent la relation des nouveaux conjoints, si précaire soit-elle, plutôt que le caractère permanent du lien de filiation et l'int</w:t>
      </w:r>
      <w:r w:rsidRPr="00A37731">
        <w:t>é</w:t>
      </w:r>
      <w:r w:rsidRPr="00A37731">
        <w:t>rêt de l'enfant. Elles font primer les rapports interpersonnels imm</w:t>
      </w:r>
      <w:r w:rsidRPr="00A37731">
        <w:t>é</w:t>
      </w:r>
      <w:r w:rsidRPr="00A37731">
        <w:t>diats, au détriment du lien identitaire d'origine, lien dont la dimension symbolique est niée ou s</w:t>
      </w:r>
      <w:r w:rsidRPr="00A37731">
        <w:t>e</w:t>
      </w:r>
      <w:r w:rsidRPr="00A37731">
        <w:t>condarisée. Il y a là une « déviation du but de l'institution qui est de permettre à l'enfant qui n'en a pas de trouver une fami</w:t>
      </w:r>
      <w:r w:rsidRPr="00A37731">
        <w:t>l</w:t>
      </w:r>
      <w:r w:rsidRPr="00A37731">
        <w:t>le. » (Pfaehler et Settimo, 1991).</w:t>
      </w:r>
    </w:p>
    <w:p w:rsidR="00B7214C" w:rsidRPr="00A37731" w:rsidRDefault="00B7214C" w:rsidP="00B7214C">
      <w:pPr>
        <w:spacing w:before="120" w:after="120"/>
        <w:jc w:val="both"/>
      </w:pPr>
      <w:r w:rsidRPr="00A37731">
        <w:t>Si l'adoption est une institution de droit privé, c'est aussi une que</w:t>
      </w:r>
      <w:r w:rsidRPr="00A37731">
        <w:t>s</w:t>
      </w:r>
      <w:r w:rsidRPr="00A37731">
        <w:t>tion d'ordre public engageant la responsabilité de l'État, protecteur de l'enfant et gardien des limites que l'ordre juridique impose aux désirs des individus. Les intervenants étatiques et les adoptants se trouvent ainsi toujours potentie</w:t>
      </w:r>
      <w:r w:rsidRPr="00A37731">
        <w:t>l</w:t>
      </w:r>
      <w:r w:rsidRPr="00A37731">
        <w:t>lement en conflit. Cela apparaît plus clairement au niveau de l'adoption internationale, car des groupes y sont mobil</w:t>
      </w:r>
      <w:r w:rsidRPr="00A37731">
        <w:t>i</w:t>
      </w:r>
      <w:r w:rsidRPr="00A37731">
        <w:t>sés pour promouvoir l'entraide et défendre les intérêts des ado</w:t>
      </w:r>
      <w:r w:rsidRPr="00A37731">
        <w:t>p</w:t>
      </w:r>
      <w:r w:rsidRPr="00A37731">
        <w:t>tants. L'adoption étant une pratique de droit privé, ces associations d'ado</w:t>
      </w:r>
      <w:r w:rsidRPr="00A37731">
        <w:t>p</w:t>
      </w:r>
      <w:r w:rsidRPr="00A37731">
        <w:t>tion internationale contestent certaines formes d'interposition de l'État québécois dans les adoptions</w:t>
      </w:r>
      <w:r>
        <w:t xml:space="preserve"> [265] </w:t>
      </w:r>
      <w:r w:rsidRPr="00A37731">
        <w:t>à l'étranger. Elles revendiquent non seulement un asso</w:t>
      </w:r>
      <w:r w:rsidRPr="00A37731">
        <w:t>u</w:t>
      </w:r>
      <w:r w:rsidRPr="00A37731">
        <w:t>plissement des normes et des contrôles, mais également des mesures encour</w:t>
      </w:r>
      <w:r w:rsidRPr="00A37731">
        <w:t>a</w:t>
      </w:r>
      <w:r w:rsidRPr="00A37731">
        <w:t>geant l'adoption internationale. Suite à de très fortes pressions de leur part, la nouvelle loi québécoise sur l'adoption internationale autorise, depuis septembre 1990, l'adoption par contact privé à l'étranger. Cette loi a aussi permis la privatisation de la tâche professionnelle d'évaluation des projets d'adoption qu'i</w:t>
      </w:r>
      <w:r w:rsidRPr="00A37731">
        <w:t>m</w:t>
      </w:r>
      <w:r w:rsidRPr="00A37731">
        <w:t xml:space="preserve">pose la </w:t>
      </w:r>
      <w:r w:rsidRPr="00C94C96">
        <w:rPr>
          <w:i/>
          <w:iCs/>
        </w:rPr>
        <w:t>Loi sur la protection de la jeunesse,</w:t>
      </w:r>
      <w:r w:rsidRPr="00A37731">
        <w:t xml:space="preserve"> ce qui accélère le proce</w:t>
      </w:r>
      <w:r w:rsidRPr="00A37731">
        <w:t>s</w:t>
      </w:r>
      <w:r w:rsidRPr="00A37731">
        <w:t>sus d'adoption mais retire aux serv</w:t>
      </w:r>
      <w:r w:rsidRPr="00A37731">
        <w:t>i</w:t>
      </w:r>
      <w:r w:rsidRPr="00A37731">
        <w:t>ces sociaux de protection de la jeunesse la responsabilité d'un bon pourcentage des adoptions intern</w:t>
      </w:r>
      <w:r w:rsidRPr="00A37731">
        <w:t>a</w:t>
      </w:r>
      <w:r w:rsidRPr="00A37731">
        <w:t>tionales. Cette loi a aussi favorisé la mise sur pied de nombreux org</w:t>
      </w:r>
      <w:r w:rsidRPr="00A37731">
        <w:t>a</w:t>
      </w:r>
      <w:r w:rsidRPr="00A37731">
        <w:t>nismes privés qui ont réussi à « ouvrir » de nouveaux pays à l'ado</w:t>
      </w:r>
      <w:r w:rsidRPr="00A37731">
        <w:t>p</w:t>
      </w:r>
      <w:r w:rsidRPr="00A37731">
        <w:t>tion.</w:t>
      </w:r>
    </w:p>
    <w:p w:rsidR="00B7214C" w:rsidRDefault="00B7214C" w:rsidP="00B7214C">
      <w:pPr>
        <w:spacing w:before="120" w:after="120"/>
        <w:jc w:val="both"/>
      </w:pPr>
    </w:p>
    <w:p w:rsidR="00B7214C" w:rsidRPr="00A37731" w:rsidRDefault="00B7214C" w:rsidP="00B7214C">
      <w:pPr>
        <w:pStyle w:val="a"/>
      </w:pPr>
      <w:r w:rsidRPr="00A37731">
        <w:t>DU BON ET</w:t>
      </w:r>
      <w:r>
        <w:t xml:space="preserve"> DU JUSTE</w:t>
      </w:r>
      <w:r>
        <w:br/>
      </w:r>
      <w:r w:rsidRPr="00A37731">
        <w:t>EN MATIÈRE D'ADOPTION</w:t>
      </w:r>
    </w:p>
    <w:p w:rsidR="00B7214C" w:rsidRDefault="00B7214C" w:rsidP="00B7214C">
      <w:pPr>
        <w:spacing w:before="120" w:after="120"/>
        <w:jc w:val="both"/>
      </w:pPr>
    </w:p>
    <w:p w:rsidR="00B7214C" w:rsidRPr="00A37731" w:rsidRDefault="00B7214C" w:rsidP="00B7214C">
      <w:pPr>
        <w:spacing w:before="120" w:after="120"/>
        <w:jc w:val="both"/>
      </w:pPr>
      <w:r w:rsidRPr="00A37731">
        <w:t>Ensemble, ces différentes formes d'adoption représentent une transformation qualitative, structurelle, de la circulation des enfants. De nouvelles conceptions et de nouveaux intérêts structurent les prat</w:t>
      </w:r>
      <w:r w:rsidRPr="00A37731">
        <w:t>i</w:t>
      </w:r>
      <w:r w:rsidRPr="00A37731">
        <w:t>ques. Cependant, le débat reste ouvert sur ce qui fonde leur légitimité.</w:t>
      </w:r>
    </w:p>
    <w:p w:rsidR="00B7214C" w:rsidRPr="00A37731" w:rsidRDefault="00B7214C" w:rsidP="00B7214C">
      <w:pPr>
        <w:spacing w:before="120" w:after="120"/>
        <w:jc w:val="both"/>
      </w:pPr>
      <w:r w:rsidRPr="00A37731">
        <w:t>L'intérêt de l'enfant et le respect de ses droits justifient l'a</w:t>
      </w:r>
      <w:r w:rsidRPr="00A37731">
        <w:t>c</w:t>
      </w:r>
      <w:r w:rsidRPr="00A37731">
        <w:t>tion des représentants de l'État chargés d'évaluer les pr</w:t>
      </w:r>
      <w:r w:rsidRPr="00A37731">
        <w:t>o</w:t>
      </w:r>
      <w:r w:rsidRPr="00A37731">
        <w:t>jets d'adoption et de juger des cas particuliers. Les autres principaux agents intéressés à la question se fondent aussi très majoritairement sur des principes rel</w:t>
      </w:r>
      <w:r w:rsidRPr="00A37731">
        <w:t>e</w:t>
      </w:r>
      <w:r w:rsidRPr="00A37731">
        <w:t>vant du monde civique, et non de l'univers de la tradition et du monde domestique : l'égalité de droit des personnes individuelles, l'intérêt de l'e</w:t>
      </w:r>
      <w:r w:rsidRPr="00A37731">
        <w:t>n</w:t>
      </w:r>
      <w:r w:rsidRPr="00A37731">
        <w:t>fant en tant que personne mineure, les droits des enfants en tant que minorité sociale. En travail social, les justifications coutumières de l'adoption (la transmission du nom et des biens, la consolidation d'un mariage stérile, l'assurance d'un soutien dans l'avenir, la confi</w:t>
      </w:r>
      <w:r w:rsidRPr="00A37731">
        <w:t>r</w:t>
      </w:r>
      <w:r w:rsidRPr="00A37731">
        <w:t>mation de l'identité de genre, etc.) peuvent même constituer des crit</w:t>
      </w:r>
      <w:r w:rsidRPr="00A37731">
        <w:t>è</w:t>
      </w:r>
      <w:r w:rsidRPr="00A37731">
        <w:t>res de disqualification de la demande présentée par un couple pui</w:t>
      </w:r>
      <w:r w:rsidRPr="00A37731">
        <w:t>s</w:t>
      </w:r>
      <w:r w:rsidRPr="00A37731">
        <w:t>qu'elles correspondent aux intérêts des adoptants et non à celui de l'e</w:t>
      </w:r>
      <w:r w:rsidRPr="00A37731">
        <w:t>n</w:t>
      </w:r>
      <w:r w:rsidRPr="00A37731">
        <w:t>fant (ACSSQ, 1985).</w:t>
      </w:r>
    </w:p>
    <w:p w:rsidR="00B7214C" w:rsidRDefault="00B7214C" w:rsidP="00B7214C">
      <w:pPr>
        <w:spacing w:before="120" w:after="120"/>
        <w:jc w:val="both"/>
      </w:pPr>
      <w:r w:rsidRPr="00A37731">
        <w:t>L'accord sur le fait d'exclure ainsi tout autre intérêt que c</w:t>
      </w:r>
      <w:r w:rsidRPr="00A37731">
        <w:t>e</w:t>
      </w:r>
      <w:r w:rsidRPr="00A37731">
        <w:t>lui de l'enfant n'est cependant pas unanime. Ainsi, dans l'adoption intern</w:t>
      </w:r>
      <w:r w:rsidRPr="00A37731">
        <w:t>a</w:t>
      </w:r>
      <w:r w:rsidRPr="00A37731">
        <w:t>tionale, où le débat quant à ce qui est bon et juste en matière d'ado</w:t>
      </w:r>
      <w:r w:rsidRPr="00A37731">
        <w:t>p</w:t>
      </w:r>
      <w:r w:rsidRPr="00A37731">
        <w:t>tion est ouvert à un plus large spectre d'intérêts et à une plus grande diversité de personnes, d'autres valeurs et principes - d'autres «</w:t>
      </w:r>
      <w:r>
        <w:t> grandeurs » (Boltanski et Thé</w:t>
      </w:r>
      <w:r w:rsidRPr="00A37731">
        <w:t>venot, 1991) - sont aussi mis de l'avant. Ainsi, les associations d'adoptants proposent d'autres formes de justifications légitimant les comportements expressifs et les mot</w:t>
      </w:r>
      <w:r w:rsidRPr="00A37731">
        <w:t>i</w:t>
      </w:r>
      <w:r w:rsidRPr="00A37731">
        <w:t>vations qui les disqualifient auprès des agents prônant les valeurs de droits et d'égalité du monde civique.</w:t>
      </w:r>
    </w:p>
    <w:p w:rsidR="00B7214C" w:rsidRPr="00A37731" w:rsidRDefault="00B7214C" w:rsidP="00B7214C">
      <w:pPr>
        <w:spacing w:before="120" w:after="120"/>
        <w:jc w:val="both"/>
      </w:pPr>
      <w:r w:rsidRPr="00A37731">
        <w:br w:type="page"/>
      </w:r>
      <w:r>
        <w:t>[266]</w:t>
      </w:r>
    </w:p>
    <w:p w:rsidR="00B7214C" w:rsidRPr="00A37731" w:rsidRDefault="00B7214C" w:rsidP="00B7214C">
      <w:pPr>
        <w:spacing w:before="120" w:after="120"/>
        <w:jc w:val="both"/>
      </w:pPr>
      <w:r w:rsidRPr="00A37731">
        <w:t>Pour plusieurs partisans de l'adoption internationale, aucune appa</w:t>
      </w:r>
      <w:r w:rsidRPr="00A37731">
        <w:t>r</w:t>
      </w:r>
      <w:r w:rsidRPr="00A37731">
        <w:t>tenance de l'enfant, qu'elle soit familiale, culturelle ou nationale, ne devrait faire obstacle à la création d'une rel</w:t>
      </w:r>
      <w:r w:rsidRPr="00A37731">
        <w:t>a</w:t>
      </w:r>
      <w:r w:rsidRPr="00A37731">
        <w:t>tion adoptive lui apportant affection, confort, sécurité et de meilleures chances dans la vie. Les enfants, disent-ils, n'a</w:t>
      </w:r>
      <w:r w:rsidRPr="00A37731">
        <w:t>p</w:t>
      </w:r>
      <w:r w:rsidRPr="00A37731">
        <w:t>partiennent à personne ni à leur famille ni à leur pays ni à l'État. Ils sont les « enfants de la planète ». Du point de vue des individus, l'amour est posé comme valeur centrale : le d</w:t>
      </w:r>
      <w:r w:rsidRPr="00A37731">
        <w:t>é</w:t>
      </w:r>
      <w:r w:rsidRPr="00A37731">
        <w:t>sir d'aimer de l'adoptant et le besoin d'être aimé de tout enfant légitiment, à la limite, les procédés les plus divers pour obtenir un enfant en ado</w:t>
      </w:r>
      <w:r w:rsidRPr="00A37731">
        <w:t>p</w:t>
      </w:r>
      <w:r w:rsidRPr="00A37731">
        <w:t>tion. D'un point de vue plus collectif, les principes mis de l'avant sont ceux de la fraternité universelle ou de la solidarité internationale avec les enfants en tant que minorité victime de la pauvreté, des guerres et de la néglige</w:t>
      </w:r>
      <w:r w:rsidRPr="00A37731">
        <w:t>n</w:t>
      </w:r>
      <w:r w:rsidRPr="00A37731">
        <w:t>ce des plus grands et des plus puissants.</w:t>
      </w:r>
    </w:p>
    <w:p w:rsidR="00B7214C" w:rsidRPr="00A37731" w:rsidRDefault="00B7214C" w:rsidP="00B7214C">
      <w:pPr>
        <w:spacing w:before="120" w:after="120"/>
        <w:jc w:val="both"/>
      </w:pPr>
      <w:r w:rsidRPr="00A37731">
        <w:t>La prise en compte exclusive de l'intérêt et des droits de l'enfant est aussi remise en question, au nom du désir naturel de fonder une fami</w:t>
      </w:r>
      <w:r w:rsidRPr="00A37731">
        <w:t>l</w:t>
      </w:r>
      <w:r w:rsidRPr="00A37731">
        <w:t>le et d'avoir ainsi accès à la paternité et à la maternité. Cependant, la valeur « famille » n'est pas définie comme relevant du monde dome</w:t>
      </w:r>
      <w:r w:rsidRPr="00A37731">
        <w:t>s</w:t>
      </w:r>
      <w:r w:rsidRPr="00A37731">
        <w:t>tique ou de la tradition. Elle est définie comme relevant du domaine de l'affectivité, de la réalisation personnelle et de l'expressivité. Elle donne encore lieu à la promotion des intérêts du monde civique, n</w:t>
      </w:r>
      <w:r w:rsidRPr="00A37731">
        <w:t>o</w:t>
      </w:r>
      <w:r w:rsidRPr="00A37731">
        <w:t>tamment à celle de particularismes de genre, d'orientation sexuelle, de statut civil. En vertu de la Charte des droits et libertés de la personne, certains revendiquent des services étatiques d'adoption rapides et eff</w:t>
      </w:r>
      <w:r w:rsidRPr="00A37731">
        <w:t>i</w:t>
      </w:r>
      <w:r w:rsidRPr="00A37731">
        <w:t>caces pour toute personne qui en fait la d</w:t>
      </w:r>
      <w:r w:rsidRPr="00A37731">
        <w:t>e</w:t>
      </w:r>
      <w:r w:rsidRPr="00A37731">
        <w:t>mande, qu'elle vive seule ou en couple, qu'elle soit hétér</w:t>
      </w:r>
      <w:r w:rsidRPr="00A37731">
        <w:t>o</w:t>
      </w:r>
      <w:r w:rsidRPr="00A37731">
        <w:t>sexuelle ou homosexuelle. La constitution d'une famille est définie comme une question étrangère à une organ</w:t>
      </w:r>
      <w:r w:rsidRPr="00A37731">
        <w:t>i</w:t>
      </w:r>
      <w:r w:rsidRPr="00A37731">
        <w:t>sation j</w:t>
      </w:r>
      <w:r w:rsidRPr="00A37731">
        <w:t>u</w:t>
      </w:r>
      <w:r w:rsidRPr="00A37731">
        <w:t>ridique de la filiation fondée sur la différenciation des sexes et la reproduction sexuée. L'accès au statut de parent sans engendr</w:t>
      </w:r>
      <w:r w:rsidRPr="00A37731">
        <w:t>e</w:t>
      </w:r>
      <w:r w:rsidRPr="00A37731">
        <w:t>ment, par adoption, tend d'ailleurs à être réinterprété comme un dépa</w:t>
      </w:r>
      <w:r w:rsidRPr="00A37731">
        <w:t>s</w:t>
      </w:r>
      <w:r w:rsidRPr="00A37731">
        <w:t>sement des contraintes de la biologie. La métaphore de l'accouch</w:t>
      </w:r>
      <w:r w:rsidRPr="00A37731">
        <w:t>e</w:t>
      </w:r>
      <w:r w:rsidRPr="00A37731">
        <w:t>ment se transforme. Des couples disent avoir vécu « un accouchement à deux ». Des femmes disent avoir vécu avec leur conjoint l'expérie</w:t>
      </w:r>
      <w:r w:rsidRPr="00A37731">
        <w:t>n</w:t>
      </w:r>
      <w:r w:rsidRPr="00A37731">
        <w:t>ce de la paternité.</w:t>
      </w:r>
    </w:p>
    <w:p w:rsidR="00B7214C" w:rsidRDefault="00B7214C" w:rsidP="00B7214C">
      <w:pPr>
        <w:spacing w:before="120" w:after="120"/>
        <w:jc w:val="both"/>
      </w:pPr>
      <w:r w:rsidRPr="00A37731">
        <w:t>Les discours de promotion de l'adoption internationale ne se ce</w:t>
      </w:r>
      <w:r w:rsidRPr="00A37731">
        <w:t>n</w:t>
      </w:r>
      <w:r w:rsidRPr="00A37731">
        <w:t>trent pas sur l'opposition traditionnelle entre parenté adoptive et p</w:t>
      </w:r>
      <w:r w:rsidRPr="00A37731">
        <w:t>a</w:t>
      </w:r>
      <w:r w:rsidRPr="00A37731">
        <w:t>renté biologique. L'adoption internationale est plutôt présentée comme l'expression d'une authentique ouverture à d'autres différences : la di</w:t>
      </w:r>
      <w:r w:rsidRPr="00A37731">
        <w:t>f</w:t>
      </w:r>
      <w:r w:rsidRPr="00A37731">
        <w:t>férence ethnique et la dive</w:t>
      </w:r>
      <w:r w:rsidRPr="00A37731">
        <w:t>r</w:t>
      </w:r>
      <w:r w:rsidRPr="00A37731">
        <w:t>sité des cultures. C'est la matérialisation visible de valeurs de tolérance développées individuellement dans le cadre d'exp</w:t>
      </w:r>
      <w:r w:rsidRPr="00A37731">
        <w:t>é</w:t>
      </w:r>
      <w:r w:rsidRPr="00A37731">
        <w:t>riences de travail ou de voyages dans le tiers monde. C'est l'expression d'un refus du conformisme. C'est aussi la d</w:t>
      </w:r>
      <w:r w:rsidRPr="00A37731">
        <w:t>é</w:t>
      </w:r>
      <w:r w:rsidRPr="00A37731">
        <w:t>monstration de ce que des personnes motivées et débrouilla</w:t>
      </w:r>
      <w:r w:rsidRPr="00A37731">
        <w:t>r</w:t>
      </w:r>
      <w:r w:rsidRPr="00A37731">
        <w:t>des peuvent accomplir seules malgré les obstacles inhumains posés par les bureaucraties et malgré les ingérences de l'État.</w:t>
      </w:r>
    </w:p>
    <w:p w:rsidR="00B7214C" w:rsidRPr="00A37731" w:rsidRDefault="00B7214C" w:rsidP="00B7214C">
      <w:pPr>
        <w:spacing w:before="120" w:after="120"/>
        <w:jc w:val="both"/>
      </w:pPr>
      <w:r>
        <w:t>[267]</w:t>
      </w:r>
    </w:p>
    <w:p w:rsidR="00B7214C" w:rsidRPr="00A37731" w:rsidRDefault="00B7214C" w:rsidP="00B7214C">
      <w:pPr>
        <w:spacing w:before="120" w:after="120"/>
        <w:jc w:val="both"/>
      </w:pPr>
      <w:r w:rsidRPr="00A37731">
        <w:t>Les principes de solidarité internationale et d'altruisme, les valeurs familiales, d'autonomie personnelle, d'affectivité et de réalisation de soi sont des valeurs collectives reconnues positivement dans les soci</w:t>
      </w:r>
      <w:r w:rsidRPr="00A37731">
        <w:t>é</w:t>
      </w:r>
      <w:r w:rsidRPr="00A37731">
        <w:t>tés modernes. Toutefois, quand il s'agit de se positionner dans un d</w:t>
      </w:r>
      <w:r w:rsidRPr="00A37731">
        <w:t>é</w:t>
      </w:r>
      <w:r w:rsidRPr="00A37731">
        <w:t>bat sur ce qui est bon et juste en adoption, elles ont une très faible l</w:t>
      </w:r>
      <w:r w:rsidRPr="00A37731">
        <w:t>é</w:t>
      </w:r>
      <w:r w:rsidRPr="00A37731">
        <w:t>gitimité. D'une part, elles s'inscrivent en dehors de la logique dom</w:t>
      </w:r>
      <w:r w:rsidRPr="00A37731">
        <w:t>i</w:t>
      </w:r>
      <w:r w:rsidRPr="00A37731">
        <w:t>nante de défense des droits individuels et elles entrent souvent en conflit avec les droits et intérêt de l'enfant. D'autre part, elles sont pe</w:t>
      </w:r>
      <w:r w:rsidRPr="00A37731">
        <w:t>r</w:t>
      </w:r>
      <w:r w:rsidRPr="00A37731">
        <w:t>çues comme courant un risque élevé d'être contaminées par les i</w:t>
      </w:r>
      <w:r w:rsidRPr="00A37731">
        <w:t>n</w:t>
      </w:r>
      <w:r w:rsidRPr="00A37731">
        <w:t>térêts et la logique du monde marchand.</w:t>
      </w:r>
    </w:p>
    <w:p w:rsidR="00B7214C" w:rsidRPr="00A37731" w:rsidRDefault="00B7214C" w:rsidP="00B7214C">
      <w:pPr>
        <w:spacing w:before="120" w:after="120"/>
        <w:jc w:val="both"/>
      </w:pPr>
      <w:r w:rsidRPr="00A37731">
        <w:t>En effet, la hantise la plus grande en matière d'adoption, comme en ce qui concerne les nouvelles techniques de reproduction, est que l'e</w:t>
      </w:r>
      <w:r w:rsidRPr="00A37731">
        <w:t>n</w:t>
      </w:r>
      <w:r w:rsidRPr="00A37731">
        <w:t>fant soit réduit au rang d'objet et traité comme une marchandise. Il est vrai que des enfants sont l'objet de transactions monétaires qui proc</w:t>
      </w:r>
      <w:r w:rsidRPr="00A37731">
        <w:t>u</w:t>
      </w:r>
      <w:r w:rsidRPr="00A37731">
        <w:t>rent des profits impo</w:t>
      </w:r>
      <w:r w:rsidRPr="00A37731">
        <w:t>r</w:t>
      </w:r>
      <w:r w:rsidRPr="00A37731">
        <w:t>tants à différents intermédiaires, même lorsque les adoptants ont procédé avec les meilleures intentions du monde. Les po</w:t>
      </w:r>
      <w:r w:rsidRPr="00A37731">
        <w:t>s</w:t>
      </w:r>
      <w:r w:rsidRPr="00A37731">
        <w:t>tulants à l'adoption sont donc toujours frappés de soupçon. Us sont des acheteurs potentiels sur un marché illégitime d'e</w:t>
      </w:r>
      <w:r w:rsidRPr="00A37731">
        <w:t>n</w:t>
      </w:r>
      <w:r w:rsidRPr="00A37731">
        <w:t>fants.</w:t>
      </w:r>
    </w:p>
    <w:p w:rsidR="00B7214C" w:rsidRPr="00A37731" w:rsidRDefault="00B7214C" w:rsidP="00B7214C">
      <w:pPr>
        <w:spacing w:before="120" w:after="120"/>
        <w:jc w:val="both"/>
      </w:pPr>
      <w:r w:rsidRPr="00A37731">
        <w:t>Cette hantise du trafic d'enfants ne dérive pas uniquement des pr</w:t>
      </w:r>
      <w:r w:rsidRPr="00A37731">
        <w:t>a</w:t>
      </w:r>
      <w:r w:rsidRPr="00A37731">
        <w:t>tiques frauduleuses qui ont réellement cours. Elle peut aussi être attr</w:t>
      </w:r>
      <w:r w:rsidRPr="00A37731">
        <w:t>i</w:t>
      </w:r>
      <w:r w:rsidRPr="00A37731">
        <w:t>buée au fait que, comme je l'ai déjà mentionné, culturellement, la s</w:t>
      </w:r>
      <w:r w:rsidRPr="00A37731">
        <w:t>o</w:t>
      </w:r>
      <w:r w:rsidRPr="00A37731">
        <w:t>ciété québécoise ne reconnaîtrait pas le don d'enfant, c'est-à-dire sa remise volontaire par ses parents à un partenaire quelconque. En effet, l'adoption perd toute lég</w:t>
      </w:r>
      <w:r w:rsidRPr="00A37731">
        <w:t>i</w:t>
      </w:r>
      <w:r w:rsidRPr="00A37731">
        <w:t>timité dès qu'elle se présente comme une transaction dont l'enfant fait l'objet. Or, rares sont les enfants sans a</w:t>
      </w:r>
      <w:r w:rsidRPr="00A37731">
        <w:t>u</w:t>
      </w:r>
      <w:r w:rsidRPr="00A37731">
        <w:t>cune filiation établie ou qui ont été légalement abandonnés avant m</w:t>
      </w:r>
      <w:r w:rsidRPr="00A37731">
        <w:t>ê</w:t>
      </w:r>
      <w:r w:rsidRPr="00A37731">
        <w:t>me qu'on envisage pour eux une adoption. Il faut donc d'abord prov</w:t>
      </w:r>
      <w:r w:rsidRPr="00A37731">
        <w:t>o</w:t>
      </w:r>
      <w:r w:rsidRPr="00A37731">
        <w:t>quer ou faire confirmer leur abandon. À l'adoption i</w:t>
      </w:r>
      <w:r w:rsidRPr="00A37731">
        <w:t>n</w:t>
      </w:r>
      <w:r w:rsidRPr="00A37731">
        <w:t>ternationale, il faut aussi rompre leurs liens d'appartenance à la communauté locale et au pays. Cette rupture de liens, pr</w:t>
      </w:r>
      <w:r w:rsidRPr="00A37731">
        <w:t>o</w:t>
      </w:r>
      <w:r w:rsidRPr="00A37731">
        <w:t>voquée en vue de l'adoption, consiste à libérer l'enfant de toute attache pour le mettre transitoir</w:t>
      </w:r>
      <w:r w:rsidRPr="00A37731">
        <w:t>e</w:t>
      </w:r>
      <w:r w:rsidRPr="00A37731">
        <w:t>ment en circulation avant qu'il puisse être confié à de nouveaux p</w:t>
      </w:r>
      <w:r w:rsidRPr="00A37731">
        <w:t>a</w:t>
      </w:r>
      <w:r w:rsidRPr="00A37731">
        <w:t>rents. C'est créer to</w:t>
      </w:r>
      <w:r w:rsidRPr="00A37731">
        <w:t>u</w:t>
      </w:r>
      <w:r w:rsidRPr="00A37731">
        <w:t>tes les conditions nécessaires à un échange, dans un contexte où la forme marchande de l'échange tend à envahir toutes les sphères de la vie sociale. Cette opération inévitable d'object</w:t>
      </w:r>
      <w:r w:rsidRPr="00A37731">
        <w:t>i</w:t>
      </w:r>
      <w:r w:rsidRPr="00A37731">
        <w:t>vation de l'enfant reste généralement dans le non-dit et on évite de voir qu'e</w:t>
      </w:r>
      <w:r w:rsidRPr="00A37731">
        <w:t>l</w:t>
      </w:r>
      <w:r w:rsidRPr="00A37731">
        <w:t>le se produit nécessairement, même en l'abse</w:t>
      </w:r>
      <w:r w:rsidRPr="00A37731">
        <w:t>n</w:t>
      </w:r>
      <w:r w:rsidRPr="00A37731">
        <w:t>ce de trafic d'enfants, même quand l'adoption est complètement contrôlée par les interv</w:t>
      </w:r>
      <w:r w:rsidRPr="00A37731">
        <w:t>e</w:t>
      </w:r>
      <w:r w:rsidRPr="00A37731">
        <w:t>nants des services de protection de la jeunesse.</w:t>
      </w:r>
    </w:p>
    <w:p w:rsidR="00B7214C" w:rsidRPr="00A37731" w:rsidRDefault="00B7214C" w:rsidP="00B7214C">
      <w:pPr>
        <w:spacing w:before="120" w:after="120"/>
        <w:jc w:val="both"/>
      </w:pPr>
      <w:r w:rsidRPr="00A37731">
        <w:t>Les différentes parties à l'adoption développent différentes strat</w:t>
      </w:r>
      <w:r w:rsidRPr="00A37731">
        <w:t>é</w:t>
      </w:r>
      <w:r w:rsidRPr="00A37731">
        <w:t>gies qui allègent le malaise ressenti face au transfert qui s'opère. Ai</w:t>
      </w:r>
      <w:r w:rsidRPr="00A37731">
        <w:t>n</w:t>
      </w:r>
      <w:r w:rsidRPr="00A37731">
        <w:t>si, les services d'adoption reportent en partie sur d'autres la respons</w:t>
      </w:r>
      <w:r w:rsidRPr="00A37731">
        <w:t>a</w:t>
      </w:r>
      <w:r w:rsidRPr="00A37731">
        <w:t>bilité des décisions. Par exemple, on séc</w:t>
      </w:r>
      <w:r w:rsidRPr="00A37731">
        <w:t>u</w:t>
      </w:r>
      <w:r w:rsidRPr="00A37731">
        <w:t>risera une mère hésitante à confier son</w:t>
      </w:r>
      <w:r>
        <w:t xml:space="preserve"> [268] </w:t>
      </w:r>
      <w:r w:rsidRPr="00A37731">
        <w:t>enfant en adoption en l'invitant à choisir d'abord e</w:t>
      </w:r>
      <w:r w:rsidRPr="00A37731">
        <w:t>l</w:t>
      </w:r>
      <w:r w:rsidRPr="00A37731">
        <w:t>le-même les parents adoptifs à partir de profils d'adoptants, de phot</w:t>
      </w:r>
      <w:r w:rsidRPr="00A37731">
        <w:t>o</w:t>
      </w:r>
      <w:r w:rsidRPr="00A37731">
        <w:t>graphies, d'une rencontre organisée avec le couple. On privilégie aussi la méthode de l'autoévaluation dans l'étude des projets d'adoption : les postulants, au terme de la déma</w:t>
      </w:r>
      <w:r w:rsidRPr="00A37731">
        <w:t>r</w:t>
      </w:r>
      <w:r w:rsidRPr="00A37731">
        <w:t>che d'évaluation, décideront eux-mêmes s'ils sont prêts ou non à vivre l'adoption.</w:t>
      </w:r>
    </w:p>
    <w:p w:rsidR="00B7214C" w:rsidRDefault="00B7214C" w:rsidP="00B7214C">
      <w:pPr>
        <w:spacing w:before="120" w:after="120"/>
        <w:jc w:val="both"/>
      </w:pPr>
      <w:r w:rsidRPr="00A37731">
        <w:t>Du côté des adoptants, l'oubli est probablement la stratégie la plus solidement ancrée : l'oubli de la mère de naissance, l'oubli des facteurs économiques et politiques qui causent les abandons d'enfants, l'oubli des inégalités entre preneurs et donneurs d'enfants, etc. Cet oubli pa</w:t>
      </w:r>
      <w:r w:rsidRPr="00A37731">
        <w:t>s</w:t>
      </w:r>
      <w:r w:rsidRPr="00A37731">
        <w:t>se, non par l'occultation de ces réalités, mais par la production d'im</w:t>
      </w:r>
      <w:r w:rsidRPr="00A37731">
        <w:t>a</w:t>
      </w:r>
      <w:r w:rsidRPr="00A37731">
        <w:t>ges stéréotypées : la mère pauvre qui aime ses enfants mais ne peut les nourrir et les envoyer à l'école. Le pays corrompu qui laisse tuer les jeunes enfants dans les rues transformées en égouts. On se souviendra cependant de la richesse culturelle du pays, de ses habitudes alime</w:t>
      </w:r>
      <w:r w:rsidRPr="00A37731">
        <w:t>n</w:t>
      </w:r>
      <w:r w:rsidRPr="00A37731">
        <w:t>taires et de la sonorité de sa langue. Tran</w:t>
      </w:r>
      <w:r w:rsidRPr="00A37731">
        <w:t>s</w:t>
      </w:r>
      <w:r w:rsidRPr="00A37731">
        <w:t>mettre le goût de tout cela à l'enfant devient une forme de r</w:t>
      </w:r>
      <w:r w:rsidRPr="00A37731">
        <w:t>é</w:t>
      </w:r>
      <w:r w:rsidRPr="00A37731">
        <w:t>paration.</w:t>
      </w:r>
    </w:p>
    <w:p w:rsidR="00B7214C" w:rsidRPr="00A37731" w:rsidRDefault="00B7214C" w:rsidP="00B7214C">
      <w:pPr>
        <w:spacing w:before="120" w:after="120"/>
        <w:jc w:val="both"/>
      </w:pPr>
      <w:r>
        <w:br w:type="page"/>
      </w:r>
    </w:p>
    <w:p w:rsidR="00B7214C" w:rsidRPr="00A37731" w:rsidRDefault="00B7214C" w:rsidP="00B7214C">
      <w:pPr>
        <w:pStyle w:val="a"/>
      </w:pPr>
      <w:r w:rsidRPr="00C94C96">
        <w:t>CONCLUSION</w:t>
      </w:r>
    </w:p>
    <w:p w:rsidR="00B7214C" w:rsidRDefault="00B7214C" w:rsidP="00B7214C">
      <w:pPr>
        <w:spacing w:before="120" w:after="120"/>
        <w:jc w:val="both"/>
      </w:pPr>
    </w:p>
    <w:p w:rsidR="00B7214C" w:rsidRPr="00A37731" w:rsidRDefault="00B7214C" w:rsidP="00B7214C">
      <w:pPr>
        <w:spacing w:before="120" w:after="120"/>
        <w:jc w:val="both"/>
      </w:pPr>
      <w:r w:rsidRPr="00A37731">
        <w:t>Selon les conceptions occidentales de la parenté qui val</w:t>
      </w:r>
      <w:r w:rsidRPr="00A37731">
        <w:t>o</w:t>
      </w:r>
      <w:r w:rsidRPr="00A37731">
        <w:t>risent les liens de consanguinité, l'adoption est une filiation marginale. Dans le contexte actuel, une inversion s'amorce cependant. Comme j'ai essayé de le montrer brièvement ici, les adoptions contemporaines ne sont plus qu'accessoirement au service de la lignée et de la relance des g</w:t>
      </w:r>
      <w:r w:rsidRPr="00A37731">
        <w:t>é</w:t>
      </w:r>
      <w:r w:rsidRPr="00A37731">
        <w:t>nérations. Elles sont faites dans l'intérêt de la personne mineure et au service des adultes qui adoptent ou des institutions. Ainsi, la famille adoptive prend presque figure de modèle contemporain des relations familiales, dans un contexte où la filiation en général est de plus en plus réduite au seul lien parent-enfant, étant définie comme une pr</w:t>
      </w:r>
      <w:r w:rsidRPr="00A37731">
        <w:t>o</w:t>
      </w:r>
      <w:r w:rsidRPr="00A37731">
        <w:t>blématique de droits individuels et comme une construction libre des acteurs. La reconnaissance récente de l'adopté comme membre à part entière d'une pare</w:t>
      </w:r>
      <w:r w:rsidRPr="00A37731">
        <w:t>n</w:t>
      </w:r>
      <w:r w:rsidRPr="00A37731">
        <w:t>té ayant les mêmes droits à succéder que l'enfant biologique est d'ailleurs survenue au moment où elle devenait de peu de conséquences puisque les familles n'ont plus autant qu'avant de biens à préserver et à transmettre, et que les modes de vie familiaux sont marqués par une centration sur le noyau p</w:t>
      </w:r>
      <w:r w:rsidRPr="00A37731">
        <w:t>a</w:t>
      </w:r>
      <w:r>
        <w:t>rent(s)-</w:t>
      </w:r>
      <w:r w:rsidRPr="00A37731">
        <w:t>enfant et un certain relâchement des autres liens de parenté (Castelli, 1990,</w:t>
      </w:r>
      <w:r>
        <w:t xml:space="preserve"> </w:t>
      </w:r>
      <w:r w:rsidRPr="00A37731">
        <w:t>p</w:t>
      </w:r>
      <w:r>
        <w:t>p</w:t>
      </w:r>
      <w:r w:rsidRPr="00A37731">
        <w:t>. 211-212).</w:t>
      </w:r>
    </w:p>
    <w:p w:rsidR="00B7214C" w:rsidRPr="00A37731" w:rsidRDefault="00B7214C" w:rsidP="00B7214C">
      <w:pPr>
        <w:spacing w:before="120" w:after="120"/>
        <w:jc w:val="both"/>
      </w:pPr>
      <w:r w:rsidRPr="00A37731">
        <w:t>Dans le mouvement de déqualification des repères sociaux et sy</w:t>
      </w:r>
      <w:r w:rsidRPr="00A37731">
        <w:t>m</w:t>
      </w:r>
      <w:r w:rsidRPr="00A37731">
        <w:t>boliques de la filiation, les enfants écopent souvent puisque ces rep</w:t>
      </w:r>
      <w:r w:rsidRPr="00A37731">
        <w:t>è</w:t>
      </w:r>
      <w:r w:rsidRPr="00A37731">
        <w:t>res</w:t>
      </w:r>
      <w:r>
        <w:t xml:space="preserve"> [269] </w:t>
      </w:r>
      <w:r w:rsidRPr="00A37731">
        <w:t>jouent un rôle essentiel pour la structuration de leur identité. P</w:t>
      </w:r>
      <w:r w:rsidRPr="00A37731">
        <w:t>a</w:t>
      </w:r>
      <w:r w:rsidRPr="00A37731">
        <w:t>rents et enfants peuvent, en effet, se retrouver dans une relation duelle que ne transcende plus le principe structurel du droit des fili</w:t>
      </w:r>
      <w:r w:rsidRPr="00A37731">
        <w:t>a</w:t>
      </w:r>
      <w:r w:rsidRPr="00A37731">
        <w:t>tions devant fonder et limiter la fonction parentale de manière à pr</w:t>
      </w:r>
      <w:r w:rsidRPr="00A37731">
        <w:t>é</w:t>
      </w:r>
      <w:r w:rsidRPr="00A37731">
        <w:t>server l'ordre logique des relations généalogiques ainsi que la prédi</w:t>
      </w:r>
      <w:r w:rsidRPr="00A37731">
        <w:t>c</w:t>
      </w:r>
      <w:r w:rsidRPr="00A37731">
        <w:t>tibilité des identifications qu'il détermine (Legendre, 1992). C'est bien sûr ce qui se profile derrière l'autoproclamation de soi comme parent, derrière la banalisation des ruptures délibérées du lien parental, ou à tr</w:t>
      </w:r>
      <w:r w:rsidRPr="00A37731">
        <w:t>a</w:t>
      </w:r>
      <w:r w:rsidRPr="00A37731">
        <w:t>vers les pratiques illégales et frauduleuses pour obtenir un enfant. Cepe</w:t>
      </w:r>
      <w:r w:rsidRPr="00A37731">
        <w:t>n</w:t>
      </w:r>
      <w:r w:rsidRPr="00A37731">
        <w:t>dant, dans l'ensemble de la dynamique sociale, la tendance est certainement moins unidirectionnelle, moins monolithique, que ce</w:t>
      </w:r>
      <w:r w:rsidRPr="00A37731">
        <w:t>r</w:t>
      </w:r>
      <w:r w:rsidRPr="00A37731">
        <w:t>tains veulent le croire. S'il y a perte de référents significatifs co</w:t>
      </w:r>
      <w:r w:rsidRPr="00A37731">
        <w:t>m</w:t>
      </w:r>
      <w:r w:rsidRPr="00A37731">
        <w:t>muns, on assiste en même temps à un effort vers une recomposition des syst</w:t>
      </w:r>
      <w:r w:rsidRPr="00A37731">
        <w:t>è</w:t>
      </w:r>
      <w:r w:rsidRPr="00A37731">
        <w:t>mes de règles et de signification. Au niveau des individus, il y a une quête de repères et de sens et, au niveau des agents ayant prise sur le débat, il y a une mise de l'avant d'une pluralité de cadres de r</w:t>
      </w:r>
      <w:r w:rsidRPr="00A37731">
        <w:t>é</w:t>
      </w:r>
      <w:r w:rsidRPr="00A37731">
        <w:t>férence. Dans le champ de l'adoption, l'essentiel du débat est même mené directement sur le plan des valeurs et de la mor</w:t>
      </w:r>
      <w:r w:rsidRPr="00A37731">
        <w:t>a</w:t>
      </w:r>
      <w:r w:rsidRPr="00A37731">
        <w:t>le. Aussi, plutôt qu'une absence de repère et un refus de la limite, ce qui semble dom</w:t>
      </w:r>
      <w:r w:rsidRPr="00A37731">
        <w:t>i</w:t>
      </w:r>
      <w:r w:rsidRPr="00A37731">
        <w:t>ner c'est une redéfinition des r</w:t>
      </w:r>
      <w:r w:rsidRPr="00A37731">
        <w:t>è</w:t>
      </w:r>
      <w:r w:rsidRPr="00A37731">
        <w:t>gles.</w:t>
      </w:r>
    </w:p>
    <w:p w:rsidR="00B7214C" w:rsidRDefault="00B7214C" w:rsidP="00B7214C">
      <w:pPr>
        <w:spacing w:before="120" w:after="120"/>
        <w:jc w:val="both"/>
      </w:pPr>
      <w:r w:rsidRPr="00A37731">
        <w:t>Ceux qui soutiennent que l'actuelle remise en cause des institutions de la filiation ne peut se réaliser qu'au détriment des nouvelles génér</w:t>
      </w:r>
      <w:r w:rsidRPr="00A37731">
        <w:t>a</w:t>
      </w:r>
      <w:r w:rsidRPr="00A37731">
        <w:t>tions (Legendre, 1985,1992) posent la question fondamentale des e</w:t>
      </w:r>
      <w:r w:rsidRPr="00A37731">
        <w:t>f</w:t>
      </w:r>
      <w:r w:rsidRPr="00A37731">
        <w:t>fets symboliques de la normativité institutionnelle et des représent</w:t>
      </w:r>
      <w:r w:rsidRPr="00A37731">
        <w:t>a</w:t>
      </w:r>
      <w:r w:rsidRPr="00A37731">
        <w:t>tions du pouvoir, qu'il convient de mettre à jour et de comprendre. Or, l'anthropologie contemporaine risque fort de passer à côté de cette question de fond si elle tombe dans le piège qui consiste à cons</w:t>
      </w:r>
      <w:r w:rsidRPr="00A37731">
        <w:t>i</w:t>
      </w:r>
      <w:r w:rsidRPr="00A37731">
        <w:t>dérer d'emblée comme légitimes et humainement adéquates les pratiques observables, fussent-elles dominantes, et à en déduire « scientifiquement » les règles qui devraient orienter les choix s</w:t>
      </w:r>
      <w:r w:rsidRPr="00A37731">
        <w:t>o</w:t>
      </w:r>
      <w:r w:rsidRPr="00A37731">
        <w:t xml:space="preserve">ciaux. </w:t>
      </w:r>
      <w:r>
        <w:t>À</w:t>
      </w:r>
      <w:r w:rsidRPr="00A37731">
        <w:t>A ce compte-là, l'anthropologie ne serait qu'une forme de c</w:t>
      </w:r>
      <w:r w:rsidRPr="00A37731">
        <w:t>o</w:t>
      </w:r>
      <w:r w:rsidRPr="00A37731">
        <w:t>dification a posteriori des pratiques sociales et non un mode d'interr</w:t>
      </w:r>
      <w:r w:rsidRPr="00A37731">
        <w:t>o</w:t>
      </w:r>
      <w:r w:rsidRPr="00A37731">
        <w:t>gation et de compréhension de la vie humaine. L'anthropologue rest</w:t>
      </w:r>
      <w:r w:rsidRPr="00A37731">
        <w:t>e</w:t>
      </w:r>
      <w:r w:rsidRPr="00A37731">
        <w:t>rait alors aveugle aux enjeux des transformations et contribuerait à les banaliser ou à les normaliser. Ne reconnaître dans le droit de la fili</w:t>
      </w:r>
      <w:r w:rsidRPr="00A37731">
        <w:t>a</w:t>
      </w:r>
      <w:r w:rsidRPr="00A37731">
        <w:t>tion que l'arbitraire du pouvoir, pourrait constituer l'une des multiples m</w:t>
      </w:r>
      <w:r w:rsidRPr="00A37731">
        <w:t>a</w:t>
      </w:r>
      <w:r w:rsidRPr="00A37731">
        <w:t>nières possibles de ne pas reconnaître les enfants comme sujets, pour les réduire à n'être que l'objet de volontés indiv</w:t>
      </w:r>
      <w:r w:rsidRPr="00A37731">
        <w:t>i</w:t>
      </w:r>
      <w:r w:rsidRPr="00A37731">
        <w:t>duelles. Par contre, l'adhésion stricte au modèle de filiation dont nous sommes les héritiers ne vient-elle pas forcer l'imposition de catégorisations ident</w:t>
      </w:r>
      <w:r w:rsidRPr="00A37731">
        <w:t>i</w:t>
      </w:r>
      <w:r w:rsidRPr="00A37731">
        <w:t>taires trop étroites ? Dans un contexte où la subversion des frontières hermétiques entre les genres, les ethnies, les cultures apparaît à pl</w:t>
      </w:r>
      <w:r w:rsidRPr="00A37731">
        <w:t>u</w:t>
      </w:r>
      <w:r w:rsidRPr="00A37731">
        <w:t>sieurs comme la seule voie de dépassement des clivages sociaux gén</w:t>
      </w:r>
      <w:r w:rsidRPr="00A37731">
        <w:t>é</w:t>
      </w:r>
      <w:r w:rsidRPr="00A37731">
        <w:t>rateurs de conflits et d'oppression, ne peut-on aussi envisager une subversion des cadres juridiques de la parenté ? Et ceci, sans risque pour la stru</w:t>
      </w:r>
      <w:r w:rsidRPr="00A37731">
        <w:t>c</w:t>
      </w:r>
      <w:r w:rsidRPr="00A37731">
        <w:t>turation subjective des enfants ?</w:t>
      </w:r>
    </w:p>
    <w:p w:rsidR="00B7214C" w:rsidRDefault="00B7214C" w:rsidP="00B7214C">
      <w:pPr>
        <w:pStyle w:val="p"/>
      </w:pPr>
      <w:r>
        <w:br w:type="page"/>
        <w:t>[270]</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spacing w:before="120" w:after="120"/>
        <w:jc w:val="both"/>
      </w:pPr>
    </w:p>
    <w:p w:rsidR="00B7214C" w:rsidRDefault="00B7214C" w:rsidP="00B7214C">
      <w:pPr>
        <w:pStyle w:val="p"/>
      </w:pPr>
      <w:r>
        <w:t>[271]</w:t>
      </w:r>
    </w:p>
    <w:p w:rsidR="00B7214C" w:rsidRDefault="00B7214C" w:rsidP="00B7214C">
      <w:pPr>
        <w:spacing w:before="120" w:after="120"/>
        <w:jc w:val="both"/>
      </w:pPr>
    </w:p>
    <w:p w:rsidR="00B7214C" w:rsidRDefault="00B7214C" w:rsidP="00B7214C">
      <w:pPr>
        <w:pStyle w:val="a"/>
      </w:pPr>
      <w:r w:rsidRPr="00A37731">
        <w:t>BIBLIOGRAPHIE</w:t>
      </w:r>
    </w:p>
    <w:p w:rsidR="00B7214C" w:rsidRPr="00A37731" w:rsidRDefault="00B7214C" w:rsidP="00B7214C">
      <w:pPr>
        <w:spacing w:before="120" w:after="120"/>
        <w:jc w:val="both"/>
      </w:pPr>
    </w:p>
    <w:p w:rsidR="00B7214C" w:rsidRPr="00383569" w:rsidRDefault="00B7214C" w:rsidP="00B7214C">
      <w:pPr>
        <w:spacing w:before="120" w:after="120"/>
        <w:jc w:val="both"/>
      </w:pPr>
      <w:r w:rsidRPr="00383569">
        <w:rPr>
          <w:iCs/>
        </w:rPr>
        <w:t>ACCSCQ (Association des centres de services sociaux du Qu</w:t>
      </w:r>
      <w:r w:rsidRPr="00383569">
        <w:rPr>
          <w:iCs/>
        </w:rPr>
        <w:t>é</w:t>
      </w:r>
      <w:r w:rsidRPr="00383569">
        <w:rPr>
          <w:iCs/>
        </w:rPr>
        <w:t xml:space="preserve">bec), </w:t>
      </w:r>
      <w:r w:rsidRPr="00383569">
        <w:t>Guide pratique en matière d'évaluation de projets des postulants en adoption et jumel</w:t>
      </w:r>
      <w:r w:rsidRPr="00383569">
        <w:t>a</w:t>
      </w:r>
      <w:r w:rsidRPr="00383569">
        <w:t xml:space="preserve">ge avec l'adopté, </w:t>
      </w:r>
      <w:r w:rsidRPr="00383569">
        <w:rPr>
          <w:iCs/>
        </w:rPr>
        <w:t>Montréal, 1985.</w:t>
      </w:r>
    </w:p>
    <w:p w:rsidR="00B7214C" w:rsidRPr="00A37731" w:rsidRDefault="00B7214C" w:rsidP="00B7214C">
      <w:pPr>
        <w:spacing w:before="120" w:after="120"/>
        <w:jc w:val="both"/>
      </w:pPr>
      <w:r w:rsidRPr="00383569">
        <w:t>Anthropologie et sociétés</w:t>
      </w:r>
      <w:r w:rsidRPr="00A37731">
        <w:t>, « Les enfants nomades », 1988, vol.</w:t>
      </w:r>
      <w:r>
        <w:t> </w:t>
      </w:r>
      <w:r w:rsidRPr="00A37731">
        <w:t>12, n°</w:t>
      </w:r>
      <w:r>
        <w:t> </w:t>
      </w:r>
      <w:r w:rsidRPr="00A37731">
        <w:t>2.</w:t>
      </w:r>
    </w:p>
    <w:p w:rsidR="00B7214C" w:rsidRPr="00A37731" w:rsidRDefault="00B7214C" w:rsidP="00B7214C">
      <w:pPr>
        <w:spacing w:before="120" w:after="120"/>
        <w:jc w:val="both"/>
      </w:pPr>
      <w:r w:rsidRPr="00A37731">
        <w:t xml:space="preserve">Boltanski, L. et L. Thévenot, </w:t>
      </w:r>
      <w:r w:rsidRPr="00383569">
        <w:rPr>
          <w:i/>
          <w:iCs/>
        </w:rPr>
        <w:t>De la justification,</w:t>
      </w:r>
      <w:r w:rsidRPr="00A37731">
        <w:t xml:space="preserve"> Paris, Gallimard, 1991.</w:t>
      </w:r>
    </w:p>
    <w:p w:rsidR="00B7214C" w:rsidRPr="00A37731" w:rsidRDefault="00B7214C" w:rsidP="00B7214C">
      <w:pPr>
        <w:spacing w:before="120" w:after="120"/>
        <w:jc w:val="both"/>
      </w:pPr>
      <w:r w:rsidRPr="00A37731">
        <w:t>Cannell, F., « Concepts of Parenthood : The Warnock R</w:t>
      </w:r>
      <w:r w:rsidRPr="00A37731">
        <w:t>e</w:t>
      </w:r>
      <w:r w:rsidRPr="00A37731">
        <w:t xml:space="preserve">port, the Gillick Debate and Modem Myths », </w:t>
      </w:r>
      <w:r w:rsidRPr="00383569">
        <w:rPr>
          <w:i/>
          <w:iCs/>
        </w:rPr>
        <w:t>American Ethnologist,</w:t>
      </w:r>
      <w:r>
        <w:t xml:space="preserve"> 1990, vol. </w:t>
      </w:r>
      <w:r w:rsidRPr="00A37731">
        <w:t>17, n°</w:t>
      </w:r>
      <w:r>
        <w:t> </w:t>
      </w:r>
      <w:r w:rsidRPr="00A37731">
        <w:t>4, p</w:t>
      </w:r>
      <w:r>
        <w:t>p</w:t>
      </w:r>
      <w:r w:rsidRPr="00A37731">
        <w:t>. 667-686.</w:t>
      </w:r>
    </w:p>
    <w:p w:rsidR="00B7214C" w:rsidRPr="00A37731" w:rsidRDefault="00B7214C" w:rsidP="00B7214C">
      <w:pPr>
        <w:spacing w:before="120" w:after="120"/>
        <w:jc w:val="both"/>
      </w:pPr>
      <w:r w:rsidRPr="00A37731">
        <w:t xml:space="preserve">Castelli, M. D., </w:t>
      </w:r>
      <w:r w:rsidRPr="00383569">
        <w:rPr>
          <w:i/>
          <w:iCs/>
        </w:rPr>
        <w:t>Précis du Droit de la famille,</w:t>
      </w:r>
      <w:r w:rsidRPr="00A37731">
        <w:t xml:space="preserve"> Québec, Presses de l'Univers</w:t>
      </w:r>
      <w:r w:rsidRPr="00A37731">
        <w:t>i</w:t>
      </w:r>
      <w:r w:rsidRPr="00A37731">
        <w:t>té Laval, 1990.</w:t>
      </w:r>
    </w:p>
    <w:p w:rsidR="00B7214C" w:rsidRPr="00A37731" w:rsidRDefault="00B7214C" w:rsidP="00B7214C">
      <w:pPr>
        <w:spacing w:before="120" w:after="120"/>
        <w:jc w:val="both"/>
      </w:pPr>
      <w:r>
        <w:t>Collard, C., « Les orphelins “</w:t>
      </w:r>
      <w:r w:rsidRPr="00A37731">
        <w:t>propres</w:t>
      </w:r>
      <w:r>
        <w:t>”</w:t>
      </w:r>
      <w:r w:rsidRPr="00A37731">
        <w:t xml:space="preserve"> et les autres... Carence p</w:t>
      </w:r>
      <w:r w:rsidRPr="00A37731">
        <w:t>a</w:t>
      </w:r>
      <w:r w:rsidRPr="00A37731">
        <w:t xml:space="preserve">rentale et circulation des orphelins au Québec (1900-1960) », </w:t>
      </w:r>
      <w:r w:rsidRPr="00383569">
        <w:rPr>
          <w:i/>
          <w:iCs/>
        </w:rPr>
        <w:t>Culture,</w:t>
      </w:r>
      <w:r w:rsidRPr="00A37731">
        <w:t xml:space="preserve"> 1991, vol.</w:t>
      </w:r>
      <w:r>
        <w:t> </w:t>
      </w:r>
      <w:r w:rsidRPr="00A37731">
        <w:t>XI, n</w:t>
      </w:r>
      <w:r>
        <w:t>os </w:t>
      </w:r>
      <w:r w:rsidRPr="00A37731">
        <w:t>1-2, p</w:t>
      </w:r>
      <w:r>
        <w:t>p</w:t>
      </w:r>
      <w:r w:rsidRPr="00A37731">
        <w:t>. 135-150.</w:t>
      </w:r>
    </w:p>
    <w:p w:rsidR="00B7214C" w:rsidRPr="00A37731" w:rsidRDefault="00B7214C" w:rsidP="00B7214C">
      <w:pPr>
        <w:spacing w:before="120" w:after="120"/>
        <w:jc w:val="both"/>
      </w:pPr>
      <w:r w:rsidRPr="00A37731">
        <w:t>Collard, C., « </w:t>
      </w:r>
      <w:hyperlink r:id="rId59" w:history="1">
        <w:r w:rsidRPr="00565239">
          <w:rPr>
            <w:rStyle w:val="Lienhypertexte"/>
          </w:rPr>
          <w:t>Enfants de Dieu, enfants du péché : anthropologie des crèches québécoises de 1900 à 1960 </w:t>
        </w:r>
      </w:hyperlink>
      <w:r w:rsidRPr="00A37731">
        <w:t xml:space="preserve">», </w:t>
      </w:r>
      <w:r w:rsidRPr="00383569">
        <w:rPr>
          <w:i/>
          <w:iCs/>
        </w:rPr>
        <w:t>Anthropologie et sociétés,</w:t>
      </w:r>
      <w:r w:rsidRPr="00A37731">
        <w:t xml:space="preserve"> 1988, vol.</w:t>
      </w:r>
      <w:r>
        <w:t> </w:t>
      </w:r>
      <w:r w:rsidRPr="00A37731">
        <w:t>12, n°</w:t>
      </w:r>
      <w:r>
        <w:t> </w:t>
      </w:r>
      <w:r w:rsidRPr="00A37731">
        <w:t>2, p</w:t>
      </w:r>
      <w:r>
        <w:t>p</w:t>
      </w:r>
      <w:r w:rsidRPr="00A37731">
        <w:t>. 97-124.</w:t>
      </w:r>
    </w:p>
    <w:p w:rsidR="00B7214C" w:rsidRPr="00A37731" w:rsidRDefault="00B7214C" w:rsidP="00B7214C">
      <w:pPr>
        <w:spacing w:before="120" w:after="120"/>
        <w:jc w:val="both"/>
      </w:pPr>
      <w:r w:rsidRPr="00A37731">
        <w:t xml:space="preserve">Giddens, A., </w:t>
      </w:r>
      <w:r w:rsidRPr="00383569">
        <w:rPr>
          <w:i/>
          <w:iCs/>
        </w:rPr>
        <w:t>Modernity and Self-Identity,</w:t>
      </w:r>
      <w:r w:rsidRPr="00A37731">
        <w:t xml:space="preserve"> Stanford, Stanford Un</w:t>
      </w:r>
      <w:r w:rsidRPr="00A37731">
        <w:t>i</w:t>
      </w:r>
      <w:r w:rsidRPr="00A37731">
        <w:t>versity Press, 1991.</w:t>
      </w:r>
    </w:p>
    <w:p w:rsidR="00B7214C" w:rsidRPr="00A37731" w:rsidRDefault="00B7214C" w:rsidP="00B7214C">
      <w:pPr>
        <w:spacing w:before="120" w:after="120"/>
        <w:jc w:val="both"/>
      </w:pPr>
      <w:r w:rsidRPr="00A37731">
        <w:t xml:space="preserve">Hartman, A., </w:t>
      </w:r>
      <w:r w:rsidRPr="00383569">
        <w:rPr>
          <w:i/>
          <w:iCs/>
        </w:rPr>
        <w:t>Working with Adoptive Families Beyond Placement,</w:t>
      </w:r>
      <w:r w:rsidRPr="00A37731">
        <w:t xml:space="preserve"> New York, Child Welfare League of America, 1984.</w:t>
      </w:r>
    </w:p>
    <w:p w:rsidR="00B7214C" w:rsidRPr="00A37731" w:rsidRDefault="00B7214C" w:rsidP="00B7214C">
      <w:pPr>
        <w:spacing w:before="120" w:after="120"/>
        <w:jc w:val="both"/>
      </w:pPr>
      <w:r w:rsidRPr="00A37731">
        <w:t>Héritier-Augé, F., « La cuisse de Jupiter. Réflexion sur les no</w:t>
      </w:r>
      <w:r w:rsidRPr="00A37731">
        <w:t>u</w:t>
      </w:r>
      <w:r w:rsidRPr="00A37731">
        <w:t xml:space="preserve">veaux modes de procréation », </w:t>
      </w:r>
      <w:r w:rsidRPr="00383569">
        <w:rPr>
          <w:i/>
          <w:iCs/>
        </w:rPr>
        <w:t>L'Homme,</w:t>
      </w:r>
      <w:r w:rsidRPr="00A37731">
        <w:t xml:space="preserve"> 1985, n°</w:t>
      </w:r>
      <w:r>
        <w:t> </w:t>
      </w:r>
      <w:r w:rsidRPr="00A37731">
        <w:t xml:space="preserve">94, </w:t>
      </w:r>
      <w:r>
        <w:t>p</w:t>
      </w:r>
      <w:r w:rsidRPr="00A37731">
        <w:t>p. 5-22.</w:t>
      </w:r>
    </w:p>
    <w:p w:rsidR="00B7214C" w:rsidRPr="00A37731" w:rsidRDefault="00B7214C" w:rsidP="00B7214C">
      <w:pPr>
        <w:spacing w:before="120" w:after="120"/>
        <w:jc w:val="both"/>
      </w:pPr>
      <w:r w:rsidRPr="00A37731">
        <w:t xml:space="preserve">Hoffmann-Riem, C., « Adoptive Parenting and the Norm of Family Emotionality », </w:t>
      </w:r>
      <w:r w:rsidRPr="00383569">
        <w:rPr>
          <w:i/>
          <w:iCs/>
        </w:rPr>
        <w:t>Qualitative Sociology,</w:t>
      </w:r>
      <w:r w:rsidRPr="00A37731">
        <w:t xml:space="preserve"> 1986, vol.</w:t>
      </w:r>
      <w:r>
        <w:t> </w:t>
      </w:r>
      <w:r w:rsidRPr="00A37731">
        <w:t>9, n°</w:t>
      </w:r>
      <w:r>
        <w:t> </w:t>
      </w:r>
      <w:r w:rsidRPr="00A37731">
        <w:t>2, p</w:t>
      </w:r>
      <w:r>
        <w:t>p</w:t>
      </w:r>
      <w:r w:rsidRPr="00A37731">
        <w:t>. 162-178.</w:t>
      </w:r>
    </w:p>
    <w:p w:rsidR="00B7214C" w:rsidRPr="00A37731" w:rsidRDefault="00B7214C" w:rsidP="00B7214C">
      <w:pPr>
        <w:spacing w:before="120" w:after="120"/>
        <w:jc w:val="both"/>
      </w:pPr>
      <w:r w:rsidRPr="00A37731">
        <w:t xml:space="preserve">Kirk, D. H., </w:t>
      </w:r>
      <w:r w:rsidRPr="00383569">
        <w:rPr>
          <w:i/>
          <w:iCs/>
        </w:rPr>
        <w:t>Adoptive Kinship. A Modern Institution in Need of R</w:t>
      </w:r>
      <w:r w:rsidRPr="00383569">
        <w:rPr>
          <w:i/>
          <w:iCs/>
        </w:rPr>
        <w:t>e</w:t>
      </w:r>
      <w:r w:rsidRPr="00383569">
        <w:rPr>
          <w:i/>
          <w:iCs/>
        </w:rPr>
        <w:t>form,</w:t>
      </w:r>
      <w:r w:rsidRPr="00A37731">
        <w:t xml:space="preserve"> Brentwood Bay, Ben-Simon Publications, 1985,183 p.</w:t>
      </w:r>
    </w:p>
    <w:p w:rsidR="00B7214C" w:rsidRPr="00A37731" w:rsidRDefault="00B7214C" w:rsidP="00B7214C">
      <w:pPr>
        <w:spacing w:before="120" w:after="120"/>
        <w:jc w:val="both"/>
      </w:pPr>
      <w:r w:rsidRPr="00A37731">
        <w:t xml:space="preserve">Kirk, D. H., </w:t>
      </w:r>
      <w:r w:rsidRPr="00383569">
        <w:rPr>
          <w:i/>
          <w:iCs/>
        </w:rPr>
        <w:t>Shared Fate. A Theory and Method of Adoptive Rel</w:t>
      </w:r>
      <w:r w:rsidRPr="00383569">
        <w:rPr>
          <w:i/>
          <w:iCs/>
        </w:rPr>
        <w:t>a</w:t>
      </w:r>
      <w:r w:rsidRPr="00383569">
        <w:rPr>
          <w:i/>
          <w:iCs/>
        </w:rPr>
        <w:t>tionships,</w:t>
      </w:r>
      <w:r w:rsidRPr="00A37731">
        <w:t xml:space="preserve"> Brentwood Bay, Ben-Simon Publications, 1984, 203 p.</w:t>
      </w:r>
    </w:p>
    <w:p w:rsidR="00B7214C" w:rsidRPr="00A37731" w:rsidRDefault="00B7214C" w:rsidP="00B7214C">
      <w:pPr>
        <w:spacing w:before="120" w:after="120"/>
        <w:jc w:val="both"/>
      </w:pPr>
      <w:r w:rsidRPr="00A37731">
        <w:t xml:space="preserve">Legendre, P., </w:t>
      </w:r>
      <w:r w:rsidRPr="00383569">
        <w:rPr>
          <w:i/>
          <w:iCs/>
        </w:rPr>
        <w:t>Les enfants du Texte,</w:t>
      </w:r>
      <w:r w:rsidRPr="00A37731">
        <w:t xml:space="preserve"> Paris, Fayard, 1992.</w:t>
      </w:r>
    </w:p>
    <w:p w:rsidR="00B7214C" w:rsidRPr="00A37731" w:rsidRDefault="00B7214C" w:rsidP="00B7214C">
      <w:pPr>
        <w:spacing w:before="120" w:after="120"/>
        <w:jc w:val="both"/>
      </w:pPr>
      <w:r w:rsidRPr="00A37731">
        <w:t xml:space="preserve">Legendre, P., </w:t>
      </w:r>
      <w:r w:rsidRPr="00383569">
        <w:rPr>
          <w:i/>
          <w:iCs/>
        </w:rPr>
        <w:t>L'inestimable objet de la transmission,</w:t>
      </w:r>
      <w:r w:rsidRPr="00A37731">
        <w:t xml:space="preserve"> Paris, Fayard, 1985,</w:t>
      </w:r>
      <w:r>
        <w:t xml:space="preserve"> </w:t>
      </w:r>
      <w:r w:rsidRPr="00A37731">
        <w:t>407 p.</w:t>
      </w:r>
    </w:p>
    <w:p w:rsidR="00B7214C" w:rsidRPr="00A37731" w:rsidRDefault="00B7214C" w:rsidP="00B7214C">
      <w:pPr>
        <w:spacing w:before="120" w:after="120"/>
        <w:jc w:val="both"/>
      </w:pPr>
      <w:r w:rsidRPr="00A37731">
        <w:t xml:space="preserve">Manai, D., « La dispense de consentement en matière d'adoption : autonomie individuelle et contrôle social ». </w:t>
      </w:r>
      <w:r w:rsidRPr="00383569">
        <w:rPr>
          <w:i/>
          <w:iCs/>
        </w:rPr>
        <w:t>Déviance et société,</w:t>
      </w:r>
      <w:r w:rsidRPr="00A37731">
        <w:t xml:space="preserve"> 1990, vol.</w:t>
      </w:r>
      <w:r>
        <w:t> </w:t>
      </w:r>
      <w:r w:rsidRPr="00A37731">
        <w:t>14, n°</w:t>
      </w:r>
      <w:r>
        <w:t> </w:t>
      </w:r>
      <w:r w:rsidRPr="00A37731">
        <w:t>3, p. 275-294.</w:t>
      </w:r>
    </w:p>
    <w:p w:rsidR="00B7214C" w:rsidRPr="00A37731" w:rsidRDefault="00B7214C" w:rsidP="00B7214C">
      <w:pPr>
        <w:spacing w:before="120" w:after="120"/>
        <w:jc w:val="both"/>
      </w:pPr>
      <w:r w:rsidRPr="00A37731">
        <w:t>Miall, C., « Authenticity and the Disclosure of the Info</w:t>
      </w:r>
      <w:r w:rsidRPr="00A37731">
        <w:t>r</w:t>
      </w:r>
      <w:r w:rsidRPr="00A37731">
        <w:t xml:space="preserve">mation Preserve : The Case of Adoptive Parenthood », </w:t>
      </w:r>
      <w:r w:rsidRPr="00383569">
        <w:rPr>
          <w:i/>
          <w:iCs/>
        </w:rPr>
        <w:t>Qualitative Sociology,</w:t>
      </w:r>
      <w:r w:rsidRPr="00A37731">
        <w:t xml:space="preserve"> 1989, vol.</w:t>
      </w:r>
      <w:r>
        <w:t> </w:t>
      </w:r>
      <w:r w:rsidRPr="00A37731">
        <w:t>12, n°</w:t>
      </w:r>
      <w:r>
        <w:t> </w:t>
      </w:r>
      <w:r w:rsidRPr="00A37731">
        <w:t>3, p. 279-302.</w:t>
      </w:r>
    </w:p>
    <w:p w:rsidR="00B7214C" w:rsidRPr="00A37731" w:rsidRDefault="00B7214C" w:rsidP="00B7214C">
      <w:pPr>
        <w:spacing w:before="120" w:after="120"/>
        <w:jc w:val="both"/>
      </w:pPr>
      <w:r w:rsidRPr="00A37731">
        <w:t>Miall, C., « The stigma of adoptive parent status : Perce</w:t>
      </w:r>
      <w:r w:rsidRPr="00A37731">
        <w:t>p</w:t>
      </w:r>
      <w:r w:rsidRPr="00A37731">
        <w:t>tions of community attitudes toward adoption and the exp</w:t>
      </w:r>
      <w:r>
        <w:t>e</w:t>
      </w:r>
      <w:r w:rsidRPr="00A37731">
        <w:t>rience of informa</w:t>
      </w:r>
      <w:r>
        <w:t>l</w:t>
      </w:r>
      <w:r w:rsidRPr="00A37731">
        <w:t xml:space="preserve"> social sanctioning », </w:t>
      </w:r>
      <w:r w:rsidRPr="00383569">
        <w:rPr>
          <w:i/>
          <w:iCs/>
        </w:rPr>
        <w:t>Family Relations,</w:t>
      </w:r>
      <w:r w:rsidRPr="00A37731">
        <w:t xml:space="preserve"> 1987, n°</w:t>
      </w:r>
      <w:r>
        <w:t> </w:t>
      </w:r>
      <w:r w:rsidRPr="00A37731">
        <w:t>36, p. 34-39.</w:t>
      </w:r>
    </w:p>
    <w:p w:rsidR="00B7214C" w:rsidRPr="00A37731" w:rsidRDefault="00B7214C" w:rsidP="00B7214C">
      <w:pPr>
        <w:spacing w:before="120" w:after="120"/>
        <w:jc w:val="both"/>
      </w:pPr>
      <w:r w:rsidRPr="00A37731">
        <w:t>Modell, J., « In search : the purported biological basis of pare</w:t>
      </w:r>
      <w:r w:rsidRPr="00A37731">
        <w:t>n</w:t>
      </w:r>
      <w:r w:rsidRPr="00A37731">
        <w:t xml:space="preserve">thood », </w:t>
      </w:r>
      <w:r w:rsidRPr="00383569">
        <w:rPr>
          <w:i/>
          <w:iCs/>
        </w:rPr>
        <w:t>American Ethnologist,</w:t>
      </w:r>
      <w:r w:rsidRPr="00A37731">
        <w:t xml:space="preserve"> 1986, vol.</w:t>
      </w:r>
      <w:r>
        <w:t> </w:t>
      </w:r>
      <w:r w:rsidRPr="00A37731">
        <w:t>13, n°</w:t>
      </w:r>
      <w:r>
        <w:t> </w:t>
      </w:r>
      <w:r w:rsidRPr="00A37731">
        <w:t>4, p. 646-661.</w:t>
      </w:r>
    </w:p>
    <w:p w:rsidR="00B7214C" w:rsidRDefault="00B7214C" w:rsidP="00B7214C">
      <w:pPr>
        <w:spacing w:before="120" w:after="120"/>
        <w:jc w:val="both"/>
      </w:pPr>
      <w:r w:rsidRPr="00A37731">
        <w:t>Ouellette, F.-R. et J. Séguin, « Normes sociales et juridiques, p</w:t>
      </w:r>
      <w:r w:rsidRPr="00A37731">
        <w:t>a</w:t>
      </w:r>
      <w:r w:rsidRPr="00A37731">
        <w:t xml:space="preserve">rentalité et filiation : l'exemple de l'adoption ». </w:t>
      </w:r>
      <w:r w:rsidRPr="00383569">
        <w:rPr>
          <w:i/>
          <w:iCs/>
        </w:rPr>
        <w:t>Comprendre la fami</w:t>
      </w:r>
      <w:r w:rsidRPr="00383569">
        <w:rPr>
          <w:i/>
          <w:iCs/>
        </w:rPr>
        <w:t>l</w:t>
      </w:r>
      <w:r w:rsidRPr="00383569">
        <w:rPr>
          <w:i/>
          <w:iCs/>
        </w:rPr>
        <w:t>le,</w:t>
      </w:r>
      <w:r w:rsidRPr="00A37731">
        <w:t xml:space="preserve"> Québec, Presses de l'Université du Qu</w:t>
      </w:r>
      <w:r w:rsidRPr="00A37731">
        <w:t>é</w:t>
      </w:r>
      <w:r w:rsidRPr="00A37731">
        <w:t>bec, 1992, p. 225-239.</w:t>
      </w:r>
    </w:p>
    <w:p w:rsidR="00B7214C" w:rsidRPr="00A37731" w:rsidRDefault="00B7214C" w:rsidP="00B7214C">
      <w:pPr>
        <w:spacing w:before="120" w:after="120"/>
        <w:jc w:val="both"/>
      </w:pPr>
      <w:r>
        <w:t>[272]</w:t>
      </w:r>
    </w:p>
    <w:p w:rsidR="00B7214C" w:rsidRPr="00A37731" w:rsidRDefault="00B7214C" w:rsidP="00B7214C">
      <w:pPr>
        <w:spacing w:before="120" w:after="120"/>
        <w:jc w:val="both"/>
      </w:pPr>
      <w:r w:rsidRPr="00A37731">
        <w:t>Ouellette, F.-R., (avec la collaboration de J. Séguin), « L'évaluation professionnelle des demandes d'adoption : la comp</w:t>
      </w:r>
      <w:r w:rsidRPr="00A37731">
        <w:t>o</w:t>
      </w:r>
      <w:r w:rsidRPr="00A37731">
        <w:t xml:space="preserve">sante affective et l'approche biographique ». </w:t>
      </w:r>
      <w:r w:rsidRPr="00383569">
        <w:rPr>
          <w:i/>
          <w:iCs/>
        </w:rPr>
        <w:t>L'individu, l’affectif et le social,</w:t>
      </w:r>
      <w:r w:rsidRPr="00A37731">
        <w:t xml:space="preserve"> Revue internationale d'action comm</w:t>
      </w:r>
      <w:r w:rsidRPr="00A37731">
        <w:t>u</w:t>
      </w:r>
      <w:r>
        <w:t>nautaire, 1992, vol. 27, n° </w:t>
      </w:r>
      <w:r w:rsidRPr="00A37731">
        <w:t>67, p</w:t>
      </w:r>
      <w:r>
        <w:t>p</w:t>
      </w:r>
      <w:r w:rsidRPr="00A37731">
        <w:t>. 119-128.</w:t>
      </w:r>
    </w:p>
    <w:p w:rsidR="00B7214C" w:rsidRPr="00A37731" w:rsidRDefault="00B7214C" w:rsidP="00B7214C">
      <w:pPr>
        <w:spacing w:before="120" w:after="120"/>
        <w:jc w:val="both"/>
      </w:pPr>
      <w:r w:rsidRPr="00A37731">
        <w:t xml:space="preserve">Pfaehler, A. et J.-P. Settimo, « L'adoption ou l'histoire modifiée ». </w:t>
      </w:r>
      <w:r w:rsidRPr="00383569">
        <w:rPr>
          <w:i/>
          <w:iCs/>
        </w:rPr>
        <w:t>Autorité, responsabilité parentale et protection de l'enfant,</w:t>
      </w:r>
      <w:r w:rsidRPr="00A37731">
        <w:t xml:space="preserve"> Confront</w:t>
      </w:r>
      <w:r w:rsidRPr="00A37731">
        <w:t>a</w:t>
      </w:r>
      <w:r w:rsidRPr="00A37731">
        <w:t>tions européennes régionales, Lyon, Chr</w:t>
      </w:r>
      <w:r w:rsidRPr="00A37731">
        <w:t>o</w:t>
      </w:r>
      <w:r w:rsidRPr="00A37731">
        <w:t>nique sociale, 1991, p</w:t>
      </w:r>
      <w:r>
        <w:t>p</w:t>
      </w:r>
      <w:r w:rsidRPr="00A37731">
        <w:t>. 213-220.</w:t>
      </w:r>
    </w:p>
    <w:p w:rsidR="00B7214C" w:rsidRPr="00A37731" w:rsidRDefault="00B7214C" w:rsidP="00B7214C">
      <w:pPr>
        <w:spacing w:before="120" w:after="120"/>
        <w:jc w:val="both"/>
      </w:pPr>
      <w:r w:rsidRPr="00A37731">
        <w:t xml:space="preserve">Schneider, D. M., </w:t>
      </w:r>
      <w:r w:rsidRPr="00383569">
        <w:rPr>
          <w:i/>
          <w:iCs/>
        </w:rPr>
        <w:t>American kinship. A Cultural Account,</w:t>
      </w:r>
      <w:r w:rsidRPr="00A37731">
        <w:t xml:space="preserve"> Chicago, University of Chicago Press, 1980,</w:t>
      </w:r>
      <w:r>
        <w:t xml:space="preserve"> </w:t>
      </w:r>
      <w:r w:rsidRPr="00A37731">
        <w:t>137 p.</w:t>
      </w:r>
    </w:p>
    <w:p w:rsidR="00B7214C" w:rsidRPr="00A37731" w:rsidRDefault="00B7214C" w:rsidP="00B7214C">
      <w:pPr>
        <w:spacing w:before="120" w:after="120"/>
        <w:jc w:val="both"/>
      </w:pPr>
      <w:r w:rsidRPr="00A37731">
        <w:t xml:space="preserve">Taylor, C., </w:t>
      </w:r>
      <w:r w:rsidRPr="00383569">
        <w:rPr>
          <w:i/>
          <w:iCs/>
        </w:rPr>
        <w:t>Grandeur et misère de la modernité,</w:t>
      </w:r>
      <w:r w:rsidRPr="00A37731">
        <w:t xml:space="preserve"> Québec, Bella</w:t>
      </w:r>
      <w:r w:rsidRPr="00A37731">
        <w:t>r</w:t>
      </w:r>
      <w:r w:rsidRPr="00A37731">
        <w:t>min, 1992.</w:t>
      </w:r>
    </w:p>
    <w:p w:rsidR="00B7214C" w:rsidRPr="00A37731" w:rsidRDefault="00B7214C" w:rsidP="00B7214C">
      <w:pPr>
        <w:spacing w:before="120" w:after="120"/>
        <w:jc w:val="both"/>
      </w:pPr>
      <w:r w:rsidRPr="00A37731">
        <w:t>Théry, I., « Convention des Nations unies et idéologie des no</w:t>
      </w:r>
      <w:r w:rsidRPr="00A37731">
        <w:t>u</w:t>
      </w:r>
      <w:r w:rsidRPr="00A37731">
        <w:t xml:space="preserve">veaux droits de l'enfant ». </w:t>
      </w:r>
      <w:r w:rsidRPr="00383569">
        <w:rPr>
          <w:i/>
          <w:iCs/>
        </w:rPr>
        <w:t>Autorité, responsabilité parentale et prote</w:t>
      </w:r>
      <w:r w:rsidRPr="00383569">
        <w:rPr>
          <w:i/>
          <w:iCs/>
        </w:rPr>
        <w:t>c</w:t>
      </w:r>
      <w:r w:rsidRPr="00383569">
        <w:rPr>
          <w:i/>
          <w:iCs/>
        </w:rPr>
        <w:t>tion de l'enfant,</w:t>
      </w:r>
      <w:r w:rsidRPr="00A37731">
        <w:t xml:space="preserve"> Confrontations européennes régionales, Lyon, Chr</w:t>
      </w:r>
      <w:r w:rsidRPr="00A37731">
        <w:t>o</w:t>
      </w:r>
      <w:r w:rsidRPr="00A37731">
        <w:t>nique sociale, 1992, p</w:t>
      </w:r>
      <w:r>
        <w:t>p</w:t>
      </w:r>
      <w:r w:rsidRPr="00A37731">
        <w:t>. 333-351.</w:t>
      </w:r>
    </w:p>
    <w:p w:rsidR="00B7214C" w:rsidRPr="00A37731" w:rsidRDefault="00B7214C" w:rsidP="00B7214C">
      <w:pPr>
        <w:spacing w:before="120" w:after="120"/>
        <w:jc w:val="both"/>
      </w:pPr>
      <w:r w:rsidRPr="00A37731">
        <w:t xml:space="preserve">Vanier, N. et J. Oxman-Martinez, </w:t>
      </w:r>
      <w:r w:rsidRPr="00383569">
        <w:rPr>
          <w:i/>
          <w:iCs/>
        </w:rPr>
        <w:t>Adoption tardive. Point d'ancr</w:t>
      </w:r>
      <w:r w:rsidRPr="00383569">
        <w:rPr>
          <w:i/>
          <w:iCs/>
        </w:rPr>
        <w:t>a</w:t>
      </w:r>
      <w:r w:rsidRPr="00383569">
        <w:rPr>
          <w:i/>
          <w:iCs/>
        </w:rPr>
        <w:t>ge,</w:t>
      </w:r>
      <w:r w:rsidRPr="00A37731">
        <w:t xml:space="preserve"> Mo</w:t>
      </w:r>
      <w:r w:rsidRPr="00A37731">
        <w:t>n</w:t>
      </w:r>
      <w:r w:rsidRPr="00A37731">
        <w:t>tréal, Centre des services sociaux du Montréal métropolitain, 1989,</w:t>
      </w:r>
      <w:r>
        <w:t xml:space="preserve"> </w:t>
      </w:r>
      <w:r w:rsidRPr="00A37731">
        <w:t>143.</w:t>
      </w:r>
    </w:p>
    <w:p w:rsidR="00B7214C" w:rsidRPr="00383569" w:rsidRDefault="00B7214C" w:rsidP="00B7214C">
      <w:pPr>
        <w:spacing w:before="120" w:after="120"/>
        <w:jc w:val="both"/>
        <w:rPr>
          <w:iCs/>
        </w:rPr>
      </w:pPr>
      <w:r w:rsidRPr="00383569">
        <w:rPr>
          <w:iCs/>
        </w:rPr>
        <w:t xml:space="preserve">Zelitzer, V. A., </w:t>
      </w:r>
      <w:r w:rsidRPr="00383569">
        <w:t>Pricing the priceless Child : The Changing Social Value of Children,</w:t>
      </w:r>
      <w:r w:rsidRPr="00383569">
        <w:rPr>
          <w:iCs/>
        </w:rPr>
        <w:t xml:space="preserve"> New York, Basic Books, 1987.</w:t>
      </w:r>
    </w:p>
    <w:p w:rsidR="00B7214C" w:rsidRDefault="00B7214C" w:rsidP="00B7214C">
      <w:pPr>
        <w:pStyle w:val="p"/>
      </w:pPr>
      <w:r w:rsidRPr="00A37731">
        <w:br w:type="page"/>
      </w:r>
      <w:r>
        <w:t>[273]</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6" w:name="Entre_tradition_pt_2_texte_17"/>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17</w:t>
      </w:r>
    </w:p>
    <w:p w:rsidR="00B7214C" w:rsidRDefault="00B7214C" w:rsidP="00B7214C">
      <w:pPr>
        <w:pStyle w:val="Titreniveau2"/>
      </w:pPr>
      <w:r>
        <w:t>“L'articulation des rapports</w:t>
      </w:r>
      <w:r>
        <w:br/>
      </w:r>
      <w:r w:rsidRPr="00710CAC">
        <w:t>individu/famille/État dans</w:t>
      </w:r>
      <w:r>
        <w:br/>
      </w:r>
      <w:r w:rsidRPr="00710CAC">
        <w:t>les représent</w:t>
      </w:r>
      <w:r w:rsidRPr="00710CAC">
        <w:t>a</w:t>
      </w:r>
      <w:r w:rsidRPr="00710CAC">
        <w:t>tions du lien parental</w:t>
      </w:r>
      <w:r>
        <w:t>.” </w:t>
      </w:r>
      <w:r>
        <w:rPr>
          <w:rStyle w:val="Appelnotedebasdep"/>
        </w:rPr>
        <w:footnoteReference w:id="222"/>
      </w:r>
    </w:p>
    <w:bookmarkEnd w:id="26"/>
    <w:p w:rsidR="00B7214C" w:rsidRPr="00E07116" w:rsidRDefault="00B7214C" w:rsidP="00B7214C">
      <w:pPr>
        <w:jc w:val="both"/>
        <w:rPr>
          <w:szCs w:val="36"/>
        </w:rPr>
      </w:pPr>
    </w:p>
    <w:p w:rsidR="00B7214C" w:rsidRPr="00E07116" w:rsidRDefault="00B7214C" w:rsidP="00B7214C">
      <w:pPr>
        <w:pStyle w:val="suite"/>
      </w:pPr>
      <w:r>
        <w:t>Par Hélène BELLEAU</w:t>
      </w:r>
    </w:p>
    <w:p w:rsidR="00B7214C" w:rsidRPr="00E07116" w:rsidRDefault="00B7214C" w:rsidP="00B7214C">
      <w:pPr>
        <w:pStyle w:val="auteurst"/>
      </w:pPr>
      <w:r w:rsidRPr="004A7EF1">
        <w:t xml:space="preserve">Étudiante au doctorat en sociologie. Université de Montréal </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spacing w:before="120" w:after="120"/>
        <w:jc w:val="both"/>
      </w:pPr>
      <w:r>
        <w:t>Au</w:t>
      </w:r>
      <w:r w:rsidRPr="00A37731">
        <w:t xml:space="preserve"> cours des dernières années, la sociologie de la famille a vu s'accroître le nombre d'essais typologiques visant à donner une certa</w:t>
      </w:r>
      <w:r w:rsidRPr="00A37731">
        <w:t>i</w:t>
      </w:r>
      <w:r w:rsidRPr="00A37731">
        <w:t>ne cohérence aux phénomènes nouveaux qui se manifestaient dans les tableaux statistiques des démogr</w:t>
      </w:r>
      <w:r w:rsidRPr="00A37731">
        <w:t>a</w:t>
      </w:r>
      <w:r w:rsidRPr="00A37731">
        <w:t xml:space="preserve">phes. Jean Kellerhals </w:t>
      </w:r>
      <w:r w:rsidRPr="006C6B2F">
        <w:rPr>
          <w:i/>
          <w:iCs/>
        </w:rPr>
        <w:t>et al.</w:t>
      </w:r>
      <w:r w:rsidRPr="00A37731">
        <w:t xml:space="preserve"> (1984) et plus récemment Bawin-Legros et Sommer (1987) ont fait la recension de certaines classifications des formes d'unités familiales afin d'en d</w:t>
      </w:r>
      <w:r w:rsidRPr="00A37731">
        <w:t>é</w:t>
      </w:r>
      <w:r w:rsidRPr="00A37731">
        <w:t>gager les caractéristiques communes. Ces auteurs ont d'abord con</w:t>
      </w:r>
      <w:r w:rsidRPr="00A37731">
        <w:t>s</w:t>
      </w:r>
      <w:r w:rsidRPr="00A37731">
        <w:t>taté que ces typologies sont de nature théorique, c'est-à-dire qu'elles ne prétendent pas répertorier des types concrets de modèles de familles. Elles cherchent plutôt à faire ressortir des grandes catégories dans le</w:t>
      </w:r>
      <w:r w:rsidRPr="00A37731">
        <w:t>s</w:t>
      </w:r>
      <w:r w:rsidRPr="00A37731">
        <w:t>quelles pourront s'insérer les diverses formes de familles et ce, à partir d'un nombre limité de variables. Elles servent en ce sens de grille de lecture et plus rarement de cadre d'analyse à caractère heuristique. Les auteurs de ces typologies usent par ailleurs d'indicateurs tant macros</w:t>
      </w:r>
      <w:r w:rsidRPr="00A37731">
        <w:t>o</w:t>
      </w:r>
      <w:r w:rsidRPr="00A37731">
        <w:t>ciologiques (divortialité, fécondité, nuptialité) que microsociologiques (affectivité, socialisation, formation de l'identité psycho-affective, etc.). Enfin, on observe que ces typologies ont souvent pour fond</w:t>
      </w:r>
      <w:r w:rsidRPr="00A37731">
        <w:t>e</w:t>
      </w:r>
      <w:r w:rsidRPr="00A37731">
        <w:t>ment l'hypothèse selon l</w:t>
      </w:r>
      <w:r w:rsidRPr="00A37731">
        <w:t>a</w:t>
      </w:r>
      <w:r w:rsidRPr="00A37731">
        <w:t>quelle les structures familiales sont en étroite relation avec l'environnement social. En effet, on remarque qu'elles tendent presque toutes à cerner les diverses formes d'organisation f</w:t>
      </w:r>
      <w:r w:rsidRPr="00A37731">
        <w:t>a</w:t>
      </w:r>
      <w:r w:rsidRPr="00A37731">
        <w:t>miliale en fonction de l'intégration ou des relations qu'elles entretie</w:t>
      </w:r>
      <w:r w:rsidRPr="00A37731">
        <w:t>n</w:t>
      </w:r>
      <w:r w:rsidRPr="00A37731">
        <w:t>nent</w:t>
      </w:r>
      <w:r>
        <w:t xml:space="preserve"> [274] </w:t>
      </w:r>
      <w:r w:rsidRPr="00A37731">
        <w:t>avec des éléments exogènes. Pour ne citer que quelques exemples, mentionnons l'importance accordée tantôt à l'éc</w:t>
      </w:r>
      <w:r w:rsidRPr="00A37731">
        <w:t>o</w:t>
      </w:r>
      <w:r w:rsidRPr="00A37731">
        <w:t>nomie (Menahem, 1979), tantôt à la finalité de l'échange familial ou au pri</w:t>
      </w:r>
      <w:r w:rsidRPr="00A37731">
        <w:t>n</w:t>
      </w:r>
      <w:r w:rsidRPr="00A37731">
        <w:t>cipe qui oriente l'intégration (Roussel, 1980), ou encore celle donnée aux types de rapports qui prédominent entre les membres de l'unité familiale (Farber, 1984 ; Bawin-Legros et Sommer, 1987).</w:t>
      </w:r>
    </w:p>
    <w:p w:rsidR="00B7214C" w:rsidRPr="00A37731" w:rsidRDefault="00B7214C" w:rsidP="00B7214C">
      <w:pPr>
        <w:spacing w:before="120" w:after="120"/>
        <w:jc w:val="both"/>
      </w:pPr>
      <w:r w:rsidRPr="00A37731">
        <w:t>Bien que les essais typologiques visaient à améliorer notre co</w:t>
      </w:r>
      <w:r w:rsidRPr="00A37731">
        <w:t>m</w:t>
      </w:r>
      <w:r w:rsidRPr="00A37731">
        <w:t>préhension des transformations de l'institution familiale, il semble que jusqu'à ce jour aucune étude ne se soit attardée à l'analyse des mani</w:t>
      </w:r>
      <w:r w:rsidRPr="00A37731">
        <w:t>è</w:t>
      </w:r>
      <w:r>
        <w:t>res de problé</w:t>
      </w:r>
      <w:r w:rsidRPr="00A37731">
        <w:t>matiser la famille. La pr</w:t>
      </w:r>
      <w:r w:rsidRPr="00A37731">
        <w:t>é</w:t>
      </w:r>
      <w:r w:rsidRPr="00A37731">
        <w:t>sente étude se veut donc une première tentative pour combler cette lacune. Comme nous le verrons, sous couvert de parler de la famille on traite en effet d'une multitude de sujets. La complexité des discussions concernant la définition de la f</w:t>
      </w:r>
      <w:r w:rsidRPr="00A37731">
        <w:t>a</w:t>
      </w:r>
      <w:r w:rsidRPr="00A37731">
        <w:t>mille renvoie essentiellement à des glissements de sens qui font qu'une définition basée sur le lien parental donne parfois l'illusion d'un consensus. À la différence des typologies abo</w:t>
      </w:r>
      <w:r w:rsidRPr="00A37731">
        <w:t>r</w:t>
      </w:r>
      <w:r w:rsidRPr="00A37731">
        <w:t>dées précédemment, celle que nous bâtirons se fondera en conséquence, non pas sur des modèles de familles, mais pl</w:t>
      </w:r>
      <w:r w:rsidRPr="00A37731">
        <w:t>u</w:t>
      </w:r>
      <w:r w:rsidRPr="00A37731">
        <w:t>tôt sur les manières de conceptualiser la famille. Cette étude apportera, nous l'espérons, un nouvel éclairage en ce qu'elle fera ressortir les idéologies inhérentes aux diverses défin</w:t>
      </w:r>
      <w:r w:rsidRPr="00A37731">
        <w:t>i</w:t>
      </w:r>
      <w:r w:rsidRPr="00A37731">
        <w:t>tions de la famille et plus spécifiquement les manières qu'ont les ind</w:t>
      </w:r>
      <w:r w:rsidRPr="00A37731">
        <w:t>i</w:t>
      </w:r>
      <w:r w:rsidRPr="00A37731">
        <w:t xml:space="preserve">vidus et les groupes, de concevoir les rapports État/famille, </w:t>
      </w:r>
      <w:r>
        <w:t>État</w:t>
      </w:r>
      <w:r w:rsidRPr="00A37731">
        <w:t>/société civile, individu/famille et enfin les rapports ho</w:t>
      </w:r>
      <w:r w:rsidRPr="00A37731">
        <w:t>m</w:t>
      </w:r>
      <w:r w:rsidRPr="00A37731">
        <w:t>mes/femmes.</w:t>
      </w:r>
    </w:p>
    <w:p w:rsidR="00B7214C" w:rsidRPr="00A37731" w:rsidRDefault="00B7214C" w:rsidP="00B7214C">
      <w:pPr>
        <w:spacing w:before="120" w:after="120"/>
        <w:jc w:val="both"/>
      </w:pPr>
      <w:r w:rsidRPr="00A37731">
        <w:t>Dans le but de mettre en lumière la teneur des enjeux qui entourent la définition de la famille, nous exposerons une pa</w:t>
      </w:r>
      <w:r w:rsidRPr="00A37731">
        <w:t>r</w:t>
      </w:r>
      <w:r w:rsidRPr="00A37731">
        <w:t>tie des résultats d'une étude effectuée à l'aide d'un échantillon de 35 mémoires d'org</w:t>
      </w:r>
      <w:r w:rsidRPr="00A37731">
        <w:t>a</w:t>
      </w:r>
      <w:r w:rsidRPr="00A37731">
        <w:t>nismes nationaux ayant participé à la consultation provinciale de 1985 en vue de l'élaboration d'une politique familiale québécoise. Malgré les efforts déployés pour arriver à une entente sur l'orientation go</w:t>
      </w:r>
      <w:r w:rsidRPr="00A37731">
        <w:t>u</w:t>
      </w:r>
      <w:r w:rsidRPr="00A37731">
        <w:t>vernementale en la matière, cette politique fut l'objet de nombreuses critiques. La définition de la famille se trouvait au coeur des d</w:t>
      </w:r>
      <w:r w:rsidRPr="00A37731">
        <w:t>é</w:t>
      </w:r>
      <w:r w:rsidRPr="00A37731">
        <w:t>bats. Partant de ce constat, nous avons émis l'hypothèse selon laquelle la difficulté d'arriver à un consensus sur la politique familiale découle du fait qu'il exist</w:t>
      </w:r>
      <w:r>
        <w:t>e plusieurs manières de problé</w:t>
      </w:r>
      <w:r w:rsidRPr="00A37731">
        <w:t>matiser la famille. C'est donc à partir des définitions énoncées par les organismes nationaux, dans les mémoires qu'ils ont soumis lors de la consultation sur la pol</w:t>
      </w:r>
      <w:r w:rsidRPr="00A37731">
        <w:t>i</w:t>
      </w:r>
      <w:r w:rsidRPr="00A37731">
        <w:t>tique fam</w:t>
      </w:r>
      <w:r w:rsidRPr="00A37731">
        <w:t>i</w:t>
      </w:r>
      <w:r w:rsidRPr="00A37731">
        <w:t>liale, que nous avons tenté de dégager la perception que ces derniers ont de la place et du rôle de la famille dans la société.</w:t>
      </w:r>
    </w:p>
    <w:p w:rsidR="00B7214C" w:rsidRPr="00A37731" w:rsidRDefault="00B7214C" w:rsidP="00B7214C">
      <w:pPr>
        <w:spacing w:before="120" w:after="120"/>
        <w:jc w:val="both"/>
      </w:pPr>
      <w:r w:rsidRPr="00A37731">
        <w:t>Dans une première partie, nous passerons en revue que</w:t>
      </w:r>
      <w:r w:rsidRPr="00A37731">
        <w:t>l</w:t>
      </w:r>
      <w:r w:rsidRPr="00A37731">
        <w:t>ques-uns des arguments des groupes qui structurent les dive</w:t>
      </w:r>
      <w:r w:rsidRPr="00A37731">
        <w:t>r</w:t>
      </w:r>
      <w:r>
        <w:t>ses manières de pro</w:t>
      </w:r>
      <w:r w:rsidRPr="00A37731">
        <w:t>blématiser la famille. Nous effectuerons, en seconde partie, une brève analyse en replaçant notamment le débat dans son contexte pol</w:t>
      </w:r>
      <w:r w:rsidRPr="00A37731">
        <w:t>i</w:t>
      </w:r>
      <w:r w:rsidRPr="00A37731">
        <w:t>tique et</w:t>
      </w:r>
      <w:r>
        <w:t xml:space="preserve"> [275] </w:t>
      </w:r>
      <w:r w:rsidRPr="00A37731">
        <w:t>social. Cette analyse, nous le souhaitons, contribuera à améliorer quelque peu notre compréhension des débats ayant entouré la mise en place de la politique familiale québécoise et plus global</w:t>
      </w:r>
      <w:r w:rsidRPr="00A37731">
        <w:t>e</w:t>
      </w:r>
      <w:r w:rsidRPr="00A37731">
        <w:t>ment les e</w:t>
      </w:r>
      <w:r w:rsidRPr="00A37731">
        <w:t>n</w:t>
      </w:r>
      <w:r w:rsidRPr="00A37731">
        <w:t>jeux inhérents à cette forme d'intervention étatique. Avant de poursuivre, il nous faudra cependant aborder certaines considér</w:t>
      </w:r>
      <w:r w:rsidRPr="00A37731">
        <w:t>a</w:t>
      </w:r>
      <w:r w:rsidRPr="00A37731">
        <w:t>tions méth</w:t>
      </w:r>
      <w:r w:rsidRPr="00A37731">
        <w:t>o</w:t>
      </w:r>
      <w:r w:rsidRPr="00A37731">
        <w:t>dologiques.</w:t>
      </w:r>
    </w:p>
    <w:p w:rsidR="00B7214C" w:rsidRPr="00A37731" w:rsidRDefault="00B7214C" w:rsidP="00B7214C">
      <w:pPr>
        <w:spacing w:before="120" w:after="120"/>
        <w:jc w:val="both"/>
      </w:pPr>
      <w:r w:rsidRPr="00A37731">
        <w:t>Compte tenu de l'ampleur de cette politique et de la grande divers</w:t>
      </w:r>
      <w:r w:rsidRPr="00A37731">
        <w:t>i</w:t>
      </w:r>
      <w:r w:rsidRPr="00A37731">
        <w:t>té des secteurs représentés par les participants, nous avons effectué un tri parmi les documents déposés. La séle</w:t>
      </w:r>
      <w:r w:rsidRPr="00A37731">
        <w:t>c</w:t>
      </w:r>
      <w:r w:rsidRPr="00A37731">
        <w:t>tion des mémoires soumis par les organismes nationaux fut basée essentiellement sur la présence de définitions de la f</w:t>
      </w:r>
      <w:r w:rsidRPr="00A37731">
        <w:t>a</w:t>
      </w:r>
      <w:r w:rsidRPr="00A37731">
        <w:t>mille ou de discussions sur le sujet. Précisons au passage que sous la bannière d'organismes nationaux, on retrouve à la fois des associations, des corporations professionnelles, des synd</w:t>
      </w:r>
      <w:r w:rsidRPr="00A37731">
        <w:t>i</w:t>
      </w:r>
      <w:r w:rsidRPr="00A37731">
        <w:t>cats, des organismes gouvernementaux et paragouverneme</w:t>
      </w:r>
      <w:r w:rsidRPr="00A37731">
        <w:t>n</w:t>
      </w:r>
      <w:r w:rsidRPr="00A37731">
        <w:t>taux œuvrant dans divers secteurs. Pour les fins de cette ét</w:t>
      </w:r>
      <w:r w:rsidRPr="00A37731">
        <w:t>u</w:t>
      </w:r>
      <w:r w:rsidRPr="00A37731">
        <w:t>de, nous avons dégagé sept catégories dans lesquelles on pourrait situer ces organismes en raison de leur adhésion à une idéologie, et/ou de leur intervention dans un secteur d'activité particulier : 1) Regroupements à caractère confe</w:t>
      </w:r>
      <w:r w:rsidRPr="00A37731">
        <w:t>s</w:t>
      </w:r>
      <w:r w:rsidRPr="00A37731">
        <w:t>sionnel ; 2) Organismes familiaux et parafamiliaux ; 3) Condition f</w:t>
      </w:r>
      <w:r w:rsidRPr="00A37731">
        <w:t>é</w:t>
      </w:r>
      <w:r w:rsidRPr="00A37731">
        <w:t>minine et approche féministe ; 4) Syndicats ; 5) Professio</w:t>
      </w:r>
      <w:r w:rsidRPr="00A37731">
        <w:t>n</w:t>
      </w:r>
      <w:r w:rsidRPr="00A37731">
        <w:t>nels des services sociaux ; 6) Organismes du milieu rural ; 7) Regroupements divers.</w:t>
      </w:r>
    </w:p>
    <w:p w:rsidR="00B7214C" w:rsidRDefault="00B7214C" w:rsidP="00B7214C">
      <w:pPr>
        <w:spacing w:before="120" w:after="120"/>
        <w:jc w:val="both"/>
      </w:pPr>
      <w:r w:rsidRPr="00A37731">
        <w:t>Après avoir fait une lecture des documents déposés, nous avons dégagé quatre dimensions, appelées ici paramètres. Ces derniers r</w:t>
      </w:r>
      <w:r w:rsidRPr="00A37731">
        <w:t>e</w:t>
      </w:r>
      <w:r w:rsidRPr="00A37731">
        <w:t>groupent la majorité des thèmes abordés dans l'argumentation des o</w:t>
      </w:r>
      <w:r w:rsidRPr="00A37731">
        <w:t>r</w:t>
      </w:r>
      <w:r w:rsidRPr="00A37731">
        <w:t>ganismes, à savoir : la morphologie de la famille, les fonctions qui lui sont attribuées, l'horizon temporel et enfin la façon d'envisager la d</w:t>
      </w:r>
      <w:r w:rsidRPr="00A37731">
        <w:t>i</w:t>
      </w:r>
      <w:r w:rsidRPr="00A37731">
        <w:t>chotomie privé/public. L'intention première de cet exercice n'était pas de définir a priori les axes de la typologie, mais plutôt de mieux cerner les divers aspects traités dans les mémoires en procédant par indu</w:t>
      </w:r>
      <w:r w:rsidRPr="00A37731">
        <w:t>c</w:t>
      </w:r>
      <w:r w:rsidRPr="00A37731">
        <w:t>tion. Ces paramètres se veulent donc très larges et se ch</w:t>
      </w:r>
      <w:r w:rsidRPr="00A37731">
        <w:t>e</w:t>
      </w:r>
      <w:r w:rsidRPr="00A37731">
        <w:t>vauchent à bien des égards. Dans le cadre de la recherche, ces quatre paramètres ont d'abord été étudiés indépendamment les uns des autres pour ensu</w:t>
      </w:r>
      <w:r w:rsidRPr="00A37731">
        <w:t>i</w:t>
      </w:r>
      <w:r w:rsidRPr="00A37731">
        <w:t>te être mis en correspondance. Pour fin de clarté toutefois, la morph</w:t>
      </w:r>
      <w:r w:rsidRPr="00A37731">
        <w:t>o</w:t>
      </w:r>
      <w:r w:rsidRPr="00A37731">
        <w:t>logie sera ici utilisée comme point de référence pour aborder les trois autres paramètres. Sur la base de ce découpage, nous avons enfin comparé les définitions des organismes afin de mettre en évidence quatre perspectives théoriques faisant appel à des logiques distinctes. Nous devrons cependant nous limiter ici à la présentation d'un nombre restreint d'éléments qui ont distingué ces perspect</w:t>
      </w:r>
      <w:r w:rsidRPr="00A37731">
        <w:t>i</w:t>
      </w:r>
      <w:r w:rsidRPr="00A37731">
        <w:t>ves.</w:t>
      </w:r>
    </w:p>
    <w:p w:rsidR="00B7214C" w:rsidRDefault="00B7214C" w:rsidP="00B7214C">
      <w:pPr>
        <w:spacing w:before="120" w:after="120"/>
        <w:jc w:val="both"/>
      </w:pPr>
      <w:r>
        <w:t>[</w:t>
      </w:r>
      <w:r w:rsidRPr="00A37731">
        <w:t>276</w:t>
      </w:r>
      <w:r>
        <w:t>]</w:t>
      </w:r>
    </w:p>
    <w:p w:rsidR="00B7214C" w:rsidRDefault="00B7214C" w:rsidP="00B7214C">
      <w:pPr>
        <w:spacing w:before="120" w:after="120"/>
        <w:jc w:val="both"/>
      </w:pPr>
    </w:p>
    <w:p w:rsidR="00B7214C" w:rsidRPr="00A37731" w:rsidRDefault="00B7214C" w:rsidP="00B7214C">
      <w:pPr>
        <w:pStyle w:val="a"/>
      </w:pPr>
      <w:r>
        <w:t>DESCRIPTION SOMMAIRE</w:t>
      </w:r>
      <w:r>
        <w:br/>
        <w:t>DE L’ARGUMENTATION DES ORGANISMES</w:t>
      </w:r>
    </w:p>
    <w:p w:rsidR="00B7214C" w:rsidRDefault="00B7214C" w:rsidP="00B7214C">
      <w:pPr>
        <w:spacing w:before="120" w:after="120"/>
        <w:jc w:val="both"/>
        <w:rPr>
          <w:rStyle w:val="En-tte210ptNonItalique"/>
          <w:b/>
          <w:bCs/>
        </w:rPr>
      </w:pPr>
    </w:p>
    <w:p w:rsidR="00B7214C" w:rsidRPr="00764C02" w:rsidRDefault="00B7214C" w:rsidP="00B7214C">
      <w:pPr>
        <w:pStyle w:val="b"/>
      </w:pPr>
      <w:r>
        <w:t>Premier paramètre :</w:t>
      </w:r>
      <w:r>
        <w:br/>
      </w:r>
      <w:r w:rsidRPr="00764C02">
        <w:t>Éléments morphologiques</w:t>
      </w:r>
    </w:p>
    <w:p w:rsidR="00B7214C" w:rsidRDefault="00B7214C" w:rsidP="00B7214C">
      <w:pPr>
        <w:spacing w:before="120" w:after="120"/>
        <w:jc w:val="both"/>
      </w:pPr>
    </w:p>
    <w:p w:rsidR="00B7214C" w:rsidRPr="00A37731" w:rsidRDefault="00B7214C" w:rsidP="00B7214C">
      <w:pPr>
        <w:spacing w:before="120" w:after="120"/>
        <w:jc w:val="both"/>
      </w:pPr>
      <w:r w:rsidRPr="00A37731">
        <w:t>À travers les écrits, il fut possible de relever diverses configur</w:t>
      </w:r>
      <w:r w:rsidRPr="00A37731">
        <w:t>a</w:t>
      </w:r>
      <w:r w:rsidRPr="00A37731">
        <w:t>tions privilégiées dans les définitions des groupes ; soit la communa</w:t>
      </w:r>
      <w:r w:rsidRPr="00A37731">
        <w:t>u</w:t>
      </w:r>
      <w:r w:rsidRPr="00A37731">
        <w:t>té conjugale, la communauté parentale ou la communauté fraternelle. À la communauté conjugale, corre</w:t>
      </w:r>
      <w:r w:rsidRPr="00A37731">
        <w:t>s</w:t>
      </w:r>
      <w:r w:rsidRPr="00A37731">
        <w:t>pond la nécessité de la présence d'un couple pour déterminer s'il s'agit d'une famille. Les liens unissant les membres sont régis par l'institution du mariage. Qu'il soit civil ou religieux, ce dernier est lu comme un contrat social pratiquement i</w:t>
      </w:r>
      <w:r w:rsidRPr="00A37731">
        <w:t>n</w:t>
      </w:r>
      <w:r w:rsidRPr="00A37731">
        <w:t>dissoluble qui constitue un élément régulateur essentiel à la vie en s</w:t>
      </w:r>
      <w:r w:rsidRPr="00A37731">
        <w:t>o</w:t>
      </w:r>
      <w:r w:rsidRPr="00A37731">
        <w:t>ciété. Ainsi, le mariage et la famille seraient en correspondance étro</w:t>
      </w:r>
      <w:r w:rsidRPr="00A37731">
        <w:t>i</w:t>
      </w:r>
      <w:r w:rsidRPr="00A37731">
        <w:t>te. L'enfant naît d'un père et d'une mère, diront certains ; la conjugalité est donc antérieure à la parentalité.</w:t>
      </w:r>
    </w:p>
    <w:p w:rsidR="00B7214C" w:rsidRPr="00A37731" w:rsidRDefault="00B7214C" w:rsidP="00B7214C">
      <w:pPr>
        <w:spacing w:before="120" w:after="120"/>
        <w:jc w:val="both"/>
      </w:pPr>
      <w:r w:rsidRPr="00A37731">
        <w:t>Une seconde manière de définir la famille prend appui sur la co</w:t>
      </w:r>
      <w:r w:rsidRPr="00A37731">
        <w:t>m</w:t>
      </w:r>
      <w:r w:rsidRPr="00A37731">
        <w:t>munauté parentale. Celle-ci renvoie à la relation p</w:t>
      </w:r>
      <w:r w:rsidRPr="00A37731">
        <w:t>a</w:t>
      </w:r>
      <w:r w:rsidRPr="00A37731">
        <w:t>rent(s)-enfant(s), bien qu'elle puisse être comprise au sens de famille étendue, de fami</w:t>
      </w:r>
      <w:r w:rsidRPr="00A37731">
        <w:t>l</w:t>
      </w:r>
      <w:r w:rsidRPr="00A37731">
        <w:t>le nucléaire ou encore référer à une définition où la famille inclut strictement les parents et leurs enfants mineurs. À travers les mémo</w:t>
      </w:r>
      <w:r w:rsidRPr="00A37731">
        <w:t>i</w:t>
      </w:r>
      <w:r w:rsidRPr="00A37731">
        <w:t>res nous avons pu dég</w:t>
      </w:r>
      <w:r w:rsidRPr="00A37731">
        <w:t>a</w:t>
      </w:r>
      <w:r w:rsidRPr="00A37731">
        <w:t>ger essentiellement deux grandes tendances : la relation p</w:t>
      </w:r>
      <w:r w:rsidRPr="00A37731">
        <w:t>a</w:t>
      </w:r>
      <w:r w:rsidRPr="00A37731">
        <w:t>rent(s)- enfant(s) envisagée dans un sens très large, c'est-à-dire sans spécification des membres qui la composent et l'a</w:t>
      </w:r>
      <w:r w:rsidRPr="00A37731">
        <w:t>u</w:t>
      </w:r>
      <w:r w:rsidRPr="00A37731">
        <w:t>tonomie individuelle par une définition limitée à la relation parent(s)-enfant(s) mineur(s). En d'autres termes, la famille, sur le plan politique, s'arrête à la majorité de l'enfant.</w:t>
      </w:r>
    </w:p>
    <w:p w:rsidR="00B7214C" w:rsidRPr="00A37731" w:rsidRDefault="00B7214C" w:rsidP="00B7214C">
      <w:pPr>
        <w:spacing w:before="120" w:after="120"/>
        <w:jc w:val="both"/>
      </w:pPr>
      <w:r w:rsidRPr="00A37731">
        <w:t>La famille définie sous la forme de la relation parent(s)-enfant(s) au sens large, est appréhendée comme une comm</w:t>
      </w:r>
      <w:r w:rsidRPr="00A37731">
        <w:t>u</w:t>
      </w:r>
      <w:r w:rsidRPr="00A37731">
        <w:t>nauté en soi qui a pour caractéristique principale de générer des liens de solidarité et d'unir les membres de la famille entre eux et à une communauté plus large. Par opposition, les org</w:t>
      </w:r>
      <w:r w:rsidRPr="00A37731">
        <w:t>a</w:t>
      </w:r>
      <w:r w:rsidRPr="00A37731">
        <w:t>nismes définissant la famille à partir de la relation parent(s)-enfant(s) mineur(s), la considère comme un conglomérat d'i</w:t>
      </w:r>
      <w:r w:rsidRPr="00A37731">
        <w:t>n</w:t>
      </w:r>
      <w:r w:rsidRPr="00A37731">
        <w:t>dividus qui n'a pas d'essence en soi, bien que ses fonctions aient une portée collective. Pour ces derniers, les rapports e</w:t>
      </w:r>
      <w:r w:rsidRPr="00A37731">
        <w:t>n</w:t>
      </w:r>
      <w:r w:rsidRPr="00A37731">
        <w:t>tre les membres seront fondés sur les liens affectifs dans la relation parentale, alors qu'entre conjoints, les relations devraient être à la m</w:t>
      </w:r>
      <w:r w:rsidRPr="00A37731">
        <w:t>e</w:t>
      </w:r>
      <w:r w:rsidRPr="00A37731">
        <w:t>sure de l'autonomie totale des individus, c'est-à-dire qu'elles pou</w:t>
      </w:r>
      <w:r w:rsidRPr="00A37731">
        <w:t>r</w:t>
      </w:r>
      <w:r w:rsidRPr="00A37731">
        <w:t>raient prendre parfois l'aspect d'une forme de partenariat entre homme et femme.</w:t>
      </w:r>
    </w:p>
    <w:p w:rsidR="00B7214C" w:rsidRPr="00A37731" w:rsidRDefault="00B7214C" w:rsidP="00B7214C">
      <w:pPr>
        <w:spacing w:before="120" w:after="120"/>
        <w:jc w:val="both"/>
      </w:pPr>
      <w:r w:rsidRPr="00A37731">
        <w:t>Enfin, au sujet de la communauté fraternelle, on parlera de la rel</w:t>
      </w:r>
      <w:r w:rsidRPr="00A37731">
        <w:t>a</w:t>
      </w:r>
      <w:r w:rsidRPr="00A37731">
        <w:t>tion adulte(s)-enfant(s) ou de la simple présence de liens affectifs et d'une volonté de soutien mutuel entre individus autonomes et non a</w:t>
      </w:r>
      <w:r w:rsidRPr="00A37731">
        <w:t>u</w:t>
      </w:r>
      <w:r w:rsidRPr="00A37731">
        <w:t>tonomes, pour définir ce qu'est une famille. À titre d'exemple, une personne</w:t>
      </w:r>
      <w:r>
        <w:t xml:space="preserve"> [</w:t>
      </w:r>
      <w:r w:rsidRPr="00A37731">
        <w:t>277</w:t>
      </w:r>
      <w:r>
        <w:t xml:space="preserve">] </w:t>
      </w:r>
      <w:r w:rsidRPr="00A37731">
        <w:t>adulte prenant soin d'un ami malade ou âgé, serait consid</w:t>
      </w:r>
      <w:r w:rsidRPr="00A37731">
        <w:t>é</w:t>
      </w:r>
      <w:r w:rsidRPr="00A37731">
        <w:t>rée comme une famille.</w:t>
      </w:r>
    </w:p>
    <w:p w:rsidR="00B7214C" w:rsidRDefault="00B7214C" w:rsidP="00B7214C">
      <w:pPr>
        <w:spacing w:before="120" w:after="120"/>
        <w:jc w:val="both"/>
      </w:pPr>
      <w:r>
        <w:br w:type="page"/>
      </w:r>
    </w:p>
    <w:p w:rsidR="00B7214C" w:rsidRPr="00764C02" w:rsidRDefault="00B7214C" w:rsidP="00B7214C">
      <w:pPr>
        <w:pStyle w:val="b"/>
      </w:pPr>
      <w:r w:rsidRPr="00764C02">
        <w:t xml:space="preserve">Deuxième paramètre : </w:t>
      </w:r>
      <w:r>
        <w:br/>
      </w:r>
      <w:r w:rsidRPr="00764C02">
        <w:t>Les fonctions attribuées à la famille</w:t>
      </w:r>
    </w:p>
    <w:p w:rsidR="00B7214C" w:rsidRDefault="00B7214C" w:rsidP="00B7214C">
      <w:pPr>
        <w:spacing w:before="120" w:after="120"/>
        <w:jc w:val="both"/>
      </w:pPr>
    </w:p>
    <w:p w:rsidR="00B7214C" w:rsidRPr="00A37731" w:rsidRDefault="00B7214C" w:rsidP="00B7214C">
      <w:pPr>
        <w:spacing w:before="120" w:after="120"/>
        <w:jc w:val="both"/>
      </w:pPr>
      <w:r w:rsidRPr="00A37731">
        <w:t>Au chapitre des fonctions, force est de constater des diff</w:t>
      </w:r>
      <w:r w:rsidRPr="00A37731">
        <w:t>é</w:t>
      </w:r>
      <w:r w:rsidRPr="00A37731">
        <w:t>rences également substantielles entre les manières de problématiser la fami</w:t>
      </w:r>
      <w:r w:rsidRPr="00A37731">
        <w:t>l</w:t>
      </w:r>
      <w:r w:rsidRPr="00A37731">
        <w:t>le. Si pour tous les groupes on retrouve au premier rang l'éducation et la socialisation, les tenants de la communauté conjugale y ajoutent la procréation, perçue comme moyen de régénérer la société et donc d'en assurer la survie. Politique familiale et politique nataliste vont d'ai</w:t>
      </w:r>
      <w:r w:rsidRPr="00A37731">
        <w:t>l</w:t>
      </w:r>
      <w:r w:rsidRPr="00A37731">
        <w:t>leurs de pair selon ces groupes.</w:t>
      </w:r>
    </w:p>
    <w:p w:rsidR="00B7214C" w:rsidRPr="00A37731" w:rsidRDefault="00B7214C" w:rsidP="00B7214C">
      <w:pPr>
        <w:spacing w:before="120" w:after="120"/>
        <w:jc w:val="both"/>
      </w:pPr>
      <w:r w:rsidRPr="00A37731">
        <w:t>Les organismes appuyant une définition basée sur la co</w:t>
      </w:r>
      <w:r w:rsidRPr="00A37731">
        <w:t>m</w:t>
      </w:r>
      <w:r w:rsidRPr="00A37731">
        <w:t>munauté parentale au sens large, c'est-à-dire parent(s)-enfant(s), mettront l'e</w:t>
      </w:r>
      <w:r w:rsidRPr="00A37731">
        <w:t>m</w:t>
      </w:r>
      <w:r w:rsidRPr="00A37731">
        <w:t>phase, pour leur part, sur la dimension intégratrice de la famille. En socialisant ses membres, la f</w:t>
      </w:r>
      <w:r w:rsidRPr="00A37731">
        <w:t>a</w:t>
      </w:r>
      <w:r w:rsidRPr="00A37731">
        <w:t>mille serait perçue comme le pont entre l'espace privé et l'e</w:t>
      </w:r>
      <w:r w:rsidRPr="00A37731">
        <w:t>s</w:t>
      </w:r>
      <w:r w:rsidRPr="00A37731">
        <w:t>pace public.</w:t>
      </w:r>
    </w:p>
    <w:p w:rsidR="00B7214C" w:rsidRPr="00A37731" w:rsidRDefault="00B7214C" w:rsidP="00B7214C">
      <w:pPr>
        <w:spacing w:before="120" w:after="120"/>
        <w:jc w:val="both"/>
      </w:pPr>
      <w:r w:rsidRPr="00A37731">
        <w:t>Par opposition, chez nombre d'organismes prônant une d</w:t>
      </w:r>
      <w:r w:rsidRPr="00A37731">
        <w:t>é</w:t>
      </w:r>
      <w:r w:rsidRPr="00A37731">
        <w:t>finition basée sur la relation parent(s)-enfant(s) mineur(s), on remarque l'insi</w:t>
      </w:r>
      <w:r w:rsidRPr="00A37731">
        <w:t>s</w:t>
      </w:r>
      <w:r w:rsidRPr="00A37731">
        <w:t>tance sur l'argument selon lequel la famille n'est pas le Heu exclusif de socialisation des individus. Ce</w:t>
      </w:r>
      <w:r w:rsidRPr="00A37731">
        <w:t>r</w:t>
      </w:r>
      <w:r w:rsidRPr="00A37731">
        <w:t>tes, elle a pour fonction première de prendre soin des enfants en tant qu'individus non autonomes et de les appuyer tout au long de leur cheminement vers l'autonomie. La fami</w:t>
      </w:r>
      <w:r w:rsidRPr="00A37731">
        <w:t>l</w:t>
      </w:r>
      <w:r w:rsidRPr="00A37731">
        <w:t>le représente, en ce sens, le lieu d'accomplissement des individus. C</w:t>
      </w:r>
      <w:r w:rsidRPr="00A37731">
        <w:t>e</w:t>
      </w:r>
      <w:r w:rsidRPr="00A37731">
        <w:t>pendant, on soulignera qu'elle ne doit pas brimer les ambitions indiv</w:t>
      </w:r>
      <w:r w:rsidRPr="00A37731">
        <w:t>i</w:t>
      </w:r>
      <w:r w:rsidRPr="00A37731">
        <w:t>duelles de ceux qui en ont la charge. La responsabilité parentale n</w:t>
      </w:r>
      <w:r w:rsidRPr="00A37731">
        <w:t>é</w:t>
      </w:r>
      <w:r w:rsidRPr="00A37731">
        <w:t>cessite à ce titre l'engagement conjoint, qu'il y ait rupture ou non.</w:t>
      </w:r>
    </w:p>
    <w:p w:rsidR="00B7214C" w:rsidRPr="00A37731" w:rsidRDefault="00B7214C" w:rsidP="00B7214C">
      <w:pPr>
        <w:spacing w:before="120" w:after="120"/>
        <w:jc w:val="both"/>
      </w:pPr>
      <w:r w:rsidRPr="00A37731">
        <w:t>La principale fonction de la famille, lorsqu'elle est définie comme une communauté f</w:t>
      </w:r>
      <w:r>
        <w:t>raternelle, est d'assurer la soli</w:t>
      </w:r>
      <w:r w:rsidRPr="00A37731">
        <w:t>darité et la cohésion des individus, des familles et des groupes. Cette solidarité n'est poss</w:t>
      </w:r>
      <w:r w:rsidRPr="00A37731">
        <w:t>i</w:t>
      </w:r>
      <w:r w:rsidRPr="00A37731">
        <w:t>ble que par le soutien mutuel et la reconnaissance sociale des indiv</w:t>
      </w:r>
      <w:r w:rsidRPr="00A37731">
        <w:t>i</w:t>
      </w:r>
      <w:r w:rsidRPr="00A37731">
        <w:t>dus. Contrairement aux organismes valorisant la communauté parent</w:t>
      </w:r>
      <w:r w:rsidRPr="00A37731">
        <w:t>a</w:t>
      </w:r>
      <w:r w:rsidRPr="00A37731">
        <w:t>le au sens large, l'e</w:t>
      </w:r>
      <w:r w:rsidRPr="00A37731">
        <w:t>m</w:t>
      </w:r>
      <w:r w:rsidRPr="00A37731">
        <w:t>phase sera mise ici sur l'autonomie des personnes et sur les choix individuels. C'est en ce sens que l'on encouragera les responsabilités parentales partagées mais aussi le droit à la parentalité individuelle, tant pour les hommes que pour les femmes. Dans cette perspective, considérer la famille comme la cellule de base de la s</w:t>
      </w:r>
      <w:r w:rsidRPr="00A37731">
        <w:t>o</w:t>
      </w:r>
      <w:r w:rsidRPr="00A37731">
        <w:t>ciété équivaudrait à faire un choix parmi les nombreuses institutions et les groupes sociaux qui la structurent.</w:t>
      </w:r>
    </w:p>
    <w:p w:rsidR="00B7214C" w:rsidRPr="00A37731" w:rsidRDefault="00B7214C" w:rsidP="00B7214C">
      <w:pPr>
        <w:spacing w:before="120" w:after="120"/>
        <w:jc w:val="both"/>
      </w:pPr>
      <w:r w:rsidRPr="00A37731">
        <w:t>L'aspect peut-être le plus important qu'a révélé cette anal</w:t>
      </w:r>
      <w:r w:rsidRPr="00A37731">
        <w:t>y</w:t>
      </w:r>
      <w:r w:rsidRPr="00A37731">
        <w:t>se tient au fait que malgré les multiples représentations de la famille, un large</w:t>
      </w:r>
      <w:r>
        <w:t xml:space="preserve"> [278] </w:t>
      </w:r>
      <w:r w:rsidRPr="00A37731">
        <w:t>consensus s'est établi, peut-être le seul d'ailleurs, autour de l'i</w:t>
      </w:r>
      <w:r w:rsidRPr="00A37731">
        <w:t>m</w:t>
      </w:r>
      <w:r w:rsidRPr="00A37731">
        <w:t>po</w:t>
      </w:r>
      <w:r w:rsidRPr="00A37731">
        <w:t>r</w:t>
      </w:r>
      <w:r w:rsidRPr="00A37731">
        <w:t>tance de mettre en place des mesures étatiques visant à favoriser un meilleur partage des tâches domestiques entre conjoints.</w:t>
      </w:r>
    </w:p>
    <w:p w:rsidR="00B7214C" w:rsidRDefault="00B7214C" w:rsidP="00B7214C">
      <w:pPr>
        <w:spacing w:before="120" w:after="120"/>
        <w:jc w:val="both"/>
      </w:pPr>
    </w:p>
    <w:p w:rsidR="00B7214C" w:rsidRPr="00764C02" w:rsidRDefault="00B7214C" w:rsidP="00B7214C">
      <w:pPr>
        <w:pStyle w:val="b"/>
      </w:pPr>
      <w:r>
        <w:t>Troisième paramètre :</w:t>
      </w:r>
      <w:r>
        <w:br/>
      </w:r>
      <w:r w:rsidRPr="00764C02">
        <w:t>L'horizon temporel</w:t>
      </w:r>
    </w:p>
    <w:p w:rsidR="00B7214C" w:rsidRDefault="00B7214C" w:rsidP="00B7214C">
      <w:pPr>
        <w:spacing w:before="120" w:after="120"/>
        <w:jc w:val="both"/>
      </w:pPr>
    </w:p>
    <w:p w:rsidR="00B7214C" w:rsidRPr="00A37731" w:rsidRDefault="00B7214C" w:rsidP="00B7214C">
      <w:pPr>
        <w:spacing w:before="120" w:after="120"/>
        <w:jc w:val="both"/>
      </w:pPr>
      <w:r w:rsidRPr="00A37731">
        <w:t>L'horizon temporel présente lui aussi des différences. Là où la f</w:t>
      </w:r>
      <w:r w:rsidRPr="00A37731">
        <w:t>a</w:t>
      </w:r>
      <w:r w:rsidRPr="00A37731">
        <w:t>mille s'inscrit dans le prolongement de la société, la durée des unions conjugales est perçue comme un préalable à la stabilité sociale. À m</w:t>
      </w:r>
      <w:r w:rsidRPr="00A37731">
        <w:t>e</w:t>
      </w:r>
      <w:r w:rsidRPr="00A37731">
        <w:t>sure que l'on passe d'une valorisation de la communauté parentale à la communauté fraternelle comme dénominateur commun des familles québécoises, on observera que la référence à la durée prend une moi</w:t>
      </w:r>
      <w:r w:rsidRPr="00A37731">
        <w:t>n</w:t>
      </w:r>
      <w:r w:rsidRPr="00A37731">
        <w:t>dre i</w:t>
      </w:r>
      <w:r w:rsidRPr="00A37731">
        <w:t>m</w:t>
      </w:r>
      <w:r w:rsidRPr="00A37731">
        <w:t>portance. Pour reprendre les termes de Roussel, il semble que le temps est perçu « comme une juxtaposition de moments équivalents, mais de plus en plus improbables au fur et à m</w:t>
      </w:r>
      <w:r w:rsidRPr="00A37731">
        <w:t>e</w:t>
      </w:r>
      <w:r w:rsidRPr="00A37731">
        <w:t>sure que l'on s'éloigne du présent » (1989, p. 243). En effet, pour ceux qui définissent la f</w:t>
      </w:r>
      <w:r w:rsidRPr="00A37731">
        <w:t>a</w:t>
      </w:r>
      <w:r w:rsidRPr="00A37731">
        <w:t>mille comme la relation p</w:t>
      </w:r>
      <w:r w:rsidRPr="00A37731">
        <w:t>a</w:t>
      </w:r>
      <w:r w:rsidRPr="00A37731">
        <w:t>rent(s)- enfant(s), la permanence des liens conjugaux et parentaux s'inscrit dans les priorités bien que l'on reco</w:t>
      </w:r>
      <w:r w:rsidRPr="00A37731">
        <w:t>n</w:t>
      </w:r>
      <w:r w:rsidRPr="00A37731">
        <w:t>naisse les transformations des modes de vie des familles et les nouve</w:t>
      </w:r>
      <w:r w:rsidRPr="00A37731">
        <w:t>l</w:t>
      </w:r>
      <w:r w:rsidRPr="00A37731">
        <w:t>les contraintes à la permanence du soutien réciproque telles que, par exemple, l'augmentation de la mobilité géographique chez les jeunes.</w:t>
      </w:r>
    </w:p>
    <w:p w:rsidR="00B7214C" w:rsidRDefault="00B7214C" w:rsidP="00B7214C">
      <w:pPr>
        <w:spacing w:before="120" w:after="120"/>
        <w:jc w:val="both"/>
      </w:pPr>
      <w:r w:rsidRPr="00A37731">
        <w:t>Chez les organismes valorisant la relation parent(s)-enfant(s) mi- neur(s), on verra, par opposition, que seule la parentalité doit s'inscrire dans un rapport au temps continu. De nombreux regroupements lim</w:t>
      </w:r>
      <w:r w:rsidRPr="00A37731">
        <w:t>i</w:t>
      </w:r>
      <w:r w:rsidRPr="00A37731">
        <w:t>teront d'ailleurs cette re</w:t>
      </w:r>
      <w:r w:rsidRPr="00A37731">
        <w:t>s</w:t>
      </w:r>
      <w:r w:rsidRPr="00A37731">
        <w:t>ponsabilité parentale à l'âge de la majorité de l'enfant. On o</w:t>
      </w:r>
      <w:r w:rsidRPr="00A37731">
        <w:t>b</w:t>
      </w:r>
      <w:r w:rsidRPr="00A37731">
        <w:t>serve de plus, chez ces derniers, que toute référence au passé, notamment à la famille traditionnelle, est rejetée car elle re</w:t>
      </w:r>
      <w:r w:rsidRPr="00A37731">
        <w:t>n</w:t>
      </w:r>
      <w:r w:rsidRPr="00A37731">
        <w:t>voie, selon eux, à une idéalisation des conditions de vie ayant jadis prévalues.</w:t>
      </w:r>
    </w:p>
    <w:p w:rsidR="00B7214C" w:rsidRPr="00A37731" w:rsidRDefault="00B7214C" w:rsidP="00B7214C">
      <w:pPr>
        <w:spacing w:before="120" w:after="120"/>
        <w:jc w:val="both"/>
      </w:pPr>
      <w:r>
        <w:br w:type="page"/>
      </w:r>
    </w:p>
    <w:p w:rsidR="00B7214C" w:rsidRPr="00764C02" w:rsidRDefault="00B7214C" w:rsidP="00B7214C">
      <w:pPr>
        <w:pStyle w:val="b"/>
      </w:pPr>
      <w:r>
        <w:t>Quatrième paramètre :</w:t>
      </w:r>
      <w:r>
        <w:br/>
      </w:r>
      <w:r w:rsidRPr="00764C02">
        <w:t>La dichotomie privé/public</w:t>
      </w:r>
    </w:p>
    <w:p w:rsidR="00B7214C" w:rsidRDefault="00B7214C" w:rsidP="00B7214C">
      <w:pPr>
        <w:spacing w:before="120" w:after="120"/>
        <w:jc w:val="both"/>
      </w:pPr>
    </w:p>
    <w:p w:rsidR="00B7214C" w:rsidRPr="00A37731" w:rsidRDefault="00B7214C" w:rsidP="00B7214C">
      <w:pPr>
        <w:spacing w:before="120" w:after="120"/>
        <w:jc w:val="both"/>
      </w:pPr>
      <w:r w:rsidRPr="00A37731">
        <w:t>Aux dires des organismes ayant proposé une définition b</w:t>
      </w:r>
      <w:r w:rsidRPr="00A37731">
        <w:t>a</w:t>
      </w:r>
      <w:r w:rsidRPr="00A37731">
        <w:t>sée sur la communauté conjugale ou parentale au sens large, il semble que la famille soit une entité sociale dépassant le si</w:t>
      </w:r>
      <w:r w:rsidRPr="00A37731">
        <w:t>m</w:t>
      </w:r>
      <w:r w:rsidRPr="00A37731">
        <w:t>ple regroupement de personnes qui la composent. Pour les tenants de la communauté conjugale, l'État, qui paraît détenir le mandat d'assurer l'ordre social, se verra attribuer un rôle primordial dans la protection de l'institution familiale puisque cette dernière est perçue comme la base de l'édifice social. Tout en évitant l'ingérence dans la vie « privée » des familles, il devrait s'assurer d'une certaine conformité dans la morph</w:t>
      </w:r>
      <w:r w:rsidRPr="00A37731">
        <w:t>o</w:t>
      </w:r>
      <w:r w:rsidRPr="00A37731">
        <w:t>logie, par la valorisation d'un seul modèle de famille, et dans les responsabilités des familles, en faisant la promotion de ses valeurs essentielles (par des lois et réglementations telles qu'une charte</w:t>
      </w:r>
      <w:r>
        <w:t xml:space="preserve"> [</w:t>
      </w:r>
      <w:r w:rsidRPr="00A37731">
        <w:t>279</w:t>
      </w:r>
      <w:r>
        <w:t xml:space="preserve">] </w:t>
      </w:r>
      <w:r w:rsidRPr="00A37731">
        <w:t>des droits de la famille). Un manque à ce niveau risquerait de mettre en péril la soci</w:t>
      </w:r>
      <w:r w:rsidRPr="00A37731">
        <w:t>é</w:t>
      </w:r>
      <w:r w:rsidRPr="00A37731">
        <w:t>té tout entière. En dernière instance, il en résulte que, bien que l'on reconnaisse que la société i</w:t>
      </w:r>
      <w:r w:rsidRPr="00A37731">
        <w:t>n</w:t>
      </w:r>
      <w:r w:rsidRPr="00A37731">
        <w:t>fluence la famille, l'emphase serait mise sur la relation inverse, soit sur le fait que la famille détermine la soci</w:t>
      </w:r>
      <w:r w:rsidRPr="00A37731">
        <w:t>é</w:t>
      </w:r>
      <w:r w:rsidRPr="00A37731">
        <w:t>té.</w:t>
      </w:r>
    </w:p>
    <w:p w:rsidR="00B7214C" w:rsidRPr="00A37731" w:rsidRDefault="00B7214C" w:rsidP="00B7214C">
      <w:pPr>
        <w:spacing w:before="120" w:after="120"/>
        <w:jc w:val="both"/>
      </w:pPr>
      <w:r w:rsidRPr="00A37731">
        <w:t>Pour les organismes favorisant une définition basée sur la relation parent(s)-enfant(s), c'est le contraire qui se produit. On mettra l'accent sur une société saine et humaine comme condition à l'épanouissement des familles. L'État devrait donc agir en tant que soutien dans l'am</w:t>
      </w:r>
      <w:r w:rsidRPr="00A37731">
        <w:t>é</w:t>
      </w:r>
      <w:r w:rsidRPr="00A37731">
        <w:t>lioration de l'environn</w:t>
      </w:r>
      <w:r w:rsidRPr="00A37731">
        <w:t>e</w:t>
      </w:r>
      <w:r w:rsidRPr="00A37731">
        <w:t xml:space="preserve">ment matériel et social des familles afin de promouvoir les liens de solidarité entre familles, et de favoriser </w:t>
      </w:r>
      <w:r>
        <w:t>leur prise en charge par elles-</w:t>
      </w:r>
      <w:r w:rsidRPr="00A37731">
        <w:t>mêmes. C'est dans cette logique que l'on i</w:t>
      </w:r>
      <w:r w:rsidRPr="00A37731">
        <w:t>n</w:t>
      </w:r>
      <w:r w:rsidRPr="00A37731">
        <w:t>sistera sur l'autonomie des familles. À l'instar de ceux valor</w:t>
      </w:r>
      <w:r w:rsidRPr="00A37731">
        <w:t>i</w:t>
      </w:r>
      <w:r w:rsidRPr="00A37731">
        <w:t>sant la communauté conjugale, les tenants de la « famille comme garante des solidarités » estiment que celle-ci relève de la sphère privée au sens où elle aurait un droit à la non-intervention, tant et aussi longtemps qu'e</w:t>
      </w:r>
      <w:r w:rsidRPr="00A37731">
        <w:t>l</w:t>
      </w:r>
      <w:r w:rsidRPr="00A37731">
        <w:t>le assume adéquatement ses responsabilités. L'État, selon cette log</w:t>
      </w:r>
      <w:r w:rsidRPr="00A37731">
        <w:t>i</w:t>
      </w:r>
      <w:r w:rsidRPr="00A37731">
        <w:t>que, devrait jouer un rôle préventif et éducatif. C'est toutefois ici à un « État pédagogue » que l'on s'en remettra pour assurer le bon fon</w:t>
      </w:r>
      <w:r w:rsidRPr="00A37731">
        <w:t>c</w:t>
      </w:r>
      <w:r w:rsidRPr="00A37731">
        <w:t>tionnement des familles. La mise en place de cours de formation au métier de parent, de cours de psychologie et de relations interperso</w:t>
      </w:r>
      <w:r w:rsidRPr="00A37731">
        <w:t>n</w:t>
      </w:r>
      <w:r w:rsidRPr="00A37731">
        <w:t>nelles entre les membres de la famille entreront dans les avenues pr</w:t>
      </w:r>
      <w:r w:rsidRPr="00A37731">
        <w:t>i</w:t>
      </w:r>
      <w:r w:rsidRPr="00A37731">
        <w:t>vilégiées. On envisagera ainsi d'affermir la conformité culturelle du parentage et des ra</w:t>
      </w:r>
      <w:r w:rsidRPr="00A37731">
        <w:t>p</w:t>
      </w:r>
      <w:r w:rsidRPr="00A37731">
        <w:t>ports homme-femme.</w:t>
      </w:r>
    </w:p>
    <w:p w:rsidR="00B7214C" w:rsidRPr="00A37731" w:rsidRDefault="00B7214C" w:rsidP="00B7214C">
      <w:pPr>
        <w:spacing w:before="120" w:after="120"/>
        <w:jc w:val="both"/>
      </w:pPr>
      <w:r w:rsidRPr="00A37731">
        <w:t>Comparativement, pour les groupes prônant une définition réduite à la relation parent(s)-enfant(s) mineur(s), la famille relève du doma</w:t>
      </w:r>
      <w:r w:rsidRPr="00A37731">
        <w:t>i</w:t>
      </w:r>
      <w:r w:rsidRPr="00A37731">
        <w:t>ne public et le privé est associé à la dimension individuelle. Tout comme les organismes proposant une définition basée sur la comm</w:t>
      </w:r>
      <w:r w:rsidRPr="00A37731">
        <w:t>u</w:t>
      </w:r>
      <w:r w:rsidRPr="00A37731">
        <w:t>nauté parentale au sens large, le respect de la diversité des formes f</w:t>
      </w:r>
      <w:r w:rsidRPr="00A37731">
        <w:t>a</w:t>
      </w:r>
      <w:r w:rsidRPr="00A37731">
        <w:t>miliales est important. Ce qui diffère toutefois c'est l'accent mis non plus sur l'autonomie des familles mais sur celle des individus qui y vivent. Certaines dispositions gouvernementales ont été recomma</w:t>
      </w:r>
      <w:r w:rsidRPr="00A37731">
        <w:t>n</w:t>
      </w:r>
      <w:r w:rsidRPr="00A37731">
        <w:t>dées dans le but de renforcer cette autonomie. À titre d'exemple, me</w:t>
      </w:r>
      <w:r w:rsidRPr="00A37731">
        <w:t>n</w:t>
      </w:r>
      <w:r w:rsidRPr="00A37731">
        <w:t xml:space="preserve">tionnons le partage du revenu </w:t>
      </w:r>
      <w:r w:rsidRPr="000D1A32">
        <w:t xml:space="preserve">familial </w:t>
      </w:r>
      <w:r w:rsidRPr="00A37731">
        <w:t>et le redressement des inégal</w:t>
      </w:r>
      <w:r w:rsidRPr="00A37731">
        <w:t>i</w:t>
      </w:r>
      <w:r w:rsidRPr="00A37731">
        <w:t>tés sociales entre hommes et femmes.</w:t>
      </w:r>
    </w:p>
    <w:p w:rsidR="00B7214C" w:rsidRDefault="00B7214C" w:rsidP="00B7214C">
      <w:pPr>
        <w:spacing w:before="120" w:after="120"/>
        <w:jc w:val="both"/>
      </w:pPr>
      <w:r w:rsidRPr="00A37731">
        <w:t>Enfin, les tenants de la communauté fraternelle soulignent quant à eux le fait que l'individu appartient à plus d'un groupe social et qu'il est lié à plus d'une communauté. En conséque</w:t>
      </w:r>
      <w:r w:rsidRPr="00A37731">
        <w:t>n</w:t>
      </w:r>
      <w:r w:rsidRPr="00A37731">
        <w:t>ce, on attribuera à l'État la tâche d'assurer l'autonomie et la reconnaissance sociale de chacun (notamment par un travail garanti, un revenu universel) afin que tous puissent apporter, par leur participation au niveau comm</w:t>
      </w:r>
      <w:r w:rsidRPr="00A37731">
        <w:t>u</w:t>
      </w:r>
      <w:r w:rsidRPr="00A37731">
        <w:t>nautaire, le soutien à leur prochain et leur contribution personnelle à la société. Il semble donc y avoir rupture entre l'État et la communauté, mais continuité entre individu, famille et espace communa</w:t>
      </w:r>
      <w:r w:rsidRPr="00A37731">
        <w:t>u</w:t>
      </w:r>
      <w:r w:rsidRPr="00A37731">
        <w:t>taire.</w:t>
      </w:r>
    </w:p>
    <w:p w:rsidR="00B7214C" w:rsidRDefault="00B7214C" w:rsidP="00B7214C">
      <w:pPr>
        <w:spacing w:before="120" w:after="120"/>
        <w:jc w:val="both"/>
      </w:pPr>
      <w:r>
        <w:t>[280]</w:t>
      </w:r>
    </w:p>
    <w:p w:rsidR="00B7214C" w:rsidRDefault="00B7214C" w:rsidP="00B7214C">
      <w:pPr>
        <w:spacing w:before="120" w:after="120"/>
        <w:jc w:val="both"/>
      </w:pPr>
    </w:p>
    <w:p w:rsidR="00B7214C" w:rsidRDefault="00B7214C" w:rsidP="00B7214C">
      <w:pPr>
        <w:pStyle w:val="a"/>
      </w:pPr>
      <w:r>
        <w:t>QUELQUES ÉLÉMENTS D’ANALYSE…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L'analyse comparative des perspectives, à travers les divers par</w:t>
      </w:r>
      <w:r w:rsidRPr="00A37731">
        <w:t>a</w:t>
      </w:r>
      <w:r w:rsidRPr="00A37731">
        <w:t>mètres, nous a amené à conclure qu'il existe des l</w:t>
      </w:r>
      <w:r w:rsidRPr="00A37731">
        <w:t>o</w:t>
      </w:r>
      <w:r w:rsidRPr="00A37731">
        <w:t>giques distinctes génératrices de multiples manières de pr</w:t>
      </w:r>
      <w:r w:rsidRPr="00A37731">
        <w:t>o</w:t>
      </w:r>
      <w:r w:rsidRPr="00A37731">
        <w:t>blématiser la famille. Parler de la relation parent(s)-enfant(s) comme dénominateur commun à to</w:t>
      </w:r>
      <w:r w:rsidRPr="00A37731">
        <w:t>u</w:t>
      </w:r>
      <w:r w:rsidRPr="00A37731">
        <w:t>tes les familles, tel que le propose l'État québécois, semble donc pe</w:t>
      </w:r>
      <w:r w:rsidRPr="00A37731">
        <w:t>r</w:t>
      </w:r>
      <w:r w:rsidRPr="00A37731">
        <w:t>mettre de regrouper des visées politiques antagonistes dans une sorte de consensus superficiel. S'il est vrai que la majorité des organismes s'a</w:t>
      </w:r>
      <w:r w:rsidRPr="00A37731">
        <w:t>c</w:t>
      </w:r>
      <w:r w:rsidRPr="00A37731">
        <w:t>cordent sur le fait qu'il est primordial qu'une telle politique tienne compte d'une pluralité de formes d'unités familiales, il est tout aussi vrai que plusieurs définitions ont été proposées pour arriver à cette fin.</w:t>
      </w:r>
    </w:p>
    <w:p w:rsidR="00B7214C" w:rsidRPr="00A37731" w:rsidRDefault="00B7214C" w:rsidP="00B7214C">
      <w:pPr>
        <w:spacing w:before="120" w:after="120"/>
        <w:jc w:val="both"/>
      </w:pPr>
      <w:r w:rsidRPr="00A37731">
        <w:t>Le problème de définir la famille tient non seulement à l'hétérog</w:t>
      </w:r>
      <w:r w:rsidRPr="00A37731">
        <w:t>é</w:t>
      </w:r>
      <w:r w:rsidRPr="00A37731">
        <w:t>néité du vécu, des ressources et des objectifs des acteurs mais aussi au fait que tout le débat possède un caract</w:t>
      </w:r>
      <w:r w:rsidRPr="00A37731">
        <w:t>è</w:t>
      </w:r>
      <w:r w:rsidRPr="00A37731">
        <w:t>re éminemment politique. Les nombreux organismes che</w:t>
      </w:r>
      <w:r w:rsidRPr="00A37731">
        <w:t>r</w:t>
      </w:r>
      <w:r w:rsidRPr="00A37731">
        <w:t>chaient, sans nul doute, à faire valoir leurs intérêts auprès du gouvernement. Le droit à la non-ingérence, pour ne citer qu'un exemple, prendra diverses significations selon les gro</w:t>
      </w:r>
      <w:r w:rsidRPr="00A37731">
        <w:t>u</w:t>
      </w:r>
      <w:r w:rsidRPr="00A37731">
        <w:t>pes. En effet, si pour certains, tels que les regroupements de familles m</w:t>
      </w:r>
      <w:r w:rsidRPr="00A37731">
        <w:t>o</w:t>
      </w:r>
      <w:r w:rsidRPr="00A37731">
        <w:t>noparentales, les syndicats et certains groupes luttant contre la pauvr</w:t>
      </w:r>
      <w:r w:rsidRPr="00A37731">
        <w:t>e</w:t>
      </w:r>
      <w:r w:rsidRPr="00A37731">
        <w:t>té, le quotidien et l'avenir sont synonymes de conditions de vie préca</w:t>
      </w:r>
      <w:r w:rsidRPr="00A37731">
        <w:t>i</w:t>
      </w:r>
      <w:r w:rsidRPr="00A37731">
        <w:t>res, l'autonomie des membres de la famille prendra une grande impo</w:t>
      </w:r>
      <w:r w:rsidRPr="00A37731">
        <w:t>r</w:t>
      </w:r>
      <w:r w:rsidRPr="00A37731">
        <w:t>tance. Le domaine du privé sera abordé dans une perspective indiv</w:t>
      </w:r>
      <w:r w:rsidRPr="00A37731">
        <w:t>i</w:t>
      </w:r>
      <w:r w:rsidRPr="00A37731">
        <w:t>dualiste et la famille sera dépeinte comme un regroupement de pe</w:t>
      </w:r>
      <w:r w:rsidRPr="00A37731">
        <w:t>r</w:t>
      </w:r>
      <w:r w:rsidRPr="00A37731">
        <w:t>sonnes ayant pour dessein commun le développement individuel de chacun. Dans cette logique, les mesures préconisées s'orient</w:t>
      </w:r>
      <w:r w:rsidRPr="00A37731">
        <w:t>e</w:t>
      </w:r>
      <w:r w:rsidRPr="00A37731">
        <w:t>ront avant tout vers l'accroissement de l'autonomie des me</w:t>
      </w:r>
      <w:r w:rsidRPr="00A37731">
        <w:t>m</w:t>
      </w:r>
      <w:r w:rsidRPr="00A37731">
        <w:t>bres parce que sans elle, le bien-être des familles est mis en échec.</w:t>
      </w:r>
    </w:p>
    <w:p w:rsidR="00B7214C" w:rsidRDefault="00B7214C" w:rsidP="00B7214C">
      <w:pPr>
        <w:spacing w:before="120" w:after="120"/>
        <w:jc w:val="both"/>
      </w:pPr>
      <w:r w:rsidRPr="00A37731">
        <w:t>Par contre, pour ceux qui adoptent la position de l'Église cathol</w:t>
      </w:r>
      <w:r w:rsidRPr="00A37731">
        <w:t>i</w:t>
      </w:r>
      <w:r w:rsidRPr="00A37731">
        <w:t>que, famille et société sont imbriquées de façon telle que le bien-être et le développement de l'une passent néce</w:t>
      </w:r>
      <w:r w:rsidRPr="00A37731">
        <w:t>s</w:t>
      </w:r>
      <w:r w:rsidRPr="00A37731">
        <w:t>sairement par l'autre. La famille étant considérée comme une institution en crise, l'urgence des mesures à prendre se fait d'autant plus pressante qu'il s'agit de renve</w:t>
      </w:r>
      <w:r w:rsidRPr="00A37731">
        <w:t>r</w:t>
      </w:r>
      <w:r w:rsidRPr="00A37731">
        <w:t>ser la tendance actuelle de son « éclatement ». Les affaires dites « privées » se transforment parfois en intérêts égoïstes. À ce titre d'ai</w:t>
      </w:r>
      <w:r w:rsidRPr="00A37731">
        <w:t>l</w:t>
      </w:r>
      <w:r w:rsidRPr="00A37731">
        <w:t>leurs, la plupart de ces groupes ne pourraient envisager une politique familiale exempte de mesures visant l'augmentation de la natalité. La perte d'influence de l'Église auprès des f</w:t>
      </w:r>
      <w:r w:rsidRPr="00A37731">
        <w:t>a</w:t>
      </w:r>
      <w:r w:rsidRPr="00A37731">
        <w:t>milles, face au respect de certaines normes et valeurs qu'elle promeut, est un phénomène qui n'est pas étranger au rôle pr</w:t>
      </w:r>
      <w:r w:rsidRPr="00A37731">
        <w:t>i</w:t>
      </w:r>
      <w:r w:rsidRPr="00A37731">
        <w:t>mordial que ces groupes accordent à l'État dans la valorisation d'un seul modèle d'unité familiale basé sur la conjugalité.</w:t>
      </w:r>
    </w:p>
    <w:p w:rsidR="00B7214C" w:rsidRPr="00A37731" w:rsidRDefault="00B7214C" w:rsidP="00B7214C">
      <w:pPr>
        <w:spacing w:before="120" w:after="120"/>
        <w:jc w:val="both"/>
      </w:pPr>
      <w:r>
        <w:t>[280]</w:t>
      </w:r>
    </w:p>
    <w:p w:rsidR="00B7214C" w:rsidRPr="00A37731" w:rsidRDefault="00B7214C" w:rsidP="00B7214C">
      <w:pPr>
        <w:spacing w:before="120" w:after="120"/>
        <w:jc w:val="both"/>
      </w:pPr>
      <w:r w:rsidRPr="00A37731">
        <w:t>Enfin, au cours de l'analyse, nous avons observé que pl</w:t>
      </w:r>
      <w:r w:rsidRPr="00A37731">
        <w:t>u</w:t>
      </w:r>
      <w:r w:rsidRPr="00A37731">
        <w:t>sieurs groupes de professionnels de la santé et des services sociaux ont pris position pour que l'État aide les familles à se prendre en charge. Il semble ici aussi que les intérêts que ces groupes cherchent à rendre prioritaires, orientent quelque peu leur manière de problématiser la famille. On recommande l'instauration de mesures préventives telles que l'enseignement et le soutien aux organismes dans le but de renfo</w:t>
      </w:r>
      <w:r w:rsidRPr="00A37731">
        <w:t>r</w:t>
      </w:r>
      <w:r w:rsidRPr="00A37731">
        <w:t>cer les liens de solidarité entre les familles. Si depuis quelques a</w:t>
      </w:r>
      <w:r w:rsidRPr="00A37731">
        <w:t>n</w:t>
      </w:r>
      <w:r w:rsidRPr="00A37731">
        <w:t>nées, l'État tente de se désengager, il semble que l'approche qu'adoptent ces organismes s'inscrit dans un compromis entre leurs propres intérêts et ceux du gouvernement. Comme l'</w:t>
      </w:r>
      <w:r>
        <w:t>État</w:t>
      </w:r>
      <w:r w:rsidRPr="00A37731">
        <w:t>, on pourrait penser qu'ils reno</w:t>
      </w:r>
      <w:r w:rsidRPr="00A37731">
        <w:t>n</w:t>
      </w:r>
      <w:r w:rsidRPr="00A37731">
        <w:t>cent à l'</w:t>
      </w:r>
      <w:r>
        <w:t>idée du maintien de l'État-pro</w:t>
      </w:r>
      <w:r w:rsidRPr="00A37731">
        <w:t>vidence. Ils proposent en écha</w:t>
      </w:r>
      <w:r w:rsidRPr="00A37731">
        <w:t>n</w:t>
      </w:r>
      <w:r w:rsidRPr="00A37731">
        <w:t>ge toutefois l'am</w:t>
      </w:r>
      <w:r w:rsidRPr="00A37731">
        <w:t>é</w:t>
      </w:r>
      <w:r w:rsidRPr="00A37731">
        <w:t>nagement d'un « État pédagogue » dans lequel ils garderont une place de premier plan.</w:t>
      </w:r>
    </w:p>
    <w:p w:rsidR="00B7214C" w:rsidRPr="00A37731" w:rsidRDefault="00B7214C" w:rsidP="00B7214C">
      <w:pPr>
        <w:spacing w:before="120" w:after="120"/>
        <w:jc w:val="both"/>
      </w:pPr>
      <w:r w:rsidRPr="00A37731">
        <w:t>Le caractère politique du débat ayant entouré l'élaboration de la d</w:t>
      </w:r>
      <w:r w:rsidRPr="00A37731">
        <w:t>é</w:t>
      </w:r>
      <w:r w:rsidRPr="00A37731">
        <w:t>finition de la famille dans le cadre de la consultation provinciale de 1985, constitue selon nous, à la fois un aspect pertinent à l'analyse mais aussi l'une des principales limites de cette étude. Nous avons pu observer que plusieurs groupes ont présenté plus d'une définition dans leurs mémoires respectifs. Bien que distinguées par ces organismes sous les vocables « définitions administratives » et « définitions no</w:t>
      </w:r>
      <w:r w:rsidRPr="00A37731">
        <w:t>r</w:t>
      </w:r>
      <w:r w:rsidRPr="00A37731">
        <w:t>matives », il apparaît clairement que ces deux types de définition d</w:t>
      </w:r>
      <w:r w:rsidRPr="00A37731">
        <w:t>é</w:t>
      </w:r>
      <w:r w:rsidRPr="00A37731">
        <w:t>coulent des différentes manières de conceptualiser la famille qui rel</w:t>
      </w:r>
      <w:r w:rsidRPr="00A37731">
        <w:t>è</w:t>
      </w:r>
      <w:r w:rsidRPr="00A37731">
        <w:t>vent à leur tour, des idéologies promues par ces groupes. En vertu des contraintes de temps, nous avons dû nous attarder principalement aux définitions recommandées en vue de l'application d'une politique f</w:t>
      </w:r>
      <w:r w:rsidRPr="00A37731">
        <w:t>a</w:t>
      </w:r>
      <w:r w:rsidRPr="00A37731">
        <w:t>miliale. La raison qui justifie cette prise de position découle du fait que plus de la moitié des organismes n'ont présenté qu'une seule déf</w:t>
      </w:r>
      <w:r w:rsidRPr="00A37731">
        <w:t>i</w:t>
      </w:r>
      <w:r w:rsidRPr="00A37731">
        <w:t>nition dans un effort d'éviter, selon eux, un débat sur les valeurs fam</w:t>
      </w:r>
      <w:r w:rsidRPr="00A37731">
        <w:t>i</w:t>
      </w:r>
      <w:r w:rsidRPr="00A37731">
        <w:t>liales. Les mémoires ont d'ailleurs été élaborés en rapport direct ou ind</w:t>
      </w:r>
      <w:r w:rsidRPr="00A37731">
        <w:t>i</w:t>
      </w:r>
      <w:r w:rsidRPr="00A37731">
        <w:t xml:space="preserve">rect avec le </w:t>
      </w:r>
      <w:r w:rsidRPr="0045553D">
        <w:rPr>
          <w:i/>
          <w:iCs/>
        </w:rPr>
        <w:t>Livre vert sur la politique familiale.</w:t>
      </w:r>
      <w:r w:rsidRPr="00A37731">
        <w:t xml:space="preserve"> Aucun cadre n'avait été imposé quant aux sujets devant être discutés, ni dans la forme que ces mémoires devaient prendre. En cons</w:t>
      </w:r>
      <w:r w:rsidRPr="00A37731">
        <w:t>é</w:t>
      </w:r>
      <w:r w:rsidRPr="00A37731">
        <w:t>quence, on a pu observer dans certains le souci de couvrir l'ensemble des sujets abo</w:t>
      </w:r>
      <w:r w:rsidRPr="00A37731">
        <w:t>r</w:t>
      </w:r>
      <w:r w:rsidRPr="00A37731">
        <w:t xml:space="preserve">dés par le </w:t>
      </w:r>
      <w:r w:rsidRPr="0045553D">
        <w:rPr>
          <w:i/>
          <w:iCs/>
        </w:rPr>
        <w:t>Livre vert</w:t>
      </w:r>
      <w:r w:rsidRPr="00A37731">
        <w:t xml:space="preserve"> et même d'en déborder le cadre alors que chez d'autres, un nombre fort lim</w:t>
      </w:r>
      <w:r w:rsidRPr="00A37731">
        <w:t>i</w:t>
      </w:r>
      <w:r w:rsidRPr="00A37731">
        <w:t>té d'aspects ont été traités. Malgré ces limites et les intérêts opposés voire parfois contradictoires en jeu, ces diverses f</w:t>
      </w:r>
      <w:r w:rsidRPr="00A37731">
        <w:t>a</w:t>
      </w:r>
      <w:r w:rsidRPr="00A37731">
        <w:t>çons de définir la famille et les rapports entre l'individu, la famille et l'État, font écho, selon nous, aux multiples formes d'unités familiales et à la variété des idéologies qui prévalent actuellement sur le sujet.</w:t>
      </w:r>
    </w:p>
    <w:p w:rsidR="00B7214C" w:rsidRPr="00A37731" w:rsidRDefault="00B7214C" w:rsidP="00B7214C">
      <w:pPr>
        <w:spacing w:before="120" w:after="120"/>
        <w:jc w:val="both"/>
      </w:pPr>
      <w:r w:rsidRPr="00A37731">
        <w:t>Depuis quelques décennies, les valeurs, les idéologies et les co</w:t>
      </w:r>
      <w:r w:rsidRPr="00A37731">
        <w:t>m</w:t>
      </w:r>
      <w:r w:rsidRPr="00A37731">
        <w:t>portements des individus ont changé. Le mouvement féministe a i</w:t>
      </w:r>
      <w:r w:rsidRPr="00A37731">
        <w:t>n</w:t>
      </w:r>
      <w:r w:rsidRPr="00A37731">
        <w:t>fluencé grandement la manière de problématiser la famille et de concevoir le rôle des femmes et des hommes dans la société. La tran</w:t>
      </w:r>
      <w:r w:rsidRPr="00A37731">
        <w:t>s</w:t>
      </w:r>
      <w:r w:rsidRPr="00A37731">
        <w:t>formation qui a le plus</w:t>
      </w:r>
      <w:r>
        <w:t xml:space="preserve"> [281] </w:t>
      </w:r>
      <w:r w:rsidRPr="00A37731">
        <w:t>modifié le visage des familles québéco</w:t>
      </w:r>
      <w:r w:rsidRPr="00A37731">
        <w:t>i</w:t>
      </w:r>
      <w:r w:rsidRPr="00A37731">
        <w:t>ses fut probablement l'e</w:t>
      </w:r>
      <w:r w:rsidRPr="00A37731">
        <w:t>n</w:t>
      </w:r>
      <w:r w:rsidRPr="00A37731">
        <w:t>trée massive des femmes, mariées puis mères de jeunes enfants, sur le marché du travail. La famille, autrefois pe</w:t>
      </w:r>
      <w:r w:rsidRPr="00A37731">
        <w:t>r</w:t>
      </w:r>
      <w:r w:rsidRPr="00A37731">
        <w:t>çue comme une sphère di</w:t>
      </w:r>
      <w:r w:rsidRPr="00A37731">
        <w:t>s</w:t>
      </w:r>
      <w:r w:rsidRPr="00A37731">
        <w:t>tincte du travail en raison de la division sexuelle des tâches entre conjoints, subit aujourd'hui l'incohérence de cette dichotomie puisque les deux conjoints doivent maintenant co</w:t>
      </w:r>
      <w:r w:rsidRPr="00A37731">
        <w:t>m</w:t>
      </w:r>
      <w:r w:rsidRPr="00A37731">
        <w:t>biner la double réalité du travail et de la famille.</w:t>
      </w:r>
    </w:p>
    <w:p w:rsidR="00B7214C" w:rsidRDefault="00B7214C" w:rsidP="00B7214C">
      <w:pPr>
        <w:spacing w:before="120" w:after="120"/>
        <w:jc w:val="both"/>
      </w:pPr>
      <w:r w:rsidRPr="00A37731">
        <w:t>C'est d'ailleurs dans cette logique qu'un large consensus, s'est ét</w:t>
      </w:r>
      <w:r w:rsidRPr="00A37731">
        <w:t>a</w:t>
      </w:r>
      <w:r w:rsidRPr="00A37731">
        <w:t>bli. Tous ont parlé de l'importance de mettre en place des mesures v</w:t>
      </w:r>
      <w:r w:rsidRPr="00A37731">
        <w:t>i</w:t>
      </w:r>
      <w:r w:rsidRPr="00A37731">
        <w:t>sant à rectifier les inégalités entre hommes et femmes, et un meilleur partage des tâches domestiques au sein des familles. Ces mesures sont présentées comme des préalables à l'instauration d'une politique fam</w:t>
      </w:r>
      <w:r w:rsidRPr="00A37731">
        <w:t>i</w:t>
      </w:r>
      <w:r>
        <w:t>liale car le bien-</w:t>
      </w:r>
      <w:r w:rsidRPr="00A37731">
        <w:t>être des familles en dépend, estiment plusieurs. L'a</w:t>
      </w:r>
      <w:r w:rsidRPr="00A37731">
        <w:t>s</w:t>
      </w:r>
      <w:r w:rsidRPr="00A37731">
        <w:t>pect le plus frappant tient cependant au fait que la grande majorité des organismes du corpus ont recommandé au gouvernement que le tr</w:t>
      </w:r>
      <w:r w:rsidRPr="00A37731">
        <w:t>a</w:t>
      </w:r>
      <w:r w:rsidRPr="00A37731">
        <w:t>vail domestique soit reconnu financièrement. Un très grand nombre ont proposé l'instauration de mesures visant à redistribuer le ou les revenus entre les conjoints. D'autres que soit versé un salaire à la pe</w:t>
      </w:r>
      <w:r w:rsidRPr="00A37731">
        <w:t>r</w:t>
      </w:r>
      <w:r w:rsidRPr="00A37731">
        <w:t xml:space="preserve">sonne demeurant </w:t>
      </w:r>
      <w:r w:rsidRPr="000D1A32">
        <w:t xml:space="preserve">à </w:t>
      </w:r>
      <w:r w:rsidRPr="00A37731">
        <w:t>la maison et que celle-ci puisse bénéficier des mêmes avantages sociaux que les autres travailleurs et travailleuses. Ce phénomène est d'autant plus important qu'en dépit d'intérêts et de conceptions fondamentalement opposés face au rôle et à la place des familles dans la société, la presque totalité des organismes s'a</w:t>
      </w:r>
      <w:r w:rsidRPr="00A37731">
        <w:t>c</w:t>
      </w:r>
      <w:r w:rsidRPr="00A37731">
        <w:t xml:space="preserve">cordent sur le sujet. Ces propositions témoignent </w:t>
      </w:r>
      <w:r w:rsidRPr="000D1A32">
        <w:t xml:space="preserve">à </w:t>
      </w:r>
      <w:r w:rsidRPr="00A37731">
        <w:t>notre avis d'une évolution importante des mentalités.</w:t>
      </w:r>
    </w:p>
    <w:p w:rsidR="00B7214C" w:rsidRPr="00A37731"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jc w:val="both"/>
      </w:pPr>
    </w:p>
    <w:p w:rsidR="00B7214C" w:rsidRDefault="00B7214C" w:rsidP="00B7214C">
      <w:pPr>
        <w:pStyle w:val="p"/>
      </w:pPr>
      <w:r>
        <w:t>[283]</w:t>
      </w:r>
    </w:p>
    <w:p w:rsidR="00B7214C" w:rsidRDefault="00B7214C" w:rsidP="00B7214C">
      <w:pPr>
        <w:spacing w:before="120" w:after="120"/>
        <w:jc w:val="both"/>
      </w:pPr>
    </w:p>
    <w:p w:rsidR="00B7214C" w:rsidRDefault="00B7214C" w:rsidP="00B7214C">
      <w:pPr>
        <w:pStyle w:val="a"/>
      </w:pPr>
      <w:r w:rsidRPr="00A37731">
        <w:t>BIBLIOGRAPHIE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Bawin-Legros, B. et M. Sommer, « Famille/familles : di</w:t>
      </w:r>
      <w:r w:rsidRPr="00A37731">
        <w:t>f</w:t>
      </w:r>
      <w:r w:rsidRPr="00A37731">
        <w:t xml:space="preserve">ficiles et mouvantes typologies ». </w:t>
      </w:r>
      <w:r w:rsidRPr="0045553D">
        <w:rPr>
          <w:i/>
          <w:iCs/>
        </w:rPr>
        <w:t>Revue internationale d'action communauta</w:t>
      </w:r>
      <w:r w:rsidRPr="0045553D">
        <w:rPr>
          <w:i/>
          <w:iCs/>
        </w:rPr>
        <w:t>i</w:t>
      </w:r>
      <w:r w:rsidRPr="0045553D">
        <w:rPr>
          <w:i/>
          <w:iCs/>
        </w:rPr>
        <w:t>re,</w:t>
      </w:r>
      <w:r w:rsidRPr="00A37731">
        <w:t xml:space="preserve"> 1987, vol.</w:t>
      </w:r>
      <w:r>
        <w:t> </w:t>
      </w:r>
      <w:r w:rsidRPr="00A37731">
        <w:t>18, n°</w:t>
      </w:r>
      <w:r>
        <w:t> </w:t>
      </w:r>
      <w:r w:rsidRPr="00A37731">
        <w:t>58, p</w:t>
      </w:r>
      <w:r>
        <w:t>p</w:t>
      </w:r>
      <w:r w:rsidRPr="00A37731">
        <w:t>. 47-55.</w:t>
      </w:r>
    </w:p>
    <w:p w:rsidR="00B7214C" w:rsidRPr="0045553D" w:rsidRDefault="00B7214C" w:rsidP="00B7214C">
      <w:pPr>
        <w:spacing w:before="120" w:after="120"/>
        <w:jc w:val="both"/>
      </w:pPr>
      <w:r w:rsidRPr="0045553D">
        <w:rPr>
          <w:iCs/>
        </w:rPr>
        <w:t xml:space="preserve">Conseil des affaires sociales et de la famille. </w:t>
      </w:r>
      <w:r w:rsidRPr="0045553D">
        <w:rPr>
          <w:i/>
        </w:rPr>
        <w:t>Inventaire des princ</w:t>
      </w:r>
      <w:r w:rsidRPr="0045553D">
        <w:rPr>
          <w:i/>
        </w:rPr>
        <w:t>i</w:t>
      </w:r>
      <w:r w:rsidRPr="0045553D">
        <w:rPr>
          <w:i/>
        </w:rPr>
        <w:t>pales mesures et actions du gouvernement du Qu</w:t>
      </w:r>
      <w:r w:rsidRPr="0045553D">
        <w:rPr>
          <w:i/>
        </w:rPr>
        <w:t>é</w:t>
      </w:r>
      <w:r w:rsidRPr="0045553D">
        <w:rPr>
          <w:i/>
        </w:rPr>
        <w:t>bec à l’égard des familles</w:t>
      </w:r>
      <w:r w:rsidRPr="0045553D">
        <w:t>,</w:t>
      </w:r>
      <w:r w:rsidRPr="0045553D">
        <w:rPr>
          <w:iCs/>
        </w:rPr>
        <w:t xml:space="preserve"> Québec, Gouvernement du Québec, CASF, 1982.</w:t>
      </w:r>
    </w:p>
    <w:p w:rsidR="00B7214C" w:rsidRPr="0045553D" w:rsidRDefault="00B7214C" w:rsidP="00B7214C">
      <w:pPr>
        <w:spacing w:before="120" w:after="120"/>
        <w:jc w:val="both"/>
      </w:pPr>
      <w:r w:rsidRPr="0045553D">
        <w:rPr>
          <w:iCs/>
        </w:rPr>
        <w:t xml:space="preserve">Comité ministériel permanent du développement social, </w:t>
      </w:r>
      <w:r w:rsidRPr="0045553D">
        <w:t xml:space="preserve">Livre vert : </w:t>
      </w:r>
      <w:r w:rsidRPr="0045553D">
        <w:rPr>
          <w:i/>
        </w:rPr>
        <w:t>Pour les familles québécoises : document de consultation sur la politique familiale</w:t>
      </w:r>
      <w:r w:rsidRPr="0045553D">
        <w:t>,</w:t>
      </w:r>
      <w:r w:rsidRPr="0045553D">
        <w:rPr>
          <w:iCs/>
        </w:rPr>
        <w:t xml:space="preserve"> Québec, Gouvernement du Québec, 1984.</w:t>
      </w:r>
    </w:p>
    <w:p w:rsidR="00B7214C" w:rsidRPr="00A37731" w:rsidRDefault="00B7214C" w:rsidP="00B7214C">
      <w:pPr>
        <w:spacing w:before="120" w:after="120"/>
        <w:jc w:val="both"/>
      </w:pPr>
      <w:r>
        <w:t>B.-Dandurand, Renée</w:t>
      </w:r>
      <w:r w:rsidRPr="00A37731">
        <w:t>, « </w:t>
      </w:r>
      <w:hyperlink r:id="rId60" w:history="1">
        <w:r w:rsidRPr="0045553D">
          <w:rPr>
            <w:rStyle w:val="Lienhypertexte"/>
          </w:rPr>
          <w:t>Une politique familiale, enjeux et d</w:t>
        </w:r>
        <w:r w:rsidRPr="0045553D">
          <w:rPr>
            <w:rStyle w:val="Lienhypertexte"/>
          </w:rPr>
          <w:t>é</w:t>
        </w:r>
        <w:r w:rsidRPr="0045553D">
          <w:rPr>
            <w:rStyle w:val="Lienhypertexte"/>
          </w:rPr>
          <w:t>bats</w:t>
        </w:r>
      </w:hyperlink>
      <w:r w:rsidRPr="00A37731">
        <w:t>.</w:t>
      </w:r>
      <w:r>
        <w:t> »</w:t>
      </w:r>
      <w:r w:rsidRPr="00A37731">
        <w:t xml:space="preserve"> </w:t>
      </w:r>
      <w:r w:rsidRPr="0045553D">
        <w:rPr>
          <w:i/>
          <w:iCs/>
        </w:rPr>
        <w:t>R</w:t>
      </w:r>
      <w:r w:rsidRPr="0045553D">
        <w:rPr>
          <w:i/>
          <w:iCs/>
        </w:rPr>
        <w:t>e</w:t>
      </w:r>
      <w:r w:rsidRPr="0045553D">
        <w:rPr>
          <w:i/>
          <w:iCs/>
        </w:rPr>
        <w:t xml:space="preserve">cherches sociographiques, </w:t>
      </w:r>
      <w:r w:rsidRPr="00A37731">
        <w:t>1987, vol. 28, n</w:t>
      </w:r>
      <w:r>
        <w:t>os </w:t>
      </w:r>
      <w:r w:rsidRPr="00A37731">
        <w:t>2-3, p</w:t>
      </w:r>
      <w:r>
        <w:t>p</w:t>
      </w:r>
      <w:r w:rsidRPr="00A37731">
        <w:t>. 349-370.</w:t>
      </w:r>
    </w:p>
    <w:p w:rsidR="00B7214C" w:rsidRPr="00A37731" w:rsidRDefault="00B7214C" w:rsidP="00B7214C">
      <w:pPr>
        <w:spacing w:before="120" w:after="120"/>
        <w:jc w:val="both"/>
      </w:pPr>
      <w:r w:rsidRPr="00A37731">
        <w:t xml:space="preserve">Farber, B., dans J. Kellerhals </w:t>
      </w:r>
      <w:r w:rsidRPr="0045553D">
        <w:rPr>
          <w:i/>
          <w:iCs/>
        </w:rPr>
        <w:t>et al., Micro-sociologie de la famille,</w:t>
      </w:r>
      <w:r w:rsidRPr="00A37731">
        <w:t xml:space="preserve"> Paris, Presses universitaires de France, 1984.</w:t>
      </w:r>
    </w:p>
    <w:p w:rsidR="00B7214C" w:rsidRPr="00A37731" w:rsidRDefault="00B7214C" w:rsidP="00B7214C">
      <w:pPr>
        <w:spacing w:before="120" w:after="120"/>
        <w:jc w:val="both"/>
      </w:pPr>
      <w:r w:rsidRPr="00A37731">
        <w:t>Guberman, N., « Discours de responsabilisation de la famille et r</w:t>
      </w:r>
      <w:r w:rsidRPr="00A37731">
        <w:t>e</w:t>
      </w:r>
      <w:r>
        <w:t>trait de l'État-provi</w:t>
      </w:r>
      <w:r w:rsidRPr="00A37731">
        <w:t xml:space="preserve">dence », dans R.-B.-Dandurand (dir.). </w:t>
      </w:r>
      <w:hyperlink r:id="rId61" w:history="1">
        <w:r w:rsidRPr="0045553D">
          <w:rPr>
            <w:rStyle w:val="Lienhypertexte"/>
            <w:i/>
            <w:iCs/>
          </w:rPr>
          <w:t>Couples et parents des années quatre-vingt</w:t>
        </w:r>
      </w:hyperlink>
      <w:r w:rsidRPr="0045553D">
        <w:rPr>
          <w:i/>
          <w:iCs/>
        </w:rPr>
        <w:t xml:space="preserve">, </w:t>
      </w:r>
      <w:r w:rsidRPr="00A37731">
        <w:t>Québec, Institut québécois de r</w:t>
      </w:r>
      <w:r w:rsidRPr="00A37731">
        <w:t>e</w:t>
      </w:r>
      <w:r w:rsidRPr="00A37731">
        <w:t>cherche sur la culture, 1987, p. 193-208. (Coll. « Questions de cult</w:t>
      </w:r>
      <w:r w:rsidRPr="00A37731">
        <w:t>u</w:t>
      </w:r>
      <w:r w:rsidRPr="00A37731">
        <w:t>re », n°</w:t>
      </w:r>
      <w:r>
        <w:t> </w:t>
      </w:r>
      <w:r w:rsidRPr="00A37731">
        <w:t>13).</w:t>
      </w:r>
    </w:p>
    <w:p w:rsidR="00B7214C" w:rsidRPr="00A37731" w:rsidRDefault="00B7214C" w:rsidP="00B7214C">
      <w:pPr>
        <w:spacing w:before="120" w:after="120"/>
        <w:jc w:val="both"/>
      </w:pPr>
      <w:r w:rsidRPr="00A37731">
        <w:t xml:space="preserve">Kellerhals, J., « Diversité et diversification des types de familles dans les pays industrialisés », dans </w:t>
      </w:r>
      <w:r w:rsidRPr="0045553D">
        <w:rPr>
          <w:i/>
          <w:iCs/>
        </w:rPr>
        <w:t>Les familles d'aujourd'hui,</w:t>
      </w:r>
      <w:r w:rsidRPr="00A37731">
        <w:t xml:space="preserve"> Coll</w:t>
      </w:r>
      <w:r w:rsidRPr="00A37731">
        <w:t>o</w:t>
      </w:r>
      <w:r w:rsidRPr="00A37731">
        <w:t>que de Genève 17-20 septembre 1984, Ass</w:t>
      </w:r>
      <w:r w:rsidRPr="00A37731">
        <w:t>o</w:t>
      </w:r>
      <w:r w:rsidRPr="00A37731">
        <w:t>ciation internationale des démographes de langue française (AIDELF), n°</w:t>
      </w:r>
      <w:r>
        <w:t> </w:t>
      </w:r>
      <w:r w:rsidRPr="00A37731">
        <w:t xml:space="preserve">2, </w:t>
      </w:r>
      <w:r>
        <w:t>p</w:t>
      </w:r>
      <w:r w:rsidRPr="00A37731">
        <w:t>p. 191-128.</w:t>
      </w:r>
    </w:p>
    <w:p w:rsidR="00B7214C" w:rsidRPr="00A37731" w:rsidRDefault="00B7214C" w:rsidP="00B7214C">
      <w:pPr>
        <w:spacing w:before="120" w:after="120"/>
        <w:jc w:val="both"/>
      </w:pPr>
      <w:r w:rsidRPr="00A37731">
        <w:t xml:space="preserve">Kellerhals, J., P.-Y. Troutot et E. Lazega, </w:t>
      </w:r>
      <w:r w:rsidRPr="0045553D">
        <w:rPr>
          <w:i/>
          <w:iCs/>
        </w:rPr>
        <w:t>Microsociologie de la famille,</w:t>
      </w:r>
      <w:r w:rsidRPr="00A37731">
        <w:t xml:space="preserve"> Paris, Presses universitaires de France, 1984.</w:t>
      </w:r>
    </w:p>
    <w:p w:rsidR="00B7214C" w:rsidRPr="00A37731" w:rsidRDefault="00B7214C" w:rsidP="00B7214C">
      <w:pPr>
        <w:spacing w:before="120" w:after="120"/>
        <w:jc w:val="both"/>
      </w:pPr>
      <w:r w:rsidRPr="00A37731">
        <w:t>Menahem, G., « Les mutations de la famille et les modes de repr</w:t>
      </w:r>
      <w:r w:rsidRPr="00A37731">
        <w:t>o</w:t>
      </w:r>
      <w:r w:rsidRPr="00A37731">
        <w:t xml:space="preserve">duction de la force de travail ». </w:t>
      </w:r>
      <w:r w:rsidRPr="0045553D">
        <w:rPr>
          <w:i/>
          <w:iCs/>
        </w:rPr>
        <w:t>L'homme et la société,</w:t>
      </w:r>
      <w:r w:rsidRPr="00A37731">
        <w:t xml:space="preserve"> 1979, n</w:t>
      </w:r>
      <w:r>
        <w:t>os 5</w:t>
      </w:r>
      <w:r w:rsidRPr="00A37731">
        <w:t>1-54, p. 63-101.</w:t>
      </w:r>
    </w:p>
    <w:p w:rsidR="00B7214C" w:rsidRPr="00A37731" w:rsidRDefault="00B7214C" w:rsidP="00B7214C">
      <w:pPr>
        <w:spacing w:before="120" w:after="120"/>
        <w:jc w:val="both"/>
      </w:pPr>
      <w:r w:rsidRPr="00A37731">
        <w:t xml:space="preserve">Lesemann, F. et C. Chaume, </w:t>
      </w:r>
      <w:r w:rsidRPr="0045553D">
        <w:rPr>
          <w:i/>
          <w:iCs/>
        </w:rPr>
        <w:t>Familles-providence : La part de l'État,</w:t>
      </w:r>
      <w:r w:rsidRPr="00A37731">
        <w:t xml:space="preserve"> Montréal, Saint-Martin, 1989.</w:t>
      </w:r>
    </w:p>
    <w:p w:rsidR="00B7214C" w:rsidRPr="00A37731" w:rsidRDefault="00B7214C" w:rsidP="00B7214C">
      <w:pPr>
        <w:spacing w:before="120" w:after="120"/>
        <w:jc w:val="both"/>
      </w:pPr>
      <w:r w:rsidRPr="00A37731">
        <w:t xml:space="preserve">Roussel, L., </w:t>
      </w:r>
      <w:r w:rsidRPr="0045553D">
        <w:rPr>
          <w:i/>
          <w:iCs/>
        </w:rPr>
        <w:t>La famille incertaine,</w:t>
      </w:r>
      <w:r w:rsidRPr="00A37731">
        <w:t xml:space="preserve"> Paris, Éditions Odile Jacob, 1989.</w:t>
      </w:r>
    </w:p>
    <w:p w:rsidR="00B7214C" w:rsidRPr="00A37731" w:rsidRDefault="00B7214C" w:rsidP="00B7214C">
      <w:pPr>
        <w:spacing w:before="120" w:after="120"/>
        <w:jc w:val="both"/>
      </w:pPr>
      <w:r w:rsidRPr="00A37731">
        <w:t xml:space="preserve">Roussel, L., « Mariages et divorces. Contribution à une analyse systématique des modèles matrimoniaux ». </w:t>
      </w:r>
      <w:r w:rsidRPr="0045553D">
        <w:rPr>
          <w:i/>
          <w:iCs/>
        </w:rPr>
        <w:t>Population,</w:t>
      </w:r>
      <w:r w:rsidRPr="00A37731">
        <w:t xml:space="preserve"> 1980, vol. 35, n°</w:t>
      </w:r>
      <w:r>
        <w:t> </w:t>
      </w:r>
      <w:r w:rsidRPr="00A37731">
        <w:t>6, p</w:t>
      </w:r>
      <w:r>
        <w:t>p</w:t>
      </w:r>
      <w:r w:rsidRPr="00A37731">
        <w:t>. 1025-1040.</w:t>
      </w:r>
    </w:p>
    <w:p w:rsidR="00B7214C" w:rsidRPr="00A37731" w:rsidRDefault="00B7214C" w:rsidP="00B7214C">
      <w:pPr>
        <w:spacing w:before="120" w:after="120"/>
        <w:jc w:val="both"/>
      </w:pPr>
      <w:r w:rsidRPr="00A37731">
        <w:t>Sarrasin, R., « Vingt ans d'attente pour une politique familiale qu</w:t>
      </w:r>
      <w:r w:rsidRPr="00A37731">
        <w:t>é</w:t>
      </w:r>
      <w:r w:rsidRPr="00A37731">
        <w:t xml:space="preserve">bécoise (1964-1984) », </w:t>
      </w:r>
      <w:r w:rsidRPr="0045553D">
        <w:rPr>
          <w:i/>
          <w:iCs/>
        </w:rPr>
        <w:t>Intervention,</w:t>
      </w:r>
      <w:r w:rsidRPr="00A37731">
        <w:t xml:space="preserve"> 1984, n°</w:t>
      </w:r>
      <w:r>
        <w:t> </w:t>
      </w:r>
      <w:r w:rsidRPr="00A37731">
        <w:t>69, p</w:t>
      </w:r>
      <w:r>
        <w:t>p</w:t>
      </w:r>
      <w:r w:rsidRPr="00A37731">
        <w:t>. 99-109.</w:t>
      </w:r>
    </w:p>
    <w:p w:rsidR="00B7214C" w:rsidRPr="0045553D" w:rsidRDefault="00B7214C" w:rsidP="00B7214C">
      <w:pPr>
        <w:spacing w:before="120" w:after="120"/>
        <w:jc w:val="both"/>
      </w:pPr>
      <w:r w:rsidRPr="0045553D">
        <w:rPr>
          <w:iCs/>
        </w:rPr>
        <w:t xml:space="preserve">Secrétariat à la famille. </w:t>
      </w:r>
      <w:r w:rsidRPr="0045553D">
        <w:rPr>
          <w:i/>
        </w:rPr>
        <w:t>Familles en tête : Plan d'action en matière de politique familiale 1989-1991</w:t>
      </w:r>
      <w:r w:rsidRPr="0045553D">
        <w:t>,</w:t>
      </w:r>
      <w:r w:rsidRPr="0045553D">
        <w:rPr>
          <w:iCs/>
        </w:rPr>
        <w:t xml:space="preserve"> Québec, Éditeur officiel du Québec, 1989.</w:t>
      </w:r>
    </w:p>
    <w:p w:rsidR="00B7214C" w:rsidRPr="00A37731" w:rsidRDefault="00B7214C" w:rsidP="00B7214C">
      <w:pPr>
        <w:spacing w:before="120" w:after="120"/>
        <w:jc w:val="both"/>
      </w:pPr>
      <w:r w:rsidRPr="00A37731">
        <w:t xml:space="preserve">Secrétariat à la politique familiale, </w:t>
      </w:r>
      <w:r w:rsidRPr="0045553D">
        <w:rPr>
          <w:i/>
          <w:iCs/>
        </w:rPr>
        <w:t>La politique familiale. Énoncé des orientations et de la dynamique administrative,</w:t>
      </w:r>
      <w:r w:rsidRPr="00A37731">
        <w:t xml:space="preserve"> Québec, Ministère de la Santé et des Services sociaux. Go</w:t>
      </w:r>
      <w:r w:rsidRPr="00A37731">
        <w:t>u</w:t>
      </w:r>
      <w:r w:rsidRPr="00A37731">
        <w:t>vernement du Québec, 1987.</w:t>
      </w:r>
    </w:p>
    <w:p w:rsidR="00B7214C" w:rsidRPr="00A37731" w:rsidRDefault="00B7214C" w:rsidP="00B7214C">
      <w:pPr>
        <w:spacing w:before="120" w:after="120"/>
        <w:jc w:val="both"/>
      </w:pPr>
      <w:r w:rsidRPr="00A37731">
        <w:t xml:space="preserve">Secrétariat à la politique familiale. </w:t>
      </w:r>
      <w:r w:rsidRPr="0045553D">
        <w:rPr>
          <w:i/>
          <w:iCs/>
        </w:rPr>
        <w:t>Le soutien collectif recomma</w:t>
      </w:r>
      <w:r w:rsidRPr="0045553D">
        <w:rPr>
          <w:i/>
          <w:iCs/>
        </w:rPr>
        <w:t>n</w:t>
      </w:r>
      <w:r w:rsidRPr="0045553D">
        <w:rPr>
          <w:i/>
          <w:iCs/>
        </w:rPr>
        <w:t>dé pour les parents québécois : rapport de consultation sur la polit</w:t>
      </w:r>
      <w:r w:rsidRPr="0045553D">
        <w:rPr>
          <w:i/>
          <w:iCs/>
        </w:rPr>
        <w:t>i</w:t>
      </w:r>
      <w:r w:rsidRPr="0045553D">
        <w:rPr>
          <w:i/>
          <w:iCs/>
        </w:rPr>
        <w:t>que familiale,</w:t>
      </w:r>
      <w:r w:rsidRPr="00A37731">
        <w:t xml:space="preserve"> deuxième partie, Québec, C</w:t>
      </w:r>
      <w:r w:rsidRPr="00A37731">
        <w:t>o</w:t>
      </w:r>
      <w:r w:rsidRPr="00A37731">
        <w:t>mité de consultation sur la politique familiale, 1986.</w:t>
      </w:r>
    </w:p>
    <w:p w:rsidR="00B7214C" w:rsidRDefault="00B7214C" w:rsidP="00B7214C">
      <w:pPr>
        <w:spacing w:before="120" w:after="120"/>
        <w:jc w:val="both"/>
      </w:pPr>
      <w:r w:rsidRPr="0045553D">
        <w:t xml:space="preserve">Secrétariat à la politique familiale. </w:t>
      </w:r>
      <w:r w:rsidRPr="0045553D">
        <w:rPr>
          <w:i/>
        </w:rPr>
        <w:t>Le soutien collectif r</w:t>
      </w:r>
      <w:r w:rsidRPr="0045553D">
        <w:rPr>
          <w:i/>
        </w:rPr>
        <w:t>é</w:t>
      </w:r>
      <w:r w:rsidRPr="0045553D">
        <w:rPr>
          <w:i/>
        </w:rPr>
        <w:t>clamé pour les familles québécoises : rapport de consultation sur la polit</w:t>
      </w:r>
      <w:r w:rsidRPr="0045553D">
        <w:rPr>
          <w:i/>
        </w:rPr>
        <w:t>i</w:t>
      </w:r>
      <w:r w:rsidRPr="0045553D">
        <w:rPr>
          <w:i/>
        </w:rPr>
        <w:t>que familiale, première partie</w:t>
      </w:r>
      <w:r w:rsidRPr="0045553D">
        <w:t>, Québec, Gouvernement du Québec, 1985.</w:t>
      </w:r>
    </w:p>
    <w:p w:rsidR="00B7214C" w:rsidRDefault="00B7214C" w:rsidP="00B7214C">
      <w:pPr>
        <w:spacing w:before="120" w:after="120"/>
        <w:jc w:val="both"/>
      </w:pPr>
    </w:p>
    <w:p w:rsidR="00B7214C" w:rsidRDefault="00B7214C" w:rsidP="00B7214C">
      <w:pPr>
        <w:pStyle w:val="p"/>
      </w:pPr>
      <w:r>
        <w:t>[284]</w:t>
      </w:r>
    </w:p>
    <w:p w:rsidR="00B7214C" w:rsidRDefault="00B7214C" w:rsidP="00B7214C">
      <w:pPr>
        <w:pStyle w:val="p"/>
      </w:pPr>
      <w:r w:rsidRPr="00A37731">
        <w:br w:type="page"/>
      </w:r>
      <w:r>
        <w:t>[285]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7" w:name="Entre_tradition_pt_2_texte_18"/>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LA FILIATION</w:t>
      </w:r>
    </w:p>
    <w:p w:rsidR="00B7214C" w:rsidRPr="00384B20" w:rsidRDefault="00B7214C" w:rsidP="00B7214C">
      <w:pPr>
        <w:pStyle w:val="Titreniveau1"/>
      </w:pPr>
      <w:r>
        <w:t>18</w:t>
      </w:r>
    </w:p>
    <w:p w:rsidR="00B7214C" w:rsidRDefault="00B7214C" w:rsidP="00B7214C">
      <w:pPr>
        <w:pStyle w:val="Titreniveau2"/>
      </w:pPr>
      <w:r>
        <w:t>“</w:t>
      </w:r>
      <w:r w:rsidRPr="00185001">
        <w:t>Pour une problématisation sociologique</w:t>
      </w:r>
      <w:r>
        <w:br/>
      </w:r>
      <w:r w:rsidRPr="00185001">
        <w:t>du rapport famille/parentalité</w:t>
      </w:r>
      <w:r>
        <w:t>.”</w:t>
      </w:r>
    </w:p>
    <w:bookmarkEnd w:id="27"/>
    <w:p w:rsidR="00B7214C" w:rsidRPr="00E07116" w:rsidRDefault="00B7214C" w:rsidP="00B7214C">
      <w:pPr>
        <w:jc w:val="both"/>
        <w:rPr>
          <w:szCs w:val="36"/>
        </w:rPr>
      </w:pPr>
    </w:p>
    <w:p w:rsidR="00B7214C" w:rsidRPr="00E07116" w:rsidRDefault="00B7214C" w:rsidP="00B7214C">
      <w:pPr>
        <w:pStyle w:val="suite"/>
      </w:pPr>
      <w:r>
        <w:t>Par Alain JOYAL</w:t>
      </w:r>
    </w:p>
    <w:p w:rsidR="00B7214C" w:rsidRPr="00E07116" w:rsidRDefault="00B7214C" w:rsidP="00B7214C">
      <w:pPr>
        <w:pStyle w:val="auteurst"/>
      </w:pPr>
      <w:r w:rsidRPr="004A7EF1">
        <w:t>Sociologie, Cégep Lionel-Groulx</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spacing w:before="120" w:after="120"/>
        <w:jc w:val="both"/>
      </w:pPr>
      <w:r>
        <w:t>La p</w:t>
      </w:r>
      <w:r w:rsidRPr="00A37731">
        <w:t>arentalité se révèle aujourd'hui l'élément fondamental de la r</w:t>
      </w:r>
      <w:r w:rsidRPr="00A37731">
        <w:t>e</w:t>
      </w:r>
      <w:r w:rsidRPr="00A37731">
        <w:t>présentation sociale de la famille. Que ce soit au niveau du sens co</w:t>
      </w:r>
      <w:r w:rsidRPr="00A37731">
        <w:t>m</w:t>
      </w:r>
      <w:r w:rsidRPr="00A37731">
        <w:t>mun, des politiques sociales de l'État ou encore de l'analyse sociolog</w:t>
      </w:r>
      <w:r w:rsidRPr="00A37731">
        <w:t>i</w:t>
      </w:r>
      <w:r w:rsidRPr="00A37731">
        <w:t>que, on retrouve constamment des propositions reposant sur la convi</w:t>
      </w:r>
      <w:r w:rsidRPr="00A37731">
        <w:t>c</w:t>
      </w:r>
      <w:r w:rsidRPr="00A37731">
        <w:t>tion que la famille d'aujourd'hui relèverait fondamentalement de la parentalité. Autrement dit, un large consensus fonde sur la p</w:t>
      </w:r>
      <w:r w:rsidRPr="00A37731">
        <w:t>a</w:t>
      </w:r>
      <w:r w:rsidRPr="00A37731">
        <w:t>rentalité la distinction entre le familial et le non-familial.</w:t>
      </w:r>
    </w:p>
    <w:p w:rsidR="00B7214C" w:rsidRPr="00A37731" w:rsidRDefault="00B7214C" w:rsidP="00B7214C">
      <w:pPr>
        <w:spacing w:before="120" w:after="120"/>
        <w:jc w:val="both"/>
      </w:pPr>
      <w:r w:rsidRPr="00A37731">
        <w:t>Nous pensons que l'hégémonie actuelle de la représentation pare</w:t>
      </w:r>
      <w:r w:rsidRPr="00A37731">
        <w:t>n</w:t>
      </w:r>
      <w:r w:rsidRPr="00A37731">
        <w:t>tale de la famille introduit une nouvelle version essentialiste de la f</w:t>
      </w:r>
      <w:r w:rsidRPr="00A37731">
        <w:t>a</w:t>
      </w:r>
      <w:r w:rsidRPr="00A37731">
        <w:t>mille. Tout en remplaçant l'ancienne représentation, biparentale et bi</w:t>
      </w:r>
      <w:r w:rsidRPr="00A37731">
        <w:t>o</w:t>
      </w:r>
      <w:r w:rsidRPr="00A37731">
        <w:t>logique issue du mariage, cette nouvelle version demeure essentialiste dans la mesure où elle ne donne pas davantage lieu à une construction de l'objet famille mais se contente, comme sa précédente version, d'év</w:t>
      </w:r>
      <w:r w:rsidRPr="00A37731">
        <w:t>i</w:t>
      </w:r>
      <w:r w:rsidRPr="00A37731">
        <w:t>dences qui s'imposent sans que soit problématisé cette fois le rapport entre la parentalité et la famille.</w:t>
      </w:r>
    </w:p>
    <w:p w:rsidR="00B7214C" w:rsidRPr="00A37731" w:rsidRDefault="00B7214C" w:rsidP="00B7214C">
      <w:pPr>
        <w:spacing w:before="120" w:after="120"/>
        <w:jc w:val="both"/>
      </w:pPr>
      <w:r w:rsidRPr="00A37731">
        <w:t>Sur la base d'une recherche réalisée dans le cadre d'études doctor</w:t>
      </w:r>
      <w:r w:rsidRPr="00A37731">
        <w:t>a</w:t>
      </w:r>
      <w:r w:rsidRPr="00A37731">
        <w:t>les</w:t>
      </w:r>
      <w:r>
        <w:t> </w:t>
      </w:r>
      <w:r>
        <w:rPr>
          <w:rStyle w:val="Appelnotedebasdep"/>
        </w:rPr>
        <w:footnoteReference w:id="223"/>
      </w:r>
      <w:r w:rsidRPr="00A37731">
        <w:t>, nous nous attarderons à mettre en lumière les représentations sociales de la famille élaborées par les acteurs familiaux et nous ve</w:t>
      </w:r>
      <w:r w:rsidRPr="00A37731">
        <w:t>r</w:t>
      </w:r>
      <w:r w:rsidRPr="00A37731">
        <w:t>rons à recréer un espace analytique entre la famille et la parentalité. Par cette approche problématique du rapport famille/parentalité, la parentalité devient une pratique sociale parmi d'autres pouvant part</w:t>
      </w:r>
      <w:r w:rsidRPr="00A37731">
        <w:t>i</w:t>
      </w:r>
      <w:r>
        <w:t>ciper de la famille sans s'ins</w:t>
      </w:r>
      <w:r w:rsidRPr="00A37731">
        <w:t>crire</w:t>
      </w:r>
      <w:r>
        <w:t xml:space="preserve"> [</w:t>
      </w:r>
      <w:r w:rsidRPr="00A37731">
        <w:t>286</w:t>
      </w:r>
      <w:r>
        <w:t>]</w:t>
      </w:r>
      <w:r w:rsidRPr="00A37731">
        <w:t xml:space="preserve"> obligatoirement dans un cadre familial. On peut alors aborder les pratiques parentales, en termes de comportements et de signific</w:t>
      </w:r>
      <w:r w:rsidRPr="00A37731">
        <w:t>a</w:t>
      </w:r>
      <w:r w:rsidRPr="00A37731">
        <w:t>tions, sans les ramener nécessairement à une question de f</w:t>
      </w:r>
      <w:r w:rsidRPr="00A37731">
        <w:t>a</w:t>
      </w:r>
      <w:r w:rsidRPr="00A37731">
        <w:t>mille.</w:t>
      </w:r>
    </w:p>
    <w:p w:rsidR="00B7214C" w:rsidRDefault="00B7214C" w:rsidP="00B7214C">
      <w:pPr>
        <w:spacing w:before="120" w:after="120"/>
        <w:jc w:val="both"/>
      </w:pPr>
    </w:p>
    <w:p w:rsidR="00B7214C" w:rsidRPr="00A37731" w:rsidRDefault="00B7214C" w:rsidP="00B7214C">
      <w:pPr>
        <w:pStyle w:val="a"/>
      </w:pPr>
      <w:r w:rsidRPr="00A37731">
        <w:t>LES REPR</w:t>
      </w:r>
      <w:r>
        <w:t>ÉSENTATIONS SOCIALES</w:t>
      </w:r>
      <w:r>
        <w:br/>
      </w:r>
      <w:r w:rsidRPr="00A37731">
        <w:t>DE LA FAMI</w:t>
      </w:r>
      <w:r w:rsidRPr="00A37731">
        <w:t>L</w:t>
      </w:r>
      <w:r w:rsidRPr="00A37731">
        <w:t>LE</w:t>
      </w:r>
    </w:p>
    <w:p w:rsidR="00B7214C" w:rsidRDefault="00B7214C" w:rsidP="00B7214C">
      <w:pPr>
        <w:spacing w:before="120" w:after="120"/>
        <w:jc w:val="both"/>
      </w:pPr>
    </w:p>
    <w:p w:rsidR="00B7214C" w:rsidRPr="00A37731" w:rsidRDefault="00B7214C" w:rsidP="00B7214C">
      <w:pPr>
        <w:spacing w:before="120" w:after="120"/>
        <w:jc w:val="both"/>
      </w:pPr>
      <w:r w:rsidRPr="00A37731">
        <w:t>Les représentations sociales de la famille qui émergent de notre corpus d'entretiens réfèrent à trois types fondamentaux de relations entre les personnes : les relations à la parenté, les relations entre conjoints ainsi que les relations p</w:t>
      </w:r>
      <w:r w:rsidRPr="00A37731">
        <w:t>a</w:t>
      </w:r>
      <w:r w:rsidRPr="00A37731">
        <w:t>rents/enfants. Ces divers types de relations constituent trois éléments auxquels font référence les acteurs familiaux pour identifier l'expérience familiale en tant qu'expérience sociale spécifique. Les références à la relation à la parenté élargie sont très fluctuantes ; elles peuvent s'avérer tout à fait fond</w:t>
      </w:r>
      <w:r w:rsidRPr="00A37731">
        <w:t>a</w:t>
      </w:r>
      <w:r w:rsidRPr="00A37731">
        <w:t>mentales ou encore sans grande importance. Pour la très vaste majorité des pe</w:t>
      </w:r>
      <w:r w:rsidRPr="00A37731">
        <w:t>r</w:t>
      </w:r>
      <w:r w:rsidRPr="00A37731">
        <w:t>sonnes rencontrées, la parenté c'est avant tout la parenté immédiat</w:t>
      </w:r>
      <w:r>
        <w:t>e (les familles d'origine ou cell</w:t>
      </w:r>
      <w:r w:rsidRPr="00A37731">
        <w:t>es const</w:t>
      </w:r>
      <w:r w:rsidRPr="00A37731">
        <w:t>i</w:t>
      </w:r>
      <w:r w:rsidRPr="00A37731">
        <w:t>tuées par les personnes elles-mêmes). Bien qu'il y eut, en quelques occasions, une certaine hésit</w:t>
      </w:r>
      <w:r w:rsidRPr="00A37731">
        <w:t>a</w:t>
      </w:r>
      <w:r w:rsidRPr="00A37731">
        <w:t>tion quant à l'objet des entretiens (« La famille que j'ai constituée moi-même ou celle où je suis né ? »), la plupart des personnes discutaient d'emblée de la famille dans sa quotidienneté avec leurs conjoint et e</w:t>
      </w:r>
      <w:r w:rsidRPr="00A37731">
        <w:t>n</w:t>
      </w:r>
      <w:r w:rsidRPr="00A37731">
        <w:t>fants.</w:t>
      </w:r>
    </w:p>
    <w:p w:rsidR="00B7214C" w:rsidRPr="00A37731" w:rsidRDefault="00B7214C" w:rsidP="00B7214C">
      <w:pPr>
        <w:spacing w:before="120" w:after="120"/>
        <w:jc w:val="both"/>
      </w:pPr>
      <w:r w:rsidRPr="00A37731">
        <w:t>Ainsi défini, l'univers familial se trouve donc très direct</w:t>
      </w:r>
      <w:r w:rsidRPr="00A37731">
        <w:t>e</w:t>
      </w:r>
      <w:r w:rsidRPr="00A37731">
        <w:t>ment identifié par les relations conjugales et les relations p</w:t>
      </w:r>
      <w:r w:rsidRPr="00A37731">
        <w:t>a</w:t>
      </w:r>
      <w:r w:rsidRPr="00A37731">
        <w:t>rents-enfants. Par rapport au corpus de personnes rencontrées, les représentations strictement conjugales de</w:t>
      </w:r>
      <w:r>
        <w:t xml:space="preserve"> la famil</w:t>
      </w:r>
      <w:r w:rsidRPr="00A37731">
        <w:t>le demeurent marginales</w:t>
      </w:r>
      <w:r>
        <w:t> </w:t>
      </w:r>
      <w:r>
        <w:rPr>
          <w:rStyle w:val="Appelnotedebasdep"/>
        </w:rPr>
        <w:footnoteReference w:id="224"/>
      </w:r>
      <w:r w:rsidRPr="00A37731">
        <w:t>. La conscience de la croissance des ruptures conjugales et du développ</w:t>
      </w:r>
      <w:r w:rsidRPr="00A37731">
        <w:t>e</w:t>
      </w:r>
      <w:r w:rsidRPr="00A37731">
        <w:t>ment de modèles familiaux monoparentaux semblent avoir pénétré le sens commun bien au-delà des représentations des seules personnes ayant expérimenté ces modèles familiaux non conjugaux. La relation conjugale n'est que rarement abordée comme l'élément déte</w:t>
      </w:r>
      <w:r w:rsidRPr="00A37731">
        <w:t>r</w:t>
      </w:r>
      <w:r w:rsidRPr="00A37731">
        <w:t>minant de l'identification de la famille et lorsque nos interl</w:t>
      </w:r>
      <w:r w:rsidRPr="00A37731">
        <w:t>o</w:t>
      </w:r>
      <w:r w:rsidRPr="00A37731">
        <w:t>cuteurs s'y réfèrent, ils en appellent généralement simultanément à la relation de parental</w:t>
      </w:r>
      <w:r w:rsidRPr="00A37731">
        <w:t>i</w:t>
      </w:r>
      <w:r w:rsidRPr="00A37731">
        <w:t>té pour fonder leur représent</w:t>
      </w:r>
      <w:r w:rsidRPr="00A37731">
        <w:t>a</w:t>
      </w:r>
      <w:r w:rsidRPr="00A37731">
        <w:t xml:space="preserve">tion de la famille. </w:t>
      </w:r>
      <w:r>
        <w:t>À</w:t>
      </w:r>
      <w:r w:rsidRPr="00A37731">
        <w:t xml:space="preserve"> la lumière de notre corpus, la parentalité semble s'établir comme l'élément déterminant de la représe</w:t>
      </w:r>
      <w:r w:rsidRPr="00A37731">
        <w:t>n</w:t>
      </w:r>
      <w:r w:rsidRPr="00A37731">
        <w:t>tation sociale de la famille.</w:t>
      </w:r>
    </w:p>
    <w:p w:rsidR="00B7214C" w:rsidRDefault="00B7214C" w:rsidP="00B7214C">
      <w:pPr>
        <w:spacing w:before="120" w:after="120"/>
        <w:jc w:val="both"/>
      </w:pPr>
    </w:p>
    <w:p w:rsidR="00B7214C" w:rsidRPr="00A37731" w:rsidRDefault="00B7214C" w:rsidP="00B7214C">
      <w:pPr>
        <w:pStyle w:val="a"/>
      </w:pPr>
      <w:r w:rsidRPr="00A37731">
        <w:t>L'É</w:t>
      </w:r>
      <w:r>
        <w:t>VIDENCE SOCIALE DE LA FAMILLE :</w:t>
      </w:r>
      <w:r>
        <w:br/>
      </w:r>
      <w:r w:rsidRPr="00A37731">
        <w:t>LA PARENTAL</w:t>
      </w:r>
      <w:r w:rsidRPr="00A37731">
        <w:t>I</w:t>
      </w:r>
      <w:r w:rsidRPr="00A37731">
        <w:t>TÉ</w:t>
      </w:r>
    </w:p>
    <w:p w:rsidR="00B7214C" w:rsidRDefault="00B7214C" w:rsidP="00B7214C">
      <w:pPr>
        <w:spacing w:before="120" w:after="120"/>
        <w:jc w:val="both"/>
      </w:pPr>
    </w:p>
    <w:p w:rsidR="00B7214C" w:rsidRPr="00A37731" w:rsidRDefault="00B7214C" w:rsidP="00B7214C">
      <w:pPr>
        <w:spacing w:before="120" w:after="120"/>
        <w:jc w:val="both"/>
      </w:pPr>
      <w:r w:rsidRPr="00A37731">
        <w:t>La parentalité constitue donc la manifestation fondamentale par l</w:t>
      </w:r>
      <w:r w:rsidRPr="00A37731">
        <w:t>a</w:t>
      </w:r>
      <w:r w:rsidRPr="00A37731">
        <w:t>quelle les acteurs sociaux distinguent ce qui relève de la famille et ce qui n'en relève pas. Cette première conclusion est d'autant plus anod</w:t>
      </w:r>
      <w:r w:rsidRPr="00A37731">
        <w:t>i</w:t>
      </w:r>
      <w:r>
        <w:t>ne qu’</w:t>
      </w:r>
      <w:r w:rsidRPr="00A37731">
        <w:t>elle</w:t>
      </w:r>
      <w:r>
        <w:t xml:space="preserve"> [</w:t>
      </w:r>
      <w:r w:rsidRPr="00A37731">
        <w:t>287</w:t>
      </w:r>
      <w:r>
        <w:t xml:space="preserve">] </w:t>
      </w:r>
      <w:r w:rsidRPr="00A37731">
        <w:t>était prévisible. Barthélémy, Muxel et Percheron (1986, p. 700) avaient déjà mis en lumière cette situation lors de l'an</w:t>
      </w:r>
      <w:r w:rsidRPr="00A37731">
        <w:t>a</w:t>
      </w:r>
      <w:r w:rsidRPr="00A37731">
        <w:t>lyse d'un so</w:t>
      </w:r>
      <w:r w:rsidRPr="00A37731">
        <w:t>n</w:t>
      </w:r>
      <w:r w:rsidRPr="00A37731">
        <w:t>dage français qui avait permis d'établir que la parentalité constituait, en France, le dénominateur le plus commun des représe</w:t>
      </w:r>
      <w:r w:rsidRPr="00A37731">
        <w:t>n</w:t>
      </w:r>
      <w:r w:rsidRPr="00A37731">
        <w:t>tations sociales de la famille. Notre ét</w:t>
      </w:r>
      <w:r w:rsidRPr="00A37731">
        <w:t>u</w:t>
      </w:r>
      <w:r w:rsidRPr="00A37731">
        <w:t>de confirme cette hégémonie au Québec.</w:t>
      </w:r>
    </w:p>
    <w:p w:rsidR="00B7214C" w:rsidRPr="00A37731" w:rsidRDefault="00B7214C" w:rsidP="00B7214C">
      <w:pPr>
        <w:spacing w:before="120" w:after="120"/>
        <w:jc w:val="both"/>
      </w:pPr>
      <w:r w:rsidRPr="00A37731">
        <w:t>Cette prédominance de la représentation parentale de la famille ne repose pas que sur des schémas idéologiques no</w:t>
      </w:r>
      <w:r w:rsidRPr="00A37731">
        <w:t>u</w:t>
      </w:r>
      <w:r w:rsidRPr="00A37731">
        <w:t>veaux reconnaissant la rupture conjugale, voire l'absence de conjugalité, comme un abo</w:t>
      </w:r>
      <w:r w:rsidRPr="00A37731">
        <w:t>u</w:t>
      </w:r>
      <w:r w:rsidRPr="00A37731">
        <w:t>tissement normal de l'expérience familiale. Elle prend racine dans le sentiment très vif que la présence de l'enfant a radicalement transfo</w:t>
      </w:r>
      <w:r w:rsidRPr="00A37731">
        <w:t>r</w:t>
      </w:r>
      <w:r w:rsidRPr="00A37731">
        <w:t>mé l'expérience des conjoints. Pour comparer leurs expériences prép</w:t>
      </w:r>
      <w:r w:rsidRPr="00A37731">
        <w:t>a</w:t>
      </w:r>
      <w:r w:rsidRPr="00A37731">
        <w:t>rentales et parentales, les parents décrivent très généralement des un</w:t>
      </w:r>
      <w:r w:rsidRPr="00A37731">
        <w:t>i</w:t>
      </w:r>
      <w:r w:rsidRPr="00A37731">
        <w:t>vers de contrainte, d'organisation et de prévision :</w:t>
      </w:r>
    </w:p>
    <w:p w:rsidR="00B7214C" w:rsidRDefault="00B7214C" w:rsidP="00B7214C">
      <w:pPr>
        <w:pStyle w:val="Grillecouleur-Accent1"/>
      </w:pPr>
    </w:p>
    <w:p w:rsidR="00B7214C" w:rsidRPr="00A37731" w:rsidRDefault="00B7214C" w:rsidP="00B7214C">
      <w:pPr>
        <w:pStyle w:val="Grillecouleur-Accent1"/>
      </w:pPr>
      <w:r w:rsidRPr="007A5EA5">
        <w:t xml:space="preserve">« Il </w:t>
      </w:r>
      <w:r w:rsidRPr="00A37731">
        <w:t>y a des contraintes, faut êt</w:t>
      </w:r>
      <w:r>
        <w:t>re disciplinés, faut être plus “</w:t>
      </w:r>
      <w:r w:rsidRPr="00A37731">
        <w:t>straight</w:t>
      </w:r>
      <w:r>
        <w:t>”</w:t>
      </w:r>
      <w:r w:rsidRPr="00A37731">
        <w:t> ».</w:t>
      </w:r>
    </w:p>
    <w:p w:rsidR="00B7214C" w:rsidRPr="00A37731" w:rsidRDefault="00B7214C" w:rsidP="00B7214C">
      <w:pPr>
        <w:pStyle w:val="Grillecouleur-Accent1"/>
      </w:pPr>
      <w:r w:rsidRPr="00A37731">
        <w:t>« Ça laisse moins de place à la spontanéité ».</w:t>
      </w:r>
    </w:p>
    <w:p w:rsidR="00B7214C" w:rsidRPr="00A37731" w:rsidRDefault="00B7214C" w:rsidP="00B7214C">
      <w:pPr>
        <w:pStyle w:val="Grillecouleur-Accent1"/>
      </w:pPr>
      <w:r w:rsidRPr="00A37731">
        <w:t>« Les contraintes d'horaire, la patience, l'organisation ... ».</w:t>
      </w:r>
    </w:p>
    <w:p w:rsidR="00B7214C" w:rsidRPr="00A37731" w:rsidRDefault="00B7214C" w:rsidP="00B7214C">
      <w:pPr>
        <w:pStyle w:val="Grillecouleur-Accent1"/>
      </w:pPr>
      <w:r w:rsidRPr="00A37731">
        <w:t>« Je pense que c'est une planification [...] Essayer d'organiser nos h</w:t>
      </w:r>
      <w:r w:rsidRPr="00A37731">
        <w:t>o</w:t>
      </w:r>
      <w:r w:rsidRPr="00A37731">
        <w:t>raires ».</w:t>
      </w:r>
    </w:p>
    <w:p w:rsidR="00B7214C" w:rsidRPr="00A37731" w:rsidRDefault="00B7214C" w:rsidP="00B7214C">
      <w:pPr>
        <w:pStyle w:val="Grillecouleur-Accent1"/>
      </w:pPr>
      <w:r w:rsidRPr="00A37731">
        <w:t>« C'est du temps, beaucoup de temps ».</w:t>
      </w:r>
    </w:p>
    <w:p w:rsidR="00B7214C" w:rsidRDefault="00B7214C" w:rsidP="00B7214C">
      <w:pPr>
        <w:pStyle w:val="Grillecouleur-Accent1"/>
      </w:pPr>
      <w:r w:rsidRPr="00A37731">
        <w:t>« T'as l'impression d'être embarqué dans une machine ».</w:t>
      </w:r>
    </w:p>
    <w:p w:rsidR="00B7214C" w:rsidRPr="00A37731" w:rsidRDefault="00B7214C" w:rsidP="00B7214C">
      <w:pPr>
        <w:pStyle w:val="Grillecouleur-Accent1"/>
      </w:pPr>
    </w:p>
    <w:p w:rsidR="00B7214C" w:rsidRPr="00A37731" w:rsidRDefault="00B7214C" w:rsidP="00B7214C">
      <w:pPr>
        <w:spacing w:before="120" w:after="120"/>
        <w:jc w:val="both"/>
      </w:pPr>
      <w:r w:rsidRPr="00A37731">
        <w:t>Cette terminologie de la contrainte, faut-il le rappeler, n'est pas sans parallèle avec la conception fondamentale du fait social chez Durkheim. En effet, il semble bien que les acteurs familiaux reco</w:t>
      </w:r>
      <w:r w:rsidRPr="00A37731">
        <w:t>n</w:t>
      </w:r>
      <w:r w:rsidRPr="00A37731">
        <w:t>naissent l'expérience familiale de la même façon que Durkheim r</w:t>
      </w:r>
      <w:r w:rsidRPr="00A37731">
        <w:t>e</w:t>
      </w:r>
      <w:r w:rsidRPr="00A37731">
        <w:t>connaît le fait social. Le social ne se manifestant jamais avec autant d'évidence que lorsqu'il s'impose comme une force extérieure aux i</w:t>
      </w:r>
      <w:r w:rsidRPr="00A37731">
        <w:t>n</w:t>
      </w:r>
      <w:r w:rsidRPr="00A37731">
        <w:t>dividus qui le subi</w:t>
      </w:r>
      <w:r w:rsidRPr="00A37731">
        <w:t>s</w:t>
      </w:r>
      <w:r w:rsidRPr="00A37731">
        <w:t>sent davantage qu'ils ne le contrôlent. En plus de cette évidence, issue de la contrainte inhérente à la présence des e</w:t>
      </w:r>
      <w:r w:rsidRPr="00A37731">
        <w:t>n</w:t>
      </w:r>
      <w:r w:rsidRPr="00A37731">
        <w:t>fants, il y a également cette autre évidence sociale qui identifie la f</w:t>
      </w:r>
      <w:r w:rsidRPr="00A37731">
        <w:t>a</w:t>
      </w:r>
      <w:r w:rsidRPr="00A37731">
        <w:t>mille à la cellule de base de la société. Dans cette perspective, sans les enfants, ce serait non seulement la fami</w:t>
      </w:r>
      <w:r w:rsidRPr="00A37731">
        <w:t>l</w:t>
      </w:r>
      <w:r w:rsidRPr="00A37731">
        <w:t>le qui disparaîtrait mais bien la société elle-même. La famille parentale s'impose donc non seul</w:t>
      </w:r>
      <w:r w:rsidRPr="00A37731">
        <w:t>e</w:t>
      </w:r>
      <w:r w:rsidRPr="00A37731">
        <w:t>ment au niveau de la quot</w:t>
      </w:r>
      <w:r w:rsidRPr="00A37731">
        <w:t>i</w:t>
      </w:r>
      <w:r w:rsidRPr="00A37731">
        <w:t>dienneté avec son cortège de contraintes mais tout autant comme l'institution fondamentale de la reproduction tant s</w:t>
      </w:r>
      <w:r w:rsidRPr="00A37731">
        <w:t>o</w:t>
      </w:r>
      <w:r w:rsidRPr="00A37731">
        <w:t>ciale que biologique.</w:t>
      </w:r>
    </w:p>
    <w:p w:rsidR="00B7214C" w:rsidRPr="00A37731" w:rsidRDefault="00B7214C" w:rsidP="00B7214C">
      <w:pPr>
        <w:spacing w:before="120" w:after="120"/>
        <w:jc w:val="both"/>
      </w:pPr>
      <w:r w:rsidRPr="00A37731">
        <w:t>L'hégémonie exercée par cette représentation parentale de la fami</w:t>
      </w:r>
      <w:r w:rsidRPr="00A37731">
        <w:t>l</w:t>
      </w:r>
      <w:r w:rsidRPr="00A37731">
        <w:t>le ne se manifeste pas uniquement dans le discours de sens commun des acteurs familiaux et sociaux. Le discours étatique adopte égal</w:t>
      </w:r>
      <w:r w:rsidRPr="00A37731">
        <w:t>e</w:t>
      </w:r>
      <w:r w:rsidRPr="00A37731">
        <w:t>ment cette</w:t>
      </w:r>
      <w:r>
        <w:t xml:space="preserve"> [288] </w:t>
      </w:r>
      <w:r w:rsidRPr="00A37731">
        <w:t xml:space="preserve">représentation de la famille contemporaine. Le </w:t>
      </w:r>
      <w:r w:rsidRPr="00951035">
        <w:rPr>
          <w:i/>
          <w:iCs/>
        </w:rPr>
        <w:t>Livre vert</w:t>
      </w:r>
      <w:r w:rsidRPr="00A37731">
        <w:t xml:space="preserve"> du mini</w:t>
      </w:r>
      <w:r w:rsidRPr="00A37731">
        <w:t>s</w:t>
      </w:r>
      <w:r w:rsidRPr="00A37731">
        <w:t>tère des Affaires sociales, en vue de la consultation sur la politique familiale, circonscrit ainsi la famille :</w:t>
      </w:r>
    </w:p>
    <w:p w:rsidR="00B7214C" w:rsidRDefault="00B7214C" w:rsidP="00B7214C">
      <w:pPr>
        <w:pStyle w:val="Grillecouleur-Accent1"/>
      </w:pPr>
    </w:p>
    <w:p w:rsidR="00B7214C" w:rsidRDefault="00B7214C" w:rsidP="00B7214C">
      <w:pPr>
        <w:pStyle w:val="Grillecouleur-Accent1"/>
      </w:pPr>
      <w:r w:rsidRPr="00A37731">
        <w:t>Le groupe parent(s)-enfant(s). Cette seule expression pourrait à la lim</w:t>
      </w:r>
      <w:r w:rsidRPr="00A37731">
        <w:t>i</w:t>
      </w:r>
      <w:r w:rsidRPr="00A37731">
        <w:t>te suffire comme définition de la famille. Elle s</w:t>
      </w:r>
      <w:r w:rsidRPr="00A37731">
        <w:t>i</w:t>
      </w:r>
      <w:r w:rsidRPr="00A37731">
        <w:t>tue l'essentiel de ce qui fait une famille : la relation parent-enfant. Elle met également l'accent sur le groupe. Une famille, c'est une petite communauté, c'est un noyau social, c'est une entité dans laquelle deux personnes de gén</w:t>
      </w:r>
      <w:r w:rsidRPr="00A37731">
        <w:t>é</w:t>
      </w:r>
      <w:r w:rsidRPr="00A37731">
        <w:t>rations différentes sont en relation. (Québec, 1984, p. 34)</w:t>
      </w:r>
    </w:p>
    <w:p w:rsidR="00B7214C" w:rsidRPr="00A37731" w:rsidRDefault="00B7214C" w:rsidP="00B7214C">
      <w:pPr>
        <w:pStyle w:val="Grillecouleur-Accent1"/>
      </w:pPr>
    </w:p>
    <w:p w:rsidR="00B7214C" w:rsidRPr="00A37731" w:rsidRDefault="00B7214C" w:rsidP="00B7214C">
      <w:pPr>
        <w:spacing w:before="120" w:after="120"/>
        <w:jc w:val="both"/>
      </w:pPr>
      <w:r w:rsidRPr="00A37731">
        <w:t>Le comité de consultation endosse, en ces termes, cette même r</w:t>
      </w:r>
      <w:r w:rsidRPr="00A37731">
        <w:t>e</w:t>
      </w:r>
      <w:r w:rsidRPr="00A37731">
        <w:t>présentation de la famille dans son rapport final :</w:t>
      </w:r>
    </w:p>
    <w:p w:rsidR="00B7214C" w:rsidRDefault="00B7214C" w:rsidP="00B7214C">
      <w:pPr>
        <w:pStyle w:val="Grillecouleur-Accent1"/>
      </w:pPr>
      <w:r w:rsidRPr="00A37731">
        <w:t>Aux fins de la politique familiale, il y a famille quand il y a prise en charge d'enfant(s) par un ou des parents. Un couple n'ayant pas eu d'e</w:t>
      </w:r>
      <w:r w:rsidRPr="00A37731">
        <w:t>n</w:t>
      </w:r>
      <w:r w:rsidRPr="00A37731">
        <w:t>fant, ou n'attendant pas d'enfant, ne const</w:t>
      </w:r>
      <w:r w:rsidRPr="00A37731">
        <w:t>i</w:t>
      </w:r>
      <w:r w:rsidRPr="00A37731">
        <w:t>tue donc pas une famille aux fins de la politique familiale. (Québec, 1986, p. 5)</w:t>
      </w:r>
    </w:p>
    <w:p w:rsidR="00B7214C" w:rsidRPr="00A37731" w:rsidRDefault="00B7214C" w:rsidP="00B7214C">
      <w:pPr>
        <w:pStyle w:val="Grillecouleur-Accent1"/>
      </w:pPr>
    </w:p>
    <w:p w:rsidR="00B7214C" w:rsidRPr="00A37731" w:rsidRDefault="00B7214C" w:rsidP="00B7214C">
      <w:pPr>
        <w:spacing w:before="120" w:after="120"/>
        <w:jc w:val="both"/>
      </w:pPr>
      <w:r w:rsidRPr="00A37731">
        <w:t>L'adoption par l'État de la représentation parentale de la famille tend à confirmer le caractère aujourd'hui prédominant, voire normatif, de la représentation parentale de la famille. Devant l'instabilité de la conjugalité contemporaine, les a</w:t>
      </w:r>
      <w:r w:rsidRPr="00A37731">
        <w:t>c</w:t>
      </w:r>
      <w:r w:rsidRPr="00A37731">
        <w:t>teurs sociaux et familiaux se réfèrent dorénavant à la parent</w:t>
      </w:r>
      <w:r w:rsidRPr="00A37731">
        <w:t>a</w:t>
      </w:r>
      <w:r w:rsidRPr="00A37731">
        <w:t>lité plutôt qu'à toute autre pratique sociale pour identifier ce qui relève de la famille et ce qui doit en être exclu. Confrontés à la pluralité des modèles familiaux légitimes que la bipare</w:t>
      </w:r>
      <w:r w:rsidRPr="00A37731">
        <w:t>n</w:t>
      </w:r>
      <w:r w:rsidRPr="00A37731">
        <w:t>talité biologique sanctionnée par le mariage ne peut plus contenir, les acteurs sociaux contemporains en appellent à ce qui demeure tout de même une caractéristique apparemment permanente et immédiate quand il s'agit de discriminer le familial du non-familial : la parental</w:t>
      </w:r>
      <w:r w:rsidRPr="00A37731">
        <w:t>i</w:t>
      </w:r>
      <w:r w:rsidRPr="00A37731">
        <w:t>té.</w:t>
      </w:r>
    </w:p>
    <w:p w:rsidR="00B7214C" w:rsidRDefault="00B7214C" w:rsidP="00B7214C">
      <w:pPr>
        <w:spacing w:before="120" w:after="120"/>
        <w:jc w:val="both"/>
      </w:pPr>
      <w:r>
        <w:br w:type="page"/>
      </w:r>
    </w:p>
    <w:p w:rsidR="00B7214C" w:rsidRPr="00A37731" w:rsidRDefault="00B7214C" w:rsidP="00B7214C">
      <w:pPr>
        <w:pStyle w:val="a"/>
      </w:pPr>
      <w:r w:rsidRPr="00A37731">
        <w:t xml:space="preserve">POUR UNE PROBLÉMATISATION </w:t>
      </w:r>
      <w:r>
        <w:br/>
      </w:r>
      <w:r w:rsidRPr="00A37731">
        <w:t>DE LA PARE</w:t>
      </w:r>
      <w:r w:rsidRPr="00A37731">
        <w:t>N</w:t>
      </w:r>
      <w:r w:rsidRPr="00A37731">
        <w:t>TALITÉ ET DE LA FAMILLE</w:t>
      </w:r>
    </w:p>
    <w:p w:rsidR="00B7214C" w:rsidRDefault="00B7214C" w:rsidP="00B7214C">
      <w:pPr>
        <w:spacing w:before="120" w:after="120"/>
        <w:jc w:val="both"/>
      </w:pPr>
    </w:p>
    <w:p w:rsidR="00B7214C" w:rsidRPr="00A37731" w:rsidRDefault="00B7214C" w:rsidP="00B7214C">
      <w:pPr>
        <w:spacing w:before="120" w:after="120"/>
        <w:jc w:val="both"/>
      </w:pPr>
      <w:r w:rsidRPr="00A37731">
        <w:t>En ce qui concerne le présent exposé, nous pensons que la vocation fondamentale de la sociologie n'est pas la critique du sens commun mais bien plutôt une médiation à établir avec lui. Cette médiation n</w:t>
      </w:r>
      <w:r w:rsidRPr="00A37731">
        <w:t>é</w:t>
      </w:r>
      <w:r w:rsidRPr="00A37731">
        <w:t>cessite par ailleurs son interprétation ; il convient donc de mettre en lumière non seulement les insu</w:t>
      </w:r>
      <w:r w:rsidRPr="00A37731">
        <w:t>f</w:t>
      </w:r>
      <w:r w:rsidRPr="00A37731">
        <w:t>fisances des notions de sens commun en vue de l'analyse mais, également, les insuffisances des conceptions sociologiques lorsque ces dernières reprennent à leur compte les énoncés de sens commun sans les transformer en fonction des obje</w:t>
      </w:r>
      <w:r w:rsidRPr="00A37731">
        <w:t>c</w:t>
      </w:r>
      <w:r w:rsidRPr="00A37731">
        <w:t>tifs de l'analyse sociologique. On pourrait certes discuter éternell</w:t>
      </w:r>
      <w:r w:rsidRPr="00A37731">
        <w:t>e</w:t>
      </w:r>
      <w:r w:rsidRPr="00A37731">
        <w:t>ment des fondements distincts de la représentation parentale de la f</w:t>
      </w:r>
      <w:r w:rsidRPr="00A37731">
        <w:t>a</w:t>
      </w:r>
      <w:r w:rsidRPr="00A37731">
        <w:t>mille, dans le sens commun, et de la conce</w:t>
      </w:r>
      <w:r w:rsidRPr="00A37731">
        <w:t>p</w:t>
      </w:r>
      <w:r w:rsidRPr="00A37731">
        <w:t>tion parentale de la famille qu'adopte la sociologie ; il n'en demeure pas moins que l'une</w:t>
      </w:r>
      <w:r>
        <w:t xml:space="preserve"> [289] </w:t>
      </w:r>
      <w:r w:rsidRPr="00A37731">
        <w:t>et l'autre partagent généralement cette même vision parentale de la f</w:t>
      </w:r>
      <w:r w:rsidRPr="00A37731">
        <w:t>a</w:t>
      </w:r>
      <w:r w:rsidRPr="00A37731">
        <w:t>mille contemporaine sans qu'une construction analytique ne les fo</w:t>
      </w:r>
      <w:r w:rsidRPr="00A37731">
        <w:t>n</w:t>
      </w:r>
      <w:r w:rsidRPr="00A37731">
        <w:t>de ni l'une ni l'autre.</w:t>
      </w:r>
    </w:p>
    <w:p w:rsidR="00B7214C" w:rsidRPr="00A37731" w:rsidRDefault="00B7214C" w:rsidP="00B7214C">
      <w:pPr>
        <w:spacing w:before="120" w:after="120"/>
        <w:jc w:val="both"/>
      </w:pPr>
      <w:r w:rsidRPr="00A37731">
        <w:t>La représentation parentale de la famille est si omniprése</w:t>
      </w:r>
      <w:r w:rsidRPr="00A37731">
        <w:t>n</w:t>
      </w:r>
      <w:r w:rsidRPr="00A37731">
        <w:t>te que la sociologie parvient difficilement à s'en démarquer tout comme à c</w:t>
      </w:r>
      <w:r w:rsidRPr="00A37731">
        <w:t>a</w:t>
      </w:r>
      <w:r w:rsidRPr="00A37731">
        <w:t>moufler les insuffisances de ses conceptions de la famille surtout d</w:t>
      </w:r>
      <w:r w:rsidRPr="00A37731">
        <w:t>e</w:t>
      </w:r>
      <w:r w:rsidRPr="00A37731">
        <w:t>puis la fin de l'hégémonie du modèle familial « biparental et biolog</w:t>
      </w:r>
      <w:r w:rsidRPr="00A37731">
        <w:t>i</w:t>
      </w:r>
      <w:r w:rsidRPr="00A37731">
        <w:t>que sanctionné par le mariage ». À témoin de ses difficultés, elle se</w:t>
      </w:r>
      <w:r w:rsidRPr="00A37731">
        <w:t>m</w:t>
      </w:r>
      <w:r w:rsidRPr="00A37731">
        <w:t>ble avoir perdu son objet au gré des évolutions sociales. Autrefois soumise à l'évidence du modèle biparental, biologique issu du mari</w:t>
      </w:r>
      <w:r w:rsidRPr="00A37731">
        <w:t>a</w:t>
      </w:r>
      <w:r w:rsidRPr="00A37731">
        <w:t>ge, la sociologie de la famille l'est aujourd'hui à un autre modèle e</w:t>
      </w:r>
      <w:r w:rsidRPr="00A37731">
        <w:t>s</w:t>
      </w:r>
      <w:r w:rsidRPr="00A37731">
        <w:t>sentialiste, celui de la parentalité.</w:t>
      </w:r>
    </w:p>
    <w:p w:rsidR="00B7214C" w:rsidRPr="00A37731" w:rsidRDefault="00B7214C" w:rsidP="00B7214C">
      <w:pPr>
        <w:spacing w:before="120" w:after="120"/>
        <w:jc w:val="both"/>
      </w:pPr>
      <w:r w:rsidRPr="00A37731">
        <w:t>Il importe de souligner que l'image parentale de la famille nous renvoie, elle aussi, à une évidence sociale pas davantage construite que l'ancienne évidence conjugale. Cette image p</w:t>
      </w:r>
      <w:r w:rsidRPr="00A37731">
        <w:t>a</w:t>
      </w:r>
      <w:r w:rsidRPr="00A37731">
        <w:t>rentale de la famille n'émerge que du vide laissé par la conjugalité déficiente à nous prop</w:t>
      </w:r>
      <w:r w:rsidRPr="00A37731">
        <w:t>o</w:t>
      </w:r>
      <w:r w:rsidRPr="00A37731">
        <w:t>ser les fondements de la famille depuis que nous savons, comme les acteurs sociaux, que « le couple a cessé d'être considéré comme esse</w:t>
      </w:r>
      <w:r w:rsidRPr="00A37731">
        <w:t>n</w:t>
      </w:r>
      <w:r w:rsidRPr="00A37731">
        <w:t>tiel à la constit</w:t>
      </w:r>
      <w:r w:rsidRPr="00A37731">
        <w:t>u</w:t>
      </w:r>
      <w:r w:rsidRPr="00A37731">
        <w:t>tion d'u</w:t>
      </w:r>
      <w:r>
        <w:t>ne famille » (Dandurand, Saint-J</w:t>
      </w:r>
      <w:r w:rsidRPr="00A37731">
        <w:t>ean, 1988, p. 269). Devant l'instabilité des projets conjugaux contemporains, vo</w:t>
      </w:r>
      <w:r w:rsidRPr="00A37731">
        <w:t>i</w:t>
      </w:r>
      <w:r w:rsidRPr="00A37731">
        <w:t>re des pratiques conjugales elles-mêmes, il ne resterait plus que la pare</w:t>
      </w:r>
      <w:r w:rsidRPr="00A37731">
        <w:t>n</w:t>
      </w:r>
      <w:r w:rsidRPr="00A37731">
        <w:t>talité pour combattre le vertige des sociologues de la famille.</w:t>
      </w:r>
    </w:p>
    <w:p w:rsidR="00B7214C" w:rsidRPr="00A37731" w:rsidRDefault="00B7214C" w:rsidP="00B7214C">
      <w:pPr>
        <w:spacing w:before="120" w:after="120"/>
        <w:jc w:val="both"/>
      </w:pPr>
      <w:r w:rsidRPr="00A37731">
        <w:t>Nous proposons de créer un espace de problématisation analytique entre la famille et la parentalité de façon qu'elles ne soient plus rédu</w:t>
      </w:r>
      <w:r w:rsidRPr="00A37731">
        <w:t>c</w:t>
      </w:r>
      <w:r w:rsidRPr="00A37731">
        <w:t>tibles l'une à l'autre. Un objet famille problématique implique que c</w:t>
      </w:r>
      <w:r w:rsidRPr="00A37731">
        <w:t>e</w:t>
      </w:r>
      <w:r w:rsidRPr="00A37731">
        <w:t>lui-ci ne tire pas son existence, en tant qu'objet sociologique, de la présence immédiate d'une pratique sociale particulière, serait-ce même la parentalité. Cette problématisation implique également que la p</w:t>
      </w:r>
      <w:r w:rsidRPr="00A37731">
        <w:t>a</w:t>
      </w:r>
      <w:r w:rsidRPr="00A37731">
        <w:t>rentalité ne réfère pas nécessairement à une pratique familiale.</w:t>
      </w:r>
    </w:p>
    <w:p w:rsidR="00B7214C" w:rsidRPr="00A37731" w:rsidRDefault="00B7214C" w:rsidP="00B7214C">
      <w:pPr>
        <w:spacing w:before="120" w:after="120"/>
        <w:jc w:val="both"/>
      </w:pPr>
      <w:r w:rsidRPr="00A37731">
        <w:t>À l'instar des objets sociologiques classiques, la conception de l'o</w:t>
      </w:r>
      <w:r w:rsidRPr="00A37731">
        <w:t>b</w:t>
      </w:r>
      <w:r w:rsidRPr="00A37731">
        <w:t>jet famille ne doit pas se faire par l'identification d'une pratique sociale qui lui serait particulière. C'est dans cette dernière attitude que l'on peut reconnaître le fondement essentialiste des conceptions soci</w:t>
      </w:r>
      <w:r w:rsidRPr="00A37731">
        <w:t>o</w:t>
      </w:r>
      <w:r w:rsidRPr="00A37731">
        <w:t>logiques qui évitent ainsi de devoir construire par l'analyse leur objet d'étude, se sati</w:t>
      </w:r>
      <w:r w:rsidRPr="00A37731">
        <w:t>s</w:t>
      </w:r>
      <w:r w:rsidRPr="00A37731">
        <w:t>faisant, semble-t-il, d'une « observation rigoureuse » des pr</w:t>
      </w:r>
      <w:r w:rsidRPr="00A37731">
        <w:t>a</w:t>
      </w:r>
      <w:r w:rsidRPr="00A37731">
        <w:t>tiques sociales.</w:t>
      </w:r>
    </w:p>
    <w:p w:rsidR="00B7214C" w:rsidRPr="00A37731" w:rsidRDefault="00B7214C" w:rsidP="00B7214C">
      <w:pPr>
        <w:spacing w:before="120" w:after="120"/>
        <w:jc w:val="both"/>
      </w:pPr>
      <w:r w:rsidRPr="00A37731">
        <w:t>Il nous faut concevoir un objet sociologique en fonction de l'anal</w:t>
      </w:r>
      <w:r w:rsidRPr="00A37731">
        <w:t>y</w:t>
      </w:r>
      <w:r w:rsidRPr="00A37731">
        <w:t>se, un objet distinct du phénomène social identifié par la notion de famille</w:t>
      </w:r>
      <w:r>
        <w:t> </w:t>
      </w:r>
      <w:r>
        <w:rPr>
          <w:rStyle w:val="Appelnotedebasdep"/>
        </w:rPr>
        <w:footnoteReference w:id="225"/>
      </w:r>
      <w:r w:rsidRPr="00A37731">
        <w:t>. Les acteurs sociaux en appellent constamment à ce que Pa</w:t>
      </w:r>
      <w:r w:rsidRPr="00A37731">
        <w:t>r</w:t>
      </w:r>
      <w:r w:rsidRPr="00A37731">
        <w:t>sons désigne de famille d'orientation et de procréation pour fonder leurs représentations de la famille (Parsons, 1964, p</w:t>
      </w:r>
      <w:r>
        <w:t>p</w:t>
      </w:r>
      <w:r w:rsidRPr="00A37731">
        <w:t>. 179-180). Ces f</w:t>
      </w:r>
      <w:r>
        <w:t>amilles d'orientation et de pro</w:t>
      </w:r>
      <w:r w:rsidRPr="00A37731">
        <w:t>création</w:t>
      </w:r>
      <w:r>
        <w:t xml:space="preserve"> [290]</w:t>
      </w:r>
      <w:r w:rsidRPr="00A37731">
        <w:t xml:space="preserve"> (rappelant les familles d'origine et constituées par les pe</w:t>
      </w:r>
      <w:r w:rsidRPr="00A37731">
        <w:t>r</w:t>
      </w:r>
      <w:r w:rsidRPr="00A37731">
        <w:t>sonnes elles-mêmes) furent et sont expérimentées dans un contexte situationnel particulier que nous dés</w:t>
      </w:r>
      <w:r w:rsidRPr="00A37731">
        <w:t>i</w:t>
      </w:r>
      <w:r w:rsidRPr="00A37731">
        <w:t xml:space="preserve">gnons ici, comme objet d'étude, par la notion de </w:t>
      </w:r>
      <w:r w:rsidRPr="00951035">
        <w:rPr>
          <w:i/>
          <w:iCs/>
        </w:rPr>
        <w:t>situation familiale.</w:t>
      </w:r>
    </w:p>
    <w:p w:rsidR="00B7214C" w:rsidRPr="00A37731" w:rsidRDefault="00B7214C" w:rsidP="00B7214C">
      <w:pPr>
        <w:spacing w:before="120" w:after="120"/>
        <w:jc w:val="both"/>
      </w:pPr>
      <w:r w:rsidRPr="00A37731">
        <w:t>Par cette approche problématique de la famille et de la p</w:t>
      </w:r>
      <w:r w:rsidRPr="00A37731">
        <w:t>a</w:t>
      </w:r>
      <w:r w:rsidRPr="00A37731">
        <w:t>rentalité, nous abordons les pratiques généralement attribuées à la famille comme des pratiques avant tout sociales. De ce point de vue, on concevra qu</w:t>
      </w:r>
      <w:r>
        <w:t>’</w:t>
      </w:r>
      <w:r w:rsidRPr="00A37731">
        <w:t xml:space="preserve">il n y a pas que dans la famille que des pratiques d'union, de travail domestique, de loisir, de socialisation, d'engendrement, de cohabitation, des pratiques sexuelles, économiques, etc. ou </w:t>
      </w:r>
      <w:r w:rsidRPr="00951035">
        <w:rPr>
          <w:i/>
          <w:iCs/>
        </w:rPr>
        <w:t>même des pratiques parentales,</w:t>
      </w:r>
      <w:r w:rsidRPr="00A37731">
        <w:t xml:space="preserve"> soient possibles. De la même façon, on concevra qu'il est possible d'identifier une situation familiale sans que celle-ci soit nécessairement caractérisée par certaines pratiques soci</w:t>
      </w:r>
      <w:r w:rsidRPr="00A37731">
        <w:t>a</w:t>
      </w:r>
      <w:r w:rsidRPr="00A37731">
        <w:t>les telles que la socialisation des enfants, des pratiques sexuelles mais égal</w:t>
      </w:r>
      <w:r w:rsidRPr="00A37731">
        <w:t>e</w:t>
      </w:r>
      <w:r w:rsidRPr="00A37731">
        <w:t>ment la conjugalité et même la parental</w:t>
      </w:r>
      <w:r w:rsidRPr="00A37731">
        <w:t>i</w:t>
      </w:r>
      <w:r w:rsidRPr="00A37731">
        <w:t>té.</w:t>
      </w:r>
    </w:p>
    <w:p w:rsidR="00B7214C" w:rsidRPr="00A37731" w:rsidRDefault="00B7214C" w:rsidP="00B7214C">
      <w:pPr>
        <w:spacing w:before="120" w:after="120"/>
        <w:jc w:val="both"/>
      </w:pPr>
      <w:r w:rsidRPr="00A37731">
        <w:t>Ce ne sont plus des pratiques spécifiquement familiales qui déf</w:t>
      </w:r>
      <w:r w:rsidRPr="00A37731">
        <w:t>i</w:t>
      </w:r>
      <w:r w:rsidRPr="00A37731">
        <w:t>nissent l'existence ou non de la famille, c'est plutôt une articulation spécifique de pratiques, par ailleurs sociales, qui permet l'identific</w:t>
      </w:r>
      <w:r w:rsidRPr="00A37731">
        <w:t>a</w:t>
      </w:r>
      <w:r w:rsidRPr="00A37731">
        <w:t>tion d'une situation familiale, et c'est là toute la différence. Ainsi, ce ne sont pas des pratiques spécif</w:t>
      </w:r>
      <w:r w:rsidRPr="00A37731">
        <w:t>i</w:t>
      </w:r>
      <w:r w:rsidRPr="00A37731">
        <w:t>ques telles que le travail domestique, 1 union ou la parentalité qui constituent la situation familiale, ce n'est que dans la m</w:t>
      </w:r>
      <w:r w:rsidRPr="00A37731">
        <w:t>e</w:t>
      </w:r>
      <w:r w:rsidRPr="00A37731">
        <w:t>sure où ces pratiques sociales (et d'autres comme le loisir, la cohabitation, la sexualité, etc.) participent d'une articulation spécifiquement familiale qu'elles deviennent identifiables à des prat</w:t>
      </w:r>
      <w:r w:rsidRPr="00A37731">
        <w:t>i</w:t>
      </w:r>
      <w:r w:rsidRPr="00A37731">
        <w:t>ques familiales.</w:t>
      </w:r>
    </w:p>
    <w:p w:rsidR="00B7214C" w:rsidRPr="00A37731" w:rsidRDefault="00B7214C" w:rsidP="00B7214C">
      <w:pPr>
        <w:spacing w:before="120" w:after="120"/>
        <w:jc w:val="both"/>
      </w:pPr>
      <w:r w:rsidRPr="00A37731">
        <w:t>Reste alors à mettre en lumière, cette articulation spécif</w:t>
      </w:r>
      <w:r w:rsidRPr="00A37731">
        <w:t>i</w:t>
      </w:r>
      <w:r w:rsidRPr="00A37731">
        <w:t>que qui permettrait de distinguer la situation familiale des a</w:t>
      </w:r>
      <w:r w:rsidRPr="00A37731">
        <w:t>u</w:t>
      </w:r>
      <w:r w:rsidRPr="00A37731">
        <w:t>tres situations sociales. Sans reprendre ici de façon exhaustive une démonstration que nous avons déjà présentée ailleurs (Joyal, 1990-1991), on peut tout de même souligner que la spécificité de l'objet famille tient à l'imbrication très marquée de la parentalité et de la conjugalité (l'une et/ou l'autre) au travail domestique. Les significations et les compo</w:t>
      </w:r>
      <w:r w:rsidRPr="00A37731">
        <w:t>r</w:t>
      </w:r>
      <w:r w:rsidRPr="00A37731">
        <w:t>tements de ces pratiques sociales sont si intimement liés qu'on ne pa</w:t>
      </w:r>
      <w:r w:rsidRPr="00A37731">
        <w:t>r</w:t>
      </w:r>
      <w:r w:rsidRPr="00A37731">
        <w:t>vient plus à distinguer ce qui relève des significations et des compo</w:t>
      </w:r>
      <w:r w:rsidRPr="00A37731">
        <w:t>r</w:t>
      </w:r>
      <w:r w:rsidRPr="00A37731">
        <w:t>tements proprement conjugaux et/ou parentaux des significations et des comportements propres au travail dome</w:t>
      </w:r>
      <w:r w:rsidRPr="00A37731">
        <w:t>s</w:t>
      </w:r>
      <w:r w:rsidRPr="00A37731">
        <w:t>tique.</w:t>
      </w:r>
    </w:p>
    <w:p w:rsidR="00B7214C" w:rsidRDefault="00B7214C" w:rsidP="00B7214C">
      <w:pPr>
        <w:spacing w:before="120" w:after="120"/>
        <w:jc w:val="both"/>
      </w:pPr>
      <w:r w:rsidRPr="00A37731">
        <w:t>On pose ainsi un objet familial problématique en ce que, d'une part, il n'est pas défini par des pratiques spécifiques qui lui seraient exclusives (on évite ainsi les conceptions essenti</w:t>
      </w:r>
      <w:r w:rsidRPr="00A37731">
        <w:t>a</w:t>
      </w:r>
      <w:r w:rsidRPr="00A37731">
        <w:t>listes de la famille) et, d autre part, cette définition permet de circonscrire une spécificité à l'objet famille sans qu'il ne di</w:t>
      </w:r>
      <w:r w:rsidRPr="00A37731">
        <w:t>s</w:t>
      </w:r>
      <w:r w:rsidRPr="00A37731">
        <w:t>paraisse dans une socialité générale des acteurs sociaux.</w:t>
      </w:r>
    </w:p>
    <w:p w:rsidR="00B7214C" w:rsidRDefault="00B7214C" w:rsidP="00B7214C">
      <w:pPr>
        <w:pStyle w:val="p"/>
      </w:pPr>
      <w:r w:rsidRPr="00A37731">
        <w:br w:type="page"/>
      </w:r>
      <w:r>
        <w:t>[291]</w:t>
      </w:r>
    </w:p>
    <w:p w:rsidR="00B7214C" w:rsidRPr="00A37731" w:rsidRDefault="00B7214C" w:rsidP="00B7214C">
      <w:pPr>
        <w:spacing w:before="120" w:after="120"/>
        <w:jc w:val="both"/>
      </w:pPr>
    </w:p>
    <w:p w:rsidR="00B7214C" w:rsidRPr="00A37731" w:rsidRDefault="00B7214C" w:rsidP="00B7214C">
      <w:pPr>
        <w:pStyle w:val="a"/>
      </w:pPr>
      <w:r w:rsidRPr="00A37731">
        <w:t>LA PARENTALITÉ ET SON AFFECTIVITÉ</w:t>
      </w:r>
    </w:p>
    <w:p w:rsidR="00B7214C" w:rsidRDefault="00B7214C" w:rsidP="00B7214C">
      <w:pPr>
        <w:spacing w:before="120" w:after="120"/>
        <w:jc w:val="both"/>
      </w:pPr>
    </w:p>
    <w:p w:rsidR="00B7214C" w:rsidRPr="00A37731" w:rsidRDefault="00B7214C" w:rsidP="00B7214C">
      <w:pPr>
        <w:spacing w:before="120" w:after="120"/>
        <w:jc w:val="both"/>
      </w:pPr>
      <w:r w:rsidRPr="00A37731">
        <w:t>Enfin problématisés par rapport à la famille, on peut s'a</w:t>
      </w:r>
      <w:r w:rsidRPr="00A37731">
        <w:t>t</w:t>
      </w:r>
      <w:r w:rsidRPr="00A37731">
        <w:t>tarder aux significations et aux comportements proprement parentaux potentie</w:t>
      </w:r>
      <w:r w:rsidRPr="00A37731">
        <w:t>l</w:t>
      </w:r>
      <w:r w:rsidRPr="00A37731">
        <w:t>lement distincts des pratiques familiales. Quelles significations et quels comportements prioritaires attribue-t-on à la parentalité conte</w:t>
      </w:r>
      <w:r w:rsidRPr="00A37731">
        <w:t>m</w:t>
      </w:r>
      <w:r w:rsidRPr="00A37731">
        <w:t>poraine ? Les études tant sociologiques qu'historiques soulignent to</w:t>
      </w:r>
      <w:r w:rsidRPr="00A37731">
        <w:t>u</w:t>
      </w:r>
      <w:r w:rsidRPr="00A37731">
        <w:t>tes le développement remarquable de la dimension affective de la p</w:t>
      </w:r>
      <w:r w:rsidRPr="00A37731">
        <w:t>a</w:t>
      </w:r>
      <w:r w:rsidRPr="00A37731">
        <w:t>rentalité et de la conjugalité contemporaines par opposition à la situ</w:t>
      </w:r>
      <w:r w:rsidRPr="00A37731">
        <w:t>a</w:t>
      </w:r>
      <w:r w:rsidRPr="00A37731">
        <w:t>tion de l'Ancien Régime (Roussel, 1989 ; Shorter, 1975 ; L</w:t>
      </w:r>
      <w:r w:rsidRPr="00A37731">
        <w:t>e</w:t>
      </w:r>
      <w:r w:rsidRPr="00A37731">
        <w:t>brun, 1975 ; Ariès 1975).</w:t>
      </w:r>
    </w:p>
    <w:p w:rsidR="00B7214C" w:rsidRPr="00A37731" w:rsidRDefault="00B7214C" w:rsidP="00B7214C">
      <w:pPr>
        <w:spacing w:before="120" w:after="120"/>
        <w:jc w:val="both"/>
      </w:pPr>
      <w:r w:rsidRPr="00A37731">
        <w:t>Les manifestations d'une affectivité parentale systématique et a</w:t>
      </w:r>
      <w:r w:rsidRPr="00A37731">
        <w:t>u</w:t>
      </w:r>
      <w:r w:rsidRPr="00A37731">
        <w:t>tonomisée par rapport à d'autres pratiques sociales sont nombreuses. À un niveau sociétal très général, on peut penser à l'instauration d'une contraception efficace qui favorise le développement de significations et de comportements spécif</w:t>
      </w:r>
      <w:r w:rsidRPr="00A37731">
        <w:t>i</w:t>
      </w:r>
      <w:r w:rsidRPr="00A37731">
        <w:t>ques à la parentalité et à la sexualité. On a souvent fait rema</w:t>
      </w:r>
      <w:r w:rsidRPr="00A37731">
        <w:t>r</w:t>
      </w:r>
      <w:r w:rsidRPr="00A37731">
        <w:t>quer que la contraception moderne avait permis l'expression d'une sexualité davantage orientée en fonction d'un pri</w:t>
      </w:r>
      <w:r w:rsidRPr="00A37731">
        <w:t>n</w:t>
      </w:r>
      <w:r w:rsidRPr="00A37731">
        <w:t>cipe de plaisir. C'est pourtant dans le mouvement même de cette di</w:t>
      </w:r>
      <w:r w:rsidRPr="00A37731">
        <w:t>s</w:t>
      </w:r>
      <w:r w:rsidRPr="00A37731">
        <w:t>sociation entre la sexualité et la procréation (Dandurand, 1991, p. 55) que la parentalité se retrouve face à elle-même ; elle doit, elle aussi, dorénavant porter ses significations et comportements proprement p</w:t>
      </w:r>
      <w:r w:rsidRPr="00A37731">
        <w:t>a</w:t>
      </w:r>
      <w:r w:rsidRPr="00A37731">
        <w:t>rentaux.</w:t>
      </w:r>
    </w:p>
    <w:p w:rsidR="00B7214C" w:rsidRPr="00A37731" w:rsidRDefault="00B7214C" w:rsidP="00B7214C">
      <w:pPr>
        <w:spacing w:before="120" w:after="120"/>
        <w:jc w:val="both"/>
      </w:pPr>
      <w:r w:rsidRPr="00A37731">
        <w:t>On peut également penser au recul des conceptions in</w:t>
      </w:r>
      <w:r w:rsidRPr="00A37731">
        <w:t>s</w:t>
      </w:r>
      <w:r w:rsidRPr="00A37731">
        <w:t>trumentales de la parentalité qui ont longtemps défini les enfants comme des re</w:t>
      </w:r>
      <w:r w:rsidRPr="00A37731">
        <w:t>s</w:t>
      </w:r>
      <w:r w:rsidRPr="00A37731">
        <w:t>sources au service du développement du patrimoine familial dans les sociétés agricoles. Flandrin (1981, p. 152) souligne que cette instr</w:t>
      </w:r>
      <w:r w:rsidRPr="00A37731">
        <w:t>u</w:t>
      </w:r>
      <w:r w:rsidRPr="00A37731">
        <w:t>mentalisation systém</w:t>
      </w:r>
      <w:r w:rsidRPr="00A37731">
        <w:t>a</w:t>
      </w:r>
      <w:r w:rsidRPr="00A37731">
        <w:t>tique de la parentalité n'a jamais été démontrée, même dans les vieilles sociétés européennes du Moyen Âge et de l'Ancien Régime. En ce qui concerne les sociétés nord-américaines d'origine européenne. Bouchard précise qu'elles s'inscrivent dans des espaces agricoles ouverts (c'est-à-dire où il reste de nombreux territo</w:t>
      </w:r>
      <w:r w:rsidRPr="00A37731">
        <w:t>i</w:t>
      </w:r>
      <w:r w:rsidRPr="00A37731">
        <w:t>res agricoles en friche à développer) où l'établissement des jeunes g</w:t>
      </w:r>
      <w:r w:rsidRPr="00A37731">
        <w:t>é</w:t>
      </w:r>
      <w:r w:rsidRPr="00A37731">
        <w:t>nérations constituerait un enjeu prioritaire du développement du p</w:t>
      </w:r>
      <w:r w:rsidRPr="00A37731">
        <w:t>a</w:t>
      </w:r>
      <w:r w:rsidRPr="00A37731">
        <w:t>trimoine familial (Bo</w:t>
      </w:r>
      <w:r w:rsidRPr="00A37731">
        <w:t>u</w:t>
      </w:r>
      <w:r w:rsidRPr="00A37731">
        <w:t>chard, 1987, p. 242 ; Bouchard, Larouche, 1987, p. 134), et ce, au point même de lui nuire. Cette prépondérance du principe de l'établissement des jeunes générations sur le dévelo</w:t>
      </w:r>
      <w:r w:rsidRPr="00A37731">
        <w:t>p</w:t>
      </w:r>
      <w:r w:rsidRPr="00A37731">
        <w:t>pement du patrimoine familial apporte un nouvel éclairage sur les s</w:t>
      </w:r>
      <w:r w:rsidRPr="00A37731">
        <w:t>i</w:t>
      </w:r>
      <w:r w:rsidRPr="00A37731">
        <w:t>gnifications et aux comportements strictement affectifs associés à la parentalité des siècles passés.</w:t>
      </w:r>
    </w:p>
    <w:p w:rsidR="00B7214C" w:rsidRPr="00A37731" w:rsidRDefault="00B7214C" w:rsidP="00B7214C">
      <w:pPr>
        <w:spacing w:before="120" w:after="120"/>
        <w:jc w:val="both"/>
      </w:pPr>
      <w:r w:rsidRPr="00A37731">
        <w:t>On peut aussi aborder la question du rapport entre la p</w:t>
      </w:r>
      <w:r w:rsidRPr="00A37731">
        <w:t>a</w:t>
      </w:r>
      <w:r w:rsidRPr="00A37731">
        <w:t>rentalité et la conjugalité contemporaines. En effet, une des manifestations les plus convaincantes du développement de significations et de compo</w:t>
      </w:r>
      <w:r w:rsidRPr="00A37731">
        <w:t>r</w:t>
      </w:r>
      <w:r w:rsidRPr="00A37731">
        <w:t>tements proprement parentaux tient à la progression remarquable du type moderne</w:t>
      </w:r>
      <w:r>
        <w:t xml:space="preserve"> [292] </w:t>
      </w:r>
      <w:r w:rsidRPr="00A37731">
        <w:t>des familles monoparentales. La monoparentalité conte</w:t>
      </w:r>
      <w:r w:rsidRPr="00A37731">
        <w:t>m</w:t>
      </w:r>
      <w:r w:rsidRPr="00A37731">
        <w:t>poraine témoigne du potentiel systématique et autonome de la parentalité par rapport à la conjugalité. L'union et la parentalité s'ét</w:t>
      </w:r>
      <w:r w:rsidRPr="00A37731">
        <w:t>a</w:t>
      </w:r>
      <w:r w:rsidRPr="00A37731">
        <w:t>blissent dorén</w:t>
      </w:r>
      <w:r w:rsidRPr="00A37731">
        <w:t>a</w:t>
      </w:r>
      <w:r w:rsidRPr="00A37731">
        <w:t>vant comme deux pratiques potentiellement distinctes et systémat</w:t>
      </w:r>
      <w:r w:rsidRPr="00A37731">
        <w:t>i</w:t>
      </w:r>
      <w:r w:rsidRPr="00A37731">
        <w:t>ques qui peuvent s'actualiser sans donner lieu à leur fusion dans le cadre d'une même situ</w:t>
      </w:r>
      <w:r w:rsidRPr="00A37731">
        <w:t>a</w:t>
      </w:r>
      <w:r w:rsidRPr="00A37731">
        <w:t>tion familiale.</w:t>
      </w:r>
    </w:p>
    <w:p w:rsidR="00B7214C" w:rsidRDefault="00B7214C" w:rsidP="00B7214C">
      <w:pPr>
        <w:spacing w:before="120" w:after="120"/>
        <w:jc w:val="both"/>
      </w:pPr>
      <w:r w:rsidRPr="00A37731">
        <w:t>La monoparentalité ne devrait cependant pas être conçue simpl</w:t>
      </w:r>
      <w:r w:rsidRPr="00A37731">
        <w:t>e</w:t>
      </w:r>
      <w:r w:rsidRPr="00A37731">
        <w:t>ment comme une pratique parentale sans pratique conjugale. En effet, si l'on identifie la monoparentalité à une situation de parentalité sans union, on devrait reconnaître que tout parent, même sans responsabil</w:t>
      </w:r>
      <w:r w:rsidRPr="00A37731">
        <w:t>i</w:t>
      </w:r>
      <w:r w:rsidRPr="00A37731">
        <w:t>té quotidienne envers son enfant, et qui n'élaborerait pas une union conjugale particip</w:t>
      </w:r>
      <w:r w:rsidRPr="00A37731">
        <w:t>e</w:t>
      </w:r>
      <w:r w:rsidRPr="00A37731">
        <w:t>rait de la monoparentalité. On devrait également reconnaître que tout parent responsable quotidiennement de son enfant et qui entretiendrait une relation de couple quelle qu'elle soit ne part</w:t>
      </w:r>
      <w:r w:rsidRPr="00A37731">
        <w:t>i</w:t>
      </w:r>
      <w:r w:rsidRPr="00A37731">
        <w:t>ciperait pas de la monoparentalité. Ces deux derniers usages de la n</w:t>
      </w:r>
      <w:r w:rsidRPr="00A37731">
        <w:t>o</w:t>
      </w:r>
      <w:r w:rsidRPr="00A37731">
        <w:t>tion de monoparentalité feraient quelque peu violence à la dimension de responsabilité implicite qui lie le parent à son enfant dans le contexte de la notion de monop</w:t>
      </w:r>
      <w:r w:rsidRPr="00A37731">
        <w:t>a</w:t>
      </w:r>
      <w:r w:rsidRPr="00A37731">
        <w:t>rentalité. Sans prétendre généraliser les situations familiales de notre corpus à 1 ensemble des familles, la plupart des p</w:t>
      </w:r>
      <w:r w:rsidRPr="00A37731">
        <w:t>a</w:t>
      </w:r>
      <w:r w:rsidRPr="00A37731">
        <w:t>rents rencontrés qui s'inscrivent dans une situation de monoparentalité (6 cas sur 8) élaborent, ou ont élaboré, simultan</w:t>
      </w:r>
      <w:r w:rsidRPr="00A37731">
        <w:t>é</w:t>
      </w:r>
      <w:r w:rsidRPr="00A37731">
        <w:t>ment des unions sans que ces dernières ne s'inscrivent dans la situation f</w:t>
      </w:r>
      <w:r w:rsidRPr="00A37731">
        <w:t>a</w:t>
      </w:r>
      <w:r w:rsidRPr="00A37731">
        <w:t>miliale. C'est pourquoi nous concevons plutôt que la monoparentalité se caractérise par une parentalité familiale sans union familiale.</w:t>
      </w:r>
    </w:p>
    <w:p w:rsidR="00B7214C" w:rsidRPr="00A37731" w:rsidRDefault="00B7214C" w:rsidP="00B7214C">
      <w:pPr>
        <w:spacing w:before="120" w:after="120"/>
        <w:jc w:val="both"/>
      </w:pPr>
      <w:r>
        <w:br w:type="page"/>
      </w:r>
    </w:p>
    <w:p w:rsidR="00B7214C" w:rsidRPr="00A37731" w:rsidRDefault="00B7214C" w:rsidP="00B7214C">
      <w:pPr>
        <w:pStyle w:val="a"/>
      </w:pPr>
      <w:r w:rsidRPr="00951035">
        <w:t>CONCLUSION</w:t>
      </w:r>
    </w:p>
    <w:p w:rsidR="00B7214C" w:rsidRDefault="00B7214C" w:rsidP="00B7214C">
      <w:pPr>
        <w:spacing w:before="120" w:after="120"/>
        <w:jc w:val="both"/>
      </w:pPr>
    </w:p>
    <w:p w:rsidR="00B7214C" w:rsidRPr="00A37731" w:rsidRDefault="00B7214C" w:rsidP="00B7214C">
      <w:pPr>
        <w:spacing w:before="120" w:after="120"/>
        <w:jc w:val="both"/>
      </w:pPr>
      <w:r w:rsidRPr="00A37731">
        <w:t>Nous assistons depuis quelques siècles à l'affirmation croissante du sentiment entourant la personne de l'enfant et, corrélativement à cela, au sentiment de responsabilité par ra</w:t>
      </w:r>
      <w:r w:rsidRPr="00A37731">
        <w:t>p</w:t>
      </w:r>
      <w:r w:rsidRPr="00A37731">
        <w:t>port à celui-ci. À l'instar de Flandrin (1981, p. 12), nous pe</w:t>
      </w:r>
      <w:r w:rsidRPr="00A37731">
        <w:t>n</w:t>
      </w:r>
      <w:r w:rsidRPr="00A37731">
        <w:t>sons que le développement de la contraception témoigne de ces préoccupations croissantes des parents par rapport à leur responsabilités parentales. Houle et Hurtubise r</w:t>
      </w:r>
      <w:r w:rsidRPr="00A37731">
        <w:t>e</w:t>
      </w:r>
      <w:r w:rsidRPr="00A37731">
        <w:t>prennent un argument similaire dans le contexte de la baisse de la f</w:t>
      </w:r>
      <w:r w:rsidRPr="00A37731">
        <w:t>é</w:t>
      </w:r>
      <w:r w:rsidRPr="00A37731">
        <w:t>condité québécoise par 1 étude d'un corpus de correspondances amo</w:t>
      </w:r>
      <w:r w:rsidRPr="00A37731">
        <w:t>u</w:t>
      </w:r>
      <w:r w:rsidRPr="00A37731">
        <w:t>reuses de 1880 à nos jours. Les Québécois, à partir d'une absence de projet parental explicite et distinct de la relation amoureuse, ne se r</w:t>
      </w:r>
      <w:r w:rsidRPr="00A37731">
        <w:t>e</w:t>
      </w:r>
      <w:r w:rsidRPr="00A37731">
        <w:t>présenteraient que depuis quelques déce</w:t>
      </w:r>
      <w:r w:rsidRPr="00A37731">
        <w:t>n</w:t>
      </w:r>
      <w:r w:rsidRPr="00A37731">
        <w:t>nies seulement l'enfant comme un choix (Houle, Hurtubise, 1991).</w:t>
      </w:r>
    </w:p>
    <w:p w:rsidR="00B7214C" w:rsidRPr="00A37731" w:rsidRDefault="00B7214C" w:rsidP="00B7214C">
      <w:pPr>
        <w:spacing w:before="120" w:after="120"/>
        <w:jc w:val="both"/>
      </w:pPr>
      <w:r w:rsidRPr="00A37731">
        <w:t>La famille et la parentalité sont aujourd'hui indissociables dans les représentations sociales et la parentalité constitue dorénavant le projet familial le plus explicitement associé à la famille (Dandurand, 1991, p. 57). Plutôt que de nous laisser porter par cette représentation soci</w:t>
      </w:r>
      <w:r w:rsidRPr="00A37731">
        <w:t>a</w:t>
      </w:r>
      <w:r w:rsidRPr="00A37731">
        <w:t>le, nous nous</w:t>
      </w:r>
      <w:r>
        <w:t xml:space="preserve"> [</w:t>
      </w:r>
      <w:r w:rsidRPr="00A37731">
        <w:t>293</w:t>
      </w:r>
      <w:r>
        <w:t xml:space="preserve">] </w:t>
      </w:r>
      <w:r w:rsidRPr="00A37731">
        <w:t>sommes attardés à l'étude de la parentalité, en nous efforçant de bien la distinguer de la famille. Pour avancer rés</w:t>
      </w:r>
      <w:r w:rsidRPr="00A37731">
        <w:t>o</w:t>
      </w:r>
      <w:r w:rsidRPr="00A37731">
        <w:t>lument en fonction d'une conception problématique du rapport pare</w:t>
      </w:r>
      <w:r w:rsidRPr="00A37731">
        <w:t>n</w:t>
      </w:r>
      <w:r w:rsidRPr="00A37731">
        <w:t>talité/famille, nous proposons d'aborder la parentalité comme la man</w:t>
      </w:r>
      <w:r w:rsidRPr="00A37731">
        <w:t>i</w:t>
      </w:r>
      <w:r w:rsidRPr="00A37731">
        <w:t>festation la plus év</w:t>
      </w:r>
      <w:r w:rsidRPr="00A37731">
        <w:t>i</w:t>
      </w:r>
      <w:r w:rsidRPr="00A37731">
        <w:t>dente de la famille plutôt que comme le fondement de la conception sociologique de cette dernière.</w:t>
      </w:r>
    </w:p>
    <w:p w:rsidR="00B7214C" w:rsidRPr="00A37731" w:rsidRDefault="00B7214C" w:rsidP="00B7214C">
      <w:pPr>
        <w:spacing w:before="120" w:after="120"/>
        <w:jc w:val="both"/>
      </w:pPr>
      <w:r w:rsidRPr="00A37731">
        <w:t>La mise en lumière de la rationalité affective de la parent</w:t>
      </w:r>
      <w:r w:rsidRPr="00A37731">
        <w:t>a</w:t>
      </w:r>
      <w:r w:rsidRPr="00A37731">
        <w:t>lité (c'est-à-dire de significations et de comportements proprement pare</w:t>
      </w:r>
      <w:r w:rsidRPr="00A37731">
        <w:t>n</w:t>
      </w:r>
      <w:r w:rsidRPr="00A37731">
        <w:t>taux) permet de problématiser les évidences qui lient la famille et la parentalité</w:t>
      </w:r>
      <w:r>
        <w:t> </w:t>
      </w:r>
      <w:r>
        <w:rPr>
          <w:rStyle w:val="Appelnotedebasdep"/>
        </w:rPr>
        <w:footnoteReference w:id="226"/>
      </w:r>
      <w:r w:rsidRPr="00A37731">
        <w:t>. En effet, plutôt que de voir dans la parentalité la prat</w:t>
      </w:r>
      <w:r w:rsidRPr="00A37731">
        <w:t>i</w:t>
      </w:r>
      <w:r w:rsidRPr="00A37731">
        <w:t>que qui détermine l'existence ou non de la famille, on peut penser que l'actualisation des dimensions affectives de la parentalité n'a rien de spécifiqu</w:t>
      </w:r>
      <w:r w:rsidRPr="00A37731">
        <w:t>e</w:t>
      </w:r>
      <w:r w:rsidRPr="00A37731">
        <w:t>ment familial. Au contraire, on pourrait même montrer que la rationalité affective de la parentalité peut certainement mieux se concrétiser dans des contextes strictement parentaux que dans des contextes familiaux. En effet, s'il existe bien une situation sociale pa</w:t>
      </w:r>
      <w:r w:rsidRPr="00A37731">
        <w:t>r</w:t>
      </w:r>
      <w:r w:rsidRPr="00A37731">
        <w:t>ticulière où cette rationalité affective de la parentalité ne peut se réal</w:t>
      </w:r>
      <w:r w:rsidRPr="00A37731">
        <w:t>i</w:t>
      </w:r>
      <w:r w:rsidRPr="00A37731">
        <w:t>ser indépendamment d'autres prat</w:t>
      </w:r>
      <w:r w:rsidRPr="00A37731">
        <w:t>i</w:t>
      </w:r>
      <w:r w:rsidRPr="00A37731">
        <w:t>ques sociales, c'est justement dans le cadre de la situation f</w:t>
      </w:r>
      <w:r w:rsidRPr="00A37731">
        <w:t>a</w:t>
      </w:r>
      <w:r w:rsidRPr="00A37731">
        <w:t>miliale.</w:t>
      </w:r>
    </w:p>
    <w:p w:rsidR="00B7214C" w:rsidRPr="00A37731" w:rsidRDefault="00B7214C" w:rsidP="00B7214C">
      <w:pPr>
        <w:spacing w:before="120" w:after="120"/>
        <w:jc w:val="both"/>
      </w:pPr>
      <w:r w:rsidRPr="00A37731">
        <w:t>Plutôt que la rationalité de l'affectivité parentale, ce qui c</w:t>
      </w:r>
      <w:r w:rsidRPr="00A37731">
        <w:t>a</w:t>
      </w:r>
      <w:r w:rsidRPr="00A37731">
        <w:t>ractérise la situation familiale tient, bien au contraire, à la f</w:t>
      </w:r>
      <w:r w:rsidRPr="00A37731">
        <w:t>u</w:t>
      </w:r>
      <w:r w:rsidRPr="00A37731">
        <w:t>sion des pratiques de la parentalité (ou de la conjugalité) et des pratiques de travail d</w:t>
      </w:r>
      <w:r w:rsidRPr="00A37731">
        <w:t>o</w:t>
      </w:r>
      <w:r w:rsidRPr="00A37731">
        <w:t>mestique (Joyal, 1990-1991). La famille, depuis plusieurs décennies voire plusieurs siècles, a pu se diversifier, se transformer, perdre ses anciens cadres normatifs et en adopter de nouveaux. Il n'en demeure pas moins, aujourd'hui comme hier, que les acteurs familiaux ne pe</w:t>
      </w:r>
      <w:r w:rsidRPr="00A37731">
        <w:t>u</w:t>
      </w:r>
      <w:r w:rsidRPr="00A37731">
        <w:t>vent attribuer que des significations affectives aux prat</w:t>
      </w:r>
      <w:r w:rsidRPr="00A37731">
        <w:t>i</w:t>
      </w:r>
      <w:r w:rsidRPr="00A37731">
        <w:t>ques qui les lient à leurs enfants ; ils doivent plutôt constamment intégrer et diff</w:t>
      </w:r>
      <w:r w:rsidRPr="00A37731">
        <w:t>u</w:t>
      </w:r>
      <w:r w:rsidRPr="00A37731">
        <w:t>ser ces comportements parentaux et ces significations parentales aux autres pratiques constitutives de la situation familiale.</w:t>
      </w:r>
    </w:p>
    <w:p w:rsidR="00B7214C" w:rsidRDefault="00B7214C" w:rsidP="00B7214C">
      <w:pPr>
        <w:spacing w:before="120" w:after="120"/>
        <w:jc w:val="both"/>
      </w:pPr>
      <w:r w:rsidRPr="00A37731">
        <w:t>Autrement dit, la situation familiale n'implique aucunement une a</w:t>
      </w:r>
      <w:r w:rsidRPr="00A37731">
        <w:t>f</w:t>
      </w:r>
      <w:r w:rsidRPr="00A37731">
        <w:t>fectivité systématique et autonome, une rationalité affective, de la p</w:t>
      </w:r>
      <w:r w:rsidRPr="00A37731">
        <w:t>a</w:t>
      </w:r>
      <w:r w:rsidRPr="00A37731">
        <w:t>rentalité ou de la conjugalité. La situation familiale témoigne plutôt d'un profond enchevêtrement des dimensions affectives de la parent</w:t>
      </w:r>
      <w:r w:rsidRPr="00A37731">
        <w:t>a</w:t>
      </w:r>
      <w:r w:rsidRPr="00A37731">
        <w:t>lité et de la conjugalité et des dimensions instrumentales intrinsèqu</w:t>
      </w:r>
      <w:r w:rsidRPr="00A37731">
        <w:t>e</w:t>
      </w:r>
      <w:r w:rsidRPr="00A37731">
        <w:t>ment liées au tr</w:t>
      </w:r>
      <w:r w:rsidRPr="00A37731">
        <w:t>a</w:t>
      </w:r>
      <w:r w:rsidRPr="00A37731">
        <w:t>vail domestique. La situation familiale colore donc les rapports affectifs de ses membres de significations et de compo</w:t>
      </w:r>
      <w:r w:rsidRPr="00A37731">
        <w:t>r</w:t>
      </w:r>
      <w:r w:rsidRPr="00A37731">
        <w:t>tements instrumentaux nécessaires à la poursuite de la vie quotidie</w:t>
      </w:r>
      <w:r w:rsidRPr="00A37731">
        <w:t>n</w:t>
      </w:r>
      <w:r w:rsidRPr="00A37731">
        <w:t>ne. Cette imbrication de l'affectivité et de l'instrumentalité est si pou</w:t>
      </w:r>
      <w:r w:rsidRPr="00A37731">
        <w:t>s</w:t>
      </w:r>
      <w:r w:rsidRPr="00A37731">
        <w:t>sée que serait bien malin celui qui réuss</w:t>
      </w:r>
      <w:r w:rsidRPr="00A37731">
        <w:t>i</w:t>
      </w:r>
      <w:r w:rsidRPr="00A37731">
        <w:t>rait à distinguer ce qui relève de l'une ou l'autre dans la pou</w:t>
      </w:r>
      <w:r w:rsidRPr="00A37731">
        <w:t>r</w:t>
      </w:r>
      <w:r w:rsidRPr="00A37731">
        <w:t>suite concrète des pratiques familiales.</w:t>
      </w:r>
    </w:p>
    <w:p w:rsidR="00B7214C" w:rsidRDefault="00B7214C" w:rsidP="00B7214C">
      <w:pPr>
        <w:spacing w:before="120" w:after="120"/>
        <w:jc w:val="both"/>
      </w:pPr>
      <w:r>
        <w:t>[</w:t>
      </w:r>
      <w:r w:rsidRPr="00A37731">
        <w:t>294</w:t>
      </w:r>
      <w:r>
        <w:t>]</w:t>
      </w:r>
    </w:p>
    <w:p w:rsidR="00B7214C" w:rsidRPr="00A37731"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p>
    <w:p w:rsidR="00B7214C" w:rsidRDefault="00B7214C" w:rsidP="00B7214C">
      <w:pPr>
        <w:pStyle w:val="p"/>
      </w:pPr>
      <w:r>
        <w:t>[295]</w:t>
      </w:r>
    </w:p>
    <w:p w:rsidR="00B7214C" w:rsidRDefault="00B7214C" w:rsidP="00B7214C">
      <w:pPr>
        <w:spacing w:before="120" w:after="120"/>
        <w:jc w:val="both"/>
      </w:pPr>
    </w:p>
    <w:p w:rsidR="00B7214C" w:rsidRDefault="00B7214C" w:rsidP="00B7214C">
      <w:pPr>
        <w:pStyle w:val="a"/>
      </w:pPr>
      <w:r w:rsidRPr="00A37731">
        <w:t>BIBLIOGRAPHIE</w:t>
      </w:r>
    </w:p>
    <w:p w:rsidR="00B7214C" w:rsidRPr="00A37731" w:rsidRDefault="00B7214C" w:rsidP="00B7214C">
      <w:pPr>
        <w:spacing w:before="120" w:after="120"/>
        <w:jc w:val="both"/>
      </w:pPr>
    </w:p>
    <w:p w:rsidR="00B7214C" w:rsidRPr="00A37731" w:rsidRDefault="00B7214C" w:rsidP="00B7214C">
      <w:pPr>
        <w:spacing w:before="120" w:after="120"/>
        <w:jc w:val="both"/>
      </w:pPr>
      <w:r w:rsidRPr="00A37731">
        <w:t xml:space="preserve">Ariès, P., </w:t>
      </w:r>
      <w:r w:rsidRPr="00951035">
        <w:rPr>
          <w:i/>
          <w:iCs/>
        </w:rPr>
        <w:t>L'enfant et la vie familiale sous l'Ancien Régime,</w:t>
      </w:r>
      <w:r w:rsidRPr="00A37731">
        <w:t xml:space="preserve"> Paris, Seuil, 1975, 318 p. (Coll. « Points »).</w:t>
      </w:r>
    </w:p>
    <w:p w:rsidR="00B7214C" w:rsidRPr="00A37731" w:rsidRDefault="00B7214C" w:rsidP="00B7214C">
      <w:pPr>
        <w:spacing w:before="120" w:after="120"/>
        <w:jc w:val="both"/>
      </w:pPr>
      <w:r w:rsidRPr="00A37731">
        <w:t xml:space="preserve">Barrère-Maurisson, M.-A., </w:t>
      </w:r>
      <w:r w:rsidRPr="00951035">
        <w:rPr>
          <w:i/>
          <w:iCs/>
        </w:rPr>
        <w:t>La division familiale du travail. La vie en double,</w:t>
      </w:r>
      <w:r w:rsidRPr="00A37731">
        <w:t xml:space="preserve"> Paris, Presses universitaires de France, 1992, 251 p. (Coll. « Économie en liberté »).</w:t>
      </w:r>
    </w:p>
    <w:p w:rsidR="00B7214C" w:rsidRPr="00A37731" w:rsidRDefault="00B7214C" w:rsidP="00B7214C">
      <w:pPr>
        <w:spacing w:before="120" w:after="120"/>
        <w:jc w:val="both"/>
      </w:pPr>
      <w:r w:rsidRPr="00A37731">
        <w:t>Barthélémy, M., A. Muxel et A. Percheron, « Et si je vous dis f</w:t>
      </w:r>
      <w:r w:rsidRPr="00A37731">
        <w:t>a</w:t>
      </w:r>
      <w:r w:rsidRPr="00A37731">
        <w:t xml:space="preserve">mille... Notes sur quelques représentations de la famille », </w:t>
      </w:r>
      <w:r w:rsidRPr="00951035">
        <w:rPr>
          <w:i/>
          <w:iCs/>
        </w:rPr>
        <w:t>Revue fra</w:t>
      </w:r>
      <w:r w:rsidRPr="00951035">
        <w:rPr>
          <w:i/>
          <w:iCs/>
        </w:rPr>
        <w:t>n</w:t>
      </w:r>
      <w:r w:rsidRPr="00951035">
        <w:rPr>
          <w:i/>
          <w:iCs/>
        </w:rPr>
        <w:t>çaise de sociologie,</w:t>
      </w:r>
      <w:r w:rsidRPr="00A37731">
        <w:t xml:space="preserve"> 1986, vol.</w:t>
      </w:r>
      <w:r>
        <w:t> </w:t>
      </w:r>
      <w:r w:rsidRPr="00A37731">
        <w:t>XXVII, p</w:t>
      </w:r>
      <w:r>
        <w:t>p</w:t>
      </w:r>
      <w:r w:rsidRPr="00A37731">
        <w:t>. 697-718.</w:t>
      </w:r>
    </w:p>
    <w:p w:rsidR="00B7214C" w:rsidRPr="00A37731" w:rsidRDefault="00B7214C" w:rsidP="00B7214C">
      <w:pPr>
        <w:spacing w:before="120" w:after="120"/>
        <w:jc w:val="both"/>
      </w:pPr>
      <w:r w:rsidRPr="00A37731">
        <w:t>Bouchard, G., « </w:t>
      </w:r>
      <w:hyperlink r:id="rId62" w:history="1">
        <w:r w:rsidRPr="00185001">
          <w:rPr>
            <w:rStyle w:val="Lienhypertexte"/>
          </w:rPr>
          <w:t>Sur la reproduction familiale en milieu rural ; sy</w:t>
        </w:r>
        <w:r w:rsidRPr="00185001">
          <w:rPr>
            <w:rStyle w:val="Lienhypertexte"/>
          </w:rPr>
          <w:t>s</w:t>
        </w:r>
        <w:r w:rsidRPr="00185001">
          <w:rPr>
            <w:rStyle w:val="Lienhypertexte"/>
          </w:rPr>
          <w:t>tèmes ouverts et systèmes clos </w:t>
        </w:r>
      </w:hyperlink>
      <w:r w:rsidRPr="00A37731">
        <w:t xml:space="preserve">». </w:t>
      </w:r>
      <w:r w:rsidRPr="00951035">
        <w:rPr>
          <w:i/>
          <w:iCs/>
        </w:rPr>
        <w:t>Recherches sociographiques,</w:t>
      </w:r>
      <w:r w:rsidRPr="00A37731">
        <w:t xml:space="preserve"> 1987, vol.</w:t>
      </w:r>
      <w:r>
        <w:t> </w:t>
      </w:r>
      <w:r w:rsidRPr="00A37731">
        <w:t>XXVIII, n</w:t>
      </w:r>
      <w:r>
        <w:t>os </w:t>
      </w:r>
      <w:r w:rsidRPr="00A37731">
        <w:t>2-3, p</w:t>
      </w:r>
      <w:r>
        <w:t>p</w:t>
      </w:r>
      <w:r w:rsidRPr="00A37731">
        <w:t>. 229-251.</w:t>
      </w:r>
    </w:p>
    <w:p w:rsidR="00B7214C" w:rsidRPr="00A37731" w:rsidRDefault="00B7214C" w:rsidP="00B7214C">
      <w:pPr>
        <w:spacing w:before="120" w:after="120"/>
        <w:jc w:val="both"/>
      </w:pPr>
      <w:r w:rsidRPr="00A37731">
        <w:t>Bouchard, G. et J. Larouche, « </w:t>
      </w:r>
      <w:hyperlink r:id="rId63" w:history="1">
        <w:r w:rsidRPr="00951035">
          <w:rPr>
            <w:rStyle w:val="Lienhypertexte"/>
          </w:rPr>
          <w:t>Paramètres sociaux de la reprodu</w:t>
        </w:r>
        <w:r w:rsidRPr="00951035">
          <w:rPr>
            <w:rStyle w:val="Lienhypertexte"/>
          </w:rPr>
          <w:t>c</w:t>
        </w:r>
        <w:r w:rsidRPr="00951035">
          <w:rPr>
            <w:rStyle w:val="Lienhypertexte"/>
          </w:rPr>
          <w:t>tion familiale au Saguenay (1842-1911)</w:t>
        </w:r>
      </w:hyperlink>
      <w:r w:rsidRPr="00A37731">
        <w:t xml:space="preserve"> », </w:t>
      </w:r>
      <w:r w:rsidRPr="00951035">
        <w:rPr>
          <w:i/>
          <w:iCs/>
        </w:rPr>
        <w:t>Sociologie et sociétés,</w:t>
      </w:r>
      <w:r w:rsidRPr="00A37731">
        <w:t xml:space="preserve"> 1987, vol.</w:t>
      </w:r>
      <w:r>
        <w:t> </w:t>
      </w:r>
      <w:r w:rsidRPr="00A37731">
        <w:t>XIX, n°</w:t>
      </w:r>
      <w:r>
        <w:t> </w:t>
      </w:r>
      <w:r w:rsidRPr="00A37731">
        <w:t>1, p</w:t>
      </w:r>
      <w:r>
        <w:t>p</w:t>
      </w:r>
      <w:r w:rsidRPr="00A37731">
        <w:t>. 133-144.</w:t>
      </w:r>
    </w:p>
    <w:p w:rsidR="00B7214C" w:rsidRPr="00A37731" w:rsidRDefault="00B7214C" w:rsidP="00B7214C">
      <w:pPr>
        <w:spacing w:before="120" w:after="120"/>
        <w:jc w:val="both"/>
      </w:pPr>
      <w:r w:rsidRPr="00A37731">
        <w:t>Dandurand, R.-B., « </w:t>
      </w:r>
      <w:hyperlink r:id="rId64" w:history="1">
        <w:r w:rsidRPr="00951035">
          <w:rPr>
            <w:rStyle w:val="Lienhypertexte"/>
          </w:rPr>
          <w:t>Peut-on encore définir la famille ? </w:t>
        </w:r>
      </w:hyperlink>
      <w:r w:rsidRPr="00A37731">
        <w:t xml:space="preserve">», dans F. Dumont (dir.), </w:t>
      </w:r>
      <w:hyperlink r:id="rId65" w:history="1">
        <w:r w:rsidRPr="00951035">
          <w:rPr>
            <w:rStyle w:val="Lienhypertexte"/>
            <w:i/>
            <w:iCs/>
          </w:rPr>
          <w:t>La société québécoise après 30 ans de changements</w:t>
        </w:r>
      </w:hyperlink>
      <w:r w:rsidRPr="00951035">
        <w:rPr>
          <w:i/>
          <w:iCs/>
        </w:rPr>
        <w:t>,</w:t>
      </w:r>
      <w:r w:rsidRPr="00A37731">
        <w:t xml:space="preserve"> Québec, Institut québécois de recherche sur la culture, 1991, p</w:t>
      </w:r>
      <w:r>
        <w:t>p</w:t>
      </w:r>
      <w:r w:rsidRPr="00A37731">
        <w:t>. 49-66.</w:t>
      </w:r>
    </w:p>
    <w:p w:rsidR="00B7214C" w:rsidRPr="00A37731" w:rsidRDefault="00B7214C" w:rsidP="00B7214C">
      <w:pPr>
        <w:spacing w:before="120" w:after="120"/>
        <w:jc w:val="both"/>
      </w:pPr>
      <w:r>
        <w:t>B.-</w:t>
      </w:r>
      <w:r w:rsidRPr="00A37731">
        <w:t xml:space="preserve">Dandurand, </w:t>
      </w:r>
      <w:r>
        <w:t>R.</w:t>
      </w:r>
      <w:r w:rsidRPr="00A37731">
        <w:t xml:space="preserve"> et L. Saint-Jean, </w:t>
      </w:r>
      <w:r w:rsidRPr="00951035">
        <w:rPr>
          <w:i/>
          <w:iCs/>
        </w:rPr>
        <w:t>Des mères sans alliance. M</w:t>
      </w:r>
      <w:r w:rsidRPr="00951035">
        <w:rPr>
          <w:i/>
          <w:iCs/>
        </w:rPr>
        <w:t>o</w:t>
      </w:r>
      <w:r w:rsidRPr="00951035">
        <w:rPr>
          <w:i/>
          <w:iCs/>
        </w:rPr>
        <w:t>noparentalité et désunions conjugales,</w:t>
      </w:r>
      <w:r w:rsidRPr="00A37731">
        <w:t xml:space="preserve"> Québec, Institut québécois de recherche sur la culture, 1988, 297 p.</w:t>
      </w:r>
    </w:p>
    <w:p w:rsidR="00B7214C" w:rsidRPr="00A37731" w:rsidRDefault="00B7214C" w:rsidP="00B7214C">
      <w:pPr>
        <w:spacing w:before="120" w:after="120"/>
        <w:jc w:val="both"/>
      </w:pPr>
      <w:r w:rsidRPr="00A37731">
        <w:t>Durkheim, É., « </w:t>
      </w:r>
      <w:hyperlink r:id="rId66" w:history="1">
        <w:r w:rsidRPr="00951035">
          <w:rPr>
            <w:rStyle w:val="Lienhypertexte"/>
          </w:rPr>
          <w:t>La famille conjugale </w:t>
        </w:r>
      </w:hyperlink>
      <w:r w:rsidRPr="00A37731">
        <w:t xml:space="preserve">». </w:t>
      </w:r>
      <w:r w:rsidRPr="00951035">
        <w:rPr>
          <w:i/>
          <w:iCs/>
        </w:rPr>
        <w:t>Revue philosophique,</w:t>
      </w:r>
      <w:r w:rsidRPr="00A37731">
        <w:t xml:space="preserve"> 1921, vol. XCI, p</w:t>
      </w:r>
      <w:r>
        <w:t>p</w:t>
      </w:r>
      <w:r w:rsidRPr="00A37731">
        <w:t>. 1-14.</w:t>
      </w:r>
    </w:p>
    <w:p w:rsidR="00B7214C" w:rsidRPr="00A37731" w:rsidRDefault="00B7214C" w:rsidP="00B7214C">
      <w:pPr>
        <w:spacing w:before="120" w:after="120"/>
        <w:jc w:val="both"/>
      </w:pPr>
      <w:r w:rsidRPr="00A37731">
        <w:t xml:space="preserve">Flandrin, J.-L., </w:t>
      </w:r>
      <w:r w:rsidRPr="00951035">
        <w:rPr>
          <w:i/>
          <w:iCs/>
        </w:rPr>
        <w:t>Le sexe et l'Occident. Évolution des attitudes et des comportements,</w:t>
      </w:r>
      <w:r w:rsidRPr="00A37731">
        <w:t xml:space="preserve"> Paris, Seuil, 1981, 308 p. (Coll. « Points/Histoire »).</w:t>
      </w:r>
    </w:p>
    <w:p w:rsidR="00B7214C" w:rsidRPr="00A37731" w:rsidRDefault="00B7214C" w:rsidP="00B7214C">
      <w:pPr>
        <w:spacing w:before="120" w:after="120"/>
        <w:jc w:val="both"/>
      </w:pPr>
      <w:r w:rsidRPr="00A37731">
        <w:t>Houle, G. et R. Hurtubise, « </w:t>
      </w:r>
      <w:hyperlink r:id="rId67" w:history="1">
        <w:r w:rsidRPr="00185001">
          <w:rPr>
            <w:rStyle w:val="Lienhypertexte"/>
          </w:rPr>
          <w:t>Parler de faire des enfants, une que</w:t>
        </w:r>
        <w:r w:rsidRPr="00185001">
          <w:rPr>
            <w:rStyle w:val="Lienhypertexte"/>
          </w:rPr>
          <w:t>s</w:t>
        </w:r>
        <w:r w:rsidRPr="00185001">
          <w:rPr>
            <w:rStyle w:val="Lienhypertexte"/>
          </w:rPr>
          <w:t>tion vitale </w:t>
        </w:r>
      </w:hyperlink>
      <w:r w:rsidRPr="00A37731">
        <w:t xml:space="preserve">». </w:t>
      </w:r>
      <w:r w:rsidRPr="00951035">
        <w:rPr>
          <w:i/>
          <w:iCs/>
        </w:rPr>
        <w:t>Recherches sociographiques,</w:t>
      </w:r>
      <w:r w:rsidRPr="00A37731">
        <w:t xml:space="preserve"> 1991, vol.</w:t>
      </w:r>
      <w:r>
        <w:t> </w:t>
      </w:r>
      <w:r w:rsidRPr="00A37731">
        <w:t>XXII, n°</w:t>
      </w:r>
      <w:r>
        <w:t> </w:t>
      </w:r>
      <w:r w:rsidRPr="00A37731">
        <w:t>3, p</w:t>
      </w:r>
      <w:r>
        <w:t>p</w:t>
      </w:r>
      <w:r w:rsidRPr="00A37731">
        <w:t>. 385-414.</w:t>
      </w:r>
    </w:p>
    <w:p w:rsidR="00B7214C" w:rsidRPr="00A37731" w:rsidRDefault="00B7214C" w:rsidP="00B7214C">
      <w:pPr>
        <w:spacing w:before="120" w:after="120"/>
        <w:jc w:val="both"/>
      </w:pPr>
      <w:r w:rsidRPr="00A37731">
        <w:t>Jankowiak, W.R. et E.F. Fischer, « A Cross-Cultural Per</w:t>
      </w:r>
      <w:r w:rsidRPr="00A37731">
        <w:t>s</w:t>
      </w:r>
      <w:r w:rsidRPr="00A37731">
        <w:t xml:space="preserve">pective on Romantic Love », </w:t>
      </w:r>
      <w:r w:rsidRPr="00951035">
        <w:rPr>
          <w:i/>
          <w:iCs/>
        </w:rPr>
        <w:t>Ethnology,</w:t>
      </w:r>
      <w:r w:rsidRPr="00A37731">
        <w:t xml:space="preserve"> 1992, vol.</w:t>
      </w:r>
      <w:r>
        <w:t> </w:t>
      </w:r>
      <w:r w:rsidRPr="00A37731">
        <w:t>31, n°</w:t>
      </w:r>
      <w:r>
        <w:t> </w:t>
      </w:r>
      <w:r w:rsidRPr="00A37731">
        <w:t>2, p</w:t>
      </w:r>
      <w:r>
        <w:t>p</w:t>
      </w:r>
      <w:r w:rsidRPr="00A37731">
        <w:t>. 149-155.</w:t>
      </w:r>
    </w:p>
    <w:p w:rsidR="00B7214C" w:rsidRPr="00A37731" w:rsidRDefault="00B7214C" w:rsidP="00B7214C">
      <w:pPr>
        <w:spacing w:before="120" w:after="120"/>
        <w:jc w:val="both"/>
      </w:pPr>
      <w:r w:rsidRPr="00A37731">
        <w:t>Joyal, A., « L'interprétation sociologique de la subjectivité affect</w:t>
      </w:r>
      <w:r w:rsidRPr="00A37731">
        <w:t>i</w:t>
      </w:r>
      <w:r w:rsidRPr="00A37731">
        <w:t xml:space="preserve">ve : les pratiques familiales », </w:t>
      </w:r>
      <w:r w:rsidRPr="00951035">
        <w:rPr>
          <w:i/>
          <w:iCs/>
        </w:rPr>
        <w:t>Revue internationale d'action comm</w:t>
      </w:r>
      <w:r w:rsidRPr="00951035">
        <w:rPr>
          <w:i/>
          <w:iCs/>
        </w:rPr>
        <w:t>u</w:t>
      </w:r>
      <w:r w:rsidRPr="00951035">
        <w:rPr>
          <w:i/>
          <w:iCs/>
        </w:rPr>
        <w:t>nautaire,</w:t>
      </w:r>
      <w:r w:rsidRPr="00A37731">
        <w:t xml:space="preserve"> 1992, vol.</w:t>
      </w:r>
      <w:r>
        <w:t> </w:t>
      </w:r>
      <w:r w:rsidRPr="00A37731">
        <w:t>27, n°</w:t>
      </w:r>
      <w:r>
        <w:t> </w:t>
      </w:r>
      <w:r w:rsidRPr="00A37731">
        <w:t>67, p</w:t>
      </w:r>
      <w:r>
        <w:t>p</w:t>
      </w:r>
      <w:r w:rsidRPr="00A37731">
        <w:t>. 57-65.</w:t>
      </w:r>
    </w:p>
    <w:p w:rsidR="00B7214C" w:rsidRPr="00A37731" w:rsidRDefault="00B7214C" w:rsidP="00B7214C">
      <w:pPr>
        <w:spacing w:before="120" w:after="120"/>
        <w:jc w:val="both"/>
      </w:pPr>
      <w:r w:rsidRPr="00A37731">
        <w:t>Joyal, A., « La famille : du phénomène ambigu à l'objet problém</w:t>
      </w:r>
      <w:r w:rsidRPr="00A37731">
        <w:t>a</w:t>
      </w:r>
      <w:r>
        <w:t>tique », dans G. Prono</w:t>
      </w:r>
      <w:r w:rsidRPr="00A37731">
        <w:t xml:space="preserve">vost (dir.), </w:t>
      </w:r>
      <w:r w:rsidRPr="00951035">
        <w:rPr>
          <w:i/>
          <w:iCs/>
        </w:rPr>
        <w:t>Comprendre la famille,</w:t>
      </w:r>
      <w:r w:rsidRPr="00A37731">
        <w:t xml:space="preserve"> Actes du premier symposium de recherche sur la f</w:t>
      </w:r>
      <w:r w:rsidRPr="00A37731">
        <w:t>a</w:t>
      </w:r>
      <w:r w:rsidRPr="00A37731">
        <w:t xml:space="preserve">mille, Québec, Presses de l'Université du Québec, 1992, </w:t>
      </w:r>
      <w:r>
        <w:t>p</w:t>
      </w:r>
      <w:r w:rsidRPr="00A37731">
        <w:t>p. 3-19.</w:t>
      </w:r>
    </w:p>
    <w:p w:rsidR="00B7214C" w:rsidRPr="00A37731" w:rsidRDefault="00B7214C" w:rsidP="00B7214C">
      <w:pPr>
        <w:spacing w:before="120" w:after="120"/>
        <w:jc w:val="both"/>
      </w:pPr>
      <w:r w:rsidRPr="00A37731">
        <w:t>Joyal, A., « La famille : un objet sociologique à constru</w:t>
      </w:r>
      <w:r w:rsidRPr="00A37731">
        <w:t>i</w:t>
      </w:r>
      <w:r w:rsidRPr="00A37731">
        <w:t xml:space="preserve">re », </w:t>
      </w:r>
      <w:r w:rsidRPr="00951035">
        <w:rPr>
          <w:i/>
          <w:iCs/>
        </w:rPr>
        <w:t xml:space="preserve">Revue de l'Institut de sociologie, </w:t>
      </w:r>
      <w:r w:rsidRPr="00A37731">
        <w:t xml:space="preserve">1990-1991, </w:t>
      </w:r>
      <w:r>
        <w:t>p</w:t>
      </w:r>
      <w:r w:rsidRPr="00A37731">
        <w:t>p. 279-295.</w:t>
      </w:r>
    </w:p>
    <w:p w:rsidR="00B7214C" w:rsidRPr="00A37731" w:rsidRDefault="00B7214C" w:rsidP="00B7214C">
      <w:pPr>
        <w:spacing w:before="120" w:after="120"/>
        <w:jc w:val="both"/>
      </w:pPr>
      <w:r w:rsidRPr="00A37731">
        <w:t xml:space="preserve">Lebrun, F., </w:t>
      </w:r>
      <w:r w:rsidRPr="00951035">
        <w:rPr>
          <w:i/>
          <w:iCs/>
        </w:rPr>
        <w:t>La vie conjugale sous l'Ancien Régime,</w:t>
      </w:r>
      <w:r w:rsidRPr="00A37731">
        <w:t xml:space="preserve"> Paris, Armand Colin, 1975,181 p.</w:t>
      </w:r>
    </w:p>
    <w:p w:rsidR="00B7214C" w:rsidRPr="00A37731" w:rsidRDefault="00B7214C" w:rsidP="00B7214C">
      <w:pPr>
        <w:spacing w:before="120" w:after="120"/>
        <w:jc w:val="both"/>
      </w:pPr>
      <w:r w:rsidRPr="00A37731">
        <w:t xml:space="preserve">Mount, F., </w:t>
      </w:r>
      <w:r w:rsidRPr="00951035">
        <w:rPr>
          <w:i/>
          <w:iCs/>
        </w:rPr>
        <w:t>La famille subversive,</w:t>
      </w:r>
      <w:r w:rsidRPr="00A37731">
        <w:t xml:space="preserve"> Liège/Bruxelles, Pierre Mardaga éditeur, 1982, 285 p. (Coll. « Psychologie et scie</w:t>
      </w:r>
      <w:r w:rsidRPr="00A37731">
        <w:t>n</w:t>
      </w:r>
      <w:r w:rsidRPr="00A37731">
        <w:t>ces humaines »).</w:t>
      </w:r>
    </w:p>
    <w:p w:rsidR="00B7214C" w:rsidRPr="00A37731" w:rsidRDefault="00B7214C" w:rsidP="00B7214C">
      <w:pPr>
        <w:spacing w:before="120" w:after="120"/>
        <w:jc w:val="both"/>
      </w:pPr>
      <w:r w:rsidRPr="00A37731">
        <w:t xml:space="preserve">Parsons, T., « The Isolated Conjugal Family » dans M. Anderson (dir.), </w:t>
      </w:r>
      <w:r w:rsidRPr="00951035">
        <w:rPr>
          <w:i/>
          <w:iCs/>
        </w:rPr>
        <w:t>Sociology of the Family,</w:t>
      </w:r>
      <w:r w:rsidRPr="00A37731">
        <w:t xml:space="preserve"> Penguin Books, 1980, p</w:t>
      </w:r>
      <w:r>
        <w:t>p</w:t>
      </w:r>
      <w:r w:rsidRPr="00A37731">
        <w:t>. 178-198.</w:t>
      </w:r>
    </w:p>
    <w:p w:rsidR="00B7214C" w:rsidRDefault="00B7214C" w:rsidP="00B7214C">
      <w:pPr>
        <w:spacing w:before="120" w:after="120"/>
        <w:jc w:val="both"/>
      </w:pPr>
      <w:r w:rsidRPr="00A37731">
        <w:t xml:space="preserve">Parsons, T., « The Kinship System of the Contemporary United States », </w:t>
      </w:r>
      <w:r>
        <w:rPr>
          <w:i/>
          <w:iCs/>
        </w:rPr>
        <w:t>Essays in Socio</w:t>
      </w:r>
      <w:r w:rsidRPr="00951035">
        <w:rPr>
          <w:i/>
          <w:iCs/>
        </w:rPr>
        <w:t>logical Theory,</w:t>
      </w:r>
      <w:r w:rsidRPr="00A37731">
        <w:t xml:space="preserve"> New York, The Free Press, 1964, p</w:t>
      </w:r>
      <w:r>
        <w:t>p</w:t>
      </w:r>
      <w:r w:rsidRPr="00A37731">
        <w:t>. 177-196.</w:t>
      </w:r>
    </w:p>
    <w:p w:rsidR="00B7214C" w:rsidRPr="00A37731" w:rsidRDefault="00B7214C" w:rsidP="00B7214C">
      <w:pPr>
        <w:spacing w:before="120" w:after="120"/>
        <w:jc w:val="both"/>
      </w:pPr>
      <w:r>
        <w:t>[296]</w:t>
      </w:r>
    </w:p>
    <w:p w:rsidR="00B7214C" w:rsidRPr="00951035" w:rsidRDefault="00B7214C" w:rsidP="00B7214C">
      <w:pPr>
        <w:spacing w:before="120" w:after="120"/>
        <w:jc w:val="both"/>
      </w:pPr>
      <w:r w:rsidRPr="00951035">
        <w:rPr>
          <w:iCs/>
        </w:rPr>
        <w:t xml:space="preserve">Québec, </w:t>
      </w:r>
      <w:r w:rsidRPr="00951035">
        <w:t xml:space="preserve">Commission sur la politique familiale au Québec. </w:t>
      </w:r>
      <w:r w:rsidRPr="00951035">
        <w:rPr>
          <w:i/>
        </w:rPr>
        <w:t>Le so</w:t>
      </w:r>
      <w:r w:rsidRPr="00951035">
        <w:rPr>
          <w:i/>
        </w:rPr>
        <w:t>u</w:t>
      </w:r>
      <w:r w:rsidRPr="00951035">
        <w:rPr>
          <w:i/>
        </w:rPr>
        <w:t>tien recommandé pour les parents</w:t>
      </w:r>
      <w:r w:rsidRPr="00951035">
        <w:t>,</w:t>
      </w:r>
      <w:r w:rsidRPr="00951035">
        <w:rPr>
          <w:iCs/>
        </w:rPr>
        <w:t xml:space="preserve"> Gouvernement du Québec, 1986,</w:t>
      </w:r>
      <w:r>
        <w:rPr>
          <w:iCs/>
        </w:rPr>
        <w:t xml:space="preserve"> </w:t>
      </w:r>
      <w:r w:rsidRPr="00951035">
        <w:rPr>
          <w:iCs/>
        </w:rPr>
        <w:t>152 p.</w:t>
      </w:r>
    </w:p>
    <w:p w:rsidR="00B7214C" w:rsidRPr="00A37731" w:rsidRDefault="00B7214C" w:rsidP="00B7214C">
      <w:pPr>
        <w:spacing w:before="120" w:after="120"/>
        <w:jc w:val="both"/>
      </w:pPr>
      <w:r w:rsidRPr="00A37731">
        <w:t xml:space="preserve">Québec, </w:t>
      </w:r>
      <w:r w:rsidRPr="00951035">
        <w:rPr>
          <w:i/>
          <w:iCs/>
        </w:rPr>
        <w:t>Pour les familles québécoises,</w:t>
      </w:r>
      <w:r w:rsidRPr="00A37731">
        <w:t xml:space="preserve"> Document de consultation sur la politique familiale (Livre vert). Gouve</w:t>
      </w:r>
      <w:r w:rsidRPr="00A37731">
        <w:t>r</w:t>
      </w:r>
      <w:r w:rsidRPr="00A37731">
        <w:t>nement du Québec, 1984,</w:t>
      </w:r>
      <w:r>
        <w:t xml:space="preserve"> </w:t>
      </w:r>
      <w:r w:rsidRPr="00A37731">
        <w:t>114 p.</w:t>
      </w:r>
    </w:p>
    <w:p w:rsidR="00B7214C" w:rsidRPr="00A37731" w:rsidRDefault="00B7214C" w:rsidP="00B7214C">
      <w:pPr>
        <w:spacing w:before="120" w:after="120"/>
        <w:jc w:val="both"/>
      </w:pPr>
      <w:r w:rsidRPr="00A37731">
        <w:t xml:space="preserve">Roussel, L., </w:t>
      </w:r>
      <w:r w:rsidRPr="00951035">
        <w:rPr>
          <w:i/>
          <w:iCs/>
        </w:rPr>
        <w:t>La famille incertaine,</w:t>
      </w:r>
      <w:r w:rsidRPr="00A37731">
        <w:t xml:space="preserve"> Paris, Éditons Odile J</w:t>
      </w:r>
      <w:r w:rsidRPr="00A37731">
        <w:t>a</w:t>
      </w:r>
      <w:r w:rsidRPr="00A37731">
        <w:t>cob, 1989,</w:t>
      </w:r>
      <w:r>
        <w:t xml:space="preserve"> </w:t>
      </w:r>
      <w:r w:rsidRPr="00A37731">
        <w:t>283 p.</w:t>
      </w:r>
    </w:p>
    <w:p w:rsidR="00B7214C" w:rsidRPr="00A37731" w:rsidRDefault="00B7214C" w:rsidP="00B7214C">
      <w:pPr>
        <w:spacing w:before="120" w:after="120"/>
        <w:jc w:val="both"/>
      </w:pPr>
      <w:r w:rsidRPr="00A37731">
        <w:t xml:space="preserve">Shorter, E., </w:t>
      </w:r>
      <w:r w:rsidRPr="00951035">
        <w:rPr>
          <w:i/>
          <w:iCs/>
        </w:rPr>
        <w:t>The making of</w:t>
      </w:r>
      <w:r>
        <w:rPr>
          <w:i/>
          <w:iCs/>
        </w:rPr>
        <w:t xml:space="preserve"> </w:t>
      </w:r>
      <w:r w:rsidRPr="00951035">
        <w:rPr>
          <w:i/>
          <w:iCs/>
        </w:rPr>
        <w:t>the Mode</w:t>
      </w:r>
      <w:r>
        <w:rPr>
          <w:i/>
          <w:iCs/>
        </w:rPr>
        <w:t>rn</w:t>
      </w:r>
      <w:r w:rsidRPr="00951035">
        <w:rPr>
          <w:i/>
          <w:iCs/>
        </w:rPr>
        <w:t xml:space="preserve"> Family,</w:t>
      </w:r>
      <w:r w:rsidRPr="00A37731">
        <w:t xml:space="preserve"> New York, Basic Book Inc., 1975.</w:t>
      </w:r>
    </w:p>
    <w:p w:rsidR="00B7214C" w:rsidRPr="00A37731" w:rsidRDefault="00B7214C" w:rsidP="00B7214C">
      <w:pPr>
        <w:spacing w:before="120" w:after="120"/>
        <w:jc w:val="both"/>
      </w:pPr>
      <w:r w:rsidRPr="00A37731">
        <w:t xml:space="preserve">Tannahill, R., </w:t>
      </w:r>
      <w:r w:rsidRPr="00951035">
        <w:rPr>
          <w:i/>
          <w:iCs/>
        </w:rPr>
        <w:t>Sex in History,</w:t>
      </w:r>
      <w:r w:rsidRPr="00A37731">
        <w:t xml:space="preserve"> London, Cardinal, 1989, 488 p.</w:t>
      </w:r>
    </w:p>
    <w:p w:rsidR="00B7214C" w:rsidRDefault="00B7214C" w:rsidP="00B7214C">
      <w:pPr>
        <w:spacing w:before="120" w:after="120"/>
        <w:jc w:val="both"/>
      </w:pPr>
      <w:r w:rsidRPr="00A37731">
        <w:t xml:space="preserve">Thadani, V. N., « The Logic of Sentiment : The Family and Social Change », </w:t>
      </w:r>
      <w:r w:rsidRPr="00951035">
        <w:rPr>
          <w:i/>
          <w:iCs/>
        </w:rPr>
        <w:t>Population and Development Review,</w:t>
      </w:r>
      <w:r w:rsidRPr="00A37731">
        <w:t xml:space="preserve"> 1978, vol.</w:t>
      </w:r>
      <w:r>
        <w:t> </w:t>
      </w:r>
      <w:r w:rsidRPr="00A37731">
        <w:t>4, n°</w:t>
      </w:r>
      <w:r>
        <w:t> </w:t>
      </w:r>
      <w:r w:rsidRPr="00A37731">
        <w:t>3, p</w:t>
      </w:r>
      <w:r>
        <w:t>p</w:t>
      </w:r>
      <w:r w:rsidRPr="00A37731">
        <w:t>. 457-499.</w:t>
      </w:r>
    </w:p>
    <w:p w:rsidR="00B7214C" w:rsidRDefault="00B7214C" w:rsidP="00B7214C">
      <w:pPr>
        <w:jc w:val="both"/>
      </w:pPr>
      <w:r>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8" w:name="Entre_tradition_pt_2_B"/>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DEUXIÈME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 xml:space="preserve">B. LE DON (AUTOUR DE </w:t>
      </w:r>
      <w:r>
        <w:rPr>
          <w:i/>
          <w:color w:val="FF0000"/>
          <w:sz w:val="32"/>
        </w:rPr>
        <w:t>L’ESPRIT DU DON</w:t>
      </w:r>
      <w:r>
        <w:rPr>
          <w:i/>
          <w:color w:val="FF0000"/>
          <w:sz w:val="32"/>
        </w:rPr>
        <w:br/>
      </w:r>
      <w:r>
        <w:rPr>
          <w:color w:val="FF0000"/>
          <w:sz w:val="32"/>
        </w:rPr>
        <w:t>DE JACQUES T. GODBOUT)</w:t>
      </w:r>
    </w:p>
    <w:bookmarkEnd w:id="28"/>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A37731" w:rsidRDefault="00B7214C" w:rsidP="00B7214C">
      <w:pPr>
        <w:pStyle w:val="p"/>
      </w:pPr>
      <w:r>
        <w:br w:type="page"/>
        <w:t>[297]</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29" w:name="Entre_tradition_pt_2_texte_19"/>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B. </w:t>
      </w:r>
      <w:r w:rsidRPr="00DC0C7E">
        <w:rPr>
          <w:color w:val="FF0000"/>
          <w:sz w:val="24"/>
        </w:rPr>
        <w:t xml:space="preserve">LE DON (AUTOUR DE </w:t>
      </w:r>
      <w:r w:rsidRPr="00DC0C7E">
        <w:rPr>
          <w:i/>
          <w:color w:val="FF0000"/>
          <w:sz w:val="24"/>
        </w:rPr>
        <w:t>L’ESPRIT DU DON</w:t>
      </w:r>
      <w:r>
        <w:rPr>
          <w:color w:val="FF0000"/>
          <w:sz w:val="24"/>
        </w:rPr>
        <w:br/>
      </w:r>
      <w:r w:rsidRPr="00DC0C7E">
        <w:rPr>
          <w:color w:val="FF0000"/>
          <w:sz w:val="24"/>
        </w:rPr>
        <w:t>DE JACQUES T. GODBOUT)</w:t>
      </w:r>
    </w:p>
    <w:p w:rsidR="00B7214C" w:rsidRPr="00384B20" w:rsidRDefault="00B7214C" w:rsidP="00B7214C">
      <w:pPr>
        <w:pStyle w:val="Titreniveau1"/>
      </w:pPr>
      <w:r>
        <w:t>19</w:t>
      </w:r>
    </w:p>
    <w:p w:rsidR="00B7214C" w:rsidRDefault="00B7214C" w:rsidP="00B7214C">
      <w:pPr>
        <w:pStyle w:val="Titreniveau2"/>
      </w:pPr>
      <w:r>
        <w:t>“Libre et obligatoire :</w:t>
      </w:r>
      <w:r>
        <w:br/>
        <w:t>l’esprit du don.”</w:t>
      </w:r>
    </w:p>
    <w:bookmarkEnd w:id="29"/>
    <w:p w:rsidR="00B7214C" w:rsidRPr="00E07116" w:rsidRDefault="00B7214C" w:rsidP="00B7214C">
      <w:pPr>
        <w:jc w:val="both"/>
        <w:rPr>
          <w:szCs w:val="36"/>
        </w:rPr>
      </w:pPr>
    </w:p>
    <w:p w:rsidR="00B7214C" w:rsidRPr="00E07116" w:rsidRDefault="00B7214C" w:rsidP="00B7214C">
      <w:pPr>
        <w:pStyle w:val="suite"/>
      </w:pPr>
      <w:r>
        <w:t>Par Jacques T. GODBOUT</w:t>
      </w:r>
    </w:p>
    <w:p w:rsidR="00B7214C" w:rsidRPr="00E07116" w:rsidRDefault="00B7214C" w:rsidP="00B7214C">
      <w:pPr>
        <w:pStyle w:val="auteurst"/>
      </w:pPr>
      <w:r>
        <w:t xml:space="preserve">Sociologue, </w:t>
      </w:r>
      <w:r w:rsidRPr="004A7EF1">
        <w:t>INRS-Urbanisation</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 xml:space="preserve">Dans son </w:t>
      </w:r>
      <w:hyperlink r:id="rId68" w:history="1">
        <w:r w:rsidRPr="00E64A4B">
          <w:rPr>
            <w:rStyle w:val="Lienhypertexte"/>
            <w:i/>
            <w:szCs w:val="22"/>
            <w:lang w:eastAsia="fr-FR" w:bidi="fr-FR"/>
          </w:rPr>
          <w:t>Essai sur le don</w:t>
        </w:r>
      </w:hyperlink>
      <w:r w:rsidRPr="00E64A4B">
        <w:t xml:space="preserve"> (1950), Mauss se pose une question fo</w:t>
      </w:r>
      <w:r w:rsidRPr="00E64A4B">
        <w:t>n</w:t>
      </w:r>
      <w:r w:rsidRPr="00E64A4B">
        <w:t>damentale : comment décrire l'obligation de rendre un don ? Loin de répondre à la question, l'auteur de ce classique sur le don en arrive, au contraire, à être de moins en moins convaincu du caractère obligatoire du don, si bien qu'à la fin de son texte on r</w:t>
      </w:r>
      <w:r w:rsidRPr="00E64A4B">
        <w:t>e</w:t>
      </w:r>
      <w:r w:rsidRPr="00E64A4B">
        <w:t>trouve de plus en plus de phrases qui évoquent à la fois la liberté et l'obligation. Alors qu'en i</w:t>
      </w:r>
      <w:r w:rsidRPr="00E64A4B">
        <w:t>n</w:t>
      </w:r>
      <w:r w:rsidRPr="00E64A4B">
        <w:t>troduction Mauss qualifie la libe</w:t>
      </w:r>
      <w:r w:rsidRPr="00E64A4B">
        <w:t>r</w:t>
      </w:r>
      <w:r w:rsidRPr="00E64A4B">
        <w:t>té dans le don d'apparence (« cadeaux en théorie volontaires mais en réalité obligatoirement faits et rendus », p. 147), à la fin il évoque « la liberté et l'obligation m</w:t>
      </w:r>
      <w:r w:rsidRPr="00E64A4B">
        <w:t>ê</w:t>
      </w:r>
      <w:r w:rsidRPr="00E64A4B">
        <w:t>lées » (p. 258) qui seraient pr</w:t>
      </w:r>
      <w:r w:rsidRPr="00E64A4B">
        <w:t>o</w:t>
      </w:r>
      <w:r w:rsidRPr="00E64A4B">
        <w:t>pres au don.</w:t>
      </w:r>
    </w:p>
    <w:p w:rsidR="00B7214C" w:rsidRPr="00E64A4B" w:rsidRDefault="00B7214C" w:rsidP="00B7214C">
      <w:pPr>
        <w:spacing w:before="120" w:after="120"/>
        <w:jc w:val="both"/>
      </w:pPr>
      <w:r w:rsidRPr="00E64A4B">
        <w:t>Le problème de la liberté est non seulement difficile à réso</w:t>
      </w:r>
      <w:r w:rsidRPr="00E64A4B">
        <w:t>u</w:t>
      </w:r>
      <w:r w:rsidRPr="00E64A4B">
        <w:t>dre, il est également difficile à aborder en sociologie et en sciences huma</w:t>
      </w:r>
      <w:r w:rsidRPr="00E64A4B">
        <w:t>i</w:t>
      </w:r>
      <w:r w:rsidRPr="00E64A4B">
        <w:t>nes. Dans la mesure où ces disciplines adhèrent au schéma détermini</w:t>
      </w:r>
      <w:r w:rsidRPr="00E64A4B">
        <w:t>s</w:t>
      </w:r>
      <w:r w:rsidRPr="00E64A4B">
        <w:t>te d'explication, la liberté devient une fausse question, une catégorie non sociologique. Dans ce modèle, la l</w:t>
      </w:r>
      <w:r w:rsidRPr="00E64A4B">
        <w:t>i</w:t>
      </w:r>
      <w:r w:rsidRPr="00E64A4B">
        <w:t>berté n'est qu'une manière parmi d'autres de désigner ce que nous n'avons pas (encore) su expl</w:t>
      </w:r>
      <w:r w:rsidRPr="00E64A4B">
        <w:t>i</w:t>
      </w:r>
      <w:r w:rsidRPr="00E64A4B">
        <w:t>quer, une façon noble de nommer notre ignorance des phénomènes sociaux.</w:t>
      </w:r>
    </w:p>
    <w:p w:rsidR="00B7214C" w:rsidRPr="00E64A4B" w:rsidRDefault="00B7214C" w:rsidP="00B7214C">
      <w:pPr>
        <w:spacing w:before="120" w:after="120"/>
        <w:jc w:val="both"/>
      </w:pPr>
      <w:r w:rsidRPr="00E64A4B">
        <w:t>Ainsi, pour Boudon il existe deux manières d'expliquer les phén</w:t>
      </w:r>
      <w:r w:rsidRPr="00E64A4B">
        <w:t>o</w:t>
      </w:r>
      <w:r w:rsidRPr="00E64A4B">
        <w:t>mènes sociaux : soit on en appelle aux coutumes, à la me</w:t>
      </w:r>
      <w:r w:rsidRPr="00E64A4B">
        <w:t>n</w:t>
      </w:r>
      <w:r w:rsidRPr="00E64A4B">
        <w:t xml:space="preserve">talité, à la tradition ; ou alors on cherche « les bonnes raisons » qui ont conduit un sujet à adopter tel comportement, ou à avoir telle ou telle </w:t>
      </w:r>
      <w:r>
        <w:t xml:space="preserve">croyance (1988). Boudon s'élève, </w:t>
      </w:r>
      <w:r w:rsidRPr="00E64A4B">
        <w:t>[298]</w:t>
      </w:r>
      <w:r>
        <w:t xml:space="preserve"> </w:t>
      </w:r>
      <w:r w:rsidRPr="00E64A4B">
        <w:t>avec raison, contre la facilité avec l</w:t>
      </w:r>
      <w:r w:rsidRPr="00E64A4B">
        <w:t>a</w:t>
      </w:r>
      <w:r w:rsidRPr="00E64A4B">
        <w:t>quelle, en sociologie, on a r</w:t>
      </w:r>
      <w:r w:rsidRPr="00E64A4B">
        <w:t>e</w:t>
      </w:r>
      <w:r w:rsidRPr="00E64A4B">
        <w:t>cours à la tradition. Cette explication n'en est pas une et suppose des acteurs irrationnels, ou incompris par l'o</w:t>
      </w:r>
      <w:r w:rsidRPr="00E64A4B">
        <w:t>b</w:t>
      </w:r>
      <w:r w:rsidRPr="00E64A4B">
        <w:t>servateur. Le chercheur, a</w:t>
      </w:r>
      <w:r w:rsidRPr="00E64A4B">
        <w:t>f</w:t>
      </w:r>
      <w:r w:rsidRPr="00E64A4B">
        <w:t>firme Boudon, doit aller au-delà de ces fausses explications et che</w:t>
      </w:r>
      <w:r w:rsidRPr="00E64A4B">
        <w:t>r</w:t>
      </w:r>
      <w:r w:rsidRPr="00E64A4B">
        <w:t>cher les « bonnes raisons » qui permettent de comprendre le comportement d'un acteur et la logique de son a</w:t>
      </w:r>
      <w:r w:rsidRPr="00E64A4B">
        <w:t>c</w:t>
      </w:r>
      <w:r w:rsidRPr="00E64A4B">
        <w:t>tion. On ne peut qu'être d'accord avec lui sur ce point. Mais la que</w:t>
      </w:r>
      <w:r w:rsidRPr="00E64A4B">
        <w:t>s</w:t>
      </w:r>
      <w:r w:rsidRPr="00E64A4B">
        <w:t>tion qui se pose aussitôt a trait à la nature de ces bonnes raisons : pour Boudon, comme pour beaucoup de sociologues, elles semblent se l</w:t>
      </w:r>
      <w:r w:rsidRPr="00E64A4B">
        <w:t>i</w:t>
      </w:r>
      <w:r w:rsidRPr="00E64A4B">
        <w:t>miter à l'intérêt. Cherchez l'intérêt, cherchez « à qui profite le crime », et vous obtiendrez l'expl</w:t>
      </w:r>
      <w:r w:rsidRPr="00E64A4B">
        <w:t>i</w:t>
      </w:r>
      <w:r w:rsidRPr="00E64A4B">
        <w:t>cation.</w:t>
      </w:r>
    </w:p>
    <w:p w:rsidR="00B7214C" w:rsidRPr="00E64A4B" w:rsidRDefault="00B7214C" w:rsidP="00B7214C">
      <w:pPr>
        <w:spacing w:before="120" w:after="120"/>
        <w:jc w:val="both"/>
      </w:pPr>
      <w:r w:rsidRPr="00E64A4B">
        <w:t>On se retrouve ainsi avec un double schéma d'explication : la trad</w:t>
      </w:r>
      <w:r w:rsidRPr="00E64A4B">
        <w:t>i</w:t>
      </w:r>
      <w:r w:rsidRPr="00E64A4B">
        <w:t>tion, la coutume ; ou l'intérêt. Ce dualisme entraîne de graves cons</w:t>
      </w:r>
      <w:r w:rsidRPr="00E64A4B">
        <w:t>é</w:t>
      </w:r>
      <w:r w:rsidRPr="00E64A4B">
        <w:t>quences pour l'étude du don. À toutes fins pratiques, un tel schéma exclut tout simplement le don, du moins tel que Mauss a essayé de le saisir, mais aussi tel que les acteurs le décrivent lor</w:t>
      </w:r>
      <w:r w:rsidRPr="00E64A4B">
        <w:t>s</w:t>
      </w:r>
      <w:r w:rsidRPr="00E64A4B">
        <w:t>qu'on essaie de comprendre les « bonnes raisons » qui les conduisent à donner. Pre</w:t>
      </w:r>
      <w:r w:rsidRPr="00E64A4B">
        <w:t>s</w:t>
      </w:r>
      <w:r w:rsidRPr="00E64A4B">
        <w:t>que unanimement</w:t>
      </w:r>
      <w:r>
        <w:t> </w:t>
      </w:r>
      <w:r>
        <w:rPr>
          <w:rStyle w:val="Appelnotedebasdep"/>
        </w:rPr>
        <w:footnoteReference w:id="227"/>
      </w:r>
      <w:r w:rsidRPr="00E64A4B">
        <w:t xml:space="preserve"> les personnes qui parlent du don aujourd'hui i</w:t>
      </w:r>
      <w:r w:rsidRPr="00E64A4B">
        <w:t>n</w:t>
      </w:r>
      <w:r w:rsidRPr="00E64A4B">
        <w:t>sistent pour prendre leur distance vis-à-vis des obligations, des trad</w:t>
      </w:r>
      <w:r w:rsidRPr="00E64A4B">
        <w:t>i</w:t>
      </w:r>
      <w:r w:rsidRPr="00E64A4B">
        <w:t>tions, des coutumes comme motivation les poussant à donner, tout en reconnaissant qu'il faut bien faire des dons conventionnels. Ce type de don se situe au niveau le plus bas ; à la limite, pour les individus m</w:t>
      </w:r>
      <w:r w:rsidRPr="00E64A4B">
        <w:t>o</w:t>
      </w:r>
      <w:r w:rsidRPr="00E64A4B">
        <w:t>dernes, ce n'est pas un « vrai don ». Mais ils nient aussi être d'abord motivés par l'intérêt (au sens de donner dans le but de recevoir en r</w:t>
      </w:r>
      <w:r w:rsidRPr="00E64A4B">
        <w:t>e</w:t>
      </w:r>
      <w:r w:rsidRPr="00E64A4B">
        <w:t>tour, sur le modèle de l'échange marchand). En tout cas ce n'est pas pour eux la pri</w:t>
      </w:r>
      <w:r w:rsidRPr="00E64A4B">
        <w:t>n</w:t>
      </w:r>
      <w:r w:rsidRPr="00E64A4B">
        <w:t>cipale raison du don.</w:t>
      </w:r>
    </w:p>
    <w:p w:rsidR="00B7214C" w:rsidRPr="00E64A4B" w:rsidRDefault="00B7214C" w:rsidP="00B7214C">
      <w:pPr>
        <w:spacing w:before="120" w:after="120"/>
        <w:jc w:val="both"/>
      </w:pPr>
      <w:r w:rsidRPr="00E64A4B">
        <w:t>Si autant la coutume que l'intérêt sont récusés par les acteurs, que</w:t>
      </w:r>
      <w:r w:rsidRPr="00E64A4B">
        <w:t>l</w:t>
      </w:r>
      <w:r w:rsidRPr="00E64A4B">
        <w:t>les sont donc alors les « bonnes raisons » qui rendent compte du don ? Elles sont nombreuses : la reconnaissance, le plaisir de donner (qui provient de différents sentiments incluant le plaisir de l'autre), l'amour de l'autre, et même l'intérêt, mais celui du rec</w:t>
      </w:r>
      <w:r w:rsidRPr="00E64A4B">
        <w:t>e</w:t>
      </w:r>
      <w:r w:rsidRPr="00E64A4B">
        <w:t>veur, et non celui du donneur. En outre la liberté dans le geste du don est considérée co</w:t>
      </w:r>
      <w:r w:rsidRPr="00E64A4B">
        <w:t>m</w:t>
      </w:r>
      <w:r w:rsidRPr="00E64A4B">
        <w:t>me fondamentale, au point où toute oblig</w:t>
      </w:r>
      <w:r w:rsidRPr="00E64A4B">
        <w:t>a</w:t>
      </w:r>
      <w:r w:rsidRPr="00E64A4B">
        <w:t>tion, venant de la tradition, de la coutume, tend à détruire le don. Que faire de cette donnée de base du don moderne affirmée par les donneurs, par laquelle ils se s</w:t>
      </w:r>
      <w:r w:rsidRPr="00E64A4B">
        <w:t>i</w:t>
      </w:r>
      <w:r w:rsidRPr="00E64A4B">
        <w:t>tuent explicitement en dehors des schémas habituels d'explication en sciences humaines ? Comment interpréter cette préférence universelle pour les dons libres, les seuls « vrais dons » ?</w:t>
      </w:r>
    </w:p>
    <w:p w:rsidR="00B7214C" w:rsidRPr="00E64A4B" w:rsidRDefault="00B7214C" w:rsidP="00B7214C">
      <w:pPr>
        <w:spacing w:before="120" w:after="120"/>
        <w:jc w:val="both"/>
      </w:pPr>
      <w:r w:rsidRPr="00E64A4B">
        <w:t>Une distinction est nécessaire ici. Le vrai don est différent du don gratuit, au sens de sans retour, unilatéral, qui correspond à la défin</w:t>
      </w:r>
      <w:r w:rsidRPr="00E64A4B">
        <w:t>i</w:t>
      </w:r>
      <w:r w:rsidRPr="00E64A4B">
        <w:t xml:space="preserve">tion habituelle du vrai don. Au contraire : plus on cherche le sens du don pour les acteurs, plus ce geste s'inscrit dans des cycles où le don apparemment unilatéral tend à devenir marginal. Pour ne prendre qu'un exemple extrême, le bénévolat </w:t>
      </w:r>
      <w:r>
        <w:t>—</w:t>
      </w:r>
      <w:r w:rsidRPr="00E64A4B">
        <w:t xml:space="preserve"> don unilatéral par excellence </w:t>
      </w:r>
      <w:r>
        <w:t>—</w:t>
      </w:r>
      <w:r w:rsidRPr="00E64A4B">
        <w:t>, on constate que les</w:t>
      </w:r>
      <w:r>
        <w:t xml:space="preserve"> </w:t>
      </w:r>
      <w:r w:rsidRPr="00E64A4B">
        <w:t>[299]</w:t>
      </w:r>
      <w:r>
        <w:t xml:space="preserve"> </w:t>
      </w:r>
      <w:r w:rsidRPr="00E64A4B">
        <w:t>bénévoles situent la plupart du temps leur action dans un contexte où ils affirment avoir beaucoup reçu dans le passé (en faisant du b</w:t>
      </w:r>
      <w:r w:rsidRPr="00E64A4B">
        <w:t>é</w:t>
      </w:r>
      <w:r w:rsidRPr="00E64A4B">
        <w:t>névolat, ils rendent donc en partie ce qu'ils ont reçu) et la plupart d</w:t>
      </w:r>
      <w:r w:rsidRPr="00E64A4B">
        <w:t>i</w:t>
      </w:r>
      <w:r w:rsidRPr="00E64A4B">
        <w:t xml:space="preserve">sent recevoir beaucoup des personnes aidées. Le retour n'est donc pas nié. Mais le retour obligé l'est. S'il y a retour, le retour est également libre. Autrement dit : </w:t>
      </w:r>
      <w:r w:rsidRPr="00E64A4B">
        <w:rPr>
          <w:i/>
          <w:iCs/>
        </w:rPr>
        <w:t>l'existence</w:t>
      </w:r>
      <w:r w:rsidRPr="00E64A4B">
        <w:t xml:space="preserve"> d'un retour n'équivaut pas à l</w:t>
      </w:r>
      <w:r w:rsidRPr="00E64A4B">
        <w:rPr>
          <w:i/>
          <w:iCs/>
        </w:rPr>
        <w:t>'obligation</w:t>
      </w:r>
      <w:r w:rsidRPr="00E64A4B">
        <w:t xml:space="preserve"> de retour. Que ce soit pour rec</w:t>
      </w:r>
      <w:r w:rsidRPr="00E64A4B">
        <w:t>e</w:t>
      </w:r>
      <w:r w:rsidRPr="00E64A4B">
        <w:t>voir ou non, et même lorsqu'on donne pour recevoir, il n'y a pas de garantie. Le retour n'est jamais assuré, et le don est donc ri</w:t>
      </w:r>
      <w:r w:rsidRPr="00E64A4B">
        <w:t>s</w:t>
      </w:r>
      <w:r w:rsidRPr="00E64A4B">
        <w:t>qué, si on donne pour recevoir. « Si tout don appelle un contre-don, rien ne saurait g</w:t>
      </w:r>
      <w:r w:rsidRPr="00E64A4B">
        <w:t>a</w:t>
      </w:r>
      <w:r w:rsidRPr="00E64A4B">
        <w:t>rantir une telle réciprocité » (Vidal, 1993, p. 61). Autrement dit enc</w:t>
      </w:r>
      <w:r w:rsidRPr="00E64A4B">
        <w:t>o</w:t>
      </w:r>
      <w:r w:rsidRPr="00E64A4B">
        <w:t>re : le retour est aussi un don.</w:t>
      </w:r>
    </w:p>
    <w:p w:rsidR="00B7214C" w:rsidRPr="00E64A4B" w:rsidRDefault="00B7214C" w:rsidP="00B7214C">
      <w:pPr>
        <w:spacing w:before="120" w:after="120"/>
        <w:jc w:val="both"/>
      </w:pPr>
      <w:r w:rsidRPr="00E64A4B">
        <w:t>Il s'agit là d'un premier trait fondamental qui distingue le don de la circulation marchande ou étatique : il n'y a pas de droits dans le don. C'est une conséquence directe de la liberté du don : le don étant libre, on n'est jamais assuré du geste de l'autre, car il est libre lui aussi. L</w:t>
      </w:r>
      <w:r w:rsidRPr="00E64A4B">
        <w:t>i</w:t>
      </w:r>
      <w:r w:rsidRPr="00E64A4B">
        <w:t>bre, non seulement au sens où on peut, par exemple, adhérer à un sy</w:t>
      </w:r>
      <w:r w:rsidRPr="00E64A4B">
        <w:t>s</w:t>
      </w:r>
      <w:r w:rsidRPr="00E64A4B">
        <w:t>tème d'assurance, entrer ou non dans le système, avec la garantie, si on y adhère, d'en bénéficier en cas de besoin. C'est la liberté marcha</w:t>
      </w:r>
      <w:r w:rsidRPr="00E64A4B">
        <w:t>n</w:t>
      </w:r>
      <w:r w:rsidRPr="00E64A4B">
        <w:t>de. La liberté du don va plus loin : à l'int</w:t>
      </w:r>
      <w:r w:rsidRPr="00E64A4B">
        <w:t>é</w:t>
      </w:r>
      <w:r w:rsidRPr="00E64A4B">
        <w:t>rieur même d'un système de don, il n'existe pas de lien direct entre la contribution et la rétribution, au point où dans un système comme le don du sang, on en bénéficie même si on n'y participe pas, ce qui accroît évidemment infiniment notre liberté d'y part</w:t>
      </w:r>
      <w:r w:rsidRPr="00E64A4B">
        <w:t>i</w:t>
      </w:r>
      <w:r w:rsidRPr="00E64A4B">
        <w:t>ciper, de donner ou non du sang, par exemple</w:t>
      </w:r>
      <w:r>
        <w:t> </w:t>
      </w:r>
      <w:r>
        <w:rPr>
          <w:rStyle w:val="Appelnotedebasdep"/>
        </w:rPr>
        <w:footnoteReference w:id="228"/>
      </w:r>
      <w:r w:rsidRPr="00E64A4B">
        <w:t>. La liberté et la non-garantie sont les deux faces du même phénomène.</w:t>
      </w:r>
    </w:p>
    <w:p w:rsidR="00B7214C" w:rsidRPr="00E64A4B" w:rsidRDefault="00B7214C" w:rsidP="00B7214C">
      <w:pPr>
        <w:spacing w:before="120" w:after="120"/>
        <w:jc w:val="both"/>
      </w:pPr>
      <w:r w:rsidRPr="00E64A4B">
        <w:t xml:space="preserve">Le sens du geste est important dans le don. L'observation du retour ne dit rien en soi sur le </w:t>
      </w:r>
      <w:r w:rsidRPr="00E64A4B">
        <w:rPr>
          <w:i/>
          <w:iCs/>
        </w:rPr>
        <w:t>sens</w:t>
      </w:r>
      <w:r w:rsidRPr="00E64A4B">
        <w:t xml:space="preserve"> du retour, sauf si on fait le po</w:t>
      </w:r>
      <w:r w:rsidRPr="00E64A4B">
        <w:t>s</w:t>
      </w:r>
      <w:r w:rsidRPr="00E64A4B">
        <w:t>tulat qu'il ne peut y avoir qu'un sens : s'il y a retour, c'est nécessa</w:t>
      </w:r>
      <w:r w:rsidRPr="00E64A4B">
        <w:t>i</w:t>
      </w:r>
      <w:r w:rsidRPr="00E64A4B">
        <w:t>rement que l'on a donné pour recevoir, et cela même si les acteurs affirment le contraire ! Il y a un glissement permanent de l'obse</w:t>
      </w:r>
      <w:r w:rsidRPr="00E64A4B">
        <w:t>r</w:t>
      </w:r>
      <w:r w:rsidRPr="00E64A4B">
        <w:t>vation de ce qui circule au sens de ce qui circule. Or plusieurs cas sont possibles, et ce que souvent les protagonistes du don affi</w:t>
      </w:r>
      <w:r w:rsidRPr="00E64A4B">
        <w:t>r</w:t>
      </w:r>
      <w:r w:rsidRPr="00E64A4B">
        <w:t xml:space="preserve">ment, c'est qu'ils ne veulent pas tellement recevoir, que recevoir un don. </w:t>
      </w:r>
      <w:r w:rsidRPr="00E64A4B">
        <w:rPr>
          <w:i/>
          <w:iCs/>
        </w:rPr>
        <w:t>Do ut des.</w:t>
      </w:r>
      <w:r w:rsidRPr="00E64A4B">
        <w:t xml:space="preserve"> Je donne non pas pour recevoir, mais pour que tu donnes. Au point où on préférera ne rien recevoir si on a l'impression que l'autre s'est senti obligé de do</w:t>
      </w:r>
      <w:r w:rsidRPr="00E64A4B">
        <w:t>n</w:t>
      </w:r>
      <w:r w:rsidRPr="00E64A4B">
        <w:t xml:space="preserve">ner. Pour cela il faut imaginer l'autre </w:t>
      </w:r>
      <w:r w:rsidRPr="00E64A4B">
        <w:rPr>
          <w:i/>
          <w:iCs/>
        </w:rPr>
        <w:t>libre</w:t>
      </w:r>
      <w:r w:rsidRPr="00E64A4B">
        <w:t xml:space="preserve"> de nous faire un don, un retour. Toutes sortes de ruses, qui peuvent apparaître bizarres ou h</w:t>
      </w:r>
      <w:r w:rsidRPr="00E64A4B">
        <w:t>y</w:t>
      </w:r>
      <w:r w:rsidRPr="00E64A4B">
        <w:t>pocrites, exi</w:t>
      </w:r>
      <w:r w:rsidRPr="00E64A4B">
        <w:t>s</w:t>
      </w:r>
      <w:r w:rsidRPr="00E64A4B">
        <w:t>tent dans ce but : libérer l'autre de l'obligation de donner. Dans un schéma d'explication utilitariste, où seul l'intérêt est consid</w:t>
      </w:r>
      <w:r w:rsidRPr="00E64A4B">
        <w:t>é</w:t>
      </w:r>
      <w:r w:rsidRPr="00E64A4B">
        <w:t>ré comme facteur d'explication du comportement, ces rituels sont i</w:t>
      </w:r>
      <w:r w:rsidRPr="00E64A4B">
        <w:t>n</w:t>
      </w:r>
      <w:r w:rsidRPr="00E64A4B">
        <w:t>terprétés comme manifestation d'hypocrisie, comme moyen pour c</w:t>
      </w:r>
      <w:r w:rsidRPr="00E64A4B">
        <w:t>a</w:t>
      </w:r>
      <w:r w:rsidRPr="00E64A4B">
        <w:t>cher la véritable intention qui serait que l'on donne un</w:t>
      </w:r>
      <w:r w:rsidRPr="00E64A4B">
        <w:t>i</w:t>
      </w:r>
      <w:r w:rsidRPr="00E64A4B">
        <w:t>quement pour recevoir. Ainsi, au moment de recevoir un cadeau, le donataire dira : « Mais c'est trop, tu n'aurais pas dû, etc. » ; et le donateur rép</w:t>
      </w:r>
      <w:r>
        <w:t xml:space="preserve">ondra : « Ce n'est rien du tout, </w:t>
      </w:r>
      <w:r w:rsidRPr="00E64A4B">
        <w:t>[300]</w:t>
      </w:r>
      <w:r>
        <w:t xml:space="preserve"> </w:t>
      </w:r>
      <w:r w:rsidRPr="00E64A4B">
        <w:t>c'est la moindre des choses ! ». Il y a dans ce rituel un proce</w:t>
      </w:r>
      <w:r w:rsidRPr="00E64A4B">
        <w:t>s</w:t>
      </w:r>
      <w:r w:rsidRPr="00E64A4B">
        <w:t>sus de libération de l'autre de ses obligations dans la transaction du don, pr</w:t>
      </w:r>
      <w:r w:rsidRPr="00E64A4B">
        <w:t>o</w:t>
      </w:r>
      <w:r w:rsidRPr="00E64A4B">
        <w:t>cessus qui fait que le don est l'envers de la transaction marchande, dans laquelle chaque partenaire tente au contraire d'obliger, d'engager l'autre de façon maximale en signant des contrats, en exigeant des g</w:t>
      </w:r>
      <w:r w:rsidRPr="00E64A4B">
        <w:t>a</w:t>
      </w:r>
      <w:r w:rsidRPr="00E64A4B">
        <w:t>ranties, etc.</w:t>
      </w:r>
    </w:p>
    <w:p w:rsidR="00B7214C" w:rsidRPr="00E64A4B" w:rsidRDefault="00B7214C" w:rsidP="00B7214C">
      <w:pPr>
        <w:spacing w:before="120" w:after="120"/>
        <w:jc w:val="both"/>
      </w:pPr>
      <w:r w:rsidRPr="00E64A4B">
        <w:t>Dans le don tout se passe comme s'il y avait une « force nat</w:t>
      </w:r>
      <w:r w:rsidRPr="00E64A4B">
        <w:t>u</w:t>
      </w:r>
      <w:r w:rsidRPr="00E64A4B">
        <w:t>relle » qui tendait vers l'obligation, (car c'est présent, partout), force dont les agents tentent de se libérer et de libérer les autres en permanence lor</w:t>
      </w:r>
      <w:r w:rsidRPr="00E64A4B">
        <w:t>s</w:t>
      </w:r>
      <w:r w:rsidRPr="00E64A4B">
        <w:t>qu'ils sont en situation ou en état de don. Pou</w:t>
      </w:r>
      <w:r w:rsidRPr="00E64A4B">
        <w:t>r</w:t>
      </w:r>
      <w:r w:rsidRPr="00E64A4B">
        <w:t>quoi ? Parce que cette obligation vient enlever toute valeur au geste posé. Au-delà de la v</w:t>
      </w:r>
      <w:r w:rsidRPr="00E64A4B">
        <w:t>a</w:t>
      </w:r>
      <w:r w:rsidRPr="00E64A4B">
        <w:t>leur d'usage et de la valeur d'échange de ce qui circule, le don semble véhiculer un troisième type de valeur qu'on pourrait appeler la valeur de lien. Et cette valeur est directement proportionnelle au degré de liberté du geste du don</w:t>
      </w:r>
      <w:r w:rsidRPr="00E64A4B">
        <w:t>a</w:t>
      </w:r>
      <w:r w:rsidRPr="00E64A4B">
        <w:t>teur perçu par le receveur. C'est en faisant l'impasse sur cette d</w:t>
      </w:r>
      <w:r w:rsidRPr="00E64A4B">
        <w:t>y</w:t>
      </w:r>
      <w:r w:rsidRPr="00E64A4B">
        <w:t>namique qu'on peut réduire le don soit à une obligation, soit à l'intérêt selon les deux schémas d'explication prése</w:t>
      </w:r>
      <w:r w:rsidRPr="00E64A4B">
        <w:t>n</w:t>
      </w:r>
      <w:r w:rsidRPr="00E64A4B">
        <w:t>tés plus haut.</w:t>
      </w:r>
    </w:p>
    <w:p w:rsidR="00B7214C" w:rsidRPr="00E64A4B" w:rsidRDefault="00B7214C" w:rsidP="00B7214C">
      <w:pPr>
        <w:spacing w:before="120" w:after="120"/>
        <w:jc w:val="both"/>
      </w:pPr>
      <w:r w:rsidRPr="00E64A4B">
        <w:t xml:space="preserve">Là résiderait l'essentiel du don. C'est la thèse soutenue dans </w:t>
      </w:r>
      <w:hyperlink r:id="rId69" w:history="1">
        <w:r w:rsidRPr="00E64A4B">
          <w:rPr>
            <w:rStyle w:val="Lienhypertexte"/>
            <w:i/>
          </w:rPr>
          <w:t>L'esprit du don</w:t>
        </w:r>
      </w:hyperlink>
      <w:r w:rsidRPr="00E64A4B">
        <w:t>. Cela n'exclut pas d'autres formes de don, où l'oblig</w:t>
      </w:r>
      <w:r w:rsidRPr="00E64A4B">
        <w:t>a</w:t>
      </w:r>
      <w:r w:rsidRPr="00E64A4B">
        <w:t>tion est plus présente, ou l'intérêt plus manifeste. Le don conventio</w:t>
      </w:r>
      <w:r w:rsidRPr="00E64A4B">
        <w:t>n</w:t>
      </w:r>
      <w:r w:rsidRPr="00E64A4B">
        <w:t>nel, le don utilitaire existent et sont plus ou moins pr</w:t>
      </w:r>
      <w:r w:rsidRPr="00E64A4B">
        <w:t>é</w:t>
      </w:r>
      <w:r w:rsidRPr="00E64A4B">
        <w:t>sents selon les sociétés. Mais dans toutes ces formes, il y a au m</w:t>
      </w:r>
      <w:r w:rsidRPr="00E64A4B">
        <w:t>i</w:t>
      </w:r>
      <w:r w:rsidRPr="00E64A4B">
        <w:t xml:space="preserve">nimum la non-garantie de retour, et donc la liberté, et donc la </w:t>
      </w:r>
      <w:r w:rsidRPr="000D1A32">
        <w:rPr>
          <w:i/>
          <w:iCs/>
        </w:rPr>
        <w:t>confiance,</w:t>
      </w:r>
      <w:r w:rsidRPr="00E64A4B">
        <w:t xml:space="preserve"> au coeur du geste du don. Nous pensons que ce ph</w:t>
      </w:r>
      <w:r w:rsidRPr="00E64A4B">
        <w:t>é</w:t>
      </w:r>
      <w:r w:rsidRPr="00E64A4B">
        <w:t>nomène est aussi au coeur de la société : la confiance que les ch</w:t>
      </w:r>
      <w:r w:rsidRPr="00E64A4B">
        <w:t>o</w:t>
      </w:r>
      <w:r w:rsidRPr="00E64A4B">
        <w:t>ses me seront rendues un jour, sans garantie qu'elles le soient.</w:t>
      </w:r>
    </w:p>
    <w:p w:rsidR="00B7214C" w:rsidRPr="00E64A4B" w:rsidRDefault="00B7214C" w:rsidP="00B7214C">
      <w:pPr>
        <w:spacing w:before="120" w:after="120"/>
        <w:jc w:val="both"/>
      </w:pPr>
      <w:r w:rsidRPr="00E64A4B">
        <w:t>Mettre ce type de rapport social au coeur du lien social, cela su</w:t>
      </w:r>
      <w:r w:rsidRPr="00E64A4B">
        <w:t>p</w:t>
      </w:r>
      <w:r w:rsidRPr="00E64A4B">
        <w:t>pose une certaine conception de la société, et cela s'oppose aussi à une certaine conception de la société. Cela s'oppose à une conception m</w:t>
      </w:r>
      <w:r w:rsidRPr="00E64A4B">
        <w:t>é</w:t>
      </w:r>
      <w:r w:rsidRPr="00E64A4B">
        <w:t>caniste, déterministe, (qu'elle soit marxiste ou fon</w:t>
      </w:r>
      <w:r w:rsidRPr="00E64A4B">
        <w:t>c</w:t>
      </w:r>
      <w:r w:rsidRPr="00E64A4B">
        <w:t>tionnaliste), vision qui exclut la liberté et le risque, la société étant une sorte de machine, chaque pièce s'imbriquant les unes dans les autres à la manière des roues d'engrenage. Dans ce modèle rien d'inattendu ne survient. Rien n'apparaît, car tout est produit ou reproduit : de la force de travail à la production et la reproduction de l'être humain. C'est le paradigme de la société conçue uniqu</w:t>
      </w:r>
      <w:r w:rsidRPr="00E64A4B">
        <w:t>e</w:t>
      </w:r>
      <w:r w:rsidRPr="00E64A4B">
        <w:t>ment comme système de production. Le don n'y a aucune place, sauf comme défaut, raté du système qu'il faut s'empresser de co</w:t>
      </w:r>
      <w:r w:rsidRPr="00E64A4B">
        <w:t>r</w:t>
      </w:r>
      <w:r w:rsidRPr="00E64A4B">
        <w:t>riger et d'éliminer. Au contraire, en mettant le don au coeur de la société, on introduit l'inattendu, la surprise comme ph</w:t>
      </w:r>
      <w:r w:rsidRPr="00E64A4B">
        <w:t>é</w:t>
      </w:r>
      <w:r w:rsidRPr="00E64A4B">
        <w:t>nomène essentiel aux liens sociaux. On introduit la grâce, dirait le poète ; la singularité, l'aléatoire, l'indétermination, l'incertitude, dirait le scientifique. Alors que dans les rapports sociaux analysés par les sociologues des organisations comme Michel Crozier, les acteurs ét</w:t>
      </w:r>
      <w:r w:rsidRPr="00E64A4B">
        <w:t>a</w:t>
      </w:r>
      <w:r w:rsidRPr="00E64A4B">
        <w:t>blissent des stratégies qui visent toutes à réduire, voire à éliminer l'i</w:t>
      </w:r>
      <w:r w:rsidRPr="00E64A4B">
        <w:t>n</w:t>
      </w:r>
      <w:r w:rsidRPr="00E64A4B">
        <w:t>certitude (1977),</w:t>
      </w:r>
      <w:r>
        <w:t xml:space="preserve"> </w:t>
      </w:r>
      <w:r w:rsidRPr="00E64A4B">
        <w:t>[301]</w:t>
      </w:r>
      <w:r>
        <w:t xml:space="preserve"> </w:t>
      </w:r>
      <w:r w:rsidRPr="00E64A4B">
        <w:t>les acteurs d'un système de don essaient au contraire de créer en permanence de l'incertitude en se libérant m</w:t>
      </w:r>
      <w:r w:rsidRPr="00E64A4B">
        <w:t>u</w:t>
      </w:r>
      <w:r w:rsidRPr="00E64A4B">
        <w:t>tuellement de leurs obl</w:t>
      </w:r>
      <w:r w:rsidRPr="00E64A4B">
        <w:t>i</w:t>
      </w:r>
      <w:r w:rsidRPr="00E64A4B">
        <w:t>gations. C'est pourquoi nous croyons que le don ne peut pas être thé</w:t>
      </w:r>
      <w:r w:rsidRPr="00E64A4B">
        <w:t>o</w:t>
      </w:r>
      <w:r w:rsidRPr="00E64A4B">
        <w:t>risé dans le cadre de modèles déterministes et qu'il faut avoir recours à des modèles non mécanistes, comme, par exemple, ceux qui se développent actuellement dans les sciences c</w:t>
      </w:r>
      <w:r w:rsidRPr="00E64A4B">
        <w:t>o</w:t>
      </w:r>
      <w:r w:rsidRPr="00E64A4B">
        <w:t>gnitives.</w:t>
      </w:r>
    </w:p>
    <w:p w:rsidR="00B7214C" w:rsidRPr="00E64A4B" w:rsidRDefault="00B7214C" w:rsidP="00B7214C">
      <w:pPr>
        <w:spacing w:before="120" w:after="120"/>
        <w:jc w:val="both"/>
      </w:pPr>
      <w:r w:rsidRPr="00E64A4B">
        <w:t xml:space="preserve">Cette réflexion est amorcée dans </w:t>
      </w:r>
      <w:hyperlink r:id="rId70" w:history="1">
        <w:r w:rsidRPr="00E64A4B">
          <w:rPr>
            <w:rStyle w:val="Lienhypertexte"/>
            <w:i/>
            <w:iCs/>
          </w:rPr>
          <w:t>L'esprit du don</w:t>
        </w:r>
      </w:hyperlink>
      <w:r w:rsidRPr="00E64A4B">
        <w:rPr>
          <w:i/>
          <w:iCs/>
        </w:rPr>
        <w:t>.</w:t>
      </w:r>
      <w:r w:rsidRPr="00E64A4B">
        <w:t xml:space="preserve"> De tels m</w:t>
      </w:r>
      <w:r w:rsidRPr="00E64A4B">
        <w:t>o</w:t>
      </w:r>
      <w:r w:rsidRPr="00E64A4B">
        <w:t>dèles essaient d'imaginer la liberté, mais l'obligation n'en n'est pas absente : si les acteurs essaient autant de libérer le geste du don, c'est bien parce que l'obligation est toujours là, toujours présente, comme une force qui ne pourra jamais être complètement éliminée. Et on revient au p</w:t>
      </w:r>
      <w:r w:rsidRPr="00E64A4B">
        <w:t>a</w:t>
      </w:r>
      <w:r w:rsidRPr="00E64A4B">
        <w:t>radoxe de Mauss : le don est à la fois libre et obligatoire, et c'est préc</w:t>
      </w:r>
      <w:r w:rsidRPr="00E64A4B">
        <w:t>i</w:t>
      </w:r>
      <w:r w:rsidRPr="00E64A4B">
        <w:t>sément ces deux mouvements contraires qu'il faut comprendre. Co</w:t>
      </w:r>
      <w:r w:rsidRPr="00E64A4B">
        <w:t>m</w:t>
      </w:r>
      <w:r w:rsidRPr="00E64A4B">
        <w:t>ment rendre compte de ces deux mouvements dans le don, l'un vers l'obligation, l'autre vers la lib</w:t>
      </w:r>
      <w:r w:rsidRPr="00E64A4B">
        <w:t>é</w:t>
      </w:r>
      <w:r w:rsidRPr="00E64A4B">
        <w:t>ration ? Ou encore : d'où vient ce besoin de libérer, et cette te</w:t>
      </w:r>
      <w:r w:rsidRPr="00E64A4B">
        <w:t>n</w:t>
      </w:r>
      <w:r w:rsidRPr="00E64A4B">
        <w:t>dance à l'obligation ?</w:t>
      </w:r>
    </w:p>
    <w:p w:rsidR="00B7214C" w:rsidRPr="00E64A4B" w:rsidRDefault="00B7214C" w:rsidP="00B7214C">
      <w:pPr>
        <w:spacing w:before="120" w:after="120"/>
        <w:jc w:val="both"/>
      </w:pPr>
      <w:r w:rsidRPr="00E64A4B">
        <w:t>On peut émettre l'hypothèse suivante : le geste de don est e</w:t>
      </w:r>
      <w:r w:rsidRPr="00E64A4B">
        <w:t>s</w:t>
      </w:r>
      <w:r w:rsidRPr="00E64A4B">
        <w:t>sentiel à toute société ; il est aussi dangereux ; le don qui échoue engendre la violence</w:t>
      </w:r>
      <w:r>
        <w:t> </w:t>
      </w:r>
      <w:r>
        <w:rPr>
          <w:rStyle w:val="Appelnotedebasdep"/>
        </w:rPr>
        <w:footnoteReference w:id="229"/>
      </w:r>
      <w:r w:rsidRPr="00E64A4B">
        <w:t>. Que le don fonctionne est tellement essentiel à une soci</w:t>
      </w:r>
      <w:r w:rsidRPr="00E64A4B">
        <w:t>é</w:t>
      </w:r>
      <w:r w:rsidRPr="00E64A4B">
        <w:t>té donnée qu'elle a la tentation constante de le re</w:t>
      </w:r>
      <w:r w:rsidRPr="00E64A4B">
        <w:t>n</w:t>
      </w:r>
      <w:r w:rsidRPr="00E64A4B">
        <w:t>dre obligatoire, de faire des règles, de le « normer », de l'encadrer. Dans les sociétés a</w:t>
      </w:r>
      <w:r w:rsidRPr="00E64A4B">
        <w:t>r</w:t>
      </w:r>
      <w:r w:rsidRPr="00E64A4B">
        <w:t>cha</w:t>
      </w:r>
      <w:r w:rsidRPr="00E64A4B">
        <w:t>ï</w:t>
      </w:r>
      <w:r w:rsidRPr="00E64A4B">
        <w:t>ques cette obligation prend plus la forme des grands rituels ; dans les sociétés libérales, on tend à transfo</w:t>
      </w:r>
      <w:r w:rsidRPr="00E64A4B">
        <w:t>r</w:t>
      </w:r>
      <w:r w:rsidRPr="00E64A4B">
        <w:t>mer le don en droits au niveau macrosocial. Dans les petites gro</w:t>
      </w:r>
      <w:r w:rsidRPr="00E64A4B">
        <w:t>u</w:t>
      </w:r>
      <w:r w:rsidRPr="00E64A4B">
        <w:t>pes et les relations primaires, les individus, à l'intérieur de leurs réseaux, auront aussi tendance à établir des règles pour s'assurer que le don circule. Mais au moment du geste, ils savent bien que le don doit être d'abord un élan du coeur ; ils a</w:t>
      </w:r>
      <w:r w:rsidRPr="00E64A4B">
        <w:t>u</w:t>
      </w:r>
      <w:r w:rsidRPr="00E64A4B">
        <w:t xml:space="preserve">ront donc aussi toujours tendance à transgresser les règles qu'ils ont eux-mêmes établies, à faire plus que la règle prévoit ; et aussi à libérer l'autre de la règle par des mots et par des « contre-rituels » (« c'est trop ; tu n'aurais pas </w:t>
      </w:r>
      <w:r w:rsidRPr="000D1A32">
        <w:rPr>
          <w:i/>
          <w:iCs/>
        </w:rPr>
        <w:t>dû ;</w:t>
      </w:r>
      <w:r w:rsidRPr="00E64A4B">
        <w:t xml:space="preserve"> c'est la moindre des choses, etc.) ; à libérer l'autre en permanence de son obligation pour que le don prenne sa v</w:t>
      </w:r>
      <w:r w:rsidRPr="00E64A4B">
        <w:t>a</w:t>
      </w:r>
      <w:r w:rsidRPr="00E64A4B">
        <w:t>leur, pour qu'il soit un « vrai » don. C'est ce que nous constatons a</w:t>
      </w:r>
      <w:r w:rsidRPr="00E64A4B">
        <w:t>c</w:t>
      </w:r>
      <w:r w:rsidRPr="00E64A4B">
        <w:t>tuellement dans une recherche sur le don dans les réseaux familiaux.</w:t>
      </w:r>
    </w:p>
    <w:p w:rsidR="00B7214C" w:rsidRPr="00E64A4B" w:rsidRDefault="00B7214C" w:rsidP="00B7214C">
      <w:pPr>
        <w:spacing w:before="120" w:after="120"/>
        <w:jc w:val="both"/>
      </w:pPr>
      <w:r w:rsidRPr="00E64A4B">
        <w:t>On retrouvera partout cette tension entre obligation et liberté, ins</w:t>
      </w:r>
      <w:r w:rsidRPr="00E64A4B">
        <w:t>o</w:t>
      </w:r>
      <w:r w:rsidRPr="00E64A4B">
        <w:t>luble, au coeur du don. Cette étrange obligation d'être spontanée, te</w:t>
      </w:r>
      <w:r w:rsidRPr="00E64A4B">
        <w:t>n</w:t>
      </w:r>
      <w:r w:rsidRPr="00E64A4B">
        <w:t>sion fondatrice du lien social, devant laquelle le sociologue devra to</w:t>
      </w:r>
      <w:r w:rsidRPr="00E64A4B">
        <w:t>u</w:t>
      </w:r>
      <w:r w:rsidRPr="00E64A4B">
        <w:t>jours demeurer modeste, reconnaître ses limites et être prêt à donner une place, voire à céder sa place aux autres di</w:t>
      </w:r>
      <w:r w:rsidRPr="00E64A4B">
        <w:t>s</w:t>
      </w:r>
      <w:r w:rsidRPr="00E64A4B">
        <w:t>ciplines des sciences humaines, aux philosophes, aux poètes.</w:t>
      </w:r>
    </w:p>
    <w:p w:rsidR="00B7214C" w:rsidRDefault="00B7214C" w:rsidP="00B7214C">
      <w:pPr>
        <w:spacing w:before="120" w:after="120"/>
        <w:jc w:val="both"/>
      </w:pPr>
    </w:p>
    <w:p w:rsidR="00B7214C" w:rsidRPr="00E64A4B" w:rsidRDefault="00B7214C" w:rsidP="00B7214C">
      <w:pPr>
        <w:pStyle w:val="p"/>
      </w:pPr>
      <w:r w:rsidRPr="00E64A4B">
        <w:t>[302]</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spacing w:before="120" w:after="120"/>
        <w:jc w:val="both"/>
      </w:pPr>
    </w:p>
    <w:p w:rsidR="00B7214C" w:rsidRPr="00E64A4B" w:rsidRDefault="00B7214C" w:rsidP="00B7214C">
      <w:pPr>
        <w:spacing w:before="120" w:after="120"/>
        <w:jc w:val="both"/>
      </w:pPr>
    </w:p>
    <w:p w:rsidR="00B7214C" w:rsidRPr="00E64A4B" w:rsidRDefault="00B7214C" w:rsidP="00B7214C">
      <w:pPr>
        <w:pStyle w:val="a"/>
      </w:pPr>
      <w:r w:rsidRPr="00E64A4B">
        <w:t>RÉFÉRENCES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Boudon, R., « L'acteur social est-il si irrationnel (et si confo</w:t>
      </w:r>
      <w:r w:rsidRPr="00E64A4B">
        <w:t>r</w:t>
      </w:r>
      <w:r w:rsidRPr="00E64A4B">
        <w:t xml:space="preserve">miste) qu'on le dit ? », dans C. Audard </w:t>
      </w:r>
      <w:r w:rsidRPr="00E64A4B">
        <w:rPr>
          <w:i/>
          <w:iCs/>
        </w:rPr>
        <w:t>et al., Individu et justice sociale. A</w:t>
      </w:r>
      <w:r w:rsidRPr="00E64A4B">
        <w:rPr>
          <w:i/>
          <w:iCs/>
        </w:rPr>
        <w:t>u</w:t>
      </w:r>
      <w:r w:rsidRPr="00E64A4B">
        <w:rPr>
          <w:i/>
          <w:iCs/>
        </w:rPr>
        <w:t>tour de John Rawls,</w:t>
      </w:r>
      <w:r w:rsidRPr="00E64A4B">
        <w:t xml:space="preserve"> Paris, Seuil, 1988, p</w:t>
      </w:r>
      <w:r>
        <w:t>p</w:t>
      </w:r>
      <w:r w:rsidRPr="00E64A4B">
        <w:t>. 219-244.</w:t>
      </w:r>
    </w:p>
    <w:p w:rsidR="00B7214C" w:rsidRPr="00E64A4B" w:rsidRDefault="00B7214C" w:rsidP="00B7214C">
      <w:pPr>
        <w:spacing w:before="120" w:after="120"/>
        <w:jc w:val="both"/>
      </w:pPr>
      <w:r w:rsidRPr="00E64A4B">
        <w:rPr>
          <w:i/>
          <w:iCs/>
        </w:rPr>
        <w:t xml:space="preserve">Crozier, M. et E. Friedberg, </w:t>
      </w:r>
      <w:r w:rsidRPr="00E64A4B">
        <w:t>L'acteur et le système : les contraintes de l'action collective,</w:t>
      </w:r>
      <w:r w:rsidRPr="00E64A4B">
        <w:rPr>
          <w:i/>
          <w:iCs/>
        </w:rPr>
        <w:t xml:space="preserve"> Paris, Seuil, 1977.</w:t>
      </w:r>
    </w:p>
    <w:p w:rsidR="00B7214C" w:rsidRPr="00E64A4B" w:rsidRDefault="00B7214C" w:rsidP="00B7214C">
      <w:pPr>
        <w:spacing w:before="120" w:after="120"/>
        <w:jc w:val="both"/>
      </w:pPr>
      <w:r w:rsidRPr="00E64A4B">
        <w:t xml:space="preserve">Godbout, J. T. (en coll. avec A. Caillé), </w:t>
      </w:r>
      <w:hyperlink r:id="rId71" w:history="1">
        <w:r w:rsidRPr="00E64A4B">
          <w:rPr>
            <w:rStyle w:val="Lienhypertexte"/>
            <w:i/>
            <w:iCs/>
          </w:rPr>
          <w:t>L'esprit du don</w:t>
        </w:r>
      </w:hyperlink>
      <w:r w:rsidRPr="00E64A4B">
        <w:rPr>
          <w:i/>
          <w:iCs/>
        </w:rPr>
        <w:t>,</w:t>
      </w:r>
      <w:r w:rsidRPr="00E64A4B">
        <w:t xml:space="preserve"> Paris et Montréal, La Découverte et Boréal, 1992.</w:t>
      </w:r>
    </w:p>
    <w:p w:rsidR="00B7214C" w:rsidRPr="00E64A4B" w:rsidRDefault="00B7214C" w:rsidP="00B7214C">
      <w:pPr>
        <w:spacing w:before="120" w:after="120"/>
        <w:jc w:val="both"/>
      </w:pPr>
      <w:r w:rsidRPr="00E64A4B">
        <w:t>Mauss, M., « </w:t>
      </w:r>
      <w:hyperlink r:id="rId72" w:history="1">
        <w:r w:rsidRPr="00E64A4B">
          <w:rPr>
            <w:rStyle w:val="Lienhypertexte"/>
          </w:rPr>
          <w:t>Essai sur le don, forme et raison de l'échange dans les sociétés archaïques </w:t>
        </w:r>
      </w:hyperlink>
      <w:r w:rsidRPr="00E64A4B">
        <w:t xml:space="preserve">». </w:t>
      </w:r>
      <w:r w:rsidRPr="00E64A4B">
        <w:rPr>
          <w:i/>
          <w:iCs/>
        </w:rPr>
        <w:t>Sociologie et anthropologie,</w:t>
      </w:r>
      <w:r w:rsidRPr="00E64A4B">
        <w:t xml:space="preserve"> Paris, Presses un</w:t>
      </w:r>
      <w:r w:rsidRPr="00E64A4B">
        <w:t>i</w:t>
      </w:r>
      <w:r w:rsidRPr="00E64A4B">
        <w:t>versitaires de France, 1985c, 1950, p. 145-279.</w:t>
      </w:r>
    </w:p>
    <w:p w:rsidR="00B7214C" w:rsidRPr="00E64A4B" w:rsidRDefault="00B7214C" w:rsidP="00B7214C">
      <w:pPr>
        <w:spacing w:before="120" w:after="120"/>
        <w:jc w:val="both"/>
      </w:pPr>
      <w:r w:rsidRPr="00E64A4B">
        <w:t>Vidal, D., « Les gestes du don, À propos des “Trois Gr</w:t>
      </w:r>
      <w:r w:rsidRPr="00E64A4B">
        <w:t>â</w:t>
      </w:r>
      <w:r w:rsidRPr="00E64A4B">
        <w:t xml:space="preserve">ces” », dans Mauss, </w:t>
      </w:r>
      <w:r w:rsidRPr="00E64A4B">
        <w:rPr>
          <w:i/>
          <w:iCs/>
        </w:rPr>
        <w:t>Ce que donner veut dire,</w:t>
      </w:r>
      <w:r w:rsidRPr="00E64A4B">
        <w:t xml:space="preserve"> Paris, La Découve</w:t>
      </w:r>
      <w:r w:rsidRPr="00E64A4B">
        <w:t>r</w:t>
      </w:r>
      <w:r w:rsidRPr="00E64A4B">
        <w:t xml:space="preserve">te, 1993, </w:t>
      </w:r>
      <w:r>
        <w:t>p</w:t>
      </w:r>
      <w:r w:rsidRPr="00E64A4B">
        <w:t>p. 60-77.</w:t>
      </w:r>
    </w:p>
    <w:p w:rsidR="00B7214C" w:rsidRPr="00E64A4B" w:rsidRDefault="00B7214C" w:rsidP="00B7214C">
      <w:pPr>
        <w:pStyle w:val="p"/>
      </w:pPr>
      <w:r w:rsidRPr="00E64A4B">
        <w:br w:type="page"/>
        <w:t>[303]</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0" w:name="Entre_tradition_pt_2_texte_20"/>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B. </w:t>
      </w:r>
      <w:r w:rsidRPr="00DC0C7E">
        <w:rPr>
          <w:color w:val="FF0000"/>
          <w:sz w:val="24"/>
        </w:rPr>
        <w:t xml:space="preserve">LE DON (AUTOUR DE </w:t>
      </w:r>
      <w:r w:rsidRPr="00DC0C7E">
        <w:rPr>
          <w:i/>
          <w:color w:val="FF0000"/>
          <w:sz w:val="24"/>
        </w:rPr>
        <w:t>L’ESPRIT DU DON</w:t>
      </w:r>
      <w:r>
        <w:rPr>
          <w:color w:val="FF0000"/>
          <w:sz w:val="24"/>
        </w:rPr>
        <w:br/>
      </w:r>
      <w:r w:rsidRPr="00DC0C7E">
        <w:rPr>
          <w:color w:val="FF0000"/>
          <w:sz w:val="24"/>
        </w:rPr>
        <w:t>DE JACQUES T. GODBOUT)</w:t>
      </w:r>
    </w:p>
    <w:p w:rsidR="00B7214C" w:rsidRPr="00384B20" w:rsidRDefault="00B7214C" w:rsidP="00B7214C">
      <w:pPr>
        <w:pStyle w:val="Titreniveau1"/>
      </w:pPr>
      <w:r>
        <w:t>20</w:t>
      </w:r>
    </w:p>
    <w:p w:rsidR="00B7214C" w:rsidRDefault="00B7214C" w:rsidP="00B7214C">
      <w:pPr>
        <w:pStyle w:val="Titreniveau2"/>
      </w:pPr>
      <w:r>
        <w:t>“Le don perverti.”</w:t>
      </w:r>
    </w:p>
    <w:bookmarkEnd w:id="30"/>
    <w:p w:rsidR="00B7214C" w:rsidRPr="00E07116" w:rsidRDefault="00B7214C" w:rsidP="00B7214C">
      <w:pPr>
        <w:jc w:val="both"/>
        <w:rPr>
          <w:szCs w:val="36"/>
        </w:rPr>
      </w:pPr>
    </w:p>
    <w:p w:rsidR="00B7214C" w:rsidRPr="00E07116" w:rsidRDefault="00B7214C" w:rsidP="00B7214C">
      <w:pPr>
        <w:pStyle w:val="suite"/>
      </w:pPr>
      <w:r>
        <w:t>Par Aline CHARLES</w:t>
      </w:r>
    </w:p>
    <w:p w:rsidR="00B7214C" w:rsidRDefault="00B7214C" w:rsidP="00B7214C">
      <w:pPr>
        <w:pStyle w:val="auteurst"/>
      </w:pPr>
      <w:r w:rsidRPr="004A7EF1">
        <w:t>Étudiante au doctorat en histoire. Université du Québec à Mo</w:t>
      </w:r>
      <w:r w:rsidRPr="004A7EF1">
        <w:t>n</w:t>
      </w:r>
      <w:r w:rsidRPr="004A7EF1">
        <w:t>tréal</w:t>
      </w:r>
    </w:p>
    <w:p w:rsidR="00B7214C" w:rsidRPr="0041309E" w:rsidRDefault="00B7214C" w:rsidP="00B7214C">
      <w:pPr>
        <w:pStyle w:val="auteurst"/>
      </w:pPr>
      <w:r w:rsidRPr="0041309E">
        <w:t>Commentaire sur le texte de Jacques T. Godbout</w:t>
      </w:r>
    </w:p>
    <w:p w:rsidR="00B7214C" w:rsidRDefault="00B7214C" w:rsidP="00B7214C">
      <w:pPr>
        <w:spacing w:before="120" w:after="120"/>
        <w:jc w:val="both"/>
      </w:pPr>
    </w:p>
    <w:p w:rsidR="00B7214C" w:rsidRDefault="00B7214C" w:rsidP="00B7214C">
      <w:pPr>
        <w:spacing w:before="120" w:after="120"/>
        <w:jc w:val="both"/>
      </w:pPr>
    </w:p>
    <w:p w:rsidR="00B7214C" w:rsidRPr="00E64A4B" w:rsidRDefault="00B7214C" w:rsidP="00B7214C">
      <w:pPr>
        <w:spacing w:before="120" w:after="120"/>
        <w:ind w:firstLine="0"/>
        <w:jc w:val="both"/>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Pour J.T. Godbout et A. Caillé</w:t>
      </w:r>
      <w:r>
        <w:t> </w:t>
      </w:r>
      <w:r>
        <w:rPr>
          <w:rStyle w:val="Appelnotedebasdep"/>
        </w:rPr>
        <w:footnoteReference w:id="230"/>
      </w:r>
      <w:r w:rsidRPr="00E64A4B">
        <w:t>, le don est omniprésent et les formes qu'il revêt varient à l'infini. À la place d'honneur dans les o</w:t>
      </w:r>
      <w:r w:rsidRPr="00E64A4B">
        <w:t>r</w:t>
      </w:r>
      <w:r w:rsidRPr="00E64A4B">
        <w:t>ganismes bénévoles, dans la famille et dans la vie communautaire, il i</w:t>
      </w:r>
      <w:r w:rsidRPr="00E64A4B">
        <w:t>n</w:t>
      </w:r>
      <w:r w:rsidRPr="00E64A4B">
        <w:t>filtre aussi les entreprises, l'État, le marché. Imprégnant la trame des sociétés modernes tout comme celle des sociétés archaïques, il const</w:t>
      </w:r>
      <w:r w:rsidRPr="00E64A4B">
        <w:t>i</w:t>
      </w:r>
      <w:r w:rsidRPr="00E64A4B">
        <w:t>tue l'essence d'une myriade de gestes posés à l'égard de proches ou d'étrangers et effectués justement pour cela : pour le geste. Don de sang, de vie, de temps, d'argent, d'un art, d'une compétence, d'objets, et même, don de soi... ses visages sont multiples.</w:t>
      </w:r>
    </w:p>
    <w:p w:rsidR="00B7214C" w:rsidRPr="00E64A4B" w:rsidRDefault="00B7214C" w:rsidP="00B7214C">
      <w:pPr>
        <w:spacing w:before="120" w:after="120"/>
        <w:jc w:val="both"/>
      </w:pPr>
      <w:r w:rsidRPr="00E64A4B">
        <w:t>J.T. Godbout et A. Caillé sont d'autant plus à l'aise pour affi</w:t>
      </w:r>
      <w:r w:rsidRPr="00E64A4B">
        <w:t>r</w:t>
      </w:r>
      <w:r w:rsidRPr="00E64A4B">
        <w:t>mer l'omniprésence du don qu'ils évitent l'impasse où conduisent imma</w:t>
      </w:r>
      <w:r w:rsidRPr="00E64A4B">
        <w:t>n</w:t>
      </w:r>
      <w:r w:rsidRPr="00E64A4B">
        <w:t>quablement les théories modernes qui postulent, d'une part, qu'un vrai don devrait être totalement gratuit, mais d'autre part, que la gratuité absolue est aujourd'hui impossible. Les auteurs démontrent ainsi qu'un retour du don n'invalide pas pour autant le don initial. Lorsqu'un don est rendu, cela ne signifie pas nécessairement que le donateur est int</w:t>
      </w:r>
      <w:r w:rsidRPr="00E64A4B">
        <w:t>é</w:t>
      </w:r>
      <w:r w:rsidRPr="00E64A4B">
        <w:t>ressé, mais plutôt que le donataire veut poursuivre la relation établie. Le fait que ce retour ne soit ni garanti ni exigé suffit à préserver la qualité du geste.</w:t>
      </w:r>
    </w:p>
    <w:p w:rsidR="00B7214C" w:rsidRPr="00E64A4B" w:rsidRDefault="00B7214C" w:rsidP="00B7214C">
      <w:pPr>
        <w:spacing w:before="120" w:after="120"/>
        <w:jc w:val="both"/>
      </w:pPr>
      <w:r w:rsidRPr="00E64A4B">
        <w:t>Pour les deux auteurs, la prégnance du don est telle qu'elle permet de le considérer comme un système pourvu d'une cohérence et de r</w:t>
      </w:r>
      <w:r w:rsidRPr="00E64A4B">
        <w:t>è</w:t>
      </w:r>
      <w:r w:rsidRPr="00E64A4B">
        <w:t>gles spécifiques. Ce système est régi par une dynamique où s'entrem</w:t>
      </w:r>
      <w:r w:rsidRPr="00E64A4B">
        <w:t>ê</w:t>
      </w:r>
      <w:r w:rsidRPr="00E64A4B">
        <w:t>lent trois</w:t>
      </w:r>
      <w:r>
        <w:t xml:space="preserve"> </w:t>
      </w:r>
      <w:r w:rsidRPr="00E64A4B">
        <w:t>[304]</w:t>
      </w:r>
      <w:r>
        <w:t xml:space="preserve"> </w:t>
      </w:r>
      <w:r w:rsidRPr="00E64A4B">
        <w:t>actions : donner, recevoir, rendre. Et ici, l'important n'est pas ce qui est donné, reçu ou rendu, mais bien les rapports pe</w:t>
      </w:r>
      <w:r w:rsidRPr="00E64A4B">
        <w:t>r</w:t>
      </w:r>
      <w:r w:rsidRPr="00E64A4B">
        <w:t>sonnels qui en d</w:t>
      </w:r>
      <w:r w:rsidRPr="00E64A4B">
        <w:t>é</w:t>
      </w:r>
      <w:r w:rsidRPr="00E64A4B">
        <w:t>coulent. Ce sont donc les relations sociales forgées par le simple fait de donner qui font du don un système. Le don se nou</w:t>
      </w:r>
      <w:r w:rsidRPr="00E64A4B">
        <w:t>r</w:t>
      </w:r>
      <w:r w:rsidRPr="00E64A4B">
        <w:t>rit des liens qu'il engendre en une chaîne qui s'allonge tant que dure la volonté de mai</w:t>
      </w:r>
      <w:r w:rsidRPr="00E64A4B">
        <w:t>n</w:t>
      </w:r>
      <w:r w:rsidRPr="00E64A4B">
        <w:t>tenir ces liens. Les relations ainsi créées ne fonctionnent ni selon la logique de l'intérêt ni selon celle du pouvoir, puisque le don se situe au-delà de toute motivation util</w:t>
      </w:r>
      <w:r w:rsidRPr="00E64A4B">
        <w:t>i</w:t>
      </w:r>
      <w:r w:rsidRPr="00E64A4B">
        <w:t>tariste. La compassion et la générosité sont alors aussi importantes que l'intérêt ou l'égoïsme pour compre</w:t>
      </w:r>
      <w:r w:rsidRPr="00E64A4B">
        <w:t>n</w:t>
      </w:r>
      <w:r w:rsidRPr="00E64A4B">
        <w:t>dre les sociétés humaines.</w:t>
      </w:r>
    </w:p>
    <w:p w:rsidR="00B7214C" w:rsidRPr="00E64A4B" w:rsidRDefault="00B7214C" w:rsidP="00B7214C">
      <w:pPr>
        <w:spacing w:before="120" w:after="120"/>
        <w:jc w:val="both"/>
      </w:pPr>
      <w:r w:rsidRPr="00E64A4B">
        <w:t xml:space="preserve">Nul doute, la thèse présentée dans </w:t>
      </w:r>
      <w:hyperlink r:id="rId73" w:history="1">
        <w:r w:rsidRPr="00E64A4B">
          <w:rPr>
            <w:rStyle w:val="Lienhypertexte"/>
            <w:i/>
            <w:iCs/>
          </w:rPr>
          <w:t>L'esprit du don</w:t>
        </w:r>
      </w:hyperlink>
      <w:r w:rsidRPr="00E64A4B">
        <w:t xml:space="preserve"> est très séduisa</w:t>
      </w:r>
      <w:r w:rsidRPr="00E64A4B">
        <w:t>n</w:t>
      </w:r>
      <w:r w:rsidRPr="00E64A4B">
        <w:t>te.</w:t>
      </w:r>
    </w:p>
    <w:p w:rsidR="00B7214C" w:rsidRPr="00E64A4B" w:rsidRDefault="00B7214C" w:rsidP="00B7214C">
      <w:pPr>
        <w:spacing w:before="120" w:after="120"/>
        <w:jc w:val="both"/>
      </w:pPr>
      <w:r w:rsidRPr="00E64A4B">
        <w:t>Le système du don secrète cependant, disent J.T. Godbout et A. Caillé, des « effets pervers ». Or, ceux-ci sont quelque peu déconce</w:t>
      </w:r>
      <w:r w:rsidRPr="00E64A4B">
        <w:t>r</w:t>
      </w:r>
      <w:r w:rsidRPr="00E64A4B">
        <w:t>tants, et on ne peut s'empêcher de poser la question... sans doute pe</w:t>
      </w:r>
      <w:r w:rsidRPr="00E64A4B">
        <w:t>r</w:t>
      </w:r>
      <w:r w:rsidRPr="00E64A4B">
        <w:t>verse... de leur provenance. Dans un univers qui échappe au pouvoir, à l'intérêt (matériel ou non), à l'utilitarisme, comment peuvent naître de pareilles distorsions ?</w:t>
      </w:r>
    </w:p>
    <w:p w:rsidR="00B7214C" w:rsidRPr="00E64A4B" w:rsidRDefault="00B7214C" w:rsidP="00B7214C">
      <w:pPr>
        <w:spacing w:before="120" w:after="120"/>
        <w:jc w:val="both"/>
      </w:pPr>
      <w:r w:rsidRPr="00E64A4B">
        <w:t xml:space="preserve">Le propos de </w:t>
      </w:r>
      <w:hyperlink r:id="rId74" w:history="1">
        <w:r w:rsidRPr="00E64A4B">
          <w:rPr>
            <w:rStyle w:val="Lienhypertexte"/>
            <w:i/>
            <w:iCs/>
          </w:rPr>
          <w:t>L'esprit du don</w:t>
        </w:r>
      </w:hyperlink>
      <w:r w:rsidRPr="00E64A4B">
        <w:t xml:space="preserve"> vise surtout à présenter l'univers du don « dans son état normal » et à démonter ses mécanismes internes. En ce qui concerne les effets pervers, le livre évoque donc tout part</w:t>
      </w:r>
      <w:r w:rsidRPr="00E64A4B">
        <w:t>i</w:t>
      </w:r>
      <w:r w:rsidRPr="00E64A4B">
        <w:t>culièrement ceux qui émanent directement du don lui-même et qui sont générés par sa propre dynamique interne. C'est le cas du cadeau empoisonné ou de l'altruisme forcé. Ceux-ci renferment en effet l'obligation implicite pour le destinataire d'établir ou de poursuivre une relation qu'il ne désire pas nécessa</w:t>
      </w:r>
      <w:r w:rsidRPr="00E64A4B">
        <w:t>i</w:t>
      </w:r>
      <w:r w:rsidRPr="00E64A4B">
        <w:t>rement.</w:t>
      </w:r>
    </w:p>
    <w:p w:rsidR="00B7214C" w:rsidRPr="00E64A4B" w:rsidRDefault="00B7214C" w:rsidP="00B7214C">
      <w:pPr>
        <w:spacing w:before="120" w:after="120"/>
        <w:jc w:val="both"/>
      </w:pPr>
      <w:r w:rsidRPr="00E64A4B">
        <w:t>Les auteurs exposent par ailleurs les rapports qui existent entre le don et l'État ou encore, entre le don et le marché. Selon eux, l'État d</w:t>
      </w:r>
      <w:r w:rsidRPr="00E64A4B">
        <w:t>é</w:t>
      </w:r>
      <w:r w:rsidRPr="00E64A4B">
        <w:t>nature tout geste gratuit (ou don) pour en faire un acte simplement non payé, dépouillé de sa dimension altruiste et e</w:t>
      </w:r>
      <w:r w:rsidRPr="00E64A4B">
        <w:t>n</w:t>
      </w:r>
      <w:r w:rsidRPr="00E64A4B">
        <w:t>châssé de force dans un ensemble de règles technocratiques. La logique marchande défigure aussi le don en le ramenant à des v</w:t>
      </w:r>
      <w:r w:rsidRPr="00E64A4B">
        <w:t>i</w:t>
      </w:r>
      <w:r w:rsidRPr="00E64A4B">
        <w:t>sées instrumentales : « Pour faire beaucoup d'argent, il faut co</w:t>
      </w:r>
      <w:r w:rsidRPr="00E64A4B">
        <w:t>m</w:t>
      </w:r>
      <w:r w:rsidRPr="00E64A4B">
        <w:t>mencer par faire des cadeaux, qu'on fait ensuite payer très cher</w:t>
      </w:r>
      <w:r>
        <w:t> </w:t>
      </w:r>
      <w:r>
        <w:rPr>
          <w:rStyle w:val="Appelnotedebasdep"/>
        </w:rPr>
        <w:footnoteReference w:id="231"/>
      </w:r>
      <w:r w:rsidRPr="00E64A4B">
        <w:t> ».</w:t>
      </w:r>
    </w:p>
    <w:p w:rsidR="00B7214C" w:rsidRPr="00E64A4B" w:rsidRDefault="00B7214C" w:rsidP="00B7214C">
      <w:pPr>
        <w:spacing w:before="120" w:after="120"/>
        <w:jc w:val="both"/>
      </w:pPr>
      <w:r w:rsidRPr="00E64A4B">
        <w:t>Bien que J.T. Godbout et A. Caillé ne l'abordent pas sous cet a</w:t>
      </w:r>
      <w:r w:rsidRPr="00E64A4B">
        <w:t>n</w:t>
      </w:r>
      <w:r w:rsidRPr="00E64A4B">
        <w:t>gle, on pourrait considérer que ce qui transparaît ici constitue en fait un deuxième type d'effets pervers : examiner le don d'un point de vue extérieur fait apparaître des distorsions suppléme</w:t>
      </w:r>
      <w:r w:rsidRPr="00E64A4B">
        <w:t>n</w:t>
      </w:r>
      <w:r w:rsidRPr="00E64A4B">
        <w:t>taires, différentes de celles causées par les « ratés » de sa propre logique. Parler d'omnipr</w:t>
      </w:r>
      <w:r w:rsidRPr="00E64A4B">
        <w:t>é</w:t>
      </w:r>
      <w:r w:rsidRPr="00E64A4B">
        <w:t>sence à son sujet soulève d'ailleurs i</w:t>
      </w:r>
      <w:r w:rsidRPr="00E64A4B">
        <w:t>m</w:t>
      </w:r>
      <w:r w:rsidRPr="00E64A4B">
        <w:t>plicitement cette question : étant partout présent, le don se trouve nécessairement confronté à de mult</w:t>
      </w:r>
      <w:r w:rsidRPr="00E64A4B">
        <w:t>i</w:t>
      </w:r>
      <w:r w:rsidRPr="00E64A4B">
        <w:t>ples dynamiques qui lui sont étrangères. On peut alors avancer l'hyp</w:t>
      </w:r>
      <w:r w:rsidRPr="00E64A4B">
        <w:t>o</w:t>
      </w:r>
      <w:r w:rsidRPr="00E64A4B">
        <w:t>thèse que les interactions</w:t>
      </w:r>
      <w:r>
        <w:t xml:space="preserve"> </w:t>
      </w:r>
      <w:r w:rsidRPr="00E64A4B">
        <w:t>[305]</w:t>
      </w:r>
      <w:r>
        <w:t xml:space="preserve"> </w:t>
      </w:r>
      <w:r w:rsidRPr="00E64A4B">
        <w:t>inévitables avec d'autres systèmes ou d'autres univers altèrent le don, et peut-être plus profondément encore qu'un cadeau imp</w:t>
      </w:r>
      <w:r w:rsidRPr="00E64A4B">
        <w:t>o</w:t>
      </w:r>
      <w:r w:rsidRPr="00E64A4B">
        <w:t>sé. Pour pouvoir véritablement le concevoir comme un système, il devient, dans ce cas, tout aussi important de saisir la manière dont il s'articule avec des univers différents que de démontrer sa coh</w:t>
      </w:r>
      <w:r w:rsidRPr="00E64A4B">
        <w:t>é</w:t>
      </w:r>
      <w:r w:rsidRPr="00E64A4B">
        <w:t>rence interne.</w:t>
      </w:r>
    </w:p>
    <w:p w:rsidR="00B7214C" w:rsidRPr="00E64A4B" w:rsidRDefault="00B7214C" w:rsidP="00B7214C">
      <w:pPr>
        <w:spacing w:before="120" w:after="120"/>
        <w:jc w:val="both"/>
      </w:pPr>
      <w:r w:rsidRPr="00E64A4B">
        <w:t>En ce sens, la réflexion sur les relations du don avec d'autres un</w:t>
      </w:r>
      <w:r w:rsidRPr="00E64A4B">
        <w:t>i</w:t>
      </w:r>
      <w:r w:rsidRPr="00E64A4B">
        <w:t>vers ou d'autres systèmes mériterait d'être approfondie. On peut pe</w:t>
      </w:r>
      <w:r w:rsidRPr="00E64A4B">
        <w:t>n</w:t>
      </w:r>
      <w:r w:rsidRPr="00E64A4B">
        <w:t>ser que le don n'interagit pas uniquement avec le marché ou avec l'État. Après tout, de nombreuses formes de pouvoir sont, elles aussi, omniprésentes dans la société. C'est donc dans cette perspective que je propose de poursuivre l'exploration des intera</w:t>
      </w:r>
      <w:r w:rsidRPr="00E64A4B">
        <w:t>c</w:t>
      </w:r>
      <w:r w:rsidRPr="00E64A4B">
        <w:t>tions du don et ce, à partir de deux exemples : le bénévolat (qui renvoie à la logique du travail) et la place des femmes dans l'un</w:t>
      </w:r>
      <w:r w:rsidRPr="00E64A4B">
        <w:t>i</w:t>
      </w:r>
      <w:r w:rsidRPr="00E64A4B">
        <w:t>vers du don (qui renvoie à la logique des rapports sociaux de sexe). Sans doute dois-je préciser que, à titre d'historienne, je ne saurai résister à la tentation de puiser dans l'histoire, celle du Québec en particulier, les matériaux de ces exe</w:t>
      </w:r>
      <w:r w:rsidRPr="00E64A4B">
        <w:t>m</w:t>
      </w:r>
      <w:r w:rsidRPr="00E64A4B">
        <w:t>ples.</w:t>
      </w:r>
    </w:p>
    <w:p w:rsidR="00B7214C" w:rsidRPr="00E64A4B" w:rsidRDefault="00B7214C" w:rsidP="00B7214C">
      <w:pPr>
        <w:spacing w:before="120" w:after="120"/>
        <w:jc w:val="both"/>
      </w:pPr>
    </w:p>
    <w:p w:rsidR="00B7214C" w:rsidRPr="00E64A4B" w:rsidRDefault="00B7214C" w:rsidP="00B7214C">
      <w:pPr>
        <w:pStyle w:val="a"/>
      </w:pPr>
      <w:r>
        <w:t>LE BÉNÉVOLAT :</w:t>
      </w:r>
      <w:r>
        <w:br/>
      </w:r>
      <w:r w:rsidRPr="00E64A4B">
        <w:t>ENTRE LE DON ET LE TRAVAIL GR</w:t>
      </w:r>
      <w:r w:rsidRPr="00E64A4B">
        <w:t>A</w:t>
      </w:r>
      <w:r w:rsidRPr="00E64A4B">
        <w:t>TUIT</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Situer le bénévolat dans l'univers du don ne paraît pas poser de di</w:t>
      </w:r>
      <w:r w:rsidRPr="00E64A4B">
        <w:t>f</w:t>
      </w:r>
      <w:r w:rsidRPr="00E64A4B">
        <w:t>ficulté majeure et il est facile de suivre J.T. Godbout et A. Cai</w:t>
      </w:r>
      <w:r w:rsidRPr="00E64A4B">
        <w:t>l</w:t>
      </w:r>
      <w:r w:rsidRPr="00E64A4B">
        <w:t>lé dans cette voie. Tout comme le don, le bénévolat engendre e</w:t>
      </w:r>
      <w:r w:rsidRPr="00E64A4B">
        <w:t>f</w:t>
      </w:r>
      <w:r w:rsidRPr="00E64A4B">
        <w:t>fectivement des relations sociales qui vont bien au-delà des ch</w:t>
      </w:r>
      <w:r w:rsidRPr="00E64A4B">
        <w:t>o</w:t>
      </w:r>
      <w:r w:rsidRPr="00E64A4B">
        <w:t>ses ou des services échangés. Les calculs les plus sophistiqués d'équivalence monétaire, du nombre de bénévoles, des heures effectuées, des secteurs co</w:t>
      </w:r>
      <w:r w:rsidRPr="00E64A4B">
        <w:t>u</w:t>
      </w:r>
      <w:r w:rsidRPr="00E64A4B">
        <w:t>verts... ne peuvent rendre compte entièrement de la nature et de l'i</w:t>
      </w:r>
      <w:r w:rsidRPr="00E64A4B">
        <w:t>m</w:t>
      </w:r>
      <w:r w:rsidRPr="00E64A4B">
        <w:t>portance, passée ou présente, de l'acte bénévole. Plusieurs auteurs pr</w:t>
      </w:r>
      <w:r w:rsidRPr="00E64A4B">
        <w:t>é</w:t>
      </w:r>
      <w:r w:rsidRPr="00E64A4B">
        <w:t>fèrent d'ailleurs définir le bénévolat, et plus largement la philanthr</w:t>
      </w:r>
      <w:r w:rsidRPr="00E64A4B">
        <w:t>o</w:t>
      </w:r>
      <w:r w:rsidRPr="00E64A4B">
        <w:t>pie, comme une relation sociale qui s'établit entre donateurs et don</w:t>
      </w:r>
      <w:r w:rsidRPr="00E64A4B">
        <w:t>a</w:t>
      </w:r>
      <w:r w:rsidRPr="00E64A4B">
        <w:t>taires. Une telle défin</w:t>
      </w:r>
      <w:r w:rsidRPr="00E64A4B">
        <w:t>i</w:t>
      </w:r>
      <w:r w:rsidRPr="00E64A4B">
        <w:t>tion apparaît moins limitative que celle qui les considère simpl</w:t>
      </w:r>
      <w:r w:rsidRPr="00E64A4B">
        <w:t>e</w:t>
      </w:r>
      <w:r w:rsidRPr="00E64A4B">
        <w:t>ment comme un « troisième secteur » de l'activité humaine, aux côtés de l'État et du marché, et qui se cantonne souvent dans une perspective trop organisationnelle</w:t>
      </w:r>
      <w:r>
        <w:t> </w:t>
      </w:r>
      <w:r>
        <w:rPr>
          <w:rStyle w:val="Appelnotedebasdep"/>
        </w:rPr>
        <w:footnoteReference w:id="232"/>
      </w:r>
      <w:r>
        <w:t>.</w:t>
      </w:r>
    </w:p>
    <w:p w:rsidR="00B7214C" w:rsidRPr="00E64A4B" w:rsidRDefault="00B7214C" w:rsidP="00B7214C">
      <w:pPr>
        <w:spacing w:before="120" w:after="120"/>
        <w:jc w:val="both"/>
      </w:pPr>
      <w:r w:rsidRPr="00E64A4B">
        <w:t>Autre dimension commune aux deux univers : la gratuité. Telle que définie dans</w:t>
      </w:r>
      <w:r w:rsidRPr="00E64A4B">
        <w:rPr>
          <w:i/>
          <w:iCs/>
        </w:rPr>
        <w:t xml:space="preserve"> </w:t>
      </w:r>
      <w:hyperlink r:id="rId75" w:history="1">
        <w:r w:rsidRPr="00E64A4B">
          <w:rPr>
            <w:rStyle w:val="Lienhypertexte"/>
            <w:i/>
            <w:iCs/>
          </w:rPr>
          <w:t>L'esprit du don</w:t>
        </w:r>
      </w:hyperlink>
      <w:r w:rsidRPr="00E64A4B">
        <w:rPr>
          <w:i/>
          <w:iCs/>
        </w:rPr>
        <w:t>,</w:t>
      </w:r>
      <w:r w:rsidRPr="00E64A4B">
        <w:t xml:space="preserve"> cette caractéristique semble au</w:t>
      </w:r>
      <w:r w:rsidRPr="00E64A4B">
        <w:t>s</w:t>
      </w:r>
      <w:r w:rsidRPr="00E64A4B">
        <w:t>si constituer l'un des attributs du bénévolat. Ce dernier se pratique tout d'abord librement et en dehors des rapports marchands. Le don prat</w:t>
      </w:r>
      <w:r w:rsidRPr="00E64A4B">
        <w:t>i</w:t>
      </w:r>
      <w:r w:rsidRPr="00E64A4B">
        <w:t>qué dans le cadre bénévole peut être retourné, mais ce retour est tout à fait aléatoire. Et si retour il y a, ce qui est rendu ne répond pas au principe de l'équivalence marchande</w:t>
      </w:r>
      <w:r>
        <w:t> </w:t>
      </w:r>
      <w:r>
        <w:rPr>
          <w:rStyle w:val="Appelnotedebasdep"/>
        </w:rPr>
        <w:footnoteReference w:id="233"/>
      </w:r>
      <w:r w:rsidRPr="00E64A4B">
        <w:t> : ce que les bénévoles retirent de leur implication n'a pas de valeur mon</w:t>
      </w:r>
      <w:r w:rsidRPr="00E64A4B">
        <w:t>é</w:t>
      </w:r>
      <w:r w:rsidRPr="00E64A4B">
        <w:t>taire mais plutôt une « valeur de lien », de rapport personnel. L'importance que les bénév</w:t>
      </w:r>
      <w:r w:rsidRPr="00E64A4B">
        <w:t>o</w:t>
      </w:r>
      <w:r w:rsidRPr="00E64A4B">
        <w:t>les attachent aux relations et aux réseaux établis grâce à leur engag</w:t>
      </w:r>
      <w:r w:rsidRPr="00E64A4B">
        <w:t>e</w:t>
      </w:r>
      <w:r w:rsidRPr="00E64A4B">
        <w:t>ment est d'ailleurs bien connue</w:t>
      </w:r>
      <w:r>
        <w:t> </w:t>
      </w:r>
      <w:r>
        <w:rPr>
          <w:rStyle w:val="Appelnotedebasdep"/>
        </w:rPr>
        <w:footnoteReference w:id="234"/>
      </w:r>
      <w:r w:rsidRPr="00E64A4B">
        <w:t>.</w:t>
      </w:r>
    </w:p>
    <w:p w:rsidR="00B7214C" w:rsidRPr="00E64A4B" w:rsidRDefault="00B7214C" w:rsidP="00B7214C">
      <w:pPr>
        <w:spacing w:before="120" w:after="120"/>
        <w:jc w:val="both"/>
      </w:pPr>
      <w:r w:rsidRPr="00E64A4B">
        <w:t>[306]</w:t>
      </w:r>
    </w:p>
    <w:p w:rsidR="00B7214C" w:rsidRPr="00E64A4B" w:rsidRDefault="00B7214C" w:rsidP="00B7214C">
      <w:pPr>
        <w:spacing w:before="120" w:after="120"/>
        <w:jc w:val="both"/>
      </w:pPr>
      <w:r w:rsidRPr="00E64A4B">
        <w:t>Cette gratuité qui caractérise l'activité des bénévoles résiste d'ai</w:t>
      </w:r>
      <w:r w:rsidRPr="00E64A4B">
        <w:t>l</w:t>
      </w:r>
      <w:r w:rsidRPr="00E64A4B">
        <w:t>leurs à une analyse purement utilitariste de leurs motivations. La thé</w:t>
      </w:r>
      <w:r w:rsidRPr="00E64A4B">
        <w:t>o</w:t>
      </w:r>
      <w:r w:rsidRPr="00E64A4B">
        <w:t>rie du contrôle social, par exemple, est très utilisée en hi</w:t>
      </w:r>
      <w:r w:rsidRPr="00E64A4B">
        <w:t>s</w:t>
      </w:r>
      <w:r w:rsidRPr="00E64A4B">
        <w:t>toire pour analyser le bénévolat des XIX</w:t>
      </w:r>
      <w:r w:rsidRPr="00E64A4B">
        <w:rPr>
          <w:vertAlign w:val="superscript"/>
        </w:rPr>
        <w:t>e</w:t>
      </w:r>
      <w:r w:rsidRPr="00E64A4B">
        <w:t xml:space="preserve"> et XX</w:t>
      </w:r>
      <w:r w:rsidRPr="00E64A4B">
        <w:rPr>
          <w:vertAlign w:val="superscript"/>
        </w:rPr>
        <w:t>e</w:t>
      </w:r>
      <w:r w:rsidRPr="00E64A4B">
        <w:t xml:space="preserve"> siècles en particulier. Elle po</w:t>
      </w:r>
      <w:r w:rsidRPr="00E64A4B">
        <w:t>s</w:t>
      </w:r>
      <w:r w:rsidRPr="00E64A4B">
        <w:t>tule que l'action philanthropique ne serait qu'un moyen de juguler les « classes dangereuses ». Mais dit-elle vra</w:t>
      </w:r>
      <w:r w:rsidRPr="00E64A4B">
        <w:t>i</w:t>
      </w:r>
      <w:r w:rsidRPr="00E64A4B">
        <w:t>ment tout sur les mobiles des bénévoles, malgré son indéniable intérêt ? Cette théorie présupp</w:t>
      </w:r>
      <w:r w:rsidRPr="00E64A4B">
        <w:t>o</w:t>
      </w:r>
      <w:r w:rsidRPr="00E64A4B">
        <w:t>se en outre que la pratique bénév</w:t>
      </w:r>
      <w:r w:rsidRPr="00E64A4B">
        <w:t>o</w:t>
      </w:r>
      <w:r w:rsidRPr="00E64A4B">
        <w:t>le constitue l'apanage des classes aisées. Or, certains indices su</w:t>
      </w:r>
      <w:r w:rsidRPr="00E64A4B">
        <w:t>g</w:t>
      </w:r>
      <w:r w:rsidRPr="00E64A4B">
        <w:t>gèrent le contraire :</w:t>
      </w:r>
    </w:p>
    <w:p w:rsidR="00B7214C" w:rsidRDefault="00B7214C" w:rsidP="00B7214C">
      <w:pPr>
        <w:pStyle w:val="Grillecouleur-Accent1"/>
      </w:pPr>
    </w:p>
    <w:p w:rsidR="00B7214C" w:rsidRDefault="00B7214C" w:rsidP="00B7214C">
      <w:pPr>
        <w:pStyle w:val="Grillecouleur-Accent1"/>
      </w:pPr>
      <w:r w:rsidRPr="00E64A4B">
        <w:t>Primordiales ont été les pratiques de solidarité de la classe ouvri</w:t>
      </w:r>
      <w:r w:rsidRPr="00E64A4B">
        <w:t>è</w:t>
      </w:r>
      <w:r w:rsidRPr="00E64A4B">
        <w:t>re. Georges Sand, Victor Hugo, Émile Zola... en ont apporté des t</w:t>
      </w:r>
      <w:r w:rsidRPr="00E64A4B">
        <w:t>é</w:t>
      </w:r>
      <w:r w:rsidRPr="00E64A4B">
        <w:t>moignages dans leurs romans. Il s'agit bien d'un second m</w:t>
      </w:r>
      <w:r w:rsidRPr="00E64A4B">
        <w:t>o</w:t>
      </w:r>
      <w:r w:rsidRPr="00E64A4B">
        <w:t>dèle de bénévolat [...] C'est un bénévolat moins ostentatoire, plus « englué » dans les pratiques quot</w:t>
      </w:r>
      <w:r w:rsidRPr="00E64A4B">
        <w:t>i</w:t>
      </w:r>
      <w:r w:rsidRPr="00E64A4B">
        <w:t>diennes d'échanges et de dons nécessaires à la survie. Dans la mesure où certains sont solidaires et d'autres ne le sont pas, il s'agit bien de bonne v</w:t>
      </w:r>
      <w:r w:rsidRPr="00E64A4B">
        <w:t>o</w:t>
      </w:r>
      <w:r w:rsidRPr="00E64A4B">
        <w:t>lonté</w:t>
      </w:r>
      <w:r>
        <w:t> </w:t>
      </w:r>
      <w:r>
        <w:rPr>
          <w:rStyle w:val="Appelnotedebasdep"/>
        </w:rPr>
        <w:footnoteReference w:id="235"/>
      </w:r>
      <w:r w:rsidRPr="00E64A4B">
        <w:t>.</w:t>
      </w:r>
    </w:p>
    <w:p w:rsidR="00B7214C" w:rsidRPr="00E64A4B" w:rsidRDefault="00B7214C" w:rsidP="00B7214C">
      <w:pPr>
        <w:pStyle w:val="Grillecouleur-Accent1"/>
      </w:pPr>
    </w:p>
    <w:p w:rsidR="00B7214C" w:rsidRPr="00E64A4B" w:rsidRDefault="00B7214C" w:rsidP="00B7214C">
      <w:pPr>
        <w:spacing w:before="120" w:after="120"/>
        <w:jc w:val="both"/>
      </w:pPr>
      <w:r w:rsidRPr="00E64A4B">
        <w:t>On peut, dans ce cas, se demander quels seraient les mobiles qui poussent les milieux populaires à pratiquer eux aussi le bén</w:t>
      </w:r>
      <w:r w:rsidRPr="00E64A4B">
        <w:t>é</w:t>
      </w:r>
      <w:r w:rsidRPr="00E64A4B">
        <w:t>volat... puisqu'il ne saurait être question de leur attribuer les mêmes motiv</w:t>
      </w:r>
      <w:r w:rsidRPr="00E64A4B">
        <w:t>a</w:t>
      </w:r>
      <w:r w:rsidRPr="00E64A4B">
        <w:t>tions de « contrôle social ».</w:t>
      </w:r>
    </w:p>
    <w:p w:rsidR="00B7214C" w:rsidRPr="00E64A4B" w:rsidRDefault="00B7214C" w:rsidP="00B7214C">
      <w:pPr>
        <w:spacing w:before="120" w:after="120"/>
        <w:jc w:val="both"/>
      </w:pPr>
      <w:r w:rsidRPr="00E64A4B">
        <w:t>Dans la même optique, une perspective utilitariste ne réussit pas davantage à nier complètement la gratuité du bénévolat lor</w:t>
      </w:r>
      <w:r w:rsidRPr="00E64A4B">
        <w:t>s</w:t>
      </w:r>
      <w:r w:rsidRPr="00E64A4B">
        <w:t>qu'elle signale le « salaire symbolique » qu'il recèle (valorisation de soi, a</w:t>
      </w:r>
      <w:r w:rsidRPr="00E64A4B">
        <w:t>c</w:t>
      </w:r>
      <w:r w:rsidRPr="00E64A4B">
        <w:t>quisition d'une formation, tremplin pour le marché du travail, constit</w:t>
      </w:r>
      <w:r w:rsidRPr="00E64A4B">
        <w:t>u</w:t>
      </w:r>
      <w:r w:rsidRPr="00E64A4B">
        <w:t>tion de réseaux professionnellement utiles, accès à certains postes de pouvoir ou de prestige social...). C'est oublier que le travail rétribué comporte lui aussi ce type de gratification officieuse, en sus de la r</w:t>
      </w:r>
      <w:r w:rsidRPr="00E64A4B">
        <w:t>é</w:t>
      </w:r>
      <w:r w:rsidRPr="00E64A4B">
        <w:t>munération. Il serait, de plus, douteux que ce salaire symbolique suff</w:t>
      </w:r>
      <w:r w:rsidRPr="00E64A4B">
        <w:t>i</w:t>
      </w:r>
      <w:r w:rsidRPr="00E64A4B">
        <w:t>se à justifier la somme considérable d'énergie investie dans les activ</w:t>
      </w:r>
      <w:r w:rsidRPr="00E64A4B">
        <w:t>i</w:t>
      </w:r>
      <w:r w:rsidRPr="00E64A4B">
        <w:t>tés bénévoles.</w:t>
      </w:r>
    </w:p>
    <w:p w:rsidR="00B7214C" w:rsidRPr="00E64A4B" w:rsidRDefault="00B7214C" w:rsidP="00B7214C">
      <w:pPr>
        <w:spacing w:before="120" w:after="120"/>
        <w:jc w:val="both"/>
      </w:pPr>
      <w:r w:rsidRPr="00E64A4B">
        <w:t>Passer le bénévolat au crible des théories du contrôle social ou du salaire symbolique laisse donc un résidu inexpliqué. Comme le soul</w:t>
      </w:r>
      <w:r w:rsidRPr="00E64A4B">
        <w:t>i</w:t>
      </w:r>
      <w:r w:rsidRPr="00E64A4B">
        <w:t>gnent J.T. Godbout et A. Caillé, la perspective du don offre alors des éléments supplémentaires d'interprétation. Elle éclaire sous un jour inédit le leitmotiv des bénévoles qui disent rendre ce que la vie leur a donné, tout en affirmant recevoir davantage qu'elles ou qu'ils ne do</w:t>
      </w:r>
      <w:r w:rsidRPr="00E64A4B">
        <w:t>n</w:t>
      </w:r>
      <w:r w:rsidRPr="00E64A4B">
        <w:t>nent, ceci sans que leur don n'en soit dévalué. C'est la « boucle étra</w:t>
      </w:r>
      <w:r w:rsidRPr="00E64A4B">
        <w:t>n</w:t>
      </w:r>
      <w:r w:rsidRPr="00E64A4B">
        <w:t>ge » du don, un don qui est rendu sous une forme souvent inattendue, alors qu'on ne l'espère pas.</w:t>
      </w:r>
    </w:p>
    <w:p w:rsidR="00B7214C" w:rsidRPr="00E64A4B" w:rsidRDefault="00B7214C" w:rsidP="00B7214C">
      <w:pPr>
        <w:spacing w:before="120" w:after="120"/>
        <w:jc w:val="both"/>
      </w:pPr>
      <w:r w:rsidRPr="00E64A4B">
        <w:t>L'appartenance du bénévolat au système du don étant posée, cette allégeance n'est pas nécessairement exclusive. Le bénévolat ne relèv</w:t>
      </w:r>
      <w:r w:rsidRPr="00E64A4B">
        <w:t>e</w:t>
      </w:r>
      <w:r w:rsidRPr="00E64A4B">
        <w:t>rait-il pas tout autant du monde du travail, et plus précisément, du tr</w:t>
      </w:r>
      <w:r w:rsidRPr="00E64A4B">
        <w:t>a</w:t>
      </w:r>
      <w:r w:rsidRPr="00E64A4B">
        <w:t>vail gratuit ? J.T. Godbout et A. Caillé refusent d'appliqu</w:t>
      </w:r>
      <w:r>
        <w:t>er la notion de travail au béné</w:t>
      </w:r>
      <w:r w:rsidRPr="00E64A4B">
        <w:t>volât</w:t>
      </w:r>
      <w:r>
        <w:t xml:space="preserve"> </w:t>
      </w:r>
      <w:r w:rsidRPr="00E64A4B">
        <w:t>[307] en disant qu'elle renvoie à la logique du marché où tout tr</w:t>
      </w:r>
      <w:r w:rsidRPr="00E64A4B">
        <w:t>a</w:t>
      </w:r>
      <w:r w:rsidRPr="00E64A4B">
        <w:t>vail doit être rémunéré - sous peine de tourner à l'exploitation - alors que le don et le bénévolat doivent justement être appréhendés en d</w:t>
      </w:r>
      <w:r w:rsidRPr="00E64A4B">
        <w:t>e</w:t>
      </w:r>
      <w:r w:rsidRPr="00E64A4B">
        <w:t>hors de ce cadre de référence.</w:t>
      </w:r>
    </w:p>
    <w:p w:rsidR="00B7214C" w:rsidRPr="00E64A4B" w:rsidRDefault="00B7214C" w:rsidP="00B7214C">
      <w:pPr>
        <w:spacing w:before="120" w:after="120"/>
        <w:jc w:val="both"/>
      </w:pPr>
      <w:r w:rsidRPr="00E64A4B">
        <w:t>Le travail possède pourtant une dynamique spécifique qui lui pe</w:t>
      </w:r>
      <w:r w:rsidRPr="00E64A4B">
        <w:t>r</w:t>
      </w:r>
      <w:r w:rsidRPr="00E64A4B">
        <w:t>met d'englober non seulement le travail salarié, mais aussi des formes gratuites de travail</w:t>
      </w:r>
      <w:r>
        <w:t> </w:t>
      </w:r>
      <w:r>
        <w:rPr>
          <w:rStyle w:val="Appelnotedebasdep"/>
        </w:rPr>
        <w:footnoteReference w:id="236"/>
      </w:r>
      <w:r w:rsidRPr="00E64A4B">
        <w:t>. Comme toute activité rémunérée, le bénévolat ne se résume pas à un ensemble de tâches éclatées sans cadre précis. Dans les deux cas, des compétences formelles et informelles, une o</w:t>
      </w:r>
      <w:r w:rsidRPr="00E64A4B">
        <w:t>r</w:t>
      </w:r>
      <w:r w:rsidRPr="00E64A4B">
        <w:t>ganisation du temps, une répartition des tâches et un engagement m</w:t>
      </w:r>
      <w:r w:rsidRPr="00E64A4B">
        <w:t>i</w:t>
      </w:r>
      <w:r w:rsidRPr="00E64A4B">
        <w:t>nimal sont nécessaires. De plus, nombre de se</w:t>
      </w:r>
      <w:r w:rsidRPr="00E64A4B">
        <w:t>r</w:t>
      </w:r>
      <w:r w:rsidRPr="00E64A4B">
        <w:t>vices bénévoles ont leur équivalent rémunéré et inversement. E</w:t>
      </w:r>
      <w:r w:rsidRPr="00E64A4B">
        <w:t>n</w:t>
      </w:r>
      <w:r w:rsidRPr="00E64A4B">
        <w:t>fin, les transferts entre le bénévolat et le travail rémunéré, ou vice-versa, sont fréquents au cours de l'histoire. L'évolution des services sociaux est à cet égard exempla</w:t>
      </w:r>
      <w:r w:rsidRPr="00E64A4B">
        <w:t>i</w:t>
      </w:r>
      <w:r w:rsidRPr="00E64A4B">
        <w:t>re : beaucoup ont d'abord été offerts sur une base bénévole avant de franchir la frontière de la rémunération. Le cas du service social est typique, mais loin d'être unique. Le bénévolat a, par exemple, lon</w:t>
      </w:r>
      <w:r w:rsidRPr="00E64A4B">
        <w:t>g</w:t>
      </w:r>
      <w:r w:rsidRPr="00E64A4B">
        <w:t>temps constitué une d</w:t>
      </w:r>
      <w:r w:rsidRPr="00E64A4B">
        <w:t>i</w:t>
      </w:r>
      <w:r w:rsidRPr="00E64A4B">
        <w:t>mension capitale du travail des médecins dans les hôpitaux qu</w:t>
      </w:r>
      <w:r w:rsidRPr="00E64A4B">
        <w:t>é</w:t>
      </w:r>
      <w:r w:rsidRPr="00E64A4B">
        <w:t>bécois jusque dans un XX</w:t>
      </w:r>
      <w:r w:rsidRPr="00E64A4B">
        <w:rPr>
          <w:vertAlign w:val="superscript"/>
        </w:rPr>
        <w:t>e</w:t>
      </w:r>
      <w:r w:rsidRPr="00E64A4B">
        <w:t xml:space="preserve"> siècle bien entamé</w:t>
      </w:r>
      <w:r>
        <w:t> </w:t>
      </w:r>
      <w:r>
        <w:rPr>
          <w:rStyle w:val="Appelnotedebasdep"/>
        </w:rPr>
        <w:footnoteReference w:id="237"/>
      </w:r>
      <w:r w:rsidRPr="00E64A4B">
        <w:t>. À un autre niveau, le bénévolat des retraités, qui se développe gradue</w:t>
      </w:r>
      <w:r w:rsidRPr="00E64A4B">
        <w:t>l</w:t>
      </w:r>
      <w:r w:rsidRPr="00E64A4B">
        <w:t>lement aujou</w:t>
      </w:r>
      <w:r w:rsidRPr="00E64A4B">
        <w:t>r</w:t>
      </w:r>
      <w:r w:rsidRPr="00E64A4B">
        <w:t>d'hui</w:t>
      </w:r>
      <w:r>
        <w:t> </w:t>
      </w:r>
      <w:r>
        <w:rPr>
          <w:rStyle w:val="Appelnotedebasdep"/>
        </w:rPr>
        <w:footnoteReference w:id="238"/>
      </w:r>
      <w:r w:rsidRPr="00E64A4B">
        <w:t>, révèle pour sa part un transfert qui circule en sens inverse. Tous ces éléments démontrent les liens étroits qui uni</w:t>
      </w:r>
      <w:r w:rsidRPr="00E64A4B">
        <w:t>s</w:t>
      </w:r>
      <w:r w:rsidRPr="00E64A4B">
        <w:t>sent, au sein d'une même dynamique, travail gratuit et travail rémun</w:t>
      </w:r>
      <w:r w:rsidRPr="00E64A4B">
        <w:t>é</w:t>
      </w:r>
      <w:r w:rsidRPr="00E64A4B">
        <w:t>ré, e</w:t>
      </w:r>
      <w:r w:rsidRPr="00E64A4B">
        <w:t>n</w:t>
      </w:r>
      <w:r w:rsidRPr="00E64A4B">
        <w:t>globant du même coup le bénévolat.</w:t>
      </w:r>
    </w:p>
    <w:p w:rsidR="00B7214C" w:rsidRPr="00E64A4B" w:rsidRDefault="00B7214C" w:rsidP="00B7214C">
      <w:pPr>
        <w:spacing w:before="120" w:after="120"/>
        <w:jc w:val="both"/>
      </w:pPr>
      <w:r w:rsidRPr="00E64A4B">
        <w:t>On peut alors considérer que le bénévolat relève simultan</w:t>
      </w:r>
      <w:r w:rsidRPr="00E64A4B">
        <w:t>é</w:t>
      </w:r>
      <w:r w:rsidRPr="00E64A4B">
        <w:t>ment de deux univers : celui du don, mais aussi celui du travail, étant entendu que ce dernier inclut le travail gratuit. Dans cette perspective, démo</w:t>
      </w:r>
      <w:r w:rsidRPr="00E64A4B">
        <w:t>n</w:t>
      </w:r>
      <w:r w:rsidRPr="00E64A4B">
        <w:t>trer l'allégeance obligée du bénévolat à l'univers du travail ne le d</w:t>
      </w:r>
      <w:r w:rsidRPr="00E64A4B">
        <w:t>é</w:t>
      </w:r>
      <w:r w:rsidRPr="00E64A4B">
        <w:t xml:space="preserve">pouille pas </w:t>
      </w:r>
      <w:r w:rsidRPr="000D1A32">
        <w:rPr>
          <w:i/>
          <w:iCs/>
        </w:rPr>
        <w:t>ipso facto</w:t>
      </w:r>
      <w:r w:rsidRPr="00E64A4B">
        <w:t xml:space="preserve"> de sa dimension de don, ni ne le renvoie aut</w:t>
      </w:r>
      <w:r w:rsidRPr="00E64A4B">
        <w:t>o</w:t>
      </w:r>
      <w:r w:rsidRPr="00E64A4B">
        <w:t>mat</w:t>
      </w:r>
      <w:r w:rsidRPr="00E64A4B">
        <w:t>i</w:t>
      </w:r>
      <w:r w:rsidRPr="00E64A4B">
        <w:t>quement à la logique du marché. Considérer le bénévolat comme un travail gratuit n'équivaut pas non plus à un constat d'exploitation quand on le situe à l'interse</w:t>
      </w:r>
      <w:r w:rsidRPr="00E64A4B">
        <w:t>c</w:t>
      </w:r>
      <w:r w:rsidRPr="00E64A4B">
        <w:t>tion du don et du travail. L'intersection signifiant l'imbrication de deux ensembles, le bénévolat n'est pas se</w:t>
      </w:r>
      <w:r w:rsidRPr="00E64A4B">
        <w:t>u</w:t>
      </w:r>
      <w:r w:rsidRPr="00E64A4B">
        <w:t>lement un travail non payé, mais un don qui prend la forme d'un tr</w:t>
      </w:r>
      <w:r w:rsidRPr="00E64A4B">
        <w:t>a</w:t>
      </w:r>
      <w:r w:rsidRPr="00E64A4B">
        <w:t>vail volontairement effectué sans rémunération et sans garantie de r</w:t>
      </w:r>
      <w:r w:rsidRPr="00E64A4B">
        <w:t>e</w:t>
      </w:r>
      <w:r w:rsidRPr="00E64A4B">
        <w:t>tour.</w:t>
      </w:r>
    </w:p>
    <w:p w:rsidR="00B7214C" w:rsidRPr="00E64A4B" w:rsidRDefault="00B7214C" w:rsidP="00B7214C">
      <w:pPr>
        <w:spacing w:before="120" w:after="120"/>
        <w:jc w:val="both"/>
      </w:pPr>
      <w:r w:rsidRPr="00E64A4B">
        <w:t>La double allégeance du bénévolat aux univers du don et du travail suppose que l'un et l'autre interagissent, s'influencent et même s'alt</w:t>
      </w:r>
      <w:r w:rsidRPr="00E64A4B">
        <w:t>è</w:t>
      </w:r>
      <w:r w:rsidRPr="00E64A4B">
        <w:t>rent mutuellement. C'est ce que l'exemple suivant veut illustrer. Au cours du XIX</w:t>
      </w:r>
      <w:r w:rsidRPr="00E64A4B">
        <w:rPr>
          <w:vertAlign w:val="superscript"/>
        </w:rPr>
        <w:t>e</w:t>
      </w:r>
      <w:r w:rsidRPr="00E64A4B">
        <w:t xml:space="preserve"> et de la première moitié du XX</w:t>
      </w:r>
      <w:r w:rsidRPr="00E64A4B">
        <w:rPr>
          <w:vertAlign w:val="superscript"/>
        </w:rPr>
        <w:t>e</w:t>
      </w:r>
      <w:r w:rsidRPr="00E64A4B">
        <w:t xml:space="preserve"> siècle, le don const</w:t>
      </w:r>
      <w:r w:rsidRPr="00E64A4B">
        <w:t>i</w:t>
      </w:r>
      <w:r w:rsidRPr="00E64A4B">
        <w:t>tuait une norme dans les services de santé québécois. Sous sa forme idéale, il était pratiqué par les bénévoles, mais il était aussi imposé, dans une certaine mesure, aux salariés. L'histoire des employés d'hôp</w:t>
      </w:r>
      <w:r w:rsidRPr="00E64A4B">
        <w:t>i</w:t>
      </w:r>
      <w:r w:rsidRPr="00E64A4B">
        <w:t>taux est jalonnée de témoignages</w:t>
      </w:r>
      <w:r>
        <w:t xml:space="preserve"> </w:t>
      </w:r>
      <w:r w:rsidRPr="00E64A4B">
        <w:t>[308]</w:t>
      </w:r>
      <w:r>
        <w:t xml:space="preserve"> </w:t>
      </w:r>
      <w:r w:rsidRPr="00E64A4B">
        <w:t>selon lesquels les difficiles conditions de travail imposées devenaient le symbole d'un don indiv</w:t>
      </w:r>
      <w:r w:rsidRPr="00E64A4B">
        <w:t>i</w:t>
      </w:r>
      <w:r w:rsidRPr="00E64A4B">
        <w:t>duel et collectif nécessaire à la survie de ces œuvres charitables</w:t>
      </w:r>
      <w:r>
        <w:t> </w:t>
      </w:r>
      <w:r>
        <w:rPr>
          <w:rStyle w:val="Appelnotedebasdep"/>
        </w:rPr>
        <w:footnoteReference w:id="239"/>
      </w:r>
      <w:r w:rsidRPr="00E64A4B">
        <w:t>. Jusqu'à la fin des années 1950, les ét</w:t>
      </w:r>
      <w:r w:rsidRPr="00E64A4B">
        <w:t>u</w:t>
      </w:r>
      <w:r w:rsidRPr="00E64A4B">
        <w:t>diantes-infirmières constituaient une autre catégorie de personnes obligées d'assumer presque gratuit</w:t>
      </w:r>
      <w:r w:rsidRPr="00E64A4B">
        <w:t>e</w:t>
      </w:r>
      <w:r w:rsidRPr="00E64A4B">
        <w:t>ment l'essentiel des soins au nom d'une éthique du don de soi et du dévouement</w:t>
      </w:r>
      <w:r>
        <w:t> </w:t>
      </w:r>
      <w:r>
        <w:rPr>
          <w:rStyle w:val="Appelnotedebasdep"/>
        </w:rPr>
        <w:footnoteReference w:id="240"/>
      </w:r>
      <w:r w:rsidRPr="00E64A4B">
        <w:t>. E</w:t>
      </w:r>
      <w:r w:rsidRPr="00E64A4B">
        <w:t>n</w:t>
      </w:r>
      <w:r w:rsidRPr="00E64A4B">
        <w:t>taché d'une contrainte, le don est ici perverti par le contexte spécifique des hôp</w:t>
      </w:r>
      <w:r w:rsidRPr="00E64A4B">
        <w:t>i</w:t>
      </w:r>
      <w:r w:rsidRPr="00E64A4B">
        <w:t>taux où le travail gratuit a préséance sur le travail rémunéré et où m</w:t>
      </w:r>
      <w:r w:rsidRPr="00E64A4B">
        <w:t>ê</w:t>
      </w:r>
      <w:r w:rsidRPr="00E64A4B">
        <w:t>me le personnel salarié doit « faire sa part ». On pourrait d'ailleurs ajouter que la logique marchande se trouve elle aussi dénaturée puisque la règle sacrée du marché (l'équ</w:t>
      </w:r>
      <w:r w:rsidRPr="00E64A4B">
        <w:t>i</w:t>
      </w:r>
      <w:r w:rsidRPr="00E64A4B">
        <w:t>valence monétaire) n'est pas plus respectée que celle du don (la l</w:t>
      </w:r>
      <w:r w:rsidRPr="00E64A4B">
        <w:t>i</w:t>
      </w:r>
      <w:r w:rsidRPr="00E64A4B">
        <w:t>berté de choix).</w:t>
      </w:r>
    </w:p>
    <w:p w:rsidR="00B7214C" w:rsidRPr="00E64A4B" w:rsidRDefault="00B7214C" w:rsidP="00B7214C">
      <w:pPr>
        <w:spacing w:before="120" w:after="120"/>
        <w:jc w:val="both"/>
      </w:pPr>
      <w:r w:rsidRPr="00E64A4B">
        <w:t>Avec les années 1950, un revirement s'opère. Sous la pression de la laïcisation et de la syndicalisation, l'obligation du don disp</w:t>
      </w:r>
      <w:r w:rsidRPr="00E64A4B">
        <w:t>a</w:t>
      </w:r>
      <w:r w:rsidRPr="00E64A4B">
        <w:t>raît pour les salariés. Sur cette lancée cependant, on limite sérieusement la po</w:t>
      </w:r>
      <w:r w:rsidRPr="00E64A4B">
        <w:t>r</w:t>
      </w:r>
      <w:r w:rsidRPr="00E64A4B">
        <w:t>tée du don pratiqué par les bénévoles qui voient leur champ d'action rétrécir comme une peau de chagrin</w:t>
      </w:r>
      <w:r>
        <w:t> </w:t>
      </w:r>
      <w:r>
        <w:rPr>
          <w:rStyle w:val="Appelnotedebasdep"/>
        </w:rPr>
        <w:footnoteReference w:id="241"/>
      </w:r>
      <w:r w:rsidRPr="00E64A4B">
        <w:t>. Des normes de productivité et de professionnalisme quasi équivalentes à celles du monde salarié sont même appliquées au bénévolat : entrevues avant « embauche », liste du « personnel », formation standard</w:t>
      </w:r>
      <w:r w:rsidRPr="00E64A4B">
        <w:t>i</w:t>
      </w:r>
      <w:r w:rsidRPr="00E64A4B">
        <w:t>sée, fiches d'évaluation, descriptions de tâches, etc. D'où, ici encore, perversion du don, sub</w:t>
      </w:r>
      <w:r w:rsidRPr="00E64A4B">
        <w:t>i</w:t>
      </w:r>
      <w:r w:rsidRPr="00E64A4B">
        <w:t>tement corseté par des normes qui lui sont totalement étrangères.</w:t>
      </w:r>
    </w:p>
    <w:p w:rsidR="00B7214C" w:rsidRPr="00E64A4B" w:rsidRDefault="00B7214C" w:rsidP="00B7214C">
      <w:pPr>
        <w:spacing w:before="120" w:after="120"/>
        <w:jc w:val="both"/>
      </w:pPr>
      <w:r w:rsidRPr="00E64A4B">
        <w:t>Ce détour par l'histoire hospitalière vise à illustrer l'une des int</w:t>
      </w:r>
      <w:r w:rsidRPr="00E64A4B">
        <w:t>e</w:t>
      </w:r>
      <w:r w:rsidRPr="00E64A4B">
        <w:t>ractions entre le système du don et l'univers du travail, avec ce</w:t>
      </w:r>
      <w:r w:rsidRPr="00E64A4B">
        <w:t>r</w:t>
      </w:r>
      <w:r w:rsidRPr="00E64A4B">
        <w:t>tains des effets pervers qui en découlent. Il n'est peut-être pas in</w:t>
      </w:r>
      <w:r w:rsidRPr="00E64A4B">
        <w:t>u</w:t>
      </w:r>
      <w:r w:rsidRPr="00E64A4B">
        <w:t>tile aussi de rappeler que, quelle que soit l'époque considérée, une hiérarchie existe au sein du groupe des bénévoles en fonction de leurs tâches et, plus largement, de leur appartenance de classe ou de sexe. Des altér</w:t>
      </w:r>
      <w:r w:rsidRPr="00E64A4B">
        <w:t>a</w:t>
      </w:r>
      <w:r w:rsidRPr="00E64A4B">
        <w:t>tions supplémentaires du don, fruits de la d</w:t>
      </w:r>
      <w:r w:rsidRPr="00E64A4B">
        <w:t>y</w:t>
      </w:r>
      <w:r w:rsidRPr="00E64A4B">
        <w:t>namique qui le met en relation avec d'autres systèmes de rapports sociaux, apparaissent alors.</w:t>
      </w:r>
    </w:p>
    <w:p w:rsidR="00B7214C" w:rsidRPr="00E64A4B" w:rsidRDefault="00B7214C" w:rsidP="00B7214C">
      <w:pPr>
        <w:spacing w:before="120" w:after="120"/>
        <w:jc w:val="both"/>
      </w:pPr>
    </w:p>
    <w:p w:rsidR="00B7214C" w:rsidRPr="00E64A4B" w:rsidRDefault="00B7214C" w:rsidP="00B7214C">
      <w:pPr>
        <w:pStyle w:val="a"/>
      </w:pPr>
      <w:r w:rsidRPr="00E64A4B">
        <w:t>LES FEMMES :</w:t>
      </w:r>
      <w:r>
        <w:br/>
      </w:r>
      <w:r w:rsidRPr="00E64A4B">
        <w:t>ENTRE LE DON ET LES RAPPORTS S</w:t>
      </w:r>
      <w:r w:rsidRPr="00E64A4B">
        <w:t>O</w:t>
      </w:r>
      <w:r w:rsidRPr="00E64A4B">
        <w:t>CIAUX DE SEXE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Tenter de situer les femmes dans l'univers du don amène éventue</w:t>
      </w:r>
      <w:r w:rsidRPr="00E64A4B">
        <w:t>l</w:t>
      </w:r>
      <w:r w:rsidRPr="00E64A4B">
        <w:t>lement à un raisonnement similaire. Le livre de J.T. Godbout et de A. Caillé souligne que ces dernières y jouent un rôle de pr</w:t>
      </w:r>
      <w:r w:rsidRPr="00E64A4B">
        <w:t>e</w:t>
      </w:r>
      <w:r w:rsidRPr="00E64A4B">
        <w:t>mier plan. Dans la sphère domestique, elles se font omniprésentes, notamment à titre de principales responsables des enfants. Dans les milieux bénév</w:t>
      </w:r>
      <w:r w:rsidRPr="00E64A4B">
        <w:t>o</w:t>
      </w:r>
      <w:r w:rsidRPr="00E64A4B">
        <w:t>les, elles se retrouvent à l'avant-scène, bien que les hommes les talo</w:t>
      </w:r>
      <w:r w:rsidRPr="00E64A4B">
        <w:t>n</w:t>
      </w:r>
      <w:r w:rsidRPr="00E64A4B">
        <w:t>nent de près en ce domaine actuellement</w:t>
      </w:r>
      <w:r>
        <w:t> </w:t>
      </w:r>
      <w:r>
        <w:rPr>
          <w:rStyle w:val="Appelnotedebasdep"/>
        </w:rPr>
        <w:footnoteReference w:id="242"/>
      </w:r>
      <w:r w:rsidRPr="00E64A4B">
        <w:t>. Dans les échanges de c</w:t>
      </w:r>
      <w:r w:rsidRPr="00E64A4B">
        <w:t>a</w:t>
      </w:r>
      <w:r w:rsidRPr="00E64A4B">
        <w:t>deaux, ce sont elles qui maîtrisent le mieux, semble-t-il, tous les rites qui s'y rattachent. On pourrait ajouter à</w:t>
      </w:r>
      <w:r>
        <w:t xml:space="preserve"> </w:t>
      </w:r>
      <w:r w:rsidRPr="00E64A4B">
        <w:t>[309]</w:t>
      </w:r>
      <w:r>
        <w:t xml:space="preserve"> </w:t>
      </w:r>
      <w:r w:rsidRPr="00E64A4B">
        <w:t>cette liste les co</w:t>
      </w:r>
      <w:r w:rsidRPr="00E64A4B">
        <w:t>m</w:t>
      </w:r>
      <w:r w:rsidRPr="00E64A4B">
        <w:t>munautés religieuses, un monde où les femmes sont majoritaires d</w:t>
      </w:r>
      <w:r w:rsidRPr="00E64A4B">
        <w:t>u</w:t>
      </w:r>
      <w:r w:rsidRPr="00E64A4B">
        <w:t>rant une bonne partie de l'histoire du Québec et que l'on peut consid</w:t>
      </w:r>
      <w:r w:rsidRPr="00E64A4B">
        <w:t>é</w:t>
      </w:r>
      <w:r w:rsidRPr="00E64A4B">
        <w:t>rer comme relevant du don.</w:t>
      </w:r>
    </w:p>
    <w:p w:rsidR="00B7214C" w:rsidRPr="00E64A4B" w:rsidRDefault="00B7214C" w:rsidP="00B7214C">
      <w:pPr>
        <w:spacing w:before="120" w:after="120"/>
        <w:jc w:val="both"/>
      </w:pPr>
      <w:r w:rsidRPr="00E64A4B">
        <w:t>Spontanément, une question surgit cependant : pourquoi les fe</w:t>
      </w:r>
      <w:r w:rsidRPr="00E64A4B">
        <w:t>m</w:t>
      </w:r>
      <w:r w:rsidRPr="00E64A4B">
        <w:t>mes sont-elles si nombreuses à pratiquer le don ? On pourrait d'abord s'en féliciter et dire qu'elles y ont trouvé un système de valeurs qui leur est propre, distinct de celui des hommes, et qui présente l'avant</w:t>
      </w:r>
      <w:r w:rsidRPr="00E64A4B">
        <w:t>a</w:t>
      </w:r>
      <w:r w:rsidRPr="00E64A4B">
        <w:t>ge de dépasser les valeurs utilitaristes. L'explic</w:t>
      </w:r>
      <w:r w:rsidRPr="00E64A4B">
        <w:t>a</w:t>
      </w:r>
      <w:r w:rsidRPr="00E64A4B">
        <w:t>tion semble un peu courte néanmoins. Pourquoi elles, justement ? Pourquoi auraient-elles développé une logique si radicalement opposée à celle des hommes ? Quelle impulsion les pousserait à privilégier, plus que les hommes, le don ? Il est pourtant difficile d'accepter une explication essentialiste, sauf peut-être en ce qui concerne strictement le don de vie, et là enc</w:t>
      </w:r>
      <w:r w:rsidRPr="00E64A4B">
        <w:t>o</w:t>
      </w:r>
      <w:r w:rsidRPr="00E64A4B">
        <w:t>re, avec certaines réserves.</w:t>
      </w:r>
    </w:p>
    <w:p w:rsidR="00B7214C" w:rsidRPr="00E64A4B" w:rsidRDefault="00B7214C" w:rsidP="00B7214C">
      <w:pPr>
        <w:spacing w:before="120" w:after="120"/>
        <w:jc w:val="both"/>
      </w:pPr>
      <w:r w:rsidRPr="00E64A4B">
        <w:t>La démonstration de J.T. Godbout et de A. Caillé repose sur l'idée que les relations sociales établies par le don dépendent d'un équilibre délicat et fragile. Cet équilibre consiste à ne pas trop s'éloigner de l'équivalence, sous peine de « se faire avoir », tout en ne s'en appr</w:t>
      </w:r>
      <w:r w:rsidRPr="00E64A4B">
        <w:t>o</w:t>
      </w:r>
      <w:r w:rsidRPr="00E64A4B">
        <w:t xml:space="preserve">chant pas trop, sous peine de briser le lien forgé par le don. Ceci n'est possible que si </w:t>
      </w:r>
      <w:r w:rsidRPr="000D1A32">
        <w:rPr>
          <w:i/>
          <w:iCs/>
        </w:rPr>
        <w:t xml:space="preserve">chacun </w:t>
      </w:r>
      <w:r w:rsidRPr="00E64A4B">
        <w:t>des partenaires considère qu'il doit beaucoup à l'autre. Le don doit aussi être r</w:t>
      </w:r>
      <w:r w:rsidRPr="00E64A4B">
        <w:t>e</w:t>
      </w:r>
      <w:r w:rsidRPr="00E64A4B">
        <w:t>connu comme tel, et non pas considéré comme un dû.</w:t>
      </w:r>
    </w:p>
    <w:p w:rsidR="00B7214C" w:rsidRPr="00E64A4B" w:rsidRDefault="00B7214C" w:rsidP="00B7214C">
      <w:pPr>
        <w:spacing w:before="120" w:after="120"/>
        <w:jc w:val="both"/>
      </w:pPr>
      <w:r w:rsidRPr="00E64A4B">
        <w:t>Or, on peut justement se demander si l'équilibre de l'équiv</w:t>
      </w:r>
      <w:r w:rsidRPr="00E64A4B">
        <w:t>a</w:t>
      </w:r>
      <w:r w:rsidRPr="00E64A4B">
        <w:t>lence et la reconnaissance du don s'opèrent automatiquement dans le cas des femmes. Peut-on véritablement traiter le travail domestique uniqu</w:t>
      </w:r>
      <w:r w:rsidRPr="00E64A4B">
        <w:t>e</w:t>
      </w:r>
      <w:r w:rsidRPr="00E64A4B">
        <w:t>ment comme un don, entièrement et librement consenti ? Et si tel était le cas, s'approche-t-on suffisamment de l'équivalence pour affirmer que le don féminin est reconnu pour ce qu'il est et non comme un dû ?</w:t>
      </w:r>
    </w:p>
    <w:p w:rsidR="00B7214C" w:rsidRPr="00E64A4B" w:rsidRDefault="00B7214C" w:rsidP="00B7214C">
      <w:pPr>
        <w:spacing w:before="120" w:after="120"/>
        <w:jc w:val="both"/>
      </w:pPr>
      <w:r w:rsidRPr="00E64A4B">
        <w:t>L'explication réside sans doute davantage, à mon sens, dans l'art</w:t>
      </w:r>
      <w:r w:rsidRPr="00E64A4B">
        <w:t>i</w:t>
      </w:r>
      <w:r w:rsidRPr="00E64A4B">
        <w:t>culation du système du don avec celui des rapports sociaux de sexe, l'un et l'autre se pervertissant mutuellement. Comme le d</w:t>
      </w:r>
      <w:r w:rsidRPr="00E64A4B">
        <w:t>i</w:t>
      </w:r>
      <w:r w:rsidRPr="00E64A4B">
        <w:t>sent si bien J.T. Godbout et A. Caillé : « Le don entre égaux r</w:t>
      </w:r>
      <w:r w:rsidRPr="00E64A4B">
        <w:t>e</w:t>
      </w:r>
      <w:r w:rsidRPr="00E64A4B">
        <w:t>produit l'égalité et le don entre inégaux reproduit l'inégalité »</w:t>
      </w:r>
      <w:r>
        <w:t> </w:t>
      </w:r>
      <w:r>
        <w:rPr>
          <w:rStyle w:val="Appelnotedebasdep"/>
        </w:rPr>
        <w:footnoteReference w:id="243"/>
      </w:r>
      <w:r w:rsidRPr="00E64A4B">
        <w:t>. Cela signifie donc que les partenaires d'un don ne sont pas seulement impliqués dans une r</w:t>
      </w:r>
      <w:r w:rsidRPr="00E64A4B">
        <w:t>e</w:t>
      </w:r>
      <w:r w:rsidRPr="00E64A4B">
        <w:t>lation de don, mais participent simultanément à tout un ensemble d'a</w:t>
      </w:r>
      <w:r w:rsidRPr="00E64A4B">
        <w:t>u</w:t>
      </w:r>
      <w:r w:rsidRPr="00E64A4B">
        <w:t>tres rapports sociaux. Il serait alors périlleux d'appréhender, dans la seule perspective du don, le fait que ce soit une secrétaire qui choisi</w:t>
      </w:r>
      <w:r w:rsidRPr="00E64A4B">
        <w:t>s</w:t>
      </w:r>
      <w:r w:rsidRPr="00E64A4B">
        <w:t>se les cadeaux qu'offrira son patron, le fait que ce soit des femmes qui assument l'essentiel du travail domestique ou qui se trouvent si no</w:t>
      </w:r>
      <w:r w:rsidRPr="00E64A4B">
        <w:t>m</w:t>
      </w:r>
      <w:r w:rsidRPr="00E64A4B">
        <w:t>breuses à pratiquer le bénévolat. Il serait tout aussi hasardeux de pe</w:t>
      </w:r>
      <w:r w:rsidRPr="00E64A4B">
        <w:t>n</w:t>
      </w:r>
      <w:r w:rsidRPr="00E64A4B">
        <w:t>ser déchiffrer, avec les seules lunettes du don, l'expression courante selon laque</w:t>
      </w:r>
      <w:r w:rsidRPr="00E64A4B">
        <w:t>l</w:t>
      </w:r>
      <w:r w:rsidRPr="00E64A4B">
        <w:t>le une femme « est donnée » ou « se donne » à l'occasion d'un m</w:t>
      </w:r>
      <w:r w:rsidRPr="00E64A4B">
        <w:t>a</w:t>
      </w:r>
      <w:r w:rsidRPr="00E64A4B">
        <w:t>riage, de relations sexuelles.</w:t>
      </w:r>
    </w:p>
    <w:p w:rsidR="00B7214C" w:rsidRPr="00E64A4B" w:rsidRDefault="00B7214C" w:rsidP="00B7214C">
      <w:pPr>
        <w:spacing w:before="120" w:after="120"/>
        <w:jc w:val="both"/>
      </w:pPr>
      <w:r w:rsidRPr="00E64A4B">
        <w:t>[310]</w:t>
      </w:r>
    </w:p>
    <w:p w:rsidR="00B7214C" w:rsidRPr="00E64A4B" w:rsidRDefault="00B7214C" w:rsidP="00B7214C">
      <w:pPr>
        <w:spacing w:before="120" w:after="120"/>
        <w:jc w:val="both"/>
      </w:pPr>
      <w:r w:rsidRPr="00E64A4B">
        <w:t>Assimiler strictement cette présence des femmes dans le sy</w:t>
      </w:r>
      <w:r w:rsidRPr="00E64A4B">
        <w:t>s</w:t>
      </w:r>
      <w:r w:rsidRPr="00E64A4B">
        <w:t>tème du don à une simple exploitation constituerait cependant une simplif</w:t>
      </w:r>
      <w:r w:rsidRPr="00E64A4B">
        <w:t>i</w:t>
      </w:r>
      <w:r w:rsidRPr="00E64A4B">
        <w:t>cation - simplification où elles-mêmes ne se retrouveraient pas enti</w:t>
      </w:r>
      <w:r w:rsidRPr="00E64A4B">
        <w:t>è</w:t>
      </w:r>
      <w:r w:rsidRPr="00E64A4B">
        <w:t>rement. Les études féministes se sont d'ailleurs considérablement ra</w:t>
      </w:r>
      <w:r w:rsidRPr="00E64A4B">
        <w:t>f</w:t>
      </w:r>
      <w:r w:rsidRPr="00E64A4B">
        <w:t>finées depuis leurs premières analyses qui mettaient en scène un sy</w:t>
      </w:r>
      <w:r w:rsidRPr="00E64A4B">
        <w:t>s</w:t>
      </w:r>
      <w:r w:rsidRPr="00E64A4B">
        <w:t>tème patriarcal pur et dur.</w:t>
      </w:r>
    </w:p>
    <w:p w:rsidR="00B7214C" w:rsidRPr="00E64A4B" w:rsidRDefault="00B7214C" w:rsidP="00B7214C">
      <w:pPr>
        <w:spacing w:before="120" w:after="120"/>
        <w:jc w:val="both"/>
      </w:pPr>
      <w:r w:rsidRPr="00E64A4B">
        <w:t>Prenons l'exemple des religieuses, ces « professionnelles du don », selon la belle expression de J. Godbout. Sans renier l'intérêt ou la n</w:t>
      </w:r>
      <w:r w:rsidRPr="00E64A4B">
        <w:t>é</w:t>
      </w:r>
      <w:r w:rsidRPr="00E64A4B">
        <w:t>cessité de concepts tels que ceux de l'exploitation et de l'appropriation, plusieurs travaux récents soulignent qu'ils ne su</w:t>
      </w:r>
      <w:r w:rsidRPr="00E64A4B">
        <w:t>f</w:t>
      </w:r>
      <w:r w:rsidRPr="00E64A4B">
        <w:t>fisent pas à rendre compte de la réalité de ce groupe de femmes, ni de leurs motivations. Ces études montrent notamment comment les religieuses obtenaient, de par leur état, une liberté d'action et d'intervention inconnue de la majorité des femmes laïques</w:t>
      </w:r>
      <w:r>
        <w:t> </w:t>
      </w:r>
      <w:r>
        <w:rPr>
          <w:rStyle w:val="Appelnotedebasdep"/>
        </w:rPr>
        <w:footnoteReference w:id="244"/>
      </w:r>
      <w:r w:rsidRPr="00E64A4B">
        <w:t>. D'autres mettent en évidence le par</w:t>
      </w:r>
      <w:r w:rsidRPr="00E64A4B">
        <w:t>a</w:t>
      </w:r>
      <w:r w:rsidRPr="00E64A4B">
        <w:t>doxe que cachait le statut de rel</w:t>
      </w:r>
      <w:r w:rsidRPr="00E64A4B">
        <w:t>i</w:t>
      </w:r>
      <w:r w:rsidRPr="00E64A4B">
        <w:t>gieuse :</w:t>
      </w:r>
    </w:p>
    <w:p w:rsidR="00B7214C" w:rsidRDefault="00B7214C" w:rsidP="00B7214C">
      <w:pPr>
        <w:pStyle w:val="Grillecouleur-Accent1"/>
      </w:pPr>
    </w:p>
    <w:p w:rsidR="00B7214C" w:rsidRDefault="00B7214C" w:rsidP="00B7214C">
      <w:pPr>
        <w:pStyle w:val="Grillecouleur-Accent1"/>
      </w:pPr>
      <w:r w:rsidRPr="00E64A4B">
        <w:t>Comment comprendre ces femmes, à la fois bâtisseuses et blanchi</w:t>
      </w:r>
      <w:r w:rsidRPr="00E64A4B">
        <w:t>s</w:t>
      </w:r>
      <w:r w:rsidRPr="00E64A4B">
        <w:t>seuses ; intendantes et travailleuses domestiques ; pr</w:t>
      </w:r>
      <w:r w:rsidRPr="00E64A4B">
        <w:t>o</w:t>
      </w:r>
      <w:r w:rsidRPr="00E64A4B">
        <w:t>priétaires d'hôpitaux et « humbles servantes du Christ » [...] D'un côté, elles sont soumises à l'autorité des hommes d'Église qui définissent leurs const</w:t>
      </w:r>
      <w:r w:rsidRPr="00E64A4B">
        <w:t>i</w:t>
      </w:r>
      <w:r w:rsidRPr="00E64A4B">
        <w:t>tutions et en contrôlent l'application. Elles n'ont ni liberté de mouv</w:t>
      </w:r>
      <w:r w:rsidRPr="00E64A4B">
        <w:t>e</w:t>
      </w:r>
      <w:r w:rsidRPr="00E64A4B">
        <w:t>ment ni liberté de parole. Leur vie quotidienne est contrôlée souvent jusque dans ses moi</w:t>
      </w:r>
      <w:r w:rsidRPr="00E64A4B">
        <w:t>n</w:t>
      </w:r>
      <w:r w:rsidRPr="00E64A4B">
        <w:t>dres détails [...] De l'autre côté, ces femmes, soustraites au travail de pr</w:t>
      </w:r>
      <w:r w:rsidRPr="00E64A4B">
        <w:t>o</w:t>
      </w:r>
      <w:r w:rsidRPr="00E64A4B">
        <w:t>création, œuvrent dans des organisations complexes qui permettent et n</w:t>
      </w:r>
      <w:r w:rsidRPr="00E64A4B">
        <w:t>é</w:t>
      </w:r>
      <w:r w:rsidRPr="00E64A4B">
        <w:t>cessitent la division du travail. Elles ont ainsi pu accomplir des tâches créatrices, remplir des rôles professionnels et exercer des fonctions de ge</w:t>
      </w:r>
      <w:r w:rsidRPr="00E64A4B">
        <w:t>s</w:t>
      </w:r>
      <w:r w:rsidRPr="00E64A4B">
        <w:t>tion et de direction souvent inaccessibles aux femmes laïques, célibataires, mariées, séparées, veuves ou divo</w:t>
      </w:r>
      <w:r w:rsidRPr="00E64A4B">
        <w:t>r</w:t>
      </w:r>
      <w:r w:rsidRPr="00E64A4B">
        <w:t>cées.</w:t>
      </w:r>
      <w:r>
        <w:t> </w:t>
      </w:r>
      <w:r>
        <w:rPr>
          <w:rStyle w:val="Appelnotedebasdep"/>
        </w:rPr>
        <w:footnoteReference w:id="245"/>
      </w:r>
    </w:p>
    <w:p w:rsidR="00B7214C" w:rsidRDefault="00B7214C" w:rsidP="00B7214C">
      <w:pPr>
        <w:pStyle w:val="Grillecouleur-Accent1"/>
      </w:pPr>
    </w:p>
    <w:p w:rsidR="00B7214C" w:rsidRPr="00E64A4B" w:rsidRDefault="00B7214C" w:rsidP="00B7214C">
      <w:pPr>
        <w:spacing w:before="120" w:after="120"/>
        <w:jc w:val="both"/>
      </w:pPr>
      <w:r w:rsidRPr="00E64A4B">
        <w:t>Ce paradoxe, à la fois fascinant et déroutant, illustre bien à mon avis la manière dont s'enchevêtrent deux systèmes, celui du don et c</w:t>
      </w:r>
      <w:r w:rsidRPr="00E64A4B">
        <w:t>e</w:t>
      </w:r>
      <w:r w:rsidRPr="00E64A4B">
        <w:t>lui des rapports sociaux de sexes. D'une part, il dévoile certains él</w:t>
      </w:r>
      <w:r w:rsidRPr="00E64A4B">
        <w:t>é</w:t>
      </w:r>
      <w:r w:rsidRPr="00E64A4B">
        <w:t>ments qui apparentent l'engagement des religieuses au don. Il y a d'abord le désir ou l'obligation de donner qu'elles se créent elles-mêmes. Il y a aussi cette idée d'une dette perpétuelle, d'une ardoise jamais effacée, que véhicule l'idéal religieux : quoi qu'elles donnent, les religieuses reçoivent davantage en retour, ce qui les pousse à do</w:t>
      </w:r>
      <w:r w:rsidRPr="00E64A4B">
        <w:t>n</w:t>
      </w:r>
      <w:r w:rsidRPr="00E64A4B">
        <w:t>ner encore pour perpétuer la relation établie par le don. Il y a enfin ce retour du don ni équivalent ni exigé, toujours incertain, accessible uniquement sous le couvert de l'h</w:t>
      </w:r>
      <w:r w:rsidRPr="00E64A4B">
        <w:t>a</w:t>
      </w:r>
      <w:r w:rsidRPr="00E64A4B">
        <w:t>bit et d'une vie consacrée à Dieu et à autrui. D'autre part, le paradoxe porté par les religieuses met en l</w:t>
      </w:r>
      <w:r w:rsidRPr="00E64A4B">
        <w:t>u</w:t>
      </w:r>
      <w:r w:rsidRPr="00E64A4B">
        <w:t>mière un type d'engag</w:t>
      </w:r>
      <w:r w:rsidRPr="00E64A4B">
        <w:t>e</w:t>
      </w:r>
      <w:r w:rsidRPr="00E64A4B">
        <w:t>ment marqué par les rapports de pouvoir entre hommes et fe</w:t>
      </w:r>
      <w:r w:rsidRPr="00E64A4B">
        <w:t>m</w:t>
      </w:r>
      <w:r w:rsidRPr="00E64A4B">
        <w:t>mes : soumission obligée à des religieux qui partagent pourtant le même idéal du don de soi, choix de vie guidé en partie par le manque d'alternatives accessibles aux femmes hors du mariage et de la maternité, nécessité d'exercer l'autorité éventuellement dét</w:t>
      </w:r>
      <w:r w:rsidRPr="00E64A4B">
        <w:t>e</w:t>
      </w:r>
      <w:r w:rsidRPr="00E64A4B">
        <w:t>nue d'une manière feutrée ou discrète, etc.</w:t>
      </w:r>
    </w:p>
    <w:p w:rsidR="00B7214C" w:rsidRPr="00E64A4B" w:rsidRDefault="00B7214C" w:rsidP="00B7214C">
      <w:pPr>
        <w:spacing w:before="120" w:after="120"/>
        <w:jc w:val="both"/>
      </w:pPr>
      <w:r w:rsidRPr="00E64A4B">
        <w:t>[311]</w:t>
      </w:r>
    </w:p>
    <w:p w:rsidR="00B7214C" w:rsidRPr="00E64A4B" w:rsidRDefault="00B7214C" w:rsidP="00B7214C">
      <w:pPr>
        <w:spacing w:before="120" w:after="120"/>
        <w:jc w:val="both"/>
      </w:pPr>
      <w:r w:rsidRPr="00E64A4B">
        <w:t>Les religieuses ne constituent qu'un exemple. Au-delà de leur cas, il faudrait tenter de trouver l'interface entre le système du don et celui des rapports sociaux de sexe. Il faudrait décrypter les points de jon</w:t>
      </w:r>
      <w:r w:rsidRPr="00E64A4B">
        <w:t>c</w:t>
      </w:r>
      <w:r w:rsidRPr="00E64A4B">
        <w:t>tion entre les dons pratiqués par les femmes, libr</w:t>
      </w:r>
      <w:r w:rsidRPr="00E64A4B">
        <w:t>e</w:t>
      </w:r>
      <w:r w:rsidRPr="00E64A4B">
        <w:t>ment consentis à certains égards, et les rapports de pouvoir dans lesquels elles évoluent inévitablement. Est-il possible de prétendre dissocier nettement ce qui relève des uns et des autres ? Quelle analyse systématisée pourrait-on proposer de cette articulation entre deux dynamiques si opposées ?</w:t>
      </w:r>
    </w:p>
    <w:p w:rsidR="00B7214C" w:rsidRPr="00E64A4B" w:rsidRDefault="00B7214C" w:rsidP="00B7214C">
      <w:pPr>
        <w:spacing w:before="120" w:after="120"/>
        <w:jc w:val="both"/>
      </w:pPr>
      <w:r w:rsidRPr="00E64A4B">
        <w:t>Enfin, pour lier la question du travail gratuit et celle du rapport des femmes au don, pour boucler la boucle en quelque sorte, on pourrait ajouter ceci : ce n'est pas parce qu'elles effectuent un tr</w:t>
      </w:r>
      <w:r w:rsidRPr="00E64A4B">
        <w:t>a</w:t>
      </w:r>
      <w:r w:rsidRPr="00E64A4B">
        <w:t>vail gratuit que les femmes subissent des rapports de pouvoir. Le salariat ne con</w:t>
      </w:r>
      <w:r w:rsidRPr="00E64A4B">
        <w:t>s</w:t>
      </w:r>
      <w:r w:rsidRPr="00E64A4B">
        <w:t>titue effectivement pas une panacée et vouloir fa</w:t>
      </w:r>
      <w:r w:rsidRPr="00E64A4B">
        <w:t>i</w:t>
      </w:r>
      <w:r w:rsidRPr="00E64A4B">
        <w:t>re disparaître toute trace de gratuité dans leur travail (tout don) ne réglerait pas le probl</w:t>
      </w:r>
      <w:r w:rsidRPr="00E64A4B">
        <w:t>è</w:t>
      </w:r>
      <w:r w:rsidRPr="00E64A4B">
        <w:t>me. Nombre d'études soulignent que l'accès des femmes au marché du travail ne leur garantit nullement d'échapper aux rapports sociaux de sexe</w:t>
      </w:r>
      <w:r>
        <w:t> </w:t>
      </w:r>
      <w:r>
        <w:rPr>
          <w:rStyle w:val="Appelnotedebasdep"/>
        </w:rPr>
        <w:footnoteReference w:id="246"/>
      </w:r>
      <w:r w:rsidRPr="00E64A4B">
        <w:t> ; tout comme nombre d'études démontrent la prégnance de ces derniers dans l'univers domestique. Après tout, les hommes pratiquent aussi le don sous la forme d'un travail gratuit, sans pour autant être placés en situ</w:t>
      </w:r>
      <w:r w:rsidRPr="00E64A4B">
        <w:t>a</w:t>
      </w:r>
      <w:r w:rsidRPr="00E64A4B">
        <w:t>tion d'infériorité. En fait, d'un point de vue féministe, il ne s'agit donc pas tant de vouloir sortir à tout prix les femmes de l'univers du don, mais bien plutôt de reconnaître que les rapports de pouvoir qu'elles vivent transcendent les frontières du gratuit et du r</w:t>
      </w:r>
      <w:r w:rsidRPr="00E64A4B">
        <w:t>é</w:t>
      </w:r>
      <w:r w:rsidRPr="00E64A4B">
        <w:t>munéré... et qu'ils stigmatisent aussi leur participation à l'univers du don.</w:t>
      </w:r>
    </w:p>
    <w:p w:rsidR="00B7214C" w:rsidRPr="00E64A4B" w:rsidRDefault="00B7214C" w:rsidP="00B7214C">
      <w:pPr>
        <w:spacing w:before="120" w:after="120"/>
        <w:jc w:val="both"/>
      </w:pPr>
    </w:p>
    <w:p w:rsidR="00B7214C" w:rsidRPr="00E64A4B" w:rsidRDefault="00B7214C" w:rsidP="00B7214C">
      <w:pPr>
        <w:pStyle w:val="a"/>
      </w:pPr>
      <w:r w:rsidRPr="00E64A4B">
        <w:t>CONCLUSION</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pages précédentes ont abordé notamment les rapports de po</w:t>
      </w:r>
      <w:r w:rsidRPr="00E64A4B">
        <w:t>u</w:t>
      </w:r>
      <w:r w:rsidRPr="00E64A4B">
        <w:t>voir auxquels sont confrontées les femmes. Le même type de r</w:t>
      </w:r>
      <w:r w:rsidRPr="00E64A4B">
        <w:t>é</w:t>
      </w:r>
      <w:r w:rsidRPr="00E64A4B">
        <w:t>flexion pourrait être suggéré à propos d'autres rapports sociaux. E. Ross montre ainsi que la charité, telle que pratiquée dans le Londres du XIX</w:t>
      </w:r>
      <w:r w:rsidRPr="00E64A4B">
        <w:rPr>
          <w:vertAlign w:val="superscript"/>
        </w:rPr>
        <w:t>e</w:t>
      </w:r>
      <w:r w:rsidRPr="00E64A4B">
        <w:t xml:space="preserve"> siècle, s'efforçait à la fois de fournir une aide matérielle et de promouvoir certaines normes conformes à la morale de la bourgeo</w:t>
      </w:r>
      <w:r w:rsidRPr="00E64A4B">
        <w:t>i</w:t>
      </w:r>
      <w:r w:rsidRPr="00E64A4B">
        <w:t>sie ; ceci poussait souvent les philanthropes aisés à ne pas donner ce qui était attendu, et les « bénéficiaires » des milieux ouvriers à tran</w:t>
      </w:r>
      <w:r w:rsidRPr="00E64A4B">
        <w:t>s</w:t>
      </w:r>
      <w:r w:rsidRPr="00E64A4B">
        <w:t>former ce qui était donné en fonction de leurs besoins</w:t>
      </w:r>
      <w:r>
        <w:t> </w:t>
      </w:r>
      <w:r>
        <w:rPr>
          <w:rStyle w:val="Appelnotedebasdep"/>
        </w:rPr>
        <w:footnoteReference w:id="247"/>
      </w:r>
      <w:r w:rsidRPr="00E64A4B">
        <w:t>. N.L. Green expose le cas de la philanthropie juive parisienne au début du siècle qui se présentait bien comme un don, mais un don qui répondait en même temps à certains i</w:t>
      </w:r>
      <w:r w:rsidRPr="00E64A4B">
        <w:t>m</w:t>
      </w:r>
      <w:r w:rsidRPr="00E64A4B">
        <w:t>pératifs propres à cette communauté et au contexte dans lequel elle évoluait : le souci de donner prise le moins possible aux acc</w:t>
      </w:r>
      <w:r w:rsidRPr="00E64A4B">
        <w:t>u</w:t>
      </w:r>
      <w:r w:rsidRPr="00E64A4B">
        <w:t>sations antisémites de parasitisme jouait autant que les principes de solidarité</w:t>
      </w:r>
      <w:r>
        <w:t> </w:t>
      </w:r>
      <w:r>
        <w:rPr>
          <w:rStyle w:val="Appelnotedebasdep"/>
        </w:rPr>
        <w:footnoteReference w:id="248"/>
      </w:r>
      <w:r w:rsidRPr="00E64A4B">
        <w:t>. Par ailleurs, on pourrait aussi s'intére</w:t>
      </w:r>
      <w:r w:rsidRPr="00E64A4B">
        <w:t>s</w:t>
      </w:r>
      <w:r w:rsidRPr="00E64A4B">
        <w:t>ser aux</w:t>
      </w:r>
      <w:r>
        <w:t xml:space="preserve"> </w:t>
      </w:r>
      <w:r w:rsidRPr="00E64A4B">
        <w:t>[312]</w:t>
      </w:r>
      <w:r>
        <w:t xml:space="preserve"> </w:t>
      </w:r>
      <w:r w:rsidRPr="00E64A4B">
        <w:t>formes plus ténues du pouvoir, celles qui se tissent entre ind</w:t>
      </w:r>
      <w:r w:rsidRPr="00E64A4B">
        <w:t>i</w:t>
      </w:r>
      <w:r w:rsidRPr="00E64A4B">
        <w:t>vidus au-delà des grands systèmes de rapports sociaux.</w:t>
      </w:r>
    </w:p>
    <w:p w:rsidR="00B7214C" w:rsidRPr="00E64A4B" w:rsidRDefault="00B7214C" w:rsidP="00B7214C">
      <w:pPr>
        <w:spacing w:before="120" w:after="120"/>
        <w:jc w:val="both"/>
      </w:pPr>
      <w:r w:rsidRPr="00E64A4B">
        <w:t>Cette question des interactions du don avec d'autres univers mérit</w:t>
      </w:r>
      <w:r w:rsidRPr="00E64A4B">
        <w:t>e</w:t>
      </w:r>
      <w:r w:rsidRPr="00E64A4B">
        <w:t>rait d'être creusée et développée systématiquement, bien plus que je n'ai été en mesure de le faire ici avec les rapports s</w:t>
      </w:r>
      <w:r w:rsidRPr="00E64A4B">
        <w:t>o</w:t>
      </w:r>
      <w:r w:rsidRPr="00E64A4B">
        <w:t>ciaux de sexes ou encore avec le monde du travail. Dans ces inte</w:t>
      </w:r>
      <w:r w:rsidRPr="00E64A4B">
        <w:t>r</w:t>
      </w:r>
      <w:r w:rsidRPr="00E64A4B">
        <w:t>sections où toutes les motivations et toutes les aspirations se m</w:t>
      </w:r>
      <w:r w:rsidRPr="00E64A4B">
        <w:t>ê</w:t>
      </w:r>
      <w:r w:rsidRPr="00E64A4B">
        <w:t>lent, se trouve la source d'une partie des effets pervers qui ent</w:t>
      </w:r>
      <w:r w:rsidRPr="00E64A4B">
        <w:t>a</w:t>
      </w:r>
      <w:r w:rsidRPr="00E64A4B">
        <w:t>chent inévitablement le don.</w:t>
      </w:r>
    </w:p>
    <w:p w:rsidR="00B7214C" w:rsidRPr="00E64A4B" w:rsidRDefault="00B7214C" w:rsidP="00B7214C">
      <w:pPr>
        <w:spacing w:before="120" w:after="120"/>
        <w:jc w:val="both"/>
      </w:pPr>
      <w:r w:rsidRPr="00E64A4B">
        <w:t>Si l'on cherchait une représentation visuelle du don, l'image d'une sphère qui n'en toucherait d'autres que sur ses franges serait sans doute inadéquate. Il faudrait plutôt se le représenter comme une constell</w:t>
      </w:r>
      <w:r w:rsidRPr="00E64A4B">
        <w:t>a</w:t>
      </w:r>
      <w:r w:rsidRPr="00E64A4B">
        <w:t xml:space="preserve">tion qui s'immisce dans tous les interstices de la vie en société, parfois les plus inattendus. Et ce qui fascine c'est que, malgré ceci, le don constituerait un système... Là résident toute la force et tout l'intérêt du livre </w:t>
      </w:r>
      <w:hyperlink r:id="rId76" w:history="1">
        <w:r w:rsidRPr="00E64A4B">
          <w:rPr>
            <w:rStyle w:val="Lienhypertexte"/>
            <w:i/>
            <w:iCs/>
          </w:rPr>
          <w:t>L'esprit du don</w:t>
        </w:r>
      </w:hyperlink>
      <w:r w:rsidRPr="00E64A4B">
        <w:rPr>
          <w:i/>
          <w:iCs/>
        </w:rPr>
        <w:t xml:space="preserve">. </w:t>
      </w:r>
      <w:r w:rsidRPr="00E64A4B">
        <w:t>Mais il reste à d</w:t>
      </w:r>
      <w:r w:rsidRPr="00E64A4B">
        <w:t>é</w:t>
      </w:r>
      <w:r w:rsidRPr="00E64A4B">
        <w:t>tailler les multiples manières dont ce système cohabite avec le pouvoir.</w:t>
      </w:r>
    </w:p>
    <w:p w:rsidR="00B7214C" w:rsidRPr="00E64A4B" w:rsidRDefault="00B7214C" w:rsidP="00B7214C">
      <w:pPr>
        <w:spacing w:before="120" w:after="120"/>
        <w:jc w:val="both"/>
      </w:pPr>
      <w:r w:rsidRPr="00E64A4B">
        <w:t>Chercher les interactions entre le don et le pouvoir ne vise pas se</w:t>
      </w:r>
      <w:r w:rsidRPr="00E64A4B">
        <w:t>u</w:t>
      </w:r>
      <w:r w:rsidRPr="00E64A4B">
        <w:t>lement à débusquer les zones grises où le don n'est plus tout à fait lui-même, histoire de se raccrocher aux thèses familières qui postulent la primauté du pouvoir et de l'intérêt matériel. Le but n'est pas non plus de trouver dans les effets pervers du don une manière de se rassurer en se disant que l'on évite ainsi, à bon compte, le piège d'un idéalisme de mauvais aloi. Comme le soul</w:t>
      </w:r>
      <w:r w:rsidRPr="00E64A4B">
        <w:t>i</w:t>
      </w:r>
      <w:r w:rsidRPr="00E64A4B">
        <w:t xml:space="preserve">gnent les auteurs de </w:t>
      </w:r>
      <w:hyperlink r:id="rId77" w:history="1">
        <w:r w:rsidRPr="00E64A4B">
          <w:rPr>
            <w:rStyle w:val="Lienhypertexte"/>
            <w:i/>
            <w:iCs/>
          </w:rPr>
          <w:t>L'esprit du don</w:t>
        </w:r>
      </w:hyperlink>
      <w:r w:rsidRPr="00E64A4B">
        <w:rPr>
          <w:i/>
          <w:iCs/>
        </w:rPr>
        <w:t>,</w:t>
      </w:r>
      <w:r w:rsidRPr="00E64A4B">
        <w:t xml:space="preserve"> les chercheurs en sciences sociales en sont venus à considérer l'utilitari</w:t>
      </w:r>
      <w:r w:rsidRPr="00E64A4B">
        <w:t>s</w:t>
      </w:r>
      <w:r w:rsidRPr="00E64A4B">
        <w:t>me comme un terrain sûr tandis que celui de l'altruisme devenait mouvant, dangereux même. La cohérence interne du don étant mai</w:t>
      </w:r>
      <w:r w:rsidRPr="00E64A4B">
        <w:t>n</w:t>
      </w:r>
      <w:r w:rsidRPr="00E64A4B">
        <w:t>tenant mieux connue grâce à ce livre, il apparaît nécessaire de bien dégager les mécanismes qui articulent le don et les diverses formes du po</w:t>
      </w:r>
      <w:r w:rsidRPr="00E64A4B">
        <w:t>u</w:t>
      </w:r>
      <w:r w:rsidRPr="00E64A4B">
        <w:t>voir : rapports de classe, de sexe, d'appartenance culturelle, d'âge, etc. Questionner la nature de ces mécanismes devrait affiner la co</w:t>
      </w:r>
      <w:r w:rsidRPr="00E64A4B">
        <w:t>m</w:t>
      </w:r>
      <w:r w:rsidRPr="00E64A4B">
        <w:t>préhension que l'on peut avoir du don. Et ceci permettrait éventuell</w:t>
      </w:r>
      <w:r w:rsidRPr="00E64A4B">
        <w:t>e</w:t>
      </w:r>
      <w:r w:rsidRPr="00E64A4B">
        <w:t>ment de développer en sciences sociales une perspect</w:t>
      </w:r>
      <w:r w:rsidRPr="00E64A4B">
        <w:t>i</w:t>
      </w:r>
      <w:r w:rsidRPr="00E64A4B">
        <w:t>ve qui tienne compte de l'alchimie toujours instable que comp</w:t>
      </w:r>
      <w:r w:rsidRPr="00E64A4B">
        <w:t>o</w:t>
      </w:r>
      <w:r w:rsidRPr="00E64A4B">
        <w:t>sent l'altruisme et le pouvoir.</w:t>
      </w:r>
    </w:p>
    <w:p w:rsidR="00B7214C" w:rsidRPr="00E64A4B" w:rsidRDefault="00B7214C" w:rsidP="00B7214C">
      <w:pPr>
        <w:pStyle w:val="p"/>
      </w:pPr>
      <w:r w:rsidRPr="00E64A4B">
        <w:t>[313]</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pStyle w:val="p"/>
      </w:pPr>
      <w:r w:rsidRPr="00E64A4B">
        <w:t>[314]</w:t>
      </w:r>
    </w:p>
    <w:p w:rsidR="00B7214C" w:rsidRPr="00E64A4B" w:rsidRDefault="00B7214C" w:rsidP="00B7214C">
      <w:pPr>
        <w:pStyle w:val="p"/>
      </w:pPr>
      <w:r w:rsidRPr="00E64A4B">
        <w:br w:type="page"/>
        <w:t>[315]</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1" w:name="Entre_tradition_pt_2_texte_2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B. </w:t>
      </w:r>
      <w:r w:rsidRPr="00DC0C7E">
        <w:rPr>
          <w:color w:val="FF0000"/>
          <w:sz w:val="24"/>
        </w:rPr>
        <w:t xml:space="preserve">LE DON (AUTOUR DE </w:t>
      </w:r>
      <w:r w:rsidRPr="00DC0C7E">
        <w:rPr>
          <w:i/>
          <w:color w:val="FF0000"/>
          <w:sz w:val="24"/>
        </w:rPr>
        <w:t>L’ESPRIT DU DON</w:t>
      </w:r>
      <w:r>
        <w:rPr>
          <w:color w:val="FF0000"/>
          <w:sz w:val="24"/>
        </w:rPr>
        <w:br/>
      </w:r>
      <w:r w:rsidRPr="00DC0C7E">
        <w:rPr>
          <w:color w:val="FF0000"/>
          <w:sz w:val="24"/>
        </w:rPr>
        <w:t>DE JACQUES T. GODBOUT)</w:t>
      </w:r>
    </w:p>
    <w:p w:rsidR="00B7214C" w:rsidRPr="00384B20" w:rsidRDefault="00B7214C" w:rsidP="00B7214C">
      <w:pPr>
        <w:pStyle w:val="Titreniveau1"/>
      </w:pPr>
      <w:r>
        <w:t>21</w:t>
      </w:r>
    </w:p>
    <w:p w:rsidR="00B7214C" w:rsidRDefault="00B7214C" w:rsidP="00B7214C">
      <w:pPr>
        <w:pStyle w:val="Titreniveau2"/>
      </w:pPr>
      <w:r>
        <w:t>“Sur le don : un commentaire.”</w:t>
      </w:r>
    </w:p>
    <w:bookmarkEnd w:id="31"/>
    <w:p w:rsidR="00B7214C" w:rsidRPr="00E07116" w:rsidRDefault="00B7214C" w:rsidP="00B7214C">
      <w:pPr>
        <w:jc w:val="both"/>
        <w:rPr>
          <w:szCs w:val="36"/>
        </w:rPr>
      </w:pPr>
    </w:p>
    <w:p w:rsidR="00B7214C" w:rsidRPr="00E07116" w:rsidRDefault="00B7214C" w:rsidP="00B7214C">
      <w:pPr>
        <w:pStyle w:val="suite"/>
      </w:pPr>
      <w:r>
        <w:t>Par Eric SCHWIMMER</w:t>
      </w:r>
    </w:p>
    <w:p w:rsidR="00B7214C" w:rsidRPr="00E07116" w:rsidRDefault="00B7214C" w:rsidP="00B7214C">
      <w:pPr>
        <w:pStyle w:val="auteurst"/>
      </w:pPr>
      <w:r w:rsidRPr="004A7EF1">
        <w:t>Anthropologue, Montréal</w:t>
      </w:r>
    </w:p>
    <w:p w:rsidR="00B7214C" w:rsidRDefault="00B7214C" w:rsidP="00B7214C">
      <w:pPr>
        <w:spacing w:before="120" w:after="120"/>
        <w:jc w:val="both"/>
      </w:pPr>
    </w:p>
    <w:p w:rsidR="00B7214C" w:rsidRDefault="00B7214C" w:rsidP="00B7214C">
      <w:pPr>
        <w:spacing w:before="120" w:after="120"/>
        <w:jc w:val="both"/>
      </w:pPr>
    </w:p>
    <w:p w:rsidR="00B7214C" w:rsidRPr="00E64A4B" w:rsidRDefault="00B7214C" w:rsidP="00B7214C">
      <w:pPr>
        <w:spacing w:before="120" w:after="120"/>
        <w:jc w:val="both"/>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Convenons d'abord qu'après 68 ans, la théorie de Mauss a b</w:t>
      </w:r>
      <w:r w:rsidRPr="00E64A4B">
        <w:t>e</w:t>
      </w:r>
      <w:r w:rsidRPr="00E64A4B">
        <w:t>soin de nettoyage. Convenons aussi que Mauss n'a pas cessé de nous inte</w:t>
      </w:r>
      <w:r w:rsidRPr="00E64A4B">
        <w:t>r</w:t>
      </w:r>
      <w:r w:rsidRPr="00E64A4B">
        <w:t>p</w:t>
      </w:r>
      <w:r w:rsidRPr="00E64A4B">
        <w:t>e</w:t>
      </w:r>
      <w:r w:rsidRPr="00E64A4B">
        <w:t>ler. D'autre part, comme le démontre bien Godbout</w:t>
      </w:r>
      <w:r>
        <w:t> </w:t>
      </w:r>
      <w:r>
        <w:rPr>
          <w:rStyle w:val="Appelnotedebasdep"/>
        </w:rPr>
        <w:footnoteReference w:id="249"/>
      </w:r>
      <w:r w:rsidRPr="00E64A4B">
        <w:t>, l'aspect le plus faible de la théorie maussienne du don est bien c</w:t>
      </w:r>
      <w:r w:rsidRPr="00E64A4B">
        <w:t>e</w:t>
      </w:r>
      <w:r w:rsidRPr="00E64A4B">
        <w:t>lui qui a été le plus populaire, c'est-à-dire la définition du don par les « trois oblig</w:t>
      </w:r>
      <w:r w:rsidRPr="00E64A4B">
        <w:t>a</w:t>
      </w:r>
      <w:r w:rsidRPr="00E64A4B">
        <w:t>tions » qui ne s'avèrent « obligatoires » ni en Occident ni dans ce que Go</w:t>
      </w:r>
      <w:r w:rsidRPr="00E64A4B">
        <w:t>d</w:t>
      </w:r>
      <w:r w:rsidRPr="00E64A4B">
        <w:t>bout appelle les sociétés archaïques.</w:t>
      </w:r>
    </w:p>
    <w:p w:rsidR="00B7214C" w:rsidRPr="00E64A4B" w:rsidRDefault="00B7214C" w:rsidP="00B7214C">
      <w:pPr>
        <w:spacing w:before="120" w:after="120"/>
        <w:jc w:val="both"/>
      </w:pPr>
      <w:r w:rsidRPr="00E64A4B">
        <w:t>Quand je commençai à étudier les Orokaiva de la Papouasie, je voulais savoir ce qu'ils pensaient de ces trois obligations. Tous mes informateurs étaient d'accord sur l'obligation de donner, car si l'ho</w:t>
      </w:r>
      <w:r w:rsidRPr="00E64A4B">
        <w:t>m</w:t>
      </w:r>
      <w:r w:rsidRPr="00E64A4B">
        <w:t>me ne donne pas, il se trouvera dans une situation déplorable et ne vivra pas longtemps. Les deux autres obligations leur se</w:t>
      </w:r>
      <w:r w:rsidRPr="00E64A4B">
        <w:t>m</w:t>
      </w:r>
      <w:r w:rsidRPr="00E64A4B">
        <w:t>blaient plus que douteuses, car les Orokaiva n'ont l'habitude ni d'accepter tout ce qu'on peut leur donner ni de faire un don en r</w:t>
      </w:r>
      <w:r w:rsidRPr="00E64A4B">
        <w:t>e</w:t>
      </w:r>
      <w:r w:rsidRPr="00E64A4B">
        <w:t>tour pour tout ce qu'ils ont pu accepter. Quand j'expliquai plus en détails la théorie de Mauss, mes informateurs remirent en question sa logique même, en faisant valoir que si tout le monde est obligé de donner, il y a forcément a</w:t>
      </w:r>
      <w:r w:rsidRPr="00E64A4B">
        <w:t>u</w:t>
      </w:r>
      <w:r w:rsidRPr="00E64A4B">
        <w:t>tant de receveurs que de donneurs et les deux autres obligations d</w:t>
      </w:r>
      <w:r w:rsidRPr="00E64A4B">
        <w:t>e</w:t>
      </w:r>
      <w:r w:rsidRPr="00E64A4B">
        <w:t>viennent redondantes. Je suis donc content que, pareillement, Godbout veuille réduire les règles du don à une seule, conformément aux op</w:t>
      </w:r>
      <w:r w:rsidRPr="00E64A4B">
        <w:t>i</w:t>
      </w:r>
      <w:r w:rsidRPr="00E64A4B">
        <w:t>nions des Orokaiva.</w:t>
      </w:r>
    </w:p>
    <w:p w:rsidR="00B7214C" w:rsidRPr="00E64A4B" w:rsidRDefault="00B7214C" w:rsidP="00B7214C">
      <w:pPr>
        <w:spacing w:before="120" w:after="120"/>
        <w:jc w:val="both"/>
      </w:pPr>
      <w:r w:rsidRPr="00E64A4B">
        <w:t>[316]</w:t>
      </w:r>
    </w:p>
    <w:p w:rsidR="00B7214C" w:rsidRPr="00E64A4B" w:rsidRDefault="00B7214C" w:rsidP="00B7214C">
      <w:pPr>
        <w:spacing w:before="120" w:after="120"/>
        <w:jc w:val="both"/>
      </w:pPr>
      <w:r w:rsidRPr="00E64A4B">
        <w:t>Godbout explore en profondeur la question des dons gratuits (</w:t>
      </w:r>
      <w:r>
        <w:t>p</w:t>
      </w:r>
      <w:r w:rsidRPr="00E64A4B">
        <w:t xml:space="preserve">p. 247-261). Une fois qu'on cesse de regarder le don comme </w:t>
      </w:r>
      <w:r w:rsidRPr="00E64A4B">
        <w:rPr>
          <w:i/>
          <w:iCs/>
        </w:rPr>
        <w:t>obligatoire,</w:t>
      </w:r>
      <w:r w:rsidRPr="00E64A4B">
        <w:t xml:space="preserve"> on doit bien conclure qu'il est nécessairement spont</w:t>
      </w:r>
      <w:r w:rsidRPr="00E64A4B">
        <w:t>a</w:t>
      </w:r>
      <w:r w:rsidRPr="00E64A4B">
        <w:t>né et gratuit. « Le don n'attend rien en retour ; qui dit don dit gr</w:t>
      </w:r>
      <w:r w:rsidRPr="00E64A4B">
        <w:t>a</w:t>
      </w:r>
      <w:r w:rsidRPr="00E64A4B">
        <w:t>tuité. » (p. 249) On a donc bien besoin d'expliquer pourquoi le « retour du don » est un év</w:t>
      </w:r>
      <w:r w:rsidRPr="00E64A4B">
        <w:t>é</w:t>
      </w:r>
      <w:r w:rsidRPr="00E64A4B">
        <w:t>nement si fréquent, et si entouré de règles de toutes sortes. Cette e</w:t>
      </w:r>
      <w:r w:rsidRPr="00E64A4B">
        <w:t>x</w:t>
      </w:r>
      <w:r w:rsidRPr="00E64A4B">
        <w:t>plication doit rendre compte aussi du fait que (contrairement à la thé</w:t>
      </w:r>
      <w:r w:rsidRPr="00E64A4B">
        <w:t>o</w:t>
      </w:r>
      <w:r w:rsidRPr="00E64A4B">
        <w:t xml:space="preserve">rie de Mauss) beaucoup de dons sont unilatéraux, </w:t>
      </w:r>
      <w:r w:rsidRPr="00E64A4B">
        <w:rPr>
          <w:i/>
          <w:iCs/>
        </w:rPr>
        <w:t>de facto</w:t>
      </w:r>
      <w:r w:rsidRPr="00E64A4B">
        <w:t xml:space="preserve"> et </w:t>
      </w:r>
      <w:r w:rsidRPr="00E64A4B">
        <w:rPr>
          <w:i/>
          <w:iCs/>
        </w:rPr>
        <w:t>de jure</w:t>
      </w:r>
      <w:r w:rsidRPr="00E64A4B">
        <w:t xml:space="preserve"> (p. 249) et que le don ne cherche ni l'égalité ni l'équivalence (p. 253). Il est malheureux que Godbout veuille limiter ce dernier constat aux sociétés modernes, et qu'il prétende que, dans les sociétés « archaïques », les dons sont normalement équilibrés « à la longue » (p. 254). Les recherches contemporaines en Océanie et ailleurs do</w:t>
      </w:r>
      <w:r w:rsidRPr="00E64A4B">
        <w:t>n</w:t>
      </w:r>
      <w:r w:rsidRPr="00E64A4B">
        <w:t>nent des analyses plus serrées des opérations concrètes de ces soci</w:t>
      </w:r>
      <w:r w:rsidRPr="00E64A4B">
        <w:t>é</w:t>
      </w:r>
      <w:r w:rsidRPr="00E64A4B">
        <w:t>tés, démontrant que cet équilibre n'a jamais existé sauf dans certains cas et qu'on s'en passe dans d'autres cas, comme on le fait aussi dans les soci</w:t>
      </w:r>
      <w:r w:rsidRPr="00E64A4B">
        <w:t>é</w:t>
      </w:r>
      <w:r w:rsidRPr="00E64A4B">
        <w:t>tés contemporaines de l'Occident.</w:t>
      </w:r>
    </w:p>
    <w:p w:rsidR="00B7214C" w:rsidRPr="00E64A4B" w:rsidRDefault="00B7214C" w:rsidP="00B7214C">
      <w:pPr>
        <w:spacing w:before="120" w:after="120"/>
        <w:jc w:val="both"/>
      </w:pPr>
      <w:r w:rsidRPr="00E64A4B">
        <w:t>Godbout explique la gratuité du don par « le mouvement spo</w:t>
      </w:r>
      <w:r w:rsidRPr="00E64A4B">
        <w:t>n</w:t>
      </w:r>
      <w:r w:rsidRPr="00E64A4B">
        <w:t>tané de l'âme vers autrui » (p. 257). Cette phrase pose des problèmes év</w:t>
      </w:r>
      <w:r w:rsidRPr="00E64A4B">
        <w:t>i</w:t>
      </w:r>
      <w:r w:rsidRPr="00E64A4B">
        <w:t>dents aux anthropologues qui veulent comprendre la sign</w:t>
      </w:r>
      <w:r w:rsidRPr="00E64A4B">
        <w:t>i</w:t>
      </w:r>
      <w:r w:rsidRPr="00E64A4B">
        <w:t>fication du don chez une tribu particulière, selon les représent</w:t>
      </w:r>
      <w:r w:rsidRPr="00E64A4B">
        <w:t>a</w:t>
      </w:r>
      <w:r w:rsidRPr="00E64A4B">
        <w:t>tions de cette tribu. En effet, les divers systèmes de pensée re</w:t>
      </w:r>
      <w:r w:rsidRPr="00E64A4B">
        <w:t>n</w:t>
      </w:r>
      <w:r w:rsidRPr="00E64A4B">
        <w:t>dent compte du don de beaucoup de façons différentes. Il est tout aussi difficile de confirmer que « la gratuité s'explique par la r</w:t>
      </w:r>
      <w:r w:rsidRPr="00E64A4B">
        <w:t>é</w:t>
      </w:r>
      <w:r w:rsidRPr="00E64A4B">
        <w:t>alité du plaisir du don » (p. 260).</w:t>
      </w:r>
    </w:p>
    <w:p w:rsidR="00B7214C" w:rsidRPr="00E64A4B" w:rsidRDefault="00B7214C" w:rsidP="00B7214C">
      <w:pPr>
        <w:spacing w:before="120" w:after="120"/>
        <w:jc w:val="both"/>
      </w:pPr>
      <w:r w:rsidRPr="00E64A4B">
        <w:t>Il serait plus simple de reconnaître que le don est un signe adressé à une ou à plusieurs personnes. Selon la formulation de Peirce, le don serait un signifiant dont l'objet serait la relation s</w:t>
      </w:r>
      <w:r w:rsidRPr="00E64A4B">
        <w:t>o</w:t>
      </w:r>
      <w:r w:rsidRPr="00E64A4B">
        <w:t>ciale que le donneur veut établir et maintenir. Autrement dit, le don médiatise une relation sociale : il la signifie</w:t>
      </w:r>
      <w:r>
        <w:t> </w:t>
      </w:r>
      <w:r>
        <w:rPr>
          <w:rStyle w:val="Appelnotedebasdep"/>
        </w:rPr>
        <w:footnoteReference w:id="250"/>
      </w:r>
      <w:r w:rsidRPr="00E64A4B">
        <w:t>. D'autre part, chaque don porte un message particulier au destinataire, un me</w:t>
      </w:r>
      <w:r w:rsidRPr="00E64A4B">
        <w:t>s</w:t>
      </w:r>
      <w:r w:rsidRPr="00E64A4B">
        <w:t xml:space="preserve">sage souvent subtil qu'on ne réussira pas à lire à moins de bien connaître le langage courant des dons dans la société en question. Encore dans le vocabulaire peircien, ce langage s'appelle </w:t>
      </w:r>
      <w:r w:rsidRPr="00E64A4B">
        <w:rPr>
          <w:i/>
          <w:iCs/>
        </w:rPr>
        <w:t>l'interprétant</w:t>
      </w:r>
      <w:r w:rsidRPr="00E64A4B">
        <w:t xml:space="preserve"> du don. J'utilise ici le mot « langage » (Lo</w:t>
      </w:r>
      <w:r w:rsidRPr="00E64A4B">
        <w:t>t</w:t>
      </w:r>
      <w:r w:rsidRPr="00E64A4B">
        <w:t>man) plutôt que « code » (Barthes) pour éviter qu'on ne regarde cet interprétant comme un système fermé et obligatoire</w:t>
      </w:r>
      <w:r>
        <w:t> </w:t>
      </w:r>
      <w:r>
        <w:rPr>
          <w:rStyle w:val="Appelnotedebasdep"/>
        </w:rPr>
        <w:footnoteReference w:id="251"/>
      </w:r>
      <w:r w:rsidRPr="00E64A4B">
        <w:t>. Car, en effet, chaque bouquet de fleurs porte son message particulier qui change si l'on change une fleur dans le bouquet. Le don a une dimension de l</w:t>
      </w:r>
      <w:r w:rsidRPr="00E64A4B">
        <w:t>i</w:t>
      </w:r>
      <w:r w:rsidRPr="00E64A4B">
        <w:t>berté et d'invention dans la mesure où le donneur peut construire un nombre presque infini de messages - conventionnels et no</w:t>
      </w:r>
      <w:r w:rsidRPr="00E64A4B">
        <w:t>u</w:t>
      </w:r>
      <w:r w:rsidRPr="00E64A4B">
        <w:t>veaux.</w:t>
      </w:r>
    </w:p>
    <w:p w:rsidR="00B7214C" w:rsidRPr="00E64A4B" w:rsidRDefault="00B7214C" w:rsidP="00B7214C">
      <w:pPr>
        <w:spacing w:before="120" w:after="120"/>
        <w:jc w:val="both"/>
      </w:pPr>
      <w:r w:rsidRPr="00E64A4B">
        <w:t>Le langage du don constitue un système cohérent qui entraîne aussi un métalangage expliquant le phénomène même du don. Ce métala</w:t>
      </w:r>
      <w:r w:rsidRPr="00E64A4B">
        <w:t>n</w:t>
      </w:r>
      <w:r w:rsidRPr="00E64A4B">
        <w:t>gage fait partie, à son tour, d'une philosophie sociale r</w:t>
      </w:r>
      <w:r w:rsidRPr="00E64A4B">
        <w:t>e</w:t>
      </w:r>
      <w:r w:rsidRPr="00E64A4B">
        <w:t>liant le don aux autres</w:t>
      </w:r>
      <w:r>
        <w:t xml:space="preserve"> </w:t>
      </w:r>
      <w:r w:rsidRPr="00E64A4B">
        <w:t>[317]</w:t>
      </w:r>
      <w:r>
        <w:t xml:space="preserve"> </w:t>
      </w:r>
      <w:r w:rsidRPr="00E64A4B">
        <w:t>concepts par lesquels une société particulière se représe</w:t>
      </w:r>
      <w:r w:rsidRPr="00E64A4B">
        <w:t>n</w:t>
      </w:r>
      <w:r w:rsidRPr="00E64A4B">
        <w:t>te le ph</w:t>
      </w:r>
      <w:r w:rsidRPr="00E64A4B">
        <w:t>é</w:t>
      </w:r>
      <w:r w:rsidRPr="00E64A4B">
        <w:t>nomène de la socialité. Ainsi, la religion chrétienne possède le concept de la gratuité du don qu'elle se représente en prétendant que le récepteur de ce don est Dieu lui-même. Dans d'autres sy</w:t>
      </w:r>
      <w:r w:rsidRPr="00E64A4B">
        <w:t>s</w:t>
      </w:r>
      <w:r w:rsidRPr="00E64A4B">
        <w:t>tèmes de pensée, il y a d'autres lectures religieuses qui représe</w:t>
      </w:r>
      <w:r w:rsidRPr="00E64A4B">
        <w:t>n</w:t>
      </w:r>
      <w:r w:rsidRPr="00E64A4B">
        <w:t>tent le don libre par d'autres entités spirituelles, invisibles. Il y a également des lectures dont les métalangages expliquent le don par le renom, l'honneur, la noblesse, l'amour, le plaisir, etc. Ces lectures ne s'appuient d'aucune « preuve » ; on serait mal avisé d'en chercher. Car on peut dire de la gratuité du don ce que dit Wittgenstein d'autres rites semblables qui auraient, partout dans le monde, « des visages multiples avec des traits communs qui ça et là réapparaissent sans cesse. Et ce qu'on voudrait faire serait de tracer des lignes qui relient les composantes communes. Il ma</w:t>
      </w:r>
      <w:r w:rsidRPr="00E64A4B">
        <w:t>n</w:t>
      </w:r>
      <w:r w:rsidRPr="00E64A4B">
        <w:t>que alors encore une partie à notre vision des choses et c'est celle qui met ce tableau en liaison avec nos propres sentiments et pe</w:t>
      </w:r>
      <w:r w:rsidRPr="00E64A4B">
        <w:t>n</w:t>
      </w:r>
      <w:r w:rsidRPr="00E64A4B">
        <w:t>sées. C'est cette partie qui donne aux choses leur profondeur » (1982, p. 28).</w:t>
      </w:r>
    </w:p>
    <w:p w:rsidR="00B7214C" w:rsidRPr="00E64A4B" w:rsidRDefault="00B7214C" w:rsidP="00B7214C">
      <w:pPr>
        <w:spacing w:before="120" w:after="120"/>
        <w:jc w:val="both"/>
      </w:pPr>
      <w:r w:rsidRPr="00E64A4B">
        <w:t xml:space="preserve">Dans la mesure où le modèle de </w:t>
      </w:r>
      <w:r w:rsidRPr="00E64A4B">
        <w:rPr>
          <w:i/>
          <w:iCs/>
        </w:rPr>
        <w:t>l'homo donator</w:t>
      </w:r>
      <w:r w:rsidRPr="00E64A4B">
        <w:t xml:space="preserve"> est universel, il i</w:t>
      </w:r>
      <w:r w:rsidRPr="00E64A4B">
        <w:t>n</w:t>
      </w:r>
      <w:r w:rsidRPr="00E64A4B">
        <w:t>clut forcément les marchands en tant qu'individus. L'une des vertus de la théorie de Godbout est de le reconnaître explicit</w:t>
      </w:r>
      <w:r w:rsidRPr="00E64A4B">
        <w:t>e</w:t>
      </w:r>
      <w:r w:rsidRPr="00E64A4B">
        <w:t>ment. Car c'est difficile de distinguer nettement le fêteur indiv</w:t>
      </w:r>
      <w:r w:rsidRPr="00E64A4B">
        <w:t>i</w:t>
      </w:r>
      <w:r w:rsidRPr="00E64A4B">
        <w:t>duel du marchand. Il serait plus difficile encore de distinguer le marchand, comme indiv</w:t>
      </w:r>
      <w:r w:rsidRPr="00E64A4B">
        <w:t>i</w:t>
      </w:r>
      <w:r w:rsidRPr="00E64A4B">
        <w:t>du, des grandes compagnies, institutions, gouvernement et personnes morales en général. Car le marchand fêteur, donc donneur, est souvent gestionnaire aussi, agent d'une compagnie, publique ou privée, à l</w:t>
      </w:r>
      <w:r w:rsidRPr="00E64A4B">
        <w:t>a</w:t>
      </w:r>
      <w:r w:rsidRPr="00E64A4B">
        <w:t>quelle il doit rendre des com</w:t>
      </w:r>
      <w:r w:rsidRPr="00E64A4B">
        <w:t>p</w:t>
      </w:r>
      <w:r w:rsidRPr="00E64A4B">
        <w:t>tes.</w:t>
      </w:r>
    </w:p>
    <w:p w:rsidR="00B7214C" w:rsidRPr="00E64A4B" w:rsidRDefault="00B7214C" w:rsidP="00B7214C">
      <w:pPr>
        <w:spacing w:before="120" w:after="120"/>
        <w:jc w:val="both"/>
      </w:pPr>
      <w:r w:rsidRPr="00E64A4B">
        <w:t>Considérons, par exemple, le char qu'un menuisier de Saint-Séverin prépara pour la parade de Saint-Tite sur le thème de l'i</w:t>
      </w:r>
      <w:r w:rsidRPr="00E64A4B">
        <w:t>n</w:t>
      </w:r>
      <w:r w:rsidRPr="00E64A4B">
        <w:t>dustrie du bois. Chartier en parle dans son papier (1994) sur les parades fest</w:t>
      </w:r>
      <w:r w:rsidRPr="00E64A4B">
        <w:t>i</w:t>
      </w:r>
      <w:r w:rsidRPr="00E64A4B">
        <w:t>valières. Afin d'y mettre l'esprit du festival plutôt que de la publicité, ce menuisier avait construit un modèle légèrement dérisoire de cette industrie. Il mit sur le char des enfants pour e</w:t>
      </w:r>
      <w:r w:rsidRPr="00E64A4B">
        <w:t>f</w:t>
      </w:r>
      <w:r w:rsidRPr="00E64A4B">
        <w:t>fectuer des simili-travaux de bûcheron, de scierie, de construction mais aucune publicité pour son entreprise. Pas question pourtant d'assumer lui-même les frais (de 1 000 $ environ). Il ne fournit que le dessin du char, le travail de menuiserie, certains matériaux et des équipements dont il disposait déjà. Pour les autres frais, il demanda et obtint le soutien de plusieurs petites entreprises de Saint-Séverin. Les noms de tous les command</w:t>
      </w:r>
      <w:r w:rsidRPr="00E64A4B">
        <w:t>i</w:t>
      </w:r>
      <w:r w:rsidRPr="00E64A4B">
        <w:t>taires figuraient sur le char.</w:t>
      </w:r>
    </w:p>
    <w:p w:rsidR="00B7214C" w:rsidRPr="00E64A4B" w:rsidRDefault="00B7214C" w:rsidP="00B7214C">
      <w:pPr>
        <w:spacing w:before="120" w:after="120"/>
        <w:jc w:val="both"/>
      </w:pPr>
      <w:r w:rsidRPr="00E64A4B">
        <w:t>On peut proposer plusieurs lectures plausibles de cette prest</w:t>
      </w:r>
      <w:r w:rsidRPr="00E64A4B">
        <w:t>a</w:t>
      </w:r>
      <w:r w:rsidRPr="00E64A4B">
        <w:t>tion. Dans les bilans des entreprises et les déclarations d'impôts, elle repr</w:t>
      </w:r>
      <w:r w:rsidRPr="00E64A4B">
        <w:t>é</w:t>
      </w:r>
      <w:r w:rsidRPr="00E64A4B">
        <w:t>sente un investissement judicieux à la rubrique des « relations publ</w:t>
      </w:r>
      <w:r w:rsidRPr="00E64A4B">
        <w:t>i</w:t>
      </w:r>
      <w:r w:rsidRPr="00E64A4B">
        <w:t>ques ». Dans le langage des statuts sociaux, elle représente les part</w:t>
      </w:r>
      <w:r w:rsidRPr="00E64A4B">
        <w:t>e</w:t>
      </w:r>
      <w:r w:rsidRPr="00E64A4B">
        <w:t>naires du char comme des citoyens solides ayant le sens de leur re</w:t>
      </w:r>
      <w:r w:rsidRPr="00E64A4B">
        <w:t>s</w:t>
      </w:r>
      <w:r w:rsidRPr="00E64A4B">
        <w:t>ponsabilité sociale. Dans le langage de la fête, on dira que pour faire ce char, ces gens doivent posséder</w:t>
      </w:r>
      <w:r>
        <w:t xml:space="preserve"> </w:t>
      </w:r>
      <w:r w:rsidRPr="00E64A4B">
        <w:t>[318]</w:t>
      </w:r>
      <w:r>
        <w:t xml:space="preserve"> </w:t>
      </w:r>
      <w:r w:rsidRPr="00E64A4B">
        <w:t>« l'esprit du don ». Vu que l'économie de la région est assez fragile, cette lecture de la prestation est peut-être plus réaliste que celle qui la représente comme un inve</w:t>
      </w:r>
      <w:r w:rsidRPr="00E64A4B">
        <w:t>s</w:t>
      </w:r>
      <w:r w:rsidRPr="00E64A4B">
        <w:t>tissement judicieux.</w:t>
      </w:r>
    </w:p>
    <w:p w:rsidR="00B7214C" w:rsidRPr="00E64A4B" w:rsidRDefault="00B7214C" w:rsidP="00B7214C">
      <w:pPr>
        <w:spacing w:before="120" w:after="120"/>
        <w:jc w:val="both"/>
      </w:pPr>
      <w:r w:rsidRPr="00E64A4B">
        <w:t>Les grands commanditaires des festivals mauriciens - les entrepr</w:t>
      </w:r>
      <w:r w:rsidRPr="00E64A4B">
        <w:t>i</w:t>
      </w:r>
      <w:r w:rsidRPr="00E64A4B">
        <w:t>ses internationales, les paliers de gouvernement - tiennent à gérer leurs fonds selon les critères les plus stricts de l'efficacité économique. Si ces institutions étaient les seuls producteurs de festivals, ceux-ci seraient gérés selon le modèle strictement éc</w:t>
      </w:r>
      <w:r w:rsidRPr="00E64A4B">
        <w:t>o</w:t>
      </w:r>
      <w:r w:rsidRPr="00E64A4B">
        <w:t>nomique du « don », rejeté à juste titre par Godbout. La réalité est pourtant moins simple. Ainsi, selon le témoignage précieux de St-Laurent (1982), s'exprimant comme représentant de la brasserie O’Keefe, grand commanditaire des festivals québécois, la polit</w:t>
      </w:r>
      <w:r w:rsidRPr="00E64A4B">
        <w:t>i</w:t>
      </w:r>
      <w:r w:rsidRPr="00E64A4B">
        <w:t xml:space="preserve">que des relations publiques de sa compagnie préconise « l'implication communautaire ». En distribuant des caisses de bière, des programmes imprimés, etc., la compagnie joue sciemment le rôle de </w:t>
      </w:r>
      <w:r w:rsidRPr="00E64A4B">
        <w:rPr>
          <w:i/>
          <w:iCs/>
        </w:rPr>
        <w:t>donneur,</w:t>
      </w:r>
      <w:r w:rsidRPr="00E64A4B">
        <w:t xml:space="preserve"> guidée par les valeurs communa</w:t>
      </w:r>
      <w:r w:rsidRPr="00E64A4B">
        <w:t>u</w:t>
      </w:r>
      <w:r w:rsidRPr="00E64A4B">
        <w:t xml:space="preserve">taires. Selon le modèle économique, cette compagnie ne ferait donc que « simuler » les comportements et les valeurs de </w:t>
      </w:r>
      <w:r w:rsidRPr="00E64A4B">
        <w:rPr>
          <w:i/>
          <w:iCs/>
        </w:rPr>
        <w:t>l'homo donator.</w:t>
      </w:r>
    </w:p>
    <w:p w:rsidR="00B7214C" w:rsidRPr="00E64A4B" w:rsidRDefault="00B7214C" w:rsidP="00B7214C">
      <w:pPr>
        <w:spacing w:before="120" w:after="120"/>
        <w:jc w:val="both"/>
      </w:pPr>
      <w:r w:rsidRPr="00E64A4B">
        <w:t>Comment distinguerait-on pourtant ici entre le simulacre et la r</w:t>
      </w:r>
      <w:r w:rsidRPr="00E64A4B">
        <w:t>é</w:t>
      </w:r>
      <w:r w:rsidRPr="00E64A4B">
        <w:t xml:space="preserve">alité ? Car tout ce que fait </w:t>
      </w:r>
      <w:r w:rsidRPr="00E64A4B">
        <w:rPr>
          <w:i/>
          <w:iCs/>
        </w:rPr>
        <w:t>l'homo donator,</w:t>
      </w:r>
      <w:r w:rsidRPr="00E64A4B">
        <w:t xml:space="preserve"> c'est d'émettre des signes, empruntant des formes matérielles qui servent à exprimer des sent</w:t>
      </w:r>
      <w:r w:rsidRPr="00E64A4B">
        <w:t>i</w:t>
      </w:r>
      <w:r w:rsidRPr="00E64A4B">
        <w:t>ments sociaux. Le don ne fait donc pas forcément que simuler des sentiments ; il les donne à voir. Ces sentiments pe</w:t>
      </w:r>
      <w:r w:rsidRPr="00E64A4B">
        <w:t>u</w:t>
      </w:r>
      <w:r w:rsidRPr="00E64A4B">
        <w:t>vent évidemment être profonds ou superficiels, vrais ou menso</w:t>
      </w:r>
      <w:r w:rsidRPr="00E64A4B">
        <w:t>n</w:t>
      </w:r>
      <w:r w:rsidRPr="00E64A4B">
        <w:t>gers et les sentiments mensongers sont parfois difficiles à déte</w:t>
      </w:r>
      <w:r w:rsidRPr="00E64A4B">
        <w:t>c</w:t>
      </w:r>
      <w:r w:rsidRPr="00E64A4B">
        <w:t xml:space="preserve">ter. Expérimenté et assidu, le lecteur de signes réussira souvent à détecter les sentiments cachés du donneur généreux en apparence. Il reste qu'on ne peut pas distinguer les dons institutionnels des « vrais » dons en invoquant leur qualité de simulacres. On peut même remettre en question que ces deux animaux imaginés par les savants, </w:t>
      </w:r>
      <w:r w:rsidRPr="00E64A4B">
        <w:rPr>
          <w:i/>
          <w:iCs/>
        </w:rPr>
        <w:t>homo economicus</w:t>
      </w:r>
      <w:r w:rsidRPr="00E64A4B">
        <w:t xml:space="preserve"> et </w:t>
      </w:r>
      <w:r w:rsidRPr="00E64A4B">
        <w:rPr>
          <w:i/>
          <w:iCs/>
        </w:rPr>
        <w:t>homo donator,</w:t>
      </w:r>
      <w:r w:rsidRPr="00E64A4B">
        <w:t xml:space="preserve"> repr</w:t>
      </w:r>
      <w:r w:rsidRPr="00E64A4B">
        <w:t>é</w:t>
      </w:r>
      <w:r w:rsidRPr="00E64A4B">
        <w:t>sentent des principes contradictoires. Le citoyen, le marchand, le n</w:t>
      </w:r>
      <w:r w:rsidRPr="00E64A4B">
        <w:t>o</w:t>
      </w:r>
      <w:r w:rsidRPr="00E64A4B">
        <w:t>table, la personne morale - tout le monde économise et tout le monde do</w:t>
      </w:r>
      <w:r w:rsidRPr="00E64A4B">
        <w:t>n</w:t>
      </w:r>
      <w:r w:rsidRPr="00E64A4B">
        <w:t>ne. Tout le monde utilise, par ailleurs, des rhétoriques diverses, parfois celle de l'économiste, parfois celle du donneur.</w:t>
      </w:r>
    </w:p>
    <w:p w:rsidR="00B7214C" w:rsidRPr="00E64A4B" w:rsidRDefault="00B7214C" w:rsidP="00B7214C">
      <w:pPr>
        <w:spacing w:before="120" w:after="120"/>
        <w:jc w:val="both"/>
      </w:pPr>
      <w:r w:rsidRPr="00E64A4B">
        <w:t>Ce modèle bicéphale n'entre pas en conflit non plus</w:t>
      </w:r>
      <w:r>
        <w:t> </w:t>
      </w:r>
      <w:r>
        <w:rPr>
          <w:rStyle w:val="Appelnotedebasdep"/>
        </w:rPr>
        <w:footnoteReference w:id="252"/>
      </w:r>
      <w:r w:rsidRPr="00E64A4B">
        <w:t xml:space="preserve"> avec les thé</w:t>
      </w:r>
      <w:r w:rsidRPr="00E64A4B">
        <w:t>o</w:t>
      </w:r>
      <w:r w:rsidRPr="00E64A4B">
        <w:t>ries de Godelier, de Bourdieu ou d'autres, car l'esprit du don peut su</w:t>
      </w:r>
      <w:r w:rsidRPr="00E64A4B">
        <w:t>r</w:t>
      </w:r>
      <w:r w:rsidRPr="00E64A4B">
        <w:t>vivre dans les pires conditions matérielles. Ces cas de conflit sont d'ailleurs difficiles à identifier. Car l'homme reste to</w:t>
      </w:r>
      <w:r w:rsidRPr="00E64A4B">
        <w:t>u</w:t>
      </w:r>
      <w:r w:rsidRPr="00E64A4B">
        <w:t>jours, dans une certaine mesure, économiste. S'il veut donner, c'est-à-dire émettre des signes libres et spontanés d'amitié et d'a</w:t>
      </w:r>
      <w:r w:rsidRPr="00E64A4B">
        <w:t>l</w:t>
      </w:r>
      <w:r w:rsidRPr="00E64A4B">
        <w:t>liance, la règle veut parfois qu'il donne tout ce qu'il possède, ce qui semble exclure tout calcul économique. Il se garde bien, ma</w:t>
      </w:r>
      <w:r w:rsidRPr="00E64A4B">
        <w:t>l</w:t>
      </w:r>
      <w:r w:rsidRPr="00E64A4B">
        <w:t>gré tout, de provoquer des désastres dans la maison. D'autre part, le donneur choisit avec soin son partena</w:t>
      </w:r>
      <w:r w:rsidRPr="00E64A4B">
        <w:t>i</w:t>
      </w:r>
      <w:r w:rsidRPr="00E64A4B">
        <w:t>re et son don de manière à faire grandir son renom. Prétendre que le donneur mélanésien ne cherche</w:t>
      </w:r>
      <w:r>
        <w:t xml:space="preserve"> </w:t>
      </w:r>
      <w:r w:rsidRPr="00E64A4B">
        <w:t>[319]</w:t>
      </w:r>
      <w:r>
        <w:t xml:space="preserve"> </w:t>
      </w:r>
      <w:r w:rsidRPr="00E64A4B">
        <w:t>pas à retirer, de son don, du « capital symbolique » (au sens de Bourdieu), serait contredire toute la recherche des mélanésiani</w:t>
      </w:r>
      <w:r w:rsidRPr="00E64A4B">
        <w:t>s</w:t>
      </w:r>
      <w:r w:rsidRPr="00E64A4B">
        <w:t>tes. Le grand-homme mélanésien rusé et calculateur est pourtant un homme de coeur, capable d'émettre chale</w:t>
      </w:r>
      <w:r w:rsidRPr="00E64A4B">
        <w:t>u</w:t>
      </w:r>
      <w:r w:rsidRPr="00E64A4B">
        <w:t>reusement les signes de socialité avec acharnement sans pour autant perdre de vue ses intérêts à long terme. On fait plusieurs choses à la fois.</w:t>
      </w:r>
    </w:p>
    <w:p w:rsidR="00B7214C" w:rsidRPr="00E64A4B" w:rsidRDefault="00B7214C" w:rsidP="00B7214C">
      <w:pPr>
        <w:spacing w:before="120" w:after="120"/>
        <w:jc w:val="both"/>
      </w:pPr>
      <w:r w:rsidRPr="00E64A4B">
        <w:t>Le don fait partie, en effet, d'un code de discours affichant l'indi</w:t>
      </w:r>
      <w:r w:rsidRPr="00E64A4B">
        <w:t>f</w:t>
      </w:r>
      <w:r w:rsidRPr="00E64A4B">
        <w:t>férence totale envers l'économique. Mais ce n'est pas le seul code. Il y a des gens qui donnent des cochonnets à leurs amis d'un village vo</w:t>
      </w:r>
      <w:r w:rsidRPr="00E64A4B">
        <w:t>i</w:t>
      </w:r>
      <w:r w:rsidRPr="00E64A4B">
        <w:t>sin. Ceux-ci les élèvent et feront par la suite un don de cochons en r</w:t>
      </w:r>
      <w:r w:rsidRPr="00E64A4B">
        <w:t>e</w:t>
      </w:r>
      <w:r w:rsidRPr="00E64A4B">
        <w:t>tour. L'objet de cet exercice, c'est d'éviter, lors d'une grande fête, que le village ne perde vraiment tous ses cochons. Si ces gorets restaient au village, on serait forcé de les tuer ; aussi, on prend bien soin qu'ils partent. Je pense donc que les vrais conflits entre le don et l'économ</w:t>
      </w:r>
      <w:r w:rsidRPr="00E64A4B">
        <w:t>i</w:t>
      </w:r>
      <w:r w:rsidRPr="00E64A4B">
        <w:t>que sont rares chez le grand-homme mélanésien aussi bien que chez le marchand, sauf que la performance du premier, en tant que fiduciaire, se mesure par le renom gagné tandis que celle du marchand se mesure d'abord par le pourcentage des dividendes.</w:t>
      </w:r>
    </w:p>
    <w:p w:rsidR="00B7214C" w:rsidRPr="00E64A4B" w:rsidRDefault="00B7214C" w:rsidP="00B7214C">
      <w:pPr>
        <w:spacing w:before="120" w:after="120"/>
        <w:jc w:val="both"/>
      </w:pPr>
      <w:r w:rsidRPr="00E64A4B">
        <w:t xml:space="preserve">En règle générale, il n'y a donc pas de conflit entre les modèles de </w:t>
      </w:r>
      <w:r w:rsidRPr="000D1A32">
        <w:rPr>
          <w:i/>
          <w:iCs/>
        </w:rPr>
        <w:t>l'homo donator</w:t>
      </w:r>
      <w:r w:rsidRPr="00E64A4B">
        <w:t xml:space="preserve"> et de </w:t>
      </w:r>
      <w:r w:rsidRPr="000D1A32">
        <w:rPr>
          <w:i/>
          <w:iCs/>
        </w:rPr>
        <w:t>l'homo economicus,</w:t>
      </w:r>
      <w:r w:rsidRPr="00E64A4B">
        <w:t xml:space="preserve"> qui semblent cohabiter pa</w:t>
      </w:r>
      <w:r w:rsidRPr="00E64A4B">
        <w:t>i</w:t>
      </w:r>
      <w:r w:rsidRPr="00E64A4B">
        <w:t>siblement dans la même personne. Il y a évidemment des cas où on est prêt à sacrifier le tout pour le tout, soit parce qu'on a cessé d'attacher une valeur quelconque à sa condition actuelle soit parce que la valeur de la relation établie par le don absolu semble infinie. Ces cas ne contredisent pas la cohabitation des deux principes dans la même pe</w:t>
      </w:r>
      <w:r w:rsidRPr="00E64A4B">
        <w:t>r</w:t>
      </w:r>
      <w:r w:rsidRPr="00E64A4B">
        <w:t>sonne, mais ils les étendent à l'infini.</w:t>
      </w:r>
    </w:p>
    <w:p w:rsidR="00B7214C" w:rsidRPr="00E64A4B" w:rsidRDefault="00B7214C" w:rsidP="00B7214C">
      <w:pPr>
        <w:spacing w:before="120" w:after="120"/>
        <w:jc w:val="both"/>
      </w:pPr>
      <w:r w:rsidRPr="00E64A4B">
        <w:t>Considérons finalement la question controversée du « retour du don ». Or, la théorie de Mauss, qui est aussi celle de Godbout, supp</w:t>
      </w:r>
      <w:r w:rsidRPr="00E64A4B">
        <w:t>o</w:t>
      </w:r>
      <w:r w:rsidRPr="00E64A4B">
        <w:t>se que le retour du don est la condition d'établissement des relations sociales. Il n'y aurait donc pas de relations sociales avant que le don ne soit retourné. Vu que cette proposition est paradox</w:t>
      </w:r>
      <w:r w:rsidRPr="00E64A4B">
        <w:t>a</w:t>
      </w:r>
      <w:r w:rsidRPr="00E64A4B">
        <w:t>le (car il y a évidemment une sorte de relation sociale, même avant que le premier don soit présenté), on précise que la relation existant avant le « retour » n'est pas une relation « véritable ». Ce qui pose la question du sens du mot « véritable ». Car il n'est pas évident qu'on puisse to</w:t>
      </w:r>
      <w:r w:rsidRPr="00E64A4B">
        <w:t>u</w:t>
      </w:r>
      <w:r w:rsidRPr="00E64A4B">
        <w:t>jours distinguer une « vraie » relation d'un relation « non vraie », su</w:t>
      </w:r>
      <w:r w:rsidRPr="00E64A4B">
        <w:t>r</w:t>
      </w:r>
      <w:r w:rsidRPr="00E64A4B">
        <w:t>tout si cette relation est exprimée, sim</w:t>
      </w:r>
      <w:r w:rsidRPr="00E64A4B">
        <w:t>u</w:t>
      </w:r>
      <w:r w:rsidRPr="00E64A4B">
        <w:t>lée, par un signe comme le don. Je préfère donc, pour le moment m'en tenir à l'idée que le don est toujours « gratuit ». Le retour est certes un événement d'importance majeure, mais la littérature des sciences sociales laisse sa signification plutôt obscure. Je l'illu</w:t>
      </w:r>
      <w:r w:rsidRPr="00E64A4B">
        <w:t>s</w:t>
      </w:r>
      <w:r w:rsidRPr="00E64A4B">
        <w:t>trerai d'abord par un exemple ethnographique, pris chez les Orokaiva.</w:t>
      </w:r>
    </w:p>
    <w:p w:rsidR="00B7214C" w:rsidRPr="00E64A4B" w:rsidRDefault="00B7214C" w:rsidP="00B7214C">
      <w:pPr>
        <w:spacing w:before="120" w:after="120"/>
        <w:jc w:val="both"/>
      </w:pPr>
      <w:r w:rsidRPr="00E64A4B">
        <w:t>[320]</w:t>
      </w:r>
    </w:p>
    <w:p w:rsidR="00B7214C" w:rsidRPr="00E64A4B" w:rsidRDefault="00B7214C" w:rsidP="00B7214C">
      <w:pPr>
        <w:spacing w:before="120" w:after="120"/>
        <w:jc w:val="both"/>
      </w:pPr>
      <w:r w:rsidRPr="00E64A4B">
        <w:t>On apprend dans un récit orokaiva comment deux groupes e</w:t>
      </w:r>
      <w:r w:rsidRPr="00E64A4B">
        <w:t>n</w:t>
      </w:r>
      <w:r w:rsidRPr="00E64A4B">
        <w:t>nemis font la paix. La paix commence par un « don libre » offert par l'un des camps combattants. Le deuxième moment du proce</w:t>
      </w:r>
      <w:r w:rsidRPr="00E64A4B">
        <w:t>s</w:t>
      </w:r>
      <w:r w:rsidRPr="00E64A4B">
        <w:t>sus est un « don libre » de la part de l'autre camp. Ce deuxième don est assorti d'un invitation ; le premier donneur est l'invité d'une fête, un vrai cadeau, dans l'intention de faire la paix. Il arr</w:t>
      </w:r>
      <w:r w:rsidRPr="00E64A4B">
        <w:t>i</w:t>
      </w:r>
      <w:r w:rsidRPr="00E64A4B">
        <w:t>ve donc au village de ses ex-ennemis et reçoit des cadeaux. Les donneurs de fête lui disent que ce cadeau veut exprimer leur r</w:t>
      </w:r>
      <w:r w:rsidRPr="00E64A4B">
        <w:t>e</w:t>
      </w:r>
      <w:r w:rsidRPr="00E64A4B">
        <w:t>connaissance de ce que l'autre camp ait « ouvert la voie de la paix ». Les deux côtés décident alors de ne plus se battre entre eux. L'invité annonce qu'il appellera plus tard les do</w:t>
      </w:r>
      <w:r w:rsidRPr="00E64A4B">
        <w:t>n</w:t>
      </w:r>
      <w:r w:rsidRPr="00E64A4B">
        <w:t>neurs de ce</w:t>
      </w:r>
      <w:r w:rsidRPr="00E64A4B">
        <w:t>t</w:t>
      </w:r>
      <w:r w:rsidRPr="00E64A4B">
        <w:t>te fête pour leur offrir des cadeaux de retour qui serviront à « conclure la paix ». Il y a donc ici trois étapes : ouvrir la voie de la paix, donner les premiers cadeaux formels, conclure la paix. Il y a c</w:t>
      </w:r>
      <w:r w:rsidRPr="00E64A4B">
        <w:t>e</w:t>
      </w:r>
      <w:r w:rsidRPr="00E64A4B">
        <w:t>pendant des « relations sociales » dès le début du processus. La tro</w:t>
      </w:r>
      <w:r w:rsidRPr="00E64A4B">
        <w:t>i</w:t>
      </w:r>
      <w:r w:rsidRPr="00E64A4B">
        <w:t xml:space="preserve">sième étape </w:t>
      </w:r>
      <w:r w:rsidRPr="00E64A4B">
        <w:rPr>
          <w:i/>
          <w:iCs/>
        </w:rPr>
        <w:t>fixe</w:t>
      </w:r>
      <w:r w:rsidRPr="00E64A4B">
        <w:t xml:space="preserve"> les relations de paix qui se préparent d'abord par celui qui ouvre la voie, ensuite par celui qui fait le cadeau. Il y a certain</w:t>
      </w:r>
      <w:r w:rsidRPr="00E64A4B">
        <w:t>e</w:t>
      </w:r>
      <w:r w:rsidRPr="00E64A4B">
        <w:t>ment une « fête de retour » mais, comme Godbout le reconnaît, elle n'est pas obligatoire.</w:t>
      </w:r>
    </w:p>
    <w:p w:rsidR="00B7214C" w:rsidRPr="00E64A4B" w:rsidRDefault="00B7214C" w:rsidP="00B7214C">
      <w:pPr>
        <w:spacing w:before="120" w:after="120"/>
        <w:jc w:val="both"/>
      </w:pPr>
      <w:r w:rsidRPr="00E64A4B">
        <w:t>La relation sociale, établie dès le début du processus, reste amb</w:t>
      </w:r>
      <w:r w:rsidRPr="00E64A4B">
        <w:t>i</w:t>
      </w:r>
      <w:r w:rsidRPr="00E64A4B">
        <w:t>guë et flottante pour un certain temps, lorsqu'on ne s'y fie pas total</w:t>
      </w:r>
      <w:r w:rsidRPr="00E64A4B">
        <w:t>e</w:t>
      </w:r>
      <w:r w:rsidRPr="00E64A4B">
        <w:t>ment. On pose des gestes de confiance et de bonne volonté, mais on attend la fête de retour pour conclure le stade des écha</w:t>
      </w:r>
      <w:r w:rsidRPr="00E64A4B">
        <w:t>n</w:t>
      </w:r>
      <w:r w:rsidRPr="00E64A4B">
        <w:t>ges. Car, contrairement à ce que pensait Mauss, le stade des échanges n'est pas la paix, mais le processus qui la prépare. Quand la paix s'installe, il y a des mariages, donc de l'entraide l</w:t>
      </w:r>
      <w:r w:rsidRPr="00E64A4B">
        <w:t>i</w:t>
      </w:r>
      <w:r w:rsidRPr="00E64A4B">
        <w:t>bre et continue. Pareillement, dans un mariage, on donne pour fa</w:t>
      </w:r>
      <w:r w:rsidRPr="00E64A4B">
        <w:t>i</w:t>
      </w:r>
      <w:r w:rsidRPr="00E64A4B">
        <w:t>re la paix avec la famille de la femme ; cette famille fait un don de retour pour fixer la relation, après quoi la belle-mère peut faire semblant de manger avec son beau-fils. Les deux familles sont liées ensuite par des relations quotidiennes d'entraide. Dans ces relations quotidiennes il n'y a que des prestations gratuites, des demandes continuelles d'aide de part et d'autre. Il n'y a pas de ca</w:t>
      </w:r>
      <w:r w:rsidRPr="00E64A4B">
        <w:t>l</w:t>
      </w:r>
      <w:r w:rsidRPr="00E64A4B">
        <w:t>cul des prestations sauf si l'un ou l'autre est déçu, donc si les rel</w:t>
      </w:r>
      <w:r w:rsidRPr="00E64A4B">
        <w:t>a</w:t>
      </w:r>
      <w:r w:rsidRPr="00E64A4B">
        <w:t>tions sont en danger.</w:t>
      </w:r>
    </w:p>
    <w:p w:rsidR="00B7214C" w:rsidRPr="00E64A4B" w:rsidRDefault="00B7214C" w:rsidP="00B7214C">
      <w:pPr>
        <w:spacing w:before="120" w:after="120"/>
        <w:jc w:val="both"/>
      </w:pPr>
      <w:r w:rsidRPr="00E64A4B">
        <w:t>L'importance pratique de ces nuances devient évidente quand Godbout veut expliquer le bénévolat comme une sorte de don. Il se sent obligé alors de parler d'un retour psychologique immédiat (p. 109). Or, ce « retour » n'est pas observable en principe. C'est un po</w:t>
      </w:r>
      <w:r w:rsidRPr="00E64A4B">
        <w:t>s</w:t>
      </w:r>
      <w:r w:rsidRPr="00E64A4B">
        <w:t>tulat. Le chercheur postule, sans preuve aucune, que le donneur a bien reçu un « retour » satisfaisant toutes les fois qu'il ne se comporte pas comme créditeur d'une dette non payée. Dans les cas où le destinataire n'a fait aucune prestation identifiable comme un « retour », le che</w:t>
      </w:r>
      <w:r w:rsidRPr="00E64A4B">
        <w:t>r</w:t>
      </w:r>
      <w:r w:rsidRPr="00E64A4B">
        <w:t>cheur se croit autorisé de penser qu'il y a bien eu un « retour psych</w:t>
      </w:r>
      <w:r w:rsidRPr="00E64A4B">
        <w:t>o</w:t>
      </w:r>
      <w:r w:rsidRPr="00E64A4B">
        <w:t>logique ». Cette supposition est pourtant gratuite, car le donneur peut décider pour un nombre presque infini de raisons de ne pas réclamer sa dette. Il y a bien, à cet égard, une différence</w:t>
      </w:r>
      <w:r>
        <w:t xml:space="preserve"> </w:t>
      </w:r>
      <w:r w:rsidRPr="00E64A4B">
        <w:t>[321]</w:t>
      </w:r>
      <w:r>
        <w:t xml:space="preserve"> </w:t>
      </w:r>
      <w:r w:rsidRPr="00E64A4B">
        <w:t>entre les sociétés modernes et « archaïques » ; les premières disti</w:t>
      </w:r>
      <w:r w:rsidRPr="00E64A4B">
        <w:t>n</w:t>
      </w:r>
      <w:r w:rsidRPr="00E64A4B">
        <w:t>guent formellement entre les don « libres » et les prestations contra</w:t>
      </w:r>
      <w:r w:rsidRPr="00E64A4B">
        <w:t>c</w:t>
      </w:r>
      <w:r w:rsidRPr="00E64A4B">
        <w:t>tuelles qui exigent un retour.</w:t>
      </w:r>
    </w:p>
    <w:p w:rsidR="00B7214C" w:rsidRPr="00E64A4B" w:rsidRDefault="00B7214C" w:rsidP="00B7214C">
      <w:pPr>
        <w:spacing w:before="120" w:after="120"/>
        <w:jc w:val="both"/>
      </w:pPr>
      <w:r w:rsidRPr="00E64A4B">
        <w:t>Dans les sociétés « archaïques », où cette distinction ne se fait pas, l'idée du « don » est nécessairement plus étendue ; elle co</w:t>
      </w:r>
      <w:r w:rsidRPr="00E64A4B">
        <w:t>m</w:t>
      </w:r>
      <w:r w:rsidRPr="00E64A4B">
        <w:t>prend à la fois les dons libres et les prestations quasi contractuelles. Certains a</w:t>
      </w:r>
      <w:r w:rsidRPr="00E64A4B">
        <w:t>n</w:t>
      </w:r>
      <w:r w:rsidRPr="00E64A4B">
        <w:t>thropologues, comme Sahlins, qui ont tenté de construire la typologie des dons « archaïques », démontrent que les règles varient selon les types de relations sociales. Or, Go</w:t>
      </w:r>
      <w:r w:rsidRPr="00E64A4B">
        <w:t>d</w:t>
      </w:r>
      <w:r w:rsidRPr="00E64A4B">
        <w:t>bout s'intéresse surtout aux « dons de retour » que l'on fait même quand le don initial était « libre ». Pour ces cas, il décrit la règle du don comme « le mouvement spontané de l'âme envers autrui ». Tandis que cette description donne une image juste de certains dons, il y a beaucoup de dons archaïques auxquels elle ne s'applique pas. Dans les cas où le « retour du don » est impo</w:t>
      </w:r>
      <w:r w:rsidRPr="00E64A4B">
        <w:t>r</w:t>
      </w:r>
      <w:r w:rsidRPr="00E64A4B">
        <w:t>tant dans les sociétés archaïques, il y a certains principes généraux qui s'a</w:t>
      </w:r>
      <w:r w:rsidRPr="00E64A4B">
        <w:t>p</w:t>
      </w:r>
      <w:r w:rsidRPr="00E64A4B">
        <w:t>pliquent souvent.</w:t>
      </w:r>
    </w:p>
    <w:p w:rsidR="00B7214C" w:rsidRPr="00E64A4B" w:rsidRDefault="00B7214C" w:rsidP="00B7214C">
      <w:pPr>
        <w:spacing w:before="120" w:after="120"/>
        <w:jc w:val="both"/>
      </w:pPr>
    </w:p>
    <w:p w:rsidR="00B7214C" w:rsidRPr="00E64A4B" w:rsidRDefault="00B7214C" w:rsidP="00B7214C">
      <w:pPr>
        <w:spacing w:before="120" w:after="120"/>
        <w:ind w:left="720" w:hanging="360"/>
        <w:jc w:val="both"/>
      </w:pPr>
      <w:r w:rsidRPr="00E64A4B">
        <w:t>1.</w:t>
      </w:r>
      <w:r w:rsidRPr="00E64A4B">
        <w:tab/>
        <w:t>Lors de la fête où l'on reçoit le don, on promet toujours forme</w:t>
      </w:r>
      <w:r w:rsidRPr="00E64A4B">
        <w:t>l</w:t>
      </w:r>
      <w:r w:rsidRPr="00E64A4B">
        <w:t>lement son retour. Cette reconnaissance formelle tient lieu de ce que serait un « contrat » dans une société moderne.</w:t>
      </w:r>
    </w:p>
    <w:p w:rsidR="00B7214C" w:rsidRPr="00E64A4B" w:rsidRDefault="00B7214C" w:rsidP="00B7214C">
      <w:pPr>
        <w:spacing w:before="120" w:after="120"/>
        <w:ind w:left="720" w:hanging="360"/>
        <w:jc w:val="both"/>
      </w:pPr>
      <w:r w:rsidRPr="00E64A4B">
        <w:t>2.</w:t>
      </w:r>
      <w:r w:rsidRPr="00E64A4B">
        <w:tab/>
        <w:t>On fait toujours plus de promesses que l'on ne peut en tenir.</w:t>
      </w:r>
    </w:p>
    <w:p w:rsidR="00B7214C" w:rsidRPr="00E64A4B" w:rsidRDefault="00B7214C" w:rsidP="00B7214C">
      <w:pPr>
        <w:spacing w:before="120" w:after="120"/>
        <w:ind w:left="720" w:hanging="360"/>
        <w:jc w:val="both"/>
      </w:pPr>
      <w:r w:rsidRPr="00E64A4B">
        <w:t>3.</w:t>
      </w:r>
      <w:r w:rsidRPr="00E64A4B">
        <w:tab/>
        <w:t>On fait des dons de retour d'abord aux partenaires les plus pui</w:t>
      </w:r>
      <w:r w:rsidRPr="00E64A4B">
        <w:t>s</w:t>
      </w:r>
      <w:r w:rsidRPr="00E64A4B">
        <w:t>sants et les plus utiles.</w:t>
      </w:r>
    </w:p>
    <w:p w:rsidR="00B7214C" w:rsidRPr="00E64A4B" w:rsidRDefault="00B7214C" w:rsidP="00B7214C">
      <w:pPr>
        <w:spacing w:before="120" w:after="120"/>
        <w:ind w:left="720" w:hanging="360"/>
        <w:jc w:val="both"/>
      </w:pPr>
      <w:r w:rsidRPr="00E64A4B">
        <w:t>4.</w:t>
      </w:r>
      <w:r w:rsidRPr="00E64A4B">
        <w:tab/>
        <w:t>Il y a souvent des donneurs négligés, mais un grand-homme scrupuleux corrige les négligences aussitôt qu'un partenaire r</w:t>
      </w:r>
      <w:r w:rsidRPr="00E64A4B">
        <w:t>é</w:t>
      </w:r>
      <w:r w:rsidRPr="00E64A4B">
        <w:t>clame le retour d'un don reconnu comme tel.</w:t>
      </w:r>
    </w:p>
    <w:p w:rsidR="00B7214C" w:rsidRPr="00E64A4B" w:rsidRDefault="00B7214C" w:rsidP="00B7214C">
      <w:pPr>
        <w:spacing w:before="120" w:after="120"/>
        <w:ind w:left="720" w:hanging="360"/>
        <w:jc w:val="both"/>
      </w:pPr>
      <w:r w:rsidRPr="00E64A4B">
        <w:t>5.</w:t>
      </w:r>
      <w:r w:rsidRPr="00E64A4B">
        <w:tab/>
        <w:t>Certains donneurs négligés se désistent de toute réclamation s</w:t>
      </w:r>
      <w:r w:rsidRPr="00E64A4B">
        <w:t>é</w:t>
      </w:r>
      <w:r w:rsidRPr="00E64A4B">
        <w:t>rieuse, pour des raisons politiques les plus diverses. Ils accum</w:t>
      </w:r>
      <w:r w:rsidRPr="00E64A4B">
        <w:t>u</w:t>
      </w:r>
      <w:r w:rsidRPr="00E64A4B">
        <w:t>lent ainsi des crédits qu'ils sont souvent contents de passer sous silence jusqu'en temps utile.</w:t>
      </w:r>
    </w:p>
    <w:p w:rsidR="00B7214C" w:rsidRPr="00E64A4B" w:rsidRDefault="00B7214C" w:rsidP="00B7214C">
      <w:pPr>
        <w:spacing w:before="120" w:after="120"/>
        <w:ind w:left="720" w:hanging="360"/>
        <w:jc w:val="both"/>
      </w:pPr>
      <w:r w:rsidRPr="00E64A4B">
        <w:t>6.</w:t>
      </w:r>
      <w:r w:rsidRPr="00E64A4B">
        <w:tab/>
        <w:t>Il arrive que le destinataire de la première fête ne veut ou ne peut pas faire un don de retour, ou que ce don est jugé insuff</w:t>
      </w:r>
      <w:r w:rsidRPr="00E64A4B">
        <w:t>i</w:t>
      </w:r>
      <w:r w:rsidRPr="00E64A4B">
        <w:t>sant. Le donneur se sert alors de tous les moyens pour obtenir ce retour : diplom</w:t>
      </w:r>
      <w:r w:rsidRPr="00E64A4B">
        <w:t>a</w:t>
      </w:r>
      <w:r w:rsidRPr="00E64A4B">
        <w:t>tie, vacarme, sorcellerie, violence, si bien que le retour du don n'a souvent rien de spontané.</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 xml:space="preserve">Peu importe les pressions qui précèdent les dons de retour, leur présentation cérémonielle a normalement une qualité théâtrale qui fait croire à un mouvement spontané de l'âme. En effet, il y a des règles qui disent </w:t>
      </w:r>
      <w:r w:rsidRPr="000D1A32">
        <w:rPr>
          <w:i/>
          <w:iCs/>
        </w:rPr>
        <w:t>comment</w:t>
      </w:r>
      <w:r w:rsidRPr="00E64A4B">
        <w:t xml:space="preserve"> on doit donner. Pour être efficace, il faut que le don paraisse être l'expression convaincante, chaleureuse, vigoureuse, imagée de sentiments d'amitié véritable. Imposs</w:t>
      </w:r>
      <w:r w:rsidRPr="00E64A4B">
        <w:t>i</w:t>
      </w:r>
      <w:r w:rsidRPr="00E64A4B">
        <w:t>ble ici de distinguer entre le « vrai » et le simulé. Cependant, si les sentiments ne sont pas sinc</w:t>
      </w:r>
      <w:r w:rsidRPr="00E64A4B">
        <w:t>è</w:t>
      </w:r>
      <w:r w:rsidRPr="00E64A4B">
        <w:t>res, cela se lit dans la</w:t>
      </w:r>
      <w:r>
        <w:t xml:space="preserve"> </w:t>
      </w:r>
      <w:r w:rsidRPr="00E64A4B">
        <w:t>[322]</w:t>
      </w:r>
      <w:r>
        <w:t xml:space="preserve"> </w:t>
      </w:r>
      <w:r w:rsidRPr="00E64A4B">
        <w:t>qualité même des dons. Quand on décèle des imperfections mat</w:t>
      </w:r>
      <w:r w:rsidRPr="00E64A4B">
        <w:t>é</w:t>
      </w:r>
      <w:r w:rsidRPr="00E64A4B">
        <w:t>rielles dans le don, c'est le signe de la désinvolture des do</w:t>
      </w:r>
      <w:r w:rsidRPr="00E64A4B">
        <w:t>n</w:t>
      </w:r>
      <w:r w:rsidRPr="00E64A4B">
        <w:t>neurs et de la fête ratée.</w:t>
      </w:r>
    </w:p>
    <w:p w:rsidR="00B7214C" w:rsidRPr="00E64A4B" w:rsidRDefault="00B7214C" w:rsidP="00B7214C">
      <w:pPr>
        <w:spacing w:before="120" w:after="120"/>
        <w:jc w:val="both"/>
      </w:pPr>
      <w:r w:rsidRPr="00E64A4B">
        <w:t>Je viens de citer des preuves de certaines insuffisances de la thé</w:t>
      </w:r>
      <w:r w:rsidRPr="00E64A4B">
        <w:t>o</w:t>
      </w:r>
      <w:r w:rsidRPr="00E64A4B">
        <w:t>rie maussienne du don, parfois reprises par Godbout. Mais il faut r</w:t>
      </w:r>
      <w:r w:rsidRPr="00E64A4B">
        <w:t>e</w:t>
      </w:r>
      <w:r w:rsidRPr="00E64A4B">
        <w:t xml:space="preserve">garder aussi le fondement de ces insuffisances. Quand Mauss veut établir l'universalité de concepts comme l'échange et la réciprocité, il se sert de certaines preuves linguistiques (« Papou et Mélanésien n'ont qu'un seul mot pour désigner l'achat et la vente, le prêt et l'emprunt »). Ce constat est correct, mais il vaut la peine de regarder de plus près un exemple particulier : le mot </w:t>
      </w:r>
      <w:r w:rsidRPr="00E64A4B">
        <w:rPr>
          <w:i/>
          <w:iCs/>
        </w:rPr>
        <w:t>mine ari</w:t>
      </w:r>
      <w:r w:rsidRPr="00E64A4B">
        <w:t xml:space="preserve"> en orokaiva. Conformément aux propos de Mauss, ce mot s'applique au donner ainsi qu'au recevoir. Il n'a pourtant pas du tout la même valeur idéologique que les termes : </w:t>
      </w:r>
      <w:r w:rsidRPr="00E64A4B">
        <w:rPr>
          <w:i/>
          <w:iCs/>
        </w:rPr>
        <w:t>réciprocité</w:t>
      </w:r>
      <w:r w:rsidRPr="00E64A4B">
        <w:t xml:space="preserve"> et </w:t>
      </w:r>
      <w:r w:rsidRPr="00E64A4B">
        <w:rPr>
          <w:i/>
          <w:iCs/>
        </w:rPr>
        <w:t>échange</w:t>
      </w:r>
      <w:r w:rsidRPr="00E64A4B">
        <w:t xml:space="preserve"> dans les langues occidentales.</w:t>
      </w:r>
    </w:p>
    <w:p w:rsidR="00B7214C" w:rsidRPr="00E64A4B" w:rsidRDefault="00B7214C" w:rsidP="00B7214C">
      <w:pPr>
        <w:spacing w:before="120" w:after="120"/>
        <w:jc w:val="both"/>
      </w:pPr>
      <w:r w:rsidRPr="00E64A4B">
        <w:t>Car ces derniers termes, inspirés de la religion judéo-chrétienne, sont des images de l'Alliance entre Dieu et l'homme. Le mouvement réciproque spontané de l'âme dont parle Godbout résulte en effet de cette Alliance, sans laquelle il n'accorderait pas de signification rel</w:t>
      </w:r>
      <w:r w:rsidRPr="00E64A4B">
        <w:t>i</w:t>
      </w:r>
      <w:r w:rsidRPr="00E64A4B">
        <w:t>gieuse au don. Les Occidentaux ont souvent cru retrouver ce credo de leur foi sous une forme proto-religieuse, dans le concept « archaïque » du don. Ils ne se sont demandés qu'assez récemment (Strathern, 1988) si les Mélanésiens avaient leur propre représentation religieuse du don, qui ne serait pas fondée sur la notion de l'Alliance. Ainsi, en or</w:t>
      </w:r>
      <w:r w:rsidRPr="00E64A4B">
        <w:t>o</w:t>
      </w:r>
      <w:r w:rsidRPr="00E64A4B">
        <w:t xml:space="preserve">kaiva, le mot </w:t>
      </w:r>
      <w:r w:rsidRPr="00E64A4B">
        <w:rPr>
          <w:i/>
          <w:iCs/>
        </w:rPr>
        <w:t>ikari</w:t>
      </w:r>
      <w:r w:rsidRPr="00E64A4B">
        <w:t xml:space="preserve"> (donner) a beaucoup de connotations religieuses mais le mot </w:t>
      </w:r>
      <w:r w:rsidRPr="00E64A4B">
        <w:rPr>
          <w:i/>
          <w:iCs/>
        </w:rPr>
        <w:t>mine</w:t>
      </w:r>
      <w:r w:rsidRPr="00E64A4B">
        <w:t xml:space="preserve"> n'en a presque pas. L'acte de donner est toujours r</w:t>
      </w:r>
      <w:r w:rsidRPr="00E64A4B">
        <w:t>e</w:t>
      </w:r>
      <w:r w:rsidRPr="00E64A4B">
        <w:t>gardé comme bon et nécessaire à ceux qui veulent élargir leur soi (</w:t>
      </w:r>
      <w:r w:rsidRPr="00E64A4B">
        <w:rPr>
          <w:i/>
          <w:iCs/>
        </w:rPr>
        <w:t>hamo</w:t>
      </w:r>
      <w:r w:rsidRPr="00E64A4B">
        <w:t>)</w:t>
      </w:r>
      <w:r>
        <w:t> </w:t>
      </w:r>
      <w:r>
        <w:rPr>
          <w:rStyle w:val="Appelnotedebasdep"/>
        </w:rPr>
        <w:footnoteReference w:id="253"/>
      </w:r>
      <w:r w:rsidRPr="00E64A4B">
        <w:t xml:space="preserve"> et jouer un rôle dans la communauté. Par ailleurs le fait de donner est déjà la preuve de la faveur des ancêtres, sans laquelle pe</w:t>
      </w:r>
      <w:r w:rsidRPr="00E64A4B">
        <w:t>r</w:t>
      </w:r>
      <w:r w:rsidRPr="00E64A4B">
        <w:t>sonne ne pourrait accumuler des dons. Le mot ikari désigne d'ailleurs la créativité sous toutes ses formes, à commencer par sa forme sexue</w:t>
      </w:r>
      <w:r w:rsidRPr="00E64A4B">
        <w:t>l</w:t>
      </w:r>
      <w:r w:rsidRPr="00E64A4B">
        <w:t>le.</w:t>
      </w:r>
    </w:p>
    <w:p w:rsidR="00B7214C" w:rsidRPr="00E64A4B" w:rsidRDefault="00B7214C" w:rsidP="00B7214C">
      <w:pPr>
        <w:spacing w:before="120" w:after="120"/>
        <w:jc w:val="both"/>
      </w:pPr>
      <w:r w:rsidRPr="003D41C6">
        <w:rPr>
          <w:i/>
        </w:rPr>
        <w:t>Mine</w:t>
      </w:r>
      <w:r>
        <w:t> </w:t>
      </w:r>
      <w:r>
        <w:rPr>
          <w:rStyle w:val="Appelnotedebasdep"/>
        </w:rPr>
        <w:footnoteReference w:id="254"/>
      </w:r>
      <w:r w:rsidRPr="00E64A4B">
        <w:t xml:space="preserve"> est plus ambigu. Les orateurs orokaiva d'aujourd'hui d</w:t>
      </w:r>
      <w:r w:rsidRPr="00E64A4B">
        <w:t>i</w:t>
      </w:r>
      <w:r w:rsidRPr="00E64A4B">
        <w:t xml:space="preserve">sent volontiers qu'on ne doit plus faire du </w:t>
      </w:r>
      <w:r w:rsidRPr="00E64A4B">
        <w:rPr>
          <w:i/>
          <w:iCs/>
        </w:rPr>
        <w:t>mine</w:t>
      </w:r>
      <w:r w:rsidRPr="00E64A4B">
        <w:t xml:space="preserve"> comme jadis. Ceci ne veut pas dire qu'on ne doit plus faire la guerre, la vendetta, la sorcell</w:t>
      </w:r>
      <w:r w:rsidRPr="00E64A4B">
        <w:t>e</w:t>
      </w:r>
      <w:r w:rsidRPr="00E64A4B">
        <w:t>rie de vengeance. Cette idée est moderne, car la guerre n'était pas proscrite traditionnellement dans la pensée orokaiva. Elle était rega</w:t>
      </w:r>
      <w:r w:rsidRPr="00E64A4B">
        <w:t>r</w:t>
      </w:r>
      <w:r w:rsidRPr="00E64A4B">
        <w:t>dée plutôt comme l'une des constituantes légitimes de la nature h</w:t>
      </w:r>
      <w:r w:rsidRPr="00E64A4B">
        <w:t>u</w:t>
      </w:r>
      <w:r w:rsidRPr="00E64A4B">
        <w:t>maine, établie par la faute d'un ancêtre insouciant. Aujourd'hui, quand l'orateur or</w:t>
      </w:r>
      <w:r w:rsidRPr="00E64A4B">
        <w:t>o</w:t>
      </w:r>
      <w:r w:rsidRPr="00E64A4B">
        <w:t xml:space="preserve">kaiva s'oppose au </w:t>
      </w:r>
      <w:r w:rsidRPr="00E64A4B">
        <w:rPr>
          <w:i/>
          <w:iCs/>
        </w:rPr>
        <w:t>mine,</w:t>
      </w:r>
      <w:r w:rsidRPr="00E64A4B">
        <w:t xml:space="preserve"> c'est parce qu'il veut changer la morale, pro</w:t>
      </w:r>
      <w:r w:rsidRPr="00E64A4B">
        <w:t>s</w:t>
      </w:r>
      <w:r w:rsidRPr="00E64A4B">
        <w:t xml:space="preserve">crire la guerre. Le </w:t>
      </w:r>
      <w:r w:rsidRPr="00E64A4B">
        <w:rPr>
          <w:i/>
          <w:iCs/>
        </w:rPr>
        <w:t xml:space="preserve">mine </w:t>
      </w:r>
      <w:r w:rsidRPr="00E64A4B">
        <w:t>dans sa modalité pacifique - celle des fêtes traditionnelles - est pourtant essentiel pour stabiliser ces rel</w:t>
      </w:r>
      <w:r w:rsidRPr="00E64A4B">
        <w:t>a</w:t>
      </w:r>
      <w:r w:rsidRPr="00E64A4B">
        <w:t>tions d'amitié entre des partenaires sociaux.</w:t>
      </w:r>
    </w:p>
    <w:p w:rsidR="00B7214C" w:rsidRPr="00E64A4B" w:rsidRDefault="00B7214C" w:rsidP="00B7214C">
      <w:pPr>
        <w:spacing w:before="120" w:after="120"/>
        <w:jc w:val="both"/>
      </w:pPr>
      <w:r w:rsidRPr="00E64A4B">
        <w:t>On voit donc bien que le « don de retour » n'équivaut pas nécessa</w:t>
      </w:r>
      <w:r w:rsidRPr="00E64A4B">
        <w:t>i</w:t>
      </w:r>
      <w:r w:rsidRPr="00E64A4B">
        <w:t>rement, dans les sociétés archaïques, à ce que le monde j</w:t>
      </w:r>
      <w:r w:rsidRPr="00E64A4B">
        <w:t>u</w:t>
      </w:r>
      <w:r w:rsidRPr="00E64A4B">
        <w:t>déo-chrétien</w:t>
      </w:r>
      <w:r>
        <w:t xml:space="preserve"> </w:t>
      </w:r>
      <w:r w:rsidRPr="00E64A4B">
        <w:t>[323]</w:t>
      </w:r>
      <w:r>
        <w:t xml:space="preserve"> </w:t>
      </w:r>
      <w:r w:rsidRPr="00E64A4B">
        <w:t>entend par l'Alliance. Il vaudrait mieux reconnaître qu'il existe au moins deux types d'idéologies très différentes, fondées respectiv</w:t>
      </w:r>
      <w:r w:rsidRPr="00E64A4B">
        <w:t>e</w:t>
      </w:r>
      <w:r w:rsidRPr="00E64A4B">
        <w:t>ment sur le Don et sur l'Alliance. Le premier type est d'abord archa</w:t>
      </w:r>
      <w:r w:rsidRPr="00E64A4B">
        <w:t>ï</w:t>
      </w:r>
      <w:r w:rsidRPr="00E64A4B">
        <w:t>que, bien entendu, mais Bakhtine a démontré que cette idé</w:t>
      </w:r>
      <w:r w:rsidRPr="00E64A4B">
        <w:t>o</w:t>
      </w:r>
      <w:r w:rsidRPr="00E64A4B">
        <w:t>logie du don a survécu en Occident jusqu'aux temps de Rabelais et on vient d'en r</w:t>
      </w:r>
      <w:r w:rsidRPr="00E64A4B">
        <w:t>e</w:t>
      </w:r>
      <w:r w:rsidRPr="00E64A4B">
        <w:t>trouver des traces même dans les festivals du Québec. Elle est final</w:t>
      </w:r>
      <w:r w:rsidRPr="00E64A4B">
        <w:t>e</w:t>
      </w:r>
      <w:r w:rsidRPr="00E64A4B">
        <w:t>ment aussi, comme on dit, « postmoderne ».</w:t>
      </w:r>
    </w:p>
    <w:p w:rsidR="00B7214C" w:rsidRPr="00E64A4B" w:rsidRDefault="00B7214C" w:rsidP="00B7214C">
      <w:pPr>
        <w:spacing w:before="120" w:after="120"/>
        <w:jc w:val="both"/>
      </w:pPr>
      <w:r w:rsidRPr="00E64A4B">
        <w:t>Ce qui étonne, dans les études comparatives sur la fête, c'est la re</w:t>
      </w:r>
      <w:r w:rsidRPr="00E64A4B">
        <w:t>s</w:t>
      </w:r>
      <w:r w:rsidRPr="00E64A4B">
        <w:t xml:space="preserve">semblance entre la pensée et la pratique du </w:t>
      </w:r>
      <w:r w:rsidRPr="000D1A32">
        <w:rPr>
          <w:i/>
          <w:iCs/>
        </w:rPr>
        <w:t>mine</w:t>
      </w:r>
      <w:r w:rsidRPr="00E64A4B">
        <w:t xml:space="preserve"> pacifique des Or</w:t>
      </w:r>
      <w:r w:rsidRPr="00E64A4B">
        <w:t>o</w:t>
      </w:r>
      <w:r w:rsidRPr="00E64A4B">
        <w:t>kaiva et les festivals de la Mauricie. Comment théoriser cette resse</w:t>
      </w:r>
      <w:r w:rsidRPr="00E64A4B">
        <w:t>m</w:t>
      </w:r>
      <w:r w:rsidRPr="00E64A4B">
        <w:t>blance ? Afin d'éviter l'arbitraire et l'idiosyncratique, il serait préfér</w:t>
      </w:r>
      <w:r w:rsidRPr="00E64A4B">
        <w:t>a</w:t>
      </w:r>
      <w:r w:rsidRPr="00E64A4B">
        <w:t>ble de suivre le conseil de Wittgenstein et de reconna</w:t>
      </w:r>
      <w:r w:rsidRPr="00E64A4B">
        <w:t>î</w:t>
      </w:r>
      <w:r w:rsidRPr="00E64A4B">
        <w:t>tre que toute comparaison passe par la grille des sentiments et des pensées de l'o</w:t>
      </w:r>
      <w:r w:rsidRPr="00E64A4B">
        <w:t>b</w:t>
      </w:r>
      <w:r w:rsidRPr="00E64A4B">
        <w:t>servateur-analyste</w:t>
      </w:r>
      <w:r>
        <w:t> </w:t>
      </w:r>
      <w:r>
        <w:rPr>
          <w:rStyle w:val="Appelnotedebasdep"/>
        </w:rPr>
        <w:footnoteReference w:id="255"/>
      </w:r>
      <w:r w:rsidRPr="00E64A4B">
        <w:t>. L'idée même de confronter l'idéologie du don à celle de l'Alliance fait partie de cette anthr</w:t>
      </w:r>
      <w:r w:rsidRPr="00E64A4B">
        <w:t>o</w:t>
      </w:r>
      <w:r w:rsidRPr="00E64A4B">
        <w:t>pologie « postmoderne » qui s'est mise (tardivement) à inclure l'analyste dans ses modèles. Elle a abandonné, d'autre part, les modèles déterministes qui voulaient prédire, par exemple, qu'il y ait toujours retour du don. Du reste, elle a reconnu que la séparation radicale du corps et de l'âme est une repr</w:t>
      </w:r>
      <w:r w:rsidRPr="00E64A4B">
        <w:t>é</w:t>
      </w:r>
      <w:r w:rsidRPr="00E64A4B">
        <w:t>sentation occident</w:t>
      </w:r>
      <w:r w:rsidRPr="00E64A4B">
        <w:t>a</w:t>
      </w:r>
      <w:r w:rsidRPr="00E64A4B">
        <w:t>le, absente des sociétés archaïques. Ces systèmes expliquent pl</w:t>
      </w:r>
      <w:r w:rsidRPr="00E64A4B">
        <w:t>u</w:t>
      </w:r>
      <w:r w:rsidRPr="00E64A4B">
        <w:t>tôt le don comme un mouvement du corps vers autrui.</w:t>
      </w:r>
    </w:p>
    <w:p w:rsidR="00B7214C" w:rsidRPr="00E64A4B" w:rsidRDefault="00B7214C" w:rsidP="00B7214C">
      <w:pPr>
        <w:spacing w:before="120" w:after="120"/>
        <w:jc w:val="both"/>
      </w:pPr>
      <w:r w:rsidRPr="00E64A4B">
        <w:t>Car le corps donne physiquement, ainsi qu'industriellement, créat</w:t>
      </w:r>
      <w:r w:rsidRPr="00E64A4B">
        <w:t>i</w:t>
      </w:r>
      <w:r w:rsidRPr="00E64A4B">
        <w:t>vement, esthétiquement, intellectuellement. Son mouvement vers a</w:t>
      </w:r>
      <w:r w:rsidRPr="00E64A4B">
        <w:t>u</w:t>
      </w:r>
      <w:r w:rsidRPr="00E64A4B">
        <w:t>trui fait partie de la socialité universelle de l'homme, tandis que l'A</w:t>
      </w:r>
      <w:r w:rsidRPr="00E64A4B">
        <w:t>l</w:t>
      </w:r>
      <w:r w:rsidRPr="00E64A4B">
        <w:t>liance et les concepts qui en découlent font partie plutôt du mon</w:t>
      </w:r>
      <w:r w:rsidRPr="00E64A4B">
        <w:t>o</w:t>
      </w:r>
      <w:r w:rsidRPr="00E64A4B">
        <w:t>théisme. Je n'ai pas l'impression que le postmodernisme changera r</w:t>
      </w:r>
      <w:r w:rsidRPr="00E64A4B">
        <w:t>a</w:t>
      </w:r>
      <w:r w:rsidRPr="00E64A4B">
        <w:t>dicalement les cultures occidentales, mais il y apportera une meilleure conscience des perspectives alternatives. Le phénomène du don concerne donc l'anthropologie d'aujou</w:t>
      </w:r>
      <w:r w:rsidRPr="00E64A4B">
        <w:t>r</w:t>
      </w:r>
      <w:r w:rsidRPr="00E64A4B">
        <w:t>d'hui dans la mesure où il incite à explorer les relations entre son aspect matériel et son aspect sém</w:t>
      </w:r>
      <w:r w:rsidRPr="00E64A4B">
        <w:t>i</w:t>
      </w:r>
      <w:r w:rsidRPr="00E64A4B">
        <w:t>que, sa spiritualisation de la m</w:t>
      </w:r>
      <w:r w:rsidRPr="00E64A4B">
        <w:t>a</w:t>
      </w:r>
      <w:r w:rsidRPr="00E64A4B">
        <w:t>tière et sa matérialisation de l'esprit.</w:t>
      </w:r>
    </w:p>
    <w:p w:rsidR="00B7214C" w:rsidRPr="00E64A4B" w:rsidRDefault="00B7214C" w:rsidP="00B7214C">
      <w:pPr>
        <w:pStyle w:val="p"/>
      </w:pPr>
      <w:r w:rsidRPr="00E64A4B">
        <w:t>[324]</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Default="00B7214C" w:rsidP="00B7214C">
      <w:pPr>
        <w:pStyle w:val="p"/>
      </w:pPr>
    </w:p>
    <w:p w:rsidR="00B7214C" w:rsidRPr="00E64A4B" w:rsidRDefault="00B7214C" w:rsidP="00B7214C">
      <w:pPr>
        <w:pStyle w:val="p"/>
      </w:pPr>
      <w:r w:rsidRPr="00E64A4B">
        <w:t>[325]</w:t>
      </w:r>
    </w:p>
    <w:p w:rsidR="00B7214C" w:rsidRPr="00E64A4B" w:rsidRDefault="00B7214C" w:rsidP="00B7214C">
      <w:pPr>
        <w:spacing w:before="120" w:after="120"/>
        <w:jc w:val="both"/>
      </w:pPr>
    </w:p>
    <w:p w:rsidR="00B7214C" w:rsidRPr="00E64A4B" w:rsidRDefault="00B7214C" w:rsidP="00B7214C">
      <w:pPr>
        <w:pStyle w:val="a"/>
      </w:pPr>
      <w:r w:rsidRPr="00E64A4B">
        <w:t>BIBLIOGRAPHIE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 xml:space="preserve">Barthes, R., </w:t>
      </w:r>
      <w:r w:rsidRPr="00E64A4B">
        <w:rPr>
          <w:i/>
          <w:iCs/>
        </w:rPr>
        <w:t>Système de la mode,</w:t>
      </w:r>
      <w:r w:rsidRPr="00E64A4B">
        <w:t xml:space="preserve"> Paris, Seuil, 1967.</w:t>
      </w:r>
    </w:p>
    <w:p w:rsidR="00B7214C" w:rsidRPr="00E64A4B" w:rsidRDefault="00B7214C" w:rsidP="00B7214C">
      <w:pPr>
        <w:spacing w:before="120" w:after="120"/>
        <w:jc w:val="both"/>
      </w:pPr>
      <w:r w:rsidRPr="00E64A4B">
        <w:t>Chartier, M., « L'inversion rituelle dans le cérémoniel des par</w:t>
      </w:r>
      <w:r w:rsidRPr="00E64A4B">
        <w:t>a</w:t>
      </w:r>
      <w:r w:rsidRPr="00E64A4B">
        <w:t xml:space="preserve">des ». </w:t>
      </w:r>
      <w:r w:rsidRPr="00E64A4B">
        <w:rPr>
          <w:i/>
          <w:iCs/>
        </w:rPr>
        <w:t>Anthropologie et sociétés,</w:t>
      </w:r>
      <w:r w:rsidRPr="00E64A4B">
        <w:t xml:space="preserve"> sous presse, 1994.</w:t>
      </w:r>
    </w:p>
    <w:p w:rsidR="00B7214C" w:rsidRPr="00E64A4B" w:rsidRDefault="00B7214C" w:rsidP="00B7214C">
      <w:pPr>
        <w:spacing w:before="120" w:after="120"/>
        <w:jc w:val="both"/>
      </w:pPr>
      <w:r w:rsidRPr="00E64A4B">
        <w:t xml:space="preserve">Godbout, J. T. et A. Caillé, </w:t>
      </w:r>
      <w:hyperlink r:id="rId78" w:history="1">
        <w:r w:rsidRPr="003D41C6">
          <w:rPr>
            <w:rStyle w:val="Lienhypertexte"/>
            <w:i/>
            <w:iCs/>
          </w:rPr>
          <w:t>L'esprit du don</w:t>
        </w:r>
      </w:hyperlink>
      <w:r w:rsidRPr="00E64A4B">
        <w:rPr>
          <w:i/>
          <w:iCs/>
        </w:rPr>
        <w:t>,</w:t>
      </w:r>
      <w:r w:rsidRPr="00E64A4B">
        <w:t xml:space="preserve"> Paris et Montréal, La Découverte et Boréal, 1992.</w:t>
      </w:r>
    </w:p>
    <w:p w:rsidR="00B7214C" w:rsidRPr="00E64A4B" w:rsidRDefault="00B7214C" w:rsidP="00B7214C">
      <w:pPr>
        <w:spacing w:before="120" w:after="120"/>
        <w:jc w:val="both"/>
      </w:pPr>
      <w:r w:rsidRPr="00E64A4B">
        <w:t xml:space="preserve">Iteanu, A., « The concept of the person and the ritual System : an Orokaiva view », </w:t>
      </w:r>
      <w:r w:rsidRPr="00E64A4B">
        <w:rPr>
          <w:i/>
          <w:iCs/>
        </w:rPr>
        <w:t xml:space="preserve">Man, </w:t>
      </w:r>
      <w:r w:rsidRPr="00E64A4B">
        <w:t>1990, n° 25, p</w:t>
      </w:r>
      <w:r>
        <w:t>p</w:t>
      </w:r>
      <w:r w:rsidRPr="00E64A4B">
        <w:t>. 35-53.</w:t>
      </w:r>
    </w:p>
    <w:p w:rsidR="00B7214C" w:rsidRPr="00E64A4B" w:rsidRDefault="00B7214C" w:rsidP="00B7214C">
      <w:pPr>
        <w:spacing w:before="120" w:after="120"/>
        <w:jc w:val="both"/>
      </w:pPr>
      <w:r w:rsidRPr="00E64A4B">
        <w:t>Iteanu, A., « Femmes et vieillards chez les Orokaiva », manu</w:t>
      </w:r>
      <w:r w:rsidRPr="00E64A4B">
        <w:t>s</w:t>
      </w:r>
      <w:r w:rsidRPr="00E64A4B">
        <w:t>crit, Paris, CNRS, Erashe, 1989, 26 p.</w:t>
      </w:r>
    </w:p>
    <w:p w:rsidR="00B7214C" w:rsidRPr="00E64A4B" w:rsidRDefault="00B7214C" w:rsidP="00B7214C">
      <w:pPr>
        <w:spacing w:before="120" w:after="120"/>
        <w:jc w:val="both"/>
      </w:pPr>
      <w:r w:rsidRPr="00E64A4B">
        <w:t>Lotman, J.</w:t>
      </w:r>
      <w:r w:rsidRPr="00E64A4B">
        <w:rPr>
          <w:i/>
          <w:iCs/>
        </w:rPr>
        <w:t>, The Universe of Mind,</w:t>
      </w:r>
      <w:r w:rsidRPr="00E64A4B">
        <w:t xml:space="preserve"> Bloomington, Indiana Univers</w:t>
      </w:r>
      <w:r w:rsidRPr="00E64A4B">
        <w:t>i</w:t>
      </w:r>
      <w:r w:rsidRPr="00E64A4B">
        <w:t>ty Press, 1990.</w:t>
      </w:r>
    </w:p>
    <w:p w:rsidR="00B7214C" w:rsidRPr="00E64A4B" w:rsidRDefault="00B7214C" w:rsidP="00B7214C">
      <w:pPr>
        <w:spacing w:before="120" w:after="120"/>
        <w:jc w:val="both"/>
      </w:pPr>
      <w:r w:rsidRPr="00E64A4B">
        <w:rPr>
          <w:iCs/>
        </w:rPr>
        <w:t>Lotman, J</w:t>
      </w:r>
      <w:r w:rsidRPr="00E64A4B">
        <w:t xml:space="preserve">., </w:t>
      </w:r>
      <w:r w:rsidRPr="00E64A4B">
        <w:rPr>
          <w:i/>
        </w:rPr>
        <w:t>La structure du texte artistique</w:t>
      </w:r>
      <w:r w:rsidRPr="00E64A4B">
        <w:t>,</w:t>
      </w:r>
      <w:r w:rsidRPr="00E64A4B">
        <w:rPr>
          <w:iCs/>
        </w:rPr>
        <w:t xml:space="preserve"> Paris, Gallimard, 1973.</w:t>
      </w:r>
    </w:p>
    <w:p w:rsidR="00B7214C" w:rsidRPr="00E64A4B" w:rsidRDefault="00B7214C" w:rsidP="00B7214C">
      <w:pPr>
        <w:spacing w:before="120" w:after="120"/>
        <w:jc w:val="both"/>
      </w:pPr>
      <w:r w:rsidRPr="00E64A4B">
        <w:t>Mauss, M., « </w:t>
      </w:r>
      <w:hyperlink r:id="rId79" w:history="1">
        <w:r w:rsidRPr="00E64A4B">
          <w:rPr>
            <w:rStyle w:val="Lienhypertexte"/>
          </w:rPr>
          <w:t>Essai sur le don </w:t>
        </w:r>
      </w:hyperlink>
      <w:r w:rsidRPr="00E64A4B">
        <w:t xml:space="preserve">». </w:t>
      </w:r>
      <w:r w:rsidRPr="00E64A4B">
        <w:rPr>
          <w:i/>
          <w:iCs/>
        </w:rPr>
        <w:t>Sociologie et anthropologie,</w:t>
      </w:r>
      <w:r w:rsidRPr="00E64A4B">
        <w:t xml:space="preserve"> Paris, Presses Universitaires de France, 1950.</w:t>
      </w:r>
    </w:p>
    <w:p w:rsidR="00B7214C" w:rsidRPr="00E64A4B" w:rsidRDefault="00B7214C" w:rsidP="00B7214C">
      <w:pPr>
        <w:spacing w:before="120" w:after="120"/>
        <w:jc w:val="both"/>
      </w:pPr>
      <w:r w:rsidRPr="00E64A4B">
        <w:t xml:space="preserve">Peirce, C.S., </w:t>
      </w:r>
      <w:r w:rsidRPr="00E64A4B">
        <w:rPr>
          <w:i/>
          <w:iCs/>
        </w:rPr>
        <w:t>Textes fondamentaux de sémiotique,</w:t>
      </w:r>
      <w:r w:rsidRPr="00E64A4B">
        <w:t xml:space="preserve"> Paris, Klin</w:t>
      </w:r>
      <w:r w:rsidRPr="00E64A4B">
        <w:t>c</w:t>
      </w:r>
      <w:r w:rsidRPr="00E64A4B">
        <w:t>ksieck, 1987.</w:t>
      </w:r>
    </w:p>
    <w:p w:rsidR="00B7214C" w:rsidRPr="00E64A4B" w:rsidRDefault="00B7214C" w:rsidP="00B7214C">
      <w:pPr>
        <w:spacing w:before="120" w:after="120"/>
        <w:jc w:val="both"/>
      </w:pPr>
      <w:r w:rsidRPr="00E64A4B">
        <w:t xml:space="preserve">Pinard, D., </w:t>
      </w:r>
      <w:r w:rsidRPr="00E64A4B">
        <w:rPr>
          <w:i/>
          <w:iCs/>
        </w:rPr>
        <w:t>Que la fête commence,</w:t>
      </w:r>
      <w:r w:rsidRPr="00E64A4B">
        <w:t xml:space="preserve"> Montréal, La Société des fest</w:t>
      </w:r>
      <w:r w:rsidRPr="00E64A4B">
        <w:t>i</w:t>
      </w:r>
      <w:r w:rsidRPr="00E64A4B">
        <w:t>vals populaires du Québec,</w:t>
      </w:r>
    </w:p>
    <w:p w:rsidR="00B7214C" w:rsidRPr="00E64A4B" w:rsidRDefault="00B7214C" w:rsidP="00B7214C">
      <w:pPr>
        <w:spacing w:before="120" w:after="120"/>
        <w:jc w:val="both"/>
      </w:pPr>
      <w:r w:rsidRPr="00E64A4B">
        <w:rPr>
          <w:iCs/>
        </w:rPr>
        <w:t xml:space="preserve">Schwimmer, E., </w:t>
      </w:r>
      <w:r w:rsidRPr="00E64A4B">
        <w:rPr>
          <w:i/>
        </w:rPr>
        <w:t>Exchange in the Social Structure of the Or</w:t>
      </w:r>
      <w:r w:rsidRPr="00E64A4B">
        <w:rPr>
          <w:i/>
        </w:rPr>
        <w:t>o</w:t>
      </w:r>
      <w:r w:rsidRPr="00E64A4B">
        <w:rPr>
          <w:i/>
        </w:rPr>
        <w:t>kaiva</w:t>
      </w:r>
      <w:r w:rsidRPr="00E64A4B">
        <w:t>,</w:t>
      </w:r>
      <w:r w:rsidRPr="00E64A4B">
        <w:rPr>
          <w:iCs/>
        </w:rPr>
        <w:t xml:space="preserve"> Londres, Hurst, 1973.</w:t>
      </w:r>
    </w:p>
    <w:p w:rsidR="00B7214C" w:rsidRPr="00E64A4B" w:rsidRDefault="00B7214C" w:rsidP="00B7214C">
      <w:pPr>
        <w:spacing w:before="120" w:after="120"/>
        <w:jc w:val="both"/>
      </w:pPr>
      <w:r w:rsidRPr="00E64A4B">
        <w:t>St-Laurent, M., « L'implication d'un commanditaire dans les fêtes populaires », dans Pinard (q.v.), 1982, p</w:t>
      </w:r>
      <w:r>
        <w:t>p</w:t>
      </w:r>
      <w:r w:rsidRPr="00E64A4B">
        <w:t>. 166-169.</w:t>
      </w:r>
    </w:p>
    <w:p w:rsidR="00B7214C" w:rsidRPr="00E64A4B" w:rsidRDefault="00B7214C" w:rsidP="00B7214C">
      <w:pPr>
        <w:spacing w:before="120" w:after="120"/>
        <w:jc w:val="both"/>
      </w:pPr>
      <w:r w:rsidRPr="00E64A4B">
        <w:t xml:space="preserve">Strathern, M., </w:t>
      </w:r>
      <w:r w:rsidRPr="00E64A4B">
        <w:rPr>
          <w:i/>
          <w:iCs/>
        </w:rPr>
        <w:t>The Gender of the Gift,</w:t>
      </w:r>
      <w:r w:rsidRPr="00E64A4B">
        <w:t xml:space="preserve"> Berkeley, University of C</w:t>
      </w:r>
      <w:r w:rsidRPr="00E64A4B">
        <w:t>a</w:t>
      </w:r>
      <w:r w:rsidRPr="00E64A4B">
        <w:t>lifornia Press, 1988.</w:t>
      </w:r>
    </w:p>
    <w:p w:rsidR="00B7214C" w:rsidRPr="00E64A4B" w:rsidRDefault="00B7214C" w:rsidP="00B7214C">
      <w:pPr>
        <w:spacing w:before="120" w:after="120"/>
        <w:jc w:val="both"/>
      </w:pPr>
      <w:r w:rsidRPr="00E64A4B">
        <w:t xml:space="preserve">Wittgenstein, L., </w:t>
      </w:r>
      <w:r w:rsidRPr="00E64A4B">
        <w:rPr>
          <w:i/>
          <w:iCs/>
        </w:rPr>
        <w:t>Remarques sur le Rameau d'or de Frazer,</w:t>
      </w:r>
      <w:r w:rsidRPr="00E64A4B">
        <w:t xml:space="preserve"> P</w:t>
      </w:r>
      <w:r w:rsidRPr="00E64A4B">
        <w:t>a</w:t>
      </w:r>
      <w:r w:rsidRPr="00E64A4B">
        <w:t>ris, Éditions L'âge d'homme, 1982.</w:t>
      </w:r>
    </w:p>
    <w:p w:rsidR="00B7214C" w:rsidRPr="00E64A4B" w:rsidRDefault="00B7214C" w:rsidP="00B7214C">
      <w:pPr>
        <w:pStyle w:val="p"/>
      </w:pPr>
      <w:r w:rsidRPr="00E64A4B">
        <w:t>[326]</w:t>
      </w:r>
    </w:p>
    <w:p w:rsidR="00B7214C" w:rsidRPr="00E64A4B" w:rsidRDefault="00B7214C" w:rsidP="00B7214C">
      <w:pPr>
        <w:pStyle w:val="p"/>
      </w:pPr>
      <w:r w:rsidRPr="00E64A4B">
        <w:br w:type="page"/>
        <w:t>[327]</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2" w:name="Entre_tradition_pt_2_texte_22"/>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B. </w:t>
      </w:r>
      <w:r w:rsidRPr="00DC0C7E">
        <w:rPr>
          <w:color w:val="FF0000"/>
          <w:sz w:val="24"/>
        </w:rPr>
        <w:t xml:space="preserve">LE DON (AUTOUR DE </w:t>
      </w:r>
      <w:r w:rsidRPr="00DC0C7E">
        <w:rPr>
          <w:i/>
          <w:color w:val="FF0000"/>
          <w:sz w:val="24"/>
        </w:rPr>
        <w:t>L’ESPRIT DU DON</w:t>
      </w:r>
      <w:r>
        <w:rPr>
          <w:color w:val="FF0000"/>
          <w:sz w:val="24"/>
        </w:rPr>
        <w:br/>
      </w:r>
      <w:r w:rsidRPr="00DC0C7E">
        <w:rPr>
          <w:color w:val="FF0000"/>
          <w:sz w:val="24"/>
        </w:rPr>
        <w:t>DE JACQUES T. GODBOUT)</w:t>
      </w:r>
    </w:p>
    <w:p w:rsidR="00B7214C" w:rsidRPr="00384B20" w:rsidRDefault="00B7214C" w:rsidP="00B7214C">
      <w:pPr>
        <w:pStyle w:val="Titreniveau1"/>
      </w:pPr>
      <w:r>
        <w:t>22</w:t>
      </w:r>
    </w:p>
    <w:p w:rsidR="00B7214C" w:rsidRDefault="00B7214C" w:rsidP="00B7214C">
      <w:pPr>
        <w:pStyle w:val="Titreniveau2"/>
      </w:pPr>
      <w:r>
        <w:t>“La loi du don n’est que l’envers</w:t>
      </w:r>
      <w:r>
        <w:br/>
        <w:t>du don de la loi.”</w:t>
      </w:r>
    </w:p>
    <w:bookmarkEnd w:id="32"/>
    <w:p w:rsidR="00B7214C" w:rsidRPr="00E07116" w:rsidRDefault="00B7214C" w:rsidP="00B7214C">
      <w:pPr>
        <w:jc w:val="both"/>
        <w:rPr>
          <w:szCs w:val="36"/>
        </w:rPr>
      </w:pPr>
    </w:p>
    <w:p w:rsidR="00B7214C" w:rsidRPr="00E07116" w:rsidRDefault="00B7214C" w:rsidP="00B7214C">
      <w:pPr>
        <w:pStyle w:val="suite"/>
      </w:pPr>
      <w:r>
        <w:t>Par Gilles BIBEAU</w:t>
      </w:r>
    </w:p>
    <w:p w:rsidR="00B7214C" w:rsidRPr="00E07116" w:rsidRDefault="00B7214C" w:rsidP="00B7214C">
      <w:pPr>
        <w:pStyle w:val="auteurst"/>
      </w:pPr>
      <w:r w:rsidRPr="004A7EF1">
        <w:t>Département d'anthro</w:t>
      </w:r>
      <w:r>
        <w:t>pologie. Université de Montréal</w:t>
      </w:r>
      <w:r>
        <w:br/>
      </w:r>
      <w:r w:rsidRPr="00E64A4B">
        <w:t>Commentaire sur le texte de Eric Schwimmer</w:t>
      </w:r>
    </w:p>
    <w:p w:rsidR="00B7214C" w:rsidRDefault="00B7214C" w:rsidP="00B7214C">
      <w:pPr>
        <w:spacing w:before="120" w:after="120"/>
        <w:jc w:val="both"/>
      </w:pPr>
    </w:p>
    <w:p w:rsidR="00B7214C" w:rsidRDefault="00B7214C" w:rsidP="00B7214C">
      <w:pPr>
        <w:spacing w:before="120" w:after="120"/>
        <w:jc w:val="both"/>
      </w:pPr>
    </w:p>
    <w:p w:rsidR="00B7214C" w:rsidRPr="00E64A4B" w:rsidRDefault="00B7214C" w:rsidP="00B7214C">
      <w:pPr>
        <w:spacing w:before="120" w:after="120"/>
        <w:ind w:firstLine="0"/>
        <w:jc w:val="both"/>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Écrit à deux mains et publié conjointement en 1992 par B</w:t>
      </w:r>
      <w:r w:rsidRPr="00E64A4B">
        <w:t>o</w:t>
      </w:r>
      <w:r w:rsidRPr="00E64A4B">
        <w:t xml:space="preserve">réal à Montréal et par les Éditions La Découverte à Paris, </w:t>
      </w:r>
      <w:hyperlink r:id="rId80" w:history="1">
        <w:r w:rsidRPr="00E64A4B">
          <w:rPr>
            <w:rStyle w:val="Lienhypertexte"/>
            <w:i/>
            <w:iCs/>
          </w:rPr>
          <w:t>L'esprit du don</w:t>
        </w:r>
      </w:hyperlink>
      <w:r w:rsidRPr="00E64A4B">
        <w:t xml:space="preserve"> témoigne, tout au long de ses quelque 350 pages, de la g</w:t>
      </w:r>
      <w:r w:rsidRPr="00E64A4B">
        <w:t>é</w:t>
      </w:r>
      <w:r w:rsidRPr="00E64A4B">
        <w:t>nérosité de Jacques- T. Godbout et d'Alain Caillé, les coauteurs, qui sont tous les deux engagés, à travers la revue du MAUSS, dans la promotion d'une pensée anti-utilitariste dans les sciences sociales</w:t>
      </w:r>
      <w:r>
        <w:t> </w:t>
      </w:r>
      <w:r>
        <w:rPr>
          <w:rStyle w:val="Appelnotedebasdep"/>
        </w:rPr>
        <w:footnoteReference w:id="256"/>
      </w:r>
      <w:r w:rsidRPr="00E64A4B">
        <w:t>. Audacieux et modeste à la fois, ce livre souffre cependant d'un certain manque d'i</w:t>
      </w:r>
      <w:r w:rsidRPr="00E64A4B">
        <w:t>n</w:t>
      </w:r>
      <w:r w:rsidRPr="00E64A4B">
        <w:t>tégration, particulièrement entre ce</w:t>
      </w:r>
      <w:r w:rsidRPr="00E64A4B">
        <w:t>r</w:t>
      </w:r>
      <w:r w:rsidRPr="00E64A4B">
        <w:t>tains points de vue développés au cours de la discussion des do</w:t>
      </w:r>
      <w:r w:rsidRPr="00E64A4B">
        <w:t>n</w:t>
      </w:r>
      <w:r w:rsidRPr="00E64A4B">
        <w:t>nées proprement ethnographiques des chapitres 7, 8 et 9 qui sont de A. Caillé, et la première partie, de la main de Godbout, qui introduit avec originalité ce que l'on peut app</w:t>
      </w:r>
      <w:r w:rsidRPr="00E64A4B">
        <w:t>e</w:t>
      </w:r>
      <w:r w:rsidRPr="00E64A4B">
        <w:t>ler les lieux sociol</w:t>
      </w:r>
      <w:r w:rsidRPr="00E64A4B">
        <w:t>o</w:t>
      </w:r>
      <w:r w:rsidRPr="00E64A4B">
        <w:t>giques contemporains du don à partir desquels il critique la thèse de Mauss. De nouveau, dans ce livre, sociologie et anthropologie cohabitent assez mal, et ce, malgré la collaboration a</w:t>
      </w:r>
      <w:r w:rsidRPr="00E64A4B">
        <w:t>p</w:t>
      </w:r>
      <w:r w:rsidRPr="00E64A4B">
        <w:t>paremment déjà ancienne des auteurs, malgré les chapitres de synth</w:t>
      </w:r>
      <w:r w:rsidRPr="00E64A4B">
        <w:t>è</w:t>
      </w:r>
      <w:r w:rsidRPr="00E64A4B">
        <w:t>se man</w:t>
      </w:r>
      <w:r w:rsidRPr="00E64A4B">
        <w:t>i</w:t>
      </w:r>
      <w:r w:rsidRPr="00E64A4B">
        <w:t>festement communs qui concluent chacune des parties du livre et malgré aussi leurs efforts pour élaborer, en fin d'ouvrage, un no</w:t>
      </w:r>
      <w:r w:rsidRPr="00E64A4B">
        <w:t>u</w:t>
      </w:r>
      <w:r w:rsidRPr="00E64A4B">
        <w:t>veau modèle théorique des rapports de don : ils le font malheureus</w:t>
      </w:r>
      <w:r w:rsidRPr="00E64A4B">
        <w:t>e</w:t>
      </w:r>
      <w:r w:rsidRPr="00E64A4B">
        <w:t>ment, en s'inspirant de la théorie connexionniste de l'intelligence art</w:t>
      </w:r>
      <w:r w:rsidRPr="00E64A4B">
        <w:t>i</w:t>
      </w:r>
      <w:r w:rsidRPr="00E64A4B">
        <w:t>ficielle et d'un vague systémisme (le don créerait de la rés</w:t>
      </w:r>
      <w:r w:rsidRPr="00E64A4B">
        <w:t>o</w:t>
      </w:r>
      <w:r w:rsidRPr="00E64A4B">
        <w:t>nance au sein d'un système interconnecté) qui m'apparaissent éclairer fort peu la spirale complexe des réseaux d'échange tel qu'ils l'ont analysée et qui, de plus, introduisent malencontreus</w:t>
      </w:r>
      <w:r w:rsidRPr="00E64A4B">
        <w:t>e</w:t>
      </w:r>
      <w:r w:rsidRPr="00E64A4B">
        <w:t>ment dans la synthèse finale un esprit cognitiviste et biologisant fort étranger à celui qui parcourt l'o</w:t>
      </w:r>
      <w:r w:rsidRPr="00E64A4B">
        <w:t>u</w:t>
      </w:r>
      <w:r w:rsidRPr="00E64A4B">
        <w:t>vrage</w:t>
      </w:r>
      <w:r>
        <w:t> </w:t>
      </w:r>
      <w:r>
        <w:rPr>
          <w:rStyle w:val="Appelnotedebasdep"/>
        </w:rPr>
        <w:footnoteReference w:id="257"/>
      </w:r>
      <w:r w:rsidRPr="00E64A4B">
        <w:t>.</w:t>
      </w:r>
    </w:p>
    <w:p w:rsidR="00B7214C" w:rsidRPr="00E64A4B" w:rsidRDefault="00B7214C" w:rsidP="00B7214C">
      <w:pPr>
        <w:spacing w:before="120" w:after="120"/>
        <w:jc w:val="both"/>
      </w:pPr>
      <w:r w:rsidRPr="00E64A4B">
        <w:t>[328]</w:t>
      </w:r>
    </w:p>
    <w:p w:rsidR="00B7214C" w:rsidRPr="00E64A4B" w:rsidRDefault="00B7214C" w:rsidP="00B7214C">
      <w:pPr>
        <w:spacing w:before="120" w:after="120"/>
        <w:jc w:val="both"/>
      </w:pPr>
      <w:r w:rsidRPr="00E64A4B">
        <w:t>Les formules bien frappées abondent dans ce livre et à chaque page des raccourcis saisissants manifestent les habiletés d'écriture des coa</w:t>
      </w:r>
      <w:r w:rsidRPr="00E64A4B">
        <w:t>u</w:t>
      </w:r>
      <w:r w:rsidRPr="00E64A4B">
        <w:t>teurs. Au sujet du retour du don, ils écrivent : « L'équilibre du don est dans la tension de la dette réciproque » (p. 300) ; « Le don a horreur de l'égalité. Il recherche l'inégalité alternée » (p. 51) ; « Le don fon</w:t>
      </w:r>
      <w:r w:rsidRPr="00E64A4B">
        <w:t>c</w:t>
      </w:r>
      <w:r w:rsidRPr="00E64A4B">
        <w:t>tionne à la dette » (p. 49) ; et « L'héritage fait partie des systèmes de dons non circulaires » (p. 69). Relativement au don lui-même, leur discours amène le le</w:t>
      </w:r>
      <w:r w:rsidRPr="00E64A4B">
        <w:t>c</w:t>
      </w:r>
      <w:r w:rsidRPr="00E64A4B">
        <w:t>teur dans deux grandes directions, dans le sens de la sociologie d'abord : « Le don n'est rien d'autre que le système des relations sociales de personne à personne » (p. 29) ; « En circulant le don enrichit le lien » (p. 245) ; « Chaque personne constituée de son ensemble de liens de dons passés est unique à l'égard de l'autre » (p. 284) ; mais aussi dans le sens de l'ethnologie : « Le don atteint les couches universelles les plus profondes, celles dont parlent les m</w:t>
      </w:r>
      <w:r w:rsidRPr="00E64A4B">
        <w:t>y</w:t>
      </w:r>
      <w:r w:rsidRPr="00E64A4B">
        <w:t>thes » (p. 300) ; « Les sociétés archaïques se sont pensées dans la la</w:t>
      </w:r>
      <w:r w:rsidRPr="00E64A4B">
        <w:t>n</w:t>
      </w:r>
      <w:r w:rsidRPr="00E64A4B">
        <w:t>gue du don » (p. 28) ; et, se référant aux sociétés contemp</w:t>
      </w:r>
      <w:r w:rsidRPr="00E64A4B">
        <w:t>o</w:t>
      </w:r>
      <w:r w:rsidRPr="00E64A4B">
        <w:t>raines, ils notent : « Sous les échanges, nous avons trouvé le don » (p. 289). Ce sont là quelques-unes des expressions glanées au fil d'une relecture cursive de l'ouvrage. Et dans une formule synth</w:t>
      </w:r>
      <w:r w:rsidRPr="00E64A4B">
        <w:t>é</w:t>
      </w:r>
      <w:r w:rsidRPr="00E64A4B">
        <w:t>tique qui récapitule toute leur thèse les auteurs écrivent : « Le contraire du don est la vi</w:t>
      </w:r>
      <w:r w:rsidRPr="00E64A4B">
        <w:t>o</w:t>
      </w:r>
      <w:r w:rsidRPr="00E64A4B">
        <w:t>lence, non le marché » (p. 292). Ult</w:t>
      </w:r>
      <w:r w:rsidRPr="00E64A4B">
        <w:t>i</w:t>
      </w:r>
      <w:r w:rsidRPr="00E64A4B">
        <w:t>mement, ce ne sont donc pas les théories utilitaristes que les coa</w:t>
      </w:r>
      <w:r w:rsidRPr="00E64A4B">
        <w:t>u</w:t>
      </w:r>
      <w:r w:rsidRPr="00E64A4B">
        <w:t>teurs ont dans leur ligne de mire (ne se détruisent-elles pas par elles-mêmes, indiquent-ils quelque part) : c'est davantage sur l'h</w:t>
      </w:r>
      <w:r w:rsidRPr="00E64A4B">
        <w:t>o</w:t>
      </w:r>
      <w:r w:rsidRPr="00E64A4B">
        <w:t>rizon des rapports entre la guerre et la paix au sein des groupes humains qu'ils situent leurs réflexions sur l'échange et le don, se posant la question sur ce qui circule derrière les dons (des liens symboliques, pensent-ils) et cherchant à découvrir ce qui fait démarrer et maintient active la dynamique du donner, recevoir, re</w:t>
      </w:r>
      <w:r w:rsidRPr="00E64A4B">
        <w:t>n</w:t>
      </w:r>
      <w:r w:rsidRPr="00E64A4B">
        <w:t>dre : ce serait ultimement une idéologie de la fécondité, insinuent-ils, laquelle semble trouver sa métaphore dans le don de la vie que les femmes font aux hommes, de même que dans le don des e</w:t>
      </w:r>
      <w:r w:rsidRPr="00E64A4B">
        <w:t>n</w:t>
      </w:r>
      <w:r w:rsidRPr="00E64A4B">
        <w:t>fants qu'un lignage fait à un autre lignage par la médiation des femmes échangées.</w:t>
      </w:r>
    </w:p>
    <w:p w:rsidR="00B7214C" w:rsidRPr="00E64A4B" w:rsidRDefault="00B7214C" w:rsidP="00B7214C">
      <w:pPr>
        <w:spacing w:before="120" w:after="120"/>
        <w:jc w:val="both"/>
      </w:pPr>
      <w:r w:rsidRPr="00E64A4B">
        <w:t>En réalité l'idée centrale du livre peut être ramenée à quelques éléments fort simples dont la simplicité constitue précisément la force qui vient déstabiliser certaines idées courantes au sujet de la théorie et de l'échange du don. Cette idée centrale « n'est autre », écrivent Go</w:t>
      </w:r>
      <w:r w:rsidRPr="00E64A4B">
        <w:t>d</w:t>
      </w:r>
      <w:r w:rsidRPr="00E64A4B">
        <w:t>bout et Caillé, « que l'hypothèse selon laquelle le désir (drive) de do</w:t>
      </w:r>
      <w:r w:rsidRPr="00E64A4B">
        <w:t>n</w:t>
      </w:r>
      <w:r w:rsidRPr="00E64A4B">
        <w:t>ner est aussi important pour comprendre l'espèce humaine que celui de recevoir. Que donner, transmettre, rendre, que la compassion et la g</w:t>
      </w:r>
      <w:r w:rsidRPr="00E64A4B">
        <w:t>é</w:t>
      </w:r>
      <w:r w:rsidRPr="00E64A4B">
        <w:t>nérosité sont aussi essentiels que pre</w:t>
      </w:r>
      <w:r w:rsidRPr="00E64A4B">
        <w:t>n</w:t>
      </w:r>
      <w:r w:rsidRPr="00E64A4B">
        <w:t>dre, s'approprier ou conserver, que l'envie ou l'égoïsme. Ou encore que l'appât du don est aussi pui</w:t>
      </w:r>
      <w:r w:rsidRPr="00E64A4B">
        <w:t>s</w:t>
      </w:r>
      <w:r w:rsidRPr="00E64A4B">
        <w:t>sant que l'appât du gain, et qu'il est tout aussi essentiel d'en élucider les règles que de connaître les lois du marché ou de la bureaucratie pour comprendre la société moderne » (p. 31). « Il existerait », notent les auteurs, « dans la société moderne, comme dans la société archa</w:t>
      </w:r>
      <w:r w:rsidRPr="00E64A4B">
        <w:t>ï</w:t>
      </w:r>
      <w:r w:rsidRPr="00E64A4B">
        <w:t>que ou traditionnelle, un mode de circulation des biens qui</w:t>
      </w:r>
      <w:r>
        <w:t xml:space="preserve"> </w:t>
      </w:r>
      <w:r w:rsidRPr="00E64A4B">
        <w:t>[329]</w:t>
      </w:r>
      <w:r>
        <w:t xml:space="preserve"> </w:t>
      </w:r>
      <w:r w:rsidRPr="00E64A4B">
        <w:t>di</w:t>
      </w:r>
      <w:r w:rsidRPr="00E64A4B">
        <w:t>f</w:t>
      </w:r>
      <w:r w:rsidRPr="00E64A4B">
        <w:t>fère intrinsèquement du mode analysé par les économistes » (p. 32). Ce sens du don serait si puissant chez tous les êtres humains, ju</w:t>
      </w:r>
      <w:r w:rsidRPr="00E64A4B">
        <w:t>s</w:t>
      </w:r>
      <w:r w:rsidRPr="00E64A4B">
        <w:t>que chez nos contemporains, qu'il s'infiltrerait partout, dans les rou</w:t>
      </w:r>
      <w:r w:rsidRPr="00E64A4B">
        <w:t>a</w:t>
      </w:r>
      <w:r w:rsidRPr="00E64A4B">
        <w:t>ges des systèmes marchands, des bureaucraties et dans les interstices des processus rationnels de gestion, venant en quelque sorte contam</w:t>
      </w:r>
      <w:r w:rsidRPr="00E64A4B">
        <w:t>i</w:t>
      </w:r>
      <w:r w:rsidRPr="00E64A4B">
        <w:t>ner d'une infection positive les lois qui font marcher aujourd'hui nos sy</w:t>
      </w:r>
      <w:r w:rsidRPr="00E64A4B">
        <w:t>s</w:t>
      </w:r>
      <w:r w:rsidRPr="00E64A4B">
        <w:t>tèmes économiques et nos États. Si Godbout et Caillé ont raison, notre monde pourrait donc être beaucoup plus habitable qu'il ne l'est de fait, à la condition bien sûr que l'on laisse à cette générosité nat</w:t>
      </w:r>
      <w:r w:rsidRPr="00E64A4B">
        <w:t>u</w:t>
      </w:r>
      <w:r w:rsidRPr="00E64A4B">
        <w:t>relle un espace pour qu'elle s'y déploie.</w:t>
      </w:r>
    </w:p>
    <w:p w:rsidR="00B7214C" w:rsidRPr="00E64A4B" w:rsidRDefault="00B7214C" w:rsidP="00B7214C">
      <w:pPr>
        <w:spacing w:before="120" w:after="120"/>
        <w:jc w:val="both"/>
      </w:pPr>
      <w:r w:rsidRPr="00E64A4B">
        <w:t>Le don ne serait donc pas périphérique mais vraiment central à la vie de toutes les sociétés, dans celles d'hier comme dans celles d'a</w:t>
      </w:r>
      <w:r w:rsidRPr="00E64A4B">
        <w:t>u</w:t>
      </w:r>
      <w:r w:rsidRPr="00E64A4B">
        <w:t>jourd'hui et dans celles de demain sans doute. Ce ne serait donc pas seulement dans la sphère domestique ou dans le groupe d'amis que les cadeaux et les dons circuleraient mais jusqu'en plein coeur de la sph</w:t>
      </w:r>
      <w:r w:rsidRPr="00E64A4B">
        <w:t>è</w:t>
      </w:r>
      <w:r w:rsidRPr="00E64A4B">
        <w:t>re étatique, dans le don d'organes, dans les dons de sang, dans le b</w:t>
      </w:r>
      <w:r w:rsidRPr="00E64A4B">
        <w:t>é</w:t>
      </w:r>
      <w:r w:rsidRPr="00E64A4B">
        <w:t>névolat que l'État pervertit cependant, pense Godbout, lorsqu'il en fait une idéologie, de même que dans la sphère du marché qui aurait de fait beaucoup plus de liens avec le don que ne le disent communément les économistes et où il faudrait paradoxalement, selon le célèbre D. Carnegie qui est cité par les auteurs, donner pour réussir en affaires. Et ces formes m</w:t>
      </w:r>
      <w:r w:rsidRPr="00E64A4B">
        <w:t>o</w:t>
      </w:r>
      <w:r w:rsidRPr="00E64A4B">
        <w:t>dernes du don qui envahissent, selon les auteurs, tant le monde du marché que celui de l'État, ne seraient pas là seulement pour « apporter un supplément d'âme aux logiques marchandes et ét</w:t>
      </w:r>
      <w:r w:rsidRPr="00E64A4B">
        <w:t>a</w:t>
      </w:r>
      <w:r w:rsidRPr="00E64A4B">
        <w:t>tiques » (p. 21) ; elles nous forceraient plutôt à reconnaître que le don s'infiltre partout parce qu'il forme un système qui sous-tend la totalité de l'ordre social, qui le fonde en quelque sorte en enr</w:t>
      </w:r>
      <w:r w:rsidRPr="00E64A4B">
        <w:t>a</w:t>
      </w:r>
      <w:r w:rsidRPr="00E64A4B">
        <w:t>cinant toutes les formes d'échange d'objets et de personnes, avec les étrangers surtout, dans la loi fondatrice du don.</w:t>
      </w:r>
    </w:p>
    <w:p w:rsidR="00B7214C" w:rsidRPr="00E64A4B" w:rsidRDefault="00B7214C" w:rsidP="00B7214C">
      <w:pPr>
        <w:spacing w:before="120" w:after="120"/>
        <w:jc w:val="both"/>
      </w:pPr>
      <w:r w:rsidRPr="00E64A4B">
        <w:t>Si de tels comportements altruistes se retrouvent indistinct</w:t>
      </w:r>
      <w:r w:rsidRPr="00E64A4B">
        <w:t>e</w:t>
      </w:r>
      <w:r w:rsidRPr="00E64A4B">
        <w:t>ment dans toutes les sociétés humaines (« le mouvement spontané de l'âme vers autrui », p. 257) comme l'affirment Godbout et Cai</w:t>
      </w:r>
      <w:r w:rsidRPr="00E64A4B">
        <w:t>l</w:t>
      </w:r>
      <w:r w:rsidRPr="00E64A4B">
        <w:t xml:space="preserve">lé, on ne peut éviter de s'interroger sur les fondements d'une telle universalité. Sur ce point précis, les auteurs de </w:t>
      </w:r>
      <w:hyperlink r:id="rId81" w:history="1">
        <w:r w:rsidRPr="00E64A4B">
          <w:rPr>
            <w:rStyle w:val="Lienhypertexte"/>
            <w:i/>
            <w:iCs/>
          </w:rPr>
          <w:t>L'esprit du don</w:t>
        </w:r>
      </w:hyperlink>
      <w:r w:rsidRPr="00E64A4B">
        <w:t xml:space="preserve"> oscillent entre deux pos</w:t>
      </w:r>
      <w:r w:rsidRPr="00E64A4B">
        <w:t>i</w:t>
      </w:r>
      <w:r w:rsidRPr="00E64A4B">
        <w:t>tions complémentaires, leur faveur se</w:t>
      </w:r>
      <w:r w:rsidRPr="00E64A4B">
        <w:t>m</w:t>
      </w:r>
      <w:r w:rsidRPr="00E64A4B">
        <w:t>blant aller du côté d'une lecture théologique comme l'insinue le titre même de leur ouvrage qui associe habilement l'esprit au don. En bons spécialistes des sciences sociales, ils ont bien sûr co</w:t>
      </w:r>
      <w:r w:rsidRPr="00E64A4B">
        <w:t>m</w:t>
      </w:r>
      <w:r w:rsidRPr="00E64A4B">
        <w:t>mencé par rappeler, et avec insistance, qu'aucune société ne peut fonctionner sur le seul registre de la socialité seconda</w:t>
      </w:r>
      <w:r w:rsidRPr="00E64A4B">
        <w:t>i</w:t>
      </w:r>
      <w:r w:rsidRPr="00E64A4B">
        <w:t>re (celle du marchand et du citoyen) et que la socialité primaire (celle de la famille, des relations d'amitié, de voisinage) surgit constamment pour déjouer les règles du marché et pour mettre de l'huile dans les rouages économiques. L'univers dépersonnalisé, aseptisé et neutre de la socialité secondaire est bien sûr autonome dans son fonctionnement mais les auteurs n'hésitent p</w:t>
      </w:r>
      <w:r>
        <w:t>as à rappeler qu'il est constam</w:t>
      </w:r>
      <w:r w:rsidRPr="00E64A4B">
        <w:t>ment</w:t>
      </w:r>
      <w:r>
        <w:t xml:space="preserve"> </w:t>
      </w:r>
      <w:r w:rsidRPr="00E64A4B">
        <w:t>[330] parasité par des règles qui s'imposent à lui de l'ext</w:t>
      </w:r>
      <w:r w:rsidRPr="00E64A4B">
        <w:t>é</w:t>
      </w:r>
      <w:r w:rsidRPr="00E64A4B">
        <w:t>rieur. Ils ne vont cependant jamais aussi loin qu'affirmer qu'il faut pe</w:t>
      </w:r>
      <w:r w:rsidRPr="00E64A4B">
        <w:t>n</w:t>
      </w:r>
      <w:r w:rsidRPr="00E64A4B">
        <w:t>ser la socialité secondaire dans les termes de la socialité primaire.</w:t>
      </w:r>
    </w:p>
    <w:p w:rsidR="00B7214C" w:rsidRPr="00E64A4B" w:rsidRDefault="00B7214C" w:rsidP="00B7214C">
      <w:pPr>
        <w:spacing w:before="120" w:after="120"/>
        <w:jc w:val="both"/>
      </w:pPr>
      <w:r w:rsidRPr="00E64A4B">
        <w:t>Si les sociétés humaines fonctionnent dans deux univers de social</w:t>
      </w:r>
      <w:r w:rsidRPr="00E64A4B">
        <w:t>i</w:t>
      </w:r>
      <w:r w:rsidRPr="00E64A4B">
        <w:t>té relativement déconnectés, ayant chacun leur registre orig</w:t>
      </w:r>
      <w:r w:rsidRPr="00E64A4B">
        <w:t>i</w:t>
      </w:r>
      <w:r w:rsidRPr="00E64A4B">
        <w:t>nal de normes et largement autonomes l'un par rapport à l'autre, il faut donc se tourner vers des justifications autres que sociolog</w:t>
      </w:r>
      <w:r w:rsidRPr="00E64A4B">
        <w:t>i</w:t>
      </w:r>
      <w:r w:rsidRPr="00E64A4B">
        <w:t>ques pour rendre compte de la présence massive du don dans l'ensemble de la vie soci</w:t>
      </w:r>
      <w:r w:rsidRPr="00E64A4B">
        <w:t>a</w:t>
      </w:r>
      <w:r w:rsidRPr="00E64A4B">
        <w:t>le, particulièrement dans les sphères ma</w:t>
      </w:r>
      <w:r w:rsidRPr="00E64A4B">
        <w:t>r</w:t>
      </w:r>
      <w:r w:rsidRPr="00E64A4B">
        <w:t>chande et étatique où cette présence pose logiquement un probl</w:t>
      </w:r>
      <w:r w:rsidRPr="00E64A4B">
        <w:t>è</w:t>
      </w:r>
      <w:r w:rsidRPr="00E64A4B">
        <w:t xml:space="preserve">me. Dans leur recherche d'un fondement ultime à leur théorie du don, les auteurs de </w:t>
      </w:r>
      <w:hyperlink r:id="rId82" w:history="1">
        <w:r w:rsidRPr="00E64A4B">
          <w:rPr>
            <w:rStyle w:val="Lienhypertexte"/>
            <w:i/>
            <w:iCs/>
          </w:rPr>
          <w:t>L'esprit du don</w:t>
        </w:r>
      </w:hyperlink>
      <w:r w:rsidRPr="00E64A4B">
        <w:t xml:space="preserve"> ont été tentés de recourir à des justifications ontologiques (c'est la n</w:t>
      </w:r>
      <w:r w:rsidRPr="00E64A4B">
        <w:t>a</w:t>
      </w:r>
      <w:r w:rsidRPr="00E64A4B">
        <w:t>ture de l'homme d'être a</w:t>
      </w:r>
      <w:r w:rsidRPr="00E64A4B">
        <w:t>l</w:t>
      </w:r>
      <w:r w:rsidRPr="00E64A4B">
        <w:t>truiste), éthiques (les conduites de don sont la seule alternative à la guerre) et même théologiques (le mouvement spontané de l'âme vers autrui), ce dernier argument s'enracinant ou bien dans une conception d'une nature humaine ontologiquement bo</w:t>
      </w:r>
      <w:r w:rsidRPr="00E64A4B">
        <w:t>n</w:t>
      </w:r>
      <w:r w:rsidRPr="00E64A4B">
        <w:t>ne ou dans la théologie judéo-chrétienne qui voit la personne humaine (refaite à l'image de son dieu sauveur) capable d'amour libre, de gr</w:t>
      </w:r>
      <w:r w:rsidRPr="00E64A4B">
        <w:t>a</w:t>
      </w:r>
      <w:r w:rsidRPr="00E64A4B">
        <w:t>tuité, de générosité, allant jusqu'à donner, sans attendre qu'on lui rende le don qu'elle a fait. L'être humain, tant dans sa nature que dans sa sur-nature théologique, ne serait donc pas qu'un être de pulsions négat</w:t>
      </w:r>
      <w:r w:rsidRPr="00E64A4B">
        <w:t>i</w:t>
      </w:r>
      <w:r w:rsidRPr="00E64A4B">
        <w:t>ves, dévié dès l'origine, comme le rappelle le m</w:t>
      </w:r>
      <w:r w:rsidRPr="00E64A4B">
        <w:t>y</w:t>
      </w:r>
      <w:r w:rsidRPr="00E64A4B">
        <w:t>the biblique, par un acte de rébellion ; il serait tout autant un être ontologiquement orienté vers le don et les autres et structurellement fait pour les échanges l</w:t>
      </w:r>
      <w:r w:rsidRPr="00E64A4B">
        <w:t>i</w:t>
      </w:r>
      <w:r w:rsidRPr="00E64A4B">
        <w:t>bres et gratuits. Tout comme Mauss a eu recours, à un certain moment de sa réflexion, à la théologie maori de « l'esprit de la chose » pour fonder sa théorie du don, Godbout et Caillé me semblent ne pas avoir entièrement échappé à une certaine théologisation chrétienne dans leur interprétation du don.</w:t>
      </w:r>
    </w:p>
    <w:p w:rsidR="00B7214C" w:rsidRPr="00E64A4B" w:rsidRDefault="00B7214C" w:rsidP="00B7214C">
      <w:pPr>
        <w:spacing w:before="120" w:after="120"/>
        <w:jc w:val="both"/>
      </w:pPr>
      <w:r w:rsidRPr="00E64A4B">
        <w:t>Ce serait à peine exagéré de dire que le livre de Godbout-Caillé se présente sans détour comme un commentaire critique, du point du vue des sociétés occidentales contemporaines princip</w:t>
      </w:r>
      <w:r w:rsidRPr="00E64A4B">
        <w:t>a</w:t>
      </w:r>
      <w:r w:rsidRPr="00E64A4B">
        <w:t xml:space="preserve">lement, à </w:t>
      </w:r>
      <w:hyperlink r:id="rId83" w:history="1">
        <w:r w:rsidRPr="00E64A4B">
          <w:rPr>
            <w:rStyle w:val="Lienhypertexte"/>
            <w:i/>
            <w:iCs/>
          </w:rPr>
          <w:t>l'Essai sur le don</w:t>
        </w:r>
      </w:hyperlink>
      <w:r w:rsidRPr="00E64A4B">
        <w:t xml:space="preserve"> de Marcel Mauss, lequel en plus d'avoir vieilli (il a quelque 70 ans d'âge) ne s'était, en son temps, que marginalement intéressé au statut de l'échange et du don dans les sociétés modernes. Leur relect</w:t>
      </w:r>
      <w:r w:rsidRPr="00E64A4B">
        <w:t>u</w:t>
      </w:r>
      <w:r w:rsidRPr="00E64A4B">
        <w:t xml:space="preserve">re de Mauss, Godbout et Caillé la font à travers la lecture qu'en a d'abord faite C. Lévi-Strauss en 1950 dans son </w:t>
      </w:r>
      <w:hyperlink r:id="rId84" w:anchor="Anchor-11481" w:history="1">
        <w:r w:rsidRPr="00E64A4B">
          <w:rPr>
            <w:rStyle w:val="Lienhypertexte"/>
            <w:i/>
            <w:iCs/>
          </w:rPr>
          <w:t>Introduction à l'œuvre de Marcel Mauss</w:t>
        </w:r>
      </w:hyperlink>
      <w:r>
        <w:rPr>
          <w:iCs/>
        </w:rPr>
        <w:t> </w:t>
      </w:r>
      <w:r>
        <w:rPr>
          <w:rStyle w:val="Appelnotedebasdep"/>
          <w:iCs/>
        </w:rPr>
        <w:footnoteReference w:id="258"/>
      </w:r>
      <w:r w:rsidRPr="00E64A4B">
        <w:rPr>
          <w:i/>
          <w:iCs/>
        </w:rPr>
        <w:t>.</w:t>
      </w:r>
      <w:r w:rsidRPr="00E64A4B">
        <w:t xml:space="preserve"> À mon tour, c est par-dessus l'épaule de Mauss, puis celle de Lévi-Strauss, que j'ai lu le livre de Godbout et Caillé, ce livre qui reprend à fond, mais cette fois du point de vue du don, la di</w:t>
      </w:r>
      <w:r w:rsidRPr="00E64A4B">
        <w:t>s</w:t>
      </w:r>
      <w:r w:rsidRPr="00E64A4B">
        <w:t>cussion de la théorie généralisée de l'échange telle que la vulgate structuraliste en est venue à l'imposer à l'anthropologie et plus glob</w:t>
      </w:r>
      <w:r w:rsidRPr="00E64A4B">
        <w:t>a</w:t>
      </w:r>
      <w:r w:rsidRPr="00E64A4B">
        <w:t>lement à l'ensemble des sciences humaines. Godbout et Caillé cro</w:t>
      </w:r>
      <w:r w:rsidRPr="00E64A4B">
        <w:t>i</w:t>
      </w:r>
      <w:r w:rsidRPr="00E64A4B">
        <w:t>sent aussi le fer dans leur ouvrage avec d'autres penseurs que les structur</w:t>
      </w:r>
      <w:r w:rsidRPr="00E64A4B">
        <w:t>a</w:t>
      </w:r>
      <w:r w:rsidRPr="00E64A4B">
        <w:t>listes, avec Bataille et sa « notion de dépense » qui leur pose un pr</w:t>
      </w:r>
      <w:r w:rsidRPr="00E64A4B">
        <w:t>o</w:t>
      </w:r>
      <w:r w:rsidRPr="00E64A4B">
        <w:t>blème, avec</w:t>
      </w:r>
      <w:r>
        <w:t xml:space="preserve"> </w:t>
      </w:r>
      <w:r w:rsidRPr="00E64A4B">
        <w:t>[331]</w:t>
      </w:r>
      <w:r>
        <w:t xml:space="preserve"> </w:t>
      </w:r>
      <w:r w:rsidRPr="00E64A4B">
        <w:t>Baudrillard, échangiste et structuraliste, qui leur rappelle opportunément que les choses circulent comme des symb</w:t>
      </w:r>
      <w:r w:rsidRPr="00E64A4B">
        <w:t>o</w:t>
      </w:r>
      <w:r w:rsidRPr="00E64A4B">
        <w:t>les, des simulacres, comme dans un « charnier de signes », avec les anthropologues éc</w:t>
      </w:r>
      <w:r w:rsidRPr="00E64A4B">
        <w:t>o</w:t>
      </w:r>
      <w:r w:rsidRPr="00E64A4B">
        <w:t>nomistes d'orientation marxiste, avec Sahlins et Bourdieu surtout, et avec d'autres aussi. Mais par-dessus tout c'est L</w:t>
      </w:r>
      <w:r w:rsidRPr="00E64A4B">
        <w:t>é</w:t>
      </w:r>
      <w:r w:rsidRPr="00E64A4B">
        <w:t>vi-Strauss qui se pr</w:t>
      </w:r>
      <w:r w:rsidRPr="00E64A4B">
        <w:t>o</w:t>
      </w:r>
      <w:r w:rsidRPr="00E64A4B">
        <w:t>file constamment derrière le Mauss que Godbout et Caillé ont lu.</w:t>
      </w:r>
    </w:p>
    <w:p w:rsidR="00B7214C" w:rsidRPr="00E64A4B" w:rsidRDefault="00B7214C" w:rsidP="00B7214C">
      <w:pPr>
        <w:spacing w:before="120" w:after="120"/>
        <w:jc w:val="both"/>
      </w:pPr>
      <w:r w:rsidRPr="00E64A4B">
        <w:t>Dans ce contexte, il est intéressant de commencer par rappeler la question, un peu ironique, que se posait Lévi-Strauss à propos de l'E</w:t>
      </w:r>
      <w:r w:rsidRPr="00E64A4B">
        <w:t>s</w:t>
      </w:r>
      <w:r w:rsidRPr="00E64A4B">
        <w:t xml:space="preserve">sai </w:t>
      </w:r>
      <w:r w:rsidRPr="000D1A32">
        <w:rPr>
          <w:i/>
          <w:iCs/>
        </w:rPr>
        <w:t>sur le don</w:t>
      </w:r>
      <w:r w:rsidRPr="00E64A4B">
        <w:t> : « D'où vient donc, se demandait-il, le pouvoir extrao</w:t>
      </w:r>
      <w:r w:rsidRPr="00E64A4B">
        <w:t>r</w:t>
      </w:r>
      <w:r w:rsidRPr="00E64A4B">
        <w:t>dinaire de ces pages désordonnées, qui ont quelque chose du broui</w:t>
      </w:r>
      <w:r w:rsidRPr="00E64A4B">
        <w:t>l</w:t>
      </w:r>
      <w:r w:rsidRPr="00E64A4B">
        <w:t>lon, où se juxtaposent de façon si curieuse les notations impressio</w:t>
      </w:r>
      <w:r w:rsidRPr="00E64A4B">
        <w:t>n</w:t>
      </w:r>
      <w:r w:rsidRPr="00E64A4B">
        <w:t>nistes et ... une érudition inspirée, qui semble glaner au hasard des r</w:t>
      </w:r>
      <w:r w:rsidRPr="00E64A4B">
        <w:t>é</w:t>
      </w:r>
      <w:r w:rsidRPr="00E64A4B">
        <w:t>férences américaines, indiennes, celtiques, grecques ou océaniennes, mais to</w:t>
      </w:r>
      <w:r w:rsidRPr="00E64A4B">
        <w:t>u</w:t>
      </w:r>
      <w:r w:rsidRPr="00E64A4B">
        <w:t xml:space="preserve">jours également probantes ? » (1950 p. xxxiii). Et répondant lui-même à sa question, il notait dès les premières lignes de son </w:t>
      </w:r>
      <w:hyperlink r:id="rId85" w:anchor="Anchor-11481" w:history="1">
        <w:r w:rsidRPr="00E64A4B">
          <w:rPr>
            <w:rStyle w:val="Lienhypertexte"/>
            <w:szCs w:val="22"/>
            <w:lang w:eastAsia="fr-FR" w:bidi="fr-FR"/>
          </w:rPr>
          <w:t>Introduction à l'œuvre de Marcel Mauss</w:t>
        </w:r>
      </w:hyperlink>
      <w:r w:rsidRPr="00E64A4B">
        <w:t xml:space="preserve"> combien cette « pensée op</w:t>
      </w:r>
      <w:r w:rsidRPr="00E64A4B">
        <w:t>a</w:t>
      </w:r>
      <w:r w:rsidRPr="00E64A4B">
        <w:t>que » est « toute sillonnée d'éclairs » et comment « les démarches to</w:t>
      </w:r>
      <w:r w:rsidRPr="00E64A4B">
        <w:t>r</w:t>
      </w:r>
      <w:r w:rsidRPr="00E64A4B">
        <w:t>tue</w:t>
      </w:r>
      <w:r w:rsidRPr="00E64A4B">
        <w:t>u</w:t>
      </w:r>
      <w:r w:rsidRPr="00E64A4B">
        <w:t>ses » de Mauss conduisent au « coeur des problèmes » par « le plus inattendu des itinéraires » (1950, p. ix.). Et le chef-d’œuvre de Mauss, celui qui est « le plus justement célèbre et dont l'influence a été la plus profonde » (p. xxiv), est celui qui va au coeur d'un probl</w:t>
      </w:r>
      <w:r w:rsidRPr="00E64A4B">
        <w:t>è</w:t>
      </w:r>
      <w:r w:rsidRPr="00E64A4B">
        <w:t>me majeur, central, total de toutes les sociétés, le problème du don, de l'échange, de la r</w:t>
      </w:r>
      <w:r w:rsidRPr="00E64A4B">
        <w:t>é</w:t>
      </w:r>
      <w:r w:rsidRPr="00E64A4B">
        <w:t>ciprocité. Ce serait même là le seul problème, celui de l'échange, qui intéresse vraiment les sociétés humaines, et ce d</w:t>
      </w:r>
      <w:r w:rsidRPr="00E64A4B">
        <w:t>e</w:t>
      </w:r>
      <w:r w:rsidRPr="00E64A4B">
        <w:t>vrait, pour cette raison, être aussi celui que les spécialistes des scie</w:t>
      </w:r>
      <w:r w:rsidRPr="00E64A4B">
        <w:t>n</w:t>
      </w:r>
      <w:r w:rsidRPr="00E64A4B">
        <w:t>ces sociales se donnent pour rôle essentiel de compre</w:t>
      </w:r>
      <w:r w:rsidRPr="00E64A4B">
        <w:t>n</w:t>
      </w:r>
      <w:r w:rsidRPr="00E64A4B">
        <w:t>dre : à travers leur critique de la théorie du don chez Mauss et de l'échange général</w:t>
      </w:r>
      <w:r w:rsidRPr="00E64A4B">
        <w:t>i</w:t>
      </w:r>
      <w:r w:rsidRPr="00E64A4B">
        <w:t>sé chez Lévis-Strauss, Godbout et Caillé balisent quelques pistes no</w:t>
      </w:r>
      <w:r w:rsidRPr="00E64A4B">
        <w:t>u</w:t>
      </w:r>
      <w:r w:rsidRPr="00E64A4B">
        <w:t>velles pour réorienter la théorie et la pratique dans les sciences soci</w:t>
      </w:r>
      <w:r w:rsidRPr="00E64A4B">
        <w:t>a</w:t>
      </w:r>
      <w:r w:rsidRPr="00E64A4B">
        <w:t>les.</w:t>
      </w:r>
    </w:p>
    <w:p w:rsidR="00B7214C" w:rsidRPr="00E64A4B" w:rsidRDefault="00B7214C" w:rsidP="00B7214C">
      <w:pPr>
        <w:spacing w:before="120" w:after="120"/>
        <w:jc w:val="both"/>
      </w:pPr>
      <w:r w:rsidRPr="00E64A4B">
        <w:t>L</w:t>
      </w:r>
      <w:r w:rsidRPr="00E64A4B">
        <w:rPr>
          <w:i/>
          <w:iCs/>
        </w:rPr>
        <w:t>'</w:t>
      </w:r>
      <w:hyperlink r:id="rId86" w:history="1">
        <w:r w:rsidRPr="00E64A4B">
          <w:rPr>
            <w:rStyle w:val="Lienhypertexte"/>
            <w:i/>
            <w:iCs/>
          </w:rPr>
          <w:t>Essai sur le don</w:t>
        </w:r>
      </w:hyperlink>
      <w:r w:rsidRPr="00E64A4B">
        <w:t xml:space="preserve"> de Mauss et </w:t>
      </w:r>
      <w:hyperlink r:id="rId87" w:history="1">
        <w:r w:rsidRPr="00E64A4B">
          <w:rPr>
            <w:rStyle w:val="Lienhypertexte"/>
            <w:i/>
            <w:iCs/>
          </w:rPr>
          <w:t>L'esprit du don</w:t>
        </w:r>
      </w:hyperlink>
      <w:r w:rsidRPr="00E64A4B">
        <w:t xml:space="preserve"> de Godbout-Caillé s'organisent bel et bien autour de la même question : Par quel détour le libre devient-il l'obligation, et comment ce qui est volontaire peut-il créer de la contrainte ? Et surtout, comment un acte ou un comport</w:t>
      </w:r>
      <w:r w:rsidRPr="00E64A4B">
        <w:t>e</w:t>
      </w:r>
      <w:r w:rsidRPr="00E64A4B">
        <w:t>ment peut-il en même temps être l'un et l'autre, libre mais aussi obl</w:t>
      </w:r>
      <w:r w:rsidRPr="00E64A4B">
        <w:t>i</w:t>
      </w:r>
      <w:r w:rsidRPr="00E64A4B">
        <w:t>gatoire. Pour répondre à cette question, Mauss a examiné dans une perspective comparative les formes archaïques de l'échange, le p</w:t>
      </w:r>
      <w:r w:rsidRPr="00E64A4B">
        <w:t>o</w:t>
      </w:r>
      <w:r w:rsidRPr="00E64A4B">
        <w:t>tlach, la kula et diverses autres tra</w:t>
      </w:r>
      <w:r w:rsidRPr="00E64A4B">
        <w:t>n</w:t>
      </w:r>
      <w:r w:rsidRPr="00E64A4B">
        <w:t>sactions qu'on trouve en Polynésie, en Mélanésie, chez les Amérindiens, s'efforçant d'interpréter ces sy</w:t>
      </w:r>
      <w:r w:rsidRPr="00E64A4B">
        <w:t>s</w:t>
      </w:r>
      <w:r w:rsidRPr="00E64A4B">
        <w:t>tèmes d'échange sur l'horizon des droits locaux (des contrats implic</w:t>
      </w:r>
      <w:r w:rsidRPr="00E64A4B">
        <w:t>i</w:t>
      </w:r>
      <w:r w:rsidRPr="00E64A4B">
        <w:t>tes), des morales et des économies en référence auxquels fonctionn</w:t>
      </w:r>
      <w:r w:rsidRPr="00E64A4B">
        <w:t>e</w:t>
      </w:r>
      <w:r w:rsidRPr="00E64A4B">
        <w:t>raient les sociétés archaïques. Sous la prolifération des formes prim</w:t>
      </w:r>
      <w:r w:rsidRPr="00E64A4B">
        <w:t>i</w:t>
      </w:r>
      <w:r w:rsidRPr="00E64A4B">
        <w:t>tives d'échange, Mauss a découvert quelques relations constantes dont la plus importante lui a semblé être l'obligation de rendre les dons r</w:t>
      </w:r>
      <w:r w:rsidRPr="00E64A4B">
        <w:t>e</w:t>
      </w:r>
      <w:r w:rsidRPr="00E64A4B">
        <w:t>çus, obligation qui s'impose, pense-t-il, à cause de l'esprit de la chose</w:t>
      </w:r>
      <w:r>
        <w:t xml:space="preserve"> </w:t>
      </w:r>
      <w:r w:rsidRPr="00E64A4B">
        <w:t>[332]</w:t>
      </w:r>
      <w:r>
        <w:t xml:space="preserve"> </w:t>
      </w:r>
      <w:r w:rsidRPr="00E64A4B">
        <w:t>donnée : au-delà des biens, dans les biens eux-mêmes, circule une force ou un pouvoir qui force les récipiendaires à rendre le bien reçu. Et c'est la kula mélanésienne, ce vaste système de pre</w:t>
      </w:r>
      <w:r w:rsidRPr="00E64A4B">
        <w:t>s</w:t>
      </w:r>
      <w:r w:rsidRPr="00E64A4B">
        <w:t>tations et de contre-prestations, qui réaliserait le plus parfaitement cette loi s</w:t>
      </w:r>
      <w:r w:rsidRPr="00E64A4B">
        <w:t>o</w:t>
      </w:r>
      <w:r w:rsidRPr="00E64A4B">
        <w:t>ciale, morale et économique élémentaire. Bien qu'il n'ait pas vraiment étudié les systèmes d'échange dans les sociétés modernes (il s'est lim</w:t>
      </w:r>
      <w:r w:rsidRPr="00E64A4B">
        <w:t>i</w:t>
      </w:r>
      <w:r w:rsidRPr="00E64A4B">
        <w:t>té à un examen rapide des vieux droits indo-européens, du droit r</w:t>
      </w:r>
      <w:r w:rsidRPr="00E64A4B">
        <w:t>o</w:t>
      </w:r>
      <w:r w:rsidRPr="00E64A4B">
        <w:t>main a</w:t>
      </w:r>
      <w:r w:rsidRPr="00E64A4B">
        <w:t>n</w:t>
      </w:r>
      <w:r w:rsidRPr="00E64A4B">
        <w:t>cien, des droits de l'Inde et de la Chine), Mauss a conclu que ce rég</w:t>
      </w:r>
      <w:r w:rsidRPr="00E64A4B">
        <w:t>i</w:t>
      </w:r>
      <w:r w:rsidRPr="00E64A4B">
        <w:t>me élémentaire des dons échangés survivrait encore dans les sociétés d'aujourd'hui dans lesquelles il ne serait cependant mis en œuvre que de manière marginale à la manière d'une survivance mal liquidée.</w:t>
      </w:r>
    </w:p>
    <w:p w:rsidR="00B7214C" w:rsidRPr="00E64A4B" w:rsidRDefault="00B7214C" w:rsidP="00B7214C">
      <w:pPr>
        <w:spacing w:before="120" w:after="120"/>
        <w:jc w:val="both"/>
      </w:pPr>
      <w:r w:rsidRPr="00E64A4B">
        <w:t>Godbout et Caillé sont en désaccord avec ces deux points de la th</w:t>
      </w:r>
      <w:r w:rsidRPr="00E64A4B">
        <w:t>è</w:t>
      </w:r>
      <w:r w:rsidRPr="00E64A4B">
        <w:t>se maussienne. Us mettent plus particulièrement en doute sa règle de la réciprocité : pour ce qui est des sociétés contempora</w:t>
      </w:r>
      <w:r w:rsidRPr="00E64A4B">
        <w:t>i</w:t>
      </w:r>
      <w:r w:rsidRPr="00E64A4B">
        <w:t>nes, Godbout affirme avec de multiples preuves à l'appui que les dons reçus n'y sont pas toujours rendus ; dans le cas des sociétés archaïques. Caillé et Godbout semblent plus hésitants : d'une part, ils admettent, avec Mauss, la règle de l'obligation de rendre mais, d'autre part, le rendu pour un donné leur semble y suivre des itinéraires sinueux, les répo</w:t>
      </w:r>
      <w:r w:rsidRPr="00E64A4B">
        <w:t>n</w:t>
      </w:r>
      <w:r w:rsidRPr="00E64A4B">
        <w:t>ses réciproques y étant souvent décalées dans le temps ou s'y faisant par la médiation de nombreux intermédiaires, dans une spirale alte</w:t>
      </w:r>
      <w:r w:rsidRPr="00E64A4B">
        <w:t>r</w:t>
      </w:r>
      <w:r w:rsidRPr="00E64A4B">
        <w:t>née de dons et de contre-dons souvent inflationniste et assez éloignée du schéma circulaire env</w:t>
      </w:r>
      <w:r w:rsidRPr="00E64A4B">
        <w:t>i</w:t>
      </w:r>
      <w:r w:rsidRPr="00E64A4B">
        <w:t>sagé par Mauss. De plus, pensent Godbout et Caillé, il y aurait logiquement un défaut de la pensée dans la loi de la réciprocité : comment un don dont l'essence est d'être spontané, non calculé et libre serait-il encore un don si le retour réciproque était to</w:t>
      </w:r>
      <w:r w:rsidRPr="00E64A4B">
        <w:t>u</w:t>
      </w:r>
      <w:r w:rsidRPr="00E64A4B">
        <w:t xml:space="preserve">jours attendu ? La réciprocité ne fait-elle pas subrepticement basculer toute la théorie du don dans l'utilitarisme vulgaire ? Ce sont là de vraies et solides objections à la théorie maussienne mais, à notre tour, nous voudrions demander aux auteurs de </w:t>
      </w:r>
      <w:hyperlink r:id="rId88" w:history="1">
        <w:r w:rsidRPr="00E64A4B">
          <w:rPr>
            <w:rStyle w:val="Lienhypertexte"/>
            <w:i/>
            <w:iCs/>
          </w:rPr>
          <w:t>L'esprit du don</w:t>
        </w:r>
        <w:r w:rsidRPr="00E64A4B">
          <w:rPr>
            <w:rStyle w:val="Lienhypertexte"/>
          </w:rPr>
          <w:t> </w:t>
        </w:r>
      </w:hyperlink>
      <w:r w:rsidRPr="00E64A4B">
        <w:t>: le fait que le retour réciproque ne soit pas obligatoire implique-t-il que le réc</w:t>
      </w:r>
      <w:r w:rsidRPr="00E64A4B">
        <w:t>i</w:t>
      </w:r>
      <w:r w:rsidRPr="00E64A4B">
        <w:t>piendaire (personne ou groupe) ne contracte aucune dette à l'égard du donateur ? Et s'il y a dette, est-elle d'une nature différente de la dette marchande ? Godbout et Caillé se réfugient ici dans des réponses v</w:t>
      </w:r>
      <w:r w:rsidRPr="00E64A4B">
        <w:t>a</w:t>
      </w:r>
      <w:r w:rsidRPr="00E64A4B">
        <w:t>gues comme l'ont fait bien des penseurs avant eux : « Quelque chose nous échappe dans le don et donne le vertige à la raison moderne. Ce qui n'implique pas que le don soit irrationnel » (p. 142).</w:t>
      </w:r>
    </w:p>
    <w:p w:rsidR="00B7214C" w:rsidRPr="00E64A4B" w:rsidRDefault="00B7214C" w:rsidP="00B7214C">
      <w:pPr>
        <w:spacing w:before="120" w:after="120"/>
        <w:jc w:val="both"/>
      </w:pPr>
      <w:r w:rsidRPr="00E64A4B">
        <w:t>Relativement à leur second désaccord avec Mauss, Godbout et Caillé sont beaucoup plus assurés : ils se disent gênés, sur un plan théorique, par les relents évolutionnistes qui imprègnent la notion de survivance chez Mauss, d'autant plus d'ailleurs que la sociol</w:t>
      </w:r>
      <w:r w:rsidRPr="00E64A4B">
        <w:t>o</w:t>
      </w:r>
      <w:r w:rsidRPr="00E64A4B">
        <w:t>gie leur montre avec évidence que l'individu moderne est sans cesse engagé dans des rapports de don, faisant même éclater les frontières limitées du groupe où s'était maintenu le régime du don dans les sociétés trad</w:t>
      </w:r>
      <w:r w:rsidRPr="00E64A4B">
        <w:t>i</w:t>
      </w:r>
      <w:r w:rsidRPr="00E64A4B">
        <w:t>tionnelles pour y inclure le don aux</w:t>
      </w:r>
      <w:r>
        <w:t xml:space="preserve"> </w:t>
      </w:r>
      <w:r w:rsidRPr="00E64A4B">
        <w:t>[333]</w:t>
      </w:r>
      <w:r>
        <w:t xml:space="preserve"> </w:t>
      </w:r>
      <w:r w:rsidRPr="00E64A4B">
        <w:t>étrangers qui serait d'ai</w:t>
      </w:r>
      <w:r w:rsidRPr="00E64A4B">
        <w:t>l</w:t>
      </w:r>
      <w:r w:rsidRPr="00E64A4B">
        <w:t>leurs devenu la forme spécifique du don moderne. Le don servirait aujourd'hui à se rapprocher de l'étranger, à faire entrer l'inconnu dans le registre du connu, et ce ne serait pas seulement en tant que modif</w:t>
      </w:r>
      <w:r w:rsidRPr="00E64A4B">
        <w:t>i</w:t>
      </w:r>
      <w:r w:rsidRPr="00E64A4B">
        <w:t>cation superficielle d'une vieille règle ou comme une survivance qu'il le ferait : une dimension substantive des sociétés humaines serait ici en jeu, une dimension reliée au mécanisme d'ouverture-fermeture, l</w:t>
      </w:r>
      <w:r w:rsidRPr="00E64A4B">
        <w:t>e</w:t>
      </w:r>
      <w:r w:rsidRPr="00E64A4B">
        <w:t>quel fonctionnerait aujourd'hui dans le contexte de l'anonymat et de la distanciation que la modernité a imp</w:t>
      </w:r>
      <w:r w:rsidRPr="00E64A4B">
        <w:t>o</w:t>
      </w:r>
      <w:r w:rsidRPr="00E64A4B">
        <w:t>sé à nos sociétés. L'enjeu majeur que le don dévoile est devenu autre : il ne s'agit pas seulement de r</w:t>
      </w:r>
      <w:r w:rsidRPr="00E64A4B">
        <w:t>e</w:t>
      </w:r>
      <w:r w:rsidRPr="00E64A4B">
        <w:t>connaître les siens à l'intérieur des frontières mais de les ouvrir en a</w:t>
      </w:r>
      <w:r w:rsidRPr="00E64A4B">
        <w:t>l</w:t>
      </w:r>
      <w:r w:rsidRPr="00E64A4B">
        <w:t>lant vers les autres, vers les étrangers.</w:t>
      </w:r>
    </w:p>
    <w:p w:rsidR="00B7214C" w:rsidRPr="00E64A4B" w:rsidRDefault="00B7214C" w:rsidP="00B7214C">
      <w:pPr>
        <w:spacing w:before="120" w:after="120"/>
        <w:jc w:val="both"/>
      </w:pPr>
      <w:r w:rsidRPr="00E64A4B">
        <w:t>Mais comment passe-t-on des données ethnographiques ou « socio- graphiques » relatives à la circulation des biens à l'ét</w:t>
      </w:r>
      <w:r w:rsidRPr="00E64A4B">
        <w:t>a</w:t>
      </w:r>
      <w:r w:rsidRPr="00E64A4B">
        <w:t>blissement d'une loi comme celle des trois prescriptions (donner, recevoir, rendre) chez Mauss, à celle de l'échange généralisé chez Lévi-Strauss ou à celle du don comme « boucle enchevêtrée » chez Godbout et Caillé ? Un tel passage des faits à leur interprét</w:t>
      </w:r>
      <w:r w:rsidRPr="00E64A4B">
        <w:t>a</w:t>
      </w:r>
      <w:r w:rsidRPr="00E64A4B">
        <w:t>tion met toujours en jeu, chez les chercheurs, un certain nombre de concepts, voire une théorie et une méthode particulière de tr</w:t>
      </w:r>
      <w:r w:rsidRPr="00E64A4B">
        <w:t>a</w:t>
      </w:r>
      <w:r w:rsidRPr="00E64A4B">
        <w:t>vail. Dans le cas de Mauss les choses sont claires puisqu'il dit e</w:t>
      </w:r>
      <w:r w:rsidRPr="00E64A4B">
        <w:t>x</w:t>
      </w:r>
      <w:r w:rsidRPr="00E64A4B">
        <w:t>plicitement avoir travaillé à partir de la notion de « fait social t</w:t>
      </w:r>
      <w:r w:rsidRPr="00E64A4B">
        <w:t>o</w:t>
      </w:r>
      <w:r w:rsidRPr="00E64A4B">
        <w:t>tal », une notion qu'il a particulièrement développée au cours de ses recherches sur le don : un fait social est totalisateur lorsqu'il constitue une des lignes de force autour desquelles s'organise l'a</w:t>
      </w:r>
      <w:r w:rsidRPr="00E64A4B">
        <w:t>r</w:t>
      </w:r>
      <w:r w:rsidRPr="00E64A4B">
        <w:t>chitecture d'une société ou lorsqu'il agit à la manière d'un lien ou d'un ciment qui fait tenir ensemble des éléments diversifiés, contr</w:t>
      </w:r>
      <w:r w:rsidRPr="00E64A4B">
        <w:t>i</w:t>
      </w:r>
      <w:r w:rsidRPr="00E64A4B">
        <w:t xml:space="preserve">buant à mettre en évidence la logique qui les interconnecte. Si </w:t>
      </w:r>
      <w:hyperlink r:id="rId89" w:history="1">
        <w:r w:rsidRPr="00E64A4B">
          <w:rPr>
            <w:rStyle w:val="Lienhypertexte"/>
            <w:i/>
            <w:iCs/>
          </w:rPr>
          <w:t>l'Essai sur le don</w:t>
        </w:r>
      </w:hyperlink>
      <w:r w:rsidRPr="00E64A4B">
        <w:t xml:space="preserve"> « inaugure », selon Lévi-Strauss « une ère nouvelle pour les sciences sociales » (p. xxxv), c'est précisément parce que Mauss a mis en application dans cet </w:t>
      </w:r>
      <w:r w:rsidRPr="00E64A4B">
        <w:rPr>
          <w:i/>
          <w:iCs/>
        </w:rPr>
        <w:t>Essai</w:t>
      </w:r>
      <w:r w:rsidRPr="00E64A4B">
        <w:t xml:space="preserve"> sa notion du « fait social total », ce qui lui a permis de trouver dans les trois obligations (donner, recevoir, rendre) un système simple pour e</w:t>
      </w:r>
      <w:r w:rsidRPr="00E64A4B">
        <w:t>x</w:t>
      </w:r>
      <w:r w:rsidRPr="00E64A4B">
        <w:t>pliquer à la fois les représentations et les pratiques des acteurs sociaux, les ramenant à quelques méc</w:t>
      </w:r>
      <w:r w:rsidRPr="00E64A4B">
        <w:t>a</w:t>
      </w:r>
      <w:r w:rsidRPr="00E64A4B">
        <w:t>nismes majeurs et à quelques arrangements dominants.</w:t>
      </w:r>
    </w:p>
    <w:p w:rsidR="00B7214C" w:rsidRPr="00E64A4B" w:rsidRDefault="00B7214C" w:rsidP="00B7214C">
      <w:pPr>
        <w:spacing w:before="120" w:after="120"/>
        <w:jc w:val="both"/>
      </w:pPr>
      <w:r w:rsidRPr="00E64A4B">
        <w:t>Mais Mauss se serait arrêté en chemin, selon Lévi-Strauss, à l'e</w:t>
      </w:r>
      <w:r w:rsidRPr="00E64A4B">
        <w:t>n</w:t>
      </w:r>
      <w:r w:rsidRPr="00E64A4B">
        <w:t>trée de la terre promise structuraliste qu'il n'a pu qu'entrevoir, laissant à d'autres le soin « d'exploiter les possibilités ouvertes par cette m</w:t>
      </w:r>
      <w:r w:rsidRPr="00E64A4B">
        <w:t>é</w:t>
      </w:r>
      <w:r w:rsidRPr="00E64A4B">
        <w:t>thode » (p. xxxiv) qui invitait à identifier les rapports constants entre les phénomènes. Mauss avait bien vu que, derrière les réseaux factuels d'échange des objets et des personnes, se pr</w:t>
      </w:r>
      <w:r w:rsidRPr="00E64A4B">
        <w:t>o</w:t>
      </w:r>
      <w:r w:rsidRPr="00E64A4B">
        <w:t>file la règle de la triple prescription que Lévi-Strauss lui-même ramènera à une règle encore plus élémentaire, celle de l'échange généralisé. Ce serait dans le retard que l'on a mis en France et ailleurs à poursuivre le programme pré</w:t>
      </w:r>
      <w:r w:rsidRPr="00E64A4B">
        <w:t>s</w:t>
      </w:r>
      <w:r w:rsidRPr="00E64A4B">
        <w:t>tructuraliste initié par Mauss que le fonctionnalisme anglo-saxon a</w:t>
      </w:r>
      <w:r w:rsidRPr="00E64A4B">
        <w:t>u</w:t>
      </w:r>
      <w:r w:rsidRPr="00E64A4B">
        <w:t>rait trouvé sa chance à tr</w:t>
      </w:r>
      <w:r w:rsidRPr="00E64A4B">
        <w:t>a</w:t>
      </w:r>
      <w:r w:rsidRPr="00E64A4B">
        <w:t>vers</w:t>
      </w:r>
      <w:r>
        <w:t xml:space="preserve"> </w:t>
      </w:r>
      <w:r w:rsidRPr="00E64A4B">
        <w:t>[334]</w:t>
      </w:r>
      <w:r>
        <w:t xml:space="preserve"> </w:t>
      </w:r>
      <w:r w:rsidRPr="00E64A4B">
        <w:t>Malinowski qui a proposé des circuits d'échange trobriandais, de la kula surtout, une interprétation largement opposée à celle de Mauss. Malinowski s'est lui aussi int</w:t>
      </w:r>
      <w:r w:rsidRPr="00E64A4B">
        <w:t>é</w:t>
      </w:r>
      <w:r w:rsidRPr="00E64A4B">
        <w:t>ressé à dégager les règles de rapports constants qui lient les faits les uns aux autres, mais il l'a fait dans un cadre utilitariste, se limitant à se demander à quoi ce</w:t>
      </w:r>
      <w:r w:rsidRPr="00E64A4B">
        <w:t>t</w:t>
      </w:r>
      <w:r w:rsidRPr="00E64A4B">
        <w:t>te circulation des objets pouvait bien servir et lui cherchant ult</w:t>
      </w:r>
      <w:r w:rsidRPr="00E64A4B">
        <w:t>i</w:t>
      </w:r>
      <w:r w:rsidRPr="00E64A4B">
        <w:t>mement une justification du côté d'une théorie assez élémentaire des besoins. Ce virage des sciences sociales vers le fon</w:t>
      </w:r>
      <w:r w:rsidRPr="00E64A4B">
        <w:t>c</w:t>
      </w:r>
      <w:r w:rsidRPr="00E64A4B">
        <w:t>tionn</w:t>
      </w:r>
      <w:r w:rsidRPr="00E64A4B">
        <w:t>a</w:t>
      </w:r>
      <w:r w:rsidRPr="00E64A4B">
        <w:t>lisme a complètement réorienté, dans une direction utilitariste, toute la réflexion sur l'échange et sur le don, emprisonnant les che</w:t>
      </w:r>
      <w:r w:rsidRPr="00E64A4B">
        <w:t>r</w:t>
      </w:r>
      <w:r w:rsidRPr="00E64A4B">
        <w:t>cheurs dans des schémas déterministes et mécaniques avec lesquels le livre de Godbout et Caillé rompt radicalement. Leur refus du fon</w:t>
      </w:r>
      <w:r w:rsidRPr="00E64A4B">
        <w:t>c</w:t>
      </w:r>
      <w:r w:rsidRPr="00E64A4B">
        <w:t>tionnalisme utilitaire cherche à débâtir cet édifice théorique jusque dans ses fondations mêmes ; faut-il rappeler que ce sont, en effet, les données trobriandaises relatives aux écha</w:t>
      </w:r>
      <w:r w:rsidRPr="00E64A4B">
        <w:t>n</w:t>
      </w:r>
      <w:r w:rsidRPr="00E64A4B">
        <w:t>ges de biens dans la kula qui avaient amené Malinowski à prop</w:t>
      </w:r>
      <w:r w:rsidRPr="00E64A4B">
        <w:t>o</w:t>
      </w:r>
      <w:r w:rsidRPr="00E64A4B">
        <w:t>ser la théorie fonctionnaliste qu'il a ensuite étendue à d'autres phénomènes, puis généralisée à l'e</w:t>
      </w:r>
      <w:r w:rsidRPr="00E64A4B">
        <w:t>n</w:t>
      </w:r>
      <w:r w:rsidRPr="00E64A4B">
        <w:t>semble du champ social.</w:t>
      </w:r>
    </w:p>
    <w:p w:rsidR="00B7214C" w:rsidRPr="00E64A4B" w:rsidRDefault="00B7214C" w:rsidP="00B7214C">
      <w:pPr>
        <w:spacing w:before="120" w:after="120"/>
        <w:jc w:val="both"/>
      </w:pPr>
      <w:r w:rsidRPr="00E64A4B">
        <w:t>Ce ne sera qu'à la fin de la décennie 1940 que Lévi-Strauss viendra réouvrir le débat sur la question de l'échange, le faisant cette fois à partir de l'analyse d'un système d'échange limité, celui qui s'organise autour de la circulation des femmes, et en référence auquel il a mis au point sa théorie de l'échange généralisé. La ve</w:t>
      </w:r>
      <w:r w:rsidRPr="00E64A4B">
        <w:t>r</w:t>
      </w:r>
      <w:r w:rsidRPr="00E64A4B">
        <w:t>sion lévi-straussienne de la triple obligation maussienne ne se limite pas à simplement r</w:t>
      </w:r>
      <w:r w:rsidRPr="00E64A4B">
        <w:t>a</w:t>
      </w:r>
      <w:r w:rsidRPr="00E64A4B">
        <w:t>mener le processus du donner, recevoir, rendre à la règle plus éléme</w:t>
      </w:r>
      <w:r w:rsidRPr="00E64A4B">
        <w:t>n</w:t>
      </w:r>
      <w:r w:rsidRPr="00E64A4B">
        <w:t>taire de l'échange. Lévi-Strauss d</w:t>
      </w:r>
      <w:r w:rsidRPr="00E64A4B">
        <w:t>é</w:t>
      </w:r>
      <w:r w:rsidRPr="00E64A4B">
        <w:t>place en réalité le centre de gravité de la théorie de Mauss : la n</w:t>
      </w:r>
      <w:r w:rsidRPr="00E64A4B">
        <w:t>é</w:t>
      </w:r>
      <w:r w:rsidRPr="00E64A4B">
        <w:t>cessité d'ouvrir le groupe en donnant des femmes à d'autres gro</w:t>
      </w:r>
      <w:r w:rsidRPr="00E64A4B">
        <w:t>u</w:t>
      </w:r>
      <w:r w:rsidRPr="00E64A4B">
        <w:t>pes proviendrait de la loi de la prohibition de l'inceste, l'ouverture aux autres étant provoquée par la soumission à une loi universelle qui accompagne le passage de la nature à la cult</w:t>
      </w:r>
      <w:r w:rsidRPr="00E64A4B">
        <w:t>u</w:t>
      </w:r>
      <w:r w:rsidRPr="00E64A4B">
        <w:t>re. De plus, les objets, cadeaux et présents qui circulent entre les groupes ne sont plus dans la théorie lévi-straussienne que des subst</w:t>
      </w:r>
      <w:r w:rsidRPr="00E64A4B">
        <w:t>i</w:t>
      </w:r>
      <w:r w:rsidRPr="00E64A4B">
        <w:t>tuts de la ci</w:t>
      </w:r>
      <w:r w:rsidRPr="00E64A4B">
        <w:t>r</w:t>
      </w:r>
      <w:r w:rsidRPr="00E64A4B">
        <w:t>culation des femmes, ce qui fait de la théorie du don un sous-ensemble de la théorie de l'échange généralisé. C'est dans cette ligne lévi-straussienne que s'inscrivent Godbout et Caillé, part</w:t>
      </w:r>
      <w:r w:rsidRPr="00E64A4B">
        <w:t>a</w:t>
      </w:r>
      <w:r w:rsidRPr="00E64A4B">
        <w:t>geant avec lui les éléments centraux de sa théorie tout en s'en di</w:t>
      </w:r>
      <w:r w:rsidRPr="00E64A4B">
        <w:t>s</w:t>
      </w:r>
      <w:r w:rsidRPr="00E64A4B">
        <w:t>sociant sur au moins deux points : ils ont, d'une part, de la diff</w:t>
      </w:r>
      <w:r w:rsidRPr="00E64A4B">
        <w:t>i</w:t>
      </w:r>
      <w:r w:rsidRPr="00E64A4B">
        <w:t>culté à le suivre lorsqu' il fonde l'échange sur la loi de la prohib</w:t>
      </w:r>
      <w:r w:rsidRPr="00E64A4B">
        <w:t>i</w:t>
      </w:r>
      <w:r w:rsidRPr="00E64A4B">
        <w:t>tion de l'inceste, dans la mesure où elle leur semble introduire une donnée extérieure que l'expérience ne permet pas toujours de v</w:t>
      </w:r>
      <w:r w:rsidRPr="00E64A4B">
        <w:t>a</w:t>
      </w:r>
      <w:r w:rsidRPr="00E64A4B">
        <w:t>lider ; ils lui reprochent, d'autre part, de ne pas distinguer avec suffisamment de clarté les diff</w:t>
      </w:r>
      <w:r w:rsidRPr="00E64A4B">
        <w:t>é</w:t>
      </w:r>
      <w:r w:rsidRPr="00E64A4B">
        <w:t>rentes formes d'échange, symbol</w:t>
      </w:r>
      <w:r w:rsidRPr="00E64A4B">
        <w:t>i</w:t>
      </w:r>
      <w:r w:rsidRPr="00E64A4B">
        <w:t>ques, marchandes et autres, qui coexistent au sein de toute société. Ils proposeront comme alternative un modèle qui emprunte des éléments à la théorie de la réciprocité généralisée de Sahlins ainsi qu'à une réflexion sur le rôle du don en tant que médiation pe</w:t>
      </w:r>
      <w:r w:rsidRPr="00E64A4B">
        <w:t>r</w:t>
      </w:r>
      <w:r w:rsidRPr="00E64A4B">
        <w:t>mettant la communication entre les groupes humains, en tant que réalité transitionnelle assurant l'ouverture d'un</w:t>
      </w:r>
      <w:r>
        <w:t xml:space="preserve"> </w:t>
      </w:r>
      <w:r w:rsidRPr="00E64A4B">
        <w:t>[335]</w:t>
      </w:r>
      <w:r>
        <w:t xml:space="preserve"> </w:t>
      </w:r>
      <w:r w:rsidRPr="00E64A4B">
        <w:t>groupe à un autre et, plus fondamentalement, en tant que lien de paix dans le contexte de la rivalité qui oppose les groupes. La r</w:t>
      </w:r>
      <w:r w:rsidRPr="00E64A4B">
        <w:t>é</w:t>
      </w:r>
      <w:r w:rsidRPr="00E64A4B">
        <w:t>flexion de Godbout et de Caillé au sujet du don aux étrangers comme spécificité du don moderne leur a permis de jeter les bases d'une thé</w:t>
      </w:r>
      <w:r w:rsidRPr="00E64A4B">
        <w:t>o</w:t>
      </w:r>
      <w:r w:rsidRPr="00E64A4B">
        <w:t>rie très prometteuse qui a cependant besoin d'être consolidée. J'y r</w:t>
      </w:r>
      <w:r w:rsidRPr="00E64A4B">
        <w:t>e</w:t>
      </w:r>
      <w:r w:rsidRPr="00E64A4B">
        <w:t>viendrai en commentant plus loin les notions d'étranger, de dette et de pardon qui m'apparaissent constituer les éléments clés de leur théorie.</w:t>
      </w:r>
    </w:p>
    <w:p w:rsidR="00B7214C" w:rsidRPr="00E64A4B" w:rsidRDefault="00B7214C" w:rsidP="00B7214C">
      <w:pPr>
        <w:spacing w:before="120" w:after="120"/>
        <w:jc w:val="both"/>
      </w:pPr>
      <w:r w:rsidRPr="00E64A4B">
        <w:t>Avant de discuter en détail du modèle des rapports de don pr</w:t>
      </w:r>
      <w:r w:rsidRPr="00E64A4B">
        <w:t>o</w:t>
      </w:r>
      <w:r w:rsidRPr="00E64A4B">
        <w:t>posé par Godbout et Caillé à partir de l'image de la boucle ench</w:t>
      </w:r>
      <w:r w:rsidRPr="00E64A4B">
        <w:t>e</w:t>
      </w:r>
      <w:r w:rsidRPr="00E64A4B">
        <w:t xml:space="preserve">vêtrée, il me semble utile de revenir à Mauss et à l'énigme que pose sa manière de réfléchir dans son </w:t>
      </w:r>
      <w:hyperlink r:id="rId90" w:history="1">
        <w:r w:rsidRPr="00E64A4B">
          <w:rPr>
            <w:rStyle w:val="Lienhypertexte"/>
            <w:szCs w:val="22"/>
            <w:lang w:eastAsia="fr-FR" w:bidi="fr-FR"/>
          </w:rPr>
          <w:t>Essai sur le don</w:t>
        </w:r>
      </w:hyperlink>
      <w:r w:rsidRPr="00E64A4B">
        <w:rPr>
          <w:rStyle w:val="Corpsdutexte2Italique"/>
          <w:sz w:val="28"/>
        </w:rPr>
        <w:t>.</w:t>
      </w:r>
      <w:r w:rsidRPr="00E64A4B">
        <w:t xml:space="preserve"> On se ra</w:t>
      </w:r>
      <w:r w:rsidRPr="00E64A4B">
        <w:t>p</w:t>
      </w:r>
      <w:r w:rsidRPr="00E64A4B">
        <w:t>pellera que Mauss était parti à la recherche des rapports constants qui lient certains ph</w:t>
      </w:r>
      <w:r w:rsidRPr="00E64A4B">
        <w:t>é</w:t>
      </w:r>
      <w:r w:rsidRPr="00E64A4B">
        <w:t>nomènes dans des réseaux d'échange et que soudainement il semble avoir interrompu sa réflexion pour y i</w:t>
      </w:r>
      <w:r w:rsidRPr="00E64A4B">
        <w:t>n</w:t>
      </w:r>
      <w:r w:rsidRPr="00E64A4B">
        <w:t xml:space="preserve">troduire, comme de l'extérieur, « la théorie de l'esprit de la chose donnée », transformant la théologie maori du </w:t>
      </w:r>
      <w:r w:rsidRPr="00E64A4B">
        <w:rPr>
          <w:i/>
          <w:iCs/>
        </w:rPr>
        <w:t>hau</w:t>
      </w:r>
      <w:r w:rsidRPr="00E64A4B">
        <w:t xml:space="preserve"> en une théorie universelle qui lui permettait de trouver dans « l'esprit de la chose donnée » l'élément fondateur de tous les systèmes d'échange. L</w:t>
      </w:r>
      <w:r w:rsidRPr="00E64A4B">
        <w:t>é</w:t>
      </w:r>
      <w:r w:rsidRPr="00E64A4B">
        <w:t>vi-Strauss prétend que Mauss aurait commis là une erreur grave qu'on trouve fréquemment chez les ethnologues et qui consiste à « se laisser mystifier par l'indigène » (1950, p. xxxviii), allant ju</w:t>
      </w:r>
      <w:r w:rsidRPr="00E64A4B">
        <w:t>s</w:t>
      </w:r>
      <w:r w:rsidRPr="00E64A4B">
        <w:t xml:space="preserve">qu'à faire « des indigènes mélanésiens... les véritables auteurs de la théorie moderne de la réciprocité » (p. xxxiii). Il ne s'agit pas de savoir si les Maori ont raison ou non de croire que l'énergie qui fait fonctionner leur système d'échange se trouve bel et bien dans le </w:t>
      </w:r>
      <w:r w:rsidRPr="00E64A4B">
        <w:rPr>
          <w:i/>
          <w:iCs/>
        </w:rPr>
        <w:t>hau,</w:t>
      </w:r>
      <w:r w:rsidRPr="00E64A4B">
        <w:t xml:space="preserve"> ou de penser que les récipiendaires encourent un danger s'ils rompent le flux de force que le don fait passer à travers eux : c'est là une croyance maori qui ne peut être évaluée que du seul point de vue du système maori dans son ensemble. Cette théologie maori possède, comme toutes les théologies ou systèmes religieux de croyances, une signification contextuelle qu'il s'agit de dégager et qui n'est en elle-même ni vraie ni fausse.</w:t>
      </w:r>
    </w:p>
    <w:p w:rsidR="00B7214C" w:rsidRPr="00E64A4B" w:rsidRDefault="00B7214C" w:rsidP="00B7214C">
      <w:pPr>
        <w:spacing w:before="120" w:after="120"/>
        <w:jc w:val="both"/>
      </w:pPr>
      <w:r w:rsidRPr="00E64A4B">
        <w:t>La question qui nous intéresse est fort différente et ne porte null</w:t>
      </w:r>
      <w:r w:rsidRPr="00E64A4B">
        <w:t>e</w:t>
      </w:r>
      <w:r w:rsidRPr="00E64A4B">
        <w:t>ment sur la vérité potentielle des croyances locales : il s'agit plutôt de savoir si une théorie indigène particulière peut être utilisée par l'ethn</w:t>
      </w:r>
      <w:r w:rsidRPr="00E64A4B">
        <w:t>o</w:t>
      </w:r>
      <w:r w:rsidRPr="00E64A4B">
        <w:t>logue ou le sociologue pour lui permettre d'ident</w:t>
      </w:r>
      <w:r w:rsidRPr="00E64A4B">
        <w:t>i</w:t>
      </w:r>
      <w:r w:rsidRPr="00E64A4B">
        <w:t>fier la clé qui fait marcher le système de relations dans la culture qui a mis au point cette théorie ; quelle que soit la réponse à cette première question, il faut se demander si le chercheur peut, et à quelles conditions, utiliser la thé</w:t>
      </w:r>
      <w:r w:rsidRPr="00E64A4B">
        <w:t>o</w:t>
      </w:r>
      <w:r w:rsidRPr="00E64A4B">
        <w:t>rie d'une société particulière pour interpréter des situations appart</w:t>
      </w:r>
      <w:r w:rsidRPr="00E64A4B">
        <w:t>e</w:t>
      </w:r>
      <w:r w:rsidRPr="00E64A4B">
        <w:t>nant à d'autres sociétés, a</w:t>
      </w:r>
      <w:r w:rsidRPr="00E64A4B">
        <w:t>l</w:t>
      </w:r>
      <w:r w:rsidRPr="00E64A4B">
        <w:t>lant éventuellement (comme l'a fait Mauss dans le cas de la thé</w:t>
      </w:r>
      <w:r w:rsidRPr="00E64A4B">
        <w:t>o</w:t>
      </w:r>
      <w:r w:rsidRPr="00E64A4B">
        <w:t>rie de la chose donnée) jusqu'à universaliser une seule théorie qui est alors élevée au niveau de l'absolu. C'est donc du statut du di</w:t>
      </w:r>
      <w:r w:rsidRPr="00E64A4B">
        <w:t>s</w:t>
      </w:r>
      <w:r w:rsidRPr="00E64A4B">
        <w:t>cours indigène dont il s'agit ici, de la position que le point de vue des gens occupe dans la réflexion des sciences sociales et de sa contribution éventuelle à la compréhension des</w:t>
      </w:r>
      <w:r>
        <w:t xml:space="preserve"> </w:t>
      </w:r>
      <w:r w:rsidRPr="00E64A4B">
        <w:t>[336]</w:t>
      </w:r>
      <w:r>
        <w:t xml:space="preserve"> </w:t>
      </w:r>
      <w:r w:rsidRPr="00E64A4B">
        <w:t>rapports con</w:t>
      </w:r>
      <w:r w:rsidRPr="00E64A4B">
        <w:t>s</w:t>
      </w:r>
      <w:r w:rsidRPr="00E64A4B">
        <w:t>tants qui lient choses, événements, personnes, cosmos et dieux.</w:t>
      </w:r>
    </w:p>
    <w:p w:rsidR="00B7214C" w:rsidRPr="00E64A4B" w:rsidRDefault="00B7214C" w:rsidP="00B7214C">
      <w:pPr>
        <w:spacing w:before="120" w:after="120"/>
        <w:jc w:val="both"/>
      </w:pPr>
      <w:r w:rsidRPr="00E64A4B">
        <w:t>On sait que Lévi-Strauss aurait souhaité un Mauss plus structur</w:t>
      </w:r>
      <w:r w:rsidRPr="00E64A4B">
        <w:t>a</w:t>
      </w:r>
      <w:r w:rsidRPr="00E64A4B">
        <w:t>liste qui s'en serait tenu à la seule loi universelle de l'échange, sans même s'embarrasser de la triple obligation et surtout sans s'embourber dans une explication animiste passe-partout. Mais est-ce bien vrai que ce serait s'engager sur une voie intellectuellement paresseuse et m</w:t>
      </w:r>
      <w:r w:rsidRPr="00E64A4B">
        <w:t>é</w:t>
      </w:r>
      <w:r w:rsidRPr="00E64A4B">
        <w:t>thodologiquement périlleuse (à cause de la confusion des niveaux) que de se mettre sérieusement à l'écoute des acteurs sociaux, de r</w:t>
      </w:r>
      <w:r w:rsidRPr="00E64A4B">
        <w:t>e</w:t>
      </w:r>
      <w:r w:rsidRPr="00E64A4B">
        <w:t>cueillir leurs discours et de construire, dans une certaine mesure, le processus d'assignation du sens à partir de ce qu'en dévoilent les thé</w:t>
      </w:r>
      <w:r w:rsidRPr="00E64A4B">
        <w:t>o</w:t>
      </w:r>
      <w:r w:rsidRPr="00E64A4B">
        <w:t>ries indigènes. Un tel point de vue est aujourd'hui communément a</w:t>
      </w:r>
      <w:r w:rsidRPr="00E64A4B">
        <w:t>d</w:t>
      </w:r>
      <w:r w:rsidRPr="00E64A4B">
        <w:t>mis dans les sciences soci</w:t>
      </w:r>
      <w:r w:rsidRPr="00E64A4B">
        <w:t>a</w:t>
      </w:r>
      <w:r w:rsidRPr="00E64A4B">
        <w:t>les qui sont de plus en plus comprises comme des disciplines qui pratiquent une herméneutique de second niveau qui gagne à ne pas être déconnectée de l'exégèse native. L'a</w:t>
      </w:r>
      <w:r w:rsidRPr="00E64A4B">
        <w:t>n</w:t>
      </w:r>
      <w:r w:rsidRPr="00E64A4B">
        <w:t>tipositivisme de Godbout et Caillé les fait précisément aller dans ce sens mais avec timidité : dès l'introduction de leur livre, ils signalent avoir inte</w:t>
      </w:r>
      <w:r w:rsidRPr="00E64A4B">
        <w:t>r</w:t>
      </w:r>
      <w:r w:rsidRPr="00E64A4B">
        <w:t>viewé des gens par rapport à leurs pratiques de don mais ils ne nous disent pas à quelles théories ces personnes adhèrent relativ</w:t>
      </w:r>
      <w:r w:rsidRPr="00E64A4B">
        <w:t>e</w:t>
      </w:r>
      <w:r w:rsidRPr="00E64A4B">
        <w:t>ment à la circulation des dons dans les sociétés modernes ; de même, ils présentent une analyse fort équilibrée du statut des i</w:t>
      </w:r>
      <w:r w:rsidRPr="00E64A4B">
        <w:t>n</w:t>
      </w:r>
      <w:r w:rsidRPr="00E64A4B">
        <w:t>terprétations indigènes dans les sciences sociales sans en tirer toutes les implic</w:t>
      </w:r>
      <w:r w:rsidRPr="00E64A4B">
        <w:t>a</w:t>
      </w:r>
      <w:r w:rsidRPr="00E64A4B">
        <w:t>tions pour leur propre démarche ; et, enfin, c'est dans une langue co</w:t>
      </w:r>
      <w:r w:rsidRPr="00E64A4B">
        <w:t>m</w:t>
      </w:r>
      <w:r w:rsidRPr="00E64A4B">
        <w:t>plètement étrangère, cérébrale et technique qu'ils élaborent leur mod</w:t>
      </w:r>
      <w:r w:rsidRPr="00E64A4B">
        <w:t>è</w:t>
      </w:r>
      <w:r w:rsidRPr="00E64A4B">
        <w:t>le théorique du don, vidant les échanges de dons qu'ils ont décrits de leur chaleur, de leur spontanéité et de leur humanité.</w:t>
      </w:r>
    </w:p>
    <w:p w:rsidR="00B7214C" w:rsidRPr="00E64A4B" w:rsidRDefault="00B7214C" w:rsidP="00B7214C">
      <w:pPr>
        <w:spacing w:before="120" w:after="120"/>
        <w:jc w:val="both"/>
      </w:pPr>
      <w:r w:rsidRPr="00E64A4B">
        <w:t>En recourant à la théorie du connexionnisme neuronal pour expl</w:t>
      </w:r>
      <w:r w:rsidRPr="00E64A4B">
        <w:t>i</w:t>
      </w:r>
      <w:r w:rsidRPr="00E64A4B">
        <w:t>quer la boucle enchevêtrée que forme le système de dons a</w:t>
      </w:r>
      <w:r w:rsidRPr="00E64A4B">
        <w:t>u</w:t>
      </w:r>
      <w:r w:rsidRPr="00E64A4B">
        <w:t>jourd'hui, Godbout et Caillé parlent certes le langage de l'actual</w:t>
      </w:r>
      <w:r w:rsidRPr="00E64A4B">
        <w:t>i</w:t>
      </w:r>
      <w:r w:rsidRPr="00E64A4B">
        <w:t>té, cédant à la mode de la biologisation des sciences et reprenant indirectement, et sans trop le vouloir peut-être, le discours syst</w:t>
      </w:r>
      <w:r w:rsidRPr="00E64A4B">
        <w:t>é</w:t>
      </w:r>
      <w:r w:rsidRPr="00E64A4B">
        <w:t>mique qui n'est qu'un ersatz contemporain de la théorie fonctio</w:t>
      </w:r>
      <w:r w:rsidRPr="00E64A4B">
        <w:t>n</w:t>
      </w:r>
      <w:r w:rsidRPr="00E64A4B">
        <w:t>naliste. Or c'est du refus du fonctionnalisme dont parle tout leur livre, ce sont des personnes et non des choses qu'ils disent et red</w:t>
      </w:r>
      <w:r w:rsidRPr="00E64A4B">
        <w:t>i</w:t>
      </w:r>
      <w:r w:rsidRPr="00E64A4B">
        <w:t>sent voir circuler dans les dons, et enfin c'est à l'esprit du don et non à sa lettre qu'avait ouvert tout leur livre. L'esprit du chapitre 12 dans lequel les auteurs présentent leur « esquisse pour un m</w:t>
      </w:r>
      <w:r w:rsidRPr="00E64A4B">
        <w:t>o</w:t>
      </w:r>
      <w:r w:rsidRPr="00E64A4B">
        <w:t>dèle du rapport de don », heureusement fort court (p. 275-288), ne s'inscrit nullement en continuité avec ce qui le précède : Godbout et Caillé démarrent bien ce chapitre en discutant avec Derrida de l'effraction que tout don introduit dans un échange, du jeu à l'œu</w:t>
      </w:r>
      <w:r w:rsidRPr="00E64A4B">
        <w:t>v</w:t>
      </w:r>
      <w:r w:rsidRPr="00E64A4B">
        <w:t>re dans le cercle des dons et contre-dons, discussion qui aurait pu les conduire à la suite de Derrida à renouer avec la notion de dette, et avec celle de pardon aussi, qu'ils avaient eux-mêmes abo</w:t>
      </w:r>
      <w:r w:rsidRPr="00E64A4B">
        <w:t>r</w:t>
      </w:r>
      <w:r w:rsidRPr="00E64A4B">
        <w:t>dées dans leur texte sans cependant les approfondir. Mais leur r</w:t>
      </w:r>
      <w:r w:rsidRPr="00E64A4B">
        <w:t>é</w:t>
      </w:r>
      <w:r>
        <w:t>flexion tourne subi</w:t>
      </w:r>
      <w:r w:rsidRPr="00E64A4B">
        <w:t>tement</w:t>
      </w:r>
      <w:r>
        <w:t xml:space="preserve"> </w:t>
      </w:r>
      <w:r w:rsidRPr="00E64A4B">
        <w:t>[337] court, dans un virage à 90°, ou pire dans un tête-à-queue tel qu'on ne reconnaît plus, dans leur modèle théorique, l'esprit du don qui avait soufflé sur les 250 premières pages de l'o</w:t>
      </w:r>
      <w:r w:rsidRPr="00E64A4B">
        <w:t>u</w:t>
      </w:r>
      <w:r w:rsidRPr="00E64A4B">
        <w:t>vrage. Le langage devient technique, aride et aseptique à un point tel que le le</w:t>
      </w:r>
      <w:r w:rsidRPr="00E64A4B">
        <w:t>c</w:t>
      </w:r>
      <w:r w:rsidRPr="00E64A4B">
        <w:t>teur se met à regretter qu'ils n'aient pas eux aussi succombé à la faute mau</w:t>
      </w:r>
      <w:r w:rsidRPr="00E64A4B">
        <w:t>s</w:t>
      </w:r>
      <w:r w:rsidRPr="00E64A4B">
        <w:t>sienne de la théologisation de leur théorie du don, non en la ma</w:t>
      </w:r>
      <w:r w:rsidRPr="00E64A4B">
        <w:t>o</w:t>
      </w:r>
      <w:r w:rsidRPr="00E64A4B">
        <w:t>risant comme l'avait fait Mauss mais en la judéisant et en la christian</w:t>
      </w:r>
      <w:r w:rsidRPr="00E64A4B">
        <w:t>i</w:t>
      </w:r>
      <w:r w:rsidRPr="00E64A4B">
        <w:t>sant. Le langage biblique aurait sans doute trouvé plus de résonance dans l'ensemble de leur livre que ne le fait la théorie connexionniste de l'intelligence artificielle. Dans le judaïsme, je le rappelle succin</w:t>
      </w:r>
      <w:r w:rsidRPr="00E64A4B">
        <w:t>c</w:t>
      </w:r>
      <w:r w:rsidRPr="00E64A4B">
        <w:t>tement, l'accent est mis sur l'initiative libre et gratuite d'un dieu don</w:t>
      </w:r>
      <w:r w:rsidRPr="00E64A4B">
        <w:t>a</w:t>
      </w:r>
      <w:r w:rsidRPr="00E64A4B">
        <w:t>teur qui place le don avant l'échange, qui institue la loi, à travers le don de la Thorah, avant le contrat, et qui enracine la réc</w:t>
      </w:r>
      <w:r w:rsidRPr="00E64A4B">
        <w:t>i</w:t>
      </w:r>
      <w:r w:rsidRPr="00E64A4B">
        <w:t>procité dans une allia</w:t>
      </w:r>
      <w:r w:rsidRPr="00E64A4B">
        <w:t>n</w:t>
      </w:r>
      <w:r w:rsidRPr="00E64A4B">
        <w:t>ce, dans l'élection d'un peuple, faisant de l'acte de donner l'horizon qui englobe et soutient les deux autres moments, le recevoir et le rendre, car ce n'est que par la puissance de la grâce (un don gratuit et libre) que la personne peut accueillir le don et y r</w:t>
      </w:r>
      <w:r w:rsidRPr="00E64A4B">
        <w:t>é</w:t>
      </w:r>
      <w:r w:rsidRPr="00E64A4B">
        <w:t>pondre. Et la théologie chrétienne continue en magnifiant la folle g</w:t>
      </w:r>
      <w:r w:rsidRPr="00E64A4B">
        <w:t>é</w:t>
      </w:r>
      <w:r w:rsidRPr="00E64A4B">
        <w:t>nérosité de ce dieu qui dans un excès d'amour paternel est allé jusqu'à donner son propre fils, une victime parfaite qui a accompli dans sa mort le sacrifice indépa</w:t>
      </w:r>
      <w:r w:rsidRPr="00E64A4B">
        <w:t>s</w:t>
      </w:r>
      <w:r w:rsidRPr="00E64A4B">
        <w:t>sable. Aux dons de dieu aux hommes, dons qui ne furent d'abord lim</w:t>
      </w:r>
      <w:r w:rsidRPr="00E64A4B">
        <w:t>i</w:t>
      </w:r>
      <w:r w:rsidRPr="00E64A4B">
        <w:t>tés qu'au seul peuple-élu, puis qui furent étendus aux étrangers, aux Gentils, répondent dans un mouvement de réciprocité les dons des hommes à dieu, inégaux en qualité et inco</w:t>
      </w:r>
      <w:r w:rsidRPr="00E64A4B">
        <w:t>m</w:t>
      </w:r>
      <w:r w:rsidRPr="00E64A4B">
        <w:t>mensurablement diff</w:t>
      </w:r>
      <w:r w:rsidRPr="00E64A4B">
        <w:t>é</w:t>
      </w:r>
      <w:r w:rsidRPr="00E64A4B">
        <w:t>rents en nature.</w:t>
      </w:r>
    </w:p>
    <w:p w:rsidR="00B7214C" w:rsidRPr="00E64A4B" w:rsidRDefault="00B7214C" w:rsidP="00B7214C">
      <w:pPr>
        <w:spacing w:before="120" w:after="120"/>
        <w:jc w:val="both"/>
      </w:pPr>
      <w:r w:rsidRPr="00E64A4B">
        <w:t>C'est là le langage de la théologie judéo-chrétienne qui parle d'élection, d'alliance, de loi, de dette, de sacrifice, de pardon et de r</w:t>
      </w:r>
      <w:r w:rsidRPr="00E64A4B">
        <w:t>é</w:t>
      </w:r>
      <w:r w:rsidRPr="00E64A4B">
        <w:t>ciprocité : un tel langage s'est évidemment élaboré à partir de l'exp</w:t>
      </w:r>
      <w:r w:rsidRPr="00E64A4B">
        <w:t>é</w:t>
      </w:r>
      <w:r w:rsidRPr="00E64A4B">
        <w:t>rience religieuse singulière d'un peuple, et il n'y a aucune raison de penser qu'il soit plus universel que la théologie maori par exemple ; je crois cependant que cet idiome théologique peut être légitimement repris pour poser la question des fondements de la séquence du « donner, recevoir, rendre » qui semble organiser un peu partout la logique du don. En effet, lorsqu'un auteur cherche à esquisser un m</w:t>
      </w:r>
      <w:r w:rsidRPr="00E64A4B">
        <w:t>o</w:t>
      </w:r>
      <w:r w:rsidRPr="00E64A4B">
        <w:t>dèle conceptuel pour traduire de manière précise sa vision des choses, c'est d'un langage dont il a besoin : il ne devient pas un neurobiologi</w:t>
      </w:r>
      <w:r w:rsidRPr="00E64A4B">
        <w:t>s</w:t>
      </w:r>
      <w:r w:rsidRPr="00E64A4B">
        <w:t>te parce qu'il emprunte ses termes au annexionnisme neuronal, et il ne s'improvise pas non plus thé</w:t>
      </w:r>
      <w:r w:rsidRPr="00E64A4B">
        <w:t>o</w:t>
      </w:r>
      <w:r w:rsidRPr="00E64A4B">
        <w:t>logien parce qu'il reprend le vocabulaire judéo-chrétien. Les mots, les concepts et la théorie ne lui servent que de moyens, que d'i</w:t>
      </w:r>
      <w:r w:rsidRPr="00E64A4B">
        <w:t>l</w:t>
      </w:r>
      <w:r w:rsidRPr="00E64A4B">
        <w:t>lustrations ou mieux que d'instruments. Mais son choix en faveur d'un langage plutôt que d'un autre n'est pas entièr</w:t>
      </w:r>
      <w:r w:rsidRPr="00E64A4B">
        <w:t>e</w:t>
      </w:r>
      <w:r w:rsidRPr="00E64A4B">
        <w:t>ment neutre comme le fait aisément sentir ce court extrait de la pr</w:t>
      </w:r>
      <w:r w:rsidRPr="00E64A4B">
        <w:t>é</w:t>
      </w:r>
      <w:r w:rsidRPr="00E64A4B">
        <w:t>sentation du modèle qu'esquissent Godbout et Caillé : « Le don co</w:t>
      </w:r>
      <w:r w:rsidRPr="00E64A4B">
        <w:t>m</w:t>
      </w:r>
      <w:r w:rsidRPr="00E64A4B">
        <w:t>bine la boucle du marché et la hiérarchie de l'État, ce qui en fait une hiérarchie enchevêtrée. C'est pourquoi toute saisie du don par le m</w:t>
      </w:r>
      <w:r w:rsidRPr="00E64A4B">
        <w:t>o</w:t>
      </w:r>
      <w:r w:rsidRPr="00E64A4B">
        <w:t>dèle de l'État ou du marché consiste en une coupe soit verticale, ne retenant que l'aspect</w:t>
      </w:r>
      <w:r>
        <w:t xml:space="preserve"> </w:t>
      </w:r>
      <w:r w:rsidRPr="00E64A4B">
        <w:t>[338]</w:t>
      </w:r>
      <w:r>
        <w:t xml:space="preserve"> </w:t>
      </w:r>
      <w:r w:rsidRPr="00E64A4B">
        <w:t>hiérarchie, obligation, contrainte, soit hor</w:t>
      </w:r>
      <w:r w:rsidRPr="00E64A4B">
        <w:t>i</w:t>
      </w:r>
      <w:r w:rsidRPr="00E64A4B">
        <w:t>zontale, ne retenant que le réseau simple et plat du marché, régi par une seule loi, celle de l'équivalence, qui neutralise les liens et leur v</w:t>
      </w:r>
      <w:r w:rsidRPr="00E64A4B">
        <w:t>a</w:t>
      </w:r>
      <w:r w:rsidRPr="00E64A4B">
        <w:t>riabilité contextuelle. Seul le don a une boucle étrange et une hiéra</w:t>
      </w:r>
      <w:r w:rsidRPr="00E64A4B">
        <w:t>r</w:t>
      </w:r>
      <w:r w:rsidRPr="00E64A4B">
        <w:t>chie enchev</w:t>
      </w:r>
      <w:r w:rsidRPr="00E64A4B">
        <w:t>ê</w:t>
      </w:r>
      <w:r w:rsidRPr="00E64A4B">
        <w:t>trée » (p. 284). Sous les mots, je reconnais le message : le système d'échange marchand et étatique procède du don et non l'i</w:t>
      </w:r>
      <w:r w:rsidRPr="00E64A4B">
        <w:t>n</w:t>
      </w:r>
      <w:r w:rsidRPr="00E64A4B">
        <w:t>verse, mais la forme étonne, détonne et choque : fallait-il pour expr</w:t>
      </w:r>
      <w:r w:rsidRPr="00E64A4B">
        <w:t>i</w:t>
      </w:r>
      <w:r w:rsidRPr="00E64A4B">
        <w:t>mer les résonances du don au sein d'un ensemble interconnecté avoir recours à une telle langue ? N'y avait-il pas mieux à trouver ai</w:t>
      </w:r>
      <w:r w:rsidRPr="00E64A4B">
        <w:t>l</w:t>
      </w:r>
      <w:r w:rsidRPr="00E64A4B">
        <w:t>leurs, plus particulièrement dans le vocabulaire fourni par les recherches sur les religions, les m</w:t>
      </w:r>
      <w:r w:rsidRPr="00E64A4B">
        <w:t>y</w:t>
      </w:r>
      <w:r w:rsidRPr="00E64A4B">
        <w:t>thologies et les cosmologies, ou encore dans celui développé dans les courants de sémiologie et, plus spécifiquement, en anthropologie i</w:t>
      </w:r>
      <w:r w:rsidRPr="00E64A4B">
        <w:t>n</w:t>
      </w:r>
      <w:r w:rsidRPr="00E64A4B">
        <w:t>terprétative.</w:t>
      </w:r>
    </w:p>
    <w:p w:rsidR="00B7214C" w:rsidRPr="00E64A4B" w:rsidRDefault="00B7214C" w:rsidP="00B7214C">
      <w:pPr>
        <w:spacing w:before="120" w:after="120"/>
        <w:jc w:val="both"/>
      </w:pPr>
      <w:r w:rsidRPr="00E64A4B">
        <w:t>À l'instar de Godbout et de Caillé qui disent avoir trouvé le don partout sous les échanges, je trouve dans leur texte trois mots, trois concepts ou trois notions, l'étranger, la dette et le pardon qui, en s'a</w:t>
      </w:r>
      <w:r w:rsidRPr="00E64A4B">
        <w:t>d</w:t>
      </w:r>
      <w:r w:rsidRPr="00E64A4B">
        <w:t>ditionnant, semblent dessiner les contours de ce qui const</w:t>
      </w:r>
      <w:r w:rsidRPr="00E64A4B">
        <w:t>i</w:t>
      </w:r>
      <w:r w:rsidRPr="00E64A4B">
        <w:t>tue, selon moi, l'essence de leur théorie du don. Ces notions d'étranger, de dette et de pardon parcourent tout leur texte à la manière d'un sous-texte dans lequel s'écrit, d'une manière encore hésitante, le modèle conce</w:t>
      </w:r>
      <w:r w:rsidRPr="00E64A4B">
        <w:t>p</w:t>
      </w:r>
      <w:r w:rsidRPr="00E64A4B">
        <w:t>tuel qu'ils ont cherché à formaliser. Dans les commentaires qui su</w:t>
      </w:r>
      <w:r w:rsidRPr="00E64A4B">
        <w:t>i</w:t>
      </w:r>
      <w:r w:rsidRPr="00E64A4B">
        <w:t>vent, j'ai le sentiment de simpl</w:t>
      </w:r>
      <w:r w:rsidRPr="00E64A4B">
        <w:t>e</w:t>
      </w:r>
      <w:r w:rsidRPr="00E64A4B">
        <w:t>ment prolonger les réflexions que les auteurs ont eux-mêmes e</w:t>
      </w:r>
      <w:r w:rsidRPr="00E64A4B">
        <w:t>n</w:t>
      </w:r>
      <w:r w:rsidRPr="00E64A4B">
        <w:t>tamées, les poussant un peu plus loin et les élaborant surtout dans une langue plus théologique et plus anthrop</w:t>
      </w:r>
      <w:r w:rsidRPr="00E64A4B">
        <w:t>o</w:t>
      </w:r>
      <w:r w:rsidRPr="00E64A4B">
        <w:t>logique que celle pour laquelle ils ont tardivement opté. Je crois que leur chapitre de modélisation y aurait grandement gagné s'ils avaient eux-mêmes décidé d'explorer plus avant les pistes qu'ils avaient co</w:t>
      </w:r>
      <w:r w:rsidRPr="00E64A4B">
        <w:t>u</w:t>
      </w:r>
      <w:r w:rsidRPr="00E64A4B">
        <w:t>rageusement ouvertes : un certain laïcisme, très à la mode dans les sciences sociales françaises, les a peut-être éloignés du chemin qui s'ouvrait tout grand devant eux et fait dévier vers une voie l</w:t>
      </w:r>
      <w:r w:rsidRPr="00E64A4B">
        <w:t>a</w:t>
      </w:r>
      <w:r w:rsidRPr="00E64A4B">
        <w:t>térale qui me semble être un cul-de-sac</w:t>
      </w:r>
      <w:r>
        <w:t> </w:t>
      </w:r>
      <w:r>
        <w:rPr>
          <w:rStyle w:val="Appelnotedebasdep"/>
        </w:rPr>
        <w:footnoteReference w:id="259"/>
      </w:r>
      <w:r w:rsidRPr="00E64A4B">
        <w:t>.</w:t>
      </w:r>
    </w:p>
    <w:p w:rsidR="00B7214C" w:rsidRPr="00E64A4B" w:rsidRDefault="00B7214C" w:rsidP="00B7214C">
      <w:pPr>
        <w:spacing w:before="120" w:after="120"/>
        <w:jc w:val="both"/>
      </w:pPr>
      <w:r w:rsidRPr="00E64A4B">
        <w:t>La notion d'étranger m'apparaît constituer le vrai centre de gravité de la théorie du don chez Godbout et Caillé, non pas parce que le don entre étrangers serait, sur le plan sociologique, la fo</w:t>
      </w:r>
      <w:r w:rsidRPr="00E64A4B">
        <w:t>r</w:t>
      </w:r>
      <w:r w:rsidRPr="00E64A4B">
        <w:t>me spécifique du don moderne, mais plus fondamentalement pa</w:t>
      </w:r>
      <w:r w:rsidRPr="00E64A4B">
        <w:t>r</w:t>
      </w:r>
      <w:r w:rsidRPr="00E64A4B">
        <w:t>ce que le don fait à l'autre, au différent, à l'inconnu pose radical</w:t>
      </w:r>
      <w:r w:rsidRPr="00E64A4B">
        <w:t>e</w:t>
      </w:r>
      <w:r w:rsidRPr="00E64A4B">
        <w:t>ment la question de la clôture de l'espace connu et nous amène à nous interroger sur le pou</w:t>
      </w:r>
      <w:r w:rsidRPr="00E64A4B">
        <w:t>r</w:t>
      </w:r>
      <w:r w:rsidRPr="00E64A4B">
        <w:t>quoi de cette frontière du groupe dans laquelle furent si longtemps enfermés les dons et les échanges. De fait, dans les sociétés traditio</w:t>
      </w:r>
      <w:r w:rsidRPr="00E64A4B">
        <w:t>n</w:t>
      </w:r>
      <w:r w:rsidRPr="00E64A4B">
        <w:t>nelles, l'étranger était le plus souvent perçu comme le totalement di</w:t>
      </w:r>
      <w:r w:rsidRPr="00E64A4B">
        <w:t>f</w:t>
      </w:r>
      <w:r w:rsidRPr="00E64A4B">
        <w:t>férent, comme le non-homme même, et les dons lui étaient d'autant moins destinés que cet étranger était souvent vu comme un ennemi. La notion d'étranger nous conduit donc directement à deux notions subsidiaires : celle de rivalité et de guerre entre les groupes, et celle de don en tant que lien permettant de traverser la frontière qui</w:t>
      </w:r>
      <w:r>
        <w:t xml:space="preserve"> </w:t>
      </w:r>
      <w:r w:rsidRPr="00E64A4B">
        <w:t>[339]</w:t>
      </w:r>
      <w:r>
        <w:t xml:space="preserve"> </w:t>
      </w:r>
      <w:r w:rsidRPr="00E64A4B">
        <w:t>s</w:t>
      </w:r>
      <w:r w:rsidRPr="00E64A4B">
        <w:t>é</w:t>
      </w:r>
      <w:r w:rsidRPr="00E64A4B">
        <w:t>pare les groupes et en tant que dispositif susceptible de nou</w:t>
      </w:r>
      <w:r w:rsidRPr="00E64A4B">
        <w:t>r</w:t>
      </w:r>
      <w:r w:rsidRPr="00E64A4B">
        <w:t>rir des liens là où existait la rivalité où à tout le moins l'ignorance m</w:t>
      </w:r>
      <w:r w:rsidRPr="00E64A4B">
        <w:t>u</w:t>
      </w:r>
      <w:r w:rsidRPr="00E64A4B">
        <w:t>tuelle. La fracture ouverte au coeur d'un groupe social par la présence de l'étranger ne peut être réduite, ou même annulée éve</w:t>
      </w:r>
      <w:r w:rsidRPr="00E64A4B">
        <w:t>n</w:t>
      </w:r>
      <w:r w:rsidRPr="00E64A4B">
        <w:t>tuellement, que par le don qui vient amoindrir la distance et qui transforme le diff</w:t>
      </w:r>
      <w:r w:rsidRPr="00E64A4B">
        <w:t>é</w:t>
      </w:r>
      <w:r w:rsidRPr="00E64A4B">
        <w:t>rent, dans une certaine mesure du moins, en du pareil. Le don contr</w:t>
      </w:r>
      <w:r w:rsidRPr="00E64A4B">
        <w:t>i</w:t>
      </w:r>
      <w:r w:rsidRPr="00E64A4B">
        <w:t>bue à effacer la différence, à abolir la di</w:t>
      </w:r>
      <w:r w:rsidRPr="00E64A4B">
        <w:t>s</w:t>
      </w:r>
      <w:r w:rsidRPr="00E64A4B">
        <w:t>tance, et il n'est pas étonnant que ce soit dans les sociétés culturellement pluralistes d'a</w:t>
      </w:r>
      <w:r w:rsidRPr="00E64A4B">
        <w:t>u</w:t>
      </w:r>
      <w:r w:rsidRPr="00E64A4B">
        <w:t>jourd'hui que les débats autour des lignes de fracture de la société se soient faits principalement à partir de la question du rapport à l'étra</w:t>
      </w:r>
      <w:r w:rsidRPr="00E64A4B">
        <w:t>n</w:t>
      </w:r>
      <w:r w:rsidRPr="00E64A4B">
        <w:t>ger, faisant du don à l'étranger la fo</w:t>
      </w:r>
      <w:r w:rsidRPr="00E64A4B">
        <w:t>r</w:t>
      </w:r>
      <w:r w:rsidRPr="00E64A4B">
        <w:t>me spécifiquement moderne du don.</w:t>
      </w:r>
    </w:p>
    <w:p w:rsidR="00B7214C" w:rsidRPr="00E64A4B" w:rsidRDefault="00B7214C" w:rsidP="00B7214C">
      <w:pPr>
        <w:spacing w:before="120" w:after="120"/>
        <w:jc w:val="both"/>
      </w:pPr>
      <w:r w:rsidRPr="00E64A4B">
        <w:t>Si le don tend à se mettre en place aujourd'hui dans les inter</w:t>
      </w:r>
      <w:r w:rsidRPr="00E64A4B">
        <w:t>s</w:t>
      </w:r>
      <w:r w:rsidRPr="00E64A4B">
        <w:t>tices qui séparent ceux du dedans et ceux du dehors, c'est sans doute parce qu'il est de sa nature d'occuper les espaces transitio</w:t>
      </w:r>
      <w:r w:rsidRPr="00E64A4B">
        <w:t>n</w:t>
      </w:r>
      <w:r w:rsidRPr="00E64A4B">
        <w:t>nels, les zones liminales que sont les passages dans le cycle de vie (naissance, mari</w:t>
      </w:r>
      <w:r w:rsidRPr="00E64A4B">
        <w:t>a</w:t>
      </w:r>
      <w:r w:rsidRPr="00E64A4B">
        <w:t>ge, mort), les carrefours dans la division de l'e</w:t>
      </w:r>
      <w:r w:rsidRPr="00E64A4B">
        <w:t>s</w:t>
      </w:r>
      <w:r w:rsidRPr="00E64A4B">
        <w:t>pace, les périodisations du temps (saisons, fêtes)... La dot que se versent les groupes qui échangent femmes et maris, les prémices des récoltes que les cadets présentent à leurs aînés, les offrandes que l'on place aux carrefours des routes ne constituent-ils pas, en fait, une même stratégie fondamentale par laquelle on cherche à exorciser le danger inhérent à ces zones de passage : les dons fonctionneraient comme une stratégie de concili</w:t>
      </w:r>
      <w:r w:rsidRPr="00E64A4B">
        <w:t>a</w:t>
      </w:r>
      <w:r w:rsidRPr="00E64A4B">
        <w:t>tion et de paix pour rapprocher des lignages différents, des frères que l'ordre des naissances sépare et pour « domestiquer » des passages où se croisent du connu et de l'inconnu. Le don viendrait, en quelque so</w:t>
      </w:r>
      <w:r w:rsidRPr="00E64A4B">
        <w:t>r</w:t>
      </w:r>
      <w:r w:rsidRPr="00E64A4B">
        <w:t>te, consolider les lignes de fracture qui parcourent les sociétés, inje</w:t>
      </w:r>
      <w:r w:rsidRPr="00E64A4B">
        <w:t>c</w:t>
      </w:r>
      <w:r w:rsidRPr="00E64A4B">
        <w:t>tant un surplus de sens dans les espaces de différenciation interne qui menacent sans cesse de les faire éclater : dans les s</w:t>
      </w:r>
      <w:r w:rsidRPr="00E64A4B">
        <w:t>o</w:t>
      </w:r>
      <w:r w:rsidRPr="00E64A4B">
        <w:t>ciétés lignagères et classiques, la menace semblait venir surtout de l'éloignement (rel</w:t>
      </w:r>
      <w:r w:rsidRPr="00E64A4B">
        <w:t>a</w:t>
      </w:r>
      <w:r w:rsidRPr="00E64A4B">
        <w:t>tif) des lignages que la circulation des femmes permettait de rappr</w:t>
      </w:r>
      <w:r w:rsidRPr="00E64A4B">
        <w:t>o</w:t>
      </w:r>
      <w:r w:rsidRPr="00E64A4B">
        <w:t>cher ; dans celles d'aujourd'hui, ce serait celui qui est radicalement étranger qui pose un problème et face auquel il y a nécessité de s'o</w:t>
      </w:r>
      <w:r w:rsidRPr="00E64A4B">
        <w:t>u</w:t>
      </w:r>
      <w:r w:rsidRPr="00E64A4B">
        <w:t>vrir ; et dans les premières comme dans les secondes, on trouverait toujours à l'œuvre la nécessité d'exorciser les vides qui accompagnent les changements d'âge, de statut ou de saison. Et pour combler vra</w:t>
      </w:r>
      <w:r w:rsidRPr="00E64A4B">
        <w:t>i</w:t>
      </w:r>
      <w:r w:rsidRPr="00E64A4B">
        <w:t>ment les espaces et les temps, les lieux et les moments où le danger se cache, il faut donner et do</w:t>
      </w:r>
      <w:r w:rsidRPr="00E64A4B">
        <w:t>n</w:t>
      </w:r>
      <w:r w:rsidRPr="00E64A4B">
        <w:t xml:space="preserve">ner généreusement sans regarder ni à la dépense ni à l'apparente improductivité des dons : avec Bataille on peut penser que « l'accent est [alors] placé sur la perte qui doit être la plus grande possible pour que l'activité prenne son sens véritable » (La notion de dépense dans </w:t>
      </w:r>
      <w:r w:rsidRPr="00E64A4B">
        <w:rPr>
          <w:i/>
          <w:iCs/>
        </w:rPr>
        <w:t>La part maudite,</w:t>
      </w:r>
      <w:r w:rsidRPr="00E64A4B">
        <w:t xml:space="preserve"> Paris, Minuit, 1967, p. 26-27). Ce n'est donc pas d'un impératif fonctionnaliste que surgit le don mais plutôt d'une exigence de totalisation qui est sensible aux creux, aux vides, aux espaces de danger et à tout ce que les anthrop</w:t>
      </w:r>
      <w:r w:rsidRPr="00E64A4B">
        <w:t>o</w:t>
      </w:r>
      <w:r w:rsidRPr="00E64A4B">
        <w:t>logues ont traditionnellement associé à la liminalité. L'e</w:t>
      </w:r>
      <w:r w:rsidRPr="00E64A4B">
        <w:t>x</w:t>
      </w:r>
      <w:r>
        <w:t>périence de liminalité qu'af</w:t>
      </w:r>
      <w:r w:rsidRPr="00E64A4B">
        <w:t>fronteraient</w:t>
      </w:r>
      <w:r>
        <w:t xml:space="preserve"> </w:t>
      </w:r>
      <w:r w:rsidRPr="00E64A4B">
        <w:t>[340] les sociétés modernes serait celle de leur capac</w:t>
      </w:r>
      <w:r w:rsidRPr="00E64A4B">
        <w:t>i</w:t>
      </w:r>
      <w:r w:rsidRPr="00E64A4B">
        <w:t>té d'ouverture à l'étranger qui vit en leur sein.</w:t>
      </w:r>
    </w:p>
    <w:p w:rsidR="00B7214C" w:rsidRPr="00E64A4B" w:rsidRDefault="00B7214C" w:rsidP="00B7214C">
      <w:pPr>
        <w:spacing w:before="120" w:after="120"/>
        <w:jc w:val="both"/>
      </w:pPr>
      <w:r w:rsidRPr="00E64A4B">
        <w:t>Mais « le don fonctionne à la dette » (p. 49) ont écrit Godbout et Caillé, nous fournissant avec cette notion de dette un autre él</w:t>
      </w:r>
      <w:r w:rsidRPr="00E64A4B">
        <w:t>é</w:t>
      </w:r>
      <w:r w:rsidRPr="00E64A4B">
        <w:t>ment clé de leur théorie. La dette serait de fait omniprésente dans le don mais de quelle dette s'agit-il au juste ? Certainement pas de la dette ma</w:t>
      </w:r>
      <w:r w:rsidRPr="00E64A4B">
        <w:t>r</w:t>
      </w:r>
      <w:r w:rsidRPr="00E64A4B">
        <w:t>chande qui se calcule de manière comptable et dont on peut se libérer en payant le montant exigé. C'est d'une autre dette dont ils nous pa</w:t>
      </w:r>
      <w:r w:rsidRPr="00E64A4B">
        <w:t>r</w:t>
      </w:r>
      <w:r w:rsidRPr="00E64A4B">
        <w:t>lent, d'une dette dont on ne saisit tout le sens qu'à la lumière de la de</w:t>
      </w:r>
      <w:r w:rsidRPr="00E64A4B">
        <w:t>t</w:t>
      </w:r>
      <w:r w:rsidRPr="00E64A4B">
        <w:t>te que tous les humains contractent à l'égard des parents qui leur ont donné la vie : la dette de la vie reçue con</w:t>
      </w:r>
      <w:r w:rsidRPr="00E64A4B">
        <w:t>s</w:t>
      </w:r>
      <w:r w:rsidRPr="00E64A4B">
        <w:t>titue un des modèles de la dette inextinguible. Il y a peut-être deux façons de prolonger la pensée de Godbout-Caillé au sujet de cette dette : soit dans la direction d'une réflexion sur le sacrifice en tant que forme suprême du don, soit dans la direction d'une réflexion sur l'absence même de don, sur le « don de rien », de l'illusoire et impossible remise de la dette, comme dans une quête interminable de la justice comptable. Dans le premier cas, il faut dialoguer avec René Girard et dans le second avec Jacques Derr</w:t>
      </w:r>
      <w:r w:rsidRPr="00E64A4B">
        <w:t>i</w:t>
      </w:r>
      <w:r w:rsidRPr="00E64A4B">
        <w:t xml:space="preserve">da, deux auteurs dont la pensée affleure un peu partout dans </w:t>
      </w:r>
      <w:hyperlink r:id="rId91" w:history="1">
        <w:r w:rsidRPr="00E64A4B">
          <w:rPr>
            <w:rStyle w:val="Lienhypertexte"/>
            <w:i/>
            <w:iCs/>
          </w:rPr>
          <w:t>L'esprit du don</w:t>
        </w:r>
      </w:hyperlink>
      <w:r w:rsidRPr="00E64A4B">
        <w:t xml:space="preserve"> mais le plus souvent pour être critiquée par Godbout et Caillé.</w:t>
      </w:r>
    </w:p>
    <w:p w:rsidR="00B7214C" w:rsidRPr="00E64A4B" w:rsidRDefault="00B7214C" w:rsidP="00B7214C">
      <w:pPr>
        <w:spacing w:before="120" w:after="120"/>
        <w:jc w:val="both"/>
      </w:pPr>
      <w:r w:rsidRPr="00E64A4B">
        <w:t>J'ai laissé entendre plus haut que le sacrifice s'alimente au mieux à une théologie et au pire à une éthique du don. Il convient ici de rapp</w:t>
      </w:r>
      <w:r w:rsidRPr="00E64A4B">
        <w:t>e</w:t>
      </w:r>
      <w:r w:rsidRPr="00E64A4B">
        <w:t>ler ce que l'étude des religions et l'anthropologie nous ont appris au sujet du sacrifice : les choses consacrées sont mises à part, les biens sont brûlés, consumés, et les animaux immolés sont consommés au cours d'un repas auquel participent les dieux et les hommes</w:t>
      </w:r>
      <w:r>
        <w:t> </w:t>
      </w:r>
      <w:r>
        <w:rPr>
          <w:rStyle w:val="Appelnotedebasdep"/>
        </w:rPr>
        <w:footnoteReference w:id="260"/>
      </w:r>
      <w:r w:rsidRPr="00E64A4B">
        <w:t>. Les hommes tendent partout à détruire les dons qu'ils font à leurs dieux parce qu'ils savent que rien, même la meilleure de leurs offrandes (la vierge parfaite, ou le taureau plein de vie...) ne pourrait être à la ha</w:t>
      </w:r>
      <w:r w:rsidRPr="00E64A4B">
        <w:t>u</w:t>
      </w:r>
      <w:r w:rsidRPr="00E64A4B">
        <w:t>teur des attentes divines : éte</w:t>
      </w:r>
      <w:r w:rsidRPr="00E64A4B">
        <w:t>r</w:t>
      </w:r>
      <w:r w:rsidRPr="00E64A4B">
        <w:t>nels débiteurs face aux bienfaits qu'ils ont reçus, les humains ont appris à pratiquer le don aux dieux sous la forme du sacrifice dans un effort de réciprocité sans la possibilité d'un réel retour, avec une dette qui reste à jamais impayable. Girard a peut-être raison d'affirmer que tout don ne serait ultimement qu'une att</w:t>
      </w:r>
      <w:r w:rsidRPr="00E64A4B">
        <w:t>é</w:t>
      </w:r>
      <w:r w:rsidRPr="00E64A4B">
        <w:t>nuation de la logique sacrificielle, faisant du don une sous-catégorie du sacrifice. De la même façon, Derrida ouvre des possibilités origin</w:t>
      </w:r>
      <w:r w:rsidRPr="00E64A4B">
        <w:t>a</w:t>
      </w:r>
      <w:r w:rsidRPr="00E64A4B">
        <w:t xml:space="preserve">les de comprendre le statut de la dette lorsqu'il nous rappelle dans </w:t>
      </w:r>
      <w:r w:rsidRPr="00E64A4B">
        <w:rPr>
          <w:i/>
          <w:iCs/>
        </w:rPr>
        <w:t>Mémoire d'aveugle</w:t>
      </w:r>
      <w:r w:rsidRPr="00E64A4B">
        <w:t xml:space="preserve"> (1990) que le don de rien fonctionne comme tout don par contradiction comme dans le Magritte de « Ceci n'est pas une pipe » ou de la « Reproduction interdite »</w:t>
      </w:r>
      <w:r>
        <w:t> </w:t>
      </w:r>
      <w:r>
        <w:rPr>
          <w:rStyle w:val="Appelnotedebasdep"/>
        </w:rPr>
        <w:footnoteReference w:id="261"/>
      </w:r>
      <w:r w:rsidRPr="00E64A4B">
        <w:t>. L'énormité du don de rien vient révéler le caractère dérisoire de tous les dons : le rien do</w:t>
      </w:r>
      <w:r w:rsidRPr="00E64A4B">
        <w:t>n</w:t>
      </w:r>
      <w:r w:rsidRPr="00E64A4B">
        <w:t>ner étant ultimement le seul don véritable que les hommes peuvent faire à leurs dieux face auxquels leur dette reste à jamais impayable. C'est dans une telle théologie du don</w:t>
      </w:r>
      <w:r>
        <w:t xml:space="preserve"> </w:t>
      </w:r>
      <w:r w:rsidRPr="00E64A4B">
        <w:t>[341]</w:t>
      </w:r>
      <w:r>
        <w:t xml:space="preserve"> </w:t>
      </w:r>
      <w:r w:rsidRPr="00E64A4B">
        <w:t>sacrificiel que s'enracine peut-être ultimement la non-réciprocité que Godbout et Caillé ont pl</w:t>
      </w:r>
      <w:r w:rsidRPr="00E64A4B">
        <w:t>a</w:t>
      </w:r>
      <w:r w:rsidRPr="00E64A4B">
        <w:t>cée au coeur de leur théorie du don.</w:t>
      </w:r>
    </w:p>
    <w:p w:rsidR="00B7214C" w:rsidRPr="00E64A4B" w:rsidRDefault="00B7214C" w:rsidP="00B7214C">
      <w:pPr>
        <w:spacing w:before="120" w:after="120"/>
        <w:jc w:val="both"/>
      </w:pPr>
      <w:r w:rsidRPr="00E64A4B">
        <w:t>Et enfin on trouve chez ces deux auteurs le concept du pardon. C'est aussi d'une lecture théologique dont ce concept a besoin pour déployer toute sa richesse : chez les Angbandi du Zaïre chez qui j'ai travaillé, il est normal de dire que les esprits des ancêtres ou de la n</w:t>
      </w:r>
      <w:r w:rsidRPr="00E64A4B">
        <w:t>a</w:t>
      </w:r>
      <w:r w:rsidRPr="00E64A4B">
        <w:t>ture se laissent apaiser par les dons et les sacrifices et qu'ils pardo</w:t>
      </w:r>
      <w:r w:rsidRPr="00E64A4B">
        <w:t>n</w:t>
      </w:r>
      <w:r w:rsidRPr="00E64A4B">
        <w:t>nent, par un don gracieux, aux humains qui ont abaissé leur coeur. Peu importe les détails de la théologie du pardon dans les différentes s</w:t>
      </w:r>
      <w:r w:rsidRPr="00E64A4B">
        <w:t>o</w:t>
      </w:r>
      <w:r w:rsidRPr="00E64A4B">
        <w:t>ciétés, on peut sans doute légitimement penser que le pardon n'est pa</w:t>
      </w:r>
      <w:r w:rsidRPr="00E64A4B">
        <w:t>r</w:t>
      </w:r>
      <w:r w:rsidRPr="00E64A4B">
        <w:t>tout que l'envers obligatoire de la dette inextinguible qui entraîne in</w:t>
      </w:r>
      <w:r w:rsidRPr="00E64A4B">
        <w:t>é</w:t>
      </w:r>
      <w:r w:rsidRPr="00E64A4B">
        <w:t>vitablement culpabilité, soui</w:t>
      </w:r>
      <w:r w:rsidRPr="00E64A4B">
        <w:t>l</w:t>
      </w:r>
      <w:r w:rsidRPr="00E64A4B">
        <w:t>lure et impureté</w:t>
      </w:r>
      <w:r>
        <w:t> </w:t>
      </w:r>
      <w:r>
        <w:rPr>
          <w:rStyle w:val="Appelnotedebasdep"/>
        </w:rPr>
        <w:footnoteReference w:id="262"/>
      </w:r>
      <w:r w:rsidRPr="00E64A4B">
        <w:t>. La personne que le pardon a déclarée pure n'est pas pour autant libérée de ses fautes pui</w:t>
      </w:r>
      <w:r w:rsidRPr="00E64A4B">
        <w:t>s</w:t>
      </w:r>
      <w:r w:rsidRPr="00E64A4B">
        <w:t>que le nouveau pardon ne la rend que davantage débitrice à l'égard de son Dieu. Don, dette et pardon s'enroulent dans une spirale infinie.</w:t>
      </w:r>
    </w:p>
    <w:p w:rsidR="00B7214C" w:rsidRDefault="00B7214C" w:rsidP="00B7214C">
      <w:pPr>
        <w:spacing w:before="120" w:after="120"/>
        <w:jc w:val="both"/>
      </w:pPr>
      <w:r w:rsidRPr="00E64A4B">
        <w:t>Voilà rapidement esquissée, en trois paragraphes, une contre-modélisation de la théorie du don que j'ai cru lire chez Godbout et Caillé et qui me semble correspondre davantage à leur « esprit du don » que l'esquisse qu'ils ont eux-mêmes présentée dans leur ouvr</w:t>
      </w:r>
      <w:r w:rsidRPr="00E64A4B">
        <w:t>a</w:t>
      </w:r>
      <w:r w:rsidRPr="00E64A4B">
        <w:t>ge. Le modèle triangulaire que permet de dessiner les concepts d'étranger, de dette et de pardon s'organise autour d'une double éc</w:t>
      </w:r>
      <w:r w:rsidRPr="00E64A4B">
        <w:t>o</w:t>
      </w:r>
      <w:r w:rsidRPr="00E64A4B">
        <w:t>nomie : dette et pardon s'inscrivent pour leur part dans une économie religieuse qui est sans doute universelle (transculturelle) dans la mes</w:t>
      </w:r>
      <w:r w:rsidRPr="00E64A4B">
        <w:t>u</w:t>
      </w:r>
      <w:r w:rsidRPr="00E64A4B">
        <w:t>re où toutes les théologies et mythologies (y a-t-il en réalité d'autres théologies que mythologiques ?) mettent en scène un être humain qui est sans cesse débiteur face à ses dieux et qui, pour cette raison, doit continuellement présenter des dons, des sacrifices, sans jamais épuiser le dû ; la notion d'étranger elle, ouvre, sur une économie sociale et naturelle, faisant éclater les cadres limitatifs de l'espace qui tend à e</w:t>
      </w:r>
      <w:r w:rsidRPr="00E64A4B">
        <w:t>n</w:t>
      </w:r>
      <w:r w:rsidRPr="00E64A4B">
        <w:t>fermer chacun des gro</w:t>
      </w:r>
      <w:r w:rsidRPr="00E64A4B">
        <w:t>u</w:t>
      </w:r>
      <w:r w:rsidRPr="00E64A4B">
        <w:t>pes sur eux-mêmes, avec leur dette propre à l'égard de leurs dieux et avec le pardon que ces dieux ne donnent qu'à ceux et celles qu'ils reconnaissent pour être les leurs. Dans cette tria</w:t>
      </w:r>
      <w:r w:rsidRPr="00E64A4B">
        <w:t>n</w:t>
      </w:r>
      <w:r w:rsidRPr="00E64A4B">
        <w:t>gulation on peut se représenter l'étranger comme occupant le sommet d'un triangle dont la base est formée par la tension entre la dette et le pa</w:t>
      </w:r>
      <w:r w:rsidRPr="00E64A4B">
        <w:t>r</w:t>
      </w:r>
      <w:r w:rsidRPr="00E64A4B">
        <w:t>don, une tension qui est indépassable dans toutes les sociétés du monde mais qui se joue dans chacune à partir d'un enjeu collectif m</w:t>
      </w:r>
      <w:r w:rsidRPr="00E64A4B">
        <w:t>a</w:t>
      </w:r>
      <w:r w:rsidRPr="00E64A4B">
        <w:t>jeur : ainsi le système de la dette et du pardon serait amené à se r</w:t>
      </w:r>
      <w:r w:rsidRPr="00E64A4B">
        <w:t>é</w:t>
      </w:r>
      <w:r w:rsidRPr="00E64A4B">
        <w:t>aménager dans les sociétés modernes parce que celles-ci doivent fo</w:t>
      </w:r>
      <w:r w:rsidRPr="00E64A4B">
        <w:t>n</w:t>
      </w:r>
      <w:r w:rsidRPr="00E64A4B">
        <w:t>damental</w:t>
      </w:r>
      <w:r w:rsidRPr="00E64A4B">
        <w:t>e</w:t>
      </w:r>
      <w:r w:rsidRPr="00E64A4B">
        <w:t>ment composer avec la figure de l'étranger.</w:t>
      </w:r>
    </w:p>
    <w:p w:rsidR="00B7214C" w:rsidRPr="00E64A4B" w:rsidRDefault="00B7214C" w:rsidP="00B7214C">
      <w:pPr>
        <w:spacing w:before="120" w:after="120"/>
        <w:jc w:val="both"/>
      </w:pPr>
    </w:p>
    <w:p w:rsidR="00B7214C" w:rsidRPr="00E64A4B" w:rsidRDefault="00481548" w:rsidP="00B7214C">
      <w:pPr>
        <w:pStyle w:val="fig"/>
      </w:pPr>
      <w:r>
        <w:rPr>
          <w:noProof/>
        </w:rPr>
        <w:drawing>
          <wp:inline distT="0" distB="0" distL="0" distR="0">
            <wp:extent cx="3119755" cy="3130550"/>
            <wp:effectExtent l="0" t="0" r="0" b="0"/>
            <wp:docPr id="8" name="Image 8" descr="fig_p_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34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9755" cy="3130550"/>
                    </a:xfrm>
                    <a:prstGeom prst="rect">
                      <a:avLst/>
                    </a:prstGeom>
                    <a:noFill/>
                    <a:ln>
                      <a:noFill/>
                    </a:ln>
                  </pic:spPr>
                </pic:pic>
              </a:graphicData>
            </a:graphic>
          </wp:inline>
        </w:drawing>
      </w:r>
    </w:p>
    <w:p w:rsidR="00B7214C" w:rsidRPr="00E64A4B" w:rsidRDefault="00B7214C" w:rsidP="00B7214C">
      <w:pPr>
        <w:spacing w:before="120" w:after="120"/>
        <w:jc w:val="both"/>
      </w:pPr>
      <w:r w:rsidRPr="00E64A4B">
        <w:br w:type="page"/>
        <w:t>[342]</w:t>
      </w:r>
    </w:p>
    <w:p w:rsidR="00B7214C" w:rsidRPr="00E64A4B" w:rsidRDefault="00B7214C" w:rsidP="00B7214C">
      <w:pPr>
        <w:spacing w:before="120" w:after="120"/>
        <w:jc w:val="both"/>
      </w:pPr>
      <w:r w:rsidRPr="00E64A4B">
        <w:t>J'ai conscience d'avoir peut-être basculé, en esquissant ce contre- modèle, dans l'erreur de mythologisation que Lévi-Strauss reprochait à Mauss mais comme il n'avait, selon moi, que partie</w:t>
      </w:r>
      <w:r w:rsidRPr="00E64A4B">
        <w:t>l</w:t>
      </w:r>
      <w:r w:rsidRPr="00E64A4B">
        <w:t>lement raison sur ce point, j'ai obstinément maintenu mon projet. Par contre, et cela est plus grave dans le contexte d'un commentaire de la pensée d'a</w:t>
      </w:r>
      <w:r w:rsidRPr="00E64A4B">
        <w:t>u</w:t>
      </w:r>
      <w:r w:rsidRPr="00E64A4B">
        <w:t>teurs, j'ai peut-être trahi avec mon vocabulaire théologisant l'esprit sociologique, et même positiviste parfois, que Godbout et Caillé ont insufflé à leur ouvrage. C'est vers l'univers de la sémiologie que j'ai volontairement cherché à rapatrier leur pensée et leurs intuitions, m'i</w:t>
      </w:r>
      <w:r w:rsidRPr="00E64A4B">
        <w:t>n</w:t>
      </w:r>
      <w:r w:rsidRPr="00E64A4B">
        <w:t>téressant bien sûr à découvrir des signes et du sens dans la circulation des dons mais, au-delà de cette économie sémiologique, j'ai aussi vo</w:t>
      </w:r>
      <w:r w:rsidRPr="00E64A4B">
        <w:t>u</w:t>
      </w:r>
      <w:r w:rsidRPr="00E64A4B">
        <w:t>lu découvrir les lois stru</w:t>
      </w:r>
      <w:r w:rsidRPr="00E64A4B">
        <w:t>c</w:t>
      </w:r>
      <w:r w:rsidRPr="00E64A4B">
        <w:t xml:space="preserve">turelles qui font marcher partout les diverses économies de signes et de dons. Le titre donné à cet essai : « La loi du don n'est que l'envers du don de la Loi » indique dans quelle direction j'ai pensé trouver un fondement à la théorie du don telle que celle-ci est présentée dans </w:t>
      </w:r>
      <w:hyperlink r:id="rId93" w:history="1">
        <w:r w:rsidRPr="00E64A4B">
          <w:rPr>
            <w:rStyle w:val="Lienhypertexte"/>
            <w:i/>
            <w:iCs/>
          </w:rPr>
          <w:t>L'esprit du don</w:t>
        </w:r>
      </w:hyperlink>
      <w:r w:rsidRPr="00E64A4B">
        <w:rPr>
          <w:i/>
          <w:iCs/>
        </w:rPr>
        <w:t>.</w:t>
      </w:r>
      <w:r w:rsidRPr="00E64A4B">
        <w:t xml:space="preserve"> La Loi (avec une majuscule) est do</w:t>
      </w:r>
      <w:r w:rsidRPr="00E64A4B">
        <w:t>n</w:t>
      </w:r>
      <w:r w:rsidRPr="00E64A4B">
        <w:t>née, se donne, comme le fondement de tout ordre sémiologique et de toutes les lois qui régissent partout le système de don ; elle en est l'envers dans la mesure où elle lui est fortement attachée comme le dos l'est au devant, à la face, à cette face que le miroir ne renvoie pas, qu'il laisse deviner à partir du dos, comme dans la « Reproduction i</w:t>
      </w:r>
      <w:r w:rsidRPr="00E64A4B">
        <w:t>n</w:t>
      </w:r>
      <w:r w:rsidRPr="00E64A4B">
        <w:t>terdite » de Magritte. Et peu importe où l'on sa</w:t>
      </w:r>
      <w:r w:rsidRPr="00E64A4B">
        <w:t>i</w:t>
      </w:r>
      <w:r w:rsidRPr="00E64A4B">
        <w:t>sit cette Loi, elle est au fond toujours la même sous ses différents visages de sorte qu'il est mieux de l'appréhender de dos, à partir de son envers : la Loi se donne d'abord partout dans la prohibition de l'inceste qui force les groupes à aller vers les étrangers en do</w:t>
      </w:r>
      <w:r w:rsidRPr="00E64A4B">
        <w:t>n</w:t>
      </w:r>
      <w:r w:rsidRPr="00E64A4B">
        <w:t>nant leurs femmes (du moins il en est ainsi dans la lecture lévi-straussienne) ; et la Thorah donnée à Moïse n'est que la version juive de toutes les Lois que les peuples ont placées à la base de leur vie religieuse et sociale, et de même la Loi du Père que les psychanalystes reconnaissent dans l'interdit imposé à l'enfant n'apparaît que dédoubler la règle de la prohibition de l'inceste et le don de la Thorah à ceux que Yahveh reconnaît comme ses e</w:t>
      </w:r>
      <w:r w:rsidRPr="00E64A4B">
        <w:t>n</w:t>
      </w:r>
      <w:r w:rsidRPr="00E64A4B">
        <w:t>fants. Me voilà, il me semble, parvenu jusqu'à ce roc solide qui sert de fo</w:t>
      </w:r>
      <w:r w:rsidRPr="00E64A4B">
        <w:t>n</w:t>
      </w:r>
      <w:r w:rsidRPr="00E64A4B">
        <w:t>dation, sans doute dans toutes les sociétés, à la loi du don. En fondant celle-ci sur l'envers du don de la Loi, je voulais précisément insister sur ce fondement le plus profond, quel que soit le risque de dé-sociologisation de la réflexion : il me semblait qu'on ne pouvait pas réfléchir sérieusement sur le don, comme l'ont fait Godbout et Caillé, sans prendre un tel risque.</w:t>
      </w:r>
    </w:p>
    <w:p w:rsidR="00B7214C" w:rsidRPr="00E64A4B" w:rsidRDefault="00B7214C" w:rsidP="00B7214C">
      <w:pPr>
        <w:spacing w:before="120" w:after="120"/>
        <w:jc w:val="both"/>
      </w:pPr>
      <w:r w:rsidRPr="00E64A4B">
        <w:t>Dans notre monde d'aujourd'hui où la loi de la consommation se</w:t>
      </w:r>
      <w:r w:rsidRPr="00E64A4B">
        <w:t>m</w:t>
      </w:r>
      <w:r w:rsidRPr="00E64A4B">
        <w:t>ble imposer à plusieurs une morale utilitariste, le livre de Godbout et de Caillé ne vient pas que réaffirmer qu'y coexiste aussi toujours en parallèle l'éthique du don. De ce point de vue, le rappel d'une telle d</w:t>
      </w:r>
      <w:r w:rsidRPr="00E64A4B">
        <w:t>i</w:t>
      </w:r>
      <w:r w:rsidRPr="00E64A4B">
        <w:t>mension confère déjà à l'ouvrage un statut à part qui invite à la lecture. Mais il y a infiniment plus dans ce l</w:t>
      </w:r>
      <w:r w:rsidRPr="00E64A4B">
        <w:t>i</w:t>
      </w:r>
      <w:r w:rsidRPr="00E64A4B">
        <w:t>vre, surtout pour ceux et celles qui s'adonnent à la pratique des sciences sociales : personne ne pourra plus, après avoir fermé</w:t>
      </w:r>
      <w:r>
        <w:t xml:space="preserve"> </w:t>
      </w:r>
      <w:r w:rsidRPr="00E64A4B">
        <w:t>[343]</w:t>
      </w:r>
      <w:r>
        <w:t xml:space="preserve"> </w:t>
      </w:r>
      <w:r w:rsidRPr="00E64A4B">
        <w:t>ce livre, interroger les faits sociaux de la même manière. C'est en effet d'une réorientation du regard et de la pensée dont parle l'ouvrage de Godbout et Caillé et, à ce titre, il n'y a pas de doute que ce livre s'imposera, de plus en plus, comme un o</w:t>
      </w:r>
      <w:r w:rsidRPr="00E64A4B">
        <w:t>u</w:t>
      </w:r>
      <w:r w:rsidRPr="00E64A4B">
        <w:t>vrage de référence obligato</w:t>
      </w:r>
      <w:r w:rsidRPr="00E64A4B">
        <w:t>i</w:t>
      </w:r>
      <w:r w:rsidRPr="00E64A4B">
        <w:t>re en sciences sociales. Nous voilà de nouveau dans l'obligatoire alors que c'était du don d'un livre dont il s'agi</w:t>
      </w:r>
      <w:r w:rsidRPr="00E64A4B">
        <w:t>s</w:t>
      </w:r>
      <w:r w:rsidRPr="00E64A4B">
        <w:t>sait.</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spacing w:before="120" w:after="120"/>
        <w:jc w:val="both"/>
      </w:pPr>
    </w:p>
    <w:p w:rsidR="00B7214C" w:rsidRPr="00E64A4B" w:rsidRDefault="00B7214C" w:rsidP="00B7214C">
      <w:pPr>
        <w:pStyle w:val="p"/>
      </w:pPr>
      <w:r w:rsidRPr="00E64A4B">
        <w:t>[344]</w:t>
      </w:r>
    </w:p>
    <w:p w:rsidR="00B7214C" w:rsidRDefault="00B7214C" w:rsidP="00B7214C">
      <w:pPr>
        <w:jc w:val="both"/>
      </w:pPr>
      <w:r w:rsidRPr="00E64A4B">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3" w:name="Entre_tradition_pt_2_C"/>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DEUXIÈME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C. LES SOLIDARITÉS</w:t>
      </w:r>
    </w:p>
    <w:bookmarkEnd w:id="33"/>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pStyle w:val="p"/>
      </w:pPr>
      <w:r>
        <w:br w:type="page"/>
      </w:r>
      <w:r w:rsidRPr="00E64A4B">
        <w:t>[345]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4" w:name="Entre_tradition_pt_2_texte_23"/>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C. </w:t>
      </w:r>
      <w:r w:rsidRPr="00DC0C7E">
        <w:rPr>
          <w:color w:val="FF0000"/>
          <w:sz w:val="24"/>
        </w:rPr>
        <w:t>LE</w:t>
      </w:r>
      <w:r>
        <w:rPr>
          <w:color w:val="FF0000"/>
          <w:sz w:val="24"/>
        </w:rPr>
        <w:t>S SOLIDARITÉS</w:t>
      </w:r>
    </w:p>
    <w:p w:rsidR="00B7214C" w:rsidRPr="00384B20" w:rsidRDefault="00B7214C" w:rsidP="00B7214C">
      <w:pPr>
        <w:pStyle w:val="Titreniveau1"/>
      </w:pPr>
      <w:r>
        <w:t>23</w:t>
      </w:r>
    </w:p>
    <w:p w:rsidR="00B7214C" w:rsidRDefault="00B7214C" w:rsidP="00B7214C">
      <w:pPr>
        <w:pStyle w:val="Titreniveau2"/>
      </w:pPr>
      <w:r>
        <w:t>“Paysannerie, recherche</w:t>
      </w:r>
      <w:r>
        <w:br/>
        <w:t>et changement social.</w:t>
      </w:r>
    </w:p>
    <w:p w:rsidR="00B7214C" w:rsidRPr="0041309E" w:rsidRDefault="00B7214C" w:rsidP="00B7214C">
      <w:pPr>
        <w:pStyle w:val="Titreniveau2i"/>
      </w:pPr>
      <w:r>
        <w:t>Analyse d’un processus en cours</w:t>
      </w:r>
      <w:r>
        <w:br/>
        <w:t>dans les Andes colombiennes.” </w:t>
      </w:r>
      <w:r>
        <w:rPr>
          <w:rStyle w:val="Appelnotedebasdep"/>
          <w:i w:val="0"/>
        </w:rPr>
        <w:footnoteReference w:id="263"/>
      </w:r>
    </w:p>
    <w:bookmarkEnd w:id="34"/>
    <w:p w:rsidR="00B7214C" w:rsidRPr="00E07116" w:rsidRDefault="00B7214C" w:rsidP="00B7214C">
      <w:pPr>
        <w:jc w:val="both"/>
        <w:rPr>
          <w:szCs w:val="36"/>
        </w:rPr>
      </w:pPr>
    </w:p>
    <w:p w:rsidR="00B7214C" w:rsidRPr="00E07116" w:rsidRDefault="00B7214C" w:rsidP="00B7214C">
      <w:pPr>
        <w:pStyle w:val="suite"/>
      </w:pPr>
      <w:r>
        <w:t>Par Marie-France LABRECQUE</w:t>
      </w:r>
    </w:p>
    <w:p w:rsidR="00B7214C" w:rsidRPr="00E07116" w:rsidRDefault="00B7214C" w:rsidP="00B7214C">
      <w:pPr>
        <w:pStyle w:val="auteurst"/>
      </w:pPr>
      <w:r w:rsidRPr="004A7EF1">
        <w:t>Département d'anthropologie, Université Laval</w:t>
      </w:r>
    </w:p>
    <w:p w:rsidR="00B7214C" w:rsidRDefault="00B7214C" w:rsidP="00B7214C">
      <w:pPr>
        <w:spacing w:before="120" w:after="120"/>
        <w:jc w:val="both"/>
      </w:pPr>
    </w:p>
    <w:p w:rsidR="00B7214C" w:rsidRPr="00E64A4B" w:rsidRDefault="00B7214C" w:rsidP="00B7214C">
      <w:pPr>
        <w:spacing w:before="120" w:after="120"/>
        <w:jc w:val="both"/>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Le processus que je tenterai d'analyser se situe dans le d</w:t>
      </w:r>
      <w:r w:rsidRPr="00E64A4B">
        <w:t>o</w:t>
      </w:r>
      <w:r w:rsidRPr="00E64A4B">
        <w:t>maine de la recherche-action-participation (RAP). Il se déroule actuellement dans une région de la Colombie andine où mon équipe de recherche travaille en partenariat avec une association paysanne. Plus particuli</w:t>
      </w:r>
      <w:r w:rsidRPr="00E64A4B">
        <w:t>è</w:t>
      </w:r>
      <w:r w:rsidRPr="00E64A4B">
        <w:t>rement, je m'interroge sur la façon dont ce processus rejoint celui de la RAP en général tout en gardant sa spécificité. Je veux également, tout en adoptant un point de vue féministe, faire ressortir le fait que la RAP, même si elle a émergé dans les années 1970, pose des questions tout à fait actuelles sur les concepts que nous utilisons dans notre pr</w:t>
      </w:r>
      <w:r w:rsidRPr="00E64A4B">
        <w:t>a</w:t>
      </w:r>
      <w:r w:rsidRPr="00E64A4B">
        <w:t>tique quotidienne d'intellectuels des sciences sociales.</w:t>
      </w:r>
    </w:p>
    <w:p w:rsidR="00B7214C" w:rsidRPr="00E64A4B" w:rsidRDefault="00B7214C" w:rsidP="00B7214C">
      <w:pPr>
        <w:spacing w:before="120" w:after="120"/>
        <w:jc w:val="both"/>
      </w:pPr>
      <w:r w:rsidRPr="00E64A4B">
        <w:t>L'examen que je propose devrait permettre de réfléchir sur la déf</w:t>
      </w:r>
      <w:r w:rsidRPr="00E64A4B">
        <w:t>i</w:t>
      </w:r>
      <w:r w:rsidRPr="00E64A4B">
        <w:t>nition de l'action politique sur laquelle la RAP doit nécessa</w:t>
      </w:r>
      <w:r w:rsidRPr="00E64A4B">
        <w:t>i</w:t>
      </w:r>
      <w:r w:rsidRPr="00E64A4B">
        <w:t>rement ouvrir. On verra que depuis les premiers moments alors qu'elle était envisagée en relation avec la lutte des classes, les f</w:t>
      </w:r>
      <w:r w:rsidRPr="00E64A4B">
        <w:t>a</w:t>
      </w:r>
      <w:r w:rsidRPr="00E64A4B">
        <w:t>çons de définir le politique et d'entreprendre l'action sur ce terrain ont changé. Les pop</w:t>
      </w:r>
      <w:r w:rsidRPr="00E64A4B">
        <w:t>u</w:t>
      </w:r>
      <w:r w:rsidRPr="00E64A4B">
        <w:t>lations avec lesquelles je travaille commencent à considérer que l'a</w:t>
      </w:r>
      <w:r w:rsidRPr="00E64A4B">
        <w:t>c</w:t>
      </w:r>
      <w:r w:rsidRPr="00E64A4B">
        <w:t>tion visant à changer les rapports sociaux dans la vie de tous les jours n'est pas moins politique que celle qui a l'État pour cible directe. Mon propos est donc celui du pouvoir.</w:t>
      </w:r>
    </w:p>
    <w:p w:rsidR="00B7214C" w:rsidRPr="00E64A4B" w:rsidRDefault="00B7214C" w:rsidP="00B7214C">
      <w:pPr>
        <w:spacing w:before="120" w:after="120"/>
        <w:jc w:val="both"/>
      </w:pPr>
      <w:r w:rsidRPr="00E64A4B">
        <w:t>[346]</w:t>
      </w:r>
    </w:p>
    <w:p w:rsidR="00B7214C" w:rsidRPr="00E64A4B" w:rsidRDefault="00B7214C" w:rsidP="00B7214C">
      <w:pPr>
        <w:spacing w:before="120" w:after="120"/>
        <w:jc w:val="both"/>
      </w:pPr>
      <w:r w:rsidRPr="00E64A4B">
        <w:t>Je présenterai d'abord la population avec laquelle je travaille dans les Andes colombiennes et exposerai les circonstances dans lesquelles a émergé la recherche qui me sert ici d'objet d'analyse. Ensuite, en m'appuyant sur la littérature spécialisée, j'aborderai les caractérist</w:t>
      </w:r>
      <w:r w:rsidRPr="00E64A4B">
        <w:t>i</w:t>
      </w:r>
      <w:r w:rsidRPr="00E64A4B">
        <w:t>ques de la RAP tout en prenant le concept de pouvoir comme point de référence. Enfin, en décrivant les éléments qui me paraissent inédits dans l'expérience de la population visée, je m'efforcerai de réfléchir sur les façons dont le concept de pouvoir se modifie lorsqu'on le situe à l'intersection d une multiplicité de facteurs et qu'on tente d'agir sur ces derniers.</w:t>
      </w:r>
    </w:p>
    <w:p w:rsidR="00B7214C" w:rsidRPr="00E64A4B" w:rsidRDefault="00B7214C" w:rsidP="00B7214C">
      <w:pPr>
        <w:spacing w:before="120" w:after="120"/>
        <w:jc w:val="both"/>
      </w:pPr>
    </w:p>
    <w:p w:rsidR="00B7214C" w:rsidRPr="00E64A4B" w:rsidRDefault="00B7214C" w:rsidP="00B7214C">
      <w:pPr>
        <w:pStyle w:val="a"/>
      </w:pPr>
      <w:r w:rsidRPr="00E64A4B">
        <w:t>UNE POPULATION ANDINE EN COLOMBIE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L'action se déploie dans une région rurale du Nariño, un départ</w:t>
      </w:r>
      <w:r w:rsidRPr="00E64A4B">
        <w:t>e</w:t>
      </w:r>
      <w:r w:rsidRPr="00E64A4B">
        <w:t>ment de la Colombie situé au sud du pays et partageant une frontière avec l'Équateur. La région visée occupe les paliers thermiques temp</w:t>
      </w:r>
      <w:r w:rsidRPr="00E64A4B">
        <w:t>é</w:t>
      </w:r>
      <w:r w:rsidRPr="00E64A4B">
        <w:t>ré (de 1 500 à 2 500 mètres) et froid (2 500 mètres et plus). Sans doute parce qu'elle n'est pas indigène, la population concernée n'a pas fait l'objet d'études ethnographiques. Elle ba</w:t>
      </w:r>
      <w:r w:rsidRPr="00E64A4B">
        <w:t>i</w:t>
      </w:r>
      <w:r w:rsidRPr="00E64A4B">
        <w:t>gne cependant dans ce que l'on pourrait appeler provisoirement la « culture andine » et qui se c</w:t>
      </w:r>
      <w:r w:rsidRPr="00E64A4B">
        <w:t>a</w:t>
      </w:r>
      <w:r w:rsidRPr="00E64A4B">
        <w:t>ractérise par un ensemble de croyances et de pratiques qui vont du recours aux guérisseurs indiens (Taussig, 1986) à la pratique du pèl</w:t>
      </w:r>
      <w:r w:rsidRPr="00E64A4B">
        <w:t>e</w:t>
      </w:r>
      <w:r w:rsidRPr="00E64A4B">
        <w:t>rinage (Arnold, 1985), culture partagée avec le reste de la population andine indienne et non indienne.</w:t>
      </w:r>
    </w:p>
    <w:p w:rsidR="00B7214C" w:rsidRPr="00E64A4B" w:rsidRDefault="00B7214C" w:rsidP="00B7214C">
      <w:pPr>
        <w:spacing w:before="120" w:after="120"/>
        <w:jc w:val="both"/>
      </w:pPr>
      <w:r w:rsidRPr="00E64A4B">
        <w:t>Colonisée à partir des années 1930-1940 de ce siècle, la région a accueilli des populations du département de Nariño même qui ont été expulsées de leurs communautés d'origine par le minifu</w:t>
      </w:r>
      <w:r w:rsidRPr="00E64A4B">
        <w:t>n</w:t>
      </w:r>
      <w:r w:rsidRPr="00E64A4B">
        <w:t>disme et la violence. Aujourd'hui, le processus de parcellisation des terres regro</w:t>
      </w:r>
      <w:r w:rsidRPr="00E64A4B">
        <w:t>u</w:t>
      </w:r>
      <w:r w:rsidRPr="00E64A4B">
        <w:t>pe à nouveau les colons au sein de strates éc</w:t>
      </w:r>
      <w:r w:rsidRPr="00E64A4B">
        <w:t>o</w:t>
      </w:r>
      <w:r w:rsidRPr="00E64A4B">
        <w:t>nomiques différenciées, la plupart d'entre eux se retrouvant en situation de minifundisme et d'exploitation. Selon le palier thermique occupé, la population explo</w:t>
      </w:r>
      <w:r w:rsidRPr="00E64A4B">
        <w:t>i</w:t>
      </w:r>
      <w:r w:rsidRPr="00E64A4B">
        <w:t>te le café, la canne à sucre, le maïs, la patate et pratique l'élevage la</w:t>
      </w:r>
      <w:r w:rsidRPr="00E64A4B">
        <w:t>i</w:t>
      </w:r>
      <w:r w:rsidRPr="00E64A4B">
        <w:t>tier, souvent sur des terres ne lui appartenant pas et se détériorant pr</w:t>
      </w:r>
      <w:r w:rsidRPr="00E64A4B">
        <w:t>o</w:t>
      </w:r>
      <w:r w:rsidRPr="00E64A4B">
        <w:t>gressivement en raison des pratiques de déboisement. Les hommes, les femmes et les enfants travaillent à des degrés divers comme o</w:t>
      </w:r>
      <w:r w:rsidRPr="00E64A4B">
        <w:t>u</w:t>
      </w:r>
      <w:r w:rsidRPr="00E64A4B">
        <w:t>vriers agricoles dans la région. Plusieurs émigrent sur une base sa</w:t>
      </w:r>
      <w:r w:rsidRPr="00E64A4B">
        <w:t>i</w:t>
      </w:r>
      <w:r w:rsidRPr="00E64A4B">
        <w:t>sonnière dans d'autres départements agricoles de la Colombie ou de l'Équateur ou encore dans les grandes villes, comme Cali et Bogota.</w:t>
      </w:r>
    </w:p>
    <w:p w:rsidR="00B7214C" w:rsidRPr="00E64A4B" w:rsidRDefault="00B7214C" w:rsidP="00B7214C">
      <w:pPr>
        <w:spacing w:before="120" w:after="120"/>
        <w:jc w:val="both"/>
      </w:pPr>
      <w:r w:rsidRPr="00E64A4B">
        <w:t>Les exploitants ruraux cultivent la terre, en général, d'abord et avant tout pour leur propre subsistance. Le surplus de produits est mis en marché à Pasto, la capitale du département de Nariño. Les comm</w:t>
      </w:r>
      <w:r w:rsidRPr="00E64A4B">
        <w:t>u</w:t>
      </w:r>
      <w:r w:rsidRPr="00E64A4B">
        <w:t>nications entre la capitale et les centres régionaux sont cependant di</w:t>
      </w:r>
      <w:r w:rsidRPr="00E64A4B">
        <w:t>f</w:t>
      </w:r>
      <w:r w:rsidRPr="00E64A4B">
        <w:t>ficiles et le</w:t>
      </w:r>
      <w:r>
        <w:t xml:space="preserve"> </w:t>
      </w:r>
      <w:r w:rsidRPr="00E64A4B">
        <w:t>[347]</w:t>
      </w:r>
      <w:r>
        <w:t xml:space="preserve"> </w:t>
      </w:r>
      <w:r w:rsidRPr="00E64A4B">
        <w:t>pouvoir d'achat de la population urbaine reste e</w:t>
      </w:r>
      <w:r w:rsidRPr="00E64A4B">
        <w:t>x</w:t>
      </w:r>
      <w:r w:rsidRPr="00E64A4B">
        <w:t>trêmement l</w:t>
      </w:r>
      <w:r w:rsidRPr="00E64A4B">
        <w:t>i</w:t>
      </w:r>
      <w:r w:rsidRPr="00E64A4B">
        <w:t>mité. Étant donné les cycles de production, il tend à y avoir a</w:t>
      </w:r>
      <w:r w:rsidRPr="00E64A4B">
        <w:t>f</w:t>
      </w:r>
      <w:r w:rsidRPr="00E64A4B">
        <w:t>fluence d'un même produit sur le marché au même moment, ce qui contribue à baisser les prix offerts au producteur. La déstructur</w:t>
      </w:r>
      <w:r w:rsidRPr="00E64A4B">
        <w:t>a</w:t>
      </w:r>
      <w:r w:rsidRPr="00E64A4B">
        <w:t>tion de l'économie andine a fait son œuvre, de sorte que la production verticale qui était caractéristique de cette région avant la colonie (et qui est encore v</w:t>
      </w:r>
      <w:r w:rsidRPr="00E64A4B">
        <w:t>i</w:t>
      </w:r>
      <w:r w:rsidRPr="00E64A4B">
        <w:t>vante dans certaines régions plus au sud (Fioravanti-Molinié, 1975) n'assure plus aucune compléme</w:t>
      </w:r>
      <w:r w:rsidRPr="00E64A4B">
        <w:t>n</w:t>
      </w:r>
      <w:r w:rsidRPr="00E64A4B">
        <w:t>tarité entre les régions (Usselmann, 1991).</w:t>
      </w:r>
    </w:p>
    <w:p w:rsidR="00B7214C" w:rsidRPr="00E64A4B" w:rsidRDefault="00B7214C" w:rsidP="00B7214C">
      <w:pPr>
        <w:spacing w:before="120" w:after="120"/>
        <w:jc w:val="both"/>
      </w:pPr>
      <w:r w:rsidRPr="00E64A4B">
        <w:t>Politiquement, la population se caractérise par sa dépendance aux intermédiaires commerciaux qui, parce qu'ils contrôlent les moyens de transport et les réseaux, relaient les produits agricoles vers la ville d'où ils rapportent les biens de consommation co</w:t>
      </w:r>
      <w:r w:rsidRPr="00E64A4B">
        <w:t>u</w:t>
      </w:r>
      <w:r w:rsidRPr="00E64A4B">
        <w:t xml:space="preserve">rants qu'ils vendent dans leurs magasins généraux. Ces marchands sont des usuriers ou </w:t>
      </w:r>
      <w:r w:rsidRPr="00E64A4B">
        <w:rPr>
          <w:i/>
          <w:iCs/>
        </w:rPr>
        <w:t>gam</w:t>
      </w:r>
      <w:r w:rsidRPr="00E64A4B">
        <w:rPr>
          <w:i/>
          <w:iCs/>
        </w:rPr>
        <w:t>o</w:t>
      </w:r>
      <w:r w:rsidRPr="00E64A4B">
        <w:rPr>
          <w:i/>
          <w:iCs/>
        </w:rPr>
        <w:t>nales</w:t>
      </w:r>
      <w:r w:rsidRPr="00E64A4B">
        <w:t xml:space="preserve"> et, souvent, les représentants des institutions ou des partis polit</w:t>
      </w:r>
      <w:r w:rsidRPr="00E64A4B">
        <w:t>i</w:t>
      </w:r>
      <w:r w:rsidRPr="00E64A4B">
        <w:t>ques dominants. L'exercice du droit du citoyen s'effectue, pour sa part, selon le modèle du clientéli</w:t>
      </w:r>
      <w:r w:rsidRPr="00E64A4B">
        <w:t>s</w:t>
      </w:r>
      <w:r w:rsidRPr="00E64A4B">
        <w:t>me. Les politiciens obtiennent leurs votes en retour de promesses électorales, tel le tracé d'une piste carrossable ou l'électrification du hameau, promesses qui, bien sûr, sont oubliées sitôt les éle</w:t>
      </w:r>
      <w:r w:rsidRPr="00E64A4B">
        <w:t>c</w:t>
      </w:r>
      <w:r w:rsidRPr="00E64A4B">
        <w:t>tions terminées. Les groupes de guérilleros comme la FARC (Forces armées révolutionnaires de Colombie) contrôlent pl</w:t>
      </w:r>
      <w:r w:rsidRPr="00E64A4B">
        <w:t>u</w:t>
      </w:r>
      <w:r w:rsidRPr="00E64A4B">
        <w:t>sieurs communautés du département du Nariño, dont certaines s</w:t>
      </w:r>
      <w:r w:rsidRPr="00E64A4B">
        <w:t>i</w:t>
      </w:r>
      <w:r w:rsidRPr="00E64A4B">
        <w:t>tuées à proximité de la région qui nous intéresse. Ces groupes ont sans a</w:t>
      </w:r>
      <w:r w:rsidRPr="00E64A4B">
        <w:t>u</w:t>
      </w:r>
      <w:r w:rsidRPr="00E64A4B">
        <w:t>cun doute des sympathisants au sein de la population visée mais ces derniers sont plutôt discrets.</w:t>
      </w:r>
    </w:p>
    <w:p w:rsidR="00B7214C" w:rsidRPr="00E64A4B" w:rsidRDefault="00B7214C" w:rsidP="00B7214C">
      <w:pPr>
        <w:spacing w:before="120" w:after="120"/>
        <w:jc w:val="both"/>
      </w:pPr>
      <w:r w:rsidRPr="00E64A4B">
        <w:t xml:space="preserve">La population est encadrée par quelques instances civiles comme les </w:t>
      </w:r>
      <w:r w:rsidRPr="00E64A4B">
        <w:rPr>
          <w:i/>
          <w:iCs/>
        </w:rPr>
        <w:t>Juntas de Acción Comunal,</w:t>
      </w:r>
      <w:r w:rsidRPr="00E64A4B">
        <w:t xml:space="preserve"> mises sur pied dans les années 1960 justement pour éviter la prolifération des groupes extrémistes. L'Égl</w:t>
      </w:r>
      <w:r w:rsidRPr="00E64A4B">
        <w:t>i</w:t>
      </w:r>
      <w:r w:rsidRPr="00E64A4B">
        <w:t xml:space="preserve">se est présente à travers principalement la </w:t>
      </w:r>
      <w:r w:rsidRPr="00E64A4B">
        <w:rPr>
          <w:i/>
          <w:iCs/>
        </w:rPr>
        <w:t>Pastoral Social</w:t>
      </w:r>
      <w:r w:rsidRPr="00E64A4B">
        <w:t xml:space="preserve"> qui, fina</w:t>
      </w:r>
      <w:r w:rsidRPr="00E64A4B">
        <w:t>n</w:t>
      </w:r>
      <w:r w:rsidRPr="00E64A4B">
        <w:t>cée par des groupes ecclésiastiques nationaux et internationaux, tr</w:t>
      </w:r>
      <w:r w:rsidRPr="00E64A4B">
        <w:t>a</w:t>
      </w:r>
      <w:r w:rsidRPr="00E64A4B">
        <w:t>vaille dans l'optique de la théologie de la libération. Son travail ma</w:t>
      </w:r>
      <w:r w:rsidRPr="00E64A4B">
        <w:t>n</w:t>
      </w:r>
      <w:r w:rsidRPr="00E64A4B">
        <w:t>que cependant de suivi dans une région somme toute relativement is</w:t>
      </w:r>
      <w:r w:rsidRPr="00E64A4B">
        <w:t>o</w:t>
      </w:r>
      <w:r w:rsidRPr="00E64A4B">
        <w:t>lée.</w:t>
      </w:r>
    </w:p>
    <w:p w:rsidR="00B7214C" w:rsidRPr="00E64A4B" w:rsidRDefault="00B7214C" w:rsidP="00B7214C">
      <w:pPr>
        <w:spacing w:before="120" w:after="120"/>
        <w:jc w:val="both"/>
      </w:pPr>
      <w:r w:rsidRPr="00E64A4B">
        <w:t>Depuis 1980, la population rurale s'est dotée d'une Association pour le développement paysan qui constitue aujourd'hui un regroup</w:t>
      </w:r>
      <w:r w:rsidRPr="00E64A4B">
        <w:t>e</w:t>
      </w:r>
      <w:r w:rsidRPr="00E64A4B">
        <w:t>ment de coopératives et de précoopératives de production et de consommation. L'association est portée par un groupe de leaders paysans formés au sein du Programme DRI (Développement rural i</w:t>
      </w:r>
      <w:r w:rsidRPr="00E64A4B">
        <w:t>n</w:t>
      </w:r>
      <w:r w:rsidRPr="00E64A4B">
        <w:t>tégré) et par des professionnels bénévoles de la ville socialement e</w:t>
      </w:r>
      <w:r w:rsidRPr="00E64A4B">
        <w:t>n</w:t>
      </w:r>
      <w:r w:rsidRPr="00E64A4B">
        <w:t>gagés pour la cause des paysans et des pauvres. En fait, l'association a été grandement influencée par le mouvement coopératif québécois à travers un financement de la Société de Développement international Desjardins (SDID). C'est d'ailleurs grâce à la présence de la SDID dans la région que j'ai pu établir le contact avec l'association et effe</w:t>
      </w:r>
      <w:r w:rsidRPr="00E64A4B">
        <w:t>c</w:t>
      </w:r>
      <w:r w:rsidRPr="00E64A4B">
        <w:t>tuer une recherche préalable de 1989 à 1991.</w:t>
      </w:r>
    </w:p>
    <w:p w:rsidR="00B7214C" w:rsidRPr="00E64A4B" w:rsidRDefault="00B7214C" w:rsidP="00B7214C">
      <w:pPr>
        <w:spacing w:before="120" w:after="120"/>
        <w:jc w:val="both"/>
      </w:pPr>
      <w:r w:rsidRPr="00E64A4B">
        <w:t>[348]</w:t>
      </w:r>
    </w:p>
    <w:p w:rsidR="00B7214C" w:rsidRPr="00E64A4B" w:rsidRDefault="00B7214C" w:rsidP="00B7214C">
      <w:pPr>
        <w:spacing w:before="120" w:after="120"/>
        <w:jc w:val="both"/>
      </w:pPr>
      <w:r w:rsidRPr="00E64A4B">
        <w:t>Le contenu de cette recherche, financée par le Conseil de la reche</w:t>
      </w:r>
      <w:r w:rsidRPr="00E64A4B">
        <w:t>r</w:t>
      </w:r>
      <w:r w:rsidRPr="00E64A4B">
        <w:t>che en sciences humaines du Canada et par le Fonds FCAR, était d'abord et avant tout de type ethnographique. Les membres de mon équipe et moi-même cherchions à voir si l'action de la coopérative qui favorisait l'attribution de crédit à la production aux femmes de la r</w:t>
      </w:r>
      <w:r w:rsidRPr="00E64A4B">
        <w:t>é</w:t>
      </w:r>
      <w:r w:rsidRPr="00E64A4B">
        <w:t>gion était susceptible de changer les rapports sociaux de sexe. La r</w:t>
      </w:r>
      <w:r w:rsidRPr="00E64A4B">
        <w:t>e</w:t>
      </w:r>
      <w:r w:rsidRPr="00E64A4B">
        <w:t>cherche avait été conçue dans le sillage de la critique des politiques d'intégration des femmes au développement. Comme aucun des me</w:t>
      </w:r>
      <w:r w:rsidRPr="00E64A4B">
        <w:t>m</w:t>
      </w:r>
      <w:r w:rsidRPr="00E64A4B">
        <w:t>bres de l'équipe n'avait une connaissance très approfondie de la pr</w:t>
      </w:r>
      <w:r w:rsidRPr="00E64A4B">
        <w:t>o</w:t>
      </w:r>
      <w:r w:rsidRPr="00E64A4B">
        <w:t>blématique de la région, des réunions de travail avec les membres paysans des coopératives ont été organisées dès le départ pour l'élab</w:t>
      </w:r>
      <w:r w:rsidRPr="00E64A4B">
        <w:t>o</w:t>
      </w:r>
      <w:r w:rsidRPr="00E64A4B">
        <w:t>ration des outils d'enquête. Ceux-ci furent par la suite appliqués avec l'aide des paysans qui avaient participé à la première étape. L'enquête s'est déroulée sans histoire et au cours d'une des réunions d'étape e</w:t>
      </w:r>
      <w:r w:rsidRPr="00E64A4B">
        <w:t>f</w:t>
      </w:r>
      <w:r w:rsidRPr="00E64A4B">
        <w:t>fectuées avec ces paysans et paysannes que nous considérions déso</w:t>
      </w:r>
      <w:r w:rsidRPr="00E64A4B">
        <w:t>r</w:t>
      </w:r>
      <w:r w:rsidRPr="00E64A4B">
        <w:t>mais comme nos assistants de recherche, ces derniers nous ont expr</w:t>
      </w:r>
      <w:r w:rsidRPr="00E64A4B">
        <w:t>i</w:t>
      </w:r>
      <w:r w:rsidRPr="00E64A4B">
        <w:t>mé directement leur désir d'apprendre à contrôler pour eux-mêmes les diverses techniques que nous avions jusque-là util</w:t>
      </w:r>
      <w:r w:rsidRPr="00E64A4B">
        <w:t>i</w:t>
      </w:r>
      <w:r w:rsidRPr="00E64A4B">
        <w:t>sées.</w:t>
      </w:r>
    </w:p>
    <w:p w:rsidR="00B7214C" w:rsidRPr="00E64A4B" w:rsidRDefault="00B7214C" w:rsidP="00B7214C">
      <w:pPr>
        <w:spacing w:before="120" w:after="120"/>
        <w:jc w:val="both"/>
      </w:pPr>
      <w:r w:rsidRPr="00E64A4B">
        <w:t>Dans le contexte colombien, la participation des populations est à l'ordre du jour et ce, depuis de nombreuses années. On peut supposer, sans grande crainte de se tromper, que le DRI et la Pa</w:t>
      </w:r>
      <w:r w:rsidRPr="00E64A4B">
        <w:t>s</w:t>
      </w:r>
      <w:r w:rsidRPr="00E64A4B">
        <w:t>toral Social, pour prendre deux exemples et deux entités compl</w:t>
      </w:r>
      <w:r w:rsidRPr="00E64A4B">
        <w:t>è</w:t>
      </w:r>
      <w:r w:rsidRPr="00E64A4B">
        <w:t>tement différentes, tirent leur inspiration de ce qu'elles ont compris de l'approche de Pa</w:t>
      </w:r>
      <w:r w:rsidRPr="00E64A4B">
        <w:t>u</w:t>
      </w:r>
      <w:r w:rsidRPr="00E64A4B">
        <w:t>lo Freire. Il ne fait nul doute que la pr</w:t>
      </w:r>
      <w:r w:rsidRPr="00E64A4B">
        <w:t>é</w:t>
      </w:r>
      <w:r w:rsidRPr="00E64A4B">
        <w:t>sence de l'Association pour le développement paysan n'est pas étrangère à la demande qui nous a été formulée par nos assistants paysans quant à la formation aux techn</w:t>
      </w:r>
      <w:r w:rsidRPr="00E64A4B">
        <w:t>i</w:t>
      </w:r>
      <w:r w:rsidRPr="00E64A4B">
        <w:t>ques de recherche en sciences sociales. Elle n'est pas étrangère non plus au fait que la méthodologie de la RAP se soit imposée d'emblée.</w:t>
      </w:r>
    </w:p>
    <w:p w:rsidR="00B7214C" w:rsidRPr="00E64A4B" w:rsidRDefault="00B7214C" w:rsidP="00B7214C">
      <w:pPr>
        <w:spacing w:before="120" w:after="120"/>
        <w:jc w:val="both"/>
      </w:pPr>
    </w:p>
    <w:p w:rsidR="00B7214C" w:rsidRPr="00E64A4B" w:rsidRDefault="00B7214C" w:rsidP="00B7214C">
      <w:pPr>
        <w:pStyle w:val="a"/>
      </w:pPr>
      <w:r>
        <w:t>LE CONCEPT DE POUVOIR</w:t>
      </w:r>
      <w:r>
        <w:br/>
      </w:r>
      <w:r w:rsidRPr="00E64A4B">
        <w:t>ET LA DÉFINITION DE LA RAP</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Comme l'affirme un des auteurs consultés, la RAP ne constitue nullement un concept nouveau. Depuis toujours, les gens ont cherché, par la participation, à trouver des solutions à leurs problèmes. La tr</w:t>
      </w:r>
      <w:r w:rsidRPr="00E64A4B">
        <w:t>a</w:t>
      </w:r>
      <w:r w:rsidRPr="00E64A4B">
        <w:t>dition occidentale a éclipsé cette méthode toute simple en séparant le sujet et l'objet et en réduisant les capacités de recherche à ceux qui détiennent les habiletés techniques dites scientifiques (Edwards, 1989, p. 127).</w:t>
      </w:r>
    </w:p>
    <w:p w:rsidR="00B7214C" w:rsidRPr="00E64A4B" w:rsidRDefault="00B7214C" w:rsidP="00B7214C">
      <w:pPr>
        <w:spacing w:before="120" w:after="120"/>
        <w:jc w:val="both"/>
      </w:pPr>
      <w:r w:rsidRPr="00E64A4B">
        <w:t>Si l'on voulait reconstituer l'irruption de la RAP dans le monde académique, il faudrait très certainement se pencher sur l'apport de Paulo Freire et de sa philosophie de la conscientisation (Anyanwu, 1988, p. 12). Cette dernière était entendue comme une prise de con</w:t>
      </w:r>
      <w:r w:rsidRPr="00E64A4B">
        <w:t>s</w:t>
      </w:r>
      <w:r w:rsidRPr="00E64A4B">
        <w:t>cience populaire à</w:t>
      </w:r>
      <w:r>
        <w:t xml:space="preserve"> </w:t>
      </w:r>
      <w:r w:rsidRPr="00E64A4B">
        <w:t>[349]</w:t>
      </w:r>
      <w:r>
        <w:t xml:space="preserve"> </w:t>
      </w:r>
      <w:r w:rsidRPr="00E64A4B">
        <w:t xml:space="preserve">la faveur d'un processus de recherche mené par les gens eux-mêmes (Rahman, 1991, p. 24). L'ouvrage de Freire, </w:t>
      </w:r>
      <w:r w:rsidRPr="00E64A4B">
        <w:rPr>
          <w:i/>
          <w:iCs/>
        </w:rPr>
        <w:t>Pédagogie des opprimés,</w:t>
      </w:r>
      <w:r w:rsidRPr="00E64A4B">
        <w:t xml:space="preserve"> et les expériences menées dans le domaine de l'éducation des adultes font nécessairement partie du patrimoine de la RAP. Cette méthodologie est aujourd'hui bien connue et a</w:t>
      </w:r>
      <w:r w:rsidRPr="00E64A4B">
        <w:t>c</w:t>
      </w:r>
      <w:r w:rsidRPr="00E64A4B">
        <w:t>ceptée dans un grand nombre de disciplines à portée sociale. Depuis 1977, il existe un r</w:t>
      </w:r>
      <w:r w:rsidRPr="00E64A4B">
        <w:t>é</w:t>
      </w:r>
      <w:r w:rsidRPr="00E64A4B">
        <w:t>seau de la recherche participative présent dans plus de soixante pays, réseau appuyé par le Conseil international de l'éduc</w:t>
      </w:r>
      <w:r w:rsidRPr="00E64A4B">
        <w:t>a</w:t>
      </w:r>
      <w:r w:rsidRPr="00E64A4B">
        <w:t>tion des adultes (Hall, 1981, p. 6).</w:t>
      </w:r>
    </w:p>
    <w:p w:rsidR="00B7214C" w:rsidRPr="00E64A4B" w:rsidRDefault="00B7214C" w:rsidP="00B7214C">
      <w:pPr>
        <w:spacing w:before="120" w:after="120"/>
        <w:jc w:val="both"/>
      </w:pPr>
      <w:r w:rsidRPr="00E64A4B">
        <w:t>Dans le domaine des sciences sociales et particulièrement en C</w:t>
      </w:r>
      <w:r w:rsidRPr="00E64A4B">
        <w:t>o</w:t>
      </w:r>
      <w:r w:rsidRPr="00E64A4B">
        <w:t>lombie, la figure dominante est certainement celle de Orlando Fais Borda, fondateur du département d'anthropologie de l'Université n</w:t>
      </w:r>
      <w:r w:rsidRPr="00E64A4B">
        <w:t>a</w:t>
      </w:r>
      <w:r w:rsidRPr="00E64A4B">
        <w:t>tionale à Bogota (Uribe, 1980, p. 290). Il faisait partie, dans les années 1970, de la Fondation Rosca de recherche et d'action sociale (Fund</w:t>
      </w:r>
      <w:r w:rsidRPr="00E64A4B">
        <w:t>a</w:t>
      </w:r>
      <w:r w:rsidRPr="00E64A4B">
        <w:t>ción Rosca de Investigacion y Accion Social) qui a déployé son action en Colombie de 1970 à 1976 (Fais Bo</w:t>
      </w:r>
      <w:r w:rsidRPr="00E64A4B">
        <w:t>r</w:t>
      </w:r>
      <w:r w:rsidRPr="00E64A4B">
        <w:t>da, 1979, p. 52 infra 1). Même si le groupe est aujourd'hui démantelé, on retrouve beaucoup d'inte</w:t>
      </w:r>
      <w:r w:rsidRPr="00E64A4B">
        <w:t>l</w:t>
      </w:r>
      <w:r w:rsidRPr="00E64A4B">
        <w:t>lectuels de plus de quarante ans encore actifs dans le domaine des sciences sociales qui ont appa</w:t>
      </w:r>
      <w:r w:rsidRPr="00E64A4B">
        <w:t>r</w:t>
      </w:r>
      <w:r w:rsidRPr="00E64A4B">
        <w:t>tenu à ce que l'on appelle familièrement La Rosca.</w:t>
      </w:r>
    </w:p>
    <w:p w:rsidR="00B7214C" w:rsidRPr="00E64A4B" w:rsidRDefault="00B7214C" w:rsidP="00B7214C">
      <w:pPr>
        <w:spacing w:before="120" w:after="120"/>
        <w:jc w:val="both"/>
      </w:pPr>
      <w:r w:rsidRPr="00E64A4B">
        <w:t>Orlando Fais Borda a abondamment écrit sur les fondements phil</w:t>
      </w:r>
      <w:r w:rsidRPr="00E64A4B">
        <w:t>o</w:t>
      </w:r>
      <w:r w:rsidRPr="00E64A4B">
        <w:t>sophiques et épistémologiques de la RAP. Lui-même trace la genèse de cette méthodologie en évoquant les liens avec Marx, Lénine, Mao Tsé-Toung, Lukacs, Kuhn, Gramsci, en somme avec les paradigmes critiques des sciences sociales qui stipulent que « la différence entre le sujet et l'objet peut être réduite par la pratique de la recherche » (Fais Borda, 1979, p. 50). Il s'agit de « rompre volontairement, par l'exp</w:t>
      </w:r>
      <w:r w:rsidRPr="00E64A4B">
        <w:t>é</w:t>
      </w:r>
      <w:r w:rsidRPr="00E64A4B">
        <w:t>rience, la relation asymétrique de soumission et de dépendance sujet-objet » (Fais Borda, 1991, p. 10). L'objectif de la recherche est « de transformer le rapport sujet/objet en un nouveau rapport sujet-sujet » (Escobar, 1989-1990, p. 392). La RAP constitue une méthodologie d'éducation des adultes tournée vers l'action politique et l'acquisition de connaissances sur lesquelles les groupes sociaux exploités pe</w:t>
      </w:r>
      <w:r w:rsidRPr="00E64A4B">
        <w:t>u</w:t>
      </w:r>
      <w:r w:rsidRPr="00E64A4B">
        <w:t>vent établir et construire leur pouvoir : il s'agit du « pouvoir pop</w:t>
      </w:r>
      <w:r w:rsidRPr="00E64A4B">
        <w:t>u</w:t>
      </w:r>
      <w:r w:rsidRPr="00E64A4B">
        <w:t>laire », concept récurrent chez cet auteur (Fais Borda, 1987, p. 330).</w:t>
      </w:r>
    </w:p>
    <w:p w:rsidR="00B7214C" w:rsidRPr="00E64A4B" w:rsidRDefault="00B7214C" w:rsidP="00B7214C">
      <w:pPr>
        <w:spacing w:before="120" w:after="120"/>
        <w:jc w:val="both"/>
      </w:pPr>
      <w:r w:rsidRPr="00E64A4B">
        <w:t>Dans ce contexte, le pouvoir populaire est défini comme la capac</w:t>
      </w:r>
      <w:r w:rsidRPr="00E64A4B">
        <w:t>i</w:t>
      </w:r>
      <w:r w:rsidRPr="00E64A4B">
        <w:t>té des populations à la base d'articuler et de systématiser le savoir de façon à ce qu'elles puissent devenir les principales pr</w:t>
      </w:r>
      <w:r w:rsidRPr="00E64A4B">
        <w:t>o</w:t>
      </w:r>
      <w:r w:rsidRPr="00E64A4B">
        <w:t>tagonistes du développement de leur société et de la défense de leurs intérêts de classe (Fais Borda, 1987, p. 330). À l'origine, la RAP est un outil r</w:t>
      </w:r>
      <w:r w:rsidRPr="00E64A4B">
        <w:t>é</w:t>
      </w:r>
      <w:r w:rsidRPr="00E64A4B">
        <w:t>volutionnaire.</w:t>
      </w:r>
    </w:p>
    <w:p w:rsidR="00B7214C" w:rsidRPr="00E64A4B" w:rsidRDefault="00B7214C" w:rsidP="00B7214C">
      <w:pPr>
        <w:spacing w:before="120" w:after="120"/>
        <w:jc w:val="both"/>
      </w:pPr>
      <w:r w:rsidRPr="00E64A4B">
        <w:t>La notion de savoir constitue l'élément décisif de la RAP en tant que processus d'acquisition de pouvoir ou, comme on le dirait aujou</w:t>
      </w:r>
      <w:r w:rsidRPr="00E64A4B">
        <w:t>r</w:t>
      </w:r>
      <w:r w:rsidRPr="00E64A4B">
        <w:t>d'hui, d</w:t>
      </w:r>
      <w:r w:rsidRPr="00E64A4B">
        <w:rPr>
          <w:i/>
          <w:iCs/>
        </w:rPr>
        <w:t>'empowerment.</w:t>
      </w:r>
      <w:r w:rsidRPr="00E64A4B">
        <w:t xml:space="preserve"> Dans la typologie que Vandenberg et Fear ont dressée de</w:t>
      </w:r>
      <w:r>
        <w:t xml:space="preserve"> </w:t>
      </w:r>
      <w:r w:rsidRPr="00E64A4B">
        <w:t>[350]</w:t>
      </w:r>
      <w:r>
        <w:t xml:space="preserve"> </w:t>
      </w:r>
      <w:r w:rsidRPr="00E64A4B">
        <w:t xml:space="preserve">la RAP, cette démarche relève de l'approche </w:t>
      </w:r>
      <w:r w:rsidRPr="00E64A4B">
        <w:rPr>
          <w:i/>
          <w:iCs/>
        </w:rPr>
        <w:t>radic</w:t>
      </w:r>
      <w:r w:rsidRPr="00E64A4B">
        <w:rPr>
          <w:i/>
          <w:iCs/>
        </w:rPr>
        <w:t>a</w:t>
      </w:r>
      <w:r w:rsidRPr="00E64A4B">
        <w:rPr>
          <w:i/>
          <w:iCs/>
        </w:rPr>
        <w:t>le.</w:t>
      </w:r>
      <w:r w:rsidRPr="00E64A4B">
        <w:t xml:space="preserve"> L'autre type est celui de l'approche </w:t>
      </w:r>
      <w:r w:rsidRPr="00E64A4B">
        <w:rPr>
          <w:i/>
          <w:iCs/>
        </w:rPr>
        <w:t>utilitaire.</w:t>
      </w:r>
      <w:r w:rsidRPr="00E64A4B">
        <w:t xml:space="preserve"> Appartenant surtout au d</w:t>
      </w:r>
      <w:r w:rsidRPr="00E64A4B">
        <w:t>o</w:t>
      </w:r>
      <w:r w:rsidRPr="00E64A4B">
        <w:t>maine du développement communautaire, elle a pour objectif de développer la confiance en soi et en ses capacités d'autonomie par des processus de résolution de problèmes (Vandenberg et Fear, 1983, p. 12-14). Les deux types ne sont évidemment pas mutuellement excl</w:t>
      </w:r>
      <w:r w:rsidRPr="00E64A4B">
        <w:t>u</w:t>
      </w:r>
      <w:r w:rsidRPr="00E64A4B">
        <w:t>sifs et l'on pa</w:t>
      </w:r>
      <w:r w:rsidRPr="00E64A4B">
        <w:t>r</w:t>
      </w:r>
      <w:r w:rsidRPr="00E64A4B">
        <w:t>le d'un continuum de l'un à l'autre (Vandenberg et Fear, 1983, p. 14).</w:t>
      </w:r>
    </w:p>
    <w:p w:rsidR="00B7214C" w:rsidRPr="00E64A4B" w:rsidRDefault="00B7214C" w:rsidP="00B7214C">
      <w:pPr>
        <w:spacing w:before="120" w:after="120"/>
        <w:jc w:val="both"/>
      </w:pPr>
      <w:r w:rsidRPr="00E64A4B">
        <w:t>Depuis quelques années, on assiste à une certaine récupération du concept de participation qui doit davantage à l'approche utilit</w:t>
      </w:r>
      <w:r w:rsidRPr="00E64A4B">
        <w:t>a</w:t>
      </w:r>
      <w:r w:rsidRPr="00E64A4B">
        <w:t>riste qu’à l'approche radicale et qui a sans doute contribué à mettre cette dernière en veilleuse la rendant même encore plus suspecte. La conn</w:t>
      </w:r>
      <w:r w:rsidRPr="00E64A4B">
        <w:t>o</w:t>
      </w:r>
      <w:r w:rsidRPr="00E64A4B">
        <w:t>t</w:t>
      </w:r>
      <w:r w:rsidRPr="00E64A4B">
        <w:t>a</w:t>
      </w:r>
      <w:r w:rsidRPr="00E64A4B">
        <w:t>tion du mot participation qui, il y a vingt ans, était si innovatrice, constitue maintenant le vocabulaire obligé des age</w:t>
      </w:r>
      <w:r w:rsidRPr="00E64A4B">
        <w:t>n</w:t>
      </w:r>
      <w:r w:rsidRPr="00E64A4B">
        <w:t>ces internationales comme la Banque mondiale et plusieurs age</w:t>
      </w:r>
      <w:r w:rsidRPr="00E64A4B">
        <w:t>n</w:t>
      </w:r>
      <w:r w:rsidRPr="00E64A4B">
        <w:t>ces des Nations unies (Edwards, 1989, p. 129) et, plus près de nous, de l'Agence canadienne de développement international (ACDI, 1987) et des universités (E</w:t>
      </w:r>
      <w:r w:rsidRPr="00E64A4B">
        <w:t>s</w:t>
      </w:r>
      <w:r w:rsidRPr="00E64A4B">
        <w:t>cobar, 1989-1990, p. 391) où la RAP est traitée juste comme « un a</w:t>
      </w:r>
      <w:r w:rsidRPr="00E64A4B">
        <w:t>u</w:t>
      </w:r>
      <w:r w:rsidRPr="00E64A4B">
        <w:t>tre sujet à l'ordre du jour » (Edwards, 1989, p. 134). La réduction de la définition de la RAP semble en effet s'être effectuée dans le contexte des programmes de développement international. Le vocabulaire est souvent très proche de celui utilisé dans les années 1970 en Amérique latine.</w:t>
      </w:r>
    </w:p>
    <w:p w:rsidR="00B7214C" w:rsidRPr="00E64A4B" w:rsidRDefault="00B7214C" w:rsidP="00B7214C">
      <w:pPr>
        <w:spacing w:before="120" w:after="120"/>
        <w:jc w:val="both"/>
      </w:pPr>
      <w:r w:rsidRPr="00E64A4B">
        <w:t>La notion de pouvoir populaire est cependant complètement étra</w:t>
      </w:r>
      <w:r w:rsidRPr="00E64A4B">
        <w:t>n</w:t>
      </w:r>
      <w:r w:rsidRPr="00E64A4B">
        <w:t>gère au vocabulaire des agences internationales et des un</w:t>
      </w:r>
      <w:r w:rsidRPr="00E64A4B">
        <w:t>i</w:t>
      </w:r>
      <w:r w:rsidRPr="00E64A4B">
        <w:t>versités. On parle plutôt de développer des partenariats, d'équil</w:t>
      </w:r>
      <w:r w:rsidRPr="00E64A4B">
        <w:t>i</w:t>
      </w:r>
      <w:r w:rsidRPr="00E64A4B">
        <w:t>brer la distribution du pouvoir et des ressources (Brown, 1985, p. 70), et finalement de trouver des solutions à des problèmes pon</w:t>
      </w:r>
      <w:r w:rsidRPr="00E64A4B">
        <w:t>c</w:t>
      </w:r>
      <w:r w:rsidRPr="00E64A4B">
        <w:t>tuels (Vandenberg et Fear, 1983, p. 11).</w:t>
      </w:r>
    </w:p>
    <w:p w:rsidR="00B7214C" w:rsidRPr="00E64A4B" w:rsidRDefault="00B7214C" w:rsidP="00B7214C">
      <w:pPr>
        <w:spacing w:before="120" w:after="120"/>
        <w:jc w:val="both"/>
      </w:pPr>
      <w:r w:rsidRPr="00E64A4B">
        <w:t>La principale différence d'un type de RAP à l'autre réside bien év</w:t>
      </w:r>
      <w:r w:rsidRPr="00E64A4B">
        <w:t>i</w:t>
      </w:r>
      <w:r w:rsidRPr="00E64A4B">
        <w:t>demment dans la conception du pouvoir. Dans un cas, on en propose une approche révolutionnaire, dans l'autre, il s'agit d'une approche r</w:t>
      </w:r>
      <w:r w:rsidRPr="00E64A4B">
        <w:t>é</w:t>
      </w:r>
      <w:r w:rsidRPr="00E64A4B">
        <w:t>formiste, mais toujours, le pouvoir est conçu en te</w:t>
      </w:r>
      <w:r w:rsidRPr="00E64A4B">
        <w:t>r</w:t>
      </w:r>
      <w:r w:rsidRPr="00E64A4B">
        <w:t>mes structurels. L'examen un peu plus attentif de la conception du pouvoir par l'appr</w:t>
      </w:r>
      <w:r w:rsidRPr="00E64A4B">
        <w:t>o</w:t>
      </w:r>
      <w:r w:rsidRPr="00E64A4B">
        <w:t>che radicale de la RAP dont on pourrait atte</w:t>
      </w:r>
      <w:r w:rsidRPr="00E64A4B">
        <w:t>n</w:t>
      </w:r>
      <w:r w:rsidRPr="00E64A4B">
        <w:t>dre une définition plus progressiste que celle offerte par l'approche réformiste est particuli</w:t>
      </w:r>
      <w:r w:rsidRPr="00E64A4B">
        <w:t>è</w:t>
      </w:r>
      <w:r w:rsidRPr="00E64A4B">
        <w:t>rement révélateur à cet effet. Cet examen, même bref, me servira à introduire la version alternative du pouvoir qui a émergé notamment grâce aux études féministes.</w:t>
      </w:r>
    </w:p>
    <w:p w:rsidR="00B7214C" w:rsidRPr="00E64A4B" w:rsidRDefault="00B7214C" w:rsidP="00B7214C">
      <w:pPr>
        <w:spacing w:before="120" w:after="120"/>
        <w:jc w:val="both"/>
      </w:pPr>
      <w:r w:rsidRPr="00E64A4B">
        <w:t>Comme on l'a dit plus haut, la connaissance est le fondement du pouvoir populaire mis de l'avant par l'approche radicale. Il faut donc défaire le monopole de la connaissance détenu au niveau structurel en gros par l'État, les institutions et les élites. Si l'on considère les diff</w:t>
      </w:r>
      <w:r w:rsidRPr="00E64A4B">
        <w:t>é</w:t>
      </w:r>
      <w:r w:rsidRPr="00E64A4B">
        <w:t>rents rapports sociaux qui s'exercent au sein de la population, on réal</w:t>
      </w:r>
      <w:r w:rsidRPr="00E64A4B">
        <w:t>i</w:t>
      </w:r>
      <w:r w:rsidRPr="00E64A4B">
        <w:t>se que le pouvoir de</w:t>
      </w:r>
      <w:r>
        <w:t xml:space="preserve"> </w:t>
      </w:r>
      <w:r w:rsidRPr="00E64A4B">
        <w:t>[351]</w:t>
      </w:r>
      <w:r>
        <w:t xml:space="preserve"> </w:t>
      </w:r>
      <w:r w:rsidRPr="00E64A4B">
        <w:t>l'État est également relayé par toute une chaîne de hiérarchies. Dans son œuvre. Fais Borda, par exemple, a clairement montré qu'il est sensible à l'importance de ces relais locaux et surtout à la réification du discours qu'ils entretiennent sur leurs r</w:t>
      </w:r>
      <w:r w:rsidRPr="00E64A4B">
        <w:t>ô</w:t>
      </w:r>
      <w:r w:rsidRPr="00E64A4B">
        <w:t>les et leurs fonctions. Ainsi, lorsqu'il propose la redécouverte critique de l'histoire, nota</w:t>
      </w:r>
      <w:r w:rsidRPr="00E64A4B">
        <w:t>m</w:t>
      </w:r>
      <w:r w:rsidRPr="00E64A4B">
        <w:t xml:space="preserve">ment dans son magistral ouvrage intitulé </w:t>
      </w:r>
      <w:r w:rsidRPr="00E64A4B">
        <w:rPr>
          <w:i/>
          <w:iCs/>
        </w:rPr>
        <w:t>Historia doble de la Costa</w:t>
      </w:r>
      <w:r w:rsidRPr="00E64A4B">
        <w:t xml:space="preserve"> (1986), il vise justement à briser cette chaîne entr</w:t>
      </w:r>
      <w:r w:rsidRPr="00E64A4B">
        <w:t>e</w:t>
      </w:r>
      <w:r w:rsidRPr="00E64A4B">
        <w:t>tenue par la version officielle. C'est le peuple qui raconte son histoire et la récupère co</w:t>
      </w:r>
      <w:r w:rsidRPr="00E64A4B">
        <w:t>m</w:t>
      </w:r>
      <w:r w:rsidRPr="00E64A4B">
        <w:t>me base d'action et d'engagement</w:t>
      </w:r>
      <w:r>
        <w:t> </w:t>
      </w:r>
      <w:r>
        <w:rPr>
          <w:rStyle w:val="Appelnotedebasdep"/>
        </w:rPr>
        <w:footnoteReference w:id="264"/>
      </w:r>
      <w:r w:rsidRPr="00E64A4B">
        <w:t>.</w:t>
      </w:r>
    </w:p>
    <w:p w:rsidR="00B7214C" w:rsidRPr="00E64A4B" w:rsidRDefault="00B7214C" w:rsidP="00B7214C">
      <w:pPr>
        <w:spacing w:before="120" w:after="120"/>
        <w:jc w:val="both"/>
      </w:pPr>
      <w:r w:rsidRPr="00E64A4B">
        <w:t>La prise en compte des rapports sociaux entre les diverses catég</w:t>
      </w:r>
      <w:r w:rsidRPr="00E64A4B">
        <w:t>o</w:t>
      </w:r>
      <w:r w:rsidRPr="00E64A4B">
        <w:t>ries sociales de la population dans la vie de tous les jours n'est donc nullement absente de la démarche de la RAP. Dans la mesure cepe</w:t>
      </w:r>
      <w:r w:rsidRPr="00E64A4B">
        <w:t>n</w:t>
      </w:r>
      <w:r w:rsidRPr="00E64A4B">
        <w:t>dant où la lutte des classes (ou à tout le moins, l'analyse de classe (Couto, 1987, p. 84)) prime sur l'ensemble de la démarche de con</w:t>
      </w:r>
      <w:r w:rsidRPr="00E64A4B">
        <w:t>s</w:t>
      </w:r>
      <w:r w:rsidRPr="00E64A4B">
        <w:t>cientisation, les contradictions entre les catégories s</w:t>
      </w:r>
      <w:r w:rsidRPr="00E64A4B">
        <w:t>o</w:t>
      </w:r>
      <w:r w:rsidRPr="00E64A4B">
        <w:t>ciales d'individus restent secondaires. Dans la mesure également où la RAP doit être basée sur la culture, sur l'ethnicité et doit avoir une base régionale spécifique (Fais Borda, 1991, p. 10), des diff</w:t>
      </w:r>
      <w:r w:rsidRPr="00E64A4B">
        <w:t>é</w:t>
      </w:r>
      <w:r w:rsidRPr="00E64A4B">
        <w:t xml:space="preserve">rences </w:t>
      </w:r>
      <w:r w:rsidRPr="00E64A4B">
        <w:rPr>
          <w:i/>
          <w:iCs/>
        </w:rPr>
        <w:t>au sein</w:t>
      </w:r>
      <w:r w:rsidRPr="00E64A4B">
        <w:t xml:space="preserve"> de la culture, de l'ethnicité et de la région risquent d'échapper au processus de conscientisation.</w:t>
      </w:r>
    </w:p>
    <w:p w:rsidR="00B7214C" w:rsidRPr="00E64A4B" w:rsidRDefault="00B7214C" w:rsidP="00B7214C">
      <w:pPr>
        <w:spacing w:before="120" w:after="120"/>
        <w:jc w:val="both"/>
      </w:pPr>
      <w:r w:rsidRPr="00E64A4B">
        <w:t>Seule la contradiction potentielle entre les chercheurs internes (la population) et les chercheurs externes semble avoir été que</w:t>
      </w:r>
      <w:r w:rsidRPr="00E64A4B">
        <w:t>l</w:t>
      </w:r>
      <w:r w:rsidRPr="00E64A4B">
        <w:t>que peu approfondie lorsqu'on évoque, notamment, la possibilité de dépenda</w:t>
      </w:r>
      <w:r w:rsidRPr="00E64A4B">
        <w:t>n</w:t>
      </w:r>
      <w:r w:rsidRPr="00E64A4B">
        <w:t>ce de la population sur ces derniers (Brown, 1985). Les relations entre les gens engagés dans la RAP et le reste de la communauté, ont ég</w:t>
      </w:r>
      <w:r w:rsidRPr="00E64A4B">
        <w:t>a</w:t>
      </w:r>
      <w:r w:rsidRPr="00E64A4B">
        <w:t>lement été envisagées (McTaggart, 1991, p. 174). Ainsi, Ramphele signale la « difficulté de rejoindre des gens socialement invisibles, comme les très pauvres, les malades et les déprimés, même en reco</w:t>
      </w:r>
      <w:r w:rsidRPr="00E64A4B">
        <w:t>u</w:t>
      </w:r>
      <w:r w:rsidRPr="00E64A4B">
        <w:t>rant à des techniques d'échantillonnage au hasard » (Ramphele, 1990, p. 11). L'auteur ajoute même : « Il semble que la capacité des gens à participer tend à perpétuer l'invisibilité de certains segments désava</w:t>
      </w:r>
      <w:r w:rsidRPr="00E64A4B">
        <w:t>n</w:t>
      </w:r>
      <w:r w:rsidRPr="00E64A4B">
        <w:t>tagés de la société dans les enquêtes sociales » (Ramphele, 1990, p. 11). Les chercheurs qui réfléchissent actuellement sur la RAP co</w:t>
      </w:r>
      <w:r w:rsidRPr="00E64A4B">
        <w:t>m</w:t>
      </w:r>
      <w:r w:rsidRPr="00E64A4B">
        <w:t>mencent à peine à év</w:t>
      </w:r>
      <w:r w:rsidRPr="00E64A4B">
        <w:t>o</w:t>
      </w:r>
      <w:r w:rsidRPr="00E64A4B">
        <w:t>quer de façon explicite la possibilité que cette méthodologie bien particulière de recherche perpétue certaines inju</w:t>
      </w:r>
      <w:r w:rsidRPr="00E64A4B">
        <w:t>s</w:t>
      </w:r>
      <w:r w:rsidRPr="00E64A4B">
        <w:t>tices fondame</w:t>
      </w:r>
      <w:r w:rsidRPr="00E64A4B">
        <w:t>n</w:t>
      </w:r>
      <w:r w:rsidRPr="00E64A4B">
        <w:t>tales.</w:t>
      </w:r>
    </w:p>
    <w:p w:rsidR="00B7214C" w:rsidRPr="00E64A4B" w:rsidRDefault="00B7214C" w:rsidP="00B7214C">
      <w:pPr>
        <w:spacing w:before="120" w:after="120"/>
        <w:jc w:val="both"/>
      </w:pPr>
      <w:r w:rsidRPr="00E64A4B">
        <w:t>Une des critiques les plus récentes signale même l'ambiguïté du terme de participation (Maclure, 1990, p. 7-9). Qui doit part</w:t>
      </w:r>
      <w:r w:rsidRPr="00E64A4B">
        <w:t>i</w:t>
      </w:r>
      <w:r w:rsidRPr="00E64A4B">
        <w:t>ciper ? Quel est le statut des personnes qui participent ? Quelle est la nature de la participation ? Ainsi :</w:t>
      </w:r>
    </w:p>
    <w:p w:rsidR="00B7214C" w:rsidRDefault="00B7214C" w:rsidP="00B7214C">
      <w:pPr>
        <w:pStyle w:val="Grillecouleur-Accent1"/>
      </w:pPr>
    </w:p>
    <w:p w:rsidR="00B7214C" w:rsidRDefault="00B7214C" w:rsidP="00B7214C">
      <w:pPr>
        <w:pStyle w:val="Grillecouleur-Accent1"/>
      </w:pPr>
      <w:r w:rsidRPr="00E64A4B">
        <w:t>Là où l'autorité est déterminée par des facteurs tels l'âge, le genre, la richesse,</w:t>
      </w:r>
      <w:r w:rsidRPr="009A70FC">
        <w:t xml:space="preserve"> </w:t>
      </w:r>
      <w:r w:rsidRPr="00E64A4B">
        <w:t>l'ethnicité, l'éducation et l'origine familiale, l'a</w:t>
      </w:r>
      <w:r w:rsidRPr="00E64A4B">
        <w:t>t</w:t>
      </w:r>
      <w:r w:rsidRPr="00E64A4B">
        <w:t>teinte de rapports de pouvoir alternatif [...] peut être extrêmement difficile à</w:t>
      </w:r>
      <w:r w:rsidRPr="000D1A32">
        <w:t xml:space="preserve"> </w:t>
      </w:r>
      <w:r w:rsidRPr="00E64A4B">
        <w:t>réaliser. Les r</w:t>
      </w:r>
      <w:r w:rsidRPr="00E64A4B">
        <w:t>é</w:t>
      </w:r>
      <w:r w:rsidRPr="00E64A4B">
        <w:t xml:space="preserve">férences </w:t>
      </w:r>
      <w:r w:rsidRPr="000D1A32">
        <w:t xml:space="preserve">à </w:t>
      </w:r>
      <w:r w:rsidRPr="00E64A4B">
        <w:t>la « population villageoise » ou aux « communautés locales » peuv</w:t>
      </w:r>
      <w:r>
        <w:t>ent bien mas</w:t>
      </w:r>
      <w:r w:rsidRPr="00E64A4B">
        <w:t>quer</w:t>
      </w:r>
      <w:r>
        <w:t xml:space="preserve"> </w:t>
      </w:r>
      <w:r w:rsidRPr="00E64A4B">
        <w:t>[352] les réalités du pouvoir qui favorisent un plus grand d</w:t>
      </w:r>
      <w:r w:rsidRPr="00E64A4B">
        <w:t>e</w:t>
      </w:r>
      <w:r w:rsidRPr="00E64A4B">
        <w:t>gré de participation de certains individus alors qu'elles relèguent certains autres dans un rôle passif, même si tous sont ostensiblement e</w:t>
      </w:r>
      <w:r w:rsidRPr="00E64A4B">
        <w:t>n</w:t>
      </w:r>
      <w:r w:rsidRPr="00E64A4B">
        <w:t>gagés dans un projet de recherche (Maclure, 1990, p. 8).</w:t>
      </w:r>
    </w:p>
    <w:p w:rsidR="00B7214C" w:rsidRPr="00E64A4B" w:rsidRDefault="00B7214C" w:rsidP="00B7214C">
      <w:pPr>
        <w:pStyle w:val="Grillecouleur-Accent1"/>
      </w:pPr>
    </w:p>
    <w:p w:rsidR="00B7214C" w:rsidRPr="00E64A4B" w:rsidRDefault="00B7214C" w:rsidP="00B7214C">
      <w:pPr>
        <w:spacing w:before="120" w:after="120"/>
        <w:jc w:val="both"/>
      </w:pPr>
      <w:r w:rsidRPr="00E64A4B">
        <w:t>Ces propos font référence à un problème central à la méthod</w:t>
      </w:r>
      <w:r w:rsidRPr="00E64A4B">
        <w:t>o</w:t>
      </w:r>
      <w:r w:rsidRPr="00E64A4B">
        <w:t>logie de la RAP, celui de la diversité. D'après Vandenberg et Fear, les part</w:t>
      </w:r>
      <w:r w:rsidRPr="00E64A4B">
        <w:t>i</w:t>
      </w:r>
      <w:r w:rsidRPr="00E64A4B">
        <w:t>cipants de la RAP devraient représenter la diversité stru</w:t>
      </w:r>
      <w:r w:rsidRPr="00E64A4B">
        <w:t>c</w:t>
      </w:r>
      <w:r w:rsidRPr="00E64A4B">
        <w:t>turelle et culturelle de la population concernée (Vandenberg et Fear, 1983, p. 18). Cependant, la diversité des participants s'avère souvent problém</w:t>
      </w:r>
      <w:r w:rsidRPr="00E64A4B">
        <w:t>a</w:t>
      </w:r>
      <w:r w:rsidRPr="00E64A4B">
        <w:t>tique et irréalisable :</w:t>
      </w:r>
    </w:p>
    <w:p w:rsidR="00B7214C" w:rsidRDefault="00B7214C" w:rsidP="00B7214C">
      <w:pPr>
        <w:pStyle w:val="Grillecouleur-Accent1"/>
      </w:pPr>
    </w:p>
    <w:p w:rsidR="00B7214C" w:rsidRDefault="00B7214C" w:rsidP="00B7214C">
      <w:pPr>
        <w:pStyle w:val="Grillecouleur-Accent1"/>
      </w:pPr>
      <w:r w:rsidRPr="00E64A4B">
        <w:t>Au sein d'un groupe socialement diversifié, il peut être difficile - sinon imp</w:t>
      </w:r>
      <w:r w:rsidRPr="009A70FC">
        <w:t>o</w:t>
      </w:r>
      <w:r w:rsidRPr="00E64A4B">
        <w:t>ssible - d'éviter la manipulation et la domination d'individus plus art</w:t>
      </w:r>
      <w:r w:rsidRPr="00E64A4B">
        <w:t>i</w:t>
      </w:r>
      <w:r w:rsidRPr="00E64A4B">
        <w:t>culés, plus puissants ou plus prestigieux. Cela peut résulter en la duplic</w:t>
      </w:r>
      <w:r w:rsidRPr="00E64A4B">
        <w:t>a</w:t>
      </w:r>
      <w:r w:rsidRPr="00E64A4B">
        <w:t>tion de la structure de pouvoir existante (Vandenberg et Fear, 1983, p. 18).</w:t>
      </w:r>
    </w:p>
    <w:p w:rsidR="00B7214C" w:rsidRPr="00E64A4B" w:rsidRDefault="00B7214C" w:rsidP="00B7214C">
      <w:pPr>
        <w:pStyle w:val="Grillecouleur-Accent1"/>
      </w:pPr>
    </w:p>
    <w:p w:rsidR="00B7214C" w:rsidRPr="00E64A4B" w:rsidRDefault="00B7214C" w:rsidP="00B7214C">
      <w:pPr>
        <w:spacing w:before="120" w:after="120"/>
        <w:jc w:val="both"/>
      </w:pPr>
      <w:r w:rsidRPr="00E64A4B">
        <w:t>Au sein de la RAP, on commence donc à peine, ces dernières a</w:t>
      </w:r>
      <w:r w:rsidRPr="00E64A4B">
        <w:t>n</w:t>
      </w:r>
      <w:r w:rsidRPr="00E64A4B">
        <w:t>nées, à se questionner sur les inégalités autres que celles entre les p</w:t>
      </w:r>
      <w:r w:rsidRPr="00E64A4B">
        <w:t>o</w:t>
      </w:r>
      <w:r w:rsidRPr="00E64A4B">
        <w:t>pulations et l'État pour se pencher davantage sur celles qui marquent les populations elles-mêmes dans leur fonctionnement quotidien. P</w:t>
      </w:r>
      <w:r w:rsidRPr="00E64A4B">
        <w:t>a</w:t>
      </w:r>
      <w:r w:rsidRPr="00E64A4B">
        <w:t>tricia Maguire, dans un document publié en 1987, fait le point sur la RAP d'un point de vue féministe. Elle signale que plusieurs des pri</w:t>
      </w:r>
      <w:r w:rsidRPr="00E64A4B">
        <w:t>n</w:t>
      </w:r>
      <w:r w:rsidRPr="00E64A4B">
        <w:t>cipes qui lui sont propres sont également ceux de l'approche fémini</w:t>
      </w:r>
      <w:r w:rsidRPr="00E64A4B">
        <w:t>s</w:t>
      </w:r>
      <w:r w:rsidRPr="00E64A4B">
        <w:t>te :</w:t>
      </w:r>
    </w:p>
    <w:p w:rsidR="00B7214C" w:rsidRDefault="00B7214C" w:rsidP="00B7214C">
      <w:pPr>
        <w:pStyle w:val="Grillecouleur-Accent1"/>
      </w:pPr>
      <w:r w:rsidRPr="00E64A4B">
        <w:t>Les deux types de recherche, soit la recherche participative et la r</w:t>
      </w:r>
      <w:r w:rsidRPr="00E64A4B">
        <w:t>e</w:t>
      </w:r>
      <w:r w:rsidRPr="00E64A4B">
        <w:t>cherche féministe, sont toutes les deux des approches radicales de la soci</w:t>
      </w:r>
      <w:r w:rsidRPr="00E64A4B">
        <w:t>é</w:t>
      </w:r>
      <w:r w:rsidRPr="00E64A4B">
        <w:t>té. Cependant elles sont encore dans une large mesure des approches p</w:t>
      </w:r>
      <w:r w:rsidRPr="00E64A4B">
        <w:t>a</w:t>
      </w:r>
      <w:r w:rsidRPr="00E64A4B">
        <w:t>rallèles et déconnectées l'une de l'autre, s'ignorant mutuell</w:t>
      </w:r>
      <w:r w:rsidRPr="00E64A4B">
        <w:t>e</w:t>
      </w:r>
      <w:r w:rsidRPr="00E64A4B">
        <w:t>ment (Maguire, 1987, p. 95).</w:t>
      </w:r>
    </w:p>
    <w:p w:rsidR="00B7214C" w:rsidRPr="00E64A4B" w:rsidRDefault="00B7214C" w:rsidP="00B7214C">
      <w:pPr>
        <w:pStyle w:val="Grillecouleur-Accent1"/>
      </w:pPr>
    </w:p>
    <w:p w:rsidR="00B7214C" w:rsidRPr="00E64A4B" w:rsidRDefault="00B7214C" w:rsidP="00B7214C">
      <w:pPr>
        <w:spacing w:before="120" w:after="120"/>
        <w:jc w:val="both"/>
      </w:pPr>
      <w:r w:rsidRPr="00E64A4B">
        <w:t>Maguire est en accord avec les auteurs les plus importants qui ont réfléchi sur la RAP pour affirmer qu'il s'agit d'une démarche de gén</w:t>
      </w:r>
      <w:r w:rsidRPr="00E64A4B">
        <w:t>é</w:t>
      </w:r>
      <w:r w:rsidRPr="00E64A4B">
        <w:t>ration de connaissances suscitant une transformation sociale et pe</w:t>
      </w:r>
      <w:r w:rsidRPr="00E64A4B">
        <w:t>r</w:t>
      </w:r>
      <w:r w:rsidRPr="00E64A4B">
        <w:t>sonnelle radicale. Elle ajoute cependant que cette recherche doit bén</w:t>
      </w:r>
      <w:r w:rsidRPr="00E64A4B">
        <w:t>é</w:t>
      </w:r>
      <w:r w:rsidRPr="00E64A4B">
        <w:t xml:space="preserve">ficier également aux hommes et aux femmes (Maguire, 1987, p. 95). Elle remarque que l'ouvrage central pour la RAP, </w:t>
      </w:r>
      <w:r w:rsidRPr="00E64A4B">
        <w:rPr>
          <w:i/>
          <w:iCs/>
        </w:rPr>
        <w:t>Pédagogie des o</w:t>
      </w:r>
      <w:r w:rsidRPr="00E64A4B">
        <w:rPr>
          <w:i/>
          <w:iCs/>
        </w:rPr>
        <w:t>p</w:t>
      </w:r>
      <w:r w:rsidRPr="00E64A4B">
        <w:rPr>
          <w:i/>
          <w:iCs/>
        </w:rPr>
        <w:t>primés</w:t>
      </w:r>
      <w:r w:rsidRPr="00E64A4B">
        <w:t xml:space="preserve"> de Paulo Freire, fait de l'homme (et non de la femme) le gén</w:t>
      </w:r>
      <w:r w:rsidRPr="00E64A4B">
        <w:t>é</w:t>
      </w:r>
      <w:r w:rsidRPr="00E64A4B">
        <w:t>rateur de la culture. Même si Freire a affirmé que la domination est le thème majeur de notre époque, ses instruments de conscientisation ignorent la domination des hommes sur les femmes. Ainsi, la RAP reflète ce qui se passe dans le milieu académique, dans le milieu du développement i</w:t>
      </w:r>
      <w:r w:rsidRPr="00E64A4B">
        <w:t>n</w:t>
      </w:r>
      <w:r w:rsidRPr="00E64A4B">
        <w:t>ternational et dans le monde en général (Maguire, 1987, p. 102-103).</w:t>
      </w:r>
    </w:p>
    <w:p w:rsidR="00B7214C" w:rsidRPr="00E64A4B" w:rsidRDefault="00B7214C" w:rsidP="00B7214C">
      <w:pPr>
        <w:spacing w:before="120" w:after="120"/>
        <w:jc w:val="both"/>
      </w:pPr>
      <w:r w:rsidRPr="00E64A4B">
        <w:t>Il faut donc favoriser une génération de connaissance qui se déba</w:t>
      </w:r>
      <w:r w:rsidRPr="00E64A4B">
        <w:t>r</w:t>
      </w:r>
      <w:r w:rsidRPr="00E64A4B">
        <w:t>rasse de la dichotomie objectivité-subjectivité puisque dans la société patriarcale, l'objectivité est le nom que revêt, en très grande partie, la domi-nation</w:t>
      </w:r>
      <w:r>
        <w:t xml:space="preserve"> </w:t>
      </w:r>
      <w:r w:rsidRPr="00E64A4B">
        <w:t>[353] masculine. C'est au nom de la soi-disant objectivité que l'on a qualifié le discours des femmes sur leur expérience de vie comme étant de la subjectivité et comme étant par conséquent insign</w:t>
      </w:r>
      <w:r w:rsidRPr="00E64A4B">
        <w:t>i</w:t>
      </w:r>
      <w:r w:rsidRPr="00E64A4B">
        <w:t>fiant. En reconsidérant cette position, peut-être pourra-t-on enfin a</w:t>
      </w:r>
      <w:r w:rsidRPr="00E64A4B">
        <w:t>c</w:t>
      </w:r>
      <w:r w:rsidRPr="00E64A4B">
        <w:t>cepter le rôle de l'émotion dans l'appréhension de son propre enviro</w:t>
      </w:r>
      <w:r w:rsidRPr="00E64A4B">
        <w:t>n</w:t>
      </w:r>
      <w:r w:rsidRPr="00E64A4B">
        <w:t>nement comme certains chercheurs ont commencé à le proposer (E</w:t>
      </w:r>
      <w:r w:rsidRPr="00E64A4B">
        <w:t>d</w:t>
      </w:r>
      <w:r w:rsidRPr="00E64A4B">
        <w:t xml:space="preserve">wards, 1989, </w:t>
      </w:r>
      <w:r>
        <w:t>p</w:t>
      </w:r>
      <w:r w:rsidRPr="00E64A4B">
        <w:t>p. 118-121).</w:t>
      </w:r>
    </w:p>
    <w:p w:rsidR="00B7214C" w:rsidRPr="00E64A4B" w:rsidRDefault="00B7214C" w:rsidP="00B7214C">
      <w:pPr>
        <w:spacing w:before="120" w:after="120"/>
        <w:jc w:val="both"/>
      </w:pPr>
      <w:r w:rsidRPr="00E64A4B">
        <w:t>La leçon à tirer de la critique de Maguire et de quelques autres est que la dichotomie entre ceux qui savent et ceux qui ne savent pas ne sera effacée que dans la mesure où l'ensemble des rapports sociaux inégalitaires seront remis en question dans une perspect</w:t>
      </w:r>
      <w:r w:rsidRPr="00E64A4B">
        <w:t>i</w:t>
      </w:r>
      <w:r w:rsidRPr="00E64A4B">
        <w:t>ve de partage significatif du pouvoir. Les rapports sociaux de sexe figurent sans doute parmi les plus importants de tous les rapports susceptibles d'i</w:t>
      </w:r>
      <w:r w:rsidRPr="00E64A4B">
        <w:t>n</w:t>
      </w:r>
      <w:r w:rsidRPr="00E64A4B">
        <w:t>fluencer le partage du pouvoir sur une base quot</w:t>
      </w:r>
      <w:r w:rsidRPr="00E64A4B">
        <w:t>i</w:t>
      </w:r>
      <w:r w:rsidRPr="00E64A4B">
        <w:t>dienne. On ne peut donc aller au bout d'une remise en question critique des sciences s</w:t>
      </w:r>
      <w:r w:rsidRPr="00E64A4B">
        <w:t>o</w:t>
      </w:r>
      <w:r w:rsidRPr="00E64A4B">
        <w:t>ciales sans se préoccuper particulièrement de la « visibilisation » des femmes et de toutes les catégories s</w:t>
      </w:r>
      <w:r w:rsidRPr="00E64A4B">
        <w:t>o</w:t>
      </w:r>
      <w:r w:rsidRPr="00E64A4B">
        <w:t>ciales dominées au sein d'une même population. Envisagé dans cette perspective, l'enjeu de la RAP n'est pas tant le savoir en tant que tel mais bien les rapports sociaux qui le façonnent. Quant à lui, le pouvoir n'est pas un objet neutre à atteindre mais un processus qui s'est construit à la faveur de ces ra</w:t>
      </w:r>
      <w:r w:rsidRPr="00E64A4B">
        <w:t>p</w:t>
      </w:r>
      <w:r w:rsidRPr="00E64A4B">
        <w:t>ports sociaux et du di</w:t>
      </w:r>
      <w:r w:rsidRPr="00E64A4B">
        <w:t>s</w:t>
      </w:r>
      <w:r w:rsidRPr="00E64A4B">
        <w:t>cours sur ces derniers. On doit déconstruire les uns et les autres en les mettant simultanément en cause. On s'engage donc, de la sorte, sur le terrain des pratiques quotidiennes et sur celui de l'expérie</w:t>
      </w:r>
      <w:r w:rsidRPr="00E64A4B">
        <w:t>n</w:t>
      </w:r>
      <w:r w:rsidRPr="00E64A4B">
        <w:t>ce.</w:t>
      </w:r>
    </w:p>
    <w:p w:rsidR="00B7214C" w:rsidRPr="00E64A4B" w:rsidRDefault="00B7214C" w:rsidP="00B7214C">
      <w:pPr>
        <w:spacing w:before="120" w:after="120"/>
        <w:jc w:val="both"/>
      </w:pPr>
      <w:r w:rsidRPr="00E64A4B">
        <w:t>Alors que la RAP propose de changer à la fois les individus et la culture des groupes, des institutions et des sociétés auxquels ils appa</w:t>
      </w:r>
      <w:r w:rsidRPr="00E64A4B">
        <w:t>r</w:t>
      </w:r>
      <w:r w:rsidRPr="00E64A4B">
        <w:t xml:space="preserve">tiennent (McTaggart, 1991, p. 172), une approche féministe de la RAP insiste sur l'importance d'envisager le changement dans les </w:t>
      </w:r>
      <w:r w:rsidRPr="00E64A4B">
        <w:rPr>
          <w:i/>
          <w:iCs/>
        </w:rPr>
        <w:t>rapports sociaux,</w:t>
      </w:r>
      <w:r w:rsidRPr="00E64A4B">
        <w:t xml:space="preserve"> y compris les rapports sociaux de sexe, qui relient ces indiv</w:t>
      </w:r>
      <w:r w:rsidRPr="00E64A4B">
        <w:t>i</w:t>
      </w:r>
      <w:r w:rsidRPr="00E64A4B">
        <w:t>dus entre eux au sein des catégories sociales fo</w:t>
      </w:r>
      <w:r w:rsidRPr="00E64A4B">
        <w:t>r</w:t>
      </w:r>
      <w:r w:rsidRPr="00E64A4B">
        <w:t>mant la société locale. Si la culture peut être appréhendée par le biais du langage et du di</w:t>
      </w:r>
      <w:r w:rsidRPr="00E64A4B">
        <w:t>s</w:t>
      </w:r>
      <w:r w:rsidRPr="00E64A4B">
        <w:t>cours, des activités et des pratiques (McTaggart, 1991, p. 173-174 d'après Foucault 1970), il importe de bien voir les hiérarchies sociales qui constituent leur contexte et qui les affectent.</w:t>
      </w:r>
    </w:p>
    <w:p w:rsidR="00B7214C" w:rsidRPr="00E64A4B" w:rsidRDefault="00B7214C" w:rsidP="00B7214C">
      <w:pPr>
        <w:spacing w:before="120" w:after="120"/>
        <w:jc w:val="both"/>
      </w:pPr>
      <w:r w:rsidRPr="00E64A4B">
        <w:t>Plusieurs recherches effectuées dans le cadre de la RAP se sont d</w:t>
      </w:r>
      <w:r w:rsidRPr="00E64A4B">
        <w:t>é</w:t>
      </w:r>
      <w:r w:rsidRPr="00E64A4B">
        <w:t>roulées avec et pour les femmes et les autres catégories sociales d</w:t>
      </w:r>
      <w:r w:rsidRPr="00E64A4B">
        <w:t>o</w:t>
      </w:r>
      <w:r w:rsidRPr="00E64A4B">
        <w:t>minées au sein des communautés locales (Fais Borda, 1986 ; Salazar, 1991 ; Couto, 1987 ; Vandenberg et Fear, 1983 ; Pag</w:t>
      </w:r>
      <w:r w:rsidRPr="00E64A4B">
        <w:t>a</w:t>
      </w:r>
      <w:r w:rsidRPr="00E64A4B">
        <w:t>duan, 1988). Il ne suffit cependant pas que la RAP engage des catégories sociales spécifiquement dominées pour que les rapports de domination agi</w:t>
      </w:r>
      <w:r w:rsidRPr="00E64A4B">
        <w:t>s</w:t>
      </w:r>
      <w:r w:rsidRPr="00E64A4B">
        <w:t>sant dans leur environnement immédiat soient nécessairement remis en question. Sur ce point particulier d'ai</w:t>
      </w:r>
      <w:r w:rsidRPr="00E64A4B">
        <w:t>l</w:t>
      </w:r>
      <w:r w:rsidRPr="00E64A4B">
        <w:t>leurs, les opinions divergent grandement, à savoir si l'on doit tr</w:t>
      </w:r>
      <w:r w:rsidRPr="00E64A4B">
        <w:t>a</w:t>
      </w:r>
      <w:r w:rsidRPr="00E64A4B">
        <w:t>vailler</w:t>
      </w:r>
      <w:r>
        <w:t xml:space="preserve"> </w:t>
      </w:r>
      <w:r w:rsidRPr="00E64A4B">
        <w:t>[354]</w:t>
      </w:r>
      <w:r>
        <w:t xml:space="preserve"> </w:t>
      </w:r>
      <w:r w:rsidRPr="00E64A4B">
        <w:t>avec l'ensemble de la population ou avec des groupes homog</w:t>
      </w:r>
      <w:r w:rsidRPr="00E64A4B">
        <w:t>è</w:t>
      </w:r>
      <w:r w:rsidRPr="00E64A4B">
        <w:t>nes seulement. Il est difficile de trancher cette question. En effet, malgré les tentatives de constru</w:t>
      </w:r>
      <w:r w:rsidRPr="00E64A4B">
        <w:t>c</w:t>
      </w:r>
      <w:r w:rsidRPr="00E64A4B">
        <w:t>tion de typologies (Vandenberg et Fear, 1983) ou malgré les efforts déployés pour en décrire les différentes modalités (Pinto, 1987), il paraît impossible de con</w:t>
      </w:r>
      <w:r w:rsidRPr="00E64A4B">
        <w:t>s</w:t>
      </w:r>
      <w:r w:rsidRPr="00E64A4B">
        <w:t>truire un modèle unique et généralisable (Maclure, 1990, p</w:t>
      </w:r>
      <w:r>
        <w:t>p</w:t>
      </w:r>
      <w:r w:rsidRPr="00E64A4B">
        <w:t>. 4-6). Un élément ressort cependant clairement de la littérature consultée et des expériences qui y sont relatées : l'appr</w:t>
      </w:r>
      <w:r w:rsidRPr="00E64A4B">
        <w:t>o</w:t>
      </w:r>
      <w:r w:rsidRPr="00E64A4B">
        <w:t>che féministe est encore largement ignorée par les praticiens de la RAP qui perdent ainsi l'occasion de développer une sensibilité encore plus aiguë à l'endroit des phénomènes de dom</w:t>
      </w:r>
      <w:r w:rsidRPr="00E64A4B">
        <w:t>i</w:t>
      </w:r>
      <w:r w:rsidRPr="00E64A4B">
        <w:t>nation.</w:t>
      </w:r>
    </w:p>
    <w:p w:rsidR="00B7214C" w:rsidRPr="00E64A4B" w:rsidRDefault="00B7214C" w:rsidP="00B7214C">
      <w:pPr>
        <w:spacing w:before="120" w:after="120"/>
        <w:jc w:val="both"/>
      </w:pPr>
      <w:r w:rsidRPr="00E64A4B">
        <w:t>Par approche féministe, j'entends ici de façon très générale mais dans le contexte de la RAP, une approche qui tient compte non seul</w:t>
      </w:r>
      <w:r w:rsidRPr="00E64A4B">
        <w:t>e</w:t>
      </w:r>
      <w:r w:rsidRPr="00E64A4B">
        <w:t>ment de la diversité des populations (cela est déjà fait par la plupart des chercheurs) mais aussi du fait que cette diversité s'appuie sur une combinaison hiérarchisée de rapports sociaux d'exploitation y compris bien évidemment les rapports sociaux de sexe. Cette définition de l'approche féministe comporte des similitudes avec l'approche du f</w:t>
      </w:r>
      <w:r w:rsidRPr="00E64A4B">
        <w:t>é</w:t>
      </w:r>
      <w:r w:rsidRPr="00E64A4B">
        <w:t>minisme socialiste dans la mesure où elle considère que la subordin</w:t>
      </w:r>
      <w:r w:rsidRPr="00E64A4B">
        <w:t>a</w:t>
      </w:r>
      <w:r w:rsidRPr="00E64A4B">
        <w:t>tion des femmes constitue le résu</w:t>
      </w:r>
      <w:r w:rsidRPr="00E64A4B">
        <w:t>l</w:t>
      </w:r>
      <w:r w:rsidRPr="00E64A4B">
        <w:t>tat de la combinaison de la classe et du genre (Beneria et Roldan, 1987, p. 9, d'après Jaggar, 1983). Les rapports de genre et de cla</w:t>
      </w:r>
      <w:r w:rsidRPr="00E64A4B">
        <w:t>s</w:t>
      </w:r>
      <w:r w:rsidRPr="00E64A4B">
        <w:t>se ne sont cependant pas les seuls en cause. Beneria et Roldan soulignent que la spécificité de la vie concrète rés</w:t>
      </w:r>
      <w:r w:rsidRPr="00E64A4B">
        <w:t>i</w:t>
      </w:r>
      <w:r w:rsidRPr="00E64A4B">
        <w:t>de dans le fait qu'elle « se présente comme un tout intégré dans lequel les mult</w:t>
      </w:r>
      <w:r w:rsidRPr="00E64A4B">
        <w:t>i</w:t>
      </w:r>
      <w:r w:rsidRPr="00E64A4B">
        <w:t>ples rapports de domination/subordination - basés sur la race, l'âge, l'ethnicité, la nationalité, la préférence sexuelle - interagi</w:t>
      </w:r>
      <w:r w:rsidRPr="00E64A4B">
        <w:t>s</w:t>
      </w:r>
      <w:r w:rsidRPr="00E64A4B">
        <w:t>sent de façon dialectique avec les rapports de genre et de classe » (Beneria et Roldan, 1987, p. 10). De cette proposition, je retiens donc l'importa</w:t>
      </w:r>
      <w:r w:rsidRPr="00E64A4B">
        <w:t>n</w:t>
      </w:r>
      <w:r w:rsidRPr="00E64A4B">
        <w:t>ce de tenir compte de la combinaison d'une mult</w:t>
      </w:r>
      <w:r w:rsidRPr="00E64A4B">
        <w:t>i</w:t>
      </w:r>
      <w:r w:rsidRPr="00E64A4B">
        <w:t>plicité de facteurs qui, si l'on se place dans la perspective de la RAP, doivent être hiéra</w:t>
      </w:r>
      <w:r w:rsidRPr="00E64A4B">
        <w:t>r</w:t>
      </w:r>
      <w:r w:rsidRPr="00E64A4B">
        <w:t>chisés en fonction des obstacles pote</w:t>
      </w:r>
      <w:r w:rsidRPr="00E64A4B">
        <w:t>n</w:t>
      </w:r>
      <w:r w:rsidRPr="00E64A4B">
        <w:t>tiels qu'ils posent à l'acquisition du pouvoir par les catégories s</w:t>
      </w:r>
      <w:r w:rsidRPr="00E64A4B">
        <w:t>o</w:t>
      </w:r>
      <w:r w:rsidRPr="00E64A4B">
        <w:t>ciales dominées et particulièrement par les femmes.</w:t>
      </w:r>
    </w:p>
    <w:p w:rsidR="00B7214C" w:rsidRPr="00E64A4B" w:rsidRDefault="00B7214C" w:rsidP="00B7214C">
      <w:pPr>
        <w:spacing w:before="120" w:after="120"/>
        <w:jc w:val="both"/>
      </w:pPr>
      <w:r w:rsidRPr="00E64A4B">
        <w:t>Dans les lignes qui suivent, je tenterai de décrire les caractérist</w:t>
      </w:r>
      <w:r w:rsidRPr="00E64A4B">
        <w:t>i</w:t>
      </w:r>
      <w:r w:rsidRPr="00E64A4B">
        <w:t>ques particulières de la RAP en cours dans la région visée. La RAP étant un processus continu - et cette recherche n'en étant qu'à son premier cycle - il sera impossible de mesurer, dans toutes ses dime</w:t>
      </w:r>
      <w:r w:rsidRPr="00E64A4B">
        <w:t>n</w:t>
      </w:r>
      <w:r w:rsidRPr="00E64A4B">
        <w:t>sions, la portée de l'approche féministe telle que je viens de la définir sur la population engagée. On pourra au moins montrer comment cette approche a orienté la formulation de la méthod</w:t>
      </w:r>
      <w:r w:rsidRPr="00E64A4B">
        <w:t>o</w:t>
      </w:r>
      <w:r w:rsidRPr="00E64A4B">
        <w:t>logie de recherche.</w:t>
      </w:r>
    </w:p>
    <w:p w:rsidR="00B7214C" w:rsidRPr="00E64A4B" w:rsidRDefault="00B7214C" w:rsidP="00B7214C">
      <w:pPr>
        <w:pStyle w:val="p"/>
      </w:pPr>
      <w:r w:rsidRPr="00E64A4B">
        <w:t>[355]</w:t>
      </w:r>
    </w:p>
    <w:p w:rsidR="00B7214C" w:rsidRPr="00E64A4B" w:rsidRDefault="00B7214C" w:rsidP="00B7214C">
      <w:pPr>
        <w:spacing w:before="120" w:after="120"/>
        <w:jc w:val="both"/>
      </w:pPr>
    </w:p>
    <w:p w:rsidR="00B7214C" w:rsidRPr="00E64A4B" w:rsidRDefault="00B7214C" w:rsidP="00B7214C">
      <w:pPr>
        <w:pStyle w:val="a"/>
      </w:pPr>
      <w:r w:rsidRPr="00E64A4B">
        <w:t xml:space="preserve">LA MÉTHODOLOGIE </w:t>
      </w:r>
      <w:r>
        <w:br/>
      </w:r>
      <w:r w:rsidRPr="00E64A4B">
        <w:t>DE LA MINGA DE RECHERCHE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La recherche dont il sera question dans cette partie est intit</w:t>
      </w:r>
      <w:r w:rsidRPr="00E64A4B">
        <w:t>u</w:t>
      </w:r>
      <w:r w:rsidRPr="00E64A4B">
        <w:t xml:space="preserve">lée : </w:t>
      </w:r>
      <w:r w:rsidRPr="00E64A4B">
        <w:rPr>
          <w:i/>
          <w:iCs/>
        </w:rPr>
        <w:t>Formation de la paysannerie et transformation des rapports hiéra</w:t>
      </w:r>
      <w:r w:rsidRPr="00E64A4B">
        <w:rPr>
          <w:i/>
          <w:iCs/>
        </w:rPr>
        <w:t>r</w:t>
      </w:r>
      <w:r w:rsidRPr="00E64A4B">
        <w:rPr>
          <w:i/>
          <w:iCs/>
        </w:rPr>
        <w:t>chiques.</w:t>
      </w:r>
      <w:r w:rsidRPr="00E64A4B">
        <w:t xml:space="preserve"> Sa base locale dans la région de Pasto, département de Nar</w:t>
      </w:r>
      <w:r w:rsidRPr="00E64A4B">
        <w:t>i</w:t>
      </w:r>
      <w:r w:rsidRPr="00E64A4B">
        <w:t>ño, est celle de l'Association pour le développement paysan. Cette a</w:t>
      </w:r>
      <w:r w:rsidRPr="00E64A4B">
        <w:t>s</w:t>
      </w:r>
      <w:r w:rsidRPr="00E64A4B">
        <w:t>sociation, née en 1980 grâce au regroupement de leaders paysans et de bénévoles urbains engagés dans le processus de développement local, regroupe maintenant cinq coopératives de consommation, chacune ayant un magasin coopératif où me</w:t>
      </w:r>
      <w:r w:rsidRPr="00E64A4B">
        <w:t>m</w:t>
      </w:r>
      <w:r w:rsidRPr="00E64A4B">
        <w:t>bres et non-membres peuvent se procurer des marchandises de première nécessité. On peut ainsi dire que l'association est active et bien connue de la population. Une des premières conditions pour la faisabilité de la RAP est ainsi remplie. Il faut en effet des organisations locales fortes (Edwards, 1989, p. 131).</w:t>
      </w:r>
    </w:p>
    <w:p w:rsidR="00B7214C" w:rsidRPr="00E64A4B" w:rsidRDefault="00B7214C" w:rsidP="00B7214C">
      <w:pPr>
        <w:spacing w:before="120" w:after="120"/>
        <w:jc w:val="both"/>
      </w:pPr>
      <w:r w:rsidRPr="00E64A4B">
        <w:t>Comme nous l'avons mentionné plus haut, la recherche ethnogr</w:t>
      </w:r>
      <w:r w:rsidRPr="00E64A4B">
        <w:t>a</w:t>
      </w:r>
      <w:r w:rsidRPr="00E64A4B">
        <w:t>phique que nous y avons menée en 1989-1991 n'a pas été étrangère au développement de l'intérêt de la population pour le processus de r</w:t>
      </w:r>
      <w:r w:rsidRPr="00E64A4B">
        <w:t>e</w:t>
      </w:r>
      <w:r w:rsidRPr="00E64A4B">
        <w:t>cherche en sciences sociales. D'ailleurs si cette recherche dont les r</w:t>
      </w:r>
      <w:r w:rsidRPr="00E64A4B">
        <w:t>é</w:t>
      </w:r>
      <w:r w:rsidRPr="00E64A4B">
        <w:t>sultats commencent à être publiés (López, 1993 ; Ménard, 1993 ; C</w:t>
      </w:r>
      <w:r w:rsidRPr="00E64A4B">
        <w:t>ô</w:t>
      </w:r>
      <w:r w:rsidRPr="00E64A4B">
        <w:t>té, 1993) a pu se dérouler, c'est bien parce que l'association nous a i</w:t>
      </w:r>
      <w:r w:rsidRPr="00E64A4B">
        <w:t>n</w:t>
      </w:r>
      <w:r w:rsidRPr="00E64A4B">
        <w:t>tégrés au comité d'éducation d'une des coopératives.</w:t>
      </w:r>
    </w:p>
    <w:p w:rsidR="00B7214C" w:rsidRPr="00E64A4B" w:rsidRDefault="00B7214C" w:rsidP="00B7214C">
      <w:pPr>
        <w:spacing w:before="120" w:after="120"/>
        <w:jc w:val="both"/>
      </w:pPr>
      <w:r w:rsidRPr="00E64A4B">
        <w:t>La recherche est appuyée au niveau logistique, économique et a</w:t>
      </w:r>
      <w:r w:rsidRPr="00E64A4B">
        <w:t>d</w:t>
      </w:r>
      <w:r w:rsidRPr="00E64A4B">
        <w:t>ministratif d'abord et avant tout par l'association qui met à contrib</w:t>
      </w:r>
      <w:r w:rsidRPr="00E64A4B">
        <w:t>u</w:t>
      </w:r>
      <w:r w:rsidRPr="00E64A4B">
        <w:t>tion ses fonds de fonctionnement généraux obtenus auprès d'organis</w:t>
      </w:r>
      <w:r w:rsidRPr="00E64A4B">
        <w:t>a</w:t>
      </w:r>
      <w:r w:rsidRPr="00E64A4B">
        <w:t xml:space="preserve">tions non gouvernementales (ONG) internationales et nationales. Elle est appuyée également par le </w:t>
      </w:r>
      <w:r w:rsidRPr="00E64A4B">
        <w:rPr>
          <w:i/>
          <w:iCs/>
        </w:rPr>
        <w:t>Centre de recherche pour le développ</w:t>
      </w:r>
      <w:r w:rsidRPr="00E64A4B">
        <w:rPr>
          <w:i/>
          <w:iCs/>
        </w:rPr>
        <w:t>e</w:t>
      </w:r>
      <w:r w:rsidRPr="00E64A4B">
        <w:rPr>
          <w:i/>
          <w:iCs/>
        </w:rPr>
        <w:t>ment international</w:t>
      </w:r>
      <w:r w:rsidRPr="00E64A4B">
        <w:t xml:space="preserve"> (CRDI) auprès duquel l'association et moi-même, au nom de l'Université Laval, avons obtenu une subvention admini</w:t>
      </w:r>
      <w:r w:rsidRPr="00E64A4B">
        <w:t>s</w:t>
      </w:r>
      <w:r w:rsidRPr="00E64A4B">
        <w:t>trée en partenariat. Il est donc e</w:t>
      </w:r>
      <w:r w:rsidRPr="00E64A4B">
        <w:t>n</w:t>
      </w:r>
      <w:r w:rsidRPr="00E64A4B">
        <w:t>tendu que je suis personnellement un élément intégral du proce</w:t>
      </w:r>
      <w:r w:rsidRPr="00E64A4B">
        <w:t>s</w:t>
      </w:r>
      <w:r w:rsidRPr="00E64A4B">
        <w:t>sus de RAP en cours. En fait, la distance qui me sépare de la r</w:t>
      </w:r>
      <w:r w:rsidRPr="00E64A4B">
        <w:t>é</w:t>
      </w:r>
      <w:r w:rsidRPr="00E64A4B">
        <w:t>gion où se déroule le processus m'a incitée à partager mon eng</w:t>
      </w:r>
      <w:r w:rsidRPr="00E64A4B">
        <w:t>a</w:t>
      </w:r>
      <w:r w:rsidRPr="00E64A4B">
        <w:t>gement avec une chercheuse, membre fondatrice de l'association, qui a un contact hebdomadaire avec les trois groupes de RAP formés et qui fait le lien entre eux et moi. Un deuxième élément fondamental de la RAP, qui consiste à ce qu'il y ait des contacts cont</w:t>
      </w:r>
      <w:r w:rsidRPr="00E64A4B">
        <w:t>i</w:t>
      </w:r>
      <w:r w:rsidRPr="00E64A4B">
        <w:t>nus entre les sujets de recherche et les chercheurs externes, est ainsi rempli (Edwards, 1989, p. 131) malgré la distance phys</w:t>
      </w:r>
      <w:r w:rsidRPr="00E64A4B">
        <w:t>i</w:t>
      </w:r>
      <w:r w:rsidRPr="00E64A4B">
        <w:t>que qui m'oblige à restreindre mes visites sur le terrain. De plus, cette che</w:t>
      </w:r>
      <w:r w:rsidRPr="00E64A4B">
        <w:t>r</w:t>
      </w:r>
      <w:r w:rsidRPr="00E64A4B">
        <w:t>cheuse est davantage versée dans la pédagogie et dans les techniques d'animation que dans les techniques de recherche. De l'avis de che</w:t>
      </w:r>
      <w:r w:rsidRPr="00E64A4B">
        <w:t>r</w:t>
      </w:r>
      <w:r w:rsidRPr="00E64A4B">
        <w:t>cheurs qui ont réfléchi sur le processus, ce type de qualification con</w:t>
      </w:r>
      <w:r w:rsidRPr="00E64A4B">
        <w:t>s</w:t>
      </w:r>
      <w:r w:rsidRPr="00E64A4B">
        <w:t>titue un atout pour la RAP (Maclure, 1990, p. 9 ; Brown, 1985, p. 73).</w:t>
      </w:r>
    </w:p>
    <w:p w:rsidR="00B7214C" w:rsidRPr="00E64A4B" w:rsidRDefault="00B7214C" w:rsidP="00B7214C">
      <w:pPr>
        <w:spacing w:before="120" w:after="120"/>
        <w:jc w:val="both"/>
      </w:pPr>
      <w:r w:rsidRPr="00E64A4B">
        <w:t>[356]</w:t>
      </w:r>
    </w:p>
    <w:p w:rsidR="00B7214C" w:rsidRPr="00E64A4B" w:rsidRDefault="00B7214C" w:rsidP="00B7214C">
      <w:pPr>
        <w:spacing w:before="120" w:after="120"/>
        <w:jc w:val="both"/>
      </w:pPr>
      <w:r w:rsidRPr="00E64A4B">
        <w:t>Le rôle et l'insertion des chercheurs externes au sein de la RAP ont été passablement documentés au sein de la littérature sur le sujet. L'engagement subjectif des chercheurs envers les popul</w:t>
      </w:r>
      <w:r w:rsidRPr="00E64A4B">
        <w:t>a</w:t>
      </w:r>
      <w:r w:rsidRPr="00E64A4B">
        <w:t>tions étudiées constitue un élément central de la RAP. Ces che</w:t>
      </w:r>
      <w:r w:rsidRPr="00E64A4B">
        <w:t>r</w:t>
      </w:r>
      <w:r w:rsidRPr="00E64A4B">
        <w:t>cheurs deviennent des acteurs sociaux engagés (Anyanwu, 1988, p. 15). Ils sont eux au</w:t>
      </w:r>
      <w:r w:rsidRPr="00E64A4B">
        <w:t>s</w:t>
      </w:r>
      <w:r w:rsidRPr="00E64A4B">
        <w:t>si susceptibles de changer à la faveur du processus (McTaggart, 1991, p. 177) qui s'étend souvent sur pl</w:t>
      </w:r>
      <w:r w:rsidRPr="00E64A4B">
        <w:t>u</w:t>
      </w:r>
      <w:r w:rsidRPr="00E64A4B">
        <w:t>sieurs années.</w:t>
      </w:r>
    </w:p>
    <w:p w:rsidR="00B7214C" w:rsidRPr="00E64A4B" w:rsidRDefault="00B7214C" w:rsidP="00B7214C">
      <w:pPr>
        <w:spacing w:before="120" w:after="120"/>
        <w:jc w:val="both"/>
      </w:pPr>
      <w:r w:rsidRPr="00E64A4B">
        <w:t>Il faut d'ailleurs recourir à quelques éléments d'histoire locale pour retrouver le premier maillon de la RAP aujourd'hui en cours et pour comprendre que la population a déjà été exposée à dive</w:t>
      </w:r>
      <w:r w:rsidRPr="00E64A4B">
        <w:t>r</w:t>
      </w:r>
      <w:r w:rsidRPr="00E64A4B">
        <w:t>ses influences externes qui se concrétisent en une certaine rhétorique de la particip</w:t>
      </w:r>
      <w:r w:rsidRPr="00E64A4B">
        <w:t>a</w:t>
      </w:r>
      <w:r w:rsidRPr="00E64A4B">
        <w:t>tion empruntée autant à La Rosca qu'aux groupes environnementali</w:t>
      </w:r>
      <w:r w:rsidRPr="00E64A4B">
        <w:t>s</w:t>
      </w:r>
      <w:r w:rsidRPr="00E64A4B">
        <w:t>tes qui sillonnent les Andes. Au début des années 1980, alors que l'a</w:t>
      </w:r>
      <w:r w:rsidRPr="00E64A4B">
        <w:t>s</w:t>
      </w:r>
      <w:r w:rsidRPr="00E64A4B">
        <w:t>sociation émergeait à peine, il se produisit une avalanche sur les pe</w:t>
      </w:r>
      <w:r w:rsidRPr="00E64A4B">
        <w:t>n</w:t>
      </w:r>
      <w:r w:rsidRPr="00E64A4B">
        <w:t>tes du lac La Cocha, une des sous-régions retenues pour le projet. Ce désastre affecta grandement un des hameaux visés par l'association. Afin d'aider la population locale à effectuer les travaux de nettoyage et de réaménagement des terrains et bâtiments détruits, un membre de l'association qui avait été proche de La Rosca eut l'idée de faire rev</w:t>
      </w:r>
      <w:r w:rsidRPr="00E64A4B">
        <w:t>i</w:t>
      </w:r>
      <w:r w:rsidRPr="00E64A4B">
        <w:t>vre une vieille coutume andine, celle de la minga ou des travaux communautaires. Peu à peu la minga est devenue la « colonne vert</w:t>
      </w:r>
      <w:r w:rsidRPr="00E64A4B">
        <w:t>é</w:t>
      </w:r>
      <w:r w:rsidRPr="00E64A4B">
        <w:t>brale » de l'association puisque chaque paysan, en devenant membre, devait s'engager, sous peine d'amende, à participer (ou à déléguer un membre de sa famille) aux mingas organisées une fois par mois dans l'un des hameaux visés.</w:t>
      </w:r>
    </w:p>
    <w:p w:rsidR="00B7214C" w:rsidRPr="00E64A4B" w:rsidRDefault="00B7214C" w:rsidP="00B7214C">
      <w:pPr>
        <w:spacing w:before="120" w:after="120"/>
        <w:jc w:val="both"/>
      </w:pPr>
      <w:r w:rsidRPr="00E64A4B">
        <w:t>Les travaux de la minga sont essentiellement des travaux d'améli</w:t>
      </w:r>
      <w:r w:rsidRPr="00E64A4B">
        <w:t>o</w:t>
      </w:r>
      <w:r w:rsidRPr="00E64A4B">
        <w:t>ration de l'infrastructure rurale : il peut s'agir de tracer un sentier, de l'empierrer, de nettoyer les abords des cours d'eau pour les rendre plus accessibles aux embarcations, etc. Pour entrepre</w:t>
      </w:r>
      <w:r w:rsidRPr="00E64A4B">
        <w:t>n</w:t>
      </w:r>
      <w:r w:rsidRPr="00E64A4B">
        <w:t>dre une minga, il faut d'abord nommer un comité organisateur de trois membres qui se chargera de recruter un contremaître pour les travaux en tant que tel et une cuisinière en chef en charge des r</w:t>
      </w:r>
      <w:r w:rsidRPr="00E64A4B">
        <w:t>e</w:t>
      </w:r>
      <w:r w:rsidRPr="00E64A4B">
        <w:t>pas et collations offerts tout au cours de la journée que dure la minga. Il faudra aviser les participa</w:t>
      </w:r>
      <w:r w:rsidRPr="00E64A4B">
        <w:t>n</w:t>
      </w:r>
      <w:r w:rsidRPr="00E64A4B">
        <w:t>tes et les participants du lieu et de la date des travaux. Dans certains groupes, il faut aussi pr</w:t>
      </w:r>
      <w:r w:rsidRPr="00E64A4B">
        <w:t>é</w:t>
      </w:r>
      <w:r w:rsidRPr="00E64A4B">
        <w:t xml:space="preserve">voir d'offrir le </w:t>
      </w:r>
      <w:r w:rsidRPr="00E64A4B">
        <w:rPr>
          <w:i/>
          <w:iCs/>
        </w:rPr>
        <w:t>huarapo</w:t>
      </w:r>
      <w:r w:rsidRPr="00E64A4B">
        <w:t xml:space="preserve"> (alcool de canne à sucre), pratique trad</w:t>
      </w:r>
      <w:r w:rsidRPr="00E64A4B">
        <w:t>i</w:t>
      </w:r>
      <w:r w:rsidRPr="00E64A4B">
        <w:t>tionnelle associée à la minga. Il importe enfin de lever les fonds nécessaires à l'achat des victuailles et d'un prix de pr</w:t>
      </w:r>
      <w:r w:rsidRPr="00E64A4B">
        <w:t>é</w:t>
      </w:r>
      <w:r w:rsidRPr="00E64A4B">
        <w:t>sence. Bref, tout un ensemble de tâches bien diversifiées, mais toutes orientées vers un seul et même objectif, constitue l'armature de la minga. Lorsqu'il a été question de s'engager dans un processus de RAP, des membres de l'association, reprenant une idée qui avait émergé à l'Instituto Mayor Campesino (IMCA), un collège d'agr</w:t>
      </w:r>
      <w:r w:rsidRPr="00E64A4B">
        <w:t>i</w:t>
      </w:r>
      <w:r w:rsidRPr="00E64A4B">
        <w:t xml:space="preserve">culture expérimentale de la région de Cali, ont proposé la formule de la </w:t>
      </w:r>
      <w:r w:rsidRPr="00E64A4B">
        <w:rPr>
          <w:i/>
          <w:iCs/>
        </w:rPr>
        <w:t>minga investigativa</w:t>
      </w:r>
      <w:r w:rsidRPr="00E64A4B">
        <w:t xml:space="preserve"> ou minga de recherche (IMCA 1990).</w:t>
      </w:r>
    </w:p>
    <w:p w:rsidR="00B7214C" w:rsidRPr="00E64A4B" w:rsidRDefault="00B7214C" w:rsidP="00B7214C">
      <w:pPr>
        <w:spacing w:before="120" w:after="120"/>
        <w:jc w:val="both"/>
      </w:pPr>
      <w:r w:rsidRPr="00E64A4B">
        <w:t>[357]</w:t>
      </w:r>
    </w:p>
    <w:p w:rsidR="00B7214C" w:rsidRPr="00E64A4B" w:rsidRDefault="00B7214C" w:rsidP="00B7214C">
      <w:pPr>
        <w:spacing w:before="120" w:after="120"/>
        <w:jc w:val="both"/>
      </w:pPr>
      <w:r w:rsidRPr="00E64A4B">
        <w:t>Le parallèle entre la minga proprement dite et la minga de reche</w:t>
      </w:r>
      <w:r w:rsidRPr="00E64A4B">
        <w:t>r</w:t>
      </w:r>
      <w:r w:rsidRPr="00E64A4B">
        <w:t>che a été facile à établir pour la paysannerie déjà membre de l'associ</w:t>
      </w:r>
      <w:r w:rsidRPr="00E64A4B">
        <w:t>a</w:t>
      </w:r>
      <w:r w:rsidRPr="00E64A4B">
        <w:t>tion. Pour organiser une minga de recherche, il faut un comité de r</w:t>
      </w:r>
      <w:r w:rsidRPr="00E64A4B">
        <w:t>e</w:t>
      </w:r>
      <w:r w:rsidRPr="00E64A4B">
        <w:t>cherche. Ensuite, il faut identifier un type de probl</w:t>
      </w:r>
      <w:r w:rsidRPr="00E64A4B">
        <w:t>è</w:t>
      </w:r>
      <w:r w:rsidRPr="00E64A4B">
        <w:t>me sur lequel on veut travailler et des objectifs à atteindre tout comme s'il s'agissait de constater qu'un sentier, par exemple, est devenu dangereux et qu'il est temps de le réparer afin d'assurer la sécurité de la population. Il faut aussi recruter des participants et participantes dont la fonction sera de recueillir les données pe</w:t>
      </w:r>
      <w:r w:rsidRPr="00E64A4B">
        <w:t>r</w:t>
      </w:r>
      <w:r w:rsidRPr="00E64A4B">
        <w:t>mettant de documenter la situation. Il faut aussi chercher des fonds permettant aux chercheurs paysans de se d</w:t>
      </w:r>
      <w:r w:rsidRPr="00E64A4B">
        <w:t>é</w:t>
      </w:r>
      <w:r w:rsidRPr="00E64A4B">
        <w:t>placer et de se faire remplacer aux travaux agricoles pendant les jou</w:t>
      </w:r>
      <w:r w:rsidRPr="00E64A4B">
        <w:t>r</w:t>
      </w:r>
      <w:r w:rsidRPr="00E64A4B">
        <w:t>nées qu'ils et elles consacrent à la minga de recherche. Enfin, il faut conc</w:t>
      </w:r>
      <w:r w:rsidRPr="00E64A4B">
        <w:t>e</w:t>
      </w:r>
      <w:r w:rsidRPr="00E64A4B">
        <w:t>voir des façons d'en faire profiter l'ensemble de la population par un retour des données et par leur interprétation.</w:t>
      </w:r>
    </w:p>
    <w:p w:rsidR="00B7214C" w:rsidRPr="00E64A4B" w:rsidRDefault="00B7214C" w:rsidP="00B7214C">
      <w:pPr>
        <w:spacing w:before="120" w:after="120"/>
        <w:jc w:val="both"/>
      </w:pPr>
      <w:r w:rsidRPr="00E64A4B">
        <w:t>Bien que cette démarche présente certaines variantes par ra</w:t>
      </w:r>
      <w:r w:rsidRPr="00E64A4B">
        <w:t>p</w:t>
      </w:r>
      <w:r w:rsidRPr="00E64A4B">
        <w:t>port à celle décrite dans la littérature sur le sujet, elle englobe les étapes g</w:t>
      </w:r>
      <w:r w:rsidRPr="00E64A4B">
        <w:t>é</w:t>
      </w:r>
      <w:r w:rsidRPr="00E64A4B">
        <w:t>néralement reconnues de la RAP : identification collective du probl</w:t>
      </w:r>
      <w:r w:rsidRPr="00E64A4B">
        <w:t>è</w:t>
      </w:r>
      <w:r w:rsidRPr="00E64A4B">
        <w:t>me à étudier ; analyse de la meilleure façon de conduire l'étude ; pl</w:t>
      </w:r>
      <w:r w:rsidRPr="00E64A4B">
        <w:t>a</w:t>
      </w:r>
      <w:r w:rsidRPr="00E64A4B">
        <w:t>nification du travail concret ; acquisition de ressources ; mise en ma</w:t>
      </w:r>
      <w:r w:rsidRPr="00E64A4B">
        <w:t>r</w:t>
      </w:r>
      <w:r w:rsidRPr="00E64A4B">
        <w:t>che ; analyse et évaluation de l'étude ; diffusion des résultats et int</w:t>
      </w:r>
      <w:r w:rsidRPr="00E64A4B">
        <w:t>é</w:t>
      </w:r>
      <w:r w:rsidRPr="00E64A4B">
        <w:t>gration de ces derniers dans l'élabor</w:t>
      </w:r>
      <w:r w:rsidRPr="00E64A4B">
        <w:t>a</w:t>
      </w:r>
      <w:r w:rsidRPr="00E64A4B">
        <w:t>tion de solutions au problème de départ (Reason et Rowan, 1981 dans Ramphele, 1990, p. 2).</w:t>
      </w:r>
    </w:p>
    <w:p w:rsidR="00B7214C" w:rsidRPr="00E64A4B" w:rsidRDefault="00B7214C" w:rsidP="00B7214C">
      <w:pPr>
        <w:spacing w:before="120" w:after="120"/>
        <w:jc w:val="both"/>
      </w:pPr>
      <w:r w:rsidRPr="00E64A4B">
        <w:t>Lorsque le processus de recherche a commencé, l'association comptait trois coopératives situées dans trois sous-régions diff</w:t>
      </w:r>
      <w:r w:rsidRPr="00E64A4B">
        <w:t>é</w:t>
      </w:r>
      <w:r w:rsidRPr="00E64A4B">
        <w:t>rentes. Il fut donc décidé que le processus serait mené de façon plus ou moins indépendante dans chacune de ces régions mais selon la même stru</w:t>
      </w:r>
      <w:r w:rsidRPr="00E64A4B">
        <w:t>c</w:t>
      </w:r>
      <w:r w:rsidRPr="00E64A4B">
        <w:t>ture et suivant en gros la même programm</w:t>
      </w:r>
      <w:r w:rsidRPr="00E64A4B">
        <w:t>a</w:t>
      </w:r>
      <w:r w:rsidRPr="00E64A4B">
        <w:t>tion. Chacune des mingas de recherche aurait un cycle de six mois. Elle serait composée initi</w:t>
      </w:r>
      <w:r w:rsidRPr="00E64A4B">
        <w:t>a</w:t>
      </w:r>
      <w:r w:rsidRPr="00E64A4B">
        <w:t>lement d'un noyau de chercheurs paysans, de chercheurs professio</w:t>
      </w:r>
      <w:r w:rsidRPr="00E64A4B">
        <w:t>n</w:t>
      </w:r>
      <w:r w:rsidRPr="00E64A4B">
        <w:t>nels et enfin de chercheurs ac</w:t>
      </w:r>
      <w:r w:rsidRPr="00E64A4B">
        <w:t>a</w:t>
      </w:r>
      <w:r w:rsidRPr="00E64A4B">
        <w:t>démiques. Chacun des membres paysans du noyau initial serait titulaire du prochain cycle de mingas de sorte que lors du deuxième cycle de six mois, neuf mingas de r</w:t>
      </w:r>
      <w:r w:rsidRPr="00E64A4B">
        <w:t>e</w:t>
      </w:r>
      <w:r w:rsidRPr="00E64A4B">
        <w:t>cherche seraient en cours dans les trois sous-régions. L'objectif visé est en fait d'impliquer graduellement l'ensemble de la population. Ce</w:t>
      </w:r>
      <w:r w:rsidRPr="00E64A4B">
        <w:t>t</w:t>
      </w:r>
      <w:r w:rsidRPr="00E64A4B">
        <w:t>te démarche re</w:t>
      </w:r>
      <w:r w:rsidRPr="00E64A4B">
        <w:t>s</w:t>
      </w:r>
      <w:r w:rsidRPr="00E64A4B">
        <w:t>pecte d'ailleurs d'autres expériences de RAP. On a en effet const</w:t>
      </w:r>
      <w:r w:rsidRPr="00E64A4B">
        <w:t>a</w:t>
      </w:r>
      <w:r w:rsidRPr="00E64A4B">
        <w:t>té qu'en général, la RAP commence à petite échelle et se développe à travers une spirale autoréflexive - soit une spirale de pl</w:t>
      </w:r>
      <w:r w:rsidRPr="00E64A4B">
        <w:t>a</w:t>
      </w:r>
      <w:r w:rsidRPr="00E64A4B">
        <w:t>nif</w:t>
      </w:r>
      <w:r w:rsidRPr="00E64A4B">
        <w:t>i</w:t>
      </w:r>
      <w:r w:rsidRPr="00E64A4B">
        <w:t>cation, d'action, d'observation et de réflexion. Graduellement, à mesure que la RAP prend de l'envergure, le groupe devrait attirer de plus en plus de participants (McTaggart, 1991, p. 175).</w:t>
      </w:r>
    </w:p>
    <w:p w:rsidR="00B7214C" w:rsidRPr="00E64A4B" w:rsidRDefault="00B7214C" w:rsidP="00B7214C">
      <w:pPr>
        <w:spacing w:before="120" w:after="120"/>
        <w:jc w:val="both"/>
      </w:pPr>
      <w:r w:rsidRPr="00E64A4B">
        <w:t>Pour reprendre la problématique développée dans la partie préc</w:t>
      </w:r>
      <w:r w:rsidRPr="00E64A4B">
        <w:t>é</w:t>
      </w:r>
      <w:r w:rsidRPr="00E64A4B">
        <w:t>dente, il faut constater que la littérature qui traite de l'organis</w:t>
      </w:r>
      <w:r w:rsidRPr="00E64A4B">
        <w:t>a</w:t>
      </w:r>
      <w:r w:rsidRPr="00E64A4B">
        <w:t>tion concrète de la RAP ne considère pas toujours l'ensemble des facteurs hiérarchiques</w:t>
      </w:r>
      <w:r>
        <w:t xml:space="preserve"> </w:t>
      </w:r>
      <w:r w:rsidRPr="00E64A4B">
        <w:t>[358]</w:t>
      </w:r>
      <w:r>
        <w:t xml:space="preserve"> </w:t>
      </w:r>
      <w:r w:rsidRPr="00E64A4B">
        <w:t>susceptibles de se combiner pour définir une s</w:t>
      </w:r>
      <w:r w:rsidRPr="00E64A4B">
        <w:t>i</w:t>
      </w:r>
      <w:r w:rsidRPr="00E64A4B">
        <w:t>tuation de domin</w:t>
      </w:r>
      <w:r w:rsidRPr="00E64A4B">
        <w:t>a</w:t>
      </w:r>
      <w:r w:rsidRPr="00E64A4B">
        <w:t>tion. Cette absence de balises organisationnelles pour la prise en compte de l'ensemble des facteurs hiérarchiques, y compris les ra</w:t>
      </w:r>
      <w:r w:rsidRPr="00E64A4B">
        <w:t>p</w:t>
      </w:r>
      <w:r w:rsidRPr="00E64A4B">
        <w:t>ports sociaux de sexe, a donné lieu à l'exploration et l'expér</w:t>
      </w:r>
      <w:r w:rsidRPr="00E64A4B">
        <w:t>i</w:t>
      </w:r>
      <w:r w:rsidRPr="00E64A4B">
        <w:t>mentation d'une méthodologie originale au sein des mingas de recherche.</w:t>
      </w:r>
    </w:p>
    <w:p w:rsidR="00B7214C" w:rsidRPr="00E64A4B" w:rsidRDefault="00B7214C" w:rsidP="00B7214C">
      <w:pPr>
        <w:spacing w:before="120" w:after="120"/>
        <w:jc w:val="both"/>
      </w:pPr>
      <w:r w:rsidRPr="00E64A4B">
        <w:t>Dans la recherche précédente, les membres de mon équipe et moi-même, lors de nos contacts étroits avec le comité d'éducation de la coopérative, avions souvent souligné l'intérêt que présente la prise en compte des facteurs genres et générations pour compre</w:t>
      </w:r>
      <w:r w:rsidRPr="00E64A4B">
        <w:t>n</w:t>
      </w:r>
      <w:r w:rsidRPr="00E64A4B">
        <w:t>dre les effets des projets de développement au sein de la popul</w:t>
      </w:r>
      <w:r w:rsidRPr="00E64A4B">
        <w:t>a</w:t>
      </w:r>
      <w:r w:rsidRPr="00E64A4B">
        <w:t xml:space="preserve">tion. Simultanément à ces interventions, d'autres groupes comme la </w:t>
      </w:r>
      <w:r w:rsidRPr="00E64A4B">
        <w:rPr>
          <w:i/>
          <w:iCs/>
        </w:rPr>
        <w:t>Pastoral Social,</w:t>
      </w:r>
      <w:r w:rsidRPr="00E64A4B">
        <w:t xml:space="preserve"> ont insisté sur la condition des femmes. À la suite de cette sensibilisation, un groupe de femmes s'est réuni sp</w:t>
      </w:r>
      <w:r w:rsidRPr="00E64A4B">
        <w:t>o</w:t>
      </w:r>
      <w:r w:rsidRPr="00E64A4B">
        <w:t>radiquement pour réfléchir sur leur condition spécifique. Enfin, d'autres projets de promotion des femmes ont été présents dans la région. En bref, les chercheurs, tant paysans que professionnels et académiques, avaient tous, au départ et à des degrés différents, une certaine sensibilité pour la question des femmes et éventue</w:t>
      </w:r>
      <w:r w:rsidRPr="00E64A4B">
        <w:t>l</w:t>
      </w:r>
      <w:r w:rsidRPr="00E64A4B">
        <w:t>lement pour celle des rapports sociaux de sexe.</w:t>
      </w:r>
    </w:p>
    <w:p w:rsidR="00B7214C" w:rsidRPr="00E64A4B" w:rsidRDefault="00B7214C" w:rsidP="00B7214C">
      <w:pPr>
        <w:spacing w:before="120" w:after="120"/>
        <w:jc w:val="both"/>
      </w:pPr>
      <w:r w:rsidRPr="00E64A4B">
        <w:t>En plus de cette sensibilité, celle à l'endroit de la protection de l'environnement s'est également développée à l'époque de la mise sur pied des mingas de recherche. La région visée connaît de graves pr</w:t>
      </w:r>
      <w:r w:rsidRPr="00E64A4B">
        <w:t>o</w:t>
      </w:r>
      <w:r w:rsidRPr="00E64A4B">
        <w:t>blèmes écologiques que j'ai évoqués plus haut lorsque j'ai rapporté l'incident du glissement de terrain à La Cocha. Cet incident n'est nu</w:t>
      </w:r>
      <w:r w:rsidRPr="00E64A4B">
        <w:t>l</w:t>
      </w:r>
      <w:r w:rsidRPr="00E64A4B">
        <w:t>lement naturel et provient précisément du fait que les pentes du lac ont été déboisées. Le déboisement est aussi un grave problème dans les autres sous-régions où il a contribué à assécher le climat. De multiples institutions nationales sont présentes dans la région et sanctionnent les paysans qui contreviennent aux inte</w:t>
      </w:r>
      <w:r w:rsidRPr="00E64A4B">
        <w:t>r</w:t>
      </w:r>
      <w:r w:rsidRPr="00E64A4B">
        <w:t>dictions de déboiser ou qui ne se soucient pas d'obtenir les permis nécessaires. Des organisations inte</w:t>
      </w:r>
      <w:r w:rsidRPr="00E64A4B">
        <w:t>r</w:t>
      </w:r>
      <w:r w:rsidRPr="00E64A4B">
        <w:t>nationales interviennent ég</w:t>
      </w:r>
      <w:r w:rsidRPr="00E64A4B">
        <w:t>a</w:t>
      </w:r>
      <w:r w:rsidRPr="00E64A4B">
        <w:t>lement à travers des associations locales d'écologistes. L'association pour le développement paysan réunit d'ai</w:t>
      </w:r>
      <w:r w:rsidRPr="00E64A4B">
        <w:t>l</w:t>
      </w:r>
      <w:r w:rsidRPr="00E64A4B">
        <w:t>leurs en son sein un groupe voué à la protection des réserves nature</w:t>
      </w:r>
      <w:r w:rsidRPr="00E64A4B">
        <w:t>l</w:t>
      </w:r>
      <w:r w:rsidRPr="00E64A4B">
        <w:t>les privées. Ainsi, le développement durable, expression aussi à la mode dans les Andes colombiennes, est d'emblée devenu un autre fa</w:t>
      </w:r>
      <w:r w:rsidRPr="00E64A4B">
        <w:t>c</w:t>
      </w:r>
      <w:r w:rsidRPr="00E64A4B">
        <w:t>teur que les chercheurs des mingas ont décidé d'intégrer dans leurs préoccup</w:t>
      </w:r>
      <w:r w:rsidRPr="00E64A4B">
        <w:t>a</w:t>
      </w:r>
      <w:r w:rsidRPr="00E64A4B">
        <w:t>tions.</w:t>
      </w:r>
    </w:p>
    <w:p w:rsidR="00B7214C" w:rsidRPr="00E64A4B" w:rsidRDefault="00B7214C" w:rsidP="00B7214C">
      <w:pPr>
        <w:spacing w:before="120" w:after="120"/>
        <w:jc w:val="both"/>
      </w:pPr>
      <w:r w:rsidRPr="00E64A4B">
        <w:t>Localement, une des premières étapes de la RAP a consisté à ide</w:t>
      </w:r>
      <w:r w:rsidRPr="00E64A4B">
        <w:t>n</w:t>
      </w:r>
      <w:r w:rsidRPr="00E64A4B">
        <w:t>tifier et à systématiser l'ensemble des facteurs et des rapports sociaux dont les chercheurs allaient devoir tenir compte dans to</w:t>
      </w:r>
      <w:r w:rsidRPr="00E64A4B">
        <w:t>u</w:t>
      </w:r>
      <w:r w:rsidRPr="00E64A4B">
        <w:t>te démarche ultérieure. Il s'agit de la strate économique, de la production, des a</w:t>
      </w:r>
      <w:r w:rsidRPr="00E64A4B">
        <w:t>l</w:t>
      </w:r>
      <w:r w:rsidRPr="00E64A4B">
        <w:t>ternatives de production, de l'environnement, des rapports entre les générations et des rapports entre les genres.</w:t>
      </w:r>
    </w:p>
    <w:p w:rsidR="00B7214C" w:rsidRPr="00E64A4B" w:rsidRDefault="00B7214C" w:rsidP="00B7214C">
      <w:pPr>
        <w:spacing w:before="120" w:after="120"/>
        <w:jc w:val="both"/>
      </w:pPr>
      <w:r w:rsidRPr="00E64A4B">
        <w:t>[359]</w:t>
      </w:r>
    </w:p>
    <w:p w:rsidR="00B7214C" w:rsidRPr="00E64A4B" w:rsidRDefault="00B7214C" w:rsidP="00B7214C">
      <w:pPr>
        <w:spacing w:before="120" w:after="120"/>
        <w:jc w:val="both"/>
      </w:pPr>
      <w:r w:rsidRPr="00E64A4B">
        <w:t>Prenons par exemple le cas d'une équipe de la sous-région de Y</w:t>
      </w:r>
      <w:r w:rsidRPr="00E64A4B">
        <w:t>a</w:t>
      </w:r>
      <w:r w:rsidRPr="00E64A4B">
        <w:t>cuanquer. Influencés par le visionnement d'un film sur le sujet, les chercheurs se sont entendus sur la proposition de recherche suivante : « La mauvaise gestion des ressources naturelles a provoqué la rareté de l'eau ». La méthodologie complexe retenue s'est exprimée sous la figure toute simple d'arêtes de poisson. Elle a été visualisée de la f</w:t>
      </w:r>
      <w:r w:rsidRPr="00E64A4B">
        <w:t>a</w:t>
      </w:r>
      <w:r w:rsidRPr="00E64A4B">
        <w:t>çon suivante :</w:t>
      </w:r>
    </w:p>
    <w:p w:rsidR="00B7214C" w:rsidRDefault="00B7214C" w:rsidP="00B7214C">
      <w:pPr>
        <w:spacing w:before="120" w:after="120"/>
        <w:jc w:val="both"/>
      </w:pPr>
    </w:p>
    <w:p w:rsidR="00B7214C" w:rsidRPr="00E64A4B" w:rsidRDefault="00B7214C" w:rsidP="00B7214C">
      <w:pPr>
        <w:spacing w:before="120" w:after="120"/>
        <w:jc w:val="both"/>
      </w:pPr>
    </w:p>
    <w:tbl>
      <w:tblPr>
        <w:tblW w:w="0" w:type="auto"/>
        <w:tblLook w:val="00BF" w:firstRow="1" w:lastRow="0" w:firstColumn="1" w:lastColumn="0" w:noHBand="0" w:noVBand="0"/>
      </w:tblPr>
      <w:tblGrid>
        <w:gridCol w:w="2363"/>
        <w:gridCol w:w="2296"/>
        <w:gridCol w:w="2016"/>
        <w:gridCol w:w="1461"/>
      </w:tblGrid>
      <w:tr w:rsidR="00B7214C" w:rsidRPr="00E64A4B">
        <w:tc>
          <w:tcPr>
            <w:tcW w:w="2363" w:type="dxa"/>
            <w:tcBorders>
              <w:top w:val="single" w:sz="12" w:space="0" w:color="auto"/>
              <w:bottom w:val="single" w:sz="12" w:space="0" w:color="auto"/>
            </w:tcBorders>
            <w:shd w:val="clear" w:color="auto" w:fill="EDEAD1"/>
          </w:tcPr>
          <w:p w:rsidR="00B7214C" w:rsidRPr="0041309E" w:rsidRDefault="00B7214C" w:rsidP="00B7214C">
            <w:pPr>
              <w:spacing w:before="60" w:after="60"/>
              <w:ind w:firstLine="0"/>
              <w:jc w:val="both"/>
              <w:rPr>
                <w:sz w:val="20"/>
              </w:rPr>
            </w:pPr>
            <w:r w:rsidRPr="0041309E">
              <w:rPr>
                <w:sz w:val="20"/>
              </w:rPr>
              <w:t>STRATE</w:t>
            </w:r>
            <w:r w:rsidRPr="0041309E">
              <w:rPr>
                <w:sz w:val="20"/>
              </w:rPr>
              <w:br/>
              <w:t>ÉCONOM</w:t>
            </w:r>
            <w:r w:rsidRPr="0041309E">
              <w:rPr>
                <w:sz w:val="20"/>
              </w:rPr>
              <w:t>I</w:t>
            </w:r>
            <w:r w:rsidRPr="0041309E">
              <w:rPr>
                <w:sz w:val="20"/>
              </w:rPr>
              <w:t>QUE</w:t>
            </w:r>
          </w:p>
        </w:tc>
        <w:tc>
          <w:tcPr>
            <w:tcW w:w="2296" w:type="dxa"/>
            <w:tcBorders>
              <w:top w:val="single" w:sz="12" w:space="0" w:color="auto"/>
              <w:bottom w:val="single" w:sz="12" w:space="0" w:color="auto"/>
            </w:tcBorders>
            <w:shd w:val="clear" w:color="auto" w:fill="EDEAD1"/>
          </w:tcPr>
          <w:p w:rsidR="00B7214C" w:rsidRPr="0041309E" w:rsidRDefault="00B7214C" w:rsidP="00B7214C">
            <w:pPr>
              <w:spacing w:before="60" w:after="60"/>
              <w:ind w:firstLine="0"/>
              <w:jc w:val="both"/>
              <w:rPr>
                <w:sz w:val="20"/>
              </w:rPr>
            </w:pPr>
            <w:r w:rsidRPr="0041309E">
              <w:rPr>
                <w:sz w:val="20"/>
              </w:rPr>
              <w:t>ENVIRONN</w:t>
            </w:r>
            <w:r w:rsidRPr="0041309E">
              <w:rPr>
                <w:sz w:val="20"/>
              </w:rPr>
              <w:t>E</w:t>
            </w:r>
            <w:r w:rsidRPr="0041309E">
              <w:rPr>
                <w:sz w:val="20"/>
              </w:rPr>
              <w:t>MENT</w:t>
            </w:r>
          </w:p>
        </w:tc>
        <w:tc>
          <w:tcPr>
            <w:tcW w:w="2016" w:type="dxa"/>
            <w:tcBorders>
              <w:top w:val="single" w:sz="12" w:space="0" w:color="auto"/>
              <w:bottom w:val="single" w:sz="12" w:space="0" w:color="auto"/>
            </w:tcBorders>
            <w:shd w:val="clear" w:color="auto" w:fill="EDEAD1"/>
          </w:tcPr>
          <w:p w:rsidR="00B7214C" w:rsidRPr="0041309E" w:rsidRDefault="00B7214C" w:rsidP="00B7214C">
            <w:pPr>
              <w:spacing w:before="60" w:after="60"/>
              <w:ind w:firstLine="0"/>
              <w:jc w:val="both"/>
              <w:rPr>
                <w:sz w:val="20"/>
              </w:rPr>
            </w:pPr>
            <w:r w:rsidRPr="0041309E">
              <w:rPr>
                <w:sz w:val="20"/>
              </w:rPr>
              <w:t>PRODU</w:t>
            </w:r>
            <w:r w:rsidRPr="0041309E">
              <w:rPr>
                <w:sz w:val="20"/>
              </w:rPr>
              <w:t>C</w:t>
            </w:r>
            <w:r w:rsidRPr="0041309E">
              <w:rPr>
                <w:sz w:val="20"/>
              </w:rPr>
              <w:t>TION</w:t>
            </w:r>
          </w:p>
        </w:tc>
        <w:tc>
          <w:tcPr>
            <w:tcW w:w="1461" w:type="dxa"/>
            <w:tcBorders>
              <w:top w:val="single" w:sz="12" w:space="0" w:color="auto"/>
              <w:bottom w:val="single" w:sz="12" w:space="0" w:color="auto"/>
            </w:tcBorders>
            <w:shd w:val="clear" w:color="auto" w:fill="EDEAD1"/>
          </w:tcPr>
          <w:p w:rsidR="00B7214C" w:rsidRPr="0041309E" w:rsidRDefault="00B7214C" w:rsidP="00B7214C">
            <w:pPr>
              <w:spacing w:before="60" w:after="60"/>
              <w:ind w:firstLine="0"/>
              <w:jc w:val="both"/>
              <w:rPr>
                <w:sz w:val="20"/>
              </w:rPr>
            </w:pPr>
          </w:p>
        </w:tc>
      </w:tr>
      <w:tr w:rsidR="00B7214C" w:rsidRPr="00E64A4B">
        <w:tc>
          <w:tcPr>
            <w:tcW w:w="2363" w:type="dxa"/>
            <w:tcBorders>
              <w:top w:val="single" w:sz="12" w:space="0" w:color="auto"/>
            </w:tcBorders>
          </w:tcPr>
          <w:p w:rsidR="00B7214C" w:rsidRPr="0041309E" w:rsidRDefault="00B7214C" w:rsidP="00B7214C">
            <w:pPr>
              <w:spacing w:before="60" w:after="60"/>
              <w:ind w:firstLine="0"/>
              <w:rPr>
                <w:sz w:val="20"/>
              </w:rPr>
            </w:pPr>
            <w:r w:rsidRPr="0041309E">
              <w:rPr>
                <w:sz w:val="20"/>
              </w:rPr>
              <w:t>politiques</w:t>
            </w:r>
            <w:r w:rsidRPr="0041309E">
              <w:rPr>
                <w:sz w:val="20"/>
              </w:rPr>
              <w:br/>
              <w:t>économiques</w:t>
            </w:r>
          </w:p>
          <w:p w:rsidR="00B7214C" w:rsidRPr="0041309E" w:rsidRDefault="00B7214C" w:rsidP="00B7214C">
            <w:pPr>
              <w:spacing w:before="60" w:after="60"/>
              <w:ind w:firstLine="0"/>
              <w:rPr>
                <w:sz w:val="20"/>
              </w:rPr>
            </w:pPr>
          </w:p>
        </w:tc>
        <w:tc>
          <w:tcPr>
            <w:tcW w:w="2296" w:type="dxa"/>
            <w:tcBorders>
              <w:top w:val="single" w:sz="12" w:space="0" w:color="auto"/>
            </w:tcBorders>
          </w:tcPr>
          <w:p w:rsidR="00B7214C" w:rsidRPr="0041309E" w:rsidRDefault="00B7214C" w:rsidP="00B7214C">
            <w:pPr>
              <w:spacing w:before="60" w:after="60"/>
              <w:ind w:firstLine="0"/>
              <w:rPr>
                <w:sz w:val="20"/>
              </w:rPr>
            </w:pPr>
            <w:r w:rsidRPr="0041309E">
              <w:rPr>
                <w:sz w:val="20"/>
              </w:rPr>
              <w:t>vents plus forts rar</w:t>
            </w:r>
            <w:r w:rsidRPr="0041309E">
              <w:rPr>
                <w:sz w:val="20"/>
              </w:rPr>
              <w:t>e</w:t>
            </w:r>
            <w:r w:rsidRPr="0041309E">
              <w:rPr>
                <w:sz w:val="20"/>
              </w:rPr>
              <w:t>té des pluies manque de terres</w:t>
            </w:r>
          </w:p>
        </w:tc>
        <w:tc>
          <w:tcPr>
            <w:tcW w:w="2016" w:type="dxa"/>
            <w:tcBorders>
              <w:top w:val="single" w:sz="12" w:space="0" w:color="auto"/>
            </w:tcBorders>
          </w:tcPr>
          <w:p w:rsidR="00B7214C" w:rsidRPr="0041309E" w:rsidRDefault="00B7214C" w:rsidP="00B7214C">
            <w:pPr>
              <w:spacing w:before="60" w:after="60"/>
              <w:ind w:firstLine="0"/>
              <w:rPr>
                <w:sz w:val="20"/>
              </w:rPr>
            </w:pPr>
            <w:r w:rsidRPr="0041309E">
              <w:rPr>
                <w:sz w:val="20"/>
              </w:rPr>
              <w:t>formes de culture mauvais usage des sols mauvais us</w:t>
            </w:r>
            <w:r w:rsidRPr="0041309E">
              <w:rPr>
                <w:sz w:val="20"/>
              </w:rPr>
              <w:t>a</w:t>
            </w:r>
            <w:r w:rsidRPr="0041309E">
              <w:rPr>
                <w:sz w:val="20"/>
              </w:rPr>
              <w:t>ge des déchets</w:t>
            </w:r>
          </w:p>
        </w:tc>
        <w:tc>
          <w:tcPr>
            <w:tcW w:w="1461" w:type="dxa"/>
            <w:tcBorders>
              <w:top w:val="single" w:sz="12" w:space="0" w:color="auto"/>
            </w:tcBorders>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p>
        </w:tc>
        <w:tc>
          <w:tcPr>
            <w:tcW w:w="2296" w:type="dxa"/>
          </w:tcPr>
          <w:p w:rsidR="00B7214C" w:rsidRPr="0041309E" w:rsidRDefault="00B7214C" w:rsidP="00B7214C">
            <w:pPr>
              <w:spacing w:before="60" w:after="60"/>
              <w:ind w:firstLine="0"/>
              <w:rPr>
                <w:sz w:val="20"/>
              </w:rPr>
            </w:pPr>
            <w:r w:rsidRPr="0041309E">
              <w:rPr>
                <w:sz w:val="20"/>
              </w:rPr>
              <w:t>reboisement avec des espèces non ind</w:t>
            </w:r>
            <w:r w:rsidRPr="0041309E">
              <w:rPr>
                <w:sz w:val="20"/>
              </w:rPr>
              <w:t>i</w:t>
            </w:r>
            <w:r w:rsidRPr="0041309E">
              <w:rPr>
                <w:sz w:val="20"/>
              </w:rPr>
              <w:t>gènes</w:t>
            </w:r>
          </w:p>
        </w:tc>
        <w:tc>
          <w:tcPr>
            <w:tcW w:w="2016" w:type="dxa"/>
          </w:tcPr>
          <w:p w:rsidR="00B7214C" w:rsidRPr="0041309E" w:rsidRDefault="00B7214C" w:rsidP="00B7214C">
            <w:pPr>
              <w:spacing w:before="60" w:after="60"/>
              <w:ind w:firstLine="0"/>
              <w:rPr>
                <w:sz w:val="20"/>
              </w:rPr>
            </w:pPr>
            <w:r w:rsidRPr="0041309E">
              <w:rPr>
                <w:sz w:val="20"/>
              </w:rPr>
              <w:t>usage de produits chim</w:t>
            </w:r>
            <w:r w:rsidRPr="0041309E">
              <w:rPr>
                <w:sz w:val="20"/>
              </w:rPr>
              <w:t>i</w:t>
            </w:r>
            <w:r w:rsidRPr="0041309E">
              <w:rPr>
                <w:sz w:val="20"/>
              </w:rPr>
              <w:t xml:space="preserve">ques </w:t>
            </w:r>
          </w:p>
        </w:tc>
        <w:tc>
          <w:tcPr>
            <w:tcW w:w="1461" w:type="dxa"/>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p>
        </w:tc>
        <w:tc>
          <w:tcPr>
            <w:tcW w:w="2296" w:type="dxa"/>
          </w:tcPr>
          <w:p w:rsidR="00B7214C" w:rsidRPr="0041309E" w:rsidRDefault="00B7214C" w:rsidP="00B7214C">
            <w:pPr>
              <w:spacing w:before="60" w:after="60"/>
              <w:ind w:firstLine="0"/>
              <w:rPr>
                <w:sz w:val="20"/>
              </w:rPr>
            </w:pPr>
            <w:r w:rsidRPr="0041309E">
              <w:rPr>
                <w:sz w:val="20"/>
              </w:rPr>
              <w:t>ignorance des cons</w:t>
            </w:r>
            <w:r w:rsidRPr="0041309E">
              <w:rPr>
                <w:sz w:val="20"/>
              </w:rPr>
              <w:t>é</w:t>
            </w:r>
            <w:r w:rsidRPr="0041309E">
              <w:rPr>
                <w:sz w:val="20"/>
              </w:rPr>
              <w:t>quences de la coupe</w:t>
            </w:r>
            <w:r w:rsidRPr="0041309E">
              <w:rPr>
                <w:sz w:val="20"/>
              </w:rPr>
              <w:br/>
              <w:t>conséquences de la coupe</w:t>
            </w:r>
          </w:p>
        </w:tc>
        <w:tc>
          <w:tcPr>
            <w:tcW w:w="2016" w:type="dxa"/>
          </w:tcPr>
          <w:p w:rsidR="00B7214C" w:rsidRPr="0041309E" w:rsidRDefault="00B7214C" w:rsidP="00B7214C">
            <w:pPr>
              <w:spacing w:before="60" w:after="60"/>
              <w:ind w:firstLine="0"/>
              <w:rPr>
                <w:sz w:val="20"/>
              </w:rPr>
            </w:pPr>
            <w:r w:rsidRPr="0041309E">
              <w:rPr>
                <w:sz w:val="20"/>
              </w:rPr>
              <w:t>ouverture de te</w:t>
            </w:r>
            <w:r w:rsidRPr="0041309E">
              <w:rPr>
                <w:sz w:val="20"/>
              </w:rPr>
              <w:t>r</w:t>
            </w:r>
            <w:r w:rsidRPr="0041309E">
              <w:rPr>
                <w:sz w:val="20"/>
              </w:rPr>
              <w:t>res pour l'agr</w:t>
            </w:r>
            <w:r w:rsidRPr="0041309E">
              <w:rPr>
                <w:sz w:val="20"/>
              </w:rPr>
              <w:t>i</w:t>
            </w:r>
            <w:r w:rsidRPr="0041309E">
              <w:rPr>
                <w:sz w:val="20"/>
              </w:rPr>
              <w:t>culture</w:t>
            </w:r>
          </w:p>
        </w:tc>
        <w:tc>
          <w:tcPr>
            <w:tcW w:w="1461" w:type="dxa"/>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p>
        </w:tc>
        <w:tc>
          <w:tcPr>
            <w:tcW w:w="2296" w:type="dxa"/>
          </w:tcPr>
          <w:p w:rsidR="00B7214C" w:rsidRPr="0041309E" w:rsidRDefault="00B7214C" w:rsidP="00B7214C">
            <w:pPr>
              <w:spacing w:before="60" w:after="60"/>
              <w:ind w:firstLine="0"/>
              <w:rPr>
                <w:sz w:val="20"/>
              </w:rPr>
            </w:pPr>
            <w:r w:rsidRPr="0041309E">
              <w:rPr>
                <w:sz w:val="20"/>
              </w:rPr>
              <w:t>le non-reboisement</w:t>
            </w:r>
          </w:p>
        </w:tc>
        <w:tc>
          <w:tcPr>
            <w:tcW w:w="2016" w:type="dxa"/>
          </w:tcPr>
          <w:p w:rsidR="00B7214C" w:rsidRPr="0041309E" w:rsidRDefault="00B7214C" w:rsidP="00B7214C">
            <w:pPr>
              <w:spacing w:before="60" w:after="60"/>
              <w:ind w:firstLine="0"/>
              <w:rPr>
                <w:sz w:val="20"/>
              </w:rPr>
            </w:pPr>
          </w:p>
        </w:tc>
        <w:tc>
          <w:tcPr>
            <w:tcW w:w="1461" w:type="dxa"/>
          </w:tcPr>
          <w:p w:rsidR="00B7214C" w:rsidRPr="0041309E" w:rsidRDefault="00B7214C" w:rsidP="00B7214C">
            <w:pPr>
              <w:spacing w:before="60" w:after="60"/>
              <w:ind w:firstLine="0"/>
              <w:rPr>
                <w:sz w:val="20"/>
              </w:rPr>
            </w:pPr>
          </w:p>
        </w:tc>
      </w:tr>
      <w:tr w:rsidR="00B7214C" w:rsidRPr="00E64A4B">
        <w:tc>
          <w:tcPr>
            <w:tcW w:w="2363" w:type="dxa"/>
            <w:tcBorders>
              <w:bottom w:val="single" w:sz="12" w:space="0" w:color="auto"/>
            </w:tcBorders>
          </w:tcPr>
          <w:p w:rsidR="00B7214C" w:rsidRDefault="00B7214C" w:rsidP="00B7214C">
            <w:pPr>
              <w:spacing w:before="60" w:after="60"/>
              <w:ind w:firstLine="0"/>
              <w:rPr>
                <w:sz w:val="20"/>
              </w:rPr>
            </w:pPr>
          </w:p>
          <w:p w:rsidR="00B7214C" w:rsidRPr="0041309E" w:rsidRDefault="00B7214C" w:rsidP="00B7214C">
            <w:pPr>
              <w:tabs>
                <w:tab w:val="bar" w:pos="900"/>
              </w:tabs>
              <w:spacing w:before="60" w:after="60"/>
              <w:ind w:firstLine="0"/>
              <w:rPr>
                <w:sz w:val="20"/>
              </w:rPr>
            </w:pPr>
          </w:p>
        </w:tc>
        <w:tc>
          <w:tcPr>
            <w:tcW w:w="2296" w:type="dxa"/>
            <w:tcBorders>
              <w:bottom w:val="single" w:sz="12" w:space="0" w:color="auto"/>
            </w:tcBorders>
          </w:tcPr>
          <w:p w:rsidR="00B7214C" w:rsidRPr="0041309E" w:rsidRDefault="00B7214C" w:rsidP="00B7214C">
            <w:pPr>
              <w:spacing w:before="60" w:after="60"/>
              <w:ind w:firstLine="0"/>
              <w:rPr>
                <w:sz w:val="20"/>
              </w:rPr>
            </w:pPr>
          </w:p>
          <w:p w:rsidR="00B7214C" w:rsidRPr="0041309E" w:rsidRDefault="00B7214C" w:rsidP="00B7214C">
            <w:pPr>
              <w:tabs>
                <w:tab w:val="bar" w:pos="1057"/>
              </w:tabs>
              <w:spacing w:before="60" w:after="60"/>
              <w:ind w:firstLine="0"/>
              <w:rPr>
                <w:sz w:val="20"/>
              </w:rPr>
            </w:pPr>
          </w:p>
        </w:tc>
        <w:tc>
          <w:tcPr>
            <w:tcW w:w="2016" w:type="dxa"/>
            <w:tcBorders>
              <w:bottom w:val="single" w:sz="12" w:space="0" w:color="auto"/>
              <w:right w:val="single" w:sz="12" w:space="0" w:color="auto"/>
            </w:tcBorders>
          </w:tcPr>
          <w:p w:rsidR="00B7214C" w:rsidRPr="0041309E" w:rsidRDefault="00B7214C" w:rsidP="00B7214C">
            <w:pPr>
              <w:spacing w:before="60" w:after="60"/>
              <w:ind w:firstLine="0"/>
              <w:rPr>
                <w:sz w:val="20"/>
              </w:rPr>
            </w:pPr>
          </w:p>
          <w:p w:rsidR="00B7214C" w:rsidRPr="0041309E" w:rsidRDefault="00B7214C" w:rsidP="00B7214C">
            <w:pPr>
              <w:tabs>
                <w:tab w:val="bar" w:pos="831"/>
              </w:tabs>
              <w:spacing w:before="60" w:after="60"/>
              <w:ind w:firstLine="0"/>
              <w:rPr>
                <w:sz w:val="20"/>
              </w:rPr>
            </w:pPr>
          </w:p>
        </w:tc>
        <w:tc>
          <w:tcPr>
            <w:tcW w:w="1461" w:type="dxa"/>
            <w:vMerge w:val="restart"/>
            <w:tcBorders>
              <w:left w:val="single" w:sz="12" w:space="0" w:color="auto"/>
            </w:tcBorders>
            <w:vAlign w:val="center"/>
          </w:tcPr>
          <w:p w:rsidR="00B7214C" w:rsidRPr="0041309E" w:rsidRDefault="00B7214C" w:rsidP="00B7214C">
            <w:pPr>
              <w:spacing w:before="60" w:after="60"/>
              <w:ind w:firstLine="0"/>
              <w:rPr>
                <w:sz w:val="20"/>
              </w:rPr>
            </w:pPr>
            <w:r w:rsidRPr="0041309E">
              <w:rPr>
                <w:sz w:val="20"/>
              </w:rPr>
              <w:t>La ma</w:t>
            </w:r>
            <w:r w:rsidRPr="0041309E">
              <w:rPr>
                <w:sz w:val="20"/>
              </w:rPr>
              <w:t>u</w:t>
            </w:r>
            <w:r w:rsidRPr="0041309E">
              <w:rPr>
                <w:sz w:val="20"/>
              </w:rPr>
              <w:t>vaise ge</w:t>
            </w:r>
            <w:r w:rsidRPr="0041309E">
              <w:rPr>
                <w:sz w:val="20"/>
              </w:rPr>
              <w:t>s</w:t>
            </w:r>
            <w:r w:rsidRPr="0041309E">
              <w:rPr>
                <w:sz w:val="20"/>
              </w:rPr>
              <w:t>tion des ressou</w:t>
            </w:r>
            <w:r w:rsidRPr="0041309E">
              <w:rPr>
                <w:sz w:val="20"/>
              </w:rPr>
              <w:t>r</w:t>
            </w:r>
            <w:r w:rsidRPr="0041309E">
              <w:rPr>
                <w:sz w:val="20"/>
              </w:rPr>
              <w:t>ces nature</w:t>
            </w:r>
            <w:r w:rsidRPr="0041309E">
              <w:rPr>
                <w:sz w:val="20"/>
              </w:rPr>
              <w:t>l</w:t>
            </w:r>
            <w:r w:rsidRPr="0041309E">
              <w:rPr>
                <w:sz w:val="20"/>
              </w:rPr>
              <w:t>les a provoqué la r</w:t>
            </w:r>
            <w:r w:rsidRPr="0041309E">
              <w:rPr>
                <w:sz w:val="20"/>
              </w:rPr>
              <w:t>a</w:t>
            </w:r>
            <w:r w:rsidRPr="0041309E">
              <w:rPr>
                <w:sz w:val="20"/>
              </w:rPr>
              <w:t>reté de l’eau</w:t>
            </w:r>
          </w:p>
        </w:tc>
      </w:tr>
      <w:tr w:rsidR="00B7214C" w:rsidRPr="00E64A4B">
        <w:tc>
          <w:tcPr>
            <w:tcW w:w="2363" w:type="dxa"/>
            <w:tcBorders>
              <w:top w:val="single" w:sz="12" w:space="0" w:color="auto"/>
            </w:tcBorders>
          </w:tcPr>
          <w:p w:rsidR="00B7214C" w:rsidRPr="0041309E" w:rsidRDefault="00B7214C" w:rsidP="00B7214C">
            <w:pPr>
              <w:tabs>
                <w:tab w:val="bar" w:pos="900"/>
              </w:tabs>
              <w:spacing w:before="60" w:after="60"/>
              <w:ind w:firstLine="0"/>
              <w:rPr>
                <w:sz w:val="20"/>
              </w:rPr>
            </w:pPr>
          </w:p>
          <w:p w:rsidR="00B7214C" w:rsidRPr="0041309E" w:rsidRDefault="00B7214C" w:rsidP="00B7214C">
            <w:pPr>
              <w:spacing w:before="60" w:after="60"/>
              <w:ind w:firstLine="0"/>
              <w:rPr>
                <w:sz w:val="20"/>
              </w:rPr>
            </w:pPr>
          </w:p>
        </w:tc>
        <w:tc>
          <w:tcPr>
            <w:tcW w:w="2296" w:type="dxa"/>
            <w:tcBorders>
              <w:top w:val="single" w:sz="12" w:space="0" w:color="auto"/>
            </w:tcBorders>
          </w:tcPr>
          <w:p w:rsidR="00B7214C" w:rsidRPr="0041309E" w:rsidRDefault="00B7214C" w:rsidP="00B7214C">
            <w:pPr>
              <w:tabs>
                <w:tab w:val="bar" w:pos="1057"/>
              </w:tabs>
              <w:spacing w:before="60" w:after="60"/>
              <w:ind w:firstLine="0"/>
              <w:rPr>
                <w:sz w:val="20"/>
              </w:rPr>
            </w:pPr>
          </w:p>
          <w:p w:rsidR="00B7214C" w:rsidRPr="0041309E" w:rsidRDefault="00B7214C" w:rsidP="00B7214C">
            <w:pPr>
              <w:spacing w:before="60" w:after="60"/>
              <w:ind w:firstLine="0"/>
              <w:rPr>
                <w:sz w:val="20"/>
              </w:rPr>
            </w:pPr>
          </w:p>
        </w:tc>
        <w:tc>
          <w:tcPr>
            <w:tcW w:w="2016" w:type="dxa"/>
            <w:tcBorders>
              <w:top w:val="single" w:sz="12" w:space="0" w:color="auto"/>
              <w:right w:val="single" w:sz="12" w:space="0" w:color="auto"/>
            </w:tcBorders>
          </w:tcPr>
          <w:p w:rsidR="00B7214C" w:rsidRPr="0041309E" w:rsidRDefault="00B7214C" w:rsidP="00B7214C">
            <w:pPr>
              <w:tabs>
                <w:tab w:val="bar" w:pos="831"/>
              </w:tabs>
              <w:spacing w:before="60" w:after="60"/>
              <w:ind w:firstLine="0"/>
              <w:rPr>
                <w:sz w:val="20"/>
              </w:rPr>
            </w:pPr>
          </w:p>
          <w:p w:rsidR="00B7214C" w:rsidRPr="0041309E" w:rsidRDefault="00B7214C" w:rsidP="00B7214C">
            <w:pPr>
              <w:spacing w:before="60" w:after="60"/>
              <w:ind w:firstLine="0"/>
              <w:rPr>
                <w:sz w:val="20"/>
              </w:rPr>
            </w:pPr>
          </w:p>
        </w:tc>
        <w:tc>
          <w:tcPr>
            <w:tcW w:w="1461" w:type="dxa"/>
            <w:vMerge/>
            <w:tcBorders>
              <w:left w:val="single" w:sz="12" w:space="0" w:color="auto"/>
            </w:tcBorders>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r w:rsidRPr="0041309E">
              <w:rPr>
                <w:sz w:val="20"/>
              </w:rPr>
              <w:t>transmission inte</w:t>
            </w:r>
            <w:r w:rsidRPr="0041309E">
              <w:rPr>
                <w:sz w:val="20"/>
              </w:rPr>
              <w:t>r</w:t>
            </w:r>
            <w:r w:rsidRPr="0041309E">
              <w:rPr>
                <w:sz w:val="20"/>
              </w:rPr>
              <w:t xml:space="preserve">rompue de la tradition orale </w:t>
            </w:r>
          </w:p>
        </w:tc>
        <w:tc>
          <w:tcPr>
            <w:tcW w:w="2296" w:type="dxa"/>
            <w:vAlign w:val="bottom"/>
          </w:tcPr>
          <w:p w:rsidR="00B7214C" w:rsidRPr="0041309E" w:rsidRDefault="00B7214C" w:rsidP="00B7214C">
            <w:pPr>
              <w:spacing w:before="60" w:after="60"/>
              <w:ind w:firstLine="0"/>
              <w:rPr>
                <w:sz w:val="20"/>
              </w:rPr>
            </w:pPr>
            <w:r w:rsidRPr="0041309E">
              <w:rPr>
                <w:sz w:val="20"/>
              </w:rPr>
              <w:t>division du tr</w:t>
            </w:r>
            <w:r w:rsidRPr="0041309E">
              <w:rPr>
                <w:sz w:val="20"/>
              </w:rPr>
              <w:t>a</w:t>
            </w:r>
            <w:r w:rsidRPr="0041309E">
              <w:rPr>
                <w:sz w:val="20"/>
              </w:rPr>
              <w:t>vail</w:t>
            </w:r>
          </w:p>
        </w:tc>
        <w:tc>
          <w:tcPr>
            <w:tcW w:w="2016" w:type="dxa"/>
          </w:tcPr>
          <w:p w:rsidR="00B7214C" w:rsidRPr="0041309E" w:rsidRDefault="00B7214C" w:rsidP="00B7214C">
            <w:pPr>
              <w:spacing w:before="60" w:after="60"/>
              <w:ind w:firstLine="0"/>
              <w:rPr>
                <w:sz w:val="20"/>
              </w:rPr>
            </w:pPr>
            <w:r w:rsidRPr="0041309E">
              <w:rPr>
                <w:sz w:val="20"/>
              </w:rPr>
              <w:t>semer des pr</w:t>
            </w:r>
            <w:r w:rsidRPr="0041309E">
              <w:rPr>
                <w:sz w:val="20"/>
              </w:rPr>
              <w:t>o</w:t>
            </w:r>
            <w:r w:rsidRPr="0041309E">
              <w:rPr>
                <w:sz w:val="20"/>
              </w:rPr>
              <w:t>duits trans</w:t>
            </w:r>
            <w:r w:rsidRPr="0041309E">
              <w:rPr>
                <w:sz w:val="20"/>
              </w:rPr>
              <w:t>i</w:t>
            </w:r>
            <w:r w:rsidRPr="0041309E">
              <w:rPr>
                <w:sz w:val="20"/>
              </w:rPr>
              <w:t>toires</w:t>
            </w:r>
          </w:p>
        </w:tc>
        <w:tc>
          <w:tcPr>
            <w:tcW w:w="1461" w:type="dxa"/>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r w:rsidRPr="0041309E">
              <w:rPr>
                <w:sz w:val="20"/>
              </w:rPr>
              <w:t>(conservation, purific</w:t>
            </w:r>
            <w:r w:rsidRPr="0041309E">
              <w:rPr>
                <w:sz w:val="20"/>
              </w:rPr>
              <w:t>a</w:t>
            </w:r>
            <w:r w:rsidRPr="0041309E">
              <w:rPr>
                <w:sz w:val="20"/>
              </w:rPr>
              <w:t>tion, etc.)</w:t>
            </w:r>
          </w:p>
        </w:tc>
        <w:tc>
          <w:tcPr>
            <w:tcW w:w="2296" w:type="dxa"/>
          </w:tcPr>
          <w:p w:rsidR="00B7214C" w:rsidRPr="0041309E" w:rsidRDefault="00B7214C" w:rsidP="00B7214C">
            <w:pPr>
              <w:spacing w:before="60" w:after="60"/>
              <w:ind w:firstLine="0"/>
              <w:rPr>
                <w:sz w:val="20"/>
              </w:rPr>
            </w:pPr>
            <w:r w:rsidRPr="0041309E">
              <w:rPr>
                <w:sz w:val="20"/>
              </w:rPr>
              <w:t>peu de préoccup</w:t>
            </w:r>
            <w:r w:rsidRPr="0041309E">
              <w:rPr>
                <w:sz w:val="20"/>
              </w:rPr>
              <w:t>a</w:t>
            </w:r>
            <w:r w:rsidRPr="0041309E">
              <w:rPr>
                <w:sz w:val="20"/>
              </w:rPr>
              <w:t>tion de la part des ho</w:t>
            </w:r>
            <w:r w:rsidRPr="0041309E">
              <w:rPr>
                <w:sz w:val="20"/>
              </w:rPr>
              <w:t>m</w:t>
            </w:r>
            <w:r w:rsidRPr="0041309E">
              <w:rPr>
                <w:sz w:val="20"/>
              </w:rPr>
              <w:t>mes</w:t>
            </w:r>
          </w:p>
        </w:tc>
        <w:tc>
          <w:tcPr>
            <w:tcW w:w="2016" w:type="dxa"/>
          </w:tcPr>
          <w:p w:rsidR="00B7214C" w:rsidRPr="0041309E" w:rsidRDefault="00B7214C" w:rsidP="00B7214C">
            <w:pPr>
              <w:spacing w:before="60" w:after="60"/>
              <w:ind w:firstLine="0"/>
              <w:rPr>
                <w:sz w:val="20"/>
              </w:rPr>
            </w:pPr>
            <w:r w:rsidRPr="0041309E">
              <w:rPr>
                <w:sz w:val="20"/>
              </w:rPr>
              <w:t>usage des pr</w:t>
            </w:r>
            <w:r w:rsidRPr="0041309E">
              <w:rPr>
                <w:sz w:val="20"/>
              </w:rPr>
              <w:t>o</w:t>
            </w:r>
            <w:r w:rsidRPr="0041309E">
              <w:rPr>
                <w:sz w:val="20"/>
              </w:rPr>
              <w:t>duits chimiques ign</w:t>
            </w:r>
            <w:r w:rsidRPr="0041309E">
              <w:rPr>
                <w:sz w:val="20"/>
              </w:rPr>
              <w:t>o</w:t>
            </w:r>
            <w:r w:rsidRPr="0041309E">
              <w:rPr>
                <w:sz w:val="20"/>
              </w:rPr>
              <w:t>rance</w:t>
            </w:r>
          </w:p>
        </w:tc>
        <w:tc>
          <w:tcPr>
            <w:tcW w:w="1461" w:type="dxa"/>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p>
        </w:tc>
        <w:tc>
          <w:tcPr>
            <w:tcW w:w="2296" w:type="dxa"/>
          </w:tcPr>
          <w:p w:rsidR="00B7214C" w:rsidRPr="0041309E" w:rsidRDefault="00B7214C" w:rsidP="00B7214C">
            <w:pPr>
              <w:spacing w:before="60" w:after="60"/>
              <w:ind w:firstLine="0"/>
              <w:rPr>
                <w:sz w:val="20"/>
              </w:rPr>
            </w:pPr>
            <w:r w:rsidRPr="0041309E">
              <w:rPr>
                <w:sz w:val="20"/>
              </w:rPr>
              <w:t>pour la conserv</w:t>
            </w:r>
            <w:r w:rsidRPr="0041309E">
              <w:rPr>
                <w:sz w:val="20"/>
              </w:rPr>
              <w:t>a</w:t>
            </w:r>
            <w:r w:rsidRPr="0041309E">
              <w:rPr>
                <w:sz w:val="20"/>
              </w:rPr>
              <w:t>tion de l’eau</w:t>
            </w:r>
          </w:p>
        </w:tc>
        <w:tc>
          <w:tcPr>
            <w:tcW w:w="2016" w:type="dxa"/>
          </w:tcPr>
          <w:p w:rsidR="00B7214C" w:rsidRPr="0041309E" w:rsidRDefault="00B7214C" w:rsidP="00B7214C">
            <w:pPr>
              <w:spacing w:before="60" w:after="60"/>
              <w:ind w:firstLine="0"/>
              <w:rPr>
                <w:sz w:val="20"/>
              </w:rPr>
            </w:pPr>
            <w:r w:rsidRPr="0041309E">
              <w:rPr>
                <w:sz w:val="20"/>
              </w:rPr>
              <w:t>ignorance des cons</w:t>
            </w:r>
            <w:r w:rsidRPr="0041309E">
              <w:rPr>
                <w:sz w:val="20"/>
              </w:rPr>
              <w:t>é</w:t>
            </w:r>
            <w:r w:rsidRPr="0041309E">
              <w:rPr>
                <w:sz w:val="20"/>
              </w:rPr>
              <w:t>quences de la mauva</w:t>
            </w:r>
            <w:r w:rsidRPr="0041309E">
              <w:rPr>
                <w:sz w:val="20"/>
              </w:rPr>
              <w:t>i</w:t>
            </w:r>
            <w:r w:rsidRPr="0041309E">
              <w:rPr>
                <w:sz w:val="20"/>
              </w:rPr>
              <w:t>se util</w:t>
            </w:r>
            <w:r w:rsidRPr="0041309E">
              <w:rPr>
                <w:sz w:val="20"/>
              </w:rPr>
              <w:t>i</w:t>
            </w:r>
            <w:r w:rsidRPr="0041309E">
              <w:rPr>
                <w:sz w:val="20"/>
              </w:rPr>
              <w:t>sation des sols</w:t>
            </w:r>
            <w:r w:rsidRPr="0041309E">
              <w:rPr>
                <w:sz w:val="20"/>
              </w:rPr>
              <w:br/>
              <w:t>ignorance des altern</w:t>
            </w:r>
            <w:r w:rsidRPr="0041309E">
              <w:rPr>
                <w:sz w:val="20"/>
              </w:rPr>
              <w:t>a</w:t>
            </w:r>
            <w:r w:rsidRPr="0041309E">
              <w:rPr>
                <w:sz w:val="20"/>
              </w:rPr>
              <w:t>tives</w:t>
            </w:r>
          </w:p>
        </w:tc>
        <w:tc>
          <w:tcPr>
            <w:tcW w:w="1461" w:type="dxa"/>
          </w:tcPr>
          <w:p w:rsidR="00B7214C" w:rsidRPr="0041309E" w:rsidRDefault="00B7214C" w:rsidP="00B7214C">
            <w:pPr>
              <w:spacing w:before="60" w:after="60"/>
              <w:ind w:firstLine="0"/>
              <w:rPr>
                <w:sz w:val="20"/>
              </w:rPr>
            </w:pPr>
          </w:p>
        </w:tc>
      </w:tr>
      <w:tr w:rsidR="00B7214C" w:rsidRPr="00E64A4B">
        <w:tc>
          <w:tcPr>
            <w:tcW w:w="2363" w:type="dxa"/>
          </w:tcPr>
          <w:p w:rsidR="00B7214C" w:rsidRPr="0041309E" w:rsidRDefault="00B7214C" w:rsidP="00B7214C">
            <w:pPr>
              <w:spacing w:before="60" w:after="60"/>
              <w:ind w:firstLine="0"/>
              <w:rPr>
                <w:sz w:val="20"/>
              </w:rPr>
            </w:pPr>
          </w:p>
        </w:tc>
        <w:tc>
          <w:tcPr>
            <w:tcW w:w="2296" w:type="dxa"/>
          </w:tcPr>
          <w:p w:rsidR="00B7214C" w:rsidRPr="0041309E" w:rsidRDefault="00B7214C" w:rsidP="00B7214C">
            <w:pPr>
              <w:spacing w:before="60" w:after="60"/>
              <w:ind w:firstLine="0"/>
              <w:rPr>
                <w:sz w:val="20"/>
              </w:rPr>
            </w:pPr>
            <w:r w:rsidRPr="0041309E">
              <w:rPr>
                <w:sz w:val="20"/>
              </w:rPr>
              <w:t>pour la conserv</w:t>
            </w:r>
            <w:r w:rsidRPr="0041309E">
              <w:rPr>
                <w:sz w:val="20"/>
              </w:rPr>
              <w:t>a</w:t>
            </w:r>
            <w:r w:rsidRPr="0041309E">
              <w:rPr>
                <w:sz w:val="20"/>
              </w:rPr>
              <w:t>tion de l'eau</w:t>
            </w:r>
          </w:p>
        </w:tc>
        <w:tc>
          <w:tcPr>
            <w:tcW w:w="2016" w:type="dxa"/>
          </w:tcPr>
          <w:p w:rsidR="00B7214C" w:rsidRPr="0041309E" w:rsidRDefault="00B7214C" w:rsidP="00B7214C">
            <w:pPr>
              <w:spacing w:before="60" w:after="60"/>
              <w:ind w:firstLine="0"/>
              <w:rPr>
                <w:sz w:val="20"/>
              </w:rPr>
            </w:pPr>
          </w:p>
        </w:tc>
        <w:tc>
          <w:tcPr>
            <w:tcW w:w="1461" w:type="dxa"/>
          </w:tcPr>
          <w:p w:rsidR="00B7214C" w:rsidRPr="0041309E" w:rsidRDefault="00B7214C" w:rsidP="00B7214C">
            <w:pPr>
              <w:spacing w:before="60" w:after="60"/>
              <w:ind w:firstLine="0"/>
              <w:rPr>
                <w:sz w:val="20"/>
              </w:rPr>
            </w:pPr>
          </w:p>
        </w:tc>
      </w:tr>
      <w:tr w:rsidR="00B7214C" w:rsidRPr="00E64A4B">
        <w:tc>
          <w:tcPr>
            <w:tcW w:w="2363" w:type="dxa"/>
            <w:tcBorders>
              <w:bottom w:val="single" w:sz="12" w:space="0" w:color="auto"/>
            </w:tcBorders>
          </w:tcPr>
          <w:p w:rsidR="00B7214C" w:rsidRPr="0041309E" w:rsidRDefault="00B7214C" w:rsidP="00B7214C">
            <w:pPr>
              <w:spacing w:before="60" w:after="60"/>
              <w:ind w:firstLine="0"/>
              <w:rPr>
                <w:sz w:val="20"/>
              </w:rPr>
            </w:pPr>
            <w:r w:rsidRPr="0041309E">
              <w:rPr>
                <w:sz w:val="20"/>
              </w:rPr>
              <w:t>RAPPORTS</w:t>
            </w:r>
            <w:r w:rsidRPr="0041309E">
              <w:rPr>
                <w:sz w:val="20"/>
              </w:rPr>
              <w:br/>
              <w:t>GÉNÉRATIO</w:t>
            </w:r>
            <w:r w:rsidRPr="0041309E">
              <w:rPr>
                <w:sz w:val="20"/>
              </w:rPr>
              <w:t>N</w:t>
            </w:r>
            <w:r w:rsidRPr="0041309E">
              <w:rPr>
                <w:sz w:val="20"/>
              </w:rPr>
              <w:t>NELS</w:t>
            </w:r>
          </w:p>
        </w:tc>
        <w:tc>
          <w:tcPr>
            <w:tcW w:w="2296" w:type="dxa"/>
            <w:tcBorders>
              <w:bottom w:val="single" w:sz="12" w:space="0" w:color="auto"/>
            </w:tcBorders>
          </w:tcPr>
          <w:p w:rsidR="00B7214C" w:rsidRPr="0041309E" w:rsidRDefault="00B7214C" w:rsidP="00B7214C">
            <w:pPr>
              <w:spacing w:before="60" w:after="60"/>
              <w:ind w:firstLine="0"/>
              <w:rPr>
                <w:sz w:val="20"/>
              </w:rPr>
            </w:pPr>
            <w:r w:rsidRPr="0041309E">
              <w:rPr>
                <w:sz w:val="20"/>
              </w:rPr>
              <w:t>RAPPORTS</w:t>
            </w:r>
            <w:r w:rsidRPr="0041309E">
              <w:rPr>
                <w:sz w:val="20"/>
              </w:rPr>
              <w:br/>
              <w:t>DE GENRE</w:t>
            </w:r>
          </w:p>
        </w:tc>
        <w:tc>
          <w:tcPr>
            <w:tcW w:w="2016" w:type="dxa"/>
            <w:tcBorders>
              <w:bottom w:val="single" w:sz="12" w:space="0" w:color="auto"/>
            </w:tcBorders>
          </w:tcPr>
          <w:p w:rsidR="00B7214C" w:rsidRPr="0041309E" w:rsidRDefault="00B7214C" w:rsidP="00B7214C">
            <w:pPr>
              <w:spacing w:before="60" w:after="60"/>
              <w:ind w:firstLine="0"/>
              <w:rPr>
                <w:sz w:val="20"/>
              </w:rPr>
            </w:pPr>
            <w:r w:rsidRPr="0041309E">
              <w:rPr>
                <w:sz w:val="20"/>
              </w:rPr>
              <w:t>ALTERNAT</w:t>
            </w:r>
            <w:r w:rsidRPr="0041309E">
              <w:rPr>
                <w:sz w:val="20"/>
              </w:rPr>
              <w:t>I</w:t>
            </w:r>
            <w:r w:rsidRPr="0041309E">
              <w:rPr>
                <w:sz w:val="20"/>
              </w:rPr>
              <w:t>VES DE PRODU</w:t>
            </w:r>
            <w:r w:rsidRPr="0041309E">
              <w:rPr>
                <w:sz w:val="20"/>
              </w:rPr>
              <w:t>C</w:t>
            </w:r>
            <w:r w:rsidRPr="0041309E">
              <w:rPr>
                <w:sz w:val="20"/>
              </w:rPr>
              <w:t>TION</w:t>
            </w:r>
          </w:p>
        </w:tc>
        <w:tc>
          <w:tcPr>
            <w:tcW w:w="1461" w:type="dxa"/>
            <w:tcBorders>
              <w:bottom w:val="single" w:sz="12" w:space="0" w:color="auto"/>
            </w:tcBorders>
          </w:tcPr>
          <w:p w:rsidR="00B7214C" w:rsidRPr="0041309E" w:rsidRDefault="00B7214C" w:rsidP="00B7214C">
            <w:pPr>
              <w:spacing w:before="60" w:after="60"/>
              <w:ind w:firstLine="0"/>
              <w:rPr>
                <w:sz w:val="20"/>
              </w:rPr>
            </w:pPr>
          </w:p>
        </w:tc>
      </w:tr>
    </w:tbl>
    <w:p w:rsidR="00B7214C" w:rsidRPr="00E64A4B" w:rsidRDefault="00B7214C" w:rsidP="00B7214C">
      <w:pPr>
        <w:spacing w:before="120" w:after="120"/>
        <w:jc w:val="both"/>
      </w:pPr>
    </w:p>
    <w:p w:rsidR="00B7214C" w:rsidRPr="00E64A4B" w:rsidRDefault="00B7214C" w:rsidP="00B7214C">
      <w:pPr>
        <w:spacing w:before="120" w:after="120"/>
        <w:jc w:val="both"/>
      </w:pPr>
      <w:r w:rsidRPr="00E64A4B">
        <w:t>On constate que cette méthodologie tient non seulement compte des rapports sociaux significatifs dans cette société mais qu'elle int</w:t>
      </w:r>
      <w:r w:rsidRPr="00E64A4B">
        <w:t>è</w:t>
      </w:r>
      <w:r w:rsidRPr="00E64A4B">
        <w:t>gre aussi des facteurs incontournables du milieu. Le contenu des fa</w:t>
      </w:r>
      <w:r w:rsidRPr="00E64A4B">
        <w:t>c</w:t>
      </w:r>
      <w:r w:rsidRPr="00E64A4B">
        <w:t>teurs et des rapports sociaux peut évidemment varier selon le sujet d'étude et les questions de recherche posées. Tout en s'adaptant aux conditions locales, la méthodologie utilisée ici relie la préoccupation pour les hiérarchies multiples caractérisant des rapports sociaux do</w:t>
      </w:r>
      <w:r w:rsidRPr="00E64A4B">
        <w:t>n</w:t>
      </w:r>
      <w:r w:rsidRPr="00E64A4B">
        <w:t>nés au sein des communautés et l'expérience quotidienne des indiv</w:t>
      </w:r>
      <w:r w:rsidRPr="00E64A4B">
        <w:t>i</w:t>
      </w:r>
      <w:r w:rsidRPr="00E64A4B">
        <w:t>dus.</w:t>
      </w:r>
    </w:p>
    <w:p w:rsidR="00B7214C" w:rsidRPr="00E64A4B" w:rsidRDefault="00B7214C" w:rsidP="00B7214C">
      <w:pPr>
        <w:spacing w:before="120" w:after="120"/>
        <w:jc w:val="both"/>
      </w:pPr>
      <w:r w:rsidRPr="00E64A4B">
        <w:t>[360]</w:t>
      </w:r>
    </w:p>
    <w:p w:rsidR="00B7214C" w:rsidRPr="00E64A4B" w:rsidRDefault="00B7214C" w:rsidP="00B7214C">
      <w:pPr>
        <w:spacing w:before="120" w:after="120"/>
        <w:jc w:val="both"/>
      </w:pPr>
      <w:r w:rsidRPr="00E64A4B">
        <w:t>L'identification des facteurs hiérarchiques signifie par exemple que dans la composition d'une équipe de recherche, on tiendra compte du ratio homme-femme, jeune-adulte, et aisé-pauvre. Cela signifie ég</w:t>
      </w:r>
      <w:r w:rsidRPr="00E64A4B">
        <w:t>a</w:t>
      </w:r>
      <w:r w:rsidRPr="00E64A4B">
        <w:t>lement que pour l'enquête proprement dite, les che</w:t>
      </w:r>
      <w:r w:rsidRPr="00E64A4B">
        <w:t>r</w:t>
      </w:r>
      <w:r w:rsidRPr="00E64A4B">
        <w:t>cheurs respecteront ces distributions dans la sélection de leurs i</w:t>
      </w:r>
      <w:r w:rsidRPr="00E64A4B">
        <w:t>n</w:t>
      </w:r>
      <w:r w:rsidRPr="00E64A4B">
        <w:t>formateurs. Enfin, leurs interrogations au cours de ces enquêtes (quelle qu'en soit la forme) engloberont des préoccupations to</w:t>
      </w:r>
      <w:r w:rsidRPr="00E64A4B">
        <w:t>u</w:t>
      </w:r>
      <w:r w:rsidRPr="00E64A4B">
        <w:t>chant chacun des facteurs et des rapports retenus. L'analyse des données et la présentation des résultats à l'ensemble de la popul</w:t>
      </w:r>
      <w:r w:rsidRPr="00E64A4B">
        <w:t>a</w:t>
      </w:r>
      <w:r w:rsidRPr="00E64A4B">
        <w:t>tion s'organiseront en conséquence.</w:t>
      </w:r>
    </w:p>
    <w:p w:rsidR="00B7214C" w:rsidRPr="00E64A4B" w:rsidRDefault="00B7214C" w:rsidP="00B7214C">
      <w:pPr>
        <w:spacing w:before="120" w:after="120"/>
        <w:jc w:val="both"/>
      </w:pPr>
      <w:r w:rsidRPr="00E64A4B">
        <w:t>La méthodologie qui est maintenant désignée par les groupes l</w:t>
      </w:r>
      <w:r w:rsidRPr="00E64A4B">
        <w:t>o</w:t>
      </w:r>
      <w:r w:rsidRPr="00E64A4B">
        <w:t>caux de RAP comme celle des « arêtes de poisson » est particulièr</w:t>
      </w:r>
      <w:r w:rsidRPr="00E64A4B">
        <w:t>e</w:t>
      </w:r>
      <w:r w:rsidRPr="00E64A4B">
        <w:t>ment heureuse. Elle permet, en effet, de visualiser l'inte</w:t>
      </w:r>
      <w:r w:rsidRPr="00E64A4B">
        <w:t>r</w:t>
      </w:r>
      <w:r w:rsidRPr="00E64A4B">
        <w:t>section des facteurs et des rapports sociaux qui comportent un aspect de hiérarch</w:t>
      </w:r>
      <w:r w:rsidRPr="00E64A4B">
        <w:t>i</w:t>
      </w:r>
      <w:r w:rsidRPr="00E64A4B">
        <w:t>sation. C'est une méthodologie non déterministe qui ne laisse aucune catégorie sociale dans l'ombre donnant ainsi une chance de plus à une pratique démocratique de la recherche. Les différents groupes s'int</w:t>
      </w:r>
      <w:r w:rsidRPr="00E64A4B">
        <w:t>é</w:t>
      </w:r>
      <w:r w:rsidRPr="00E64A4B">
        <w:t>ressent désormais à l'histoire locale, à leurs coutumes et à leur culture. En bref, ils refont le même cheminement que plusieurs autres popul</w:t>
      </w:r>
      <w:r w:rsidRPr="00E64A4B">
        <w:t>a</w:t>
      </w:r>
      <w:r w:rsidRPr="00E64A4B">
        <w:t>tions dans le cadre de la RAP. Ils n'en sont évidemment pas encore à la remise en question de toutes les dimensions du pouvoir mais, avec la méthodologie qu'ils ont développée, ils mettent toutes les chances de leur côté pour n'ignorer aucune de ces dimensions. Toutes les cat</w:t>
      </w:r>
      <w:r w:rsidRPr="00E64A4B">
        <w:t>é</w:t>
      </w:r>
      <w:r w:rsidRPr="00E64A4B">
        <w:t>gories sociales peuvent ainsi s'exercer à l'élaboration d'une nouvelle ve</w:t>
      </w:r>
      <w:r w:rsidRPr="00E64A4B">
        <w:t>r</w:t>
      </w:r>
      <w:r w:rsidRPr="00E64A4B">
        <w:t>sion du pouvoir tel qu'elles le sentent et le subissent dans la vie de tous les jours. Pour le moment, les chercheurs sont fort occupés à d</w:t>
      </w:r>
      <w:r w:rsidRPr="00E64A4B">
        <w:t>é</w:t>
      </w:r>
      <w:r w:rsidRPr="00E64A4B">
        <w:t>mystifier le pouvoir des chercheurs professionnels et académ</w:t>
      </w:r>
      <w:r w:rsidRPr="00E64A4B">
        <w:t>i</w:t>
      </w:r>
      <w:r w:rsidRPr="00E64A4B">
        <w:t>ques, maillons lointains mais non pas moins réels d'un pouvoir de classe.</w:t>
      </w:r>
    </w:p>
    <w:p w:rsidR="00B7214C" w:rsidRPr="00E64A4B" w:rsidRDefault="00B7214C" w:rsidP="00B7214C">
      <w:pPr>
        <w:spacing w:before="120" w:after="120"/>
        <w:jc w:val="both"/>
      </w:pPr>
    </w:p>
    <w:p w:rsidR="00B7214C" w:rsidRPr="00E64A4B" w:rsidRDefault="00B7214C" w:rsidP="00B7214C">
      <w:pPr>
        <w:pStyle w:val="a"/>
      </w:pPr>
      <w:r w:rsidRPr="00E64A4B">
        <w:t>CONCLUSION</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La population de la région dans laquelle l'Association pour le d</w:t>
      </w:r>
      <w:r w:rsidRPr="00E64A4B">
        <w:t>é</w:t>
      </w:r>
      <w:r w:rsidRPr="00E64A4B">
        <w:t>veloppement paysan est active est définitivement engagée dans un processus de conscientisation dont l'objectif global est l'am</w:t>
      </w:r>
      <w:r w:rsidRPr="00E64A4B">
        <w:t>é</w:t>
      </w:r>
      <w:r w:rsidRPr="00E64A4B">
        <w:t>lioration de sa qualité de vie. La conjoncture politique actuelle en Colombie de même que la confusion qui entoure les luttes de classe interdisent une remise en question ouverte des rapports e</w:t>
      </w:r>
      <w:r w:rsidRPr="00E64A4B">
        <w:t>n</w:t>
      </w:r>
      <w:r w:rsidRPr="00E64A4B">
        <w:t>tre la paysannerie et l'État. A toutes fins pratiques, le mouvement paysan qui s'était organisé sous les auspices de l'ANUC (Asociación Nacional de Usuarios Campes</w:t>
      </w:r>
      <w:r w:rsidRPr="00E64A4B">
        <w:t>i</w:t>
      </w:r>
      <w:r w:rsidRPr="00E64A4B">
        <w:t>nos) dans les années 1960 a été neutralisé (Zamosc, 1986). En ce qui concerne le développ</w:t>
      </w:r>
      <w:r w:rsidRPr="00E64A4B">
        <w:t>e</w:t>
      </w:r>
      <w:r w:rsidRPr="00E64A4B">
        <w:t>ment rural, on peut dire sans crainte que l'État se cache pratiquement derrière les agences internationales de dévelo</w:t>
      </w:r>
      <w:r w:rsidRPr="00E64A4B">
        <w:t>p</w:t>
      </w:r>
      <w:r w:rsidRPr="00E64A4B">
        <w:t>pement. Le programme DRI (Développement rural intégré) tient lieu de pol</w:t>
      </w:r>
      <w:r w:rsidRPr="00E64A4B">
        <w:t>i</w:t>
      </w:r>
      <w:r w:rsidRPr="00E64A4B">
        <w:t>tique agraire. Aujourd'hui, en mai</w:t>
      </w:r>
      <w:r>
        <w:t xml:space="preserve"> </w:t>
      </w:r>
      <w:r w:rsidRPr="00E64A4B">
        <w:t>[361]</w:t>
      </w:r>
      <w:r>
        <w:t xml:space="preserve"> </w:t>
      </w:r>
      <w:r w:rsidRPr="00E64A4B">
        <w:t>1993, l'État colombien est davantage préoccupé par ses luttes contre les puissants cartels de la drogue et particulièrement contre leur chef fugitif, Pablo Escobar. Dans ces circonstances, on peut se demander si le pouvoir d'État con</w:t>
      </w:r>
      <w:r w:rsidRPr="00E64A4B">
        <w:t>s</w:t>
      </w:r>
      <w:r w:rsidRPr="00E64A4B">
        <w:t>titue un véritable enjeu ?</w:t>
      </w:r>
    </w:p>
    <w:p w:rsidR="00B7214C" w:rsidRPr="00E64A4B" w:rsidRDefault="00B7214C" w:rsidP="00B7214C">
      <w:pPr>
        <w:spacing w:before="120" w:after="120"/>
        <w:jc w:val="both"/>
      </w:pPr>
      <w:r w:rsidRPr="00E64A4B">
        <w:t>Pour le moment, le terrain le plus fertile en ce qui a trait au pouvoir et à son acquisition est probablement celui des luttes quotidiennes e</w:t>
      </w:r>
      <w:r w:rsidRPr="00E64A4B">
        <w:t>n</w:t>
      </w:r>
      <w:r w:rsidRPr="00E64A4B">
        <w:t>tre les diverses catégories sociales et celui du contrôle par la base des différents facteurs liés au développement rural. À voir les progrès dans la conscientisation des chercheuses et des chercheurs de la RAP, tant professionnels qu'académiques, on a tout lieu de croire que les méthodologies présentement utilisées pour mieux comprendre la d</w:t>
      </w:r>
      <w:r w:rsidRPr="00E64A4B">
        <w:t>y</w:t>
      </w:r>
      <w:r w:rsidRPr="00E64A4B">
        <w:t>namique communautaire du pouvoir et pour trouver des voies altern</w:t>
      </w:r>
      <w:r w:rsidRPr="00E64A4B">
        <w:t>a</w:t>
      </w:r>
      <w:r w:rsidRPr="00E64A4B">
        <w:t>tives non hiérarchiques pour l'exercer pourraient se transposer à d'a</w:t>
      </w:r>
      <w:r w:rsidRPr="00E64A4B">
        <w:t>u</w:t>
      </w:r>
      <w:r w:rsidRPr="00E64A4B">
        <w:t>tres niveaux.</w:t>
      </w:r>
    </w:p>
    <w:p w:rsidR="00B7214C" w:rsidRPr="00E64A4B" w:rsidRDefault="00B7214C" w:rsidP="00B7214C">
      <w:pPr>
        <w:spacing w:before="120" w:after="120"/>
        <w:jc w:val="both"/>
      </w:pPr>
      <w:r w:rsidRPr="00E64A4B">
        <w:t>Il reste évidemment plusieurs problèmes à résoudre et pl</w:t>
      </w:r>
      <w:r w:rsidRPr="00E64A4B">
        <w:t>u</w:t>
      </w:r>
      <w:r w:rsidRPr="00E64A4B">
        <w:t>sieurs embûches à éviter, telle l'appropriation opportuniste des nouvelles connaissances par les individus, un danger qui guette toutes les exp</w:t>
      </w:r>
      <w:r w:rsidRPr="00E64A4B">
        <w:t>é</w:t>
      </w:r>
      <w:r w:rsidRPr="00E64A4B">
        <w:t>riences de RAP. C'est la raison pour laquelle le processus doit être permanent et transcender les générations et les individus qui y partic</w:t>
      </w:r>
      <w:r w:rsidRPr="00E64A4B">
        <w:t>i</w:t>
      </w:r>
      <w:r w:rsidRPr="00E64A4B">
        <w:t>pent. Dans la région, il se trouve déjà des participantes et des partic</w:t>
      </w:r>
      <w:r w:rsidRPr="00E64A4B">
        <w:t>i</w:t>
      </w:r>
      <w:r w:rsidRPr="00E64A4B">
        <w:t>pants qui parlent de l'institutionnalisation de la RAP, concept év</w:t>
      </w:r>
      <w:r w:rsidRPr="00E64A4B">
        <w:t>i</w:t>
      </w:r>
      <w:r w:rsidRPr="00E64A4B">
        <w:t>demment contradictoire avec les fo</w:t>
      </w:r>
      <w:r w:rsidRPr="00E64A4B">
        <w:t>n</w:t>
      </w:r>
      <w:r w:rsidRPr="00E64A4B">
        <w:t>dements de la démarche. On sait fort bien cependant que la pop</w:t>
      </w:r>
      <w:r w:rsidRPr="00E64A4B">
        <w:t>u</w:t>
      </w:r>
      <w:r w:rsidRPr="00E64A4B">
        <w:t>lation a déjà vécu dans sa chair même plus d'une contradiction. La remise en question du pouvoir au quot</w:t>
      </w:r>
      <w:r w:rsidRPr="00E64A4B">
        <w:t>i</w:t>
      </w:r>
      <w:r w:rsidRPr="00E64A4B">
        <w:t>dien comporte une grande part d'incertitude et de possibilités d'erreur pour lesquelles il n'est d'autre option que de les passer à nouveau dans le grand moulin de la recherche par et pour les gens.</w:t>
      </w:r>
    </w:p>
    <w:p w:rsidR="00B7214C" w:rsidRPr="00E64A4B" w:rsidRDefault="00B7214C" w:rsidP="00B7214C">
      <w:pPr>
        <w:spacing w:before="120" w:after="120"/>
        <w:jc w:val="both"/>
      </w:pPr>
      <w:r>
        <w:br w:type="page"/>
      </w: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pStyle w:val="p"/>
      </w:pPr>
      <w:r w:rsidRPr="00E64A4B">
        <w:t>[362]</w:t>
      </w:r>
    </w:p>
    <w:p w:rsidR="00B7214C" w:rsidRPr="00E64A4B" w:rsidRDefault="00B7214C" w:rsidP="00B7214C">
      <w:pPr>
        <w:spacing w:before="120" w:after="120"/>
        <w:jc w:val="both"/>
      </w:pPr>
    </w:p>
    <w:p w:rsidR="00B7214C" w:rsidRPr="00E64A4B" w:rsidRDefault="00B7214C" w:rsidP="00B7214C">
      <w:pPr>
        <w:pStyle w:val="a"/>
      </w:pPr>
      <w:r w:rsidRPr="00E64A4B">
        <w:t>BIBLIOGRAPHIE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 xml:space="preserve">ACDI (Agence canadienne de développement international), </w:t>
      </w:r>
      <w:r w:rsidRPr="00E64A4B">
        <w:rPr>
          <w:i/>
          <w:iCs/>
        </w:rPr>
        <w:t>Pa</w:t>
      </w:r>
      <w:r w:rsidRPr="00E64A4B">
        <w:rPr>
          <w:i/>
          <w:iCs/>
        </w:rPr>
        <w:t>r</w:t>
      </w:r>
      <w:r w:rsidRPr="00E64A4B">
        <w:rPr>
          <w:i/>
          <w:iCs/>
        </w:rPr>
        <w:t>tageons notre avenir.</w:t>
      </w:r>
    </w:p>
    <w:p w:rsidR="00B7214C" w:rsidRPr="00E64A4B" w:rsidRDefault="00B7214C" w:rsidP="00B7214C">
      <w:pPr>
        <w:spacing w:before="120" w:after="120"/>
        <w:jc w:val="both"/>
      </w:pPr>
      <w:r w:rsidRPr="00E64A4B">
        <w:rPr>
          <w:i/>
          <w:iCs/>
        </w:rPr>
        <w:t>L'assistance canadienne au développement international,</w:t>
      </w:r>
      <w:r w:rsidRPr="00E64A4B">
        <w:t xml:space="preserve"> M</w:t>
      </w:r>
      <w:r w:rsidRPr="00E64A4B">
        <w:t>i</w:t>
      </w:r>
      <w:r w:rsidRPr="00E64A4B">
        <w:t>nistre des Approvisionnements et Services Canada, 1987.</w:t>
      </w:r>
    </w:p>
    <w:p w:rsidR="00B7214C" w:rsidRPr="00E64A4B" w:rsidRDefault="00B7214C" w:rsidP="00B7214C">
      <w:pPr>
        <w:spacing w:before="120" w:after="120"/>
        <w:jc w:val="both"/>
      </w:pPr>
      <w:r w:rsidRPr="00E64A4B">
        <w:t xml:space="preserve">Anyanwu, C.N., « The Technique of Participatory Research in Community Development », </w:t>
      </w:r>
      <w:r w:rsidRPr="00E64A4B">
        <w:rPr>
          <w:i/>
          <w:iCs/>
        </w:rPr>
        <w:t>Community Development Journal,</w:t>
      </w:r>
      <w:r w:rsidRPr="00E64A4B">
        <w:t xml:space="preserve"> 1988, vol. 23, n° 1, p</w:t>
      </w:r>
      <w:r>
        <w:t>p</w:t>
      </w:r>
      <w:r w:rsidRPr="00E64A4B">
        <w:t>. 11-15.</w:t>
      </w:r>
    </w:p>
    <w:p w:rsidR="00B7214C" w:rsidRPr="00E64A4B" w:rsidRDefault="00B7214C" w:rsidP="00B7214C">
      <w:pPr>
        <w:spacing w:before="120" w:after="120"/>
        <w:jc w:val="both"/>
      </w:pPr>
      <w:r w:rsidRPr="00E64A4B">
        <w:t>Arnold, P., « Pèlerinage et processions comme formes de po</w:t>
      </w:r>
      <w:r w:rsidRPr="00E64A4B">
        <w:t>u</w:t>
      </w:r>
      <w:r w:rsidRPr="00E64A4B">
        <w:t xml:space="preserve">voir symbolique des classes subalternes : deux cas péruviens ». </w:t>
      </w:r>
      <w:r w:rsidRPr="00E64A4B">
        <w:rPr>
          <w:i/>
          <w:iCs/>
        </w:rPr>
        <w:t>Social Compass,</w:t>
      </w:r>
      <w:r w:rsidRPr="00E64A4B">
        <w:t xml:space="preserve"> 1985, vol. 32, n° 1, p</w:t>
      </w:r>
      <w:r>
        <w:t>p</w:t>
      </w:r>
      <w:r w:rsidRPr="00E64A4B">
        <w:t>. 45-56.</w:t>
      </w:r>
    </w:p>
    <w:p w:rsidR="00B7214C" w:rsidRPr="00E64A4B" w:rsidRDefault="00B7214C" w:rsidP="00B7214C">
      <w:pPr>
        <w:spacing w:before="120" w:after="120"/>
        <w:jc w:val="both"/>
      </w:pPr>
      <w:r w:rsidRPr="00E64A4B">
        <w:t>Bergquist, C., « In the Name of History : A Disciplinary Crit</w:t>
      </w:r>
      <w:r w:rsidRPr="00E64A4B">
        <w:t>i</w:t>
      </w:r>
      <w:r w:rsidRPr="00E64A4B">
        <w:t xml:space="preserve">que of Orlando Fais Borda's », </w:t>
      </w:r>
      <w:r w:rsidRPr="00E64A4B">
        <w:rPr>
          <w:i/>
          <w:iCs/>
        </w:rPr>
        <w:t>Historia doble de la Costa. Latin American Research Review,</w:t>
      </w:r>
      <w:r w:rsidRPr="00E64A4B">
        <w:t xml:space="preserve"> 1990, vol. 25, n° 3, p</w:t>
      </w:r>
      <w:r>
        <w:t>p</w:t>
      </w:r>
      <w:r w:rsidRPr="00E64A4B">
        <w:t>. 156-176.</w:t>
      </w:r>
    </w:p>
    <w:p w:rsidR="00B7214C" w:rsidRPr="00E64A4B" w:rsidRDefault="00B7214C" w:rsidP="00B7214C">
      <w:pPr>
        <w:spacing w:before="120" w:after="120"/>
        <w:jc w:val="both"/>
      </w:pPr>
      <w:r w:rsidRPr="00E64A4B">
        <w:rPr>
          <w:iCs/>
        </w:rPr>
        <w:t xml:space="preserve">Beneria L. et M. Roldan, </w:t>
      </w:r>
      <w:r w:rsidRPr="00E64A4B">
        <w:rPr>
          <w:i/>
        </w:rPr>
        <w:t>The Crossroads of Class and Gender. I</w:t>
      </w:r>
      <w:r w:rsidRPr="00E64A4B">
        <w:rPr>
          <w:i/>
        </w:rPr>
        <w:t>n</w:t>
      </w:r>
      <w:r w:rsidRPr="00E64A4B">
        <w:rPr>
          <w:i/>
        </w:rPr>
        <w:t>dustrial Homework, Subcontracting, and Household Dynamics in Mexico City</w:t>
      </w:r>
      <w:r w:rsidRPr="00E64A4B">
        <w:t>,</w:t>
      </w:r>
      <w:r w:rsidRPr="00E64A4B">
        <w:rPr>
          <w:iCs/>
        </w:rPr>
        <w:t xml:space="preserve"> Chicago, University of Chicago Press, 1987.</w:t>
      </w:r>
    </w:p>
    <w:p w:rsidR="00B7214C" w:rsidRPr="00E64A4B" w:rsidRDefault="00B7214C" w:rsidP="00B7214C">
      <w:pPr>
        <w:spacing w:before="120" w:after="120"/>
        <w:jc w:val="both"/>
      </w:pPr>
      <w:r w:rsidRPr="00E64A4B">
        <w:t>Brown, L.-D., « People-centered Development and Participat</w:t>
      </w:r>
      <w:r w:rsidRPr="00E64A4B">
        <w:t>o</w:t>
      </w:r>
      <w:r w:rsidRPr="00E64A4B">
        <w:t xml:space="preserve">ry Research », </w:t>
      </w:r>
      <w:r w:rsidRPr="00E64A4B">
        <w:rPr>
          <w:i/>
          <w:iCs/>
        </w:rPr>
        <w:t>Harvard Educational Review,</w:t>
      </w:r>
      <w:r w:rsidRPr="00E64A4B">
        <w:t xml:space="preserve"> 1985, vol. 55, n° 1, </w:t>
      </w:r>
      <w:r>
        <w:t>p</w:t>
      </w:r>
      <w:r w:rsidRPr="00E64A4B">
        <w:t>p. 69-75.</w:t>
      </w:r>
    </w:p>
    <w:p w:rsidR="00B7214C" w:rsidRPr="00E64A4B" w:rsidRDefault="00B7214C" w:rsidP="00B7214C">
      <w:pPr>
        <w:spacing w:before="120" w:after="120"/>
        <w:jc w:val="both"/>
      </w:pPr>
      <w:r w:rsidRPr="00E64A4B">
        <w:rPr>
          <w:iCs/>
        </w:rPr>
        <w:t xml:space="preserve">Côté, J., </w:t>
      </w:r>
      <w:r w:rsidRPr="00E64A4B">
        <w:rPr>
          <w:i/>
        </w:rPr>
        <w:t>Le travail et la vie quotidienne des enfants à Santa Teres</w:t>
      </w:r>
      <w:r w:rsidRPr="00E64A4B">
        <w:rPr>
          <w:i/>
        </w:rPr>
        <w:t>i</w:t>
      </w:r>
      <w:r w:rsidRPr="00E64A4B">
        <w:rPr>
          <w:i/>
        </w:rPr>
        <w:t>ta, La Cocha, Colombie. El trabajoyla vida cotidiana de los niños en Santa Teresita, La Cocha, Colombia</w:t>
      </w:r>
      <w:r w:rsidRPr="00E64A4B">
        <w:t>,</w:t>
      </w:r>
      <w:r w:rsidRPr="00E64A4B">
        <w:rPr>
          <w:iCs/>
        </w:rPr>
        <w:t xml:space="preserve"> Québec, Université Laval, L</w:t>
      </w:r>
      <w:r w:rsidRPr="00E64A4B">
        <w:rPr>
          <w:iCs/>
        </w:rPr>
        <w:t>a</w:t>
      </w:r>
      <w:r w:rsidRPr="00E64A4B">
        <w:rPr>
          <w:iCs/>
        </w:rPr>
        <w:t>boratoire de recherches anthropologiques, 1993. (Coll. « Rapports de recherche », M.-F. Labrecque (dir.)).</w:t>
      </w:r>
    </w:p>
    <w:p w:rsidR="00B7214C" w:rsidRPr="00E64A4B" w:rsidRDefault="00B7214C" w:rsidP="00B7214C">
      <w:pPr>
        <w:spacing w:before="120" w:after="120"/>
        <w:jc w:val="both"/>
      </w:pPr>
      <w:r w:rsidRPr="00E64A4B">
        <w:t>Couto, R. A., « Participatory Research : Methodology and Crit</w:t>
      </w:r>
      <w:r w:rsidRPr="00E64A4B">
        <w:t>i</w:t>
      </w:r>
      <w:r w:rsidRPr="00E64A4B">
        <w:t xml:space="preserve">que », </w:t>
      </w:r>
      <w:r w:rsidRPr="00E64A4B">
        <w:rPr>
          <w:i/>
          <w:iCs/>
        </w:rPr>
        <w:t>Clinical Sociology Review,</w:t>
      </w:r>
      <w:r w:rsidRPr="00E64A4B">
        <w:t xml:space="preserve"> 1987, vol. 5, </w:t>
      </w:r>
      <w:r>
        <w:t>p</w:t>
      </w:r>
      <w:r w:rsidRPr="00E64A4B">
        <w:t>p. 83-90.</w:t>
      </w:r>
    </w:p>
    <w:p w:rsidR="00B7214C" w:rsidRPr="00E64A4B" w:rsidRDefault="00B7214C" w:rsidP="00B7214C">
      <w:pPr>
        <w:spacing w:before="120" w:after="120"/>
        <w:jc w:val="both"/>
      </w:pPr>
      <w:r w:rsidRPr="00E64A4B">
        <w:t xml:space="preserve">Edwards, M., « The Irrelevance of Development Studies, </w:t>
      </w:r>
      <w:r w:rsidRPr="00E64A4B">
        <w:rPr>
          <w:i/>
          <w:iCs/>
        </w:rPr>
        <w:t>Third World Quarterly,</w:t>
      </w:r>
      <w:r w:rsidRPr="00E64A4B">
        <w:t xml:space="preserve"> 1989, vol. 11, n° 1, </w:t>
      </w:r>
      <w:r>
        <w:t>p</w:t>
      </w:r>
      <w:r w:rsidRPr="00E64A4B">
        <w:t>p. 116-135.</w:t>
      </w:r>
    </w:p>
    <w:p w:rsidR="00B7214C" w:rsidRPr="00E64A4B" w:rsidRDefault="00B7214C" w:rsidP="00B7214C">
      <w:pPr>
        <w:spacing w:before="120" w:after="120"/>
        <w:jc w:val="both"/>
      </w:pPr>
      <w:r w:rsidRPr="00E64A4B">
        <w:t>Escobar, A., « Discourse and Power in Development : Michel Fo</w:t>
      </w:r>
      <w:r w:rsidRPr="00E64A4B">
        <w:t>u</w:t>
      </w:r>
      <w:r w:rsidRPr="00E64A4B">
        <w:t xml:space="preserve">cault and the Relevance of his Work to the Third World », </w:t>
      </w:r>
      <w:r w:rsidRPr="00E64A4B">
        <w:rPr>
          <w:i/>
          <w:iCs/>
        </w:rPr>
        <w:t>Alternat</w:t>
      </w:r>
      <w:r w:rsidRPr="00E64A4B">
        <w:rPr>
          <w:i/>
          <w:iCs/>
        </w:rPr>
        <w:t>i</w:t>
      </w:r>
      <w:r w:rsidRPr="00E64A4B">
        <w:rPr>
          <w:i/>
          <w:iCs/>
        </w:rPr>
        <w:t>ves,</w:t>
      </w:r>
      <w:r w:rsidRPr="00E64A4B">
        <w:t xml:space="preserve"> 1989-1990, vol. X, p</w:t>
      </w:r>
      <w:r>
        <w:t>p</w:t>
      </w:r>
      <w:r w:rsidRPr="00E64A4B">
        <w:t>. 377-400.</w:t>
      </w:r>
    </w:p>
    <w:p w:rsidR="00B7214C" w:rsidRPr="00E64A4B" w:rsidRDefault="00B7214C" w:rsidP="00B7214C">
      <w:pPr>
        <w:spacing w:before="120" w:after="120"/>
        <w:jc w:val="both"/>
      </w:pPr>
      <w:r w:rsidRPr="00E64A4B">
        <w:t>Fals Borda, O., « Algunos ingredientes bâsicos ». O. Fais Bo</w:t>
      </w:r>
      <w:r w:rsidRPr="00E64A4B">
        <w:t>r</w:t>
      </w:r>
      <w:r w:rsidRPr="00E64A4B">
        <w:t xml:space="preserve">da et M. Anisur Rahman, (dir.), </w:t>
      </w:r>
      <w:r w:rsidRPr="00E64A4B">
        <w:rPr>
          <w:i/>
          <w:iCs/>
        </w:rPr>
        <w:t>Acción y conocimiento : como romper el monopolio con investigación-acciôn-participativa,</w:t>
      </w:r>
      <w:r w:rsidRPr="00E64A4B">
        <w:t xml:space="preserve"> Bogota, CINEP, 1991, p</w:t>
      </w:r>
      <w:r>
        <w:t>p</w:t>
      </w:r>
      <w:r w:rsidRPr="00E64A4B">
        <w:t>. 7-19.</w:t>
      </w:r>
    </w:p>
    <w:p w:rsidR="00B7214C" w:rsidRPr="00E64A4B" w:rsidRDefault="00B7214C" w:rsidP="00B7214C">
      <w:pPr>
        <w:spacing w:before="120" w:after="120"/>
        <w:jc w:val="both"/>
      </w:pPr>
      <w:r w:rsidRPr="00E64A4B">
        <w:t xml:space="preserve">Fals Borda, O., « The Application of Participatory Action-Research in Latin America », </w:t>
      </w:r>
      <w:r w:rsidRPr="00E64A4B">
        <w:rPr>
          <w:i/>
          <w:iCs/>
        </w:rPr>
        <w:t>International Sociology,</w:t>
      </w:r>
      <w:r w:rsidRPr="00E64A4B">
        <w:t xml:space="preserve"> 1987, vol. 2, n° 4, p</w:t>
      </w:r>
      <w:r>
        <w:t>p</w:t>
      </w:r>
      <w:r w:rsidRPr="00E64A4B">
        <w:t>. 329-347.</w:t>
      </w:r>
    </w:p>
    <w:p w:rsidR="00B7214C" w:rsidRPr="00E64A4B" w:rsidRDefault="00B7214C" w:rsidP="00B7214C">
      <w:pPr>
        <w:spacing w:before="120" w:after="120"/>
        <w:jc w:val="both"/>
      </w:pPr>
      <w:r w:rsidRPr="00E64A4B">
        <w:t xml:space="preserve">Fals Borda, O., </w:t>
      </w:r>
      <w:r w:rsidRPr="00E64A4B">
        <w:rPr>
          <w:i/>
          <w:iCs/>
        </w:rPr>
        <w:t>Historia doble de la Costa,</w:t>
      </w:r>
      <w:r w:rsidRPr="00E64A4B">
        <w:t xml:space="preserve"> Bogota, Carlos Vale</w:t>
      </w:r>
      <w:r w:rsidRPr="00E64A4B">
        <w:t>n</w:t>
      </w:r>
      <w:r w:rsidRPr="00E64A4B">
        <w:t>cia editores. Quatre tomes, 1986.</w:t>
      </w:r>
    </w:p>
    <w:p w:rsidR="00B7214C" w:rsidRPr="00E64A4B" w:rsidRDefault="00B7214C" w:rsidP="00B7214C">
      <w:pPr>
        <w:spacing w:before="120" w:after="120"/>
        <w:jc w:val="both"/>
      </w:pPr>
      <w:r w:rsidRPr="00E64A4B">
        <w:t xml:space="preserve">Fals Borda, O., « Investigating Reality in Order to Transform it : the Colombian Experience », </w:t>
      </w:r>
      <w:r w:rsidRPr="00E64A4B">
        <w:rPr>
          <w:i/>
          <w:iCs/>
        </w:rPr>
        <w:t>Dialectical Anthropology,</w:t>
      </w:r>
      <w:r w:rsidRPr="00E64A4B">
        <w:t xml:space="preserve"> 1979, vol. 4, n° 1, p</w:t>
      </w:r>
      <w:r>
        <w:t>p</w:t>
      </w:r>
      <w:r w:rsidRPr="00E64A4B">
        <w:t>. 33-55.</w:t>
      </w:r>
    </w:p>
    <w:p w:rsidR="00B7214C" w:rsidRPr="00E64A4B" w:rsidRDefault="00B7214C" w:rsidP="00B7214C">
      <w:pPr>
        <w:spacing w:before="120" w:after="120"/>
        <w:jc w:val="both"/>
      </w:pPr>
      <w:r w:rsidRPr="00E64A4B">
        <w:t>Fioravanti-Molinié, A., « Contribution à l'étude des sociétés ét</w:t>
      </w:r>
      <w:r w:rsidRPr="00E64A4B">
        <w:t>a</w:t>
      </w:r>
      <w:r w:rsidRPr="00E64A4B">
        <w:t>gées des Andes : la vallée de Yucay (Pérou) » (avec comme</w:t>
      </w:r>
      <w:r w:rsidRPr="00E64A4B">
        <w:t>n</w:t>
      </w:r>
      <w:r w:rsidRPr="00E64A4B">
        <w:t xml:space="preserve">taires de John Murra), </w:t>
      </w:r>
      <w:r w:rsidRPr="00E64A4B">
        <w:rPr>
          <w:i/>
          <w:iCs/>
        </w:rPr>
        <w:t>Études rurales,</w:t>
      </w:r>
      <w:r w:rsidRPr="00E64A4B">
        <w:t xml:space="preserve"> 1975, vol. 57, </w:t>
      </w:r>
      <w:r>
        <w:t>p</w:t>
      </w:r>
      <w:r w:rsidRPr="00E64A4B">
        <w:t>p. 35-59.</w:t>
      </w:r>
    </w:p>
    <w:p w:rsidR="00B7214C" w:rsidRPr="00E64A4B" w:rsidRDefault="00B7214C" w:rsidP="00B7214C">
      <w:pPr>
        <w:spacing w:before="120" w:after="120"/>
        <w:jc w:val="both"/>
        <w:rPr>
          <w:iCs/>
        </w:rPr>
      </w:pPr>
      <w:r w:rsidRPr="00E64A4B">
        <w:rPr>
          <w:iCs/>
        </w:rPr>
        <w:t xml:space="preserve">Foucault, M., </w:t>
      </w:r>
      <w:r w:rsidRPr="00E64A4B">
        <w:rPr>
          <w:i/>
        </w:rPr>
        <w:t>The order of Things : An Archaeology of the Human Sciences</w:t>
      </w:r>
      <w:r w:rsidRPr="00E64A4B">
        <w:t>,</w:t>
      </w:r>
      <w:r w:rsidRPr="00E64A4B">
        <w:rPr>
          <w:iCs/>
        </w:rPr>
        <w:t xml:space="preserve"> London, Tavistock, 1970.</w:t>
      </w:r>
    </w:p>
    <w:p w:rsidR="00B7214C" w:rsidRPr="00E64A4B" w:rsidRDefault="00B7214C" w:rsidP="00B7214C">
      <w:pPr>
        <w:spacing w:before="120" w:after="120"/>
        <w:jc w:val="both"/>
      </w:pPr>
      <w:r w:rsidRPr="00E64A4B">
        <w:t>[363]</w:t>
      </w:r>
    </w:p>
    <w:p w:rsidR="00B7214C" w:rsidRPr="00E64A4B" w:rsidRDefault="00B7214C" w:rsidP="00B7214C">
      <w:pPr>
        <w:spacing w:before="120" w:after="120"/>
        <w:jc w:val="both"/>
      </w:pPr>
      <w:r w:rsidRPr="00E64A4B">
        <w:t xml:space="preserve">Freire, P., </w:t>
      </w:r>
      <w:r w:rsidRPr="00E64A4B">
        <w:rPr>
          <w:i/>
          <w:iCs/>
        </w:rPr>
        <w:t>Pédagogie des opprimés,</w:t>
      </w:r>
      <w:r w:rsidRPr="00E64A4B">
        <w:t xml:space="preserve"> Paris, Maspero, 1974.</w:t>
      </w:r>
    </w:p>
    <w:p w:rsidR="00B7214C" w:rsidRPr="00E64A4B" w:rsidRDefault="00B7214C" w:rsidP="00B7214C">
      <w:pPr>
        <w:spacing w:before="120" w:after="120"/>
        <w:jc w:val="both"/>
      </w:pPr>
      <w:r w:rsidRPr="00E64A4B">
        <w:t>Hall, B. L., « Participatory Research, Popular Knowledge and P</w:t>
      </w:r>
      <w:r w:rsidRPr="00E64A4B">
        <w:t>o</w:t>
      </w:r>
      <w:r w:rsidRPr="00E64A4B">
        <w:t xml:space="preserve">wer : A Personal Reflection ». </w:t>
      </w:r>
      <w:r w:rsidRPr="00E64A4B">
        <w:rPr>
          <w:i/>
          <w:iCs/>
        </w:rPr>
        <w:t>Convergence,</w:t>
      </w:r>
      <w:r w:rsidRPr="00E64A4B">
        <w:t xml:space="preserve"> 1981, vol. XIV, n° 3, p</w:t>
      </w:r>
      <w:r>
        <w:t>p</w:t>
      </w:r>
      <w:r w:rsidRPr="00E64A4B">
        <w:t>. 6-19.</w:t>
      </w:r>
    </w:p>
    <w:p w:rsidR="00B7214C" w:rsidRPr="00E64A4B" w:rsidRDefault="00B7214C" w:rsidP="00B7214C">
      <w:pPr>
        <w:spacing w:before="120" w:after="120"/>
        <w:jc w:val="both"/>
      </w:pPr>
      <w:r w:rsidRPr="00E64A4B">
        <w:t xml:space="preserve">IMCA (Instituto Mayor Campesino), « Proyecto micro-regional de desarrollo rural », dans F. Bernai (dir.), </w:t>
      </w:r>
      <w:r w:rsidRPr="00E64A4B">
        <w:rPr>
          <w:i/>
          <w:iCs/>
        </w:rPr>
        <w:t>El campesino contemporaneo. cambios recientes en los puises andinos,</w:t>
      </w:r>
      <w:r w:rsidRPr="00E64A4B">
        <w:t xml:space="preserve"> Bogota, Tercer Mundo Ed</w:t>
      </w:r>
      <w:r w:rsidRPr="00E64A4B">
        <w:t>i</w:t>
      </w:r>
      <w:r w:rsidRPr="00E64A4B">
        <w:t xml:space="preserve">tores, 1990, </w:t>
      </w:r>
      <w:r>
        <w:t>p</w:t>
      </w:r>
      <w:r w:rsidRPr="00E64A4B">
        <w:t>p. 440-450.</w:t>
      </w:r>
    </w:p>
    <w:p w:rsidR="00B7214C" w:rsidRPr="00E64A4B" w:rsidRDefault="00B7214C" w:rsidP="00B7214C">
      <w:pPr>
        <w:spacing w:before="120" w:after="120"/>
        <w:jc w:val="both"/>
      </w:pPr>
      <w:r w:rsidRPr="00E64A4B">
        <w:t xml:space="preserve">Jaggar, A., </w:t>
      </w:r>
      <w:r w:rsidRPr="00E64A4B">
        <w:rPr>
          <w:i/>
          <w:iCs/>
        </w:rPr>
        <w:t>Feminist Politics and Human Nature,</w:t>
      </w:r>
      <w:r w:rsidRPr="00E64A4B">
        <w:t xml:space="preserve"> Totowa, N.J., Rowman and Littlefield, 1983.</w:t>
      </w:r>
    </w:p>
    <w:p w:rsidR="00B7214C" w:rsidRPr="00E64A4B" w:rsidRDefault="00B7214C" w:rsidP="00B7214C">
      <w:pPr>
        <w:spacing w:before="120" w:after="120"/>
        <w:jc w:val="both"/>
      </w:pPr>
      <w:r w:rsidRPr="00E64A4B">
        <w:t xml:space="preserve">López Arellano, J., </w:t>
      </w:r>
      <w:r w:rsidRPr="00E64A4B">
        <w:rPr>
          <w:i/>
          <w:iCs/>
        </w:rPr>
        <w:t>La Cocha. Caractensticas sociales y económ</w:t>
      </w:r>
      <w:r w:rsidRPr="00E64A4B">
        <w:rPr>
          <w:i/>
          <w:iCs/>
        </w:rPr>
        <w:t>i</w:t>
      </w:r>
      <w:r w:rsidRPr="00E64A4B">
        <w:rPr>
          <w:i/>
          <w:iCs/>
        </w:rPr>
        <w:t>cas de una región andina del sur de Colombia,</w:t>
      </w:r>
      <w:r w:rsidRPr="00E64A4B">
        <w:t xml:space="preserve"> Québec, Un</w:t>
      </w:r>
      <w:r w:rsidRPr="00E64A4B">
        <w:t>i</w:t>
      </w:r>
      <w:r w:rsidRPr="00E64A4B">
        <w:t>versité Laval, Laboratoire de recherches anthropologiques, 1993. (Coll. « Rapports de recherche », Marie-France Labrecque (dir.)).</w:t>
      </w:r>
    </w:p>
    <w:p w:rsidR="00B7214C" w:rsidRPr="00E64A4B" w:rsidRDefault="00B7214C" w:rsidP="00B7214C">
      <w:pPr>
        <w:spacing w:before="120" w:after="120"/>
        <w:jc w:val="both"/>
      </w:pPr>
      <w:r w:rsidRPr="00E64A4B">
        <w:t xml:space="preserve">Maclure, R., « The Challenge of Participatory Research and its Implication for Funding Agencies », </w:t>
      </w:r>
      <w:r w:rsidRPr="00E64A4B">
        <w:rPr>
          <w:i/>
          <w:iCs/>
        </w:rPr>
        <w:t>International Journal of Sociol</w:t>
      </w:r>
      <w:r w:rsidRPr="00E64A4B">
        <w:rPr>
          <w:i/>
          <w:iCs/>
        </w:rPr>
        <w:t>o</w:t>
      </w:r>
      <w:r w:rsidRPr="00E64A4B">
        <w:rPr>
          <w:i/>
          <w:iCs/>
        </w:rPr>
        <w:t>gy and Social Policy,</w:t>
      </w:r>
      <w:r w:rsidRPr="00E64A4B">
        <w:t xml:space="preserve"> 1990, vol. 10, n° 3, p</w:t>
      </w:r>
      <w:r>
        <w:t>p</w:t>
      </w:r>
      <w:r w:rsidRPr="00E64A4B">
        <w:t>.1-21.</w:t>
      </w:r>
    </w:p>
    <w:p w:rsidR="00B7214C" w:rsidRPr="00E64A4B" w:rsidRDefault="00B7214C" w:rsidP="00B7214C">
      <w:pPr>
        <w:spacing w:before="120" w:after="120"/>
        <w:jc w:val="both"/>
      </w:pPr>
      <w:r w:rsidRPr="00E64A4B">
        <w:t xml:space="preserve">Maguire, P., </w:t>
      </w:r>
      <w:r w:rsidRPr="00E64A4B">
        <w:rPr>
          <w:i/>
          <w:iCs/>
        </w:rPr>
        <w:t>Doing Participatory Research : a Feminist Approach,</w:t>
      </w:r>
      <w:r w:rsidRPr="00E64A4B">
        <w:t xml:space="preserve"> Amherst, University of Massachusetts, 1987.</w:t>
      </w:r>
    </w:p>
    <w:p w:rsidR="00B7214C" w:rsidRPr="00E64A4B" w:rsidRDefault="00B7214C" w:rsidP="00B7214C">
      <w:pPr>
        <w:spacing w:before="120" w:after="120"/>
        <w:jc w:val="both"/>
      </w:pPr>
      <w:r w:rsidRPr="00E64A4B">
        <w:t>McTaggart, R., « Principles for Participatory Action R</w:t>
      </w:r>
      <w:r w:rsidRPr="00E64A4B">
        <w:t>e</w:t>
      </w:r>
      <w:r w:rsidRPr="00E64A4B">
        <w:t xml:space="preserve">search », </w:t>
      </w:r>
      <w:r w:rsidRPr="00E64A4B">
        <w:rPr>
          <w:i/>
          <w:iCs/>
        </w:rPr>
        <w:t xml:space="preserve">Adult Education Quarterly, </w:t>
      </w:r>
      <w:r w:rsidRPr="00E64A4B">
        <w:t xml:space="preserve">1991, vol. 41, n° 3, </w:t>
      </w:r>
      <w:r>
        <w:t>p</w:t>
      </w:r>
      <w:r w:rsidRPr="00E64A4B">
        <w:t>p. 168-187.</w:t>
      </w:r>
    </w:p>
    <w:p w:rsidR="00B7214C" w:rsidRPr="00E64A4B" w:rsidRDefault="00B7214C" w:rsidP="00B7214C">
      <w:pPr>
        <w:spacing w:before="120" w:after="120"/>
        <w:jc w:val="both"/>
      </w:pPr>
      <w:r w:rsidRPr="00E64A4B">
        <w:rPr>
          <w:iCs/>
        </w:rPr>
        <w:t xml:space="preserve">Ménard, R., </w:t>
      </w:r>
      <w:r w:rsidRPr="00E64A4B">
        <w:rPr>
          <w:i/>
        </w:rPr>
        <w:t>Transfert technologique au féminin. Les cas de Santa Lucta et de Santa Isàbel. Transferencia tecnolôgica al fem</w:t>
      </w:r>
      <w:r w:rsidRPr="00E64A4B">
        <w:rPr>
          <w:i/>
        </w:rPr>
        <w:t>e</w:t>
      </w:r>
      <w:r w:rsidRPr="00E64A4B">
        <w:rPr>
          <w:i/>
        </w:rPr>
        <w:t>nino. Los casos de Santa Lucia y Santa Isabel</w:t>
      </w:r>
      <w:r w:rsidRPr="00E64A4B">
        <w:t xml:space="preserve">, </w:t>
      </w:r>
      <w:r w:rsidRPr="00E64A4B">
        <w:rPr>
          <w:iCs/>
        </w:rPr>
        <w:t>Québec, Université Laval, Lab</w:t>
      </w:r>
      <w:r w:rsidRPr="00E64A4B">
        <w:rPr>
          <w:iCs/>
        </w:rPr>
        <w:t>o</w:t>
      </w:r>
      <w:r w:rsidRPr="00E64A4B">
        <w:rPr>
          <w:iCs/>
        </w:rPr>
        <w:t>ratoire de recherches anthropologiques, 1993. [Coll. « Rapports de recherche, Marie-France Labrecque (dir.)].</w:t>
      </w:r>
    </w:p>
    <w:p w:rsidR="00B7214C" w:rsidRPr="00E64A4B" w:rsidRDefault="00B7214C" w:rsidP="00B7214C">
      <w:pPr>
        <w:spacing w:before="120" w:after="120"/>
        <w:jc w:val="both"/>
      </w:pPr>
      <w:r w:rsidRPr="00E64A4B">
        <w:t>Pagaduan, M. C., « Mindanao Peasant Women : a Participat</w:t>
      </w:r>
      <w:r w:rsidRPr="00E64A4B">
        <w:t>o</w:t>
      </w:r>
      <w:r w:rsidRPr="00E64A4B">
        <w:t xml:space="preserve">ry Research Investigation of their Realities and Potentials, </w:t>
      </w:r>
      <w:r w:rsidRPr="00E64A4B">
        <w:rPr>
          <w:i/>
          <w:iCs/>
        </w:rPr>
        <w:t>Community Development Journal,</w:t>
      </w:r>
      <w:r w:rsidRPr="00E64A4B">
        <w:t xml:space="preserve"> 1988, vol. 23, n° 3, p</w:t>
      </w:r>
      <w:r>
        <w:t>p</w:t>
      </w:r>
      <w:r w:rsidRPr="00E64A4B">
        <w:t>. 195-201.</w:t>
      </w:r>
    </w:p>
    <w:p w:rsidR="00B7214C" w:rsidRPr="00E64A4B" w:rsidRDefault="00B7214C" w:rsidP="00B7214C">
      <w:pPr>
        <w:spacing w:before="120" w:after="120"/>
        <w:jc w:val="both"/>
      </w:pPr>
      <w:r w:rsidRPr="00E64A4B">
        <w:t xml:space="preserve">Pinto, J. B., </w:t>
      </w:r>
      <w:r w:rsidRPr="00E64A4B">
        <w:rPr>
          <w:i/>
          <w:iCs/>
        </w:rPr>
        <w:t>La investigacion-acción,</w:t>
      </w:r>
      <w:r w:rsidRPr="00E64A4B">
        <w:t xml:space="preserve"> Manizales, Proyecto Guelph-Caldas, Facultad de desarrollo familiar, Universidad de Caldas, 1987.</w:t>
      </w:r>
    </w:p>
    <w:p w:rsidR="00B7214C" w:rsidRPr="00E64A4B" w:rsidRDefault="00B7214C" w:rsidP="00B7214C">
      <w:pPr>
        <w:spacing w:before="120" w:after="120"/>
        <w:jc w:val="both"/>
      </w:pPr>
      <w:r w:rsidRPr="00E64A4B">
        <w:t>Rahman, M. A., « El punto de vista teórico de la IAP », dans O. Fals-Borda et M. A.</w:t>
      </w:r>
    </w:p>
    <w:p w:rsidR="00B7214C" w:rsidRPr="00E64A4B" w:rsidRDefault="00B7214C" w:rsidP="00B7214C">
      <w:pPr>
        <w:spacing w:before="120" w:after="120"/>
        <w:jc w:val="both"/>
      </w:pPr>
      <w:r w:rsidRPr="00E64A4B">
        <w:rPr>
          <w:iCs/>
        </w:rPr>
        <w:t xml:space="preserve">Rahman (dir.), </w:t>
      </w:r>
      <w:r w:rsidRPr="00E64A4B">
        <w:rPr>
          <w:i/>
        </w:rPr>
        <w:t>Acción</w:t>
      </w:r>
      <w:r w:rsidRPr="00E64A4B">
        <w:rPr>
          <w:i/>
          <w:iCs/>
        </w:rPr>
        <w:t xml:space="preserve"> y </w:t>
      </w:r>
      <w:r w:rsidRPr="00E64A4B">
        <w:rPr>
          <w:i/>
        </w:rPr>
        <w:t>conocimiento : como romper el monop</w:t>
      </w:r>
      <w:r w:rsidRPr="00E64A4B">
        <w:rPr>
          <w:i/>
        </w:rPr>
        <w:t>o</w:t>
      </w:r>
      <w:r w:rsidRPr="00E64A4B">
        <w:rPr>
          <w:i/>
        </w:rPr>
        <w:t>lio con investigación-acción-participativa</w:t>
      </w:r>
      <w:r w:rsidRPr="00E64A4B">
        <w:t>,</w:t>
      </w:r>
      <w:r w:rsidRPr="00E64A4B">
        <w:rPr>
          <w:iCs/>
        </w:rPr>
        <w:t xml:space="preserve"> Bogota, CINEP, 1991, p</w:t>
      </w:r>
      <w:r>
        <w:rPr>
          <w:iCs/>
        </w:rPr>
        <w:t>p</w:t>
      </w:r>
      <w:r w:rsidRPr="00E64A4B">
        <w:rPr>
          <w:iCs/>
        </w:rPr>
        <w:t>. 21-35.</w:t>
      </w:r>
    </w:p>
    <w:p w:rsidR="00B7214C" w:rsidRPr="00E64A4B" w:rsidRDefault="00B7214C" w:rsidP="00B7214C">
      <w:pPr>
        <w:spacing w:before="120" w:after="120"/>
        <w:jc w:val="both"/>
      </w:pPr>
      <w:r w:rsidRPr="00E64A4B">
        <w:t>Ramphele, M., « Participatory research. The Myths and Real</w:t>
      </w:r>
      <w:r w:rsidRPr="00E64A4B">
        <w:t>i</w:t>
      </w:r>
      <w:r w:rsidRPr="00E64A4B">
        <w:t xml:space="preserve">ties », </w:t>
      </w:r>
      <w:r w:rsidRPr="00E64A4B">
        <w:rPr>
          <w:i/>
          <w:iCs/>
        </w:rPr>
        <w:t>Social Dynamics,</w:t>
      </w:r>
      <w:r w:rsidRPr="00E64A4B">
        <w:t xml:space="preserve"> 1990, vol. 16, n° 2, p</w:t>
      </w:r>
      <w:r>
        <w:t>p</w:t>
      </w:r>
      <w:r w:rsidRPr="00E64A4B">
        <w:t>. 1-15.</w:t>
      </w:r>
    </w:p>
    <w:p w:rsidR="00B7214C" w:rsidRPr="00E64A4B" w:rsidRDefault="00B7214C" w:rsidP="00B7214C">
      <w:pPr>
        <w:spacing w:before="120" w:after="120"/>
        <w:jc w:val="both"/>
      </w:pPr>
      <w:r w:rsidRPr="00E64A4B">
        <w:t xml:space="preserve">Reason, P. et J. Rowan, </w:t>
      </w:r>
      <w:r w:rsidRPr="00E64A4B">
        <w:rPr>
          <w:i/>
          <w:iCs/>
        </w:rPr>
        <w:t>Human Inquiry : A Sourcebook of New Paradigm Research,</w:t>
      </w:r>
      <w:r w:rsidRPr="00E64A4B">
        <w:t xml:space="preserve"> Chichester, John Wiley and Sons, 1981.</w:t>
      </w:r>
    </w:p>
    <w:p w:rsidR="00B7214C" w:rsidRPr="00E64A4B" w:rsidRDefault="00B7214C" w:rsidP="00B7214C">
      <w:pPr>
        <w:spacing w:before="120" w:after="120"/>
        <w:jc w:val="both"/>
      </w:pPr>
      <w:r w:rsidRPr="00E64A4B">
        <w:t>Salazar, M. C. « Rompiendo el muro del autoritarismo », dans O. Fais Borda et M. A.</w:t>
      </w:r>
    </w:p>
    <w:p w:rsidR="00B7214C" w:rsidRPr="00E64A4B" w:rsidRDefault="00B7214C" w:rsidP="00B7214C">
      <w:pPr>
        <w:spacing w:before="120" w:after="120"/>
        <w:jc w:val="both"/>
      </w:pPr>
      <w:r w:rsidRPr="00E64A4B">
        <w:rPr>
          <w:iCs/>
        </w:rPr>
        <w:t xml:space="preserve">Rahman (dir.), </w:t>
      </w:r>
      <w:r w:rsidRPr="00E64A4B">
        <w:rPr>
          <w:i/>
        </w:rPr>
        <w:t>Acción y conocimiento : como romper el monop</w:t>
      </w:r>
      <w:r w:rsidRPr="00E64A4B">
        <w:rPr>
          <w:i/>
        </w:rPr>
        <w:t>o</w:t>
      </w:r>
      <w:r w:rsidRPr="00E64A4B">
        <w:rPr>
          <w:i/>
        </w:rPr>
        <w:t>lio con investigación-acción participativa</w:t>
      </w:r>
      <w:r w:rsidRPr="00E64A4B">
        <w:t>,</w:t>
      </w:r>
      <w:r w:rsidRPr="00E64A4B">
        <w:rPr>
          <w:iCs/>
        </w:rPr>
        <w:t xml:space="preserve"> Bogota, CINEP, 1991, p</w:t>
      </w:r>
      <w:r>
        <w:rPr>
          <w:iCs/>
        </w:rPr>
        <w:t>p</w:t>
      </w:r>
      <w:r w:rsidRPr="00E64A4B">
        <w:rPr>
          <w:iCs/>
        </w:rPr>
        <w:t>. 75-87.</w:t>
      </w:r>
    </w:p>
    <w:p w:rsidR="00B7214C" w:rsidRPr="00E64A4B" w:rsidRDefault="00B7214C" w:rsidP="00B7214C">
      <w:pPr>
        <w:spacing w:before="120" w:after="120"/>
        <w:jc w:val="both"/>
      </w:pPr>
      <w:r w:rsidRPr="00E64A4B">
        <w:rPr>
          <w:iCs/>
        </w:rPr>
        <w:t xml:space="preserve">Taussig, M., </w:t>
      </w:r>
      <w:r w:rsidRPr="00E64A4B">
        <w:rPr>
          <w:i/>
        </w:rPr>
        <w:t>Shamanism, Colonialism, and the Wild Man. A Study in Terror and Healing</w:t>
      </w:r>
      <w:r w:rsidRPr="00E64A4B">
        <w:t xml:space="preserve">, </w:t>
      </w:r>
      <w:r w:rsidRPr="00E64A4B">
        <w:rPr>
          <w:iCs/>
        </w:rPr>
        <w:t>Chicago et Londres, The University of Chic</w:t>
      </w:r>
      <w:r w:rsidRPr="00E64A4B">
        <w:rPr>
          <w:iCs/>
        </w:rPr>
        <w:t>a</w:t>
      </w:r>
      <w:r w:rsidRPr="00E64A4B">
        <w:rPr>
          <w:iCs/>
        </w:rPr>
        <w:t>go Press, 1986.</w:t>
      </w:r>
    </w:p>
    <w:p w:rsidR="00B7214C" w:rsidRPr="00E64A4B" w:rsidRDefault="00B7214C" w:rsidP="00B7214C">
      <w:pPr>
        <w:spacing w:before="120" w:after="120"/>
        <w:jc w:val="both"/>
      </w:pPr>
      <w:r w:rsidRPr="00E64A4B">
        <w:t xml:space="preserve">Utribe T., C. A., « La Antropologia en Colombia », </w:t>
      </w:r>
      <w:r w:rsidRPr="00E64A4B">
        <w:rPr>
          <w:i/>
          <w:iCs/>
        </w:rPr>
        <w:t>America Ind</w:t>
      </w:r>
      <w:r w:rsidRPr="00E64A4B">
        <w:rPr>
          <w:i/>
          <w:iCs/>
        </w:rPr>
        <w:t>i</w:t>
      </w:r>
      <w:r w:rsidRPr="00E64A4B">
        <w:rPr>
          <w:i/>
          <w:iCs/>
        </w:rPr>
        <w:t>gena,</w:t>
      </w:r>
      <w:r w:rsidRPr="00E64A4B">
        <w:t xml:space="preserve"> 1980, vol. 40, n° 2, </w:t>
      </w:r>
      <w:r>
        <w:t>p</w:t>
      </w:r>
      <w:r w:rsidRPr="00E64A4B">
        <w:t>p. 281-308.</w:t>
      </w:r>
    </w:p>
    <w:p w:rsidR="00B7214C" w:rsidRPr="00E64A4B" w:rsidRDefault="00B7214C" w:rsidP="00B7214C">
      <w:pPr>
        <w:spacing w:before="120" w:after="120"/>
        <w:jc w:val="both"/>
      </w:pPr>
      <w:r w:rsidRPr="00E64A4B">
        <w:t>Usselmann, P., « Les contraintes du milieu : développement et d</w:t>
      </w:r>
      <w:r w:rsidRPr="00E64A4B">
        <w:t>é</w:t>
      </w:r>
      <w:r w:rsidRPr="00E64A4B">
        <w:t>pendance dans les Andes intertropicales », dans Jean-Luc Rac</w:t>
      </w:r>
      <w:r w:rsidRPr="00E64A4B">
        <w:t>i</w:t>
      </w:r>
      <w:r w:rsidRPr="00E64A4B">
        <w:t xml:space="preserve">ne (dir.), </w:t>
      </w:r>
      <w:r w:rsidRPr="00E64A4B">
        <w:rPr>
          <w:i/>
          <w:iCs/>
        </w:rPr>
        <w:t>Tiers-Mondes : figures d'incertitude. Autonomie et dépenda</w:t>
      </w:r>
      <w:r w:rsidRPr="00E64A4B">
        <w:rPr>
          <w:i/>
          <w:iCs/>
        </w:rPr>
        <w:t>n</w:t>
      </w:r>
      <w:r w:rsidRPr="00E64A4B">
        <w:rPr>
          <w:i/>
          <w:iCs/>
        </w:rPr>
        <w:t>ces,</w:t>
      </w:r>
      <w:r w:rsidRPr="00E64A4B">
        <w:t xml:space="preserve"> Paris, L'Harmattan, 1991, p</w:t>
      </w:r>
      <w:r>
        <w:t>p</w:t>
      </w:r>
      <w:r w:rsidRPr="00E64A4B">
        <w:t>. 35-59.</w:t>
      </w:r>
    </w:p>
    <w:p w:rsidR="00B7214C" w:rsidRPr="00E64A4B" w:rsidRDefault="00B7214C" w:rsidP="00B7214C">
      <w:pPr>
        <w:spacing w:before="120" w:after="120"/>
        <w:jc w:val="both"/>
      </w:pPr>
      <w:r w:rsidRPr="00E64A4B">
        <w:t>[364]</w:t>
      </w:r>
    </w:p>
    <w:p w:rsidR="00B7214C" w:rsidRPr="00E64A4B" w:rsidRDefault="00B7214C" w:rsidP="00B7214C">
      <w:pPr>
        <w:spacing w:before="120" w:after="120"/>
        <w:jc w:val="both"/>
      </w:pPr>
      <w:r w:rsidRPr="00E64A4B">
        <w:t>Vandenberg, L. et F. A. Fear, « Participatory Research : a Comp</w:t>
      </w:r>
      <w:r w:rsidRPr="00E64A4B">
        <w:t>a</w:t>
      </w:r>
      <w:r w:rsidRPr="00E64A4B">
        <w:t xml:space="preserve">rative Analysis of Two Approaches », </w:t>
      </w:r>
      <w:r w:rsidRPr="00E64A4B">
        <w:rPr>
          <w:i/>
          <w:iCs/>
        </w:rPr>
        <w:t>Journal of Voluntary Action Research,</w:t>
      </w:r>
      <w:r w:rsidRPr="00E64A4B">
        <w:t xml:space="preserve"> 1983, vol. 12, n° 4, p</w:t>
      </w:r>
      <w:r>
        <w:t>p</w:t>
      </w:r>
      <w:r w:rsidRPr="00E64A4B">
        <w:t>. 11-28.</w:t>
      </w:r>
    </w:p>
    <w:p w:rsidR="00B7214C" w:rsidRPr="00E64A4B" w:rsidRDefault="00B7214C" w:rsidP="00B7214C">
      <w:pPr>
        <w:spacing w:before="120" w:after="120"/>
        <w:jc w:val="both"/>
        <w:rPr>
          <w:iCs/>
        </w:rPr>
      </w:pPr>
      <w:r w:rsidRPr="00E64A4B">
        <w:rPr>
          <w:iCs/>
        </w:rPr>
        <w:t xml:space="preserve">Zamosc, L., </w:t>
      </w:r>
      <w:r w:rsidRPr="00E64A4B">
        <w:rPr>
          <w:i/>
        </w:rPr>
        <w:t>The Agrarian Question and the Peasant Movement in Colombia. Struggles of the National Peasant Association 1967-1981</w:t>
      </w:r>
      <w:r w:rsidRPr="00E64A4B">
        <w:t>,</w:t>
      </w:r>
      <w:r w:rsidRPr="00E64A4B">
        <w:rPr>
          <w:iCs/>
        </w:rPr>
        <w:t xml:space="preserve"> Cambridge, Cambridge University Press, 1986.</w:t>
      </w:r>
    </w:p>
    <w:p w:rsidR="00B7214C" w:rsidRPr="00E64A4B" w:rsidRDefault="00B7214C" w:rsidP="00B7214C">
      <w:pPr>
        <w:pStyle w:val="p"/>
      </w:pPr>
      <w:r w:rsidRPr="00E64A4B">
        <w:br w:type="page"/>
        <w:t>[365]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5" w:name="Entre_tradition_pt_2_texte_24"/>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C. </w:t>
      </w:r>
      <w:r w:rsidRPr="00DC0C7E">
        <w:rPr>
          <w:color w:val="FF0000"/>
          <w:sz w:val="24"/>
        </w:rPr>
        <w:t>LE</w:t>
      </w:r>
      <w:r>
        <w:rPr>
          <w:color w:val="FF0000"/>
          <w:sz w:val="24"/>
        </w:rPr>
        <w:t>S SOLIDARITÉS</w:t>
      </w:r>
    </w:p>
    <w:p w:rsidR="00B7214C" w:rsidRPr="00384B20" w:rsidRDefault="00B7214C" w:rsidP="00B7214C">
      <w:pPr>
        <w:pStyle w:val="Titreniveau1"/>
      </w:pPr>
      <w:r>
        <w:t>24</w:t>
      </w:r>
    </w:p>
    <w:p w:rsidR="00B7214C" w:rsidRDefault="00B7214C" w:rsidP="00B7214C">
      <w:pPr>
        <w:pStyle w:val="Titreniveau2"/>
      </w:pPr>
      <w:r>
        <w:t>“Un ethnologue et un mouveme</w:t>
      </w:r>
      <w:r>
        <w:br/>
        <w:t>t autochtone au Mexique :</w:t>
      </w:r>
      <w:r>
        <w:br/>
        <w:t>critique d’une coopération</w:t>
      </w:r>
      <w:r>
        <w:br/>
        <w:t>à long terme.”</w:t>
      </w:r>
    </w:p>
    <w:bookmarkEnd w:id="35"/>
    <w:p w:rsidR="00B7214C" w:rsidRPr="00E07116" w:rsidRDefault="00B7214C" w:rsidP="00B7214C">
      <w:pPr>
        <w:jc w:val="both"/>
        <w:rPr>
          <w:szCs w:val="36"/>
        </w:rPr>
      </w:pPr>
    </w:p>
    <w:p w:rsidR="00B7214C" w:rsidRPr="00E07116" w:rsidRDefault="00B7214C" w:rsidP="00B7214C">
      <w:pPr>
        <w:pStyle w:val="suite"/>
      </w:pPr>
      <w:r>
        <w:t>Par Pierre BEAUCAGE</w:t>
      </w:r>
    </w:p>
    <w:p w:rsidR="00B7214C" w:rsidRPr="00E07116" w:rsidRDefault="00B7214C" w:rsidP="00B7214C">
      <w:pPr>
        <w:pStyle w:val="auteurst"/>
      </w:pPr>
      <w:r w:rsidRPr="004A7EF1">
        <w:t xml:space="preserve">Département d'anthropologie. Université de Montréal </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Parmi les spécialistes de l'anthropologie appliquée, il existe un d</w:t>
      </w:r>
      <w:r w:rsidRPr="00E64A4B">
        <w:t>é</w:t>
      </w:r>
      <w:r w:rsidRPr="00E64A4B">
        <w:t>bat ancien quant à l'utilité et la légitimité de l'intégration, dans des in</w:t>
      </w:r>
      <w:r w:rsidRPr="00E64A4B">
        <w:t>s</w:t>
      </w:r>
      <w:r w:rsidRPr="00E64A4B">
        <w:t>titutions étatiques, d'interventions au sein des populations autocht</w:t>
      </w:r>
      <w:r w:rsidRPr="00E64A4B">
        <w:t>o</w:t>
      </w:r>
      <w:r w:rsidRPr="00E64A4B">
        <w:t>nes. Jusque dans les années 1960, la position dominante était la su</w:t>
      </w:r>
      <w:r w:rsidRPr="00E64A4B">
        <w:t>i</w:t>
      </w:r>
      <w:r w:rsidRPr="00E64A4B">
        <w:t>vante : il est préférable de se trouver près des ce</w:t>
      </w:r>
      <w:r w:rsidRPr="00E64A4B">
        <w:t>n</w:t>
      </w:r>
      <w:r w:rsidRPr="00E64A4B">
        <w:t>tres de décision pour les i</w:t>
      </w:r>
      <w:r w:rsidRPr="00E64A4B">
        <w:t>n</w:t>
      </w:r>
      <w:r w:rsidRPr="00E64A4B">
        <w:t>fluencer dans la bonne direction (ou la moins mauvaise), tandis que le travail non institutionnalisé tran</w:t>
      </w:r>
      <w:r w:rsidRPr="00E64A4B">
        <w:t>s</w:t>
      </w:r>
      <w:r w:rsidRPr="00E64A4B">
        <w:t>forme l'ethnologue en apprenti sorcier. C'est en ces termes, ou presque, que l'Américain Allan Hol</w:t>
      </w:r>
      <w:r w:rsidRPr="00E64A4B">
        <w:t>m</w:t>
      </w:r>
      <w:r w:rsidRPr="00E64A4B">
        <w:t>berg contrastait l'approche scientifique du changement social adoptée à V</w:t>
      </w:r>
      <w:r w:rsidRPr="00E64A4B">
        <w:t>i</w:t>
      </w:r>
      <w:r w:rsidRPr="00E64A4B">
        <w:t>cos (Pérou) et ses aventures antérieures chez les Sirionos de l'est bol</w:t>
      </w:r>
      <w:r w:rsidRPr="00E64A4B">
        <w:t>i</w:t>
      </w:r>
      <w:r w:rsidRPr="00E64A4B">
        <w:t>vien. À partir des années 1960, une autre position commença à se faire jour, à l'effet qu'une intégration du chercheur dans l'appareil d'État est à la fois illusoire et dangereuse, puisque l'influence qu'il peut exercer sur les politiques est dérisoire tandis qu'il se trouve obl</w:t>
      </w:r>
      <w:r w:rsidRPr="00E64A4B">
        <w:t>i</w:t>
      </w:r>
      <w:r w:rsidRPr="00E64A4B">
        <w:t>gé par contre d'abandonner toute perspective critique. Le débat fit rage tant dans des pays capitalistes avancés comme la Grande-Bretagne, le Canada ou les États-Unis (Assad, Copans) que dans des pays du tiers</w:t>
      </w:r>
      <w:r>
        <w:t xml:space="preserve"> </w:t>
      </w:r>
      <w:r w:rsidRPr="00E64A4B">
        <w:t>[366]</w:t>
      </w:r>
      <w:r>
        <w:t xml:space="preserve"> </w:t>
      </w:r>
      <w:r w:rsidRPr="00E64A4B">
        <w:t xml:space="preserve">monde comme le Mexique ou le Brésil (Warman </w:t>
      </w:r>
      <w:r w:rsidRPr="000D1A32">
        <w:rPr>
          <w:i/>
          <w:iCs/>
        </w:rPr>
        <w:t>et al</w:t>
      </w:r>
      <w:r w:rsidRPr="00E64A4B">
        <w:t>. ; Stave</w:t>
      </w:r>
      <w:r w:rsidRPr="00E64A4B">
        <w:t>n</w:t>
      </w:r>
      <w:r w:rsidRPr="00E64A4B">
        <w:t>hagen)</w:t>
      </w:r>
      <w:r>
        <w:t> </w:t>
      </w:r>
      <w:r>
        <w:rPr>
          <w:rStyle w:val="Appelnotedebasdep"/>
        </w:rPr>
        <w:footnoteReference w:customMarkFollows="1" w:id="265"/>
        <w:t>*</w:t>
      </w:r>
      <w:r w:rsidRPr="00E64A4B">
        <w:t>. Les deux camps correspondaient souvent aux deux volets classiques de la pratique professionnelle : les administrations spécial</w:t>
      </w:r>
      <w:r w:rsidRPr="00E64A4B">
        <w:t>i</w:t>
      </w:r>
      <w:r w:rsidRPr="00E64A4B">
        <w:t>sées, d'une part, l'enseignement et la recherche un</w:t>
      </w:r>
      <w:r w:rsidRPr="00E64A4B">
        <w:t>i</w:t>
      </w:r>
      <w:r w:rsidRPr="00E64A4B">
        <w:t>versitaire, de l'autre (l'université étant un endroit beaucoup plus sûr que le ministère pour exercer une « fonction critique »).</w:t>
      </w:r>
    </w:p>
    <w:p w:rsidR="00B7214C" w:rsidRPr="00E64A4B" w:rsidRDefault="00B7214C" w:rsidP="00B7214C">
      <w:pPr>
        <w:spacing w:before="120" w:after="120"/>
        <w:jc w:val="both"/>
      </w:pPr>
      <w:r w:rsidRPr="00E64A4B">
        <w:t>Depuis deux décennies, la situation s'est modifiée considérabl</w:t>
      </w:r>
      <w:r w:rsidRPr="00E64A4B">
        <w:t>e</w:t>
      </w:r>
      <w:r w:rsidRPr="00E64A4B">
        <w:t>ment. En premier heu, on a assisté au développement de la r</w:t>
      </w:r>
      <w:r w:rsidRPr="00E64A4B">
        <w:t>e</w:t>
      </w:r>
      <w:r w:rsidRPr="00E64A4B">
        <w:t>cherche contractuelle en anthropologie, non plus seulement co</w:t>
      </w:r>
      <w:r w:rsidRPr="00E64A4B">
        <w:t>m</w:t>
      </w:r>
      <w:r w:rsidRPr="00E64A4B">
        <w:t>me « travail à côté » d'universitaires, mais comme activité princ</w:t>
      </w:r>
      <w:r w:rsidRPr="00E64A4B">
        <w:t>i</w:t>
      </w:r>
      <w:r w:rsidRPr="00E64A4B">
        <w:t>pale de chercheurs professionnels. On a également vu émerger des organisations autoc</w:t>
      </w:r>
      <w:r w:rsidRPr="00E64A4B">
        <w:t>h</w:t>
      </w:r>
      <w:r w:rsidRPr="00E64A4B">
        <w:t>tones qui dans le cadre d'un processus de r</w:t>
      </w:r>
      <w:r w:rsidRPr="00E64A4B">
        <w:t>e</w:t>
      </w:r>
      <w:r w:rsidRPr="00E64A4B">
        <w:t>vendications territoriales, politiques et culturelles, ont entrepris de (re)prendre en charge, pa</w:t>
      </w:r>
      <w:r w:rsidRPr="00E64A4B">
        <w:t>r</w:t>
      </w:r>
      <w:r w:rsidRPr="00E64A4B">
        <w:t>tiellement ou totalement, des aspects importants de leur vie : services de santé, exploitation des re</w:t>
      </w:r>
      <w:r w:rsidRPr="00E64A4B">
        <w:t>s</w:t>
      </w:r>
      <w:r w:rsidRPr="00E64A4B">
        <w:t>sources, éducation, etc. Et enfin (surtout dans les pays du tiers monde), on a vu proliférer des organisations non gouvernementales : internationales, d'abord, puis de plus en plus n</w:t>
      </w:r>
      <w:r w:rsidRPr="00E64A4B">
        <w:t>a</w:t>
      </w:r>
      <w:r w:rsidRPr="00E64A4B">
        <w:t>tionales, œuvrant, entre autres, en milieu amérindien. Ces chang</w:t>
      </w:r>
      <w:r w:rsidRPr="00E64A4B">
        <w:t>e</w:t>
      </w:r>
      <w:r w:rsidRPr="00E64A4B">
        <w:t>ments ont modifié toute la pratique de l'anthropologie, à commencer par le fameux « terrain », à la fois source privilégiée du donné ethn</w:t>
      </w:r>
      <w:r w:rsidRPr="00E64A4B">
        <w:t>o</w:t>
      </w:r>
      <w:r w:rsidRPr="00E64A4B">
        <w:t>logique et rite de passage par excellence.</w:t>
      </w:r>
    </w:p>
    <w:p w:rsidR="00B7214C" w:rsidRPr="00E64A4B" w:rsidRDefault="00B7214C" w:rsidP="00B7214C">
      <w:pPr>
        <w:spacing w:before="120" w:after="120"/>
        <w:jc w:val="both"/>
      </w:pPr>
      <w:r w:rsidRPr="00E64A4B">
        <w:t>Quelles avenues ces changements ouvrent-ils (et ferment-ils) pour l'anthropologie appliquée ? Quels problèmes nouveaux app</w:t>
      </w:r>
      <w:r w:rsidRPr="00E64A4B">
        <w:t>a</w:t>
      </w:r>
      <w:r w:rsidRPr="00E64A4B">
        <w:t>raissent ? J'esquisserai une réponse à ces questions en examinant les hauts et les bas de sept années d'interaction entre un ethnol</w:t>
      </w:r>
      <w:r w:rsidRPr="00E64A4B">
        <w:t>o</w:t>
      </w:r>
      <w:r w:rsidRPr="00E64A4B">
        <w:t>gue québécois, d'une part et, d'autre part, deux organisations paysannes d'un même mouv</w:t>
      </w:r>
      <w:r w:rsidRPr="00E64A4B">
        <w:t>e</w:t>
      </w:r>
      <w:r w:rsidRPr="00E64A4B">
        <w:t>ment autochtone, chez les Nahuats de la Sierra Norte de Puebla (Mexique), ainsi que divers organi</w:t>
      </w:r>
      <w:r w:rsidRPr="00E64A4B">
        <w:t>s</w:t>
      </w:r>
      <w:r w:rsidRPr="00E64A4B">
        <w:t>mes étatiques et une organisation non gouvernementale (ONG) nationale qui œuvrent depuis 15 ans dans le même milieu</w:t>
      </w:r>
      <w:r>
        <w:t> </w:t>
      </w:r>
      <w:r>
        <w:rPr>
          <w:rStyle w:val="Appelnotedebasdep"/>
        </w:rPr>
        <w:footnoteReference w:id="266"/>
      </w:r>
      <w:r w:rsidRPr="00E64A4B">
        <w:t>. Je situerai enfin la dynamique de ces intera</w:t>
      </w:r>
      <w:r w:rsidRPr="00E64A4B">
        <w:t>c</w:t>
      </w:r>
      <w:r w:rsidRPr="00E64A4B">
        <w:t>tions dans le contexte économique, social et politique de la dernière décennie, pour tenter de mesurer l'impact de facteurs tels que la polit</w:t>
      </w:r>
      <w:r w:rsidRPr="00E64A4B">
        <w:t>i</w:t>
      </w:r>
      <w:r w:rsidRPr="00E64A4B">
        <w:t>que néo-libérale, la récession, etc.</w:t>
      </w:r>
    </w:p>
    <w:p w:rsidR="00B7214C" w:rsidRPr="00E64A4B" w:rsidRDefault="00B7214C" w:rsidP="00B7214C">
      <w:pPr>
        <w:spacing w:before="120" w:after="120"/>
        <w:jc w:val="both"/>
      </w:pPr>
      <w:r w:rsidRPr="00E64A4B">
        <w:t>[367]</w:t>
      </w:r>
    </w:p>
    <w:p w:rsidR="00B7214C" w:rsidRPr="00E64A4B" w:rsidRDefault="00B7214C" w:rsidP="00B7214C">
      <w:pPr>
        <w:spacing w:before="120" w:after="120"/>
        <w:jc w:val="both"/>
      </w:pPr>
    </w:p>
    <w:p w:rsidR="00B7214C" w:rsidRPr="00E64A4B" w:rsidRDefault="00B7214C" w:rsidP="00B7214C">
      <w:pPr>
        <w:pStyle w:val="a"/>
      </w:pPr>
      <w:r w:rsidRPr="006B0946">
        <w:t>LES ACTEURS, LES OBJECTIFS, LES CHOIX</w:t>
      </w:r>
    </w:p>
    <w:p w:rsidR="00B7214C" w:rsidRDefault="00B7214C" w:rsidP="00B7214C">
      <w:pPr>
        <w:spacing w:before="120" w:after="120"/>
        <w:jc w:val="both"/>
      </w:pPr>
    </w:p>
    <w:p w:rsidR="00B7214C" w:rsidRPr="00E64A4B" w:rsidRDefault="00B7214C" w:rsidP="00B7214C">
      <w:pPr>
        <w:pStyle w:val="b"/>
      </w:pPr>
      <w:r w:rsidRPr="00E64A4B">
        <w:t>U</w:t>
      </w:r>
      <w:r>
        <w:t>n mouvement institutionnalisé :</w:t>
      </w:r>
      <w:r>
        <w:br/>
      </w:r>
      <w:r w:rsidRPr="00E64A4B">
        <w:t>la Tosepan Titataniske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C'est en 1969 que je commençai des recherches d'anthropol</w:t>
      </w:r>
      <w:r w:rsidRPr="00E64A4B">
        <w:t>o</w:t>
      </w:r>
      <w:r w:rsidRPr="00E64A4B">
        <w:t>gie économique et sociale dans la région, la période 1969-1972 étant consacrée à la recherche de terrain, avec une équipe canado-mexicaine. À l'époque, en dehors des structures communautaires trad</w:t>
      </w:r>
      <w:r w:rsidRPr="00E64A4B">
        <w:t>i</w:t>
      </w:r>
      <w:r w:rsidRPr="00E64A4B">
        <w:t>tionnelles (réactivées surtout lors des fêtes, mais parfois aussi lors de conflits agraires) il n'existait, dans la région, aucune org</w:t>
      </w:r>
      <w:r w:rsidRPr="00E64A4B">
        <w:t>a</w:t>
      </w:r>
      <w:r w:rsidRPr="00E64A4B">
        <w:t>nisation paysanne ou indigène. La recherche se déroula en suivant la division classique du travail entre les anthropologues et les a</w:t>
      </w:r>
      <w:r w:rsidRPr="00E64A4B">
        <w:t>u</w:t>
      </w:r>
      <w:r w:rsidRPr="00E64A4B">
        <w:t>tochtones : ces derniers fournissent les données, tandis que les premiers les comp</w:t>
      </w:r>
      <w:r w:rsidRPr="00E64A4B">
        <w:t>i</w:t>
      </w:r>
      <w:r w:rsidRPr="00E64A4B">
        <w:t>lent, les analysent, les interprètent. lien résulta plusieurs publications, tant au Canada qu'au Mexique, qui montraient la différenciation inte</w:t>
      </w:r>
      <w:r w:rsidRPr="00E64A4B">
        <w:t>r</w:t>
      </w:r>
      <w:r w:rsidRPr="00E64A4B">
        <w:t>ne de la paysannerie par la concentration foncière, la crise de l'agr</w:t>
      </w:r>
      <w:r w:rsidRPr="00E64A4B">
        <w:t>i</w:t>
      </w:r>
      <w:r w:rsidRPr="00E64A4B">
        <w:t>culture vivrière, le cul-de-sac de l'agriculture d'exportation, l'autorit</w:t>
      </w:r>
      <w:r w:rsidRPr="00E64A4B">
        <w:t>a</w:t>
      </w:r>
      <w:r w:rsidRPr="00E64A4B">
        <w:t>risme politique. Mes reche</w:t>
      </w:r>
      <w:r w:rsidRPr="00E64A4B">
        <w:t>r</w:t>
      </w:r>
      <w:r w:rsidRPr="00E64A4B">
        <w:t>ches antérieures, au Honduras, s'étaient déroulées dans un conte</w:t>
      </w:r>
      <w:r w:rsidRPr="00E64A4B">
        <w:t>x</w:t>
      </w:r>
      <w:r w:rsidRPr="00E64A4B">
        <w:t>te d'« anthropologie impliquée » (Beaucage, 1974) de sorte que je cherchai à établir des liens avec les responsables de l</w:t>
      </w:r>
      <w:r w:rsidRPr="00E64A4B">
        <w:rPr>
          <w:i/>
          <w:iCs/>
        </w:rPr>
        <w:t>'Instituto nacional indigenista,</w:t>
      </w:r>
      <w:r w:rsidRPr="00E64A4B">
        <w:t xml:space="preserve"> qui venait tout juste d'ouvrir un </w:t>
      </w:r>
      <w:r w:rsidRPr="00E64A4B">
        <w:rPr>
          <w:i/>
          <w:iCs/>
        </w:rPr>
        <w:t>Centro coordinador</w:t>
      </w:r>
      <w:r w:rsidRPr="00E64A4B">
        <w:t xml:space="preserve"> dans la Sierra et qui, me semblait-il, pouvait pr</w:t>
      </w:r>
      <w:r w:rsidRPr="00E64A4B">
        <w:t>o</w:t>
      </w:r>
      <w:r w:rsidRPr="00E64A4B">
        <w:t>fiter des résultats de nos recherches. Peine perdue, le directeur, un a</w:t>
      </w:r>
      <w:r w:rsidRPr="00E64A4B">
        <w:t>n</w:t>
      </w:r>
      <w:r w:rsidRPr="00E64A4B">
        <w:t>thropologue sympathique et progressiste, m'informa que le progra</w:t>
      </w:r>
      <w:r w:rsidRPr="00E64A4B">
        <w:t>m</w:t>
      </w:r>
      <w:r w:rsidRPr="00E64A4B">
        <w:t>me de l'INI était tracé d'avance et excluait toute action remettant vraiment en ca</w:t>
      </w:r>
      <w:r w:rsidRPr="00E64A4B">
        <w:t>u</w:t>
      </w:r>
      <w:r w:rsidRPr="00E64A4B">
        <w:t>se les structures du pouvoir régional. Bien peu de nos travaux rejoignirent les gens de la Sierra, encore moins l'immense m</w:t>
      </w:r>
      <w:r w:rsidRPr="00E64A4B">
        <w:t>a</w:t>
      </w:r>
      <w:r w:rsidRPr="00E64A4B">
        <w:t>jorité indie</w:t>
      </w:r>
      <w:r w:rsidRPr="00E64A4B">
        <w:t>n</w:t>
      </w:r>
      <w:r w:rsidRPr="00E64A4B">
        <w:t>ne. Après 1972, peu attiré par la perspective d'effectuer des analyses de plus en plus fouillées d'une misère rurale dont la nat</w:t>
      </w:r>
      <w:r w:rsidRPr="00E64A4B">
        <w:t>u</w:t>
      </w:r>
      <w:r w:rsidRPr="00E64A4B">
        <w:t>re et les ca</w:t>
      </w:r>
      <w:r w:rsidRPr="00E64A4B">
        <w:t>u</w:t>
      </w:r>
      <w:r w:rsidRPr="00E64A4B">
        <w:t>ses m'apparaissaient d'ores et déjà évidentes, je choisis d'interro</w:t>
      </w:r>
      <w:r w:rsidRPr="00E64A4B">
        <w:t>m</w:t>
      </w:r>
      <w:r w:rsidRPr="00E64A4B">
        <w:t>pre ces travaux et de me consacrer plutôt aux mouvements sociaux québécois, alors en pleine effe</w:t>
      </w:r>
      <w:r w:rsidRPr="00E64A4B">
        <w:t>r</w:t>
      </w:r>
      <w:r w:rsidRPr="00E64A4B">
        <w:t>vescence : un peu comme chercheur, bea</w:t>
      </w:r>
      <w:r w:rsidRPr="00E64A4B">
        <w:t>u</w:t>
      </w:r>
      <w:r w:rsidRPr="00E64A4B">
        <w:t>coup comme militant.</w:t>
      </w:r>
    </w:p>
    <w:p w:rsidR="00B7214C" w:rsidRPr="00E64A4B" w:rsidRDefault="00B7214C" w:rsidP="00B7214C">
      <w:pPr>
        <w:spacing w:before="120" w:after="120"/>
        <w:jc w:val="both"/>
      </w:pPr>
      <w:r w:rsidRPr="00E64A4B">
        <w:t>Je repris le contact avec la Sierra en 1979, et j'y trouvai une situ</w:t>
      </w:r>
      <w:r w:rsidRPr="00E64A4B">
        <w:t>a</w:t>
      </w:r>
      <w:r w:rsidRPr="00E64A4B">
        <w:t>tion radicalement modifiée. En haute montagne, l'Union paysanne i</w:t>
      </w:r>
      <w:r w:rsidRPr="00E64A4B">
        <w:t>n</w:t>
      </w:r>
      <w:r w:rsidRPr="00E64A4B">
        <w:t>dépendante (UCI), bien qu'affaiblie par la répression et les conflits internes, menait encore la lutte des paysans sans terres pour le partage des grands domaines, tandis qu'en basse montagne l'Union de los p</w:t>
      </w:r>
      <w:r w:rsidRPr="00E64A4B">
        <w:t>e</w:t>
      </w:r>
      <w:r w:rsidRPr="00E64A4B">
        <w:t>queños productores de la Sierra (UPPS) regroupait des petits paysans désireux de se procurer des vivres à meilleur prix et de commercial</w:t>
      </w:r>
      <w:r w:rsidRPr="00E64A4B">
        <w:t>i</w:t>
      </w:r>
      <w:r w:rsidRPr="00E64A4B">
        <w:t>ser leur production sans intermédiaires. Le premier mouvement m'i</w:t>
      </w:r>
      <w:r w:rsidRPr="00E64A4B">
        <w:t>n</w:t>
      </w:r>
      <w:r w:rsidRPr="00E64A4B">
        <w:t>téressait davantage (peut-être à cause de son radicalisme...), mais il n'avait pas besoin des services d'un anthropologue : la direction, cla</w:t>
      </w:r>
      <w:r w:rsidRPr="00E64A4B">
        <w:t>n</w:t>
      </w:r>
      <w:r w:rsidRPr="00E64A4B">
        <w:t xml:space="preserve">destine, avait déjà une lecture </w:t>
      </w:r>
      <w:r w:rsidRPr="00E64A4B">
        <w:rPr>
          <w:i/>
          <w:iCs/>
        </w:rPr>
        <w:t>définitive</w:t>
      </w:r>
      <w:r w:rsidRPr="00E64A4B">
        <w:t xml:space="preserve"> de la situation et trouvait a</w:t>
      </w:r>
      <w:r w:rsidRPr="00E64A4B">
        <w:t>u</w:t>
      </w:r>
      <w:r w:rsidRPr="00E64A4B">
        <w:t>près de groupes d'extrême-gauche le porte-parole qu'il lui fallait. En basse montagne, au contraire, l'organisation</w:t>
      </w:r>
      <w:r>
        <w:t xml:space="preserve"> </w:t>
      </w:r>
      <w:r w:rsidRPr="00E64A4B">
        <w:t>[368]</w:t>
      </w:r>
      <w:r>
        <w:t xml:space="preserve"> </w:t>
      </w:r>
      <w:r w:rsidRPr="00E64A4B">
        <w:t>était ouverte et e</w:t>
      </w:r>
      <w:r w:rsidRPr="00E64A4B">
        <w:t>n</w:t>
      </w:r>
      <w:r w:rsidRPr="00E64A4B">
        <w:t>cadrée par de nombreux conseillers (</w:t>
      </w:r>
      <w:r w:rsidRPr="000D1A32">
        <w:rPr>
          <w:i/>
          <w:iCs/>
        </w:rPr>
        <w:t>asesores</w:t>
      </w:r>
      <w:r w:rsidRPr="00E64A4B">
        <w:t>), dans le cadre du Plan Zacapoaxtla. Ce plan gouvernemental était conçu comme la prolong</w:t>
      </w:r>
      <w:r w:rsidRPr="00E64A4B">
        <w:t>a</w:t>
      </w:r>
      <w:r w:rsidRPr="00E64A4B">
        <w:t>tion du Plan Puebla, un progra</w:t>
      </w:r>
      <w:r w:rsidRPr="00E64A4B">
        <w:t>m</w:t>
      </w:r>
      <w:r w:rsidRPr="00E64A4B">
        <w:t>me-pilote de modernisation agricole dirigé spécialement vers la paysannerie. Les conseillers (agronomes, surtout, mais aussi éducateurs, admini</w:t>
      </w:r>
      <w:r w:rsidRPr="00E64A4B">
        <w:t>s</w:t>
      </w:r>
      <w:r w:rsidRPr="00E64A4B">
        <w:t>trateurs) semblaient intéressés par les résultats des recherches qu'ils n'avaient pas le temps de faire. J'établis de bons liens avec eux et, en 1984, j'effectuai un stage de six mois dans la région de Cuetzalan.</w:t>
      </w:r>
    </w:p>
    <w:p w:rsidR="00B7214C" w:rsidRPr="00E64A4B" w:rsidRDefault="00B7214C" w:rsidP="00B7214C">
      <w:pPr>
        <w:spacing w:before="120" w:after="120"/>
        <w:jc w:val="both"/>
      </w:pPr>
      <w:r w:rsidRPr="00E64A4B">
        <w:t>L'UPPS, après plusieurs années comme mouvement de pre</w:t>
      </w:r>
      <w:r w:rsidRPr="00E64A4B">
        <w:t>s</w:t>
      </w:r>
      <w:r w:rsidRPr="00E64A4B">
        <w:t>sion, était devenue en 1982 une coopérative régionale, avec plus de ci</w:t>
      </w:r>
      <w:r w:rsidRPr="00E64A4B">
        <w:t>n</w:t>
      </w:r>
      <w:r w:rsidRPr="00E64A4B">
        <w:t>quante groupes de base, dans autant de communautés. Pour plusieurs anthropologues de la tendance « critique », elle avait, en s'institutio</w:t>
      </w:r>
      <w:r w:rsidRPr="00E64A4B">
        <w:t>n</w:t>
      </w:r>
      <w:r w:rsidRPr="00E64A4B">
        <w:t>nalisant, accepté la tutelle de l'État (à travers les conseillers) et perdu son caractère indépendant pour rejoindre le mouvement paysan « officialiste », c'est-à-dire contrôlé par l'État. Mon but était d'étudier ce mouvement paysan, mais je voulais également tenter d'établir avec l'organisation des liens plus étroits, étant tout disposé à inclure dans mon projet de recherche des thèmes pouvant correspondre à leurs b</w:t>
      </w:r>
      <w:r w:rsidRPr="00E64A4B">
        <w:t>e</w:t>
      </w:r>
      <w:r w:rsidRPr="00E64A4B">
        <w:t>soins : par exemple, la réda</w:t>
      </w:r>
      <w:r w:rsidRPr="00E64A4B">
        <w:t>c</w:t>
      </w:r>
      <w:r w:rsidRPr="00E64A4B">
        <w:t>tion d'une histoire du mouvement.</w:t>
      </w:r>
    </w:p>
    <w:p w:rsidR="00B7214C" w:rsidRPr="00E64A4B" w:rsidRDefault="00B7214C" w:rsidP="00B7214C">
      <w:pPr>
        <w:spacing w:before="120" w:after="120"/>
        <w:jc w:val="both"/>
      </w:pPr>
      <w:r w:rsidRPr="00E64A4B">
        <w:t xml:space="preserve">La </w:t>
      </w:r>
      <w:r w:rsidRPr="00E64A4B">
        <w:rPr>
          <w:i/>
          <w:iCs/>
        </w:rPr>
        <w:t>directiva,</w:t>
      </w:r>
      <w:r w:rsidRPr="00E64A4B">
        <w:t xml:space="preserve"> constituée d'autochtones élus par l'assemblée région</w:t>
      </w:r>
      <w:r w:rsidRPr="00E64A4B">
        <w:t>a</w:t>
      </w:r>
      <w:r w:rsidRPr="00E64A4B">
        <w:t>le, reçut très froidement mon offre de services : « On a déjà perdu beaucoup de temps avec deux chercheurs de Puebla qui devaient écr</w:t>
      </w:r>
      <w:r w:rsidRPr="00E64A4B">
        <w:t>i</w:t>
      </w:r>
      <w:r w:rsidRPr="00E64A4B">
        <w:t>re une « histoire » et on a jamais vu aucun résultat ». Déconfit, je m'en ouvris à l'un des agronomes qui me suggéra : « Si tu veux travailler avec la Tosepan, propose-leur une étude de marché pour des produits non traditionnels : oranges, miel, ép</w:t>
      </w:r>
      <w:r w:rsidRPr="00E64A4B">
        <w:t>i</w:t>
      </w:r>
      <w:r w:rsidRPr="00E64A4B">
        <w:t xml:space="preserve">ces... Ça les intéresse beaucoup présentement ». Ainsi fut fait. La </w:t>
      </w:r>
      <w:r w:rsidRPr="00E64A4B">
        <w:rPr>
          <w:i/>
          <w:iCs/>
        </w:rPr>
        <w:t>directiva</w:t>
      </w:r>
      <w:r w:rsidRPr="00E64A4B">
        <w:t xml:space="preserve"> accepta une deuxième re</w:t>
      </w:r>
      <w:r w:rsidRPr="00E64A4B">
        <w:t>n</w:t>
      </w:r>
      <w:r w:rsidRPr="00E64A4B">
        <w:t>contre : ils réalisèrent que j'avais parlé à l'agronome et virent, dans mon projet remanié, une preuve d'une réelle volonté de produire des informations qui leur serviraient.</w:t>
      </w:r>
    </w:p>
    <w:p w:rsidR="00B7214C" w:rsidRPr="00E64A4B" w:rsidRDefault="00B7214C" w:rsidP="00B7214C">
      <w:pPr>
        <w:spacing w:before="120" w:after="120"/>
        <w:jc w:val="both"/>
      </w:pPr>
      <w:r w:rsidRPr="00E64A4B">
        <w:t>Une fois l'objectif accepté, la discussion du protocole de r</w:t>
      </w:r>
      <w:r w:rsidRPr="00E64A4B">
        <w:t>e</w:t>
      </w:r>
      <w:r w:rsidRPr="00E64A4B">
        <w:t>cherche me permit de constater la divergence entre les conceptions de la dire</w:t>
      </w:r>
      <w:r w:rsidRPr="00E64A4B">
        <w:t>c</w:t>
      </w:r>
      <w:r w:rsidRPr="00E64A4B">
        <w:t>tion du mouvement et ce que j'estimais être les conditions d'un travail scientifique. Ils voulaient une étude des conditions du marché et me donnaient mon congé pour que j'aille en ville ! Je soutenais qu'en l'a</w:t>
      </w:r>
      <w:r w:rsidRPr="00E64A4B">
        <w:t>b</w:t>
      </w:r>
      <w:r w:rsidRPr="00E64A4B">
        <w:t>sence d'une connaissance des coûts de production locaux, une telle étude serait de peu d'utilité. J'irais donc, d'abord, dans un certain no</w:t>
      </w:r>
      <w:r w:rsidRPr="00E64A4B">
        <w:t>m</w:t>
      </w:r>
      <w:r w:rsidRPr="00E64A4B">
        <w:t xml:space="preserve">bre de communautés, pour interroger des producteurs, dont la </w:t>
      </w:r>
      <w:r w:rsidRPr="00E64A4B">
        <w:rPr>
          <w:i/>
          <w:iCs/>
        </w:rPr>
        <w:t>direct</w:t>
      </w:r>
      <w:r w:rsidRPr="00E64A4B">
        <w:rPr>
          <w:i/>
          <w:iCs/>
        </w:rPr>
        <w:t>i</w:t>
      </w:r>
      <w:r w:rsidRPr="00E64A4B">
        <w:rPr>
          <w:i/>
          <w:iCs/>
        </w:rPr>
        <w:t>va</w:t>
      </w:r>
      <w:r w:rsidRPr="00E64A4B">
        <w:t xml:space="preserve"> me fournit la liste.</w:t>
      </w:r>
    </w:p>
    <w:p w:rsidR="00B7214C" w:rsidRPr="00E64A4B" w:rsidRDefault="00B7214C" w:rsidP="00B7214C">
      <w:pPr>
        <w:spacing w:before="120" w:after="120"/>
        <w:jc w:val="both"/>
      </w:pPr>
      <w:r w:rsidRPr="00E64A4B">
        <w:t>Je découvris bientôt que mes déplacements étaient étroitement contrôlés. Le fait d'être allé interroger un ancien président de la Tos</w:t>
      </w:r>
      <w:r w:rsidRPr="00E64A4B">
        <w:t>e</w:t>
      </w:r>
      <w:r w:rsidRPr="00E64A4B">
        <w:t>pan me valut une sainte colère du titulaire actuel : « Je sais tout ce qui se passe.</w:t>
      </w:r>
      <w:r>
        <w:t xml:space="preserve"> </w:t>
      </w:r>
      <w:r w:rsidRPr="00E64A4B">
        <w:t>[369]</w:t>
      </w:r>
      <w:r>
        <w:t xml:space="preserve"> </w:t>
      </w:r>
      <w:r w:rsidRPr="00E64A4B">
        <w:t>Tu ne pourras pas manigancer dans mon dos ! » Que</w:t>
      </w:r>
      <w:r w:rsidRPr="00E64A4B">
        <w:t>l</w:t>
      </w:r>
      <w:r w:rsidRPr="00E64A4B">
        <w:t>ques jours plus tard, il m'invitait aux assemblées et me demandait de prendre la parole sur ^éducation coopérative » ! La recherche fut complétée par une enquête sur les prix pratiqués dans les divers ma</w:t>
      </w:r>
      <w:r w:rsidRPr="00E64A4B">
        <w:t>r</w:t>
      </w:r>
      <w:r w:rsidRPr="00E64A4B">
        <w:t>chés de Puebla et de Mexico. Naviguant à vue dans des eaux que je ne connaissais pas, profitant parfois des conseils des agronomes, je pr</w:t>
      </w:r>
      <w:r w:rsidRPr="00E64A4B">
        <w:t>o</w:t>
      </w:r>
      <w:r w:rsidRPr="00E64A4B">
        <w:t>duisis mon rapport, trois mois plus tard. J'y répo</w:t>
      </w:r>
      <w:r w:rsidRPr="00E64A4B">
        <w:t>n</w:t>
      </w:r>
      <w:r w:rsidRPr="00E64A4B">
        <w:t>dais à plusieurs des questions qu'on m'avait posées : que la culture du maïs n'était rentable nulle part ; que le café rapportait dix fois plus par hectare, malgré la baisse du prix, que la vente des ora</w:t>
      </w:r>
      <w:r w:rsidRPr="00E64A4B">
        <w:t>n</w:t>
      </w:r>
      <w:r w:rsidRPr="00E64A4B">
        <w:t xml:space="preserve">ges sur les marchés urbains était rentable, mais en début de saison seulement, etc. Les conseillers le lurent et en firent des critiques intéressantes. Les membres de la </w:t>
      </w:r>
      <w:r w:rsidRPr="00E64A4B">
        <w:rPr>
          <w:i/>
          <w:iCs/>
        </w:rPr>
        <w:t>dire</w:t>
      </w:r>
      <w:r w:rsidRPr="00E64A4B">
        <w:rPr>
          <w:i/>
          <w:iCs/>
        </w:rPr>
        <w:t>c</w:t>
      </w:r>
      <w:r w:rsidRPr="00E64A4B">
        <w:rPr>
          <w:i/>
          <w:iCs/>
        </w:rPr>
        <w:t>tiva</w:t>
      </w:r>
      <w:r w:rsidRPr="00E64A4B">
        <w:t xml:space="preserve"> le reçurent, le soupesèrent, le feuilletèrent... et le rangèrent défin</w:t>
      </w:r>
      <w:r w:rsidRPr="00E64A4B">
        <w:t>i</w:t>
      </w:r>
      <w:r w:rsidRPr="00E64A4B">
        <w:t>tivement.</w:t>
      </w:r>
    </w:p>
    <w:p w:rsidR="00B7214C" w:rsidRPr="00E64A4B" w:rsidRDefault="00B7214C" w:rsidP="00B7214C">
      <w:pPr>
        <w:spacing w:before="120" w:after="120"/>
        <w:jc w:val="both"/>
      </w:pPr>
      <w:r w:rsidRPr="00E64A4B">
        <w:t>En en discutant avec les paysans, je faisais des heureux ... et des mécontents. Tel agriculteur réalisait les pertes considérables que lui causait la culture du maïs et changeait son mode d'utilis</w:t>
      </w:r>
      <w:r w:rsidRPr="00E64A4B">
        <w:t>a</w:t>
      </w:r>
      <w:r w:rsidRPr="00E64A4B">
        <w:t>tion du sol. Les apiculteurs, pour leur part, étaient déçus : ils espéraient que je r</w:t>
      </w:r>
      <w:r w:rsidRPr="00E64A4B">
        <w:t>e</w:t>
      </w:r>
      <w:r w:rsidRPr="00E64A4B">
        <w:t>commande de tripler le prix qui leur était payé : un examen de leurs coûts révélait qu'en doublant le prix, ils faisaient aisément leurs frais. Après un essai - qui s'avéra infructueux - de commercialisation des oranges, le rapport ne fut jamais plus util</w:t>
      </w:r>
      <w:r w:rsidRPr="00E64A4B">
        <w:t>i</w:t>
      </w:r>
      <w:r w:rsidRPr="00E64A4B">
        <w:t>sé.</w:t>
      </w:r>
    </w:p>
    <w:p w:rsidR="00B7214C" w:rsidRPr="00E64A4B" w:rsidRDefault="00B7214C" w:rsidP="00B7214C">
      <w:pPr>
        <w:spacing w:before="120" w:after="120"/>
        <w:jc w:val="both"/>
      </w:pPr>
      <w:r w:rsidRPr="00E64A4B">
        <w:t>J'avais cependant passé l'épreuve. La semaine suivante, on me pr</w:t>
      </w:r>
      <w:r w:rsidRPr="00E64A4B">
        <w:t>o</w:t>
      </w:r>
      <w:r w:rsidRPr="00E64A4B">
        <w:t>posait un autre sujet d'enquête, beaucoup plus « chaud » : la conscie</w:t>
      </w:r>
      <w:r w:rsidRPr="00E64A4B">
        <w:t>n</w:t>
      </w:r>
      <w:r w:rsidRPr="00E64A4B">
        <w:t>ce coopérative. J'avais cette fois carte blanche dans mes déplacements et je pouvais assister à toutes les assemblées locales et régionales. Mon rapport fut assez dévastateur ; une telle « conscience » n'existait pratiquement pas, sauf dans les quelques villages où était né le mo</w:t>
      </w:r>
      <w:r w:rsidRPr="00E64A4B">
        <w:t>u</w:t>
      </w:r>
      <w:r w:rsidRPr="00E64A4B">
        <w:t xml:space="preserve">vement : ailleurs, les gens s'étaient joints à la Tosepan pour obtenir du mais à bon compte et vendre leur café, leur </w:t>
      </w:r>
      <w:r w:rsidRPr="00E64A4B">
        <w:rPr>
          <w:i/>
          <w:iCs/>
        </w:rPr>
        <w:t>pimienta gorda</w:t>
      </w:r>
      <w:r w:rsidRPr="00E64A4B">
        <w:t xml:space="preserve"> et leurs sapotilles. Il était trop facile d'attribuer cette situation à la jeunesse du mouvement et de s'im</w:t>
      </w:r>
      <w:r w:rsidRPr="00E64A4B">
        <w:t>a</w:t>
      </w:r>
      <w:r w:rsidRPr="00E64A4B">
        <w:t>giner qu'elle se corrigerait. Je démontrais que les « séances de formation » épisodiques n'avaient aucune prise sur les paysans, et que le seul endroit où s'effectuait une véritable éducation était l'assemblée, régionale ou locale, à condition qu'on y apporte des explications concrètes aux facteurs qui influençaient la vie quotidie</w:t>
      </w:r>
      <w:r w:rsidRPr="00E64A4B">
        <w:t>n</w:t>
      </w:r>
      <w:r w:rsidRPr="00E64A4B">
        <w:t>ne des paysans : inflation, pénurie de grains, etc. En effet, un véritable fonctionnement démocratique s'était peu à peu installé dans les a</w:t>
      </w:r>
      <w:r w:rsidRPr="00E64A4B">
        <w:t>s</w:t>
      </w:r>
      <w:r w:rsidRPr="00E64A4B">
        <w:t>semblées, ce qui constituait une innovation dans la vie communauta</w:t>
      </w:r>
      <w:r w:rsidRPr="00E64A4B">
        <w:t>i</w:t>
      </w:r>
      <w:r w:rsidRPr="00E64A4B">
        <w:t>re. Habitués de déléguer les responsabilités à une hiérarchie civile et religieuse, les autochtones avaient rapidement pris l'habitude de co</w:t>
      </w:r>
      <w:r w:rsidRPr="00E64A4B">
        <w:t>m</w:t>
      </w:r>
      <w:r w:rsidRPr="00E64A4B">
        <w:t>menter et critiquer les faits et gestes des élus et les décisions major</w:t>
      </w:r>
      <w:r w:rsidRPr="00E64A4B">
        <w:t>i</w:t>
      </w:r>
      <w:r w:rsidRPr="00E64A4B">
        <w:t>taires avaient remplacé le consensus traditionnel</w:t>
      </w:r>
      <w:r>
        <w:t> </w:t>
      </w:r>
      <w:r>
        <w:rPr>
          <w:rStyle w:val="Appelnotedebasdep"/>
        </w:rPr>
        <w:footnoteReference w:id="267"/>
      </w:r>
      <w:r w:rsidRPr="00E64A4B">
        <w:t>.</w:t>
      </w:r>
    </w:p>
    <w:p w:rsidR="00B7214C" w:rsidRPr="00E64A4B" w:rsidRDefault="00B7214C" w:rsidP="00B7214C">
      <w:pPr>
        <w:spacing w:before="120" w:after="120"/>
        <w:jc w:val="both"/>
      </w:pPr>
      <w:r w:rsidRPr="00E64A4B">
        <w:t>[370]</w:t>
      </w:r>
    </w:p>
    <w:p w:rsidR="00B7214C" w:rsidRPr="00E64A4B" w:rsidRDefault="00B7214C" w:rsidP="00B7214C">
      <w:pPr>
        <w:spacing w:before="120" w:after="120"/>
        <w:jc w:val="both"/>
      </w:pPr>
      <w:r w:rsidRPr="00E64A4B">
        <w:t>Le rapport, reçu de façon mitigée au début, eut finalement bea</w:t>
      </w:r>
      <w:r w:rsidRPr="00E64A4B">
        <w:t>u</w:t>
      </w:r>
      <w:r w:rsidRPr="00E64A4B">
        <w:t>coup plus d'impact que le précédent. Sous l'impulsion des conseillers, la coopérative régionale s'était lancée en 1984 dans un vaste pr</w:t>
      </w:r>
      <w:r w:rsidRPr="00E64A4B">
        <w:t>o</w:t>
      </w:r>
      <w:r w:rsidRPr="00E64A4B">
        <w:t>gramme d'investissements : construction d'entrepôts et d'une énorme décortiqueuse, et surtout réfection des routes, gr</w:t>
      </w:r>
      <w:r w:rsidRPr="00E64A4B">
        <w:t>â</w:t>
      </w:r>
      <w:r w:rsidRPr="00E64A4B">
        <w:t>ce à un programme d'aide à l'emploi. Les connaissances financi</w:t>
      </w:r>
      <w:r w:rsidRPr="00E64A4B">
        <w:t>è</w:t>
      </w:r>
      <w:r w:rsidRPr="00E64A4B">
        <w:t>res et techniques requises dépassaient considérablement les cap</w:t>
      </w:r>
      <w:r w:rsidRPr="00E64A4B">
        <w:t>a</w:t>
      </w:r>
      <w:r w:rsidRPr="00E64A4B">
        <w:t>cités tant des élus autochtones que de l'assemblée régionale, qui remirent toutes les décisions entre les mains des conseillers. L'a</w:t>
      </w:r>
      <w:r w:rsidRPr="00E64A4B">
        <w:t>s</w:t>
      </w:r>
      <w:r w:rsidRPr="00E64A4B">
        <w:t>semblée régionale, si loquace sur les questions touchant le quot</w:t>
      </w:r>
      <w:r w:rsidRPr="00E64A4B">
        <w:t>i</w:t>
      </w:r>
      <w:r w:rsidRPr="00E64A4B">
        <w:t>dien (l'approvisionnement, les services, la moralité des cadres) demeurait muette sur des questions pouvant r</w:t>
      </w:r>
      <w:r w:rsidRPr="00E64A4B">
        <w:t>e</w:t>
      </w:r>
      <w:r w:rsidRPr="00E64A4B">
        <w:t>mettre en cause la survie même de l'organisation.</w:t>
      </w:r>
    </w:p>
    <w:p w:rsidR="00B7214C" w:rsidRPr="00E64A4B" w:rsidRDefault="00B7214C" w:rsidP="00B7214C">
      <w:pPr>
        <w:spacing w:before="120" w:after="120"/>
        <w:jc w:val="both"/>
      </w:pPr>
      <w:r w:rsidRPr="00E64A4B">
        <w:t>Faisant le bilan de ma collaboration avec la Tosepan, j'en arr</w:t>
      </w:r>
      <w:r w:rsidRPr="00E64A4B">
        <w:t>i</w:t>
      </w:r>
      <w:r w:rsidRPr="00E64A4B">
        <w:t>vai aux conclusions suivantes. D'abord, le type de relation qui s'était ét</w:t>
      </w:r>
      <w:r w:rsidRPr="00E64A4B">
        <w:t>a</w:t>
      </w:r>
      <w:r w:rsidRPr="00E64A4B">
        <w:t>bli dépendait entièrement de la double médiation des élus et des conseillers. Je partageais avec ces derniers - qui avaient participé au mouvement étudiant des années 1970 - une même « vision du mo</w:t>
      </w:r>
      <w:r w:rsidRPr="00E64A4B">
        <w:t>n</w:t>
      </w:r>
      <w:r w:rsidRPr="00E64A4B">
        <w:t>de » : en résumé, que l'organisation indépendante des paysans const</w:t>
      </w:r>
      <w:r w:rsidRPr="00E64A4B">
        <w:t>i</w:t>
      </w:r>
      <w:r w:rsidRPr="00E64A4B">
        <w:t>tue un facteur positif et peut débo</w:t>
      </w:r>
      <w:r w:rsidRPr="00E64A4B">
        <w:t>u</w:t>
      </w:r>
      <w:r w:rsidRPr="00E64A4B">
        <w:t xml:space="preserve">cher sur une prise en charge de leurs conditions matérielles et politiques d'existence. Mais les </w:t>
      </w:r>
      <w:r w:rsidRPr="00E64A4B">
        <w:rPr>
          <w:i/>
          <w:iCs/>
        </w:rPr>
        <w:t>ases</w:t>
      </w:r>
      <w:r w:rsidRPr="00E64A4B">
        <w:rPr>
          <w:i/>
          <w:iCs/>
        </w:rPr>
        <w:t>o</w:t>
      </w:r>
      <w:r w:rsidRPr="00E64A4B">
        <w:rPr>
          <w:i/>
          <w:iCs/>
        </w:rPr>
        <w:t>res</w:t>
      </w:r>
      <w:r w:rsidRPr="00E64A4B">
        <w:t xml:space="preserve"> dépendaient de l'État mex</w:t>
      </w:r>
      <w:r w:rsidRPr="00E64A4B">
        <w:t>i</w:t>
      </w:r>
      <w:r w:rsidRPr="00E64A4B">
        <w:t>cain, plus particulièrement du ministère de l'Agriculture (SARH) que l'administration du président Lopez Po</w:t>
      </w:r>
      <w:r w:rsidRPr="00E64A4B">
        <w:t>r</w:t>
      </w:r>
      <w:r w:rsidRPr="00E64A4B">
        <w:t>tillo (1976-1982) avait investi de pouvoirs très étendus dans les ca</w:t>
      </w:r>
      <w:r w:rsidRPr="00E64A4B">
        <w:t>m</w:t>
      </w:r>
      <w:r w:rsidRPr="00E64A4B">
        <w:t>pagnes. La central</w:t>
      </w:r>
      <w:r w:rsidRPr="00E64A4B">
        <w:t>i</w:t>
      </w:r>
      <w:r w:rsidRPr="00E64A4B">
        <w:t>sation administrative entrait régulièrement en conflit avec l'aut</w:t>
      </w:r>
      <w:r w:rsidRPr="00E64A4B">
        <w:t>o</w:t>
      </w:r>
      <w:r w:rsidRPr="00E64A4B">
        <w:t>nomie supposée de la coopérative : en bref, l'État voulait qu'ils profitent de leur situation privilégiée à la Tosepan pour l'orienter dans le sens des politiques officielles de modernisation de l'agr</w:t>
      </w:r>
      <w:r w:rsidRPr="00E64A4B">
        <w:t>i</w:t>
      </w:r>
      <w:r w:rsidRPr="00E64A4B">
        <w:t xml:space="preserve">culture. Je découvris qu'ils ne comptaient pas seulement sur moi pour faire des recherches qu'ils n'avaient pas le loisir de faire mais - surtout - pour </w:t>
      </w:r>
      <w:r w:rsidRPr="00E64A4B">
        <w:rPr>
          <w:i/>
          <w:iCs/>
        </w:rPr>
        <w:t>dire des choses</w:t>
      </w:r>
      <w:r w:rsidRPr="00E64A4B">
        <w:t xml:space="preserve"> qu'ils n'avaient pas la possibilité de dire (sous peine de représailles administratives) : par exemple, expliquer à l'assemblée régionale que les retards infinis de l'État à régler ses comptes avec les producteurs de café lui permettait d'économiser la moitié de la somme (puisque l'inflation dépassait à l'époque les 100 % par an).</w:t>
      </w:r>
    </w:p>
    <w:p w:rsidR="00B7214C" w:rsidRPr="00E64A4B" w:rsidRDefault="00B7214C" w:rsidP="00B7214C">
      <w:pPr>
        <w:spacing w:before="120" w:after="120"/>
        <w:jc w:val="both"/>
      </w:pPr>
      <w:r w:rsidRPr="00E64A4B">
        <w:t>Quant aux élus, aussi bien du comité central et des divers c</w:t>
      </w:r>
      <w:r w:rsidRPr="00E64A4B">
        <w:t>o</w:t>
      </w:r>
      <w:r w:rsidRPr="00E64A4B">
        <w:t xml:space="preserve">mités spécialisés </w:t>
      </w:r>
      <w:r w:rsidRPr="00E64A4B">
        <w:rPr>
          <w:i/>
          <w:iCs/>
        </w:rPr>
        <w:t>(comisionados</w:t>
      </w:r>
      <w:r w:rsidRPr="00E64A4B">
        <w:t>), tout en respectant scrupuleus</w:t>
      </w:r>
      <w:r w:rsidRPr="00E64A4B">
        <w:t>e</w:t>
      </w:r>
      <w:r w:rsidRPr="00E64A4B">
        <w:t>ment les termes de notre entente verbale, ils me maintenaient à distance respe</w:t>
      </w:r>
      <w:r w:rsidRPr="00E64A4B">
        <w:t>c</w:t>
      </w:r>
      <w:r w:rsidRPr="00E64A4B">
        <w:t>table du fonctionnement quotidien de la coopérat</w:t>
      </w:r>
      <w:r w:rsidRPr="00E64A4B">
        <w:t>i</w:t>
      </w:r>
      <w:r w:rsidRPr="00E64A4B">
        <w:t>ve. Je me rendis compte aisément que la croissance institutionne</w:t>
      </w:r>
      <w:r w:rsidRPr="00E64A4B">
        <w:t>l</w:t>
      </w:r>
      <w:r w:rsidRPr="00E64A4B">
        <w:t>le de la Tosepan avait modifié leur statut et leurs conditions matérielles. Les premiers re</w:t>
      </w:r>
      <w:r w:rsidRPr="00E64A4B">
        <w:t>s</w:t>
      </w:r>
      <w:r w:rsidRPr="00E64A4B">
        <w:t>ponsables avaient été les notables des vi</w:t>
      </w:r>
      <w:r w:rsidRPr="00E64A4B">
        <w:t>l</w:t>
      </w:r>
      <w:r w:rsidRPr="00E64A4B">
        <w:t xml:space="preserve">lages, des hommes d'âge mûr qui avaient passé les principaux </w:t>
      </w:r>
      <w:r w:rsidRPr="000D1A32">
        <w:rPr>
          <w:i/>
          <w:iCs/>
        </w:rPr>
        <w:t xml:space="preserve">cargos </w:t>
      </w:r>
      <w:r w:rsidRPr="00E64A4B">
        <w:t>des hiérarchies civile et rel</w:t>
      </w:r>
      <w:r w:rsidRPr="00E64A4B">
        <w:t>i</w:t>
      </w:r>
      <w:r w:rsidRPr="00E64A4B">
        <w:t>gieuse. Face à l'accroissement des tâches bureaucratiques, la plupart avaient été remplacés par des plus jeunes, pl</w:t>
      </w:r>
      <w:r>
        <w:t>us scola</w:t>
      </w:r>
      <w:r w:rsidRPr="00E64A4B">
        <w:t>risés.</w:t>
      </w:r>
      <w:r>
        <w:t xml:space="preserve"> </w:t>
      </w:r>
      <w:r w:rsidRPr="00E64A4B">
        <w:t>[371] Ces derniers n'étaient plus des bénévoles, œuvrant pour le service de la communauté, mais touchaient le salaire minimum l</w:t>
      </w:r>
      <w:r w:rsidRPr="00E64A4B">
        <w:t>é</w:t>
      </w:r>
      <w:r w:rsidRPr="00E64A4B">
        <w:t>gal... un luxe dans la Sierra ! En 1984, le poste de délégué n'était plus un mandat qu'on accepte en ayant hâte qu'il s'achève, mais pouvait déboucher sur un emploi permanent. Tandis que la complexité croi</w:t>
      </w:r>
      <w:r w:rsidRPr="00E64A4B">
        <w:t>s</w:t>
      </w:r>
      <w:r w:rsidRPr="00E64A4B">
        <w:t>sante des grandes décisions les empêchait d'orienter la marche de la coopérative, ils avaient trouvé dans les jeux du pouvoir une occup</w:t>
      </w:r>
      <w:r w:rsidRPr="00E64A4B">
        <w:t>a</w:t>
      </w:r>
      <w:r w:rsidRPr="00E64A4B">
        <w:t>tion à plein temps : alliance, rivalités, formation de cliques et de fa</w:t>
      </w:r>
      <w:r w:rsidRPr="00E64A4B">
        <w:t>c</w:t>
      </w:r>
      <w:r w:rsidRPr="00E64A4B">
        <w:t xml:space="preserve">tions, occupaient une part croissante de l'énergie des </w:t>
      </w:r>
      <w:r w:rsidRPr="00E64A4B">
        <w:rPr>
          <w:i/>
          <w:iCs/>
        </w:rPr>
        <w:t>directivos</w:t>
      </w:r>
      <w:r w:rsidRPr="00E64A4B">
        <w:t xml:space="preserve"> et </w:t>
      </w:r>
      <w:r w:rsidRPr="00E64A4B">
        <w:rPr>
          <w:i/>
          <w:iCs/>
        </w:rPr>
        <w:t>comisi</w:t>
      </w:r>
      <w:r w:rsidRPr="00E64A4B">
        <w:rPr>
          <w:i/>
          <w:iCs/>
        </w:rPr>
        <w:t>o</w:t>
      </w:r>
      <w:r w:rsidRPr="00E64A4B">
        <w:rPr>
          <w:i/>
          <w:iCs/>
        </w:rPr>
        <w:t>nados.</w:t>
      </w:r>
    </w:p>
    <w:p w:rsidR="00B7214C" w:rsidRPr="00E64A4B" w:rsidRDefault="00B7214C" w:rsidP="00B7214C">
      <w:pPr>
        <w:spacing w:before="120" w:after="120"/>
        <w:jc w:val="both"/>
      </w:pPr>
      <w:r w:rsidRPr="00E64A4B">
        <w:t>La base percevait maintenant l'écart qui la séparait de ses représe</w:t>
      </w:r>
      <w:r w:rsidRPr="00E64A4B">
        <w:t>n</w:t>
      </w:r>
      <w:r w:rsidRPr="00E64A4B">
        <w:t>tants</w:t>
      </w:r>
      <w:r>
        <w:t> </w:t>
      </w:r>
      <w:r>
        <w:rPr>
          <w:rStyle w:val="Appelnotedebasdep"/>
        </w:rPr>
        <w:footnoteReference w:id="268"/>
      </w:r>
      <w:r w:rsidRPr="00E64A4B">
        <w:t xml:space="preserve">. Les </w:t>
      </w:r>
      <w:r w:rsidRPr="00E64A4B">
        <w:rPr>
          <w:i/>
          <w:iCs/>
        </w:rPr>
        <w:t>comisionados</w:t>
      </w:r>
      <w:r w:rsidRPr="00E64A4B">
        <w:t xml:space="preserve"> avaient compris que dans un m</w:t>
      </w:r>
      <w:r w:rsidRPr="00E64A4B">
        <w:t>i</w:t>
      </w:r>
      <w:r w:rsidRPr="00E64A4B">
        <w:t>lieu rural pauvre comme la Sierra, il y avait peu de chance que quelque activité économique que ce soit puisse, du moins à court terme, dégager un surplus intéressant. Par contre, les transferts étatiques, obéissant à une toute autre logique, celle de la politique, semblaient une source inta</w:t>
      </w:r>
      <w:r w:rsidRPr="00E64A4B">
        <w:t>r</w:t>
      </w:r>
      <w:r w:rsidRPr="00E64A4B">
        <w:t>rissable : tel organisme, national ou international, proposait-il des r</w:t>
      </w:r>
      <w:r w:rsidRPr="00E64A4B">
        <w:t>u</w:t>
      </w:r>
      <w:r w:rsidRPr="00E64A4B">
        <w:t>ches, ou des pépinières, on acce</w:t>
      </w:r>
      <w:r w:rsidRPr="00E64A4B">
        <w:t>p</w:t>
      </w:r>
      <w:r w:rsidRPr="00E64A4B">
        <w:t>tait d'emblée, pour les « retombées », même si l'échec était ha</w:t>
      </w:r>
      <w:r w:rsidRPr="00E64A4B">
        <w:t>u</w:t>
      </w:r>
      <w:r w:rsidRPr="00E64A4B">
        <w:t>tement probable. Suite à une dénonciation de malversation, il s'en fallut de peu que la coopérative ne s'effondre. C'est alors, et alors seulement, qu'il fut résolu de mettre en pratique les principales recommandations de mon rapport concernant l'éducation coopér</w:t>
      </w:r>
      <w:r w:rsidRPr="00E64A4B">
        <w:t>a</w:t>
      </w:r>
      <w:r w:rsidRPr="00E64A4B">
        <w:t>tive !</w:t>
      </w:r>
    </w:p>
    <w:p w:rsidR="00B7214C" w:rsidRPr="00E64A4B" w:rsidRDefault="00B7214C" w:rsidP="00B7214C">
      <w:pPr>
        <w:spacing w:before="120" w:after="120"/>
        <w:jc w:val="both"/>
      </w:pPr>
      <w:r w:rsidRPr="00E64A4B">
        <w:t>Après six mois avec la Tosepan, je pouvais conclure à l'exi</w:t>
      </w:r>
      <w:r w:rsidRPr="00E64A4B">
        <w:t>s</w:t>
      </w:r>
      <w:r w:rsidRPr="00E64A4B">
        <w:t>tence d'un véritable mouvement indépendant. Cette indépendance provenait cependant autant de l'influence consciente des consei</w:t>
      </w:r>
      <w:r w:rsidRPr="00E64A4B">
        <w:t>l</w:t>
      </w:r>
      <w:r w:rsidRPr="00E64A4B">
        <w:t>lers, que de la pression spontanée des paysans indiens, dont la v</w:t>
      </w:r>
      <w:r w:rsidRPr="00E64A4B">
        <w:t>o</w:t>
      </w:r>
      <w:r w:rsidRPr="00E64A4B">
        <w:t>lonté de survivre heurtait parfois de front les politiques étatiques</w:t>
      </w:r>
      <w:r>
        <w:t> </w:t>
      </w:r>
      <w:r>
        <w:rPr>
          <w:rStyle w:val="Appelnotedebasdep"/>
        </w:rPr>
        <w:footnoteReference w:id="269"/>
      </w:r>
      <w:r w:rsidRPr="00E64A4B">
        <w:t>. Quant aux élus autochtones, malgré la rhétorique combative qui avait cours lors des r</w:t>
      </w:r>
      <w:r w:rsidRPr="00E64A4B">
        <w:t>é</w:t>
      </w:r>
      <w:r w:rsidRPr="00E64A4B">
        <w:t>unions, ils auraient été souvent enclins à favoriser une adhésion plus forte aux desseins de l'État, garante de bénéfices à court terme. La double médiation qu'on m'avait imp</w:t>
      </w:r>
      <w:r w:rsidRPr="00E64A4B">
        <w:t>o</w:t>
      </w:r>
      <w:r w:rsidRPr="00E64A4B">
        <w:t>sée, par rapport à deux groupes aux tendances souvent diverge</w:t>
      </w:r>
      <w:r w:rsidRPr="00E64A4B">
        <w:t>n</w:t>
      </w:r>
      <w:r w:rsidRPr="00E64A4B">
        <w:t>tes, rendait extrêmement aléatoire l'impact que pouvaient avoir mes recherches, même définies en fon</w:t>
      </w:r>
      <w:r w:rsidRPr="00E64A4B">
        <w:t>c</w:t>
      </w:r>
      <w:r w:rsidRPr="00E64A4B">
        <w:t>tion des priorités de l'org</w:t>
      </w:r>
      <w:r w:rsidRPr="00E64A4B">
        <w:t>a</w:t>
      </w:r>
      <w:r w:rsidRPr="00E64A4B">
        <w:t>nisation. Les élus n'en avaient que faire et craignaient plutôt que ma trop grande connaissance de l'organisation et de ses failles ne débouche sur une publication compromettante, ou simplement utile à leurs adversaires internes. L'utilisation de mes tr</w:t>
      </w:r>
      <w:r w:rsidRPr="00E64A4B">
        <w:t>a</w:t>
      </w:r>
      <w:r w:rsidRPr="00E64A4B">
        <w:t>vaux par les conseillers - avec lesquels j'étais globalement d'accord - était aussi soumise aux aléas des rapports de pouvoir internes et exte</w:t>
      </w:r>
      <w:r w:rsidRPr="00E64A4B">
        <w:t>r</w:t>
      </w:r>
      <w:r w:rsidRPr="00E64A4B">
        <w:t>nes. Les uns comme les autres demeuraient extérieurs à la reche</w:t>
      </w:r>
      <w:r w:rsidRPr="00E64A4B">
        <w:t>r</w:t>
      </w:r>
      <w:r w:rsidRPr="00E64A4B">
        <w:t xml:space="preserve">che, dont le déroulement suivait les mêmes canons qu'en 1970 : la seule différence en étant le sujet. Or, je voulais travailler </w:t>
      </w:r>
      <w:r w:rsidRPr="00E64A4B">
        <w:rPr>
          <w:i/>
          <w:iCs/>
        </w:rPr>
        <w:t>avec</w:t>
      </w:r>
      <w:r w:rsidRPr="00E64A4B">
        <w:t xml:space="preserve"> le monde, pas seulement </w:t>
      </w:r>
      <w:r w:rsidRPr="00E64A4B">
        <w:rPr>
          <w:i/>
          <w:iCs/>
        </w:rPr>
        <w:t>pour</w:t>
      </w:r>
      <w:r w:rsidRPr="00E64A4B">
        <w:t xml:space="preserve"> le monde, et pour ça - même si je continuais de coll</w:t>
      </w:r>
      <w:r w:rsidRPr="00E64A4B">
        <w:t>a</w:t>
      </w:r>
      <w:r w:rsidRPr="00E64A4B">
        <w:t>borer avec la</w:t>
      </w:r>
      <w:r>
        <w:t xml:space="preserve"> </w:t>
      </w:r>
      <w:r w:rsidRPr="00E64A4B">
        <w:t>[372]</w:t>
      </w:r>
      <w:r>
        <w:t xml:space="preserve"> </w:t>
      </w:r>
      <w:r w:rsidRPr="00E64A4B">
        <w:t>Tosepan au niveau d'activités de formation - je décidai d'aller au niveau des communautés.</w:t>
      </w:r>
    </w:p>
    <w:p w:rsidR="00B7214C" w:rsidRPr="00E64A4B" w:rsidRDefault="00B7214C" w:rsidP="00B7214C">
      <w:pPr>
        <w:spacing w:before="120" w:after="120"/>
        <w:jc w:val="both"/>
      </w:pPr>
      <w:r>
        <w:br w:type="page"/>
      </w:r>
    </w:p>
    <w:p w:rsidR="00B7214C" w:rsidRPr="00E64A4B" w:rsidRDefault="00B7214C" w:rsidP="00B7214C">
      <w:pPr>
        <w:pStyle w:val="b"/>
      </w:pPr>
      <w:r w:rsidRPr="00E64A4B">
        <w:t>Organisation communautaire et ONG :</w:t>
      </w:r>
      <w:r w:rsidRPr="00E64A4B">
        <w:br/>
        <w:t>l'Atelier de tradition orale de San Miguel Tzinacapan.</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Avant même la fin de mon engagement avec la Tosepan, je r</w:t>
      </w:r>
      <w:r w:rsidRPr="00E64A4B">
        <w:t>e</w:t>
      </w:r>
      <w:r w:rsidRPr="00E64A4B">
        <w:t>çus une offre provenant d'une communauté autochtone : au détour d'un sentier, un jeune Indien, Eleuterio me dit : « À l'Atelier de tradition orale, on veut t'inviter pour que tu nous aides avec une étude qu'on est en train de faire sur des récits qu'on a recueillis. Viens à notre réunion, dimanche matin. »</w:t>
      </w:r>
    </w:p>
    <w:p w:rsidR="00B7214C" w:rsidRPr="00E64A4B" w:rsidRDefault="00B7214C" w:rsidP="00B7214C">
      <w:pPr>
        <w:spacing w:before="120" w:after="120"/>
        <w:jc w:val="both"/>
      </w:pPr>
      <w:r w:rsidRPr="00E64A4B">
        <w:t>Le gros village nahuat de San Miguel Tzinacapan avait été l'un des initiateurs du mouvement coopératif régional et avait fourni plusieurs de ses cadres autochtones. Il avait également été la scène d'une exp</w:t>
      </w:r>
      <w:r w:rsidRPr="00E64A4B">
        <w:t>é</w:t>
      </w:r>
      <w:r w:rsidRPr="00E64A4B">
        <w:t>rience de développement communautaire, initiée par une sociologue mexicaine, Mme Maria Eugenia Sanchez, qui avait fondé à cette fin une ONG : PRADE A.C. Les membres de cette dernière provenaient des milieux urbains et poursuivaient leur travail dans la perspective de la théologie de la libération. Religieux et laïcs, une douzaine de jeunes professionnels, avaient mis sur pied plusieurs comités liés à des pr</w:t>
      </w:r>
      <w:r w:rsidRPr="00E64A4B">
        <w:t>o</w:t>
      </w:r>
      <w:r w:rsidRPr="00E64A4B">
        <w:t>jets dans les domaines de l'éducation (préscolaire et secondaire), de la santé, de la nutr</w:t>
      </w:r>
      <w:r w:rsidRPr="00E64A4B">
        <w:t>i</w:t>
      </w:r>
      <w:r w:rsidRPr="00E64A4B">
        <w:t>tion, de l'agriculture et de l'élevage, de l'artisanat et enfin de la culture. À la différence de nombreux projets lancés par l'État dans la région depuis 1975, ceux de San Miguel semblaient fonctionner remarquablement bien. Dans les premières années de la Tosepan, des membres de PRADE avaient collaboré activement à sa mise sur pied : en 1984, leur action était redevenue strictement d'ordre local. L'Atelier de tradition orale, institué en 1979 par M. Alfonso R</w:t>
      </w:r>
      <w:r w:rsidRPr="00E64A4B">
        <w:t>e</w:t>
      </w:r>
      <w:r w:rsidRPr="00E64A4B">
        <w:t>ynoso, instituteur et membre de PRADE, s'était donné pour objectif de recueillir la littérature orale nahuat et avait à son actif plus de cinq cents contes, chants et récits ethnohistoriques. C'est à ce groupe, con</w:t>
      </w:r>
      <w:r w:rsidRPr="00E64A4B">
        <w:t>s</w:t>
      </w:r>
      <w:r w:rsidRPr="00E64A4B">
        <w:t>titué majoritairement de jeunes autochtones, qu'on m'offrait de part</w:t>
      </w:r>
      <w:r w:rsidRPr="00E64A4B">
        <w:t>i</w:t>
      </w:r>
      <w:r w:rsidRPr="00E64A4B">
        <w:t>ciper ; ce devait être le début d'une collaboration qui s'est poursuivie jusqu'à ce jour.</w:t>
      </w:r>
    </w:p>
    <w:p w:rsidR="00B7214C" w:rsidRPr="00E64A4B" w:rsidRDefault="00B7214C" w:rsidP="00B7214C">
      <w:pPr>
        <w:spacing w:before="120" w:after="120"/>
        <w:jc w:val="both"/>
      </w:pPr>
      <w:r w:rsidRPr="00E64A4B">
        <w:t>Pour leurs adversaires, plus particulièrement les instituteurs du syndicat officiel, les gens de PRADE « manipulaient les Indiens » et se servaient de l'école et des divers projets comme couverture pour endoctriner les Indiens, en violation de l'article 3 de la Con</w:t>
      </w:r>
      <w:r w:rsidRPr="00E64A4B">
        <w:t>s</w:t>
      </w:r>
      <w:r w:rsidRPr="00E64A4B">
        <w:t>titution mexicaine, qui institue une séparation absolue entre l'Égl</w:t>
      </w:r>
      <w:r w:rsidRPr="00E64A4B">
        <w:t>i</w:t>
      </w:r>
      <w:r w:rsidRPr="00E64A4B">
        <w:t>se et l'État. Pour ma part, je faisais l'hypothèse que l'action des « étrangers » avait constitué le déclencheur d'un processus où s'était révélé le potentiel d'organisation et de leadership autocht</w:t>
      </w:r>
      <w:r w:rsidRPr="00E64A4B">
        <w:t>o</w:t>
      </w:r>
      <w:r w:rsidRPr="00E64A4B">
        <w:t>ne. L'offre qui m'était faite me permettait à la fois de connaître de près les militants de base du mo</w:t>
      </w:r>
      <w:r w:rsidRPr="00E64A4B">
        <w:t>u</w:t>
      </w:r>
      <w:r w:rsidRPr="00E64A4B">
        <w:t>vement, et de collaborer dire</w:t>
      </w:r>
      <w:r w:rsidRPr="00E64A4B">
        <w:t>c</w:t>
      </w:r>
      <w:r w:rsidRPr="00E64A4B">
        <w:t>tement avec eux. Par ailleurs, le Taller représentait le seul volet du</w:t>
      </w:r>
      <w:r>
        <w:t xml:space="preserve"> </w:t>
      </w:r>
      <w:r w:rsidRPr="00E64A4B">
        <w:t>[373]</w:t>
      </w:r>
      <w:r>
        <w:t xml:space="preserve"> </w:t>
      </w:r>
      <w:r w:rsidRPr="00E64A4B">
        <w:t>mouvement où les revendications ethniques étaient explicites. La Tosepan Titataniske, malgré son nom nahuat et malgré le fait que les réunions locales se tenaient général</w:t>
      </w:r>
      <w:r w:rsidRPr="00E64A4B">
        <w:t>e</w:t>
      </w:r>
      <w:r w:rsidRPr="00E64A4B">
        <w:t>ment en nahuat, s'était donné des objectifs économiques et politiques, mais non culturels</w:t>
      </w:r>
      <w:r>
        <w:t> </w:t>
      </w:r>
      <w:r>
        <w:rPr>
          <w:rStyle w:val="Appelnotedebasdep"/>
        </w:rPr>
        <w:footnoteReference w:id="270"/>
      </w:r>
      <w:r w:rsidRPr="00E64A4B">
        <w:t>. Le Taller venait d'avoir une expérience négat</w:t>
      </w:r>
      <w:r w:rsidRPr="00E64A4B">
        <w:t>i</w:t>
      </w:r>
      <w:r w:rsidRPr="00E64A4B">
        <w:t>ve avec un anthropologue étranger</w:t>
      </w:r>
      <w:r>
        <w:t> </w:t>
      </w:r>
      <w:r>
        <w:rPr>
          <w:rStyle w:val="Appelnotedebasdep"/>
        </w:rPr>
        <w:footnoteReference w:id="271"/>
      </w:r>
      <w:r w:rsidRPr="00E64A4B">
        <w:t xml:space="preserve"> et on me proposa d'établir par écrit les droits et obligations de chacune des parties. La division et</w:t>
      </w:r>
      <w:r w:rsidRPr="00E64A4B">
        <w:t>h</w:t>
      </w:r>
      <w:r w:rsidRPr="00E64A4B">
        <w:t>nique du travail lors de ce premier contact fut significative. Il semble que cette manière de procéder ait été proposée par les autochtones, en su</w:t>
      </w:r>
      <w:r w:rsidRPr="00E64A4B">
        <w:t>i</w:t>
      </w:r>
      <w:r w:rsidRPr="00E64A4B">
        <w:t>vant la tradition indienne de l’</w:t>
      </w:r>
      <w:r w:rsidRPr="000D1A32">
        <w:rPr>
          <w:i/>
          <w:iCs/>
        </w:rPr>
        <w:t>acta,</w:t>
      </w:r>
      <w:r w:rsidRPr="00E64A4B">
        <w:t xml:space="preserve"> document écrit qui accompagne les transactions importantes et qui a valeur légale devant les autorités locales. Mais ce furent les membres de PRADE qui l'élaborèrent, d</w:t>
      </w:r>
      <w:r w:rsidRPr="00E64A4B">
        <w:t>e</w:t>
      </w:r>
      <w:r w:rsidRPr="00E64A4B">
        <w:t>vant les yeux attentifs des jeunes autoc</w:t>
      </w:r>
      <w:r w:rsidRPr="00E64A4B">
        <w:t>h</w:t>
      </w:r>
      <w:r w:rsidRPr="00E64A4B">
        <w:t>tones du Taller. L'accord, qui fut reconduit par la suite, établissait, entre autres : a) la propriété du Taller sur toutes les données qui seraient recueillies - tous les orig</w:t>
      </w:r>
      <w:r w:rsidRPr="00E64A4B">
        <w:t>i</w:t>
      </w:r>
      <w:r w:rsidRPr="00E64A4B">
        <w:t>naux devaient demeurer sur pl</w:t>
      </w:r>
      <w:r w:rsidRPr="00E64A4B">
        <w:t>a</w:t>
      </w:r>
      <w:r w:rsidRPr="00E64A4B">
        <w:t>ce, et je n'emporterais avec moi que des copies ; b) les recherches futures seraient élaborées en collabor</w:t>
      </w:r>
      <w:r w:rsidRPr="00E64A4B">
        <w:t>a</w:t>
      </w:r>
      <w:r w:rsidRPr="00E64A4B">
        <w:t>tion, et réalisées conjoint</w:t>
      </w:r>
      <w:r w:rsidRPr="00E64A4B">
        <w:t>e</w:t>
      </w:r>
      <w:r w:rsidRPr="00E64A4B">
        <w:t>ment ; c) toute publication serait discutée conjointement par le Taller et le chercheur, et les noms des deux app</w:t>
      </w:r>
      <w:r w:rsidRPr="00E64A4B">
        <w:t>a</w:t>
      </w:r>
      <w:r w:rsidRPr="00E64A4B">
        <w:t>raîtraient comme co-auteurs ; d) l'anthrop</w:t>
      </w:r>
      <w:r w:rsidRPr="00E64A4B">
        <w:t>o</w:t>
      </w:r>
      <w:r w:rsidRPr="00E64A4B">
        <w:t>logue étranger chercherait à obtenir des fonds pour financer la reche</w:t>
      </w:r>
      <w:r w:rsidRPr="00E64A4B">
        <w:t>r</w:t>
      </w:r>
      <w:r w:rsidRPr="00E64A4B">
        <w:t>che.</w:t>
      </w:r>
    </w:p>
    <w:p w:rsidR="00B7214C" w:rsidRPr="00E64A4B" w:rsidRDefault="00B7214C" w:rsidP="00B7214C">
      <w:pPr>
        <w:spacing w:before="120" w:after="120"/>
        <w:jc w:val="both"/>
      </w:pPr>
      <w:r w:rsidRPr="00E64A4B">
        <w:t>L'esprit général du document m'apparut celui d'une réappr</w:t>
      </w:r>
      <w:r w:rsidRPr="00E64A4B">
        <w:t>o</w:t>
      </w:r>
      <w:r w:rsidRPr="00E64A4B">
        <w:t>priation culturelle, parallèle à la réappropriation économique qu'effectuait la Tosepan, et à la réappropriation politique qui serait tentée plus tard. Les jeunes autochtones, à travers le contact avec des gens de l'ext</w:t>
      </w:r>
      <w:r w:rsidRPr="00E64A4B">
        <w:t>é</w:t>
      </w:r>
      <w:r w:rsidRPr="00E64A4B">
        <w:t>rieur, avaient pris conscience de la valeur d'un patrimoine et voulaient à la fois l'empêcher de se perdre et éviter d'en être dépouillés. Comme le disait un des membres du Taller :</w:t>
      </w:r>
    </w:p>
    <w:p w:rsidR="00B7214C" w:rsidRDefault="00B7214C" w:rsidP="00B7214C">
      <w:pPr>
        <w:pStyle w:val="Grillecouleur-Accent1"/>
      </w:pPr>
    </w:p>
    <w:p w:rsidR="00B7214C" w:rsidRDefault="00B7214C" w:rsidP="00B7214C">
      <w:pPr>
        <w:pStyle w:val="Grillecouleur-Accent1"/>
      </w:pPr>
      <w:r w:rsidRPr="00E64A4B">
        <w:t>Jusqu'à présent, nous avons reçu la visite d'anthropologues ; ils nous ont demandé des données, nous avons été leurs informateurs, leurs inte</w:t>
      </w:r>
      <w:r w:rsidRPr="00E64A4B">
        <w:t>r</w:t>
      </w:r>
      <w:r w:rsidRPr="00E64A4B">
        <w:t>prètes [...] Et ensuite, ils retournent dans leur pays et écr</w:t>
      </w:r>
      <w:r w:rsidRPr="00E64A4B">
        <w:t>i</w:t>
      </w:r>
      <w:r w:rsidRPr="00E64A4B">
        <w:t>vent leurs livres. Et nous ne savons même pas ce qu'ils disent de nous. À présent, c'est nous qui voulons écrire des livres.</w:t>
      </w:r>
    </w:p>
    <w:p w:rsidR="00B7214C" w:rsidRDefault="00B7214C" w:rsidP="00B7214C">
      <w:pPr>
        <w:pStyle w:val="Grillecouleur-Accent1"/>
      </w:pPr>
    </w:p>
    <w:p w:rsidR="00B7214C" w:rsidRPr="00E64A4B" w:rsidRDefault="00B7214C" w:rsidP="00B7214C">
      <w:pPr>
        <w:spacing w:before="120" w:after="120"/>
        <w:jc w:val="both"/>
      </w:pPr>
      <w:r w:rsidRPr="00E64A4B">
        <w:t>Les « livres » dont il s'agit ici étaient conçus sur le modèle des p</w:t>
      </w:r>
      <w:r w:rsidRPr="00E64A4B">
        <w:t>u</w:t>
      </w:r>
      <w:r w:rsidRPr="00E64A4B">
        <w:t>blications antérieures du Taller, qui portaient sur les chants et les contes nahuats : des fascicules et des brochures bilingues, bon marché et disponibles dans la région. Et, effectivement, on considéra la pr</w:t>
      </w:r>
      <w:r w:rsidRPr="00E64A4B">
        <w:t>o</w:t>
      </w:r>
      <w:r w:rsidRPr="00E64A4B">
        <w:t>duction d'un « livre » comme le terme obligé de chaque projet de r</w:t>
      </w:r>
      <w:r w:rsidRPr="00E64A4B">
        <w:t>e</w:t>
      </w:r>
      <w:r w:rsidRPr="00E64A4B">
        <w:t>cherche, les autres étapes étant : la définition, la co</w:t>
      </w:r>
      <w:r w:rsidRPr="00E64A4B">
        <w:t>l</w:t>
      </w:r>
      <w:r w:rsidRPr="00E64A4B">
        <w:t>lecte des données et l'analyse. À chaque étape, les deux parties devaient collaborer. J'avais un rôle prépondérant quant à la défin</w:t>
      </w:r>
      <w:r w:rsidRPr="00E64A4B">
        <w:t>i</w:t>
      </w:r>
      <w:r w:rsidRPr="00E64A4B">
        <w:t>tion du projet, le Taller faisant des commentaires. L'aspect le plus marquant de cette collab</w:t>
      </w:r>
      <w:r w:rsidRPr="00E64A4B">
        <w:t>o</w:t>
      </w:r>
      <w:r w:rsidRPr="00E64A4B">
        <w:t>ration avec le Taller a été incontest</w:t>
      </w:r>
      <w:r w:rsidRPr="00E64A4B">
        <w:t>a</w:t>
      </w:r>
      <w:r w:rsidRPr="00E64A4B">
        <w:t>blement une nouvelle division du travail scientifique, au cours des trois recherches que nous avons e</w:t>
      </w:r>
      <w:r w:rsidRPr="00E64A4B">
        <w:t>f</w:t>
      </w:r>
      <w:r w:rsidRPr="00E64A4B">
        <w:t>fectuées ensemble, de 1984 à 1991. En 1984 et</w:t>
      </w:r>
      <w:r>
        <w:t xml:space="preserve"> </w:t>
      </w:r>
      <w:r w:rsidRPr="00E64A4B">
        <w:t>[374]</w:t>
      </w:r>
      <w:r>
        <w:t xml:space="preserve"> </w:t>
      </w:r>
      <w:r w:rsidRPr="00E64A4B">
        <w:t>1985, je travai</w:t>
      </w:r>
      <w:r w:rsidRPr="00E64A4B">
        <w:t>l</w:t>
      </w:r>
      <w:r w:rsidRPr="00E64A4B">
        <w:t>lai à élaborer avec eux un cadre d'analyse pour des récits ethnohistor</w:t>
      </w:r>
      <w:r w:rsidRPr="00E64A4B">
        <w:t>i</w:t>
      </w:r>
      <w:r w:rsidRPr="00E64A4B">
        <w:t>ques qu'ils avaient déjà recueillis, et à enc</w:t>
      </w:r>
      <w:r w:rsidRPr="00E64A4B">
        <w:t>a</w:t>
      </w:r>
      <w:r w:rsidRPr="00E64A4B">
        <w:t>drer la collecte de données pour combler des lacunes du corpus. De 1986 à 1988, on réalisa un vaste projet concernant les connai</w:t>
      </w:r>
      <w:r w:rsidRPr="00E64A4B">
        <w:t>s</w:t>
      </w:r>
      <w:r w:rsidRPr="00E64A4B">
        <w:t>sances de la faune et de la flore, ainsi que la toponymie de cette région extrêmement accidentée et pl</w:t>
      </w:r>
      <w:r w:rsidRPr="00E64A4B">
        <w:t>u</w:t>
      </w:r>
      <w:r w:rsidRPr="00E64A4B">
        <w:t>vieuse, intermédiaire entre la haute montagne froide et la forêt trop</w:t>
      </w:r>
      <w:r w:rsidRPr="00E64A4B">
        <w:t>i</w:t>
      </w:r>
      <w:r w:rsidRPr="00E64A4B">
        <w:t>cale de la côte. Les me</w:t>
      </w:r>
      <w:r w:rsidRPr="00E64A4B">
        <w:t>m</w:t>
      </w:r>
      <w:r w:rsidRPr="00E64A4B">
        <w:t>bres du Taller avaient exprimé leur intérêt de recueillir le savoir des aînés concernant les « herbes qui guérissent » (</w:t>
      </w:r>
      <w:r w:rsidRPr="00E64A4B">
        <w:rPr>
          <w:i/>
          <w:iCs/>
        </w:rPr>
        <w:t>xiujpajmej</w:t>
      </w:r>
      <w:r w:rsidRPr="00E64A4B">
        <w:t>). On résolut d'élargir l'enquête à l'ensemble des plantes et de consulter des informateurs provenant de l'ensemble de la popul</w:t>
      </w:r>
      <w:r w:rsidRPr="00E64A4B">
        <w:t>a</w:t>
      </w:r>
      <w:r w:rsidRPr="00E64A4B">
        <w:t>tion, au lieu des seuls guérisseurs (</w:t>
      </w:r>
      <w:r w:rsidRPr="00E64A4B">
        <w:rPr>
          <w:i/>
          <w:iCs/>
        </w:rPr>
        <w:t>tapajtiani</w:t>
      </w:r>
      <w:r w:rsidRPr="00E64A4B">
        <w:t>). De 1989 à 1991, il fut décidé d'explorer les archives (</w:t>
      </w:r>
      <w:r w:rsidRPr="00E64A4B">
        <w:rPr>
          <w:i/>
          <w:iCs/>
        </w:rPr>
        <w:t>uejkau-jkayoamamej)</w:t>
      </w:r>
      <w:r w:rsidRPr="00E64A4B">
        <w:t xml:space="preserve"> locales et régi</w:t>
      </w:r>
      <w:r w:rsidRPr="00E64A4B">
        <w:t>o</w:t>
      </w:r>
      <w:r w:rsidRPr="00E64A4B">
        <w:t>nales, travail qui avait déjà été initié par les membres du Taller, et avait dû être abandonné, faute de temps. La première tâche fut la mise en ordre des monceaux de documents a</w:t>
      </w:r>
      <w:r w:rsidRPr="00E64A4B">
        <w:t>c</w:t>
      </w:r>
      <w:r w:rsidRPr="00E64A4B">
        <w:t>cumulés depuis le début du XIXe siècle, date approximative de la fo</w:t>
      </w:r>
      <w:r w:rsidRPr="00E64A4B">
        <w:t>n</w:t>
      </w:r>
      <w:r w:rsidRPr="00E64A4B">
        <w:t>dation du village. Puis la sélection et la transcription de documents jugés significatifs de chaque période historique. Une recherche para</w:t>
      </w:r>
      <w:r w:rsidRPr="00E64A4B">
        <w:t>l</w:t>
      </w:r>
      <w:r w:rsidRPr="00E64A4B">
        <w:t>lèle menée dans les archives régionales de Cuetzalan permit de co</w:t>
      </w:r>
      <w:r w:rsidRPr="00E64A4B">
        <w:t>m</w:t>
      </w:r>
      <w:r w:rsidRPr="00E64A4B">
        <w:t>pléter les données.</w:t>
      </w:r>
    </w:p>
    <w:p w:rsidR="00B7214C" w:rsidRPr="00E64A4B" w:rsidRDefault="00B7214C" w:rsidP="00B7214C">
      <w:pPr>
        <w:spacing w:before="120" w:after="120"/>
        <w:jc w:val="both"/>
      </w:pPr>
      <w:r w:rsidRPr="00E64A4B">
        <w:t>Les résultats pratiques furent d'abord la constitution d'imp</w:t>
      </w:r>
      <w:r w:rsidRPr="00E64A4B">
        <w:t>o</w:t>
      </w:r>
      <w:r w:rsidRPr="00E64A4B">
        <w:t>sants corpus de données conservés par le Taller, sur l'ethnohistoire, l'ethn</w:t>
      </w:r>
      <w:r w:rsidRPr="00E64A4B">
        <w:t>o</w:t>
      </w:r>
      <w:r w:rsidRPr="00E64A4B">
        <w:t>botanique, l'ethnozoologie et la toponymie, ainsi qu'un fonds d'arch</w:t>
      </w:r>
      <w:r w:rsidRPr="00E64A4B">
        <w:t>i</w:t>
      </w:r>
      <w:r w:rsidRPr="00E64A4B">
        <w:t>ves municipales ordonnées. Au plan formation, les jeunes membres du Taller ont acquis une expérience de recherche, en ce qui touche l'él</w:t>
      </w:r>
      <w:r w:rsidRPr="00E64A4B">
        <w:t>a</w:t>
      </w:r>
      <w:r w:rsidRPr="00E64A4B">
        <w:t>boration de projets, la collecte des données, leur analyse et la réda</w:t>
      </w:r>
      <w:r w:rsidRPr="00E64A4B">
        <w:t>c</w:t>
      </w:r>
      <w:r w:rsidRPr="00E64A4B">
        <w:t>tion de textes.</w:t>
      </w:r>
    </w:p>
    <w:p w:rsidR="00B7214C" w:rsidRPr="00E64A4B" w:rsidRDefault="00B7214C" w:rsidP="00B7214C">
      <w:pPr>
        <w:spacing w:before="120" w:after="120"/>
        <w:jc w:val="both"/>
      </w:pPr>
      <w:r w:rsidRPr="00E64A4B">
        <w:t>Quant aux livres, un seul a vu le jour (les plantes médicinales n</w:t>
      </w:r>
      <w:r w:rsidRPr="00E64A4B">
        <w:t>a</w:t>
      </w:r>
      <w:r w:rsidRPr="00E64A4B">
        <w:t>huats), tandis que deux autres manuscrits (ethnozoologie et et</w:t>
      </w:r>
      <w:r w:rsidRPr="00E64A4B">
        <w:t>h</w:t>
      </w:r>
      <w:r w:rsidRPr="00E64A4B">
        <w:t>nohis- toire) attendent chez l'éditeur que des ressources financi</w:t>
      </w:r>
      <w:r w:rsidRPr="00E64A4B">
        <w:t>è</w:t>
      </w:r>
      <w:r w:rsidRPr="00E64A4B">
        <w:t>res soient disponibles. (Ironiquement, c'est la collection de mythes dérobée par un ethnologue de passage qui a trouvé le plus rap</w:t>
      </w:r>
      <w:r w:rsidRPr="00E64A4B">
        <w:t>i</w:t>
      </w:r>
      <w:r w:rsidRPr="00E64A4B">
        <w:t>dement un éditeur : mais à un prix évidemment inaccessible pour les autochtones !) Les publications étaient destinées plus particulièrement aux élèves et pr</w:t>
      </w:r>
      <w:r w:rsidRPr="00E64A4B">
        <w:t>o</w:t>
      </w:r>
      <w:r w:rsidRPr="00E64A4B">
        <w:t>fesseurs de la Telesecundaria de Tz</w:t>
      </w:r>
      <w:r w:rsidRPr="00E64A4B">
        <w:t>i</w:t>
      </w:r>
      <w:r w:rsidRPr="00E64A4B">
        <w:t>nacapan, dont le programme comprend l'enseignement du nahuat comme langue écrite ; en second lieu, au personnel des cliniques rurales et aux Nahuats adultes alph</w:t>
      </w:r>
      <w:r w:rsidRPr="00E64A4B">
        <w:t>a</w:t>
      </w:r>
      <w:r w:rsidRPr="00E64A4B">
        <w:t>bétisés de la région, comme source d'information quant à l'utilisation des ressources locales à des fins alimentaires et médicinales ; et enfin, à tous les Mexicains, Indiens et non-indiens, impliqués dans la prom</w:t>
      </w:r>
      <w:r w:rsidRPr="00E64A4B">
        <w:t>o</w:t>
      </w:r>
      <w:r w:rsidRPr="00E64A4B">
        <w:t>tion des cultures autochtones. En fait, la diffusion et surtout l'utilis</w:t>
      </w:r>
      <w:r w:rsidRPr="00E64A4B">
        <w:t>a</w:t>
      </w:r>
      <w:r w:rsidRPr="00E64A4B">
        <w:t>tion ont été beaucoup moindres que prévu, problème qui affecte bea</w:t>
      </w:r>
      <w:r w:rsidRPr="00E64A4B">
        <w:t>u</w:t>
      </w:r>
      <w:r w:rsidRPr="00E64A4B">
        <w:t>coup de projets similaires de publications destinées aux paysans et aux Indiens. Les civilisations orales contemporaines semblent passer d</w:t>
      </w:r>
      <w:r w:rsidRPr="00E64A4B">
        <w:t>i</w:t>
      </w:r>
      <w:r w:rsidRPr="00E64A4B">
        <w:t>rectement à l'électronique (radio-cassettes et télévision) sans s'arrêter beaucoup à la lecture, et les instituteurs ruraux qui veulent développer chez</w:t>
      </w:r>
      <w:r>
        <w:t xml:space="preserve"> </w:t>
      </w:r>
      <w:r w:rsidRPr="00E64A4B">
        <w:t>[375]</w:t>
      </w:r>
      <w:r>
        <w:t xml:space="preserve"> </w:t>
      </w:r>
      <w:r w:rsidRPr="00E64A4B">
        <w:t>leurs élèves la passion des langues autochtones cherchent des te</w:t>
      </w:r>
      <w:r w:rsidRPr="00E64A4B">
        <w:t>x</w:t>
      </w:r>
      <w:r w:rsidRPr="00E64A4B">
        <w:t>tes plus amènes que l'ethnoscience. Le « retour » prévu de la connai</w:t>
      </w:r>
      <w:r w:rsidRPr="00E64A4B">
        <w:t>s</w:t>
      </w:r>
      <w:r w:rsidRPr="00E64A4B">
        <w:t>sance ethnoscientifique vers les gens requérait la coordination de pl</w:t>
      </w:r>
      <w:r w:rsidRPr="00E64A4B">
        <w:t>u</w:t>
      </w:r>
      <w:r w:rsidRPr="00E64A4B">
        <w:t>sieurs acteurs sociaux et institutions (instituteurs, personnel des cliniques, etc.). Toute médiatisation ajoute un ri</w:t>
      </w:r>
      <w:r w:rsidRPr="00E64A4B">
        <w:t>s</w:t>
      </w:r>
      <w:r w:rsidRPr="00E64A4B">
        <w:t>que supplémentaire de déperdition ou de blocage, comme nous l'avons constaté. On peut faire la comparaison avec l'activité thé</w:t>
      </w:r>
      <w:r w:rsidRPr="00E64A4B">
        <w:t>â</w:t>
      </w:r>
      <w:r w:rsidRPr="00E64A4B">
        <w:t>trale du Taller, qui illustre, lors des fêtes villageoises, divers ép</w:t>
      </w:r>
      <w:r w:rsidRPr="00E64A4B">
        <w:t>i</w:t>
      </w:r>
      <w:r w:rsidRPr="00E64A4B">
        <w:t>sodes de la tradition orale, rejoignant ainsi beaucoup de gens qui n'auraient jamais lu ses publications.</w:t>
      </w:r>
    </w:p>
    <w:p w:rsidR="00B7214C" w:rsidRPr="00E64A4B" w:rsidRDefault="00B7214C" w:rsidP="00B7214C">
      <w:pPr>
        <w:spacing w:before="120" w:after="120"/>
        <w:jc w:val="both"/>
      </w:pPr>
      <w:r w:rsidRPr="00E64A4B">
        <w:t>Dans le même ordre d'idées, le principal résultat pratique de l'e</w:t>
      </w:r>
      <w:r w:rsidRPr="00E64A4B">
        <w:t>n</w:t>
      </w:r>
      <w:r w:rsidRPr="00E64A4B">
        <w:t>quête d'ethnobotanique était totalement imprévu au départ. Un groupe de femmes, dont plusieurs épouses de membres du Taller, avaient so</w:t>
      </w:r>
      <w:r w:rsidRPr="00E64A4B">
        <w:t>u</w:t>
      </w:r>
      <w:r w:rsidRPr="00E64A4B">
        <w:t>ligné le caractère incomplet de l'enquête sur les plantes médicinales : plus particulièrement en ce qui concerne les pr</w:t>
      </w:r>
      <w:r w:rsidRPr="00E64A4B">
        <w:t>o</w:t>
      </w:r>
      <w:r w:rsidRPr="00E64A4B">
        <w:t>blèmes de santé des jeunes enfants (</w:t>
      </w:r>
      <w:r w:rsidRPr="00E64A4B">
        <w:rPr>
          <w:i/>
          <w:iCs/>
        </w:rPr>
        <w:t>pilkokolis</w:t>
      </w:r>
      <w:r w:rsidRPr="00E64A4B">
        <w:t>) et les « maladies des femmes » (</w:t>
      </w:r>
      <w:r w:rsidRPr="00E64A4B">
        <w:rPr>
          <w:i/>
          <w:iCs/>
        </w:rPr>
        <w:t>siuakok</w:t>
      </w:r>
      <w:r w:rsidRPr="00E64A4B">
        <w:rPr>
          <w:i/>
          <w:iCs/>
        </w:rPr>
        <w:t>o</w:t>
      </w:r>
      <w:r w:rsidRPr="00E64A4B">
        <w:rPr>
          <w:i/>
          <w:iCs/>
        </w:rPr>
        <w:t>lis</w:t>
      </w:r>
      <w:r w:rsidRPr="00E64A4B">
        <w:t> : terme qui chez les Nahuats comprend aussi bien la grossesse et l'accouchement que les diverses maladies gynécologiques). Elles ra</w:t>
      </w:r>
      <w:r w:rsidRPr="00E64A4B">
        <w:t>t</w:t>
      </w:r>
      <w:r w:rsidRPr="00E64A4B">
        <w:t>tachaient cette lacune au fait que sept membres sur huit du Taller étaient des hommes et que les guérisseurs et guérisseuses n'avaient sans doute pas vu l'intérêt d'expliquer des thérapies à des gens qui ne comprendraient pas. Elles se formèrent en groupe (</w:t>
      </w:r>
      <w:r w:rsidRPr="00E64A4B">
        <w:rPr>
          <w:i/>
          <w:iCs/>
        </w:rPr>
        <w:t>Youalxochit,</w:t>
      </w:r>
      <w:r w:rsidRPr="00E64A4B">
        <w:t xml:space="preserve"> « belle de nuit »), sollicitèrent et obtinrent des fonds d'une ONG can</w:t>
      </w:r>
      <w:r w:rsidRPr="00E64A4B">
        <w:t>a</w:t>
      </w:r>
      <w:r w:rsidRPr="00E64A4B">
        <w:t>dienne pour pou</w:t>
      </w:r>
      <w:r w:rsidRPr="00E64A4B">
        <w:t>r</w:t>
      </w:r>
      <w:r w:rsidRPr="00E64A4B">
        <w:t>suivre l'enquête et organisèrent ensuite des ateliers avec des femmes du village pour enseigner la préparation et l'admini</w:t>
      </w:r>
      <w:r w:rsidRPr="00E64A4B">
        <w:t>s</w:t>
      </w:r>
      <w:r w:rsidRPr="00E64A4B">
        <w:t>tration de remèdes à base de plante pour traiter les affections les plus co</w:t>
      </w:r>
      <w:r w:rsidRPr="00E64A4B">
        <w:t>u</w:t>
      </w:r>
      <w:r w:rsidRPr="00E64A4B">
        <w:t>rantes.</w:t>
      </w:r>
    </w:p>
    <w:p w:rsidR="00B7214C" w:rsidRPr="00E64A4B" w:rsidRDefault="00B7214C" w:rsidP="00B7214C">
      <w:pPr>
        <w:spacing w:before="120" w:after="120"/>
        <w:jc w:val="both"/>
      </w:pPr>
      <w:r w:rsidRPr="00E64A4B">
        <w:t>Si on fait un bilan provisoire de l'expérience de recherche-participation de San Miguel, il apparaît que la levée des princ</w:t>
      </w:r>
      <w:r w:rsidRPr="00E64A4B">
        <w:t>i</w:t>
      </w:r>
      <w:r w:rsidRPr="00E64A4B">
        <w:t>paux facteurs de médiation entre le chercheur et la population concernée a eu des avantages indéniables. La recherche elle-même a pu être orie</w:t>
      </w:r>
      <w:r w:rsidRPr="00E64A4B">
        <w:t>n</w:t>
      </w:r>
      <w:r w:rsidRPr="00E64A4B">
        <w:t>tée en fonction d'un projet communautaire axé sur la revalorisation de la culture autochtone. Cette adéqu</w:t>
      </w:r>
      <w:r w:rsidRPr="00E64A4B">
        <w:t>a</w:t>
      </w:r>
      <w:r w:rsidRPr="00E64A4B">
        <w:t>tion était renforcée du fait de la redéfinition de la division ethn</w:t>
      </w:r>
      <w:r w:rsidRPr="00E64A4B">
        <w:t>o</w:t>
      </w:r>
      <w:r w:rsidRPr="00E64A4B">
        <w:t>sociale du travail entre les autochtones et le chercheur. Par exemple, lors d'une discussion, il apparut que l'o</w:t>
      </w:r>
      <w:r w:rsidRPr="00E64A4B">
        <w:t>r</w:t>
      </w:r>
      <w:r w:rsidRPr="00E64A4B">
        <w:t>ganisation du matériel botanique pour la publication, en fonction des grandes catégories taxonomiques, ne correspondait pas aux attentes du public régi</w:t>
      </w:r>
      <w:r w:rsidRPr="00E64A4B">
        <w:t>o</w:t>
      </w:r>
      <w:r w:rsidRPr="00E64A4B">
        <w:t>nal, qui préférait un regroupement selon les catégories pratiques : plantes médicinales, comestibles, artisanales, etc. Plusieurs so</w:t>
      </w:r>
      <w:r w:rsidRPr="00E64A4B">
        <w:t>u</w:t>
      </w:r>
      <w:r w:rsidRPr="00E64A4B">
        <w:t>haits concrets exprimés par le groupe de jeunes autochtones ont pu être directement exprimés et satisfaits : qu'il s'agisse de que</w:t>
      </w:r>
      <w:r w:rsidRPr="00E64A4B">
        <w:t>s</w:t>
      </w:r>
      <w:r w:rsidRPr="00E64A4B">
        <w:t>tions de principe, comme l'appropriation collective des données originales, ou de l'autogestion financière de l'équipe</w:t>
      </w:r>
      <w:r>
        <w:t> </w:t>
      </w:r>
      <w:r>
        <w:rPr>
          <w:rStyle w:val="Appelnotedebasdep"/>
        </w:rPr>
        <w:footnoteReference w:id="272"/>
      </w:r>
      <w:r w:rsidRPr="00E64A4B">
        <w:t>.</w:t>
      </w:r>
    </w:p>
    <w:p w:rsidR="00B7214C" w:rsidRPr="00E64A4B" w:rsidRDefault="00B7214C" w:rsidP="00B7214C">
      <w:pPr>
        <w:spacing w:before="120" w:after="120"/>
        <w:jc w:val="both"/>
      </w:pPr>
      <w:r w:rsidRPr="00E64A4B">
        <w:t>[376]</w:t>
      </w:r>
    </w:p>
    <w:p w:rsidR="00B7214C" w:rsidRPr="00E64A4B" w:rsidRDefault="00B7214C" w:rsidP="00B7214C">
      <w:pPr>
        <w:spacing w:before="120" w:after="120"/>
        <w:jc w:val="both"/>
      </w:pPr>
      <w:r w:rsidRPr="00E64A4B">
        <w:t>Pour le Taller, l'ethnologue étranger se présentait comme une re</w:t>
      </w:r>
      <w:r w:rsidRPr="00E64A4B">
        <w:t>s</w:t>
      </w:r>
      <w:r w:rsidRPr="00E64A4B">
        <w:t>source, une ressource alternative par rapport aux militants chr</w:t>
      </w:r>
      <w:r w:rsidRPr="00E64A4B">
        <w:t>é</w:t>
      </w:r>
      <w:r w:rsidRPr="00E64A4B">
        <w:t>tiens. Les plus jeunes membres du groupe, qui s'estimaient injustement éca</w:t>
      </w:r>
      <w:r w:rsidRPr="00E64A4B">
        <w:t>r</w:t>
      </w:r>
      <w:r w:rsidRPr="00E64A4B">
        <w:t>tés de tâches plus prestigieuses (traduction, rédaction) vinrent y che</w:t>
      </w:r>
      <w:r w:rsidRPr="00E64A4B">
        <w:t>r</w:t>
      </w:r>
      <w:r w:rsidRPr="00E64A4B">
        <w:t>cher les éléments de formation qui leur ma</w:t>
      </w:r>
      <w:r w:rsidRPr="00E64A4B">
        <w:t>n</w:t>
      </w:r>
      <w:r w:rsidRPr="00E64A4B">
        <w:t>quaient pour se hisser au premier rang. Les ressources financières que j'apportais, même lim</w:t>
      </w:r>
      <w:r w:rsidRPr="00E64A4B">
        <w:t>i</w:t>
      </w:r>
      <w:r w:rsidRPr="00E64A4B">
        <w:t>tées à deux mois de travail par an, étaient aussi les bienvenues à un moment où les politiques de re</w:t>
      </w:r>
      <w:r w:rsidRPr="00E64A4B">
        <w:t>s</w:t>
      </w:r>
      <w:r w:rsidRPr="00E64A4B">
        <w:t>trictions budgétaires supprimaient les contrats du ministère de l'Education dont le Taller avait profité depuis sa fondation.</w:t>
      </w:r>
    </w:p>
    <w:p w:rsidR="00B7214C" w:rsidRPr="00E64A4B" w:rsidRDefault="00B7214C" w:rsidP="00B7214C">
      <w:pPr>
        <w:spacing w:before="120" w:after="120"/>
        <w:jc w:val="both"/>
      </w:pPr>
      <w:r w:rsidRPr="00E64A4B">
        <w:t>Mais la question de la médiation se pose également à San M</w:t>
      </w:r>
      <w:r w:rsidRPr="00E64A4B">
        <w:t>i</w:t>
      </w:r>
      <w:r w:rsidRPr="00E64A4B">
        <w:t>guel, à un autre niveau. Les militants chrétiens engagés dans le travail communautaire jouissent d'un ascendant certain dans le village : par leurs connaissances, par leur origine sociale (pl</w:t>
      </w:r>
      <w:r w:rsidRPr="00E64A4B">
        <w:t>u</w:t>
      </w:r>
      <w:r w:rsidRPr="00E64A4B">
        <w:t>sieurs proviennent de la grande bourgeoisie de Puebla), par leur insertion formelle dans les institutions (p. ex. d'enseignement). En outre, et surtout, ils disposent de contacts privilégiés avec un réseau national et international d'org</w:t>
      </w:r>
      <w:r w:rsidRPr="00E64A4B">
        <w:t>a</w:t>
      </w:r>
      <w:r w:rsidRPr="00E64A4B">
        <w:t>nisations non gouvernement</w:t>
      </w:r>
      <w:r w:rsidRPr="00E64A4B">
        <w:t>a</w:t>
      </w:r>
      <w:r w:rsidRPr="00E64A4B">
        <w:t>les qui leur permettent de mobiliser des ressources provenant de Frères des Hommes autant que de la Ford Foundation. Leur pos</w:t>
      </w:r>
      <w:r w:rsidRPr="00E64A4B">
        <w:t>i</w:t>
      </w:r>
      <w:r w:rsidRPr="00E64A4B">
        <w:t>tion était donc structurellement similaire à celle des conseillers de la Tosepan. Comme ces derniers, ils étaient présents d'office aux réunions des paysans, qu'il s'agisse de l'adduction d'eau potable, de la culture ou de la porcherie communautaire. Leurs inte</w:t>
      </w:r>
      <w:r w:rsidRPr="00E64A4B">
        <w:t>r</w:t>
      </w:r>
      <w:r w:rsidRPr="00E64A4B">
        <w:t>ve</w:t>
      </w:r>
      <w:r w:rsidRPr="00E64A4B">
        <w:t>n</w:t>
      </w:r>
      <w:r w:rsidRPr="00E64A4B">
        <w:t>tions étaient nombreuses et bien préparées, visant à rallier la communauté à leur point de vue</w:t>
      </w:r>
      <w:r>
        <w:t> </w:t>
      </w:r>
      <w:r>
        <w:rPr>
          <w:rStyle w:val="Appelnotedebasdep"/>
        </w:rPr>
        <w:footnoteReference w:id="273"/>
      </w:r>
      <w:r w:rsidRPr="00E64A4B">
        <w:t>. De plus, à la différence des agr</w:t>
      </w:r>
      <w:r w:rsidRPr="00E64A4B">
        <w:t>o</w:t>
      </w:r>
      <w:r w:rsidRPr="00E64A4B">
        <w:t>nomes gauchistes de Cuetzalan, leur ferveur religieuse cath</w:t>
      </w:r>
      <w:r w:rsidRPr="00E64A4B">
        <w:t>o</w:t>
      </w:r>
      <w:r w:rsidRPr="00E64A4B">
        <w:t>lique les avait rapidement intégrés dans les réseaux de compérage, qui impl</w:t>
      </w:r>
      <w:r w:rsidRPr="00E64A4B">
        <w:t>i</w:t>
      </w:r>
      <w:r w:rsidRPr="00E64A4B">
        <w:t>quent des flux constants de prestations, symboliques et matérielles. Dans le cas des relations asymétriques, comme celles qu'on établit avec des étrangers puissants, la loyauté politique, de bas en haut, est la contrepartie des faveurs matérielles, qui vont de haut en bas.</w:t>
      </w:r>
    </w:p>
    <w:p w:rsidR="00B7214C" w:rsidRPr="00E64A4B" w:rsidRDefault="00B7214C" w:rsidP="00B7214C">
      <w:pPr>
        <w:spacing w:before="120" w:after="120"/>
        <w:jc w:val="both"/>
      </w:pPr>
      <w:r w:rsidRPr="00E64A4B">
        <w:t>Si les gens de PRADE m'avaient si généreusement accueilli et o</w:t>
      </w:r>
      <w:r w:rsidRPr="00E64A4B">
        <w:t>f</w:t>
      </w:r>
      <w:r w:rsidRPr="00E64A4B">
        <w:t>fert, au début, le gîte et le couvert, c'est qu'ils me considéraient, tout comme les conseillers de la Tosepan, comme une ressource politique, non pas dans un sens aussi immédiat que ces derniers qui avaient b</w:t>
      </w:r>
      <w:r w:rsidRPr="00E64A4B">
        <w:t>e</w:t>
      </w:r>
      <w:r w:rsidRPr="00E64A4B">
        <w:t>soin de moi pour contourner les pressions politiques dont ils étaient l'objet. Leur visée était à plus long terme : dans un pays comme le Mexique, une ONG religieuse se trouve en permanence dans une s</w:t>
      </w:r>
      <w:r w:rsidRPr="00E64A4B">
        <w:t>i</w:t>
      </w:r>
      <w:r w:rsidRPr="00E64A4B">
        <w:t>tuation difficile : ils avaient besoin d'alliés laïcs. Quand ils virent que mon analyse de leur rôle, bien que globalement positive, s'accomp</w:t>
      </w:r>
      <w:r w:rsidRPr="00E64A4B">
        <w:t>a</w:t>
      </w:r>
      <w:r w:rsidRPr="00E64A4B">
        <w:t xml:space="preserve">gnait de critiques importantes, ils prirent leurs distances. Par ailleurs, le caractère très décentralisé de l'organisation sociopolitique actuelle dans une communauté ouverte comme San Miguel faisait en sorte qu'il n'y avait pas </w:t>
      </w:r>
      <w:r w:rsidRPr="00E64A4B">
        <w:rPr>
          <w:i/>
          <w:iCs/>
        </w:rPr>
        <w:t>une</w:t>
      </w:r>
      <w:r w:rsidRPr="00E64A4B">
        <w:t xml:space="preserve"> élite indienne à travers laquelle je devais passer pour atteindre les gens.</w:t>
      </w:r>
    </w:p>
    <w:p w:rsidR="00B7214C" w:rsidRPr="00E64A4B" w:rsidRDefault="00B7214C" w:rsidP="00B7214C">
      <w:pPr>
        <w:spacing w:before="120" w:after="120"/>
        <w:jc w:val="both"/>
      </w:pPr>
      <w:r w:rsidRPr="00E64A4B">
        <w:t>[377]</w:t>
      </w:r>
    </w:p>
    <w:p w:rsidR="00B7214C" w:rsidRPr="00E64A4B" w:rsidRDefault="00B7214C" w:rsidP="00B7214C">
      <w:pPr>
        <w:spacing w:before="120" w:after="120"/>
        <w:jc w:val="both"/>
      </w:pPr>
    </w:p>
    <w:p w:rsidR="00B7214C" w:rsidRPr="00E64A4B" w:rsidRDefault="00B7214C" w:rsidP="00B7214C">
      <w:pPr>
        <w:pStyle w:val="a"/>
      </w:pPr>
      <w:r w:rsidRPr="00E64A4B">
        <w:t>CONCLUSION</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Dans le débat qui oppose les tenants de l'insertion institutio</w:t>
      </w:r>
      <w:r w:rsidRPr="00E64A4B">
        <w:t>n</w:t>
      </w:r>
      <w:r w:rsidRPr="00E64A4B">
        <w:t>nelle à ceux de l'indépendance critique, la question de la médiation des ra</w:t>
      </w:r>
      <w:r w:rsidRPr="00E64A4B">
        <w:t>p</w:t>
      </w:r>
      <w:r w:rsidRPr="00E64A4B">
        <w:t>ports entre l'anthropologue et ceux qu'il prétend servir est cruciale. La structure de médiation était auparavant assez si</w:t>
      </w:r>
      <w:r w:rsidRPr="00E64A4B">
        <w:t>m</w:t>
      </w:r>
      <w:r w:rsidRPr="00E64A4B">
        <w:t>ple : tout passait par l'appareil d'État : les rapports de pouvoir se limitaient, pour l'anthrop</w:t>
      </w:r>
      <w:r w:rsidRPr="00E64A4B">
        <w:t>o</w:t>
      </w:r>
      <w:r w:rsidRPr="00E64A4B">
        <w:t>logie appliquée, à ce que Bastide appelait « le dialogue de l'ethnol</w:t>
      </w:r>
      <w:r w:rsidRPr="00E64A4B">
        <w:t>o</w:t>
      </w:r>
      <w:r w:rsidRPr="00E64A4B">
        <w:t>gue et de l'administrateur ». Aujou</w:t>
      </w:r>
      <w:r w:rsidRPr="00E64A4B">
        <w:t>r</w:t>
      </w:r>
      <w:r w:rsidRPr="00E64A4B">
        <w:t>d'hui, avec le développement des organisations autochtones, la structure de médiation est souvent do</w:t>
      </w:r>
      <w:r w:rsidRPr="00E64A4B">
        <w:t>u</w:t>
      </w:r>
      <w:r w:rsidRPr="00E64A4B">
        <w:t>ble, sinon triple : les élus, les cadres des appareils étatiques, et des éléments de la société civile qu'on appelle ONG. La combinaison de ces médiations et les jeux de pouvoir qu'ils sous-tendent peuvent enl</w:t>
      </w:r>
      <w:r w:rsidRPr="00E64A4B">
        <w:t>e</w:t>
      </w:r>
      <w:r w:rsidRPr="00E64A4B">
        <w:t>ver toute pertinence à l'anthropologie appliquée (« la mouche du c</w:t>
      </w:r>
      <w:r w:rsidRPr="00E64A4B">
        <w:t>o</w:t>
      </w:r>
      <w:r w:rsidRPr="00E64A4B">
        <w:t>che »), et ce, indépendamment de la valeur des recherches effectuées, en raison de l'incompatibilité des définitions que les divers acteurs en donnent. C'est, je crois, en réduisant au maximum ces médiations, et non en en privilégiant une comme plus légitime (p. ex. le le</w:t>
      </w:r>
      <w:r w:rsidRPr="00E64A4B">
        <w:t>a</w:t>
      </w:r>
      <w:r w:rsidRPr="00E64A4B">
        <w:t>dership autochtone) que la pertinence de la recherche et la spécif</w:t>
      </w:r>
      <w:r w:rsidRPr="00E64A4B">
        <w:t>i</w:t>
      </w:r>
      <w:r w:rsidRPr="00E64A4B">
        <w:t>cité de notre apport seront sauvegardées.</w:t>
      </w:r>
    </w:p>
    <w:p w:rsidR="00B7214C" w:rsidRPr="00E64A4B" w:rsidRDefault="00B7214C" w:rsidP="00B7214C">
      <w:pPr>
        <w:spacing w:before="120" w:after="120"/>
        <w:jc w:val="both"/>
      </w:pPr>
    </w:p>
    <w:p w:rsidR="00B7214C" w:rsidRPr="00E64A4B" w:rsidRDefault="00B7214C" w:rsidP="00B7214C">
      <w:pPr>
        <w:pStyle w:val="a"/>
      </w:pPr>
      <w:r w:rsidRPr="00E64A4B">
        <w:t>ÉPILOGUE</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À partir de 1989, un facteur imprévu vint modifier complèt</w:t>
      </w:r>
      <w:r w:rsidRPr="00E64A4B">
        <w:t>e</w:t>
      </w:r>
      <w:r w:rsidRPr="00E64A4B">
        <w:t>ment le panorama économique et social de la Sierra. Les grands pays consommateurs de café, États-Unis en tête, refusèrent de r</w:t>
      </w:r>
      <w:r w:rsidRPr="00E64A4B">
        <w:t>e</w:t>
      </w:r>
      <w:r w:rsidRPr="00E64A4B">
        <w:t>négocier l'accord international sur les quotas et les prix de gara</w:t>
      </w:r>
      <w:r w:rsidRPr="00E64A4B">
        <w:t>n</w:t>
      </w:r>
      <w:r w:rsidRPr="00E64A4B">
        <w:t>tie. Dans une conjoncture de production excédentaire, les prix s'effondrèrent, pa</w:t>
      </w:r>
      <w:r w:rsidRPr="00E64A4B">
        <w:t>s</w:t>
      </w:r>
      <w:r w:rsidRPr="00E64A4B">
        <w:t>sant de 4 000 $ US la tonne en 1987 à 800 $ en 1991. Le gouvern</w:t>
      </w:r>
      <w:r w:rsidRPr="00E64A4B">
        <w:t>e</w:t>
      </w:r>
      <w:r w:rsidRPr="00E64A4B">
        <w:t>ment mexicain mit fin aux activités de l'agence paragouvernementale INMECAFE, lourdement endettée, et, en décembre 1989, une gelée catastrophique vint donner le coup de grâce aux plantations. La Tos</w:t>
      </w:r>
      <w:r w:rsidRPr="00E64A4B">
        <w:t>e</w:t>
      </w:r>
      <w:r w:rsidRPr="00E64A4B">
        <w:t>pan, qui avait obtenu un gros prêt pour acheter du café, dut vendre au-dessous du prix payé aux producteurs et se trouve aujourd'hui en fai</w:t>
      </w:r>
      <w:r w:rsidRPr="00E64A4B">
        <w:t>l</w:t>
      </w:r>
      <w:r w:rsidRPr="00E64A4B">
        <w:t>lite technique. Or tout le processus de consolidation de la paysannerie parcellaire et de la revitalisation de la culture autochtone était fondé sur la production de café, pour laquelle la région a un avantage co</w:t>
      </w:r>
      <w:r w:rsidRPr="00E64A4B">
        <w:t>m</w:t>
      </w:r>
      <w:r w:rsidRPr="00E64A4B">
        <w:t>paratif indéniable. Les paysans, encore assez jeunes, troquèrent le v</w:t>
      </w:r>
      <w:r w:rsidRPr="00E64A4B">
        <w:t>ê</w:t>
      </w:r>
      <w:r w:rsidRPr="00E64A4B">
        <w:t>tement tr</w:t>
      </w:r>
      <w:r w:rsidRPr="00E64A4B">
        <w:t>a</w:t>
      </w:r>
      <w:r w:rsidRPr="00E64A4B">
        <w:t xml:space="preserve">ditionnel et les </w:t>
      </w:r>
      <w:r w:rsidRPr="00E64A4B">
        <w:rPr>
          <w:i/>
          <w:iCs/>
        </w:rPr>
        <w:t>huaraches</w:t>
      </w:r>
      <w:r w:rsidRPr="00E64A4B">
        <w:t xml:space="preserve"> pour </w:t>
      </w:r>
      <w:r w:rsidRPr="00E64A4B">
        <w:rPr>
          <w:iCs/>
        </w:rPr>
        <w:t>le</w:t>
      </w:r>
      <w:r w:rsidRPr="00E64A4B">
        <w:rPr>
          <w:i/>
          <w:iCs/>
        </w:rPr>
        <w:t xml:space="preserve"> jeans</w:t>
      </w:r>
      <w:r w:rsidRPr="00E64A4B">
        <w:t xml:space="preserve"> et les espadrilles et part</w:t>
      </w:r>
      <w:r w:rsidRPr="00E64A4B">
        <w:t>i</w:t>
      </w:r>
      <w:r w:rsidRPr="00E64A4B">
        <w:t>rent pour Puebla et Mexico, s'embaucher comme aide-maçons et porte-faix. Ceux qui restent sèment du maïs dans les plantations aba</w:t>
      </w:r>
      <w:r w:rsidRPr="00E64A4B">
        <w:t>n</w:t>
      </w:r>
      <w:r w:rsidRPr="00E64A4B">
        <w:t>données.</w:t>
      </w:r>
    </w:p>
    <w:p w:rsidR="00B7214C" w:rsidRPr="00E64A4B" w:rsidRDefault="00B7214C" w:rsidP="00B7214C">
      <w:pPr>
        <w:spacing w:before="120" w:after="120"/>
        <w:jc w:val="both"/>
      </w:pPr>
      <w:r w:rsidRPr="00E64A4B">
        <w:t>[378]</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pStyle w:val="p"/>
      </w:pPr>
      <w:r>
        <w:br w:type="page"/>
      </w:r>
      <w:r w:rsidRPr="00E64A4B">
        <w:t>[379]</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6" w:name="Entre_tradition_pt_2_texte_25"/>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 xml:space="preserve">C. </w:t>
      </w:r>
      <w:r w:rsidRPr="00DC0C7E">
        <w:rPr>
          <w:color w:val="FF0000"/>
          <w:sz w:val="24"/>
        </w:rPr>
        <w:t>LE</w:t>
      </w:r>
      <w:r>
        <w:rPr>
          <w:color w:val="FF0000"/>
          <w:sz w:val="24"/>
        </w:rPr>
        <w:t>S SOLIDARITÉS</w:t>
      </w:r>
    </w:p>
    <w:p w:rsidR="00B7214C" w:rsidRPr="00384B20" w:rsidRDefault="00B7214C" w:rsidP="00B7214C">
      <w:pPr>
        <w:pStyle w:val="Titreniveau1"/>
      </w:pPr>
      <w:r>
        <w:t>25</w:t>
      </w:r>
    </w:p>
    <w:p w:rsidR="00B7214C" w:rsidRDefault="00B7214C" w:rsidP="00B7214C">
      <w:pPr>
        <w:pStyle w:val="Titreniveau2"/>
      </w:pPr>
      <w:r>
        <w:t>“Solidarité de genre</w:t>
      </w:r>
      <w:r>
        <w:br/>
        <w:t>et pouvoir de femme.”</w:t>
      </w:r>
    </w:p>
    <w:bookmarkEnd w:id="36"/>
    <w:p w:rsidR="00B7214C" w:rsidRPr="00E07116" w:rsidRDefault="00B7214C" w:rsidP="00B7214C">
      <w:pPr>
        <w:jc w:val="both"/>
        <w:rPr>
          <w:szCs w:val="36"/>
        </w:rPr>
      </w:pPr>
    </w:p>
    <w:p w:rsidR="00B7214C" w:rsidRPr="00E07116" w:rsidRDefault="00B7214C" w:rsidP="00B7214C">
      <w:pPr>
        <w:pStyle w:val="suite"/>
      </w:pPr>
      <w:r>
        <w:t>Par Marie-Andrée COUILLARD</w:t>
      </w:r>
      <w:r>
        <w:br/>
        <w:t>et Ginette CÔTÉ</w:t>
      </w:r>
    </w:p>
    <w:p w:rsidR="00B7214C" w:rsidRPr="00E07116" w:rsidRDefault="00B7214C" w:rsidP="00B7214C">
      <w:pPr>
        <w:pStyle w:val="auteurst"/>
      </w:pPr>
      <w:r>
        <w:t xml:space="preserve">Respectivement </w:t>
      </w:r>
      <w:r w:rsidRPr="004A7EF1">
        <w:t xml:space="preserve">Département d'anthropologie. Université Laval </w:t>
      </w:r>
      <w:r>
        <w:br/>
      </w:r>
      <w:r w:rsidRPr="004A7EF1">
        <w:t>Centre de recherche sur les services communautaires. Université L</w:t>
      </w:r>
      <w:r w:rsidRPr="004A7EF1">
        <w:t>a</w:t>
      </w:r>
      <w:r w:rsidRPr="004A7EF1">
        <w:t xml:space="preserve">val </w:t>
      </w:r>
    </w:p>
    <w:p w:rsidR="00B7214C" w:rsidRPr="00E64A4B" w:rsidRDefault="00B7214C" w:rsidP="00B7214C">
      <w:pPr>
        <w:spacing w:before="120" w:after="120"/>
        <w:jc w:val="both"/>
      </w:pPr>
    </w:p>
    <w:p w:rsidR="00B7214C" w:rsidRPr="00E64A4B" w:rsidRDefault="00B7214C" w:rsidP="00B7214C">
      <w:pPr>
        <w:pStyle w:val="a"/>
      </w:pPr>
      <w:r w:rsidRPr="00E64A4B">
        <w:t>LA SOLIDARITÉ EN CONTEXTE</w:t>
      </w:r>
    </w:p>
    <w:p w:rsidR="00B7214C" w:rsidRDefault="00B7214C" w:rsidP="00B7214C">
      <w:pPr>
        <w:spacing w:before="120" w:after="120"/>
        <w:jc w:val="both"/>
      </w:pPr>
    </w:p>
    <w:p w:rsidR="00B7214C" w:rsidRPr="00E64A4B"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Les appels à la solidarité ont toujours été au coeur des mouv</w:t>
      </w:r>
      <w:r w:rsidRPr="00E64A4B">
        <w:t>e</w:t>
      </w:r>
      <w:r w:rsidRPr="00E64A4B">
        <w:t>ments de revendication. Quand on partage « une cause » il faut se t</w:t>
      </w:r>
      <w:r w:rsidRPr="00E64A4B">
        <w:t>e</w:t>
      </w:r>
      <w:r w:rsidRPr="00E64A4B">
        <w:t>nir, ne pas se replier dans l'isolement ; il faut imaginer des solutions, collect</w:t>
      </w:r>
      <w:r w:rsidRPr="00E64A4B">
        <w:t>i</w:t>
      </w:r>
      <w:r w:rsidRPr="00E64A4B">
        <w:t>vement, se donner du pouvoir face aux résista</w:t>
      </w:r>
      <w:r w:rsidRPr="00E64A4B">
        <w:t>n</w:t>
      </w:r>
      <w:r w:rsidRPr="00E64A4B">
        <w:t>ces rencontrées. La solidarité favoriserait la prise de conscience et susciterait l'action, d'où les multiples groupes d'entraide et de pr</w:t>
      </w:r>
      <w:r w:rsidRPr="00E64A4B">
        <w:t>i</w:t>
      </w:r>
      <w:r w:rsidRPr="00E64A4B">
        <w:t>se de conscience nés avec la montée du mouvement des femmes dans les années 1970.</w:t>
      </w:r>
    </w:p>
    <w:p w:rsidR="00B7214C" w:rsidRPr="00E64A4B" w:rsidRDefault="00B7214C" w:rsidP="00B7214C">
      <w:pPr>
        <w:spacing w:before="120" w:after="120"/>
        <w:jc w:val="both"/>
      </w:pPr>
      <w:r w:rsidRPr="00E64A4B">
        <w:t>Vingt ans plus tard, alors que plusieurs dénoncent la professionn</w:t>
      </w:r>
      <w:r w:rsidRPr="00E64A4B">
        <w:t>a</w:t>
      </w:r>
      <w:r w:rsidRPr="00E64A4B">
        <w:t>lisation des groupes de la base sous l'impulsion du virage vers les se</w:t>
      </w:r>
      <w:r w:rsidRPr="00E64A4B">
        <w:t>r</w:t>
      </w:r>
      <w:r w:rsidRPr="00E64A4B">
        <w:t>vices et le partenariat avec les institutions étatiques, qu'en est-il de la solidarité ? Les groupes de femmes ont-ils so</w:t>
      </w:r>
      <w:r w:rsidRPr="00E64A4B">
        <w:t>m</w:t>
      </w:r>
      <w:r w:rsidRPr="00E64A4B">
        <w:t>bré dans la « culture du narcissisme » (Lash, 1981), succombant à un individualisme égoïste et désengagé, caractéristique de la m</w:t>
      </w:r>
      <w:r w:rsidRPr="00E64A4B">
        <w:t>o</w:t>
      </w:r>
      <w:r w:rsidRPr="00E64A4B">
        <w:t>dernité (Touraine, 1984, 1992 ; Taylor, 1992) ? La multiplication des associations et des groupes re</w:t>
      </w:r>
      <w:r w:rsidRPr="00E64A4B">
        <w:t>n</w:t>
      </w:r>
      <w:r w:rsidRPr="00E64A4B">
        <w:t xml:space="preserve">voie-t-elle à la création de « nouvelles solidarités » (Beausoleil </w:t>
      </w:r>
      <w:r w:rsidRPr="000D1A32">
        <w:rPr>
          <w:i/>
          <w:iCs/>
        </w:rPr>
        <w:t>et al,</w:t>
      </w:r>
      <w:r w:rsidRPr="00E64A4B">
        <w:t xml:space="preserve"> 1988 ; Brault et St-Jean, 1990 ; Larochelle, 1992, p. 87) ou tout si</w:t>
      </w:r>
      <w:r w:rsidRPr="00E64A4B">
        <w:t>m</w:t>
      </w:r>
      <w:r w:rsidRPr="00E64A4B">
        <w:t>plement à un éclatement de « sens et d'actions » que certains diraient conforme à la tendance postmoderne ?</w:t>
      </w:r>
    </w:p>
    <w:p w:rsidR="00B7214C" w:rsidRPr="00E64A4B" w:rsidRDefault="00B7214C" w:rsidP="00B7214C">
      <w:pPr>
        <w:spacing w:before="120" w:after="120"/>
        <w:jc w:val="both"/>
      </w:pPr>
      <w:r w:rsidRPr="00E64A4B">
        <w:t>[380]</w:t>
      </w:r>
    </w:p>
    <w:p w:rsidR="00B7214C" w:rsidRPr="00E64A4B" w:rsidRDefault="00B7214C" w:rsidP="00B7214C">
      <w:pPr>
        <w:spacing w:before="120" w:after="120"/>
        <w:jc w:val="both"/>
      </w:pPr>
      <w:r w:rsidRPr="00E64A4B">
        <w:t>Dans les pages qui suivent, nous allons présenter des discours sur la solidarité qui se répondent sans tout à fait se rencontrer et dont la teneur, les implications et les effets varient selon la position des i</w:t>
      </w:r>
      <w:r w:rsidRPr="00E64A4B">
        <w:t>n</w:t>
      </w:r>
      <w:r w:rsidRPr="00E64A4B">
        <w:t>formatrices. Nous allons voir que les fondements de la solidarité, tout comme les facteurs qui en inhibent le développ</w:t>
      </w:r>
      <w:r w:rsidRPr="00E64A4B">
        <w:t>e</w:t>
      </w:r>
      <w:r w:rsidRPr="00E64A4B">
        <w:t>ment ou la mise en œuvre, sont perçus différemment selon les personnes.</w:t>
      </w:r>
    </w:p>
    <w:p w:rsidR="00B7214C" w:rsidRPr="00E64A4B" w:rsidRDefault="00B7214C" w:rsidP="00B7214C">
      <w:pPr>
        <w:spacing w:before="120" w:after="120"/>
        <w:jc w:val="both"/>
      </w:pPr>
      <w:r w:rsidRPr="00E64A4B">
        <w:t>Il ressort de cette discussion que la solidarité fait parfois appel à une construction culturelle de la féminité et de la masculinité (ce que nous avons appelé le « genre »), alors que les tractations de pouvoir entre des personnes réelles font souvent échec au projet commun. La solidarité en tant que « mythe agissant », pour r</w:t>
      </w:r>
      <w:r w:rsidRPr="00E64A4B">
        <w:t>e</w:t>
      </w:r>
      <w:r w:rsidRPr="00E64A4B">
        <w:t>prendre l'expression de Chantreau (1982), fait du projet collectif visant l'émancipation des femmes un motif pour transcender les intérêts individuels. Cependant, ce projet, fondamentalement pol</w:t>
      </w:r>
      <w:r w:rsidRPr="00E64A4B">
        <w:t>i</w:t>
      </w:r>
      <w:r w:rsidRPr="00E64A4B">
        <w:t>tique, se réalise dans un contexte où l'individu est au centre des préoccupations et où la quête d'autonomie et l'idéal d'authenticité constituent des valeurs centrales (Taylor, 1992). La tension entre la réalisation de soi conformément à l'idéal moderne et les appels à la solidarité suscités par l'engagement polit</w:t>
      </w:r>
      <w:r w:rsidRPr="00E64A4B">
        <w:t>i</w:t>
      </w:r>
      <w:r w:rsidRPr="00E64A4B">
        <w:t>que se vit différemment selon les femmes, selon leur conception d'e</w:t>
      </w:r>
      <w:r w:rsidRPr="00E64A4B">
        <w:t>l</w:t>
      </w:r>
      <w:r w:rsidRPr="00E64A4B">
        <w:t>les-mêmes, s</w:t>
      </w:r>
      <w:r w:rsidRPr="00E64A4B">
        <w:t>e</w:t>
      </w:r>
      <w:r w:rsidRPr="00E64A4B">
        <w:t>lon leur conception de la solidarité et selon le groupe dans lequel elles s'engagent.</w:t>
      </w:r>
    </w:p>
    <w:p w:rsidR="00B7214C" w:rsidRPr="00E64A4B" w:rsidRDefault="00B7214C" w:rsidP="00B7214C">
      <w:pPr>
        <w:spacing w:before="120" w:after="120"/>
        <w:jc w:val="both"/>
      </w:pPr>
      <w:r w:rsidRPr="00E64A4B">
        <w:t>Cette tension semble s'accentuer à l'heure actuelle car les a</w:t>
      </w:r>
      <w:r w:rsidRPr="00E64A4B">
        <w:t>p</w:t>
      </w:r>
      <w:r w:rsidRPr="00E64A4B">
        <w:t>pels à la solidarité sont fréquents dans le mouvement des femmes. Les r</w:t>
      </w:r>
      <w:r w:rsidRPr="00E64A4B">
        <w:t>e</w:t>
      </w:r>
      <w:r w:rsidRPr="00E64A4B">
        <w:t>groupements provinciaux et la Fédération des femmes du Québec y font souvent référence</w:t>
      </w:r>
      <w:r>
        <w:t> </w:t>
      </w:r>
      <w:r>
        <w:rPr>
          <w:rStyle w:val="Appelnotedebasdep"/>
        </w:rPr>
        <w:footnoteReference w:id="274"/>
      </w:r>
      <w:r w:rsidRPr="00E64A4B">
        <w:t>. Tant au niveau local, régional que nati</w:t>
      </w:r>
      <w:r w:rsidRPr="00E64A4B">
        <w:t>o</w:t>
      </w:r>
      <w:r w:rsidRPr="00E64A4B">
        <w:t>nal</w:t>
      </w:r>
      <w:r>
        <w:t> </w:t>
      </w:r>
      <w:r>
        <w:rPr>
          <w:rStyle w:val="Appelnotedebasdep"/>
        </w:rPr>
        <w:footnoteReference w:id="275"/>
      </w:r>
      <w:r w:rsidRPr="00E64A4B">
        <w:t>, les groupes de femmes sont ainsi appelés à partic</w:t>
      </w:r>
      <w:r w:rsidRPr="00E64A4B">
        <w:t>i</w:t>
      </w:r>
      <w:r w:rsidRPr="00E64A4B">
        <w:t>per à des tables de concertation et des regroupements les amenant à construire un discours sur la solidarité entre eux et avec les autres groupes co</w:t>
      </w:r>
      <w:r w:rsidRPr="00E64A4B">
        <w:t>m</w:t>
      </w:r>
      <w:r w:rsidRPr="00E64A4B">
        <w:t>muna</w:t>
      </w:r>
      <w:r w:rsidRPr="00E64A4B">
        <w:t>u</w:t>
      </w:r>
      <w:r w:rsidRPr="00E64A4B">
        <w:t>taires. De plus, ils doivent qualifier le nouveau partenariat avec l'État dans le cadre de la réforme de la santé et des services sociaux impla</w:t>
      </w:r>
      <w:r w:rsidRPr="00E64A4B">
        <w:t>n</w:t>
      </w:r>
      <w:r w:rsidRPr="00E64A4B">
        <w:t>tée depuis peu.</w:t>
      </w:r>
    </w:p>
    <w:p w:rsidR="00B7214C" w:rsidRPr="00E64A4B" w:rsidRDefault="00B7214C" w:rsidP="00B7214C">
      <w:pPr>
        <w:spacing w:before="120" w:after="120"/>
        <w:jc w:val="both"/>
      </w:pPr>
    </w:p>
    <w:p w:rsidR="00B7214C" w:rsidRPr="00E64A4B" w:rsidRDefault="00B7214C" w:rsidP="00B7214C">
      <w:pPr>
        <w:pStyle w:val="a"/>
      </w:pPr>
      <w:r w:rsidRPr="00E64A4B">
        <w:t>CE QUE LES CHERCHEURS EN DISENT</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La littérature récente nous renvoie de la solidarité une image assez cohérente. O'Connor (1990, p. 299), par exemple, lie la notion de sol</w:t>
      </w:r>
      <w:r w:rsidRPr="00E64A4B">
        <w:t>i</w:t>
      </w:r>
      <w:r w:rsidRPr="00E64A4B">
        <w:t>darité à celles de proximité et de loyauté. Pour elle la solidarité supp</w:t>
      </w:r>
      <w:r w:rsidRPr="00E64A4B">
        <w:t>o</w:t>
      </w:r>
      <w:r w:rsidRPr="00E64A4B">
        <w:t>se une « conscience commune ». L'entraide est fréquemment vue comme la manifestation « active » de la solid</w:t>
      </w:r>
      <w:r w:rsidRPr="00E64A4B">
        <w:t>a</w:t>
      </w:r>
      <w:r w:rsidRPr="00E64A4B">
        <w:t>rité (St-Jean, 1990). Cette entraide se définit en dehors des cadres formels (Shapiro, 1974, p</w:t>
      </w:r>
      <w:r>
        <w:t>p</w:t>
      </w:r>
      <w:r w:rsidRPr="00E64A4B">
        <w:t>. 33-34). Pour Saucier (1990), l'entraide liée à la sociabilité est en elle-même porteuse de solidarité. L'e</w:t>
      </w:r>
      <w:r w:rsidRPr="00E64A4B">
        <w:t>n</w:t>
      </w:r>
      <w:r w:rsidRPr="00E64A4B">
        <w:t>traide suppose un mouvement de réciprocité, alors que l'aide cha</w:t>
      </w:r>
      <w:r>
        <w:t xml:space="preserve">ritable, </w:t>
      </w:r>
      <w:r w:rsidRPr="00E64A4B">
        <w:t>[381]</w:t>
      </w:r>
      <w:r>
        <w:t xml:space="preserve"> </w:t>
      </w:r>
      <w:r w:rsidRPr="00E64A4B">
        <w:t>par exemple, n'impl</w:t>
      </w:r>
      <w:r w:rsidRPr="00E64A4B">
        <w:t>i</w:t>
      </w:r>
      <w:r w:rsidRPr="00E64A4B">
        <w:t>que pas nécessairement un retour. Nous ve</w:t>
      </w:r>
      <w:r w:rsidRPr="00E64A4B">
        <w:t>r</w:t>
      </w:r>
      <w:r w:rsidRPr="00E64A4B">
        <w:t>rons que chacun de ces traits est repris dans les propos des informatr</w:t>
      </w:r>
      <w:r w:rsidRPr="00E64A4B">
        <w:t>i</w:t>
      </w:r>
      <w:r w:rsidRPr="00E64A4B">
        <w:t>ces.</w:t>
      </w:r>
    </w:p>
    <w:p w:rsidR="00B7214C" w:rsidRPr="00E64A4B" w:rsidRDefault="00B7214C" w:rsidP="00B7214C">
      <w:pPr>
        <w:spacing w:before="120" w:after="120"/>
        <w:jc w:val="both"/>
      </w:pPr>
      <w:r w:rsidRPr="00E64A4B">
        <w:t>L'amitié est parfois invoquée comme composante de la solid</w:t>
      </w:r>
      <w:r w:rsidRPr="00E64A4B">
        <w:t>a</w:t>
      </w:r>
      <w:r w:rsidRPr="00E64A4B">
        <w:t>rité (Tremblay, 1991). Durand (1987, p. 57-58) la qualifie d'ai</w:t>
      </w:r>
      <w:r w:rsidRPr="00E64A4B">
        <w:t>l</w:t>
      </w:r>
      <w:r w:rsidRPr="00E64A4B">
        <w:t>leurs de « première des solidarités ». Celle-ci suppose aussi l'« égalité » de ce</w:t>
      </w:r>
      <w:r w:rsidRPr="00E64A4B">
        <w:t>l</w:t>
      </w:r>
      <w:r w:rsidRPr="00E64A4B">
        <w:t>les impliquées (solidaires non pas soumises). Ce renvoi à l'égalité ne va pas sans problème, car l'appel à la solidarité peut aussi être une f</w:t>
      </w:r>
      <w:r w:rsidRPr="00E64A4B">
        <w:t>a</w:t>
      </w:r>
      <w:r w:rsidRPr="00E64A4B">
        <w:t>çon d'imposer sa vision des choses, d'exercer un certain pouvoir. S</w:t>
      </w:r>
      <w:r w:rsidRPr="00E64A4B">
        <w:t>e</w:t>
      </w:r>
      <w:r w:rsidRPr="00E64A4B">
        <w:t>lon la position des femmes inte</w:t>
      </w:r>
      <w:r w:rsidRPr="00E64A4B">
        <w:t>r</w:t>
      </w:r>
      <w:r w:rsidRPr="00E64A4B">
        <w:t>rogées ce pouvoir est perçu et vécu différemment. Il constitue même parfois une forme d'oppression et il est décrié comme telle.</w:t>
      </w:r>
    </w:p>
    <w:p w:rsidR="00B7214C" w:rsidRPr="00E64A4B" w:rsidRDefault="00B7214C" w:rsidP="00B7214C">
      <w:pPr>
        <w:spacing w:before="120" w:after="120"/>
        <w:jc w:val="both"/>
      </w:pPr>
      <w:r w:rsidRPr="00E64A4B">
        <w:t>Par contre, le sentiment d'appartenance, né de luttes comm</w:t>
      </w:r>
      <w:r w:rsidRPr="00E64A4B">
        <w:t>u</w:t>
      </w:r>
      <w:r w:rsidRPr="00E64A4B">
        <w:t>nes, est central au développement de solidarités qui, elles, devie</w:t>
      </w:r>
      <w:r w:rsidRPr="00E64A4B">
        <w:t>n</w:t>
      </w:r>
      <w:r w:rsidRPr="00E64A4B">
        <w:t>nent alors des stratégies de pouvoir, au sens positif du terme, puisqu'elles déc</w:t>
      </w:r>
      <w:r w:rsidRPr="00E64A4B">
        <w:t>u</w:t>
      </w:r>
      <w:r w:rsidRPr="00E64A4B">
        <w:t>plent les énergies en présence. Notre compréhension de l'idéal fém</w:t>
      </w:r>
      <w:r w:rsidRPr="00E64A4B">
        <w:t>i</w:t>
      </w:r>
      <w:r w:rsidRPr="00E64A4B">
        <w:t>niste nous a incitées à chercher, dans un premier temps, les manifest</w:t>
      </w:r>
      <w:r w:rsidRPr="00E64A4B">
        <w:t>a</w:t>
      </w:r>
      <w:r w:rsidRPr="00E64A4B">
        <w:t>tions d'un certain type de solidarité, c</w:t>
      </w:r>
      <w:r w:rsidRPr="00E64A4B">
        <w:t>e</w:t>
      </w:r>
      <w:r w:rsidRPr="00E64A4B">
        <w:t>lui que Bajoit (1992, p. 103), dans la foulée de Sartre, appelle la « solidarité fusionnelle ». Ce type de solidarité suppose que l'unité d'un groupe repose sur une adhésion pratique (pas seulement idéelle) des individus à un projet totalisateur qui répond génér</w:t>
      </w:r>
      <w:r w:rsidRPr="00E64A4B">
        <w:t>a</w:t>
      </w:r>
      <w:r w:rsidRPr="00E64A4B">
        <w:t>lement à la perception d'une menace externe. Les membres, en collaborant à la finalité collective du groupe, constru</w:t>
      </w:r>
      <w:r w:rsidRPr="00E64A4B">
        <w:t>i</w:t>
      </w:r>
      <w:r w:rsidRPr="00E64A4B">
        <w:t>sent leur s</w:t>
      </w:r>
      <w:r w:rsidRPr="00E64A4B">
        <w:t>o</w:t>
      </w:r>
      <w:r w:rsidRPr="00E64A4B">
        <w:t>lidarité dans l'action (Bajoit, 1992, p. 107) et sont unifiés par leur projet commun. Le contrôle à l'intérieur du groupe se fait par l'e</w:t>
      </w:r>
      <w:r w:rsidRPr="00E64A4B">
        <w:t>n</w:t>
      </w:r>
      <w:r w:rsidRPr="00E64A4B">
        <w:t>semble des membres qui sont intégrés par leur participation aux projets, exclus ou marginalisés s'ils s'en dissocient.</w:t>
      </w:r>
    </w:p>
    <w:p w:rsidR="00B7214C" w:rsidRPr="00E64A4B" w:rsidRDefault="00B7214C" w:rsidP="00B7214C">
      <w:pPr>
        <w:spacing w:before="120" w:after="120"/>
        <w:jc w:val="both"/>
      </w:pPr>
      <w:r w:rsidRPr="00E64A4B">
        <w:t>Dans un tel contexte, la non-participation à la culture du gro</w:t>
      </w:r>
      <w:r w:rsidRPr="00E64A4B">
        <w:t>u</w:t>
      </w:r>
      <w:r w:rsidRPr="00E64A4B">
        <w:t>pe est une raison suffisante pour justifier le rejet. C'est la reco</w:t>
      </w:r>
      <w:r w:rsidRPr="00E64A4B">
        <w:t>n</w:t>
      </w:r>
      <w:r w:rsidRPr="00E64A4B">
        <w:t>naissance d'une identité commune qui constitue la base de la pa</w:t>
      </w:r>
      <w:r w:rsidRPr="00E64A4B">
        <w:t>r</w:t>
      </w:r>
      <w:r w:rsidRPr="00E64A4B">
        <w:t>ticipation, du sentiment d'appartenance et de l'acception du contrôle collectif. Comme nous le verrons, ce type de solidarité peut poser un sérieux défi à la quête d'autonomie dans laquelle plusieurs femmes sont eng</w:t>
      </w:r>
      <w:r w:rsidRPr="00E64A4B">
        <w:t>a</w:t>
      </w:r>
      <w:r w:rsidRPr="00E64A4B">
        <w:t>gées, surtout lorsque leur perception d'elles-mêmes n'est pas positive. Paradoxalement, cette forme de solidarité correspond à l'idéal proposé par les collectifs féministes qui en font un moyen de favoriser le dév</w:t>
      </w:r>
      <w:r w:rsidRPr="00E64A4B">
        <w:t>e</w:t>
      </w:r>
      <w:r w:rsidRPr="00E64A4B">
        <w:t>loppement de l'auton</w:t>
      </w:r>
      <w:r w:rsidRPr="00E64A4B">
        <w:t>o</w:t>
      </w:r>
      <w:r w:rsidRPr="00E64A4B">
        <w:t>mie.</w:t>
      </w:r>
    </w:p>
    <w:p w:rsidR="00B7214C" w:rsidRPr="00E64A4B" w:rsidRDefault="00B7214C" w:rsidP="00B7214C">
      <w:pPr>
        <w:spacing w:before="120" w:after="120"/>
        <w:jc w:val="both"/>
      </w:pPr>
      <w:r w:rsidRPr="00E64A4B">
        <w:t>Cependant, pour rendre compte de la complexité actuelle du mo</w:t>
      </w:r>
      <w:r w:rsidRPr="00E64A4B">
        <w:t>u</w:t>
      </w:r>
      <w:r w:rsidRPr="00E64A4B">
        <w:t>vement des femmes, il nous faut garder à l'esprit d'autres d</w:t>
      </w:r>
      <w:r w:rsidRPr="00E64A4B">
        <w:t>é</w:t>
      </w:r>
      <w:r w:rsidRPr="00E64A4B">
        <w:t>finitions de la solidarité. Celle que l'on associe au parti, par exe</w:t>
      </w:r>
      <w:r w:rsidRPr="00E64A4B">
        <w:t>m</w:t>
      </w:r>
      <w:r w:rsidRPr="00E64A4B">
        <w:t>ple, qui exige l'intervention directe et soutenue d'un leader, le chef, point de ralli</w:t>
      </w:r>
      <w:r w:rsidRPr="00E64A4B">
        <w:t>e</w:t>
      </w:r>
      <w:r w:rsidRPr="00E64A4B">
        <w:t>ment et support de l'équipe qui l'entoure. Ou encore la solidarité contractuelle, selon les termes de Bajoit (1992, p. 100-101), faite d'a</w:t>
      </w:r>
      <w:r w:rsidRPr="00E64A4B">
        <w:t>l</w:t>
      </w:r>
      <w:r w:rsidRPr="00E64A4B">
        <w:t>liances ponctuelles et évoquant l'idée de pacte, d'association autour d'enjeux précis.</w:t>
      </w:r>
    </w:p>
    <w:p w:rsidR="00B7214C" w:rsidRPr="00E64A4B" w:rsidRDefault="00B7214C" w:rsidP="00B7214C">
      <w:pPr>
        <w:spacing w:before="120" w:after="120"/>
        <w:jc w:val="both"/>
      </w:pPr>
      <w:r w:rsidRPr="00E64A4B">
        <w:t>[382]</w:t>
      </w:r>
    </w:p>
    <w:p w:rsidR="00B7214C" w:rsidRPr="00E64A4B" w:rsidRDefault="00B7214C" w:rsidP="00B7214C">
      <w:pPr>
        <w:spacing w:before="120" w:after="120"/>
        <w:jc w:val="both"/>
      </w:pPr>
      <w:r w:rsidRPr="00E64A4B">
        <w:t>Bajoit, qui s'inspire de la notion de contrat social de Rousseau, voit dans la solidarité contractuelle une forme d'association qui permet de défendre et de protéger, à travers le déploiement de la force collective, à la fois les personnes et leurs intérêts, dans la mesure où ils se confondent à l'intérêt commun. Cette forme de solidarité n'exclut pas la représentation et dans certains cas le groupe peut déléguer à une instance spécifique le droit d'imposer à chacun des membres le respect du pacte. Ce type de solidarité se fonde sur un calcul rationnel de l'i</w:t>
      </w:r>
      <w:r w:rsidRPr="00E64A4B">
        <w:t>n</w:t>
      </w:r>
      <w:r w:rsidRPr="00E64A4B">
        <w:t>térêt et non sur une soumission ou une fusion des individus. En fait, elle exclut la soumission et, de ce fait, elle est plus compatible avec les exigences du féminisme que la solidarité de parti. Elle semble au</w:t>
      </w:r>
      <w:r w:rsidRPr="00E64A4B">
        <w:t>s</w:t>
      </w:r>
      <w:r w:rsidRPr="00E64A4B">
        <w:t>si plus facilement conciliable avec l'idéal d'authenticité et de réalis</w:t>
      </w:r>
      <w:r w:rsidRPr="00E64A4B">
        <w:t>a</w:t>
      </w:r>
      <w:r w:rsidRPr="00E64A4B">
        <w:t>tion de soi qui domine notre culture moderne.</w:t>
      </w:r>
    </w:p>
    <w:p w:rsidR="00B7214C" w:rsidRPr="00E64A4B" w:rsidRDefault="00B7214C" w:rsidP="00B7214C">
      <w:pPr>
        <w:spacing w:before="120" w:after="120"/>
        <w:jc w:val="both"/>
      </w:pPr>
    </w:p>
    <w:p w:rsidR="00B7214C" w:rsidRPr="00E64A4B" w:rsidRDefault="00B7214C" w:rsidP="00B7214C">
      <w:pPr>
        <w:pStyle w:val="a"/>
      </w:pPr>
      <w:r w:rsidRPr="00E64A4B">
        <w:t>LES INFORMATRICES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C'est l'étude du pouvoir dans les groupes de femmes</w:t>
      </w:r>
      <w:r>
        <w:t> </w:t>
      </w:r>
      <w:r>
        <w:rPr>
          <w:rStyle w:val="Appelnotedebasdep"/>
        </w:rPr>
        <w:footnoteReference w:id="276"/>
      </w:r>
      <w:r w:rsidRPr="00E64A4B">
        <w:t xml:space="preserve"> qui nous a amenées à considérer le discours sur la solidarité comme un mécani</w:t>
      </w:r>
      <w:r w:rsidRPr="00E64A4B">
        <w:t>s</w:t>
      </w:r>
      <w:r w:rsidRPr="00E64A4B">
        <w:t>me complexe qui permet aux femmes, d'une part, d'influe</w:t>
      </w:r>
      <w:r w:rsidRPr="00E64A4B">
        <w:t>n</w:t>
      </w:r>
      <w:r w:rsidRPr="00E64A4B">
        <w:t>cer leurs partenaires (d'influencer le cours des décisions, mais aussi les prat</w:t>
      </w:r>
      <w:r w:rsidRPr="00E64A4B">
        <w:t>i</w:t>
      </w:r>
      <w:r w:rsidRPr="00E64A4B">
        <w:t>ques) et, d'autre part, de rendre compte de leurs a</w:t>
      </w:r>
      <w:r w:rsidRPr="00E64A4B">
        <w:t>c</w:t>
      </w:r>
      <w:r w:rsidRPr="00E64A4B">
        <w:t>tions et de leurs choix. Une subvention du Fonds FCAR</w:t>
      </w:r>
      <w:r>
        <w:t> </w:t>
      </w:r>
      <w:r>
        <w:rPr>
          <w:rStyle w:val="Appelnotedebasdep"/>
        </w:rPr>
        <w:footnoteReference w:id="277"/>
      </w:r>
      <w:r w:rsidRPr="00E64A4B">
        <w:t xml:space="preserve"> nous permet de pousser plus loin cette investigation et ce sont les résu</w:t>
      </w:r>
      <w:r w:rsidRPr="00E64A4B">
        <w:t>l</w:t>
      </w:r>
      <w:r w:rsidRPr="00E64A4B">
        <w:t>tats préliminaires de cette recherche que nous présentons.</w:t>
      </w:r>
    </w:p>
    <w:p w:rsidR="00B7214C" w:rsidRPr="00E64A4B" w:rsidRDefault="00B7214C" w:rsidP="00B7214C">
      <w:pPr>
        <w:spacing w:before="120" w:after="120"/>
        <w:jc w:val="both"/>
      </w:pPr>
      <w:r w:rsidRPr="00E64A4B">
        <w:t>Les données discutées ici ont été recueillies dans le cadre de trente entrevues semi-directives</w:t>
      </w:r>
      <w:r>
        <w:t> </w:t>
      </w:r>
      <w:r>
        <w:rPr>
          <w:rStyle w:val="Appelnotedebasdep"/>
        </w:rPr>
        <w:footnoteReference w:id="278"/>
      </w:r>
      <w:r w:rsidRPr="00E64A4B">
        <w:t>, menées auprès de permanentes (rémun</w:t>
      </w:r>
      <w:r w:rsidRPr="00E64A4B">
        <w:t>é</w:t>
      </w:r>
      <w:r w:rsidRPr="00E64A4B">
        <w:t>rées ou non rémunérées) et d'usagères-militantes impl</w:t>
      </w:r>
      <w:r w:rsidRPr="00E64A4B">
        <w:t>i</w:t>
      </w:r>
      <w:r w:rsidRPr="00E64A4B">
        <w:t>quées dans la gestion de leur groupe. Des observations directes résultant de notre participation aux activités des groupes compl</w:t>
      </w:r>
      <w:r w:rsidRPr="00E64A4B">
        <w:t>è</w:t>
      </w:r>
      <w:r w:rsidRPr="00E64A4B">
        <w:t>tent ces données et éclairent notre analyse.</w:t>
      </w:r>
    </w:p>
    <w:p w:rsidR="00B7214C" w:rsidRPr="00E64A4B" w:rsidRDefault="00B7214C" w:rsidP="00B7214C">
      <w:pPr>
        <w:spacing w:before="120" w:after="120"/>
        <w:jc w:val="both"/>
      </w:pPr>
      <w:r w:rsidRPr="00E64A4B">
        <w:t>Nous avons opté pour le terme intervenante en raison de son util</w:t>
      </w:r>
      <w:r w:rsidRPr="00E64A4B">
        <w:t>i</w:t>
      </w:r>
      <w:r w:rsidRPr="00E64A4B">
        <w:t>sation fréquente dans les groupes de femmes. Celle-ci n'est d'ailleurs pas sans rappeler l'introduction d'un langage expert, due à la profe</w:t>
      </w:r>
      <w:r w:rsidRPr="00E64A4B">
        <w:t>s</w:t>
      </w:r>
      <w:r w:rsidRPr="00E64A4B">
        <w:t>sionnalisation des groupes. Par contre, selon les groupes, les inform</w:t>
      </w:r>
      <w:r w:rsidRPr="00E64A4B">
        <w:t>a</w:t>
      </w:r>
      <w:r w:rsidRPr="00E64A4B">
        <w:t>trices substituent au terme intervenante l'une ou l'autre des expressions suivantes : permanente rémunérée, travailleuse rémunérée, travaille</w:t>
      </w:r>
      <w:r w:rsidRPr="00E64A4B">
        <w:t>u</w:t>
      </w:r>
      <w:r w:rsidRPr="00E64A4B">
        <w:t>se bénévole, bénévole, sympathisante, alliée, agente d'éducation, st</w:t>
      </w:r>
      <w:r w:rsidRPr="00E64A4B">
        <w:t>a</w:t>
      </w:r>
      <w:r w:rsidRPr="00E64A4B">
        <w:t>giaire et, plus affectueusement, « les filles ».</w:t>
      </w:r>
    </w:p>
    <w:p w:rsidR="00B7214C" w:rsidRPr="00E64A4B" w:rsidRDefault="00B7214C" w:rsidP="00B7214C">
      <w:pPr>
        <w:spacing w:before="120" w:after="120"/>
        <w:jc w:val="both"/>
      </w:pPr>
      <w:r w:rsidRPr="00E64A4B">
        <w:t>D'autre part, nous appelons « usagères-militantes » celles qui sont à la fois consommatrices de services et impliquées dans le processus décisionnel de leur groupe. Les informatrices les dés</w:t>
      </w:r>
      <w:r w:rsidRPr="00E64A4B">
        <w:t>i</w:t>
      </w:r>
      <w:r w:rsidRPr="00E64A4B">
        <w:t>gnent aussi par les termes</w:t>
      </w:r>
      <w:r>
        <w:t xml:space="preserve"> </w:t>
      </w:r>
      <w:r w:rsidRPr="00E64A4B">
        <w:t>[383]</w:t>
      </w:r>
      <w:r>
        <w:t xml:space="preserve"> </w:t>
      </w:r>
      <w:r w:rsidRPr="00E64A4B">
        <w:t>usagère, membre, militante et, non sans ambiguïté, « les fe</w:t>
      </w:r>
      <w:r w:rsidRPr="00E64A4B">
        <w:t>m</w:t>
      </w:r>
      <w:r w:rsidRPr="00E64A4B">
        <w:t>mes ». Dans ce sens, notre échantillon ne comprend aucune bénéficiaire de services au sens strict du terme, soit celles qui sont d</w:t>
      </w:r>
      <w:r w:rsidRPr="00E64A4B">
        <w:t>é</w:t>
      </w:r>
      <w:r w:rsidRPr="00E64A4B">
        <w:t>signées par les expressions « les femmes », « les madames », « les petites madames » ou « ces femmes-là ».</w:t>
      </w:r>
    </w:p>
    <w:p w:rsidR="00B7214C" w:rsidRPr="00E64A4B" w:rsidRDefault="00B7214C" w:rsidP="00B7214C">
      <w:pPr>
        <w:spacing w:before="120" w:after="120"/>
        <w:jc w:val="both"/>
      </w:pPr>
      <w:r w:rsidRPr="00E64A4B">
        <w:t>Nos informatrices proviennent de huit groupes différents de la r</w:t>
      </w:r>
      <w:r w:rsidRPr="00E64A4B">
        <w:t>é</w:t>
      </w:r>
      <w:r w:rsidRPr="00E64A4B">
        <w:t>gion 03 du Québec</w:t>
      </w:r>
      <w:r>
        <w:t> </w:t>
      </w:r>
      <w:r>
        <w:rPr>
          <w:rStyle w:val="Appelnotedebasdep"/>
        </w:rPr>
        <w:footnoteReference w:id="279"/>
      </w:r>
      <w:r w:rsidRPr="00E64A4B">
        <w:t>. Au moment de l'enquête, de 1990 à 1993, leur âge variait de 23 à 68 ans, mais près de la moitié d'entre elles se s</w:t>
      </w:r>
      <w:r w:rsidRPr="00E64A4B">
        <w:t>i</w:t>
      </w:r>
      <w:r w:rsidRPr="00E64A4B">
        <w:t>tuent dans la tranche d'âge de 40 à 60 ans. La plupart des informatr</w:t>
      </w:r>
      <w:r w:rsidRPr="00E64A4B">
        <w:t>i</w:t>
      </w:r>
      <w:r w:rsidRPr="00E64A4B">
        <w:t>ces effectuent des tâches dites « d'intervention », les autres étant i</w:t>
      </w:r>
      <w:r w:rsidRPr="00E64A4B">
        <w:t>m</w:t>
      </w:r>
      <w:r w:rsidRPr="00E64A4B">
        <w:t>pliquées dans les activités de gestion de leur groupe (membre du conseil d'administration ou du comité de coordination par exemple). Dix-sept ont complété ou sont en cours d'études universitaires, tandis que la majorité des autres ont terminé une partie ou l'équivalent du secondaire. Enfin, la durée de l'implic</w:t>
      </w:r>
      <w:r w:rsidRPr="00E64A4B">
        <w:t>a</w:t>
      </w:r>
      <w:r w:rsidRPr="00E64A4B">
        <w:t>tion dans un groupe se situe, en moyenne, autour de quatre ans. Nous aurions pu nous attendre à ce que la rémunération, qui priv</w:t>
      </w:r>
      <w:r w:rsidRPr="00E64A4B">
        <w:t>i</w:t>
      </w:r>
      <w:r w:rsidRPr="00E64A4B">
        <w:t>légie ici les femmes de moins de 35 ans très scolarisées, contribue à instaurer une certaine permanence dans l'emploi, mais nos do</w:t>
      </w:r>
      <w:r w:rsidRPr="00E64A4B">
        <w:t>n</w:t>
      </w:r>
      <w:r w:rsidRPr="00E64A4B">
        <w:t>nées ne vont pas dans ce sens.</w:t>
      </w:r>
    </w:p>
    <w:p w:rsidR="00B7214C" w:rsidRPr="00E64A4B" w:rsidRDefault="00B7214C" w:rsidP="00B7214C">
      <w:pPr>
        <w:spacing w:before="120" w:after="120"/>
        <w:jc w:val="both"/>
      </w:pPr>
    </w:p>
    <w:p w:rsidR="00B7214C" w:rsidRPr="00E64A4B" w:rsidRDefault="00B7214C" w:rsidP="00B7214C">
      <w:pPr>
        <w:pStyle w:val="a"/>
      </w:pPr>
      <w:r w:rsidRPr="00E64A4B">
        <w:t>LEURS PROPOS CONCERNANT LA SOLIDARITÉ</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femmes avec qui nous avons travaillé invoquent fréque</w:t>
      </w:r>
      <w:r w:rsidRPr="00E64A4B">
        <w:t>m</w:t>
      </w:r>
      <w:r w:rsidRPr="00E64A4B">
        <w:t>ment la solidarité et ce avant même que nous ayons sollicité leur avis sur cette question. Une informatrice résume par ses propos la vision qu'ont les femmes de la solidarité, de ses fondements et de ses effets :</w:t>
      </w:r>
    </w:p>
    <w:p w:rsidR="00B7214C" w:rsidRDefault="00B7214C" w:rsidP="00B7214C">
      <w:pPr>
        <w:pStyle w:val="Grillecouleur-Accent1"/>
      </w:pPr>
    </w:p>
    <w:p w:rsidR="00B7214C" w:rsidRDefault="00B7214C" w:rsidP="00B7214C">
      <w:pPr>
        <w:pStyle w:val="Grillecouleur-Accent1"/>
      </w:pPr>
      <w:r w:rsidRPr="00E64A4B">
        <w:t xml:space="preserve">[La solidarité] Mon doux c'est de </w:t>
      </w:r>
      <w:r w:rsidRPr="00E64A4B">
        <w:rPr>
          <w:i/>
          <w:iCs/>
        </w:rPr>
        <w:t>s'tenir,</w:t>
      </w:r>
      <w:r w:rsidRPr="00E64A4B">
        <w:t xml:space="preserve"> c'est de </w:t>
      </w:r>
      <w:r w:rsidRPr="00E64A4B">
        <w:rPr>
          <w:i/>
          <w:iCs/>
        </w:rPr>
        <w:t>s comprendre,</w:t>
      </w:r>
      <w:r w:rsidRPr="00E64A4B">
        <w:t xml:space="preserve"> c'est..., c'est.., c'est quèque chose de... Ben ça va un peu avec quand tu </w:t>
      </w:r>
      <w:r w:rsidRPr="00E64A4B">
        <w:rPr>
          <w:i/>
          <w:iCs/>
        </w:rPr>
        <w:t>partages la cause</w:t>
      </w:r>
      <w:r w:rsidRPr="00E64A4B">
        <w:t xml:space="preserve"> pis que..., tu </w:t>
      </w:r>
      <w:r w:rsidRPr="00E64A4B">
        <w:rPr>
          <w:i/>
          <w:iCs/>
        </w:rPr>
        <w:t>crois</w:t>
      </w:r>
      <w:r w:rsidRPr="00E64A4B">
        <w:t xml:space="preserve"> c'que l'autre dit. Si tu partages la même chose c'est que t'es..., tu t'sens pas tu seule, t'est </w:t>
      </w:r>
      <w:r w:rsidRPr="00E64A4B">
        <w:rPr>
          <w:i/>
          <w:iCs/>
        </w:rPr>
        <w:t>pas isolée,</w:t>
      </w:r>
      <w:r w:rsidRPr="00E64A4B">
        <w:t xml:space="preserve"> pis..., tu sens que ça l'a..., ça </w:t>
      </w:r>
      <w:r w:rsidRPr="00E64A4B">
        <w:rPr>
          <w:i/>
          <w:iCs/>
        </w:rPr>
        <w:t xml:space="preserve">donne du pouvoir, </w:t>
      </w:r>
      <w:r w:rsidRPr="00E64A4B">
        <w:t xml:space="preserve">ça donne du poids, ça donne en tout cas une impression que..., que tu peux faire..., tu </w:t>
      </w:r>
      <w:r w:rsidRPr="00E64A4B">
        <w:rPr>
          <w:i/>
          <w:iCs/>
        </w:rPr>
        <w:t>peux avancer</w:t>
      </w:r>
      <w:r w:rsidRPr="00E64A4B">
        <w:t xml:space="preserve"> tu sais que... Moé j'pense..., ben en tout cas si..., on peut l'r</w:t>
      </w:r>
      <w:r w:rsidRPr="00E64A4B">
        <w:t>e</w:t>
      </w:r>
      <w:r w:rsidRPr="00E64A4B">
        <w:t xml:space="preserve">garder dans ben des.., des choses là. Entre autres de sentir que t'es pas tu seule, pis moé j'pense que c'est ça que j'ai..., que j'ai découvert quand chu entré [dans le groupe], qui pouvait y avoir une solidarité... Que </w:t>
      </w:r>
      <w:r w:rsidRPr="00E64A4B">
        <w:rPr>
          <w:i/>
          <w:iCs/>
        </w:rPr>
        <w:t>ce que je pensais</w:t>
      </w:r>
      <w:r w:rsidRPr="00E64A4B">
        <w:t xml:space="preserve"> c'était </w:t>
      </w:r>
      <w:r w:rsidRPr="00E64A4B">
        <w:rPr>
          <w:i/>
          <w:iCs/>
        </w:rPr>
        <w:t>pas fou,</w:t>
      </w:r>
      <w:r w:rsidRPr="00E64A4B">
        <w:t xml:space="preserve"> pis qu'on pouvait être une gang à penser la même chose. Pis se t'nir pis..., moé j'pe</w:t>
      </w:r>
      <w:r w:rsidRPr="00E64A4B">
        <w:t>n</w:t>
      </w:r>
      <w:r w:rsidRPr="00E64A4B">
        <w:t xml:space="preserve">se ça..., des bouttes ça peut </w:t>
      </w:r>
      <w:r w:rsidRPr="00E64A4B">
        <w:rPr>
          <w:i/>
          <w:iCs/>
        </w:rPr>
        <w:t>sauver d'là maladie mentale</w:t>
      </w:r>
      <w:r w:rsidRPr="00E64A4B">
        <w:t xml:space="preserve"> j'pense. Tu sais de..., de..., </w:t>
      </w:r>
      <w:r w:rsidRPr="00E64A4B">
        <w:rPr>
          <w:i/>
          <w:iCs/>
        </w:rPr>
        <w:t>ça permet</w:t>
      </w:r>
      <w:r w:rsidRPr="00E64A4B">
        <w:t xml:space="preserve"> la </w:t>
      </w:r>
      <w:r w:rsidRPr="00E64A4B">
        <w:rPr>
          <w:i/>
          <w:iCs/>
        </w:rPr>
        <w:t>conscience</w:t>
      </w:r>
      <w:r w:rsidRPr="00E64A4B">
        <w:t xml:space="preserve"> pis </w:t>
      </w:r>
      <w:r w:rsidRPr="00E64A4B">
        <w:rPr>
          <w:i/>
          <w:iCs/>
        </w:rPr>
        <w:t>d'imaginer une action.</w:t>
      </w:r>
      <w:r w:rsidRPr="00E64A4B">
        <w:t xml:space="preserve"> (5-06 S.B.W 112)</w:t>
      </w:r>
    </w:p>
    <w:p w:rsidR="00B7214C" w:rsidRPr="00E64A4B" w:rsidRDefault="00B7214C" w:rsidP="00B7214C">
      <w:pPr>
        <w:pStyle w:val="Grillecouleur-Accent1"/>
      </w:pPr>
    </w:p>
    <w:p w:rsidR="00B7214C" w:rsidRPr="00E64A4B" w:rsidRDefault="00B7214C" w:rsidP="00B7214C">
      <w:pPr>
        <w:spacing w:before="120" w:after="120"/>
        <w:jc w:val="both"/>
      </w:pPr>
      <w:r w:rsidRPr="00E64A4B">
        <w:t>La solidarité serait d'abord construite dans l'esprit de celles qui la pratiquent, elle serait l'aboutissement de la réflexion, d'une ce</w:t>
      </w:r>
      <w:r w:rsidRPr="00E64A4B">
        <w:t>r</w:t>
      </w:r>
      <w:r w:rsidRPr="00E64A4B">
        <w:t>taine prise de conscience résultant du retour sur une expérience douloureuse ou sur la condition des femmes en général.</w:t>
      </w:r>
    </w:p>
    <w:p w:rsidR="00B7214C" w:rsidRPr="00E64A4B" w:rsidRDefault="00B7214C" w:rsidP="00B7214C">
      <w:pPr>
        <w:spacing w:before="120" w:after="120"/>
        <w:jc w:val="both"/>
      </w:pPr>
      <w:r w:rsidRPr="00E64A4B">
        <w:t>[384]</w:t>
      </w:r>
    </w:p>
    <w:p w:rsidR="00B7214C" w:rsidRDefault="00B7214C" w:rsidP="00B7214C">
      <w:pPr>
        <w:pStyle w:val="Grillecouleur-Accent1"/>
      </w:pPr>
    </w:p>
    <w:p w:rsidR="00B7214C" w:rsidRPr="00E64A4B" w:rsidRDefault="00B7214C" w:rsidP="00B7214C">
      <w:pPr>
        <w:pStyle w:val="Grillecouleur-Accent1"/>
      </w:pPr>
      <w:r w:rsidRPr="00E64A4B">
        <w:t>Solidarité moi, c'est plusieurs personnes qui croient en que</w:t>
      </w:r>
      <w:r w:rsidRPr="00E64A4B">
        <w:t>l</w:t>
      </w:r>
      <w:r w:rsidRPr="00E64A4B">
        <w:t>que chose qui va améliorer, mettons la condition féminine ou qui va am</w:t>
      </w:r>
      <w:r w:rsidRPr="00E64A4B">
        <w:t>é</w:t>
      </w:r>
      <w:r w:rsidRPr="00E64A4B">
        <w:t>liorer la condition du [groupe] là, puis on est ensemble pour po</w:t>
      </w:r>
      <w:r w:rsidRPr="00E64A4B">
        <w:t>u</w:t>
      </w:r>
      <w:r w:rsidRPr="00E64A4B">
        <w:t>voir le faire. Qu'est-ce que ça implique là, je dis même si on est sol</w:t>
      </w:r>
      <w:r w:rsidRPr="00E64A4B">
        <w:t>i</w:t>
      </w:r>
      <w:r w:rsidRPr="00E64A4B">
        <w:t>daire dans quelque chose, ça veut pas dire qu'on est tout à fait d'accord sur le moyen à utiliser ou la façon de s'y prendre. (2-01 S.B.W. 27)</w:t>
      </w:r>
    </w:p>
    <w:p w:rsidR="00B7214C" w:rsidRDefault="00B7214C" w:rsidP="00B7214C">
      <w:pPr>
        <w:pStyle w:val="Grillecouleur-Accent1"/>
      </w:pPr>
      <w:r w:rsidRPr="00E64A4B">
        <w:t>Solidarité ! C'est du monde qui pensent dans le même sens là. Qui font pas nécessairement la même chose, qui travaillent pas nécessa</w:t>
      </w:r>
      <w:r w:rsidRPr="00E64A4B">
        <w:t>i</w:t>
      </w:r>
      <w:r w:rsidRPr="00E64A4B">
        <w:t>rement dans..., pour les mêmes..., la même cause là, mais qu'en quête part qui y pensent. Pis que pour eux autres, ça reste important. Fait qu'y vont poser des gestes de solidarité, pis tu vas jaser avec eux autres, pis tu vois en qu</w:t>
      </w:r>
      <w:r w:rsidRPr="00E64A4B">
        <w:t>ê</w:t>
      </w:r>
      <w:r w:rsidRPr="00E64A4B">
        <w:t>te part qui pensent comme nous autres là. (7-02 S.B.W. 89)</w:t>
      </w:r>
    </w:p>
    <w:p w:rsidR="00B7214C" w:rsidRPr="00E64A4B" w:rsidRDefault="00B7214C" w:rsidP="00B7214C">
      <w:pPr>
        <w:pStyle w:val="Grillecouleur-Accent1"/>
      </w:pPr>
    </w:p>
    <w:p w:rsidR="00B7214C" w:rsidRPr="00E64A4B" w:rsidRDefault="00B7214C" w:rsidP="00B7214C">
      <w:pPr>
        <w:spacing w:before="120" w:after="120"/>
        <w:jc w:val="both"/>
      </w:pPr>
      <w:r w:rsidRPr="00E64A4B">
        <w:t>La solidarité ne serait pas « naturelle » ; elle serait apprise au contact des autres, dans des endroits privilégiés qui favorisent la prise de conscience de la condition des femmes (vis-à-vis de celle des hommes, telle que donnée dans notre contexte socioculturel).</w:t>
      </w:r>
    </w:p>
    <w:p w:rsidR="00B7214C" w:rsidRDefault="00B7214C" w:rsidP="00B7214C">
      <w:pPr>
        <w:pStyle w:val="Grillecouleur-Accent1"/>
      </w:pPr>
    </w:p>
    <w:p w:rsidR="00B7214C" w:rsidRDefault="00B7214C" w:rsidP="00B7214C">
      <w:pPr>
        <w:pStyle w:val="Grillecouleur-Accent1"/>
      </w:pPr>
      <w:r w:rsidRPr="00E64A4B">
        <w:t>J'pense qu'y faut avoir un lieu pour être solidaire. J'pense pas que spo</w:t>
      </w:r>
      <w:r w:rsidRPr="00E64A4B">
        <w:t>n</w:t>
      </w:r>
      <w:r w:rsidRPr="00E64A4B">
        <w:t xml:space="preserve">tanément les femmes sont nécessairement solidaires. Pis j'pense que ça.., ça va du fait que </w:t>
      </w:r>
      <w:r w:rsidRPr="000D1A32">
        <w:rPr>
          <w:iCs/>
        </w:rPr>
        <w:t>y’a</w:t>
      </w:r>
      <w:r w:rsidRPr="000D1A32">
        <w:t xml:space="preserve"> </w:t>
      </w:r>
      <w:r w:rsidRPr="00E64A4B">
        <w:t>beaucoup de femmes qui pour survivre... on po</w:t>
      </w:r>
      <w:r w:rsidRPr="00E64A4B">
        <w:t>r</w:t>
      </w:r>
      <w:r w:rsidRPr="00E64A4B">
        <w:t>te le discours des gars. Pis le discours des gars, y favorise pas la solidarité entre femmes. Fait que j'pense que faut être dans un milieu où on peut se..., où on n'a pas à se censurer sur qui on est et pis c'qu'on pense. Pis j'pense que c'est plus dans la vérité où la solidarité à peut être possible. T'sé un e</w:t>
      </w:r>
      <w:r w:rsidRPr="00E64A4B">
        <w:t>n</w:t>
      </w:r>
      <w:r w:rsidRPr="00E64A4B">
        <w:t>droit où on se sent en sécurité, pis on peut s'ouvrir. (5-04 S.B.W. 36)</w:t>
      </w:r>
    </w:p>
    <w:p w:rsidR="00B7214C" w:rsidRPr="00E64A4B" w:rsidRDefault="00B7214C" w:rsidP="00B7214C">
      <w:pPr>
        <w:pStyle w:val="Grillecouleur-Accent1"/>
      </w:pPr>
    </w:p>
    <w:p w:rsidR="00B7214C" w:rsidRPr="00E64A4B" w:rsidRDefault="00B7214C" w:rsidP="00B7214C">
      <w:pPr>
        <w:spacing w:before="120" w:after="120"/>
        <w:jc w:val="both"/>
      </w:pPr>
      <w:r w:rsidRPr="00E64A4B">
        <w:t>Il faut donc permettre que la solidarité se manifeste et pour certa</w:t>
      </w:r>
      <w:r w:rsidRPr="00E64A4B">
        <w:t>i</w:t>
      </w:r>
      <w:r w:rsidRPr="00E64A4B">
        <w:t>nes cette révélation ne peut se faire sans un support extérieur car ce</w:t>
      </w:r>
      <w:r w:rsidRPr="00E64A4B">
        <w:t>r</w:t>
      </w:r>
      <w:r w:rsidRPr="00E64A4B">
        <w:t>taines femmes seraient trop coupées d'elles-mêmes, trop peu en contact avec leurs propres besoins, pas assez autonomes, pour prendre le risque d'aller vers les autres.</w:t>
      </w:r>
    </w:p>
    <w:p w:rsidR="00B7214C" w:rsidRDefault="00B7214C" w:rsidP="00B7214C">
      <w:pPr>
        <w:pStyle w:val="Grillecouleur-Accent1"/>
      </w:pPr>
    </w:p>
    <w:p w:rsidR="00B7214C" w:rsidRDefault="00B7214C" w:rsidP="00B7214C">
      <w:pPr>
        <w:pStyle w:val="Grillecouleur-Accent1"/>
      </w:pPr>
      <w:r w:rsidRPr="00E64A4B">
        <w:t>Moi, en tout cas, je le vois comme ça [comme quelque chose à acqu</w:t>
      </w:r>
      <w:r w:rsidRPr="00E64A4B">
        <w:t>é</w:t>
      </w:r>
      <w:r w:rsidRPr="00E64A4B">
        <w:t>rir], je veux dire je sais si… … … penserait la même chose là, à ce n</w:t>
      </w:r>
      <w:r w:rsidRPr="00E64A4B">
        <w:t>i</w:t>
      </w:r>
      <w:r w:rsidRPr="00E64A4B">
        <w:t>veau-là, mais moi je</w:t>
      </w:r>
    </w:p>
    <w:p w:rsidR="00B7214C" w:rsidRPr="00E64A4B" w:rsidRDefault="00B7214C" w:rsidP="00B7214C">
      <w:pPr>
        <w:pStyle w:val="Grillecouleur-Accent1"/>
      </w:pPr>
    </w:p>
    <w:p w:rsidR="00B7214C" w:rsidRPr="00E64A4B" w:rsidRDefault="00B7214C" w:rsidP="00B7214C">
      <w:pPr>
        <w:spacing w:before="120" w:after="120"/>
        <w:jc w:val="both"/>
      </w:pPr>
      <w:r w:rsidRPr="00E64A4B">
        <w:t>trouve que la femme qui arrive [dans le groupe] normalement arr</w:t>
      </w:r>
      <w:r w:rsidRPr="00E64A4B">
        <w:t>i</w:t>
      </w:r>
      <w:r w:rsidRPr="00E64A4B">
        <w:t>ve là par le CLSC et elle commence souvent par un cours de connai</w:t>
      </w:r>
      <w:r w:rsidRPr="00E64A4B">
        <w:t>s</w:t>
      </w:r>
      <w:r w:rsidRPr="00E64A4B">
        <w:t>sance de soi, donc elle commence à sortir de son isol</w:t>
      </w:r>
      <w:r w:rsidRPr="00E64A4B">
        <w:t>e</w:t>
      </w:r>
      <w:r w:rsidRPr="00E64A4B">
        <w:t>ment e... et la solidarité là pour moi, elle connaît pas ça. (2-01 S.B.W. 28)</w:t>
      </w:r>
    </w:p>
    <w:p w:rsidR="00B7214C" w:rsidRPr="00E64A4B" w:rsidRDefault="00B7214C" w:rsidP="00B7214C">
      <w:pPr>
        <w:spacing w:before="120" w:after="120"/>
        <w:jc w:val="both"/>
      </w:pPr>
      <w:r w:rsidRPr="00E64A4B">
        <w:t>Il faut noter ici que les femmes « usagères » doivent apprendre à être solidaires pour s'aider mutuellement à résister et à changer leur situation. Du « je » elles doivent passer au « nous ».</w:t>
      </w:r>
    </w:p>
    <w:p w:rsidR="00B7214C" w:rsidRDefault="00B7214C" w:rsidP="00B7214C">
      <w:pPr>
        <w:pStyle w:val="Grillecouleur-Accent1"/>
      </w:pPr>
    </w:p>
    <w:p w:rsidR="00B7214C" w:rsidRPr="00E64A4B" w:rsidRDefault="00B7214C" w:rsidP="00B7214C">
      <w:pPr>
        <w:pStyle w:val="Grillecouleur-Accent1"/>
      </w:pPr>
      <w:r w:rsidRPr="00E64A4B">
        <w:t>J'apprends oui. J'ai appris aussi en haut du nom là, j'ai appris qu'y fa</w:t>
      </w:r>
      <w:r w:rsidRPr="00E64A4B">
        <w:t>l</w:t>
      </w:r>
      <w:r w:rsidRPr="00E64A4B">
        <w:t>lait que je tienne compte des autres, les respecter e... pis que aussi j'ai a</w:t>
      </w:r>
      <w:r w:rsidRPr="00E64A4B">
        <w:t>p</w:t>
      </w:r>
      <w:r w:rsidRPr="00E64A4B">
        <w:t>pris aussi la</w:t>
      </w:r>
      <w:r>
        <w:t xml:space="preserve"> </w:t>
      </w:r>
      <w:r w:rsidRPr="00E64A4B">
        <w:t>[385]</w:t>
      </w:r>
      <w:r>
        <w:t xml:space="preserve"> </w:t>
      </w:r>
      <w:r w:rsidRPr="00E64A4B">
        <w:t>solidarité, c'est que y fallait décider en groupe pis e... aussi e... perso</w:t>
      </w:r>
      <w:r w:rsidRPr="00E64A4B">
        <w:t>n</w:t>
      </w:r>
      <w:r w:rsidRPr="00E64A4B">
        <w:t>nellement, j'veux dire, j'ai appris le « Je » pis après ça j'ai appris le « Nous », je veux dire moi-là... Oui c'est ça. Parce qu'il faut a</w:t>
      </w:r>
      <w:r w:rsidRPr="00E64A4B">
        <w:t>p</w:t>
      </w:r>
      <w:r w:rsidRPr="00E64A4B">
        <w:t>prendre aussi je veux dire on travaille avec « Je » parce que c'est toi qui, qui fait tout ça là, pis après ça, y faut que tu passes au « Nous » un m</w:t>
      </w:r>
      <w:r w:rsidRPr="00E64A4B">
        <w:t>o</w:t>
      </w:r>
      <w:r w:rsidRPr="00E64A4B">
        <w:t>ment donné pour que ça « soille » tout le monde ensemble. C'est ça, la soi... ça tombe à la, à la solidarité. Tous e</w:t>
      </w:r>
      <w:r w:rsidRPr="00E64A4B">
        <w:t>n</w:t>
      </w:r>
      <w:r w:rsidRPr="00E64A4B">
        <w:t>semble. (7-01 S.B.W 4)</w:t>
      </w:r>
    </w:p>
    <w:p w:rsidR="00B7214C" w:rsidRPr="00E64A4B" w:rsidRDefault="00B7214C" w:rsidP="00B7214C">
      <w:pPr>
        <w:spacing w:before="120" w:after="120"/>
        <w:jc w:val="both"/>
      </w:pPr>
      <w:r w:rsidRPr="00E64A4B">
        <w:t>Les intervenantes, qui très souvent gagnent leur vie en appl</w:t>
      </w:r>
      <w:r w:rsidRPr="00E64A4B">
        <w:t>i</w:t>
      </w:r>
      <w:r w:rsidRPr="00E64A4B">
        <w:t>quant des principes qui leur ont été transmis lors de leur form</w:t>
      </w:r>
      <w:r w:rsidRPr="00E64A4B">
        <w:t>a</w:t>
      </w:r>
      <w:r w:rsidRPr="00E64A4B">
        <w:t>tion, doivent elles aussi apprendre à être solidaires des femmes avec qui elles tr</w:t>
      </w:r>
      <w:r w:rsidRPr="00E64A4B">
        <w:t>a</w:t>
      </w:r>
      <w:r w:rsidRPr="00E64A4B">
        <w:t>vaillent.</w:t>
      </w:r>
    </w:p>
    <w:p w:rsidR="00B7214C" w:rsidRDefault="00B7214C" w:rsidP="00B7214C">
      <w:pPr>
        <w:pStyle w:val="Grillecouleur-Accent1"/>
      </w:pPr>
    </w:p>
    <w:p w:rsidR="00B7214C" w:rsidRDefault="00B7214C" w:rsidP="00B7214C">
      <w:pPr>
        <w:pStyle w:val="Grillecouleur-Accent1"/>
      </w:pPr>
      <w:r w:rsidRPr="00E64A4B">
        <w:t>...être solidaire pour moi c'est e... par rapport au bout moi que j'ai de fait, c'est e.. être respectueuse envers les... les personnes avec qui je tr</w:t>
      </w:r>
      <w:r w:rsidRPr="00E64A4B">
        <w:t>a</w:t>
      </w:r>
      <w:r w:rsidRPr="00E64A4B">
        <w:t>vaille qui ont... qui ont le goût de faire le même bout de chemin que moi j'ai envie de faire, être e... les croire, les croire dans le sens que, oui, ils ont le goût de faire avancer une cause e... oui e... comment je te dirais ça, oui, je vais les respecter dans leur rythme, e... oui, je vais leur donner un coup de main, je vais m'investir puis oui, je va donner, puis oui, je vais recevoir, c'est ça être solidaire pour moi, toujours à l'intérieur d'une même cause, la cause des femmes, parce que la sol</w:t>
      </w:r>
      <w:r w:rsidRPr="00E64A4B">
        <w:t>i</w:t>
      </w:r>
      <w:r w:rsidRPr="00E64A4B">
        <w:t>darité je la vois juste là, je peux pas la voir ailleurs, être solidaire avec des hommes, je peux pas voir ça, j'ai pas... tu sais, ça s'est jamais fait moi.... (5-02 S.B.W 45)</w:t>
      </w:r>
    </w:p>
    <w:p w:rsidR="00B7214C" w:rsidRPr="00E64A4B" w:rsidRDefault="00B7214C" w:rsidP="00B7214C">
      <w:pPr>
        <w:pStyle w:val="Grillecouleur-Accent1"/>
      </w:pPr>
    </w:p>
    <w:p w:rsidR="00B7214C" w:rsidRPr="00E64A4B" w:rsidRDefault="00B7214C" w:rsidP="00B7214C">
      <w:pPr>
        <w:spacing w:before="120" w:after="120"/>
        <w:jc w:val="both"/>
      </w:pPr>
      <w:r w:rsidRPr="00E64A4B">
        <w:t>Selon les informatrices, certaines femmes ne pourraient jamais d</w:t>
      </w:r>
      <w:r w:rsidRPr="00E64A4B">
        <w:t>e</w:t>
      </w:r>
      <w:r w:rsidRPr="00E64A4B">
        <w:t>venir solidaires, notamment par leur incapacité à prendre leur place et, de là, à composer avec les autres, y compris avec les tra</w:t>
      </w:r>
      <w:r w:rsidRPr="00E64A4B">
        <w:t>c</w:t>
      </w:r>
      <w:r w:rsidRPr="00E64A4B">
        <w:t>tations, les rapports de force et les jeux d'influences.</w:t>
      </w:r>
    </w:p>
    <w:p w:rsidR="00B7214C" w:rsidRDefault="00B7214C" w:rsidP="00B7214C">
      <w:pPr>
        <w:pStyle w:val="Grillecouleur-Accent1"/>
      </w:pPr>
    </w:p>
    <w:p w:rsidR="00B7214C" w:rsidRDefault="00B7214C" w:rsidP="00B7214C">
      <w:pPr>
        <w:pStyle w:val="Grillecouleur-Accent1"/>
      </w:pPr>
      <w:r w:rsidRPr="00E64A4B">
        <w:t>Entre le dire le croire et le faire c'est deux, moi j'y crois la solidar</w:t>
      </w:r>
      <w:r w:rsidRPr="00E64A4B">
        <w:t>i</w:t>
      </w:r>
      <w:r w:rsidRPr="00E64A4B">
        <w:t>té des femmes de toutes façons mais je crois qui a des femmes qui ne pou</w:t>
      </w:r>
      <w:r w:rsidRPr="00E64A4B">
        <w:t>r</w:t>
      </w:r>
      <w:r w:rsidRPr="00E64A4B">
        <w:t>ront jamais être solidaires. Parce que pour acquérir un peu de pouvoir, il faut d'abord le faire personnellement et des fois la façon de le faire ça va être en le faisant dans des groupes co</w:t>
      </w:r>
      <w:r w:rsidRPr="00E64A4B">
        <w:t>m</w:t>
      </w:r>
      <w:r w:rsidRPr="00E64A4B">
        <w:t>me ça, dans des groupes ensemble pis e... c'est d'abord acquérir ton pouvoir, alors y faut que tu apprennes à « dealer » avec le pouvoir des autres pis là c'est pas facile parce que toi t'as de la place à prendre pis tu n'as de place, si tu n'as pas, pas nécessair</w:t>
      </w:r>
      <w:r w:rsidRPr="00E64A4B">
        <w:t>e</w:t>
      </w:r>
      <w:r w:rsidRPr="00E64A4B">
        <w:t>ment parce que les femmes autour de toi t'en donnent pas, c'est parce que tu en prends pas de la place pour X raisons autour de toi etc. (3-05 S.B.W. 115)</w:t>
      </w:r>
    </w:p>
    <w:p w:rsidR="00B7214C" w:rsidRPr="00E64A4B" w:rsidRDefault="00B7214C" w:rsidP="00B7214C">
      <w:pPr>
        <w:pStyle w:val="Grillecouleur-Accent1"/>
      </w:pPr>
    </w:p>
    <w:p w:rsidR="00B7214C" w:rsidRPr="00E64A4B" w:rsidRDefault="00B7214C" w:rsidP="00B7214C">
      <w:pPr>
        <w:spacing w:before="120" w:after="120"/>
        <w:jc w:val="both"/>
      </w:pPr>
      <w:r w:rsidRPr="00E64A4B">
        <w:t>La solidarité ne pourrait se développer qu'entre des personnes en mesure de s'affirmer comme individus, de prendre la place qui leur revient dans un groupe. Dans le cadre de la modernité, les individus doivent pouvoir se prendre en charge, s'assumer et s'affirmer. Fond</w:t>
      </w:r>
      <w:r w:rsidRPr="00E64A4B">
        <w:t>a</w:t>
      </w:r>
      <w:r w:rsidRPr="00E64A4B">
        <w:t>mentalement seuls, ils doivent apprendre à comp</w:t>
      </w:r>
      <w:r w:rsidRPr="00E64A4B">
        <w:t>o</w:t>
      </w:r>
      <w:r w:rsidRPr="00E64A4B">
        <w:t>ser avec les autres, leurs différences, leurs intérêts. Pour ce faire, ils doivent d'abord se connaître eux-mêmes et accepter les cha</w:t>
      </w:r>
      <w:r w:rsidRPr="00E64A4B">
        <w:t>n</w:t>
      </w:r>
      <w:r w:rsidRPr="00E64A4B">
        <w:t>gements perpétuels qui s'opèrent en eux et autour d'eux.</w:t>
      </w:r>
    </w:p>
    <w:p w:rsidR="00B7214C" w:rsidRPr="00E64A4B" w:rsidRDefault="00B7214C" w:rsidP="00B7214C">
      <w:pPr>
        <w:spacing w:before="120" w:after="120"/>
        <w:jc w:val="both"/>
      </w:pPr>
      <w:r w:rsidRPr="00E64A4B">
        <w:t>[386]</w:t>
      </w:r>
    </w:p>
    <w:p w:rsidR="00B7214C" w:rsidRPr="00E64A4B" w:rsidRDefault="00B7214C" w:rsidP="00B7214C">
      <w:pPr>
        <w:spacing w:before="120" w:after="120"/>
        <w:jc w:val="both"/>
      </w:pPr>
      <w:r w:rsidRPr="00E64A4B">
        <w:t>Ainsi la solidarité ne pourrait exister sans préalable. Elle ne se d</w:t>
      </w:r>
      <w:r w:rsidRPr="00E64A4B">
        <w:t>é</w:t>
      </w:r>
      <w:r w:rsidRPr="00E64A4B">
        <w:t>velopperait vraiment qu'entre personnes égales qui cheminent ense</w:t>
      </w:r>
      <w:r w:rsidRPr="00E64A4B">
        <w:t>m</w:t>
      </w:r>
      <w:r w:rsidRPr="00E64A4B">
        <w:t>ble pour dépasser les contraintes que leur impose leur existence quot</w:t>
      </w:r>
      <w:r w:rsidRPr="00E64A4B">
        <w:t>i</w:t>
      </w:r>
      <w:r w:rsidRPr="00E64A4B">
        <w:t>dienne.</w:t>
      </w:r>
    </w:p>
    <w:p w:rsidR="00B7214C" w:rsidRDefault="00B7214C" w:rsidP="00B7214C">
      <w:pPr>
        <w:pStyle w:val="Grillecouleur-Accent1"/>
      </w:pPr>
      <w:r w:rsidRPr="00E64A4B">
        <w:t xml:space="preserve">Bon c'est sûr </w:t>
      </w:r>
      <w:r>
        <w:t>y’</w:t>
      </w:r>
      <w:r w:rsidRPr="00E64A4B">
        <w:t>a toute le niveau économique, mais y'a plus que ça. J'pense que..., ben y'a beaucoup de femmes [au groupe] qui sont d</w:t>
      </w:r>
      <w:r w:rsidRPr="00E64A4B">
        <w:t>i</w:t>
      </w:r>
      <w:r w:rsidRPr="00E64A4B">
        <w:t>vorcées, qui sont séparées, des femmes chefs de familles monopare</w:t>
      </w:r>
      <w:r w:rsidRPr="00E64A4B">
        <w:t>n</w:t>
      </w:r>
      <w:r w:rsidRPr="00E64A4B">
        <w:t>tales, qui ont vécu des relations de couples difficiles. Y'a tout ça aussi qui les tiennent proches l'une de l'autre. Sont proches des blessures de l'autre, parce que les blessures de l'autre ça ressemble à celles qu'y'ont vécu aussi, pis qui sont pas tout à fait cicatrisées. Qui sont en train de cicatriser à l'intérieur du groupe. (7-04 S.B.W. 37)</w:t>
      </w:r>
    </w:p>
    <w:p w:rsidR="00B7214C" w:rsidRPr="00E64A4B" w:rsidRDefault="00B7214C" w:rsidP="00B7214C">
      <w:pPr>
        <w:pStyle w:val="Grillecouleur-Accent1"/>
      </w:pPr>
    </w:p>
    <w:p w:rsidR="00B7214C" w:rsidRPr="00E64A4B" w:rsidRDefault="00B7214C" w:rsidP="00B7214C">
      <w:pPr>
        <w:spacing w:before="120" w:after="120"/>
        <w:jc w:val="both"/>
      </w:pPr>
      <w:r w:rsidRPr="00E64A4B">
        <w:t>Il faut souligner ici que plus les propos des informatrices font réf</w:t>
      </w:r>
      <w:r w:rsidRPr="00E64A4B">
        <w:t>é</w:t>
      </w:r>
      <w:r w:rsidRPr="00E64A4B">
        <w:t>rence à cette existence quotidienne, au vécu des personnes impliquées, plus il leur semble difficile de maintenir une vision idéale de la solid</w:t>
      </w:r>
      <w:r w:rsidRPr="00E64A4B">
        <w:t>a</w:t>
      </w:r>
      <w:r w:rsidRPr="00E64A4B">
        <w:t>rité.</w:t>
      </w:r>
    </w:p>
    <w:p w:rsidR="00B7214C" w:rsidRDefault="00B7214C" w:rsidP="00B7214C">
      <w:pPr>
        <w:pStyle w:val="Grillecouleur-Accent1"/>
      </w:pPr>
    </w:p>
    <w:p w:rsidR="00B7214C" w:rsidRPr="00E64A4B" w:rsidRDefault="00B7214C" w:rsidP="00B7214C">
      <w:pPr>
        <w:pStyle w:val="Grillecouleur-Accent1"/>
      </w:pPr>
      <w:r w:rsidRPr="00E64A4B">
        <w:t>[...] sortir du moi moi moi qui a mal, du moi moi moi qui est vi</w:t>
      </w:r>
      <w:r w:rsidRPr="00E64A4B">
        <w:t>c</w:t>
      </w:r>
      <w:r w:rsidRPr="00E64A4B">
        <w:t>time...</w:t>
      </w:r>
    </w:p>
    <w:p w:rsidR="00B7214C" w:rsidRDefault="00B7214C" w:rsidP="00B7214C">
      <w:pPr>
        <w:pStyle w:val="Grillecouleur-Accent1"/>
      </w:pPr>
      <w:r w:rsidRPr="00E64A4B">
        <w:t>On a une partie, un vécu, un bout de vécu en commun, premièr</w:t>
      </w:r>
      <w:r w:rsidRPr="00E64A4B">
        <w:t>e</w:t>
      </w:r>
      <w:r w:rsidRPr="00E64A4B">
        <w:t>ment on est des femmes, bon ben, c'est sûr e..., les injustices que les femmes v</w:t>
      </w:r>
      <w:r w:rsidRPr="00E64A4B">
        <w:t>i</w:t>
      </w:r>
      <w:r w:rsidRPr="00E64A4B">
        <w:t>vent pis e..., c'est sûr que on les a un peu toutes v</w:t>
      </w:r>
      <w:r w:rsidRPr="00E64A4B">
        <w:t>é</w:t>
      </w:r>
      <w:r w:rsidRPr="00E64A4B">
        <w:t>cues, si tu prends la non-reconnaissance des, des, du travail des femmes au foyer, e..., travail égal, salaire égal, c'est pas, c'est pas, c'est pas, c'est le manque d'équité e</w:t>
      </w:r>
      <w:r w:rsidRPr="00E64A4B">
        <w:t>n</w:t>
      </w:r>
      <w:r w:rsidRPr="00E64A4B">
        <w:t>vers les femmes, la violence conjugale, ben, les familles monoparentales y a beaucoup de ch</w:t>
      </w:r>
      <w:r w:rsidRPr="00E64A4B">
        <w:t>o</w:t>
      </w:r>
      <w:r w:rsidRPr="00E64A4B">
        <w:t>ses qui se vit par rapport à l'aide sociale, par rapport aux pensions alimentaires, par rapport y a tellement de choses qu'on a en co</w:t>
      </w:r>
      <w:r w:rsidRPr="00E64A4B">
        <w:t>m</w:t>
      </w:r>
      <w:r w:rsidRPr="00E64A4B">
        <w:t>mun que, les femmes trouvent ça important là, de se regrouper, je pense que les femmes se regroupent, y en a beaucoup de femmes qui se regroupent. (2-04 92 S.B.W. 93)</w:t>
      </w:r>
    </w:p>
    <w:p w:rsidR="00B7214C" w:rsidRPr="00E64A4B" w:rsidRDefault="00B7214C" w:rsidP="00B7214C">
      <w:pPr>
        <w:pStyle w:val="Grillecouleur-Accent1"/>
      </w:pPr>
    </w:p>
    <w:p w:rsidR="00B7214C" w:rsidRPr="00E64A4B" w:rsidRDefault="00B7214C" w:rsidP="00B7214C">
      <w:pPr>
        <w:spacing w:before="120" w:after="120"/>
        <w:jc w:val="both"/>
      </w:pPr>
      <w:r w:rsidRPr="00E64A4B">
        <w:t>Alors que tout porte à croire que les femmes se regroupent d'abord pour lutter contre des injustices spécifiques, qu'elles sont solidaires dans leur lutte contre ces injustices ressenties intens</w:t>
      </w:r>
      <w:r w:rsidRPr="00E64A4B">
        <w:t>é</w:t>
      </w:r>
      <w:r w:rsidRPr="00E64A4B">
        <w:t>ment parce que vécues quotidiennement, tel n'est pas nécessair</w:t>
      </w:r>
      <w:r w:rsidRPr="00E64A4B">
        <w:t>e</w:t>
      </w:r>
      <w:r w:rsidRPr="00E64A4B">
        <w:t>ment le cas. Ce sont souvent les intervenantes extérieures qui jouent un rôle crucial auprès de ces femmes pour susciter la prise de conscience nécessaire à l'ét</w:t>
      </w:r>
      <w:r w:rsidRPr="00E64A4B">
        <w:t>a</w:t>
      </w:r>
      <w:r w:rsidRPr="00E64A4B">
        <w:t>blissement de la solidarité.</w:t>
      </w:r>
    </w:p>
    <w:p w:rsidR="00B7214C" w:rsidRPr="00E64A4B" w:rsidRDefault="00B7214C" w:rsidP="00B7214C">
      <w:pPr>
        <w:spacing w:before="120" w:after="120"/>
        <w:jc w:val="both"/>
      </w:pPr>
      <w:r w:rsidRPr="00E64A4B">
        <w:t>Accablées par leurs souffrances quotidiennes, les femmes les plus démunies, ou les plus opprimées, s'isolent généralement des autres. Briser cet isolement nécessite, de la part des intervenantes, des efforts soutenus, pas toujours récompensés. Afin de situer l'origine de ces échecs, il faut d'abord comprendre qu'un rapport de pouvoir se met généralement en place dans le processus d'i</w:t>
      </w:r>
      <w:r w:rsidRPr="00E64A4B">
        <w:t>n</w:t>
      </w:r>
      <w:r w:rsidRPr="00E64A4B">
        <w:t>tervention : l'intervenante « sait ce qu'il faut faire », elle possède une expertise qui lui permet de définir la situation et d'agir ad</w:t>
      </w:r>
      <w:r w:rsidRPr="00E64A4B">
        <w:t>é</w:t>
      </w:r>
      <w:r w:rsidRPr="00E64A4B">
        <w:t>quatement. D'autre part, celle qui se voit ainsi définie peut, si elle</w:t>
      </w:r>
      <w:r>
        <w:t xml:space="preserve"> </w:t>
      </w:r>
      <w:r w:rsidRPr="00E64A4B">
        <w:t>[387]</w:t>
      </w:r>
      <w:r>
        <w:t xml:space="preserve"> </w:t>
      </w:r>
      <w:r w:rsidRPr="00E64A4B">
        <w:t>ne maîtrise pas les tenants et les aboutissants de cette déma</w:t>
      </w:r>
      <w:r w:rsidRPr="00E64A4B">
        <w:t>r</w:t>
      </w:r>
      <w:r w:rsidRPr="00E64A4B">
        <w:t>che, se sentir contrôlée et d'autant plus démunie. Elle peut alors se mettre à résister à ce qu'elle perçoit co</w:t>
      </w:r>
      <w:r w:rsidRPr="00E64A4B">
        <w:t>m</w:t>
      </w:r>
      <w:r w:rsidRPr="00E64A4B">
        <w:t>me une contrainte supplémentaire, pl</w:t>
      </w:r>
      <w:r w:rsidRPr="00E64A4B">
        <w:t>u</w:t>
      </w:r>
      <w:r w:rsidRPr="00E64A4B">
        <w:t>tôt que comme un instrument de pouvoir. S'engage alors une résistance passive qui contribue à l'e</w:t>
      </w:r>
      <w:r w:rsidRPr="00E64A4B">
        <w:t>s</w:t>
      </w:r>
      <w:r w:rsidRPr="00E64A4B">
        <w:t>soufflement des intervenantes.</w:t>
      </w:r>
    </w:p>
    <w:p w:rsidR="00B7214C" w:rsidRPr="00E64A4B" w:rsidRDefault="00B7214C" w:rsidP="00B7214C">
      <w:pPr>
        <w:spacing w:before="120" w:after="120"/>
        <w:jc w:val="both"/>
      </w:pPr>
      <w:r w:rsidRPr="00E64A4B">
        <w:t>En guise de défense, certaines intervenantes se démarquent de ce</w:t>
      </w:r>
      <w:r w:rsidRPr="00E64A4B">
        <w:t>l</w:t>
      </w:r>
      <w:r w:rsidRPr="00E64A4B">
        <w:t>les qui longtemps ont utilisé leur position pour aider les dém</w:t>
      </w:r>
      <w:r w:rsidRPr="00E64A4B">
        <w:t>u</w:t>
      </w:r>
      <w:r w:rsidRPr="00E64A4B">
        <w:t>nis dans un esprit généralement charitable, quoique par moment pas tout à fait exempt de visées salvatrices :</w:t>
      </w:r>
    </w:p>
    <w:p w:rsidR="00B7214C" w:rsidRDefault="00B7214C" w:rsidP="00B7214C">
      <w:pPr>
        <w:pStyle w:val="Grillecouleur-Accent1"/>
      </w:pPr>
    </w:p>
    <w:p w:rsidR="00B7214C" w:rsidRPr="00E64A4B" w:rsidRDefault="00B7214C" w:rsidP="00B7214C">
      <w:pPr>
        <w:pStyle w:val="Grillecouleur-Accent1"/>
      </w:pPr>
      <w:r w:rsidRPr="00E64A4B">
        <w:t>[…] on n'est pas des « sauveuses ». Chu ici pour que les femmes tro</w:t>
      </w:r>
      <w:r w:rsidRPr="00E64A4B">
        <w:t>u</w:t>
      </w:r>
      <w:r w:rsidRPr="00E64A4B">
        <w:t>vent elles-mêmes les solutions à leurs problèmes, pis chu là pour les gu</w:t>
      </w:r>
      <w:r w:rsidRPr="00E64A4B">
        <w:t>i</w:t>
      </w:r>
      <w:r w:rsidRPr="00E64A4B">
        <w:t>der dans leur cheminement....</w:t>
      </w:r>
    </w:p>
    <w:p w:rsidR="00B7214C" w:rsidRDefault="00B7214C" w:rsidP="00B7214C">
      <w:pPr>
        <w:pStyle w:val="Grillecouleur-Accent1"/>
      </w:pPr>
      <w:r w:rsidRPr="00E64A4B">
        <w:t>Pour moi la solidarité c'est le contraire d'là pitié. Ben pour moi être s</w:t>
      </w:r>
      <w:r w:rsidRPr="00E64A4B">
        <w:t>o</w:t>
      </w:r>
      <w:r w:rsidRPr="00E64A4B">
        <w:t>lidaire c'est d'abord écouter beaucoup, avoir écouté beaucoup, pis cont</w:t>
      </w:r>
      <w:r w:rsidRPr="00E64A4B">
        <w:t>i</w:t>
      </w:r>
      <w:r w:rsidRPr="00E64A4B">
        <w:t>nuer d'écouter beaucoup pour développer..., pour dépasser la p</w:t>
      </w:r>
      <w:r w:rsidRPr="00E64A4B">
        <w:t>i</w:t>
      </w:r>
      <w:r w:rsidRPr="00E64A4B">
        <w:t>tié. Si je suis solidaire de quelqu'un, c'est pas que j'en ai pitié, c'est que..., bon j'ai compris c'que la personne a vécu, pis moi j'ai le goût de m'engager face à ça avec elle. Pis pas pour elle non plus, pas pour..., t'sé pas au-dessus d'e</w:t>
      </w:r>
      <w:r w:rsidRPr="00E64A4B">
        <w:t>l</w:t>
      </w:r>
      <w:r w:rsidRPr="00E64A4B">
        <w:t>le, ou pour la pe</w:t>
      </w:r>
      <w:r w:rsidRPr="00E64A4B">
        <w:t>r</w:t>
      </w:r>
      <w:r w:rsidRPr="00E64A4B">
        <w:t>sonne là, comme une façon de pitié là. Ou de charité, t'sé pour moi c'est ça, la solidarité c'est le contraire d'là pitié et d'là charité. C'est ça. (7-04 S.B.W 38)</w:t>
      </w:r>
    </w:p>
    <w:p w:rsidR="00B7214C" w:rsidRPr="00E64A4B" w:rsidRDefault="00B7214C" w:rsidP="00B7214C">
      <w:pPr>
        <w:pStyle w:val="Grillecouleur-Accent1"/>
      </w:pPr>
    </w:p>
    <w:p w:rsidR="00B7214C" w:rsidRPr="00E64A4B" w:rsidRDefault="00B7214C" w:rsidP="00B7214C">
      <w:pPr>
        <w:spacing w:before="120" w:after="120"/>
        <w:jc w:val="both"/>
      </w:pPr>
      <w:r w:rsidRPr="00E64A4B">
        <w:t>Les intervenantes, dont c'est le travail, apprennent à d'autres fe</w:t>
      </w:r>
      <w:r w:rsidRPr="00E64A4B">
        <w:t>m</w:t>
      </w:r>
      <w:r w:rsidRPr="00E64A4B">
        <w:t>mes à s'entraider. Lorsque leurs interventions réussissent, les groupes d'entraide centrés sur une problématique spécifique sont ensuite vus comme la manifestation « active » de la solidarité (Brault et St-Jean, 1990 ; Romeder, 1989 ; Noël et Gaignard, 1987). Ce sont ces groupes qui seraient porteurs de solidarité (Saucier, 1990) surtout dans la m</w:t>
      </w:r>
      <w:r w:rsidRPr="00E64A4B">
        <w:t>e</w:t>
      </w:r>
      <w:r w:rsidRPr="00E64A4B">
        <w:t>sure où ils se définissent en dehors des cadres formels, voire instit</w:t>
      </w:r>
      <w:r w:rsidRPr="00E64A4B">
        <w:t>u</w:t>
      </w:r>
      <w:r w:rsidRPr="00E64A4B">
        <w:t>tionnels (Godbout, 1991).</w:t>
      </w:r>
    </w:p>
    <w:p w:rsidR="00B7214C" w:rsidRPr="00E64A4B" w:rsidRDefault="00B7214C" w:rsidP="00B7214C">
      <w:pPr>
        <w:spacing w:before="120" w:after="120"/>
        <w:jc w:val="both"/>
      </w:pPr>
      <w:r w:rsidRPr="00E64A4B">
        <w:t>Nous sommes donc confrontées à un contexte dans lequel des i</w:t>
      </w:r>
      <w:r w:rsidRPr="00E64A4B">
        <w:t>n</w:t>
      </w:r>
      <w:r w:rsidRPr="00E64A4B">
        <w:t>tervenantes seraient solidaires des difficultés de celles avec qui elles travaillent sans nécessairement partager leur quotidien. Elles seraient solidaires en dehors de l'égalité mécanique, parce qu'unies par une même cause, celle des femmes.</w:t>
      </w:r>
    </w:p>
    <w:p w:rsidR="00B7214C" w:rsidRDefault="00B7214C" w:rsidP="00B7214C">
      <w:pPr>
        <w:pStyle w:val="Grillecouleur-Accent1"/>
      </w:pPr>
    </w:p>
    <w:p w:rsidR="00B7214C" w:rsidRPr="00E64A4B" w:rsidRDefault="00B7214C" w:rsidP="00B7214C">
      <w:pPr>
        <w:pStyle w:val="Grillecouleur-Accent1"/>
      </w:pPr>
      <w:r w:rsidRPr="00E64A4B">
        <w:t>...t'és apprivoisée avec une femme en partant parce que, y a cette sim</w:t>
      </w:r>
      <w:r w:rsidRPr="00E64A4B">
        <w:t>i</w:t>
      </w:r>
      <w:r w:rsidRPr="00E64A4B">
        <w:t>litude-là d'être une femme si ce n'é que, le fait qu'on a des men</w:t>
      </w:r>
      <w:r w:rsidRPr="00E64A4B">
        <w:t>s</w:t>
      </w:r>
      <w:r w:rsidRPr="00E64A4B">
        <w:t>truations par exemple...(3-01 S.B.W. 17)</w:t>
      </w:r>
    </w:p>
    <w:p w:rsidR="00B7214C" w:rsidRPr="00E64A4B" w:rsidRDefault="00B7214C" w:rsidP="00B7214C">
      <w:pPr>
        <w:pStyle w:val="Grillecouleur-Accent1"/>
      </w:pPr>
      <w:r w:rsidRPr="00E64A4B">
        <w:t>toutes des mères au fond de nous [... ] ce qu'on veut c'est le bien de l'autre. (1-05 S.B.W. 24)</w:t>
      </w:r>
    </w:p>
    <w:p w:rsidR="00B7214C" w:rsidRDefault="00B7214C" w:rsidP="00B7214C">
      <w:pPr>
        <w:spacing w:before="120" w:after="120"/>
        <w:jc w:val="both"/>
      </w:pPr>
    </w:p>
    <w:p w:rsidR="00B7214C" w:rsidRPr="00E64A4B" w:rsidRDefault="00B7214C" w:rsidP="00B7214C">
      <w:pPr>
        <w:spacing w:before="120" w:after="120"/>
        <w:jc w:val="both"/>
      </w:pPr>
      <w:r w:rsidRPr="00E64A4B">
        <w:t>[388]</w:t>
      </w:r>
    </w:p>
    <w:p w:rsidR="00B7214C" w:rsidRPr="00E64A4B" w:rsidRDefault="00B7214C" w:rsidP="00B7214C">
      <w:pPr>
        <w:spacing w:before="120" w:after="120"/>
        <w:jc w:val="both"/>
      </w:pPr>
      <w:r w:rsidRPr="00E64A4B">
        <w:t>Dans l'univers de référence de nos informatrices, les femmes sont perçues comme plus aptes à l'écoute, plus souples, plus re</w:t>
      </w:r>
      <w:r w:rsidRPr="00E64A4B">
        <w:t>s</w:t>
      </w:r>
      <w:r w:rsidRPr="00E64A4B">
        <w:t>pectueuses, plus généreuses, plus franches, plus sensibles, plus intègres, plus ho</w:t>
      </w:r>
      <w:r w:rsidRPr="00E64A4B">
        <w:t>n</w:t>
      </w:r>
      <w:r w:rsidRPr="00E64A4B">
        <w:t>nêtes, elles sont de meilleures communicatrices, ont une plus grande capacité d'accueil, de « senti », d'émotion ; elles sont aussi plus a</w:t>
      </w:r>
      <w:r w:rsidRPr="00E64A4B">
        <w:t>n</w:t>
      </w:r>
      <w:r w:rsidRPr="00E64A4B">
        <w:t>goissées, plus portées sur les confidences et sur la compassion pour leurs semblables. Ainsi socialisées, les femmes seraient par cons</w:t>
      </w:r>
      <w:r w:rsidRPr="00E64A4B">
        <w:t>é</w:t>
      </w:r>
      <w:r w:rsidRPr="00E64A4B">
        <w:t>quent plus réceptives aux problèmes sociaux et de là plus facilement soulevées par une « cause ».</w:t>
      </w:r>
    </w:p>
    <w:p w:rsidR="00B7214C" w:rsidRDefault="00B7214C" w:rsidP="00B7214C">
      <w:pPr>
        <w:pStyle w:val="Grillecouleur-Accent1"/>
      </w:pPr>
    </w:p>
    <w:p w:rsidR="00B7214C" w:rsidRDefault="00B7214C" w:rsidP="00B7214C">
      <w:pPr>
        <w:pStyle w:val="Grillecouleur-Accent1"/>
      </w:pPr>
      <w:r w:rsidRPr="00E64A4B">
        <w:t>[...] j'pense que les femmes sont ben, ben solidaires dans leur..., dans le fond d'elles-mêmes. T'sé comme dans leur coeur, y sont ben là, y'ont peut-être pas toujours la possibilité de l'dire. (5-04 S.B.W. 36)</w:t>
      </w:r>
    </w:p>
    <w:p w:rsidR="00B7214C" w:rsidRPr="00E64A4B" w:rsidRDefault="00B7214C" w:rsidP="00B7214C">
      <w:pPr>
        <w:pStyle w:val="Grillecouleur-Accent1"/>
      </w:pPr>
    </w:p>
    <w:p w:rsidR="00B7214C" w:rsidRPr="00E64A4B" w:rsidRDefault="00B7214C" w:rsidP="00B7214C">
      <w:pPr>
        <w:spacing w:before="120" w:after="120"/>
        <w:jc w:val="both"/>
      </w:pPr>
      <w:r w:rsidRPr="00E64A4B">
        <w:t>Le moteur de la solidarité, pour plusieurs intervenantes, c'est d'ai</w:t>
      </w:r>
      <w:r w:rsidRPr="00E64A4B">
        <w:t>l</w:t>
      </w:r>
      <w:r w:rsidRPr="00E64A4B">
        <w:t>leurs cette adhésion à une cause. C'est ce qui les lie à celles qui vivent des problèmes comme la violence conjugale, la pauvr</w:t>
      </w:r>
      <w:r w:rsidRPr="00E64A4B">
        <w:t>e</w:t>
      </w:r>
      <w:r w:rsidRPr="00E64A4B">
        <w:t>té, le chômage. « La cause », donne alors un sens à leur travail, généralement rémun</w:t>
      </w:r>
      <w:r w:rsidRPr="00E64A4B">
        <w:t>é</w:t>
      </w:r>
      <w:r w:rsidRPr="00E64A4B">
        <w:t>ré, sans toutefois nécessairement s'ancrer dans leur propre expérience. Par contre, dans le cas des usagères-militantes impliquées dans un groupe d'entraide, ayant par cons</w:t>
      </w:r>
      <w:r w:rsidRPr="00E64A4B">
        <w:t>é</w:t>
      </w:r>
      <w:r w:rsidRPr="00E64A4B">
        <w:t>quent déjà pris conscience de ce qui les opprime, « la cause » c'est ce qui les unit. Il s'agit très souvent d'une situation partagée, de souffrances communes auxquelles elles ont appris à résister.</w:t>
      </w:r>
    </w:p>
    <w:p w:rsidR="00B7214C" w:rsidRPr="00E64A4B" w:rsidRDefault="00B7214C" w:rsidP="00B7214C">
      <w:pPr>
        <w:spacing w:before="120" w:after="120"/>
        <w:jc w:val="both"/>
      </w:pPr>
      <w:r w:rsidRPr="00E64A4B">
        <w:t>Dans ce contexte, le « vécu » occupe une position centrale dans le discours des femmes. Lorsque les intervenantes parlent du vécu des femmes, elles font d'abord référence à leur éducation de fille, leur s</w:t>
      </w:r>
      <w:r w:rsidRPr="00E64A4B">
        <w:t>o</w:t>
      </w:r>
      <w:r w:rsidRPr="00E64A4B">
        <w:t>cialisation dans des rôles féminins, l'oppression et les injustices dont elles sont collectivement victimes. Les usagères-militantes, elles, pa</w:t>
      </w:r>
      <w:r w:rsidRPr="00E64A4B">
        <w:t>r</w:t>
      </w:r>
      <w:r w:rsidRPr="00E64A4B">
        <w:t>lent de leur vécu dans des termes beaucoup plus spécifiques : il s'agit de la monoparentalité, de la pauvreté, de la violence conjugale, du r</w:t>
      </w:r>
      <w:r w:rsidRPr="00E64A4B">
        <w:t>a</w:t>
      </w:r>
      <w:r w:rsidRPr="00E64A4B">
        <w:t>cisme qui les marquent comme groupe social, les marginalisent. Do</w:t>
      </w:r>
      <w:r w:rsidRPr="00E64A4B">
        <w:t>u</w:t>
      </w:r>
      <w:r w:rsidRPr="00E64A4B">
        <w:t>blement stigmatisées par leur cond</w:t>
      </w:r>
      <w:r w:rsidRPr="00E64A4B">
        <w:t>i</w:t>
      </w:r>
      <w:r w:rsidRPr="00E64A4B">
        <w:t>tion de femme et par leur condition sociale, c'est souvent cette dernière qui occupe le devant de leur con</w:t>
      </w:r>
      <w:r w:rsidRPr="00E64A4B">
        <w:t>s</w:t>
      </w:r>
      <w:r w:rsidRPr="00E64A4B">
        <w:t>cience et les incite à rechercher des appuis auprès d'autres groupes (mixtes) en lutte : assistés sociaux, sans emplois, victimes de racisme.</w:t>
      </w:r>
    </w:p>
    <w:p w:rsidR="00B7214C" w:rsidRPr="00E64A4B" w:rsidRDefault="00B7214C" w:rsidP="00B7214C">
      <w:pPr>
        <w:spacing w:before="120" w:after="120"/>
        <w:jc w:val="both"/>
      </w:pPr>
    </w:p>
    <w:p w:rsidR="00B7214C" w:rsidRPr="00E64A4B" w:rsidRDefault="00B7214C" w:rsidP="00B7214C">
      <w:pPr>
        <w:pStyle w:val="a"/>
      </w:pPr>
      <w:r w:rsidRPr="00E64A4B">
        <w:t>AU-DELÀ DES INTÉRÊTS DIVERGENTS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Au coeur du discours sur la solidarité se trouvent les notions de « prise de conscience », de « vécu partagé », de « cause co</w:t>
      </w:r>
      <w:r w:rsidRPr="00E64A4B">
        <w:t>m</w:t>
      </w:r>
      <w:r w:rsidRPr="00E64A4B">
        <w:t>mune », de prédisposition et d'apprentissage, mais aussi une v</w:t>
      </w:r>
      <w:r w:rsidRPr="00E64A4B">
        <w:t>i</w:t>
      </w:r>
      <w:r w:rsidRPr="00E64A4B">
        <w:t>sion qui permet de projeter l'espoir au-delà des différences. Nous avons vu que la pe</w:t>
      </w:r>
      <w:r w:rsidRPr="00E64A4B">
        <w:t>r</w:t>
      </w:r>
      <w:r w:rsidRPr="00E64A4B">
        <w:t>ception du cheminement vers la prise de con</w:t>
      </w:r>
      <w:r w:rsidRPr="00E64A4B">
        <w:t>s</w:t>
      </w:r>
      <w:r w:rsidRPr="00E64A4B">
        <w:t>cience, de l'expérience personnelle, ou</w:t>
      </w:r>
      <w:r>
        <w:t xml:space="preserve"> </w:t>
      </w:r>
      <w:r w:rsidRPr="00E64A4B">
        <w:t>[389]</w:t>
      </w:r>
      <w:r>
        <w:t xml:space="preserve"> </w:t>
      </w:r>
      <w:r w:rsidRPr="00E64A4B">
        <w:t>de la cause à défendre peuvent varier selon que l'informatrice est une intervenante rémunérée ou une usagère-militante qui partage le quotidien des femmes avec qui elle travaille. Deux di</w:t>
      </w:r>
      <w:r w:rsidRPr="00E64A4B">
        <w:t>s</w:t>
      </w:r>
      <w:r w:rsidRPr="00E64A4B">
        <w:t>cours légèrement décalés se profilent et derrière eux un espace de te</w:t>
      </w:r>
      <w:r w:rsidRPr="00E64A4B">
        <w:t>n</w:t>
      </w:r>
      <w:r w:rsidRPr="00E64A4B">
        <w:t>sion et de conflits potentiels auxquels nous avons déjà fait réf</w:t>
      </w:r>
      <w:r w:rsidRPr="00E64A4B">
        <w:t>é</w:t>
      </w:r>
      <w:r w:rsidRPr="00E64A4B">
        <w:t>rence à propos des appels à la solidarité dont l'objectif est de tirer les femmes de leur isolement.</w:t>
      </w:r>
    </w:p>
    <w:p w:rsidR="00B7214C" w:rsidRPr="00E64A4B" w:rsidRDefault="00B7214C" w:rsidP="00B7214C">
      <w:pPr>
        <w:spacing w:before="120" w:after="120"/>
        <w:jc w:val="both"/>
      </w:pPr>
      <w:r w:rsidRPr="00E64A4B">
        <w:t>Les invitations à la solidarité prennent tout leur sens vis-à-vis des pressions porteuses de divisions ; et celles-ci sont nombreuses dans les groupes de femmes. Les informatrices étaient d'ailleurs beaucoup plus volubiles sur les éléments de division que sur les fondements de la solidarité. Alors que les premiers renvoient à une vision plus ou moins abstraite de la réalité des femmes, les causes de division, elles, re</w:t>
      </w:r>
      <w:r w:rsidRPr="00E64A4B">
        <w:t>n</w:t>
      </w:r>
      <w:r w:rsidRPr="00E64A4B">
        <w:t>voient à des enjeux très précis qui suscitent fréquemment des quere</w:t>
      </w:r>
      <w:r w:rsidRPr="00E64A4B">
        <w:t>l</w:t>
      </w:r>
      <w:r w:rsidRPr="00E64A4B">
        <w:t>les, des scissions, des démi</w:t>
      </w:r>
      <w:r w:rsidRPr="00E64A4B">
        <w:t>s</w:t>
      </w:r>
      <w:r w:rsidRPr="00E64A4B">
        <w:t>sions et des renvois.</w:t>
      </w:r>
    </w:p>
    <w:p w:rsidR="00B7214C" w:rsidRPr="00E64A4B" w:rsidRDefault="00B7214C" w:rsidP="00B7214C">
      <w:pPr>
        <w:spacing w:before="120" w:after="120"/>
        <w:jc w:val="both"/>
      </w:pPr>
      <w:r w:rsidRPr="00E64A4B">
        <w:t>Fait intéressant, ici à nouveau un double langage permet d'a</w:t>
      </w:r>
      <w:r w:rsidRPr="00E64A4B">
        <w:t>f</w:t>
      </w:r>
      <w:r w:rsidRPr="00E64A4B">
        <w:t>firmer tout en niant. Lorsque les intervenantes se disent solidaires de la cause des femmes, elles ont à l'esprit l'oppression générale qui touche l'e</w:t>
      </w:r>
      <w:r w:rsidRPr="00E64A4B">
        <w:t>n</w:t>
      </w:r>
      <w:r w:rsidRPr="00E64A4B">
        <w:t>semble des femmes et elles dénoncent le repli des femmes démunies, violentées ou marginalisées qui s'isolent et ne savent pas pratiquer la solidarité. Celles-ci pour leur part, se d</w:t>
      </w:r>
      <w:r w:rsidRPr="00E64A4B">
        <w:t>i</w:t>
      </w:r>
      <w:r w:rsidRPr="00E64A4B">
        <w:t>sent solidaires entre elles du fait qu'elles partagent le même vécu et elles n'hésitent pas à dénoncer la situation privilégiée des inte</w:t>
      </w:r>
      <w:r w:rsidRPr="00E64A4B">
        <w:t>r</w:t>
      </w:r>
      <w:r w:rsidRPr="00E64A4B">
        <w:t>venantes rémunérées qui, selon elles, ne pourraient pas comprendre puisqu'elles jouissent de revenus ass</w:t>
      </w:r>
      <w:r w:rsidRPr="00E64A4B">
        <w:t>u</w:t>
      </w:r>
      <w:r w:rsidRPr="00E64A4B">
        <w:t>rés et d'une aisance rel</w:t>
      </w:r>
      <w:r w:rsidRPr="00E64A4B">
        <w:t>a</w:t>
      </w:r>
      <w:r w:rsidRPr="00E64A4B">
        <w:t>tive.</w:t>
      </w:r>
    </w:p>
    <w:p w:rsidR="00B7214C" w:rsidRPr="00E64A4B" w:rsidRDefault="00B7214C" w:rsidP="00B7214C">
      <w:pPr>
        <w:spacing w:before="120" w:after="120"/>
        <w:jc w:val="both"/>
      </w:pPr>
      <w:r w:rsidRPr="00E64A4B">
        <w:t>Toutes les informatrices dénoncent ce qu'elles appellent les luttes de pouvoir qui sont la cause première des ruptures et des conflits, mais encore une fois, leurs visions de ce que sont ces luttes ne coïnc</w:t>
      </w:r>
      <w:r w:rsidRPr="00E64A4B">
        <w:t>i</w:t>
      </w:r>
      <w:r w:rsidRPr="00E64A4B">
        <w:t>de pas tout à fait. Les intervenantes conviennent qu'il existe entre e</w:t>
      </w:r>
      <w:r w:rsidRPr="00E64A4B">
        <w:t>l</w:t>
      </w:r>
      <w:r w:rsidRPr="00E64A4B">
        <w:t>les, mais aussi vis-à-vis des usagères-militantes, des luttes de pouvoir pour imposer leur analyse de la réalité des fe</w:t>
      </w:r>
      <w:r w:rsidRPr="00E64A4B">
        <w:t>m</w:t>
      </w:r>
      <w:r w:rsidRPr="00E64A4B">
        <w:t>mes, leurs techniques d'intervention, leurs méthodes de travail, leurs solutions, etc. Soul</w:t>
      </w:r>
      <w:r w:rsidRPr="00E64A4B">
        <w:t>i</w:t>
      </w:r>
      <w:r w:rsidRPr="00E64A4B">
        <w:t>gnons au passage que les affirmations quant à l'existence ou l'absence de solidarité, tout comme le contrôle des moyens qui permettent de la favoriser, font partie intégrante de ces luttes.</w:t>
      </w:r>
    </w:p>
    <w:p w:rsidR="00B7214C" w:rsidRPr="00E64A4B" w:rsidRDefault="00B7214C" w:rsidP="00B7214C">
      <w:pPr>
        <w:spacing w:before="120" w:after="120"/>
        <w:jc w:val="both"/>
      </w:pPr>
      <w:r w:rsidRPr="00E64A4B">
        <w:t>C'est dans ce contexte que l'énumération des causes de division e</w:t>
      </w:r>
      <w:r w:rsidRPr="00E64A4B">
        <w:t>n</w:t>
      </w:r>
      <w:r w:rsidRPr="00E64A4B">
        <w:t>tre femmes est intéressante, car elle renvoie à la lecture que font les informatrices de leur réalité et à la place qu'elles font à la sol</w:t>
      </w:r>
      <w:r w:rsidRPr="00E64A4B">
        <w:t>i</w:t>
      </w:r>
      <w:r w:rsidRPr="00E64A4B">
        <w:t>darité. Une première approximation nous amène à démarquer les causes « externes » découlant des conditions de vie, des causes « internes » liées à la personnalité.</w:t>
      </w:r>
    </w:p>
    <w:p w:rsidR="00B7214C" w:rsidRPr="00E64A4B" w:rsidRDefault="00B7214C" w:rsidP="00B7214C">
      <w:pPr>
        <w:spacing w:before="120" w:after="120"/>
        <w:jc w:val="both"/>
      </w:pPr>
      <w:r w:rsidRPr="00E64A4B">
        <w:t>[390]</w:t>
      </w:r>
    </w:p>
    <w:p w:rsidR="00B7214C" w:rsidRPr="00E64A4B" w:rsidRDefault="00B7214C" w:rsidP="00B7214C">
      <w:pPr>
        <w:spacing w:before="120" w:after="120"/>
        <w:jc w:val="both"/>
      </w:pPr>
      <w:r w:rsidRPr="00E64A4B">
        <w:t>Parmi les causes externes, le fait d'occuper ou non un poste rém</w:t>
      </w:r>
      <w:r w:rsidRPr="00E64A4B">
        <w:t>u</w:t>
      </w:r>
      <w:r w:rsidRPr="00E64A4B">
        <w:t>néré dans le groupe, et par extension d'avoir un travail, d'être assistée sociale ou sans emploi, constitue sans aucun doute un facteur impo</w:t>
      </w:r>
      <w:r w:rsidRPr="00E64A4B">
        <w:t>r</w:t>
      </w:r>
      <w:r w:rsidRPr="00E64A4B">
        <w:t>tant de différenciation que le discours sur la solidarité parvient diffic</w:t>
      </w:r>
      <w:r w:rsidRPr="00E64A4B">
        <w:t>i</w:t>
      </w:r>
      <w:r w:rsidRPr="00E64A4B">
        <w:t>lement à colmater.</w:t>
      </w:r>
    </w:p>
    <w:p w:rsidR="00B7214C" w:rsidRDefault="00B7214C" w:rsidP="00B7214C">
      <w:pPr>
        <w:pStyle w:val="Grillecouleur-Accent1"/>
      </w:pPr>
    </w:p>
    <w:p w:rsidR="00B7214C" w:rsidRPr="00E64A4B" w:rsidRDefault="00B7214C" w:rsidP="00B7214C">
      <w:pPr>
        <w:pStyle w:val="Grillecouleur-Accent1"/>
      </w:pPr>
      <w:r w:rsidRPr="00E64A4B">
        <w:t>[...] les femmes se jalousaient énormément. J'trouve ça do</w:t>
      </w:r>
      <w:r w:rsidRPr="00E64A4B">
        <w:t>m</w:t>
      </w:r>
      <w:r w:rsidRPr="00E64A4B">
        <w:t>mage là, mais c'est...C'est la réalité. Parce que quand j'arrivais on me disait on me disait..., pi ça, ça m'avait tellement frappé. Ah toi, on sait bien, t'as ta ma</w:t>
      </w:r>
      <w:r w:rsidRPr="00E64A4B">
        <w:t>i</w:t>
      </w:r>
      <w:r w:rsidRPr="00E64A4B">
        <w:t>son, t'as ton auto, pis pourtant j'm'en vantais pas là, mais les gens me que</w:t>
      </w:r>
      <w:r w:rsidRPr="00E64A4B">
        <w:t>s</w:t>
      </w:r>
      <w:r w:rsidRPr="00E64A4B">
        <w:t>tionnaient, les femmes me questionnaient, pis j'répo</w:t>
      </w:r>
      <w:r w:rsidRPr="00E64A4B">
        <w:t>n</w:t>
      </w:r>
      <w:r w:rsidRPr="00E64A4B">
        <w:t>dais. [...]</w:t>
      </w:r>
    </w:p>
    <w:p w:rsidR="00B7214C" w:rsidRDefault="00B7214C" w:rsidP="00B7214C">
      <w:pPr>
        <w:pStyle w:val="Grillecouleur-Accent1"/>
      </w:pPr>
      <w:r w:rsidRPr="00E64A4B">
        <w:t>Puis j'étais pas la seule cible..., parce qu'on me disait : vois-tu celle qui est là-bas là, a l'air toute mal habillée, mais en réalité à travaille au go</w:t>
      </w:r>
      <w:r w:rsidRPr="00E64A4B">
        <w:t>u</w:t>
      </w:r>
      <w:r w:rsidRPr="00E64A4B">
        <w:t>vernement, [...] pis à fait des gros salaires. Pis on me disait le montant, tout ça. J'me sentais tellement mal là-dedans (1-06-SBW 18-19).</w:t>
      </w:r>
    </w:p>
    <w:p w:rsidR="00B7214C" w:rsidRPr="00E64A4B" w:rsidRDefault="00B7214C" w:rsidP="00B7214C">
      <w:pPr>
        <w:pStyle w:val="Grillecouleur-Accent1"/>
      </w:pPr>
    </w:p>
    <w:p w:rsidR="00B7214C" w:rsidRPr="00E64A4B" w:rsidRDefault="00B7214C" w:rsidP="00B7214C">
      <w:pPr>
        <w:spacing w:before="120" w:after="120"/>
        <w:jc w:val="both"/>
      </w:pPr>
      <w:r w:rsidRPr="00E64A4B">
        <w:t>Deuxième dans la liste, le fait de vivre une situation familiale conventionnelle ou non, d'avoir ou non des enfants, d'avoir des e</w:t>
      </w:r>
      <w:r w:rsidRPr="00E64A4B">
        <w:t>n</w:t>
      </w:r>
      <w:r w:rsidRPr="00E64A4B">
        <w:t>fants jeunes, adolescents ou déjà adultes introduit aussi des différe</w:t>
      </w:r>
      <w:r w:rsidRPr="00E64A4B">
        <w:t>n</w:t>
      </w:r>
      <w:r w:rsidRPr="00E64A4B">
        <w:t>ces importantes entre les femmes. Les femmes, chefs de familles m</w:t>
      </w:r>
      <w:r w:rsidRPr="00E64A4B">
        <w:t>o</w:t>
      </w:r>
      <w:r w:rsidRPr="00E64A4B">
        <w:t>noparentales avec de jeunes enfants, sont parmi les plus démunis de la région. A l'opposé, une femme vivant en couple avec de grands e</w:t>
      </w:r>
      <w:r w:rsidRPr="00E64A4B">
        <w:t>n</w:t>
      </w:r>
      <w:r w:rsidRPr="00E64A4B">
        <w:t>fants qui contribuent aux travaux ménagers et au revenu familial peut paraître privilégiée. Les accusations d'égoï</w:t>
      </w:r>
      <w:r w:rsidRPr="00E64A4B">
        <w:t>s</w:t>
      </w:r>
      <w:r w:rsidRPr="00E64A4B">
        <w:t>me, de méfiance mutuelle, de jalousie, d'envie et d'agressivité doivent être comprises dans ce contexte.</w:t>
      </w:r>
    </w:p>
    <w:p w:rsidR="00B7214C" w:rsidRDefault="00B7214C" w:rsidP="00B7214C">
      <w:pPr>
        <w:pStyle w:val="Grillecouleur-Accent1"/>
      </w:pPr>
    </w:p>
    <w:p w:rsidR="00B7214C" w:rsidRDefault="00B7214C" w:rsidP="00B7214C">
      <w:pPr>
        <w:pStyle w:val="Grillecouleur-Accent1"/>
      </w:pPr>
      <w:r w:rsidRPr="00E64A4B">
        <w:t>[...] les femmes dont les enfants étaient rendus à l'école versus les femmes qui avaient des enfants en bas âge, ça, ça revenait continuell</w:t>
      </w:r>
      <w:r w:rsidRPr="00E64A4B">
        <w:t>e</w:t>
      </w:r>
      <w:r w:rsidRPr="00E64A4B">
        <w:t>ment, il y avait toujours quelque chose à régler là-dessus, je pense qu'à toutes les semaines, on devait travailler sur l'histoire d'avoir une gardie</w:t>
      </w:r>
      <w:r w:rsidRPr="00E64A4B">
        <w:t>n</w:t>
      </w:r>
      <w:r w:rsidRPr="00E64A4B">
        <w:t>ne, que oui les femmes qui avaient des enfants, avaient le droit de venir, oui on devait s'organiser e... d'avoir une gardienne, tu sais c'était toujours remis, remis, remis en question, ça c'était des choses qui les divisaient beaucoup. (2-01 SBW 18-19)</w:t>
      </w:r>
    </w:p>
    <w:p w:rsidR="00B7214C" w:rsidRPr="00E64A4B" w:rsidRDefault="00B7214C" w:rsidP="00B7214C">
      <w:pPr>
        <w:pStyle w:val="Grillecouleur-Accent1"/>
      </w:pPr>
    </w:p>
    <w:p w:rsidR="00B7214C" w:rsidRPr="00E64A4B" w:rsidRDefault="00B7214C" w:rsidP="00B7214C">
      <w:pPr>
        <w:spacing w:before="120" w:after="120"/>
        <w:jc w:val="both"/>
      </w:pPr>
      <w:r w:rsidRPr="00E64A4B">
        <w:t>Alors que l'expérience de la maternité et du soin aux enfants pou</w:t>
      </w:r>
      <w:r w:rsidRPr="00E64A4B">
        <w:t>r</w:t>
      </w:r>
      <w:r w:rsidRPr="00E64A4B">
        <w:t>raient constituer des points de rencontre pour les femmes, il s'avère qu'ils deviennent souvent des lieux de friction. Dans ce</w:t>
      </w:r>
      <w:r w:rsidRPr="00E64A4B">
        <w:t>r</w:t>
      </w:r>
      <w:r w:rsidRPr="00E64A4B">
        <w:t>tains groupes, les échanges concernant les enfants et les soins à leur prodiguer sont si tendus qu'ils dégénèrent fréquemment en conflits ouverts, les unes accusant les autres de vouloir discréditer leurs compétences materne</w:t>
      </w:r>
      <w:r w:rsidRPr="00E64A4B">
        <w:t>l</w:t>
      </w:r>
      <w:r w:rsidRPr="00E64A4B">
        <w:t>les.</w:t>
      </w:r>
    </w:p>
    <w:p w:rsidR="00B7214C" w:rsidRPr="00E64A4B" w:rsidRDefault="00B7214C" w:rsidP="00B7214C">
      <w:pPr>
        <w:spacing w:before="120" w:after="120"/>
        <w:jc w:val="both"/>
      </w:pPr>
      <w:r w:rsidRPr="00E64A4B">
        <w:t>Extraits de notes de terrain recueillies lors d'une rencontre (2-NT. 78) :</w:t>
      </w:r>
    </w:p>
    <w:p w:rsidR="00B7214C" w:rsidRPr="00E64A4B" w:rsidRDefault="00B7214C" w:rsidP="00B7214C">
      <w:pPr>
        <w:spacing w:before="120" w:after="120"/>
        <w:jc w:val="both"/>
      </w:pPr>
      <w:r w:rsidRPr="00E64A4B">
        <w:t>[391]</w:t>
      </w:r>
    </w:p>
    <w:p w:rsidR="00B7214C" w:rsidRDefault="00B7214C" w:rsidP="00B7214C">
      <w:pPr>
        <w:pStyle w:val="Grillecouleur-Accent1"/>
      </w:pPr>
      <w:r w:rsidRPr="00E64A4B">
        <w:t>« C. parle très fort, tandis que P. rit assez fort et que G. ne fait qu'éco</w:t>
      </w:r>
      <w:r w:rsidRPr="00E64A4B">
        <w:t>u</w:t>
      </w:r>
      <w:r w:rsidRPr="00E64A4B">
        <w:t>ter. [...] Z. rentre dans la pièce après être allée vérifier le so</w:t>
      </w:r>
      <w:r w:rsidRPr="00E64A4B">
        <w:t>m</w:t>
      </w:r>
      <w:r w:rsidRPr="00E64A4B">
        <w:t>meil de son bébé à la garderie, regarde G. droit dans les yeux et lui dit « parle pas si fort tu vas réveiller mon bébé. » C'est la crise. G. tient deux discours d'abord « pourquoi s'attaque-t-elle toujours au plus faible ? » puis elle i</w:t>
      </w:r>
      <w:r w:rsidRPr="00E64A4B">
        <w:t>n</w:t>
      </w:r>
      <w:r w:rsidRPr="00E64A4B">
        <w:t>siste sur son expérience de vie en tant que mère. [Suite à cette confront</w:t>
      </w:r>
      <w:r w:rsidRPr="00E64A4B">
        <w:t>a</w:t>
      </w:r>
      <w:r w:rsidRPr="00E64A4B">
        <w:t>tion] G. a eu des tremblements (environ pendant une heure), de la diff</w:t>
      </w:r>
      <w:r w:rsidRPr="00E64A4B">
        <w:t>i</w:t>
      </w:r>
      <w:r w:rsidRPr="00E64A4B">
        <w:t>culté à ma</w:t>
      </w:r>
      <w:r w:rsidRPr="00E64A4B">
        <w:t>r</w:t>
      </w:r>
      <w:r w:rsidRPr="00E64A4B">
        <w:t>cher et à parler (les 10 premières minutes)... »</w:t>
      </w:r>
    </w:p>
    <w:p w:rsidR="00B7214C" w:rsidRPr="00E64A4B" w:rsidRDefault="00B7214C" w:rsidP="00B7214C">
      <w:pPr>
        <w:pStyle w:val="Grillecouleur-Accent1"/>
      </w:pPr>
    </w:p>
    <w:p w:rsidR="00B7214C" w:rsidRPr="00E64A4B" w:rsidRDefault="00B7214C" w:rsidP="00B7214C">
      <w:pPr>
        <w:spacing w:before="120" w:after="120"/>
        <w:jc w:val="both"/>
      </w:pPr>
      <w:r w:rsidRPr="00E64A4B">
        <w:t>Doit-on en conclure que lorsqu'elles sont démunies de toute aisa</w:t>
      </w:r>
      <w:r w:rsidRPr="00E64A4B">
        <w:t>n</w:t>
      </w:r>
      <w:r w:rsidRPr="00E64A4B">
        <w:t>ce matérielle, assujetties à des interventions contrôlantes de la part d'une bureaucratie envahissante, assaillies par des experts qui veulent modifier jusqu'à leur façon de voir, les femmes n'ont plus que leur rapport aux enfants pour affirmer une certaine compéte</w:t>
      </w:r>
      <w:r w:rsidRPr="00E64A4B">
        <w:t>n</w:t>
      </w:r>
      <w:r w:rsidRPr="00E64A4B">
        <w:t>ce et donner un sens à leur existence ? Si tel est le cas, les accusations de néglige</w:t>
      </w:r>
      <w:r w:rsidRPr="00E64A4B">
        <w:t>n</w:t>
      </w:r>
      <w:r w:rsidRPr="00E64A4B">
        <w:t>ce, d'irresponsabilité, d'inconscience qu'elles se lancent mutuellement témoignent probablement de l'existence de « je » facilement ébranlés, d'identités fragiles, très loin de l'idéal moderne d'autonomie. Dans la mesure où ces confrontations do</w:t>
      </w:r>
      <w:r w:rsidRPr="00E64A4B">
        <w:t>u</w:t>
      </w:r>
      <w:r w:rsidRPr="00E64A4B">
        <w:t>loureuses constituent des efforts de valorisation au détriment de leurs semblables, il semble évident que les préalables au dévelo</w:t>
      </w:r>
      <w:r w:rsidRPr="00E64A4B">
        <w:t>p</w:t>
      </w:r>
      <w:r w:rsidRPr="00E64A4B">
        <w:t>pement d'une solidarité fructueuse ne sont pas encore présents.</w:t>
      </w:r>
    </w:p>
    <w:p w:rsidR="00B7214C" w:rsidRPr="00E64A4B" w:rsidRDefault="00B7214C" w:rsidP="00B7214C">
      <w:pPr>
        <w:spacing w:before="120" w:after="120"/>
        <w:jc w:val="both"/>
      </w:pPr>
      <w:r w:rsidRPr="00E64A4B">
        <w:t>Des éléments internes, liés au style de chacune, départagent aussi les femmes et rendent la pratique de la solidarité difficile. À ce chap</w:t>
      </w:r>
      <w:r w:rsidRPr="00E64A4B">
        <w:t>i</w:t>
      </w:r>
      <w:r w:rsidRPr="00E64A4B">
        <w:t>tre, les informatrices dénoncent avec vigueur les leaders qui veulent « prendre toute la place », écartant leurs rivales et r</w:t>
      </w:r>
      <w:r w:rsidRPr="00E64A4B">
        <w:t>e</w:t>
      </w:r>
      <w:r w:rsidRPr="00E64A4B">
        <w:t>poussant dans l'ombre les moins articulées.</w:t>
      </w:r>
    </w:p>
    <w:p w:rsidR="00B7214C" w:rsidRDefault="00B7214C" w:rsidP="00B7214C">
      <w:pPr>
        <w:pStyle w:val="Grillecouleur-Accent1"/>
      </w:pPr>
    </w:p>
    <w:p w:rsidR="00B7214C" w:rsidRDefault="00B7214C" w:rsidP="00B7214C">
      <w:pPr>
        <w:pStyle w:val="Grillecouleur-Accent1"/>
      </w:pPr>
      <w:r w:rsidRPr="00E64A4B">
        <w:t>X à l'avait un pouvoir qui était extrêmement malsain. Y'avait plein de choses que tu pouvais pas dire, qui avaient pas de place pour être dites. Tu sais moé j'pense que si y'avait pas eu toute ce</w:t>
      </w:r>
      <w:r w:rsidRPr="00E64A4B">
        <w:t>t</w:t>
      </w:r>
      <w:r w:rsidRPr="00E64A4B">
        <w:t>te « chire-là », pis comment que chu mal présentement à être..., à avoir trop de le</w:t>
      </w:r>
      <w:r w:rsidRPr="00E64A4B">
        <w:t>a</w:t>
      </w:r>
      <w:r w:rsidRPr="00E64A4B">
        <w:t>dership, pis à vouloir que d'autres en prenne, pis à voir c'que fais m</w:t>
      </w:r>
      <w:r w:rsidRPr="00E64A4B">
        <w:t>ê</w:t>
      </w:r>
      <w:r w:rsidRPr="00E64A4B">
        <w:t>me avec J., pis c'que j'veux dire j'ie dis pas pour bien paraître (5-06 SBW.31).</w:t>
      </w:r>
    </w:p>
    <w:p w:rsidR="00B7214C" w:rsidRPr="00E64A4B" w:rsidRDefault="00B7214C" w:rsidP="00B7214C">
      <w:pPr>
        <w:pStyle w:val="Grillecouleur-Accent1"/>
      </w:pPr>
    </w:p>
    <w:p w:rsidR="00B7214C" w:rsidRPr="00E64A4B" w:rsidRDefault="00B7214C" w:rsidP="00B7214C">
      <w:pPr>
        <w:spacing w:before="120" w:after="120"/>
        <w:jc w:val="both"/>
      </w:pPr>
      <w:r w:rsidRPr="00E64A4B">
        <w:t>Les femmes rencontrées tentent généralement d'éviter les confro</w:t>
      </w:r>
      <w:r w:rsidRPr="00E64A4B">
        <w:t>n</w:t>
      </w:r>
      <w:r w:rsidRPr="00E64A4B">
        <w:t>tations et les conflits ouverts, ce qui veut dire qu'elles sont relativ</w:t>
      </w:r>
      <w:r w:rsidRPr="00E64A4B">
        <w:t>e</w:t>
      </w:r>
      <w:r w:rsidRPr="00E64A4B">
        <w:t>ment sans recours vis-à-vis des personnalités fortes qui n'hésitent pas à s'imposer aux autres. Le retrait dans le silence, l'absence, la résista</w:t>
      </w:r>
      <w:r w:rsidRPr="00E64A4B">
        <w:t>n</w:t>
      </w:r>
      <w:r w:rsidRPr="00E64A4B">
        <w:t>ce passive servent alors de marqueurs de di</w:t>
      </w:r>
      <w:r w:rsidRPr="00E64A4B">
        <w:t>s</w:t>
      </w:r>
      <w:r w:rsidRPr="00E64A4B">
        <w:t>sension et sont autant de barrières à l'élaboration de rapports solidaires. Les accusations de su</w:t>
      </w:r>
      <w:r w:rsidRPr="00E64A4B">
        <w:t>s</w:t>
      </w:r>
      <w:r w:rsidRPr="00E64A4B">
        <w:t>ceptibilité, d'hypocrisie, de calo</w:t>
      </w:r>
      <w:r w:rsidRPr="00E64A4B">
        <w:t>m</w:t>
      </w:r>
      <w:r w:rsidRPr="00E64A4B">
        <w:t>nie, d'individualisme, de carriérisme, de vouloir plaire ou bien paraître fusent alors comme autant d'efforts pour discréditer, de</w:t>
      </w:r>
      <w:r w:rsidRPr="00E64A4B">
        <w:t>r</w:t>
      </w:r>
      <w:r w:rsidRPr="00E64A4B">
        <w:t>rière son dos, celle qui veut s'imposer par un comportement affi</w:t>
      </w:r>
      <w:r w:rsidRPr="00E64A4B">
        <w:t>r</w:t>
      </w:r>
      <w:r w:rsidRPr="00E64A4B">
        <w:t>matif et autoritaire. L'instruction, l'apparence, les positions d'aut</w:t>
      </w:r>
      <w:r w:rsidRPr="00E64A4B">
        <w:t>o</w:t>
      </w:r>
      <w:r w:rsidRPr="00E64A4B">
        <w:t>rité rendent les femmes très vulnérables aux attaques de celles qui se considèrent moins « chanceuses ».</w:t>
      </w:r>
    </w:p>
    <w:p w:rsidR="00B7214C" w:rsidRPr="00E64A4B" w:rsidRDefault="00B7214C" w:rsidP="00B7214C">
      <w:pPr>
        <w:spacing w:before="120" w:after="120"/>
        <w:jc w:val="both"/>
      </w:pPr>
      <w:r w:rsidRPr="00E64A4B">
        <w:t>[392]</w:t>
      </w:r>
    </w:p>
    <w:p w:rsidR="00B7214C" w:rsidRPr="00E64A4B" w:rsidRDefault="00B7214C" w:rsidP="00B7214C">
      <w:pPr>
        <w:spacing w:before="120" w:after="120"/>
        <w:jc w:val="both"/>
      </w:pPr>
      <w:r w:rsidRPr="00E64A4B">
        <w:t>Les plus durement visées sont celles qui acceptent les règles du jeu imposées par les hommes pour accéder à des positions avant</w:t>
      </w:r>
      <w:r w:rsidRPr="00E64A4B">
        <w:t>a</w:t>
      </w:r>
      <w:r w:rsidRPr="00E64A4B">
        <w:t>geuses, généralement au détriment de leurs semblables. Accusées, par exe</w:t>
      </w:r>
      <w:r w:rsidRPr="00E64A4B">
        <w:t>m</w:t>
      </w:r>
      <w:r w:rsidRPr="00E64A4B">
        <w:t>ple, de gérer leur groupe comme s'il était une « petite entreprise », e</w:t>
      </w:r>
      <w:r w:rsidRPr="00E64A4B">
        <w:t>l</w:t>
      </w:r>
      <w:r w:rsidRPr="00E64A4B">
        <w:t>les favorisent une logique bureaucratique et une administration serrée. Dans un tel contexte, le discours sur la sol</w:t>
      </w:r>
      <w:r w:rsidRPr="00E64A4B">
        <w:t>i</w:t>
      </w:r>
      <w:r w:rsidRPr="00E64A4B">
        <w:t>darité peut être utilisé pour désigner celles qui partagent la culture du groupe et celles qui s'en écartent. Le même discours peut aussi servir à construire et à entret</w:t>
      </w:r>
      <w:r w:rsidRPr="00E64A4B">
        <w:t>e</w:t>
      </w:r>
      <w:r w:rsidRPr="00E64A4B">
        <w:t>nir des liens avec celles qui se sont propulsées dans l'univers masculin de la politique ou de la techn</w:t>
      </w:r>
      <w:r w:rsidRPr="00E64A4B">
        <w:t>o</w:t>
      </w:r>
      <w:r w:rsidRPr="00E64A4B">
        <w:t>cratie et qui sont maintenant en mesure d'y faire valoir le point de vue des femmes.</w:t>
      </w:r>
    </w:p>
    <w:p w:rsidR="00B7214C" w:rsidRPr="00E64A4B" w:rsidRDefault="00B7214C" w:rsidP="00B7214C">
      <w:pPr>
        <w:spacing w:before="120" w:after="120"/>
        <w:jc w:val="both"/>
      </w:pPr>
      <w:r w:rsidRPr="00E64A4B">
        <w:t>Le discours sur la solidarité s'avère donc être une arme à deux tranchants, utilisée différemment selon la position sociale de ce</w:t>
      </w:r>
      <w:r w:rsidRPr="00E64A4B">
        <w:t>l</w:t>
      </w:r>
      <w:r w:rsidRPr="00E64A4B">
        <w:t>les qui la portent. Les plus démunies se réconfortent à l'idée que les autres sont des « traîtres » à la cause. Celles qui ont du succès rappellent à qui veut l'entendre qu'elles sont, elles aussi, des fe</w:t>
      </w:r>
      <w:r w:rsidRPr="00E64A4B">
        <w:t>m</w:t>
      </w:r>
      <w:r w:rsidRPr="00E64A4B">
        <w:t>mes et qu'à ce titre elles sont en droit de solliciter « la base » pour asseoir leur légitimité. De la solidarité, on glisse ainsi vers le po</w:t>
      </w:r>
      <w:r w:rsidRPr="00E64A4B">
        <w:t>u</w:t>
      </w:r>
      <w:r w:rsidRPr="00E64A4B">
        <w:t>voir.</w:t>
      </w:r>
    </w:p>
    <w:p w:rsidR="00B7214C" w:rsidRPr="00E64A4B" w:rsidRDefault="00B7214C" w:rsidP="00B7214C">
      <w:pPr>
        <w:spacing w:before="120" w:after="120"/>
        <w:jc w:val="both"/>
      </w:pPr>
      <w:r w:rsidRPr="00E64A4B">
        <w:t>Mais ce passage n'est jamais automatique et bon nombre de fe</w:t>
      </w:r>
      <w:r w:rsidRPr="00E64A4B">
        <w:t>m</w:t>
      </w:r>
      <w:r w:rsidRPr="00E64A4B">
        <w:t>mes conçoivent la solidarité comme un engagement collectif profond qui s'appuie non seulement sur une analyse rationnelle de leur situ</w:t>
      </w:r>
      <w:r w:rsidRPr="00E64A4B">
        <w:t>a</w:t>
      </w:r>
      <w:r w:rsidRPr="00E64A4B">
        <w:t>tion, mais sur leur être tout entier, sollicité par l'émotion que suscite la lutte commune :</w:t>
      </w:r>
    </w:p>
    <w:p w:rsidR="00B7214C" w:rsidRDefault="00B7214C" w:rsidP="00B7214C">
      <w:pPr>
        <w:pStyle w:val="Grillecouleur-Accent1"/>
      </w:pPr>
    </w:p>
    <w:p w:rsidR="00B7214C" w:rsidRPr="00E64A4B" w:rsidRDefault="00B7214C" w:rsidP="00B7214C">
      <w:pPr>
        <w:pStyle w:val="Grillecouleur-Accent1"/>
      </w:pPr>
      <w:r w:rsidRPr="00E64A4B">
        <w:t>Moi j'ai toujours eu comme ben des.., j'pense que j'ai toujours eu ben des grosses attentes par rapport à ça [la solidarité]. Ou j'ai to</w:t>
      </w:r>
      <w:r w:rsidRPr="00E64A4B">
        <w:t>u</w:t>
      </w:r>
      <w:r w:rsidRPr="00E64A4B">
        <w:t>jours idéalisé ça. Pour moi la solidarité, t'sé c'était on s'tient toutes. Pis c'est comme..., on s'tient pour que quèque chose change, pis on est toutes..., c'est co</w:t>
      </w:r>
      <w:r w:rsidRPr="00E64A4B">
        <w:t>m</w:t>
      </w:r>
      <w:r w:rsidRPr="00E64A4B">
        <w:t>me..., si y'en a une qui s'mouille, tout le monde se mouille. T'sé c'est comme..., un pour tous, tous pour un là.</w:t>
      </w:r>
    </w:p>
    <w:p w:rsidR="00B7214C" w:rsidRPr="00E64A4B" w:rsidRDefault="00B7214C" w:rsidP="00B7214C">
      <w:pPr>
        <w:pStyle w:val="Grillecouleur-Accent1"/>
      </w:pPr>
      <w:r w:rsidRPr="00E64A4B">
        <w:t>Pour moé c'est ben ça là. C'est..., on est là pour soi, mais on est là pour tout le monde aussi là. Tout le monde ensemble, pis bon là c'est sûr que pour moé c'est les femmes là. C'est bien émotif so</w:t>
      </w:r>
      <w:r w:rsidRPr="00E64A4B">
        <w:t>u</w:t>
      </w:r>
      <w:r w:rsidRPr="00E64A4B">
        <w:t>vent cette notion-là comme..., j'ie sais pas dans des manifs, ou dans des... Je r'pense à manif au Palais de justice, ou dans les 8 mars ; ça devient comme ben émotif à un moment donné cette notion de solidarité-là. Pour moé ça fait comme..., j'me sens un peu comme..., bon on est o</w:t>
      </w:r>
      <w:r w:rsidRPr="00E64A4B">
        <w:t>p</w:t>
      </w:r>
      <w:r w:rsidRPr="00E64A4B">
        <w:t>pressé, mais là on est ensemble. Pis c'est comme..., c'est une notion beaucoup de..., de...</w:t>
      </w:r>
    </w:p>
    <w:p w:rsidR="00B7214C" w:rsidRPr="00E64A4B" w:rsidRDefault="00B7214C" w:rsidP="00B7214C">
      <w:pPr>
        <w:pStyle w:val="Grillecouleur-Accent1"/>
      </w:pPr>
      <w:r w:rsidRPr="00E64A4B">
        <w:t>Y'a une notion d'amour là-dedans, mais de..., de..., d'attach</w:t>
      </w:r>
      <w:r w:rsidRPr="00E64A4B">
        <w:t>e</w:t>
      </w:r>
      <w:r w:rsidRPr="00E64A4B">
        <w:t>ment là, de lutte qui est forte comme..., de luttes ensemble comme une chaîne pis on s'tient. T'sé c'est comme debout devant l'adve</w:t>
      </w:r>
      <w:r w:rsidRPr="00E64A4B">
        <w:t>r</w:t>
      </w:r>
      <w:r w:rsidRPr="00E64A4B">
        <w:t>saire là. (5-05 S.B.W. 72)</w:t>
      </w:r>
    </w:p>
    <w:p w:rsidR="00B7214C" w:rsidRDefault="00B7214C" w:rsidP="00B7214C">
      <w:pPr>
        <w:spacing w:before="120" w:after="120"/>
        <w:jc w:val="both"/>
      </w:pPr>
    </w:p>
    <w:p w:rsidR="00B7214C" w:rsidRPr="00E64A4B" w:rsidRDefault="00B7214C" w:rsidP="00B7214C">
      <w:pPr>
        <w:spacing w:before="120" w:after="120"/>
        <w:jc w:val="both"/>
      </w:pPr>
      <w:r w:rsidRPr="00E64A4B">
        <w:t>[393]</w:t>
      </w:r>
    </w:p>
    <w:p w:rsidR="00B7214C" w:rsidRPr="00E64A4B" w:rsidRDefault="00B7214C" w:rsidP="00B7214C">
      <w:pPr>
        <w:spacing w:before="120" w:after="120"/>
        <w:jc w:val="both"/>
      </w:pPr>
      <w:r w:rsidRPr="00E64A4B">
        <w:t>L'idée de la solidarité comme mythe ne pourrait être mieux expr</w:t>
      </w:r>
      <w:r w:rsidRPr="00E64A4B">
        <w:t>i</w:t>
      </w:r>
      <w:r w:rsidRPr="00E64A4B">
        <w:t>mée : se tenir ensemble pour que les choses changent, liées par une émotion commune, un attachement aux « autres » victimes d'une m</w:t>
      </w:r>
      <w:r w:rsidRPr="00E64A4B">
        <w:t>ê</w:t>
      </w:r>
      <w:r w:rsidRPr="00E64A4B">
        <w:t>me oppression, et dont la force de résistance s'ancre dans l'espoir de lendemains meilleurs. Les femmes formant cette chaîne idéale se r</w:t>
      </w:r>
      <w:r w:rsidRPr="00E64A4B">
        <w:t>e</w:t>
      </w:r>
      <w:r w:rsidRPr="00E64A4B">
        <w:t>trouvent dans des moments forts, en dépit de leurs différences, et poursuivent ainsi leur combat, solidaires au-delà de leurs intérêts ind</w:t>
      </w:r>
      <w:r w:rsidRPr="00E64A4B">
        <w:t>i</w:t>
      </w:r>
      <w:r w:rsidRPr="00E64A4B">
        <w:t>viduels.</w:t>
      </w:r>
    </w:p>
    <w:p w:rsidR="00B7214C" w:rsidRPr="00E64A4B" w:rsidRDefault="00B7214C" w:rsidP="00B7214C">
      <w:pPr>
        <w:spacing w:before="120" w:after="120"/>
        <w:jc w:val="both"/>
      </w:pPr>
    </w:p>
    <w:p w:rsidR="00B7214C" w:rsidRPr="00E64A4B" w:rsidRDefault="00B7214C" w:rsidP="00B7214C">
      <w:pPr>
        <w:pStyle w:val="a"/>
      </w:pPr>
      <w:r w:rsidRPr="00E64A4B">
        <w:t>CONCLUSION</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appels à la solidarité émanant du mouvement des femmes du Québec ne se font pas moins fréquents avec les années, d'où la pert</w:t>
      </w:r>
      <w:r w:rsidRPr="00E64A4B">
        <w:t>i</w:t>
      </w:r>
      <w:r w:rsidRPr="00E64A4B">
        <w:t>nence de mieux comprendre à la fois le discours qui la véh</w:t>
      </w:r>
      <w:r w:rsidRPr="00E64A4B">
        <w:t>i</w:t>
      </w:r>
      <w:r w:rsidRPr="00E64A4B">
        <w:t>cule et sa mise en oeuvre en dépit des frictions, des conflits et des différences. Nous avons voulu souligner l'importance de comprendre l'idéal de s</w:t>
      </w:r>
      <w:r w:rsidRPr="00E64A4B">
        <w:t>o</w:t>
      </w:r>
      <w:r w:rsidRPr="00E64A4B">
        <w:t>lidarité et les défis de son actualisation en t</w:t>
      </w:r>
      <w:r w:rsidRPr="00E64A4B">
        <w:t>e</w:t>
      </w:r>
      <w:r w:rsidRPr="00E64A4B">
        <w:t>nant compte du contexte socioculturel. Ainsi, il nous semble que le mouvement des femmes du Québec, à travers ses appels à la solidarité, les invite à développer l'autonomie nécessaire pour s'inscrire dans la modernité en tant que citoyennes à part entière, en mesure de participer à un projet de soci</w:t>
      </w:r>
      <w:r w:rsidRPr="00E64A4B">
        <w:t>é</w:t>
      </w:r>
      <w:r w:rsidRPr="00E64A4B">
        <w:t>té (comme en témo</w:t>
      </w:r>
      <w:r w:rsidRPr="00E64A4B">
        <w:t>i</w:t>
      </w:r>
      <w:r w:rsidRPr="00E64A4B">
        <w:t>gne le Forum national des femmes de mai 1992).</w:t>
      </w:r>
    </w:p>
    <w:p w:rsidR="00B7214C" w:rsidRPr="00E64A4B" w:rsidRDefault="00B7214C" w:rsidP="00B7214C">
      <w:pPr>
        <w:spacing w:before="120" w:after="120"/>
        <w:jc w:val="both"/>
      </w:pPr>
      <w:r w:rsidRPr="00E64A4B">
        <w:t>Pour celles qui ne possèdent pas les prérequis, celles dont l'e</w:t>
      </w:r>
      <w:r w:rsidRPr="00E64A4B">
        <w:t>s</w:t>
      </w:r>
      <w:r w:rsidRPr="00E64A4B">
        <w:t>time a été brisée par une vie de souffrance, par la pauvreté ou la malcha</w:t>
      </w:r>
      <w:r w:rsidRPr="00E64A4B">
        <w:t>n</w:t>
      </w:r>
      <w:r w:rsidRPr="00E64A4B">
        <w:t>ce, des groupes de support sont mis sur pied afin de les accompagner. Ce mouvement social, à l'origine fondé sur l'entraide et le support m</w:t>
      </w:r>
      <w:r w:rsidRPr="00E64A4B">
        <w:t>u</w:t>
      </w:r>
      <w:r w:rsidRPr="00E64A4B">
        <w:t>tuel dans un esprit de solidarité fusionnelle, connaît ainsi une profe</w:t>
      </w:r>
      <w:r w:rsidRPr="00E64A4B">
        <w:t>s</w:t>
      </w:r>
      <w:r w:rsidRPr="00E64A4B">
        <w:t>sionnalisation qui croît avec l'offre de se</w:t>
      </w:r>
      <w:r w:rsidRPr="00E64A4B">
        <w:t>r</w:t>
      </w:r>
      <w:r w:rsidRPr="00E64A4B">
        <w:t>vices nouveaux. Le support offert prend alors la forme d'une aide technique, professionnelle, qu</w:t>
      </w:r>
      <w:r w:rsidRPr="00E64A4B">
        <w:t>a</w:t>
      </w:r>
      <w:r w:rsidRPr="00E64A4B">
        <w:t>lifiée. Il s'écarte graduellement, quoique pas entièrement, du support qu'offraient celles qui s</w:t>
      </w:r>
      <w:r w:rsidRPr="00E64A4B">
        <w:t>a</w:t>
      </w:r>
      <w:r w:rsidRPr="00E64A4B">
        <w:t>vaient par expérience, qui avaient vécu des difficultés similaires et dont les réussites étaient garantes d'espoir pour les autres.</w:t>
      </w:r>
    </w:p>
    <w:p w:rsidR="00B7214C" w:rsidRPr="00E64A4B" w:rsidRDefault="00B7214C" w:rsidP="00B7214C">
      <w:pPr>
        <w:spacing w:before="120" w:after="120"/>
        <w:jc w:val="both"/>
      </w:pPr>
      <w:r w:rsidRPr="00E64A4B">
        <w:t>Il en résulte une polarisation entre celles qui assument les respo</w:t>
      </w:r>
      <w:r w:rsidRPr="00E64A4B">
        <w:t>n</w:t>
      </w:r>
      <w:r w:rsidRPr="00E64A4B">
        <w:t>sabilités liées à ce nouveau type d'organisation et celles qui conso</w:t>
      </w:r>
      <w:r w:rsidRPr="00E64A4B">
        <w:t>m</w:t>
      </w:r>
      <w:r w:rsidRPr="00E64A4B">
        <w:t>ment les services. Cette polarisation suscite de nouveaux défis pour la réalisation de l'idéal de solidarité. Ce sont ces défis qui ont été anal</w:t>
      </w:r>
      <w:r w:rsidRPr="00E64A4B">
        <w:t>y</w:t>
      </w:r>
      <w:r w:rsidRPr="00E64A4B">
        <w:t>sés ici à travers une présentation en deux temps. D'abord les discours des informatrices sur la solidarité, afin de comprendre les préalables, les conditions dans lesquelles elle peut se déployer et les motifs qui incitent les femmes à adopter cette stratégie. Ensuite, ce sont les lieux de tension, de conflit, de fri</w:t>
      </w:r>
      <w:r w:rsidRPr="00E64A4B">
        <w:t>c</w:t>
      </w:r>
      <w:r w:rsidRPr="00E64A4B">
        <w:t>tion qui ont été repérés, toujours à travers le discours des informatrices, afin de mettre</w:t>
      </w:r>
      <w:r>
        <w:t xml:space="preserve"> </w:t>
      </w:r>
      <w:r w:rsidRPr="00E64A4B">
        <w:t>[394]</w:t>
      </w:r>
      <w:r>
        <w:t xml:space="preserve"> </w:t>
      </w:r>
      <w:r w:rsidRPr="00E64A4B">
        <w:t>en relief les diff</w:t>
      </w:r>
      <w:r w:rsidRPr="00E64A4B">
        <w:t>i</w:t>
      </w:r>
      <w:r w:rsidRPr="00E64A4B">
        <w:t>cultés qu'impose son actualisation, en dépit des intérêts divergents r</w:t>
      </w:r>
      <w:r w:rsidRPr="00E64A4B">
        <w:t>é</w:t>
      </w:r>
      <w:r w:rsidRPr="00E64A4B">
        <w:t>sultant notamment d'un rapprochement de l'app</w:t>
      </w:r>
      <w:r w:rsidRPr="00E64A4B">
        <w:t>a</w:t>
      </w:r>
      <w:r w:rsidRPr="00E64A4B">
        <w:t>reil d'État à travers ses programmes de financement et de la profe</w:t>
      </w:r>
      <w:r w:rsidRPr="00E64A4B">
        <w:t>s</w:t>
      </w:r>
      <w:r w:rsidRPr="00E64A4B">
        <w:t>sionnalisation qu'ils suscitent.</w:t>
      </w:r>
    </w:p>
    <w:p w:rsidR="00B7214C" w:rsidRPr="00E64A4B" w:rsidRDefault="00B7214C" w:rsidP="00B7214C">
      <w:pPr>
        <w:spacing w:before="120" w:after="120"/>
        <w:jc w:val="both"/>
      </w:pPr>
      <w:r w:rsidRPr="00E64A4B">
        <w:t>Nos a priori théoriques nous avaient fait privilégier le repérage de la « solidarité fusionnelle ». Nous avons effectivement trouvé ce type de solidarité, notamment entre usagères-militantes eng</w:t>
      </w:r>
      <w:r w:rsidRPr="00E64A4B">
        <w:t>a</w:t>
      </w:r>
      <w:r w:rsidRPr="00E64A4B">
        <w:t>gées dans des groupes répondant à des problématiques spécif</w:t>
      </w:r>
      <w:r w:rsidRPr="00E64A4B">
        <w:t>i</w:t>
      </w:r>
      <w:r w:rsidRPr="00E64A4B">
        <w:t>ques, mais aussi avec certaines intervenantes très impliquées dans leur groupe. Les conflits dont nous avons fait état, de même que l'exclusion occasionnelle de membres, ne seraient dans cette per</w:t>
      </w:r>
      <w:r w:rsidRPr="00E64A4B">
        <w:t>s</w:t>
      </w:r>
      <w:r w:rsidRPr="00E64A4B">
        <w:t>pective que des mécanismes d'ajustement interne à travers le</w:t>
      </w:r>
      <w:r w:rsidRPr="00E64A4B">
        <w:t>s</w:t>
      </w:r>
      <w:r w:rsidRPr="00E64A4B">
        <w:t>quels se tisse l'identité commune et le sentiment d'appartenance. Comme le faisait remarquer une informatr</w:t>
      </w:r>
      <w:r w:rsidRPr="00E64A4B">
        <w:t>i</w:t>
      </w:r>
      <w:r w:rsidRPr="00E64A4B">
        <w:t>ce, contrairement à d'autres, les femmes, elles, « osent vivre » et « osent dire » leurs contradictions. Ce serait d'ailleurs dans l'acception de ce risque que résiderait leur force. C'est ainsi que se créerait une culture propre au groupe, culture qui donne un langage commun, des r</w:t>
      </w:r>
      <w:r w:rsidRPr="00E64A4B">
        <w:t>é</w:t>
      </w:r>
      <w:r w:rsidRPr="00E64A4B">
        <w:t>férents et une dynamique qui lui sont propres et qui permet aux membres d'organiser leur action.</w:t>
      </w:r>
    </w:p>
    <w:p w:rsidR="00B7214C" w:rsidRPr="00E64A4B" w:rsidRDefault="00B7214C" w:rsidP="00B7214C">
      <w:pPr>
        <w:spacing w:before="120" w:after="120"/>
        <w:jc w:val="both"/>
      </w:pPr>
      <w:r w:rsidRPr="00E64A4B">
        <w:t>Mais ce type de solidarité ne serait vraiment viable que dans un contexte où une menace externe se fait pressante. Lorsque les acquis se multiplient et que « la cause » trouve un écho dans des institutions et dans l'appareil d'État, il devient plus difficile de mobiliser les gens sur la base de ce type de solidarité. Celle-ci peut, par contre, prendre d'autres formes, qui ont leurs propres caractéristiques et qui sont aussi porteuses de projets communs.</w:t>
      </w:r>
    </w:p>
    <w:p w:rsidR="00B7214C" w:rsidRPr="00E64A4B" w:rsidRDefault="00B7214C" w:rsidP="00B7214C">
      <w:pPr>
        <w:spacing w:before="120" w:after="120"/>
        <w:jc w:val="both"/>
      </w:pPr>
      <w:r w:rsidRPr="00E64A4B">
        <w:t>Il ne fait aucun doute que les informatrices sont très réfracta</w:t>
      </w:r>
      <w:r w:rsidRPr="00E64A4B">
        <w:t>i</w:t>
      </w:r>
      <w:r w:rsidRPr="00E64A4B">
        <w:t>res à l'implantation d'une solidarité de parti qui exigerait d'elles une so</w:t>
      </w:r>
      <w:r w:rsidRPr="00E64A4B">
        <w:t>u</w:t>
      </w:r>
      <w:r w:rsidRPr="00E64A4B">
        <w:t>mission à un leader. Leurs propos sont clairs à ce sujet, la hiérarchie et le pouvoir sont sources de conflits ou de désist</w:t>
      </w:r>
      <w:r w:rsidRPr="00E64A4B">
        <w:t>e</w:t>
      </w:r>
      <w:r w:rsidRPr="00E64A4B">
        <w:t>ments. La soumission exigée par ce type de solidarité entre en contradiction avec l'idéal d'a</w:t>
      </w:r>
      <w:r w:rsidRPr="00E64A4B">
        <w:t>u</w:t>
      </w:r>
      <w:r w:rsidRPr="00E64A4B">
        <w:t>tonomie défendu par le mouvement des femmes.</w:t>
      </w:r>
    </w:p>
    <w:p w:rsidR="00B7214C" w:rsidRPr="00E64A4B" w:rsidRDefault="00B7214C" w:rsidP="00B7214C">
      <w:pPr>
        <w:spacing w:before="120" w:after="120"/>
        <w:jc w:val="both"/>
      </w:pPr>
      <w:r w:rsidRPr="00E64A4B">
        <w:t>Ce que nous avons qualifié d'« alliances ponctuelles » const</w:t>
      </w:r>
      <w:r w:rsidRPr="00E64A4B">
        <w:t>i</w:t>
      </w:r>
      <w:r w:rsidRPr="00E64A4B">
        <w:t>tuerait une autre forme de solidarité, celle que Bajoit (1992, p. 100-101) nomme contractuelle. C'est cette forme de solidarité qui s'installe en ce moment dans le mouvement des femmes de la r</w:t>
      </w:r>
      <w:r w:rsidRPr="00E64A4B">
        <w:t>é</w:t>
      </w:r>
      <w:r w:rsidRPr="00E64A4B">
        <w:t>gion de Québec, mais non sans contrecoup, comme en témoignent les propos de celles qui défendent encore une solidarité plus f</w:t>
      </w:r>
      <w:r w:rsidRPr="00E64A4B">
        <w:t>u</w:t>
      </w:r>
      <w:r w:rsidRPr="00E64A4B">
        <w:t>sionnelle faisant appel aux émotions que suscite l'expérience pa</w:t>
      </w:r>
      <w:r w:rsidRPr="00E64A4B">
        <w:t>r</w:t>
      </w:r>
      <w:r w:rsidRPr="00E64A4B">
        <w:t>tagée. La solidarité contractuelle se noue à propos d'enjeux précis. Elle met en contact des personnes capables de s assumer en tant qu'individus autonomes et égaux, mais nécessitant le support des</w:t>
      </w:r>
      <w:r>
        <w:t xml:space="preserve"> </w:t>
      </w:r>
      <w:r w:rsidRPr="00E64A4B">
        <w:t>[395]</w:t>
      </w:r>
      <w:r>
        <w:t xml:space="preserve"> </w:t>
      </w:r>
      <w:r w:rsidRPr="00E64A4B">
        <w:t>autres pour rencontrer des objectifs politiques, économiques ou j</w:t>
      </w:r>
      <w:r w:rsidRPr="00E64A4B">
        <w:t>u</w:t>
      </w:r>
      <w:r w:rsidRPr="00E64A4B">
        <w:t>ridiques particuliers.</w:t>
      </w:r>
    </w:p>
    <w:p w:rsidR="00B7214C" w:rsidRPr="00E64A4B" w:rsidRDefault="00B7214C" w:rsidP="00B7214C">
      <w:pPr>
        <w:spacing w:before="120" w:after="120"/>
        <w:jc w:val="both"/>
      </w:pPr>
      <w:r w:rsidRPr="00E64A4B">
        <w:t>L'option en faveur de ce type de solidarité, fondée sur la rati</w:t>
      </w:r>
      <w:r w:rsidRPr="00E64A4B">
        <w:t>o</w:t>
      </w:r>
      <w:r w:rsidRPr="00E64A4B">
        <w:t>nalité et le calcul, doit-elle être interprétée comme le résultat de l'ingérence bureaucratique dont la logique tend à transformer les autres en des instruments au service de nos projets ? Devrions-nous y voir une fo</w:t>
      </w:r>
      <w:r w:rsidRPr="00E64A4B">
        <w:t>r</w:t>
      </w:r>
      <w:r w:rsidRPr="00E64A4B">
        <w:t>me de désengagement social ou, au contraire, un indice de maturité, résultat de l'ajustement aux exigences d'un certain individualisme a</w:t>
      </w:r>
      <w:r w:rsidRPr="00E64A4B">
        <w:t>s</w:t>
      </w:r>
      <w:r w:rsidRPr="00E64A4B">
        <w:t>socié à la modernité ? Il est sans doute trop tôt pour nous prononcer et il serait présomptueux de prétendre statuer sur l'avenir d'un mouv</w:t>
      </w:r>
      <w:r w:rsidRPr="00E64A4B">
        <w:t>e</w:t>
      </w:r>
      <w:r w:rsidRPr="00E64A4B">
        <w:t>ment aussi complexe, fluide et différencié que le mouvement des femmes du Québec.</w:t>
      </w: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Pr="00E64A4B" w:rsidRDefault="00B7214C" w:rsidP="00B7214C">
      <w:pPr>
        <w:spacing w:before="120" w:after="120"/>
        <w:jc w:val="both"/>
      </w:pPr>
    </w:p>
    <w:p w:rsidR="00B7214C" w:rsidRPr="00E64A4B" w:rsidRDefault="00B7214C" w:rsidP="00B7214C">
      <w:pPr>
        <w:pStyle w:val="p"/>
      </w:pPr>
      <w:r w:rsidRPr="00E64A4B">
        <w:t>[396]</w:t>
      </w:r>
    </w:p>
    <w:p w:rsidR="00B7214C" w:rsidRPr="00E64A4B" w:rsidRDefault="00B7214C" w:rsidP="00B7214C">
      <w:pPr>
        <w:spacing w:before="120" w:after="120"/>
        <w:jc w:val="both"/>
      </w:pPr>
    </w:p>
    <w:p w:rsidR="00B7214C" w:rsidRPr="00E64A4B" w:rsidRDefault="00B7214C" w:rsidP="00B7214C">
      <w:pPr>
        <w:pStyle w:val="a"/>
      </w:pPr>
      <w:r w:rsidRPr="00E64A4B">
        <w:t>RÉFÉRENCES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 xml:space="preserve">Bajoit, G., </w:t>
      </w:r>
      <w:r w:rsidRPr="000D1A32">
        <w:rPr>
          <w:i/>
          <w:iCs/>
        </w:rPr>
        <w:t>Pour une sociologie relationnelle,</w:t>
      </w:r>
      <w:r w:rsidRPr="00E64A4B">
        <w:t xml:space="preserve"> Paris, Presses unive</w:t>
      </w:r>
      <w:r w:rsidRPr="00E64A4B">
        <w:t>r</w:t>
      </w:r>
      <w:r w:rsidRPr="00E64A4B">
        <w:t>sitaires de France, 1992.</w:t>
      </w:r>
    </w:p>
    <w:p w:rsidR="00B7214C" w:rsidRPr="00E64A4B" w:rsidRDefault="00B7214C" w:rsidP="00B7214C">
      <w:pPr>
        <w:spacing w:before="120" w:after="120"/>
        <w:jc w:val="both"/>
      </w:pPr>
      <w:r w:rsidRPr="00E64A4B">
        <w:t>Beausoleil, J., M.-C. Guédon, C. Larivière et R. Mayer, « La r</w:t>
      </w:r>
      <w:r w:rsidRPr="00E64A4B">
        <w:t>e</w:t>
      </w:r>
      <w:r w:rsidRPr="00E64A4B">
        <w:t xml:space="preserve">cherche-action : discours et pratique », dans J. Alary (dir.), </w:t>
      </w:r>
      <w:r w:rsidRPr="000D1A32">
        <w:rPr>
          <w:i/>
          <w:iCs/>
        </w:rPr>
        <w:t>Solidar</w:t>
      </w:r>
      <w:r w:rsidRPr="000D1A32">
        <w:rPr>
          <w:i/>
          <w:iCs/>
        </w:rPr>
        <w:t>i</w:t>
      </w:r>
      <w:r w:rsidRPr="000D1A32">
        <w:rPr>
          <w:i/>
          <w:iCs/>
        </w:rPr>
        <w:t>té : Pratiques de recherche-action et de prise en charge par le milieu,</w:t>
      </w:r>
      <w:r w:rsidRPr="00E64A4B">
        <w:t xml:space="preserve"> Montréal, Boréal E</w:t>
      </w:r>
      <w:r w:rsidRPr="00E64A4B">
        <w:t>x</w:t>
      </w:r>
      <w:r w:rsidRPr="00E64A4B">
        <w:t>press, 1988, p</w:t>
      </w:r>
      <w:r>
        <w:t>p</w:t>
      </w:r>
      <w:r w:rsidRPr="00E64A4B">
        <w:t>. 183-220.</w:t>
      </w:r>
    </w:p>
    <w:p w:rsidR="00B7214C" w:rsidRPr="00E64A4B" w:rsidRDefault="00B7214C" w:rsidP="00B7214C">
      <w:pPr>
        <w:spacing w:before="120" w:after="120"/>
        <w:jc w:val="both"/>
      </w:pPr>
      <w:r w:rsidRPr="00E64A4B">
        <w:t xml:space="preserve">Brault, M.-M. et L. St-Jean, </w:t>
      </w:r>
      <w:r w:rsidRPr="000D1A32">
        <w:rPr>
          <w:i/>
          <w:iCs/>
        </w:rPr>
        <w:t>Entraide et associations,</w:t>
      </w:r>
      <w:r w:rsidRPr="00E64A4B">
        <w:t xml:space="preserve"> Mo</w:t>
      </w:r>
      <w:r w:rsidRPr="00E64A4B">
        <w:t>n</w:t>
      </w:r>
      <w:r w:rsidRPr="00E64A4B">
        <w:t>tréal, Institut québécois de recherche sur la culture, 1990.</w:t>
      </w:r>
    </w:p>
    <w:p w:rsidR="00B7214C" w:rsidRPr="00E64A4B" w:rsidRDefault="00B7214C" w:rsidP="00B7214C">
      <w:pPr>
        <w:spacing w:before="120" w:after="120"/>
        <w:jc w:val="both"/>
      </w:pPr>
      <w:r w:rsidRPr="00E64A4B">
        <w:t>Chantreau, A., « Le mythe de la solidarité. Essai autour du c</w:t>
      </w:r>
      <w:r w:rsidRPr="00E64A4B">
        <w:t>y</w:t>
      </w:r>
      <w:r w:rsidRPr="00E64A4B">
        <w:t xml:space="preserve">cle arthurien de la Table ronde. » </w:t>
      </w:r>
      <w:r w:rsidRPr="000D1A32">
        <w:rPr>
          <w:i/>
          <w:iCs/>
        </w:rPr>
        <w:t>Action et recherches sociales ; Revue interuniversitaire de sciences et pratiques sociales,</w:t>
      </w:r>
      <w:r w:rsidRPr="00E64A4B">
        <w:t xml:space="preserve"> 1982, vol. 4, n° 9, p</w:t>
      </w:r>
      <w:r>
        <w:t>p</w:t>
      </w:r>
      <w:r w:rsidRPr="00E64A4B">
        <w:t>. 89-99.</w:t>
      </w:r>
    </w:p>
    <w:p w:rsidR="00B7214C" w:rsidRPr="00E64A4B" w:rsidRDefault="00B7214C" w:rsidP="00B7214C">
      <w:pPr>
        <w:spacing w:before="120" w:after="120"/>
        <w:jc w:val="both"/>
      </w:pPr>
      <w:r w:rsidRPr="00E64A4B">
        <w:t xml:space="preserve">Durand, Y., </w:t>
      </w:r>
      <w:r w:rsidRPr="000D1A32">
        <w:rPr>
          <w:i/>
          <w:iCs/>
        </w:rPr>
        <w:t>Les solidarités dans les sociétés humaines,</w:t>
      </w:r>
      <w:r w:rsidRPr="00E64A4B">
        <w:t xml:space="preserve"> Paris, Pre</w:t>
      </w:r>
      <w:r w:rsidRPr="00E64A4B">
        <w:t>s</w:t>
      </w:r>
      <w:r w:rsidRPr="00E64A4B">
        <w:t>ses univers</w:t>
      </w:r>
      <w:r w:rsidRPr="00E64A4B">
        <w:t>i</w:t>
      </w:r>
      <w:r w:rsidRPr="00E64A4B">
        <w:t>taires de France, 1987, (Coll. « L'Historien »).</w:t>
      </w:r>
    </w:p>
    <w:p w:rsidR="00B7214C" w:rsidRPr="00E64A4B" w:rsidRDefault="00B7214C" w:rsidP="00B7214C">
      <w:pPr>
        <w:spacing w:before="120" w:after="120"/>
        <w:jc w:val="both"/>
      </w:pPr>
      <w:r w:rsidRPr="00E64A4B">
        <w:t xml:space="preserve">Godbout, J., </w:t>
      </w:r>
      <w:hyperlink r:id="rId94" w:history="1">
        <w:r w:rsidRPr="00E64A4B">
          <w:rPr>
            <w:rStyle w:val="Lienhypertexte"/>
            <w:lang w:eastAsia="fr-FR" w:bidi="fr-FR"/>
          </w:rPr>
          <w:t>L'esprit du don</w:t>
        </w:r>
      </w:hyperlink>
      <w:r w:rsidRPr="00E64A4B">
        <w:rPr>
          <w:rStyle w:val="Corpsdutexte5Italique"/>
          <w:sz w:val="28"/>
        </w:rPr>
        <w:t>,</w:t>
      </w:r>
      <w:r w:rsidRPr="00E64A4B">
        <w:t xml:space="preserve"> Paris, La Découverte, 1991.</w:t>
      </w:r>
    </w:p>
    <w:p w:rsidR="00B7214C" w:rsidRPr="00E64A4B" w:rsidRDefault="00B7214C" w:rsidP="00B7214C">
      <w:pPr>
        <w:spacing w:before="120" w:after="120"/>
        <w:jc w:val="both"/>
      </w:pPr>
      <w:r w:rsidRPr="00E64A4B">
        <w:t>Larochelle, G., « État et idéologie du bénévolat au Québec : les e</w:t>
      </w:r>
      <w:r w:rsidRPr="00E64A4B">
        <w:t>n</w:t>
      </w:r>
      <w:r w:rsidRPr="00E64A4B">
        <w:t xml:space="preserve">jeux dans un contexte néo-libéral ». </w:t>
      </w:r>
      <w:r w:rsidRPr="000D1A32">
        <w:rPr>
          <w:i/>
          <w:iCs/>
        </w:rPr>
        <w:t>Recherches sociologiques,</w:t>
      </w:r>
      <w:r w:rsidRPr="00E64A4B">
        <w:t xml:space="preserve"> 1992, vol. 23, n° 3, p</w:t>
      </w:r>
      <w:r>
        <w:t>p</w:t>
      </w:r>
      <w:r w:rsidRPr="00E64A4B">
        <w:t>. 69-89.</w:t>
      </w:r>
    </w:p>
    <w:p w:rsidR="00B7214C" w:rsidRPr="00E64A4B" w:rsidRDefault="00B7214C" w:rsidP="00B7214C">
      <w:pPr>
        <w:spacing w:before="120" w:after="120"/>
        <w:jc w:val="both"/>
      </w:pPr>
      <w:r w:rsidRPr="00E64A4B">
        <w:t xml:space="preserve">Lash, C., « L'invasion de la société par le moi ». </w:t>
      </w:r>
      <w:r w:rsidRPr="000D1A32">
        <w:rPr>
          <w:i/>
          <w:iCs/>
        </w:rPr>
        <w:t>Le complexe de Narcisse. La nouvelle sensibilité américaine,</w:t>
      </w:r>
      <w:r w:rsidRPr="00E64A4B">
        <w:t xml:space="preserve"> Paris, Laffont, 1981, p. 15-52.</w:t>
      </w:r>
    </w:p>
    <w:p w:rsidR="00B7214C" w:rsidRPr="00E64A4B" w:rsidRDefault="00B7214C" w:rsidP="00B7214C">
      <w:pPr>
        <w:spacing w:before="120" w:after="120"/>
        <w:jc w:val="both"/>
      </w:pPr>
      <w:r w:rsidRPr="00E64A4B">
        <w:t xml:space="preserve">Noël, L. et H. Gaignard, </w:t>
      </w:r>
      <w:r w:rsidRPr="000D1A32">
        <w:rPr>
          <w:i/>
          <w:iCs/>
        </w:rPr>
        <w:t>Les groupes d'aide mutuelle,</w:t>
      </w:r>
      <w:r w:rsidRPr="00E64A4B">
        <w:t xml:space="preserve"> Mo</w:t>
      </w:r>
      <w:r w:rsidRPr="00E64A4B">
        <w:t>n</w:t>
      </w:r>
      <w:r w:rsidRPr="00E64A4B">
        <w:t>tréal, Centre des services sociaux du Montréal Métropolitain, 1987.</w:t>
      </w:r>
    </w:p>
    <w:p w:rsidR="00B7214C" w:rsidRPr="00E64A4B" w:rsidRDefault="00B7214C" w:rsidP="00B7214C">
      <w:pPr>
        <w:spacing w:before="120" w:after="120"/>
        <w:jc w:val="both"/>
      </w:pPr>
      <w:r w:rsidRPr="00E64A4B">
        <w:t>O'Connor, P. « The Adult Mother/Daugther Relationship : A Un</w:t>
      </w:r>
      <w:r w:rsidRPr="00E64A4B">
        <w:t>i</w:t>
      </w:r>
      <w:r w:rsidRPr="00E64A4B">
        <w:t xml:space="preserve">quely and Universally Close Relationship », </w:t>
      </w:r>
      <w:r w:rsidRPr="000D1A32">
        <w:rPr>
          <w:i/>
          <w:iCs/>
        </w:rPr>
        <w:t>The Sociological Review,</w:t>
      </w:r>
      <w:r w:rsidRPr="00E64A4B">
        <w:t xml:space="preserve"> 1990, vol. 38, no 2, </w:t>
      </w:r>
      <w:r>
        <w:t>p</w:t>
      </w:r>
      <w:r w:rsidRPr="00E64A4B">
        <w:t>p. 293-323.</w:t>
      </w:r>
    </w:p>
    <w:p w:rsidR="00B7214C" w:rsidRPr="00E64A4B" w:rsidRDefault="00B7214C" w:rsidP="00B7214C">
      <w:pPr>
        <w:spacing w:before="120" w:after="120"/>
        <w:jc w:val="both"/>
      </w:pPr>
      <w:r w:rsidRPr="00E64A4B">
        <w:t xml:space="preserve">Romeder, J.M. </w:t>
      </w:r>
      <w:r w:rsidRPr="000D1A32">
        <w:rPr>
          <w:i/>
          <w:iCs/>
        </w:rPr>
        <w:t>et al.,</w:t>
      </w:r>
      <w:r w:rsidRPr="00E64A4B">
        <w:t xml:space="preserve"> « Caractéristiques de l'entraide. Les groupes d'entraide et la santé ; nouvelles solidarités ». </w:t>
      </w:r>
      <w:r w:rsidRPr="000D1A32">
        <w:rPr>
          <w:i/>
          <w:iCs/>
        </w:rPr>
        <w:t>Conseil canadien de développement social,</w:t>
      </w:r>
      <w:r w:rsidRPr="00E64A4B">
        <w:t xml:space="preserve"> 1989, </w:t>
      </w:r>
      <w:r>
        <w:t>p</w:t>
      </w:r>
      <w:r w:rsidRPr="00E64A4B">
        <w:t>p. 23-36.</w:t>
      </w:r>
    </w:p>
    <w:p w:rsidR="00B7214C" w:rsidRPr="00E64A4B" w:rsidRDefault="00B7214C" w:rsidP="00B7214C">
      <w:pPr>
        <w:spacing w:before="120" w:after="120"/>
        <w:jc w:val="both"/>
      </w:pPr>
      <w:r w:rsidRPr="00E64A4B">
        <w:t>Saint-Jean, L., « Les familles monoparentales : du groupe d'entra</w:t>
      </w:r>
      <w:r w:rsidRPr="00E64A4B">
        <w:t>i</w:t>
      </w:r>
      <w:r w:rsidRPr="00E64A4B">
        <w:t xml:space="preserve">de à l'entraide associative », </w:t>
      </w:r>
      <w:hyperlink r:id="rId95" w:history="1">
        <w:r w:rsidRPr="000D1A32">
          <w:t>Entraide et associations</w:t>
        </w:r>
      </w:hyperlink>
      <w:r w:rsidRPr="000D1A32">
        <w:rPr>
          <w:i/>
          <w:iCs/>
        </w:rPr>
        <w:t>,</w:t>
      </w:r>
      <w:r w:rsidRPr="00E64A4B">
        <w:t xml:space="preserve"> Québec, Institut québécois de recherche sur la culture, 1990, </w:t>
      </w:r>
      <w:r>
        <w:t>p</w:t>
      </w:r>
      <w:r w:rsidRPr="00E64A4B">
        <w:t>p. 95-112. (Coll. « Questions de culture » n° 16).</w:t>
      </w:r>
    </w:p>
    <w:p w:rsidR="00B7214C" w:rsidRPr="00E64A4B" w:rsidRDefault="00B7214C" w:rsidP="00B7214C">
      <w:pPr>
        <w:spacing w:before="120" w:after="120"/>
        <w:jc w:val="both"/>
      </w:pPr>
      <w:r w:rsidRPr="00E64A4B">
        <w:t>Saucier, C., « Le coopérativisme en habitation : qu'une que</w:t>
      </w:r>
      <w:r w:rsidRPr="00E64A4B">
        <w:t>s</w:t>
      </w:r>
      <w:r w:rsidRPr="00E64A4B">
        <w:t xml:space="preserve">tion d'entraide et de solidarité ? », </w:t>
      </w:r>
      <w:hyperlink r:id="rId96" w:history="1">
        <w:r w:rsidRPr="000D1A32">
          <w:t>Entraide et associations</w:t>
        </w:r>
      </w:hyperlink>
      <w:r w:rsidRPr="000D1A32">
        <w:rPr>
          <w:i/>
          <w:iCs/>
        </w:rPr>
        <w:t>,</w:t>
      </w:r>
      <w:r w:rsidRPr="00E64A4B">
        <w:t xml:space="preserve"> Québec, Inst</w:t>
      </w:r>
      <w:r w:rsidRPr="00E64A4B">
        <w:t>i</w:t>
      </w:r>
      <w:r w:rsidRPr="00E64A4B">
        <w:t>tut québécois de la recherche sur la culture, 1990, p</w:t>
      </w:r>
      <w:r>
        <w:t>p</w:t>
      </w:r>
      <w:r w:rsidRPr="00E64A4B">
        <w:t>. 131-150. (Coll. « Questions de culture » n°</w:t>
      </w:r>
      <w:r>
        <w:t> </w:t>
      </w:r>
      <w:r w:rsidRPr="00E64A4B">
        <w:t>16).</w:t>
      </w:r>
    </w:p>
    <w:p w:rsidR="00B7214C" w:rsidRPr="00E64A4B" w:rsidRDefault="00B7214C" w:rsidP="00B7214C">
      <w:pPr>
        <w:spacing w:before="120" w:after="120"/>
        <w:jc w:val="both"/>
      </w:pPr>
      <w:r w:rsidRPr="00E64A4B">
        <w:t>Shapiro, B.Z., « Mutual Helping- A Neglected Theme in S</w:t>
      </w:r>
      <w:r w:rsidRPr="00E64A4B">
        <w:t>o</w:t>
      </w:r>
      <w:r w:rsidRPr="00E64A4B">
        <w:t xml:space="preserve">cial Work », </w:t>
      </w:r>
      <w:r w:rsidRPr="000D1A32">
        <w:rPr>
          <w:i/>
          <w:iCs/>
        </w:rPr>
        <w:t>Practice Theory Faculty of Social Work,</w:t>
      </w:r>
      <w:r w:rsidRPr="00E64A4B">
        <w:t xml:space="preserve"> Toronto, University of Toronto, Faculty of Social Work, 1974.</w:t>
      </w:r>
    </w:p>
    <w:p w:rsidR="00B7214C" w:rsidRPr="00E64A4B" w:rsidRDefault="00B7214C" w:rsidP="00B7214C">
      <w:pPr>
        <w:spacing w:before="120" w:after="120"/>
        <w:jc w:val="both"/>
      </w:pPr>
      <w:r w:rsidRPr="00E64A4B">
        <w:t xml:space="preserve">Taylor, C., </w:t>
      </w:r>
      <w:r w:rsidRPr="000D1A32">
        <w:rPr>
          <w:i/>
          <w:iCs/>
        </w:rPr>
        <w:t>Grandeur et misère de la modernité,</w:t>
      </w:r>
      <w:r w:rsidRPr="00E64A4B">
        <w:t xml:space="preserve"> Québec, Bella</w:t>
      </w:r>
      <w:r w:rsidRPr="00E64A4B">
        <w:t>r</w:t>
      </w:r>
      <w:r w:rsidRPr="00E64A4B">
        <w:t>min, 1992.</w:t>
      </w:r>
    </w:p>
    <w:p w:rsidR="00B7214C" w:rsidRPr="00E64A4B" w:rsidRDefault="00B7214C" w:rsidP="00B7214C">
      <w:pPr>
        <w:spacing w:before="120" w:after="120"/>
        <w:jc w:val="both"/>
      </w:pPr>
      <w:r w:rsidRPr="00E64A4B">
        <w:t xml:space="preserve">Touraine, A., </w:t>
      </w:r>
      <w:hyperlink r:id="rId97" w:history="1">
        <w:r w:rsidRPr="00E64A4B">
          <w:rPr>
            <w:rStyle w:val="Lienhypertexte"/>
            <w:lang w:eastAsia="fr-FR" w:bidi="fr-FR"/>
          </w:rPr>
          <w:t>Critique de la modernité</w:t>
        </w:r>
      </w:hyperlink>
      <w:r w:rsidRPr="00E64A4B">
        <w:rPr>
          <w:rStyle w:val="Corpsdutexte5Italique"/>
          <w:sz w:val="28"/>
        </w:rPr>
        <w:t>,</w:t>
      </w:r>
      <w:r w:rsidRPr="00E64A4B">
        <w:t xml:space="preserve"> Paris, Fayard, 1992.</w:t>
      </w:r>
    </w:p>
    <w:p w:rsidR="00B7214C" w:rsidRPr="00E64A4B" w:rsidRDefault="00B7214C" w:rsidP="00B7214C">
      <w:pPr>
        <w:spacing w:before="120" w:after="120"/>
        <w:jc w:val="both"/>
      </w:pPr>
      <w:r w:rsidRPr="00E64A4B">
        <w:t xml:space="preserve">Touraine, A., </w:t>
      </w:r>
      <w:hyperlink r:id="rId98" w:history="1">
        <w:r w:rsidRPr="00E64A4B">
          <w:rPr>
            <w:rStyle w:val="Lienhypertexte"/>
            <w:i/>
            <w:lang w:eastAsia="fr-FR" w:bidi="fr-FR"/>
          </w:rPr>
          <w:t>Le retour de l'acteur</w:t>
        </w:r>
      </w:hyperlink>
      <w:r w:rsidRPr="00E64A4B">
        <w:rPr>
          <w:rStyle w:val="Corpsdutexte5Italique"/>
          <w:sz w:val="28"/>
        </w:rPr>
        <w:t>,</w:t>
      </w:r>
      <w:r w:rsidRPr="00E64A4B">
        <w:t xml:space="preserve"> Paris, Fayard, 1984.</w:t>
      </w:r>
    </w:p>
    <w:p w:rsidR="00B7214C" w:rsidRPr="00E64A4B" w:rsidRDefault="00B7214C" w:rsidP="00B7214C">
      <w:pPr>
        <w:spacing w:before="120" w:after="120"/>
        <w:jc w:val="both"/>
      </w:pPr>
      <w:r w:rsidRPr="00E64A4B">
        <w:t xml:space="preserve">Tremblay, M., </w:t>
      </w:r>
      <w:r w:rsidRPr="000D1A32">
        <w:rPr>
          <w:i/>
          <w:iCs/>
        </w:rPr>
        <w:t>La solidarité dans un groupe de femmes assistées sociales de Québec,</w:t>
      </w:r>
      <w:r w:rsidRPr="00E64A4B">
        <w:t xml:space="preserve"> Université Laval, rapport de recherche reproduit mécaniquement, 1991.</w:t>
      </w:r>
    </w:p>
    <w:p w:rsidR="00B7214C" w:rsidRDefault="00B7214C" w:rsidP="00B7214C">
      <w:pPr>
        <w:jc w:val="both"/>
      </w:pPr>
      <w:r w:rsidRPr="00E64A4B">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7" w:name="Entre_tradition_pt_2_D"/>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DEUXIÈME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D. RELIGION DES DROITS :</w:t>
      </w:r>
      <w:r>
        <w:rPr>
          <w:color w:val="FF0000"/>
          <w:sz w:val="32"/>
        </w:rPr>
        <w:br/>
        <w:t>ENTRE COMMUNAUTARISME</w:t>
      </w:r>
      <w:r>
        <w:rPr>
          <w:color w:val="FF0000"/>
          <w:sz w:val="32"/>
        </w:rPr>
        <w:br/>
        <w:t>ET INDIVIDUALISME</w:t>
      </w:r>
    </w:p>
    <w:bookmarkEnd w:id="37"/>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pStyle w:val="p"/>
      </w:pPr>
      <w:r>
        <w:br w:type="page"/>
      </w:r>
      <w:r w:rsidRPr="00E64A4B">
        <w:t>[397]</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8" w:name="Entre_tradition_pt_2_texte_26"/>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D. RELIGIONS DES DROITS :</w:t>
      </w:r>
      <w:r>
        <w:rPr>
          <w:color w:val="FF0000"/>
          <w:sz w:val="24"/>
        </w:rPr>
        <w:br/>
        <w:t>ENTRE COMMUNAUTARISME ET INDIVIDUALISME</w:t>
      </w:r>
    </w:p>
    <w:p w:rsidR="00B7214C" w:rsidRPr="00384B20" w:rsidRDefault="00B7214C" w:rsidP="00B7214C">
      <w:pPr>
        <w:pStyle w:val="Titreniveau1"/>
      </w:pPr>
      <w:r>
        <w:t>26</w:t>
      </w:r>
    </w:p>
    <w:p w:rsidR="00B7214C" w:rsidRDefault="00B7214C" w:rsidP="00B7214C">
      <w:pPr>
        <w:pStyle w:val="Titreniveau2"/>
      </w:pPr>
      <w:r>
        <w:t>“PRÉSENTATION.”</w:t>
      </w:r>
    </w:p>
    <w:bookmarkEnd w:id="38"/>
    <w:p w:rsidR="00B7214C" w:rsidRPr="00E07116" w:rsidRDefault="00B7214C" w:rsidP="00B7214C">
      <w:pPr>
        <w:jc w:val="both"/>
        <w:rPr>
          <w:szCs w:val="36"/>
        </w:rPr>
      </w:pPr>
    </w:p>
    <w:p w:rsidR="00B7214C" w:rsidRPr="00E07116" w:rsidRDefault="00B7214C" w:rsidP="00B7214C">
      <w:pPr>
        <w:pStyle w:val="suite"/>
      </w:pPr>
      <w:r>
        <w:t>Par Mikhaël ELBAZ</w:t>
      </w:r>
    </w:p>
    <w:p w:rsidR="00B7214C" w:rsidRPr="00E07116" w:rsidRDefault="00B7214C" w:rsidP="00B7214C">
      <w:pPr>
        <w:pStyle w:val="auteurst"/>
      </w:pPr>
      <w:r w:rsidRPr="004A7EF1">
        <w:t>Département d'</w:t>
      </w:r>
      <w:r>
        <w:t>anthropologie. Université Laval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Le débat sur l'articulation entre faits, normes et valeurs dans une société libre et démocratique pose de redoutables questions tant aux juristes et aux éthiciens qu'aux spécialistes des sciences sociales. Le néo-individualisme, la juridification croissante des rapports sociaux se conjuguent paradoxalement avec une expl</w:t>
      </w:r>
      <w:r w:rsidRPr="00E64A4B">
        <w:t>o</w:t>
      </w:r>
      <w:r w:rsidRPr="00E64A4B">
        <w:t>sion de revendications communautaires, catégorielles, ethniques, confessionnelles ou de ge</w:t>
      </w:r>
      <w:r w:rsidRPr="00E64A4B">
        <w:t>n</w:t>
      </w:r>
      <w:r w:rsidRPr="00E64A4B">
        <w:t>re, mais aussi associationnelles, de type varié. On a imputé ce mo</w:t>
      </w:r>
      <w:r w:rsidRPr="00E64A4B">
        <w:t>u</w:t>
      </w:r>
      <w:r w:rsidRPr="00E64A4B">
        <w:t>vement multiforme et contradicto</w:t>
      </w:r>
      <w:r w:rsidRPr="00E64A4B">
        <w:t>i</w:t>
      </w:r>
      <w:r w:rsidRPr="00E64A4B">
        <w:t>re à l’indétermination postmoderne de l'identité, au déclin du sens des obligations qui devraient découler de l'affirmation des droits, à une crise de représentation et aux log</w:t>
      </w:r>
      <w:r w:rsidRPr="00E64A4B">
        <w:t>i</w:t>
      </w:r>
      <w:r w:rsidRPr="00E64A4B">
        <w:t>ques propres aux « politiques de la reconnaissance » dans les sociétés où nous v</w:t>
      </w:r>
      <w:r w:rsidRPr="00E64A4B">
        <w:t>i</w:t>
      </w:r>
      <w:r w:rsidRPr="00E64A4B">
        <w:t xml:space="preserve">vons (Taylor </w:t>
      </w:r>
      <w:r w:rsidRPr="000D1A32">
        <w:rPr>
          <w:i/>
          <w:iCs/>
        </w:rPr>
        <w:t>et al.,</w:t>
      </w:r>
      <w:r w:rsidRPr="00E64A4B">
        <w:t xml:space="preserve"> 1992). Ce débat ne peut être aisément tranché. Trop de positions s'y mêlent et se chevauchent : les formes de la démocratie et les contours de la citoyenneté, les droits individuels et ceux dits « collectifs », le bien commun confronté au cynisme, la crise de l'institution et le « nihilisme » postmoraliste (Lipovet</w:t>
      </w:r>
      <w:r w:rsidRPr="00E64A4B">
        <w:t>s</w:t>
      </w:r>
      <w:r w:rsidRPr="00E64A4B">
        <w:t>ky, 1992).</w:t>
      </w:r>
    </w:p>
    <w:p w:rsidR="00B7214C" w:rsidRPr="00E64A4B" w:rsidRDefault="00B7214C" w:rsidP="00B7214C">
      <w:pPr>
        <w:spacing w:before="120" w:after="120"/>
        <w:jc w:val="both"/>
      </w:pPr>
      <w:r w:rsidRPr="00E64A4B">
        <w:t>Parler de religion des droits, c'est se placer sur le terrain mo</w:t>
      </w:r>
      <w:r w:rsidRPr="00E64A4B">
        <w:t>u</w:t>
      </w:r>
      <w:r w:rsidRPr="00E64A4B">
        <w:t>vant des revendications sans cesse relancées de faire reconnaître la souv</w:t>
      </w:r>
      <w:r w:rsidRPr="00E64A4B">
        <w:t>e</w:t>
      </w:r>
      <w:r w:rsidRPr="00E64A4B">
        <w:t>raineté de l'individu et de ses désirs, de traquer ici l'arb</w:t>
      </w:r>
      <w:r w:rsidRPr="00E64A4B">
        <w:t>i</w:t>
      </w:r>
      <w:r w:rsidRPr="00E64A4B">
        <w:t>traire et là les exclusions, de requérir ultimement de l'État d'être le garant d'une s</w:t>
      </w:r>
      <w:r w:rsidRPr="00E64A4B">
        <w:t>o</w:t>
      </w:r>
      <w:r w:rsidRPr="00E64A4B">
        <w:t>ciété juste, dut-il pour cela rationaliser la machine gestionnaire et contraindre les libertés. Le paradoxe, comme le note Jeudy (1993, p. 30) est le suivant : « Plus une société donn</w:t>
      </w:r>
      <w:r w:rsidRPr="00E64A4B">
        <w:t>e</w:t>
      </w:r>
      <w:r w:rsidRPr="00E64A4B">
        <w:t>rait la preuve d'un ordre idéal d'équité, plus l'irruption de l'injuste prendrait des formes mult</w:t>
      </w:r>
      <w:r w:rsidRPr="00E64A4B">
        <w:t>i</w:t>
      </w:r>
      <w:r w:rsidRPr="00E64A4B">
        <w:t>ples d'un malaise social devenu ine</w:t>
      </w:r>
      <w:r w:rsidRPr="00E64A4B">
        <w:t>x</w:t>
      </w:r>
      <w:r w:rsidRPr="00E64A4B">
        <w:t>primable.</w:t>
      </w:r>
    </w:p>
    <w:p w:rsidR="00B7214C" w:rsidRPr="00E64A4B" w:rsidRDefault="00B7214C" w:rsidP="00B7214C">
      <w:pPr>
        <w:spacing w:before="120" w:after="120"/>
        <w:jc w:val="both"/>
      </w:pPr>
      <w:r w:rsidRPr="00E64A4B">
        <w:t>[398]</w:t>
      </w:r>
    </w:p>
    <w:p w:rsidR="00B7214C" w:rsidRPr="00E64A4B" w:rsidRDefault="00B7214C" w:rsidP="00B7214C">
      <w:pPr>
        <w:spacing w:before="120" w:after="120"/>
        <w:jc w:val="both"/>
      </w:pPr>
      <w:r w:rsidRPr="00E64A4B">
        <w:t xml:space="preserve"> [...] Le contrôle social peut devenir aussi puissant qu'il semble fa</w:t>
      </w:r>
      <w:r w:rsidRPr="00E64A4B">
        <w:t>i</w:t>
      </w:r>
      <w:r w:rsidRPr="00E64A4B">
        <w:t>re disparaître toutes les inégalités au prix d'un assujettissement aux po</w:t>
      </w:r>
      <w:r w:rsidRPr="00E64A4B">
        <w:t>u</w:t>
      </w:r>
      <w:r w:rsidRPr="00E64A4B">
        <w:t>voirs publics ». Dans sa communication, Yvan Simonis explore les ruses de ce paradoxe, montrant comment l'individu joue son ident</w:t>
      </w:r>
      <w:r w:rsidRPr="00E64A4B">
        <w:t>i</w:t>
      </w:r>
      <w:r w:rsidRPr="00E64A4B">
        <w:t>té dans cette demande de droits, et comment il est approprié « inconsciemment » parle triple raisonnement du droit, de l'État et de l'économie avec le risque évident que cette colonisation du monde v</w:t>
      </w:r>
      <w:r w:rsidRPr="00E64A4B">
        <w:t>é</w:t>
      </w:r>
      <w:r w:rsidRPr="00E64A4B">
        <w:t>cu n'entraîne une réduction du sens des oblig</w:t>
      </w:r>
      <w:r w:rsidRPr="00E64A4B">
        <w:t>a</w:t>
      </w:r>
      <w:r w:rsidRPr="00E64A4B">
        <w:t>tions, du lien avec autrui et d'une civilité partagée.</w:t>
      </w:r>
    </w:p>
    <w:p w:rsidR="00B7214C" w:rsidRPr="00E64A4B" w:rsidRDefault="00B7214C" w:rsidP="00B7214C">
      <w:pPr>
        <w:spacing w:before="120" w:after="120"/>
        <w:jc w:val="both"/>
      </w:pPr>
      <w:r w:rsidRPr="00E64A4B">
        <w:t>À la suite des travaux de Legendre (1992), on peut apercevoir les conséquences critiques d'un contractualisme qui fonde de plus en plus le triomphe des droits subjectifs, que ce soit dans le domaine des bi</w:t>
      </w:r>
      <w:r w:rsidRPr="00E64A4B">
        <w:t>o</w:t>
      </w:r>
      <w:r w:rsidRPr="00E64A4B">
        <w:t>technologies, des droits des enfants à divorcer de leurs parents ou e</w:t>
      </w:r>
      <w:r w:rsidRPr="00E64A4B">
        <w:t>n</w:t>
      </w:r>
      <w:r w:rsidRPr="00E64A4B">
        <w:t>core, de l'euthanasie. On ne s'étonnera donc pas que la sécularisation de la morale qui préside à la demande éth</w:t>
      </w:r>
      <w:r w:rsidRPr="00E64A4B">
        <w:t>i</w:t>
      </w:r>
      <w:r w:rsidRPr="00E64A4B">
        <w:t>que dans de telles situations ne soit que la figure inversée de cette religion des droits.</w:t>
      </w:r>
    </w:p>
    <w:p w:rsidR="00B7214C" w:rsidRPr="00E64A4B" w:rsidRDefault="00B7214C" w:rsidP="00B7214C">
      <w:pPr>
        <w:spacing w:before="120" w:after="120"/>
        <w:jc w:val="both"/>
      </w:pPr>
      <w:r w:rsidRPr="00E64A4B">
        <w:t>Toutefois, l'héritage démocratique de notre univers politique se méfie des revendications communautaires qui mettraient en cause le projet d'autonomie de l'individu et du citoyen, construit laborieus</w:t>
      </w:r>
      <w:r w:rsidRPr="00E64A4B">
        <w:t>e</w:t>
      </w:r>
      <w:r w:rsidRPr="00E64A4B">
        <w:t>ment dans la modernité. Ainsi, les demandes de responsab</w:t>
      </w:r>
      <w:r w:rsidRPr="00E64A4B">
        <w:t>i</w:t>
      </w:r>
      <w:r w:rsidRPr="00E64A4B">
        <w:t>lité élargie envers des ensembles humains au nom de torts historiques, de la m</w:t>
      </w:r>
      <w:r w:rsidRPr="00E64A4B">
        <w:t>a</w:t>
      </w:r>
      <w:r w:rsidRPr="00E64A4B">
        <w:t>ladie ou de 1 exclusion peuvent être désignées de singulières au r</w:t>
      </w:r>
      <w:r w:rsidRPr="00E64A4B">
        <w:t>e</w:t>
      </w:r>
      <w:r w:rsidRPr="00E64A4B">
        <w:t>gard d'une régulation universaliste des intérêts et des droits. Pourtant, seul un universalisme contextuel, « inchoatif », réitératif, selon les termes de Walzer (1992), peut nous permettre de délibérer publiqu</w:t>
      </w:r>
      <w:r w:rsidRPr="00E64A4B">
        <w:t>e</w:t>
      </w:r>
      <w:r w:rsidRPr="00E64A4B">
        <w:t>ment sur nos identités et nos différends, au-delà de la simple sure</w:t>
      </w:r>
      <w:r w:rsidRPr="00E64A4B">
        <w:t>n</w:t>
      </w:r>
      <w:r w:rsidRPr="00E64A4B">
        <w:t>chère des droits. La perspe</w:t>
      </w:r>
      <w:r w:rsidRPr="00E64A4B">
        <w:t>c</w:t>
      </w:r>
      <w:r w:rsidRPr="00E64A4B">
        <w:t>tive n'est pas dénuée d intérêt mais laisse indécidable la manière dont nous arbitrons la demande de droits dans une société qui a perdu le sens de son auto-immunité et de sa sécurité ontologique avec la déstructuration du projet moderniste. L'irruption du sida est un cas limite qui signale que la conquête de libertés s'est conjuguée avec l'État thérapeutique et assuranciel, mais que ces de</w:t>
      </w:r>
      <w:r w:rsidRPr="00E64A4B">
        <w:t>r</w:t>
      </w:r>
      <w:r w:rsidRPr="00E64A4B">
        <w:t>nières subissent le contrecoup du risque et du handicap imma</w:t>
      </w:r>
      <w:r w:rsidRPr="00E64A4B">
        <w:t>î</w:t>
      </w:r>
      <w:r w:rsidRPr="00E64A4B">
        <w:t>trisés par la science médicalisée et qu'elles sont subsumées par les discours sur la contamination et la culpabilité. Ruth Murbach montre ainsi que les droits des personnes atteintes du VIH sont demeurés subordonnés aux intérêts scientifiques et socioéconom</w:t>
      </w:r>
      <w:r w:rsidRPr="00E64A4B">
        <w:t>i</w:t>
      </w:r>
      <w:r w:rsidRPr="00E64A4B">
        <w:t>ques, laissant dans l'ombre la responsabilité partagée que nous avons envers ceux qui ne sont pas « responsables de leur propre malheur », comme tendrait à le faire croire une lecture fondame</w:t>
      </w:r>
      <w:r w:rsidRPr="00E64A4B">
        <w:t>n</w:t>
      </w:r>
      <w:r w:rsidRPr="00E64A4B">
        <w:t>taliste de l'harmonie de la nature.</w:t>
      </w:r>
    </w:p>
    <w:p w:rsidR="00B7214C" w:rsidRPr="00E64A4B" w:rsidRDefault="00B7214C" w:rsidP="00B7214C">
      <w:pPr>
        <w:spacing w:before="120" w:after="120"/>
        <w:jc w:val="both"/>
      </w:pPr>
      <w:r w:rsidRPr="00E64A4B">
        <w:t>L'une des conséquences les plus nettes, entre autres, de cette séc</w:t>
      </w:r>
      <w:r w:rsidRPr="00E64A4B">
        <w:t>u</w:t>
      </w:r>
      <w:r w:rsidRPr="00E64A4B">
        <w:t>larisation du risque s'exprime dans l'individualisme possessif et la t</w:t>
      </w:r>
      <w:r w:rsidRPr="00E64A4B">
        <w:t>y</w:t>
      </w:r>
      <w:r w:rsidRPr="00E64A4B">
        <w:t>rannie de l'intimité. C'est la naissance d'une « république du choix », dira Friedman</w:t>
      </w:r>
      <w:r>
        <w:t xml:space="preserve"> </w:t>
      </w:r>
      <w:r w:rsidRPr="00E64A4B">
        <w:t>[399]</w:t>
      </w:r>
      <w:r>
        <w:t xml:space="preserve"> </w:t>
      </w:r>
      <w:r w:rsidRPr="00E64A4B">
        <w:t>(1990), où les identités comme les normes sont soumises à une construction-déconstruction. Diverses communautés naissent de ce processus d'éclatement de l'espace public : mouvements cat</w:t>
      </w:r>
      <w:r w:rsidRPr="00E64A4B">
        <w:t>é</w:t>
      </w:r>
      <w:r w:rsidRPr="00E64A4B">
        <w:t>goriels orientés vers la défense d'un droit et non nécessairement du bien commun. Certains de ces droits ont élargi l'accès à la ju</w:t>
      </w:r>
      <w:r w:rsidRPr="00E64A4B">
        <w:t>s</w:t>
      </w:r>
      <w:r w:rsidRPr="00E64A4B">
        <w:t>tice, assuré l'équité et l'intégrité des personnes, ouvert un champ semi-autonome de pratiques spécifiques qui se réfléchissent dans un plur</w:t>
      </w:r>
      <w:r w:rsidRPr="00E64A4B">
        <w:t>a</w:t>
      </w:r>
      <w:r w:rsidRPr="00E64A4B">
        <w:t>lisme social, culturel et juridique. La dissonance normative est plus vive sur d'autres fronts à l'intersection d'un savoir et d'un pouvoir in</w:t>
      </w:r>
      <w:r w:rsidRPr="00E64A4B">
        <w:t>s</w:t>
      </w:r>
      <w:r w:rsidRPr="00E64A4B">
        <w:t>titués, n</w:t>
      </w:r>
      <w:r w:rsidRPr="00E64A4B">
        <w:t>o</w:t>
      </w:r>
      <w:r w:rsidRPr="00E64A4B">
        <w:t>tamment lorsqu'il s'agit de négocier les règles du jeu entre ordres jur</w:t>
      </w:r>
      <w:r w:rsidRPr="00E64A4B">
        <w:t>i</w:t>
      </w:r>
      <w:r w:rsidRPr="00E64A4B">
        <w:t>diques asymétriques, comme dans le cas des autochtones, par exemple. D'autres choix continuent à p</w:t>
      </w:r>
      <w:r w:rsidRPr="00E64A4B">
        <w:t>o</w:t>
      </w:r>
      <w:r w:rsidRPr="00E64A4B">
        <w:t>ser des dilemmes moraux quant aux formes de la citoyenneté, pa</w:t>
      </w:r>
      <w:r w:rsidRPr="00E64A4B">
        <w:t>r</w:t>
      </w:r>
      <w:r w:rsidRPr="00E64A4B">
        <w:t>ticulièrement en ce qui concerne les droits et devoirs civils pour les deux sexes, dont parle avec beaucoup de justesse Irigaray (1989) et que prolonge ici le texte de Marie-Blanche Tahon. Elle signale notamment les difficultés qu'e</w:t>
      </w:r>
      <w:r w:rsidRPr="00E64A4B">
        <w:t>n</w:t>
      </w:r>
      <w:r w:rsidRPr="00E64A4B">
        <w:t>tretient le néo-féminisme dans sa dénonciation de la violence domestique, lai</w:t>
      </w:r>
      <w:r w:rsidRPr="00E64A4B">
        <w:t>s</w:t>
      </w:r>
      <w:r w:rsidRPr="00E64A4B">
        <w:t>sant entière la question de l'affirmation politique des femmes qui passe par le droit à la non-maternité. Interprétant les l</w:t>
      </w:r>
      <w:r w:rsidRPr="00E64A4B">
        <w:t>e</w:t>
      </w:r>
      <w:r w:rsidRPr="00E64A4B">
        <w:t>çons de Legendre sur la filiation et l'office du Père, elle montre que la femme ne devient citoyenne que désincorporée de la Mère. Pour sa part, Mikhaël Elbaz s'interroge sur les effets normatifs de l'institutio</w:t>
      </w:r>
      <w:r w:rsidRPr="00E64A4B">
        <w:t>n</w:t>
      </w:r>
      <w:r w:rsidRPr="00E64A4B">
        <w:t>nalisation de pr</w:t>
      </w:r>
      <w:r w:rsidRPr="00E64A4B">
        <w:t>o</w:t>
      </w:r>
      <w:r w:rsidRPr="00E64A4B">
        <w:t>grammes préférentiels envers les minorités visibles au Canada. Il note que quelle que soit la philosophie pratique qui fo</w:t>
      </w:r>
      <w:r w:rsidRPr="00E64A4B">
        <w:t>n</w:t>
      </w:r>
      <w:r w:rsidRPr="00E64A4B">
        <w:t>de ces mesures, l'essentialisation et la totalisation qu'opère la catégor</w:t>
      </w:r>
      <w:r w:rsidRPr="00E64A4B">
        <w:t>i</w:t>
      </w:r>
      <w:r w:rsidRPr="00E64A4B">
        <w:t>sation des porteurs de droits à l'égalité positive a pour effet de créer des communautés soudées par des marques imputées et r</w:t>
      </w:r>
      <w:r w:rsidRPr="00E64A4B">
        <w:t>é</w:t>
      </w:r>
      <w:r w:rsidRPr="00E64A4B">
        <w:t>putées être somatiques.</w:t>
      </w:r>
    </w:p>
    <w:p w:rsidR="00B7214C" w:rsidRPr="00E64A4B" w:rsidRDefault="00B7214C" w:rsidP="00B7214C">
      <w:pPr>
        <w:spacing w:before="120" w:after="120"/>
        <w:jc w:val="both"/>
      </w:pPr>
      <w:r w:rsidRPr="00E64A4B">
        <w:t>Cette brève présentation ne fait qu'ébaucher les enjeux d'un o</w:t>
      </w:r>
      <w:r w:rsidRPr="00E64A4B">
        <w:t>b</w:t>
      </w:r>
      <w:r w:rsidRPr="00E64A4B">
        <w:t>jet aux frontières mal définies mais qui, symptômalement, dénote à bea</w:t>
      </w:r>
      <w:r w:rsidRPr="00E64A4B">
        <w:t>u</w:t>
      </w:r>
      <w:r w:rsidRPr="00E64A4B">
        <w:t>coup d'égards les difficultés de relativiser la tradition mais aussi l'un</w:t>
      </w:r>
      <w:r w:rsidRPr="00E64A4B">
        <w:t>i</w:t>
      </w:r>
      <w:r w:rsidRPr="00E64A4B">
        <w:t>versalisme.</w:t>
      </w:r>
    </w:p>
    <w:p w:rsidR="00B7214C" w:rsidRPr="00E64A4B" w:rsidRDefault="00B7214C" w:rsidP="00B7214C">
      <w:pPr>
        <w:spacing w:before="120" w:after="120"/>
        <w:jc w:val="both"/>
      </w:pPr>
      <w:r w:rsidRPr="00E64A4B">
        <w:t>[400]</w:t>
      </w:r>
    </w:p>
    <w:p w:rsidR="00B7214C" w:rsidRPr="00E64A4B" w:rsidRDefault="00B7214C" w:rsidP="00B7214C">
      <w:pPr>
        <w:spacing w:before="120" w:after="120"/>
        <w:jc w:val="both"/>
      </w:pPr>
    </w:p>
    <w:p w:rsidR="00B7214C" w:rsidRPr="00E64A4B" w:rsidRDefault="00B7214C" w:rsidP="00B7214C">
      <w:pPr>
        <w:pStyle w:val="a"/>
      </w:pPr>
      <w:r w:rsidRPr="00E64A4B">
        <w:t>RÉFÉRENCES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 xml:space="preserve">Friedman, L., </w:t>
      </w:r>
      <w:r w:rsidRPr="000D1A32">
        <w:rPr>
          <w:i/>
          <w:iCs/>
        </w:rPr>
        <w:t>The Republic of Choice,</w:t>
      </w:r>
      <w:r w:rsidRPr="00E64A4B">
        <w:t xml:space="preserve"> Cambridge, Harvard Un</w:t>
      </w:r>
      <w:r w:rsidRPr="00E64A4B">
        <w:t>i</w:t>
      </w:r>
      <w:r w:rsidRPr="00E64A4B">
        <w:t xml:space="preserve">versity Press, 1990. Irigaray, L., </w:t>
      </w:r>
      <w:r w:rsidRPr="000D1A32">
        <w:rPr>
          <w:i/>
          <w:iCs/>
        </w:rPr>
        <w:t>Le temps de la différence,</w:t>
      </w:r>
      <w:r w:rsidRPr="00E64A4B">
        <w:t xml:space="preserve"> Paris, L</w:t>
      </w:r>
      <w:r w:rsidRPr="00E64A4B">
        <w:t>i</w:t>
      </w:r>
      <w:r w:rsidRPr="00E64A4B">
        <w:t>bra</w:t>
      </w:r>
      <w:r w:rsidRPr="00E64A4B">
        <w:t>i</w:t>
      </w:r>
      <w:r w:rsidRPr="00E64A4B">
        <w:t>rie générale française, 1989.</w:t>
      </w:r>
    </w:p>
    <w:p w:rsidR="00B7214C" w:rsidRPr="00E64A4B" w:rsidRDefault="00B7214C" w:rsidP="00B7214C">
      <w:pPr>
        <w:spacing w:before="120" w:after="120"/>
        <w:jc w:val="both"/>
      </w:pPr>
      <w:r w:rsidRPr="00E64A4B">
        <w:t xml:space="preserve">Jeudy, H.P., </w:t>
      </w:r>
      <w:r w:rsidRPr="000D1A32">
        <w:rPr>
          <w:i/>
          <w:iCs/>
        </w:rPr>
        <w:t>Éloge de l'arbitraire,</w:t>
      </w:r>
      <w:r w:rsidRPr="00E64A4B">
        <w:t xml:space="preserve"> Paris, Presses universitaires de France, 1993.</w:t>
      </w:r>
    </w:p>
    <w:p w:rsidR="00B7214C" w:rsidRPr="00E64A4B" w:rsidRDefault="00B7214C" w:rsidP="00B7214C">
      <w:pPr>
        <w:spacing w:before="120" w:after="120"/>
        <w:jc w:val="both"/>
      </w:pPr>
      <w:r w:rsidRPr="00E64A4B">
        <w:t xml:space="preserve">Legendre, P., </w:t>
      </w:r>
      <w:r w:rsidRPr="000D1A32">
        <w:rPr>
          <w:i/>
          <w:iCs/>
        </w:rPr>
        <w:t>Les enfants du texte,</w:t>
      </w:r>
      <w:r w:rsidRPr="00E64A4B">
        <w:t xml:space="preserve"> Étude sur la fonction pare</w:t>
      </w:r>
      <w:r w:rsidRPr="00E64A4B">
        <w:t>n</w:t>
      </w:r>
      <w:r w:rsidRPr="00E64A4B">
        <w:t>tale des États. Leçons VI, Paris, Fayard, 1992.</w:t>
      </w:r>
    </w:p>
    <w:p w:rsidR="00B7214C" w:rsidRPr="00E64A4B" w:rsidRDefault="00B7214C" w:rsidP="00B7214C">
      <w:pPr>
        <w:spacing w:before="120" w:after="120"/>
        <w:jc w:val="both"/>
      </w:pPr>
      <w:r w:rsidRPr="00E64A4B">
        <w:t xml:space="preserve">Lipovetsky, G., </w:t>
      </w:r>
      <w:r w:rsidRPr="000D1A32">
        <w:rPr>
          <w:i/>
          <w:iCs/>
        </w:rPr>
        <w:t>Le crépuscule du devoir,</w:t>
      </w:r>
      <w:r w:rsidRPr="00E64A4B">
        <w:t xml:space="preserve"> Paris, Gallimard, 1992.</w:t>
      </w:r>
    </w:p>
    <w:p w:rsidR="00B7214C" w:rsidRPr="00E64A4B" w:rsidRDefault="00B7214C" w:rsidP="00B7214C">
      <w:pPr>
        <w:spacing w:before="120" w:after="120"/>
        <w:jc w:val="both"/>
      </w:pPr>
      <w:r w:rsidRPr="00E64A4B">
        <w:t xml:space="preserve">Taylor, Ch. </w:t>
      </w:r>
      <w:r w:rsidRPr="000D1A32">
        <w:rPr>
          <w:i/>
          <w:iCs/>
        </w:rPr>
        <w:t>et al., Multiculturalism and the Politics of Recognition,</w:t>
      </w:r>
      <w:r w:rsidRPr="00E64A4B">
        <w:t xml:space="preserve"> Princeton, Princeton University Press, 1992.</w:t>
      </w:r>
    </w:p>
    <w:p w:rsidR="00B7214C" w:rsidRPr="00E64A4B" w:rsidRDefault="00B7214C" w:rsidP="00B7214C">
      <w:pPr>
        <w:spacing w:before="120" w:after="120"/>
        <w:jc w:val="both"/>
      </w:pPr>
      <w:r w:rsidRPr="00E64A4B">
        <w:t xml:space="preserve">Walzer, M., « Éloge du pluralisme démocratique », </w:t>
      </w:r>
      <w:r w:rsidRPr="000D1A32">
        <w:rPr>
          <w:i/>
          <w:iCs/>
        </w:rPr>
        <w:t>Esprit,</w:t>
      </w:r>
      <w:r w:rsidRPr="00E64A4B">
        <w:t xml:space="preserve"> mars-avril 1992, p</w:t>
      </w:r>
      <w:r>
        <w:t>p</w:t>
      </w:r>
      <w:r w:rsidRPr="00E64A4B">
        <w:t>. 123-129.</w:t>
      </w:r>
    </w:p>
    <w:p w:rsidR="00B7214C" w:rsidRPr="00E64A4B" w:rsidRDefault="00B7214C" w:rsidP="00B7214C">
      <w:pPr>
        <w:pStyle w:val="p"/>
      </w:pPr>
      <w:r w:rsidRPr="00E64A4B">
        <w:br w:type="page"/>
        <w:t>[401]</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39" w:name="Entre_tradition_pt_2_texte_27"/>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D. RELIGIONS DES DROITS :</w:t>
      </w:r>
      <w:r>
        <w:rPr>
          <w:color w:val="FF0000"/>
          <w:sz w:val="24"/>
        </w:rPr>
        <w:br/>
        <w:t>ENTRE COMMUNAUTARISME ET INDIVIDUALISME</w:t>
      </w:r>
    </w:p>
    <w:p w:rsidR="00B7214C" w:rsidRPr="00384B20" w:rsidRDefault="00B7214C" w:rsidP="00B7214C">
      <w:pPr>
        <w:pStyle w:val="Titreniveau1"/>
      </w:pPr>
      <w:r>
        <w:t>27</w:t>
      </w:r>
    </w:p>
    <w:p w:rsidR="00B7214C" w:rsidRDefault="00B7214C" w:rsidP="00B7214C">
      <w:pPr>
        <w:pStyle w:val="Titreniveau2"/>
      </w:pPr>
      <w:r>
        <w:t>“Droits nouveaux</w:t>
      </w:r>
      <w:r>
        <w:br/>
        <w:t>et raisons démocratiques.”</w:t>
      </w:r>
    </w:p>
    <w:bookmarkEnd w:id="39"/>
    <w:p w:rsidR="00B7214C" w:rsidRPr="00E07116" w:rsidRDefault="00B7214C" w:rsidP="00B7214C">
      <w:pPr>
        <w:jc w:val="both"/>
        <w:rPr>
          <w:szCs w:val="36"/>
        </w:rPr>
      </w:pPr>
    </w:p>
    <w:p w:rsidR="00B7214C" w:rsidRPr="00E07116" w:rsidRDefault="00B7214C" w:rsidP="00B7214C">
      <w:pPr>
        <w:pStyle w:val="suite"/>
      </w:pPr>
      <w:r>
        <w:t>Par Yvan SIMONIS</w:t>
      </w:r>
    </w:p>
    <w:p w:rsidR="00B7214C" w:rsidRPr="00E07116" w:rsidRDefault="00B7214C" w:rsidP="00B7214C">
      <w:pPr>
        <w:pStyle w:val="auteurst"/>
      </w:pPr>
      <w:r w:rsidRPr="004A7EF1">
        <w:t>Département d'anthropologie, Université Laval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64A4B" w:rsidRDefault="00B7214C" w:rsidP="00B7214C">
      <w:pPr>
        <w:spacing w:before="120" w:after="120"/>
        <w:jc w:val="both"/>
      </w:pPr>
      <w:r w:rsidRPr="00E64A4B">
        <w:t>L’individualisme conduit inévitablement à la religion des droits que chacun réclame pour soi. Les États qui acceptent le principe de leur limitation par le Droit, de leur légitimité par le recours à des éle</w:t>
      </w:r>
      <w:r w:rsidRPr="00E64A4B">
        <w:t>c</w:t>
      </w:r>
      <w:r w:rsidRPr="00E64A4B">
        <w:t>tions démocratiques ont tous accepté progress</w:t>
      </w:r>
      <w:r w:rsidRPr="00E64A4B">
        <w:t>i</w:t>
      </w:r>
      <w:r w:rsidRPr="00E64A4B">
        <w:t>vement le mécanisme clé d'un vote par citoyen majeur en droit, ils fondent sur les unités i</w:t>
      </w:r>
      <w:r w:rsidRPr="00E64A4B">
        <w:t>n</w:t>
      </w:r>
      <w:r w:rsidRPr="00E64A4B">
        <w:t>dividuelles, sur le recours aux individus, la légitimité même des go</w:t>
      </w:r>
      <w:r w:rsidRPr="00E64A4B">
        <w:t>u</w:t>
      </w:r>
      <w:r w:rsidRPr="00E64A4B">
        <w:t>ve</w:t>
      </w:r>
      <w:r w:rsidRPr="00E64A4B">
        <w:t>r</w:t>
      </w:r>
      <w:r w:rsidRPr="00E64A4B">
        <w:t>nements fiduciaires de l'État. La croyance dans les droits universels de la personne est bien établie et produit ses « théologies » et ses cons</w:t>
      </w:r>
      <w:r w:rsidRPr="00E64A4B">
        <w:t>é</w:t>
      </w:r>
      <w:r w:rsidRPr="00E64A4B">
        <w:t>quences pratiques. Sur le plan des fictions politiques, la riche fiction démocratique l'a, se</w:t>
      </w:r>
      <w:r w:rsidRPr="00E64A4B">
        <w:t>m</w:t>
      </w:r>
      <w:r w:rsidRPr="00E64A4B">
        <w:t>ble-t-il, emporté. Il ne faut donc pas s'étonner de l'individualisme et de la démultiplication des demandes individuelles de droits nouveaux. Les options historiques produisent leurs effets. Dès 1848, la Constitution française plaçait, sans ambigu</w:t>
      </w:r>
      <w:r w:rsidRPr="00E64A4B">
        <w:t>ï</w:t>
      </w:r>
      <w:r w:rsidRPr="00E64A4B">
        <w:t>té, l'individu au-dessus de l'État. La Charte des droits de la personne est au C</w:t>
      </w:r>
      <w:r w:rsidRPr="00E64A4B">
        <w:t>a</w:t>
      </w:r>
      <w:r w:rsidRPr="00E64A4B">
        <w:t>nada fondée sur les mêmes options.</w:t>
      </w:r>
    </w:p>
    <w:p w:rsidR="00B7214C" w:rsidRPr="00E64A4B" w:rsidRDefault="00B7214C" w:rsidP="00B7214C">
      <w:pPr>
        <w:spacing w:before="120" w:after="120"/>
        <w:jc w:val="both"/>
      </w:pPr>
      <w:r w:rsidRPr="00E64A4B">
        <w:t xml:space="preserve">On notera par ailleurs que le triomphe de </w:t>
      </w:r>
      <w:r w:rsidRPr="00E64A4B">
        <w:rPr>
          <w:i/>
          <w:iCs/>
        </w:rPr>
        <w:t>l'homo economicus</w:t>
      </w:r>
      <w:r w:rsidRPr="00E64A4B">
        <w:t xml:space="preserve"> « à l'anglaise » encourageait au nom même de la croissance éc</w:t>
      </w:r>
      <w:r w:rsidRPr="00E64A4B">
        <w:t>o</w:t>
      </w:r>
      <w:r w:rsidRPr="00E64A4B">
        <w:t>nomique et des richesses qu'on en attendait, l'autonomie des individus. L'idé</w:t>
      </w:r>
      <w:r w:rsidRPr="00E64A4B">
        <w:t>o</w:t>
      </w:r>
      <w:r w:rsidRPr="00E64A4B">
        <w:t>logie du capitalisme libéral à l'anglaise a toujours plaidé - ce fut même un de ses arguments majeurs contre la pou</w:t>
      </w:r>
      <w:r w:rsidRPr="00E64A4B">
        <w:t>r</w:t>
      </w:r>
      <w:r w:rsidRPr="00E64A4B">
        <w:t>suite de l'esclavagisme - que l'économie se porterait mieux de pouvoir compter sur des hommes libres capables d'initiatives éc</w:t>
      </w:r>
      <w:r w:rsidRPr="00E64A4B">
        <w:t>o</w:t>
      </w:r>
      <w:r w:rsidRPr="00E64A4B">
        <w:t>nomiques personnelles. Si l'on ajoute à cela la tradition occident</w:t>
      </w:r>
      <w:r w:rsidRPr="00E64A4B">
        <w:t>a</w:t>
      </w:r>
      <w:r w:rsidRPr="00E64A4B">
        <w:t>le de la personne responsable de ses actes, on ne s'étonnera pas</w:t>
      </w:r>
      <w:r>
        <w:t xml:space="preserve"> </w:t>
      </w:r>
      <w:r w:rsidRPr="00E64A4B">
        <w:t>[402]</w:t>
      </w:r>
      <w:r>
        <w:t xml:space="preserve"> </w:t>
      </w:r>
      <w:r w:rsidRPr="00E64A4B">
        <w:t>qu'un des scénarios prévisibles prenne la forme actuelle d'une s</w:t>
      </w:r>
      <w:r w:rsidRPr="00E64A4B">
        <w:t>u</w:t>
      </w:r>
      <w:r w:rsidRPr="00E64A4B">
        <w:t>renchère individualiste.</w:t>
      </w:r>
    </w:p>
    <w:p w:rsidR="00B7214C" w:rsidRPr="00E64A4B" w:rsidRDefault="00B7214C" w:rsidP="00B7214C">
      <w:pPr>
        <w:spacing w:before="120" w:after="120"/>
        <w:jc w:val="both"/>
      </w:pPr>
      <w:r w:rsidRPr="00E64A4B">
        <w:t>Même s'il faut s'en plaindre, on ne peut être surpris par les e</w:t>
      </w:r>
      <w:r w:rsidRPr="00E64A4B">
        <w:t>x</w:t>
      </w:r>
      <w:r w:rsidRPr="00E64A4B">
        <w:t>cès de l'individualisme occidental. Tocqueville depuis longtemps en avait apprécié les risques et la valeur. « Pour que les hommes restent civil</w:t>
      </w:r>
      <w:r w:rsidRPr="00E64A4B">
        <w:t>i</w:t>
      </w:r>
      <w:r w:rsidRPr="00E64A4B">
        <w:t xml:space="preserve">sés ou le deviennent, disait-il dans </w:t>
      </w:r>
      <w:hyperlink r:id="rId99" w:history="1">
        <w:r w:rsidRPr="00E64A4B">
          <w:rPr>
            <w:rStyle w:val="Lienhypertexte"/>
            <w:i/>
            <w:szCs w:val="22"/>
            <w:lang w:eastAsia="fr-FR" w:bidi="fr-FR"/>
          </w:rPr>
          <w:t>De la démocratie en Amérique</w:t>
        </w:r>
      </w:hyperlink>
      <w:r w:rsidRPr="00E64A4B">
        <w:rPr>
          <w:rStyle w:val="Corpsdutexte2Italique"/>
          <w:sz w:val="28"/>
        </w:rPr>
        <w:t>,</w:t>
      </w:r>
      <w:r w:rsidRPr="00E64A4B">
        <w:t xml:space="preserve"> il faut que parmi eux l'art de s'associer se développe et se perfectionne dans le même rapport que l'égalité des cond</w:t>
      </w:r>
      <w:r w:rsidRPr="00E64A4B">
        <w:t>i</w:t>
      </w:r>
      <w:r w:rsidRPr="00E64A4B">
        <w:t>tions s'accroît</w:t>
      </w:r>
      <w:r>
        <w:t> </w:t>
      </w:r>
      <w:r>
        <w:rPr>
          <w:rStyle w:val="Appelnotedebasdep"/>
        </w:rPr>
        <w:footnoteReference w:id="280"/>
      </w:r>
      <w:r w:rsidRPr="00E64A4B">
        <w:t>. »</w:t>
      </w:r>
    </w:p>
    <w:p w:rsidR="00B7214C" w:rsidRPr="00E64A4B" w:rsidRDefault="00B7214C" w:rsidP="00B7214C">
      <w:pPr>
        <w:spacing w:before="120" w:after="120"/>
        <w:jc w:val="both"/>
      </w:pPr>
      <w:r w:rsidRPr="00E64A4B">
        <w:t>Les revendications de droits nouveaux signifient le triomphe de la raison démocratique, « religion désormais obligée », comme le dit P. Legendre. Si j'étais individu, je me méfierais cependant. L'adoption de la rationalité des droits par l'individu - et donc des innombrables d</w:t>
      </w:r>
      <w:r w:rsidRPr="00E64A4B">
        <w:t>é</w:t>
      </w:r>
      <w:r w:rsidRPr="00E64A4B">
        <w:t>ductions possibles qu'elle permet - me paraît plus le triomphe de cette rationalité que le triomphe de l'individu. Jouant son identité et les lég</w:t>
      </w:r>
      <w:r w:rsidRPr="00E64A4B">
        <w:t>i</w:t>
      </w:r>
      <w:r w:rsidRPr="00E64A4B">
        <w:t>timités qu'il réclame sur cette rati</w:t>
      </w:r>
      <w:r w:rsidRPr="00E64A4B">
        <w:t>o</w:t>
      </w:r>
      <w:r w:rsidRPr="00E64A4B">
        <w:t>nalité, l'individu n'est-il pas là bel et bien approprié par le triple raisonnement du droit, de l'État et de l'éc</w:t>
      </w:r>
      <w:r w:rsidRPr="00E64A4B">
        <w:t>o</w:t>
      </w:r>
      <w:r w:rsidRPr="00E64A4B">
        <w:t>nomie et ne s'est-il pas mis en position de soumission aux raisonn</w:t>
      </w:r>
      <w:r w:rsidRPr="00E64A4B">
        <w:t>e</w:t>
      </w:r>
      <w:r w:rsidRPr="00E64A4B">
        <w:t>ments utopiques les plus démagogiques, les moins individualisants et les plus totalitaires ? La réduction de l'individu à la seule raison in</w:t>
      </w:r>
      <w:r w:rsidRPr="00E64A4B">
        <w:t>s</w:t>
      </w:r>
      <w:r w:rsidRPr="00E64A4B">
        <w:t>trumentale est décidément trop courte. La liberté individuelle fut d'abord conçue comme le passage de l'allégeance aux contrats libr</w:t>
      </w:r>
      <w:r w:rsidRPr="00E64A4B">
        <w:t>e</w:t>
      </w:r>
      <w:r w:rsidRPr="00E64A4B">
        <w:t>ment consentis mais on peut se demander si le contrat suffit à rendre compte de la société et mérite même de conserver son statut de valeur fond</w:t>
      </w:r>
      <w:r w:rsidRPr="00E64A4B">
        <w:t>a</w:t>
      </w:r>
      <w:r w:rsidRPr="00E64A4B">
        <w:t>mentale.</w:t>
      </w:r>
    </w:p>
    <w:p w:rsidR="00B7214C" w:rsidRPr="00E64A4B" w:rsidRDefault="00B7214C" w:rsidP="00B7214C">
      <w:pPr>
        <w:spacing w:before="120" w:after="120"/>
        <w:jc w:val="both"/>
      </w:pPr>
      <w:r w:rsidRPr="00E64A4B">
        <w:t>Mon raisonnement se comporte ici comme pour les rapports de la culture et de l'État dont nous dirons un mot plus loin. Loin d'a</w:t>
      </w:r>
      <w:r w:rsidRPr="00E64A4B">
        <w:t>s</w:t>
      </w:r>
      <w:r w:rsidRPr="00E64A4B">
        <w:t>sister au triomphe de l'ethnicité et des cultures partout, n'assi</w:t>
      </w:r>
      <w:r w:rsidRPr="00E64A4B">
        <w:t>s</w:t>
      </w:r>
      <w:r w:rsidRPr="00E64A4B">
        <w:t>tons-nous pas davantage au triomphe de l'État sur toutes les cult</w:t>
      </w:r>
      <w:r w:rsidRPr="00E64A4B">
        <w:t>u</w:t>
      </w:r>
      <w:r w:rsidRPr="00E64A4B">
        <w:t>res puisque celles-ci ne visent, par le prétexte de leurs différences, qu'à devenir des États ? Ces renversements ne surprendront que ceux qui croient enc</w:t>
      </w:r>
      <w:r w:rsidRPr="00E64A4B">
        <w:t>o</w:t>
      </w:r>
      <w:r w:rsidRPr="00E64A4B">
        <w:t>re - pour pasticher Althusser - à « la simplification en dernière insta</w:t>
      </w:r>
      <w:r w:rsidRPr="00E64A4B">
        <w:t>n</w:t>
      </w:r>
      <w:r w:rsidRPr="00E64A4B">
        <w:t>ce ».</w:t>
      </w:r>
    </w:p>
    <w:p w:rsidR="00B7214C" w:rsidRPr="00E64A4B" w:rsidRDefault="00B7214C" w:rsidP="00B7214C">
      <w:pPr>
        <w:spacing w:before="120" w:after="120"/>
        <w:jc w:val="both"/>
      </w:pPr>
      <w:r w:rsidRPr="00E64A4B">
        <w:t>Pour ce qui est de l'individualisme, l'état démocratique se r</w:t>
      </w:r>
      <w:r w:rsidRPr="00E64A4B">
        <w:t>e</w:t>
      </w:r>
      <w:r w:rsidRPr="00E64A4B">
        <w:t xml:space="preserve">trouve en tout cas dans la situation humiliante de celui qui ne peut suivre le train des attentes qu'il a développées. Il est incapable de produire les raisons aptes à répondre aux demandes rationnelles individualisées. Il me semble qu'une voie de réponse serait, pour l'État comme pour les citoyens, de concevoir plus clairement leur dépendance commune à l'égard de </w:t>
      </w:r>
      <w:r w:rsidRPr="00E64A4B">
        <w:rPr>
          <w:i/>
          <w:iCs/>
        </w:rPr>
        <w:t>l'institution</w:t>
      </w:r>
      <w:r w:rsidRPr="00E64A4B">
        <w:t xml:space="preserve"> qui fonde à mon avis leurs rapports. L'anthrop</w:t>
      </w:r>
      <w:r w:rsidRPr="00E64A4B">
        <w:t>o</w:t>
      </w:r>
      <w:r w:rsidRPr="00E64A4B">
        <w:t>logie sait depuis longtemps qu'il n'est pas besoin d'État pour qu'il y ait des êtres humains vivants en société, que l'humanité existait avant l'État, mais elle sait aussi que l'institution est là depuis toujours, n</w:t>
      </w:r>
      <w:r w:rsidRPr="00E64A4B">
        <w:t>é</w:t>
      </w:r>
      <w:r w:rsidRPr="00E64A4B">
        <w:t>cessaire absolument, le bien</w:t>
      </w:r>
      <w:r>
        <w:t xml:space="preserve"> </w:t>
      </w:r>
      <w:r w:rsidRPr="00E64A4B">
        <w:t>[403]</w:t>
      </w:r>
      <w:r>
        <w:t xml:space="preserve"> </w:t>
      </w:r>
      <w:r w:rsidRPr="00E64A4B">
        <w:t>commun par excellence et la limite même au triomphe actuel su</w:t>
      </w:r>
      <w:r w:rsidRPr="00E64A4B">
        <w:t>s</w:t>
      </w:r>
      <w:r w:rsidRPr="00E64A4B">
        <w:t>pect de la logique des contrats. Bien commun parce que tous doivent y avoir accès, bien commun parce qu'il ne se partage pas.</w:t>
      </w:r>
    </w:p>
    <w:p w:rsidR="00B7214C" w:rsidRPr="00E64A4B" w:rsidRDefault="00B7214C" w:rsidP="00B7214C">
      <w:pPr>
        <w:spacing w:before="120" w:after="120"/>
        <w:jc w:val="both"/>
      </w:pPr>
      <w:r w:rsidRPr="00E64A4B">
        <w:t>La question centrale du rapport de l'individu à l'institution c</w:t>
      </w:r>
      <w:r w:rsidRPr="00E64A4B">
        <w:t>a</w:t>
      </w:r>
      <w:r w:rsidRPr="00E64A4B">
        <w:t>dre à mes yeux la réflexion sur les rapports de la culture et de l'État. J'y r</w:t>
      </w:r>
      <w:r w:rsidRPr="00E64A4B">
        <w:t>e</w:t>
      </w:r>
      <w:r w:rsidRPr="00E64A4B">
        <w:t>viendrai en m'inspirant directement des travaux de Pierre Legendre</w:t>
      </w:r>
      <w:r>
        <w:t> </w:t>
      </w:r>
      <w:r>
        <w:rPr>
          <w:rStyle w:val="Appelnotedebasdep"/>
        </w:rPr>
        <w:footnoteReference w:id="281"/>
      </w:r>
      <w:r w:rsidRPr="00E64A4B">
        <w:t xml:space="preserve"> après un détour par les débats actuels qui opp</w:t>
      </w:r>
      <w:r w:rsidRPr="00E64A4B">
        <w:t>o</w:t>
      </w:r>
      <w:r w:rsidRPr="00E64A4B">
        <w:t>sent modernistes et postmodernistes et cadrent actuellement la demande de droits no</w:t>
      </w:r>
      <w:r w:rsidRPr="00E64A4B">
        <w:t>u</w:t>
      </w:r>
      <w:r w:rsidRPr="00E64A4B">
        <w:t>veaux et la question de l'individualisme.</w:t>
      </w:r>
    </w:p>
    <w:p w:rsidR="00B7214C" w:rsidRPr="00E64A4B" w:rsidRDefault="00B7214C" w:rsidP="00B7214C">
      <w:pPr>
        <w:spacing w:before="120" w:after="120"/>
        <w:jc w:val="both"/>
      </w:pPr>
      <w:r w:rsidRPr="00E64A4B">
        <w:t>Depuis la Renaissance - et de bien des façons il est vrai - la mode</w:t>
      </w:r>
      <w:r w:rsidRPr="00E64A4B">
        <w:t>r</w:t>
      </w:r>
      <w:r w:rsidRPr="00E64A4B">
        <w:t>nité s'est éloignée des traditions locales en développant un univers</w:t>
      </w:r>
      <w:r w:rsidRPr="00E64A4B">
        <w:t>a</w:t>
      </w:r>
      <w:r w:rsidRPr="00E64A4B">
        <w:t>lisme qui n'a pas craint de remettre en cause à peu près tous les acquis précédents. Il fallait transformer le monde et soi-même et projeter sur l'avenir la construction libérante d'une soci</w:t>
      </w:r>
      <w:r w:rsidRPr="00E64A4B">
        <w:t>é</w:t>
      </w:r>
      <w:r w:rsidRPr="00E64A4B">
        <w:t>té nouvelle. La modernité a pratiqué la destruction créatrice espérant construire la cité universe</w:t>
      </w:r>
      <w:r w:rsidRPr="00E64A4B">
        <w:t>l</w:t>
      </w:r>
      <w:r w:rsidRPr="00E64A4B">
        <w:t>le au prix de la bousculade des coutumes. Sciences, techniques, co</w:t>
      </w:r>
      <w:r w:rsidRPr="00E64A4B">
        <w:t>m</w:t>
      </w:r>
      <w:r w:rsidRPr="00E64A4B">
        <w:t>munications, conquêtes, tout était légitime et l'Occident dans un grand souffle s'y est mis. Les projets étaient nombreux, le capitalisme s'y adapta le mieux : nous avons cru et nous croyons encore à l'accumul</w:t>
      </w:r>
      <w:r w:rsidRPr="00E64A4B">
        <w:t>a</w:t>
      </w:r>
      <w:r w:rsidRPr="00E64A4B">
        <w:t>tion et au profit a</w:t>
      </w:r>
      <w:r w:rsidRPr="00E64A4B">
        <w:t>p</w:t>
      </w:r>
      <w:r w:rsidRPr="00E64A4B">
        <w:t>puyé sur les idées d'une expansion continue et du progrès rapide.</w:t>
      </w:r>
    </w:p>
    <w:p w:rsidR="00B7214C" w:rsidRPr="00E64A4B" w:rsidRDefault="00B7214C" w:rsidP="00B7214C">
      <w:pPr>
        <w:spacing w:before="120" w:after="120"/>
        <w:jc w:val="both"/>
      </w:pPr>
      <w:r w:rsidRPr="00E64A4B">
        <w:t>La perception d'un monde qui se déconstruit sous l'impact de la l</w:t>
      </w:r>
      <w:r w:rsidRPr="00E64A4B">
        <w:t>i</w:t>
      </w:r>
      <w:r w:rsidRPr="00E64A4B">
        <w:t>berté de projeter un avenir radieux était clairement établie bien avant le postmodernisme actuel. Le postmodernisme est, en un sens, la continuation de la déconstruction mais appliquée cette fois aux projets modernistes eux-mêmes de refaire le monde. Sur le fond la question n'est plus évitable : pouvons-nous encore croire à des idées universe</w:t>
      </w:r>
      <w:r w:rsidRPr="00E64A4B">
        <w:t>l</w:t>
      </w:r>
      <w:r w:rsidRPr="00E64A4B">
        <w:t>les capables de fonder des projets coh</w:t>
      </w:r>
      <w:r w:rsidRPr="00E64A4B">
        <w:t>é</w:t>
      </w:r>
      <w:r w:rsidRPr="00E64A4B">
        <w:t>rents ? On se méfie à présent des projets modernistes de la libération des hommes par la transform</w:t>
      </w:r>
      <w:r w:rsidRPr="00E64A4B">
        <w:t>a</w:t>
      </w:r>
      <w:r w:rsidRPr="00E64A4B">
        <w:t>tion du monde. Les deux grandes guerres, Auschwitz, les grandes cr</w:t>
      </w:r>
      <w:r w:rsidRPr="00E64A4B">
        <w:t>i</w:t>
      </w:r>
      <w:r w:rsidRPr="00E64A4B">
        <w:t>ses financières, etc. sont trop de moments qui ont fini par rendre le projet suspect sans compter le projet marxiste, typiquement moderni</w:t>
      </w:r>
      <w:r w:rsidRPr="00E64A4B">
        <w:t>s</w:t>
      </w:r>
      <w:r w:rsidRPr="00E64A4B">
        <w:t>te, et dont la hâte de réussir a entraîné la destruction de l'homme et de la nat</w:t>
      </w:r>
      <w:r w:rsidRPr="00E64A4B">
        <w:t>u</w:t>
      </w:r>
      <w:r w:rsidRPr="00E64A4B">
        <w:t>re.</w:t>
      </w:r>
    </w:p>
    <w:p w:rsidR="00B7214C" w:rsidRPr="00E64A4B" w:rsidRDefault="00B7214C" w:rsidP="00B7214C">
      <w:pPr>
        <w:spacing w:before="120" w:after="120"/>
        <w:jc w:val="both"/>
      </w:pPr>
      <w:r w:rsidRPr="00E64A4B">
        <w:t>Le postmodernisme se méfie des narrativités trop englobantes qui donneraient à nouveau naissance à des projets analogues à ceux du modernisme. Situation de crise typique. Ce courant donne l'heure idéologique de la claire conscience critique des risques accumulés par les illusions modernistes dont le marxisme et le capitalisme sont les tributaires. Le postmodernisme est à la fois un produit de la modernité et sa critique par la poursuite d'une de ses dimensions.</w:t>
      </w:r>
    </w:p>
    <w:p w:rsidR="00B7214C" w:rsidRPr="00E64A4B" w:rsidRDefault="00B7214C" w:rsidP="00B7214C">
      <w:pPr>
        <w:spacing w:before="120" w:after="120"/>
        <w:jc w:val="both"/>
      </w:pPr>
      <w:r w:rsidRPr="00E64A4B">
        <w:t>[</w:t>
      </w:r>
      <w:r w:rsidRPr="00600328">
        <w:t>404]</w:t>
      </w:r>
    </w:p>
    <w:p w:rsidR="00B7214C" w:rsidRPr="00E64A4B" w:rsidRDefault="00B7214C" w:rsidP="00B7214C">
      <w:pPr>
        <w:spacing w:before="120" w:after="120"/>
        <w:jc w:val="both"/>
      </w:pPr>
      <w:r w:rsidRPr="00E64A4B">
        <w:t>La critique postmoderniste fait toutefois l'impasse sur le pr</w:t>
      </w:r>
      <w:r w:rsidRPr="00E64A4B">
        <w:t>o</w:t>
      </w:r>
      <w:r w:rsidRPr="00E64A4B">
        <w:t>blème de l'institution auquel elle devrait s'attacher si elle cherche la limite de ses propos. Faisons retour un instant sur l'institution et l'État avant d'en revenir aux demandes individuelles.</w:t>
      </w:r>
    </w:p>
    <w:p w:rsidR="00B7214C" w:rsidRPr="00E64A4B" w:rsidRDefault="00B7214C" w:rsidP="00B7214C">
      <w:pPr>
        <w:spacing w:before="120" w:after="120"/>
        <w:jc w:val="both"/>
      </w:pPr>
      <w:r w:rsidRPr="00E64A4B">
        <w:t>Ce n'est pas parce que l'État reprend à son compte, dans ses lois et le cadre du Droit, certaines coutumes ou traditions culture</w:t>
      </w:r>
      <w:r w:rsidRPr="00E64A4B">
        <w:t>l</w:t>
      </w:r>
      <w:r w:rsidRPr="00E64A4B">
        <w:t>les qu'il est explicable par ces traditions. L'État n'est pas une fleur de la culture, il ne se forme pas par déploiement végétal, il est plutôt une mise su</w:t>
      </w:r>
      <w:r w:rsidRPr="00E64A4B">
        <w:t>p</w:t>
      </w:r>
      <w:r w:rsidRPr="00E64A4B">
        <w:t>plémentaire qui se démarque par son tranchant et ses options, il est une autre manière de traiter le rapport social. La culture court en effet le risque de se transformer en religion en prétendant soumettre le droit à ses prérequis. Le droit n'est plus alors une limite opposable à la culture, il est transformé en moyen d'imposer une vision du monde sans limite, essentiellement mystique par conséquent, le Graal à d</w:t>
      </w:r>
      <w:r w:rsidRPr="00E64A4B">
        <w:t>é</w:t>
      </w:r>
      <w:r w:rsidRPr="00E64A4B">
        <w:t>fendre. Le Graal au nom d</w:t>
      </w:r>
      <w:r w:rsidRPr="00E64A4B">
        <w:t>u</w:t>
      </w:r>
      <w:r w:rsidRPr="00E64A4B">
        <w:t>quel la culture va parfois jusqu'à régenter le détail des vies quot</w:t>
      </w:r>
      <w:r w:rsidRPr="00E64A4B">
        <w:t>i</w:t>
      </w:r>
      <w:r w:rsidRPr="00E64A4B">
        <w:t>diennes, ne distribuant les légitimités que si l'on ressemble à ses fictions, en un mot la fraternité-terreur. L'état de droit ne pousse pas comme une fleur sur le terrain de la culture, il suppose des ruptures. Bien sûr, il est impératif qu'il reste adéquat et ne détruise pas ce qu'il traite. Ici se forment les rapports de l'État à l'être h</w:t>
      </w:r>
      <w:r w:rsidRPr="00E64A4B">
        <w:t>u</w:t>
      </w:r>
      <w:r w:rsidRPr="00E64A4B">
        <w:t>main. Loin de n'être qu'une façon de s'éloigner des gens pour v</w:t>
      </w:r>
      <w:r w:rsidRPr="00E64A4B">
        <w:t>a</w:t>
      </w:r>
      <w:r w:rsidRPr="00E64A4B">
        <w:t>quer à ses combines militaires, économiques ou juridiques, l'État romain — puisqu'il a inspiré tous les développements des États occidentaux qui ont suivi- s'est appuyé - comment faire autrement ? - pour s'en déma</w:t>
      </w:r>
      <w:r w:rsidRPr="00E64A4B">
        <w:t>r</w:t>
      </w:r>
      <w:r w:rsidRPr="00E64A4B">
        <w:t>quer - sans quoi rien de nouveau - sur les coutumes familiales et pol</w:t>
      </w:r>
      <w:r w:rsidRPr="00E64A4B">
        <w:t>i</w:t>
      </w:r>
      <w:r w:rsidRPr="00E64A4B">
        <w:t>tiques de Rome dont il a retenu que</w:t>
      </w:r>
      <w:r w:rsidRPr="00E64A4B">
        <w:t>l</w:t>
      </w:r>
      <w:r w:rsidRPr="00E64A4B">
        <w:t>ques clés dans son droit civil : l'état civil est réglementé par des lois cadrées par un Droit qui est to</w:t>
      </w:r>
      <w:r w:rsidRPr="00E64A4B">
        <w:t>u</w:t>
      </w:r>
      <w:r w:rsidRPr="00E64A4B">
        <w:t>jours resté attentif à la suite des générations, conscient qu'une société se reproduit, se transmet de génération en génération. L'ambiguïté qui s'installe ici dans plusieurs débats indiquent bien à la fois l'irréductible ambivalence des rapports culture-État sur ce point et montre à la fois clair</w:t>
      </w:r>
      <w:r w:rsidRPr="00E64A4B">
        <w:t>e</w:t>
      </w:r>
      <w:r w:rsidRPr="00E64A4B">
        <w:t>ment que l'option de l'État n'est plus celle de la culture sur ces mêmes points. Je m'explique : l'État est parti de la situation r</w:t>
      </w:r>
      <w:r w:rsidRPr="00E64A4B">
        <w:t>o</w:t>
      </w:r>
      <w:r w:rsidRPr="00E64A4B">
        <w:t>maine pour marquer sa place, il s'est appuyé sur la notion de « père », de « fils de », mais rapidement il a tenu à l'écart la situ</w:t>
      </w:r>
      <w:r w:rsidRPr="00E64A4B">
        <w:t>a</w:t>
      </w:r>
      <w:r w:rsidRPr="00E64A4B">
        <w:t>tion réelle des rapports familiaux pour redéfinir, de plusieurs façons, ce qu'il en ret</w:t>
      </w:r>
      <w:r w:rsidRPr="00E64A4B">
        <w:t>e</w:t>
      </w:r>
      <w:r w:rsidRPr="00E64A4B">
        <w:t>nait. Il s'est mis en position de « père » à l'égard des « pères » r</w:t>
      </w:r>
      <w:r w:rsidRPr="00E64A4B">
        <w:t>o</w:t>
      </w:r>
      <w:r w:rsidRPr="00E64A4B">
        <w:t>mains, il a fait de pratiques des institutions, il a développé les oblig</w:t>
      </w:r>
      <w:r w:rsidRPr="00E64A4B">
        <w:t>a</w:t>
      </w:r>
      <w:r w:rsidRPr="00E64A4B">
        <w:t>tions de tous à l'égard de l'État, il s'est installé comme référence et s'est emparé de la légitimité, il a pr</w:t>
      </w:r>
      <w:r w:rsidRPr="00E64A4B">
        <w:t>o</w:t>
      </w:r>
      <w:r w:rsidRPr="00E64A4B">
        <w:t>gressivement tenu à établir les rapports qu'il souhaitait avec les citoyens sur le terrain de la raison et l'expression privilégiée de ses rapports se fit nécessairement sur le te</w:t>
      </w:r>
      <w:r w:rsidRPr="00E64A4B">
        <w:t>r</w:t>
      </w:r>
      <w:r w:rsidRPr="00E64A4B">
        <w:t>rain du Droit où se re</w:t>
      </w:r>
      <w:r w:rsidRPr="00E64A4B">
        <w:t>n</w:t>
      </w:r>
      <w:r w:rsidRPr="00E64A4B">
        <w:t>contrent l'État et ses protégés, ses citoyens. La raison du droit rendit peu à peu caduque sur son terrain, l'origine s</w:t>
      </w:r>
      <w:r w:rsidRPr="00E64A4B">
        <w:t>o</w:t>
      </w:r>
      <w:r w:rsidRPr="00E64A4B">
        <w:t>ciale ou cult</w:t>
      </w:r>
      <w:r w:rsidRPr="00E64A4B">
        <w:t>u</w:t>
      </w:r>
      <w:r w:rsidRPr="00E64A4B">
        <w:t>relle, les croyances religieuses, la sexualité, les opinions des a</w:t>
      </w:r>
      <w:r w:rsidRPr="00E64A4B">
        <w:t>c</w:t>
      </w:r>
      <w:r w:rsidRPr="00E64A4B">
        <w:t>teurs qu'elle y rencontrait.</w:t>
      </w:r>
    </w:p>
    <w:p w:rsidR="00B7214C" w:rsidRPr="00E64A4B" w:rsidRDefault="00B7214C" w:rsidP="00B7214C">
      <w:pPr>
        <w:spacing w:before="120" w:after="120"/>
        <w:jc w:val="both"/>
      </w:pPr>
      <w:r w:rsidRPr="00E64A4B">
        <w:t>[405]</w:t>
      </w:r>
    </w:p>
    <w:p w:rsidR="00B7214C" w:rsidRPr="00E64A4B" w:rsidRDefault="00B7214C" w:rsidP="00B7214C">
      <w:pPr>
        <w:spacing w:before="120" w:after="120"/>
        <w:jc w:val="both"/>
      </w:pPr>
      <w:r w:rsidRPr="00E64A4B">
        <w:t>Du point de vue de l'État, surtout dans les conditions sociol</w:t>
      </w:r>
      <w:r w:rsidRPr="00E64A4B">
        <w:t>o</w:t>
      </w:r>
      <w:r w:rsidRPr="00E64A4B">
        <w:t>giques actuelles, il n'est pas l'heure de se laisser ramener sur le terrain de la culture, l'État s'y affaiblirait et les consensus qui le soutiennent s</w:t>
      </w:r>
      <w:r w:rsidRPr="00E64A4B">
        <w:t>e</w:t>
      </w:r>
      <w:r w:rsidRPr="00E64A4B">
        <w:t>raient rapidement mis en cause. C'est pourquoi de même que nous en sommes venus lentement à la claire distinction de l'État et de la rel</w:t>
      </w:r>
      <w:r w:rsidRPr="00E64A4B">
        <w:t>i</w:t>
      </w:r>
      <w:r w:rsidRPr="00E64A4B">
        <w:t>gion, il faut clairement apercevoir qu'un des grands enjeux actuels est celui de la claire distinction de l'État et de la culture. Du point de vue de l'État, il me semble pertinent d'avancer l'hypothèse que si des gro</w:t>
      </w:r>
      <w:r w:rsidRPr="00E64A4B">
        <w:t>u</w:t>
      </w:r>
      <w:r w:rsidRPr="00E64A4B">
        <w:t>pes de citoyens décident de s'unir pour des raisons d'appartenance culturelle, ils exercent le droit de s'associer et que si ces groupes ve</w:t>
      </w:r>
      <w:r w:rsidRPr="00E64A4B">
        <w:t>u</w:t>
      </w:r>
      <w:r w:rsidRPr="00E64A4B">
        <w:t>lent accéder à l'État, ils doivent savoir, dans la tradition occidentale telle qu'elle s'est d</w:t>
      </w:r>
      <w:r w:rsidRPr="00E64A4B">
        <w:t>é</w:t>
      </w:r>
      <w:r w:rsidRPr="00E64A4B">
        <w:t>veloppée, qu'ils viennent de changer de ligue. Ce qui me frappe à cet égard c'est la confusion suivante. Il est rare hist</w:t>
      </w:r>
      <w:r w:rsidRPr="00E64A4B">
        <w:t>o</w:t>
      </w:r>
      <w:r w:rsidRPr="00E64A4B">
        <w:t>riquement, et de toutes manières très récent, que des cultures veulent se donner l'État et de toute façon ce qui triomphe ici, ce ne sont pas les cultures c'est l'État, c'est sans le savoir le triomphe de la raison de l'État sur les raisons de la culture. Ces frontières sont à surveiller.</w:t>
      </w:r>
    </w:p>
    <w:p w:rsidR="00B7214C" w:rsidRPr="00E64A4B" w:rsidRDefault="00B7214C" w:rsidP="00B7214C">
      <w:pPr>
        <w:spacing w:before="120" w:after="120"/>
        <w:jc w:val="both"/>
      </w:pPr>
      <w:r w:rsidRPr="00E64A4B">
        <w:t>Plaider ainsi la primauté de l'État parce qu'il est institution, parce qu'il est État de droit, pouvoir légitime, et grâce au droit a</w:t>
      </w:r>
      <w:r w:rsidRPr="00E64A4B">
        <w:t>s</w:t>
      </w:r>
      <w:r w:rsidRPr="00E64A4B">
        <w:t>surance de la raison comme lieu de rencontre viable des humains, plaider cela sans plus risquerait pourtant de cautionner la position de ceux qui so</w:t>
      </w:r>
      <w:r w:rsidRPr="00E64A4B">
        <w:t>u</w:t>
      </w:r>
      <w:r w:rsidRPr="00E64A4B">
        <w:t>tiennent la primauté de la logique des contrats, le triomphe d'une conception de l'État comme gestionnaire rationnel et les cérémonies des entreprises pour se présenter comme mod</w:t>
      </w:r>
      <w:r w:rsidRPr="00E64A4B">
        <w:t>è</w:t>
      </w:r>
      <w:r w:rsidRPr="00E64A4B">
        <w:t>les à suivre par les États.</w:t>
      </w:r>
    </w:p>
    <w:p w:rsidR="00B7214C" w:rsidRPr="00E64A4B" w:rsidRDefault="00B7214C" w:rsidP="00B7214C">
      <w:pPr>
        <w:spacing w:before="120" w:after="120"/>
        <w:jc w:val="both"/>
      </w:pPr>
      <w:r w:rsidRPr="00E64A4B">
        <w:t>La rationalité de l'État est liée aux options qu'il a prises à tr</w:t>
      </w:r>
      <w:r w:rsidRPr="00E64A4B">
        <w:t>a</w:t>
      </w:r>
      <w:r w:rsidRPr="00E64A4B">
        <w:t>vers l'histoire sur le meurtre et la filiation. L'espace du droit privé, et part</w:t>
      </w:r>
      <w:r w:rsidRPr="00E64A4B">
        <w:t>i</w:t>
      </w:r>
      <w:r w:rsidRPr="00E64A4B">
        <w:t>culièrement celui du droit civil, est celui où se joue d'abord la mise qui fait légitimité ou non, celle qui dévoile la Référence fondatrice que reconnaît l'État qui doit trouver le moyen de se fonder sur la reco</w:t>
      </w:r>
      <w:r w:rsidRPr="00E64A4B">
        <w:t>n</w:t>
      </w:r>
      <w:r w:rsidRPr="00E64A4B">
        <w:t>naissance chez l'homme des leviers qui le font marcher. La rationalité n'est donc pas seulement celle du syll</w:t>
      </w:r>
      <w:r w:rsidRPr="00E64A4B">
        <w:t>o</w:t>
      </w:r>
      <w:r w:rsidRPr="00E64A4B">
        <w:t>gisme, des termes au contrat, elle sera celle du raisonnable fondé sur le croyable. Nous sommes au coeur de l'œuvre de Pierre Legendre dont nous ne pourrons pas dév</w:t>
      </w:r>
      <w:r w:rsidRPr="00E64A4B">
        <w:t>e</w:t>
      </w:r>
      <w:r w:rsidRPr="00E64A4B">
        <w:t>lopper ici la position.</w:t>
      </w:r>
    </w:p>
    <w:p w:rsidR="00B7214C" w:rsidRPr="00E64A4B" w:rsidRDefault="00B7214C" w:rsidP="00B7214C">
      <w:pPr>
        <w:spacing w:before="120" w:after="120"/>
        <w:jc w:val="both"/>
      </w:pPr>
      <w:r w:rsidRPr="00E64A4B">
        <w:t>On comprend mieux que la « demande de droits » n'est pas surpr</w:t>
      </w:r>
      <w:r w:rsidRPr="00E64A4B">
        <w:t>e</w:t>
      </w:r>
      <w:r w:rsidRPr="00E64A4B">
        <w:t>nante et qu'elle est en même temps ambiguë et multidime</w:t>
      </w:r>
      <w:r w:rsidRPr="00E64A4B">
        <w:t>n</w:t>
      </w:r>
      <w:r w:rsidRPr="00E64A4B">
        <w:t>sionnelle. Estelle un symptôme du triomphe de la logique des marchés, le « libre marché du normatif » comme le dit Pierre L</w:t>
      </w:r>
      <w:r w:rsidRPr="00E64A4B">
        <w:t>e</w:t>
      </w:r>
      <w:r w:rsidRPr="00E64A4B">
        <w:t>gendre ? Est-elle appel à la reconnaissance d'une place ? Est-elle autofondée ou appel à l'inst</w:t>
      </w:r>
      <w:r w:rsidRPr="00E64A4B">
        <w:t>i</w:t>
      </w:r>
      <w:r w:rsidRPr="00E64A4B">
        <w:t>tution ? Cette « demande de droits » est-elle excessive et par son e</w:t>
      </w:r>
      <w:r w:rsidRPr="00E64A4B">
        <w:t>x</w:t>
      </w:r>
      <w:r w:rsidRPr="00E64A4B">
        <w:t>cès même déconstruction du lien social ? Y confond-on le « je », le « privé », le « subjectif », le désir dans le melting-pot de la confusion des places ? La « demande de droits » est-elle la demande d'être jugé et au besoin pardonné ou voulons-nous prendre la</w:t>
      </w:r>
      <w:r>
        <w:t xml:space="preserve"> </w:t>
      </w:r>
      <w:r w:rsidRPr="00E64A4B">
        <w:t>[406]</w:t>
      </w:r>
      <w:r>
        <w:t xml:space="preserve"> </w:t>
      </w:r>
      <w:r w:rsidRPr="00E64A4B">
        <w:t>place du j</w:t>
      </w:r>
      <w:r w:rsidRPr="00E64A4B">
        <w:t>u</w:t>
      </w:r>
      <w:r w:rsidRPr="00E64A4B">
        <w:t>ge ? ou des jurés ? La « demande » est-elle le droit ? Est-elle la reco</w:t>
      </w:r>
      <w:r w:rsidRPr="00E64A4B">
        <w:t>n</w:t>
      </w:r>
      <w:r w:rsidRPr="00E64A4B">
        <w:t>naissance que nous ne sommes que si le droit nous dit ? Ou, petits dieux défiant l'État, nous savons que notre demande est trop grande et que l'État échouera à nous r</w:t>
      </w:r>
      <w:r w:rsidRPr="00E64A4B">
        <w:t>e</w:t>
      </w:r>
      <w:r w:rsidRPr="00E64A4B">
        <w:t>connaître ?</w:t>
      </w:r>
    </w:p>
    <w:p w:rsidR="00B7214C" w:rsidRPr="00E64A4B" w:rsidRDefault="00B7214C" w:rsidP="00B7214C">
      <w:pPr>
        <w:spacing w:before="120" w:after="120"/>
        <w:jc w:val="both"/>
      </w:pPr>
      <w:r w:rsidRPr="00E64A4B">
        <w:t>Il est singulier d'observer dans cette affaire la co-présence de la demande de droits réclamée par un « je » qui tient à être reco</w:t>
      </w:r>
      <w:r w:rsidRPr="00E64A4B">
        <w:t>n</w:t>
      </w:r>
      <w:r w:rsidRPr="00E64A4B">
        <w:t>nu comme argument suffisant et la claire conscience de la fluidité subje</w:t>
      </w:r>
      <w:r w:rsidRPr="00E64A4B">
        <w:t>c</w:t>
      </w:r>
      <w:r w:rsidRPr="00E64A4B">
        <w:t>tive du « sujet » postmoderniste sensible au bouillon d'i</w:t>
      </w:r>
      <w:r w:rsidRPr="00E64A4B">
        <w:t>m</w:t>
      </w:r>
      <w:r w:rsidRPr="00E64A4B">
        <w:t>pressions qu'il porte et qu'il avance en argument. Ces deux pe</w:t>
      </w:r>
      <w:r w:rsidRPr="00E64A4B">
        <w:t>r</w:t>
      </w:r>
      <w:r w:rsidRPr="00E64A4B">
        <w:t>sonnes sont-elles les mêmes, de temps en temps l'un, de temps en temps l'autre, ou e</w:t>
      </w:r>
      <w:r w:rsidRPr="00E64A4B">
        <w:t>n</w:t>
      </w:r>
      <w:r w:rsidRPr="00E64A4B">
        <w:t>core l'une assurant à l'autre sa liberté mais tous deux complices pour dire le paradoxe de notre temps ? Dans la mesure où ce « je » est le produit d'une construction du savoir sur soi à la Foucault, elle n'est nullement un argument sinon pour s'en méfier. En effet les constru</w:t>
      </w:r>
      <w:r w:rsidRPr="00E64A4B">
        <w:t>c</w:t>
      </w:r>
      <w:r w:rsidRPr="00E64A4B">
        <w:t>tions changent, la dernière ne s'impose pas sinon il faudrait la maint</w:t>
      </w:r>
      <w:r w:rsidRPr="00E64A4B">
        <w:t>e</w:t>
      </w:r>
      <w:r w:rsidRPr="00E64A4B">
        <w:t>nir. Est-elle clé pour l'avenir ? Le « je » qui s'est répandu est-il fondé ? Même l'institution et les o</w:t>
      </w:r>
      <w:r w:rsidRPr="00E64A4B">
        <w:t>p</w:t>
      </w:r>
      <w:r w:rsidRPr="00E64A4B">
        <w:t>tions qu'elle implique ont-elles droit à une défense absolue ?</w:t>
      </w:r>
    </w:p>
    <w:p w:rsidR="00B7214C" w:rsidRDefault="00B7214C" w:rsidP="00B7214C">
      <w:pPr>
        <w:spacing w:before="120" w:after="120"/>
        <w:jc w:val="both"/>
      </w:pPr>
      <w:r w:rsidRPr="00E64A4B">
        <w:t>En attendant nous entretenons le clavier de nos atouts et nous y circulons comme un veilleur de nuit qui s'éclaire en allumant des r</w:t>
      </w:r>
      <w:r w:rsidRPr="00E64A4B">
        <w:t>é</w:t>
      </w:r>
      <w:r w:rsidRPr="00E64A4B">
        <w:t>verbères le long de son circuit. On peut toutefois redouter que ce « je », cette subjectivité baignée dans l'« archaeology of the morning » postmoderniste ou ce « je » qui plaide l'intérêt de le reconnaître reste trop souvent en deçà du lien aux autres. Dans ce cas il ne serait ni re</w:t>
      </w:r>
      <w:r w:rsidRPr="00E64A4B">
        <w:t>s</w:t>
      </w:r>
      <w:r w:rsidRPr="00E64A4B">
        <w:t>ponsable ni coupable, ni par conséquent pa</w:t>
      </w:r>
      <w:r w:rsidRPr="00E64A4B">
        <w:t>r</w:t>
      </w:r>
      <w:r w:rsidRPr="00E64A4B">
        <w:t>donnable.</w:t>
      </w:r>
    </w:p>
    <w:p w:rsidR="00B7214C" w:rsidRPr="00E64A4B" w:rsidRDefault="00B7214C" w:rsidP="00B7214C">
      <w:pPr>
        <w:spacing w:before="120" w:after="120"/>
        <w:jc w:val="both"/>
      </w:pPr>
    </w:p>
    <w:p w:rsidR="00B7214C" w:rsidRPr="00E64A4B" w:rsidRDefault="00B7214C" w:rsidP="00B7214C">
      <w:pPr>
        <w:spacing w:before="120" w:after="120"/>
        <w:jc w:val="both"/>
      </w:pPr>
    </w:p>
    <w:p w:rsidR="00B7214C" w:rsidRPr="00E64A4B" w:rsidRDefault="00B7214C" w:rsidP="00B7214C">
      <w:pPr>
        <w:pStyle w:val="aa"/>
      </w:pPr>
      <w:r w:rsidRPr="00E64A4B">
        <w:t>NOTES</w:t>
      </w:r>
    </w:p>
    <w:p w:rsidR="00B7214C" w:rsidRPr="00E64A4B" w:rsidRDefault="00B7214C" w:rsidP="00B7214C">
      <w:pPr>
        <w:spacing w:before="120" w:after="120"/>
        <w:jc w:val="both"/>
      </w:pPr>
    </w:p>
    <w:p w:rsidR="00B7214C" w:rsidRPr="00E64A4B" w:rsidRDefault="00B7214C" w:rsidP="00B7214C">
      <w:pPr>
        <w:spacing w:before="120" w:after="120"/>
        <w:jc w:val="both"/>
      </w:pPr>
      <w:r w:rsidRPr="00E64A4B">
        <w:t>Les notes en fin de texte ont toute été converties, dans cette édition numérique des Classiques des sciences sociales, en notes de bas de page afin d’en faciliter la consultation. JMT.</w:t>
      </w:r>
    </w:p>
    <w:p w:rsidR="00B7214C" w:rsidRDefault="00B7214C" w:rsidP="00B7214C">
      <w:pPr>
        <w:pStyle w:val="p"/>
        <w:rPr>
          <w:lang w:eastAsia="fr-FR" w:bidi="fr-FR"/>
        </w:rPr>
      </w:pPr>
      <w:r>
        <w:br w:type="page"/>
      </w:r>
      <w:r>
        <w:rPr>
          <w:lang w:eastAsia="fr-FR" w:bidi="fr-FR"/>
        </w:rPr>
        <w:t>[407]</w:t>
      </w: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0" w:name="Entre_tradition_pt_2_texte_28"/>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D. RELIGIONS DES DROITS :</w:t>
      </w:r>
      <w:r>
        <w:rPr>
          <w:color w:val="FF0000"/>
          <w:sz w:val="24"/>
        </w:rPr>
        <w:br/>
        <w:t>ENTRE COMMUNAUTARISME ET INDIVIDUALISME</w:t>
      </w:r>
    </w:p>
    <w:p w:rsidR="00B7214C" w:rsidRPr="00384B20" w:rsidRDefault="00B7214C" w:rsidP="00B7214C">
      <w:pPr>
        <w:pStyle w:val="Titreniveau1"/>
      </w:pPr>
      <w:r>
        <w:t>28</w:t>
      </w:r>
    </w:p>
    <w:p w:rsidR="00B7214C" w:rsidRDefault="00B7214C" w:rsidP="00B7214C">
      <w:pPr>
        <w:pStyle w:val="Titreniveau2"/>
      </w:pPr>
      <w:r>
        <w:t>“Droits et responsabilités</w:t>
      </w:r>
      <w:r>
        <w:br/>
        <w:t>dans l’arène du sida/VIH.” </w:t>
      </w:r>
      <w:r>
        <w:rPr>
          <w:rStyle w:val="Appelnotedebasdep"/>
        </w:rPr>
        <w:footnoteReference w:id="282"/>
      </w:r>
    </w:p>
    <w:bookmarkEnd w:id="40"/>
    <w:p w:rsidR="00B7214C" w:rsidRPr="00E07116" w:rsidRDefault="00B7214C" w:rsidP="00B7214C">
      <w:pPr>
        <w:jc w:val="both"/>
        <w:rPr>
          <w:szCs w:val="36"/>
        </w:rPr>
      </w:pPr>
    </w:p>
    <w:p w:rsidR="00B7214C" w:rsidRPr="00E07116" w:rsidRDefault="00B7214C" w:rsidP="00B7214C">
      <w:pPr>
        <w:pStyle w:val="suite"/>
      </w:pPr>
      <w:r>
        <w:t>Par Ruth MURBACH</w:t>
      </w:r>
    </w:p>
    <w:p w:rsidR="00B7214C" w:rsidRPr="00E07116" w:rsidRDefault="00B7214C" w:rsidP="00B7214C">
      <w:pPr>
        <w:pStyle w:val="auteurst"/>
      </w:pPr>
      <w:r w:rsidRPr="004A7EF1">
        <w:t>Département des sciences juridiques. Université du Québec à Mo</w:t>
      </w:r>
      <w:r w:rsidRPr="004A7EF1">
        <w:t>n</w:t>
      </w:r>
      <w:r w:rsidRPr="004A7EF1">
        <w:t>tréal</w:t>
      </w: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011A46" w:rsidRDefault="00B7214C" w:rsidP="00B7214C">
      <w:pPr>
        <w:spacing w:before="120" w:after="120"/>
        <w:jc w:val="both"/>
      </w:pPr>
      <w:r>
        <w:rPr>
          <w:lang w:eastAsia="fr-FR" w:bidi="fr-FR"/>
        </w:rPr>
        <w:t>C</w:t>
      </w:r>
      <w:r w:rsidRPr="00011A46">
        <w:rPr>
          <w:lang w:eastAsia="fr-FR" w:bidi="fr-FR"/>
        </w:rPr>
        <w:t>ommençons par le constat que le sida/VIH est la première épid</w:t>
      </w:r>
      <w:r w:rsidRPr="00011A46">
        <w:rPr>
          <w:lang w:eastAsia="fr-FR" w:bidi="fr-FR"/>
        </w:rPr>
        <w:t>é</w:t>
      </w:r>
      <w:r w:rsidRPr="00011A46">
        <w:rPr>
          <w:lang w:eastAsia="fr-FR" w:bidi="fr-FR"/>
        </w:rPr>
        <w:t>mie de l'âge des droits de la personne. Depuis son apparition, il a pr</w:t>
      </w:r>
      <w:r w:rsidRPr="00011A46">
        <w:rPr>
          <w:lang w:eastAsia="fr-FR" w:bidi="fr-FR"/>
        </w:rPr>
        <w:t>o</w:t>
      </w:r>
      <w:r w:rsidRPr="00011A46">
        <w:rPr>
          <w:lang w:eastAsia="fr-FR" w:bidi="fr-FR"/>
        </w:rPr>
        <w:t>voqué des réponses sociales qui vacillent, au Canada comme ailleurs, entre mesures de santé publique assurant ou limitant les droits fond</w:t>
      </w:r>
      <w:r w:rsidRPr="00011A46">
        <w:rPr>
          <w:lang w:eastAsia="fr-FR" w:bidi="fr-FR"/>
        </w:rPr>
        <w:t>a</w:t>
      </w:r>
      <w:r w:rsidRPr="00011A46">
        <w:rPr>
          <w:lang w:eastAsia="fr-FR" w:bidi="fr-FR"/>
        </w:rPr>
        <w:t>mentaux des malades et de ceux qu'on y associe, mais aussi entre p</w:t>
      </w:r>
      <w:r w:rsidRPr="00011A46">
        <w:rPr>
          <w:lang w:eastAsia="fr-FR" w:bidi="fr-FR"/>
        </w:rPr>
        <w:t>o</w:t>
      </w:r>
      <w:r w:rsidRPr="00011A46">
        <w:rPr>
          <w:lang w:eastAsia="fr-FR" w:bidi="fr-FR"/>
        </w:rPr>
        <w:t>sitions affirmant tantôt la liberté professionnelle tantôt l'obligation contractuelle ou morale des soignants. Il a réinterrogé le rêve d'i</w:t>
      </w:r>
      <w:r w:rsidRPr="00011A46">
        <w:rPr>
          <w:lang w:eastAsia="fr-FR" w:bidi="fr-FR"/>
        </w:rPr>
        <w:t>m</w:t>
      </w:r>
      <w:r w:rsidRPr="00011A46">
        <w:rPr>
          <w:lang w:eastAsia="fr-FR" w:bidi="fr-FR"/>
        </w:rPr>
        <w:t>mort</w:t>
      </w:r>
      <w:r w:rsidRPr="00011A46">
        <w:rPr>
          <w:lang w:eastAsia="fr-FR" w:bidi="fr-FR"/>
        </w:rPr>
        <w:t>a</w:t>
      </w:r>
      <w:r w:rsidRPr="00011A46">
        <w:rPr>
          <w:lang w:eastAsia="fr-FR" w:bidi="fr-FR"/>
        </w:rPr>
        <w:t>lité et confronte le projet moderne, progressiste et conquérant des sciences biomédicales à ses limites. Or, même si l'effroi initial mêlé de fascination et l'appréhension du sida comme catastrophe se sont atténués en Amérique du Nord, une d</w:t>
      </w:r>
      <w:r w:rsidRPr="00011A46">
        <w:rPr>
          <w:lang w:eastAsia="fr-FR" w:bidi="fr-FR"/>
        </w:rPr>
        <w:t>é</w:t>
      </w:r>
      <w:r w:rsidRPr="00011A46">
        <w:rPr>
          <w:lang w:eastAsia="fr-FR" w:bidi="fr-FR"/>
        </w:rPr>
        <w:t>cennie après la découverte du virus, l'épidémiologie de la maladie continue à désigner des indiv</w:t>
      </w:r>
      <w:r w:rsidRPr="00011A46">
        <w:rPr>
          <w:lang w:eastAsia="fr-FR" w:bidi="fr-FR"/>
        </w:rPr>
        <w:t>i</w:t>
      </w:r>
      <w:r w:rsidRPr="00011A46">
        <w:rPr>
          <w:lang w:eastAsia="fr-FR" w:bidi="fr-FR"/>
        </w:rPr>
        <w:t>dus et groupes dits à risque, marqués par le destin et des comport</w:t>
      </w:r>
      <w:r w:rsidRPr="00011A46">
        <w:rPr>
          <w:lang w:eastAsia="fr-FR" w:bidi="fr-FR"/>
        </w:rPr>
        <w:t>e</w:t>
      </w:r>
      <w:r w:rsidRPr="00011A46">
        <w:rPr>
          <w:lang w:eastAsia="fr-FR" w:bidi="fr-FR"/>
        </w:rPr>
        <w:t>ments. Leurs sti</w:t>
      </w:r>
      <w:r w:rsidRPr="00011A46">
        <w:rPr>
          <w:lang w:eastAsia="fr-FR" w:bidi="fr-FR"/>
        </w:rPr>
        <w:t>g</w:t>
      </w:r>
      <w:r w:rsidRPr="00011A46">
        <w:rPr>
          <w:lang w:eastAsia="fr-FR" w:bidi="fr-FR"/>
        </w:rPr>
        <w:t>mates sont</w:t>
      </w:r>
      <w:r w:rsidRPr="00011A46">
        <w:t> :</w:t>
      </w:r>
      <w:r w:rsidRPr="00011A46">
        <w:rPr>
          <w:lang w:eastAsia="fr-FR" w:bidi="fr-FR"/>
        </w:rPr>
        <w:t xml:space="preserve"> l'homosexualité et la toxicomanie, dès le début, la pauvreté et la couleur de la peau, depuis. L'irruption du VIH - contre lequel n'existe toujours ni remède ni vaccin -, s'est aussi pr</w:t>
      </w:r>
      <w:r w:rsidRPr="00011A46">
        <w:rPr>
          <w:lang w:eastAsia="fr-FR" w:bidi="fr-FR"/>
        </w:rPr>
        <w:t>o</w:t>
      </w:r>
      <w:r w:rsidRPr="00011A46">
        <w:rPr>
          <w:lang w:eastAsia="fr-FR" w:bidi="fr-FR"/>
        </w:rPr>
        <w:t>duite dans un monde où la croissance de la consommation de soins et de la demande de protection des patients s'est conjuguée à une impl</w:t>
      </w:r>
      <w:r w:rsidRPr="00011A46">
        <w:rPr>
          <w:lang w:eastAsia="fr-FR" w:bidi="fr-FR"/>
        </w:rPr>
        <w:t>o</w:t>
      </w:r>
      <w:r w:rsidRPr="00011A46">
        <w:rPr>
          <w:lang w:eastAsia="fr-FR" w:bidi="fr-FR"/>
        </w:rPr>
        <w:t>sion des coûts de syst</w:t>
      </w:r>
      <w:r w:rsidRPr="00011A46">
        <w:rPr>
          <w:lang w:eastAsia="fr-FR" w:bidi="fr-FR"/>
        </w:rPr>
        <w:t>è</w:t>
      </w:r>
      <w:r w:rsidRPr="00011A46">
        <w:rPr>
          <w:lang w:eastAsia="fr-FR" w:bidi="fr-FR"/>
        </w:rPr>
        <w:t>mes de santé de plus en plus médicalisés. La catastrophe appréhendée en a révélé certains écueils, a creusé des l</w:t>
      </w:r>
      <w:r w:rsidRPr="00011A46">
        <w:rPr>
          <w:lang w:eastAsia="fr-FR" w:bidi="fr-FR"/>
        </w:rPr>
        <w:t>i</w:t>
      </w:r>
      <w:r w:rsidRPr="00011A46">
        <w:rPr>
          <w:lang w:eastAsia="fr-FR" w:bidi="fr-FR"/>
        </w:rPr>
        <w:t>gnes de fracture entre groupes et a accéléré des transformations déjà amorcées, sans toutefois renverser ni des institutions établies ni les fondements des décisions dans le domaine de la santé publique. Ce</w:t>
      </w:r>
      <w:r w:rsidRPr="00011A46">
        <w:rPr>
          <w:lang w:eastAsia="fr-FR" w:bidi="fr-FR"/>
        </w:rPr>
        <w:t>l</w:t>
      </w:r>
      <w:r w:rsidRPr="00011A46">
        <w:rPr>
          <w:lang w:eastAsia="fr-FR" w:bidi="fr-FR"/>
        </w:rPr>
        <w:t>les-ci continuent à s'inscrire dans l'un ou l'autre des modèles suivants</w:t>
      </w:r>
      <w:r w:rsidRPr="00011A46">
        <w:t> :</w:t>
      </w:r>
      <w:r w:rsidRPr="00011A46">
        <w:rPr>
          <w:lang w:eastAsia="fr-FR" w:bidi="fr-FR"/>
        </w:rPr>
        <w:t xml:space="preserve"> </w:t>
      </w:r>
      <w:r>
        <w:rPr>
          <w:lang w:eastAsia="fr-FR" w:bidi="fr-FR"/>
        </w:rPr>
        <w:t>d'une part, l'approche épidémio</w:t>
      </w:r>
      <w:r w:rsidRPr="00011A46">
        <w:rPr>
          <w:lang w:eastAsia="fr-FR" w:bidi="fr-FR"/>
        </w:rPr>
        <w:t>logique</w:t>
      </w:r>
      <w:r>
        <w:t xml:space="preserve"> </w:t>
      </w:r>
      <w:r>
        <w:rPr>
          <w:lang w:eastAsia="fr-FR" w:bidi="fr-FR"/>
        </w:rPr>
        <w:t>[408]</w:t>
      </w:r>
      <w:r w:rsidRPr="00011A46">
        <w:rPr>
          <w:lang w:eastAsia="fr-FR" w:bidi="fr-FR"/>
        </w:rPr>
        <w:t xml:space="preserve"> traditionnelle, telle que codifiée à la fin du XIX</w:t>
      </w:r>
      <w:r w:rsidRPr="00011A46">
        <w:rPr>
          <w:vertAlign w:val="superscript"/>
          <w:lang w:eastAsia="fr-FR" w:bidi="fr-FR"/>
        </w:rPr>
        <w:t>e</w:t>
      </w:r>
      <w:r w:rsidRPr="00011A46">
        <w:rPr>
          <w:lang w:eastAsia="fr-FR" w:bidi="fr-FR"/>
        </w:rPr>
        <w:t xml:space="preserve"> siècle qui cantonne le risque grâce à des m</w:t>
      </w:r>
      <w:r w:rsidRPr="00011A46">
        <w:rPr>
          <w:lang w:eastAsia="fr-FR" w:bidi="fr-FR"/>
        </w:rPr>
        <w:t>e</w:t>
      </w:r>
      <w:r w:rsidRPr="00011A46">
        <w:rPr>
          <w:lang w:eastAsia="fr-FR" w:bidi="fr-FR"/>
        </w:rPr>
        <w:t>sures coercitives et, d'autre part, celle des maladies chroniques évit</w:t>
      </w:r>
      <w:r w:rsidRPr="00011A46">
        <w:rPr>
          <w:lang w:eastAsia="fr-FR" w:bidi="fr-FR"/>
        </w:rPr>
        <w:t>a</w:t>
      </w:r>
      <w:r w:rsidRPr="00011A46">
        <w:rPr>
          <w:lang w:eastAsia="fr-FR" w:bidi="fr-FR"/>
        </w:rPr>
        <w:t>bles, telle qu'instituée dans la période postantibiotique, qui renvoie la responsabilité aux individus, victimes coupables, dont il s'agit de m</w:t>
      </w:r>
      <w:r w:rsidRPr="00011A46">
        <w:rPr>
          <w:lang w:eastAsia="fr-FR" w:bidi="fr-FR"/>
        </w:rPr>
        <w:t>o</w:t>
      </w:r>
      <w:r w:rsidRPr="00011A46">
        <w:rPr>
          <w:lang w:eastAsia="fr-FR" w:bidi="fr-FR"/>
        </w:rPr>
        <w:t>difier les comportements et styles de vie, tantôt par des campagnes d'éducation, tantôt par la coercition ou des san</w:t>
      </w:r>
      <w:r w:rsidRPr="00011A46">
        <w:rPr>
          <w:lang w:eastAsia="fr-FR" w:bidi="fr-FR"/>
        </w:rPr>
        <w:t>c</w:t>
      </w:r>
      <w:r w:rsidRPr="00011A46">
        <w:rPr>
          <w:lang w:eastAsia="fr-FR" w:bidi="fr-FR"/>
        </w:rPr>
        <w:t>tions économiques.</w:t>
      </w:r>
    </w:p>
    <w:p w:rsidR="00B7214C" w:rsidRPr="00011A46" w:rsidRDefault="00B7214C" w:rsidP="00B7214C">
      <w:pPr>
        <w:spacing w:before="120" w:after="120"/>
        <w:jc w:val="both"/>
      </w:pPr>
      <w:r w:rsidRPr="00011A46">
        <w:rPr>
          <w:lang w:eastAsia="fr-FR" w:bidi="fr-FR"/>
        </w:rPr>
        <w:t>Sur le terrain des droits, obligations et responsabilités, i</w:t>
      </w:r>
      <w:r w:rsidRPr="00011A46">
        <w:rPr>
          <w:lang w:eastAsia="fr-FR" w:bidi="fr-FR"/>
        </w:rPr>
        <w:t>n</w:t>
      </w:r>
      <w:r w:rsidRPr="00011A46">
        <w:rPr>
          <w:lang w:eastAsia="fr-FR" w:bidi="fr-FR"/>
        </w:rPr>
        <w:t xml:space="preserve">dividuels et </w:t>
      </w:r>
      <w:r w:rsidRPr="00011A46">
        <w:t>« </w:t>
      </w:r>
      <w:r w:rsidRPr="00011A46">
        <w:rPr>
          <w:lang w:eastAsia="fr-FR" w:bidi="fr-FR"/>
        </w:rPr>
        <w:t>collectifs</w:t>
      </w:r>
      <w:r w:rsidRPr="00011A46">
        <w:t> »</w:t>
      </w:r>
      <w:r w:rsidRPr="00011A46">
        <w:rPr>
          <w:lang w:eastAsia="fr-FR" w:bidi="fr-FR"/>
        </w:rPr>
        <w:t>, ce fait social pose cependant de nombreuses que</w:t>
      </w:r>
      <w:r w:rsidRPr="00011A46">
        <w:rPr>
          <w:lang w:eastAsia="fr-FR" w:bidi="fr-FR"/>
        </w:rPr>
        <w:t>s</w:t>
      </w:r>
      <w:r w:rsidRPr="00011A46">
        <w:rPr>
          <w:lang w:eastAsia="fr-FR" w:bidi="fr-FR"/>
        </w:rPr>
        <w:t>tions qui dépassent le cadre dessiné par les deux modèles de gestion du risque déjà connus dont relèvent ou que conjuguent les réactions observées. Dans ce texte, nous proposons de situer d'abord la portée normative de la notion de risque dans le discours contemporain sur le sida, pour discuter ensuite de ses implications pour les sociétés plus ou moins assurancielles, au Canada et aux États-Unis. En effet, la construction sociale de la perception du risque et la distribution des coûts de la maladie sont au centre d'un d</w:t>
      </w:r>
      <w:r w:rsidRPr="00011A46">
        <w:rPr>
          <w:lang w:eastAsia="fr-FR" w:bidi="fr-FR"/>
        </w:rPr>
        <w:t>é</w:t>
      </w:r>
      <w:r w:rsidRPr="00011A46">
        <w:rPr>
          <w:lang w:eastAsia="fr-FR" w:bidi="fr-FR"/>
        </w:rPr>
        <w:t>bat où s'affrontent droits et responsabilités, revendications et discriminations, inclusions et excl</w:t>
      </w:r>
      <w:r w:rsidRPr="00011A46">
        <w:rPr>
          <w:lang w:eastAsia="fr-FR" w:bidi="fr-FR"/>
        </w:rPr>
        <w:t>u</w:t>
      </w:r>
      <w:r w:rsidRPr="00011A46">
        <w:rPr>
          <w:lang w:eastAsia="fr-FR" w:bidi="fr-FR"/>
        </w:rPr>
        <w:t>sions de la part d'acteurs de la médecine scientifique et clinique, du monde politique, de mouvements sociaux, de l'industrie des assura</w:t>
      </w:r>
      <w:r w:rsidRPr="00011A46">
        <w:rPr>
          <w:lang w:eastAsia="fr-FR" w:bidi="fr-FR"/>
        </w:rPr>
        <w:t>n</w:t>
      </w:r>
      <w:r w:rsidRPr="00011A46">
        <w:rPr>
          <w:lang w:eastAsia="fr-FR" w:bidi="fr-FR"/>
        </w:rPr>
        <w:t>ces et, bien sûr, des patients.</w:t>
      </w:r>
    </w:p>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LA CONSTRUCTION DU RISQUE</w:t>
      </w:r>
      <w:r>
        <w:rPr>
          <w:lang w:eastAsia="fr-FR" w:bidi="fr-FR"/>
        </w:rPr>
        <w:br/>
      </w:r>
      <w:r w:rsidRPr="00011A46">
        <w:rPr>
          <w:lang w:eastAsia="fr-FR" w:bidi="fr-FR"/>
        </w:rPr>
        <w:t>ET DE CATÉG</w:t>
      </w:r>
      <w:r w:rsidRPr="00011A46">
        <w:rPr>
          <w:lang w:eastAsia="fr-FR" w:bidi="fr-FR"/>
        </w:rPr>
        <w:t>O</w:t>
      </w:r>
      <w:r w:rsidRPr="00011A46">
        <w:rPr>
          <w:lang w:eastAsia="fr-FR" w:bidi="fr-FR"/>
        </w:rPr>
        <w:t xml:space="preserve">RIES </w:t>
      </w:r>
      <w:r w:rsidRPr="00011A46">
        <w:t>« </w:t>
      </w:r>
      <w:r w:rsidRPr="00011A46">
        <w:rPr>
          <w:lang w:eastAsia="fr-FR" w:bidi="fr-FR"/>
        </w:rPr>
        <w:t>À RISQUE</w:t>
      </w:r>
      <w:r w:rsidRPr="00011A46">
        <w:t> »</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rPr>
          <w:lang w:eastAsia="fr-FR" w:bidi="fr-FR"/>
        </w:rPr>
      </w:pPr>
      <w:r w:rsidRPr="00011A46">
        <w:rPr>
          <w:lang w:eastAsia="fr-FR" w:bidi="fr-FR"/>
        </w:rPr>
        <w:t>Terme neutre d'abord, exprimant alors la probabilité en termes de gains ou de pertes, le risque a fait son entrée en politique dans le pr</w:t>
      </w:r>
      <w:r w:rsidRPr="00011A46">
        <w:rPr>
          <w:lang w:eastAsia="fr-FR" w:bidi="fr-FR"/>
        </w:rPr>
        <w:t>o</w:t>
      </w:r>
      <w:r w:rsidRPr="00011A46">
        <w:rPr>
          <w:lang w:eastAsia="fr-FR" w:bidi="fr-FR"/>
        </w:rPr>
        <w:t>cessus d'homogénéisation des intera</w:t>
      </w:r>
      <w:r w:rsidRPr="00011A46">
        <w:rPr>
          <w:lang w:eastAsia="fr-FR" w:bidi="fr-FR"/>
        </w:rPr>
        <w:t>c</w:t>
      </w:r>
      <w:r w:rsidRPr="00011A46">
        <w:rPr>
          <w:lang w:eastAsia="fr-FR" w:bidi="fr-FR"/>
        </w:rPr>
        <w:t>tions (Douglas 1990,</w:t>
      </w:r>
      <w:r>
        <w:rPr>
          <w:lang w:eastAsia="fr-FR" w:bidi="fr-FR"/>
        </w:rPr>
        <w:t xml:space="preserve"> </w:t>
      </w:r>
      <w:r w:rsidRPr="00011A46">
        <w:rPr>
          <w:lang w:eastAsia="fr-FR" w:bidi="fr-FR"/>
        </w:rPr>
        <w:t>1992). À la différence des notions de danger, de péché et de tabou qui rappellent la communauté fermée, le risque rejoint le projet moderne d'émanc</w:t>
      </w:r>
      <w:r w:rsidRPr="00011A46">
        <w:rPr>
          <w:lang w:eastAsia="fr-FR" w:bidi="fr-FR"/>
        </w:rPr>
        <w:t>i</w:t>
      </w:r>
      <w:r w:rsidRPr="00011A46">
        <w:rPr>
          <w:lang w:eastAsia="fr-FR" w:bidi="fr-FR"/>
        </w:rPr>
        <w:t>pation et de progrès et peut rallier des groupes divers qui partagent l'appréhension de pertes, dans la société ouverte qui ne gara</w:t>
      </w:r>
      <w:r w:rsidRPr="00011A46">
        <w:rPr>
          <w:lang w:eastAsia="fr-FR" w:bidi="fr-FR"/>
        </w:rPr>
        <w:t>n</w:t>
      </w:r>
      <w:r w:rsidRPr="00011A46">
        <w:rPr>
          <w:lang w:eastAsia="fr-FR" w:bidi="fr-FR"/>
        </w:rPr>
        <w:t>tit plus rien. Reconstruit au point de devenir un outil norm</w:t>
      </w:r>
      <w:r w:rsidRPr="00011A46">
        <w:rPr>
          <w:lang w:eastAsia="fr-FR" w:bidi="fr-FR"/>
        </w:rPr>
        <w:t>a</w:t>
      </w:r>
      <w:r w:rsidRPr="00011A46">
        <w:rPr>
          <w:lang w:eastAsia="fr-FR" w:bidi="fr-FR"/>
        </w:rPr>
        <w:t>tif, le concept du risque s'entoure d'une aura de scientificité, est danger calculable, pr</w:t>
      </w:r>
      <w:r w:rsidRPr="00011A46">
        <w:rPr>
          <w:lang w:eastAsia="fr-FR" w:bidi="fr-FR"/>
        </w:rPr>
        <w:t>é</w:t>
      </w:r>
      <w:r w:rsidRPr="00011A46">
        <w:rPr>
          <w:lang w:eastAsia="fr-FR" w:bidi="fr-FR"/>
        </w:rPr>
        <w:t>visible, contrôlable - et surtout ass</w:t>
      </w:r>
      <w:r w:rsidRPr="00011A46">
        <w:rPr>
          <w:lang w:eastAsia="fr-FR" w:bidi="fr-FR"/>
        </w:rPr>
        <w:t>u</w:t>
      </w:r>
      <w:r w:rsidRPr="00011A46">
        <w:rPr>
          <w:lang w:eastAsia="fr-FR" w:bidi="fr-FR"/>
        </w:rPr>
        <w:t>rable. C'est ainsi que, dès le XVII</w:t>
      </w:r>
      <w:r w:rsidRPr="00011A46">
        <w:rPr>
          <w:vertAlign w:val="superscript"/>
          <w:lang w:eastAsia="fr-FR" w:bidi="fr-FR"/>
        </w:rPr>
        <w:t>e</w:t>
      </w:r>
      <w:r w:rsidRPr="00011A46">
        <w:rPr>
          <w:lang w:eastAsia="fr-FR" w:bidi="fr-FR"/>
        </w:rPr>
        <w:t xml:space="preserve"> siècle, la notion tient lieu de l'événement contre l'avènement duquel on s'assure et que l'assureur exclura par ailleurs dans les cas de </w:t>
      </w:r>
      <w:r w:rsidRPr="00011A46">
        <w:t>« </w:t>
      </w:r>
      <w:r w:rsidRPr="00011A46">
        <w:rPr>
          <w:lang w:eastAsia="fr-FR" w:bidi="fr-FR"/>
        </w:rPr>
        <w:t>risques cata</w:t>
      </w:r>
      <w:r w:rsidRPr="00011A46">
        <w:rPr>
          <w:lang w:eastAsia="fr-FR" w:bidi="fr-FR"/>
        </w:rPr>
        <w:t>s</w:t>
      </w:r>
      <w:r w:rsidRPr="00011A46">
        <w:rPr>
          <w:lang w:eastAsia="fr-FR" w:bidi="fr-FR"/>
        </w:rPr>
        <w:t>trophiques</w:t>
      </w:r>
      <w:r w:rsidRPr="00011A46">
        <w:t> » :</w:t>
      </w:r>
      <w:r w:rsidRPr="00011A46">
        <w:rPr>
          <w:lang w:eastAsia="fr-FR" w:bidi="fr-FR"/>
        </w:rPr>
        <w:t xml:space="preserve"> calamités naturelles, tremblements de terre, raz-de-marée. L'évolution de l'assurance-vie illustre ce chang</w:t>
      </w:r>
      <w:r w:rsidRPr="00011A46">
        <w:rPr>
          <w:lang w:eastAsia="fr-FR" w:bidi="fr-FR"/>
        </w:rPr>
        <w:t>e</w:t>
      </w:r>
      <w:r w:rsidRPr="00011A46">
        <w:rPr>
          <w:lang w:eastAsia="fr-FR" w:bidi="fr-FR"/>
        </w:rPr>
        <w:t>ment conceptuel, d'un temps où le commun des mortels avait tout à gagner, vers un autre où une nouvelle classe avait quelque chose à perdre. Teuber en retrace les origines dans les paris sur la vie de tiers - dont celle du pape, un jeu de s</w:t>
      </w:r>
      <w:r w:rsidRPr="00011A46">
        <w:rPr>
          <w:lang w:eastAsia="fr-FR" w:bidi="fr-FR"/>
        </w:rPr>
        <w:t>o</w:t>
      </w:r>
      <w:r w:rsidRPr="00011A46">
        <w:rPr>
          <w:lang w:eastAsia="fr-FR" w:bidi="fr-FR"/>
        </w:rPr>
        <w:t>ciété courant au XVI</w:t>
      </w:r>
      <w:r w:rsidRPr="00011A46">
        <w:rPr>
          <w:vertAlign w:val="superscript"/>
          <w:lang w:eastAsia="fr-FR" w:bidi="fr-FR"/>
        </w:rPr>
        <w:t>e</w:t>
      </w:r>
      <w:r w:rsidRPr="00011A46">
        <w:rPr>
          <w:lang w:eastAsia="fr-FR" w:bidi="fr-FR"/>
        </w:rPr>
        <w:t xml:space="preserve"> siècle, qui sera d'ailleurs criminalisé un siècle plus tard. Le </w:t>
      </w:r>
      <w:r w:rsidRPr="00011A46">
        <w:t>« </w:t>
      </w:r>
      <w:r w:rsidRPr="00011A46">
        <w:rPr>
          <w:lang w:eastAsia="fr-FR" w:bidi="fr-FR"/>
        </w:rPr>
        <w:t>pari sur la vie</w:t>
      </w:r>
      <w:r w:rsidRPr="00011A46">
        <w:t> »</w:t>
      </w:r>
      <w:r w:rsidRPr="00011A46">
        <w:rPr>
          <w:lang w:eastAsia="fr-FR" w:bidi="fr-FR"/>
        </w:rPr>
        <w:t xml:space="preserve"> (de tiers) se transform</w:t>
      </w:r>
      <w:r w:rsidRPr="00011A46">
        <w:rPr>
          <w:lang w:eastAsia="fr-FR" w:bidi="fr-FR"/>
        </w:rPr>
        <w:t>e</w:t>
      </w:r>
      <w:r w:rsidRPr="00011A46">
        <w:rPr>
          <w:lang w:eastAsia="fr-FR" w:bidi="fr-FR"/>
        </w:rPr>
        <w:t>ra en planification de la vie (des siens) au XVIII</w:t>
      </w:r>
      <w:r w:rsidRPr="00011A46">
        <w:rPr>
          <w:vertAlign w:val="superscript"/>
          <w:lang w:eastAsia="fr-FR" w:bidi="fr-FR"/>
        </w:rPr>
        <w:t>e</w:t>
      </w:r>
      <w:r w:rsidRPr="00011A46">
        <w:rPr>
          <w:lang w:eastAsia="fr-FR" w:bidi="fr-FR"/>
        </w:rPr>
        <w:t xml:space="preserve"> siècle, assurant l</w:t>
      </w:r>
      <w:r>
        <w:rPr>
          <w:lang w:eastAsia="fr-FR" w:bidi="fr-FR"/>
        </w:rPr>
        <w:t>a famille aisée contre la catas</w:t>
      </w:r>
      <w:r w:rsidRPr="00011A46">
        <w:rPr>
          <w:lang w:eastAsia="fr-FR" w:bidi="fr-FR"/>
        </w:rPr>
        <w:t>trophe</w:t>
      </w:r>
      <w:r>
        <w:t xml:space="preserve"> </w:t>
      </w:r>
      <w:r>
        <w:rPr>
          <w:lang w:eastAsia="fr-FR" w:bidi="fr-FR"/>
        </w:rPr>
        <w:t>[409]</w:t>
      </w:r>
      <w:r w:rsidRPr="00011A46">
        <w:rPr>
          <w:lang w:eastAsia="fr-FR" w:bidi="fr-FR"/>
        </w:rPr>
        <w:t xml:space="preserve"> d'être cat</w:t>
      </w:r>
      <w:r w:rsidRPr="00011A46">
        <w:rPr>
          <w:lang w:eastAsia="fr-FR" w:bidi="fr-FR"/>
        </w:rPr>
        <w:t>a</w:t>
      </w:r>
      <w:r w:rsidRPr="00011A46">
        <w:rPr>
          <w:lang w:eastAsia="fr-FR" w:bidi="fr-FR"/>
        </w:rPr>
        <w:t>pultée aux marges de la société après la mort soudaine du pourvoyeur. Souscrire à une assurance d</w:t>
      </w:r>
      <w:r w:rsidRPr="00011A46">
        <w:rPr>
          <w:lang w:eastAsia="fr-FR" w:bidi="fr-FR"/>
        </w:rPr>
        <w:t>e</w:t>
      </w:r>
      <w:r w:rsidRPr="00011A46">
        <w:rPr>
          <w:lang w:eastAsia="fr-FR" w:bidi="fr-FR"/>
        </w:rPr>
        <w:t>vient alors le choix rationnel entre une petite perte certaine et la faible probabilité d'une autre qui serait cata</w:t>
      </w:r>
      <w:r w:rsidRPr="00011A46">
        <w:rPr>
          <w:lang w:eastAsia="fr-FR" w:bidi="fr-FR"/>
        </w:rPr>
        <w:t>s</w:t>
      </w:r>
      <w:r w:rsidRPr="00011A46">
        <w:rPr>
          <w:lang w:eastAsia="fr-FR" w:bidi="fr-FR"/>
        </w:rPr>
        <w:t>trophique. Bientôt il s'agira, dans un monde de plus en plus préoccupé par le présent, de contrôler le temps, de pre</w:t>
      </w:r>
      <w:r w:rsidRPr="00011A46">
        <w:rPr>
          <w:lang w:eastAsia="fr-FR" w:bidi="fr-FR"/>
        </w:rPr>
        <w:t>n</w:t>
      </w:r>
      <w:r w:rsidRPr="00011A46">
        <w:rPr>
          <w:lang w:eastAsia="fr-FR" w:bidi="fr-FR"/>
        </w:rPr>
        <w:t xml:space="preserve">dre conscience du risque pour </w:t>
      </w:r>
      <w:r w:rsidRPr="00011A46">
        <w:t>« </w:t>
      </w:r>
      <w:r w:rsidRPr="00011A46">
        <w:rPr>
          <w:lang w:eastAsia="fr-FR" w:bidi="fr-FR"/>
        </w:rPr>
        <w:t>coloniser l'avenir</w:t>
      </w:r>
      <w:r w:rsidRPr="00011A46">
        <w:t> »</w:t>
      </w:r>
      <w:r w:rsidRPr="00011A46">
        <w:rPr>
          <w:lang w:eastAsia="fr-FR" w:bidi="fr-FR"/>
        </w:rPr>
        <w:t>, selon l'e</w:t>
      </w:r>
      <w:r w:rsidRPr="00011A46">
        <w:rPr>
          <w:lang w:eastAsia="fr-FR" w:bidi="fr-FR"/>
        </w:rPr>
        <w:t>x</w:t>
      </w:r>
      <w:r w:rsidRPr="00011A46">
        <w:rPr>
          <w:lang w:eastAsia="fr-FR" w:bidi="fr-FR"/>
        </w:rPr>
        <w:t>pression de Giddens (1991). Dans ce sens, le risque accroît la liberté d'a</w:t>
      </w:r>
      <w:r w:rsidRPr="00011A46">
        <w:rPr>
          <w:lang w:eastAsia="fr-FR" w:bidi="fr-FR"/>
        </w:rPr>
        <w:t>c</w:t>
      </w:r>
      <w:r w:rsidRPr="00011A46">
        <w:rPr>
          <w:lang w:eastAsia="fr-FR" w:bidi="fr-FR"/>
        </w:rPr>
        <w:t xml:space="preserve">tion, alors que le danger la limite à la réaction. Ceci explique le discours normatif omniprésent du risque qui discipline nos corps et styles de vie et envahit notre </w:t>
      </w:r>
      <w:r>
        <w:rPr>
          <w:i/>
          <w:iCs/>
        </w:rPr>
        <w:t>L</w:t>
      </w:r>
      <w:r>
        <w:rPr>
          <w:i/>
          <w:iCs/>
        </w:rPr>
        <w:t>e</w:t>
      </w:r>
      <w:r>
        <w:rPr>
          <w:i/>
          <w:iCs/>
        </w:rPr>
        <w:t>bensw</w:t>
      </w:r>
      <w:r w:rsidRPr="00703563">
        <w:rPr>
          <w:i/>
          <w:iCs/>
        </w:rPr>
        <w:t>elt,</w:t>
      </w:r>
      <w:r w:rsidRPr="00011A46">
        <w:rPr>
          <w:lang w:eastAsia="fr-FR" w:bidi="fr-FR"/>
        </w:rPr>
        <w:t xml:space="preserve"> bien plus qu'une époque qui serait plus dangereuse que les précédentes (voir Lipovetsky, 1987). Si des dangers subsistent, ils n'émanent plus d'une nature incontrôlable, les maladies ne viennent plus du ciel, mais sont le résultat de nos pr</w:t>
      </w:r>
      <w:r w:rsidRPr="00011A46">
        <w:rPr>
          <w:lang w:eastAsia="fr-FR" w:bidi="fr-FR"/>
        </w:rPr>
        <w:t>o</w:t>
      </w:r>
      <w:r w:rsidRPr="00011A46">
        <w:rPr>
          <w:lang w:eastAsia="fr-FR" w:bidi="fr-FR"/>
        </w:rPr>
        <w:t>pres actions et choix.</w:t>
      </w:r>
    </w:p>
    <w:p w:rsidR="00B7214C" w:rsidRPr="00011A46" w:rsidRDefault="00B7214C" w:rsidP="00B7214C">
      <w:pPr>
        <w:spacing w:before="120" w:after="120"/>
        <w:jc w:val="both"/>
        <w:rPr>
          <w:lang w:eastAsia="fr-FR" w:bidi="fr-FR"/>
        </w:rPr>
      </w:pPr>
      <w:r w:rsidRPr="00011A46">
        <w:rPr>
          <w:lang w:eastAsia="fr-FR" w:bidi="fr-FR"/>
        </w:rPr>
        <w:t>Selon Mary Douglas (1966), la perception du risque est construite socialement. Les êtres humains ne perçoivent qu'une certaine config</w:t>
      </w:r>
      <w:r w:rsidRPr="00011A46">
        <w:rPr>
          <w:lang w:eastAsia="fr-FR" w:bidi="fr-FR"/>
        </w:rPr>
        <w:t>u</w:t>
      </w:r>
      <w:r w:rsidRPr="00011A46">
        <w:rPr>
          <w:lang w:eastAsia="fr-FR" w:bidi="fr-FR"/>
        </w:rPr>
        <w:t>ration de désastres qu'ils interprètent comme présages ou punitions. Leurs visions des dangers et du fonctionnement de la communauté s'adaptent mutuellement : récompenses et sanctions sont dans l'env</w:t>
      </w:r>
      <w:r w:rsidRPr="00011A46">
        <w:rPr>
          <w:lang w:eastAsia="fr-FR" w:bidi="fr-FR"/>
        </w:rPr>
        <w:t>i</w:t>
      </w:r>
      <w:r w:rsidRPr="00011A46">
        <w:rPr>
          <w:lang w:eastAsia="fr-FR" w:bidi="fr-FR"/>
        </w:rPr>
        <w:t>ronnement. Cette position naturaliste, appliquée par la suite à la m</w:t>
      </w:r>
      <w:r w:rsidRPr="00011A46">
        <w:rPr>
          <w:lang w:eastAsia="fr-FR" w:bidi="fr-FR"/>
        </w:rPr>
        <w:t>o</w:t>
      </w:r>
      <w:r w:rsidRPr="00011A46">
        <w:rPr>
          <w:lang w:eastAsia="fr-FR" w:bidi="fr-FR"/>
        </w:rPr>
        <w:t>dern</w:t>
      </w:r>
      <w:r w:rsidRPr="00011A46">
        <w:rPr>
          <w:lang w:eastAsia="fr-FR" w:bidi="fr-FR"/>
        </w:rPr>
        <w:t>i</w:t>
      </w:r>
      <w:r>
        <w:rPr>
          <w:lang w:eastAsia="fr-FR" w:bidi="fr-FR"/>
        </w:rPr>
        <w:t>té et aux risques technologi</w:t>
      </w:r>
      <w:r w:rsidRPr="00011A46">
        <w:rPr>
          <w:lang w:eastAsia="fr-FR" w:bidi="fr-FR"/>
        </w:rPr>
        <w:t>ques (Douglas et Wildavsky, 1982), a suscité quelques critiques</w:t>
      </w:r>
      <w:r>
        <w:rPr>
          <w:lang w:eastAsia="fr-FR" w:bidi="fr-FR"/>
        </w:rPr>
        <w:t> </w:t>
      </w:r>
      <w:r>
        <w:rPr>
          <w:rStyle w:val="Appelnotedebasdep"/>
          <w:lang w:eastAsia="fr-FR" w:bidi="fr-FR"/>
        </w:rPr>
        <w:footnoteReference w:id="283"/>
      </w:r>
      <w:r w:rsidRPr="00011A46">
        <w:rPr>
          <w:lang w:eastAsia="fr-FR" w:bidi="fr-FR"/>
        </w:rPr>
        <w:t>, notamment de ceux qui réduisent le d</w:t>
      </w:r>
      <w:r w:rsidRPr="00011A46">
        <w:rPr>
          <w:lang w:eastAsia="fr-FR" w:bidi="fr-FR"/>
        </w:rPr>
        <w:t>é</w:t>
      </w:r>
      <w:r w:rsidRPr="00011A46">
        <w:rPr>
          <w:lang w:eastAsia="fr-FR" w:bidi="fr-FR"/>
        </w:rPr>
        <w:t xml:space="preserve">bat à l'analyse des méthodes d'évaluation </w:t>
      </w:r>
      <w:r w:rsidRPr="00703563">
        <w:rPr>
          <w:i/>
          <w:iCs/>
        </w:rPr>
        <w:t>(risk assessment).</w:t>
      </w:r>
      <w:r w:rsidRPr="00011A46">
        <w:rPr>
          <w:lang w:eastAsia="fr-FR" w:bidi="fr-FR"/>
        </w:rPr>
        <w:t xml:space="preserve"> Il n'en deme</w:t>
      </w:r>
      <w:r w:rsidRPr="00011A46">
        <w:rPr>
          <w:lang w:eastAsia="fr-FR" w:bidi="fr-FR"/>
        </w:rPr>
        <w:t>u</w:t>
      </w:r>
      <w:r w:rsidRPr="00011A46">
        <w:rPr>
          <w:lang w:eastAsia="fr-FR" w:bidi="fr-FR"/>
        </w:rPr>
        <w:t>re pas moins que ce sont les dimensions morales - les dilemmes éth</w:t>
      </w:r>
      <w:r w:rsidRPr="00011A46">
        <w:rPr>
          <w:lang w:eastAsia="fr-FR" w:bidi="fr-FR"/>
        </w:rPr>
        <w:t>i</w:t>
      </w:r>
      <w:r w:rsidRPr="00011A46">
        <w:rPr>
          <w:lang w:eastAsia="fr-FR" w:bidi="fr-FR"/>
        </w:rPr>
        <w:t>ques - qui font de la perception du risque et des procédures pour en estimer l'ampleur un enjeu politique. Sa distribution continue à r</w:t>
      </w:r>
      <w:r w:rsidRPr="00011A46">
        <w:rPr>
          <w:lang w:eastAsia="fr-FR" w:bidi="fr-FR"/>
        </w:rPr>
        <w:t>e</w:t>
      </w:r>
      <w:r w:rsidRPr="00011A46">
        <w:rPr>
          <w:lang w:eastAsia="fr-FR" w:bidi="fr-FR"/>
        </w:rPr>
        <w:t>fléter celle du pouvoir et du statut socio-économique et les questions de l</w:t>
      </w:r>
      <w:r w:rsidRPr="00011A46">
        <w:rPr>
          <w:lang w:eastAsia="fr-FR" w:bidi="fr-FR"/>
        </w:rPr>
        <w:t>i</w:t>
      </w:r>
      <w:r w:rsidRPr="00011A46">
        <w:rPr>
          <w:lang w:eastAsia="fr-FR" w:bidi="fr-FR"/>
        </w:rPr>
        <w:t xml:space="preserve">berté de choix et d'équité demeurent posées. Même en admettant qu'une société sans risque soit impensable, le problème </w:t>
      </w:r>
      <w:r>
        <w:rPr>
          <w:i/>
          <w:iCs/>
        </w:rPr>
        <w:t>de mini</w:t>
      </w:r>
      <w:r w:rsidRPr="00703563">
        <w:rPr>
          <w:i/>
          <w:iCs/>
        </w:rPr>
        <w:t>mis,</w:t>
      </w:r>
      <w:r w:rsidRPr="00011A46">
        <w:rPr>
          <w:lang w:eastAsia="fr-FR" w:bidi="fr-FR"/>
        </w:rPr>
        <w:t xml:space="preserve"> d'un standard accepté du risque négl</w:t>
      </w:r>
      <w:r w:rsidRPr="00011A46">
        <w:rPr>
          <w:lang w:eastAsia="fr-FR" w:bidi="fr-FR"/>
        </w:rPr>
        <w:t>i</w:t>
      </w:r>
      <w:r w:rsidRPr="00011A46">
        <w:rPr>
          <w:lang w:eastAsia="fr-FR" w:bidi="fr-FR"/>
        </w:rPr>
        <w:t>geable, n'est pas résolu et oppose la logique des mesures de tendance centrale de données agrégées à celle des droits ind</w:t>
      </w:r>
      <w:r w:rsidRPr="00011A46">
        <w:rPr>
          <w:lang w:eastAsia="fr-FR" w:bidi="fr-FR"/>
        </w:rPr>
        <w:t>i</w:t>
      </w:r>
      <w:r w:rsidRPr="00011A46">
        <w:rPr>
          <w:lang w:eastAsia="fr-FR" w:bidi="fr-FR"/>
        </w:rPr>
        <w:t>viduels. Il</w:t>
      </w:r>
      <w:r>
        <w:rPr>
          <w:lang w:eastAsia="fr-FR" w:bidi="fr-FR"/>
        </w:rPr>
        <w:t xml:space="preserve"> </w:t>
      </w:r>
      <w:r w:rsidRPr="00011A46">
        <w:rPr>
          <w:lang w:eastAsia="fr-FR" w:bidi="fr-FR"/>
        </w:rPr>
        <w:t>est aussi difficilement soutenable que le « risque perçu » ne soit qu'une compréhension erronée du « risque r</w:t>
      </w:r>
      <w:r w:rsidRPr="00011A46">
        <w:rPr>
          <w:lang w:eastAsia="fr-FR" w:bidi="fr-FR"/>
        </w:rPr>
        <w:t>é</w:t>
      </w:r>
      <w:r w:rsidRPr="00011A46">
        <w:rPr>
          <w:lang w:eastAsia="fr-FR" w:bidi="fr-FR"/>
        </w:rPr>
        <w:t>el », calculé en termes de probabilités par des experts qui pourtant « n'ont pas de fenêtre magique sur la réalité » (Shr</w:t>
      </w:r>
      <w:r w:rsidRPr="00011A46">
        <w:rPr>
          <w:lang w:eastAsia="fr-FR" w:bidi="fr-FR"/>
        </w:rPr>
        <w:t>a</w:t>
      </w:r>
      <w:r w:rsidRPr="00011A46">
        <w:rPr>
          <w:lang w:eastAsia="fr-FR" w:bidi="fr-FR"/>
        </w:rPr>
        <w:t>der-Fréchette, 1991, p. 84). Leur désaccord sur les définitions et les méthodes d'e</w:t>
      </w:r>
      <w:r w:rsidRPr="00011A46">
        <w:rPr>
          <w:lang w:eastAsia="fr-FR" w:bidi="fr-FR"/>
        </w:rPr>
        <w:t>s</w:t>
      </w:r>
      <w:r w:rsidRPr="00011A46">
        <w:rPr>
          <w:lang w:eastAsia="fr-FR" w:bidi="fr-FR"/>
        </w:rPr>
        <w:t>timation, qui d'ailleurs excluent tout crit</w:t>
      </w:r>
      <w:r w:rsidRPr="00011A46">
        <w:rPr>
          <w:lang w:eastAsia="fr-FR" w:bidi="fr-FR"/>
        </w:rPr>
        <w:t>è</w:t>
      </w:r>
      <w:r w:rsidRPr="00011A46">
        <w:rPr>
          <w:lang w:eastAsia="fr-FR" w:bidi="fr-FR"/>
        </w:rPr>
        <w:t>re éthique, indique plutôt que la validité du risque perçu d</w:t>
      </w:r>
      <w:r w:rsidRPr="00011A46">
        <w:rPr>
          <w:lang w:eastAsia="fr-FR" w:bidi="fr-FR"/>
        </w:rPr>
        <w:t>é</w:t>
      </w:r>
      <w:r w:rsidRPr="00011A46">
        <w:rPr>
          <w:lang w:eastAsia="fr-FR" w:bidi="fr-FR"/>
        </w:rPr>
        <w:t>passe celle de la probabilité et qu'il n'y a de risque sinon celui qui est perçu.</w:t>
      </w:r>
    </w:p>
    <w:p w:rsidR="00B7214C" w:rsidRPr="00011A46" w:rsidRDefault="00B7214C" w:rsidP="00B7214C">
      <w:pPr>
        <w:spacing w:before="120" w:after="120"/>
        <w:jc w:val="both"/>
      </w:pPr>
      <w:r w:rsidRPr="00011A46">
        <w:rPr>
          <w:lang w:eastAsia="fr-FR" w:bidi="fr-FR"/>
        </w:rPr>
        <w:t xml:space="preserve">Dans le débat contemporain sur le risque dans les </w:t>
      </w:r>
      <w:r w:rsidRPr="00703563">
        <w:rPr>
          <w:i/>
          <w:iCs/>
        </w:rPr>
        <w:t>sociétés assura</w:t>
      </w:r>
      <w:r w:rsidRPr="00703563">
        <w:rPr>
          <w:i/>
          <w:iCs/>
        </w:rPr>
        <w:t>n</w:t>
      </w:r>
      <w:r w:rsidRPr="00703563">
        <w:rPr>
          <w:i/>
          <w:iCs/>
        </w:rPr>
        <w:t>tielles,</w:t>
      </w:r>
      <w:r w:rsidRPr="00011A46">
        <w:rPr>
          <w:lang w:eastAsia="fr-FR" w:bidi="fr-FR"/>
        </w:rPr>
        <w:t xml:space="preserve"> pour reprendre l'expression de Ewald (1991), la protection de l'individu prime en général sur celle de la collectivité ; la responsabil</w:t>
      </w:r>
      <w:r w:rsidRPr="00011A46">
        <w:rPr>
          <w:lang w:eastAsia="fr-FR" w:bidi="fr-FR"/>
        </w:rPr>
        <w:t>i</w:t>
      </w:r>
      <w:r w:rsidRPr="00011A46">
        <w:rPr>
          <w:lang w:eastAsia="fr-FR" w:bidi="fr-FR"/>
        </w:rPr>
        <w:t>té est imposée aux lieux de contrôle, selon la théorie de l'attribution. L'histoire des ép</w:t>
      </w:r>
      <w:r w:rsidRPr="00011A46">
        <w:rPr>
          <w:lang w:eastAsia="fr-FR" w:bidi="fr-FR"/>
        </w:rPr>
        <w:t>i</w:t>
      </w:r>
      <w:r w:rsidRPr="00011A46">
        <w:rPr>
          <w:lang w:eastAsia="fr-FR" w:bidi="fr-FR"/>
        </w:rPr>
        <w:t>démies, par contre, illustre plutôt une moralisation du danger par la communauté compacte qui exclut l'individ</w:t>
      </w:r>
      <w:r>
        <w:rPr>
          <w:lang w:eastAsia="fr-FR" w:bidi="fr-FR"/>
        </w:rPr>
        <w:t xml:space="preserve">u, victime et/ou bouc émissaire, [410] </w:t>
      </w:r>
      <w:r w:rsidRPr="00011A46">
        <w:rPr>
          <w:lang w:eastAsia="fr-FR" w:bidi="fr-FR"/>
        </w:rPr>
        <w:t>dans une sorte de chaîne causale inversée. Rien ne permet toutefois de penser que la société d'individus ait m</w:t>
      </w:r>
      <w:r w:rsidRPr="00011A46">
        <w:rPr>
          <w:lang w:eastAsia="fr-FR" w:bidi="fr-FR"/>
        </w:rPr>
        <w:t>é</w:t>
      </w:r>
      <w:r w:rsidRPr="00011A46">
        <w:rPr>
          <w:lang w:eastAsia="fr-FR" w:bidi="fr-FR"/>
        </w:rPr>
        <w:t>diatisé les peurs au point que la stigmatisation relèverait de temps rév</w:t>
      </w:r>
      <w:r w:rsidRPr="00011A46">
        <w:rPr>
          <w:lang w:eastAsia="fr-FR" w:bidi="fr-FR"/>
        </w:rPr>
        <w:t>o</w:t>
      </w:r>
      <w:r w:rsidRPr="00011A46">
        <w:rPr>
          <w:lang w:eastAsia="fr-FR" w:bidi="fr-FR"/>
        </w:rPr>
        <w:t>lus. L'expérience de la première décennie de l'épidémie du sida, en Amérique du Nord, a mis en évidence que les deux dimensions sont co-présentes. C'est pourquoi on peut, d'une part, se demander avec Bourdelais (1989, p. 20), si ce</w:t>
      </w:r>
      <w:r w:rsidRPr="00011A46">
        <w:rPr>
          <w:lang w:eastAsia="fr-FR" w:bidi="fr-FR"/>
        </w:rPr>
        <w:t>r</w:t>
      </w:r>
      <w:r w:rsidRPr="00011A46">
        <w:rPr>
          <w:lang w:eastAsia="fr-FR" w:bidi="fr-FR"/>
        </w:rPr>
        <w:t>taines conséquences sociales du sida, notamment l'affirmation de l'o</w:t>
      </w:r>
      <w:r w:rsidRPr="00011A46">
        <w:rPr>
          <w:lang w:eastAsia="fr-FR" w:bidi="fr-FR"/>
        </w:rPr>
        <w:t>r</w:t>
      </w:r>
      <w:r w:rsidRPr="00011A46">
        <w:rPr>
          <w:lang w:eastAsia="fr-FR" w:bidi="fr-FR"/>
        </w:rPr>
        <w:t>dre moral mais aussi le renforcement des lignes de fract</w:t>
      </w:r>
      <w:r w:rsidRPr="00011A46">
        <w:rPr>
          <w:lang w:eastAsia="fr-FR" w:bidi="fr-FR"/>
        </w:rPr>
        <w:t>u</w:t>
      </w:r>
      <w:r w:rsidRPr="00011A46">
        <w:rPr>
          <w:lang w:eastAsia="fr-FR" w:bidi="fr-FR"/>
        </w:rPr>
        <w:t xml:space="preserve">re dans la société, nous ont placés </w:t>
      </w:r>
      <w:r w:rsidRPr="00011A46">
        <w:t>« </w:t>
      </w:r>
      <w:r w:rsidRPr="00011A46">
        <w:rPr>
          <w:lang w:eastAsia="fr-FR" w:bidi="fr-FR"/>
        </w:rPr>
        <w:t>face à une des facettes de l'histoire immob</w:t>
      </w:r>
      <w:r w:rsidRPr="00011A46">
        <w:rPr>
          <w:lang w:eastAsia="fr-FR" w:bidi="fr-FR"/>
        </w:rPr>
        <w:t>i</w:t>
      </w:r>
      <w:r w:rsidRPr="00011A46">
        <w:rPr>
          <w:lang w:eastAsia="fr-FR" w:bidi="fr-FR"/>
        </w:rPr>
        <w:t>le</w:t>
      </w:r>
      <w:r w:rsidRPr="00011A46">
        <w:t> »</w:t>
      </w:r>
      <w:r w:rsidRPr="00011A46">
        <w:rPr>
          <w:lang w:eastAsia="fr-FR" w:bidi="fr-FR"/>
        </w:rPr>
        <w:t xml:space="preserve">. En effet, c'est </w:t>
      </w:r>
      <w:r w:rsidRPr="00011A46">
        <w:t>« </w:t>
      </w:r>
      <w:r w:rsidRPr="00011A46">
        <w:rPr>
          <w:lang w:eastAsia="fr-FR" w:bidi="fr-FR"/>
        </w:rPr>
        <w:t>l'individu à risque</w:t>
      </w:r>
      <w:r w:rsidRPr="00011A46">
        <w:t> »</w:t>
      </w:r>
      <w:r w:rsidRPr="00011A46">
        <w:rPr>
          <w:lang w:eastAsia="fr-FR" w:bidi="fr-FR"/>
        </w:rPr>
        <w:t xml:space="preserve"> ou le </w:t>
      </w:r>
      <w:r w:rsidRPr="00011A46">
        <w:t>« </w:t>
      </w:r>
      <w:r w:rsidRPr="00011A46">
        <w:rPr>
          <w:lang w:eastAsia="fr-FR" w:bidi="fr-FR"/>
        </w:rPr>
        <w:t>groupe à risque</w:t>
      </w:r>
      <w:r w:rsidRPr="00011A46">
        <w:t> »</w:t>
      </w:r>
      <w:r>
        <w:t> </w:t>
      </w:r>
      <w:r>
        <w:rPr>
          <w:rStyle w:val="Appelnotedebasdep"/>
        </w:rPr>
        <w:footnoteReference w:id="284"/>
      </w:r>
      <w:r w:rsidRPr="00011A46">
        <w:rPr>
          <w:lang w:eastAsia="fr-FR" w:bidi="fr-FR"/>
        </w:rPr>
        <w:t xml:space="preserve"> qui sont de nouveau considérés comme danger pour la société, men</w:t>
      </w:r>
      <w:r w:rsidRPr="00011A46">
        <w:rPr>
          <w:lang w:eastAsia="fr-FR" w:bidi="fr-FR"/>
        </w:rPr>
        <w:t>a</w:t>
      </w:r>
      <w:r w:rsidRPr="00011A46">
        <w:rPr>
          <w:lang w:eastAsia="fr-FR" w:bidi="fr-FR"/>
        </w:rPr>
        <w:t>ce pour la vie d'abord, ensuite pour la santé économique, privée et p</w:t>
      </w:r>
      <w:r w:rsidRPr="00011A46">
        <w:rPr>
          <w:lang w:eastAsia="fr-FR" w:bidi="fr-FR"/>
        </w:rPr>
        <w:t>u</w:t>
      </w:r>
      <w:r w:rsidRPr="00011A46">
        <w:rPr>
          <w:lang w:eastAsia="fr-FR" w:bidi="fr-FR"/>
        </w:rPr>
        <w:t>blique. Avec la découverte rapide du virus et ses voies de transmission, l'événement accède à la représent</w:t>
      </w:r>
      <w:r w:rsidRPr="00011A46">
        <w:rPr>
          <w:lang w:eastAsia="fr-FR" w:bidi="fr-FR"/>
        </w:rPr>
        <w:t>a</w:t>
      </w:r>
      <w:r w:rsidRPr="00011A46">
        <w:rPr>
          <w:lang w:eastAsia="fr-FR" w:bidi="fr-FR"/>
        </w:rPr>
        <w:t xml:space="preserve">tion scientifique qui sera largement diffusée dans des campagnes de prévention visant à modifier des comportements intimes. Le danger devient risque, la réprobation sociale </w:t>
      </w:r>
      <w:r w:rsidRPr="00011A46">
        <w:t>« </w:t>
      </w:r>
      <w:r w:rsidRPr="00011A46">
        <w:rPr>
          <w:lang w:eastAsia="fr-FR" w:bidi="fr-FR"/>
        </w:rPr>
        <w:t>rationnelle</w:t>
      </w:r>
      <w:r w:rsidRPr="00011A46">
        <w:t> »</w:t>
      </w:r>
      <w:r w:rsidRPr="00011A46">
        <w:rPr>
          <w:lang w:eastAsia="fr-FR" w:bidi="fr-FR"/>
        </w:rPr>
        <w:t>, de l'avoir enco</w:t>
      </w:r>
      <w:r w:rsidRPr="00011A46">
        <w:rPr>
          <w:lang w:eastAsia="fr-FR" w:bidi="fr-FR"/>
        </w:rPr>
        <w:t>u</w:t>
      </w:r>
      <w:r w:rsidRPr="00011A46">
        <w:rPr>
          <w:lang w:eastAsia="fr-FR" w:bidi="fr-FR"/>
        </w:rPr>
        <w:t>ru, se superposera au discours du péché et ouvrira la porte à la distin</w:t>
      </w:r>
      <w:r w:rsidRPr="00011A46">
        <w:rPr>
          <w:lang w:eastAsia="fr-FR" w:bidi="fr-FR"/>
        </w:rPr>
        <w:t>c</w:t>
      </w:r>
      <w:r w:rsidRPr="00011A46">
        <w:rPr>
          <w:lang w:eastAsia="fr-FR" w:bidi="fr-FR"/>
        </w:rPr>
        <w:t>tion entre victimes coupables et celles qui n'ont pas choisi</w:t>
      </w:r>
      <w:r w:rsidRPr="00011A46">
        <w:t> :</w:t>
      </w:r>
      <w:r w:rsidRPr="00011A46">
        <w:rPr>
          <w:lang w:eastAsia="fr-FR" w:bidi="fr-FR"/>
        </w:rPr>
        <w:t xml:space="preserve"> les vict</w:t>
      </w:r>
      <w:r w:rsidRPr="00011A46">
        <w:rPr>
          <w:lang w:eastAsia="fr-FR" w:bidi="fr-FR"/>
        </w:rPr>
        <w:t>i</w:t>
      </w:r>
      <w:r w:rsidRPr="00011A46">
        <w:rPr>
          <w:lang w:eastAsia="fr-FR" w:bidi="fr-FR"/>
        </w:rPr>
        <w:t>mes innocentes.</w:t>
      </w:r>
    </w:p>
    <w:p w:rsidR="00B7214C" w:rsidRPr="00011A46" w:rsidRDefault="00B7214C" w:rsidP="00B7214C">
      <w:pPr>
        <w:spacing w:before="120" w:after="120"/>
        <w:jc w:val="both"/>
      </w:pPr>
      <w:r w:rsidRPr="00011A46">
        <w:rPr>
          <w:lang w:eastAsia="fr-FR" w:bidi="fr-FR"/>
        </w:rPr>
        <w:t>Ce furent en premier lieu les hémophiles et les transfusés atteints du virus. Leur sort est d'autant plus tragique que c'est grâce à la tec</w:t>
      </w:r>
      <w:r w:rsidRPr="00011A46">
        <w:rPr>
          <w:lang w:eastAsia="fr-FR" w:bidi="fr-FR"/>
        </w:rPr>
        <w:t>h</w:t>
      </w:r>
      <w:r w:rsidRPr="00011A46">
        <w:rPr>
          <w:lang w:eastAsia="fr-FR" w:bidi="fr-FR"/>
        </w:rPr>
        <w:t>nologie médicale que la mort s'est infiltrée dans leurs corps, alors qu'ils s'y étaient fiés pour la vie. La réaction sociale dans leur cas fut celle de l'indemnisation des victimes d'une catastrophe</w:t>
      </w:r>
      <w:r>
        <w:rPr>
          <w:lang w:eastAsia="fr-FR" w:bidi="fr-FR"/>
        </w:rPr>
        <w:t> </w:t>
      </w:r>
      <w:r>
        <w:rPr>
          <w:rStyle w:val="Appelnotedebasdep"/>
          <w:lang w:eastAsia="fr-FR" w:bidi="fr-FR"/>
        </w:rPr>
        <w:footnoteReference w:id="285"/>
      </w:r>
      <w:r w:rsidRPr="00011A46">
        <w:rPr>
          <w:lang w:eastAsia="fr-FR" w:bidi="fr-FR"/>
        </w:rPr>
        <w:t>, mais aussi de recherche de responsables/coupables dans les lieux de décision, p</w:t>
      </w:r>
      <w:r w:rsidRPr="00011A46">
        <w:rPr>
          <w:lang w:eastAsia="fr-FR" w:bidi="fr-FR"/>
        </w:rPr>
        <w:t>u</w:t>
      </w:r>
      <w:r w:rsidRPr="00011A46">
        <w:rPr>
          <w:lang w:eastAsia="fr-FR" w:bidi="fr-FR"/>
        </w:rPr>
        <w:t>blics ou privés. À l'instar des hémophiles et transfusés, bien que pour des raisons tout à fait différentes, le groupe des femmes consid</w:t>
      </w:r>
      <w:r w:rsidRPr="00011A46">
        <w:rPr>
          <w:lang w:eastAsia="fr-FR" w:bidi="fr-FR"/>
        </w:rPr>
        <w:t>é</w:t>
      </w:r>
      <w:r w:rsidRPr="00011A46">
        <w:rPr>
          <w:lang w:eastAsia="fr-FR" w:bidi="fr-FR"/>
        </w:rPr>
        <w:t>rées comme victimes innocentes perd de l'importance, même si le nombre des séropositives augmente constamment en Amérique du Nord. La norme, devenue sociale, du risque évitable les a rejointes, à l'exception peut-être des femmes mariées d'un certain âge et des vi</w:t>
      </w:r>
      <w:r w:rsidRPr="00011A46">
        <w:rPr>
          <w:lang w:eastAsia="fr-FR" w:bidi="fr-FR"/>
        </w:rPr>
        <w:t>c</w:t>
      </w:r>
      <w:r w:rsidRPr="00011A46">
        <w:rPr>
          <w:lang w:eastAsia="fr-FR" w:bidi="fr-FR"/>
        </w:rPr>
        <w:t>times de viol</w:t>
      </w:r>
      <w:r>
        <w:rPr>
          <w:lang w:eastAsia="fr-FR" w:bidi="fr-FR"/>
        </w:rPr>
        <w:t> </w:t>
      </w:r>
      <w:r>
        <w:rPr>
          <w:rStyle w:val="Appelnotedebasdep"/>
          <w:lang w:eastAsia="fr-FR" w:bidi="fr-FR"/>
        </w:rPr>
        <w:footnoteReference w:id="286"/>
      </w:r>
      <w:r w:rsidRPr="00011A46">
        <w:rPr>
          <w:lang w:eastAsia="fr-FR" w:bidi="fr-FR"/>
        </w:rPr>
        <w:t>. D'autre part, le nombre de professionnels de la santé qui s'infectent lors de l'accomplissement de leurs tâches étant très l</w:t>
      </w:r>
      <w:r w:rsidRPr="00011A46">
        <w:rPr>
          <w:lang w:eastAsia="fr-FR" w:bidi="fr-FR"/>
        </w:rPr>
        <w:t>i</w:t>
      </w:r>
      <w:r w:rsidRPr="00011A46">
        <w:rPr>
          <w:lang w:eastAsia="fr-FR" w:bidi="fr-FR"/>
        </w:rPr>
        <w:t>mité</w:t>
      </w:r>
      <w:r>
        <w:rPr>
          <w:lang w:eastAsia="fr-FR" w:bidi="fr-FR"/>
        </w:rPr>
        <w:t> </w:t>
      </w:r>
      <w:r>
        <w:rPr>
          <w:rStyle w:val="Appelnotedebasdep"/>
          <w:lang w:eastAsia="fr-FR" w:bidi="fr-FR"/>
        </w:rPr>
        <w:footnoteReference w:id="287"/>
      </w:r>
      <w:r w:rsidRPr="00011A46">
        <w:rPr>
          <w:lang w:eastAsia="fr-FR" w:bidi="fr-FR"/>
        </w:rPr>
        <w:t>, les rares cas de patients infectés par leur dentiste et la couve</w:t>
      </w:r>
      <w:r w:rsidRPr="00011A46">
        <w:rPr>
          <w:lang w:eastAsia="fr-FR" w:bidi="fr-FR"/>
        </w:rPr>
        <w:t>r</w:t>
      </w:r>
      <w:r w:rsidRPr="00011A46">
        <w:rPr>
          <w:lang w:eastAsia="fr-FR" w:bidi="fr-FR"/>
        </w:rPr>
        <w:t>ture médi</w:t>
      </w:r>
      <w:r w:rsidRPr="00011A46">
        <w:rPr>
          <w:lang w:eastAsia="fr-FR" w:bidi="fr-FR"/>
        </w:rPr>
        <w:t>a</w:t>
      </w:r>
      <w:r w:rsidRPr="00011A46">
        <w:rPr>
          <w:lang w:eastAsia="fr-FR" w:bidi="fr-FR"/>
        </w:rPr>
        <w:t>tique à laquelle ils ont eu droit, ont contrebalancé quelque peu la perception du public. Reste finalement la catégorie des no</w:t>
      </w:r>
      <w:r w:rsidRPr="00011A46">
        <w:rPr>
          <w:lang w:eastAsia="fr-FR" w:bidi="fr-FR"/>
        </w:rPr>
        <w:t>u</w:t>
      </w:r>
      <w:r w:rsidRPr="00011A46">
        <w:rPr>
          <w:lang w:eastAsia="fr-FR" w:bidi="fr-FR"/>
        </w:rPr>
        <w:t>veau-nés, i</w:t>
      </w:r>
      <w:r w:rsidRPr="00011A46">
        <w:rPr>
          <w:lang w:eastAsia="fr-FR" w:bidi="fr-FR"/>
        </w:rPr>
        <w:t>n</w:t>
      </w:r>
      <w:r w:rsidRPr="00011A46">
        <w:rPr>
          <w:lang w:eastAsia="fr-FR" w:bidi="fr-FR"/>
        </w:rPr>
        <w:t>nocents par excellence. Pour prévenir une augmentation de leur nombre, les politiques de santé publique s'affrontent à des d</w:t>
      </w:r>
      <w:r w:rsidRPr="00011A46">
        <w:rPr>
          <w:lang w:eastAsia="fr-FR" w:bidi="fr-FR"/>
        </w:rPr>
        <w:t>i</w:t>
      </w:r>
      <w:r w:rsidRPr="00011A46">
        <w:rPr>
          <w:lang w:eastAsia="fr-FR" w:bidi="fr-FR"/>
        </w:rPr>
        <w:t>lemmes éthiques difficiles. Faut-il rendre obligatoires les tests de d</w:t>
      </w:r>
      <w:r w:rsidRPr="00011A46">
        <w:rPr>
          <w:lang w:eastAsia="fr-FR" w:bidi="fr-FR"/>
        </w:rPr>
        <w:t>é</w:t>
      </w:r>
      <w:r w:rsidRPr="00011A46">
        <w:rPr>
          <w:lang w:eastAsia="fr-FR" w:bidi="fr-FR"/>
        </w:rPr>
        <w:t>pistage du VIH pour l'e</w:t>
      </w:r>
      <w:r w:rsidRPr="00011A46">
        <w:rPr>
          <w:lang w:eastAsia="fr-FR" w:bidi="fr-FR"/>
        </w:rPr>
        <w:t>n</w:t>
      </w:r>
      <w:r w:rsidRPr="00011A46">
        <w:rPr>
          <w:lang w:eastAsia="fr-FR" w:bidi="fr-FR"/>
        </w:rPr>
        <w:t>semble des femmes enceintes, à l'instar du modèle mis en œuvre pour traiter la syphilis ou l'hépatite</w:t>
      </w:r>
      <w:r>
        <w:rPr>
          <w:lang w:eastAsia="fr-FR" w:bidi="fr-FR"/>
        </w:rPr>
        <w:t> </w:t>
      </w:r>
      <w:r w:rsidRPr="00011A46">
        <w:rPr>
          <w:lang w:eastAsia="fr-FR" w:bidi="fr-FR"/>
        </w:rPr>
        <w:t>B</w:t>
      </w:r>
      <w:r w:rsidRPr="00011A46">
        <w:t> ?</w:t>
      </w:r>
      <w:r w:rsidRPr="00011A46">
        <w:rPr>
          <w:lang w:eastAsia="fr-FR" w:bidi="fr-FR"/>
        </w:rPr>
        <w:t xml:space="preserve"> Une telle mesure, souvent proposée, ne soulève pas seulement la question gén</w:t>
      </w:r>
      <w:r w:rsidRPr="00011A46">
        <w:rPr>
          <w:lang w:eastAsia="fr-FR" w:bidi="fr-FR"/>
        </w:rPr>
        <w:t>é</w:t>
      </w:r>
      <w:r w:rsidRPr="00011A46">
        <w:rPr>
          <w:lang w:eastAsia="fr-FR" w:bidi="fr-FR"/>
        </w:rPr>
        <w:t>rale de l'efficacité de tests obligatoires, du consentement libre et écla</w:t>
      </w:r>
      <w:r w:rsidRPr="00011A46">
        <w:rPr>
          <w:lang w:eastAsia="fr-FR" w:bidi="fr-FR"/>
        </w:rPr>
        <w:t>i</w:t>
      </w:r>
      <w:r w:rsidRPr="00011A46">
        <w:rPr>
          <w:lang w:eastAsia="fr-FR" w:bidi="fr-FR"/>
        </w:rPr>
        <w:t>ré, du respect de l'intégrité physique et de la vie privée. Elle implique aussi, lorsque le résultat est positif, un choix qui ne peut être réduit à la po</w:t>
      </w:r>
      <w:r w:rsidRPr="00011A46">
        <w:rPr>
          <w:lang w:eastAsia="fr-FR" w:bidi="fr-FR"/>
        </w:rPr>
        <w:t>n</w:t>
      </w:r>
      <w:r w:rsidRPr="00011A46">
        <w:rPr>
          <w:lang w:eastAsia="fr-FR" w:bidi="fr-FR"/>
        </w:rPr>
        <w:t>dération rationnelle des probabilités de l'enfant à naître d'être</w:t>
      </w:r>
      <w:r>
        <w:rPr>
          <w:lang w:eastAsia="fr-FR" w:bidi="fr-FR"/>
        </w:rPr>
        <w:t xml:space="preserve"> </w:t>
      </w:r>
      <w:r>
        <w:t xml:space="preserve">[411] </w:t>
      </w:r>
      <w:r w:rsidRPr="00011A46">
        <w:rPr>
          <w:lang w:eastAsia="fr-FR" w:bidi="fr-FR"/>
        </w:rPr>
        <w:t xml:space="preserve">infecté. Quelle est la valeur d'une vie ainsi hypothéquée, pour qui </w:t>
      </w:r>
      <w:r w:rsidRPr="00011A46">
        <w:t>et selon quelle mesure ? Qui prendra la décision et dans quelles conditions ? S'il est vrai, comme le notent certains auteurs amér</w:t>
      </w:r>
      <w:r w:rsidRPr="00011A46">
        <w:t>i</w:t>
      </w:r>
      <w:r w:rsidRPr="00011A46">
        <w:t>cains</w:t>
      </w:r>
      <w:r>
        <w:t> </w:t>
      </w:r>
      <w:r>
        <w:rPr>
          <w:rStyle w:val="Appelnotedebasdep"/>
        </w:rPr>
        <w:footnoteReference w:id="288"/>
      </w:r>
      <w:r w:rsidRPr="00011A46">
        <w:t>, que la pression d'avorter est particulièrement forte sur les femmes séropositives noires ou hispanophones, la tendance du di</w:t>
      </w:r>
      <w:r w:rsidRPr="00011A46">
        <w:t>s</w:t>
      </w:r>
      <w:r w:rsidRPr="00011A46">
        <w:t>cours de l</w:t>
      </w:r>
      <w:r>
        <w:t>a Cour suprême de l'ère Reagan-</w:t>
      </w:r>
      <w:r w:rsidRPr="00011A46">
        <w:t>Bush de nier un « droit à l'avort</w:t>
      </w:r>
      <w:r w:rsidRPr="00011A46">
        <w:t>e</w:t>
      </w:r>
      <w:r w:rsidRPr="00011A46">
        <w:t xml:space="preserve">ment » fut tout aussi paradoxale que pourraient le devenir la position du nouveau président en faveur des minorités, d'une part, et les effets de son premier </w:t>
      </w:r>
      <w:r w:rsidRPr="00703563">
        <w:rPr>
          <w:i/>
          <w:iCs/>
        </w:rPr>
        <w:t>Executive Order</w:t>
      </w:r>
      <w:r w:rsidRPr="00011A46">
        <w:t xml:space="preserve"> concernant l'avort</w:t>
      </w:r>
      <w:r w:rsidRPr="00011A46">
        <w:t>e</w:t>
      </w:r>
      <w:r w:rsidRPr="00011A46">
        <w:t>ment, de l'autre.</w:t>
      </w:r>
    </w:p>
    <w:p w:rsidR="00B7214C" w:rsidRPr="00011A46" w:rsidRDefault="00B7214C" w:rsidP="00B7214C">
      <w:pPr>
        <w:spacing w:before="120" w:after="120"/>
        <w:jc w:val="both"/>
      </w:pPr>
      <w:r w:rsidRPr="00011A46">
        <w:t>Face à tous ceux dont le statut de malade n'est pas innocent, inv</w:t>
      </w:r>
      <w:r w:rsidRPr="00011A46">
        <w:t>o</w:t>
      </w:r>
      <w:r w:rsidRPr="00011A46">
        <w:t>quer le risque, légitimera dès lors des réactions de rejet sinon d'excl</w:t>
      </w:r>
      <w:r w:rsidRPr="00011A46">
        <w:t>u</w:t>
      </w:r>
      <w:r w:rsidRPr="00011A46">
        <w:t>sion. Le débat est d'autant plus vif que le sida est, comme nous l'avons rappelé au début, la première épidémie de l'âge des droits de la pe</w:t>
      </w:r>
      <w:r w:rsidRPr="00011A46">
        <w:t>r</w:t>
      </w:r>
      <w:r w:rsidRPr="00011A46">
        <w:t>sonne. Le nombre de plaintes déposées en matière de discrimination de porteurs du VIH dans l'emploi, l'éducation, le logement, les serv</w:t>
      </w:r>
      <w:r w:rsidRPr="00011A46">
        <w:t>i</w:t>
      </w:r>
      <w:r w:rsidRPr="00011A46">
        <w:t>ces publics, les conditions de détention, les assurances, les soins m</w:t>
      </w:r>
      <w:r w:rsidRPr="00011A46">
        <w:t>é</w:t>
      </w:r>
      <w:r w:rsidRPr="00011A46">
        <w:t>dicaux en fournit un tableau plutôt sombre pour l'ensemble de la p</w:t>
      </w:r>
      <w:r w:rsidRPr="00011A46">
        <w:t>é</w:t>
      </w:r>
      <w:r w:rsidRPr="00011A46">
        <w:t xml:space="preserve">riode aux États-Unis (voir Gostin, 1992) et, dans une moindre mesure, au </w:t>
      </w:r>
      <w:r>
        <w:t>Canada </w:t>
      </w:r>
      <w:r>
        <w:rPr>
          <w:rStyle w:val="Appelnotedebasdep"/>
        </w:rPr>
        <w:footnoteReference w:id="289"/>
      </w:r>
      <w:r w:rsidRPr="00011A46">
        <w:t>. On constate cependant une d</w:t>
      </w:r>
      <w:r w:rsidRPr="00011A46">
        <w:t>i</w:t>
      </w:r>
      <w:r w:rsidRPr="00011A46">
        <w:t>minution, récente mais considérable, du volume des plaintes dans la plupart des secteurs de la vie en société, à l'exception du domaine médical où les réactions continuent à fluctuer entre le rejet et l'adaptation</w:t>
      </w:r>
      <w:r>
        <w:t> </w:t>
      </w:r>
      <w:r>
        <w:rPr>
          <w:rStyle w:val="Appelnotedebasdep"/>
        </w:rPr>
        <w:footnoteReference w:id="290"/>
      </w:r>
      <w:r w:rsidRPr="00011A46">
        <w:t>. Ce développ</w:t>
      </w:r>
      <w:r w:rsidRPr="00011A46">
        <w:t>e</w:t>
      </w:r>
      <w:r w:rsidRPr="00011A46">
        <w:t>ment mais égal</w:t>
      </w:r>
      <w:r w:rsidRPr="00011A46">
        <w:t>e</w:t>
      </w:r>
      <w:r w:rsidRPr="00011A46">
        <w:t>ment la teneur des décisions témoignent à l'évidence que l'on assiste aussi à l'affirmation et à la défense des droits de ceux qui sont atteints, appuyées par une activité législative</w:t>
      </w:r>
      <w:r>
        <w:t> </w:t>
      </w:r>
      <w:r>
        <w:rPr>
          <w:rStyle w:val="Appelnotedebasdep"/>
        </w:rPr>
        <w:footnoteReference w:id="291"/>
      </w:r>
      <w:r w:rsidRPr="00703563">
        <w:t xml:space="preserve"> </w:t>
      </w:r>
      <w:r w:rsidRPr="00011A46">
        <w:t>et judiciaire a</w:t>
      </w:r>
      <w:r w:rsidRPr="00011A46">
        <w:t>c</w:t>
      </w:r>
      <w:r w:rsidRPr="00011A46">
        <w:t>crue en matière de protection des droits individuels des malades ou me</w:t>
      </w:r>
      <w:r w:rsidRPr="00011A46">
        <w:t>m</w:t>
      </w:r>
      <w:r w:rsidRPr="00011A46">
        <w:t>bres de groupes étiquetés « à risque ». Il faut toutefois nuancer ce qui pourrait paraître comme la seule expression de la compassion ou e</w:t>
      </w:r>
      <w:r w:rsidRPr="00011A46">
        <w:t>n</w:t>
      </w:r>
      <w:r w:rsidRPr="00011A46">
        <w:t>core de bons sentiments. Plusieurs décisions importantes se fondent sur l'argument que les dispositions antidiscriminatoires constituent des mesures de santé publique, en ce sens qu'elles diminuent le risque de transmission en assurant la collaboration de ceux qui sont infectés</w:t>
      </w:r>
      <w:r>
        <w:t> </w:t>
      </w:r>
      <w:r>
        <w:rPr>
          <w:rStyle w:val="Appelnotedebasdep"/>
        </w:rPr>
        <w:footnoteReference w:id="292"/>
      </w:r>
      <w:r w:rsidRPr="00011A46">
        <w:t>.</w:t>
      </w:r>
    </w:p>
    <w:p w:rsidR="00B7214C" w:rsidRPr="00011A46" w:rsidRDefault="00B7214C" w:rsidP="00B7214C">
      <w:pPr>
        <w:spacing w:before="120" w:after="120"/>
        <w:jc w:val="both"/>
      </w:pPr>
      <w:r w:rsidRPr="00011A46">
        <w:t>Tout aussi ambigu paraît le clivage entre l'activité législ</w:t>
      </w:r>
      <w:r w:rsidRPr="00011A46">
        <w:t>a</w:t>
      </w:r>
      <w:r w:rsidRPr="00011A46">
        <w:t>tive en matière de quarantaine ou d'internement coercitif de malades atteints du sida ou séropositifs et l'application de ces dispositions, qui ont été adoptées dans plus d'une douzaine d'États américains, entre 1987 et 1990</w:t>
      </w:r>
      <w:r>
        <w:t> </w:t>
      </w:r>
      <w:r>
        <w:rPr>
          <w:rStyle w:val="Appelnotedebasdep"/>
        </w:rPr>
        <w:footnoteReference w:id="293"/>
      </w:r>
      <w:r w:rsidRPr="00011A46">
        <w:t>. Une enquête ponctuelle (Jonson et Stryker, 1993, p. 36), r</w:t>
      </w:r>
      <w:r w:rsidRPr="00011A46">
        <w:t>é</w:t>
      </w:r>
      <w:r w:rsidRPr="00011A46">
        <w:t>alisée entre les mois de juin et novembre 1990, montre en effet que d'un</w:t>
      </w:r>
      <w:r w:rsidRPr="00011A46">
        <w:rPr>
          <w:lang w:eastAsia="fr-FR" w:bidi="fr-FR"/>
        </w:rPr>
        <w:t xml:space="preserve"> ensemble de 500 plaintes, 350 ont donné lieu à une enquête dans l'I</w:t>
      </w:r>
      <w:r w:rsidRPr="00011A46">
        <w:rPr>
          <w:lang w:eastAsia="fr-FR" w:bidi="fr-FR"/>
        </w:rPr>
        <w:t>n</w:t>
      </w:r>
      <w:r w:rsidRPr="00011A46">
        <w:rPr>
          <w:lang w:eastAsia="fr-FR" w:bidi="fr-FR"/>
        </w:rPr>
        <w:t>diana, le Minnesota, le Missouri, le Nevada, l'Oklahoma et l'État de Washington. Or, le nombre de décisions d'intern</w:t>
      </w:r>
      <w:r w:rsidRPr="00011A46">
        <w:rPr>
          <w:lang w:eastAsia="fr-FR" w:bidi="fr-FR"/>
        </w:rPr>
        <w:t>e</w:t>
      </w:r>
      <w:r w:rsidRPr="00011A46">
        <w:rPr>
          <w:lang w:eastAsia="fr-FR" w:bidi="fr-FR"/>
        </w:rPr>
        <w:t>ment fut infime, les autorités se contentant le plus souvent d'émettre des avertiss</w:t>
      </w:r>
      <w:r w:rsidRPr="00011A46">
        <w:rPr>
          <w:lang w:eastAsia="fr-FR" w:bidi="fr-FR"/>
        </w:rPr>
        <w:t>e</w:t>
      </w:r>
      <w:r w:rsidRPr="00011A46">
        <w:rPr>
          <w:lang w:eastAsia="fr-FR" w:bidi="fr-FR"/>
        </w:rPr>
        <w:t>ments. Les auteurs comparent ce résultat au fait</w:t>
      </w:r>
      <w:r>
        <w:rPr>
          <w:lang w:eastAsia="fr-FR" w:bidi="fr-FR"/>
        </w:rPr>
        <w:t xml:space="preserve"> </w:t>
      </w:r>
      <w:r>
        <w:t>[</w:t>
      </w:r>
      <w:r w:rsidRPr="00011A46">
        <w:rPr>
          <w:lang w:eastAsia="fr-FR" w:bidi="fr-FR"/>
        </w:rPr>
        <w:t>412</w:t>
      </w:r>
      <w:r>
        <w:rPr>
          <w:lang w:eastAsia="fr-FR" w:bidi="fr-FR"/>
        </w:rPr>
        <w:t xml:space="preserve">] </w:t>
      </w:r>
      <w:r w:rsidRPr="00011A46">
        <w:rPr>
          <w:lang w:eastAsia="fr-FR" w:bidi="fr-FR"/>
        </w:rPr>
        <w:t>que 400 tube</w:t>
      </w:r>
      <w:r w:rsidRPr="00011A46">
        <w:rPr>
          <w:lang w:eastAsia="fr-FR" w:bidi="fr-FR"/>
        </w:rPr>
        <w:t>r</w:t>
      </w:r>
      <w:r w:rsidRPr="00011A46">
        <w:rPr>
          <w:lang w:eastAsia="fr-FR" w:bidi="fr-FR"/>
        </w:rPr>
        <w:t>culeux, qui avaient refusé de se faire traiter, furent internés contre leur gré par les autorités sanitaires, e</w:t>
      </w:r>
      <w:r w:rsidRPr="00011A46">
        <w:rPr>
          <w:lang w:eastAsia="fr-FR" w:bidi="fr-FR"/>
        </w:rPr>
        <w:t>n</w:t>
      </w:r>
      <w:r w:rsidRPr="00011A46">
        <w:rPr>
          <w:lang w:eastAsia="fr-FR" w:bidi="fr-FR"/>
        </w:rPr>
        <w:t>tre 1981 et 1990.</w:t>
      </w:r>
    </w:p>
    <w:p w:rsidR="00B7214C" w:rsidRPr="00011A46" w:rsidRDefault="00B7214C" w:rsidP="00B7214C">
      <w:pPr>
        <w:spacing w:before="120" w:after="120"/>
        <w:jc w:val="both"/>
      </w:pPr>
      <w:r w:rsidRPr="00011A46">
        <w:rPr>
          <w:lang w:eastAsia="fr-FR" w:bidi="fr-FR"/>
        </w:rPr>
        <w:t>Curieusement, en droit pénal, le fait d'être atteint du sida attestera, sauf dans des cas d'agression ou de sollicitation sexuelle</w:t>
      </w:r>
      <w:r>
        <w:rPr>
          <w:lang w:eastAsia="fr-FR" w:bidi="fr-FR"/>
        </w:rPr>
        <w:t> </w:t>
      </w:r>
      <w:r>
        <w:rPr>
          <w:rStyle w:val="Appelnotedebasdep"/>
          <w:lang w:eastAsia="fr-FR" w:bidi="fr-FR"/>
        </w:rPr>
        <w:footnoteReference w:id="294"/>
      </w:r>
      <w:r w:rsidRPr="00011A46">
        <w:rPr>
          <w:lang w:eastAsia="fr-FR" w:bidi="fr-FR"/>
        </w:rPr>
        <w:t>, d'un moi</w:t>
      </w:r>
      <w:r w:rsidRPr="00011A46">
        <w:rPr>
          <w:lang w:eastAsia="fr-FR" w:bidi="fr-FR"/>
        </w:rPr>
        <w:t>n</w:t>
      </w:r>
      <w:r w:rsidRPr="00011A46">
        <w:rPr>
          <w:lang w:eastAsia="fr-FR" w:bidi="fr-FR"/>
        </w:rPr>
        <w:t>dre risque pour la société et deviendra un facteur atténuant dans la détermination de la peine</w:t>
      </w:r>
      <w:r>
        <w:rPr>
          <w:lang w:eastAsia="fr-FR" w:bidi="fr-FR"/>
        </w:rPr>
        <w:t> </w:t>
      </w:r>
      <w:r>
        <w:rPr>
          <w:rStyle w:val="Appelnotedebasdep"/>
          <w:lang w:eastAsia="fr-FR" w:bidi="fr-FR"/>
        </w:rPr>
        <w:footnoteReference w:id="295"/>
      </w:r>
      <w:r w:rsidRPr="00011A46">
        <w:rPr>
          <w:lang w:eastAsia="fr-FR" w:bidi="fr-FR"/>
        </w:rPr>
        <w:t>, alors que l'exposition de tiers au da</w:t>
      </w:r>
      <w:r w:rsidRPr="00011A46">
        <w:rPr>
          <w:lang w:eastAsia="fr-FR" w:bidi="fr-FR"/>
        </w:rPr>
        <w:t>n</w:t>
      </w:r>
      <w:r w:rsidRPr="00011A46">
        <w:rPr>
          <w:lang w:eastAsia="fr-FR" w:bidi="fr-FR"/>
        </w:rPr>
        <w:t>ger de l'infection, par le sang</w:t>
      </w:r>
      <w:r>
        <w:rPr>
          <w:lang w:eastAsia="fr-FR" w:bidi="fr-FR"/>
        </w:rPr>
        <w:t> </w:t>
      </w:r>
      <w:r>
        <w:rPr>
          <w:rStyle w:val="Appelnotedebasdep"/>
          <w:lang w:eastAsia="fr-FR" w:bidi="fr-FR"/>
        </w:rPr>
        <w:footnoteReference w:id="296"/>
      </w:r>
      <w:r w:rsidRPr="00011A46">
        <w:rPr>
          <w:lang w:eastAsia="fr-FR" w:bidi="fr-FR"/>
        </w:rPr>
        <w:t xml:space="preserve"> ou par le sexe</w:t>
      </w:r>
      <w:r>
        <w:rPr>
          <w:lang w:eastAsia="fr-FR" w:bidi="fr-FR"/>
        </w:rPr>
        <w:t> </w:t>
      </w:r>
      <w:r>
        <w:rPr>
          <w:rStyle w:val="Appelnotedebasdep"/>
          <w:lang w:eastAsia="fr-FR" w:bidi="fr-FR"/>
        </w:rPr>
        <w:footnoteReference w:id="297"/>
      </w:r>
      <w:r w:rsidRPr="00011A46">
        <w:rPr>
          <w:lang w:eastAsia="fr-FR" w:bidi="fr-FR"/>
        </w:rPr>
        <w:t>, constituera une nuisance publique au Canada, un assaut sinon une tentative d'homic</w:t>
      </w:r>
      <w:r w:rsidRPr="00011A46">
        <w:rPr>
          <w:lang w:eastAsia="fr-FR" w:bidi="fr-FR"/>
        </w:rPr>
        <w:t>i</w:t>
      </w:r>
      <w:r w:rsidRPr="00011A46">
        <w:rPr>
          <w:lang w:eastAsia="fr-FR" w:bidi="fr-FR"/>
        </w:rPr>
        <w:t>de involontaire ou de meurtre, aux États-Unis</w:t>
      </w:r>
      <w:r>
        <w:rPr>
          <w:lang w:eastAsia="fr-FR" w:bidi="fr-FR"/>
        </w:rPr>
        <w:t> </w:t>
      </w:r>
      <w:r>
        <w:rPr>
          <w:rStyle w:val="Appelnotedebasdep"/>
          <w:lang w:eastAsia="fr-FR" w:bidi="fr-FR"/>
        </w:rPr>
        <w:footnoteReference w:id="298"/>
      </w:r>
      <w:r w:rsidRPr="00011A46">
        <w:rPr>
          <w:lang w:eastAsia="fr-FR" w:bidi="fr-FR"/>
        </w:rPr>
        <w:t>. En effet, après une première p</w:t>
      </w:r>
      <w:r w:rsidRPr="00011A46">
        <w:rPr>
          <w:lang w:eastAsia="fr-FR" w:bidi="fr-FR"/>
        </w:rPr>
        <w:t>é</w:t>
      </w:r>
      <w:r w:rsidRPr="00011A46">
        <w:rPr>
          <w:lang w:eastAsia="fr-FR" w:bidi="fr-FR"/>
        </w:rPr>
        <w:t>riode d'incertitude des tribunaux américains, une vingtaine d'États commencèrent à légiférer, en criminalisant la transmission v</w:t>
      </w:r>
      <w:r w:rsidRPr="00011A46">
        <w:rPr>
          <w:lang w:eastAsia="fr-FR" w:bidi="fr-FR"/>
        </w:rPr>
        <w:t>o</w:t>
      </w:r>
      <w:r w:rsidRPr="00011A46">
        <w:rPr>
          <w:lang w:eastAsia="fr-FR" w:bidi="fr-FR"/>
        </w:rPr>
        <w:t>lontaire du VIH. L'application de ces dispositions demeure toutefois marginale. Gostin (1992)</w:t>
      </w:r>
      <w:r>
        <w:rPr>
          <w:lang w:eastAsia="fr-FR" w:bidi="fr-FR"/>
        </w:rPr>
        <w:t> </w:t>
      </w:r>
      <w:r>
        <w:rPr>
          <w:rStyle w:val="Appelnotedebasdep"/>
          <w:lang w:eastAsia="fr-FR" w:bidi="fr-FR"/>
        </w:rPr>
        <w:footnoteReference w:id="299"/>
      </w:r>
      <w:r w:rsidRPr="00011A46">
        <w:rPr>
          <w:lang w:eastAsia="fr-FR" w:bidi="fr-FR"/>
        </w:rPr>
        <w:t xml:space="preserve"> constate que la plupart des poursuites p</w:t>
      </w:r>
      <w:r w:rsidRPr="00011A46">
        <w:rPr>
          <w:lang w:eastAsia="fr-FR" w:bidi="fr-FR"/>
        </w:rPr>
        <w:t>é</w:t>
      </w:r>
      <w:r w:rsidRPr="00011A46">
        <w:rPr>
          <w:lang w:eastAsia="fr-FR" w:bidi="fr-FR"/>
        </w:rPr>
        <w:t>nales pour avoir mordu, craché, donné de son sang, versé du sang ou avoir eu des relations sexuelles tout en connaissant son état de s</w:t>
      </w:r>
      <w:r w:rsidRPr="00011A46">
        <w:rPr>
          <w:lang w:eastAsia="fr-FR" w:bidi="fr-FR"/>
        </w:rPr>
        <w:t>é</w:t>
      </w:r>
      <w:r w:rsidRPr="00011A46">
        <w:rPr>
          <w:lang w:eastAsia="fr-FR" w:bidi="fr-FR"/>
        </w:rPr>
        <w:t>rop</w:t>
      </w:r>
      <w:r w:rsidRPr="00011A46">
        <w:rPr>
          <w:lang w:eastAsia="fr-FR" w:bidi="fr-FR"/>
        </w:rPr>
        <w:t>o</w:t>
      </w:r>
      <w:r w:rsidRPr="00011A46">
        <w:rPr>
          <w:lang w:eastAsia="fr-FR" w:bidi="fr-FR"/>
        </w:rPr>
        <w:t>sitivité, ont mené à des acquittements. Or les rares cas où il y avait verdict, les sentences imposées furent exemplaires. Ainsi cette travai</w:t>
      </w:r>
      <w:r w:rsidRPr="00011A46">
        <w:rPr>
          <w:lang w:eastAsia="fr-FR" w:bidi="fr-FR"/>
        </w:rPr>
        <w:t>l</w:t>
      </w:r>
      <w:r w:rsidRPr="00011A46">
        <w:rPr>
          <w:lang w:eastAsia="fr-FR" w:bidi="fr-FR"/>
        </w:rPr>
        <w:t>leuse du sexe du Nevada qui écopait d'une sentence de 20 ans d'emprisonn</w:t>
      </w:r>
      <w:r w:rsidRPr="00011A46">
        <w:rPr>
          <w:lang w:eastAsia="fr-FR" w:bidi="fr-FR"/>
        </w:rPr>
        <w:t>e</w:t>
      </w:r>
      <w:r w:rsidRPr="00011A46">
        <w:rPr>
          <w:lang w:eastAsia="fr-FR" w:bidi="fr-FR"/>
        </w:rPr>
        <w:t>ment pour avoir sollicité des clients tout en sachant qu'elle était sér</w:t>
      </w:r>
      <w:r w:rsidRPr="00011A46">
        <w:rPr>
          <w:lang w:eastAsia="fr-FR" w:bidi="fr-FR"/>
        </w:rPr>
        <w:t>o</w:t>
      </w:r>
      <w:r w:rsidRPr="00011A46">
        <w:rPr>
          <w:lang w:eastAsia="fr-FR" w:bidi="fr-FR"/>
        </w:rPr>
        <w:t>positive</w:t>
      </w:r>
      <w:r>
        <w:rPr>
          <w:lang w:eastAsia="fr-FR" w:bidi="fr-FR"/>
        </w:rPr>
        <w:t> </w:t>
      </w:r>
      <w:r>
        <w:rPr>
          <w:rStyle w:val="Appelnotedebasdep"/>
          <w:lang w:eastAsia="fr-FR" w:bidi="fr-FR"/>
        </w:rPr>
        <w:footnoteReference w:id="300"/>
      </w:r>
      <w:r w:rsidRPr="00011A46">
        <w:rPr>
          <w:lang w:eastAsia="fr-FR" w:bidi="fr-FR"/>
        </w:rPr>
        <w:t>.</w:t>
      </w:r>
    </w:p>
    <w:p w:rsidR="00B7214C" w:rsidRPr="00011A46" w:rsidRDefault="00B7214C" w:rsidP="00B7214C">
      <w:pPr>
        <w:spacing w:before="120" w:after="120"/>
        <w:jc w:val="both"/>
      </w:pPr>
      <w:r w:rsidRPr="00011A46">
        <w:rPr>
          <w:lang w:eastAsia="fr-FR" w:bidi="fr-FR"/>
        </w:rPr>
        <w:t>Parallèlement cependant, les demandes de nouveaux droits et de modifications de normes et de pratiques scientifiques et sociales, e</w:t>
      </w:r>
      <w:r w:rsidRPr="00011A46">
        <w:rPr>
          <w:lang w:eastAsia="fr-FR" w:bidi="fr-FR"/>
        </w:rPr>
        <w:t>x</w:t>
      </w:r>
      <w:r w:rsidRPr="00011A46">
        <w:rPr>
          <w:lang w:eastAsia="fr-FR" w:bidi="fr-FR"/>
        </w:rPr>
        <w:t>primées par les malades et leurs porte-parole, s'appuient tout autant sur le double discours du risque et de l'appréhension de leur mort a</w:t>
      </w:r>
      <w:r w:rsidRPr="00011A46">
        <w:rPr>
          <w:lang w:eastAsia="fr-FR" w:bidi="fr-FR"/>
        </w:rPr>
        <w:t>n</w:t>
      </w:r>
      <w:r w:rsidRPr="00011A46">
        <w:rPr>
          <w:lang w:eastAsia="fr-FR" w:bidi="fr-FR"/>
        </w:rPr>
        <w:t>noncée. Ils font ainsi a</w:t>
      </w:r>
      <w:r w:rsidRPr="00011A46">
        <w:rPr>
          <w:lang w:eastAsia="fr-FR" w:bidi="fr-FR"/>
        </w:rPr>
        <w:t>p</w:t>
      </w:r>
      <w:r w:rsidRPr="00011A46">
        <w:rPr>
          <w:lang w:eastAsia="fr-FR" w:bidi="fr-FR"/>
        </w:rPr>
        <w:t>pel, en même temps, aux anciens sentiments de compassion, fondement du lien social depuis Rousseau, et à la nouvelle forme de solidarité de la société assurancielle qui individu</w:t>
      </w:r>
      <w:r w:rsidRPr="00011A46">
        <w:rPr>
          <w:lang w:eastAsia="fr-FR" w:bidi="fr-FR"/>
        </w:rPr>
        <w:t>a</w:t>
      </w:r>
      <w:r w:rsidRPr="00011A46">
        <w:rPr>
          <w:lang w:eastAsia="fr-FR" w:bidi="fr-FR"/>
        </w:rPr>
        <w:t>lise sans isoler. Lié au degré de socialisation du risque, mais aussi à la position et à l'organisation des mouvements associatifs gais, ce ph</w:t>
      </w:r>
      <w:r w:rsidRPr="00011A46">
        <w:rPr>
          <w:lang w:eastAsia="fr-FR" w:bidi="fr-FR"/>
        </w:rPr>
        <w:t>é</w:t>
      </w:r>
      <w:r w:rsidRPr="00011A46">
        <w:rPr>
          <w:lang w:eastAsia="fr-FR" w:bidi="fr-FR"/>
        </w:rPr>
        <w:t>nomène est plus fort aux États-Unis qu'au Canada où il a toutefois une résonance considérable. En effet, même si plusieurs associations d'e</w:t>
      </w:r>
      <w:r w:rsidRPr="00011A46">
        <w:rPr>
          <w:lang w:eastAsia="fr-FR" w:bidi="fr-FR"/>
        </w:rPr>
        <w:t>n</w:t>
      </w:r>
      <w:r w:rsidRPr="00011A46">
        <w:rPr>
          <w:lang w:eastAsia="fr-FR" w:bidi="fr-FR"/>
        </w:rPr>
        <w:t>traide se sont formées dans les villes canadiennes, à l'instar de mo</w:t>
      </w:r>
      <w:r w:rsidRPr="00011A46">
        <w:rPr>
          <w:lang w:eastAsia="fr-FR" w:bidi="fr-FR"/>
        </w:rPr>
        <w:t>u</w:t>
      </w:r>
      <w:r w:rsidRPr="00011A46">
        <w:rPr>
          <w:lang w:eastAsia="fr-FR" w:bidi="fr-FR"/>
        </w:rPr>
        <w:t>vements américains, des luttes inter et intragroupes ont limité la po</w:t>
      </w:r>
      <w:r w:rsidRPr="00011A46">
        <w:rPr>
          <w:lang w:eastAsia="fr-FR" w:bidi="fr-FR"/>
        </w:rPr>
        <w:t>r</w:t>
      </w:r>
      <w:r w:rsidRPr="00011A46">
        <w:rPr>
          <w:lang w:eastAsia="fr-FR" w:bidi="fr-FR"/>
        </w:rPr>
        <w:t>tée de leur action politique, à Montréal plus qu'ailleurs, et ont freiné la constitution d'une communauté unie, même limitée au groupe des h</w:t>
      </w:r>
      <w:r w:rsidRPr="00011A46">
        <w:rPr>
          <w:lang w:eastAsia="fr-FR" w:bidi="fr-FR"/>
        </w:rPr>
        <w:t>o</w:t>
      </w:r>
      <w:r w:rsidRPr="00011A46">
        <w:rPr>
          <w:lang w:eastAsia="fr-FR" w:bidi="fr-FR"/>
        </w:rPr>
        <w:t xml:space="preserve">mosexuels. On ne peut pas non plus parler d'une </w:t>
      </w:r>
      <w:r w:rsidRPr="00011A46">
        <w:t>« </w:t>
      </w:r>
      <w:r w:rsidRPr="00011A46">
        <w:rPr>
          <w:lang w:eastAsia="fr-FR" w:bidi="fr-FR"/>
        </w:rPr>
        <w:t>industrie</w:t>
      </w:r>
      <w:r w:rsidRPr="00011A46">
        <w:t> »</w:t>
      </w:r>
      <w:r w:rsidRPr="00011A46">
        <w:rPr>
          <w:lang w:eastAsia="fr-FR" w:bidi="fr-FR"/>
        </w:rPr>
        <w:t xml:space="preserve"> privée des services liés au sida, telle que la décrit Patton (1990) pour les États-Unis, car le système p</w:t>
      </w:r>
      <w:r w:rsidRPr="00011A46">
        <w:rPr>
          <w:lang w:eastAsia="fr-FR" w:bidi="fr-FR"/>
        </w:rPr>
        <w:t>u</w:t>
      </w:r>
      <w:r w:rsidRPr="00011A46">
        <w:rPr>
          <w:lang w:eastAsia="fr-FR" w:bidi="fr-FR"/>
        </w:rPr>
        <w:t>blic de santé au Canada prend en charge une grande partie des frais médicaux. Ceci n'est pas le cas aux États-Unis où bien plus de malades sont démunis et dépendent de l'appui non seulement psychologique et informationnel de ces ass</w:t>
      </w:r>
      <w:r w:rsidRPr="00011A46">
        <w:rPr>
          <w:lang w:eastAsia="fr-FR" w:bidi="fr-FR"/>
        </w:rPr>
        <w:t>o</w:t>
      </w:r>
      <w:r w:rsidRPr="00011A46">
        <w:rPr>
          <w:lang w:eastAsia="fr-FR" w:bidi="fr-FR"/>
        </w:rPr>
        <w:t>ciations, comme nous allons le voir. Finalement, la force de l'opposition amér</w:t>
      </w:r>
      <w:r w:rsidRPr="00011A46">
        <w:rPr>
          <w:lang w:eastAsia="fr-FR" w:bidi="fr-FR"/>
        </w:rPr>
        <w:t>i</w:t>
      </w:r>
      <w:r w:rsidRPr="00011A46">
        <w:rPr>
          <w:lang w:eastAsia="fr-FR" w:bidi="fr-FR"/>
        </w:rPr>
        <w:t>caine à ce que d'aucuns appellent le lobby homosexuel ne peut guère être comparée à la situation can</w:t>
      </w:r>
      <w:r w:rsidRPr="00011A46">
        <w:rPr>
          <w:lang w:eastAsia="fr-FR" w:bidi="fr-FR"/>
        </w:rPr>
        <w:t>a</w:t>
      </w:r>
      <w:r>
        <w:rPr>
          <w:lang w:eastAsia="fr-FR" w:bidi="fr-FR"/>
        </w:rPr>
        <w:t>dienne </w:t>
      </w:r>
      <w:r>
        <w:rPr>
          <w:rStyle w:val="Appelnotedebasdep"/>
          <w:lang w:eastAsia="fr-FR" w:bidi="fr-FR"/>
        </w:rPr>
        <w:footnoteReference w:id="301"/>
      </w:r>
      <w:r w:rsidRPr="00011A46">
        <w:rPr>
          <w:lang w:eastAsia="fr-FR" w:bidi="fr-FR"/>
        </w:rPr>
        <w:t>. L'action volontaire des groupes communautaires gais a toutefois perdu de sa force depuis la fin des années 1980, suite à l'épuisement des</w:t>
      </w:r>
      <w:r>
        <w:rPr>
          <w:lang w:eastAsia="fr-FR" w:bidi="fr-FR"/>
        </w:rPr>
        <w:t xml:space="preserve"> [413] </w:t>
      </w:r>
      <w:r w:rsidRPr="00011A46">
        <w:rPr>
          <w:lang w:eastAsia="fr-FR" w:bidi="fr-FR"/>
        </w:rPr>
        <w:t>activistes et la b</w:t>
      </w:r>
      <w:r w:rsidRPr="00011A46">
        <w:rPr>
          <w:lang w:eastAsia="fr-FR" w:bidi="fr-FR"/>
        </w:rPr>
        <w:t>u</w:t>
      </w:r>
      <w:r w:rsidRPr="00011A46">
        <w:rPr>
          <w:lang w:eastAsia="fr-FR" w:bidi="fr-FR"/>
        </w:rPr>
        <w:t>reaucratisation de leurs mouvements, d'une part, au déplacement de l'épidémie vers d'autres gro</w:t>
      </w:r>
      <w:r w:rsidRPr="00011A46">
        <w:rPr>
          <w:lang w:eastAsia="fr-FR" w:bidi="fr-FR"/>
        </w:rPr>
        <w:t>u</w:t>
      </w:r>
      <w:r w:rsidRPr="00011A46">
        <w:rPr>
          <w:lang w:eastAsia="fr-FR" w:bidi="fr-FR"/>
        </w:rPr>
        <w:t>pes, de l'autre. Tout en tenant compte de ces différences, nous pouvons comparer les cha</w:t>
      </w:r>
      <w:r w:rsidRPr="00011A46">
        <w:rPr>
          <w:lang w:eastAsia="fr-FR" w:bidi="fr-FR"/>
        </w:rPr>
        <w:t>n</w:t>
      </w:r>
      <w:r w:rsidRPr="00011A46">
        <w:rPr>
          <w:lang w:eastAsia="fr-FR" w:bidi="fr-FR"/>
        </w:rPr>
        <w:t>gements normatifs que ces mo</w:t>
      </w:r>
      <w:r w:rsidRPr="00011A46">
        <w:rPr>
          <w:lang w:eastAsia="fr-FR" w:bidi="fr-FR"/>
        </w:rPr>
        <w:t>u</w:t>
      </w:r>
      <w:r w:rsidRPr="00011A46">
        <w:rPr>
          <w:lang w:eastAsia="fr-FR" w:bidi="fr-FR"/>
        </w:rPr>
        <w:t>vements ont contribué à opérer dans les deux pays, alors que leur portée se distingue. Pour ce faire, nous nous concentrons sur la question de la couverture des frais des soins de ceux qui sont a</w:t>
      </w:r>
      <w:r w:rsidRPr="00011A46">
        <w:rPr>
          <w:lang w:eastAsia="fr-FR" w:bidi="fr-FR"/>
        </w:rPr>
        <w:t>t</w:t>
      </w:r>
      <w:r w:rsidRPr="00011A46">
        <w:rPr>
          <w:lang w:eastAsia="fr-FR" w:bidi="fr-FR"/>
        </w:rPr>
        <w:t>teints du sida/HIV.</w:t>
      </w:r>
    </w:p>
    <w:p w:rsidR="00B7214C" w:rsidRDefault="00B7214C" w:rsidP="00B7214C">
      <w:pPr>
        <w:spacing w:before="120" w:after="120"/>
        <w:jc w:val="both"/>
        <w:rPr>
          <w:lang w:eastAsia="fr-FR" w:bidi="fr-FR"/>
        </w:rPr>
      </w:pPr>
      <w:r>
        <w:rPr>
          <w:lang w:eastAsia="fr-FR" w:bidi="fr-FR"/>
        </w:rPr>
        <w:br w:type="page"/>
      </w:r>
    </w:p>
    <w:p w:rsidR="00B7214C" w:rsidRPr="00011A46" w:rsidRDefault="00B7214C" w:rsidP="00B7214C">
      <w:pPr>
        <w:pStyle w:val="a"/>
      </w:pPr>
      <w:r w:rsidRPr="00011A46">
        <w:rPr>
          <w:lang w:eastAsia="fr-FR" w:bidi="fr-FR"/>
        </w:rPr>
        <w:t>LA COUVERTURE DU RISQUE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Si l'implosion des coûts dans les systèmes de santé cara</w:t>
      </w:r>
      <w:r w:rsidRPr="00011A46">
        <w:rPr>
          <w:lang w:eastAsia="fr-FR" w:bidi="fr-FR"/>
        </w:rPr>
        <w:t>c</w:t>
      </w:r>
      <w:r w:rsidRPr="00011A46">
        <w:rPr>
          <w:lang w:eastAsia="fr-FR" w:bidi="fr-FR"/>
        </w:rPr>
        <w:t>térise la situation tant au Canada qu'aux États-Unis, l'irru</w:t>
      </w:r>
      <w:r w:rsidRPr="00011A46">
        <w:rPr>
          <w:lang w:eastAsia="fr-FR" w:bidi="fr-FR"/>
        </w:rPr>
        <w:t>p</w:t>
      </w:r>
      <w:r w:rsidRPr="00011A46">
        <w:rPr>
          <w:lang w:eastAsia="fr-FR" w:bidi="fr-FR"/>
        </w:rPr>
        <w:t>tion d'une nouvelle épidémie a exacerbé, dans les deux pays, des tendances opposées, sans pourtant provoquer de changements radicaux. Les questions so</w:t>
      </w:r>
      <w:r w:rsidRPr="00011A46">
        <w:rPr>
          <w:lang w:eastAsia="fr-FR" w:bidi="fr-FR"/>
        </w:rPr>
        <w:t>u</w:t>
      </w:r>
      <w:r w:rsidRPr="00011A46">
        <w:rPr>
          <w:lang w:eastAsia="fr-FR" w:bidi="fr-FR"/>
        </w:rPr>
        <w:t>levées dépassent, bien sûr, le seul cadre du sida. Elles renvoient à la distribution du ri</w:t>
      </w:r>
      <w:r w:rsidRPr="00011A46">
        <w:rPr>
          <w:lang w:eastAsia="fr-FR" w:bidi="fr-FR"/>
        </w:rPr>
        <w:t>s</w:t>
      </w:r>
      <w:r w:rsidRPr="00011A46">
        <w:rPr>
          <w:lang w:eastAsia="fr-FR" w:bidi="fr-FR"/>
        </w:rPr>
        <w:t>que, au dilemme de l'inclusion et de l'exclusion de ceux qui seront assurés et à la définition des frontières de la comm</w:t>
      </w:r>
      <w:r w:rsidRPr="00011A46">
        <w:rPr>
          <w:lang w:eastAsia="fr-FR" w:bidi="fr-FR"/>
        </w:rPr>
        <w:t>u</w:t>
      </w:r>
      <w:r w:rsidRPr="00011A46">
        <w:rPr>
          <w:lang w:eastAsia="fr-FR" w:bidi="fr-FR"/>
        </w:rPr>
        <w:t>nauté. Or, même si le sida s'est avéré une maladie coûteuse, les prév</w:t>
      </w:r>
      <w:r w:rsidRPr="00011A46">
        <w:rPr>
          <w:lang w:eastAsia="fr-FR" w:bidi="fr-FR"/>
        </w:rPr>
        <w:t>i</w:t>
      </w:r>
      <w:r w:rsidRPr="00011A46">
        <w:rPr>
          <w:lang w:eastAsia="fr-FR" w:bidi="fr-FR"/>
        </w:rPr>
        <w:t>sions de coûts exorbitants qu'occasionnerait son tra</w:t>
      </w:r>
      <w:r w:rsidRPr="00011A46">
        <w:rPr>
          <w:lang w:eastAsia="fr-FR" w:bidi="fr-FR"/>
        </w:rPr>
        <w:t>i</w:t>
      </w:r>
      <w:r w:rsidRPr="00011A46">
        <w:rPr>
          <w:lang w:eastAsia="fr-FR" w:bidi="fr-FR"/>
        </w:rPr>
        <w:t>tement ne se sont pas confirmées</w:t>
      </w:r>
      <w:r w:rsidRPr="00011A46">
        <w:t> ;</w:t>
      </w:r>
      <w:r w:rsidRPr="00011A46">
        <w:rPr>
          <w:lang w:eastAsia="fr-FR" w:bidi="fr-FR"/>
        </w:rPr>
        <w:t xml:space="preserve"> ils sont en fait souvent moins élevés par patient ou comparables à ceux d'autres m</w:t>
      </w:r>
      <w:r w:rsidRPr="00011A46">
        <w:rPr>
          <w:lang w:eastAsia="fr-FR" w:bidi="fr-FR"/>
        </w:rPr>
        <w:t>a</w:t>
      </w:r>
      <w:r w:rsidRPr="00011A46">
        <w:rPr>
          <w:lang w:eastAsia="fr-FR" w:bidi="fr-FR"/>
        </w:rPr>
        <w:t xml:space="preserve">ladies </w:t>
      </w:r>
      <w:r w:rsidRPr="00011A46">
        <w:t>« </w:t>
      </w:r>
      <w:r w:rsidRPr="00011A46">
        <w:rPr>
          <w:lang w:eastAsia="fr-FR" w:bidi="fr-FR"/>
        </w:rPr>
        <w:t>catastrophiques</w:t>
      </w:r>
      <w:r w:rsidRPr="00011A46">
        <w:t> »</w:t>
      </w:r>
      <w:r w:rsidRPr="00011A46">
        <w:rPr>
          <w:lang w:eastAsia="fr-FR" w:bidi="fr-FR"/>
        </w:rPr>
        <w:t>. Ceci a été dû, en partie, aux bénévoles des mouvements associatifs qui donn</w:t>
      </w:r>
      <w:r w:rsidRPr="00011A46">
        <w:rPr>
          <w:lang w:eastAsia="fr-FR" w:bidi="fr-FR"/>
        </w:rPr>
        <w:t>è</w:t>
      </w:r>
      <w:r w:rsidRPr="00011A46">
        <w:rPr>
          <w:lang w:eastAsia="fr-FR" w:bidi="fr-FR"/>
        </w:rPr>
        <w:t>rent de leur temps et réduisirent ainsi les charges financières du sy</w:t>
      </w:r>
      <w:r w:rsidRPr="00011A46">
        <w:rPr>
          <w:lang w:eastAsia="fr-FR" w:bidi="fr-FR"/>
        </w:rPr>
        <w:t>s</w:t>
      </w:r>
      <w:r w:rsidRPr="00011A46">
        <w:rPr>
          <w:lang w:eastAsia="fr-FR" w:bidi="fr-FR"/>
        </w:rPr>
        <w:t>tème de santé publique tout autant que celles des assureurs privés. Le déplacement de l'épidémie vers les marges pauvres de la société est en train de changer cette situation. C'est donc dire que le sida est moins un problème de coûts que de financ</w:t>
      </w:r>
      <w:r w:rsidRPr="00011A46">
        <w:rPr>
          <w:lang w:eastAsia="fr-FR" w:bidi="fr-FR"/>
        </w:rPr>
        <w:t>e</w:t>
      </w:r>
      <w:r w:rsidRPr="00011A46">
        <w:rPr>
          <w:lang w:eastAsia="fr-FR" w:bidi="fr-FR"/>
        </w:rPr>
        <w:t>ment</w:t>
      </w:r>
      <w:r>
        <w:rPr>
          <w:lang w:eastAsia="fr-FR" w:bidi="fr-FR"/>
        </w:rPr>
        <w:t> </w:t>
      </w:r>
      <w:r>
        <w:rPr>
          <w:rStyle w:val="Appelnotedebasdep"/>
          <w:lang w:eastAsia="fr-FR" w:bidi="fr-FR"/>
        </w:rPr>
        <w:footnoteReference w:id="302"/>
      </w:r>
      <w:r w:rsidRPr="00011A46">
        <w:rPr>
          <w:lang w:eastAsia="fr-FR" w:bidi="fr-FR"/>
        </w:rPr>
        <w:t>.</w:t>
      </w:r>
    </w:p>
    <w:p w:rsidR="00B7214C" w:rsidRDefault="00B7214C" w:rsidP="00B7214C">
      <w:pPr>
        <w:spacing w:before="120" w:after="120"/>
        <w:jc w:val="both"/>
        <w:rPr>
          <w:lang w:eastAsia="fr-FR" w:bidi="fr-FR"/>
        </w:rPr>
      </w:pPr>
      <w:r w:rsidRPr="00011A46">
        <w:rPr>
          <w:lang w:eastAsia="fr-FR" w:bidi="fr-FR"/>
        </w:rPr>
        <w:t>Le débat est plus aigu aux États-Unis, où le sida a dévoilé ce que Padgug et Oppenheimer (1990) appellent une double crise de la co</w:t>
      </w:r>
      <w:r w:rsidRPr="00011A46">
        <w:rPr>
          <w:lang w:eastAsia="fr-FR" w:bidi="fr-FR"/>
        </w:rPr>
        <w:t>m</w:t>
      </w:r>
      <w:r w:rsidRPr="00011A46">
        <w:rPr>
          <w:lang w:eastAsia="fr-FR" w:bidi="fr-FR"/>
        </w:rPr>
        <w:t>munauté</w:t>
      </w:r>
      <w:r w:rsidRPr="00011A46">
        <w:t> :</w:t>
      </w:r>
      <w:r w:rsidRPr="00011A46">
        <w:rPr>
          <w:lang w:eastAsia="fr-FR" w:bidi="fr-FR"/>
        </w:rPr>
        <w:t xml:space="preserve"> la détermination de critères d'incl</w:t>
      </w:r>
      <w:r w:rsidRPr="00011A46">
        <w:rPr>
          <w:lang w:eastAsia="fr-FR" w:bidi="fr-FR"/>
        </w:rPr>
        <w:t>u</w:t>
      </w:r>
      <w:r w:rsidRPr="00011A46">
        <w:rPr>
          <w:lang w:eastAsia="fr-FR" w:bidi="fr-FR"/>
        </w:rPr>
        <w:t>sion dans la population couverte par une assurance, d'une part, et la marginalisation de ce</w:t>
      </w:r>
      <w:r w:rsidRPr="00011A46">
        <w:rPr>
          <w:lang w:eastAsia="fr-FR" w:bidi="fr-FR"/>
        </w:rPr>
        <w:t>r</w:t>
      </w:r>
      <w:r w:rsidRPr="00011A46">
        <w:rPr>
          <w:lang w:eastAsia="fr-FR" w:bidi="fr-FR"/>
        </w:rPr>
        <w:t>tains groupes dans la société américaine, de l'autre. Il faut rappeler brièvement que l'évol</w:t>
      </w:r>
      <w:r w:rsidRPr="00011A46">
        <w:rPr>
          <w:lang w:eastAsia="fr-FR" w:bidi="fr-FR"/>
        </w:rPr>
        <w:t>u</w:t>
      </w:r>
      <w:r w:rsidRPr="00011A46">
        <w:rPr>
          <w:lang w:eastAsia="fr-FR" w:bidi="fr-FR"/>
        </w:rPr>
        <w:t>tion de l'assurance-santé aux États-Unis hit graduelle. En dépit d'efforts constants vers un éventuel système nati</w:t>
      </w:r>
      <w:r w:rsidRPr="00011A46">
        <w:rPr>
          <w:lang w:eastAsia="fr-FR" w:bidi="fr-FR"/>
        </w:rPr>
        <w:t>o</w:t>
      </w:r>
      <w:r w:rsidRPr="00011A46">
        <w:rPr>
          <w:lang w:eastAsia="fr-FR" w:bidi="fr-FR"/>
        </w:rPr>
        <w:t>nal, pr</w:t>
      </w:r>
      <w:r w:rsidRPr="00011A46">
        <w:rPr>
          <w:lang w:eastAsia="fr-FR" w:bidi="fr-FR"/>
        </w:rPr>
        <w:t>o</w:t>
      </w:r>
      <w:r w:rsidRPr="00011A46">
        <w:rPr>
          <w:lang w:eastAsia="fr-FR" w:bidi="fr-FR"/>
        </w:rPr>
        <w:t xml:space="preserve">posé à maintes reprises depuis 1912, la couverture des frais médicaux constitue encore un </w:t>
      </w:r>
      <w:r w:rsidRPr="000D1A32">
        <w:rPr>
          <w:i/>
          <w:iCs/>
        </w:rPr>
        <w:t>patchwork</w:t>
      </w:r>
      <w:r w:rsidRPr="00011A46">
        <w:rPr>
          <w:lang w:eastAsia="fr-FR" w:bidi="fr-FR"/>
        </w:rPr>
        <w:t xml:space="preserve"> composé avant tout d'ass</w:t>
      </w:r>
      <w:r w:rsidRPr="00011A46">
        <w:rPr>
          <w:lang w:eastAsia="fr-FR" w:bidi="fr-FR"/>
        </w:rPr>
        <w:t>u</w:t>
      </w:r>
      <w:r w:rsidRPr="00011A46">
        <w:rPr>
          <w:lang w:eastAsia="fr-FR" w:bidi="fr-FR"/>
        </w:rPr>
        <w:t>rances privées, sous diverses formes</w:t>
      </w:r>
      <w:r>
        <w:rPr>
          <w:lang w:eastAsia="fr-FR" w:bidi="fr-FR"/>
        </w:rPr>
        <w:t> </w:t>
      </w:r>
      <w:r>
        <w:rPr>
          <w:rStyle w:val="Appelnotedebasdep"/>
          <w:lang w:eastAsia="fr-FR" w:bidi="fr-FR"/>
        </w:rPr>
        <w:footnoteReference w:id="303"/>
      </w:r>
      <w:r w:rsidRPr="00011A46">
        <w:rPr>
          <w:lang w:eastAsia="fr-FR" w:bidi="fr-FR"/>
        </w:rPr>
        <w:t>, et subsidiairement du pr</w:t>
      </w:r>
      <w:r w:rsidRPr="00011A46">
        <w:rPr>
          <w:lang w:eastAsia="fr-FR" w:bidi="fr-FR"/>
        </w:rPr>
        <w:t>o</w:t>
      </w:r>
      <w:r w:rsidRPr="00011A46">
        <w:rPr>
          <w:lang w:eastAsia="fr-FR" w:bidi="fr-FR"/>
        </w:rPr>
        <w:t xml:space="preserve">gramme </w:t>
      </w:r>
      <w:r w:rsidRPr="00A75CE6">
        <w:rPr>
          <w:i/>
          <w:iCs/>
        </w:rPr>
        <w:t>Medicare</w:t>
      </w:r>
      <w:r w:rsidRPr="00011A46">
        <w:rPr>
          <w:lang w:eastAsia="fr-FR" w:bidi="fr-FR"/>
        </w:rPr>
        <w:t xml:space="preserve"> fédéral</w:t>
      </w:r>
      <w:r>
        <w:rPr>
          <w:lang w:eastAsia="fr-FR" w:bidi="fr-FR"/>
        </w:rPr>
        <w:t> </w:t>
      </w:r>
      <w:r>
        <w:rPr>
          <w:rStyle w:val="Appelnotedebasdep"/>
          <w:lang w:eastAsia="fr-FR" w:bidi="fr-FR"/>
        </w:rPr>
        <w:footnoteReference w:id="304"/>
      </w:r>
      <w:r w:rsidRPr="00011A46">
        <w:rPr>
          <w:lang w:eastAsia="fr-FR" w:bidi="fr-FR"/>
        </w:rPr>
        <w:t xml:space="preserve"> et des différents pr</w:t>
      </w:r>
      <w:r w:rsidRPr="00011A46">
        <w:rPr>
          <w:lang w:eastAsia="fr-FR" w:bidi="fr-FR"/>
        </w:rPr>
        <w:t>o</w:t>
      </w:r>
      <w:r w:rsidRPr="00011A46">
        <w:rPr>
          <w:lang w:eastAsia="fr-FR" w:bidi="fr-FR"/>
        </w:rPr>
        <w:t xml:space="preserve">grammes </w:t>
      </w:r>
      <w:r w:rsidRPr="00A75CE6">
        <w:rPr>
          <w:lang w:eastAsia="fr-FR" w:bidi="fr-FR"/>
        </w:rPr>
        <w:t>Medicaid</w:t>
      </w:r>
      <w:r w:rsidRPr="00011A46">
        <w:rPr>
          <w:lang w:eastAsia="fr-FR" w:bidi="fr-FR"/>
        </w:rPr>
        <w:t xml:space="preserve"> des États</w:t>
      </w:r>
      <w:r>
        <w:rPr>
          <w:lang w:eastAsia="fr-FR" w:bidi="fr-FR"/>
        </w:rPr>
        <w:t> </w:t>
      </w:r>
      <w:r>
        <w:rPr>
          <w:rStyle w:val="Appelnotedebasdep"/>
          <w:lang w:eastAsia="fr-FR" w:bidi="fr-FR"/>
        </w:rPr>
        <w:footnoteReference w:id="305"/>
      </w:r>
      <w:r w:rsidRPr="00011A46">
        <w:rPr>
          <w:lang w:eastAsia="fr-FR" w:bidi="fr-FR"/>
        </w:rPr>
        <w:t>. De façon générale, 155 millions d'Américains sont ainsi assurés ind</w:t>
      </w:r>
      <w:r w:rsidRPr="00011A46">
        <w:rPr>
          <w:lang w:eastAsia="fr-FR" w:bidi="fr-FR"/>
        </w:rPr>
        <w:t>i</w:t>
      </w:r>
      <w:r w:rsidRPr="00011A46">
        <w:rPr>
          <w:lang w:eastAsia="fr-FR" w:bidi="fr-FR"/>
        </w:rPr>
        <w:t>viduellement ou par leurs employeurs - qui jouissent alors d'avantages fiscaux -, tandis que 35 millions ne sont couverts ni par une assura</w:t>
      </w:r>
      <w:r w:rsidRPr="00011A46">
        <w:rPr>
          <w:lang w:eastAsia="fr-FR" w:bidi="fr-FR"/>
        </w:rPr>
        <w:t>n</w:t>
      </w:r>
      <w:r w:rsidRPr="00011A46">
        <w:rPr>
          <w:lang w:eastAsia="fr-FR" w:bidi="fr-FR"/>
        </w:rPr>
        <w:t xml:space="preserve">ce-maladie privée ni par </w:t>
      </w:r>
      <w:r w:rsidRPr="00703563">
        <w:rPr>
          <w:i/>
          <w:iCs/>
        </w:rPr>
        <w:t>Medicare</w:t>
      </w:r>
      <w:r w:rsidRPr="00011A46">
        <w:rPr>
          <w:lang w:eastAsia="fr-FR" w:bidi="fr-FR"/>
        </w:rPr>
        <w:t xml:space="preserve"> ou </w:t>
      </w:r>
      <w:r w:rsidRPr="00703563">
        <w:rPr>
          <w:i/>
          <w:iCs/>
        </w:rPr>
        <w:t>Medicaid</w:t>
      </w:r>
      <w:r w:rsidRPr="00011A46">
        <w:rPr>
          <w:lang w:eastAsia="fr-FR" w:bidi="fr-FR"/>
        </w:rPr>
        <w:t xml:space="preserve"> (voir Greely, 1989, </w:t>
      </w:r>
      <w:r>
        <w:rPr>
          <w:lang w:eastAsia="fr-FR" w:bidi="fr-FR"/>
        </w:rPr>
        <w:t>p</w:t>
      </w:r>
      <w:r w:rsidRPr="00011A46">
        <w:rPr>
          <w:lang w:eastAsia="fr-FR" w:bidi="fr-FR"/>
        </w:rPr>
        <w:t>p. 88-90).</w:t>
      </w:r>
    </w:p>
    <w:p w:rsidR="00B7214C" w:rsidRPr="00011A46" w:rsidRDefault="00B7214C" w:rsidP="00B7214C">
      <w:pPr>
        <w:spacing w:before="120" w:after="120"/>
        <w:jc w:val="both"/>
        <w:rPr>
          <w:lang w:eastAsia="fr-FR" w:bidi="fr-FR"/>
        </w:rPr>
      </w:pPr>
      <w:r w:rsidRPr="00A75CE6">
        <w:t>[414]</w:t>
      </w:r>
    </w:p>
    <w:p w:rsidR="00B7214C" w:rsidRPr="00011A46" w:rsidRDefault="00B7214C" w:rsidP="00B7214C">
      <w:pPr>
        <w:spacing w:before="120" w:after="120"/>
        <w:jc w:val="both"/>
      </w:pPr>
      <w:r w:rsidRPr="00011A46">
        <w:rPr>
          <w:lang w:eastAsia="fr-FR" w:bidi="fr-FR"/>
        </w:rPr>
        <w:t>Le calcul des primes des assurances privées s'effectuait d'abord à partir de l'ensemble de la population couverte (</w:t>
      </w:r>
      <w:r w:rsidRPr="00703563">
        <w:rPr>
          <w:i/>
          <w:iCs/>
        </w:rPr>
        <w:t>community rating),</w:t>
      </w:r>
      <w:r w:rsidRPr="00011A46">
        <w:rPr>
          <w:lang w:eastAsia="fr-FR" w:bidi="fr-FR"/>
        </w:rPr>
        <w:t xml:space="preserve"> mais depuis que l'assurance est de plus en plus reliée à l'emploi, le groupe spécifique des travailleurs en est devenu la base (</w:t>
      </w:r>
      <w:r w:rsidRPr="00703563">
        <w:rPr>
          <w:i/>
          <w:iCs/>
        </w:rPr>
        <w:t>exp</w:t>
      </w:r>
      <w:r>
        <w:rPr>
          <w:i/>
          <w:iCs/>
        </w:rPr>
        <w:t>e</w:t>
      </w:r>
      <w:r w:rsidRPr="00703563">
        <w:rPr>
          <w:i/>
          <w:iCs/>
        </w:rPr>
        <w:t>rience rating).</w:t>
      </w:r>
      <w:r w:rsidRPr="00011A46">
        <w:rPr>
          <w:lang w:eastAsia="fr-FR" w:bidi="fr-FR"/>
        </w:rPr>
        <w:t xml:space="preserve"> Parallèlement, les employeurs commencèrent à assumer dire</w:t>
      </w:r>
      <w:r w:rsidRPr="00011A46">
        <w:rPr>
          <w:lang w:eastAsia="fr-FR" w:bidi="fr-FR"/>
        </w:rPr>
        <w:t>c</w:t>
      </w:r>
      <w:r w:rsidRPr="00011A46">
        <w:rPr>
          <w:lang w:eastAsia="fr-FR" w:bidi="fr-FR"/>
        </w:rPr>
        <w:t>tement les coûts de santé de leurs employés, d'abord seuls, ensuite en les pa</w:t>
      </w:r>
      <w:r w:rsidRPr="00011A46">
        <w:rPr>
          <w:lang w:eastAsia="fr-FR" w:bidi="fr-FR"/>
        </w:rPr>
        <w:t>r</w:t>
      </w:r>
      <w:r w:rsidRPr="00011A46">
        <w:rPr>
          <w:lang w:eastAsia="fr-FR" w:bidi="fr-FR"/>
        </w:rPr>
        <w:t xml:space="preserve">tageant avec eux. De cette manière, la base de la population sur laquelle se répartissent les risques n'a fait que se rétrécir et le nombre des exclus s'est agrandi. C'est dans ce contexte que les programmes </w:t>
      </w:r>
      <w:r w:rsidRPr="00703563">
        <w:rPr>
          <w:i/>
          <w:iCs/>
        </w:rPr>
        <w:t>Medicare</w:t>
      </w:r>
      <w:r w:rsidRPr="00011A46">
        <w:rPr>
          <w:lang w:eastAsia="fr-FR" w:bidi="fr-FR"/>
        </w:rPr>
        <w:t xml:space="preserve"> et </w:t>
      </w:r>
      <w:r w:rsidRPr="00703563">
        <w:rPr>
          <w:i/>
          <w:iCs/>
        </w:rPr>
        <w:t>Medicaid</w:t>
      </w:r>
      <w:r w:rsidRPr="00011A46">
        <w:rPr>
          <w:lang w:eastAsia="fr-FR" w:bidi="fr-FR"/>
        </w:rPr>
        <w:t xml:space="preserve"> ont été créés pour pallier à l'absence d'une un</w:t>
      </w:r>
      <w:r w:rsidRPr="00011A46">
        <w:rPr>
          <w:lang w:eastAsia="fr-FR" w:bidi="fr-FR"/>
        </w:rPr>
        <w:t>i</w:t>
      </w:r>
      <w:r w:rsidRPr="00011A46">
        <w:rPr>
          <w:lang w:eastAsia="fr-FR" w:bidi="fr-FR"/>
        </w:rPr>
        <w:t>versalité des soins. L'accroiss</w:t>
      </w:r>
      <w:r w:rsidRPr="00011A46">
        <w:rPr>
          <w:lang w:eastAsia="fr-FR" w:bidi="fr-FR"/>
        </w:rPr>
        <w:t>e</w:t>
      </w:r>
      <w:r w:rsidRPr="00011A46">
        <w:rPr>
          <w:lang w:eastAsia="fr-FR" w:bidi="fr-FR"/>
        </w:rPr>
        <w:t>ment des coûts de santé vers la fin des années 1970 a coïncidé avec l'apparition du sida qui sera pr</w:t>
      </w:r>
      <w:r w:rsidRPr="00011A46">
        <w:rPr>
          <w:lang w:eastAsia="fr-FR" w:bidi="fr-FR"/>
        </w:rPr>
        <w:t>é</w:t>
      </w:r>
      <w:r w:rsidRPr="00011A46">
        <w:rPr>
          <w:lang w:eastAsia="fr-FR" w:bidi="fr-FR"/>
        </w:rPr>
        <w:t>senté, par les assureurs, comme une menace grave au système de f</w:t>
      </w:r>
      <w:r w:rsidRPr="00011A46">
        <w:rPr>
          <w:lang w:eastAsia="fr-FR" w:bidi="fr-FR"/>
        </w:rPr>
        <w:t>i</w:t>
      </w:r>
      <w:r w:rsidRPr="00011A46">
        <w:rPr>
          <w:lang w:eastAsia="fr-FR" w:bidi="fr-FR"/>
        </w:rPr>
        <w:t>nancement des soins de santé. Ce fut le début d'une longue controve</w:t>
      </w:r>
      <w:r w:rsidRPr="00011A46">
        <w:rPr>
          <w:lang w:eastAsia="fr-FR" w:bidi="fr-FR"/>
        </w:rPr>
        <w:t>r</w:t>
      </w:r>
      <w:r w:rsidRPr="00011A46">
        <w:rPr>
          <w:lang w:eastAsia="fr-FR" w:bidi="fr-FR"/>
        </w:rPr>
        <w:t>se, entre les mouvements de défense des droits des personnes infe</w:t>
      </w:r>
      <w:r w:rsidRPr="00011A46">
        <w:rPr>
          <w:lang w:eastAsia="fr-FR" w:bidi="fr-FR"/>
        </w:rPr>
        <w:t>c</w:t>
      </w:r>
      <w:r w:rsidRPr="00011A46">
        <w:rPr>
          <w:lang w:eastAsia="fr-FR" w:bidi="fr-FR"/>
        </w:rPr>
        <w:t>tées par le VIH et l'industrie des assurances. Elle portait d'abord sur l'efficacité et la légalité de tests obligatoires de dépistage du virus, ensuite sur la pr</w:t>
      </w:r>
      <w:r w:rsidRPr="00011A46">
        <w:rPr>
          <w:lang w:eastAsia="fr-FR" w:bidi="fr-FR"/>
        </w:rPr>
        <w:t>o</w:t>
      </w:r>
      <w:r w:rsidRPr="00011A46">
        <w:rPr>
          <w:lang w:eastAsia="fr-FR" w:bidi="fr-FR"/>
        </w:rPr>
        <w:t xml:space="preserve">tection de la vie privée menacée par les questions concernant le </w:t>
      </w:r>
      <w:r w:rsidRPr="00011A46">
        <w:t>« </w:t>
      </w:r>
      <w:r w:rsidRPr="00011A46">
        <w:rPr>
          <w:lang w:eastAsia="fr-FR" w:bidi="fr-FR"/>
        </w:rPr>
        <w:t>style de vie</w:t>
      </w:r>
      <w:r w:rsidRPr="00011A46">
        <w:t> »</w:t>
      </w:r>
      <w:r w:rsidRPr="00011A46">
        <w:rPr>
          <w:lang w:eastAsia="fr-FR" w:bidi="fr-FR"/>
        </w:rPr>
        <w:t xml:space="preserve"> des candidats dans les formulaires d'év</w:t>
      </w:r>
      <w:r w:rsidRPr="00011A46">
        <w:rPr>
          <w:lang w:eastAsia="fr-FR" w:bidi="fr-FR"/>
        </w:rPr>
        <w:t>a</w:t>
      </w:r>
      <w:r w:rsidRPr="00011A46">
        <w:rPr>
          <w:lang w:eastAsia="fr-FR" w:bidi="fr-FR"/>
        </w:rPr>
        <w:t>luation. Or, malgré quelques victoires des groupes militants, vers la fin de la première d</w:t>
      </w:r>
      <w:r w:rsidRPr="00011A46">
        <w:rPr>
          <w:lang w:eastAsia="fr-FR" w:bidi="fr-FR"/>
        </w:rPr>
        <w:t>é</w:t>
      </w:r>
      <w:r w:rsidRPr="00011A46">
        <w:rPr>
          <w:lang w:eastAsia="fr-FR" w:bidi="fr-FR"/>
        </w:rPr>
        <w:t>cennie, seule la Californie maintenait son interdiction des tests de d</w:t>
      </w:r>
      <w:r w:rsidRPr="00011A46">
        <w:rPr>
          <w:lang w:eastAsia="fr-FR" w:bidi="fr-FR"/>
        </w:rPr>
        <w:t>é</w:t>
      </w:r>
      <w:r w:rsidRPr="00011A46">
        <w:rPr>
          <w:lang w:eastAsia="fr-FR" w:bidi="fr-FR"/>
        </w:rPr>
        <w:t>pistage des anticorps au VIH pour ceux qui d</w:t>
      </w:r>
      <w:r w:rsidRPr="00011A46">
        <w:rPr>
          <w:lang w:eastAsia="fr-FR" w:bidi="fr-FR"/>
        </w:rPr>
        <w:t>e</w:t>
      </w:r>
      <w:r w:rsidRPr="00011A46">
        <w:rPr>
          <w:lang w:eastAsia="fr-FR" w:bidi="fr-FR"/>
        </w:rPr>
        <w:t>mandent à souscrire une assurance (Bruner, 1992, p. 1123). Elle aussi a dû changer cette pos</w:t>
      </w:r>
      <w:r w:rsidRPr="00011A46">
        <w:rPr>
          <w:lang w:eastAsia="fr-FR" w:bidi="fr-FR"/>
        </w:rPr>
        <w:t>i</w:t>
      </w:r>
      <w:r w:rsidRPr="00011A46">
        <w:rPr>
          <w:lang w:eastAsia="fr-FR" w:bidi="fr-FR"/>
        </w:rPr>
        <w:t>tion depuis (Jonson et Stryker, 1993). Quant aux questions discrimin</w:t>
      </w:r>
      <w:r w:rsidRPr="00011A46">
        <w:rPr>
          <w:lang w:eastAsia="fr-FR" w:bidi="fr-FR"/>
        </w:rPr>
        <w:t>a</w:t>
      </w:r>
      <w:r w:rsidRPr="00011A46">
        <w:rPr>
          <w:lang w:eastAsia="fr-FR" w:bidi="fr-FR"/>
        </w:rPr>
        <w:t>toires sur l'orient</w:t>
      </w:r>
      <w:r w:rsidRPr="00011A46">
        <w:rPr>
          <w:lang w:eastAsia="fr-FR" w:bidi="fr-FR"/>
        </w:rPr>
        <w:t>a</w:t>
      </w:r>
      <w:r w:rsidRPr="00011A46">
        <w:rPr>
          <w:lang w:eastAsia="fr-FR" w:bidi="fr-FR"/>
        </w:rPr>
        <w:t>tion sexuelle, elles ont été éliminées, tandis que les assureurs tiennent désormais compte d'ind</w:t>
      </w:r>
      <w:r w:rsidRPr="00011A46">
        <w:rPr>
          <w:lang w:eastAsia="fr-FR" w:bidi="fr-FR"/>
        </w:rPr>
        <w:t>i</w:t>
      </w:r>
      <w:r w:rsidRPr="00011A46">
        <w:rPr>
          <w:lang w:eastAsia="fr-FR" w:bidi="fr-FR"/>
        </w:rPr>
        <w:t>cateurs tels que l'état civil, la profession ou encore le lieu de réside</w:t>
      </w:r>
      <w:r w:rsidRPr="00011A46">
        <w:rPr>
          <w:lang w:eastAsia="fr-FR" w:bidi="fr-FR"/>
        </w:rPr>
        <w:t>n</w:t>
      </w:r>
      <w:r w:rsidRPr="00011A46">
        <w:rPr>
          <w:lang w:eastAsia="fr-FR" w:bidi="fr-FR"/>
        </w:rPr>
        <w:t>ce, s'ils ne décident pas de fermer leurs succursales dans des r</w:t>
      </w:r>
      <w:r w:rsidRPr="00011A46">
        <w:rPr>
          <w:lang w:eastAsia="fr-FR" w:bidi="fr-FR"/>
        </w:rPr>
        <w:t>é</w:t>
      </w:r>
      <w:r w:rsidRPr="00011A46">
        <w:rPr>
          <w:lang w:eastAsia="fr-FR" w:bidi="fr-FR"/>
        </w:rPr>
        <w:t xml:space="preserve">gions </w:t>
      </w:r>
      <w:r w:rsidRPr="00011A46">
        <w:t>« </w:t>
      </w:r>
      <w:r w:rsidRPr="00011A46">
        <w:rPr>
          <w:lang w:eastAsia="fr-FR" w:bidi="fr-FR"/>
        </w:rPr>
        <w:t>à risque</w:t>
      </w:r>
      <w:r w:rsidRPr="00011A46">
        <w:t> »</w:t>
      </w:r>
      <w:r w:rsidRPr="00011A46">
        <w:rPr>
          <w:lang w:eastAsia="fr-FR" w:bidi="fr-FR"/>
        </w:rPr>
        <w:t>, comme San Francisco.</w:t>
      </w:r>
    </w:p>
    <w:p w:rsidR="00B7214C" w:rsidRPr="00011A46" w:rsidRDefault="00B7214C" w:rsidP="00B7214C">
      <w:pPr>
        <w:spacing w:before="120" w:after="120"/>
        <w:jc w:val="both"/>
        <w:rPr>
          <w:lang w:eastAsia="fr-FR" w:bidi="fr-FR"/>
        </w:rPr>
      </w:pPr>
      <w:r w:rsidRPr="00011A46">
        <w:rPr>
          <w:lang w:eastAsia="fr-FR" w:bidi="fr-FR"/>
        </w:rPr>
        <w:t>Les employeurs, de leur côté, opteront de plus en plus pour les plans auto-assurés</w:t>
      </w:r>
      <w:r>
        <w:rPr>
          <w:lang w:eastAsia="fr-FR" w:bidi="fr-FR"/>
        </w:rPr>
        <w:t> </w:t>
      </w:r>
      <w:r>
        <w:rPr>
          <w:rStyle w:val="Appelnotedebasdep"/>
          <w:lang w:eastAsia="fr-FR" w:bidi="fr-FR"/>
        </w:rPr>
        <w:footnoteReference w:id="306"/>
      </w:r>
      <w:r w:rsidRPr="00011A46">
        <w:rPr>
          <w:lang w:eastAsia="fr-FR" w:bidi="fr-FR"/>
        </w:rPr>
        <w:t xml:space="preserve"> et tenteront de limiter le risque en maintenant ou en constituant des groupes d'employés h</w:t>
      </w:r>
      <w:r w:rsidRPr="00011A46">
        <w:rPr>
          <w:lang w:eastAsia="fr-FR" w:bidi="fr-FR"/>
        </w:rPr>
        <w:t>o</w:t>
      </w:r>
      <w:r w:rsidRPr="00011A46">
        <w:rPr>
          <w:lang w:eastAsia="fr-FR" w:bidi="fr-FR"/>
        </w:rPr>
        <w:t>mogènes - l'homogénéité allant dans le sens de la jeunesse et du bon état de santé des salariés. Par ailleurs, la jurisprudence américaine a montré depuis que ces plans ne présentent pas seulement des avantages financiers mais aussi juridiques pour les employeurs puisqu'ils permettent de contourner tant les lois régissant les compagnies d'assurances que celles des États qui protègent les employés contre la discrimination en matière d'ava</w:t>
      </w:r>
      <w:r w:rsidRPr="00011A46">
        <w:rPr>
          <w:lang w:eastAsia="fr-FR" w:bidi="fr-FR"/>
        </w:rPr>
        <w:t>n</w:t>
      </w:r>
      <w:r w:rsidRPr="00011A46">
        <w:rPr>
          <w:lang w:eastAsia="fr-FR" w:bidi="fr-FR"/>
        </w:rPr>
        <w:t xml:space="preserve">tages sociaux. C'est du moins ce qu'a confirmé un arrêt récent de la Cour suprême des États-Unis qui appuie la doctrine de la préséance du </w:t>
      </w:r>
      <w:r w:rsidRPr="00703563">
        <w:rPr>
          <w:i/>
          <w:iCs/>
        </w:rPr>
        <w:t>Employ</w:t>
      </w:r>
      <w:r>
        <w:rPr>
          <w:i/>
          <w:iCs/>
        </w:rPr>
        <w:t>e</w:t>
      </w:r>
      <w:r w:rsidRPr="00703563">
        <w:rPr>
          <w:i/>
          <w:iCs/>
        </w:rPr>
        <w:t>e Ret</w:t>
      </w:r>
      <w:r>
        <w:rPr>
          <w:i/>
          <w:iCs/>
        </w:rPr>
        <w:t>irement Income Security Act of 1</w:t>
      </w:r>
      <w:r w:rsidRPr="00703563">
        <w:rPr>
          <w:i/>
          <w:iCs/>
        </w:rPr>
        <w:t>974 (ERISA)</w:t>
      </w:r>
      <w:r>
        <w:rPr>
          <w:iCs/>
        </w:rPr>
        <w:t> </w:t>
      </w:r>
      <w:r>
        <w:rPr>
          <w:rStyle w:val="Appelnotedebasdep"/>
          <w:iCs/>
        </w:rPr>
        <w:footnoteReference w:id="307"/>
      </w:r>
      <w:r w:rsidRPr="00703563">
        <w:rPr>
          <w:i/>
          <w:iCs/>
        </w:rPr>
        <w:t>.</w:t>
      </w:r>
      <w:r w:rsidRPr="00011A46">
        <w:rPr>
          <w:lang w:eastAsia="fr-FR" w:bidi="fr-FR"/>
        </w:rPr>
        <w:t xml:space="preserve"> L'art</w:t>
      </w:r>
      <w:r w:rsidRPr="00011A46">
        <w:rPr>
          <w:lang w:eastAsia="fr-FR" w:bidi="fr-FR"/>
        </w:rPr>
        <w:t>i</w:t>
      </w:r>
      <w:r w:rsidRPr="00011A46">
        <w:rPr>
          <w:lang w:eastAsia="fr-FR" w:bidi="fr-FR"/>
        </w:rPr>
        <w:t>cle 510 de cette loi, i</w:t>
      </w:r>
      <w:r w:rsidRPr="00011A46">
        <w:rPr>
          <w:lang w:eastAsia="fr-FR" w:bidi="fr-FR"/>
        </w:rPr>
        <w:t>n</w:t>
      </w:r>
      <w:r w:rsidRPr="00011A46">
        <w:rPr>
          <w:lang w:eastAsia="fr-FR" w:bidi="fr-FR"/>
        </w:rPr>
        <w:t>terdisant la discrimination d'un employé qui exerce un droit que lui confère un plan d'avantages sociaux, ne prot</w:t>
      </w:r>
      <w:r w:rsidRPr="00011A46">
        <w:rPr>
          <w:lang w:eastAsia="fr-FR" w:bidi="fr-FR"/>
        </w:rPr>
        <w:t>è</w:t>
      </w:r>
      <w:r w:rsidRPr="00011A46">
        <w:rPr>
          <w:lang w:eastAsia="fr-FR" w:bidi="fr-FR"/>
        </w:rPr>
        <w:t>ge en effet que les droits existants en vertu d'un plan précis et n'emp</w:t>
      </w:r>
      <w:r w:rsidRPr="00011A46">
        <w:rPr>
          <w:lang w:eastAsia="fr-FR" w:bidi="fr-FR"/>
        </w:rPr>
        <w:t>ê</w:t>
      </w:r>
      <w:r w:rsidRPr="00011A46">
        <w:rPr>
          <w:lang w:eastAsia="fr-FR" w:bidi="fr-FR"/>
        </w:rPr>
        <w:t>che nullement l'employeur de le modifier quand bon lui semble. Il peut donc exclure la couverture de certaines maladies, comme le sida, d'un plan</w:t>
      </w:r>
      <w:r>
        <w:rPr>
          <w:lang w:eastAsia="fr-FR" w:bidi="fr-FR"/>
        </w:rPr>
        <w:t xml:space="preserve"> [415] </w:t>
      </w:r>
      <w:r w:rsidRPr="00011A46">
        <w:rPr>
          <w:lang w:eastAsia="fr-FR" w:bidi="fr-FR"/>
        </w:rPr>
        <w:t>d'assurance-santé ou diminuer le plafond du rembou</w:t>
      </w:r>
      <w:r w:rsidRPr="00011A46">
        <w:rPr>
          <w:lang w:eastAsia="fr-FR" w:bidi="fr-FR"/>
        </w:rPr>
        <w:t>r</w:t>
      </w:r>
      <w:r w:rsidRPr="00011A46">
        <w:rPr>
          <w:lang w:eastAsia="fr-FR" w:bidi="fr-FR"/>
        </w:rPr>
        <w:t>s</w:t>
      </w:r>
      <w:r w:rsidRPr="00011A46">
        <w:rPr>
          <w:lang w:eastAsia="fr-FR" w:bidi="fr-FR"/>
        </w:rPr>
        <w:t>e</w:t>
      </w:r>
      <w:r w:rsidRPr="00011A46">
        <w:rPr>
          <w:lang w:eastAsia="fr-FR" w:bidi="fr-FR"/>
        </w:rPr>
        <w:t xml:space="preserve">ment pour des soins liés au sida, d'un million de dollars à 5 000 $, comme ce fut le cas dans l'affaire </w:t>
      </w:r>
      <w:r w:rsidRPr="00703563">
        <w:rPr>
          <w:i/>
          <w:iCs/>
        </w:rPr>
        <w:t>H &amp; H Music</w:t>
      </w:r>
      <w:r>
        <w:rPr>
          <w:iCs/>
        </w:rPr>
        <w:t> </w:t>
      </w:r>
      <w:r>
        <w:rPr>
          <w:rStyle w:val="Appelnotedebasdep"/>
          <w:iCs/>
        </w:rPr>
        <w:footnoteReference w:id="308"/>
      </w:r>
      <w:r w:rsidRPr="00703563">
        <w:rPr>
          <w:i/>
          <w:iCs/>
        </w:rPr>
        <w:t>.</w:t>
      </w:r>
    </w:p>
    <w:p w:rsidR="00B7214C" w:rsidRPr="00011A46" w:rsidRDefault="00B7214C" w:rsidP="00B7214C">
      <w:pPr>
        <w:spacing w:before="120" w:after="120"/>
        <w:jc w:val="both"/>
      </w:pPr>
      <w:r w:rsidRPr="00011A46">
        <w:rPr>
          <w:lang w:eastAsia="fr-FR" w:bidi="fr-FR"/>
        </w:rPr>
        <w:t>Dans cette situation, les États américains sont intervenus à des d</w:t>
      </w:r>
      <w:r w:rsidRPr="00011A46">
        <w:rPr>
          <w:lang w:eastAsia="fr-FR" w:bidi="fr-FR"/>
        </w:rPr>
        <w:t>e</w:t>
      </w:r>
      <w:r w:rsidRPr="00011A46">
        <w:rPr>
          <w:lang w:eastAsia="fr-FR" w:bidi="fr-FR"/>
        </w:rPr>
        <w:t>grés divers. Certains se limitent à la mise en œuvre de leur compéte</w:t>
      </w:r>
      <w:r w:rsidRPr="00011A46">
        <w:rPr>
          <w:lang w:eastAsia="fr-FR" w:bidi="fr-FR"/>
        </w:rPr>
        <w:t>n</w:t>
      </w:r>
      <w:r w:rsidRPr="00011A46">
        <w:rPr>
          <w:lang w:eastAsia="fr-FR" w:bidi="fr-FR"/>
        </w:rPr>
        <w:t>ce législative pour ici réglementer le recours aux tests de dépistage lors de l'adhésion à une assurance et là, interdire les pratiques discr</w:t>
      </w:r>
      <w:r w:rsidRPr="00011A46">
        <w:rPr>
          <w:lang w:eastAsia="fr-FR" w:bidi="fr-FR"/>
        </w:rPr>
        <w:t>i</w:t>
      </w:r>
      <w:r w:rsidRPr="00011A46">
        <w:rPr>
          <w:lang w:eastAsia="fr-FR" w:bidi="fr-FR"/>
        </w:rPr>
        <w:t xml:space="preserve">minatoires. D'autres adoptent en plus des politiques particulières dans le cadre du programme </w:t>
      </w:r>
      <w:r w:rsidRPr="00703563">
        <w:rPr>
          <w:i/>
          <w:iCs/>
        </w:rPr>
        <w:t>Medicaid,</w:t>
      </w:r>
      <w:r w:rsidRPr="00011A46">
        <w:rPr>
          <w:lang w:eastAsia="fr-FR" w:bidi="fr-FR"/>
        </w:rPr>
        <w:t xml:space="preserve"> en demandant au gouvernement fédéral des exemptions, comme ce fut le cas dans plusieurs États, pour financer des soins à domicile ou communautaires (Fox, 1990, p. 233). Ces exemptions deviennent de plus en plus importantes, avec le cha</w:t>
      </w:r>
      <w:r w:rsidRPr="00011A46">
        <w:rPr>
          <w:lang w:eastAsia="fr-FR" w:bidi="fr-FR"/>
        </w:rPr>
        <w:t>n</w:t>
      </w:r>
      <w:r w:rsidRPr="00011A46">
        <w:rPr>
          <w:lang w:eastAsia="fr-FR" w:bidi="fr-FR"/>
        </w:rPr>
        <w:t>gement des populations atteintes, mais aussi à cause de tous ceux qui perdent leur assurance-maladie liée à l'emploi, avec celui-ci, et d'un nombre croissant de personnes qui ne peuvent souscrire à une ass</w:t>
      </w:r>
      <w:r w:rsidRPr="00011A46">
        <w:rPr>
          <w:lang w:eastAsia="fr-FR" w:bidi="fr-FR"/>
        </w:rPr>
        <w:t>u</w:t>
      </w:r>
      <w:r w:rsidRPr="00011A46">
        <w:rPr>
          <w:lang w:eastAsia="fr-FR" w:bidi="fr-FR"/>
        </w:rPr>
        <w:t>rance privée, la séropos</w:t>
      </w:r>
      <w:r w:rsidRPr="00011A46">
        <w:rPr>
          <w:lang w:eastAsia="fr-FR" w:bidi="fr-FR"/>
        </w:rPr>
        <w:t>i</w:t>
      </w:r>
      <w:r w:rsidRPr="00011A46">
        <w:rPr>
          <w:lang w:eastAsia="fr-FR" w:bidi="fr-FR"/>
        </w:rPr>
        <w:t>tivité étant une condition d'exclusion. Il s'agit d'accords ponctuels qui permettent de modifier la distribution des se</w:t>
      </w:r>
      <w:r w:rsidRPr="00011A46">
        <w:rPr>
          <w:lang w:eastAsia="fr-FR" w:bidi="fr-FR"/>
        </w:rPr>
        <w:t>r</w:t>
      </w:r>
      <w:r w:rsidRPr="00011A46">
        <w:rPr>
          <w:lang w:eastAsia="fr-FR" w:bidi="fr-FR"/>
        </w:rPr>
        <w:t xml:space="preserve">vices selon les besoins particuliers d'un groupe, sans augmenter la charge financière du gouvernement fédéral. La distribution inégale de l'épidémie selon les régions continue toutefois à poser des problèmes. Il existe par ailleurs une dérogation d'office dont les modalités sont prévues dans l'un des seuls articles encore en vigueur du </w:t>
      </w:r>
      <w:r w:rsidRPr="00703563">
        <w:rPr>
          <w:i/>
          <w:iCs/>
        </w:rPr>
        <w:t>Medicare Catastrophic Coverage Act of 1988</w:t>
      </w:r>
      <w:r>
        <w:rPr>
          <w:iCs/>
        </w:rPr>
        <w:t> </w:t>
      </w:r>
      <w:r>
        <w:rPr>
          <w:rStyle w:val="Appelnotedebasdep"/>
          <w:iCs/>
        </w:rPr>
        <w:footnoteReference w:id="309"/>
      </w:r>
      <w:r w:rsidRPr="00011A46">
        <w:rPr>
          <w:lang w:eastAsia="fr-FR" w:bidi="fr-FR"/>
        </w:rPr>
        <w:t xml:space="preserve"> et qui concerne les enfants de moins de cinq ans, infectés par le VIH ou toxico-dépendants à leur naissance. Finalement, quelques </w:t>
      </w:r>
      <w:r>
        <w:rPr>
          <w:lang w:eastAsia="fr-FR" w:bidi="fr-FR"/>
        </w:rPr>
        <w:t>État</w:t>
      </w:r>
      <w:r w:rsidRPr="00011A46">
        <w:rPr>
          <w:lang w:eastAsia="fr-FR" w:bidi="fr-FR"/>
        </w:rPr>
        <w:t>s seulement vont plus loin et co</w:t>
      </w:r>
      <w:r w:rsidRPr="00011A46">
        <w:rPr>
          <w:lang w:eastAsia="fr-FR" w:bidi="fr-FR"/>
        </w:rPr>
        <w:t>l</w:t>
      </w:r>
      <w:r w:rsidRPr="00011A46">
        <w:rPr>
          <w:lang w:eastAsia="fr-FR" w:bidi="fr-FR"/>
        </w:rPr>
        <w:t>laborent avec des organismes communautaires locaux, privés ou p</w:t>
      </w:r>
      <w:r w:rsidRPr="00011A46">
        <w:rPr>
          <w:lang w:eastAsia="fr-FR" w:bidi="fr-FR"/>
        </w:rPr>
        <w:t>u</w:t>
      </w:r>
      <w:r w:rsidRPr="00011A46">
        <w:rPr>
          <w:lang w:eastAsia="fr-FR" w:bidi="fr-FR"/>
        </w:rPr>
        <w:t xml:space="preserve">blics, pour financer les soins de ceux qui ne sont pas admissibles à </w:t>
      </w:r>
      <w:r w:rsidRPr="00703563">
        <w:rPr>
          <w:i/>
          <w:iCs/>
        </w:rPr>
        <w:t>Medicaid.</w:t>
      </w:r>
      <w:r w:rsidRPr="00011A46">
        <w:rPr>
          <w:lang w:eastAsia="fr-FR" w:bidi="fr-FR"/>
        </w:rPr>
        <w:t xml:space="preserve"> Il en est ainsi dans les </w:t>
      </w:r>
      <w:r>
        <w:rPr>
          <w:lang w:eastAsia="fr-FR" w:bidi="fr-FR"/>
        </w:rPr>
        <w:t>État</w:t>
      </w:r>
      <w:r w:rsidRPr="00011A46">
        <w:rPr>
          <w:lang w:eastAsia="fr-FR" w:bidi="fr-FR"/>
        </w:rPr>
        <w:t>s de New York et de la Califo</w:t>
      </w:r>
      <w:r w:rsidRPr="00011A46">
        <w:rPr>
          <w:lang w:eastAsia="fr-FR" w:bidi="fr-FR"/>
        </w:rPr>
        <w:t>r</w:t>
      </w:r>
      <w:r w:rsidRPr="00011A46">
        <w:rPr>
          <w:lang w:eastAsia="fr-FR" w:bidi="fr-FR"/>
        </w:rPr>
        <w:t>nie, notamment, et, dans une moindre mesure, au Michigan et au New Jersey.</w:t>
      </w:r>
    </w:p>
    <w:p w:rsidR="00B7214C" w:rsidRDefault="00B7214C" w:rsidP="00B7214C">
      <w:pPr>
        <w:spacing w:before="120" w:after="120"/>
        <w:jc w:val="both"/>
        <w:rPr>
          <w:lang w:eastAsia="fr-FR" w:bidi="fr-FR"/>
        </w:rPr>
      </w:pPr>
      <w:r w:rsidRPr="00011A46">
        <w:rPr>
          <w:lang w:eastAsia="fr-FR" w:bidi="fr-FR"/>
        </w:rPr>
        <w:t>On peut donc dire, avec Jonson et Stryker (1993, p. 71), que les changements opérés dans le système américain de financement des soins furent minimes</w:t>
      </w:r>
      <w:r w:rsidRPr="00011A46">
        <w:t> :</w:t>
      </w:r>
      <w:r w:rsidRPr="00011A46">
        <w:rPr>
          <w:lang w:eastAsia="fr-FR" w:bidi="fr-FR"/>
        </w:rPr>
        <w:t xml:space="preserve"> des ajustements plutôt que des réformes stru</w:t>
      </w:r>
      <w:r w:rsidRPr="00011A46">
        <w:rPr>
          <w:lang w:eastAsia="fr-FR" w:bidi="fr-FR"/>
        </w:rPr>
        <w:t>c</w:t>
      </w:r>
      <w:r w:rsidRPr="00011A46">
        <w:rPr>
          <w:lang w:eastAsia="fr-FR" w:bidi="fr-FR"/>
        </w:rPr>
        <w:t>turelles. Evoquant les principes d'équité, le gouvernement fédéral n'a jamais accédé aux revendications des mouvements militants d'acco</w:t>
      </w:r>
      <w:r w:rsidRPr="00011A46">
        <w:rPr>
          <w:lang w:eastAsia="fr-FR" w:bidi="fr-FR"/>
        </w:rPr>
        <w:t>r</w:t>
      </w:r>
      <w:r w:rsidRPr="00011A46">
        <w:rPr>
          <w:lang w:eastAsia="fr-FR" w:bidi="fr-FR"/>
        </w:rPr>
        <w:t xml:space="preserve">der un statut particulier au sida qui légitimerait une couverture des frais par </w:t>
      </w:r>
      <w:r w:rsidRPr="00B82F12">
        <w:rPr>
          <w:i/>
          <w:iCs/>
        </w:rPr>
        <w:t>Medicare,</w:t>
      </w:r>
      <w:r w:rsidRPr="00011A46">
        <w:rPr>
          <w:lang w:eastAsia="fr-FR" w:bidi="fr-FR"/>
        </w:rPr>
        <w:t xml:space="preserve"> à l'instar du </w:t>
      </w:r>
      <w:r w:rsidRPr="00B82F12">
        <w:rPr>
          <w:i/>
          <w:iCs/>
        </w:rPr>
        <w:t>Chronic Kidney Disease Amendment</w:t>
      </w:r>
      <w:r w:rsidRPr="00011A46">
        <w:rPr>
          <w:lang w:eastAsia="fr-FR" w:bidi="fr-FR"/>
        </w:rPr>
        <w:t xml:space="preserve"> du </w:t>
      </w:r>
      <w:r w:rsidRPr="00B82F12">
        <w:rPr>
          <w:i/>
          <w:iCs/>
        </w:rPr>
        <w:t>Social Security Act,</w:t>
      </w:r>
      <w:r w:rsidRPr="00011A46">
        <w:rPr>
          <w:lang w:eastAsia="fr-FR" w:bidi="fr-FR"/>
        </w:rPr>
        <w:t xml:space="preserve"> adopté en 1972. Il s'agissait là d'un premier précurseur d'une assurance-maladie </w:t>
      </w:r>
      <w:r w:rsidRPr="00011A46">
        <w:t>« </w:t>
      </w:r>
      <w:r w:rsidRPr="00011A46">
        <w:rPr>
          <w:lang w:eastAsia="fr-FR" w:bidi="fr-FR"/>
        </w:rPr>
        <w:t>catastrophique</w:t>
      </w:r>
      <w:r w:rsidRPr="00011A46">
        <w:t> »</w:t>
      </w:r>
      <w:r w:rsidRPr="00011A46">
        <w:rPr>
          <w:lang w:eastAsia="fr-FR" w:bidi="fr-FR"/>
        </w:rPr>
        <w:t xml:space="preserve"> pour des mal</w:t>
      </w:r>
      <w:r w:rsidRPr="00011A46">
        <w:rPr>
          <w:lang w:eastAsia="fr-FR" w:bidi="fr-FR"/>
        </w:rPr>
        <w:t>a</w:t>
      </w:r>
      <w:r w:rsidRPr="00011A46">
        <w:rPr>
          <w:lang w:eastAsia="fr-FR" w:bidi="fr-FR"/>
        </w:rPr>
        <w:t>des en phase terminale</w:t>
      </w:r>
      <w:r>
        <w:rPr>
          <w:lang w:eastAsia="fr-FR" w:bidi="fr-FR"/>
        </w:rPr>
        <w:t> </w:t>
      </w:r>
      <w:r>
        <w:rPr>
          <w:rStyle w:val="Appelnotedebasdep"/>
          <w:lang w:eastAsia="fr-FR" w:bidi="fr-FR"/>
        </w:rPr>
        <w:footnoteReference w:id="310"/>
      </w:r>
      <w:r w:rsidRPr="00011A46">
        <w:rPr>
          <w:lang w:eastAsia="fr-FR" w:bidi="fr-FR"/>
        </w:rPr>
        <w:t>. Le gouvernement fédéral a également ref</w:t>
      </w:r>
      <w:r w:rsidRPr="00011A46">
        <w:rPr>
          <w:lang w:eastAsia="fr-FR" w:bidi="fr-FR"/>
        </w:rPr>
        <w:t>u</w:t>
      </w:r>
      <w:r w:rsidRPr="00011A46">
        <w:rPr>
          <w:lang w:eastAsia="fr-FR" w:bidi="fr-FR"/>
        </w:rPr>
        <w:t>sé de désigner la sér</w:t>
      </w:r>
      <w:r w:rsidRPr="00011A46">
        <w:rPr>
          <w:lang w:eastAsia="fr-FR" w:bidi="fr-FR"/>
        </w:rPr>
        <w:t>o</w:t>
      </w:r>
      <w:r w:rsidRPr="00011A46">
        <w:rPr>
          <w:lang w:eastAsia="fr-FR" w:bidi="fr-FR"/>
        </w:rPr>
        <w:t xml:space="preserve">positivité comme une des conditions qui rendent le patient éligible au programme </w:t>
      </w:r>
      <w:r w:rsidRPr="00B82F12">
        <w:rPr>
          <w:i/>
          <w:iCs/>
        </w:rPr>
        <w:t>Medicaid,</w:t>
      </w:r>
      <w:r w:rsidRPr="00011A46">
        <w:rPr>
          <w:lang w:eastAsia="fr-FR" w:bidi="fr-FR"/>
        </w:rPr>
        <w:t xml:space="preserve"> renvoyant la balle plutôt aux États dont certains (New Jersey et New York, notamment) d</w:t>
      </w:r>
      <w:r w:rsidRPr="00011A46">
        <w:rPr>
          <w:lang w:eastAsia="fr-FR" w:bidi="fr-FR"/>
        </w:rPr>
        <w:t>e</w:t>
      </w:r>
      <w:r w:rsidRPr="00011A46">
        <w:rPr>
          <w:lang w:eastAsia="fr-FR" w:bidi="fr-FR"/>
        </w:rPr>
        <w:t>manderont des exemptions pour procéder à des modifications struct</w:t>
      </w:r>
      <w:r w:rsidRPr="00011A46">
        <w:rPr>
          <w:lang w:eastAsia="fr-FR" w:bidi="fr-FR"/>
        </w:rPr>
        <w:t>u</w:t>
      </w:r>
      <w:r w:rsidRPr="00011A46">
        <w:rPr>
          <w:lang w:eastAsia="fr-FR" w:bidi="fr-FR"/>
        </w:rPr>
        <w:t>relles.</w:t>
      </w:r>
    </w:p>
    <w:p w:rsidR="00B7214C" w:rsidRDefault="00B7214C" w:rsidP="00B7214C">
      <w:pPr>
        <w:spacing w:before="120" w:after="120"/>
        <w:jc w:val="both"/>
      </w:pPr>
      <w:r>
        <w:t>[416]</w:t>
      </w:r>
    </w:p>
    <w:p w:rsidR="00B7214C" w:rsidRPr="00011A46" w:rsidRDefault="00B7214C" w:rsidP="00B7214C">
      <w:pPr>
        <w:spacing w:before="120" w:after="120"/>
        <w:jc w:val="both"/>
      </w:pPr>
      <w:r w:rsidRPr="00011A46">
        <w:rPr>
          <w:lang w:eastAsia="fr-FR" w:bidi="fr-FR"/>
        </w:rPr>
        <w:t xml:space="preserve">Une des seules initiatives du gouvernement fédéral américain fut la </w:t>
      </w:r>
      <w:r w:rsidRPr="00011A46">
        <w:t>création d'une enveloppe budgétaire spéciale réservée au rembours</w:t>
      </w:r>
      <w:r w:rsidRPr="00011A46">
        <w:t>e</w:t>
      </w:r>
      <w:r w:rsidRPr="00011A46">
        <w:t>ment des médicaments de patients qui ne disposent ni d'une a</w:t>
      </w:r>
      <w:r w:rsidRPr="00011A46">
        <w:t>s</w:t>
      </w:r>
      <w:r w:rsidRPr="00011A46">
        <w:t xml:space="preserve">surance ni de moyens suffisants pour couvrir ces frais. Ce programme puise dans les fonds généraux consacrés à la recherche sur le sida et aux soins du service de santé publique. C'est le </w:t>
      </w:r>
      <w:r w:rsidRPr="00B82F12">
        <w:rPr>
          <w:i/>
          <w:iCs/>
        </w:rPr>
        <w:t>Public Health Service's AIDS Drug Reimbursement Program</w:t>
      </w:r>
      <w:r w:rsidRPr="00011A46">
        <w:t xml:space="preserve"> qui fut mis en œuvre dans le contexte hautement médiatisé de la commercialisation hâtive de l'AZT (Zidovudine), ce médicament approuvé en sautant des étapes de la recherche clinique « classique », sous pre</w:t>
      </w:r>
      <w:r w:rsidRPr="00011A46">
        <w:t>s</w:t>
      </w:r>
      <w:r w:rsidRPr="00011A46">
        <w:t>sion des militants gais. Son prix, très élevé au départ, l'aurait rendu inaccessible pour bea</w:t>
      </w:r>
      <w:r w:rsidRPr="00011A46">
        <w:t>u</w:t>
      </w:r>
      <w:r w:rsidRPr="00011A46">
        <w:t>coup de malades</w:t>
      </w:r>
      <w:r>
        <w:t> </w:t>
      </w:r>
      <w:r>
        <w:rPr>
          <w:rStyle w:val="Appelnotedebasdep"/>
        </w:rPr>
        <w:footnoteReference w:id="311"/>
      </w:r>
      <w:r w:rsidRPr="00011A46">
        <w:t>.</w:t>
      </w:r>
    </w:p>
    <w:p w:rsidR="00B7214C" w:rsidRPr="00011A46" w:rsidRDefault="00B7214C" w:rsidP="00B7214C">
      <w:pPr>
        <w:spacing w:before="120" w:after="120"/>
        <w:jc w:val="both"/>
      </w:pPr>
      <w:r w:rsidRPr="00011A46">
        <w:t>Au Canada, avec son système de santé à accès universel, le débat se concentre essentiellement sur la question des m</w:t>
      </w:r>
      <w:r w:rsidRPr="00011A46">
        <w:t>é</w:t>
      </w:r>
      <w:r w:rsidRPr="00011A46">
        <w:t>dicaments. Dès 1987, alors que l'essai clinique américain avait démontré une certaine efficacité de l'AZT et que dans la plupart des pays industrialisés à fo</w:t>
      </w:r>
      <w:r w:rsidRPr="00011A46">
        <w:t>r</w:t>
      </w:r>
      <w:r w:rsidRPr="00011A46">
        <w:t>te prévalence du VIH on se préparait à suivre le modèle américain et britannique, le gouvernement canadien s'opposa à une commercialis</w:t>
      </w:r>
      <w:r w:rsidRPr="00011A46">
        <w:t>a</w:t>
      </w:r>
      <w:r w:rsidRPr="00011A46">
        <w:t>tion immédiate de ce médicament et imposa à la compagnie pharm</w:t>
      </w:r>
      <w:r w:rsidRPr="00011A46">
        <w:t>a</w:t>
      </w:r>
      <w:r w:rsidRPr="00011A46">
        <w:t>ceutique productrice de poursuivre la recherche. A</w:t>
      </w:r>
      <w:r w:rsidRPr="00011A46">
        <w:t>c</w:t>
      </w:r>
      <w:r w:rsidRPr="00011A46">
        <w:t>cédant néanmoins aux revendications de groupes de pression (communautaires, méd</w:t>
      </w:r>
      <w:r w:rsidRPr="00011A46">
        <w:t>i</w:t>
      </w:r>
      <w:r w:rsidRPr="00011A46">
        <w:t>caux et de l'industrie pharmaceutique) et voulant assurer l'accès au plus grand nombre des malades sans autre espoir, un protocole de r</w:t>
      </w:r>
      <w:r w:rsidRPr="00011A46">
        <w:t>e</w:t>
      </w:r>
      <w:r w:rsidRPr="00011A46">
        <w:t>cherche élargi fut élab</w:t>
      </w:r>
      <w:r w:rsidRPr="00011A46">
        <w:t>o</w:t>
      </w:r>
      <w:r w:rsidRPr="00011A46">
        <w:t>ré, qui transforma l'essai clinique en système de distribution contrôlé et renvoya la charge des coûts du médicament exp</w:t>
      </w:r>
      <w:r w:rsidRPr="00011A46">
        <w:t>é</w:t>
      </w:r>
      <w:r w:rsidRPr="00011A46">
        <w:t>rimental aux provinces. Ce n'est qu'en 1991 que la Direction de la protection de la santé canadienne donna finalement le feu vert à la commercialisation de l'AZT. C'est donc dire que dans les deux syst</w:t>
      </w:r>
      <w:r w:rsidRPr="00011A46">
        <w:t>è</w:t>
      </w:r>
      <w:r w:rsidRPr="00011A46">
        <w:t>mes, les normes de gestion de la recherche clinique furent ébranlées.</w:t>
      </w:r>
    </w:p>
    <w:p w:rsidR="00B7214C" w:rsidRDefault="00B7214C" w:rsidP="00B7214C">
      <w:pPr>
        <w:spacing w:before="120" w:after="120"/>
        <w:jc w:val="both"/>
      </w:pPr>
    </w:p>
    <w:p w:rsidR="00B7214C" w:rsidRPr="00011A46" w:rsidRDefault="00B7214C" w:rsidP="00B7214C">
      <w:pPr>
        <w:pStyle w:val="a"/>
      </w:pPr>
      <w:r w:rsidRPr="00011A46">
        <w:t>CONCLUSION</w:t>
      </w:r>
    </w:p>
    <w:p w:rsidR="00B7214C" w:rsidRDefault="00B7214C" w:rsidP="00B7214C">
      <w:pPr>
        <w:spacing w:before="120" w:after="120"/>
        <w:jc w:val="both"/>
      </w:pPr>
    </w:p>
    <w:p w:rsidR="00B7214C" w:rsidRPr="00011A46" w:rsidRDefault="00B7214C" w:rsidP="00B7214C">
      <w:pPr>
        <w:spacing w:before="120" w:after="120"/>
        <w:jc w:val="both"/>
      </w:pPr>
      <w:r w:rsidRPr="00011A46">
        <w:t>La construction sociale de la perception du risque fut au centre de notre analyse comparée de l'évolution de certaines réponses sociales au phénomène du sida, en Amérique du Nord. Nous avons pu const</w:t>
      </w:r>
      <w:r w:rsidRPr="00011A46">
        <w:t>a</w:t>
      </w:r>
      <w:r w:rsidRPr="00011A46">
        <w:t>ter qu'après une première période d'incertitude, le bricolage des déc</w:t>
      </w:r>
      <w:r w:rsidRPr="00011A46">
        <w:t>i</w:t>
      </w:r>
      <w:r w:rsidRPr="00011A46">
        <w:t>sions prises relève, à des degrés divers, de l'une ou l'autre des deux approches trad</w:t>
      </w:r>
      <w:r w:rsidRPr="00011A46">
        <w:t>i</w:t>
      </w:r>
      <w:r w:rsidRPr="00011A46">
        <w:t>tionnelles de santé publique : épidémiologique ou de</w:t>
      </w:r>
      <w:r w:rsidRPr="00011A46">
        <w:rPr>
          <w:lang w:eastAsia="fr-FR" w:bidi="fr-FR"/>
        </w:rPr>
        <w:t xml:space="preserve"> gestion de maladies chroniques. Le débat entre les deux perspectives a perdu de sa force, à mesure que le danger de l'invasion bi</w:t>
      </w:r>
      <w:r w:rsidRPr="00011A46">
        <w:rPr>
          <w:lang w:eastAsia="fr-FR" w:bidi="fr-FR"/>
        </w:rPr>
        <w:t>o</w:t>
      </w:r>
      <w:r w:rsidRPr="00011A46">
        <w:rPr>
          <w:lang w:eastAsia="fr-FR" w:bidi="fr-FR"/>
        </w:rPr>
        <w:t>logique et de pollution par un virus étrange se transformera en risque évitable, par la désignation de groupes cibles, des paroles rassurantes de l'ordre médical et des politiques de santé publique. Plusieurs facteurs ont contribué à cette a</w:t>
      </w:r>
      <w:r w:rsidRPr="00011A46">
        <w:rPr>
          <w:lang w:eastAsia="fr-FR" w:bidi="fr-FR"/>
        </w:rPr>
        <w:t>c</w:t>
      </w:r>
      <w:r w:rsidRPr="00011A46">
        <w:rPr>
          <w:lang w:eastAsia="fr-FR" w:bidi="fr-FR"/>
        </w:rPr>
        <w:t>calmie relative. Tout</w:t>
      </w:r>
      <w:r>
        <w:rPr>
          <w:lang w:eastAsia="fr-FR" w:bidi="fr-FR"/>
        </w:rPr>
        <w:t xml:space="preserve"> [417] </w:t>
      </w:r>
      <w:r w:rsidRPr="00011A46">
        <w:rPr>
          <w:lang w:eastAsia="fr-FR" w:bidi="fr-FR"/>
        </w:rPr>
        <w:t>d'abord, certains acquis doivent être constatés</w:t>
      </w:r>
      <w:r w:rsidRPr="00011A46">
        <w:t> :</w:t>
      </w:r>
      <w:r w:rsidRPr="00011A46">
        <w:rPr>
          <w:lang w:eastAsia="fr-FR" w:bidi="fr-FR"/>
        </w:rPr>
        <w:t xml:space="preserve"> la discr</w:t>
      </w:r>
      <w:r w:rsidRPr="00011A46">
        <w:rPr>
          <w:lang w:eastAsia="fr-FR" w:bidi="fr-FR"/>
        </w:rPr>
        <w:t>i</w:t>
      </w:r>
      <w:r w:rsidRPr="00011A46">
        <w:rPr>
          <w:lang w:eastAsia="fr-FR" w:bidi="fr-FR"/>
        </w:rPr>
        <w:t xml:space="preserve">mination de ceux qui sont atteints par le virus </w:t>
      </w:r>
      <w:r w:rsidRPr="00011A46">
        <w:t>« </w:t>
      </w:r>
      <w:r w:rsidRPr="00011A46">
        <w:rPr>
          <w:lang w:eastAsia="fr-FR" w:bidi="fr-FR"/>
        </w:rPr>
        <w:t>honteux</w:t>
      </w:r>
      <w:r w:rsidRPr="00011A46">
        <w:t> »</w:t>
      </w:r>
      <w:r w:rsidRPr="00011A46">
        <w:rPr>
          <w:lang w:eastAsia="fr-FR" w:bidi="fr-FR"/>
        </w:rPr>
        <w:t xml:space="preserve"> s'est atténuée dans certains secteurs de la vie en société, grâce à des mesures législatives et à l'action des tribunaux, sous la pression des groupes militants. La première épidémie de l'âge des droits de la personne a ainsi contribué à rendre conscients les re</w:t>
      </w:r>
      <w:r w:rsidRPr="00011A46">
        <w:rPr>
          <w:lang w:eastAsia="fr-FR" w:bidi="fr-FR"/>
        </w:rPr>
        <w:t>s</w:t>
      </w:r>
      <w:r w:rsidRPr="00011A46">
        <w:rPr>
          <w:lang w:eastAsia="fr-FR" w:bidi="fr-FR"/>
        </w:rPr>
        <w:t>ponsables de santé publique de l'interaction entre conditions sociales, économiques, culturelles et propagation d'un virus. La réaction est adaptative plutôt que réformatrice. Parallèl</w:t>
      </w:r>
      <w:r w:rsidRPr="00011A46">
        <w:rPr>
          <w:lang w:eastAsia="fr-FR" w:bidi="fr-FR"/>
        </w:rPr>
        <w:t>e</w:t>
      </w:r>
      <w:r w:rsidRPr="00011A46">
        <w:rPr>
          <w:lang w:eastAsia="fr-FR" w:bidi="fr-FR"/>
        </w:rPr>
        <w:t>ment, certaines pratiques combattues il y a quelques années - les tests de dépistage de groupes particuliers, la d</w:t>
      </w:r>
      <w:r w:rsidRPr="00011A46">
        <w:rPr>
          <w:lang w:eastAsia="fr-FR" w:bidi="fr-FR"/>
        </w:rPr>
        <w:t>é</w:t>
      </w:r>
      <w:r w:rsidRPr="00011A46">
        <w:rPr>
          <w:lang w:eastAsia="fr-FR" w:bidi="fr-FR"/>
        </w:rPr>
        <w:t>claration obligatoire à des fins administratives et de prote</w:t>
      </w:r>
      <w:r w:rsidRPr="00011A46">
        <w:rPr>
          <w:lang w:eastAsia="fr-FR" w:bidi="fr-FR"/>
        </w:rPr>
        <w:t>c</w:t>
      </w:r>
      <w:r w:rsidRPr="00011A46">
        <w:rPr>
          <w:lang w:eastAsia="fr-FR" w:bidi="fr-FR"/>
        </w:rPr>
        <w:t>tion du public - le sont moins, depuis qu'en 1989 la recherche médicale a démontré une certaine efficacité de thérapies précoces et que des enveloppes budgétaires sont réservées loc</w:t>
      </w:r>
      <w:r w:rsidRPr="00011A46">
        <w:rPr>
          <w:lang w:eastAsia="fr-FR" w:bidi="fr-FR"/>
        </w:rPr>
        <w:t>a</w:t>
      </w:r>
      <w:r w:rsidRPr="00011A46">
        <w:rPr>
          <w:lang w:eastAsia="fr-FR" w:bidi="fr-FR"/>
        </w:rPr>
        <w:t>lement en fonction du nombre de patients. C'est désormais pour leur bien qu'on les cat</w:t>
      </w:r>
      <w:r w:rsidRPr="00011A46">
        <w:rPr>
          <w:lang w:eastAsia="fr-FR" w:bidi="fr-FR"/>
        </w:rPr>
        <w:t>é</w:t>
      </w:r>
      <w:r w:rsidRPr="00011A46">
        <w:rPr>
          <w:lang w:eastAsia="fr-FR" w:bidi="fr-FR"/>
        </w:rPr>
        <w:t>gorise administrativement. Même si ces avancées scientifiques ne sont que relatives, la guérison étant toujours impossible, elles ont contribué à atténuer la perception catastrophique du sida qui justifiait aupar</w:t>
      </w:r>
      <w:r w:rsidRPr="00011A46">
        <w:rPr>
          <w:lang w:eastAsia="fr-FR" w:bidi="fr-FR"/>
        </w:rPr>
        <w:t>a</w:t>
      </w:r>
      <w:r w:rsidRPr="00011A46">
        <w:rPr>
          <w:lang w:eastAsia="fr-FR" w:bidi="fr-FR"/>
        </w:rPr>
        <w:t>vant une certaine exceptionnalité. Le troisième facteur tient à l'épu</w:t>
      </w:r>
      <w:r w:rsidRPr="00011A46">
        <w:rPr>
          <w:lang w:eastAsia="fr-FR" w:bidi="fr-FR"/>
        </w:rPr>
        <w:t>i</w:t>
      </w:r>
      <w:r w:rsidRPr="00011A46">
        <w:rPr>
          <w:lang w:eastAsia="fr-FR" w:bidi="fr-FR"/>
        </w:rPr>
        <w:t>sement des militants et à la bureaucratis</w:t>
      </w:r>
      <w:r w:rsidRPr="00011A46">
        <w:rPr>
          <w:lang w:eastAsia="fr-FR" w:bidi="fr-FR"/>
        </w:rPr>
        <w:t>a</w:t>
      </w:r>
      <w:r w:rsidRPr="00011A46">
        <w:rPr>
          <w:lang w:eastAsia="fr-FR" w:bidi="fr-FR"/>
        </w:rPr>
        <w:t>tion de leurs mouvements, mais aussi à la progression de l'épidémie vers des groupes sans porte-parole, accompagnée d'une certaine sat</w:t>
      </w:r>
      <w:r w:rsidRPr="00011A46">
        <w:rPr>
          <w:lang w:eastAsia="fr-FR" w:bidi="fr-FR"/>
        </w:rPr>
        <w:t>u</w:t>
      </w:r>
      <w:r w:rsidRPr="00011A46">
        <w:rPr>
          <w:lang w:eastAsia="fr-FR" w:bidi="fr-FR"/>
        </w:rPr>
        <w:t>ration des médias. .</w:t>
      </w:r>
    </w:p>
    <w:p w:rsidR="00B7214C" w:rsidRPr="00011A46" w:rsidRDefault="00B7214C" w:rsidP="00B7214C">
      <w:pPr>
        <w:spacing w:before="120" w:after="120"/>
        <w:jc w:val="both"/>
      </w:pPr>
      <w:r w:rsidRPr="00011A46">
        <w:rPr>
          <w:lang w:eastAsia="fr-FR" w:bidi="fr-FR"/>
        </w:rPr>
        <w:t>Les réactions observées dans l'arène du sida ont varié s</w:t>
      </w:r>
      <w:r w:rsidRPr="00011A46">
        <w:rPr>
          <w:lang w:eastAsia="fr-FR" w:bidi="fr-FR"/>
        </w:rPr>
        <w:t>e</w:t>
      </w:r>
      <w:r w:rsidRPr="00011A46">
        <w:rPr>
          <w:lang w:eastAsia="fr-FR" w:bidi="fr-FR"/>
        </w:rPr>
        <w:t>lon les lieux, les conceptions de la communauté et la signif</w:t>
      </w:r>
      <w:r w:rsidRPr="00011A46">
        <w:rPr>
          <w:lang w:eastAsia="fr-FR" w:bidi="fr-FR"/>
        </w:rPr>
        <w:t>i</w:t>
      </w:r>
      <w:r w:rsidRPr="00011A46">
        <w:rPr>
          <w:lang w:eastAsia="fr-FR" w:bidi="fr-FR"/>
        </w:rPr>
        <w:t>cation sociale des biens à protéger et à partager. Les principes d'allocation de ressources rares ont été mis à l'épreuve. Loc</w:t>
      </w:r>
      <w:r w:rsidRPr="00011A46">
        <w:rPr>
          <w:lang w:eastAsia="fr-FR" w:bidi="fr-FR"/>
        </w:rPr>
        <w:t>a</w:t>
      </w:r>
      <w:r w:rsidRPr="00011A46">
        <w:rPr>
          <w:lang w:eastAsia="fr-FR" w:bidi="fr-FR"/>
        </w:rPr>
        <w:t>lement, ils ont parfois été modifiés, non sans soulever des oppositions à ce qui se présente comme justice catégorielle plutôt qu'égalitaire</w:t>
      </w:r>
      <w:r>
        <w:rPr>
          <w:lang w:eastAsia="fr-FR" w:bidi="fr-FR"/>
        </w:rPr>
        <w:t> </w:t>
      </w:r>
      <w:r>
        <w:rPr>
          <w:rStyle w:val="Appelnotedebasdep"/>
          <w:lang w:eastAsia="fr-FR" w:bidi="fr-FR"/>
        </w:rPr>
        <w:footnoteReference w:id="312"/>
      </w:r>
      <w:r w:rsidRPr="00011A46">
        <w:rPr>
          <w:lang w:eastAsia="fr-FR" w:bidi="fr-FR"/>
        </w:rPr>
        <w:t>, la recherche et le traitement d'a</w:t>
      </w:r>
      <w:r w:rsidRPr="00011A46">
        <w:rPr>
          <w:lang w:eastAsia="fr-FR" w:bidi="fr-FR"/>
        </w:rPr>
        <w:t>u</w:t>
      </w:r>
      <w:r w:rsidRPr="00011A46">
        <w:rPr>
          <w:lang w:eastAsia="fr-FR" w:bidi="fr-FR"/>
        </w:rPr>
        <w:t>tres maladies mortelles demeurant quelque peu en attente.</w:t>
      </w:r>
    </w:p>
    <w:p w:rsidR="00B7214C" w:rsidRDefault="00B7214C" w:rsidP="00B7214C">
      <w:pPr>
        <w:spacing w:before="120" w:after="120"/>
        <w:jc w:val="both"/>
        <w:rPr>
          <w:lang w:eastAsia="fr-FR" w:bidi="fr-FR"/>
        </w:rPr>
      </w:pPr>
      <w:r w:rsidRPr="00011A46">
        <w:rPr>
          <w:lang w:eastAsia="fr-FR" w:bidi="fr-FR"/>
        </w:rPr>
        <w:t>Les demandes accrues adressées à l'État, de la part de tous les a</w:t>
      </w:r>
      <w:r w:rsidRPr="00011A46">
        <w:rPr>
          <w:lang w:eastAsia="fr-FR" w:bidi="fr-FR"/>
        </w:rPr>
        <w:t>c</w:t>
      </w:r>
      <w:r w:rsidRPr="00011A46">
        <w:rPr>
          <w:lang w:eastAsia="fr-FR" w:bidi="fr-FR"/>
        </w:rPr>
        <w:t>teurs, ne sont pas non plus surprenantes. Elles s'inscrivent dans la te</w:t>
      </w:r>
      <w:r w:rsidRPr="00011A46">
        <w:rPr>
          <w:lang w:eastAsia="fr-FR" w:bidi="fr-FR"/>
        </w:rPr>
        <w:t>n</w:t>
      </w:r>
      <w:r w:rsidRPr="00011A46">
        <w:rPr>
          <w:lang w:eastAsia="fr-FR" w:bidi="fr-FR"/>
        </w:rPr>
        <w:t xml:space="preserve">dance générale de la </w:t>
      </w:r>
      <w:r w:rsidRPr="00B82F12">
        <w:rPr>
          <w:i/>
          <w:iCs/>
        </w:rPr>
        <w:t>Verrechtlichung</w:t>
      </w:r>
      <w:r w:rsidRPr="00011A46">
        <w:rPr>
          <w:lang w:eastAsia="fr-FR" w:bidi="fr-FR"/>
        </w:rPr>
        <w:t xml:space="preserve"> dans l'État de droit social, dont parle Habermas (1985, p. 522 ss.). D'autre part, la santé et le corps constituant l'une des zones centrales du monde vécu, le débat sur la légitimation mat</w:t>
      </w:r>
      <w:r w:rsidRPr="00011A46">
        <w:rPr>
          <w:lang w:eastAsia="fr-FR" w:bidi="fr-FR"/>
        </w:rPr>
        <w:t>é</w:t>
      </w:r>
      <w:r w:rsidRPr="00011A46">
        <w:rPr>
          <w:lang w:eastAsia="fr-FR" w:bidi="fr-FR"/>
        </w:rPr>
        <w:t>rielle de nouvelles normes fut plus ardu et demandait une certaine dramatisation. Ceci ne veut pas dire, bien sûr, que l'ép</w:t>
      </w:r>
      <w:r w:rsidRPr="00011A46">
        <w:rPr>
          <w:lang w:eastAsia="fr-FR" w:bidi="fr-FR"/>
        </w:rPr>
        <w:t>i</w:t>
      </w:r>
      <w:r w:rsidRPr="00011A46">
        <w:rPr>
          <w:lang w:eastAsia="fr-FR" w:bidi="fr-FR"/>
        </w:rPr>
        <w:t>démie du sida/VIH serait banale. Que les revendications de nouveaux droits furent plus prononcées aux États-Unis qu'au Canada s'explique aussi par le fait que la catastrophe appr</w:t>
      </w:r>
      <w:r w:rsidRPr="00011A46">
        <w:rPr>
          <w:lang w:eastAsia="fr-FR" w:bidi="fr-FR"/>
        </w:rPr>
        <w:t>é</w:t>
      </w:r>
      <w:r w:rsidRPr="00011A46">
        <w:rPr>
          <w:lang w:eastAsia="fr-FR" w:bidi="fr-FR"/>
        </w:rPr>
        <w:t>hendée y relança, comme nous l'avons vu, la controverse bientôt centenaire sur l'accès universel aux soins de santé. Dans les deux systèmes toutefois - et en tenant compte des situations de départ distinctes -, la comparaison des mes</w:t>
      </w:r>
      <w:r w:rsidRPr="00011A46">
        <w:rPr>
          <w:lang w:eastAsia="fr-FR" w:bidi="fr-FR"/>
        </w:rPr>
        <w:t>u</w:t>
      </w:r>
      <w:r w:rsidRPr="00011A46">
        <w:rPr>
          <w:lang w:eastAsia="fr-FR" w:bidi="fr-FR"/>
        </w:rPr>
        <w:t>res prises montre une différence de degré mais également de type de légitimité procédurale. Si, aux États-Unis, l'activité législative forme</w:t>
      </w:r>
      <w:r w:rsidRPr="00011A46">
        <w:rPr>
          <w:lang w:eastAsia="fr-FR" w:bidi="fr-FR"/>
        </w:rPr>
        <w:t>l</w:t>
      </w:r>
      <w:r w:rsidRPr="00011A46">
        <w:rPr>
          <w:lang w:eastAsia="fr-FR" w:bidi="fr-FR"/>
        </w:rPr>
        <w:t>le fut considérable, tantôt appuyée tantôt corr</w:t>
      </w:r>
      <w:r w:rsidRPr="00011A46">
        <w:rPr>
          <w:lang w:eastAsia="fr-FR" w:bidi="fr-FR"/>
        </w:rPr>
        <w:t>i</w:t>
      </w:r>
      <w:r w:rsidRPr="00011A46">
        <w:rPr>
          <w:lang w:eastAsia="fr-FR" w:bidi="fr-FR"/>
        </w:rPr>
        <w:t>gée</w:t>
      </w:r>
      <w:r>
        <w:rPr>
          <w:lang w:eastAsia="fr-FR" w:bidi="fr-FR"/>
        </w:rPr>
        <w:t xml:space="preserve"> [418] </w:t>
      </w:r>
      <w:r w:rsidRPr="00011A46">
        <w:rPr>
          <w:lang w:eastAsia="fr-FR" w:bidi="fr-FR"/>
        </w:rPr>
        <w:t xml:space="preserve">par celle des tribunaux, pour revenir après quelques années au </w:t>
      </w:r>
      <w:r w:rsidRPr="00B82F12">
        <w:rPr>
          <w:i/>
          <w:iCs/>
        </w:rPr>
        <w:t>st</w:t>
      </w:r>
      <w:r w:rsidRPr="00B82F12">
        <w:rPr>
          <w:i/>
          <w:iCs/>
        </w:rPr>
        <w:t>a</w:t>
      </w:r>
      <w:r w:rsidRPr="00B82F12">
        <w:rPr>
          <w:i/>
          <w:iCs/>
        </w:rPr>
        <w:t>tu quo ante,</w:t>
      </w:r>
      <w:r w:rsidRPr="00011A46">
        <w:rPr>
          <w:lang w:eastAsia="fr-FR" w:bidi="fr-FR"/>
        </w:rPr>
        <w:t xml:space="preserve"> les décideurs au Canada réagirent plutôt par des interprétations et ajust</w:t>
      </w:r>
      <w:r w:rsidRPr="00011A46">
        <w:rPr>
          <w:lang w:eastAsia="fr-FR" w:bidi="fr-FR"/>
        </w:rPr>
        <w:t>e</w:t>
      </w:r>
      <w:r w:rsidRPr="00011A46">
        <w:rPr>
          <w:lang w:eastAsia="fr-FR" w:bidi="fr-FR"/>
        </w:rPr>
        <w:t>ments graduels de polit</w:t>
      </w:r>
      <w:r w:rsidRPr="00011A46">
        <w:rPr>
          <w:lang w:eastAsia="fr-FR" w:bidi="fr-FR"/>
        </w:rPr>
        <w:t>i</w:t>
      </w:r>
      <w:r w:rsidRPr="00011A46">
        <w:rPr>
          <w:lang w:eastAsia="fr-FR" w:bidi="fr-FR"/>
        </w:rPr>
        <w:t>ques et de directives internes déjà en place, tandis que le r</w:t>
      </w:r>
      <w:r w:rsidRPr="00011A46">
        <w:rPr>
          <w:lang w:eastAsia="fr-FR" w:bidi="fr-FR"/>
        </w:rPr>
        <w:t>e</w:t>
      </w:r>
      <w:r w:rsidRPr="00011A46">
        <w:rPr>
          <w:lang w:eastAsia="fr-FR" w:bidi="fr-FR"/>
        </w:rPr>
        <w:t>cours à l'appareil judiciaire fut plus épars. De l'accord de tous les spécialistes - et concordant avec nos propres résultats d'e</w:t>
      </w:r>
      <w:r w:rsidRPr="00011A46">
        <w:rPr>
          <w:lang w:eastAsia="fr-FR" w:bidi="fr-FR"/>
        </w:rPr>
        <w:t>n</w:t>
      </w:r>
      <w:r w:rsidRPr="00011A46">
        <w:rPr>
          <w:lang w:eastAsia="fr-FR" w:bidi="fr-FR"/>
        </w:rPr>
        <w:t>quête - ce n'est que dans le domaine de la recherche m</w:t>
      </w:r>
      <w:r w:rsidRPr="00011A46">
        <w:rPr>
          <w:lang w:eastAsia="fr-FR" w:bidi="fr-FR"/>
        </w:rPr>
        <w:t>é</w:t>
      </w:r>
      <w:r w:rsidRPr="00011A46">
        <w:rPr>
          <w:lang w:eastAsia="fr-FR" w:bidi="fr-FR"/>
        </w:rPr>
        <w:t>dicale et de la régulation des nouveaux médicaments que des changements durables se sont imposés. C'est à ce carrefour de pratiques et d'intérêts scient</w:t>
      </w:r>
      <w:r w:rsidRPr="00011A46">
        <w:rPr>
          <w:lang w:eastAsia="fr-FR" w:bidi="fr-FR"/>
        </w:rPr>
        <w:t>i</w:t>
      </w:r>
      <w:r w:rsidRPr="00011A46">
        <w:rPr>
          <w:lang w:eastAsia="fr-FR" w:bidi="fr-FR"/>
        </w:rPr>
        <w:t>fiques et socio-économiques, de catastrophes appréhendées, de pre</w:t>
      </w:r>
      <w:r w:rsidRPr="00011A46">
        <w:rPr>
          <w:lang w:eastAsia="fr-FR" w:bidi="fr-FR"/>
        </w:rPr>
        <w:t>s</w:t>
      </w:r>
      <w:r w:rsidRPr="00011A46">
        <w:rPr>
          <w:lang w:eastAsia="fr-FR" w:bidi="fr-FR"/>
        </w:rPr>
        <w:t>sions politiques médiatisées et de dilemmes e</w:t>
      </w:r>
      <w:r w:rsidRPr="00011A46">
        <w:rPr>
          <w:lang w:eastAsia="fr-FR" w:bidi="fr-FR"/>
        </w:rPr>
        <w:t>n</w:t>
      </w:r>
      <w:r w:rsidRPr="00011A46">
        <w:rPr>
          <w:lang w:eastAsia="fr-FR" w:bidi="fr-FR"/>
        </w:rPr>
        <w:t>tre droits individuels et bien commun que le contrat entre le citoyen et le système de santé ne tenait plus et mettait en cause le lien social. La demande de droits fut dans ce cas un appel à la responsabilité partagée et au refus de normes scientifiques immuables, au nom de notre civil</w:t>
      </w:r>
      <w:r w:rsidRPr="00011A46">
        <w:rPr>
          <w:lang w:eastAsia="fr-FR" w:bidi="fr-FR"/>
        </w:rPr>
        <w:t>i</w:t>
      </w:r>
      <w:r w:rsidRPr="00011A46">
        <w:rPr>
          <w:lang w:eastAsia="fr-FR" w:bidi="fr-FR"/>
        </w:rPr>
        <w:t>sation qui se sait de nouveau mortelle.</w:t>
      </w:r>
    </w:p>
    <w:p w:rsidR="00B7214C" w:rsidRDefault="00B7214C" w:rsidP="00B7214C">
      <w:pPr>
        <w:pStyle w:val="p"/>
      </w:pPr>
      <w:r>
        <w:t>[419]</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 w:rsidR="00B7214C" w:rsidRDefault="00B7214C" w:rsidP="00B7214C">
      <w:pPr>
        <w:pStyle w:val="p"/>
      </w:pPr>
      <w:r>
        <w:t>[420]</w:t>
      </w:r>
    </w:p>
    <w:p w:rsidR="00B7214C" w:rsidRDefault="00B7214C" w:rsidP="00B7214C">
      <w:pPr>
        <w:pStyle w:val="p"/>
      </w:pPr>
      <w:r>
        <w:t>[</w:t>
      </w:r>
      <w:r w:rsidRPr="00011A46">
        <w:t>421</w:t>
      </w:r>
      <w:r>
        <w:t>]</w:t>
      </w:r>
    </w:p>
    <w:p w:rsidR="00B7214C" w:rsidRDefault="00B7214C" w:rsidP="00B7214C">
      <w:pPr>
        <w:pStyle w:val="p"/>
      </w:pPr>
      <w:r>
        <w:t>[422]</w:t>
      </w: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pStyle w:val="a"/>
      </w:pPr>
      <w:r w:rsidRPr="00011A46">
        <w:t>RÉFÉRENCES</w:t>
      </w:r>
    </w:p>
    <w:p w:rsidR="00B7214C" w:rsidRPr="00011A46" w:rsidRDefault="00B7214C" w:rsidP="00B7214C">
      <w:pPr>
        <w:spacing w:before="120" w:after="120"/>
        <w:jc w:val="both"/>
      </w:pPr>
    </w:p>
    <w:p w:rsidR="00B7214C" w:rsidRPr="00011A46" w:rsidRDefault="00B7214C" w:rsidP="00B7214C">
      <w:pPr>
        <w:spacing w:before="120" w:after="120"/>
        <w:jc w:val="both"/>
      </w:pPr>
      <w:r w:rsidRPr="00011A46">
        <w:t>Banks, T.L., « Women and AIDS : Racism, Sexism, and Cla</w:t>
      </w:r>
      <w:r w:rsidRPr="00011A46">
        <w:t>s</w:t>
      </w:r>
      <w:r w:rsidRPr="00011A46">
        <w:t xml:space="preserve">sism », </w:t>
      </w:r>
      <w:r w:rsidRPr="00B82F12">
        <w:rPr>
          <w:i/>
          <w:iCs/>
        </w:rPr>
        <w:t>New York University Review of</w:t>
      </w:r>
      <w:r>
        <w:rPr>
          <w:i/>
          <w:iCs/>
        </w:rPr>
        <w:t xml:space="preserve"> </w:t>
      </w:r>
      <w:r w:rsidRPr="00B82F12">
        <w:rPr>
          <w:i/>
          <w:iCs/>
        </w:rPr>
        <w:t>Law and Social Change,</w:t>
      </w:r>
      <w:r w:rsidRPr="00011A46">
        <w:t xml:space="preserve"> 1990, n°</w:t>
      </w:r>
      <w:r>
        <w:t> </w:t>
      </w:r>
      <w:r w:rsidRPr="00011A46">
        <w:t>17, p</w:t>
      </w:r>
      <w:r>
        <w:t>p</w:t>
      </w:r>
      <w:r w:rsidRPr="00011A46">
        <w:t>. 351-385.</w:t>
      </w:r>
    </w:p>
    <w:p w:rsidR="00B7214C" w:rsidRPr="00011A46" w:rsidRDefault="00B7214C" w:rsidP="00B7214C">
      <w:pPr>
        <w:spacing w:before="120" w:after="120"/>
        <w:jc w:val="both"/>
      </w:pPr>
      <w:r w:rsidRPr="00011A46">
        <w:t xml:space="preserve">Bourdelais, P., « Contagions d'hier et d'aujourd'hui ». </w:t>
      </w:r>
      <w:r w:rsidRPr="00B82F12">
        <w:rPr>
          <w:i/>
          <w:iCs/>
        </w:rPr>
        <w:t>Sciences s</w:t>
      </w:r>
      <w:r w:rsidRPr="00B82F12">
        <w:rPr>
          <w:i/>
          <w:iCs/>
        </w:rPr>
        <w:t>o</w:t>
      </w:r>
      <w:r w:rsidRPr="00B82F12">
        <w:rPr>
          <w:i/>
          <w:iCs/>
        </w:rPr>
        <w:t>ciales et Santé,</w:t>
      </w:r>
      <w:r w:rsidRPr="00011A46">
        <w:t xml:space="preserve"> 1989, vol.</w:t>
      </w:r>
      <w:r>
        <w:t> </w:t>
      </w:r>
      <w:r w:rsidRPr="00011A46">
        <w:t>7, n°</w:t>
      </w:r>
      <w:r>
        <w:t> </w:t>
      </w:r>
      <w:r w:rsidRPr="00011A46">
        <w:t>1, p. 7-20.</w:t>
      </w:r>
    </w:p>
    <w:p w:rsidR="00B7214C" w:rsidRPr="00011A46" w:rsidRDefault="00B7214C" w:rsidP="00B7214C">
      <w:pPr>
        <w:spacing w:before="120" w:after="120"/>
        <w:jc w:val="both"/>
      </w:pPr>
      <w:r w:rsidRPr="00011A46">
        <w:t>Bruner, J.R., « AIDS and ERISA Pr</w:t>
      </w:r>
      <w:r>
        <w:t>e</w:t>
      </w:r>
      <w:r w:rsidRPr="00011A46">
        <w:t xml:space="preserve">emption : the Double Threat », </w:t>
      </w:r>
      <w:r w:rsidRPr="00B82F12">
        <w:rPr>
          <w:i/>
          <w:iCs/>
        </w:rPr>
        <w:t>Duke</w:t>
      </w:r>
      <w:r>
        <w:rPr>
          <w:i/>
          <w:iCs/>
        </w:rPr>
        <w:t xml:space="preserve"> </w:t>
      </w:r>
      <w:r w:rsidRPr="00B82F12">
        <w:rPr>
          <w:i/>
          <w:iCs/>
        </w:rPr>
        <w:t>Law Journal,</w:t>
      </w:r>
      <w:r w:rsidRPr="00011A46">
        <w:t xml:space="preserve"> 1992, n°</w:t>
      </w:r>
      <w:r>
        <w:t> </w:t>
      </w:r>
      <w:r w:rsidRPr="00011A46">
        <w:t>41, p</w:t>
      </w:r>
      <w:r>
        <w:t>p</w:t>
      </w:r>
      <w:r w:rsidRPr="00011A46">
        <w:t>. 1115-1156.</w:t>
      </w:r>
    </w:p>
    <w:p w:rsidR="00B7214C" w:rsidRPr="00011A46" w:rsidRDefault="00B7214C" w:rsidP="00B7214C">
      <w:pPr>
        <w:spacing w:before="120" w:after="120"/>
        <w:jc w:val="both"/>
      </w:pPr>
      <w:r w:rsidRPr="00B82F12">
        <w:t xml:space="preserve">Dixon, J., </w:t>
      </w:r>
      <w:r w:rsidRPr="00011A46">
        <w:t>Catastrophic Rights. Experimental Drugs and AIDS,</w:t>
      </w:r>
      <w:r w:rsidRPr="00B82F12">
        <w:t xml:space="preserve"> Vancouver, New Star Books, 1990.</w:t>
      </w:r>
    </w:p>
    <w:p w:rsidR="00B7214C" w:rsidRPr="00011A46" w:rsidRDefault="00B7214C" w:rsidP="00B7214C">
      <w:pPr>
        <w:spacing w:before="120" w:after="120"/>
        <w:jc w:val="both"/>
      </w:pPr>
      <w:r w:rsidRPr="00B82F12">
        <w:t xml:space="preserve">Douglas, M., </w:t>
      </w:r>
      <w:r w:rsidRPr="000D7C03">
        <w:rPr>
          <w:i/>
        </w:rPr>
        <w:t>Risk and Blame. Essays in Cultural Theory</w:t>
      </w:r>
      <w:r w:rsidRPr="00011A46">
        <w:t>,</w:t>
      </w:r>
      <w:r w:rsidRPr="00B82F12">
        <w:t xml:space="preserve"> Londres, Routledge, 1992.</w:t>
      </w:r>
    </w:p>
    <w:p w:rsidR="00B7214C" w:rsidRPr="00011A46" w:rsidRDefault="00B7214C" w:rsidP="00B7214C">
      <w:pPr>
        <w:spacing w:before="120" w:after="120"/>
        <w:jc w:val="both"/>
      </w:pPr>
      <w:r w:rsidRPr="00011A46">
        <w:t xml:space="preserve">Douglas, M., « Risk as a Forensic Resource », </w:t>
      </w:r>
      <w:r w:rsidRPr="00B82F12">
        <w:rPr>
          <w:i/>
          <w:iCs/>
        </w:rPr>
        <w:t>Daedalus,</w:t>
      </w:r>
      <w:r w:rsidRPr="00011A46">
        <w:t xml:space="preserve"> 1990, vol.</w:t>
      </w:r>
      <w:r>
        <w:t> </w:t>
      </w:r>
      <w:r w:rsidRPr="00011A46">
        <w:t>119, n°</w:t>
      </w:r>
      <w:r>
        <w:t> </w:t>
      </w:r>
      <w:r w:rsidRPr="00011A46">
        <w:t>4, p</w:t>
      </w:r>
      <w:r>
        <w:t>p</w:t>
      </w:r>
      <w:r w:rsidRPr="00011A46">
        <w:t>. 1-16.</w:t>
      </w:r>
    </w:p>
    <w:p w:rsidR="00B7214C" w:rsidRPr="00011A46" w:rsidRDefault="00B7214C" w:rsidP="00B7214C">
      <w:pPr>
        <w:spacing w:before="120" w:after="120"/>
        <w:jc w:val="both"/>
      </w:pPr>
      <w:r w:rsidRPr="00011A46">
        <w:t xml:space="preserve">Douglas, M., </w:t>
      </w:r>
      <w:r w:rsidRPr="00B82F12">
        <w:rPr>
          <w:i/>
          <w:iCs/>
        </w:rPr>
        <w:t>Risk Acceptability According to the Social Sciences,</w:t>
      </w:r>
      <w:r w:rsidRPr="00011A46">
        <w:t xml:space="preserve"> Social Research Perspectives, Occasional Reports on Current Topics, New York, Russell Sage Foundation, 1985.</w:t>
      </w:r>
    </w:p>
    <w:p w:rsidR="00B7214C" w:rsidRPr="00011A46" w:rsidRDefault="00B7214C" w:rsidP="00B7214C">
      <w:pPr>
        <w:spacing w:before="120" w:after="120"/>
        <w:jc w:val="both"/>
      </w:pPr>
      <w:r w:rsidRPr="00011A46">
        <w:t xml:space="preserve">Douglas, M., </w:t>
      </w:r>
      <w:r w:rsidRPr="00B82F12">
        <w:rPr>
          <w:i/>
          <w:iCs/>
        </w:rPr>
        <w:t>Purity and Danger,</w:t>
      </w:r>
      <w:r w:rsidRPr="00011A46">
        <w:t xml:space="preserve"> London, Routledge and Kegan Paul, 1966.</w:t>
      </w:r>
    </w:p>
    <w:p w:rsidR="00B7214C" w:rsidRPr="00011A46" w:rsidRDefault="00B7214C" w:rsidP="00B7214C">
      <w:pPr>
        <w:spacing w:before="120" w:after="120"/>
        <w:jc w:val="both"/>
      </w:pPr>
      <w:r w:rsidRPr="00011A46">
        <w:t xml:space="preserve">Douglas, M. et A. Wildavsky, </w:t>
      </w:r>
      <w:r w:rsidRPr="00B82F12">
        <w:rPr>
          <w:i/>
          <w:iCs/>
        </w:rPr>
        <w:t>Risk</w:t>
      </w:r>
      <w:r>
        <w:rPr>
          <w:i/>
          <w:iCs/>
        </w:rPr>
        <w:t xml:space="preserve"> </w:t>
      </w:r>
      <w:r w:rsidRPr="00B82F12">
        <w:rPr>
          <w:i/>
          <w:iCs/>
        </w:rPr>
        <w:t>and Culture,</w:t>
      </w:r>
      <w:r w:rsidRPr="00011A46">
        <w:t xml:space="preserve"> Berkeley, Unive</w:t>
      </w:r>
      <w:r w:rsidRPr="00011A46">
        <w:t>r</w:t>
      </w:r>
      <w:r w:rsidRPr="00011A46">
        <w:t>sity of California Press, 1982.</w:t>
      </w:r>
    </w:p>
    <w:p w:rsidR="00B7214C" w:rsidRPr="00011A46" w:rsidRDefault="00B7214C" w:rsidP="00B7214C">
      <w:pPr>
        <w:spacing w:before="120" w:after="120"/>
        <w:jc w:val="both"/>
      </w:pPr>
      <w:r w:rsidRPr="00011A46">
        <w:t>Eisenstat, S., « An analysis of the rationality of mandatory testing for the HIV antibody : balancing the governmental public health int</w:t>
      </w:r>
      <w:r w:rsidRPr="00011A46">
        <w:t>e</w:t>
      </w:r>
      <w:r w:rsidRPr="00011A46">
        <w:t>r</w:t>
      </w:r>
      <w:r>
        <w:t>ests with the individuals priva</w:t>
      </w:r>
      <w:r w:rsidRPr="00011A46">
        <w:t>cy int</w:t>
      </w:r>
      <w:r w:rsidRPr="00011A46">
        <w:t>e</w:t>
      </w:r>
      <w:r w:rsidRPr="00011A46">
        <w:t xml:space="preserve">rest », </w:t>
      </w:r>
      <w:r w:rsidRPr="00B82F12">
        <w:rPr>
          <w:i/>
          <w:iCs/>
        </w:rPr>
        <w:t>University of Pittsburgh Law Review,</w:t>
      </w:r>
      <w:r w:rsidRPr="00011A46">
        <w:t xml:space="preserve"> 1991, n°</w:t>
      </w:r>
      <w:r>
        <w:t> </w:t>
      </w:r>
      <w:r w:rsidRPr="00011A46">
        <w:t>52, p</w:t>
      </w:r>
      <w:r>
        <w:t>p</w:t>
      </w:r>
      <w:r w:rsidRPr="00011A46">
        <w:t>. 327-382.</w:t>
      </w:r>
    </w:p>
    <w:p w:rsidR="00B7214C" w:rsidRPr="00011A46" w:rsidRDefault="00B7214C" w:rsidP="00B7214C">
      <w:pPr>
        <w:spacing w:before="120" w:after="120"/>
        <w:jc w:val="both"/>
      </w:pPr>
      <w:r w:rsidRPr="00B82F12">
        <w:t xml:space="preserve">Elster, Jon, </w:t>
      </w:r>
      <w:r w:rsidRPr="000D7C03">
        <w:rPr>
          <w:i/>
        </w:rPr>
        <w:t>Local Justice. How Institutions Allocate Sca</w:t>
      </w:r>
      <w:r w:rsidRPr="000D7C03">
        <w:rPr>
          <w:i/>
        </w:rPr>
        <w:t>r</w:t>
      </w:r>
      <w:r w:rsidRPr="000D7C03">
        <w:rPr>
          <w:i/>
        </w:rPr>
        <w:t>ce Goods and Necessary Burdens</w:t>
      </w:r>
      <w:r w:rsidRPr="00011A46">
        <w:t>,</w:t>
      </w:r>
      <w:r w:rsidRPr="00B82F12">
        <w:t xml:space="preserve"> New York, Russel Sage Foundation, 1992.</w:t>
      </w:r>
    </w:p>
    <w:p w:rsidR="00B7214C" w:rsidRPr="00011A46" w:rsidRDefault="00B7214C" w:rsidP="00B7214C">
      <w:pPr>
        <w:spacing w:before="120" w:after="120"/>
        <w:jc w:val="both"/>
      </w:pPr>
      <w:r w:rsidRPr="00011A46">
        <w:t>Epstein, S., « Démocrati</w:t>
      </w:r>
      <w:r>
        <w:t>c</w:t>
      </w:r>
      <w:r w:rsidRPr="00011A46">
        <w:t xml:space="preserve"> Science ? AIDS Activism and the Contested Construction of Knowledge », </w:t>
      </w:r>
      <w:r w:rsidRPr="00B82F12">
        <w:rPr>
          <w:i/>
          <w:iCs/>
        </w:rPr>
        <w:t>Socialist Review,</w:t>
      </w:r>
      <w:r w:rsidRPr="00011A46">
        <w:t xml:space="preserve"> 1991, vol.</w:t>
      </w:r>
      <w:r>
        <w:t> </w:t>
      </w:r>
      <w:r w:rsidRPr="00011A46">
        <w:t>21, n°</w:t>
      </w:r>
      <w:r>
        <w:t> </w:t>
      </w:r>
      <w:r w:rsidRPr="00011A46">
        <w:t xml:space="preserve">2, </w:t>
      </w:r>
      <w:r>
        <w:t>p</w:t>
      </w:r>
      <w:r w:rsidRPr="00011A46">
        <w:t>p. 35-64.</w:t>
      </w:r>
    </w:p>
    <w:p w:rsidR="00B7214C" w:rsidRPr="00011A46" w:rsidRDefault="00B7214C" w:rsidP="00B7214C">
      <w:pPr>
        <w:spacing w:before="120" w:after="120"/>
        <w:jc w:val="both"/>
      </w:pPr>
      <w:r w:rsidRPr="00011A46">
        <w:t xml:space="preserve">Ewald, F., « Die Versicherungs-Gesellschaft », dans U. Beck (dir.), </w:t>
      </w:r>
      <w:r w:rsidRPr="00B82F12">
        <w:rPr>
          <w:i/>
          <w:iCs/>
        </w:rPr>
        <w:t>Politik in der Risi</w:t>
      </w:r>
      <w:r>
        <w:rPr>
          <w:i/>
          <w:iCs/>
        </w:rPr>
        <w:t>koge</w:t>
      </w:r>
      <w:r w:rsidRPr="00B82F12">
        <w:rPr>
          <w:i/>
          <w:iCs/>
        </w:rPr>
        <w:t>sellschaft,</w:t>
      </w:r>
      <w:r w:rsidRPr="00011A46">
        <w:t xml:space="preserve"> Frankfurt A.M., Suhrkamp, 1991, p</w:t>
      </w:r>
      <w:r>
        <w:t>p</w:t>
      </w:r>
      <w:r w:rsidRPr="00011A46">
        <w:t>. 288-306.</w:t>
      </w:r>
    </w:p>
    <w:p w:rsidR="00B7214C" w:rsidRPr="00011A46" w:rsidRDefault="00B7214C" w:rsidP="00B7214C">
      <w:pPr>
        <w:spacing w:before="120" w:after="120"/>
        <w:jc w:val="both"/>
      </w:pPr>
      <w:r w:rsidRPr="00011A46">
        <w:t xml:space="preserve">Fox, D.M., « The Politics of HIV-Infection : 1989-1990 as Years of Change », dans E. Fee et D.M. Fox (dir.), </w:t>
      </w:r>
      <w:r w:rsidRPr="00B82F12">
        <w:rPr>
          <w:i/>
          <w:iCs/>
        </w:rPr>
        <w:t>AIDS. The Making of a Chronic Disease,</w:t>
      </w:r>
      <w:r w:rsidRPr="00011A46">
        <w:t xml:space="preserve"> Berkeley, University of Cal</w:t>
      </w:r>
      <w:r w:rsidRPr="00011A46">
        <w:t>i</w:t>
      </w:r>
      <w:r w:rsidRPr="00011A46">
        <w:t>fornia Press, 1992, p</w:t>
      </w:r>
      <w:r>
        <w:t>p</w:t>
      </w:r>
      <w:r w:rsidRPr="00011A46">
        <w:t>. 125-143.</w:t>
      </w:r>
    </w:p>
    <w:p w:rsidR="00B7214C" w:rsidRPr="00011A46" w:rsidRDefault="00B7214C" w:rsidP="00B7214C">
      <w:pPr>
        <w:spacing w:before="120" w:after="120"/>
        <w:jc w:val="both"/>
      </w:pPr>
      <w:r w:rsidRPr="00011A46">
        <w:t xml:space="preserve">Fox, D.M., « Financing Health Care for Persons with HIV-Infection. Guidelines for State Action », </w:t>
      </w:r>
      <w:r w:rsidRPr="00B82F12">
        <w:rPr>
          <w:i/>
          <w:iCs/>
        </w:rPr>
        <w:t>American Journal of</w:t>
      </w:r>
      <w:r>
        <w:rPr>
          <w:i/>
          <w:iCs/>
        </w:rPr>
        <w:t xml:space="preserve"> </w:t>
      </w:r>
      <w:r w:rsidRPr="00B82F12">
        <w:rPr>
          <w:i/>
          <w:iCs/>
        </w:rPr>
        <w:t>Law and Medicine,</w:t>
      </w:r>
      <w:r w:rsidRPr="00011A46">
        <w:t xml:space="preserve"> 1990, n°</w:t>
      </w:r>
      <w:r>
        <w:t> </w:t>
      </w:r>
      <w:r w:rsidRPr="00011A46">
        <w:t>16, p</w:t>
      </w:r>
      <w:r>
        <w:t>p</w:t>
      </w:r>
      <w:r w:rsidRPr="00011A46">
        <w:t>. 223-247.</w:t>
      </w:r>
    </w:p>
    <w:p w:rsidR="00B7214C" w:rsidRPr="00011A46" w:rsidRDefault="00B7214C" w:rsidP="00B7214C">
      <w:pPr>
        <w:spacing w:before="120" w:after="120"/>
        <w:jc w:val="both"/>
      </w:pPr>
      <w:r w:rsidRPr="00011A46">
        <w:t>Freedman, B., « Health-Care Workers' Occupational E</w:t>
      </w:r>
      <w:r w:rsidRPr="00011A46">
        <w:t>x</w:t>
      </w:r>
      <w:r w:rsidRPr="00011A46">
        <w:t xml:space="preserve">posure to AIDS. Obligations and Entitlements », dans C. Overall et W.P. Zion (dir.), </w:t>
      </w:r>
      <w:r w:rsidRPr="00B82F12">
        <w:rPr>
          <w:i/>
          <w:iCs/>
        </w:rPr>
        <w:t>Perspectives on AIDS, Ethical and Social Issues,</w:t>
      </w:r>
      <w:r w:rsidRPr="00011A46">
        <w:t xml:space="preserve"> Toronto, O</w:t>
      </w:r>
      <w:r w:rsidRPr="00011A46">
        <w:t>x</w:t>
      </w:r>
      <w:r w:rsidRPr="00011A46">
        <w:t>ford University Press, 1991, p</w:t>
      </w:r>
      <w:r>
        <w:t>p</w:t>
      </w:r>
      <w:r w:rsidRPr="00011A46">
        <w:t>. 91-105.</w:t>
      </w:r>
    </w:p>
    <w:p w:rsidR="00B7214C" w:rsidRPr="00011A46" w:rsidRDefault="00B7214C" w:rsidP="00B7214C">
      <w:pPr>
        <w:spacing w:before="120" w:after="120"/>
        <w:jc w:val="both"/>
      </w:pPr>
      <w:r w:rsidRPr="00011A46">
        <w:t xml:space="preserve">Giddens, A., </w:t>
      </w:r>
      <w:r w:rsidRPr="00B82F12">
        <w:rPr>
          <w:i/>
          <w:iCs/>
        </w:rPr>
        <w:t>Modernity and Self-Identity,</w:t>
      </w:r>
      <w:r w:rsidRPr="00011A46">
        <w:t xml:space="preserve"> Stanford, Stanford Un</w:t>
      </w:r>
      <w:r w:rsidRPr="00011A46">
        <w:t>i</w:t>
      </w:r>
      <w:r w:rsidRPr="00011A46">
        <w:t>versity Press, 1991.</w:t>
      </w:r>
    </w:p>
    <w:p w:rsidR="00B7214C" w:rsidRPr="00011A46" w:rsidRDefault="00B7214C" w:rsidP="00B7214C">
      <w:pPr>
        <w:spacing w:before="120" w:after="120"/>
        <w:jc w:val="both"/>
      </w:pPr>
      <w:r w:rsidRPr="00011A46">
        <w:t xml:space="preserve">Gostin, L., « The AIDS-Litigation Project : A National Review of Court and Human Rights Commission Decisions on Discrimination », dans E. Fee et D.M. Fox (dir.), </w:t>
      </w:r>
      <w:r w:rsidRPr="00B82F12">
        <w:rPr>
          <w:i/>
          <w:iCs/>
        </w:rPr>
        <w:t>AIDS. The Making ofa Chronic Dise</w:t>
      </w:r>
      <w:r w:rsidRPr="00B82F12">
        <w:rPr>
          <w:i/>
          <w:iCs/>
        </w:rPr>
        <w:t>a</w:t>
      </w:r>
      <w:r w:rsidRPr="00B82F12">
        <w:rPr>
          <w:i/>
          <w:iCs/>
        </w:rPr>
        <w:t>se,</w:t>
      </w:r>
      <w:r w:rsidRPr="00011A46">
        <w:t xml:space="preserve"> Berkeley, University of California Press, 1992, p</w:t>
      </w:r>
      <w:r>
        <w:t>p</w:t>
      </w:r>
      <w:r w:rsidRPr="00011A46">
        <w:t>. 144-169.</w:t>
      </w:r>
    </w:p>
    <w:p w:rsidR="00B7214C" w:rsidRDefault="00B7214C" w:rsidP="00B7214C">
      <w:pPr>
        <w:spacing w:before="120" w:after="120"/>
        <w:jc w:val="both"/>
      </w:pPr>
      <w:r w:rsidRPr="00011A46">
        <w:t>Greely, H.T., « AIDS and the American Health Care F</w:t>
      </w:r>
      <w:r w:rsidRPr="00011A46">
        <w:t>i</w:t>
      </w:r>
      <w:r w:rsidRPr="00011A46">
        <w:t xml:space="preserve">nancing System », </w:t>
      </w:r>
      <w:r w:rsidRPr="00B82F12">
        <w:rPr>
          <w:i/>
          <w:iCs/>
        </w:rPr>
        <w:t>University of Pittsburgh Law Review,</w:t>
      </w:r>
      <w:r w:rsidRPr="00011A46">
        <w:t xml:space="preserve"> 1989, n°</w:t>
      </w:r>
      <w:r>
        <w:t> </w:t>
      </w:r>
      <w:r w:rsidRPr="00011A46">
        <w:t>51, p</w:t>
      </w:r>
      <w:r>
        <w:t>p</w:t>
      </w:r>
      <w:r w:rsidRPr="00011A46">
        <w:t>. 73-166.</w:t>
      </w:r>
    </w:p>
    <w:p w:rsidR="00B7214C" w:rsidRPr="00011A46" w:rsidRDefault="00B7214C" w:rsidP="00B7214C">
      <w:pPr>
        <w:spacing w:before="120" w:after="120"/>
        <w:jc w:val="both"/>
      </w:pPr>
      <w:r>
        <w:t>[423]</w:t>
      </w:r>
    </w:p>
    <w:p w:rsidR="00B7214C" w:rsidRPr="00011A46" w:rsidRDefault="00B7214C" w:rsidP="00B7214C">
      <w:pPr>
        <w:spacing w:before="120" w:after="120"/>
        <w:jc w:val="both"/>
      </w:pPr>
      <w:r w:rsidRPr="00011A46">
        <w:t xml:space="preserve">Habermas, J., </w:t>
      </w:r>
      <w:r w:rsidRPr="00B82F12">
        <w:rPr>
          <w:i/>
          <w:iCs/>
        </w:rPr>
        <w:t xml:space="preserve">Théorie des kommunikativen Handelns, </w:t>
      </w:r>
      <w:r w:rsidRPr="000D7C03">
        <w:rPr>
          <w:iCs/>
        </w:rPr>
        <w:t>2</w:t>
      </w:r>
      <w:r>
        <w:t> </w:t>
      </w:r>
      <w:r w:rsidRPr="00011A46">
        <w:t>vol., 3</w:t>
      </w:r>
      <w:r w:rsidRPr="00B82F12">
        <w:t>e</w:t>
      </w:r>
      <w:r w:rsidRPr="00011A46">
        <w:t xml:space="preserve"> éd., Frankfurt am Main : Suhrkamp Verlag, 1985.</w:t>
      </w:r>
    </w:p>
    <w:p w:rsidR="00B7214C" w:rsidRPr="00011A46" w:rsidRDefault="00B7214C" w:rsidP="00B7214C">
      <w:pPr>
        <w:spacing w:before="120" w:after="120"/>
        <w:jc w:val="both"/>
      </w:pPr>
      <w:r w:rsidRPr="00011A46">
        <w:t xml:space="preserve">Isaacman, S.H., « Are We Outlawing Motherhood for HIV-Infected Women ? » </w:t>
      </w:r>
      <w:r w:rsidRPr="00B82F12">
        <w:rPr>
          <w:i/>
          <w:iCs/>
        </w:rPr>
        <w:t>Loyola University Law Journal,</w:t>
      </w:r>
      <w:r w:rsidRPr="00011A46">
        <w:t xml:space="preserve"> 1991a, n°</w:t>
      </w:r>
      <w:r>
        <w:t> </w:t>
      </w:r>
      <w:r w:rsidRPr="00011A46">
        <w:t>22, p</w:t>
      </w:r>
      <w:r>
        <w:t>p</w:t>
      </w:r>
      <w:r w:rsidRPr="00011A46">
        <w:t>. 479-496.</w:t>
      </w:r>
    </w:p>
    <w:p w:rsidR="00B7214C" w:rsidRPr="00011A46" w:rsidRDefault="00B7214C" w:rsidP="00B7214C">
      <w:pPr>
        <w:spacing w:before="120" w:after="120"/>
        <w:jc w:val="both"/>
      </w:pPr>
      <w:r w:rsidRPr="00011A46">
        <w:t>Isaacman, S.H., « Néonatal HIV-Testing. Governmental Inspect</w:t>
      </w:r>
      <w:r w:rsidRPr="00011A46">
        <w:t>a</w:t>
      </w:r>
      <w:r>
        <w:t>tion of the Baby Facto</w:t>
      </w:r>
      <w:r w:rsidRPr="00011A46">
        <w:t xml:space="preserve">ry », </w:t>
      </w:r>
      <w:r w:rsidRPr="00B82F12">
        <w:rPr>
          <w:i/>
          <w:iCs/>
        </w:rPr>
        <w:t>The John Marshall Law Review,</w:t>
      </w:r>
      <w:r w:rsidRPr="00011A46">
        <w:t xml:space="preserve"> 1991b, n°</w:t>
      </w:r>
      <w:r>
        <w:t> </w:t>
      </w:r>
      <w:r w:rsidRPr="00011A46">
        <w:t>24, p</w:t>
      </w:r>
      <w:r>
        <w:t>p</w:t>
      </w:r>
      <w:r w:rsidRPr="00011A46">
        <w:t>. 571-624.</w:t>
      </w:r>
    </w:p>
    <w:p w:rsidR="00B7214C" w:rsidRPr="00011A46" w:rsidRDefault="00B7214C" w:rsidP="00B7214C">
      <w:pPr>
        <w:spacing w:before="120" w:after="120"/>
        <w:jc w:val="both"/>
      </w:pPr>
      <w:r w:rsidRPr="00011A46">
        <w:t>Jackson, M.H., « Health Insurance. The Battle Over Limits of C</w:t>
      </w:r>
      <w:r w:rsidRPr="00011A46">
        <w:t>o</w:t>
      </w:r>
      <w:r>
        <w:t>verage », dans N.D. Hun</w:t>
      </w:r>
      <w:r w:rsidRPr="00011A46">
        <w:t xml:space="preserve">ter et W.B. Rubenstein (dir.), </w:t>
      </w:r>
      <w:r w:rsidRPr="00B82F12">
        <w:rPr>
          <w:i/>
          <w:iCs/>
        </w:rPr>
        <w:t>AIDS Agenda. Emerging Issues in Civil Rights,</w:t>
      </w:r>
      <w:r w:rsidRPr="00011A46">
        <w:t xml:space="preserve"> New York, The New Press, 1992, </w:t>
      </w:r>
      <w:r>
        <w:t>p</w:t>
      </w:r>
      <w:r w:rsidRPr="00011A46">
        <w:t>p. 147-179.</w:t>
      </w:r>
    </w:p>
    <w:p w:rsidR="00B7214C" w:rsidRPr="00011A46" w:rsidRDefault="00B7214C" w:rsidP="00B7214C">
      <w:pPr>
        <w:spacing w:before="120" w:after="120"/>
        <w:jc w:val="both"/>
      </w:pPr>
      <w:r w:rsidRPr="00011A46">
        <w:t xml:space="preserve">Jonson, A.R. et J. Stryker (dir.), </w:t>
      </w:r>
      <w:r w:rsidRPr="00B82F12">
        <w:rPr>
          <w:i/>
          <w:iCs/>
        </w:rPr>
        <w:t>The Social Impact of AIDS in the United States,</w:t>
      </w:r>
      <w:r w:rsidRPr="00011A46">
        <w:t xml:space="preserve"> National Research Council, Washington, National Ac</w:t>
      </w:r>
      <w:r w:rsidRPr="00011A46">
        <w:t>a</w:t>
      </w:r>
      <w:r w:rsidRPr="00011A46">
        <w:t>demy Press, 1993.</w:t>
      </w:r>
    </w:p>
    <w:p w:rsidR="00B7214C" w:rsidRPr="00011A46" w:rsidRDefault="00B7214C" w:rsidP="00B7214C">
      <w:pPr>
        <w:spacing w:before="120" w:after="120"/>
        <w:jc w:val="both"/>
      </w:pPr>
      <w:r w:rsidRPr="00011A46">
        <w:t xml:space="preserve">Lipovetsky, G., </w:t>
      </w:r>
      <w:r w:rsidRPr="00B82F12">
        <w:rPr>
          <w:i/>
          <w:iCs/>
        </w:rPr>
        <w:t>L'empire de l'éphémère,</w:t>
      </w:r>
      <w:r w:rsidRPr="00011A46">
        <w:t xml:space="preserve"> Paris, Gallimard, 1987.</w:t>
      </w:r>
    </w:p>
    <w:p w:rsidR="00B7214C" w:rsidRPr="00011A46" w:rsidRDefault="00B7214C" w:rsidP="00B7214C">
      <w:pPr>
        <w:spacing w:before="120" w:after="120"/>
        <w:jc w:val="both"/>
      </w:pPr>
      <w:r w:rsidRPr="00011A46">
        <w:t xml:space="preserve">Murbach, R., « Médecins et patients au temps du sida. Le cas de Montréal », </w:t>
      </w:r>
      <w:r w:rsidRPr="00B82F12">
        <w:rPr>
          <w:i/>
          <w:iCs/>
        </w:rPr>
        <w:t>Anthropologie et sociétés,</w:t>
      </w:r>
      <w:r w:rsidRPr="00011A46">
        <w:t xml:space="preserve"> 1991, vol. 15, n</w:t>
      </w:r>
      <w:r>
        <w:t>os </w:t>
      </w:r>
      <w:r w:rsidRPr="00011A46">
        <w:t>2-3, p</w:t>
      </w:r>
      <w:r>
        <w:t>p</w:t>
      </w:r>
      <w:r w:rsidRPr="00011A46">
        <w:t>. 67-90.</w:t>
      </w:r>
    </w:p>
    <w:p w:rsidR="00B7214C" w:rsidRPr="00011A46" w:rsidRDefault="00B7214C" w:rsidP="00B7214C">
      <w:pPr>
        <w:spacing w:before="120" w:after="120"/>
        <w:jc w:val="both"/>
      </w:pPr>
      <w:r w:rsidRPr="00011A46">
        <w:t>Murbach, R., « </w:t>
      </w:r>
      <w:hyperlink r:id="rId100" w:history="1">
        <w:r w:rsidRPr="00A77344">
          <w:rPr>
            <w:rStyle w:val="Lienhypertexte"/>
          </w:rPr>
          <w:t>Le grand désordre : le sida et les normes </w:t>
        </w:r>
      </w:hyperlink>
      <w:r w:rsidRPr="00011A46">
        <w:t xml:space="preserve">». </w:t>
      </w:r>
      <w:r w:rsidRPr="00B82F12">
        <w:rPr>
          <w:i/>
          <w:iCs/>
        </w:rPr>
        <w:t>Anthr</w:t>
      </w:r>
      <w:r w:rsidRPr="00B82F12">
        <w:rPr>
          <w:i/>
          <w:iCs/>
        </w:rPr>
        <w:t>o</w:t>
      </w:r>
      <w:r w:rsidRPr="00B82F12">
        <w:rPr>
          <w:i/>
          <w:iCs/>
        </w:rPr>
        <w:t>pologie et sociétés,</w:t>
      </w:r>
      <w:r w:rsidRPr="00011A46">
        <w:t xml:space="preserve"> 1989, vol. 13, n</w:t>
      </w:r>
      <w:r>
        <w:t>o </w:t>
      </w:r>
      <w:r w:rsidRPr="00011A46">
        <w:t xml:space="preserve">1, </w:t>
      </w:r>
      <w:r>
        <w:t>p</w:t>
      </w:r>
      <w:r w:rsidRPr="00011A46">
        <w:t>p. 77-102.</w:t>
      </w:r>
    </w:p>
    <w:p w:rsidR="00B7214C" w:rsidRPr="00011A46" w:rsidRDefault="00B7214C" w:rsidP="00B7214C">
      <w:pPr>
        <w:spacing w:before="120" w:after="120"/>
        <w:jc w:val="both"/>
      </w:pPr>
      <w:r w:rsidRPr="00011A46">
        <w:t>O'Brien, R.C., « Discrimination : the Diff</w:t>
      </w:r>
      <w:r>
        <w:t>e</w:t>
      </w:r>
      <w:r w:rsidRPr="00011A46">
        <w:t xml:space="preserve">rence with AIDS », </w:t>
      </w:r>
      <w:r w:rsidRPr="00B82F12">
        <w:rPr>
          <w:i/>
          <w:iCs/>
        </w:rPr>
        <w:t>The Journal of Contemporary Health Law and Policy,</w:t>
      </w:r>
      <w:r w:rsidRPr="00011A46">
        <w:t xml:space="preserve"> 1990, n°</w:t>
      </w:r>
      <w:r>
        <w:t> </w:t>
      </w:r>
      <w:r w:rsidRPr="00011A46">
        <w:t>6, p</w:t>
      </w:r>
      <w:r>
        <w:t>p</w:t>
      </w:r>
      <w:r w:rsidRPr="00011A46">
        <w:t>. 93-125.</w:t>
      </w:r>
    </w:p>
    <w:p w:rsidR="00B7214C" w:rsidRPr="00011A46" w:rsidRDefault="00B7214C" w:rsidP="00B7214C">
      <w:pPr>
        <w:spacing w:before="120" w:after="120"/>
        <w:jc w:val="both"/>
      </w:pPr>
      <w:r w:rsidRPr="00011A46">
        <w:t>Padgug, R.A. et G.M. Oppenheimer, « AIDS, Health Ins</w:t>
      </w:r>
      <w:r w:rsidRPr="00011A46">
        <w:t>u</w:t>
      </w:r>
      <w:r>
        <w:t>rance and the Crisis of Com</w:t>
      </w:r>
      <w:r w:rsidRPr="00011A46">
        <w:t xml:space="preserve">munity ». </w:t>
      </w:r>
      <w:r w:rsidRPr="00B82F12">
        <w:rPr>
          <w:i/>
          <w:iCs/>
        </w:rPr>
        <w:t>Notre Dame Journal of</w:t>
      </w:r>
      <w:r>
        <w:rPr>
          <w:i/>
          <w:iCs/>
        </w:rPr>
        <w:t xml:space="preserve"> </w:t>
      </w:r>
      <w:r w:rsidRPr="00B82F12">
        <w:rPr>
          <w:i/>
          <w:iCs/>
        </w:rPr>
        <w:t>Law, Ethics, and Public Policy,</w:t>
      </w:r>
      <w:r w:rsidRPr="00011A46">
        <w:t xml:space="preserve"> 1990, n°</w:t>
      </w:r>
      <w:r>
        <w:t> </w:t>
      </w:r>
      <w:r w:rsidRPr="00011A46">
        <w:t>5, p</w:t>
      </w:r>
      <w:r>
        <w:t>p</w:t>
      </w:r>
      <w:r w:rsidRPr="00011A46">
        <w:t>. 35-51.</w:t>
      </w:r>
    </w:p>
    <w:p w:rsidR="00B7214C" w:rsidRPr="00011A46" w:rsidRDefault="00B7214C" w:rsidP="00B7214C">
      <w:pPr>
        <w:spacing w:before="120" w:after="120"/>
        <w:jc w:val="both"/>
      </w:pPr>
      <w:r w:rsidRPr="00011A46">
        <w:t xml:space="preserve">Patton, C., </w:t>
      </w:r>
      <w:r w:rsidRPr="00B82F12">
        <w:rPr>
          <w:i/>
          <w:iCs/>
        </w:rPr>
        <w:t>Inventing AIDS,</w:t>
      </w:r>
      <w:r w:rsidRPr="00011A46">
        <w:t xml:space="preserve"> New York, Routledge, Cha</w:t>
      </w:r>
      <w:r w:rsidRPr="00011A46">
        <w:t>p</w:t>
      </w:r>
      <w:r w:rsidRPr="00011A46">
        <w:t>man and Hall, Inc., 1990.</w:t>
      </w:r>
    </w:p>
    <w:p w:rsidR="00B7214C" w:rsidRPr="00011A46" w:rsidRDefault="00B7214C" w:rsidP="00B7214C">
      <w:pPr>
        <w:spacing w:before="120" w:after="120"/>
        <w:jc w:val="both"/>
      </w:pPr>
      <w:r w:rsidRPr="00011A46">
        <w:t>Plough, A.L., « Medical Technology and the Crisis of E</w:t>
      </w:r>
      <w:r w:rsidRPr="00011A46">
        <w:t>x</w:t>
      </w:r>
      <w:r w:rsidRPr="00011A46">
        <w:t>p</w:t>
      </w:r>
      <w:r>
        <w:t>e</w:t>
      </w:r>
      <w:r w:rsidRPr="00011A46">
        <w:t>rience : The Cost of Clinical L</w:t>
      </w:r>
      <w:r>
        <w:t>e</w:t>
      </w:r>
      <w:r w:rsidRPr="00011A46">
        <w:t xml:space="preserve">gitimation », </w:t>
      </w:r>
      <w:r w:rsidRPr="00B82F12">
        <w:rPr>
          <w:i/>
          <w:iCs/>
        </w:rPr>
        <w:t>Social Science and Medicine,</w:t>
      </w:r>
      <w:r w:rsidRPr="00011A46">
        <w:t xml:space="preserve"> 1981, n°</w:t>
      </w:r>
      <w:r>
        <w:t> </w:t>
      </w:r>
      <w:r w:rsidRPr="00011A46">
        <w:t xml:space="preserve">15, </w:t>
      </w:r>
      <w:r>
        <w:t>p</w:t>
      </w:r>
      <w:r w:rsidRPr="00011A46">
        <w:t>p. 89-101.</w:t>
      </w:r>
    </w:p>
    <w:p w:rsidR="00B7214C" w:rsidRPr="00011A46" w:rsidRDefault="00B7214C" w:rsidP="00B7214C">
      <w:pPr>
        <w:spacing w:before="120" w:after="120"/>
        <w:jc w:val="both"/>
      </w:pPr>
      <w:r w:rsidRPr="00011A46">
        <w:t>Rothman, D.J. et H. Edgar, « Scientific Rigor and Medical Real</w:t>
      </w:r>
      <w:r w:rsidRPr="00011A46">
        <w:t>i</w:t>
      </w:r>
      <w:r w:rsidRPr="00011A46">
        <w:t xml:space="preserve">ties : Placebo Trials in Cancer and AIDS Research », dans E. Fee et D.M. Fox (dir.), </w:t>
      </w:r>
      <w:r w:rsidRPr="00B82F12">
        <w:rPr>
          <w:i/>
          <w:iCs/>
        </w:rPr>
        <w:t>AIDS. The Making of a Chronic Disease,</w:t>
      </w:r>
      <w:r w:rsidRPr="00011A46">
        <w:t xml:space="preserve"> Berkeley, University of California Press, 1992, p</w:t>
      </w:r>
      <w:r>
        <w:t>p</w:t>
      </w:r>
      <w:r w:rsidRPr="00011A46">
        <w:t>. 194-206.</w:t>
      </w:r>
    </w:p>
    <w:p w:rsidR="00B7214C" w:rsidRPr="00011A46" w:rsidRDefault="00B7214C" w:rsidP="00B7214C">
      <w:pPr>
        <w:spacing w:before="120" w:after="120"/>
        <w:jc w:val="both"/>
      </w:pPr>
      <w:r w:rsidRPr="00011A46">
        <w:t xml:space="preserve">Russell, S.M., « Prohibiting AIDS Testing in the Health Insurance Context. Patching up a Patchwork System », </w:t>
      </w:r>
      <w:r w:rsidRPr="00B82F12">
        <w:rPr>
          <w:i/>
          <w:iCs/>
        </w:rPr>
        <w:t>Notre Dame Journal ofLaw, Ethics and Public Policy,</w:t>
      </w:r>
      <w:r w:rsidRPr="00011A46">
        <w:t xml:space="preserve"> 1990, n°</w:t>
      </w:r>
      <w:r>
        <w:t> </w:t>
      </w:r>
      <w:r w:rsidRPr="00011A46">
        <w:t>5, p. 131.</w:t>
      </w:r>
    </w:p>
    <w:p w:rsidR="00B7214C" w:rsidRPr="00011A46" w:rsidRDefault="00B7214C" w:rsidP="00B7214C">
      <w:pPr>
        <w:spacing w:before="120" w:after="120"/>
        <w:jc w:val="both"/>
      </w:pPr>
      <w:r w:rsidRPr="00011A46">
        <w:t>Schwartz, M., N. Naierman et H. Birnbaum, « Catastrophic illness expense : implications for National Health Policy in the United St</w:t>
      </w:r>
      <w:r w:rsidRPr="00011A46">
        <w:t>a</w:t>
      </w:r>
      <w:r w:rsidRPr="00011A46">
        <w:t xml:space="preserve">tes », </w:t>
      </w:r>
      <w:r w:rsidRPr="00B82F12">
        <w:rPr>
          <w:i/>
          <w:iCs/>
        </w:rPr>
        <w:t xml:space="preserve">Social Science and Medicine, </w:t>
      </w:r>
      <w:r w:rsidRPr="00011A46">
        <w:t>1978, n°</w:t>
      </w:r>
      <w:r>
        <w:t> </w:t>
      </w:r>
      <w:r w:rsidRPr="00011A46">
        <w:t>12, p</w:t>
      </w:r>
      <w:r>
        <w:t>p</w:t>
      </w:r>
      <w:r w:rsidRPr="00011A46">
        <w:t>. 13-22.</w:t>
      </w:r>
    </w:p>
    <w:p w:rsidR="00B7214C" w:rsidRPr="00011A46" w:rsidRDefault="00B7214C" w:rsidP="00B7214C">
      <w:pPr>
        <w:spacing w:before="120" w:after="120"/>
        <w:jc w:val="both"/>
      </w:pPr>
      <w:r w:rsidRPr="00011A46">
        <w:t>Shore, J.J.M. et M. Vardy, « L'obligation de l'État d'aider financi</w:t>
      </w:r>
      <w:r w:rsidRPr="00011A46">
        <w:t>è</w:t>
      </w:r>
      <w:r w:rsidRPr="00011A46">
        <w:t xml:space="preserve">rement les personnes atteintes du VIH par suite d'une transfusion de sang ou de dérivé sanguin ». </w:t>
      </w:r>
      <w:r w:rsidRPr="00B82F12">
        <w:rPr>
          <w:i/>
          <w:iCs/>
        </w:rPr>
        <w:t>Cahiers de Droit,</w:t>
      </w:r>
      <w:r w:rsidRPr="00011A46">
        <w:t xml:space="preserve"> 1990, n°</w:t>
      </w:r>
      <w:r>
        <w:t> </w:t>
      </w:r>
      <w:r w:rsidRPr="00011A46">
        <w:t xml:space="preserve">31, </w:t>
      </w:r>
      <w:r>
        <w:t>p</w:t>
      </w:r>
      <w:r w:rsidRPr="00011A46">
        <w:t>p. 871-899.</w:t>
      </w:r>
    </w:p>
    <w:p w:rsidR="00B7214C" w:rsidRPr="00011A46" w:rsidRDefault="00B7214C" w:rsidP="00B7214C">
      <w:pPr>
        <w:spacing w:before="120" w:after="120"/>
        <w:jc w:val="both"/>
      </w:pPr>
      <w:r w:rsidRPr="00011A46">
        <w:t xml:space="preserve">Shrader-Fréchette, K.S., </w:t>
      </w:r>
      <w:r w:rsidRPr="00B82F12">
        <w:rPr>
          <w:i/>
          <w:iCs/>
        </w:rPr>
        <w:t>Risk</w:t>
      </w:r>
      <w:r>
        <w:rPr>
          <w:i/>
          <w:iCs/>
        </w:rPr>
        <w:t xml:space="preserve"> </w:t>
      </w:r>
      <w:r w:rsidRPr="00B82F12">
        <w:rPr>
          <w:i/>
          <w:iCs/>
        </w:rPr>
        <w:t>and Rationality. Philosophical Eou</w:t>
      </w:r>
      <w:r w:rsidRPr="00B82F12">
        <w:rPr>
          <w:i/>
          <w:iCs/>
        </w:rPr>
        <w:t>n</w:t>
      </w:r>
      <w:r w:rsidRPr="00B82F12">
        <w:rPr>
          <w:i/>
          <w:iCs/>
        </w:rPr>
        <w:t>dations</w:t>
      </w:r>
      <w:r>
        <w:rPr>
          <w:i/>
          <w:iCs/>
        </w:rPr>
        <w:t xml:space="preserve"> </w:t>
      </w:r>
      <w:r w:rsidRPr="00B82F12">
        <w:rPr>
          <w:i/>
          <w:iCs/>
        </w:rPr>
        <w:t xml:space="preserve">for Populist Reforms, </w:t>
      </w:r>
      <w:r w:rsidRPr="00011A46">
        <w:t>Berkeley, University of California Press, 1991.</w:t>
      </w:r>
    </w:p>
    <w:p w:rsidR="00B7214C" w:rsidRPr="00011A46" w:rsidRDefault="00B7214C" w:rsidP="00B7214C">
      <w:pPr>
        <w:spacing w:before="120" w:after="120"/>
        <w:jc w:val="both"/>
      </w:pPr>
      <w:r w:rsidRPr="00011A46">
        <w:t>Simmons, R.G., « The Kidney Disease Amendment : A First Exp</w:t>
      </w:r>
      <w:r w:rsidRPr="00011A46">
        <w:t>e</w:t>
      </w:r>
      <w:r w:rsidRPr="00011A46">
        <w:t xml:space="preserve">riment in Catastrophic Health Insurance », </w:t>
      </w:r>
      <w:r w:rsidRPr="00B82F12">
        <w:rPr>
          <w:i/>
          <w:iCs/>
        </w:rPr>
        <w:t>Sociological Symposium,</w:t>
      </w:r>
      <w:r w:rsidRPr="00011A46">
        <w:t xml:space="preserve"> 1978, n°</w:t>
      </w:r>
      <w:r>
        <w:t> </w:t>
      </w:r>
      <w:r w:rsidRPr="00011A46">
        <w:t>23, p</w:t>
      </w:r>
      <w:r>
        <w:t>p</w:t>
      </w:r>
      <w:r w:rsidRPr="00011A46">
        <w:t>. 78-99.</w:t>
      </w:r>
    </w:p>
    <w:p w:rsidR="00B7214C" w:rsidRPr="00011A46" w:rsidRDefault="00B7214C" w:rsidP="00B7214C">
      <w:pPr>
        <w:spacing w:before="120" w:after="120"/>
        <w:jc w:val="both"/>
      </w:pPr>
      <w:r w:rsidRPr="00011A46">
        <w:t xml:space="preserve">Smith, F.T., « AIDS-based Employment Discrimination in the American and Canadian Workplace », </w:t>
      </w:r>
      <w:r w:rsidRPr="00B82F12">
        <w:rPr>
          <w:i/>
          <w:iCs/>
        </w:rPr>
        <w:t>Comparative Labor Law Jou</w:t>
      </w:r>
      <w:r w:rsidRPr="00B82F12">
        <w:rPr>
          <w:i/>
          <w:iCs/>
        </w:rPr>
        <w:t>r</w:t>
      </w:r>
      <w:r w:rsidRPr="00B82F12">
        <w:rPr>
          <w:i/>
          <w:iCs/>
        </w:rPr>
        <w:t>nal,</w:t>
      </w:r>
      <w:r w:rsidRPr="00011A46">
        <w:t xml:space="preserve"> 1989, n°</w:t>
      </w:r>
      <w:r>
        <w:t> </w:t>
      </w:r>
      <w:r w:rsidRPr="00011A46">
        <w:t xml:space="preserve">10, </w:t>
      </w:r>
      <w:r>
        <w:t>p</w:t>
      </w:r>
      <w:r w:rsidRPr="00011A46">
        <w:t>p. 531-546.</w:t>
      </w:r>
    </w:p>
    <w:p w:rsidR="00B7214C" w:rsidRDefault="00B7214C" w:rsidP="00B7214C">
      <w:pPr>
        <w:spacing w:before="120" w:after="120"/>
        <w:jc w:val="both"/>
      </w:pPr>
      <w:r w:rsidRPr="00011A46">
        <w:t>Sohlgren, E.C., « Group Health Benefits Discrimination against AIDS Victims. Falling Through the Gaps of F</w:t>
      </w:r>
      <w:r>
        <w:t>e</w:t>
      </w:r>
      <w:r w:rsidRPr="00011A46">
        <w:t>d</w:t>
      </w:r>
      <w:r>
        <w:t>e</w:t>
      </w:r>
      <w:r w:rsidRPr="00011A46">
        <w:t xml:space="preserve">ral Law : ERISA, the Réhabilitation Act and the Americans with Disabilities Act », </w:t>
      </w:r>
      <w:r w:rsidRPr="00B82F12">
        <w:rPr>
          <w:i/>
          <w:iCs/>
        </w:rPr>
        <w:t>Loyola of</w:t>
      </w:r>
      <w:r>
        <w:rPr>
          <w:i/>
          <w:iCs/>
        </w:rPr>
        <w:t xml:space="preserve"> </w:t>
      </w:r>
      <w:r w:rsidRPr="00B82F12">
        <w:rPr>
          <w:i/>
          <w:iCs/>
        </w:rPr>
        <w:t>Los Angeles Law Review,</w:t>
      </w:r>
      <w:r w:rsidRPr="00011A46">
        <w:t xml:space="preserve"> 1991, n°</w:t>
      </w:r>
      <w:r>
        <w:t> </w:t>
      </w:r>
      <w:r w:rsidRPr="00011A46">
        <w:t xml:space="preserve">24, </w:t>
      </w:r>
      <w:r>
        <w:t>p</w:t>
      </w:r>
      <w:r w:rsidRPr="00011A46">
        <w:t>p. 1247-1300.</w:t>
      </w:r>
    </w:p>
    <w:p w:rsidR="00B7214C" w:rsidRDefault="00B7214C" w:rsidP="00B7214C">
      <w:pPr>
        <w:spacing w:before="120" w:after="120"/>
        <w:jc w:val="both"/>
      </w:pPr>
    </w:p>
    <w:p w:rsidR="00B7214C" w:rsidRDefault="00B7214C" w:rsidP="00B7214C">
      <w:pPr>
        <w:pStyle w:val="p"/>
      </w:pPr>
      <w:r>
        <w:t>[424]</w:t>
      </w:r>
    </w:p>
    <w:p w:rsidR="00B7214C" w:rsidRDefault="00B7214C" w:rsidP="00B7214C">
      <w:pPr>
        <w:pStyle w:val="p"/>
        <w:rPr>
          <w:rStyle w:val="Corpsdutexte9Espacement1pt"/>
        </w:rPr>
      </w:pPr>
      <w:r w:rsidRPr="00011A46">
        <w:br w:type="page"/>
      </w:r>
      <w:r>
        <w:t>[425]</w:t>
      </w: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1" w:name="Entre_tradition_pt_2_texte_29"/>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D. RELIGIONS DES DROITS :</w:t>
      </w:r>
      <w:r>
        <w:rPr>
          <w:color w:val="FF0000"/>
          <w:sz w:val="24"/>
        </w:rPr>
        <w:br/>
        <w:t>ENTRE COMMUNAUTARISME ET INDIVIDUALISME</w:t>
      </w:r>
    </w:p>
    <w:p w:rsidR="00B7214C" w:rsidRPr="00384B20" w:rsidRDefault="00B7214C" w:rsidP="00B7214C">
      <w:pPr>
        <w:pStyle w:val="Titreniveau1"/>
      </w:pPr>
      <w:r>
        <w:t>29</w:t>
      </w:r>
    </w:p>
    <w:p w:rsidR="00B7214C" w:rsidRDefault="00B7214C" w:rsidP="00B7214C">
      <w:pPr>
        <w:pStyle w:val="Titreniveau2"/>
      </w:pPr>
      <w:r>
        <w:t>“L'affirmation politique des femmes</w:t>
      </w:r>
      <w:r>
        <w:br/>
        <w:t>et le postféminisme.”</w:t>
      </w:r>
    </w:p>
    <w:bookmarkEnd w:id="41"/>
    <w:p w:rsidR="00B7214C" w:rsidRPr="00E07116" w:rsidRDefault="00B7214C" w:rsidP="00B7214C">
      <w:pPr>
        <w:jc w:val="both"/>
        <w:rPr>
          <w:szCs w:val="36"/>
        </w:rPr>
      </w:pPr>
    </w:p>
    <w:p w:rsidR="00B7214C" w:rsidRPr="00E07116" w:rsidRDefault="00B7214C" w:rsidP="00B7214C">
      <w:pPr>
        <w:pStyle w:val="suite"/>
      </w:pPr>
      <w:r>
        <w:t>Par Marie-Blanche TAHON</w:t>
      </w:r>
    </w:p>
    <w:p w:rsidR="00B7214C" w:rsidRPr="00E07116" w:rsidRDefault="00B7214C" w:rsidP="00B7214C">
      <w:pPr>
        <w:pStyle w:val="auteurst"/>
      </w:pPr>
      <w:r w:rsidRPr="004A7EF1">
        <w:t>Département de sociologie. Université d'Ottawa</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011A46" w:rsidRDefault="00B7214C" w:rsidP="00B7214C">
      <w:pPr>
        <w:spacing w:before="120" w:after="120"/>
        <w:jc w:val="both"/>
      </w:pPr>
      <w:r>
        <w:rPr>
          <w:lang w:eastAsia="fr-FR" w:bidi="fr-FR"/>
        </w:rPr>
        <w:t>Je v</w:t>
      </w:r>
      <w:r w:rsidRPr="00011A46">
        <w:rPr>
          <w:lang w:eastAsia="fr-FR" w:bidi="fr-FR"/>
        </w:rPr>
        <w:t>oudrais immédiatement mieux préciser le titre que m'a proposé M. Elbaz et aussitôt le rectifier. Le plus facile d'abord</w:t>
      </w:r>
      <w:r w:rsidRPr="00011A46">
        <w:t> :</w:t>
      </w:r>
      <w:r w:rsidRPr="00011A46">
        <w:rPr>
          <w:lang w:eastAsia="fr-FR" w:bidi="fr-FR"/>
        </w:rPr>
        <w:t xml:space="preserve"> quitte à intr</w:t>
      </w:r>
      <w:r w:rsidRPr="00011A46">
        <w:rPr>
          <w:lang w:eastAsia="fr-FR" w:bidi="fr-FR"/>
        </w:rPr>
        <w:t>o</w:t>
      </w:r>
      <w:r w:rsidRPr="00011A46">
        <w:rPr>
          <w:lang w:eastAsia="fr-FR" w:bidi="fr-FR"/>
        </w:rPr>
        <w:t>duire un nouveau barbarisme, je préfère post-néo-féminisme à pos</w:t>
      </w:r>
      <w:r w:rsidRPr="00011A46">
        <w:rPr>
          <w:lang w:eastAsia="fr-FR" w:bidi="fr-FR"/>
        </w:rPr>
        <w:t>t</w:t>
      </w:r>
      <w:r w:rsidRPr="00011A46">
        <w:rPr>
          <w:lang w:eastAsia="fr-FR" w:bidi="fr-FR"/>
        </w:rPr>
        <w:t>fémini</w:t>
      </w:r>
      <w:r w:rsidRPr="00011A46">
        <w:rPr>
          <w:lang w:eastAsia="fr-FR" w:bidi="fr-FR"/>
        </w:rPr>
        <w:t>s</w:t>
      </w:r>
      <w:r w:rsidRPr="00011A46">
        <w:rPr>
          <w:lang w:eastAsia="fr-FR" w:bidi="fr-FR"/>
        </w:rPr>
        <w:t>me pour marquer la période postérieure au néo-féminisme des années 1960 et 1970, celui-ci distingué d'un féminisme premier, que l'on peut faire remonter à la Révolution française et qui peut être trop rapid</w:t>
      </w:r>
      <w:r w:rsidRPr="00011A46">
        <w:rPr>
          <w:lang w:eastAsia="fr-FR" w:bidi="fr-FR"/>
        </w:rPr>
        <w:t>e</w:t>
      </w:r>
      <w:r w:rsidRPr="00011A46">
        <w:rPr>
          <w:lang w:eastAsia="fr-FR" w:bidi="fr-FR"/>
        </w:rPr>
        <w:t>ment étiqueté comme celui des suffragistes</w:t>
      </w:r>
      <w:r>
        <w:rPr>
          <w:lang w:eastAsia="fr-FR" w:bidi="fr-FR"/>
        </w:rPr>
        <w:t> </w:t>
      </w:r>
      <w:r>
        <w:rPr>
          <w:rStyle w:val="Appelnotedebasdep"/>
          <w:lang w:eastAsia="fr-FR" w:bidi="fr-FR"/>
        </w:rPr>
        <w:footnoteReference w:id="313"/>
      </w:r>
      <w:r w:rsidRPr="00011A46">
        <w:rPr>
          <w:lang w:eastAsia="fr-FR" w:bidi="fr-FR"/>
        </w:rPr>
        <w:t>. Il s'agit donc d'une préc</w:t>
      </w:r>
      <w:r w:rsidRPr="00011A46">
        <w:rPr>
          <w:lang w:eastAsia="fr-FR" w:bidi="fr-FR"/>
        </w:rPr>
        <w:t>i</w:t>
      </w:r>
      <w:r w:rsidRPr="00011A46">
        <w:rPr>
          <w:lang w:eastAsia="fr-FR" w:bidi="fr-FR"/>
        </w:rPr>
        <w:t>sion qui n'engage pas à grand-chose</w:t>
      </w:r>
      <w:r w:rsidRPr="00011A46">
        <w:t> :</w:t>
      </w:r>
      <w:r w:rsidRPr="00011A46">
        <w:rPr>
          <w:lang w:eastAsia="fr-FR" w:bidi="fr-FR"/>
        </w:rPr>
        <w:t xml:space="preserve"> elle se contente de signifier que le féminisme des années 1960 et 1970 n'est pas le pr</w:t>
      </w:r>
      <w:r w:rsidRPr="00011A46">
        <w:rPr>
          <w:lang w:eastAsia="fr-FR" w:bidi="fr-FR"/>
        </w:rPr>
        <w:t>e</w:t>
      </w:r>
      <w:r w:rsidRPr="00011A46">
        <w:rPr>
          <w:lang w:eastAsia="fr-FR" w:bidi="fr-FR"/>
        </w:rPr>
        <w:t>mier mo</w:t>
      </w:r>
      <w:r w:rsidRPr="00011A46">
        <w:rPr>
          <w:lang w:eastAsia="fr-FR" w:bidi="fr-FR"/>
        </w:rPr>
        <w:t>u</w:t>
      </w:r>
      <w:r w:rsidRPr="00011A46">
        <w:rPr>
          <w:lang w:eastAsia="fr-FR" w:bidi="fr-FR"/>
        </w:rPr>
        <w:t>vement féministe. Dans cette précision est pourtant marquée l'histor</w:t>
      </w:r>
      <w:r w:rsidRPr="00011A46">
        <w:rPr>
          <w:lang w:eastAsia="fr-FR" w:bidi="fr-FR"/>
        </w:rPr>
        <w:t>i</w:t>
      </w:r>
      <w:r w:rsidRPr="00011A46">
        <w:rPr>
          <w:lang w:eastAsia="fr-FR" w:bidi="fr-FR"/>
        </w:rPr>
        <w:t>cité du féminisme</w:t>
      </w:r>
      <w:r w:rsidRPr="00011A46">
        <w:t> ;</w:t>
      </w:r>
      <w:r w:rsidRPr="00011A46">
        <w:rPr>
          <w:lang w:eastAsia="fr-FR" w:bidi="fr-FR"/>
        </w:rPr>
        <w:t xml:space="preserve"> ce qui, à mes yeux, indique aussi le rejet de son caractère essentialiste. Caractère essentialiste du féminisme ici empiriquement défini comme l'expression de la croyance selon laque</w:t>
      </w:r>
      <w:r w:rsidRPr="00011A46">
        <w:rPr>
          <w:lang w:eastAsia="fr-FR" w:bidi="fr-FR"/>
        </w:rPr>
        <w:t>l</w:t>
      </w:r>
      <w:r w:rsidRPr="00011A46">
        <w:rPr>
          <w:lang w:eastAsia="fr-FR" w:bidi="fr-FR"/>
        </w:rPr>
        <w:t>le les femmes seraient porteuses du meilleur</w:t>
      </w:r>
      <w:r w:rsidRPr="00011A46">
        <w:t> ;</w:t>
      </w:r>
      <w:r w:rsidRPr="00011A46">
        <w:rPr>
          <w:lang w:eastAsia="fr-FR" w:bidi="fr-FR"/>
        </w:rPr>
        <w:t xml:space="preserve"> ce caractère essentiali</w:t>
      </w:r>
      <w:r w:rsidRPr="00011A46">
        <w:rPr>
          <w:lang w:eastAsia="fr-FR" w:bidi="fr-FR"/>
        </w:rPr>
        <w:t>s</w:t>
      </w:r>
      <w:r w:rsidRPr="00011A46">
        <w:rPr>
          <w:lang w:eastAsia="fr-FR" w:bidi="fr-FR"/>
        </w:rPr>
        <w:t>te a</w:t>
      </w:r>
      <w:r w:rsidRPr="00011A46">
        <w:rPr>
          <w:lang w:eastAsia="fr-FR" w:bidi="fr-FR"/>
        </w:rPr>
        <w:t>f</w:t>
      </w:r>
      <w:r w:rsidRPr="00011A46">
        <w:rPr>
          <w:lang w:eastAsia="fr-FR" w:bidi="fr-FR"/>
        </w:rPr>
        <w:t>fleure, par exemple, dans l'écoféminisme</w:t>
      </w:r>
      <w:r>
        <w:rPr>
          <w:lang w:eastAsia="fr-FR" w:bidi="fr-FR"/>
        </w:rPr>
        <w:t> </w:t>
      </w:r>
      <w:r>
        <w:rPr>
          <w:rStyle w:val="Appelnotedebasdep"/>
          <w:lang w:eastAsia="fr-FR" w:bidi="fr-FR"/>
        </w:rPr>
        <w:footnoteReference w:id="314"/>
      </w:r>
      <w:r w:rsidRPr="00011A46">
        <w:rPr>
          <w:lang w:eastAsia="fr-FR" w:bidi="fr-FR"/>
        </w:rPr>
        <w:t>. Le meilleur reposant sur un amalgame d'un retour inavoué à la Nature</w:t>
      </w:r>
      <w:r>
        <w:rPr>
          <w:lang w:eastAsia="fr-FR" w:bidi="fr-FR"/>
        </w:rPr>
        <w:t> </w:t>
      </w:r>
      <w:r>
        <w:rPr>
          <w:rStyle w:val="Appelnotedebasdep"/>
          <w:lang w:eastAsia="fr-FR" w:bidi="fr-FR"/>
        </w:rPr>
        <w:footnoteReference w:id="315"/>
      </w:r>
      <w:r w:rsidRPr="00011A46">
        <w:rPr>
          <w:lang w:eastAsia="fr-FR" w:bidi="fr-FR"/>
        </w:rPr>
        <w:t xml:space="preserve"> et d'un pari s</w:t>
      </w:r>
      <w:r w:rsidRPr="00011A46">
        <w:rPr>
          <w:lang w:eastAsia="fr-FR" w:bidi="fr-FR"/>
        </w:rPr>
        <w:t>o</w:t>
      </w:r>
      <w:r w:rsidRPr="00011A46">
        <w:rPr>
          <w:lang w:eastAsia="fr-FR" w:bidi="fr-FR"/>
        </w:rPr>
        <w:t>ciohistorique assez simpliste</w:t>
      </w:r>
      <w:r w:rsidRPr="00011A46">
        <w:t> :</w:t>
      </w:r>
      <w:r w:rsidRPr="00011A46">
        <w:rPr>
          <w:lang w:eastAsia="fr-FR" w:bidi="fr-FR"/>
        </w:rPr>
        <w:t xml:space="preserve"> elles ne peuvent faire pire, elles pe</w:t>
      </w:r>
      <w:r w:rsidRPr="00011A46">
        <w:rPr>
          <w:lang w:eastAsia="fr-FR" w:bidi="fr-FR"/>
        </w:rPr>
        <w:t>u</w:t>
      </w:r>
      <w:r w:rsidRPr="00011A46">
        <w:rPr>
          <w:lang w:eastAsia="fr-FR" w:bidi="fr-FR"/>
        </w:rPr>
        <w:t>vent donc faire mieux... Caractère essentialiste qui affleure encore dans les velléités de faire du féminisme une éthique.</w:t>
      </w:r>
    </w:p>
    <w:p w:rsidR="00B7214C" w:rsidRPr="00011A46" w:rsidRDefault="00B7214C" w:rsidP="00B7214C">
      <w:pPr>
        <w:spacing w:before="120" w:after="120"/>
        <w:jc w:val="both"/>
      </w:pPr>
      <w:r w:rsidRPr="00011A46">
        <w:rPr>
          <w:lang w:eastAsia="fr-FR" w:bidi="fr-FR"/>
        </w:rPr>
        <w:t>Rectifier féminisme en néo-féminisme n'engage à rien sur le post. Je dois avouer mon indifférence, momentanée en tout cas</w:t>
      </w:r>
      <w:r>
        <w:rPr>
          <w:lang w:eastAsia="fr-FR" w:bidi="fr-FR"/>
        </w:rPr>
        <w:t> </w:t>
      </w:r>
      <w:r>
        <w:rPr>
          <w:rStyle w:val="Appelnotedebasdep"/>
          <w:lang w:eastAsia="fr-FR" w:bidi="fr-FR"/>
        </w:rPr>
        <w:footnoteReference w:id="316"/>
      </w:r>
      <w:r w:rsidRPr="00011A46">
        <w:rPr>
          <w:lang w:eastAsia="fr-FR" w:bidi="fr-FR"/>
        </w:rPr>
        <w:t>, à ce pr</w:t>
      </w:r>
      <w:r w:rsidRPr="00011A46">
        <w:rPr>
          <w:lang w:eastAsia="fr-FR" w:bidi="fr-FR"/>
        </w:rPr>
        <w:t>é</w:t>
      </w:r>
      <w:r w:rsidRPr="00011A46">
        <w:rPr>
          <w:lang w:eastAsia="fr-FR" w:bidi="fr-FR"/>
        </w:rPr>
        <w:t>fixe. Pour l'instant, il me paraît commode pour dire après. Incontest</w:t>
      </w:r>
      <w:r w:rsidRPr="00011A46">
        <w:rPr>
          <w:lang w:eastAsia="fr-FR" w:bidi="fr-FR"/>
        </w:rPr>
        <w:t>a</w:t>
      </w:r>
      <w:r w:rsidRPr="00011A46">
        <w:rPr>
          <w:lang w:eastAsia="fr-FR" w:bidi="fr-FR"/>
        </w:rPr>
        <w:t>blement, nous ne sommes plus dans la période du néo-féminisme des années 1960 et 1970.</w:t>
      </w:r>
      <w:r>
        <w:rPr>
          <w:lang w:eastAsia="fr-FR" w:bidi="fr-FR"/>
        </w:rPr>
        <w:t xml:space="preserve"> </w:t>
      </w:r>
      <w:r>
        <w:t>[</w:t>
      </w:r>
      <w:r w:rsidRPr="00011A46">
        <w:rPr>
          <w:lang w:eastAsia="fr-FR" w:bidi="fr-FR"/>
        </w:rPr>
        <w:t>426</w:t>
      </w:r>
      <w:r>
        <w:rPr>
          <w:lang w:eastAsia="fr-FR" w:bidi="fr-FR"/>
        </w:rPr>
        <w:t xml:space="preserve">] </w:t>
      </w:r>
      <w:r w:rsidRPr="00011A46">
        <w:rPr>
          <w:lang w:eastAsia="fr-FR" w:bidi="fr-FR"/>
        </w:rPr>
        <w:t>Cela n'implique pas de décréter la mort du néo-féminisme, comme certaines de ses militantes effarouchées se plaisent à dénoncer cette posture dès qu'il est question d'une historis</w:t>
      </w:r>
      <w:r w:rsidRPr="00011A46">
        <w:rPr>
          <w:lang w:eastAsia="fr-FR" w:bidi="fr-FR"/>
        </w:rPr>
        <w:t>a</w:t>
      </w:r>
      <w:r w:rsidRPr="00011A46">
        <w:rPr>
          <w:lang w:eastAsia="fr-FR" w:bidi="fr-FR"/>
        </w:rPr>
        <w:t>tion du mouvement. On pourrait s'en tenir à considérer que les idées ne meurent pas... Voilà pour le second membre du titre.</w:t>
      </w:r>
    </w:p>
    <w:p w:rsidR="00B7214C" w:rsidRPr="00011A46" w:rsidRDefault="00B7214C" w:rsidP="00B7214C">
      <w:pPr>
        <w:spacing w:before="120" w:after="120"/>
        <w:jc w:val="both"/>
      </w:pPr>
      <w:r w:rsidRPr="00011A46">
        <w:rPr>
          <w:lang w:eastAsia="fr-FR" w:bidi="fr-FR"/>
        </w:rPr>
        <w:t>Le premier maintenant</w:t>
      </w:r>
      <w:r w:rsidRPr="00011A46">
        <w:t> :</w:t>
      </w:r>
      <w:r w:rsidRPr="00011A46">
        <w:rPr>
          <w:lang w:eastAsia="fr-FR" w:bidi="fr-FR"/>
        </w:rPr>
        <w:t xml:space="preserve"> l'affirmation politique des fe</w:t>
      </w:r>
      <w:r w:rsidRPr="00011A46">
        <w:rPr>
          <w:lang w:eastAsia="fr-FR" w:bidi="fr-FR"/>
        </w:rPr>
        <w:t>m</w:t>
      </w:r>
      <w:r w:rsidRPr="00011A46">
        <w:rPr>
          <w:lang w:eastAsia="fr-FR" w:bidi="fr-FR"/>
        </w:rPr>
        <w:t>mes. Au risque de me faire taxer à mon tour d'essentialiste, je préfère parler de l'affirmation politique de la femme. N</w:t>
      </w:r>
      <w:r w:rsidRPr="00011A46">
        <w:rPr>
          <w:lang w:eastAsia="fr-FR" w:bidi="fr-FR"/>
        </w:rPr>
        <w:t>o</w:t>
      </w:r>
      <w:r w:rsidRPr="00011A46">
        <w:rPr>
          <w:lang w:eastAsia="fr-FR" w:bidi="fr-FR"/>
        </w:rPr>
        <w:t>tamment pour souligner que mon propos relève plus de l'anthropologie politique que de la sociol</w:t>
      </w:r>
      <w:r w:rsidRPr="00011A46">
        <w:rPr>
          <w:lang w:eastAsia="fr-FR" w:bidi="fr-FR"/>
        </w:rPr>
        <w:t>o</w:t>
      </w:r>
      <w:r w:rsidRPr="00011A46">
        <w:rPr>
          <w:lang w:eastAsia="fr-FR" w:bidi="fr-FR"/>
        </w:rPr>
        <w:t>gie, si la sociologie doit signifier le recensement statistique des places occupées par les femmes dans les diverses instances de la scène p</w:t>
      </w:r>
      <w:r w:rsidRPr="00011A46">
        <w:rPr>
          <w:lang w:eastAsia="fr-FR" w:bidi="fr-FR"/>
        </w:rPr>
        <w:t>u</w:t>
      </w:r>
      <w:r w:rsidRPr="00011A46">
        <w:rPr>
          <w:lang w:eastAsia="fr-FR" w:bidi="fr-FR"/>
        </w:rPr>
        <w:t>blique. Ce qui n'est pas mon terrain.</w:t>
      </w:r>
    </w:p>
    <w:p w:rsidR="00B7214C" w:rsidRPr="00011A46" w:rsidRDefault="00B7214C" w:rsidP="00B7214C">
      <w:pPr>
        <w:spacing w:before="120" w:after="120"/>
        <w:jc w:val="both"/>
      </w:pPr>
      <w:r w:rsidRPr="00011A46">
        <w:rPr>
          <w:lang w:eastAsia="fr-FR" w:bidi="fr-FR"/>
        </w:rPr>
        <w:t>Au singulier - la femme -, il me paraît possible de parler de son a</w:t>
      </w:r>
      <w:r w:rsidRPr="00011A46">
        <w:rPr>
          <w:lang w:eastAsia="fr-FR" w:bidi="fr-FR"/>
        </w:rPr>
        <w:t>f</w:t>
      </w:r>
      <w:r w:rsidRPr="00011A46">
        <w:rPr>
          <w:lang w:eastAsia="fr-FR" w:bidi="fr-FR"/>
        </w:rPr>
        <w:t>firmation politique. En effet, je suis tentée de cons</w:t>
      </w:r>
      <w:r w:rsidRPr="00011A46">
        <w:rPr>
          <w:lang w:eastAsia="fr-FR" w:bidi="fr-FR"/>
        </w:rPr>
        <w:t>i</w:t>
      </w:r>
      <w:r w:rsidRPr="00011A46">
        <w:rPr>
          <w:lang w:eastAsia="fr-FR" w:bidi="fr-FR"/>
        </w:rPr>
        <w:t xml:space="preserve">dérer que </w:t>
      </w:r>
      <w:r w:rsidRPr="00011A46">
        <w:t>« </w:t>
      </w:r>
      <w:r w:rsidRPr="00011A46">
        <w:rPr>
          <w:lang w:eastAsia="fr-FR" w:bidi="fr-FR"/>
        </w:rPr>
        <w:t>la femme</w:t>
      </w:r>
      <w:r w:rsidRPr="00011A46">
        <w:t> »</w:t>
      </w:r>
      <w:r w:rsidRPr="00011A46">
        <w:rPr>
          <w:lang w:eastAsia="fr-FR" w:bidi="fr-FR"/>
        </w:rPr>
        <w:t xml:space="preserve"> a une existence extrêmement récente, quelques années, sans doute pas quelques décennies. Nous entrons ici dans le vif du sujet. Je dois encore préciser que les considérations qui suivent ne prennent place qu'en Occident. Je ne préjuge de rien pour d'autres régions du monde. On aura compris que cette précaution n'est pas seulement géographique</w:t>
      </w:r>
      <w:r>
        <w:rPr>
          <w:lang w:eastAsia="fr-FR" w:bidi="fr-FR"/>
        </w:rPr>
        <w:t> </w:t>
      </w:r>
      <w:r>
        <w:rPr>
          <w:rStyle w:val="Appelnotedebasdep"/>
          <w:lang w:eastAsia="fr-FR" w:bidi="fr-FR"/>
        </w:rPr>
        <w:footnoteReference w:id="317"/>
      </w:r>
      <w:r w:rsidRPr="00011A46">
        <w:rPr>
          <w:lang w:eastAsia="fr-FR" w:bidi="fr-FR"/>
        </w:rPr>
        <w:t>. Je dois aussi préciser que ce qui suit relève de l'h</w:t>
      </w:r>
      <w:r w:rsidRPr="00011A46">
        <w:rPr>
          <w:lang w:eastAsia="fr-FR" w:bidi="fr-FR"/>
        </w:rPr>
        <w:t>y</w:t>
      </w:r>
      <w:r w:rsidRPr="00011A46">
        <w:rPr>
          <w:lang w:eastAsia="fr-FR" w:bidi="fr-FR"/>
        </w:rPr>
        <w:t>pothèse théorique et de ce fait manque de nuances indispens</w:t>
      </w:r>
      <w:r w:rsidRPr="00011A46">
        <w:rPr>
          <w:lang w:eastAsia="fr-FR" w:bidi="fr-FR"/>
        </w:rPr>
        <w:t>a</w:t>
      </w:r>
      <w:r w:rsidRPr="00011A46">
        <w:rPr>
          <w:lang w:eastAsia="fr-FR" w:bidi="fr-FR"/>
        </w:rPr>
        <w:t>bles. Il pourrait apparaître que je divise le temps historique en deux</w:t>
      </w:r>
      <w:r w:rsidRPr="00011A46">
        <w:t> :</w:t>
      </w:r>
      <w:r w:rsidRPr="00011A46">
        <w:rPr>
          <w:lang w:eastAsia="fr-FR" w:bidi="fr-FR"/>
        </w:rPr>
        <w:t xml:space="preserve"> ce qui précède le troisième tiers ou même le troisième quart du vingtième siècle et après... </w:t>
      </w:r>
      <w:r>
        <w:rPr>
          <w:lang w:eastAsia="fr-FR" w:bidi="fr-FR"/>
        </w:rPr>
        <w:t>Il</w:t>
      </w:r>
      <w:r w:rsidRPr="00011A46">
        <w:rPr>
          <w:lang w:eastAsia="fr-FR" w:bidi="fr-FR"/>
        </w:rPr>
        <w:t xml:space="preserve"> y aurait incontest</w:t>
      </w:r>
      <w:r w:rsidRPr="00011A46">
        <w:rPr>
          <w:lang w:eastAsia="fr-FR" w:bidi="fr-FR"/>
        </w:rPr>
        <w:t>a</w:t>
      </w:r>
      <w:r w:rsidRPr="00011A46">
        <w:rPr>
          <w:lang w:eastAsia="fr-FR" w:bidi="fr-FR"/>
        </w:rPr>
        <w:t>blement lieu d'être plus nuancé</w:t>
      </w:r>
      <w:r w:rsidRPr="00011A46">
        <w:t> !</w:t>
      </w:r>
    </w:p>
    <w:p w:rsidR="00B7214C" w:rsidRDefault="00B7214C" w:rsidP="00B7214C">
      <w:pPr>
        <w:spacing w:before="120" w:after="120"/>
        <w:jc w:val="both"/>
        <w:rPr>
          <w:lang w:eastAsia="fr-FR" w:bidi="fr-FR"/>
        </w:rPr>
      </w:pPr>
      <w:r w:rsidRPr="00011A46">
        <w:rPr>
          <w:lang w:eastAsia="fr-FR" w:bidi="fr-FR"/>
        </w:rPr>
        <w:t>Je dirais que la femme n'a une existence politique, n'a une existe</w:t>
      </w:r>
      <w:r w:rsidRPr="00011A46">
        <w:rPr>
          <w:lang w:eastAsia="fr-FR" w:bidi="fr-FR"/>
        </w:rPr>
        <w:t>n</w:t>
      </w:r>
      <w:r w:rsidRPr="00011A46">
        <w:rPr>
          <w:lang w:eastAsia="fr-FR" w:bidi="fr-FR"/>
        </w:rPr>
        <w:t>ce dans la cité, que depuis qu'il est possible de la d</w:t>
      </w:r>
      <w:r w:rsidRPr="00011A46">
        <w:rPr>
          <w:lang w:eastAsia="fr-FR" w:bidi="fr-FR"/>
        </w:rPr>
        <w:t>é</w:t>
      </w:r>
      <w:r w:rsidRPr="00011A46">
        <w:rPr>
          <w:lang w:eastAsia="fr-FR" w:bidi="fr-FR"/>
        </w:rPr>
        <w:t>sincorporer</w:t>
      </w:r>
      <w:r>
        <w:rPr>
          <w:lang w:eastAsia="fr-FR" w:bidi="fr-FR"/>
        </w:rPr>
        <w:t> </w:t>
      </w:r>
      <w:r>
        <w:rPr>
          <w:rStyle w:val="Appelnotedebasdep"/>
          <w:lang w:eastAsia="fr-FR" w:bidi="fr-FR"/>
        </w:rPr>
        <w:footnoteReference w:id="318"/>
      </w:r>
      <w:r w:rsidRPr="00011A46">
        <w:rPr>
          <w:lang w:eastAsia="fr-FR" w:bidi="fr-FR"/>
        </w:rPr>
        <w:t xml:space="preserve"> de la mère. Tant que femme et mère ne faisaient qu'un - ce qui était le cas tant que n'était pas admise la reco</w:t>
      </w:r>
      <w:r w:rsidRPr="00011A46">
        <w:rPr>
          <w:lang w:eastAsia="fr-FR" w:bidi="fr-FR"/>
        </w:rPr>
        <w:t>n</w:t>
      </w:r>
      <w:r w:rsidRPr="00011A46">
        <w:rPr>
          <w:lang w:eastAsia="fr-FR" w:bidi="fr-FR"/>
        </w:rPr>
        <w:t>naissance du contrôle par la femme de sa fécondité -, la fe</w:t>
      </w:r>
      <w:r w:rsidRPr="00011A46">
        <w:rPr>
          <w:lang w:eastAsia="fr-FR" w:bidi="fr-FR"/>
        </w:rPr>
        <w:t>m</w:t>
      </w:r>
      <w:r w:rsidRPr="00011A46">
        <w:rPr>
          <w:lang w:eastAsia="fr-FR" w:bidi="fr-FR"/>
        </w:rPr>
        <w:t>me n'était pas un individu social. Ce n'est que depuis qu'elle dispose du contrôle de sa fécondité que la femme disp</w:t>
      </w:r>
      <w:r w:rsidRPr="00011A46">
        <w:rPr>
          <w:lang w:eastAsia="fr-FR" w:bidi="fr-FR"/>
        </w:rPr>
        <w:t>o</w:t>
      </w:r>
      <w:r w:rsidRPr="00011A46">
        <w:rPr>
          <w:lang w:eastAsia="fr-FR" w:bidi="fr-FR"/>
        </w:rPr>
        <w:t xml:space="preserve">se de la pleine capacité civique et civile, soit dans les années 1970 et même 1980. </w:t>
      </w:r>
      <w:r w:rsidRPr="00011A46">
        <w:t>« </w:t>
      </w:r>
      <w:r w:rsidRPr="00011A46">
        <w:rPr>
          <w:lang w:eastAsia="fr-FR" w:bidi="fr-FR"/>
        </w:rPr>
        <w:t>L'absorption de la femme dans l'individu abstrait</w:t>
      </w:r>
      <w:r>
        <w:rPr>
          <w:lang w:eastAsia="fr-FR" w:bidi="fr-FR"/>
        </w:rPr>
        <w:t> </w:t>
      </w:r>
      <w:r>
        <w:rPr>
          <w:rStyle w:val="Appelnotedebasdep"/>
          <w:lang w:eastAsia="fr-FR" w:bidi="fr-FR"/>
        </w:rPr>
        <w:footnoteReference w:id="319"/>
      </w:r>
      <w:r w:rsidRPr="00011A46">
        <w:t> »</w:t>
      </w:r>
      <w:r w:rsidRPr="00011A46">
        <w:rPr>
          <w:lang w:eastAsia="fr-FR" w:bidi="fr-FR"/>
        </w:rPr>
        <w:t xml:space="preserve"> suppose le droit à la non-maternité</w:t>
      </w:r>
      <w:r>
        <w:rPr>
          <w:lang w:eastAsia="fr-FR" w:bidi="fr-FR"/>
        </w:rPr>
        <w:t> </w:t>
      </w:r>
      <w:r>
        <w:rPr>
          <w:rStyle w:val="Appelnotedebasdep"/>
          <w:lang w:eastAsia="fr-FR" w:bidi="fr-FR"/>
        </w:rPr>
        <w:footnoteReference w:id="320"/>
      </w:r>
      <w:r w:rsidRPr="00011A46">
        <w:rPr>
          <w:lang w:eastAsia="fr-FR" w:bidi="fr-FR"/>
        </w:rPr>
        <w:t>.</w:t>
      </w:r>
    </w:p>
    <w:p w:rsidR="00B7214C" w:rsidRPr="00011A46" w:rsidRDefault="00B7214C" w:rsidP="00B7214C">
      <w:pPr>
        <w:spacing w:before="120" w:after="120"/>
        <w:jc w:val="both"/>
      </w:pPr>
      <w:r w:rsidRPr="00011A46">
        <w:rPr>
          <w:lang w:eastAsia="fr-FR" w:bidi="fr-FR"/>
        </w:rPr>
        <w:t>Il ne m'est pas ici possible de retracer les diverses assises qui pe</w:t>
      </w:r>
      <w:r w:rsidRPr="00011A46">
        <w:rPr>
          <w:lang w:eastAsia="fr-FR" w:bidi="fr-FR"/>
        </w:rPr>
        <w:t>r</w:t>
      </w:r>
      <w:r w:rsidRPr="00011A46">
        <w:rPr>
          <w:lang w:eastAsia="fr-FR" w:bidi="fr-FR"/>
        </w:rPr>
        <w:t>mettent de cerner pourquoi la mère n'est pas une citoye</w:t>
      </w:r>
      <w:r w:rsidRPr="00011A46">
        <w:rPr>
          <w:lang w:eastAsia="fr-FR" w:bidi="fr-FR"/>
        </w:rPr>
        <w:t>n</w:t>
      </w:r>
      <w:r w:rsidRPr="00011A46">
        <w:rPr>
          <w:lang w:eastAsia="fr-FR" w:bidi="fr-FR"/>
        </w:rPr>
        <w:t>ne, ne peut-être une citoyenne</w:t>
      </w:r>
      <w:r>
        <w:rPr>
          <w:lang w:eastAsia="fr-FR" w:bidi="fr-FR"/>
        </w:rPr>
        <w:t> </w:t>
      </w:r>
      <w:r>
        <w:rPr>
          <w:rStyle w:val="Appelnotedebasdep"/>
          <w:lang w:eastAsia="fr-FR" w:bidi="fr-FR"/>
        </w:rPr>
        <w:footnoteReference w:id="321"/>
      </w:r>
      <w:r w:rsidRPr="00011A46">
        <w:rPr>
          <w:lang w:eastAsia="fr-FR" w:bidi="fr-FR"/>
        </w:rPr>
        <w:t>. Je dirai trop rapidement que la Mère - avec un M majuscule - est l'irreprésentable du pol</w:t>
      </w:r>
      <w:r w:rsidRPr="00011A46">
        <w:rPr>
          <w:lang w:eastAsia="fr-FR" w:bidi="fr-FR"/>
        </w:rPr>
        <w:t>i</w:t>
      </w:r>
      <w:r w:rsidRPr="00011A46">
        <w:rPr>
          <w:lang w:eastAsia="fr-FR" w:bidi="fr-FR"/>
        </w:rPr>
        <w:t xml:space="preserve">tique ou que le politique a été </w:t>
      </w:r>
      <w:r w:rsidRPr="00011A46">
        <w:t>« </w:t>
      </w:r>
      <w:r w:rsidRPr="00011A46">
        <w:rPr>
          <w:lang w:eastAsia="fr-FR" w:bidi="fr-FR"/>
        </w:rPr>
        <w:t>inventé</w:t>
      </w:r>
      <w:r w:rsidRPr="00011A46">
        <w:t> »</w:t>
      </w:r>
      <w:r w:rsidRPr="00011A46">
        <w:rPr>
          <w:lang w:eastAsia="fr-FR" w:bidi="fr-FR"/>
        </w:rPr>
        <w:t xml:space="preserve"> pour faire place à la Mère. C'est ainsi que j'interprète l'affirmation de Pierre Legendre</w:t>
      </w:r>
      <w:r>
        <w:rPr>
          <w:lang w:eastAsia="fr-FR" w:bidi="fr-FR"/>
        </w:rPr>
        <w:t> </w:t>
      </w:r>
      <w:r>
        <w:rPr>
          <w:rStyle w:val="Appelnotedebasdep"/>
          <w:lang w:eastAsia="fr-FR" w:bidi="fr-FR"/>
        </w:rPr>
        <w:footnoteReference w:id="322"/>
      </w:r>
      <w:r w:rsidRPr="00011A46">
        <w:t> :</w:t>
      </w:r>
      <w:r w:rsidRPr="00011A46">
        <w:rPr>
          <w:lang w:eastAsia="fr-FR" w:bidi="fr-FR"/>
        </w:rPr>
        <w:t xml:space="preserve"> </w:t>
      </w:r>
      <w:r w:rsidRPr="00011A46">
        <w:t>« </w:t>
      </w:r>
      <w:r w:rsidRPr="00011A46">
        <w:rPr>
          <w:lang w:eastAsia="fr-FR" w:bidi="fr-FR"/>
        </w:rPr>
        <w:t>la Mère est la trame du tissu polit</w:t>
      </w:r>
      <w:r w:rsidRPr="00011A46">
        <w:rPr>
          <w:lang w:eastAsia="fr-FR" w:bidi="fr-FR"/>
        </w:rPr>
        <w:t>i</w:t>
      </w:r>
      <w:r w:rsidRPr="00011A46">
        <w:rPr>
          <w:lang w:eastAsia="fr-FR" w:bidi="fr-FR"/>
        </w:rPr>
        <w:t>que</w:t>
      </w:r>
      <w:r w:rsidRPr="00011A46">
        <w:t> »</w:t>
      </w:r>
      <w:r w:rsidRPr="00011A46">
        <w:rPr>
          <w:lang w:eastAsia="fr-FR" w:bidi="fr-FR"/>
        </w:rPr>
        <w:t>. Ou que je lis</w:t>
      </w:r>
      <w:r>
        <w:rPr>
          <w:lang w:eastAsia="fr-FR" w:bidi="fr-FR"/>
        </w:rPr>
        <w:t> </w:t>
      </w:r>
      <w:r>
        <w:rPr>
          <w:rStyle w:val="Appelnotedebasdep"/>
          <w:lang w:eastAsia="fr-FR" w:bidi="fr-FR"/>
        </w:rPr>
        <w:footnoteReference w:id="323"/>
      </w:r>
      <w:r w:rsidRPr="00011A46">
        <w:rPr>
          <w:lang w:eastAsia="fr-FR" w:bidi="fr-FR"/>
        </w:rPr>
        <w:t xml:space="preserve"> la dernière phrase de </w:t>
      </w:r>
      <w:r w:rsidRPr="00B87016">
        <w:rPr>
          <w:i/>
          <w:iCs/>
        </w:rPr>
        <w:t>Structure du sérail :</w:t>
      </w:r>
      <w:r w:rsidRPr="00011A46">
        <w:rPr>
          <w:lang w:eastAsia="fr-FR" w:bidi="fr-FR"/>
        </w:rPr>
        <w:t xml:space="preserve"> « Dans l'ombre du harem, veillant sur</w:t>
      </w:r>
      <w:r>
        <w:rPr>
          <w:lang w:eastAsia="fr-FR" w:bidi="fr-FR"/>
        </w:rPr>
        <w:t xml:space="preserve"> [427] </w:t>
      </w:r>
      <w:r w:rsidRPr="00011A46">
        <w:rPr>
          <w:lang w:eastAsia="fr-FR" w:bidi="fr-FR"/>
        </w:rPr>
        <w:t>le sceau, la Mère trio</w:t>
      </w:r>
      <w:r w:rsidRPr="00011A46">
        <w:rPr>
          <w:lang w:eastAsia="fr-FR" w:bidi="fr-FR"/>
        </w:rPr>
        <w:t>m</w:t>
      </w:r>
      <w:r w:rsidRPr="00011A46">
        <w:rPr>
          <w:lang w:eastAsia="fr-FR" w:bidi="fr-FR"/>
        </w:rPr>
        <w:t>phe</w:t>
      </w:r>
      <w:r>
        <w:rPr>
          <w:lang w:eastAsia="fr-FR" w:bidi="fr-FR"/>
        </w:rPr>
        <w:t> </w:t>
      </w:r>
      <w:r>
        <w:rPr>
          <w:rStyle w:val="Appelnotedebasdep"/>
          <w:lang w:eastAsia="fr-FR" w:bidi="fr-FR"/>
        </w:rPr>
        <w:footnoteReference w:id="324"/>
      </w:r>
      <w:r w:rsidRPr="00011A46">
        <w:rPr>
          <w:lang w:eastAsia="fr-FR" w:bidi="fr-FR"/>
        </w:rPr>
        <w:t>.</w:t>
      </w:r>
      <w:r w:rsidRPr="00011A46">
        <w:t> »</w:t>
      </w:r>
      <w:r w:rsidRPr="00011A46">
        <w:rPr>
          <w:lang w:eastAsia="fr-FR" w:bidi="fr-FR"/>
        </w:rPr>
        <w:t xml:space="preserve"> ou la conclusion, pour la Grèce classique, du livre de Nicole Loraux, </w:t>
      </w:r>
      <w:r w:rsidRPr="00B87016">
        <w:rPr>
          <w:i/>
          <w:iCs/>
        </w:rPr>
        <w:t>Les mères en deuil</w:t>
      </w:r>
      <w:r>
        <w:rPr>
          <w:iCs/>
        </w:rPr>
        <w:t> </w:t>
      </w:r>
      <w:r>
        <w:rPr>
          <w:rStyle w:val="Appelnotedebasdep"/>
          <w:iCs/>
        </w:rPr>
        <w:footnoteReference w:id="325"/>
      </w:r>
      <w:r w:rsidRPr="00011A46">
        <w:rPr>
          <w:lang w:eastAsia="fr-FR" w:bidi="fr-FR"/>
        </w:rPr>
        <w:t xml:space="preserve">. La Mère doit être cachée, doit rester dans l'ombre, car son triomphe renvoie à l'apolitique </w:t>
      </w:r>
      <w:r w:rsidRPr="00011A46">
        <w:t>« </w:t>
      </w:r>
      <w:r w:rsidRPr="00011A46">
        <w:rPr>
          <w:lang w:eastAsia="fr-FR" w:bidi="fr-FR"/>
        </w:rPr>
        <w:t>nostalgie de l'indifférencié</w:t>
      </w:r>
      <w:r>
        <w:rPr>
          <w:lang w:eastAsia="fr-FR" w:bidi="fr-FR"/>
        </w:rPr>
        <w:t> </w:t>
      </w:r>
      <w:r>
        <w:rPr>
          <w:rStyle w:val="Appelnotedebasdep"/>
          <w:lang w:eastAsia="fr-FR" w:bidi="fr-FR"/>
        </w:rPr>
        <w:footnoteReference w:id="326"/>
      </w:r>
      <w:r w:rsidRPr="00011A46">
        <w:t> »</w:t>
      </w:r>
      <w:r w:rsidRPr="00011A46">
        <w:rPr>
          <w:lang w:eastAsia="fr-FR" w:bidi="fr-FR"/>
        </w:rPr>
        <w:t>. Pour que le politique advienne, U faut que s'in</w:t>
      </w:r>
      <w:r w:rsidRPr="00011A46">
        <w:rPr>
          <w:lang w:eastAsia="fr-FR" w:bidi="fr-FR"/>
        </w:rPr>
        <w:t>s</w:t>
      </w:r>
      <w:r w:rsidRPr="00011A46">
        <w:rPr>
          <w:lang w:eastAsia="fr-FR" w:bidi="fr-FR"/>
        </w:rPr>
        <w:t>taure le principe différenciateur, occidental</w:t>
      </w:r>
      <w:r w:rsidRPr="00011A46">
        <w:rPr>
          <w:lang w:eastAsia="fr-FR" w:bidi="fr-FR"/>
        </w:rPr>
        <w:t>e</w:t>
      </w:r>
      <w:r w:rsidRPr="00011A46">
        <w:rPr>
          <w:lang w:eastAsia="fr-FR" w:bidi="fr-FR"/>
        </w:rPr>
        <w:t>ment appelé le principe du Père. C'est le prix à payer pour entrevoir l'autonomie du sujet. Y co</w:t>
      </w:r>
      <w:r w:rsidRPr="00011A46">
        <w:rPr>
          <w:lang w:eastAsia="fr-FR" w:bidi="fr-FR"/>
        </w:rPr>
        <w:t>m</w:t>
      </w:r>
      <w:r w:rsidRPr="00011A46">
        <w:rPr>
          <w:lang w:eastAsia="fr-FR" w:bidi="fr-FR"/>
        </w:rPr>
        <w:t>pris du sujet politique.</w:t>
      </w:r>
    </w:p>
    <w:p w:rsidR="00B7214C" w:rsidRPr="00011A46" w:rsidRDefault="00B7214C" w:rsidP="00B7214C">
      <w:pPr>
        <w:spacing w:before="120" w:after="120"/>
        <w:jc w:val="both"/>
      </w:pPr>
      <w:r w:rsidRPr="00011A46">
        <w:rPr>
          <w:lang w:eastAsia="fr-FR" w:bidi="fr-FR"/>
        </w:rPr>
        <w:t>Jusqu'à présent, je me situais dans l'ordre des majuscules. La Mère, comme l'Objet majuscule. Le principe du Père comme LE principe différenciateur. Au ciel des majuscules, cette division a du sens. Le problème réside en ce que le ciel des majuscules travaille aussi la terre des minuscules.</w:t>
      </w:r>
    </w:p>
    <w:p w:rsidR="00B7214C" w:rsidRPr="00011A46" w:rsidRDefault="00B7214C" w:rsidP="00B7214C">
      <w:pPr>
        <w:spacing w:before="120" w:after="120"/>
        <w:jc w:val="both"/>
      </w:pPr>
      <w:r w:rsidRPr="00011A46">
        <w:rPr>
          <w:lang w:eastAsia="fr-FR" w:bidi="fr-FR"/>
        </w:rPr>
        <w:t xml:space="preserve">Le </w:t>
      </w:r>
      <w:r w:rsidRPr="00011A46">
        <w:t>« </w:t>
      </w:r>
      <w:r w:rsidRPr="00011A46">
        <w:rPr>
          <w:lang w:eastAsia="fr-FR" w:bidi="fr-FR"/>
        </w:rPr>
        <w:t>reflet</w:t>
      </w:r>
      <w:r w:rsidRPr="00011A46">
        <w:t> »</w:t>
      </w:r>
      <w:r w:rsidRPr="00011A46">
        <w:rPr>
          <w:lang w:eastAsia="fr-FR" w:bidi="fr-FR"/>
        </w:rPr>
        <w:t xml:space="preserve"> du ciel sur la terre n'a pas été perturbé tant que </w:t>
      </w:r>
      <w:r w:rsidRPr="00011A46">
        <w:t>« </w:t>
      </w:r>
      <w:r w:rsidRPr="00011A46">
        <w:rPr>
          <w:lang w:eastAsia="fr-FR" w:bidi="fr-FR"/>
        </w:rPr>
        <w:t>fonctionnait</w:t>
      </w:r>
      <w:r w:rsidRPr="00011A46">
        <w:t> »</w:t>
      </w:r>
      <w:r w:rsidRPr="00011A46">
        <w:rPr>
          <w:lang w:eastAsia="fr-FR" w:bidi="fr-FR"/>
        </w:rPr>
        <w:t xml:space="preserve"> le patriarcat. Ne me demandez pas quand il débuta. Je n'en sais rien et il n'est pas très important de d</w:t>
      </w:r>
      <w:r w:rsidRPr="00011A46">
        <w:rPr>
          <w:lang w:eastAsia="fr-FR" w:bidi="fr-FR"/>
        </w:rPr>
        <w:t>a</w:t>
      </w:r>
      <w:r w:rsidRPr="00011A46">
        <w:rPr>
          <w:lang w:eastAsia="fr-FR" w:bidi="fr-FR"/>
        </w:rPr>
        <w:t>ter son origine dans la perspective dans laquelle je me situe. L'enjeu se noue quant à sa fin. Parce qu'il est fini, même si son agonie fut longue. Le patriarcat est fini, même si tous les problèmes ne se sont pas évanouis pour autant. Ce qui indiquerait qu'il faille chercher aussi d'autres causes à l'inféri</w:t>
      </w:r>
      <w:r w:rsidRPr="00011A46">
        <w:rPr>
          <w:lang w:eastAsia="fr-FR" w:bidi="fr-FR"/>
        </w:rPr>
        <w:t>o</w:t>
      </w:r>
      <w:r w:rsidRPr="00011A46">
        <w:rPr>
          <w:lang w:eastAsia="fr-FR" w:bidi="fr-FR"/>
        </w:rPr>
        <w:t>risation des femmes. Et non paresseusement continuer à exh</w:t>
      </w:r>
      <w:r w:rsidRPr="00011A46">
        <w:rPr>
          <w:lang w:eastAsia="fr-FR" w:bidi="fr-FR"/>
        </w:rPr>
        <w:t>i</w:t>
      </w:r>
      <w:r w:rsidRPr="00011A46">
        <w:rPr>
          <w:lang w:eastAsia="fr-FR" w:bidi="fr-FR"/>
        </w:rPr>
        <w:t>ber ce fantôme...</w:t>
      </w:r>
    </w:p>
    <w:p w:rsidR="00B7214C" w:rsidRPr="00011A46" w:rsidRDefault="00B7214C" w:rsidP="00B7214C">
      <w:pPr>
        <w:spacing w:before="120" w:after="120"/>
        <w:jc w:val="both"/>
      </w:pPr>
      <w:r w:rsidRPr="00011A46">
        <w:rPr>
          <w:lang w:eastAsia="fr-FR" w:bidi="fr-FR"/>
        </w:rPr>
        <w:t>Le patriarcat est un mode de régulation sociopolitique particuli</w:t>
      </w:r>
      <w:r w:rsidRPr="00011A46">
        <w:rPr>
          <w:lang w:eastAsia="fr-FR" w:bidi="fr-FR"/>
        </w:rPr>
        <w:t>è</w:t>
      </w:r>
      <w:r w:rsidRPr="00011A46">
        <w:rPr>
          <w:lang w:eastAsia="fr-FR" w:bidi="fr-FR"/>
        </w:rPr>
        <w:t>rement habile. Son habileté tient notamment à son utilisation de la p</w:t>
      </w:r>
      <w:r w:rsidRPr="00011A46">
        <w:rPr>
          <w:lang w:eastAsia="fr-FR" w:bidi="fr-FR"/>
        </w:rPr>
        <w:t>a</w:t>
      </w:r>
      <w:r w:rsidRPr="00011A46">
        <w:rPr>
          <w:lang w:eastAsia="fr-FR" w:bidi="fr-FR"/>
        </w:rPr>
        <w:t>trilinéarité. Il fut un temps où patriarcat et patrilinéarité pouvaient se confondre. Or, la patrilinéarité est une invention géniale de l'humanité. Elle est l'artifice le plus simple</w:t>
      </w:r>
      <w:r>
        <w:rPr>
          <w:lang w:eastAsia="fr-FR" w:bidi="fr-FR"/>
        </w:rPr>
        <w:t> </w:t>
      </w:r>
      <w:r>
        <w:rPr>
          <w:rStyle w:val="Appelnotedebasdep"/>
          <w:lang w:eastAsia="fr-FR" w:bidi="fr-FR"/>
        </w:rPr>
        <w:footnoteReference w:id="327"/>
      </w:r>
      <w:r w:rsidRPr="00011A46">
        <w:rPr>
          <w:lang w:eastAsia="fr-FR" w:bidi="fr-FR"/>
        </w:rPr>
        <w:t xml:space="preserve"> par lequel l'humain est humain, par lequel l'humain rompt avec l'animalité.</w:t>
      </w:r>
    </w:p>
    <w:p w:rsidR="00B7214C" w:rsidRPr="00011A46" w:rsidRDefault="00B7214C" w:rsidP="00B7214C">
      <w:pPr>
        <w:spacing w:before="120" w:after="120"/>
        <w:jc w:val="both"/>
      </w:pPr>
      <w:r w:rsidRPr="00011A46">
        <w:rPr>
          <w:lang w:eastAsia="fr-FR" w:bidi="fr-FR"/>
        </w:rPr>
        <w:t>La patrilinéarité est l'institution qui représente merveille</w:t>
      </w:r>
      <w:r w:rsidRPr="00011A46">
        <w:rPr>
          <w:lang w:eastAsia="fr-FR" w:bidi="fr-FR"/>
        </w:rPr>
        <w:t>u</w:t>
      </w:r>
      <w:r w:rsidRPr="00011A46">
        <w:rPr>
          <w:lang w:eastAsia="fr-FR" w:bidi="fr-FR"/>
        </w:rPr>
        <w:t>sement la transmission ou encore la loi de l'échange que Mauss exprima par donner-recevoir-rendre. Avec l'échange, avec l'humain, on est dans l'ordre du trinaire, de la trinité. La transmission, c</w:t>
      </w:r>
      <w:r>
        <w:rPr>
          <w:lang w:eastAsia="fr-FR" w:bidi="fr-FR"/>
        </w:rPr>
        <w:t>'est pour un individu, pouvoir/</w:t>
      </w:r>
      <w:r w:rsidRPr="00011A46">
        <w:rPr>
          <w:lang w:eastAsia="fr-FR" w:bidi="fr-FR"/>
        </w:rPr>
        <w:t>devoir se situer à la fois comme fils de et père de. Trouver sa place en o</w:t>
      </w:r>
      <w:r w:rsidRPr="00011A46">
        <w:rPr>
          <w:lang w:eastAsia="fr-FR" w:bidi="fr-FR"/>
        </w:rPr>
        <w:t>c</w:t>
      </w:r>
      <w:r w:rsidRPr="00011A46">
        <w:rPr>
          <w:lang w:eastAsia="fr-FR" w:bidi="fr-FR"/>
        </w:rPr>
        <w:t>cupant les deux occurrences. Dédoublement en quelque sorte qui suppose l'inscription dans la chaîne en amont et en aval</w:t>
      </w:r>
      <w:r w:rsidRPr="00011A46">
        <w:t> :</w:t>
      </w:r>
      <w:r w:rsidRPr="00011A46">
        <w:rPr>
          <w:lang w:eastAsia="fr-FR" w:bidi="fr-FR"/>
        </w:rPr>
        <w:t xml:space="preserve"> c'est parce qu'il est reconnu fils de qu'il pourra être père de. Le </w:t>
      </w:r>
      <w:r w:rsidRPr="00011A46">
        <w:t>« </w:t>
      </w:r>
      <w:r w:rsidRPr="00011A46">
        <w:rPr>
          <w:lang w:eastAsia="fr-FR" w:bidi="fr-FR"/>
        </w:rPr>
        <w:t>il</w:t>
      </w:r>
      <w:r w:rsidRPr="00011A46">
        <w:t> »</w:t>
      </w:r>
      <w:r w:rsidRPr="00011A46">
        <w:rPr>
          <w:lang w:eastAsia="fr-FR" w:bidi="fr-FR"/>
        </w:rPr>
        <w:t xml:space="preserve"> se constitue d'être à la fois fils de et père de. Il s'agit donc d'une stru</w:t>
      </w:r>
      <w:r w:rsidRPr="00011A46">
        <w:rPr>
          <w:lang w:eastAsia="fr-FR" w:bidi="fr-FR"/>
        </w:rPr>
        <w:t>c</w:t>
      </w:r>
      <w:r w:rsidRPr="00011A46">
        <w:rPr>
          <w:lang w:eastAsia="fr-FR" w:bidi="fr-FR"/>
        </w:rPr>
        <w:t>ture trinitaire</w:t>
      </w:r>
      <w:r w:rsidRPr="00011A46">
        <w:t> :</w:t>
      </w:r>
      <w:r w:rsidRPr="00011A46">
        <w:rPr>
          <w:lang w:eastAsia="fr-FR" w:bidi="fr-FR"/>
        </w:rPr>
        <w:t xml:space="preserve"> dans nos pauvres mots du r</w:t>
      </w:r>
      <w:r w:rsidRPr="00011A46">
        <w:rPr>
          <w:lang w:eastAsia="fr-FR" w:bidi="fr-FR"/>
        </w:rPr>
        <w:t>e</w:t>
      </w:r>
      <w:r w:rsidRPr="00011A46">
        <w:rPr>
          <w:lang w:eastAsia="fr-FR" w:bidi="fr-FR"/>
        </w:rPr>
        <w:t>gistre familial occidental</w:t>
      </w:r>
      <w:r w:rsidRPr="00011A46">
        <w:t> :</w:t>
      </w:r>
      <w:r w:rsidRPr="00011A46">
        <w:rPr>
          <w:lang w:eastAsia="fr-FR" w:bidi="fr-FR"/>
        </w:rPr>
        <w:t xml:space="preserve"> le grand-père, le père, le petit-fils.</w:t>
      </w:r>
    </w:p>
    <w:p w:rsidR="00B7214C" w:rsidRPr="00011A46" w:rsidRDefault="00B7214C" w:rsidP="00B7214C">
      <w:pPr>
        <w:spacing w:before="120" w:after="120"/>
        <w:jc w:val="both"/>
      </w:pPr>
      <w:r w:rsidRPr="00011A46">
        <w:rPr>
          <w:lang w:eastAsia="fr-FR" w:bidi="fr-FR"/>
        </w:rPr>
        <w:t>Au masculin, sans être facile, la transmission est représe</w:t>
      </w:r>
      <w:r w:rsidRPr="00011A46">
        <w:rPr>
          <w:lang w:eastAsia="fr-FR" w:bidi="fr-FR"/>
        </w:rPr>
        <w:t>n</w:t>
      </w:r>
      <w:r w:rsidRPr="00011A46">
        <w:rPr>
          <w:lang w:eastAsia="fr-FR" w:bidi="fr-FR"/>
        </w:rPr>
        <w:t>table. Il se pourrait d'ailleurs que la transmission soit seul</w:t>
      </w:r>
      <w:r w:rsidRPr="00011A46">
        <w:rPr>
          <w:lang w:eastAsia="fr-FR" w:bidi="fr-FR"/>
        </w:rPr>
        <w:t>e</w:t>
      </w:r>
      <w:r w:rsidRPr="00011A46">
        <w:rPr>
          <w:lang w:eastAsia="fr-FR" w:bidi="fr-FR"/>
        </w:rPr>
        <w:t>ment représentable au masculin</w:t>
      </w:r>
      <w:r>
        <w:rPr>
          <w:lang w:eastAsia="fr-FR" w:bidi="fr-FR"/>
        </w:rPr>
        <w:t> </w:t>
      </w:r>
      <w:r>
        <w:rPr>
          <w:rStyle w:val="Appelnotedebasdep"/>
          <w:lang w:eastAsia="fr-FR" w:bidi="fr-FR"/>
        </w:rPr>
        <w:footnoteReference w:id="328"/>
      </w:r>
      <w:r w:rsidRPr="00011A46">
        <w:rPr>
          <w:lang w:eastAsia="fr-FR" w:bidi="fr-FR"/>
        </w:rPr>
        <w:t>, sans qu'il faille y voir une manœuvre du viriarcat. Elle l'est en ce que le nom est le nom du père. Le nom du père est le moyen trouvé pour</w:t>
      </w:r>
      <w:r>
        <w:rPr>
          <w:lang w:eastAsia="fr-FR" w:bidi="fr-FR"/>
        </w:rPr>
        <w:t xml:space="preserve"> [428] </w:t>
      </w:r>
      <w:r w:rsidRPr="00011A46">
        <w:rPr>
          <w:lang w:eastAsia="fr-FR" w:bidi="fr-FR"/>
        </w:rPr>
        <w:t>indiquer que la transmission n'a rien à voir avec la via</w:t>
      </w:r>
      <w:r w:rsidRPr="00011A46">
        <w:rPr>
          <w:lang w:eastAsia="fr-FR" w:bidi="fr-FR"/>
        </w:rPr>
        <w:t>n</w:t>
      </w:r>
      <w:r w:rsidRPr="00011A46">
        <w:rPr>
          <w:lang w:eastAsia="fr-FR" w:bidi="fr-FR"/>
        </w:rPr>
        <w:t>de</w:t>
      </w:r>
      <w:r w:rsidRPr="00011A46">
        <w:t> ;</w:t>
      </w:r>
      <w:r w:rsidRPr="00011A46">
        <w:rPr>
          <w:lang w:eastAsia="fr-FR" w:bidi="fr-FR"/>
        </w:rPr>
        <w:t xml:space="preserve"> qu'elle se joue dans l'espace de la parole.</w:t>
      </w:r>
    </w:p>
    <w:p w:rsidR="00B7214C" w:rsidRPr="00011A46" w:rsidRDefault="00B7214C" w:rsidP="00B7214C">
      <w:pPr>
        <w:spacing w:before="120" w:after="120"/>
        <w:jc w:val="both"/>
      </w:pPr>
      <w:r w:rsidRPr="00011A46">
        <w:rPr>
          <w:lang w:eastAsia="fr-FR" w:bidi="fr-FR"/>
        </w:rPr>
        <w:t>La paternité est l'institution qui, via la parole, le nom, donne une place aux hommes. Elle n'existe qu'en fonction de la reconnaissance de la loi de l'espèce parlante. Elle est bra</w:t>
      </w:r>
      <w:r w:rsidRPr="00011A46">
        <w:rPr>
          <w:lang w:eastAsia="fr-FR" w:bidi="fr-FR"/>
        </w:rPr>
        <w:t>n</w:t>
      </w:r>
      <w:r w:rsidRPr="00011A46">
        <w:rPr>
          <w:lang w:eastAsia="fr-FR" w:bidi="fr-FR"/>
        </w:rPr>
        <w:t>chée sur la transmission, sur l'accueil du nouveau dans la chaîne, sur l'accueil du nouveau-né qui fait d'un fils un père.</w:t>
      </w:r>
    </w:p>
    <w:p w:rsidR="00B7214C" w:rsidRPr="00011A46" w:rsidRDefault="00B7214C" w:rsidP="00B7214C">
      <w:pPr>
        <w:spacing w:before="120" w:after="120"/>
        <w:jc w:val="both"/>
      </w:pPr>
      <w:r w:rsidRPr="00011A46">
        <w:rPr>
          <w:lang w:eastAsia="fr-FR" w:bidi="fr-FR"/>
        </w:rPr>
        <w:t>La filiation ne transmet pas un bien physique à l'état brut - soit, la vie biologique d'une génération à l'autre la filiation transmet la repr</w:t>
      </w:r>
      <w:r w:rsidRPr="00011A46">
        <w:rPr>
          <w:lang w:eastAsia="fr-FR" w:bidi="fr-FR"/>
        </w:rPr>
        <w:t>é</w:t>
      </w:r>
      <w:r w:rsidRPr="00011A46">
        <w:rPr>
          <w:lang w:eastAsia="fr-FR" w:bidi="fr-FR"/>
        </w:rPr>
        <w:t>sentation qui marque ce bien de son sens, qui marque que ce bien est un bien transmis, ce bien transmis est figuré, par exemple, par un nom. On ne reste pas dans l'impayé. Le petit-fils a le sens du rendre dans la chaîne du don. En Occident, jusqu'il y a peu, la coutume do</w:t>
      </w:r>
      <w:r w:rsidRPr="00011A46">
        <w:rPr>
          <w:lang w:eastAsia="fr-FR" w:bidi="fr-FR"/>
        </w:rPr>
        <w:t>n</w:t>
      </w:r>
      <w:r w:rsidRPr="00011A46">
        <w:rPr>
          <w:lang w:eastAsia="fr-FR" w:bidi="fr-FR"/>
        </w:rPr>
        <w:t>nait même au petit-fils le prénom de son grand-père. Ce qui marquait clairement cette notion de rendu.</w:t>
      </w:r>
    </w:p>
    <w:p w:rsidR="00B7214C" w:rsidRPr="00011A46" w:rsidRDefault="00B7214C" w:rsidP="00B7214C">
      <w:pPr>
        <w:spacing w:before="120" w:after="120"/>
        <w:jc w:val="both"/>
      </w:pPr>
      <w:r w:rsidRPr="00011A46">
        <w:rPr>
          <w:lang w:eastAsia="fr-FR" w:bidi="fr-FR"/>
        </w:rPr>
        <w:t>Le patriarcat, en se confondant avec la patrilinéarité, a pu s'exhiber comme porte-drapeau de l'humain. D'autan</w:t>
      </w:r>
      <w:r>
        <w:rPr>
          <w:lang w:eastAsia="fr-FR" w:bidi="fr-FR"/>
        </w:rPr>
        <w:t>t que si la trinité grand-père-</w:t>
      </w:r>
      <w:r w:rsidRPr="00011A46">
        <w:rPr>
          <w:lang w:eastAsia="fr-FR" w:bidi="fr-FR"/>
        </w:rPr>
        <w:t>père-petit-fils n'est pas unique, si elle-même, dans l'arrivance d'un enfant, doit composer avec une autre trinité mère-père-enfant, dans cette seconde trinité, c'est encore le père qui est le personnage central. Non parce qu'il est un homme, comme une réaction féministe paresseuse te</w:t>
      </w:r>
      <w:r w:rsidRPr="00011A46">
        <w:rPr>
          <w:lang w:eastAsia="fr-FR" w:bidi="fr-FR"/>
        </w:rPr>
        <w:t>n</w:t>
      </w:r>
      <w:r w:rsidRPr="00011A46">
        <w:rPr>
          <w:lang w:eastAsia="fr-FR" w:bidi="fr-FR"/>
        </w:rPr>
        <w:t>drait à le laisser croire. Dans la trinité enfant-père-mère, le père est là pour incarner l'interdit. Il est là pour dire à l'enfant qu'il ne forme pas un tout avec sa mère</w:t>
      </w:r>
      <w:r w:rsidRPr="00011A46">
        <w:t> ;</w:t>
      </w:r>
      <w:r w:rsidRPr="00011A46">
        <w:rPr>
          <w:lang w:eastAsia="fr-FR" w:bidi="fr-FR"/>
        </w:rPr>
        <w:t xml:space="preserve"> il est là pour perme</w:t>
      </w:r>
      <w:r w:rsidRPr="00011A46">
        <w:rPr>
          <w:lang w:eastAsia="fr-FR" w:bidi="fr-FR"/>
        </w:rPr>
        <w:t>t</w:t>
      </w:r>
      <w:r w:rsidRPr="00011A46">
        <w:rPr>
          <w:lang w:eastAsia="fr-FR" w:bidi="fr-FR"/>
        </w:rPr>
        <w:t>tre à l'enfant de se différencier, de ne pas succomber à la tentation de l'indiffére</w:t>
      </w:r>
      <w:r w:rsidRPr="00011A46">
        <w:rPr>
          <w:lang w:eastAsia="fr-FR" w:bidi="fr-FR"/>
        </w:rPr>
        <w:t>n</w:t>
      </w:r>
      <w:r w:rsidRPr="00011A46">
        <w:rPr>
          <w:lang w:eastAsia="fr-FR" w:bidi="fr-FR"/>
        </w:rPr>
        <w:t>cié, du vide comblé, pour prendre place, lui, dans la chaîne des h</w:t>
      </w:r>
      <w:r w:rsidRPr="00011A46">
        <w:rPr>
          <w:lang w:eastAsia="fr-FR" w:bidi="fr-FR"/>
        </w:rPr>
        <w:t>u</w:t>
      </w:r>
      <w:r w:rsidRPr="00011A46">
        <w:rPr>
          <w:lang w:eastAsia="fr-FR" w:bidi="fr-FR"/>
        </w:rPr>
        <w:t>mains.</w:t>
      </w:r>
    </w:p>
    <w:p w:rsidR="00B7214C" w:rsidRPr="00011A46" w:rsidRDefault="00B7214C" w:rsidP="00B7214C">
      <w:pPr>
        <w:spacing w:before="120" w:after="120"/>
        <w:jc w:val="both"/>
      </w:pPr>
      <w:r w:rsidRPr="00011A46">
        <w:rPr>
          <w:lang w:eastAsia="fr-FR" w:bidi="fr-FR"/>
        </w:rPr>
        <w:t>Cette capacité du patriarcat, en se confondant avec la p</w:t>
      </w:r>
      <w:r w:rsidRPr="00011A46">
        <w:rPr>
          <w:lang w:eastAsia="fr-FR" w:bidi="fr-FR"/>
        </w:rPr>
        <w:t>a</w:t>
      </w:r>
      <w:r w:rsidRPr="00011A46">
        <w:rPr>
          <w:lang w:eastAsia="fr-FR" w:bidi="fr-FR"/>
        </w:rPr>
        <w:t>trilinéarité, de s'exhiber comme porte-drapeau de l'humain constitue une difficulté pour la pensée, une difficulté dont nous commençons seulement, dans nos sociétés démocrat</w:t>
      </w:r>
      <w:r w:rsidRPr="00011A46">
        <w:rPr>
          <w:lang w:eastAsia="fr-FR" w:bidi="fr-FR"/>
        </w:rPr>
        <w:t>i</w:t>
      </w:r>
      <w:r w:rsidRPr="00011A46">
        <w:rPr>
          <w:lang w:eastAsia="fr-FR" w:bidi="fr-FR"/>
        </w:rPr>
        <w:t>ques égalitaristes, à mesurer les lignes de fuite.</w:t>
      </w:r>
    </w:p>
    <w:p w:rsidR="00B7214C" w:rsidRPr="00011A46" w:rsidRDefault="00B7214C" w:rsidP="00B7214C">
      <w:pPr>
        <w:spacing w:before="120" w:after="120"/>
        <w:jc w:val="both"/>
      </w:pPr>
      <w:r w:rsidRPr="00011A46">
        <w:rPr>
          <w:lang w:eastAsia="fr-FR" w:bidi="fr-FR"/>
        </w:rPr>
        <w:t>En effet, la nécessité que l'enfant puisse advenir à la position de s</w:t>
      </w:r>
      <w:r w:rsidRPr="00011A46">
        <w:rPr>
          <w:lang w:eastAsia="fr-FR" w:bidi="fr-FR"/>
        </w:rPr>
        <w:t>u</w:t>
      </w:r>
      <w:r w:rsidRPr="00011A46">
        <w:rPr>
          <w:lang w:eastAsia="fr-FR" w:bidi="fr-FR"/>
        </w:rPr>
        <w:t>jet a pris la forme, sous le règne du patriarcat, de l'incorporation de la femme dans la mère. La nécessité de l'émergence à l'humain de l'e</w:t>
      </w:r>
      <w:r w:rsidRPr="00011A46">
        <w:rPr>
          <w:lang w:eastAsia="fr-FR" w:bidi="fr-FR"/>
        </w:rPr>
        <w:t>n</w:t>
      </w:r>
      <w:r w:rsidRPr="00011A46">
        <w:rPr>
          <w:lang w:eastAsia="fr-FR" w:bidi="fr-FR"/>
        </w:rPr>
        <w:t>fant via le nom du père ne s'est pas seulement jouée dans le refoul</w:t>
      </w:r>
      <w:r w:rsidRPr="00011A46">
        <w:rPr>
          <w:lang w:eastAsia="fr-FR" w:bidi="fr-FR"/>
        </w:rPr>
        <w:t>e</w:t>
      </w:r>
      <w:r w:rsidRPr="00011A46">
        <w:rPr>
          <w:lang w:eastAsia="fr-FR" w:bidi="fr-FR"/>
        </w:rPr>
        <w:t>ment de la mère, mais e</w:t>
      </w:r>
      <w:r w:rsidRPr="00011A46">
        <w:rPr>
          <w:lang w:eastAsia="fr-FR" w:bidi="fr-FR"/>
        </w:rPr>
        <w:t>n</w:t>
      </w:r>
      <w:r w:rsidRPr="00011A46">
        <w:rPr>
          <w:lang w:eastAsia="fr-FR" w:bidi="fr-FR"/>
        </w:rPr>
        <w:t>core dans l'engloutissement de la femme dans la mère.</w:t>
      </w:r>
    </w:p>
    <w:p w:rsidR="00B7214C" w:rsidRPr="00011A46" w:rsidRDefault="00B7214C" w:rsidP="00B7214C">
      <w:pPr>
        <w:spacing w:before="120" w:after="120"/>
        <w:jc w:val="both"/>
      </w:pPr>
      <w:r w:rsidRPr="00011A46">
        <w:rPr>
          <w:lang w:eastAsia="fr-FR" w:bidi="fr-FR"/>
        </w:rPr>
        <w:t>Pour refouler la mère, le moyen utilisé fut la construction sociale de la femme en tout point symétriquement inversée à la construction sociale de l'homme. L'émergence du père - ind</w:t>
      </w:r>
      <w:r>
        <w:rPr>
          <w:lang w:eastAsia="fr-FR" w:bidi="fr-FR"/>
        </w:rPr>
        <w:t>ispensable pour que l'enfant ad</w:t>
      </w:r>
      <w:r w:rsidRPr="00011A46">
        <w:rPr>
          <w:lang w:eastAsia="fr-FR" w:bidi="fr-FR"/>
        </w:rPr>
        <w:t>vienne</w:t>
      </w:r>
      <w:r>
        <w:t xml:space="preserve"> </w:t>
      </w:r>
      <w:r>
        <w:rPr>
          <w:lang w:eastAsia="fr-FR" w:bidi="fr-FR"/>
        </w:rPr>
        <w:t>[429]</w:t>
      </w:r>
      <w:r w:rsidRPr="00011A46">
        <w:rPr>
          <w:lang w:eastAsia="fr-FR" w:bidi="fr-FR"/>
        </w:rPr>
        <w:t xml:space="preserve"> à l'humain, puisse devenir un sujet - s'est aussi jouée sur la construction sociale de l'homme. Ce n'est pas le couple père-mère qui fut affronté par la pensée, il ne s'agit d'ailleurs pas d'un co</w:t>
      </w:r>
      <w:r w:rsidRPr="00011A46">
        <w:rPr>
          <w:lang w:eastAsia="fr-FR" w:bidi="fr-FR"/>
        </w:rPr>
        <w:t>u</w:t>
      </w:r>
      <w:r w:rsidRPr="00011A46">
        <w:rPr>
          <w:lang w:eastAsia="fr-FR" w:bidi="fr-FR"/>
        </w:rPr>
        <w:t>ple, il est impensable comme couple, c'est le couple homme-femme. Le père advint comme diff</w:t>
      </w:r>
      <w:r w:rsidRPr="00011A46">
        <w:rPr>
          <w:lang w:eastAsia="fr-FR" w:bidi="fr-FR"/>
        </w:rPr>
        <w:t>é</w:t>
      </w:r>
      <w:r w:rsidRPr="00011A46">
        <w:rPr>
          <w:lang w:eastAsia="fr-FR" w:bidi="fr-FR"/>
        </w:rPr>
        <w:t>renciateur de la mère en érigeant l'homme comme opposé symétrique de la femme.</w:t>
      </w:r>
    </w:p>
    <w:p w:rsidR="00B7214C" w:rsidRPr="00011A46" w:rsidRDefault="00B7214C" w:rsidP="00B7214C">
      <w:pPr>
        <w:spacing w:before="120" w:after="120"/>
        <w:jc w:val="both"/>
      </w:pPr>
      <w:r w:rsidRPr="00011A46">
        <w:rPr>
          <w:lang w:eastAsia="fr-FR" w:bidi="fr-FR"/>
        </w:rPr>
        <w:t>La nécessité de la différenciation informulable - ce qui se joue dans la trinité où il y a le père et la mère et l'enfant comme sujet aut</w:t>
      </w:r>
      <w:r w:rsidRPr="00011A46">
        <w:rPr>
          <w:lang w:eastAsia="fr-FR" w:bidi="fr-FR"/>
        </w:rPr>
        <w:t>o</w:t>
      </w:r>
      <w:r w:rsidRPr="00011A46">
        <w:rPr>
          <w:lang w:eastAsia="fr-FR" w:bidi="fr-FR"/>
        </w:rPr>
        <w:t>nome mais non autofondé - prit la forme de la domination de l'homme sur la femme. Le télescopage du principe trinaire nécessaire à la diff</w:t>
      </w:r>
      <w:r w:rsidRPr="00011A46">
        <w:rPr>
          <w:lang w:eastAsia="fr-FR" w:bidi="fr-FR"/>
        </w:rPr>
        <w:t>é</w:t>
      </w:r>
      <w:r w:rsidRPr="00011A46">
        <w:rPr>
          <w:lang w:eastAsia="fr-FR" w:bidi="fr-FR"/>
        </w:rPr>
        <w:t>renciation et du principe binaire de la différence des sexes trouve dans la Nature le champ le plus fertile sur lequel l'établir</w:t>
      </w:r>
      <w:r w:rsidRPr="00011A46">
        <w:t> :</w:t>
      </w:r>
      <w:r w:rsidRPr="00011A46">
        <w:rPr>
          <w:lang w:eastAsia="fr-FR" w:bidi="fr-FR"/>
        </w:rPr>
        <w:t xml:space="preserve"> sur la terre, la mère n'est plus une représentante minuscule de l'Objet majuscule, elle est réduite à celle par qui, par un bout, la transmission touche au bi</w:t>
      </w:r>
      <w:r w:rsidRPr="00011A46">
        <w:rPr>
          <w:lang w:eastAsia="fr-FR" w:bidi="fr-FR"/>
        </w:rPr>
        <w:t>o</w:t>
      </w:r>
      <w:r w:rsidRPr="00011A46">
        <w:rPr>
          <w:lang w:eastAsia="fr-FR" w:bidi="fr-FR"/>
        </w:rPr>
        <w:t>logique. La domination de l'homme sur la fe</w:t>
      </w:r>
      <w:r w:rsidRPr="00011A46">
        <w:rPr>
          <w:lang w:eastAsia="fr-FR" w:bidi="fr-FR"/>
        </w:rPr>
        <w:t>m</w:t>
      </w:r>
      <w:r w:rsidRPr="00011A46">
        <w:rPr>
          <w:lang w:eastAsia="fr-FR" w:bidi="fr-FR"/>
        </w:rPr>
        <w:t>me peut être totale quand la femme est incorporée dans la mère seulement perçue comme porteuse de l'enfant du père.</w:t>
      </w:r>
    </w:p>
    <w:p w:rsidR="00B7214C" w:rsidRPr="00011A46" w:rsidRDefault="00B7214C" w:rsidP="00B7214C">
      <w:pPr>
        <w:spacing w:before="120" w:after="120"/>
        <w:jc w:val="both"/>
      </w:pPr>
      <w:r w:rsidRPr="00011A46">
        <w:rPr>
          <w:lang w:eastAsia="fr-FR" w:bidi="fr-FR"/>
        </w:rPr>
        <w:t>On est donc face à deux principes</w:t>
      </w:r>
      <w:r w:rsidRPr="00011A46">
        <w:t> :</w:t>
      </w:r>
      <w:r w:rsidRPr="00011A46">
        <w:rPr>
          <w:lang w:eastAsia="fr-FR" w:bidi="fr-FR"/>
        </w:rPr>
        <w:t xml:space="preserve"> un principe binaire s</w:t>
      </w:r>
      <w:r w:rsidRPr="00011A46">
        <w:rPr>
          <w:lang w:eastAsia="fr-FR" w:bidi="fr-FR"/>
        </w:rPr>
        <w:t>e</w:t>
      </w:r>
      <w:r w:rsidRPr="00011A46">
        <w:rPr>
          <w:lang w:eastAsia="fr-FR" w:bidi="fr-FR"/>
        </w:rPr>
        <w:t>lon lequel la femme est construite comme l'opposé symétr</w:t>
      </w:r>
      <w:r w:rsidRPr="00011A46">
        <w:rPr>
          <w:lang w:eastAsia="fr-FR" w:bidi="fr-FR"/>
        </w:rPr>
        <w:t>i</w:t>
      </w:r>
      <w:r w:rsidRPr="00011A46">
        <w:rPr>
          <w:lang w:eastAsia="fr-FR" w:bidi="fr-FR"/>
        </w:rPr>
        <w:t>que de l'homme et un principe trinaire dans lequel intervie</w:t>
      </w:r>
      <w:r w:rsidRPr="00011A46">
        <w:rPr>
          <w:lang w:eastAsia="fr-FR" w:bidi="fr-FR"/>
        </w:rPr>
        <w:t>n</w:t>
      </w:r>
      <w:r w:rsidRPr="00011A46">
        <w:rPr>
          <w:lang w:eastAsia="fr-FR" w:bidi="fr-FR"/>
        </w:rPr>
        <w:t>nent le père, la mère et l'enfant. Dans ce principe trinaire, la mère ne peut être construite comme l'o</w:t>
      </w:r>
      <w:r w:rsidRPr="00011A46">
        <w:rPr>
          <w:lang w:eastAsia="fr-FR" w:bidi="fr-FR"/>
        </w:rPr>
        <w:t>p</w:t>
      </w:r>
      <w:r w:rsidRPr="00011A46">
        <w:rPr>
          <w:lang w:eastAsia="fr-FR" w:bidi="fr-FR"/>
        </w:rPr>
        <w:t>posé symétrique du père. L'asymétrique relève de divers ordres, mais il s'impose, ne serait-ce que parce que chacun des termes est placé f</w:t>
      </w:r>
      <w:r w:rsidRPr="00011A46">
        <w:rPr>
          <w:lang w:eastAsia="fr-FR" w:bidi="fr-FR"/>
        </w:rPr>
        <w:t>a</w:t>
      </w:r>
      <w:r w:rsidRPr="00011A46">
        <w:rPr>
          <w:lang w:eastAsia="fr-FR" w:bidi="fr-FR"/>
        </w:rPr>
        <w:t>ce à un troisième.</w:t>
      </w:r>
    </w:p>
    <w:p w:rsidR="00B7214C" w:rsidRPr="00011A46" w:rsidRDefault="00B7214C" w:rsidP="00B7214C">
      <w:pPr>
        <w:spacing w:before="120" w:after="120"/>
        <w:jc w:val="both"/>
      </w:pPr>
      <w:r w:rsidRPr="00011A46">
        <w:rPr>
          <w:lang w:eastAsia="fr-FR" w:bidi="fr-FR"/>
        </w:rPr>
        <w:t>Le patriarcat a combiné ces deux principes incompatibles. Il a ér</w:t>
      </w:r>
      <w:r w:rsidRPr="00011A46">
        <w:rPr>
          <w:lang w:eastAsia="fr-FR" w:bidi="fr-FR"/>
        </w:rPr>
        <w:t>i</w:t>
      </w:r>
      <w:r w:rsidRPr="00011A46">
        <w:rPr>
          <w:lang w:eastAsia="fr-FR" w:bidi="fr-FR"/>
        </w:rPr>
        <w:t>gé la toute-puissance de l'homme sur le rôle du père et a réduit la femme minorisée à la mère de laquelle il fallait prendre distance.</w:t>
      </w:r>
    </w:p>
    <w:p w:rsidR="00B7214C" w:rsidRPr="00011A46" w:rsidRDefault="00B7214C" w:rsidP="00B7214C">
      <w:pPr>
        <w:spacing w:before="120" w:after="120"/>
        <w:jc w:val="both"/>
      </w:pPr>
      <w:r w:rsidRPr="00011A46">
        <w:rPr>
          <w:lang w:eastAsia="fr-FR" w:bidi="fr-FR"/>
        </w:rPr>
        <w:t>Le néo-féminisme - qui s'est employé à faire apparaître la con</w:t>
      </w:r>
      <w:r w:rsidRPr="00011A46">
        <w:rPr>
          <w:lang w:eastAsia="fr-FR" w:bidi="fr-FR"/>
        </w:rPr>
        <w:t>s</w:t>
      </w:r>
      <w:r w:rsidRPr="00011A46">
        <w:rPr>
          <w:lang w:eastAsia="fr-FR" w:bidi="fr-FR"/>
        </w:rPr>
        <w:t>truction sociale des sexes</w:t>
      </w:r>
      <w:r>
        <w:rPr>
          <w:lang w:eastAsia="fr-FR" w:bidi="fr-FR"/>
        </w:rPr>
        <w:t> </w:t>
      </w:r>
      <w:r>
        <w:rPr>
          <w:rStyle w:val="Appelnotedebasdep"/>
          <w:lang w:eastAsia="fr-FR" w:bidi="fr-FR"/>
        </w:rPr>
        <w:footnoteReference w:id="329"/>
      </w:r>
      <w:r w:rsidRPr="00011A46">
        <w:rPr>
          <w:lang w:eastAsia="fr-FR" w:bidi="fr-FR"/>
        </w:rPr>
        <w:t xml:space="preserve"> mais à considérer que la maternité con</w:t>
      </w:r>
      <w:r w:rsidRPr="00011A46">
        <w:rPr>
          <w:lang w:eastAsia="fr-FR" w:bidi="fr-FR"/>
        </w:rPr>
        <w:t>s</w:t>
      </w:r>
      <w:r w:rsidRPr="00011A46">
        <w:rPr>
          <w:lang w:eastAsia="fr-FR" w:bidi="fr-FR"/>
        </w:rPr>
        <w:t>tituait le noyau dur de l'oppression des femmes - a combiné invers</w:t>
      </w:r>
      <w:r w:rsidRPr="00011A46">
        <w:rPr>
          <w:lang w:eastAsia="fr-FR" w:bidi="fr-FR"/>
        </w:rPr>
        <w:t>é</w:t>
      </w:r>
      <w:r w:rsidRPr="00011A46">
        <w:rPr>
          <w:lang w:eastAsia="fr-FR" w:bidi="fr-FR"/>
        </w:rPr>
        <w:t>ment ces deux principes. Il a pu le faire grâce à l'avènement du droit à la non-maternité, à la possibilité pour chaque femme de dire</w:t>
      </w:r>
      <w:r w:rsidRPr="00011A46">
        <w:t> :</w:t>
      </w:r>
      <w:r w:rsidRPr="00011A46">
        <w:rPr>
          <w:lang w:eastAsia="fr-FR" w:bidi="fr-FR"/>
        </w:rPr>
        <w:t xml:space="preserve"> </w:t>
      </w:r>
      <w:r w:rsidRPr="00011A46">
        <w:t>« </w:t>
      </w:r>
      <w:r w:rsidRPr="00011A46">
        <w:rPr>
          <w:lang w:eastAsia="fr-FR" w:bidi="fr-FR"/>
        </w:rPr>
        <w:t>un enfant, si je veux, quand je veux</w:t>
      </w:r>
      <w:r w:rsidRPr="00011A46">
        <w:t> »</w:t>
      </w:r>
      <w:r w:rsidRPr="00011A46">
        <w:rPr>
          <w:lang w:eastAsia="fr-FR" w:bidi="fr-FR"/>
        </w:rPr>
        <w:t>. L'avènement du contrôle de sa f</w:t>
      </w:r>
      <w:r w:rsidRPr="00011A46">
        <w:rPr>
          <w:lang w:eastAsia="fr-FR" w:bidi="fr-FR"/>
        </w:rPr>
        <w:t>é</w:t>
      </w:r>
      <w:r w:rsidRPr="00011A46">
        <w:rPr>
          <w:lang w:eastAsia="fr-FR" w:bidi="fr-FR"/>
        </w:rPr>
        <w:t>condité par la femme et sa reconnaissance par la loi constituent pr</w:t>
      </w:r>
      <w:r w:rsidRPr="00011A46">
        <w:rPr>
          <w:lang w:eastAsia="fr-FR" w:bidi="fr-FR"/>
        </w:rPr>
        <w:t>o</w:t>
      </w:r>
      <w:r w:rsidRPr="00011A46">
        <w:rPr>
          <w:lang w:eastAsia="fr-FR" w:bidi="fr-FR"/>
        </w:rPr>
        <w:t xml:space="preserve">bablement une révolution anthropologique dont nous mesurons encore mal les conséquences. Ils ont bouleversé </w:t>
      </w:r>
      <w:r w:rsidRPr="00011A46">
        <w:t>« </w:t>
      </w:r>
      <w:r w:rsidRPr="00011A46">
        <w:rPr>
          <w:lang w:eastAsia="fr-FR" w:bidi="fr-FR"/>
        </w:rPr>
        <w:t>les structures él</w:t>
      </w:r>
      <w:r w:rsidRPr="00011A46">
        <w:rPr>
          <w:lang w:eastAsia="fr-FR" w:bidi="fr-FR"/>
        </w:rPr>
        <w:t>é</w:t>
      </w:r>
      <w:r w:rsidRPr="00011A46">
        <w:rPr>
          <w:lang w:eastAsia="fr-FR" w:bidi="fr-FR"/>
        </w:rPr>
        <w:t>mentaires de la parenté</w:t>
      </w:r>
      <w:r w:rsidRPr="00011A46">
        <w:t> »</w:t>
      </w:r>
      <w:r w:rsidRPr="00011A46">
        <w:rPr>
          <w:lang w:eastAsia="fr-FR" w:bidi="fr-FR"/>
        </w:rPr>
        <w:t>.</w:t>
      </w:r>
    </w:p>
    <w:p w:rsidR="00B7214C" w:rsidRPr="00011A46" w:rsidRDefault="00B7214C" w:rsidP="00B7214C">
      <w:pPr>
        <w:spacing w:before="120" w:after="120"/>
        <w:jc w:val="both"/>
      </w:pPr>
      <w:r w:rsidRPr="00011A46">
        <w:rPr>
          <w:lang w:eastAsia="fr-FR" w:bidi="fr-FR"/>
        </w:rPr>
        <w:t>Avec l'avènement du contrôle de sa fécondité par la fe</w:t>
      </w:r>
      <w:r w:rsidRPr="00011A46">
        <w:rPr>
          <w:lang w:eastAsia="fr-FR" w:bidi="fr-FR"/>
        </w:rPr>
        <w:t>m</w:t>
      </w:r>
      <w:r w:rsidRPr="00011A46">
        <w:rPr>
          <w:lang w:eastAsia="fr-FR" w:bidi="fr-FR"/>
        </w:rPr>
        <w:t>me et sa reconnaissance par la loi, la femme est désincorp</w:t>
      </w:r>
      <w:r w:rsidRPr="00011A46">
        <w:rPr>
          <w:lang w:eastAsia="fr-FR" w:bidi="fr-FR"/>
        </w:rPr>
        <w:t>o</w:t>
      </w:r>
      <w:r w:rsidRPr="00011A46">
        <w:rPr>
          <w:lang w:eastAsia="fr-FR" w:bidi="fr-FR"/>
        </w:rPr>
        <w:t>rée de la mère. La femme devient un individu humain qui éventuellement choisit d'</w:t>
      </w:r>
      <w:r w:rsidRPr="00011A46">
        <w:t>« </w:t>
      </w:r>
      <w:r w:rsidRPr="00011A46">
        <w:rPr>
          <w:lang w:eastAsia="fr-FR" w:bidi="fr-FR"/>
        </w:rPr>
        <w:t>avoir</w:t>
      </w:r>
      <w:r w:rsidRPr="00011A46">
        <w:t> »</w:t>
      </w:r>
      <w:r w:rsidRPr="00011A46">
        <w:rPr>
          <w:lang w:eastAsia="fr-FR" w:bidi="fr-FR"/>
        </w:rPr>
        <w:t xml:space="preserve"> un enfant. La femme d</w:t>
      </w:r>
      <w:r w:rsidRPr="00011A46">
        <w:rPr>
          <w:lang w:eastAsia="fr-FR" w:bidi="fr-FR"/>
        </w:rPr>
        <w:t>e</w:t>
      </w:r>
      <w:r w:rsidRPr="00011A46">
        <w:rPr>
          <w:lang w:eastAsia="fr-FR" w:bidi="fr-FR"/>
        </w:rPr>
        <w:t>vient citoyenne quand elle a conquis le droit à la non-maternité.</w:t>
      </w:r>
      <w:r>
        <w:t xml:space="preserve"> </w:t>
      </w:r>
      <w:r>
        <w:rPr>
          <w:lang w:eastAsia="fr-FR" w:bidi="fr-FR"/>
        </w:rPr>
        <w:t>[430]</w:t>
      </w:r>
      <w:r w:rsidRPr="00011A46">
        <w:rPr>
          <w:lang w:eastAsia="fr-FR" w:bidi="fr-FR"/>
        </w:rPr>
        <w:t xml:space="preserve"> Je définis ici la citoyenneté comme la détention de la pleine capacité civique et civile.</w:t>
      </w:r>
    </w:p>
    <w:p w:rsidR="00B7214C" w:rsidRPr="00011A46" w:rsidRDefault="00B7214C" w:rsidP="00B7214C">
      <w:pPr>
        <w:spacing w:before="120" w:after="120"/>
        <w:jc w:val="both"/>
      </w:pPr>
      <w:r w:rsidRPr="00011A46">
        <w:rPr>
          <w:lang w:eastAsia="fr-FR" w:bidi="fr-FR"/>
        </w:rPr>
        <w:t>Le néo-féminisme est le mouvement qui donne le coup de grâce au patriarcat en ce qu'il l'exprime. Il l'achève. Il est probable que le coup mortel lui fut asséné avec la mort du roi, pour reprendre, une fois n'est pas coutume, une thèse d'Elisabeth Badinter</w:t>
      </w:r>
      <w:r>
        <w:rPr>
          <w:lang w:eastAsia="fr-FR" w:bidi="fr-FR"/>
        </w:rPr>
        <w:t> </w:t>
      </w:r>
      <w:r>
        <w:rPr>
          <w:rStyle w:val="Appelnotedebasdep"/>
          <w:lang w:eastAsia="fr-FR" w:bidi="fr-FR"/>
        </w:rPr>
        <w:footnoteReference w:id="330"/>
      </w:r>
      <w:r w:rsidRPr="00011A46">
        <w:rPr>
          <w:lang w:eastAsia="fr-FR" w:bidi="fr-FR"/>
        </w:rPr>
        <w:t>. L'agonie dura donc un quasi bicent</w:t>
      </w:r>
      <w:r w:rsidRPr="00011A46">
        <w:rPr>
          <w:lang w:eastAsia="fr-FR" w:bidi="fr-FR"/>
        </w:rPr>
        <w:t>e</w:t>
      </w:r>
      <w:r w:rsidRPr="00011A46">
        <w:rPr>
          <w:lang w:eastAsia="fr-FR" w:bidi="fr-FR"/>
        </w:rPr>
        <w:t>naire. Le néo-féminisme achève le patriarcat en ce que, ayant mis à jour la construction sociale de l'homme et de la fe</w:t>
      </w:r>
      <w:r w:rsidRPr="00011A46">
        <w:rPr>
          <w:lang w:eastAsia="fr-FR" w:bidi="fr-FR"/>
        </w:rPr>
        <w:t>m</w:t>
      </w:r>
      <w:r w:rsidRPr="00011A46">
        <w:rPr>
          <w:lang w:eastAsia="fr-FR" w:bidi="fr-FR"/>
        </w:rPr>
        <w:t>me, il peut la contester dans l'ordre binaire des rapports sociaux de sexe</w:t>
      </w:r>
      <w:r w:rsidRPr="00011A46">
        <w:t> ;</w:t>
      </w:r>
      <w:r w:rsidRPr="00011A46">
        <w:rPr>
          <w:lang w:eastAsia="fr-FR" w:bidi="fr-FR"/>
        </w:rPr>
        <w:t xml:space="preserve"> mais cette contestation, et en cela le néo-féminisme reproduit en l'inversant le savoir-faire patriarcal, est menée au coeur des rapports tr</w:t>
      </w:r>
      <w:r w:rsidRPr="00011A46">
        <w:rPr>
          <w:lang w:eastAsia="fr-FR" w:bidi="fr-FR"/>
        </w:rPr>
        <w:t>i</w:t>
      </w:r>
      <w:r w:rsidRPr="00011A46">
        <w:rPr>
          <w:lang w:eastAsia="fr-FR" w:bidi="fr-FR"/>
        </w:rPr>
        <w:t>naires de parenté.</w:t>
      </w:r>
    </w:p>
    <w:p w:rsidR="00B7214C" w:rsidRPr="00011A46" w:rsidRDefault="00B7214C" w:rsidP="00B7214C">
      <w:pPr>
        <w:spacing w:before="120" w:after="120"/>
        <w:jc w:val="both"/>
      </w:pPr>
      <w:r w:rsidRPr="00011A46">
        <w:rPr>
          <w:lang w:eastAsia="fr-FR" w:bidi="fr-FR"/>
        </w:rPr>
        <w:t>Dans l'opération, le père devient le géniteur et la porteuse de l'e</w:t>
      </w:r>
      <w:r w:rsidRPr="00011A46">
        <w:rPr>
          <w:lang w:eastAsia="fr-FR" w:bidi="fr-FR"/>
        </w:rPr>
        <w:t>n</w:t>
      </w:r>
      <w:r w:rsidRPr="00011A46">
        <w:rPr>
          <w:lang w:eastAsia="fr-FR" w:bidi="fr-FR"/>
        </w:rPr>
        <w:t>fant du père une gynéparentale. On est passé du trio patriarcal père- porteuse de l'enfant du père-enfant au trio néo-féministe géniteur-gynépa- rentale-enfant. Dans le trio patriarcal, l'accès au symbolique se payait de la réduction de la mère au biologique, réduction rendue possible par la con</w:t>
      </w:r>
      <w:r w:rsidRPr="00011A46">
        <w:rPr>
          <w:lang w:eastAsia="fr-FR" w:bidi="fr-FR"/>
        </w:rPr>
        <w:t>s</w:t>
      </w:r>
      <w:r w:rsidRPr="00011A46">
        <w:rPr>
          <w:lang w:eastAsia="fr-FR" w:bidi="fr-FR"/>
        </w:rPr>
        <w:t>truction sociale de la femme comme dominée</w:t>
      </w:r>
      <w:r w:rsidRPr="00011A46">
        <w:t> ;</w:t>
      </w:r>
      <w:r w:rsidRPr="00011A46">
        <w:rPr>
          <w:lang w:eastAsia="fr-FR" w:bidi="fr-FR"/>
        </w:rPr>
        <w:t xml:space="preserve"> dans le trio néo-féministe, le père est réduit au biologique, réduction qui emporte la possibilité d'accès au symbolique, aussi la mère n'app</w:t>
      </w:r>
      <w:r w:rsidRPr="00011A46">
        <w:rPr>
          <w:lang w:eastAsia="fr-FR" w:bidi="fr-FR"/>
        </w:rPr>
        <w:t>a</w:t>
      </w:r>
      <w:r w:rsidRPr="00011A46">
        <w:rPr>
          <w:lang w:eastAsia="fr-FR" w:bidi="fr-FR"/>
        </w:rPr>
        <w:t>raît-elle pas plus, mais la femme, émancipée de la construction sociale qui la fait dominée, devient parent aut</w:t>
      </w:r>
      <w:r w:rsidRPr="00011A46">
        <w:rPr>
          <w:lang w:eastAsia="fr-FR" w:bidi="fr-FR"/>
        </w:rPr>
        <w:t>o</w:t>
      </w:r>
      <w:r w:rsidRPr="00011A46">
        <w:rPr>
          <w:lang w:eastAsia="fr-FR" w:bidi="fr-FR"/>
        </w:rPr>
        <w:t>nome, gynéparentale.</w:t>
      </w:r>
    </w:p>
    <w:p w:rsidR="00B7214C" w:rsidRPr="00011A46" w:rsidRDefault="00B7214C" w:rsidP="00B7214C">
      <w:pPr>
        <w:spacing w:before="120" w:after="120"/>
        <w:jc w:val="both"/>
      </w:pPr>
      <w:r w:rsidRPr="00011A46">
        <w:rPr>
          <w:lang w:eastAsia="fr-FR" w:bidi="fr-FR"/>
        </w:rPr>
        <w:t>Je ne développerai pas ici mais je voudrais pourtant su</w:t>
      </w:r>
      <w:r w:rsidRPr="00011A46">
        <w:rPr>
          <w:lang w:eastAsia="fr-FR" w:bidi="fr-FR"/>
        </w:rPr>
        <w:t>g</w:t>
      </w:r>
      <w:r w:rsidRPr="00011A46">
        <w:rPr>
          <w:lang w:eastAsia="fr-FR" w:bidi="fr-FR"/>
        </w:rPr>
        <w:t>gérer qu'il serait nécessaire de s'interroger sérieusement sur la notion de patria</w:t>
      </w:r>
      <w:r w:rsidRPr="00011A46">
        <w:rPr>
          <w:lang w:eastAsia="fr-FR" w:bidi="fr-FR"/>
        </w:rPr>
        <w:t>r</w:t>
      </w:r>
      <w:r w:rsidRPr="00011A46">
        <w:rPr>
          <w:lang w:eastAsia="fr-FR" w:bidi="fr-FR"/>
        </w:rPr>
        <w:t>cat. Je suis tentée d'avancer que la relation du néo-féminisme à la n</w:t>
      </w:r>
      <w:r w:rsidRPr="00011A46">
        <w:rPr>
          <w:lang w:eastAsia="fr-FR" w:bidi="fr-FR"/>
        </w:rPr>
        <w:t>o</w:t>
      </w:r>
      <w:r w:rsidRPr="00011A46">
        <w:rPr>
          <w:lang w:eastAsia="fr-FR" w:bidi="fr-FR"/>
        </w:rPr>
        <w:t>tion de patriarcat en est une de fascination - au sens rappelé par L</w:t>
      </w:r>
      <w:r w:rsidRPr="00011A46">
        <w:rPr>
          <w:lang w:eastAsia="fr-FR" w:bidi="fr-FR"/>
        </w:rPr>
        <w:t>e</w:t>
      </w:r>
      <w:r w:rsidRPr="00011A46">
        <w:rPr>
          <w:lang w:eastAsia="fr-FR" w:bidi="fr-FR"/>
        </w:rPr>
        <w:t>gendre à Simonis</w:t>
      </w:r>
      <w:r w:rsidRPr="00011A46">
        <w:t> :</w:t>
      </w:r>
      <w:r w:rsidRPr="00011A46">
        <w:rPr>
          <w:lang w:eastAsia="fr-FR" w:bidi="fr-FR"/>
        </w:rPr>
        <w:t xml:space="preserve"> </w:t>
      </w:r>
      <w:r w:rsidRPr="00011A46">
        <w:t>« </w:t>
      </w:r>
      <w:r w:rsidRPr="00011A46">
        <w:rPr>
          <w:lang w:eastAsia="fr-FR" w:bidi="fr-FR"/>
        </w:rPr>
        <w:t>la fa</w:t>
      </w:r>
      <w:r w:rsidRPr="00011A46">
        <w:rPr>
          <w:lang w:eastAsia="fr-FR" w:bidi="fr-FR"/>
        </w:rPr>
        <w:t>s</w:t>
      </w:r>
      <w:r w:rsidRPr="00011A46">
        <w:rPr>
          <w:lang w:eastAsia="fr-FR" w:bidi="fr-FR"/>
        </w:rPr>
        <w:t>cination est un danger, parce qu'elle opère dans un univers déritualisé, où nous perdons le sens des apparences et du vrai</w:t>
      </w:r>
      <w:r>
        <w:rPr>
          <w:lang w:eastAsia="fr-FR" w:bidi="fr-FR"/>
        </w:rPr>
        <w:t> </w:t>
      </w:r>
      <w:r>
        <w:rPr>
          <w:rStyle w:val="Appelnotedebasdep"/>
          <w:lang w:eastAsia="fr-FR" w:bidi="fr-FR"/>
        </w:rPr>
        <w:footnoteReference w:id="331"/>
      </w:r>
      <w:r w:rsidRPr="00011A46">
        <w:rPr>
          <w:lang w:eastAsia="fr-FR" w:bidi="fr-FR"/>
        </w:rPr>
        <w:t>.</w:t>
      </w:r>
      <w:r w:rsidRPr="00011A46">
        <w:t> »</w:t>
      </w:r>
      <w:r w:rsidRPr="00011A46">
        <w:rPr>
          <w:lang w:eastAsia="fr-FR" w:bidi="fr-FR"/>
        </w:rPr>
        <w:t xml:space="preserve"> - mais ce n'est toutefois pas le néo-féminisme qui a i</w:t>
      </w:r>
      <w:r w:rsidRPr="00011A46">
        <w:rPr>
          <w:lang w:eastAsia="fr-FR" w:bidi="fr-FR"/>
        </w:rPr>
        <w:t>n</w:t>
      </w:r>
      <w:r w:rsidRPr="00011A46">
        <w:rPr>
          <w:lang w:eastAsia="fr-FR" w:bidi="fr-FR"/>
        </w:rPr>
        <w:t>venté la notion de patriarcat. Quel investissement y ont mis les fils de sexe masculin qui ont forgé et reforgé ce terme, y compris à l'ère des frères</w:t>
      </w:r>
      <w:r w:rsidRPr="00011A46">
        <w:t> ?</w:t>
      </w:r>
      <w:r w:rsidRPr="00011A46">
        <w:rPr>
          <w:lang w:eastAsia="fr-FR" w:bidi="fr-FR"/>
        </w:rPr>
        <w:t xml:space="preserve"> Que voile-t-il</w:t>
      </w:r>
      <w:r w:rsidRPr="00011A46">
        <w:t> ?</w:t>
      </w:r>
      <w:r w:rsidRPr="00011A46">
        <w:rPr>
          <w:lang w:eastAsia="fr-FR" w:bidi="fr-FR"/>
        </w:rPr>
        <w:t xml:space="preserve"> Cela nous écart</w:t>
      </w:r>
      <w:r w:rsidRPr="00011A46">
        <w:rPr>
          <w:lang w:eastAsia="fr-FR" w:bidi="fr-FR"/>
        </w:rPr>
        <w:t>e</w:t>
      </w:r>
      <w:r w:rsidRPr="00011A46">
        <w:rPr>
          <w:lang w:eastAsia="fr-FR" w:bidi="fr-FR"/>
        </w:rPr>
        <w:t>rait du sujet immédiat mais est sans doute incontournable pour creuser le rapport entre généalogie et politique.</w:t>
      </w:r>
    </w:p>
    <w:p w:rsidR="00B7214C" w:rsidRPr="00011A46" w:rsidRDefault="00B7214C" w:rsidP="00B7214C">
      <w:pPr>
        <w:spacing w:before="120" w:after="120"/>
        <w:jc w:val="both"/>
      </w:pPr>
      <w:r w:rsidRPr="00011A46">
        <w:rPr>
          <w:lang w:eastAsia="fr-FR" w:bidi="fr-FR"/>
        </w:rPr>
        <w:t>Revenons au sujet immédiat</w:t>
      </w:r>
      <w:r w:rsidRPr="00011A46">
        <w:t> :</w:t>
      </w:r>
      <w:r w:rsidRPr="00011A46">
        <w:rPr>
          <w:lang w:eastAsia="fr-FR" w:bidi="fr-FR"/>
        </w:rPr>
        <w:t xml:space="preserve"> l'affirmation politique de la femme et le post-néo-féminisme. Je dirais que le néo-féminisme est le mo</w:t>
      </w:r>
      <w:r w:rsidRPr="00011A46">
        <w:rPr>
          <w:lang w:eastAsia="fr-FR" w:bidi="fr-FR"/>
        </w:rPr>
        <w:t>u</w:t>
      </w:r>
      <w:r w:rsidRPr="00011A46">
        <w:rPr>
          <w:lang w:eastAsia="fr-FR" w:bidi="fr-FR"/>
        </w:rPr>
        <w:t>vement qui porte l'émancipation de la femme de la mère. Mouvement qui porte, il ne l'a pas prov</w:t>
      </w:r>
      <w:r w:rsidRPr="00011A46">
        <w:rPr>
          <w:lang w:eastAsia="fr-FR" w:bidi="fr-FR"/>
        </w:rPr>
        <w:t>o</w:t>
      </w:r>
      <w:r w:rsidRPr="00011A46">
        <w:rPr>
          <w:lang w:eastAsia="fr-FR" w:bidi="fr-FR"/>
        </w:rPr>
        <w:t xml:space="preserve">quée, il ne l'a pas </w:t>
      </w:r>
      <w:r w:rsidRPr="00011A46">
        <w:t>« </w:t>
      </w:r>
      <w:r w:rsidRPr="00011A46">
        <w:rPr>
          <w:lang w:eastAsia="fr-FR" w:bidi="fr-FR"/>
        </w:rPr>
        <w:t>faite</w:t>
      </w:r>
      <w:r w:rsidRPr="00011A46">
        <w:t> »</w:t>
      </w:r>
      <w:r w:rsidRPr="00011A46">
        <w:rPr>
          <w:lang w:eastAsia="fr-FR" w:bidi="fr-FR"/>
        </w:rPr>
        <w:t>, mais le néo-féminisme est le mouvement qui marque l'achèvement de la désinco</w:t>
      </w:r>
      <w:r w:rsidRPr="00011A46">
        <w:rPr>
          <w:lang w:eastAsia="fr-FR" w:bidi="fr-FR"/>
        </w:rPr>
        <w:t>r</w:t>
      </w:r>
      <w:r w:rsidRPr="00011A46">
        <w:rPr>
          <w:lang w:eastAsia="fr-FR" w:bidi="fr-FR"/>
        </w:rPr>
        <w:t xml:space="preserve">poration de la femme de la mère. Il a imposé la reconnaissance du contrôle de sa fécondité par la femme - </w:t>
      </w:r>
      <w:r w:rsidRPr="00011A46">
        <w:t>« </w:t>
      </w:r>
      <w:r w:rsidRPr="00011A46">
        <w:rPr>
          <w:lang w:eastAsia="fr-FR" w:bidi="fr-FR"/>
        </w:rPr>
        <w:t>un enfant, si je veux, quand je veux</w:t>
      </w:r>
      <w:r w:rsidRPr="00011A46">
        <w:t> »</w:t>
      </w:r>
      <w:r w:rsidRPr="00011A46">
        <w:rPr>
          <w:lang w:eastAsia="fr-FR" w:bidi="fr-FR"/>
        </w:rPr>
        <w:t xml:space="preserve"> - tandis que les parlements s'empressaient de finaliser la r</w:t>
      </w:r>
      <w:r w:rsidRPr="00011A46">
        <w:rPr>
          <w:lang w:eastAsia="fr-FR" w:bidi="fr-FR"/>
        </w:rPr>
        <w:t>e</w:t>
      </w:r>
      <w:r w:rsidRPr="00011A46">
        <w:rPr>
          <w:lang w:eastAsia="fr-FR" w:bidi="fr-FR"/>
        </w:rPr>
        <w:t>connaissance d</w:t>
      </w:r>
      <w:r>
        <w:rPr>
          <w:lang w:eastAsia="fr-FR" w:bidi="fr-FR"/>
        </w:rPr>
        <w:t xml:space="preserve">e la capacité civile des femmes, </w:t>
      </w:r>
      <w:r>
        <w:t>[</w:t>
      </w:r>
      <w:r w:rsidRPr="00011A46">
        <w:rPr>
          <w:lang w:eastAsia="fr-FR" w:bidi="fr-FR"/>
        </w:rPr>
        <w:t>431</w:t>
      </w:r>
      <w:r>
        <w:rPr>
          <w:lang w:eastAsia="fr-FR" w:bidi="fr-FR"/>
        </w:rPr>
        <w:t xml:space="preserve">] </w:t>
      </w:r>
      <w:r w:rsidRPr="00011A46">
        <w:rPr>
          <w:lang w:eastAsia="fr-FR" w:bidi="fr-FR"/>
        </w:rPr>
        <w:t>après la reco</w:t>
      </w:r>
      <w:r w:rsidRPr="00011A46">
        <w:rPr>
          <w:lang w:eastAsia="fr-FR" w:bidi="fr-FR"/>
        </w:rPr>
        <w:t>n</w:t>
      </w:r>
      <w:r w:rsidRPr="00011A46">
        <w:rPr>
          <w:lang w:eastAsia="fr-FR" w:bidi="fr-FR"/>
        </w:rPr>
        <w:t>naissance de leur capacité civique. Que les femmes n'aient pas suivi le même cheminement que les hommes - de la reco</w:t>
      </w:r>
      <w:r w:rsidRPr="00011A46">
        <w:rPr>
          <w:lang w:eastAsia="fr-FR" w:bidi="fr-FR"/>
        </w:rPr>
        <w:t>n</w:t>
      </w:r>
      <w:r w:rsidRPr="00011A46">
        <w:rPr>
          <w:lang w:eastAsia="fr-FR" w:bidi="fr-FR"/>
        </w:rPr>
        <w:t>naissance des droits civils à l'octroi de droits sociaux en passant par l'obtention des droits politiques - n'indique pas, me semble-t-il, que la citoyenneté des fe</w:t>
      </w:r>
      <w:r w:rsidRPr="00011A46">
        <w:rPr>
          <w:lang w:eastAsia="fr-FR" w:bidi="fr-FR"/>
        </w:rPr>
        <w:t>m</w:t>
      </w:r>
      <w:r w:rsidRPr="00011A46">
        <w:rPr>
          <w:lang w:eastAsia="fr-FR" w:bidi="fr-FR"/>
        </w:rPr>
        <w:t xml:space="preserve">mes est une </w:t>
      </w:r>
      <w:r w:rsidRPr="00011A46">
        <w:t>« </w:t>
      </w:r>
      <w:r w:rsidRPr="00011A46">
        <w:rPr>
          <w:lang w:eastAsia="fr-FR" w:bidi="fr-FR"/>
        </w:rPr>
        <w:t>citoyenneté de seconde classe</w:t>
      </w:r>
      <w:r>
        <w:rPr>
          <w:lang w:eastAsia="fr-FR" w:bidi="fr-FR"/>
        </w:rPr>
        <w:t> </w:t>
      </w:r>
      <w:r>
        <w:rPr>
          <w:rStyle w:val="Appelnotedebasdep"/>
          <w:lang w:eastAsia="fr-FR" w:bidi="fr-FR"/>
        </w:rPr>
        <w:footnoteReference w:id="332"/>
      </w:r>
      <w:r w:rsidRPr="00011A46">
        <w:t> »</w:t>
      </w:r>
      <w:r w:rsidRPr="00011A46">
        <w:rPr>
          <w:lang w:eastAsia="fr-FR" w:bidi="fr-FR"/>
        </w:rPr>
        <w:t xml:space="preserve"> mais pointe préc</w:t>
      </w:r>
      <w:r w:rsidRPr="00011A46">
        <w:rPr>
          <w:lang w:eastAsia="fr-FR" w:bidi="fr-FR"/>
        </w:rPr>
        <w:t>i</w:t>
      </w:r>
      <w:r w:rsidRPr="00011A46">
        <w:rPr>
          <w:lang w:eastAsia="fr-FR" w:bidi="fr-FR"/>
        </w:rPr>
        <w:t>sément la difficulté de considérer la femme comme relevant de l'ind</w:t>
      </w:r>
      <w:r w:rsidRPr="00011A46">
        <w:rPr>
          <w:lang w:eastAsia="fr-FR" w:bidi="fr-FR"/>
        </w:rPr>
        <w:t>i</w:t>
      </w:r>
      <w:r w:rsidRPr="00011A46">
        <w:rPr>
          <w:lang w:eastAsia="fr-FR" w:bidi="fr-FR"/>
        </w:rPr>
        <w:t>vidu abstrait. Je l'ai dit, la condition pour que la femme soit absorbée dans l'individu abstrait suppose le droit à la non-maternité. Il est po</w:t>
      </w:r>
      <w:r w:rsidRPr="00011A46">
        <w:rPr>
          <w:lang w:eastAsia="fr-FR" w:bidi="fr-FR"/>
        </w:rPr>
        <w:t>s</w:t>
      </w:r>
      <w:r w:rsidRPr="00011A46">
        <w:rPr>
          <w:lang w:eastAsia="fr-FR" w:bidi="fr-FR"/>
        </w:rPr>
        <w:t>sible que cette absorption transforme radicalement la citoyenneté r</w:t>
      </w:r>
      <w:r w:rsidRPr="00011A46">
        <w:rPr>
          <w:lang w:eastAsia="fr-FR" w:bidi="fr-FR"/>
        </w:rPr>
        <w:t>é</w:t>
      </w:r>
      <w:r w:rsidRPr="00011A46">
        <w:rPr>
          <w:lang w:eastAsia="fr-FR" w:bidi="fr-FR"/>
        </w:rPr>
        <w:t>sultant de l'expulsion d'un reste interne (entre nationaux</w:t>
      </w:r>
      <w:r>
        <w:rPr>
          <w:lang w:eastAsia="fr-FR" w:bidi="fr-FR"/>
        </w:rPr>
        <w:t> </w:t>
      </w:r>
      <w:r>
        <w:rPr>
          <w:rStyle w:val="Appelnotedebasdep"/>
          <w:lang w:eastAsia="fr-FR" w:bidi="fr-FR"/>
        </w:rPr>
        <w:footnoteReference w:id="333"/>
      </w:r>
      <w:r w:rsidRPr="00011A46">
        <w:rPr>
          <w:lang w:eastAsia="fr-FR" w:bidi="fr-FR"/>
        </w:rPr>
        <w:t>) qui d</w:t>
      </w:r>
      <w:r w:rsidRPr="00011A46">
        <w:rPr>
          <w:lang w:eastAsia="fr-FR" w:bidi="fr-FR"/>
        </w:rPr>
        <w:t>é</w:t>
      </w:r>
      <w:r w:rsidRPr="00011A46">
        <w:rPr>
          <w:lang w:eastAsia="fr-FR" w:bidi="fr-FR"/>
        </w:rPr>
        <w:t>douane les femmes d'un statut problématique. Consid</w:t>
      </w:r>
      <w:r w:rsidRPr="00011A46">
        <w:rPr>
          <w:lang w:eastAsia="fr-FR" w:bidi="fr-FR"/>
        </w:rPr>
        <w:t>é</w:t>
      </w:r>
      <w:r w:rsidRPr="00011A46">
        <w:rPr>
          <w:lang w:eastAsia="fr-FR" w:bidi="fr-FR"/>
        </w:rPr>
        <w:t>rer qu'elles avaient celui d'ennemi intérieur est peut-être excessif, il n'est tout</w:t>
      </w:r>
      <w:r w:rsidRPr="00011A46">
        <w:rPr>
          <w:lang w:eastAsia="fr-FR" w:bidi="fr-FR"/>
        </w:rPr>
        <w:t>e</w:t>
      </w:r>
      <w:r w:rsidRPr="00011A46">
        <w:rPr>
          <w:lang w:eastAsia="fr-FR" w:bidi="fr-FR"/>
        </w:rPr>
        <w:t xml:space="preserve">fois pas anodin que la correction du </w:t>
      </w:r>
      <w:r w:rsidRPr="00011A46">
        <w:t>« </w:t>
      </w:r>
      <w:r w:rsidRPr="00011A46">
        <w:rPr>
          <w:lang w:eastAsia="fr-FR" w:bidi="fr-FR"/>
        </w:rPr>
        <w:t>retard</w:t>
      </w:r>
      <w:r w:rsidRPr="00011A46">
        <w:t> »</w:t>
      </w:r>
      <w:r w:rsidRPr="00011A46">
        <w:rPr>
          <w:lang w:eastAsia="fr-FR" w:bidi="fr-FR"/>
        </w:rPr>
        <w:t xml:space="preserve"> se soit jouée, en moins d'un quart de siècle, après la Deuxième Guerre mondiale, quand </w:t>
      </w:r>
      <w:r w:rsidRPr="00011A46">
        <w:t>« </w:t>
      </w:r>
      <w:r w:rsidRPr="00011A46">
        <w:rPr>
          <w:lang w:eastAsia="fr-FR" w:bidi="fr-FR"/>
        </w:rPr>
        <w:t>on perd la figure de l'ennemi, on perd la guerre et peut-être, dès lors, la poss</w:t>
      </w:r>
      <w:r w:rsidRPr="00011A46">
        <w:rPr>
          <w:lang w:eastAsia="fr-FR" w:bidi="fr-FR"/>
        </w:rPr>
        <w:t>i</w:t>
      </w:r>
      <w:r w:rsidRPr="00011A46">
        <w:rPr>
          <w:lang w:eastAsia="fr-FR" w:bidi="fr-FR"/>
        </w:rPr>
        <w:t>bilité même du politique</w:t>
      </w:r>
      <w:r>
        <w:rPr>
          <w:lang w:eastAsia="fr-FR" w:bidi="fr-FR"/>
        </w:rPr>
        <w:t> </w:t>
      </w:r>
      <w:r>
        <w:rPr>
          <w:rStyle w:val="Appelnotedebasdep"/>
          <w:lang w:eastAsia="fr-FR" w:bidi="fr-FR"/>
        </w:rPr>
        <w:footnoteReference w:id="334"/>
      </w:r>
      <w:r w:rsidRPr="00011A46">
        <w:t> »</w:t>
      </w:r>
      <w:r w:rsidRPr="00011A46">
        <w:rPr>
          <w:lang w:eastAsia="fr-FR" w:bidi="fr-FR"/>
        </w:rPr>
        <w:t>. Mais ceci obligerait à d'autres dévelo</w:t>
      </w:r>
      <w:r w:rsidRPr="00011A46">
        <w:rPr>
          <w:lang w:eastAsia="fr-FR" w:bidi="fr-FR"/>
        </w:rPr>
        <w:t>p</w:t>
      </w:r>
      <w:r w:rsidRPr="00011A46">
        <w:rPr>
          <w:lang w:eastAsia="fr-FR" w:bidi="fr-FR"/>
        </w:rPr>
        <w:t>pements.</w:t>
      </w:r>
    </w:p>
    <w:p w:rsidR="00B7214C" w:rsidRPr="00011A46" w:rsidRDefault="00B7214C" w:rsidP="00B7214C">
      <w:pPr>
        <w:spacing w:before="120" w:after="120"/>
        <w:jc w:val="both"/>
      </w:pPr>
      <w:r w:rsidRPr="00011A46">
        <w:rPr>
          <w:lang w:eastAsia="fr-FR" w:bidi="fr-FR"/>
        </w:rPr>
        <w:t>Revenons donc à l'empressement des parlements incontestabl</w:t>
      </w:r>
      <w:r w:rsidRPr="00011A46">
        <w:rPr>
          <w:lang w:eastAsia="fr-FR" w:bidi="fr-FR"/>
        </w:rPr>
        <w:t>e</w:t>
      </w:r>
      <w:r w:rsidRPr="00011A46">
        <w:rPr>
          <w:lang w:eastAsia="fr-FR" w:bidi="fr-FR"/>
        </w:rPr>
        <w:t>ment tortuesque au regard de l'histoire - près de deux siècles après les révolutions démocratiques - mais empress</w:t>
      </w:r>
      <w:r w:rsidRPr="00011A46">
        <w:rPr>
          <w:lang w:eastAsia="fr-FR" w:bidi="fr-FR"/>
        </w:rPr>
        <w:t>e</w:t>
      </w:r>
      <w:r w:rsidRPr="00011A46">
        <w:rPr>
          <w:lang w:eastAsia="fr-FR" w:bidi="fr-FR"/>
        </w:rPr>
        <w:t>ment pourtant accéléré en un laps de temps très court - moins de vingt ans - qui transforme une épouse soumise en une égale civile de son mari. En pleine efferve</w:t>
      </w:r>
      <w:r w:rsidRPr="00011A46">
        <w:rPr>
          <w:lang w:eastAsia="fr-FR" w:bidi="fr-FR"/>
        </w:rPr>
        <w:t>s</w:t>
      </w:r>
      <w:r w:rsidRPr="00011A46">
        <w:rPr>
          <w:lang w:eastAsia="fr-FR" w:bidi="fr-FR"/>
        </w:rPr>
        <w:t>cence néo-féministe certes, mais à qui a échappé cette revendic</w:t>
      </w:r>
      <w:r w:rsidRPr="00011A46">
        <w:rPr>
          <w:lang w:eastAsia="fr-FR" w:bidi="fr-FR"/>
        </w:rPr>
        <w:t>a</w:t>
      </w:r>
      <w:r w:rsidRPr="00011A46">
        <w:rPr>
          <w:lang w:eastAsia="fr-FR" w:bidi="fr-FR"/>
        </w:rPr>
        <w:t>tion</w:t>
      </w:r>
      <w:r>
        <w:rPr>
          <w:lang w:eastAsia="fr-FR" w:bidi="fr-FR"/>
        </w:rPr>
        <w:t> </w:t>
      </w:r>
      <w:r>
        <w:rPr>
          <w:rStyle w:val="Appelnotedebasdep"/>
          <w:lang w:eastAsia="fr-FR" w:bidi="fr-FR"/>
        </w:rPr>
        <w:footnoteReference w:id="335"/>
      </w:r>
      <w:r w:rsidRPr="00011A46">
        <w:rPr>
          <w:lang w:eastAsia="fr-FR" w:bidi="fr-FR"/>
        </w:rPr>
        <w:t>. Les parl</w:t>
      </w:r>
      <w:r w:rsidRPr="00011A46">
        <w:rPr>
          <w:lang w:eastAsia="fr-FR" w:bidi="fr-FR"/>
        </w:rPr>
        <w:t>e</w:t>
      </w:r>
      <w:r w:rsidRPr="00011A46">
        <w:rPr>
          <w:lang w:eastAsia="fr-FR" w:bidi="fr-FR"/>
        </w:rPr>
        <w:t>ments transforment l'autorité paternelle en autorité parentale quand les néo-féministes manifestent pour l'avortement libre et gr</w:t>
      </w:r>
      <w:r w:rsidRPr="00011A46">
        <w:rPr>
          <w:lang w:eastAsia="fr-FR" w:bidi="fr-FR"/>
        </w:rPr>
        <w:t>a</w:t>
      </w:r>
      <w:r w:rsidRPr="00011A46">
        <w:rPr>
          <w:lang w:eastAsia="fr-FR" w:bidi="fr-FR"/>
        </w:rPr>
        <w:t>tuit. Mais, cette fois, le décalage sera microscopique. En France, 1970, autorité parentale et 1975, loi Veil. Au Québec et au Canada, l'espace de temps sera un tout petit peu plus long mais accouchera d'une reconnaissance sans préc</w:t>
      </w:r>
      <w:r w:rsidRPr="00011A46">
        <w:rPr>
          <w:lang w:eastAsia="fr-FR" w:bidi="fr-FR"/>
        </w:rPr>
        <w:t>é</w:t>
      </w:r>
      <w:r w:rsidRPr="00011A46">
        <w:rPr>
          <w:lang w:eastAsia="fr-FR" w:bidi="fr-FR"/>
        </w:rPr>
        <w:t>dent</w:t>
      </w:r>
      <w:r w:rsidRPr="00011A46">
        <w:t> :</w:t>
      </w:r>
      <w:r w:rsidRPr="00011A46">
        <w:rPr>
          <w:lang w:eastAsia="fr-FR" w:bidi="fr-FR"/>
        </w:rPr>
        <w:t xml:space="preserve"> les femmes ont une conscience et c'est en fonction de leur conscience qu'elles décident ou non d'avo</w:t>
      </w:r>
      <w:r w:rsidRPr="00011A46">
        <w:rPr>
          <w:lang w:eastAsia="fr-FR" w:bidi="fr-FR"/>
        </w:rPr>
        <w:t>r</w:t>
      </w:r>
      <w:r w:rsidRPr="00011A46">
        <w:rPr>
          <w:lang w:eastAsia="fr-FR" w:bidi="fr-FR"/>
        </w:rPr>
        <w:t>ter. On n'est manifestement plus dans le registre de la boucherie mais dans celui de l'affirmation politique de la femme.</w:t>
      </w:r>
    </w:p>
    <w:p w:rsidR="00B7214C" w:rsidRDefault="00B7214C" w:rsidP="00B7214C">
      <w:pPr>
        <w:spacing w:before="120" w:after="120"/>
        <w:jc w:val="both"/>
        <w:rPr>
          <w:lang w:eastAsia="fr-FR" w:bidi="fr-FR"/>
        </w:rPr>
      </w:pPr>
      <w:r w:rsidRPr="00011A46">
        <w:rPr>
          <w:lang w:eastAsia="fr-FR" w:bidi="fr-FR"/>
        </w:rPr>
        <w:t>Celle-ci est, jusqu'à présent, peu gérée, par les néo-post-féministes notamment. Je ne fais toujours pas référence à la représentation polit</w:t>
      </w:r>
      <w:r w:rsidRPr="00011A46">
        <w:rPr>
          <w:lang w:eastAsia="fr-FR" w:bidi="fr-FR"/>
        </w:rPr>
        <w:t>i</w:t>
      </w:r>
      <w:r w:rsidRPr="00011A46">
        <w:rPr>
          <w:lang w:eastAsia="fr-FR" w:bidi="fr-FR"/>
        </w:rPr>
        <w:t>que sexuée. Mais, même sur ce terrain, il deviendra de plus en plus difficile de prétendre qu'être une femme n'est pas un atout politique si l'on considère la conjoncture canadienne actuelle... L'affirmation pol</w:t>
      </w:r>
      <w:r w:rsidRPr="00011A46">
        <w:rPr>
          <w:lang w:eastAsia="fr-FR" w:bidi="fr-FR"/>
        </w:rPr>
        <w:t>i</w:t>
      </w:r>
      <w:r w:rsidRPr="00011A46">
        <w:rPr>
          <w:lang w:eastAsia="fr-FR" w:bidi="fr-FR"/>
        </w:rPr>
        <w:t>tique de la femme - au sens où la femme est désincorporée de la mère - a eu un effet sociologique quasi immédiat</w:t>
      </w:r>
      <w:r w:rsidRPr="00011A46">
        <w:t> :</w:t>
      </w:r>
      <w:r w:rsidRPr="00011A46">
        <w:rPr>
          <w:lang w:eastAsia="fr-FR" w:bidi="fr-FR"/>
        </w:rPr>
        <w:t xml:space="preserve"> la diffusion de la famille gynéparentale, la famille monoparentale sous la responsabilité d'une femme seule. Que la moitié de ces fami</w:t>
      </w:r>
      <w:r w:rsidRPr="00011A46">
        <w:rPr>
          <w:lang w:eastAsia="fr-FR" w:bidi="fr-FR"/>
        </w:rPr>
        <w:t>l</w:t>
      </w:r>
      <w:r w:rsidRPr="00011A46">
        <w:rPr>
          <w:lang w:eastAsia="fr-FR" w:bidi="fr-FR"/>
        </w:rPr>
        <w:t>les vivent sous le seuil de la pauvreté ne dit pas totalement ni fondamentalement le prix payé. Moins par les femmes d'ai</w:t>
      </w:r>
      <w:r w:rsidRPr="00011A46">
        <w:rPr>
          <w:lang w:eastAsia="fr-FR" w:bidi="fr-FR"/>
        </w:rPr>
        <w:t>l</w:t>
      </w:r>
      <w:r w:rsidRPr="00011A46">
        <w:rPr>
          <w:lang w:eastAsia="fr-FR" w:bidi="fr-FR"/>
        </w:rPr>
        <w:t xml:space="preserve">leurs que par les fils de l'un et l'autre sexe, </w:t>
      </w:r>
      <w:r w:rsidRPr="00011A46">
        <w:t>« </w:t>
      </w:r>
      <w:r w:rsidRPr="00011A46">
        <w:rPr>
          <w:lang w:eastAsia="fr-FR" w:bidi="fr-FR"/>
        </w:rPr>
        <w:t>selon la vigo</w:t>
      </w:r>
      <w:r w:rsidRPr="00011A46">
        <w:rPr>
          <w:lang w:eastAsia="fr-FR" w:bidi="fr-FR"/>
        </w:rPr>
        <w:t>u</w:t>
      </w:r>
      <w:r w:rsidRPr="00011A46">
        <w:rPr>
          <w:lang w:eastAsia="fr-FR" w:bidi="fr-FR"/>
        </w:rPr>
        <w:t>reuse formule classique</w:t>
      </w:r>
      <w:r w:rsidRPr="00011A46">
        <w:t> »</w:t>
      </w:r>
      <w:r w:rsidRPr="00011A46">
        <w:rPr>
          <w:lang w:eastAsia="fr-FR" w:bidi="fr-FR"/>
        </w:rPr>
        <w:t xml:space="preserve"> que Legendre rabâche si volontiers.</w:t>
      </w:r>
    </w:p>
    <w:p w:rsidR="00B7214C" w:rsidRPr="00011A46" w:rsidRDefault="00B7214C" w:rsidP="00B7214C">
      <w:pPr>
        <w:spacing w:before="120" w:after="120"/>
        <w:jc w:val="both"/>
      </w:pPr>
      <w:r>
        <w:rPr>
          <w:lang w:eastAsia="fr-FR" w:bidi="fr-FR"/>
        </w:rPr>
        <w:t>[432]</w:t>
      </w:r>
    </w:p>
    <w:p w:rsidR="00B7214C" w:rsidRPr="00011A46" w:rsidRDefault="00B7214C" w:rsidP="00B7214C">
      <w:pPr>
        <w:spacing w:before="120" w:after="120"/>
        <w:jc w:val="both"/>
      </w:pPr>
      <w:r w:rsidRPr="00011A46">
        <w:rPr>
          <w:lang w:eastAsia="fr-FR" w:bidi="fr-FR"/>
        </w:rPr>
        <w:t>D'une interrogation à mener sur le politique - l'avènement de la c</w:t>
      </w:r>
      <w:r w:rsidRPr="00011A46">
        <w:rPr>
          <w:lang w:eastAsia="fr-FR" w:bidi="fr-FR"/>
        </w:rPr>
        <w:t>i</w:t>
      </w:r>
      <w:r w:rsidRPr="00011A46">
        <w:rPr>
          <w:lang w:eastAsia="fr-FR" w:bidi="fr-FR"/>
        </w:rPr>
        <w:t>toyenne renvoie, dans l'ordre familial, à l'avènement de la gynéparen- tale -, on a fait une question sociale, gérée par des travailleuses soci</w:t>
      </w:r>
      <w:r w:rsidRPr="00011A46">
        <w:rPr>
          <w:lang w:eastAsia="fr-FR" w:bidi="fr-FR"/>
        </w:rPr>
        <w:t>a</w:t>
      </w:r>
      <w:r w:rsidRPr="00011A46">
        <w:rPr>
          <w:lang w:eastAsia="fr-FR" w:bidi="fr-FR"/>
        </w:rPr>
        <w:t xml:space="preserve">les. Ce qui est peut-être inévitable, s'agissant d'un mouvement social. D'autant qu'à l'extérieur de ce mouvement, elle n'est pratiquement pas abordée pour ce qu'elle est. Tout se passe comme si </w:t>
      </w:r>
      <w:r w:rsidRPr="00011A46">
        <w:t>« </w:t>
      </w:r>
      <w:r w:rsidRPr="00011A46">
        <w:rPr>
          <w:lang w:eastAsia="fr-FR" w:bidi="fr-FR"/>
        </w:rPr>
        <w:t>la question des fe</w:t>
      </w:r>
      <w:r w:rsidRPr="00011A46">
        <w:rPr>
          <w:lang w:eastAsia="fr-FR" w:bidi="fr-FR"/>
        </w:rPr>
        <w:t>m</w:t>
      </w:r>
      <w:r w:rsidRPr="00011A46">
        <w:rPr>
          <w:lang w:eastAsia="fr-FR" w:bidi="fr-FR"/>
        </w:rPr>
        <w:t>mes</w:t>
      </w:r>
      <w:r w:rsidRPr="00011A46">
        <w:t> »</w:t>
      </w:r>
      <w:r w:rsidRPr="00011A46">
        <w:rPr>
          <w:lang w:eastAsia="fr-FR" w:bidi="fr-FR"/>
        </w:rPr>
        <w:t xml:space="preserve"> était condamnée à ne relever que du militantisme ou, à la rigueur, des tribunaux. Ce qui en dit long, me semble-t-il, sur l'état du débat démocratique, sur son espace discursif.</w:t>
      </w:r>
    </w:p>
    <w:p w:rsidR="00B7214C" w:rsidRPr="00011A46" w:rsidRDefault="00B7214C" w:rsidP="00B7214C">
      <w:pPr>
        <w:spacing w:before="120" w:after="120"/>
        <w:jc w:val="both"/>
      </w:pPr>
      <w:r w:rsidRPr="00011A46">
        <w:rPr>
          <w:lang w:eastAsia="fr-FR" w:bidi="fr-FR"/>
        </w:rPr>
        <w:t>L'affirmation politique de la femme, qui prend place à la fin des années 1970 - début des années 1980, parce qu'elle a été considérée comme une concession, une rectification au retard mis pour lui reco</w:t>
      </w:r>
      <w:r w:rsidRPr="00011A46">
        <w:rPr>
          <w:lang w:eastAsia="fr-FR" w:bidi="fr-FR"/>
        </w:rPr>
        <w:t>n</w:t>
      </w:r>
      <w:r w:rsidRPr="00011A46">
        <w:rPr>
          <w:lang w:eastAsia="fr-FR" w:bidi="fr-FR"/>
        </w:rPr>
        <w:t>naître la qualité de citoyenne, en lui octroyant des droits en chaîne, n'a, jusqu'à présent, pas été l'occasion d'un débat sur le fondement du politique. Il ne suffit pas - même si c'est indispensable - de démo</w:t>
      </w:r>
      <w:r w:rsidRPr="00011A46">
        <w:rPr>
          <w:lang w:eastAsia="fr-FR" w:bidi="fr-FR"/>
        </w:rPr>
        <w:t>n</w:t>
      </w:r>
      <w:r w:rsidRPr="00011A46">
        <w:rPr>
          <w:lang w:eastAsia="fr-FR" w:bidi="fr-FR"/>
        </w:rPr>
        <w:t>trer</w:t>
      </w:r>
      <w:r>
        <w:rPr>
          <w:lang w:eastAsia="fr-FR" w:bidi="fr-FR"/>
        </w:rPr>
        <w:t> </w:t>
      </w:r>
      <w:r>
        <w:rPr>
          <w:rStyle w:val="Appelnotedebasdep"/>
          <w:lang w:eastAsia="fr-FR" w:bidi="fr-FR"/>
        </w:rPr>
        <w:footnoteReference w:id="336"/>
      </w:r>
      <w:r w:rsidRPr="00011A46">
        <w:rPr>
          <w:lang w:eastAsia="fr-FR" w:bidi="fr-FR"/>
        </w:rPr>
        <w:t xml:space="preserve"> que les théoriciennes néo-féministes se sont enfermées dans une pos</w:t>
      </w:r>
      <w:r w:rsidRPr="00011A46">
        <w:rPr>
          <w:lang w:eastAsia="fr-FR" w:bidi="fr-FR"/>
        </w:rPr>
        <w:t>i</w:t>
      </w:r>
      <w:r w:rsidRPr="00011A46">
        <w:rPr>
          <w:lang w:eastAsia="fr-FR" w:bidi="fr-FR"/>
        </w:rPr>
        <w:t>tion sans issue en proclamant que le privé est politique, que le perso</w:t>
      </w:r>
      <w:r w:rsidRPr="00011A46">
        <w:rPr>
          <w:lang w:eastAsia="fr-FR" w:bidi="fr-FR"/>
        </w:rPr>
        <w:t>n</w:t>
      </w:r>
      <w:r w:rsidRPr="00011A46">
        <w:rPr>
          <w:lang w:eastAsia="fr-FR" w:bidi="fr-FR"/>
        </w:rPr>
        <w:t xml:space="preserve">nel est </w:t>
      </w:r>
      <w:r w:rsidRPr="00B87016">
        <w:rPr>
          <w:i/>
          <w:iCs/>
        </w:rPr>
        <w:t>le</w:t>
      </w:r>
      <w:r w:rsidRPr="00011A46">
        <w:rPr>
          <w:lang w:eastAsia="fr-FR" w:bidi="fr-FR"/>
        </w:rPr>
        <w:t xml:space="preserve"> politique. Encore faut-il déconstruire la gestion de la Mère qui, tant au niveau de l'</w:t>
      </w:r>
      <w:r>
        <w:rPr>
          <w:lang w:eastAsia="fr-FR" w:bidi="fr-FR"/>
        </w:rPr>
        <w:t>État</w:t>
      </w:r>
      <w:r w:rsidRPr="00011A46">
        <w:rPr>
          <w:lang w:eastAsia="fr-FR" w:bidi="fr-FR"/>
        </w:rPr>
        <w:t xml:space="preserve"> que de la s</w:t>
      </w:r>
      <w:r w:rsidRPr="00011A46">
        <w:rPr>
          <w:lang w:eastAsia="fr-FR" w:bidi="fr-FR"/>
        </w:rPr>
        <w:t>o</w:t>
      </w:r>
      <w:r w:rsidRPr="00011A46">
        <w:rPr>
          <w:lang w:eastAsia="fr-FR" w:bidi="fr-FR"/>
        </w:rPr>
        <w:t>ciété civile, ne relève pas que de la raison.</w:t>
      </w:r>
    </w:p>
    <w:p w:rsidR="00B7214C" w:rsidRPr="00011A46" w:rsidRDefault="00B7214C" w:rsidP="00B7214C">
      <w:pPr>
        <w:spacing w:before="120" w:after="120"/>
        <w:jc w:val="both"/>
      </w:pPr>
      <w:r w:rsidRPr="00011A46">
        <w:rPr>
          <w:lang w:eastAsia="fr-FR" w:bidi="fr-FR"/>
        </w:rPr>
        <w:t>Cela dit, et pour en revenir au post-néo-féminisme et en terminer, il s'est englué dans une raison sociale qui lui permettait de se maint</w:t>
      </w:r>
      <w:r w:rsidRPr="00011A46">
        <w:rPr>
          <w:lang w:eastAsia="fr-FR" w:bidi="fr-FR"/>
        </w:rPr>
        <w:t>e</w:t>
      </w:r>
      <w:r w:rsidRPr="00011A46">
        <w:rPr>
          <w:lang w:eastAsia="fr-FR" w:bidi="fr-FR"/>
        </w:rPr>
        <w:t>nir sur la place publique en se lançant dans une croisade sociale contre la violence domestique. Même la tragédie de Polytechnique a pu être érigée en e</w:t>
      </w:r>
      <w:r w:rsidRPr="00011A46">
        <w:rPr>
          <w:lang w:eastAsia="fr-FR" w:bidi="fr-FR"/>
        </w:rPr>
        <w:t>m</w:t>
      </w:r>
      <w:r w:rsidRPr="00011A46">
        <w:rPr>
          <w:lang w:eastAsia="fr-FR" w:bidi="fr-FR"/>
        </w:rPr>
        <w:t>blème de cette violence domestique</w:t>
      </w:r>
      <w:r>
        <w:rPr>
          <w:lang w:eastAsia="fr-FR" w:bidi="fr-FR"/>
        </w:rPr>
        <w:t> </w:t>
      </w:r>
      <w:r>
        <w:rPr>
          <w:rStyle w:val="Appelnotedebasdep"/>
          <w:lang w:eastAsia="fr-FR" w:bidi="fr-FR"/>
        </w:rPr>
        <w:footnoteReference w:id="337"/>
      </w:r>
      <w:r w:rsidRPr="00011A46">
        <w:rPr>
          <w:lang w:eastAsia="fr-FR" w:bidi="fr-FR"/>
        </w:rPr>
        <w:t>. Ce qui constitue une illustration tangible de ce que l'affirmation politique de la femme n'est pas admise par les néo-féministes elles-mêmes.</w:t>
      </w:r>
    </w:p>
    <w:p w:rsidR="00B7214C" w:rsidRPr="00011A46" w:rsidRDefault="00B7214C" w:rsidP="00B7214C">
      <w:pPr>
        <w:spacing w:before="120" w:after="120"/>
        <w:jc w:val="both"/>
      </w:pPr>
      <w:r w:rsidRPr="00011A46">
        <w:rPr>
          <w:lang w:eastAsia="fr-FR" w:bidi="fr-FR"/>
        </w:rPr>
        <w:t>La reconnaissance de la liberté d'avorter n'a pas été appr</w:t>
      </w:r>
      <w:r w:rsidRPr="00011A46">
        <w:rPr>
          <w:lang w:eastAsia="fr-FR" w:bidi="fr-FR"/>
        </w:rPr>
        <w:t>é</w:t>
      </w:r>
      <w:r w:rsidRPr="00011A46">
        <w:rPr>
          <w:lang w:eastAsia="fr-FR" w:bidi="fr-FR"/>
        </w:rPr>
        <w:t>ciée comme la condition de l'érection de la femme en sujet politique. Or, la reconnaissance de la liberté d'avorter touche à une face de l'Interdit. Elle brouille les repères quant à l'i</w:t>
      </w:r>
      <w:r w:rsidRPr="00011A46">
        <w:rPr>
          <w:lang w:eastAsia="fr-FR" w:bidi="fr-FR"/>
        </w:rPr>
        <w:t>n</w:t>
      </w:r>
      <w:r w:rsidRPr="00011A46">
        <w:rPr>
          <w:lang w:eastAsia="fr-FR" w:bidi="fr-FR"/>
        </w:rPr>
        <w:t>ceste - un enfant né a échappé à l'avortement de par la volo</w:t>
      </w:r>
      <w:r w:rsidRPr="00011A46">
        <w:rPr>
          <w:lang w:eastAsia="fr-FR" w:bidi="fr-FR"/>
        </w:rPr>
        <w:t>n</w:t>
      </w:r>
      <w:r w:rsidRPr="00011A46">
        <w:rPr>
          <w:lang w:eastAsia="fr-FR" w:bidi="fr-FR"/>
        </w:rPr>
        <w:t>té de sa mère - et elle le fait en jouant avec le non-être du non-voulu. La reconnaissance de la liberté des femmes d'avorter devait toucher l'autre face de l'Interdit</w:t>
      </w:r>
      <w:r w:rsidRPr="00011A46">
        <w:t> :</w:t>
      </w:r>
      <w:r w:rsidRPr="00011A46">
        <w:rPr>
          <w:lang w:eastAsia="fr-FR" w:bidi="fr-FR"/>
        </w:rPr>
        <w:t xml:space="preserve"> le meurtre, la viole</w:t>
      </w:r>
      <w:r w:rsidRPr="00011A46">
        <w:rPr>
          <w:lang w:eastAsia="fr-FR" w:bidi="fr-FR"/>
        </w:rPr>
        <w:t>n</w:t>
      </w:r>
      <w:r w:rsidRPr="00011A46">
        <w:rPr>
          <w:lang w:eastAsia="fr-FR" w:bidi="fr-FR"/>
        </w:rPr>
        <w:t>ce. Et le Québec, qui est non seulement une société distincte mais au</w:t>
      </w:r>
      <w:r w:rsidRPr="00011A46">
        <w:rPr>
          <w:lang w:eastAsia="fr-FR" w:bidi="fr-FR"/>
        </w:rPr>
        <w:t>s</w:t>
      </w:r>
      <w:r w:rsidRPr="00011A46">
        <w:rPr>
          <w:lang w:eastAsia="fr-FR" w:bidi="fr-FR"/>
        </w:rPr>
        <w:t>si emblématique à ce chapitre, s'est offert, en moins d'une décennie, un Lortie, un Lépine et un Fabr</w:t>
      </w:r>
      <w:r w:rsidRPr="00011A46">
        <w:rPr>
          <w:lang w:eastAsia="fr-FR" w:bidi="fr-FR"/>
        </w:rPr>
        <w:t>i</w:t>
      </w:r>
      <w:r w:rsidRPr="00011A46">
        <w:rPr>
          <w:lang w:eastAsia="fr-FR" w:bidi="fr-FR"/>
        </w:rPr>
        <w:t>kant. Ce dernier a tué parce qu'il ne pouvait pas apposer, seul, son nom, le nom de son père, au bas des articles qu'il écr</w:t>
      </w:r>
      <w:r w:rsidRPr="00011A46">
        <w:rPr>
          <w:lang w:eastAsia="fr-FR" w:bidi="fr-FR"/>
        </w:rPr>
        <w:t>i</w:t>
      </w:r>
      <w:r w:rsidRPr="00011A46">
        <w:rPr>
          <w:lang w:eastAsia="fr-FR" w:bidi="fr-FR"/>
        </w:rPr>
        <w:t>vait...</w:t>
      </w:r>
    </w:p>
    <w:p w:rsidR="00B7214C" w:rsidRPr="00011A46" w:rsidRDefault="00B7214C" w:rsidP="00B7214C">
      <w:pPr>
        <w:spacing w:before="120" w:after="120"/>
        <w:jc w:val="both"/>
      </w:pPr>
      <w:r w:rsidRPr="00011A46">
        <w:rPr>
          <w:lang w:eastAsia="fr-FR" w:bidi="fr-FR"/>
        </w:rPr>
        <w:t xml:space="preserve">Que </w:t>
      </w:r>
      <w:r w:rsidRPr="00011A46">
        <w:t>« </w:t>
      </w:r>
      <w:r w:rsidRPr="00011A46">
        <w:rPr>
          <w:lang w:eastAsia="fr-FR" w:bidi="fr-FR"/>
        </w:rPr>
        <w:t>la violence domestique</w:t>
      </w:r>
      <w:r w:rsidRPr="00011A46">
        <w:t> »</w:t>
      </w:r>
      <w:r w:rsidRPr="00011A46">
        <w:rPr>
          <w:lang w:eastAsia="fr-FR" w:bidi="fr-FR"/>
        </w:rPr>
        <w:t xml:space="preserve"> ait remplacé dans nos journaux la rubrique des chiens écrasés illustre que nous - et dans ce nous ne sont pas seulement incluses les néo-féministes ni même les femmes - ne parvenons</w:t>
      </w:r>
      <w:r>
        <w:rPr>
          <w:lang w:eastAsia="fr-FR" w:bidi="fr-FR"/>
        </w:rPr>
        <w:t xml:space="preserve"> [433] </w:t>
      </w:r>
      <w:r w:rsidRPr="00011A46">
        <w:rPr>
          <w:lang w:eastAsia="fr-FR" w:bidi="fr-FR"/>
        </w:rPr>
        <w:t>pas à reconnaître l'affirmation politique de la femme et la part d'ombre qu'elle porte avec elle. Le droit à la sécurité est le premier droit de l'homme. Que les femmes ne puissent e</w:t>
      </w:r>
      <w:r w:rsidRPr="00011A46">
        <w:rPr>
          <w:lang w:eastAsia="fr-FR" w:bidi="fr-FR"/>
        </w:rPr>
        <w:t>n</w:t>
      </w:r>
      <w:r w:rsidRPr="00011A46">
        <w:rPr>
          <w:lang w:eastAsia="fr-FR" w:bidi="fr-FR"/>
        </w:rPr>
        <w:t>core s'en prévaloir relève du questionnement du sens du politique, de l'anthr</w:t>
      </w:r>
      <w:r w:rsidRPr="00011A46">
        <w:rPr>
          <w:lang w:eastAsia="fr-FR" w:bidi="fr-FR"/>
        </w:rPr>
        <w:t>o</w:t>
      </w:r>
      <w:r w:rsidRPr="00011A46">
        <w:rPr>
          <w:lang w:eastAsia="fr-FR" w:bidi="fr-FR"/>
        </w:rPr>
        <w:t>pologie p</w:t>
      </w:r>
      <w:r w:rsidRPr="00011A46">
        <w:rPr>
          <w:lang w:eastAsia="fr-FR" w:bidi="fr-FR"/>
        </w:rPr>
        <w:t>o</w:t>
      </w:r>
      <w:r w:rsidRPr="00011A46">
        <w:rPr>
          <w:lang w:eastAsia="fr-FR" w:bidi="fr-FR"/>
        </w:rPr>
        <w:t>litique, et non du travail social.</w:t>
      </w:r>
    </w:p>
    <w:p w:rsidR="00B7214C" w:rsidRPr="00BC632B" w:rsidRDefault="00B7214C" w:rsidP="00B7214C">
      <w:pPr>
        <w:spacing w:before="120" w:after="120"/>
        <w:jc w:val="both"/>
      </w:pPr>
      <w:r>
        <w:br w:type="page"/>
      </w:r>
    </w:p>
    <w:p w:rsidR="00B7214C" w:rsidRPr="00B05531" w:rsidRDefault="00B7214C" w:rsidP="00B7214C">
      <w:pPr>
        <w:spacing w:before="120" w:after="120"/>
        <w:jc w:val="both"/>
        <w:rPr>
          <w:b/>
          <w:color w:val="FF0000"/>
        </w:rPr>
      </w:pPr>
      <w:r w:rsidRPr="00B05531">
        <w:rPr>
          <w:b/>
          <w:color w:val="FF0000"/>
        </w:rPr>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rPr>
          <w:lang w:eastAsia="fr-FR" w:bidi="fr-FR"/>
        </w:rPr>
      </w:pPr>
    </w:p>
    <w:p w:rsidR="00B7214C" w:rsidRDefault="00B7214C" w:rsidP="00B7214C">
      <w:pPr>
        <w:pStyle w:val="p"/>
        <w:rPr>
          <w:lang w:eastAsia="fr-FR" w:bidi="fr-FR"/>
        </w:rPr>
      </w:pPr>
      <w:r>
        <w:rPr>
          <w:lang w:eastAsia="fr-FR" w:bidi="fr-FR"/>
        </w:rPr>
        <w:t>[434]</w:t>
      </w:r>
    </w:p>
    <w:p w:rsidR="00B7214C" w:rsidRDefault="00B7214C" w:rsidP="00B7214C">
      <w:pPr>
        <w:pStyle w:val="p"/>
      </w:pPr>
    </w:p>
    <w:p w:rsidR="00B7214C" w:rsidRDefault="00B7214C" w:rsidP="00B7214C">
      <w:pPr>
        <w:pStyle w:val="p"/>
        <w:rPr>
          <w:lang w:eastAsia="fr-FR" w:bidi="fr-FR"/>
        </w:rPr>
      </w:pPr>
      <w:r w:rsidRPr="00011A46">
        <w:rPr>
          <w:lang w:eastAsia="fr-FR" w:bidi="fr-FR"/>
        </w:rPr>
        <w:br w:type="page"/>
      </w:r>
      <w:r>
        <w:rPr>
          <w:lang w:eastAsia="fr-FR" w:bidi="fr-FR"/>
        </w:rPr>
        <w:t>[435]</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2" w:name="Entre_tradition_pt_2_texte_30"/>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DEUXIÈME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D. RELIGIONS DES DROITS :</w:t>
      </w:r>
      <w:r>
        <w:rPr>
          <w:color w:val="FF0000"/>
          <w:sz w:val="24"/>
        </w:rPr>
        <w:br/>
        <w:t>ENTRE COMMUNAUTARISME ET INDIVIDUALISME</w:t>
      </w:r>
    </w:p>
    <w:p w:rsidR="00B7214C" w:rsidRPr="00384B20" w:rsidRDefault="00B7214C" w:rsidP="00B7214C">
      <w:pPr>
        <w:pStyle w:val="Titreniveau1"/>
      </w:pPr>
      <w:r>
        <w:t>30</w:t>
      </w:r>
    </w:p>
    <w:p w:rsidR="00B7214C" w:rsidRDefault="00B7214C" w:rsidP="00B7214C">
      <w:pPr>
        <w:pStyle w:val="Titreniveau2"/>
      </w:pPr>
      <w:r>
        <w:t>“</w:t>
      </w:r>
      <w:r w:rsidRPr="00E65802">
        <w:t>Hiérarchies polyethniques,</w:t>
      </w:r>
      <w:r>
        <w:br/>
        <w:t>justice inter générationnelle</w:t>
      </w:r>
      <w:r>
        <w:br/>
      </w:r>
      <w:r w:rsidRPr="00E65802">
        <w:t>et programmes préfére</w:t>
      </w:r>
      <w:r w:rsidRPr="00E65802">
        <w:t>n</w:t>
      </w:r>
      <w:r w:rsidRPr="00E65802">
        <w:t>tiels</w:t>
      </w:r>
      <w:r>
        <w:br/>
      </w:r>
      <w:r w:rsidRPr="00E65802">
        <w:t xml:space="preserve">au Canada </w:t>
      </w:r>
      <w:r>
        <w:t>.” </w:t>
      </w:r>
      <w:r>
        <w:rPr>
          <w:rStyle w:val="Appelnotedebasdep"/>
        </w:rPr>
        <w:footnoteReference w:id="338"/>
      </w:r>
    </w:p>
    <w:bookmarkEnd w:id="42"/>
    <w:p w:rsidR="00B7214C" w:rsidRPr="00E07116" w:rsidRDefault="00B7214C" w:rsidP="00B7214C">
      <w:pPr>
        <w:jc w:val="both"/>
        <w:rPr>
          <w:szCs w:val="36"/>
        </w:rPr>
      </w:pPr>
    </w:p>
    <w:p w:rsidR="00B7214C" w:rsidRPr="00E07116" w:rsidRDefault="00B7214C" w:rsidP="00B7214C">
      <w:pPr>
        <w:pStyle w:val="suite"/>
      </w:pPr>
      <w:r>
        <w:t>Par Mikhaël ELBAZ</w:t>
      </w:r>
    </w:p>
    <w:p w:rsidR="00B7214C" w:rsidRPr="00E07116" w:rsidRDefault="00B7214C" w:rsidP="00B7214C">
      <w:pPr>
        <w:pStyle w:val="auteurst"/>
      </w:pPr>
      <w:r w:rsidRPr="004A7EF1">
        <w:t>Département d'</w:t>
      </w:r>
      <w:r>
        <w:t>anthropologie. Université Laval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spacing w:before="120" w:after="120"/>
        <w:jc w:val="both"/>
        <w:rPr>
          <w:lang w:eastAsia="fr-FR" w:bidi="fr-FR"/>
        </w:rPr>
      </w:pPr>
      <w:r>
        <w:rPr>
          <w:lang w:eastAsia="fr-FR" w:bidi="fr-FR"/>
        </w:rPr>
        <w:br w:type="page"/>
      </w:r>
    </w:p>
    <w:p w:rsidR="00B7214C" w:rsidRPr="00011A46" w:rsidRDefault="00B7214C" w:rsidP="00B7214C">
      <w:pPr>
        <w:spacing w:before="120" w:after="120"/>
        <w:jc w:val="both"/>
      </w:pPr>
      <w:r>
        <w:rPr>
          <w:lang w:eastAsia="fr-FR" w:bidi="fr-FR"/>
        </w:rPr>
        <w:t>L</w:t>
      </w:r>
      <w:r w:rsidRPr="00011A46">
        <w:rPr>
          <w:lang w:eastAsia="fr-FR" w:bidi="fr-FR"/>
        </w:rPr>
        <w:t>a tradition démocratique au Canada s'est construite a</w:t>
      </w:r>
      <w:r w:rsidRPr="00011A46">
        <w:rPr>
          <w:lang w:eastAsia="fr-FR" w:bidi="fr-FR"/>
        </w:rPr>
        <w:t>u</w:t>
      </w:r>
      <w:r w:rsidRPr="00011A46">
        <w:rPr>
          <w:lang w:eastAsia="fr-FR" w:bidi="fr-FR"/>
        </w:rPr>
        <w:t xml:space="preserve">tour de communautés qui n'ont cessé de renégocier les règles d'appartenance et de séparation dans l'espace politique et les ordres juridiques. État </w:t>
      </w:r>
      <w:r w:rsidRPr="00011A46">
        <w:t>« </w:t>
      </w:r>
      <w:r w:rsidRPr="00011A46">
        <w:rPr>
          <w:lang w:eastAsia="fr-FR" w:bidi="fr-FR"/>
        </w:rPr>
        <w:t>faible</w:t>
      </w:r>
      <w:r w:rsidRPr="00011A46">
        <w:t> »</w:t>
      </w:r>
      <w:r w:rsidRPr="00011A46">
        <w:rPr>
          <w:lang w:eastAsia="fr-FR" w:bidi="fr-FR"/>
        </w:rPr>
        <w:t>, le Canada n'a pas réussi à distinguer l'origine de l'allégea</w:t>
      </w:r>
      <w:r w:rsidRPr="00011A46">
        <w:rPr>
          <w:lang w:eastAsia="fr-FR" w:bidi="fr-FR"/>
        </w:rPr>
        <w:t>n</w:t>
      </w:r>
      <w:r w:rsidRPr="00011A46">
        <w:rPr>
          <w:lang w:eastAsia="fr-FR" w:bidi="fr-FR"/>
        </w:rPr>
        <w:t>ce - la question ethnique de la citoyenneté - et est désormais confronté à la multiplication des identités qui revendiquent authenticité et aut</w:t>
      </w:r>
      <w:r w:rsidRPr="00011A46">
        <w:rPr>
          <w:lang w:eastAsia="fr-FR" w:bidi="fr-FR"/>
        </w:rPr>
        <w:t>o</w:t>
      </w:r>
      <w:r w:rsidRPr="00011A46">
        <w:rPr>
          <w:lang w:eastAsia="fr-FR" w:bidi="fr-FR"/>
        </w:rPr>
        <w:t>nomie, droits catégoriels et protection des Chartes.</w:t>
      </w:r>
    </w:p>
    <w:p w:rsidR="00B7214C" w:rsidRPr="00011A46" w:rsidRDefault="00B7214C" w:rsidP="00B7214C">
      <w:pPr>
        <w:spacing w:before="120" w:after="120"/>
        <w:jc w:val="both"/>
        <w:rPr>
          <w:lang w:eastAsia="fr-FR" w:bidi="fr-FR"/>
        </w:rPr>
      </w:pPr>
      <w:r w:rsidRPr="00011A46">
        <w:rPr>
          <w:lang w:eastAsia="fr-FR" w:bidi="fr-FR"/>
        </w:rPr>
        <w:t>Le dualisme et le pluralisme qui ont tramé la mosaïque verticale sont repérables dans l'ambiguïté de la conversation sociale sur les principes du juste, du légal et du bon, les contours de la souveraineté et l'extension des droits démocr</w:t>
      </w:r>
      <w:r w:rsidRPr="00011A46">
        <w:rPr>
          <w:lang w:eastAsia="fr-FR" w:bidi="fr-FR"/>
        </w:rPr>
        <w:t>a</w:t>
      </w:r>
      <w:r w:rsidRPr="00011A46">
        <w:rPr>
          <w:lang w:eastAsia="fr-FR" w:bidi="fr-FR"/>
        </w:rPr>
        <w:t>tiques à des ensembles distincts et distingués. Le bien co</w:t>
      </w:r>
      <w:r w:rsidRPr="00011A46">
        <w:rPr>
          <w:lang w:eastAsia="fr-FR" w:bidi="fr-FR"/>
        </w:rPr>
        <w:t>m</w:t>
      </w:r>
      <w:r w:rsidRPr="00011A46">
        <w:rPr>
          <w:lang w:eastAsia="fr-FR" w:bidi="fr-FR"/>
        </w:rPr>
        <w:t>mun est dès lors soumis à des interprétations variées</w:t>
      </w:r>
      <w:r w:rsidRPr="00011A46">
        <w:t> :</w:t>
      </w:r>
      <w:r w:rsidRPr="00011A46">
        <w:rPr>
          <w:lang w:eastAsia="fr-FR" w:bidi="fr-FR"/>
        </w:rPr>
        <w:t xml:space="preserve"> locales et globales, particularistes et universalistes, dont on peut tr</w:t>
      </w:r>
      <w:r w:rsidRPr="00011A46">
        <w:rPr>
          <w:lang w:eastAsia="fr-FR" w:bidi="fr-FR"/>
        </w:rPr>
        <w:t>a</w:t>
      </w:r>
      <w:r w:rsidRPr="00011A46">
        <w:rPr>
          <w:lang w:eastAsia="fr-FR" w:bidi="fr-FR"/>
        </w:rPr>
        <w:t>cer les scansions et les contradictions tant dans le pluralisme libéral cher à l'idéal démocratique que dans la tradition du républic</w:t>
      </w:r>
      <w:r w:rsidRPr="00011A46">
        <w:rPr>
          <w:lang w:eastAsia="fr-FR" w:bidi="fr-FR"/>
        </w:rPr>
        <w:t>a</w:t>
      </w:r>
      <w:r w:rsidRPr="00011A46">
        <w:rPr>
          <w:lang w:eastAsia="fr-FR" w:bidi="fr-FR"/>
        </w:rPr>
        <w:t xml:space="preserve">nisme civil des </w:t>
      </w:r>
      <w:r w:rsidRPr="00011A46">
        <w:t>« </w:t>
      </w:r>
      <w:r w:rsidRPr="00011A46">
        <w:rPr>
          <w:lang w:eastAsia="fr-FR" w:bidi="fr-FR"/>
        </w:rPr>
        <w:t>communautaires</w:t>
      </w:r>
      <w:r w:rsidRPr="00011A46">
        <w:t> »</w:t>
      </w:r>
      <w:r w:rsidRPr="00011A46">
        <w:rPr>
          <w:lang w:eastAsia="fr-FR" w:bidi="fr-FR"/>
        </w:rPr>
        <w:t xml:space="preserve"> (Elbaz et Murbach, 1991</w:t>
      </w:r>
      <w:r w:rsidRPr="00011A46">
        <w:t> ;</w:t>
      </w:r>
      <w:r w:rsidRPr="00011A46">
        <w:rPr>
          <w:lang w:eastAsia="fr-FR" w:bidi="fr-FR"/>
        </w:rPr>
        <w:t xml:space="preserve"> K</w:t>
      </w:r>
      <w:r w:rsidRPr="00011A46">
        <w:rPr>
          <w:lang w:eastAsia="fr-FR" w:bidi="fr-FR"/>
        </w:rPr>
        <w:t>y</w:t>
      </w:r>
      <w:r w:rsidRPr="00011A46">
        <w:rPr>
          <w:lang w:eastAsia="fr-FR" w:bidi="fr-FR"/>
        </w:rPr>
        <w:t xml:space="preserve">mlicka, 1991 ; Taylor </w:t>
      </w:r>
      <w:r w:rsidRPr="00A77344">
        <w:rPr>
          <w:i/>
          <w:iCs/>
        </w:rPr>
        <w:t>et al.,</w:t>
      </w:r>
      <w:r w:rsidRPr="00011A46">
        <w:rPr>
          <w:lang w:eastAsia="fr-FR" w:bidi="fr-FR"/>
        </w:rPr>
        <w:t xml:space="preserve"> 1992).</w:t>
      </w:r>
    </w:p>
    <w:p w:rsidR="00B7214C" w:rsidRPr="00011A46" w:rsidRDefault="00B7214C" w:rsidP="00B7214C">
      <w:pPr>
        <w:spacing w:before="120" w:after="120"/>
        <w:jc w:val="both"/>
      </w:pPr>
      <w:r w:rsidRPr="00011A46">
        <w:rPr>
          <w:lang w:eastAsia="fr-FR" w:bidi="fr-FR"/>
        </w:rPr>
        <w:t>L'adoption de la Charte constitutionnelle en 1982 a polarisé la rel</w:t>
      </w:r>
      <w:r w:rsidRPr="00011A46">
        <w:rPr>
          <w:lang w:eastAsia="fr-FR" w:bidi="fr-FR"/>
        </w:rPr>
        <w:t>a</w:t>
      </w:r>
      <w:r w:rsidRPr="00011A46">
        <w:rPr>
          <w:lang w:eastAsia="fr-FR" w:bidi="fr-FR"/>
        </w:rPr>
        <w:t>tion triangulaire entre peuples fondateurs, autocht</w:t>
      </w:r>
      <w:r w:rsidRPr="00011A46">
        <w:rPr>
          <w:lang w:eastAsia="fr-FR" w:bidi="fr-FR"/>
        </w:rPr>
        <w:t>o</w:t>
      </w:r>
      <w:r w:rsidRPr="00011A46">
        <w:rPr>
          <w:lang w:eastAsia="fr-FR" w:bidi="fr-FR"/>
        </w:rPr>
        <w:t xml:space="preserve">nes et </w:t>
      </w:r>
      <w:r w:rsidRPr="00011A46">
        <w:t>« </w:t>
      </w:r>
      <w:r w:rsidRPr="00011A46">
        <w:rPr>
          <w:lang w:eastAsia="fr-FR" w:bidi="fr-FR"/>
        </w:rPr>
        <w:t>ethniques</w:t>
      </w:r>
      <w:r w:rsidRPr="00011A46">
        <w:t> »</w:t>
      </w:r>
      <w:r>
        <w:t xml:space="preserve"> </w:t>
      </w:r>
      <w:r>
        <w:rPr>
          <w:lang w:eastAsia="fr-FR" w:bidi="fr-FR"/>
        </w:rPr>
        <w:t xml:space="preserve">[436] </w:t>
      </w:r>
      <w:r w:rsidRPr="00011A46">
        <w:rPr>
          <w:lang w:eastAsia="fr-FR" w:bidi="fr-FR"/>
        </w:rPr>
        <w:t>et relancé les revendications sur plusieurs fronts qui n'ont de cesse de traquer indéfiniment l'injustice et de faire reconnaître la diff</w:t>
      </w:r>
      <w:r w:rsidRPr="00011A46">
        <w:rPr>
          <w:lang w:eastAsia="fr-FR" w:bidi="fr-FR"/>
        </w:rPr>
        <w:t>é</w:t>
      </w:r>
      <w:r w:rsidRPr="00011A46">
        <w:rPr>
          <w:lang w:eastAsia="fr-FR" w:bidi="fr-FR"/>
        </w:rPr>
        <w:t>rence. Le paradoxe est que les appareils d'État ont repris sinon capté cette demande de droits et, parfois, l'ont même anticipé. Le cas le plus patent concerne l'instauration de programmes préférentiels, inscrits d</w:t>
      </w:r>
      <w:r w:rsidRPr="00011A46">
        <w:rPr>
          <w:lang w:eastAsia="fr-FR" w:bidi="fr-FR"/>
        </w:rPr>
        <w:t>é</w:t>
      </w:r>
      <w:r w:rsidRPr="00011A46">
        <w:rPr>
          <w:lang w:eastAsia="fr-FR" w:bidi="fr-FR"/>
        </w:rPr>
        <w:t xml:space="preserve">sormais à l'article 15 (2) de la Charte, pour les minorités nommées </w:t>
      </w:r>
      <w:r w:rsidRPr="00011A46">
        <w:t>« </w:t>
      </w:r>
      <w:r w:rsidRPr="00011A46">
        <w:rPr>
          <w:lang w:eastAsia="fr-FR" w:bidi="fr-FR"/>
        </w:rPr>
        <w:t>visibles</w:t>
      </w:r>
      <w:r w:rsidRPr="00011A46">
        <w:t> »</w:t>
      </w:r>
      <w:r w:rsidRPr="00011A46">
        <w:rPr>
          <w:lang w:eastAsia="fr-FR" w:bidi="fr-FR"/>
        </w:rPr>
        <w:t xml:space="preserve">, lesquels en visant un idéal d'équité, semblent aussi </w:t>
      </w:r>
      <w:r w:rsidRPr="00011A46">
        <w:t>« </w:t>
      </w:r>
      <w:r w:rsidRPr="00011A46">
        <w:rPr>
          <w:lang w:eastAsia="fr-FR" w:bidi="fr-FR"/>
        </w:rPr>
        <w:t>inventer</w:t>
      </w:r>
      <w:r w:rsidRPr="00011A46">
        <w:t> »</w:t>
      </w:r>
      <w:r w:rsidRPr="00011A46">
        <w:rPr>
          <w:lang w:eastAsia="fr-FR" w:bidi="fr-FR"/>
        </w:rPr>
        <w:t xml:space="preserve"> des communautés soudées par une marque et la prote</w:t>
      </w:r>
      <w:r w:rsidRPr="00011A46">
        <w:rPr>
          <w:lang w:eastAsia="fr-FR" w:bidi="fr-FR"/>
        </w:rPr>
        <w:t>c</w:t>
      </w:r>
      <w:r w:rsidRPr="00011A46">
        <w:rPr>
          <w:lang w:eastAsia="fr-FR" w:bidi="fr-FR"/>
        </w:rPr>
        <w:t xml:space="preserve">tion juridique de l'État. On pourrait y voir la tendance d'un </w:t>
      </w:r>
      <w:r>
        <w:rPr>
          <w:lang w:eastAsia="fr-FR" w:bidi="fr-FR"/>
        </w:rPr>
        <w:t>État</w:t>
      </w:r>
      <w:r w:rsidRPr="00011A46">
        <w:rPr>
          <w:lang w:eastAsia="fr-FR" w:bidi="fr-FR"/>
        </w:rPr>
        <w:t xml:space="preserve">-providence de s'assurer la loyauté et la participation de nouveaux membres et une volonté de contrôler la tension interethnique dans des villes </w:t>
      </w:r>
      <w:r w:rsidRPr="00011A46">
        <w:t>« </w:t>
      </w:r>
      <w:r w:rsidRPr="00011A46">
        <w:rPr>
          <w:lang w:eastAsia="fr-FR" w:bidi="fr-FR"/>
        </w:rPr>
        <w:t>pluriculturelles</w:t>
      </w:r>
      <w:r w:rsidRPr="00011A46">
        <w:t> »</w:t>
      </w:r>
      <w:r w:rsidRPr="00011A46">
        <w:rPr>
          <w:lang w:eastAsia="fr-FR" w:bidi="fr-FR"/>
        </w:rPr>
        <w:t>. On pourrait aussi alléguer que ces politiques de la différence ont pour f</w:t>
      </w:r>
      <w:r w:rsidRPr="00011A46">
        <w:rPr>
          <w:lang w:eastAsia="fr-FR" w:bidi="fr-FR"/>
        </w:rPr>
        <w:t>i</w:t>
      </w:r>
      <w:r w:rsidRPr="00011A46">
        <w:rPr>
          <w:lang w:eastAsia="fr-FR" w:bidi="fr-FR"/>
        </w:rPr>
        <w:t xml:space="preserve">nalité pragmatique de neutraliser l'arbitraire et l'exclusion afin d'assurer une incorporation équivalente. Il y aurait lieu alors de montrer que la machinerie institutionnelle dispose d'une théorie implicite de la régulation de l'arbitraire au nom de la raison démocratique ainsi que de normes qui légitiment une justice réversible entre générations issues de groupes </w:t>
      </w:r>
      <w:r w:rsidRPr="00011A46">
        <w:t>« </w:t>
      </w:r>
      <w:r w:rsidRPr="00011A46">
        <w:rPr>
          <w:lang w:eastAsia="fr-FR" w:bidi="fr-FR"/>
        </w:rPr>
        <w:t>génériques</w:t>
      </w:r>
      <w:r w:rsidRPr="00011A46">
        <w:t> »</w:t>
      </w:r>
      <w:r w:rsidRPr="00011A46">
        <w:rPr>
          <w:lang w:eastAsia="fr-FR" w:bidi="fr-FR"/>
        </w:rPr>
        <w:t>. Le terrain est e</w:t>
      </w:r>
      <w:r w:rsidRPr="00011A46">
        <w:rPr>
          <w:lang w:eastAsia="fr-FR" w:bidi="fr-FR"/>
        </w:rPr>
        <w:t>s</w:t>
      </w:r>
      <w:r w:rsidRPr="00011A46">
        <w:rPr>
          <w:lang w:eastAsia="fr-FR" w:bidi="fr-FR"/>
        </w:rPr>
        <w:t>carpé car la discussion sur les programmes préférentiels suscite des polémiques qui ne sont que l'envers et l'endroit d'un même idéal</w:t>
      </w:r>
      <w:r w:rsidRPr="00011A46">
        <w:t> :</w:t>
      </w:r>
      <w:r w:rsidRPr="00011A46">
        <w:rPr>
          <w:lang w:eastAsia="fr-FR" w:bidi="fr-FR"/>
        </w:rPr>
        <w:t xml:space="preserve"> l'égalité. De plus, elle met aux prises, au Canada, des visions conte</w:t>
      </w:r>
      <w:r w:rsidRPr="00011A46">
        <w:rPr>
          <w:lang w:eastAsia="fr-FR" w:bidi="fr-FR"/>
        </w:rPr>
        <w:t>s</w:t>
      </w:r>
      <w:r w:rsidRPr="00011A46">
        <w:rPr>
          <w:lang w:eastAsia="fr-FR" w:bidi="fr-FR"/>
        </w:rPr>
        <w:t xml:space="preserve">tées sur la structure </w:t>
      </w:r>
      <w:r w:rsidRPr="00011A46">
        <w:t>« </w:t>
      </w:r>
      <w:r>
        <w:rPr>
          <w:lang w:eastAsia="fr-FR" w:bidi="fr-FR"/>
        </w:rPr>
        <w:t>conassocia</w:t>
      </w:r>
      <w:r w:rsidRPr="00011A46">
        <w:rPr>
          <w:lang w:eastAsia="fr-FR" w:bidi="fr-FR"/>
        </w:rPr>
        <w:t>tionnelle</w:t>
      </w:r>
      <w:r w:rsidRPr="00011A46">
        <w:t> »</w:t>
      </w:r>
      <w:r w:rsidRPr="00011A46">
        <w:rPr>
          <w:lang w:eastAsia="fr-FR" w:bidi="fr-FR"/>
        </w:rPr>
        <w:t xml:space="preserve"> et multiculturelle du pays. Elle pose enfin, ici comme ailleurs, la question de la justification m</w:t>
      </w:r>
      <w:r w:rsidRPr="00011A46">
        <w:rPr>
          <w:lang w:eastAsia="fr-FR" w:bidi="fr-FR"/>
        </w:rPr>
        <w:t>o</w:t>
      </w:r>
      <w:r w:rsidRPr="00011A46">
        <w:rPr>
          <w:lang w:eastAsia="fr-FR" w:bidi="fr-FR"/>
        </w:rPr>
        <w:t>rale et politique de l'institutionnalisation de tels droits.</w:t>
      </w:r>
    </w:p>
    <w:p w:rsidR="00B7214C" w:rsidRPr="00011A46" w:rsidRDefault="00B7214C" w:rsidP="00B7214C">
      <w:pPr>
        <w:spacing w:before="120" w:after="120"/>
        <w:jc w:val="both"/>
      </w:pPr>
      <w:r w:rsidRPr="00011A46">
        <w:rPr>
          <w:lang w:eastAsia="fr-FR" w:bidi="fr-FR"/>
        </w:rPr>
        <w:t>Dans cette communication, nous procéderons en trois temps</w:t>
      </w:r>
      <w:r w:rsidRPr="00011A46">
        <w:t> :</w:t>
      </w:r>
      <w:r w:rsidRPr="00011A46">
        <w:rPr>
          <w:lang w:eastAsia="fr-FR" w:bidi="fr-FR"/>
        </w:rPr>
        <w:t xml:space="preserve"> clar</w:t>
      </w:r>
      <w:r w:rsidRPr="00011A46">
        <w:rPr>
          <w:lang w:eastAsia="fr-FR" w:bidi="fr-FR"/>
        </w:rPr>
        <w:t>i</w:t>
      </w:r>
      <w:r w:rsidRPr="00011A46">
        <w:rPr>
          <w:lang w:eastAsia="fr-FR" w:bidi="fr-FR"/>
        </w:rPr>
        <w:t>fier brièvement les fondements et les avatars des programmes préf</w:t>
      </w:r>
      <w:r w:rsidRPr="00011A46">
        <w:rPr>
          <w:lang w:eastAsia="fr-FR" w:bidi="fr-FR"/>
        </w:rPr>
        <w:t>é</w:t>
      </w:r>
      <w:r w:rsidRPr="00011A46">
        <w:rPr>
          <w:lang w:eastAsia="fr-FR" w:bidi="fr-FR"/>
        </w:rPr>
        <w:t>rentiels selon les théories de la justice</w:t>
      </w:r>
      <w:r w:rsidRPr="00011A46">
        <w:t> ;</w:t>
      </w:r>
      <w:r w:rsidRPr="00011A46">
        <w:rPr>
          <w:lang w:eastAsia="fr-FR" w:bidi="fr-FR"/>
        </w:rPr>
        <w:t xml:space="preserve"> s</w:t>
      </w:r>
      <w:r w:rsidRPr="00011A46">
        <w:rPr>
          <w:lang w:eastAsia="fr-FR" w:bidi="fr-FR"/>
        </w:rPr>
        <w:t>i</w:t>
      </w:r>
      <w:r w:rsidRPr="00011A46">
        <w:rPr>
          <w:lang w:eastAsia="fr-FR" w:bidi="fr-FR"/>
        </w:rPr>
        <w:t>tuer les principaux résultats d'une recherche sur l'implantation des programmes d'action positive à Montréal et à Toronto</w:t>
      </w:r>
      <w:r w:rsidRPr="00011A46">
        <w:t> ;</w:t>
      </w:r>
      <w:r w:rsidRPr="00011A46">
        <w:rPr>
          <w:lang w:eastAsia="fr-FR" w:bidi="fr-FR"/>
        </w:rPr>
        <w:t xml:space="preserve"> discuter enfin de la justesse ou non de ces droits en fonction des formes de justice intergénérationnelle.</w:t>
      </w:r>
    </w:p>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 xml:space="preserve">PROGRAMMES PRÉFÉRENTIELS, </w:t>
      </w:r>
      <w:r>
        <w:rPr>
          <w:lang w:eastAsia="fr-FR" w:bidi="fr-FR"/>
        </w:rPr>
        <w:br/>
      </w:r>
      <w:r w:rsidRPr="00011A46">
        <w:rPr>
          <w:lang w:eastAsia="fr-FR" w:bidi="fr-FR"/>
        </w:rPr>
        <w:t>CATÉGORIS</w:t>
      </w:r>
      <w:r w:rsidRPr="00011A46">
        <w:rPr>
          <w:lang w:eastAsia="fr-FR" w:bidi="fr-FR"/>
        </w:rPr>
        <w:t>A</w:t>
      </w:r>
      <w:r w:rsidRPr="00011A46">
        <w:rPr>
          <w:lang w:eastAsia="fr-FR" w:bidi="fr-FR"/>
        </w:rPr>
        <w:t>TION ET IDÉAL DÉMOCRATIQUE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Le débat sur l'utilité, l'efficacité et la fondation morale des pr</w:t>
      </w:r>
      <w:r w:rsidRPr="00011A46">
        <w:rPr>
          <w:lang w:eastAsia="fr-FR" w:bidi="fr-FR"/>
        </w:rPr>
        <w:t>o</w:t>
      </w:r>
      <w:r w:rsidRPr="00011A46">
        <w:rPr>
          <w:lang w:eastAsia="fr-FR" w:bidi="fr-FR"/>
        </w:rPr>
        <w:t>grammes préférentiels dans l'emploi divise entre eux, n</w:t>
      </w:r>
      <w:r w:rsidRPr="00011A46">
        <w:rPr>
          <w:lang w:eastAsia="fr-FR" w:bidi="fr-FR"/>
        </w:rPr>
        <w:t>o</w:t>
      </w:r>
      <w:r>
        <w:rPr>
          <w:lang w:eastAsia="fr-FR" w:bidi="fr-FR"/>
        </w:rPr>
        <w:t>tamment aux États-</w:t>
      </w:r>
      <w:r w:rsidRPr="00011A46">
        <w:rPr>
          <w:lang w:eastAsia="fr-FR" w:bidi="fr-FR"/>
        </w:rPr>
        <w:t>Unis, théoriciens de la justice et sociol</w:t>
      </w:r>
      <w:r w:rsidRPr="00011A46">
        <w:rPr>
          <w:lang w:eastAsia="fr-FR" w:bidi="fr-FR"/>
        </w:rPr>
        <w:t>o</w:t>
      </w:r>
      <w:r w:rsidRPr="00011A46">
        <w:rPr>
          <w:lang w:eastAsia="fr-FR" w:bidi="fr-FR"/>
        </w:rPr>
        <w:t>gues de la stratification ethnique et de genre. Si tous reco</w:t>
      </w:r>
      <w:r w:rsidRPr="00011A46">
        <w:rPr>
          <w:lang w:eastAsia="fr-FR" w:bidi="fr-FR"/>
        </w:rPr>
        <w:t>n</w:t>
      </w:r>
      <w:r w:rsidRPr="00011A46">
        <w:rPr>
          <w:lang w:eastAsia="fr-FR" w:bidi="fr-FR"/>
        </w:rPr>
        <w:t>naissent que les différences, réelles ou putatives, ne doivent pas interférer dans les procédures de la justice distributive, le différend persiste dès qu'il s'agit de déterminer les m</w:t>
      </w:r>
      <w:r w:rsidRPr="00011A46">
        <w:rPr>
          <w:lang w:eastAsia="fr-FR" w:bidi="fr-FR"/>
        </w:rPr>
        <w:t>o</w:t>
      </w:r>
      <w:r w:rsidRPr="00011A46">
        <w:rPr>
          <w:lang w:eastAsia="fr-FR" w:bidi="fr-FR"/>
        </w:rPr>
        <w:t>dalités pour restaurer l'équité envers ceux et celles qui portent le poids des stigmates de l'exclusion et de la racisation. Les partisans de l'a</w:t>
      </w:r>
      <w:r w:rsidRPr="00011A46">
        <w:rPr>
          <w:lang w:eastAsia="fr-FR" w:bidi="fr-FR"/>
        </w:rPr>
        <w:t>c</w:t>
      </w:r>
      <w:r w:rsidRPr="00011A46">
        <w:rPr>
          <w:lang w:eastAsia="fr-FR" w:bidi="fr-FR"/>
        </w:rPr>
        <w:t>tion positive soutiennent que</w:t>
      </w:r>
      <w:r>
        <w:rPr>
          <w:lang w:eastAsia="fr-FR" w:bidi="fr-FR"/>
        </w:rPr>
        <w:t xml:space="preserve"> [437] </w:t>
      </w:r>
      <w:r w:rsidRPr="00011A46">
        <w:rPr>
          <w:lang w:eastAsia="fr-FR" w:bidi="fr-FR"/>
        </w:rPr>
        <w:t>toute dogmatique universaliste est aveugle aux effets pe</w:t>
      </w:r>
      <w:r w:rsidRPr="00011A46">
        <w:rPr>
          <w:lang w:eastAsia="fr-FR" w:bidi="fr-FR"/>
        </w:rPr>
        <w:t>r</w:t>
      </w:r>
      <w:r w:rsidRPr="00011A46">
        <w:rPr>
          <w:lang w:eastAsia="fr-FR" w:bidi="fr-FR"/>
        </w:rPr>
        <w:t>vers du marché dans la régulation de l'égalité des chances, au point de r</w:t>
      </w:r>
      <w:r w:rsidRPr="00011A46">
        <w:rPr>
          <w:lang w:eastAsia="fr-FR" w:bidi="fr-FR"/>
        </w:rPr>
        <w:t>e</w:t>
      </w:r>
      <w:r w:rsidRPr="00011A46">
        <w:rPr>
          <w:lang w:eastAsia="fr-FR" w:bidi="fr-FR"/>
        </w:rPr>
        <w:t>conduire des inégalités structurales sinon des i</w:t>
      </w:r>
      <w:r w:rsidRPr="00011A46">
        <w:rPr>
          <w:lang w:eastAsia="fr-FR" w:bidi="fr-FR"/>
        </w:rPr>
        <w:t>n</w:t>
      </w:r>
      <w:r w:rsidRPr="00011A46">
        <w:rPr>
          <w:lang w:eastAsia="fr-FR" w:bidi="fr-FR"/>
        </w:rPr>
        <w:t>justices historiques. L'individualisme abstrait occulterait ainsi l'influence des marques sur des trajectoires différenciées et différe</w:t>
      </w:r>
      <w:r w:rsidRPr="00011A46">
        <w:rPr>
          <w:lang w:eastAsia="fr-FR" w:bidi="fr-FR"/>
        </w:rPr>
        <w:t>n</w:t>
      </w:r>
      <w:r w:rsidRPr="00011A46">
        <w:rPr>
          <w:lang w:eastAsia="fr-FR" w:bidi="fr-FR"/>
        </w:rPr>
        <w:t>ciantes (Young, 1990). Ils p</w:t>
      </w:r>
      <w:r w:rsidRPr="00011A46">
        <w:rPr>
          <w:lang w:eastAsia="fr-FR" w:bidi="fr-FR"/>
        </w:rPr>
        <w:t>a</w:t>
      </w:r>
      <w:r w:rsidRPr="00011A46">
        <w:rPr>
          <w:lang w:eastAsia="fr-FR" w:bidi="fr-FR"/>
        </w:rPr>
        <w:t>rient par conséquent sur l'intervention de l'État pour transformer le cours d'une histoire ponctuée par la racial</w:t>
      </w:r>
      <w:r w:rsidRPr="00011A46">
        <w:rPr>
          <w:lang w:eastAsia="fr-FR" w:bidi="fr-FR"/>
        </w:rPr>
        <w:t>i</w:t>
      </w:r>
      <w:r w:rsidRPr="00011A46">
        <w:rPr>
          <w:lang w:eastAsia="fr-FR" w:bidi="fr-FR"/>
        </w:rPr>
        <w:t>sation de la culture (Omi et Winant, 1986). Nombre d'auteurs notent les limites et l'étendue de ces réformes mais admettent volontiers que toute redistribution des pos</w:t>
      </w:r>
      <w:r w:rsidRPr="00011A46">
        <w:rPr>
          <w:lang w:eastAsia="fr-FR" w:bidi="fr-FR"/>
        </w:rPr>
        <w:t>i</w:t>
      </w:r>
      <w:r w:rsidRPr="00011A46">
        <w:rPr>
          <w:lang w:eastAsia="fr-FR" w:bidi="fr-FR"/>
        </w:rPr>
        <w:t>tions a des conséquences, matérielles et symboliques, ne serait-ce qu'en signifiant que des cohortes d'acteurs ce</w:t>
      </w:r>
      <w:r w:rsidRPr="00011A46">
        <w:rPr>
          <w:lang w:eastAsia="fr-FR" w:bidi="fr-FR"/>
        </w:rPr>
        <w:t>s</w:t>
      </w:r>
      <w:r w:rsidRPr="00011A46">
        <w:rPr>
          <w:lang w:eastAsia="fr-FR" w:bidi="fr-FR"/>
        </w:rPr>
        <w:t xml:space="preserve">sent d'être sacrifiés au nom de leur différence et des lois du marché (Cohen </w:t>
      </w:r>
      <w:r w:rsidRPr="002B1F54">
        <w:rPr>
          <w:i/>
          <w:iCs/>
        </w:rPr>
        <w:t>et al,</w:t>
      </w:r>
      <w:r w:rsidRPr="00011A46">
        <w:rPr>
          <w:lang w:eastAsia="fr-FR" w:bidi="fr-FR"/>
        </w:rPr>
        <w:t xml:space="preserve"> 1977 ; Ezorsky, 1991 ; Rosenberg, 1991 ; Williams, 1991).</w:t>
      </w:r>
    </w:p>
    <w:p w:rsidR="00B7214C" w:rsidRPr="00011A46" w:rsidRDefault="00B7214C" w:rsidP="00B7214C">
      <w:pPr>
        <w:spacing w:before="120" w:after="120"/>
        <w:jc w:val="both"/>
      </w:pPr>
      <w:r w:rsidRPr="00011A46">
        <w:rPr>
          <w:lang w:eastAsia="fr-FR" w:bidi="fr-FR"/>
        </w:rPr>
        <w:t>Les opposants de ces programmes contestent le postulat implicite d'une responsabilité historique des générations actuelles pour des in</w:t>
      </w:r>
      <w:r w:rsidRPr="00011A46">
        <w:rPr>
          <w:lang w:eastAsia="fr-FR" w:bidi="fr-FR"/>
        </w:rPr>
        <w:t>i</w:t>
      </w:r>
      <w:r w:rsidRPr="00011A46">
        <w:rPr>
          <w:lang w:eastAsia="fr-FR" w:bidi="fr-FR"/>
        </w:rPr>
        <w:t>quités dont elles ne seraient pas redev</w:t>
      </w:r>
      <w:r w:rsidRPr="00011A46">
        <w:rPr>
          <w:lang w:eastAsia="fr-FR" w:bidi="fr-FR"/>
        </w:rPr>
        <w:t>a</w:t>
      </w:r>
      <w:r w:rsidRPr="00011A46">
        <w:rPr>
          <w:lang w:eastAsia="fr-FR" w:bidi="fr-FR"/>
        </w:rPr>
        <w:t xml:space="preserve">bles, à moins de présumer des rapports de créance et de dette intemporels entre groupes </w:t>
      </w:r>
      <w:r w:rsidRPr="00011A46">
        <w:t>« </w:t>
      </w:r>
      <w:r w:rsidRPr="00011A46">
        <w:rPr>
          <w:lang w:eastAsia="fr-FR" w:bidi="fr-FR"/>
        </w:rPr>
        <w:t>raciaux</w:t>
      </w:r>
      <w:r w:rsidRPr="00011A46">
        <w:t> »</w:t>
      </w:r>
      <w:r w:rsidRPr="00011A46">
        <w:rPr>
          <w:lang w:eastAsia="fr-FR" w:bidi="fr-FR"/>
        </w:rPr>
        <w:t xml:space="preserve">. Ils récusent aussi que ces programmes servent les plus démunis, ceux qui cumulent des statuts minoritaires de classe et de race. En effet, aux </w:t>
      </w:r>
      <w:r>
        <w:rPr>
          <w:lang w:eastAsia="fr-FR" w:bidi="fr-FR"/>
        </w:rPr>
        <w:t>État</w:t>
      </w:r>
      <w:r w:rsidRPr="00011A46">
        <w:rPr>
          <w:lang w:eastAsia="fr-FR" w:bidi="fr-FR"/>
        </w:rPr>
        <w:t xml:space="preserve">s-Unis, Sowell (1990) ainsi que Wilson (1979 et 1987), ont pu démontrer que la </w:t>
      </w:r>
      <w:r w:rsidRPr="00011A46">
        <w:t>« </w:t>
      </w:r>
      <w:r w:rsidRPr="00011A46">
        <w:rPr>
          <w:lang w:eastAsia="fr-FR" w:bidi="fr-FR"/>
        </w:rPr>
        <w:t>discrimination à rebours</w:t>
      </w:r>
      <w:r w:rsidRPr="00011A46">
        <w:t> »</w:t>
      </w:r>
      <w:r w:rsidRPr="00011A46">
        <w:rPr>
          <w:lang w:eastAsia="fr-FR" w:bidi="fr-FR"/>
        </w:rPr>
        <w:t xml:space="preserve"> a favor</w:t>
      </w:r>
      <w:r w:rsidRPr="00011A46">
        <w:rPr>
          <w:lang w:eastAsia="fr-FR" w:bidi="fr-FR"/>
        </w:rPr>
        <w:t>i</w:t>
      </w:r>
      <w:r w:rsidRPr="00011A46">
        <w:rPr>
          <w:lang w:eastAsia="fr-FR" w:bidi="fr-FR"/>
        </w:rPr>
        <w:t>sé ceux qui étaient en mobilité ascendante au sein de la communauté noire, susc</w:t>
      </w:r>
      <w:r w:rsidRPr="00011A46">
        <w:rPr>
          <w:lang w:eastAsia="fr-FR" w:bidi="fr-FR"/>
        </w:rPr>
        <w:t>i</w:t>
      </w:r>
      <w:r w:rsidRPr="00011A46">
        <w:rPr>
          <w:lang w:eastAsia="fr-FR" w:bidi="fr-FR"/>
        </w:rPr>
        <w:t xml:space="preserve">tant la réaction </w:t>
      </w:r>
      <w:r w:rsidRPr="00011A46">
        <w:t>« </w:t>
      </w:r>
      <w:r w:rsidRPr="00011A46">
        <w:rPr>
          <w:lang w:eastAsia="fr-FR" w:bidi="fr-FR"/>
        </w:rPr>
        <w:t>néo-conservatrice</w:t>
      </w:r>
      <w:r w:rsidRPr="00011A46">
        <w:t> »</w:t>
      </w:r>
      <w:r w:rsidRPr="00011A46">
        <w:rPr>
          <w:lang w:eastAsia="fr-FR" w:bidi="fr-FR"/>
        </w:rPr>
        <w:t xml:space="preserve"> de Blancs en compétition pour les mêmes niches socio-occupationnelles. Enfin, la brèche ouverte dans l'égalitarisme libéral par ces politiques, loin d'encourager une incorporation citoyenne, comme l'avaient espéré les promoteurs des droits civils, a eu tendance à fabriquer un ensemble d'humains catég</w:t>
      </w:r>
      <w:r w:rsidRPr="00011A46">
        <w:rPr>
          <w:lang w:eastAsia="fr-FR" w:bidi="fr-FR"/>
        </w:rPr>
        <w:t>o</w:t>
      </w:r>
      <w:r w:rsidRPr="00011A46">
        <w:rPr>
          <w:lang w:eastAsia="fr-FR" w:bidi="fr-FR"/>
        </w:rPr>
        <w:t>risé et protégé, laissant entier le dilemme américain dont parlait My</w:t>
      </w:r>
      <w:r w:rsidRPr="00011A46">
        <w:rPr>
          <w:lang w:eastAsia="fr-FR" w:bidi="fr-FR"/>
        </w:rPr>
        <w:t>r</w:t>
      </w:r>
      <w:r w:rsidRPr="00011A46">
        <w:rPr>
          <w:lang w:eastAsia="fr-FR" w:bidi="fr-FR"/>
        </w:rPr>
        <w:t>dal (Moynihan, 1993</w:t>
      </w:r>
      <w:r w:rsidRPr="00011A46">
        <w:t> ;</w:t>
      </w:r>
      <w:r w:rsidRPr="00011A46">
        <w:rPr>
          <w:lang w:eastAsia="fr-FR" w:bidi="fr-FR"/>
        </w:rPr>
        <w:t xml:space="preserve"> Schlesinger, 1992).</w:t>
      </w:r>
    </w:p>
    <w:p w:rsidR="00B7214C" w:rsidRPr="00011A46" w:rsidRDefault="00B7214C" w:rsidP="00B7214C">
      <w:pPr>
        <w:spacing w:before="120" w:after="120"/>
        <w:jc w:val="both"/>
      </w:pPr>
      <w:r w:rsidRPr="00011A46">
        <w:rPr>
          <w:lang w:eastAsia="fr-FR" w:bidi="fr-FR"/>
        </w:rPr>
        <w:t>Cette controverse paraît d'abord interne au libéralisme américain, mais ses enjeux sont loin d'être spécifiques si l'on considère la prése</w:t>
      </w:r>
      <w:r w:rsidRPr="00011A46">
        <w:rPr>
          <w:lang w:eastAsia="fr-FR" w:bidi="fr-FR"/>
        </w:rPr>
        <w:t>n</w:t>
      </w:r>
      <w:r w:rsidRPr="00011A46">
        <w:rPr>
          <w:lang w:eastAsia="fr-FR" w:bidi="fr-FR"/>
        </w:rPr>
        <w:t>ce de tels programmes dans de nombre</w:t>
      </w:r>
      <w:r w:rsidRPr="00011A46">
        <w:rPr>
          <w:lang w:eastAsia="fr-FR" w:bidi="fr-FR"/>
        </w:rPr>
        <w:t>u</w:t>
      </w:r>
      <w:r w:rsidRPr="00011A46">
        <w:rPr>
          <w:lang w:eastAsia="fr-FR" w:bidi="fr-FR"/>
        </w:rPr>
        <w:t>ses sociétés pluriethniques. L'un des enjeux qui se pose peut être formulé ainsi</w:t>
      </w:r>
      <w:r w:rsidRPr="00011A46">
        <w:t> :</w:t>
      </w:r>
      <w:r w:rsidRPr="00011A46">
        <w:rPr>
          <w:lang w:eastAsia="fr-FR" w:bidi="fr-FR"/>
        </w:rPr>
        <w:t xml:space="preserve"> faut-il limiter l'égalitarisme libéral aux droits civils et politiques ou, au contraire, en prolonger la signification aux sphères sociales, économiques et cult</w:t>
      </w:r>
      <w:r w:rsidRPr="00011A46">
        <w:rPr>
          <w:lang w:eastAsia="fr-FR" w:bidi="fr-FR"/>
        </w:rPr>
        <w:t>u</w:t>
      </w:r>
      <w:r w:rsidRPr="00011A46">
        <w:rPr>
          <w:lang w:eastAsia="fr-FR" w:bidi="fr-FR"/>
        </w:rPr>
        <w:t>relles</w:t>
      </w:r>
      <w:r w:rsidRPr="00011A46">
        <w:t> ?</w:t>
      </w:r>
      <w:r w:rsidRPr="00011A46">
        <w:rPr>
          <w:lang w:eastAsia="fr-FR" w:bidi="fr-FR"/>
        </w:rPr>
        <w:t xml:space="preserve"> Il réinterroge des modèles en apparence opposés</w:t>
      </w:r>
      <w:r w:rsidRPr="00011A46">
        <w:t> :</w:t>
      </w:r>
      <w:r w:rsidRPr="00011A46">
        <w:rPr>
          <w:lang w:eastAsia="fr-FR" w:bidi="fr-FR"/>
        </w:rPr>
        <w:t xml:space="preserve"> le contra</w:t>
      </w:r>
      <w:r w:rsidRPr="00011A46">
        <w:rPr>
          <w:lang w:eastAsia="fr-FR" w:bidi="fr-FR"/>
        </w:rPr>
        <w:t>c</w:t>
      </w:r>
      <w:r w:rsidRPr="00011A46">
        <w:rPr>
          <w:lang w:eastAsia="fr-FR" w:bidi="fr-FR"/>
        </w:rPr>
        <w:t>tualisme qui table sur la chaîne infinie et conflictuelle de l'a</w:t>
      </w:r>
      <w:r w:rsidRPr="00011A46">
        <w:rPr>
          <w:lang w:eastAsia="fr-FR" w:bidi="fr-FR"/>
        </w:rPr>
        <w:t>l</w:t>
      </w:r>
      <w:r w:rsidRPr="00011A46">
        <w:rPr>
          <w:lang w:eastAsia="fr-FR" w:bidi="fr-FR"/>
        </w:rPr>
        <w:t>location des ressources et le communautarisme qui nous i</w:t>
      </w:r>
      <w:r w:rsidRPr="00011A46">
        <w:rPr>
          <w:lang w:eastAsia="fr-FR" w:bidi="fr-FR"/>
        </w:rPr>
        <w:t>n</w:t>
      </w:r>
      <w:r w:rsidRPr="00011A46">
        <w:rPr>
          <w:lang w:eastAsia="fr-FR" w:bidi="fr-FR"/>
        </w:rPr>
        <w:t>terpelle à pratiquer une justice substantive plutôt que procédurale au nom de codes m</w:t>
      </w:r>
      <w:r w:rsidRPr="00011A46">
        <w:rPr>
          <w:lang w:eastAsia="fr-FR" w:bidi="fr-FR"/>
        </w:rPr>
        <w:t>o</w:t>
      </w:r>
      <w:r w:rsidRPr="00011A46">
        <w:rPr>
          <w:lang w:eastAsia="fr-FR" w:bidi="fr-FR"/>
        </w:rPr>
        <w:t>raux et culturels partagés.</w:t>
      </w:r>
    </w:p>
    <w:p w:rsidR="00B7214C" w:rsidRPr="00011A46" w:rsidRDefault="00B7214C" w:rsidP="00B7214C">
      <w:pPr>
        <w:spacing w:before="120" w:after="120"/>
        <w:jc w:val="both"/>
      </w:pPr>
      <w:r w:rsidRPr="00011A46">
        <w:rPr>
          <w:lang w:eastAsia="fr-FR" w:bidi="fr-FR"/>
        </w:rPr>
        <w:t>Une profusion de travaux ont, à la suite de Rawls (1971), élaboré divers schèmes conceptuels sur les fondements de la société civile et ses contenus, distinguant le principe de liberté du principe de diff</w:t>
      </w:r>
      <w:r w:rsidRPr="00011A46">
        <w:rPr>
          <w:lang w:eastAsia="fr-FR" w:bidi="fr-FR"/>
        </w:rPr>
        <w:t>é</w:t>
      </w:r>
      <w:r w:rsidRPr="00011A46">
        <w:rPr>
          <w:lang w:eastAsia="fr-FR" w:bidi="fr-FR"/>
        </w:rPr>
        <w:t>rence, le contrôle de la dominance dans les sphères de justice, l'égalité de traitement</w:t>
      </w:r>
      <w:r>
        <w:rPr>
          <w:lang w:eastAsia="fr-FR" w:bidi="fr-FR"/>
        </w:rPr>
        <w:t xml:space="preserve"> [438] </w:t>
      </w:r>
      <w:r w:rsidRPr="00011A46">
        <w:rPr>
          <w:lang w:eastAsia="fr-FR" w:bidi="fr-FR"/>
        </w:rPr>
        <w:t>de l'égalité des résultats et de l'égalité des ressou</w:t>
      </w:r>
      <w:r w:rsidRPr="00011A46">
        <w:rPr>
          <w:lang w:eastAsia="fr-FR" w:bidi="fr-FR"/>
        </w:rPr>
        <w:t>r</w:t>
      </w:r>
      <w:r w:rsidRPr="00011A46">
        <w:rPr>
          <w:lang w:eastAsia="fr-FR" w:bidi="fr-FR"/>
        </w:rPr>
        <w:t>ces, les notions d'équité et de respect. Ces études poursuivent un di</w:t>
      </w:r>
      <w:r w:rsidRPr="00011A46">
        <w:rPr>
          <w:lang w:eastAsia="fr-FR" w:bidi="fr-FR"/>
        </w:rPr>
        <w:t>a</w:t>
      </w:r>
      <w:r w:rsidRPr="00011A46">
        <w:rPr>
          <w:lang w:eastAsia="fr-FR" w:bidi="fr-FR"/>
        </w:rPr>
        <w:t>logue interne à la tradition occidentale, laissant en suspens les barri</w:t>
      </w:r>
      <w:r w:rsidRPr="00011A46">
        <w:rPr>
          <w:lang w:eastAsia="fr-FR" w:bidi="fr-FR"/>
        </w:rPr>
        <w:t>è</w:t>
      </w:r>
      <w:r w:rsidRPr="00011A46">
        <w:rPr>
          <w:lang w:eastAsia="fr-FR" w:bidi="fr-FR"/>
        </w:rPr>
        <w:t>res culturelles et idéologiques héritées de la division ethnique, raciale et sexuelle du travail (Ackermann, 1980</w:t>
      </w:r>
      <w:r w:rsidRPr="00011A46">
        <w:t> ;</w:t>
      </w:r>
      <w:r w:rsidRPr="00011A46">
        <w:rPr>
          <w:lang w:eastAsia="fr-FR" w:bidi="fr-FR"/>
        </w:rPr>
        <w:t xml:space="preserve"> Dworkin, 1977</w:t>
      </w:r>
      <w:r w:rsidRPr="00011A46">
        <w:t> ;</w:t>
      </w:r>
      <w:r w:rsidRPr="00011A46">
        <w:rPr>
          <w:lang w:eastAsia="fr-FR" w:bidi="fr-FR"/>
        </w:rPr>
        <w:t xml:space="preserve"> Galston, 1980</w:t>
      </w:r>
      <w:r w:rsidRPr="00011A46">
        <w:t> ;</w:t>
      </w:r>
      <w:r w:rsidRPr="00011A46">
        <w:rPr>
          <w:lang w:eastAsia="fr-FR" w:bidi="fr-FR"/>
        </w:rPr>
        <w:t xml:space="preserve"> Nozick, 1974). Une critique, souvent radicale, de ces études a été proposée par des théoriciennes féministes (Okin, 1989</w:t>
      </w:r>
      <w:r w:rsidRPr="00011A46">
        <w:t> ;</w:t>
      </w:r>
      <w:r w:rsidRPr="00011A46">
        <w:rPr>
          <w:lang w:eastAsia="fr-FR" w:bidi="fr-FR"/>
        </w:rPr>
        <w:t xml:space="preserve"> Pateman, 1988) et des adeptes de la justice réversible (Boxill, 1988</w:t>
      </w:r>
      <w:r w:rsidRPr="00011A46">
        <w:t> ;</w:t>
      </w:r>
      <w:r w:rsidRPr="00011A46">
        <w:rPr>
          <w:lang w:eastAsia="fr-FR" w:bidi="fr-FR"/>
        </w:rPr>
        <w:t xml:space="preserve"> Fiscus, 1992</w:t>
      </w:r>
      <w:r w:rsidRPr="00011A46">
        <w:t> ;</w:t>
      </w:r>
      <w:r w:rsidRPr="00011A46">
        <w:rPr>
          <w:lang w:eastAsia="fr-FR" w:bidi="fr-FR"/>
        </w:rPr>
        <w:t xml:space="preserve"> Rose</w:t>
      </w:r>
      <w:r w:rsidRPr="00011A46">
        <w:rPr>
          <w:lang w:eastAsia="fr-FR" w:bidi="fr-FR"/>
        </w:rPr>
        <w:t>n</w:t>
      </w:r>
      <w:r w:rsidRPr="00011A46">
        <w:rPr>
          <w:lang w:eastAsia="fr-FR" w:bidi="fr-FR"/>
        </w:rPr>
        <w:t>berg, 1991). Sans en faire l'analyse raisonnée, disons que ces perspe</w:t>
      </w:r>
      <w:r w:rsidRPr="00011A46">
        <w:rPr>
          <w:lang w:eastAsia="fr-FR" w:bidi="fr-FR"/>
        </w:rPr>
        <w:t>c</w:t>
      </w:r>
      <w:r w:rsidRPr="00011A46">
        <w:rPr>
          <w:lang w:eastAsia="fr-FR" w:bidi="fr-FR"/>
        </w:rPr>
        <w:t xml:space="preserve">tives dénoncent l'idée tenace que nous serions une société de </w:t>
      </w:r>
      <w:r w:rsidRPr="00011A46">
        <w:t>« </w:t>
      </w:r>
      <w:r w:rsidRPr="00011A46">
        <w:rPr>
          <w:lang w:eastAsia="fr-FR" w:bidi="fr-FR"/>
        </w:rPr>
        <w:t>mêmes</w:t>
      </w:r>
      <w:r w:rsidRPr="00011A46">
        <w:t> »</w:t>
      </w:r>
      <w:r w:rsidRPr="00011A46">
        <w:rPr>
          <w:lang w:eastAsia="fr-FR" w:bidi="fr-FR"/>
        </w:rPr>
        <w:t>, soumis à la régulation de quelques opérateurs symbol</w:t>
      </w:r>
      <w:r w:rsidRPr="00011A46">
        <w:rPr>
          <w:lang w:eastAsia="fr-FR" w:bidi="fr-FR"/>
        </w:rPr>
        <w:t>i</w:t>
      </w:r>
      <w:r w:rsidRPr="00011A46">
        <w:rPr>
          <w:lang w:eastAsia="fr-FR" w:bidi="fr-FR"/>
        </w:rPr>
        <w:t>ques</w:t>
      </w:r>
      <w:r w:rsidRPr="00011A46">
        <w:t> :</w:t>
      </w:r>
      <w:r w:rsidRPr="00011A46">
        <w:rPr>
          <w:lang w:eastAsia="fr-FR" w:bidi="fr-FR"/>
        </w:rPr>
        <w:t xml:space="preserve"> le marché et le droit. À moins de naturaliser les différences ou d'ignorer volontairement les particularités, la loi commune devrait r</w:t>
      </w:r>
      <w:r w:rsidRPr="00011A46">
        <w:rPr>
          <w:lang w:eastAsia="fr-FR" w:bidi="fr-FR"/>
        </w:rPr>
        <w:t>e</w:t>
      </w:r>
      <w:r w:rsidRPr="00011A46">
        <w:rPr>
          <w:lang w:eastAsia="fr-FR" w:bidi="fr-FR"/>
        </w:rPr>
        <w:t xml:space="preserve">connaître tant les droits </w:t>
      </w:r>
      <w:r w:rsidRPr="00011A46">
        <w:t>« </w:t>
      </w:r>
      <w:r w:rsidRPr="00011A46">
        <w:rPr>
          <w:lang w:eastAsia="fr-FR" w:bidi="fr-FR"/>
        </w:rPr>
        <w:t>naturels</w:t>
      </w:r>
      <w:r w:rsidRPr="00011A46">
        <w:t> »</w:t>
      </w:r>
      <w:r w:rsidRPr="00011A46">
        <w:rPr>
          <w:lang w:eastAsia="fr-FR" w:bidi="fr-FR"/>
        </w:rPr>
        <w:t xml:space="preserve"> de chacun que des procédures qui assurent la distribution des biens collectifs à toute personne qui pou</w:t>
      </w:r>
      <w:r w:rsidRPr="00011A46">
        <w:rPr>
          <w:lang w:eastAsia="fr-FR" w:bidi="fr-FR"/>
        </w:rPr>
        <w:t>r</w:t>
      </w:r>
      <w:r w:rsidRPr="00011A46">
        <w:rPr>
          <w:lang w:eastAsia="fr-FR" w:bidi="fr-FR"/>
        </w:rPr>
        <w:t>rait s'en prévaloir si elle n'était limitée par des exclusions sy</w:t>
      </w:r>
      <w:r w:rsidRPr="00011A46">
        <w:rPr>
          <w:lang w:eastAsia="fr-FR" w:bidi="fr-FR"/>
        </w:rPr>
        <w:t>s</w:t>
      </w:r>
      <w:r w:rsidRPr="00011A46">
        <w:rPr>
          <w:lang w:eastAsia="fr-FR" w:bidi="fr-FR"/>
        </w:rPr>
        <w:t xml:space="preserve">témiques. En effet, comme le note Walzer (1993), l'échec comme l'exclusion ne sont pas une loterie, mais touchent des groupes avec des expériences communes et des trajectoires familiales déterminées. L'échec est cumulatif. Il traverse les sphères de la société civile où les acteurs sont soumis à des stéréotypes et des discriminations qui contraignent leurs choix et leurs ressources et reproduisent chez des générations de </w:t>
      </w:r>
      <w:r w:rsidRPr="00011A46">
        <w:t>« </w:t>
      </w:r>
      <w:r w:rsidRPr="00011A46">
        <w:rPr>
          <w:lang w:eastAsia="fr-FR" w:bidi="fr-FR"/>
        </w:rPr>
        <w:t>mal nés</w:t>
      </w:r>
      <w:r w:rsidRPr="00011A46">
        <w:t> »</w:t>
      </w:r>
      <w:r>
        <w:t> </w:t>
      </w:r>
      <w:r>
        <w:rPr>
          <w:rStyle w:val="Appelnotedebasdep"/>
        </w:rPr>
        <w:footnoteReference w:id="339"/>
      </w:r>
      <w:r w:rsidRPr="00011A46">
        <w:rPr>
          <w:lang w:eastAsia="fr-FR" w:bidi="fr-FR"/>
        </w:rPr>
        <w:t xml:space="preserve"> les stigmates de l'injustice. On présume donc qu'on ne peut laisser à l'ordre spontané de régler la distribution et qu'on pourrait a</w:t>
      </w:r>
      <w:r w:rsidRPr="00011A46">
        <w:rPr>
          <w:lang w:eastAsia="fr-FR" w:bidi="fr-FR"/>
        </w:rPr>
        <w:t>t</w:t>
      </w:r>
      <w:r w:rsidRPr="00011A46">
        <w:rPr>
          <w:lang w:eastAsia="fr-FR" w:bidi="fr-FR"/>
        </w:rPr>
        <w:t>tribuer des droits spécifiques pour corriger les effets institutionnels de la discrimination syst</w:t>
      </w:r>
      <w:r w:rsidRPr="00011A46">
        <w:rPr>
          <w:lang w:eastAsia="fr-FR" w:bidi="fr-FR"/>
        </w:rPr>
        <w:t>é</w:t>
      </w:r>
      <w:r w:rsidRPr="00011A46">
        <w:rPr>
          <w:lang w:eastAsia="fr-FR" w:bidi="fr-FR"/>
        </w:rPr>
        <w:t>mique. L'action positive est le mécanisme grâce auquel on rétablit les préférences en intervenant sur les principes du seul mérite, de la représentation proportionnelle ou non de sociétaires dans l'emploi ou l'éducation, les règles d'attribution de positions soci</w:t>
      </w:r>
      <w:r w:rsidRPr="00011A46">
        <w:rPr>
          <w:lang w:eastAsia="fr-FR" w:bidi="fr-FR"/>
        </w:rPr>
        <w:t>a</w:t>
      </w:r>
      <w:r w:rsidRPr="00011A46">
        <w:rPr>
          <w:lang w:eastAsia="fr-FR" w:bidi="fr-FR"/>
        </w:rPr>
        <w:t>les et économiques.</w:t>
      </w:r>
    </w:p>
    <w:p w:rsidR="00B7214C" w:rsidRPr="00011A46" w:rsidRDefault="00B7214C" w:rsidP="00B7214C">
      <w:pPr>
        <w:spacing w:before="120" w:after="120"/>
        <w:jc w:val="both"/>
      </w:pPr>
      <w:r w:rsidRPr="00011A46">
        <w:rPr>
          <w:lang w:eastAsia="fr-FR" w:bidi="fr-FR"/>
        </w:rPr>
        <w:t>Cependant, justifiée par l'utilité, l'équité ou la compensation, l'a</w:t>
      </w:r>
      <w:r w:rsidRPr="00011A46">
        <w:rPr>
          <w:lang w:eastAsia="fr-FR" w:bidi="fr-FR"/>
        </w:rPr>
        <w:t>c</w:t>
      </w:r>
      <w:r w:rsidRPr="00011A46">
        <w:rPr>
          <w:lang w:eastAsia="fr-FR" w:bidi="fr-FR"/>
        </w:rPr>
        <w:t>tion positive devient une forme particulière de politisation de l'éc</w:t>
      </w:r>
      <w:r w:rsidRPr="00011A46">
        <w:rPr>
          <w:lang w:eastAsia="fr-FR" w:bidi="fr-FR"/>
        </w:rPr>
        <w:t>o</w:t>
      </w:r>
      <w:r w:rsidRPr="00011A46">
        <w:rPr>
          <w:lang w:eastAsia="fr-FR" w:bidi="fr-FR"/>
        </w:rPr>
        <w:t>nomie dont la portée comme l'efficience sont critiquées par des per</w:t>
      </w:r>
      <w:r w:rsidRPr="00011A46">
        <w:rPr>
          <w:lang w:eastAsia="fr-FR" w:bidi="fr-FR"/>
        </w:rPr>
        <w:t>s</w:t>
      </w:r>
      <w:r w:rsidRPr="00011A46">
        <w:rPr>
          <w:lang w:eastAsia="fr-FR" w:bidi="fr-FR"/>
        </w:rPr>
        <w:t>pectives aussi opposées que celles de l'État minimal (</w:t>
      </w:r>
      <w:r>
        <w:rPr>
          <w:lang w:eastAsia="fr-FR" w:bidi="fr-FR"/>
        </w:rPr>
        <w:t>Rothbard, 1991), de l'économie-</w:t>
      </w:r>
      <w:r w:rsidRPr="00011A46">
        <w:rPr>
          <w:lang w:eastAsia="fr-FR" w:bidi="fr-FR"/>
        </w:rPr>
        <w:t>monde (Wa</w:t>
      </w:r>
      <w:r w:rsidRPr="00011A46">
        <w:rPr>
          <w:lang w:eastAsia="fr-FR" w:bidi="fr-FR"/>
        </w:rPr>
        <w:t>l</w:t>
      </w:r>
      <w:r w:rsidRPr="00011A46">
        <w:rPr>
          <w:lang w:eastAsia="fr-FR" w:bidi="fr-FR"/>
        </w:rPr>
        <w:t>lerstein, 1991) ou encore de la méritocratie (Glazer, 1975). Mais quel que soit le point de vue que l'on défend, on ne peut que constater que l'action positive effectue un double mouv</w:t>
      </w:r>
      <w:r w:rsidRPr="00011A46">
        <w:rPr>
          <w:lang w:eastAsia="fr-FR" w:bidi="fr-FR"/>
        </w:rPr>
        <w:t>e</w:t>
      </w:r>
      <w:r w:rsidRPr="00011A46">
        <w:rPr>
          <w:lang w:eastAsia="fr-FR" w:bidi="fr-FR"/>
        </w:rPr>
        <w:t>ment qui vise, en levant les limites à l'exclusion de la part</w:t>
      </w:r>
      <w:r w:rsidRPr="00011A46">
        <w:rPr>
          <w:lang w:eastAsia="fr-FR" w:bidi="fr-FR"/>
        </w:rPr>
        <w:t>i</w:t>
      </w:r>
      <w:r w:rsidRPr="00011A46">
        <w:rPr>
          <w:lang w:eastAsia="fr-FR" w:bidi="fr-FR"/>
        </w:rPr>
        <w:t>cipation de certains, à essentialiser des groupes sociaux. Au fond, ces progra</w:t>
      </w:r>
      <w:r w:rsidRPr="00011A46">
        <w:rPr>
          <w:lang w:eastAsia="fr-FR" w:bidi="fr-FR"/>
        </w:rPr>
        <w:t>m</w:t>
      </w:r>
      <w:r w:rsidRPr="00011A46">
        <w:rPr>
          <w:lang w:eastAsia="fr-FR" w:bidi="fr-FR"/>
        </w:rPr>
        <w:t>mes préférentiels posent un dilemme</w:t>
      </w:r>
      <w:r w:rsidRPr="00011A46">
        <w:t> :</w:t>
      </w:r>
      <w:r w:rsidRPr="00011A46">
        <w:rPr>
          <w:lang w:eastAsia="fr-FR" w:bidi="fr-FR"/>
        </w:rPr>
        <w:t xml:space="preserve"> la stigmatisation demeurerait constante, que l'on adopte un point de vue universaliste ou particul</w:t>
      </w:r>
      <w:r w:rsidRPr="00011A46">
        <w:rPr>
          <w:lang w:eastAsia="fr-FR" w:bidi="fr-FR"/>
        </w:rPr>
        <w:t>a</w:t>
      </w:r>
      <w:r w:rsidRPr="00011A46">
        <w:rPr>
          <w:lang w:eastAsia="fr-FR" w:bidi="fr-FR"/>
        </w:rPr>
        <w:t>riste. Nous serions renvoyés à la dissonance normative entre l'égalité (les mêmes) et le pluralisme (la différence et le différend) qui impl</w:t>
      </w:r>
      <w:r w:rsidRPr="00011A46">
        <w:rPr>
          <w:lang w:eastAsia="fr-FR" w:bidi="fr-FR"/>
        </w:rPr>
        <w:t>i</w:t>
      </w:r>
      <w:r w:rsidRPr="00011A46">
        <w:rPr>
          <w:lang w:eastAsia="fr-FR" w:bidi="fr-FR"/>
        </w:rPr>
        <w:t>que un choix entre la neutralité et l'accommodation, des signific</w:t>
      </w:r>
      <w:r w:rsidRPr="00011A46">
        <w:rPr>
          <w:lang w:eastAsia="fr-FR" w:bidi="fr-FR"/>
        </w:rPr>
        <w:t>a</w:t>
      </w:r>
      <w:r w:rsidRPr="00011A46">
        <w:rPr>
          <w:lang w:eastAsia="fr-FR" w:bidi="fr-FR"/>
        </w:rPr>
        <w:t>tions partagées et des exceptions à la règle. Cette double contrainte est contestée par des auteurs qui allèguent que le droit occidental</w:t>
      </w:r>
      <w:r>
        <w:rPr>
          <w:lang w:eastAsia="fr-FR" w:bidi="fr-FR"/>
        </w:rPr>
        <w:t xml:space="preserve"> [439] </w:t>
      </w:r>
      <w:r w:rsidRPr="00011A46">
        <w:rPr>
          <w:lang w:eastAsia="fr-FR" w:bidi="fr-FR"/>
        </w:rPr>
        <w:t>a été incapable d'écouter la voix des victimes (femmes. Noirs, autocht</w:t>
      </w:r>
      <w:r w:rsidRPr="00011A46">
        <w:rPr>
          <w:lang w:eastAsia="fr-FR" w:bidi="fr-FR"/>
        </w:rPr>
        <w:t>o</w:t>
      </w:r>
      <w:r w:rsidRPr="00011A46">
        <w:rPr>
          <w:lang w:eastAsia="fr-FR" w:bidi="fr-FR"/>
        </w:rPr>
        <w:t>nes) et qu'il est confronté à une critique de celles-ci. L'articul</w:t>
      </w:r>
      <w:r w:rsidRPr="00011A46">
        <w:rPr>
          <w:lang w:eastAsia="fr-FR" w:bidi="fr-FR"/>
        </w:rPr>
        <w:t>a</w:t>
      </w:r>
      <w:r w:rsidRPr="00011A46">
        <w:rPr>
          <w:lang w:eastAsia="fr-FR" w:bidi="fr-FR"/>
        </w:rPr>
        <w:t>tion des droits signifierait que l'on reco</w:t>
      </w:r>
      <w:r w:rsidRPr="00011A46">
        <w:rPr>
          <w:lang w:eastAsia="fr-FR" w:bidi="fr-FR"/>
        </w:rPr>
        <w:t>n</w:t>
      </w:r>
      <w:r w:rsidRPr="00011A46">
        <w:rPr>
          <w:lang w:eastAsia="fr-FR" w:bidi="fr-FR"/>
        </w:rPr>
        <w:t>naisse simultanément les droits à la participation, les droits-libertés et les droits-créances. On dira alors que la différence, reconnue statutairement, modifie les ra</w:t>
      </w:r>
      <w:r w:rsidRPr="00011A46">
        <w:rPr>
          <w:lang w:eastAsia="fr-FR" w:bidi="fr-FR"/>
        </w:rPr>
        <w:t>p</w:t>
      </w:r>
      <w:r w:rsidRPr="00011A46">
        <w:rPr>
          <w:lang w:eastAsia="fr-FR" w:bidi="fr-FR"/>
        </w:rPr>
        <w:t>ports de force et de sens et déconstruit les images que nous avons de l'autre (M</w:t>
      </w:r>
      <w:r w:rsidRPr="00011A46">
        <w:rPr>
          <w:lang w:eastAsia="fr-FR" w:bidi="fr-FR"/>
        </w:rPr>
        <w:t>i</w:t>
      </w:r>
      <w:r w:rsidRPr="00011A46">
        <w:rPr>
          <w:lang w:eastAsia="fr-FR" w:bidi="fr-FR"/>
        </w:rPr>
        <w:t xml:space="preserve">now, 1990 ; Okin, 1989). D'un autre abord, les études macro-économiques situent le dilemme ailleurs que dans les choix moraux </w:t>
      </w:r>
      <w:r w:rsidRPr="002B1F54">
        <w:rPr>
          <w:i/>
          <w:iCs/>
        </w:rPr>
        <w:t>stricto sensu</w:t>
      </w:r>
      <w:r w:rsidRPr="00011A46">
        <w:rPr>
          <w:lang w:eastAsia="fr-FR" w:bidi="fr-FR"/>
        </w:rPr>
        <w:t xml:space="preserve"> ou dans quelque activisme jurisprudentiel. Les tr</w:t>
      </w:r>
      <w:r w:rsidRPr="00011A46">
        <w:rPr>
          <w:lang w:eastAsia="fr-FR" w:bidi="fr-FR"/>
        </w:rPr>
        <w:t>a</w:t>
      </w:r>
      <w:r w:rsidRPr="00011A46">
        <w:rPr>
          <w:lang w:eastAsia="fr-FR" w:bidi="fr-FR"/>
        </w:rPr>
        <w:t>vaux de Miller (1989), Young (1986), Wilson (1979,</w:t>
      </w:r>
      <w:r>
        <w:rPr>
          <w:lang w:eastAsia="fr-FR" w:bidi="fr-FR"/>
        </w:rPr>
        <w:t xml:space="preserve"> </w:t>
      </w:r>
      <w:r w:rsidRPr="00011A46">
        <w:rPr>
          <w:lang w:eastAsia="fr-FR" w:bidi="fr-FR"/>
        </w:rPr>
        <w:t>1987) ind</w:t>
      </w:r>
      <w:r w:rsidRPr="00011A46">
        <w:rPr>
          <w:lang w:eastAsia="fr-FR" w:bidi="fr-FR"/>
        </w:rPr>
        <w:t>i</w:t>
      </w:r>
      <w:r w:rsidRPr="00011A46">
        <w:rPr>
          <w:lang w:eastAsia="fr-FR" w:bidi="fr-FR"/>
        </w:rPr>
        <w:t>quent que l'élimination du racisme passe par une réallocation massive des re</w:t>
      </w:r>
      <w:r w:rsidRPr="00011A46">
        <w:rPr>
          <w:lang w:eastAsia="fr-FR" w:bidi="fr-FR"/>
        </w:rPr>
        <w:t>s</w:t>
      </w:r>
      <w:r w:rsidRPr="00011A46">
        <w:rPr>
          <w:lang w:eastAsia="fr-FR" w:bidi="fr-FR"/>
        </w:rPr>
        <w:t>sources. Une telle option, qui n'est pas sans conséquences sur la forme de l'État, aurait l'avantage de viser le plus grand nombre et d'éviter de se placer dans la double contrainte propre aux programmes préfére</w:t>
      </w:r>
      <w:r w:rsidRPr="00011A46">
        <w:rPr>
          <w:lang w:eastAsia="fr-FR" w:bidi="fr-FR"/>
        </w:rPr>
        <w:t>n</w:t>
      </w:r>
      <w:r w:rsidRPr="00011A46">
        <w:rPr>
          <w:lang w:eastAsia="fr-FR" w:bidi="fr-FR"/>
        </w:rPr>
        <w:t>tiels</w:t>
      </w:r>
      <w:r w:rsidRPr="00011A46">
        <w:t> :</w:t>
      </w:r>
      <w:r w:rsidRPr="00011A46">
        <w:rPr>
          <w:lang w:eastAsia="fr-FR" w:bidi="fr-FR"/>
        </w:rPr>
        <w:t xml:space="preserve"> l'envie et le sacrifice (Dupuy, 1992).</w:t>
      </w:r>
    </w:p>
    <w:p w:rsidR="00B7214C" w:rsidRPr="00011A46" w:rsidRDefault="00B7214C" w:rsidP="00B7214C">
      <w:pPr>
        <w:spacing w:before="120" w:after="120"/>
        <w:jc w:val="both"/>
      </w:pPr>
      <w:r w:rsidRPr="00011A46">
        <w:rPr>
          <w:lang w:eastAsia="fr-FR" w:bidi="fr-FR"/>
        </w:rPr>
        <w:t>Ce débat, à peine ébauché, ne recouvre pas la diversité des situ</w:t>
      </w:r>
      <w:r w:rsidRPr="00011A46">
        <w:rPr>
          <w:lang w:eastAsia="fr-FR" w:bidi="fr-FR"/>
        </w:rPr>
        <w:t>a</w:t>
      </w:r>
      <w:r w:rsidRPr="00011A46">
        <w:rPr>
          <w:lang w:eastAsia="fr-FR" w:bidi="fr-FR"/>
        </w:rPr>
        <w:t>tions historiques où hiérarchies polyethniques et incorporation diff</w:t>
      </w:r>
      <w:r w:rsidRPr="00011A46">
        <w:rPr>
          <w:lang w:eastAsia="fr-FR" w:bidi="fr-FR"/>
        </w:rPr>
        <w:t>é</w:t>
      </w:r>
      <w:r w:rsidRPr="00011A46">
        <w:rPr>
          <w:lang w:eastAsia="fr-FR" w:bidi="fr-FR"/>
        </w:rPr>
        <w:t>rentielle prévalent. Dans de nombreux pays postcoloniaux, la reche</w:t>
      </w:r>
      <w:r w:rsidRPr="00011A46">
        <w:rPr>
          <w:lang w:eastAsia="fr-FR" w:bidi="fr-FR"/>
        </w:rPr>
        <w:t>r</w:t>
      </w:r>
      <w:r w:rsidRPr="00011A46">
        <w:rPr>
          <w:lang w:eastAsia="fr-FR" w:bidi="fr-FR"/>
        </w:rPr>
        <w:t>che de l'équité et la volonté de l'État de rééquilibrer les relations de pouvoir et les positions socio-économiques se sont traduites par l'inst</w:t>
      </w:r>
      <w:r w:rsidRPr="00011A46">
        <w:rPr>
          <w:lang w:eastAsia="fr-FR" w:bidi="fr-FR"/>
        </w:rPr>
        <w:t>i</w:t>
      </w:r>
      <w:r>
        <w:rPr>
          <w:lang w:eastAsia="fr-FR" w:bidi="fr-FR"/>
        </w:rPr>
        <w:t>tutionnalisation</w:t>
      </w:r>
      <w:r w:rsidRPr="00011A46">
        <w:rPr>
          <w:lang w:eastAsia="fr-FR" w:bidi="fr-FR"/>
        </w:rPr>
        <w:t xml:space="preserve"> de programmes nommés </w:t>
      </w:r>
      <w:r w:rsidRPr="00011A46">
        <w:t>« </w:t>
      </w:r>
      <w:r w:rsidRPr="00011A46">
        <w:rPr>
          <w:lang w:eastAsia="fr-FR" w:bidi="fr-FR"/>
        </w:rPr>
        <w:t>discrimination positive</w:t>
      </w:r>
      <w:r w:rsidRPr="00011A46">
        <w:t> »</w:t>
      </w:r>
      <w:r w:rsidRPr="00011A46">
        <w:rPr>
          <w:lang w:eastAsia="fr-FR" w:bidi="fr-FR"/>
        </w:rPr>
        <w:t xml:space="preserve"> en Inde, </w:t>
      </w:r>
      <w:r w:rsidRPr="00011A46">
        <w:t>« </w:t>
      </w:r>
      <w:r w:rsidRPr="00011A46">
        <w:rPr>
          <w:lang w:eastAsia="fr-FR" w:bidi="fr-FR"/>
        </w:rPr>
        <w:t>standardisation</w:t>
      </w:r>
      <w:r w:rsidRPr="00011A46">
        <w:t> »</w:t>
      </w:r>
      <w:r w:rsidRPr="00011A46">
        <w:rPr>
          <w:lang w:eastAsia="fr-FR" w:bidi="fr-FR"/>
        </w:rPr>
        <w:t xml:space="preserve"> au Sri Lanka, </w:t>
      </w:r>
      <w:r w:rsidRPr="00011A46">
        <w:t>« </w:t>
      </w:r>
      <w:r w:rsidRPr="00011A46">
        <w:rPr>
          <w:lang w:eastAsia="fr-FR" w:bidi="fr-FR"/>
        </w:rPr>
        <w:t>politiques reflétant le c</w:t>
      </w:r>
      <w:r w:rsidRPr="00011A46">
        <w:rPr>
          <w:lang w:eastAsia="fr-FR" w:bidi="fr-FR"/>
        </w:rPr>
        <w:t>a</w:t>
      </w:r>
      <w:r w:rsidRPr="00011A46">
        <w:rPr>
          <w:lang w:eastAsia="fr-FR" w:bidi="fr-FR"/>
        </w:rPr>
        <w:t>ractère fédéral du pays</w:t>
      </w:r>
      <w:r w:rsidRPr="00011A46">
        <w:t> »</w:t>
      </w:r>
      <w:r w:rsidRPr="00011A46">
        <w:rPr>
          <w:lang w:eastAsia="fr-FR" w:bidi="fr-FR"/>
        </w:rPr>
        <w:t xml:space="preserve"> au Nigéria. Horowitz (1985) démo</w:t>
      </w:r>
      <w:r w:rsidRPr="00011A46">
        <w:rPr>
          <w:lang w:eastAsia="fr-FR" w:bidi="fr-FR"/>
        </w:rPr>
        <w:t>n</w:t>
      </w:r>
      <w:r w:rsidRPr="00011A46">
        <w:rPr>
          <w:lang w:eastAsia="fr-FR" w:bidi="fr-FR"/>
        </w:rPr>
        <w:t>tre, qu'à de rares exceptions près, ces politiques, loin de favoriser le compr</w:t>
      </w:r>
      <w:r w:rsidRPr="00011A46">
        <w:rPr>
          <w:lang w:eastAsia="fr-FR" w:bidi="fr-FR"/>
        </w:rPr>
        <w:t>o</w:t>
      </w:r>
      <w:r w:rsidRPr="00011A46">
        <w:rPr>
          <w:lang w:eastAsia="fr-FR" w:bidi="fr-FR"/>
        </w:rPr>
        <w:t>mis, se sont avérées source de conflit, dont Tambiah (1986) fait d'ai</w:t>
      </w:r>
      <w:r w:rsidRPr="00011A46">
        <w:rPr>
          <w:lang w:eastAsia="fr-FR" w:bidi="fr-FR"/>
        </w:rPr>
        <w:t>l</w:t>
      </w:r>
      <w:r w:rsidRPr="00011A46">
        <w:rPr>
          <w:lang w:eastAsia="fr-FR" w:bidi="fr-FR"/>
        </w:rPr>
        <w:t xml:space="preserve">leurs la démonstration éloquente pour le Sri Lanka. Sowell (1989) ainsi que Moynihan (1993) s'appuient sur ces expériences </w:t>
      </w:r>
      <w:r w:rsidRPr="00011A46">
        <w:t>« </w:t>
      </w:r>
      <w:r w:rsidRPr="00011A46">
        <w:rPr>
          <w:lang w:eastAsia="fr-FR" w:bidi="fr-FR"/>
        </w:rPr>
        <w:t>désastreuses</w:t>
      </w:r>
      <w:r w:rsidRPr="00011A46">
        <w:t> »</w:t>
      </w:r>
      <w:r w:rsidRPr="00011A46">
        <w:rPr>
          <w:lang w:eastAsia="fr-FR" w:bidi="fr-FR"/>
        </w:rPr>
        <w:t xml:space="preserve"> pour réitérer les vertus et les promesses des droits individuels et de la ju</w:t>
      </w:r>
      <w:r w:rsidRPr="00011A46">
        <w:rPr>
          <w:lang w:eastAsia="fr-FR" w:bidi="fr-FR"/>
        </w:rPr>
        <w:t>s</w:t>
      </w:r>
      <w:r w:rsidRPr="00011A46">
        <w:rPr>
          <w:lang w:eastAsia="fr-FR" w:bidi="fr-FR"/>
        </w:rPr>
        <w:t>tice distributive face aux dangers des politiques corporatistes.</w:t>
      </w:r>
    </w:p>
    <w:p w:rsidR="00B7214C" w:rsidRDefault="00B7214C" w:rsidP="00B7214C">
      <w:pPr>
        <w:spacing w:before="120" w:after="120"/>
        <w:jc w:val="both"/>
        <w:rPr>
          <w:lang w:eastAsia="fr-FR" w:bidi="fr-FR"/>
        </w:rPr>
      </w:pPr>
      <w:r w:rsidRPr="00011A46">
        <w:rPr>
          <w:lang w:eastAsia="fr-FR" w:bidi="fr-FR"/>
        </w:rPr>
        <w:t>Comme on peut le constater, la réflexion éthique sur l'e</w:t>
      </w:r>
      <w:r w:rsidRPr="00011A46">
        <w:rPr>
          <w:lang w:eastAsia="fr-FR" w:bidi="fr-FR"/>
        </w:rPr>
        <w:t>x</w:t>
      </w:r>
      <w:r w:rsidRPr="00011A46">
        <w:rPr>
          <w:lang w:eastAsia="fr-FR" w:bidi="fr-FR"/>
        </w:rPr>
        <w:t>clusion et l'injustice est à la fois complexe et indécidable. Que l'on adopte une position taxonomique ou systémique, économiste ou politiste, on ne peut éviter de considérer les raisons normatives qui justifient ici la discrimination négative et là, l'affirmation positive. L'égalité co</w:t>
      </w:r>
      <w:r w:rsidRPr="00011A46">
        <w:rPr>
          <w:lang w:eastAsia="fr-FR" w:bidi="fr-FR"/>
        </w:rPr>
        <w:t>m</w:t>
      </w:r>
      <w:r w:rsidRPr="00011A46">
        <w:rPr>
          <w:lang w:eastAsia="fr-FR" w:bidi="fr-FR"/>
        </w:rPr>
        <w:t xml:space="preserve">plexe ne signifie pas la fin de l'arbitraire, mais bien la participation de tous. Ceux-ci ne doivent être interpelés ni par la </w:t>
      </w:r>
      <w:r w:rsidRPr="00011A46">
        <w:t>« </w:t>
      </w:r>
      <w:r w:rsidRPr="00011A46">
        <w:rPr>
          <w:lang w:eastAsia="fr-FR" w:bidi="fr-FR"/>
        </w:rPr>
        <w:t>pure identité</w:t>
      </w:r>
      <w:r w:rsidRPr="00011A46">
        <w:t> »</w:t>
      </w:r>
      <w:r w:rsidRPr="00011A46">
        <w:rPr>
          <w:lang w:eastAsia="fr-FR" w:bidi="fr-FR"/>
        </w:rPr>
        <w:t xml:space="preserve"> ni par la </w:t>
      </w:r>
      <w:r w:rsidRPr="00011A46">
        <w:t>« </w:t>
      </w:r>
      <w:r w:rsidRPr="00011A46">
        <w:rPr>
          <w:lang w:eastAsia="fr-FR" w:bidi="fr-FR"/>
        </w:rPr>
        <w:t>différence assignée</w:t>
      </w:r>
      <w:r w:rsidRPr="00011A46">
        <w:t> »</w:t>
      </w:r>
      <w:r w:rsidRPr="00011A46">
        <w:rPr>
          <w:lang w:eastAsia="fr-FR" w:bidi="fr-FR"/>
        </w:rPr>
        <w:t>, mais par un dialogue difficile sur les règles de partialité et d'impartialité qui nous gouvernent, les droits et les obligations qui fondent le bien commun. Le cas canadien, en contraste avec la situation américaine, n'est pas marqué par un vif d</w:t>
      </w:r>
      <w:r w:rsidRPr="00011A46">
        <w:rPr>
          <w:lang w:eastAsia="fr-FR" w:bidi="fr-FR"/>
        </w:rPr>
        <w:t>é</w:t>
      </w:r>
      <w:r w:rsidRPr="00011A46">
        <w:rPr>
          <w:lang w:eastAsia="fr-FR" w:bidi="fr-FR"/>
        </w:rPr>
        <w:t>bat sur les principes de justice et de l'idéal démocratique. Les procéd</w:t>
      </w:r>
      <w:r w:rsidRPr="00011A46">
        <w:rPr>
          <w:lang w:eastAsia="fr-FR" w:bidi="fr-FR"/>
        </w:rPr>
        <w:t>u</w:t>
      </w:r>
      <w:r w:rsidRPr="00011A46">
        <w:rPr>
          <w:lang w:eastAsia="fr-FR" w:bidi="fr-FR"/>
        </w:rPr>
        <w:t>res de l'action positive ne semblent pas déborder les prémices mult</w:t>
      </w:r>
      <w:r w:rsidRPr="00011A46">
        <w:rPr>
          <w:lang w:eastAsia="fr-FR" w:bidi="fr-FR"/>
        </w:rPr>
        <w:t>i</w:t>
      </w:r>
      <w:r w:rsidRPr="00011A46">
        <w:rPr>
          <w:lang w:eastAsia="fr-FR" w:bidi="fr-FR"/>
        </w:rPr>
        <w:t>culturelles et incl</w:t>
      </w:r>
      <w:r w:rsidRPr="00011A46">
        <w:rPr>
          <w:lang w:eastAsia="fr-FR" w:bidi="fr-FR"/>
        </w:rPr>
        <w:t>u</w:t>
      </w:r>
      <w:r w:rsidRPr="00011A46">
        <w:rPr>
          <w:lang w:eastAsia="fr-FR" w:bidi="fr-FR"/>
        </w:rPr>
        <w:t>sionnaires des appareils d'État. Au surplus, comme la logique compensatoire est inopérante pour la majorité des imm</w:t>
      </w:r>
      <w:r w:rsidRPr="00011A46">
        <w:rPr>
          <w:lang w:eastAsia="fr-FR" w:bidi="fr-FR"/>
        </w:rPr>
        <w:t>i</w:t>
      </w:r>
      <w:r w:rsidRPr="00011A46">
        <w:rPr>
          <w:lang w:eastAsia="fr-FR" w:bidi="fr-FR"/>
        </w:rPr>
        <w:t>grants</w:t>
      </w:r>
      <w:r>
        <w:rPr>
          <w:lang w:eastAsia="fr-FR" w:bidi="fr-FR"/>
        </w:rPr>
        <w:t xml:space="preserve"> [440] </w:t>
      </w:r>
      <w:r w:rsidRPr="00011A46">
        <w:t>« </w:t>
      </w:r>
      <w:r w:rsidRPr="00011A46">
        <w:rPr>
          <w:lang w:eastAsia="fr-FR" w:bidi="fr-FR"/>
        </w:rPr>
        <w:t>visibles</w:t>
      </w:r>
      <w:r w:rsidRPr="00011A46">
        <w:t> »</w:t>
      </w:r>
      <w:r w:rsidRPr="00011A46">
        <w:rPr>
          <w:lang w:eastAsia="fr-FR" w:bidi="fr-FR"/>
        </w:rPr>
        <w:t xml:space="preserve"> dont la transplantation est récente, la r</w:t>
      </w:r>
      <w:r w:rsidRPr="00011A46">
        <w:rPr>
          <w:lang w:eastAsia="fr-FR" w:bidi="fr-FR"/>
        </w:rPr>
        <w:t>é</w:t>
      </w:r>
      <w:r w:rsidRPr="00011A46">
        <w:rPr>
          <w:lang w:eastAsia="fr-FR" w:bidi="fr-FR"/>
        </w:rPr>
        <w:t>flexion sur la justice intergénérationnelle est à peine ébauchée et réf</w:t>
      </w:r>
      <w:r w:rsidRPr="00011A46">
        <w:rPr>
          <w:lang w:eastAsia="fr-FR" w:bidi="fr-FR"/>
        </w:rPr>
        <w:t>é</w:t>
      </w:r>
      <w:r w:rsidRPr="00011A46">
        <w:rPr>
          <w:lang w:eastAsia="fr-FR" w:bidi="fr-FR"/>
        </w:rPr>
        <w:t xml:space="preserve">rée donc aux </w:t>
      </w:r>
      <w:r w:rsidRPr="00011A46">
        <w:t>« </w:t>
      </w:r>
      <w:r w:rsidRPr="00011A46">
        <w:rPr>
          <w:lang w:eastAsia="fr-FR" w:bidi="fr-FR"/>
        </w:rPr>
        <w:t>technocraties gestionnaires de l'Action sociale</w:t>
      </w:r>
      <w:r w:rsidRPr="00011A46">
        <w:t> »</w:t>
      </w:r>
      <w:r w:rsidRPr="00011A46">
        <w:rPr>
          <w:lang w:eastAsia="fr-FR" w:bidi="fr-FR"/>
        </w:rPr>
        <w:t xml:space="preserve"> (L</w:t>
      </w:r>
      <w:r w:rsidRPr="00011A46">
        <w:rPr>
          <w:lang w:eastAsia="fr-FR" w:bidi="fr-FR"/>
        </w:rPr>
        <w:t>e</w:t>
      </w:r>
      <w:r w:rsidRPr="00011A46">
        <w:rPr>
          <w:lang w:eastAsia="fr-FR" w:bidi="fr-FR"/>
        </w:rPr>
        <w:t>gendre, 1992 p. 420). Les résultats d'une recherche comparative m</w:t>
      </w:r>
      <w:r w:rsidRPr="00011A46">
        <w:rPr>
          <w:lang w:eastAsia="fr-FR" w:bidi="fr-FR"/>
        </w:rPr>
        <w:t>e</w:t>
      </w:r>
      <w:r w:rsidRPr="00011A46">
        <w:rPr>
          <w:lang w:eastAsia="fr-FR" w:bidi="fr-FR"/>
        </w:rPr>
        <w:t>née à Montréal et à Toronto semblent montrer que c'est la crainte d'une polarisation ethn</w:t>
      </w:r>
      <w:r w:rsidRPr="00011A46">
        <w:rPr>
          <w:lang w:eastAsia="fr-FR" w:bidi="fr-FR"/>
        </w:rPr>
        <w:t>o</w:t>
      </w:r>
      <w:r w:rsidRPr="00011A46">
        <w:rPr>
          <w:lang w:eastAsia="fr-FR" w:bidi="fr-FR"/>
        </w:rPr>
        <w:t xml:space="preserve">raciale qui justifie une théorie implicite de la régulation de la </w:t>
      </w:r>
      <w:r w:rsidRPr="00011A46">
        <w:t>« </w:t>
      </w:r>
      <w:r w:rsidRPr="00011A46">
        <w:rPr>
          <w:lang w:eastAsia="fr-FR" w:bidi="fr-FR"/>
        </w:rPr>
        <w:t>différence</w:t>
      </w:r>
      <w:r w:rsidRPr="00011A46">
        <w:t> »</w:t>
      </w:r>
      <w:r w:rsidRPr="00011A46">
        <w:rPr>
          <w:lang w:eastAsia="fr-FR" w:bidi="fr-FR"/>
        </w:rPr>
        <w:t xml:space="preserve"> et la quête de l'harmonie - fallut-il pour cela classer et distinguer, séparer pour mieux intégrer.</w:t>
      </w:r>
    </w:p>
    <w:p w:rsidR="00B7214C" w:rsidRPr="00011A46" w:rsidRDefault="00B7214C" w:rsidP="00B7214C">
      <w:pPr>
        <w:spacing w:before="120" w:after="120"/>
        <w:jc w:val="both"/>
      </w:pPr>
    </w:p>
    <w:p w:rsidR="00B7214C" w:rsidRPr="00011A46" w:rsidRDefault="00B7214C" w:rsidP="00B7214C">
      <w:pPr>
        <w:pStyle w:val="a"/>
      </w:pPr>
      <w:r w:rsidRPr="00011A46">
        <w:rPr>
          <w:lang w:eastAsia="fr-FR" w:bidi="fr-FR"/>
        </w:rPr>
        <w:t>VISIBILITÉ ET DROITS</w:t>
      </w:r>
      <w:r w:rsidRPr="00011A46">
        <w:t> :</w:t>
      </w:r>
      <w:r w:rsidRPr="00011A46">
        <w:rPr>
          <w:lang w:eastAsia="fr-FR" w:bidi="fr-FR"/>
        </w:rPr>
        <w:t xml:space="preserve"> </w:t>
      </w:r>
      <w:r>
        <w:rPr>
          <w:lang w:eastAsia="fr-FR" w:bidi="fr-FR"/>
        </w:rPr>
        <w:br/>
      </w:r>
      <w:r w:rsidRPr="00011A46">
        <w:rPr>
          <w:lang w:eastAsia="fr-FR" w:bidi="fr-FR"/>
        </w:rPr>
        <w:t>L'ACTION POSITIVE AU QUÉBEC ET AU CANADA</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Le Canada a une longue tradition d'incorporation différe</w:t>
      </w:r>
      <w:r w:rsidRPr="00011A46">
        <w:rPr>
          <w:lang w:eastAsia="fr-FR" w:bidi="fr-FR"/>
        </w:rPr>
        <w:t>n</w:t>
      </w:r>
      <w:r w:rsidRPr="00011A46">
        <w:rPr>
          <w:lang w:eastAsia="fr-FR" w:bidi="fr-FR"/>
        </w:rPr>
        <w:t>tielle des citoyens dans le système politique et administratif, si l'on se réfère tant à la Loi sur les Indiens, au traitement di</w:t>
      </w:r>
      <w:r w:rsidRPr="00011A46">
        <w:rPr>
          <w:lang w:eastAsia="fr-FR" w:bidi="fr-FR"/>
        </w:rPr>
        <w:t>s</w:t>
      </w:r>
      <w:r w:rsidRPr="00011A46">
        <w:rPr>
          <w:lang w:eastAsia="fr-FR" w:bidi="fr-FR"/>
        </w:rPr>
        <w:t>criminatoire des immigrants chinois et japonais ou encore aux conflits linguistiques et confessio</w:t>
      </w:r>
      <w:r w:rsidRPr="00011A46">
        <w:rPr>
          <w:lang w:eastAsia="fr-FR" w:bidi="fr-FR"/>
        </w:rPr>
        <w:t>n</w:t>
      </w:r>
      <w:r w:rsidRPr="00011A46">
        <w:rPr>
          <w:lang w:eastAsia="fr-FR" w:bidi="fr-FR"/>
        </w:rPr>
        <w:t>nels. La promotion de nouveaux droits envers des populations racisées ou susceptibles de l'être a poussé le comité Daudlin à distinguer des m</w:t>
      </w:r>
      <w:r w:rsidRPr="00011A46">
        <w:rPr>
          <w:lang w:eastAsia="fr-FR" w:bidi="fr-FR"/>
        </w:rPr>
        <w:t>i</w:t>
      </w:r>
      <w:r w:rsidRPr="00011A46">
        <w:rPr>
          <w:lang w:eastAsia="fr-FR" w:bidi="fr-FR"/>
        </w:rPr>
        <w:t xml:space="preserve">norités visibles comme </w:t>
      </w:r>
      <w:r w:rsidRPr="00011A46">
        <w:t>« </w:t>
      </w:r>
      <w:r w:rsidRPr="00011A46">
        <w:rPr>
          <w:lang w:eastAsia="fr-FR" w:bidi="fr-FR"/>
        </w:rPr>
        <w:t>les non-Blancs qui ne participent pas à part entière à la société canadienne</w:t>
      </w:r>
      <w:r w:rsidRPr="00011A46">
        <w:t> »</w:t>
      </w:r>
      <w:r w:rsidRPr="00011A46">
        <w:rPr>
          <w:lang w:eastAsia="fr-FR" w:bidi="fr-FR"/>
        </w:rPr>
        <w:t>, regroupant sous ce vocable n</w:t>
      </w:r>
      <w:r w:rsidRPr="00011A46">
        <w:rPr>
          <w:lang w:eastAsia="fr-FR" w:bidi="fr-FR"/>
        </w:rPr>
        <w:t>o</w:t>
      </w:r>
      <w:r w:rsidRPr="00011A46">
        <w:rPr>
          <w:lang w:eastAsia="fr-FR" w:bidi="fr-FR"/>
        </w:rPr>
        <w:t>tamment des immigrants récents du tiers mo</w:t>
      </w:r>
      <w:r w:rsidRPr="00011A46">
        <w:rPr>
          <w:lang w:eastAsia="fr-FR" w:bidi="fr-FR"/>
        </w:rPr>
        <w:t>n</w:t>
      </w:r>
      <w:r w:rsidRPr="00011A46">
        <w:rPr>
          <w:lang w:eastAsia="fr-FR" w:bidi="fr-FR"/>
        </w:rPr>
        <w:t>de. L'analogie avec le cas américain sur le plan des torts hi</w:t>
      </w:r>
      <w:r w:rsidRPr="00011A46">
        <w:rPr>
          <w:lang w:eastAsia="fr-FR" w:bidi="fr-FR"/>
        </w:rPr>
        <w:t>s</w:t>
      </w:r>
      <w:r w:rsidRPr="00011A46">
        <w:rPr>
          <w:lang w:eastAsia="fr-FR" w:bidi="fr-FR"/>
        </w:rPr>
        <w:t>toriques semble ténue, mais la reconnaissance des principes de l'égalité négative et positive dans la Charte canadienne des droits et libertés (1982) ouvrait la voie à l'in</w:t>
      </w:r>
      <w:r w:rsidRPr="00011A46">
        <w:rPr>
          <w:lang w:eastAsia="fr-FR" w:bidi="fr-FR"/>
        </w:rPr>
        <w:t>s</w:t>
      </w:r>
      <w:r w:rsidRPr="00011A46">
        <w:rPr>
          <w:lang w:eastAsia="fr-FR" w:bidi="fr-FR"/>
        </w:rPr>
        <w:t>tauration de programmes préférentiels. En effet, en 1986, la loi fédér</w:t>
      </w:r>
      <w:r w:rsidRPr="00011A46">
        <w:rPr>
          <w:lang w:eastAsia="fr-FR" w:bidi="fr-FR"/>
        </w:rPr>
        <w:t>a</w:t>
      </w:r>
      <w:r w:rsidRPr="00011A46">
        <w:rPr>
          <w:lang w:eastAsia="fr-FR" w:bidi="fr-FR"/>
        </w:rPr>
        <w:t>le en matière d'égalité dans l'emploi a introduit, à l'instar de l'exp</w:t>
      </w:r>
      <w:r w:rsidRPr="00011A46">
        <w:rPr>
          <w:lang w:eastAsia="fr-FR" w:bidi="fr-FR"/>
        </w:rPr>
        <w:t>é</w:t>
      </w:r>
      <w:r w:rsidRPr="00011A46">
        <w:rPr>
          <w:lang w:eastAsia="fr-FR" w:bidi="fr-FR"/>
        </w:rPr>
        <w:t>rience américaine, le concept de l'obligation contractuelle des entr</w:t>
      </w:r>
      <w:r w:rsidRPr="00011A46">
        <w:rPr>
          <w:lang w:eastAsia="fr-FR" w:bidi="fr-FR"/>
        </w:rPr>
        <w:t>e</w:t>
      </w:r>
      <w:r w:rsidRPr="00011A46">
        <w:rPr>
          <w:lang w:eastAsia="fr-FR" w:bidi="fr-FR"/>
        </w:rPr>
        <w:t>prises régies par le gouvernement fédéral à adopter des plans d'action positive à l'endroit de groupes identifiés, après avoir établi des quotas ou objectifs numériques. Les Co</w:t>
      </w:r>
      <w:r w:rsidRPr="00011A46">
        <w:rPr>
          <w:lang w:eastAsia="fr-FR" w:bidi="fr-FR"/>
        </w:rPr>
        <w:t>m</w:t>
      </w:r>
      <w:r w:rsidRPr="00011A46">
        <w:rPr>
          <w:lang w:eastAsia="fr-FR" w:bidi="fr-FR"/>
        </w:rPr>
        <w:t>missions des droits de la personne, fédérale et provinciales, peuvent après enquête suite à une plainte, r</w:t>
      </w:r>
      <w:r w:rsidRPr="00011A46">
        <w:rPr>
          <w:lang w:eastAsia="fr-FR" w:bidi="fr-FR"/>
        </w:rPr>
        <w:t>e</w:t>
      </w:r>
      <w:r w:rsidRPr="00011A46">
        <w:rPr>
          <w:lang w:eastAsia="fr-FR" w:bidi="fr-FR"/>
        </w:rPr>
        <w:t>commander à un employeur d'instaurer un programme d'action posit</w:t>
      </w:r>
      <w:r w:rsidRPr="00011A46">
        <w:rPr>
          <w:lang w:eastAsia="fr-FR" w:bidi="fr-FR"/>
        </w:rPr>
        <w:t>i</w:t>
      </w:r>
      <w:r w:rsidRPr="00011A46">
        <w:rPr>
          <w:lang w:eastAsia="fr-FR" w:bidi="fr-FR"/>
        </w:rPr>
        <w:t>ve dans son entreprise. La Cour suprême a depuis intégré la notion de discrimination systémique qui est centrale à la jurisprudence amér</w:t>
      </w:r>
      <w:r w:rsidRPr="00011A46">
        <w:rPr>
          <w:lang w:eastAsia="fr-FR" w:bidi="fr-FR"/>
        </w:rPr>
        <w:t>i</w:t>
      </w:r>
      <w:r w:rsidRPr="00011A46">
        <w:rPr>
          <w:lang w:eastAsia="fr-FR" w:bidi="fr-FR"/>
        </w:rPr>
        <w:t>caine, bien qu'elle pose ici comme là les mêmes défis - théoriques et méthodologiques - lorsqu'il s'agit d'établir la preuve. D'autre part, les fonctions publiques ont généralement adopté des objectifs de meille</w:t>
      </w:r>
      <w:r w:rsidRPr="00011A46">
        <w:rPr>
          <w:lang w:eastAsia="fr-FR" w:bidi="fr-FR"/>
        </w:rPr>
        <w:t>u</w:t>
      </w:r>
      <w:r w:rsidRPr="00011A46">
        <w:rPr>
          <w:lang w:eastAsia="fr-FR" w:bidi="fr-FR"/>
        </w:rPr>
        <w:t>re représentativité de groupes catégoriels, tandis que l'Ontario a rendu obligatoire les mesures d'équité en emploi.</w:t>
      </w:r>
    </w:p>
    <w:p w:rsidR="00B7214C" w:rsidRPr="00011A46" w:rsidRDefault="00B7214C" w:rsidP="00B7214C">
      <w:pPr>
        <w:spacing w:before="120" w:after="120"/>
        <w:jc w:val="both"/>
      </w:pPr>
      <w:r w:rsidRPr="00011A46">
        <w:rPr>
          <w:lang w:eastAsia="fr-FR" w:bidi="fr-FR"/>
        </w:rPr>
        <w:t>C'est dans ce contexte que nous cherchions à déterminer les princ</w:t>
      </w:r>
      <w:r w:rsidRPr="00011A46">
        <w:rPr>
          <w:lang w:eastAsia="fr-FR" w:bidi="fr-FR"/>
        </w:rPr>
        <w:t>i</w:t>
      </w:r>
      <w:r w:rsidRPr="00011A46">
        <w:rPr>
          <w:lang w:eastAsia="fr-FR" w:bidi="fr-FR"/>
        </w:rPr>
        <w:t>pes et les raisons qui ont guidé tant le législateur, les acteurs polit</w:t>
      </w:r>
      <w:r w:rsidRPr="00011A46">
        <w:rPr>
          <w:lang w:eastAsia="fr-FR" w:bidi="fr-FR"/>
        </w:rPr>
        <w:t>i</w:t>
      </w:r>
      <w:r w:rsidRPr="00011A46">
        <w:rPr>
          <w:lang w:eastAsia="fr-FR" w:bidi="fr-FR"/>
        </w:rPr>
        <w:t>ques et socio-économiques que les élites ethn</w:t>
      </w:r>
      <w:r w:rsidRPr="00011A46">
        <w:rPr>
          <w:lang w:eastAsia="fr-FR" w:bidi="fr-FR"/>
        </w:rPr>
        <w:t>i</w:t>
      </w:r>
      <w:r w:rsidRPr="00011A46">
        <w:rPr>
          <w:lang w:eastAsia="fr-FR" w:bidi="fr-FR"/>
        </w:rPr>
        <w:t>ques. L'enquête s'est déroulée, dans un premier temps (1987-1991), à Montréal où elle fut concentrée sur deux groupes d'immigrants récents perçus différe</w:t>
      </w:r>
      <w:r w:rsidRPr="00011A46">
        <w:rPr>
          <w:lang w:eastAsia="fr-FR" w:bidi="fr-FR"/>
        </w:rPr>
        <w:t>m</w:t>
      </w:r>
      <w:r w:rsidRPr="00011A46">
        <w:rPr>
          <w:lang w:eastAsia="fr-FR" w:bidi="fr-FR"/>
        </w:rPr>
        <w:t>ment</w:t>
      </w:r>
      <w:r w:rsidRPr="00011A46">
        <w:t> :</w:t>
      </w:r>
      <w:r w:rsidRPr="00011A46">
        <w:rPr>
          <w:lang w:eastAsia="fr-FR" w:bidi="fr-FR"/>
        </w:rPr>
        <w:t xml:space="preserve"> Haïtiens et Vie</w:t>
      </w:r>
      <w:r w:rsidRPr="00011A46">
        <w:rPr>
          <w:lang w:eastAsia="fr-FR" w:bidi="fr-FR"/>
        </w:rPr>
        <w:t>t</w:t>
      </w:r>
      <w:r>
        <w:rPr>
          <w:lang w:eastAsia="fr-FR" w:bidi="fr-FR"/>
        </w:rPr>
        <w:t>na</w:t>
      </w:r>
      <w:r w:rsidRPr="00011A46">
        <w:rPr>
          <w:lang w:eastAsia="fr-FR" w:bidi="fr-FR"/>
        </w:rPr>
        <w:t>miens.</w:t>
      </w:r>
      <w:r>
        <w:t xml:space="preserve"> </w:t>
      </w:r>
      <w:r>
        <w:rPr>
          <w:lang w:eastAsia="fr-FR" w:bidi="fr-FR"/>
        </w:rPr>
        <w:t>[441]</w:t>
      </w:r>
      <w:r w:rsidRPr="00011A46">
        <w:rPr>
          <w:lang w:eastAsia="fr-FR" w:bidi="fr-FR"/>
        </w:rPr>
        <w:t xml:space="preserve"> Dans un second volet (1991-1992), nous voulions comparer les résultats obtenus à la situation t</w:t>
      </w:r>
      <w:r w:rsidRPr="00011A46">
        <w:rPr>
          <w:lang w:eastAsia="fr-FR" w:bidi="fr-FR"/>
        </w:rPr>
        <w:t>o</w:t>
      </w:r>
      <w:r w:rsidRPr="00011A46">
        <w:rPr>
          <w:lang w:eastAsia="fr-FR" w:bidi="fr-FR"/>
        </w:rPr>
        <w:t>rontoise et au discours de ses él</w:t>
      </w:r>
      <w:r w:rsidRPr="00011A46">
        <w:rPr>
          <w:lang w:eastAsia="fr-FR" w:bidi="fr-FR"/>
        </w:rPr>
        <w:t>i</w:t>
      </w:r>
      <w:r w:rsidRPr="00011A46">
        <w:rPr>
          <w:lang w:eastAsia="fr-FR" w:bidi="fr-FR"/>
        </w:rPr>
        <w:t>tes. Pour réaliser l'ensemble du projet, nous avons eu recours à des méthodes variées et complémentaires. Ainsi, une analyse documentaire complétait l'enquête de terrain, a</w:t>
      </w:r>
      <w:r w:rsidRPr="00011A46">
        <w:rPr>
          <w:lang w:eastAsia="fr-FR" w:bidi="fr-FR"/>
        </w:rPr>
        <w:t>u</w:t>
      </w:r>
      <w:r w:rsidRPr="00011A46">
        <w:rPr>
          <w:lang w:eastAsia="fr-FR" w:bidi="fr-FR"/>
        </w:rPr>
        <w:t>près du public, des synd</w:t>
      </w:r>
      <w:r w:rsidRPr="00011A46">
        <w:rPr>
          <w:lang w:eastAsia="fr-FR" w:bidi="fr-FR"/>
        </w:rPr>
        <w:t>i</w:t>
      </w:r>
      <w:r w:rsidRPr="00011A46">
        <w:rPr>
          <w:lang w:eastAsia="fr-FR" w:bidi="fr-FR"/>
        </w:rPr>
        <w:t>qués et des cadres d'entreprises. Des rapports de sondages sur le racisme se</w:t>
      </w:r>
      <w:r w:rsidRPr="00011A46">
        <w:rPr>
          <w:lang w:eastAsia="fr-FR" w:bidi="fr-FR"/>
        </w:rPr>
        <w:t>r</w:t>
      </w:r>
      <w:r w:rsidRPr="00011A46">
        <w:rPr>
          <w:lang w:eastAsia="fr-FR" w:bidi="fr-FR"/>
        </w:rPr>
        <w:t>vaient de point de repère à l'analyse de la presse écrite depuis 1983, tandis que la synthèse de l'état du droit était recoupée par des entrevues semi-dirigées avec des décideurs p</w:t>
      </w:r>
      <w:r w:rsidRPr="00011A46">
        <w:rPr>
          <w:lang w:eastAsia="fr-FR" w:bidi="fr-FR"/>
        </w:rPr>
        <w:t>o</w:t>
      </w:r>
      <w:r w:rsidRPr="00011A46">
        <w:rPr>
          <w:lang w:eastAsia="fr-FR" w:bidi="fr-FR"/>
        </w:rPr>
        <w:t>litiques et économiques, mais aussi avec des représentants des co</w:t>
      </w:r>
      <w:r w:rsidRPr="00011A46">
        <w:rPr>
          <w:lang w:eastAsia="fr-FR" w:bidi="fr-FR"/>
        </w:rPr>
        <w:t>m</w:t>
      </w:r>
      <w:r w:rsidRPr="00011A46">
        <w:rPr>
          <w:lang w:eastAsia="fr-FR" w:bidi="fr-FR"/>
        </w:rPr>
        <w:t xml:space="preserve">munautés </w:t>
      </w:r>
      <w:r w:rsidRPr="00011A46">
        <w:t>« </w:t>
      </w:r>
      <w:r w:rsidRPr="00011A46">
        <w:rPr>
          <w:lang w:eastAsia="fr-FR" w:bidi="fr-FR"/>
        </w:rPr>
        <w:t>visibles</w:t>
      </w:r>
      <w:r w:rsidRPr="00011A46">
        <w:t> »</w:t>
      </w:r>
      <w:r w:rsidRPr="00011A46">
        <w:rPr>
          <w:lang w:eastAsia="fr-FR" w:bidi="fr-FR"/>
        </w:rPr>
        <w:t>. Après un bref résumé de l'analyse de la pre</w:t>
      </w:r>
      <w:r w:rsidRPr="00011A46">
        <w:rPr>
          <w:lang w:eastAsia="fr-FR" w:bidi="fr-FR"/>
        </w:rPr>
        <w:t>s</w:t>
      </w:r>
      <w:r w:rsidRPr="00011A46">
        <w:rPr>
          <w:lang w:eastAsia="fr-FR" w:bidi="fr-FR"/>
        </w:rPr>
        <w:t>se et des perceptions du public à Montréal, nous situerons le discours des élites, à Montréal et à Toronto, sur la légitimité matérielle de ces pr</w:t>
      </w:r>
      <w:r w:rsidRPr="00011A46">
        <w:rPr>
          <w:lang w:eastAsia="fr-FR" w:bidi="fr-FR"/>
        </w:rPr>
        <w:t>o</w:t>
      </w:r>
      <w:r w:rsidRPr="00011A46">
        <w:rPr>
          <w:lang w:eastAsia="fr-FR" w:bidi="fr-FR"/>
        </w:rPr>
        <w:t>grammes préfére</w:t>
      </w:r>
      <w:r w:rsidRPr="00011A46">
        <w:rPr>
          <w:lang w:eastAsia="fr-FR" w:bidi="fr-FR"/>
        </w:rPr>
        <w:t>n</w:t>
      </w:r>
      <w:r w:rsidRPr="00011A46">
        <w:rPr>
          <w:lang w:eastAsia="fr-FR" w:bidi="fr-FR"/>
        </w:rPr>
        <w:t>tiels.</w:t>
      </w:r>
    </w:p>
    <w:p w:rsidR="00B7214C" w:rsidRDefault="00B7214C" w:rsidP="00B7214C">
      <w:pPr>
        <w:spacing w:before="120" w:after="120"/>
        <w:jc w:val="both"/>
        <w:rPr>
          <w:lang w:eastAsia="fr-FR" w:bidi="fr-FR"/>
        </w:rPr>
      </w:pPr>
      <w:r>
        <w:rPr>
          <w:lang w:eastAsia="fr-FR" w:bidi="fr-FR"/>
        </w:rPr>
        <w:br w:type="page"/>
      </w:r>
    </w:p>
    <w:p w:rsidR="00B7214C" w:rsidRPr="00BB7297" w:rsidRDefault="00B7214C" w:rsidP="00B7214C">
      <w:pPr>
        <w:pStyle w:val="b"/>
      </w:pPr>
      <w:r w:rsidRPr="00BB7297">
        <w:rPr>
          <w:lang w:eastAsia="fr-FR" w:bidi="fr-FR"/>
        </w:rPr>
        <w:t xml:space="preserve">Le discours de la presse écrite </w:t>
      </w:r>
      <w:r>
        <w:rPr>
          <w:lang w:eastAsia="fr-FR" w:bidi="fr-FR"/>
        </w:rPr>
        <w:br/>
      </w:r>
      <w:r w:rsidRPr="00BB7297">
        <w:rPr>
          <w:lang w:eastAsia="fr-FR" w:bidi="fr-FR"/>
        </w:rPr>
        <w:t>et les perceptions du public à Mo</w:t>
      </w:r>
      <w:r w:rsidRPr="00BB7297">
        <w:rPr>
          <w:lang w:eastAsia="fr-FR" w:bidi="fr-FR"/>
        </w:rPr>
        <w:t>n</w:t>
      </w:r>
      <w:r w:rsidRPr="00BB7297">
        <w:rPr>
          <w:lang w:eastAsia="fr-FR" w:bidi="fr-FR"/>
        </w:rPr>
        <w:t>tréal</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L'analyse de la presse écrite, à partir de 1983, montre que le débat sur l'action positive ne suscite ni polémiques ni l'intérêt éditorial. R</w:t>
      </w:r>
      <w:r w:rsidRPr="00011A46">
        <w:rPr>
          <w:lang w:eastAsia="fr-FR" w:bidi="fr-FR"/>
        </w:rPr>
        <w:t>a</w:t>
      </w:r>
      <w:r w:rsidRPr="00011A46">
        <w:rPr>
          <w:lang w:eastAsia="fr-FR" w:bidi="fr-FR"/>
        </w:rPr>
        <w:t>res sont en effet les articles de fond ou les éditoriaux qui en traitent dans notre corpus (464 articles)</w:t>
      </w:r>
      <w:r>
        <w:rPr>
          <w:lang w:eastAsia="fr-FR" w:bidi="fr-FR"/>
        </w:rPr>
        <w:t> </w:t>
      </w:r>
      <w:r>
        <w:rPr>
          <w:rStyle w:val="Appelnotedebasdep"/>
          <w:lang w:eastAsia="fr-FR" w:bidi="fr-FR"/>
        </w:rPr>
        <w:footnoteReference w:id="340"/>
      </w:r>
      <w:r w:rsidRPr="00011A46">
        <w:rPr>
          <w:lang w:eastAsia="fr-FR" w:bidi="fr-FR"/>
        </w:rPr>
        <w:t>. Le discours des fonctionnaires rapporté par la presse se limite à fournir des chiffres, souvent contr</w:t>
      </w:r>
      <w:r w:rsidRPr="00011A46">
        <w:rPr>
          <w:lang w:eastAsia="fr-FR" w:bidi="fr-FR"/>
        </w:rPr>
        <w:t>a</w:t>
      </w:r>
      <w:r w:rsidRPr="00011A46">
        <w:rPr>
          <w:lang w:eastAsia="fr-FR" w:bidi="fr-FR"/>
        </w:rPr>
        <w:t xml:space="preserve">dictoires, sur les employés </w:t>
      </w:r>
      <w:r w:rsidRPr="00011A46">
        <w:t>« </w:t>
      </w:r>
      <w:r w:rsidRPr="00011A46">
        <w:rPr>
          <w:lang w:eastAsia="fr-FR" w:bidi="fr-FR"/>
        </w:rPr>
        <w:t>visibles</w:t>
      </w:r>
      <w:r w:rsidRPr="00011A46">
        <w:t> »</w:t>
      </w:r>
      <w:r w:rsidRPr="00011A46">
        <w:rPr>
          <w:lang w:eastAsia="fr-FR" w:bidi="fr-FR"/>
        </w:rPr>
        <w:t xml:space="preserve"> des fonctions publiques fédér</w:t>
      </w:r>
      <w:r w:rsidRPr="00011A46">
        <w:rPr>
          <w:lang w:eastAsia="fr-FR" w:bidi="fr-FR"/>
        </w:rPr>
        <w:t>a</w:t>
      </w:r>
      <w:r w:rsidRPr="00011A46">
        <w:rPr>
          <w:lang w:eastAsia="fr-FR" w:bidi="fr-FR"/>
        </w:rPr>
        <w:t>le, provinciales et municipales. Plus de la moitié (55,3</w:t>
      </w:r>
      <w:r>
        <w:rPr>
          <w:lang w:eastAsia="fr-FR" w:bidi="fr-FR"/>
        </w:rPr>
        <w:t>%</w:t>
      </w:r>
      <w:r w:rsidRPr="00011A46">
        <w:rPr>
          <w:lang w:eastAsia="fr-FR" w:bidi="fr-FR"/>
        </w:rPr>
        <w:t>) des articles appartiennent à ces thématiques. Les autres acteurs et thèmes év</w:t>
      </w:r>
      <w:r w:rsidRPr="00011A46">
        <w:rPr>
          <w:lang w:eastAsia="fr-FR" w:bidi="fr-FR"/>
        </w:rPr>
        <w:t>o</w:t>
      </w:r>
      <w:r w:rsidRPr="00011A46">
        <w:rPr>
          <w:lang w:eastAsia="fr-FR" w:bidi="fr-FR"/>
        </w:rPr>
        <w:t>qués ont retenu moins l'attention des médias</w:t>
      </w:r>
      <w:r>
        <w:rPr>
          <w:lang w:eastAsia="fr-FR" w:bidi="fr-FR"/>
        </w:rPr>
        <w:t> </w:t>
      </w:r>
      <w:r>
        <w:rPr>
          <w:rStyle w:val="Appelnotedebasdep"/>
          <w:lang w:eastAsia="fr-FR" w:bidi="fr-FR"/>
        </w:rPr>
        <w:footnoteReference w:id="341"/>
      </w:r>
      <w:r w:rsidRPr="00011A46">
        <w:rPr>
          <w:lang w:eastAsia="fr-FR" w:bidi="fr-FR"/>
        </w:rPr>
        <w:t>. L'analyse à la fois di</w:t>
      </w:r>
      <w:r w:rsidRPr="00011A46">
        <w:rPr>
          <w:lang w:eastAsia="fr-FR" w:bidi="fr-FR"/>
        </w:rPr>
        <w:t>a</w:t>
      </w:r>
      <w:r w:rsidRPr="00011A46">
        <w:rPr>
          <w:lang w:eastAsia="fr-FR" w:bidi="fr-FR"/>
        </w:rPr>
        <w:t>chronique et synchronique a l'avantage de montrer que ces progra</w:t>
      </w:r>
      <w:r w:rsidRPr="00011A46">
        <w:rPr>
          <w:lang w:eastAsia="fr-FR" w:bidi="fr-FR"/>
        </w:rPr>
        <w:t>m</w:t>
      </w:r>
      <w:r w:rsidRPr="00011A46">
        <w:rPr>
          <w:lang w:eastAsia="fr-FR" w:bidi="fr-FR"/>
        </w:rPr>
        <w:t>mes sont implantés dans une période de crise économique et qu'ils sont invoqués à l'approche cyclique d'élections tant par les partis pol</w:t>
      </w:r>
      <w:r w:rsidRPr="00011A46">
        <w:rPr>
          <w:lang w:eastAsia="fr-FR" w:bidi="fr-FR"/>
        </w:rPr>
        <w:t>i</w:t>
      </w:r>
      <w:r w:rsidRPr="00011A46">
        <w:rPr>
          <w:lang w:eastAsia="fr-FR" w:bidi="fr-FR"/>
        </w:rPr>
        <w:t>tiques que par des élites et</w:t>
      </w:r>
      <w:r w:rsidRPr="00011A46">
        <w:rPr>
          <w:lang w:eastAsia="fr-FR" w:bidi="fr-FR"/>
        </w:rPr>
        <w:t>h</w:t>
      </w:r>
      <w:r w:rsidRPr="00011A46">
        <w:rPr>
          <w:lang w:eastAsia="fr-FR" w:bidi="fr-FR"/>
        </w:rPr>
        <w:t xml:space="preserve">niques mobilisées pour revendiquer des places </w:t>
      </w:r>
      <w:r w:rsidRPr="00011A46">
        <w:t>« </w:t>
      </w:r>
      <w:r w:rsidRPr="00011A46">
        <w:rPr>
          <w:lang w:eastAsia="fr-FR" w:bidi="fr-FR"/>
        </w:rPr>
        <w:t>visibles</w:t>
      </w:r>
      <w:r w:rsidRPr="00011A46">
        <w:t> »</w:t>
      </w:r>
      <w:r w:rsidRPr="00011A46">
        <w:rPr>
          <w:lang w:eastAsia="fr-FR" w:bidi="fr-FR"/>
        </w:rPr>
        <w:t xml:space="preserve"> et une incorporation équivalente. Il est difficile de déte</w:t>
      </w:r>
      <w:r w:rsidRPr="00011A46">
        <w:rPr>
          <w:lang w:eastAsia="fr-FR" w:bidi="fr-FR"/>
        </w:rPr>
        <w:t>r</w:t>
      </w:r>
      <w:r w:rsidRPr="00011A46">
        <w:rPr>
          <w:lang w:eastAsia="fr-FR" w:bidi="fr-FR"/>
        </w:rPr>
        <w:t>miner a posteriori, dans quelle mesure les promesses récurrentes ont été tenues et ce d'autant plus que les chiffres comme les groupes visés demeurent flous.</w:t>
      </w:r>
    </w:p>
    <w:p w:rsidR="00B7214C" w:rsidRDefault="00B7214C" w:rsidP="00B7214C">
      <w:pPr>
        <w:spacing w:before="120" w:after="120"/>
        <w:jc w:val="both"/>
        <w:rPr>
          <w:lang w:eastAsia="fr-FR" w:bidi="fr-FR"/>
        </w:rPr>
      </w:pPr>
      <w:r w:rsidRPr="00011A46">
        <w:rPr>
          <w:lang w:eastAsia="fr-FR" w:bidi="fr-FR"/>
        </w:rPr>
        <w:t>Ces résultats rejoignent la thèse de Van Dijk (1991) qui montre que la presse reflète souvent la position des élites et participe à la lég</w:t>
      </w:r>
      <w:r w:rsidRPr="00011A46">
        <w:rPr>
          <w:lang w:eastAsia="fr-FR" w:bidi="fr-FR"/>
        </w:rPr>
        <w:t>i</w:t>
      </w:r>
      <w:r w:rsidRPr="00011A46">
        <w:rPr>
          <w:lang w:eastAsia="fr-FR" w:bidi="fr-FR"/>
        </w:rPr>
        <w:t>timation de leurs discours. Nous n'avons pu en effet trouver dans la presse la trace d'une critique sensible des formes de catégorisation i</w:t>
      </w:r>
      <w:r w:rsidRPr="00011A46">
        <w:rPr>
          <w:lang w:eastAsia="fr-FR" w:bidi="fr-FR"/>
        </w:rPr>
        <w:t>m</w:t>
      </w:r>
      <w:r w:rsidRPr="00011A46">
        <w:rPr>
          <w:lang w:eastAsia="fr-FR" w:bidi="fr-FR"/>
        </w:rPr>
        <w:t>pliquées par la visibilité juridiquement entérinée, ni d'ailleurs une i</w:t>
      </w:r>
      <w:r w:rsidRPr="00011A46">
        <w:rPr>
          <w:lang w:eastAsia="fr-FR" w:bidi="fr-FR"/>
        </w:rPr>
        <w:t>n</w:t>
      </w:r>
      <w:r w:rsidRPr="00011A46">
        <w:rPr>
          <w:lang w:eastAsia="fr-FR" w:bidi="fr-FR"/>
        </w:rPr>
        <w:t>terrogation sur la signification des pratiques racialistes ou quelque d</w:t>
      </w:r>
      <w:r w:rsidRPr="00011A46">
        <w:rPr>
          <w:lang w:eastAsia="fr-FR" w:bidi="fr-FR"/>
        </w:rPr>
        <w:t>é</w:t>
      </w:r>
      <w:r w:rsidRPr="00011A46">
        <w:rPr>
          <w:lang w:eastAsia="fr-FR" w:bidi="fr-FR"/>
        </w:rPr>
        <w:t>bat sur un contrat d'appartenance des nouveaux sociétaires à la société civile. Dans ce contexte, selon Van Dijk (1991), il y a bea</w:t>
      </w:r>
      <w:r w:rsidRPr="00011A46">
        <w:rPr>
          <w:lang w:eastAsia="fr-FR" w:bidi="fr-FR"/>
        </w:rPr>
        <w:t>u</w:t>
      </w:r>
      <w:r w:rsidRPr="00011A46">
        <w:rPr>
          <w:lang w:eastAsia="fr-FR" w:bidi="fr-FR"/>
        </w:rPr>
        <w:t>coup à craindre que le sens commun s'appuie sur ces discours manufacturés, allusifs et déformants, tantôt empreints de bonnes intentions, tantôt de craintes devant l'étrange et l'étranger (Niemi et Salgado, 1989).</w:t>
      </w:r>
    </w:p>
    <w:p w:rsidR="00B7214C" w:rsidRPr="00011A46" w:rsidRDefault="00B7214C" w:rsidP="00B7214C">
      <w:pPr>
        <w:spacing w:before="120" w:after="120"/>
        <w:jc w:val="both"/>
      </w:pPr>
      <w:r>
        <w:t>[</w:t>
      </w:r>
      <w:r w:rsidRPr="00011A46">
        <w:rPr>
          <w:lang w:eastAsia="fr-FR" w:bidi="fr-FR"/>
        </w:rPr>
        <w:t>442</w:t>
      </w:r>
      <w:r>
        <w:rPr>
          <w:lang w:eastAsia="fr-FR" w:bidi="fr-FR"/>
        </w:rPr>
        <w:t>]</w:t>
      </w:r>
    </w:p>
    <w:p w:rsidR="00B7214C" w:rsidRPr="00011A46" w:rsidRDefault="00B7214C" w:rsidP="00B7214C">
      <w:pPr>
        <w:spacing w:before="120" w:after="120"/>
        <w:jc w:val="both"/>
      </w:pPr>
      <w:r w:rsidRPr="00011A46">
        <w:rPr>
          <w:lang w:eastAsia="fr-FR" w:bidi="fr-FR"/>
        </w:rPr>
        <w:t>Nos résultats d'une enquête auprès du public montréalais reflètent aussi le flou des catégories et des chiffres rapportés par la presse. Nous avons interrogé un échantillon stratifié de 60 citoyens sur leur degré de connaissance et d'acceptation des mesures d'action positive envers les minorités visibles, tout autant que sur leur perception de groupes particuliers et de l'immigration au Canada. Les répondants estimaient que le pourcentage d'immigrants variait entre 2</w:t>
      </w:r>
      <w:r>
        <w:rPr>
          <w:lang w:eastAsia="fr-FR" w:bidi="fr-FR"/>
        </w:rPr>
        <w:t>%</w:t>
      </w:r>
      <w:r w:rsidRPr="00011A46">
        <w:rPr>
          <w:lang w:eastAsia="fr-FR" w:bidi="fr-FR"/>
        </w:rPr>
        <w:t xml:space="preserve"> et 50</w:t>
      </w:r>
      <w:r>
        <w:rPr>
          <w:lang w:eastAsia="fr-FR" w:bidi="fr-FR"/>
        </w:rPr>
        <w:t>%</w:t>
      </w:r>
      <w:r w:rsidRPr="00011A46">
        <w:rPr>
          <w:lang w:eastAsia="fr-FR" w:bidi="fr-FR"/>
        </w:rPr>
        <w:t>, la moitié le situant entre 30</w:t>
      </w:r>
      <w:r>
        <w:rPr>
          <w:lang w:eastAsia="fr-FR" w:bidi="fr-FR"/>
        </w:rPr>
        <w:t>%</w:t>
      </w:r>
      <w:r w:rsidRPr="00011A46">
        <w:rPr>
          <w:lang w:eastAsia="fr-FR" w:bidi="fr-FR"/>
        </w:rPr>
        <w:t xml:space="preserve"> et 40</w:t>
      </w:r>
      <w:r>
        <w:rPr>
          <w:lang w:eastAsia="fr-FR" w:bidi="fr-FR"/>
        </w:rPr>
        <w:t>% </w:t>
      </w:r>
      <w:r>
        <w:rPr>
          <w:rStyle w:val="Appelnotedebasdep"/>
          <w:lang w:eastAsia="fr-FR" w:bidi="fr-FR"/>
        </w:rPr>
        <w:footnoteReference w:id="342"/>
      </w:r>
      <w:r w:rsidRPr="00011A46">
        <w:rPr>
          <w:lang w:eastAsia="fr-FR" w:bidi="fr-FR"/>
        </w:rPr>
        <w:t>. Qualifiant leur perception, un quart d'entre eux considéraient qu'il y avait trop d'immigrants à Mo</w:t>
      </w:r>
      <w:r w:rsidRPr="00011A46">
        <w:rPr>
          <w:lang w:eastAsia="fr-FR" w:bidi="fr-FR"/>
        </w:rPr>
        <w:t>n</w:t>
      </w:r>
      <w:r w:rsidRPr="00011A46">
        <w:rPr>
          <w:lang w:eastAsia="fr-FR" w:bidi="fr-FR"/>
        </w:rPr>
        <w:t>tréal, deux tiers en trouvaient le nombre acceptable, tandis que pour 15</w:t>
      </w:r>
      <w:r>
        <w:rPr>
          <w:lang w:eastAsia="fr-FR" w:bidi="fr-FR"/>
        </w:rPr>
        <w:t>%</w:t>
      </w:r>
      <w:r w:rsidRPr="00011A46">
        <w:rPr>
          <w:lang w:eastAsia="fr-FR" w:bidi="fr-FR"/>
        </w:rPr>
        <w:t xml:space="preserve"> il devrait y en avoir plus. Appelés à désigner les régions desque</w:t>
      </w:r>
      <w:r w:rsidRPr="00011A46">
        <w:rPr>
          <w:lang w:eastAsia="fr-FR" w:bidi="fr-FR"/>
        </w:rPr>
        <w:t>l</w:t>
      </w:r>
      <w:r w:rsidRPr="00011A46">
        <w:rPr>
          <w:lang w:eastAsia="fr-FR" w:bidi="fr-FR"/>
        </w:rPr>
        <w:t>les ils hésiteraient à admettre des immigrants, s'ils étaient à la pl</w:t>
      </w:r>
      <w:r w:rsidRPr="00011A46">
        <w:rPr>
          <w:lang w:eastAsia="fr-FR" w:bidi="fr-FR"/>
        </w:rPr>
        <w:t>a</w:t>
      </w:r>
      <w:r w:rsidRPr="00011A46">
        <w:rPr>
          <w:lang w:eastAsia="fr-FR" w:bidi="fr-FR"/>
        </w:rPr>
        <w:t>ce du gouvernement, ils soulignaient que les originaires des pays arabes in</w:t>
      </w:r>
      <w:r w:rsidRPr="00011A46">
        <w:rPr>
          <w:lang w:eastAsia="fr-FR" w:bidi="fr-FR"/>
        </w:rPr>
        <w:t>s</w:t>
      </w:r>
      <w:r w:rsidRPr="00011A46">
        <w:rPr>
          <w:lang w:eastAsia="fr-FR" w:bidi="fr-FR"/>
        </w:rPr>
        <w:t>pirent le plus de craintes, malgré le fait qu'aucun répondant n'ait référé à la religion comme critère de sélection. Ils sont suivis par ceux d'Amérique centrale/d'Haïti, d'Asie et d'Amérique du Sud, d'Amérique du Nord et d'Afrique.</w:t>
      </w:r>
    </w:p>
    <w:p w:rsidR="00B7214C" w:rsidRPr="00011A46" w:rsidRDefault="00B7214C" w:rsidP="00B7214C">
      <w:pPr>
        <w:spacing w:before="120" w:after="120"/>
        <w:jc w:val="both"/>
      </w:pPr>
      <w:r w:rsidRPr="00011A46">
        <w:rPr>
          <w:lang w:eastAsia="fr-FR" w:bidi="fr-FR"/>
        </w:rPr>
        <w:t>La grande majorité des répondants (73</w:t>
      </w:r>
      <w:r>
        <w:rPr>
          <w:lang w:eastAsia="fr-FR" w:bidi="fr-FR"/>
        </w:rPr>
        <w:t>%</w:t>
      </w:r>
      <w:r w:rsidRPr="00011A46">
        <w:rPr>
          <w:lang w:eastAsia="fr-FR" w:bidi="fr-FR"/>
        </w:rPr>
        <w:t>) pensent qu'il y a discr</w:t>
      </w:r>
      <w:r w:rsidRPr="00011A46">
        <w:rPr>
          <w:lang w:eastAsia="fr-FR" w:bidi="fr-FR"/>
        </w:rPr>
        <w:t>i</w:t>
      </w:r>
      <w:r w:rsidRPr="00011A46">
        <w:rPr>
          <w:lang w:eastAsia="fr-FR" w:bidi="fr-FR"/>
        </w:rPr>
        <w:t>mination envers les immigrants sur le marché de l'emploi qu'ils inf</w:t>
      </w:r>
      <w:r w:rsidRPr="00011A46">
        <w:rPr>
          <w:lang w:eastAsia="fr-FR" w:bidi="fr-FR"/>
        </w:rPr>
        <w:t>è</w:t>
      </w:r>
      <w:r w:rsidRPr="00011A46">
        <w:rPr>
          <w:lang w:eastAsia="fr-FR" w:bidi="fr-FR"/>
        </w:rPr>
        <w:t>rent aux préjugés et, rarement, au manque de compétences profe</w:t>
      </w:r>
      <w:r w:rsidRPr="00011A46">
        <w:rPr>
          <w:lang w:eastAsia="fr-FR" w:bidi="fr-FR"/>
        </w:rPr>
        <w:t>s</w:t>
      </w:r>
      <w:r w:rsidRPr="00011A46">
        <w:rPr>
          <w:lang w:eastAsia="fr-FR" w:bidi="fr-FR"/>
        </w:rPr>
        <w:t>sionnelles. La majorité (53</w:t>
      </w:r>
      <w:r>
        <w:rPr>
          <w:lang w:eastAsia="fr-FR" w:bidi="fr-FR"/>
        </w:rPr>
        <w:t>%</w:t>
      </w:r>
      <w:r w:rsidRPr="00011A46">
        <w:rPr>
          <w:lang w:eastAsia="fr-FR" w:bidi="fr-FR"/>
        </w:rPr>
        <w:t>) se dit en faveur de programmes d'équ</w:t>
      </w:r>
      <w:r w:rsidRPr="00011A46">
        <w:rPr>
          <w:lang w:eastAsia="fr-FR" w:bidi="fr-FR"/>
        </w:rPr>
        <w:t>i</w:t>
      </w:r>
      <w:r w:rsidRPr="00011A46">
        <w:rPr>
          <w:lang w:eastAsia="fr-FR" w:bidi="fr-FR"/>
        </w:rPr>
        <w:t>té dans l'emploi, tant dans la fonction publique que dans leur propre m</w:t>
      </w:r>
      <w:r w:rsidRPr="00011A46">
        <w:rPr>
          <w:lang w:eastAsia="fr-FR" w:bidi="fr-FR"/>
        </w:rPr>
        <w:t>i</w:t>
      </w:r>
      <w:r w:rsidRPr="00011A46">
        <w:rPr>
          <w:lang w:eastAsia="fr-FR" w:bidi="fr-FR"/>
        </w:rPr>
        <w:t>lieu de travail. To</w:t>
      </w:r>
      <w:r w:rsidRPr="00011A46">
        <w:rPr>
          <w:lang w:eastAsia="fr-FR" w:bidi="fr-FR"/>
        </w:rPr>
        <w:t>u</w:t>
      </w:r>
      <w:r w:rsidRPr="00011A46">
        <w:rPr>
          <w:lang w:eastAsia="fr-FR" w:bidi="fr-FR"/>
        </w:rPr>
        <w:t>tefois, il y a quasi-unanimité (96</w:t>
      </w:r>
      <w:r>
        <w:rPr>
          <w:lang w:eastAsia="fr-FR" w:bidi="fr-FR"/>
        </w:rPr>
        <w:t>%</w:t>
      </w:r>
      <w:r w:rsidRPr="00011A46">
        <w:rPr>
          <w:lang w:eastAsia="fr-FR" w:bidi="fr-FR"/>
        </w:rPr>
        <w:t xml:space="preserve">) à appuyer une plus forte représentation d'agents </w:t>
      </w:r>
      <w:r w:rsidRPr="00011A46">
        <w:t>« </w:t>
      </w:r>
      <w:r w:rsidRPr="00011A46">
        <w:rPr>
          <w:lang w:eastAsia="fr-FR" w:bidi="fr-FR"/>
        </w:rPr>
        <w:t>ethniques</w:t>
      </w:r>
      <w:r w:rsidRPr="00011A46">
        <w:t> »</w:t>
      </w:r>
      <w:r w:rsidRPr="00011A46">
        <w:rPr>
          <w:lang w:eastAsia="fr-FR" w:bidi="fr-FR"/>
        </w:rPr>
        <w:t xml:space="preserve"> dans les forces polici</w:t>
      </w:r>
      <w:r w:rsidRPr="00011A46">
        <w:rPr>
          <w:lang w:eastAsia="fr-FR" w:bidi="fr-FR"/>
        </w:rPr>
        <w:t>è</w:t>
      </w:r>
      <w:r w:rsidRPr="00011A46">
        <w:rPr>
          <w:lang w:eastAsia="fr-FR" w:bidi="fr-FR"/>
        </w:rPr>
        <w:t>res. Ces perceptions du public dénotent une certaine crainte envers les Arabes et les Noirs tout autant que le souci d'éviter des d</w:t>
      </w:r>
      <w:r w:rsidRPr="00011A46">
        <w:rPr>
          <w:lang w:eastAsia="fr-FR" w:bidi="fr-FR"/>
        </w:rPr>
        <w:t>é</w:t>
      </w:r>
      <w:r w:rsidRPr="00011A46">
        <w:rPr>
          <w:lang w:eastAsia="fr-FR" w:bidi="fr-FR"/>
        </w:rPr>
        <w:t>bordements par des mesures administratives, nota</w:t>
      </w:r>
      <w:r w:rsidRPr="00011A46">
        <w:rPr>
          <w:lang w:eastAsia="fr-FR" w:bidi="fr-FR"/>
        </w:rPr>
        <w:t>m</w:t>
      </w:r>
      <w:r w:rsidRPr="00011A46">
        <w:rPr>
          <w:lang w:eastAsia="fr-FR" w:bidi="fr-FR"/>
        </w:rPr>
        <w:t>ment dans le corps policier, mais aussi par des restrictions à l'immigration de certains groupes.</w:t>
      </w:r>
    </w:p>
    <w:p w:rsidR="00B7214C" w:rsidRDefault="00B7214C" w:rsidP="00B7214C">
      <w:pPr>
        <w:spacing w:before="120" w:after="120"/>
        <w:jc w:val="both"/>
        <w:rPr>
          <w:lang w:eastAsia="fr-FR" w:bidi="fr-FR"/>
        </w:rPr>
      </w:pPr>
    </w:p>
    <w:p w:rsidR="00B7214C" w:rsidRPr="00BB7297" w:rsidRDefault="00B7214C" w:rsidP="00B7214C">
      <w:pPr>
        <w:pStyle w:val="b"/>
      </w:pPr>
      <w:r w:rsidRPr="00BB7297">
        <w:rPr>
          <w:lang w:eastAsia="fr-FR" w:bidi="fr-FR"/>
        </w:rPr>
        <w:t>Le discours des élites</w:t>
      </w:r>
      <w:r>
        <w:rPr>
          <w:lang w:eastAsia="fr-FR" w:bidi="fr-FR"/>
        </w:rPr>
        <w:br/>
      </w:r>
      <w:r w:rsidRPr="00BB7297">
        <w:rPr>
          <w:lang w:eastAsia="fr-FR" w:bidi="fr-FR"/>
        </w:rPr>
        <w:t>à Montréal et à Toronto</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Nous avons interrogé selon un même protocole d'entrevue une qu</w:t>
      </w:r>
      <w:r w:rsidRPr="00011A46">
        <w:rPr>
          <w:lang w:eastAsia="fr-FR" w:bidi="fr-FR"/>
        </w:rPr>
        <w:t>a</w:t>
      </w:r>
      <w:r w:rsidRPr="00011A46">
        <w:rPr>
          <w:lang w:eastAsia="fr-FR" w:bidi="fr-FR"/>
        </w:rPr>
        <w:t>rantaine de représentants de divers secteurs publics et privés, à Mo</w:t>
      </w:r>
      <w:r w:rsidRPr="00011A46">
        <w:rPr>
          <w:lang w:eastAsia="fr-FR" w:bidi="fr-FR"/>
        </w:rPr>
        <w:t>n</w:t>
      </w:r>
      <w:r w:rsidRPr="00011A46">
        <w:rPr>
          <w:lang w:eastAsia="fr-FR" w:bidi="fr-FR"/>
        </w:rPr>
        <w:t>tréal et à Toronto. Ils ou elles sont décideurs politiques, représentants du patronat, des syndicats ou d'associations communautaires, univers</w:t>
      </w:r>
      <w:r w:rsidRPr="00011A46">
        <w:rPr>
          <w:lang w:eastAsia="fr-FR" w:bidi="fr-FR"/>
        </w:rPr>
        <w:t>i</w:t>
      </w:r>
      <w:r w:rsidRPr="00011A46">
        <w:rPr>
          <w:lang w:eastAsia="fr-FR" w:bidi="fr-FR"/>
        </w:rPr>
        <w:t xml:space="preserve">taires ou journalistes. Il faut noter cependant la proportion importante de responsables administratifs de ces programmes qui sont issus eux-mêmes d'un des groupes </w:t>
      </w:r>
      <w:r w:rsidRPr="00011A46">
        <w:t>« </w:t>
      </w:r>
      <w:r w:rsidRPr="00011A46">
        <w:rPr>
          <w:lang w:eastAsia="fr-FR" w:bidi="fr-FR"/>
        </w:rPr>
        <w:t>visibles</w:t>
      </w:r>
      <w:r w:rsidRPr="00011A46">
        <w:t> »</w:t>
      </w:r>
      <w:r w:rsidRPr="00011A46">
        <w:rPr>
          <w:lang w:eastAsia="fr-FR" w:bidi="fr-FR"/>
        </w:rPr>
        <w:t>, en dépit de notre sélection da</w:t>
      </w:r>
      <w:r w:rsidRPr="00011A46">
        <w:rPr>
          <w:lang w:eastAsia="fr-FR" w:bidi="fr-FR"/>
        </w:rPr>
        <w:t>l</w:t>
      </w:r>
      <w:r w:rsidRPr="00011A46">
        <w:rPr>
          <w:lang w:eastAsia="fr-FR" w:bidi="fr-FR"/>
        </w:rPr>
        <w:t>tonienne des répondants</w:t>
      </w:r>
      <w:r>
        <w:rPr>
          <w:lang w:eastAsia="fr-FR" w:bidi="fr-FR"/>
        </w:rPr>
        <w:t> </w:t>
      </w:r>
      <w:r>
        <w:rPr>
          <w:rStyle w:val="Appelnotedebasdep"/>
          <w:lang w:eastAsia="fr-FR" w:bidi="fr-FR"/>
        </w:rPr>
        <w:footnoteReference w:id="343"/>
      </w:r>
      <w:r w:rsidRPr="00011A46">
        <w:rPr>
          <w:lang w:eastAsia="fr-FR" w:bidi="fr-FR"/>
        </w:rPr>
        <w:t>.</w:t>
      </w:r>
    </w:p>
    <w:p w:rsidR="00B7214C" w:rsidRPr="00011A46" w:rsidRDefault="00B7214C" w:rsidP="00B7214C">
      <w:pPr>
        <w:spacing w:before="120" w:after="120"/>
        <w:jc w:val="both"/>
      </w:pPr>
      <w:r w:rsidRPr="00011A46">
        <w:rPr>
          <w:lang w:eastAsia="fr-FR" w:bidi="fr-FR"/>
        </w:rPr>
        <w:t>L'analyse du discours de nos interlocuteurs montre que leurs pe</w:t>
      </w:r>
      <w:r w:rsidRPr="00011A46">
        <w:rPr>
          <w:lang w:eastAsia="fr-FR" w:bidi="fr-FR"/>
        </w:rPr>
        <w:t>r</w:t>
      </w:r>
      <w:r w:rsidRPr="00011A46">
        <w:rPr>
          <w:lang w:eastAsia="fr-FR" w:bidi="fr-FR"/>
        </w:rPr>
        <w:t>ceptions sont marquées par la prudence, l'utilitarisme et la raison ge</w:t>
      </w:r>
      <w:r w:rsidRPr="00011A46">
        <w:rPr>
          <w:lang w:eastAsia="fr-FR" w:bidi="fr-FR"/>
        </w:rPr>
        <w:t>s</w:t>
      </w:r>
      <w:r w:rsidRPr="00011A46">
        <w:rPr>
          <w:lang w:eastAsia="fr-FR" w:bidi="fr-FR"/>
        </w:rPr>
        <w:t xml:space="preserve">tionnaire. La plupart des répondants appuyent </w:t>
      </w:r>
      <w:r w:rsidRPr="00011A46">
        <w:t>« </w:t>
      </w:r>
      <w:r w:rsidRPr="00011A46">
        <w:rPr>
          <w:lang w:eastAsia="fr-FR" w:bidi="fr-FR"/>
        </w:rPr>
        <w:t>philosophiquement</w:t>
      </w:r>
      <w:r w:rsidRPr="00011A46">
        <w:t> »</w:t>
      </w:r>
      <w:r w:rsidRPr="00011A46">
        <w:rPr>
          <w:lang w:eastAsia="fr-FR" w:bidi="fr-FR"/>
        </w:rPr>
        <w:t xml:space="preserve"> l'action positive au nom des Chartes. Ils revendiquent - à l'instar du public montréalais - une plus grande représentation de minoritaires dans le système</w:t>
      </w:r>
      <w:r>
        <w:rPr>
          <w:lang w:eastAsia="fr-FR" w:bidi="fr-FR"/>
        </w:rPr>
        <w:t xml:space="preserve"> </w:t>
      </w:r>
      <w:r>
        <w:t>[</w:t>
      </w:r>
      <w:r w:rsidRPr="00011A46">
        <w:rPr>
          <w:lang w:eastAsia="fr-FR" w:bidi="fr-FR"/>
        </w:rPr>
        <w:t>443</w:t>
      </w:r>
      <w:r>
        <w:rPr>
          <w:lang w:eastAsia="fr-FR" w:bidi="fr-FR"/>
        </w:rPr>
        <w:t xml:space="preserve">] </w:t>
      </w:r>
      <w:r w:rsidRPr="00011A46">
        <w:rPr>
          <w:lang w:eastAsia="fr-FR" w:bidi="fr-FR"/>
        </w:rPr>
        <w:t>policier. Le discours de validation de ces pr</w:t>
      </w:r>
      <w:r w:rsidRPr="00011A46">
        <w:rPr>
          <w:lang w:eastAsia="fr-FR" w:bidi="fr-FR"/>
        </w:rPr>
        <w:t>o</w:t>
      </w:r>
      <w:r w:rsidRPr="00011A46">
        <w:rPr>
          <w:lang w:eastAsia="fr-FR" w:bidi="fr-FR"/>
        </w:rPr>
        <w:t>grammes, plus ou moins stéréotypé au départ, variera au fil des que</w:t>
      </w:r>
      <w:r w:rsidRPr="00011A46">
        <w:rPr>
          <w:lang w:eastAsia="fr-FR" w:bidi="fr-FR"/>
        </w:rPr>
        <w:t>s</w:t>
      </w:r>
      <w:r w:rsidRPr="00011A46">
        <w:rPr>
          <w:lang w:eastAsia="fr-FR" w:bidi="fr-FR"/>
        </w:rPr>
        <w:t>tions et fera ressortir quelques dilemmes que pose l'universalisme pa</w:t>
      </w:r>
      <w:r w:rsidRPr="00011A46">
        <w:rPr>
          <w:lang w:eastAsia="fr-FR" w:bidi="fr-FR"/>
        </w:rPr>
        <w:t>r</w:t>
      </w:r>
      <w:r w:rsidRPr="00011A46">
        <w:rPr>
          <w:lang w:eastAsia="fr-FR" w:bidi="fr-FR"/>
        </w:rPr>
        <w:t>ticularisé. Ils distinguent tantôt le Canada des États-Unis, tout en év</w:t>
      </w:r>
      <w:r w:rsidRPr="00011A46">
        <w:rPr>
          <w:lang w:eastAsia="fr-FR" w:bidi="fr-FR"/>
        </w:rPr>
        <w:t>o</w:t>
      </w:r>
      <w:r w:rsidRPr="00011A46">
        <w:rPr>
          <w:lang w:eastAsia="fr-FR" w:bidi="fr-FR"/>
        </w:rPr>
        <w:t>quant le spectre de centres-villes abando</w:t>
      </w:r>
      <w:r w:rsidRPr="00011A46">
        <w:rPr>
          <w:lang w:eastAsia="fr-FR" w:bidi="fr-FR"/>
        </w:rPr>
        <w:t>n</w:t>
      </w:r>
      <w:r w:rsidRPr="00011A46">
        <w:rPr>
          <w:lang w:eastAsia="fr-FR" w:bidi="fr-FR"/>
        </w:rPr>
        <w:t>nés, de quartiers urbains qui font peur, sinon d'émeutes raci</w:t>
      </w:r>
      <w:r w:rsidRPr="00011A46">
        <w:rPr>
          <w:lang w:eastAsia="fr-FR" w:bidi="fr-FR"/>
        </w:rPr>
        <w:t>a</w:t>
      </w:r>
      <w:r w:rsidRPr="00011A46">
        <w:rPr>
          <w:lang w:eastAsia="fr-FR" w:bidi="fr-FR"/>
        </w:rPr>
        <w:t>les.</w:t>
      </w:r>
    </w:p>
    <w:p w:rsidR="00B7214C" w:rsidRPr="00011A46" w:rsidRDefault="00B7214C" w:rsidP="00B7214C">
      <w:pPr>
        <w:spacing w:before="120" w:after="120"/>
        <w:jc w:val="both"/>
      </w:pPr>
      <w:r w:rsidRPr="00011A46">
        <w:rPr>
          <w:lang w:eastAsia="fr-FR" w:bidi="fr-FR"/>
        </w:rPr>
        <w:t>Chez les répondants de la fonction publique québécoise, la justif</w:t>
      </w:r>
      <w:r w:rsidRPr="00011A46">
        <w:rPr>
          <w:lang w:eastAsia="fr-FR" w:bidi="fr-FR"/>
        </w:rPr>
        <w:t>i</w:t>
      </w:r>
      <w:r w:rsidRPr="00011A46">
        <w:rPr>
          <w:lang w:eastAsia="fr-FR" w:bidi="fr-FR"/>
        </w:rPr>
        <w:t>cation de l'action positive tient moins à la culpabilité qu'à la légalité formelle et à la pratique, tandis que certains et l'ensemble des interl</w:t>
      </w:r>
      <w:r w:rsidRPr="00011A46">
        <w:rPr>
          <w:lang w:eastAsia="fr-FR" w:bidi="fr-FR"/>
        </w:rPr>
        <w:t>o</w:t>
      </w:r>
      <w:r w:rsidRPr="00011A46">
        <w:rPr>
          <w:lang w:eastAsia="fr-FR" w:bidi="fr-FR"/>
        </w:rPr>
        <w:t>cuteurs à Toronto rappellent la discr</w:t>
      </w:r>
      <w:r w:rsidRPr="00011A46">
        <w:rPr>
          <w:lang w:eastAsia="fr-FR" w:bidi="fr-FR"/>
        </w:rPr>
        <w:t>i</w:t>
      </w:r>
      <w:r w:rsidRPr="00011A46">
        <w:rPr>
          <w:lang w:eastAsia="fr-FR" w:bidi="fr-FR"/>
        </w:rPr>
        <w:t>mination historique envers les autochtones, les femmes, mais aussi des groupes établis au Canada depuis longtemps</w:t>
      </w:r>
      <w:r w:rsidRPr="00011A46">
        <w:t> :</w:t>
      </w:r>
      <w:r w:rsidRPr="00011A46">
        <w:rPr>
          <w:lang w:eastAsia="fr-FR" w:bidi="fr-FR"/>
        </w:rPr>
        <w:t xml:space="preserve"> </w:t>
      </w:r>
      <w:r w:rsidRPr="00011A46">
        <w:t>« </w:t>
      </w:r>
      <w:r w:rsidRPr="00011A46">
        <w:rPr>
          <w:lang w:eastAsia="fr-FR" w:bidi="fr-FR"/>
        </w:rPr>
        <w:t>Les Chinois, les Noirs anglophones... ce sont des communautés assez anciennes, de deux ou trois générations. Et quelle que soit la durée de leur présence au Canada, par le fait qu'ils sont des minorités visibles, ils n'échapperont jamais à une certaine étiquette de nouveaux venus. Il faut qu'ils fassent la preuve qu'ils sont vraiment Canadiens</w:t>
      </w:r>
      <w:r w:rsidRPr="00011A46">
        <w:t> »</w:t>
      </w:r>
      <w:r w:rsidRPr="00011A46">
        <w:rPr>
          <w:lang w:eastAsia="fr-FR" w:bidi="fr-FR"/>
        </w:rPr>
        <w:t>. L'exclusion produit du ressentiment et une quête de lég</w:t>
      </w:r>
      <w:r w:rsidRPr="00011A46">
        <w:rPr>
          <w:lang w:eastAsia="fr-FR" w:bidi="fr-FR"/>
        </w:rPr>
        <w:t>i</w:t>
      </w:r>
      <w:r w:rsidRPr="00011A46">
        <w:rPr>
          <w:lang w:eastAsia="fr-FR" w:bidi="fr-FR"/>
        </w:rPr>
        <w:t>timité historique, dira en sub</w:t>
      </w:r>
      <w:r w:rsidRPr="00011A46">
        <w:rPr>
          <w:lang w:eastAsia="fr-FR" w:bidi="fr-FR"/>
        </w:rPr>
        <w:t>s</w:t>
      </w:r>
      <w:r w:rsidRPr="00011A46">
        <w:rPr>
          <w:lang w:eastAsia="fr-FR" w:bidi="fr-FR"/>
        </w:rPr>
        <w:t>tance un fonctionnaire québécois</w:t>
      </w:r>
      <w:r w:rsidRPr="00011A46">
        <w:t> :</w:t>
      </w:r>
      <w:r w:rsidRPr="00011A46">
        <w:rPr>
          <w:lang w:eastAsia="fr-FR" w:bidi="fr-FR"/>
        </w:rPr>
        <w:t xml:space="preserve"> </w:t>
      </w:r>
      <w:r w:rsidRPr="00011A46">
        <w:t>« </w:t>
      </w:r>
      <w:r w:rsidRPr="00011A46">
        <w:rPr>
          <w:lang w:eastAsia="fr-FR" w:bidi="fr-FR"/>
        </w:rPr>
        <w:t>Toutes les communa</w:t>
      </w:r>
      <w:r w:rsidRPr="00011A46">
        <w:rPr>
          <w:lang w:eastAsia="fr-FR" w:bidi="fr-FR"/>
        </w:rPr>
        <w:t>u</w:t>
      </w:r>
      <w:r w:rsidRPr="00011A46">
        <w:rPr>
          <w:lang w:eastAsia="fr-FR" w:bidi="fr-FR"/>
        </w:rPr>
        <w:t>tés, anciennes et récentes, essayent de plus en plus d'acquérir une certaine ancienneté. Les Italiens, par exemple, qui sont arrivés en général au milieu du siècle, ils vont vous dire qu'il y avait des Italiens dans le premier régiment qui était avec Samuel de Champlain ici. Et parlez aux Noirs anglophones, nés ici depuis des siècles, ils vont vous dire que l'interprète de Champlain était Mathieu Lacosta. Pourquoi est-ce qu'ils le font tous</w:t>
      </w:r>
      <w:r w:rsidRPr="00011A46">
        <w:t> ?</w:t>
      </w:r>
      <w:r w:rsidRPr="00011A46">
        <w:rPr>
          <w:lang w:eastAsia="fr-FR" w:bidi="fr-FR"/>
        </w:rPr>
        <w:t xml:space="preserve"> Parce que dans un pays comme le Canada - qui est un pays extrêmement jeune, d'immigration récente pour tous, à part quelques générations, mais ce n'est rien dans la vie d'un peuple - on essaie de placer des strates afin d'avoir une ce</w:t>
      </w:r>
      <w:r w:rsidRPr="00011A46">
        <w:rPr>
          <w:lang w:eastAsia="fr-FR" w:bidi="fr-FR"/>
        </w:rPr>
        <w:t>r</w:t>
      </w:r>
      <w:r w:rsidRPr="00011A46">
        <w:rPr>
          <w:lang w:eastAsia="fr-FR" w:bidi="fr-FR"/>
        </w:rPr>
        <w:t>taine légitimité vis-à-vis des autres.</w:t>
      </w:r>
      <w:r w:rsidRPr="00011A46">
        <w:t> »</w:t>
      </w:r>
    </w:p>
    <w:p w:rsidR="00B7214C" w:rsidRPr="00011A46" w:rsidRDefault="00B7214C" w:rsidP="00B7214C">
      <w:pPr>
        <w:spacing w:before="120" w:after="120"/>
        <w:jc w:val="both"/>
      </w:pPr>
      <w:r w:rsidRPr="00011A46">
        <w:rPr>
          <w:lang w:eastAsia="fr-FR" w:bidi="fr-FR"/>
        </w:rPr>
        <w:t>Toutefois, interpréter la référence à la discrimination hi</w:t>
      </w:r>
      <w:r w:rsidRPr="00011A46">
        <w:rPr>
          <w:lang w:eastAsia="fr-FR" w:bidi="fr-FR"/>
        </w:rPr>
        <w:t>s</w:t>
      </w:r>
      <w:r w:rsidRPr="00011A46">
        <w:rPr>
          <w:lang w:eastAsia="fr-FR" w:bidi="fr-FR"/>
        </w:rPr>
        <w:t>torique de certains groupes n'est pas sans contradictions, n</w:t>
      </w:r>
      <w:r w:rsidRPr="00011A46">
        <w:rPr>
          <w:lang w:eastAsia="fr-FR" w:bidi="fr-FR"/>
        </w:rPr>
        <w:t>o</w:t>
      </w:r>
      <w:r w:rsidRPr="00011A46">
        <w:rPr>
          <w:lang w:eastAsia="fr-FR" w:bidi="fr-FR"/>
        </w:rPr>
        <w:t>tamment au Québec où on semble revendiquer la place pr</w:t>
      </w:r>
      <w:r w:rsidRPr="00011A46">
        <w:rPr>
          <w:lang w:eastAsia="fr-FR" w:bidi="fr-FR"/>
        </w:rPr>
        <w:t>e</w:t>
      </w:r>
      <w:r w:rsidRPr="00011A46">
        <w:rPr>
          <w:lang w:eastAsia="fr-FR" w:bidi="fr-FR"/>
        </w:rPr>
        <w:t>mière dans une sorte d'échelle de minorisation</w:t>
      </w:r>
      <w:r w:rsidRPr="00011A46">
        <w:t> :</w:t>
      </w:r>
      <w:r w:rsidRPr="00011A46">
        <w:rPr>
          <w:lang w:eastAsia="fr-FR" w:bidi="fr-FR"/>
        </w:rPr>
        <w:t xml:space="preserve"> </w:t>
      </w:r>
      <w:r w:rsidRPr="00011A46">
        <w:t>« </w:t>
      </w:r>
      <w:r w:rsidRPr="00011A46">
        <w:rPr>
          <w:lang w:eastAsia="fr-FR" w:bidi="fr-FR"/>
        </w:rPr>
        <w:t>Quand je rencontre, moi, un ou une immigrante indignée qu'il n'y ait que tant de pourcent d'immigrants, visibles ou non, dans tel ministère, eh bien, moi je leur dit</w:t>
      </w:r>
      <w:r w:rsidRPr="00011A46">
        <w:t> :</w:t>
      </w:r>
      <w:r w:rsidRPr="00011A46">
        <w:rPr>
          <w:lang w:eastAsia="fr-FR" w:bidi="fr-FR"/>
        </w:rPr>
        <w:t xml:space="preserve"> écoutez, ma famille est ici depuis 350 ans, des deux côtés, du côté de ma mère et de mon père, et nous sommes bien conscients qu'il n'y a jamais eu la propo</w:t>
      </w:r>
      <w:r w:rsidRPr="00011A46">
        <w:rPr>
          <w:lang w:eastAsia="fr-FR" w:bidi="fr-FR"/>
        </w:rPr>
        <w:t>r</w:t>
      </w:r>
      <w:r w:rsidRPr="00011A46">
        <w:rPr>
          <w:lang w:eastAsia="fr-FR" w:bidi="fr-FR"/>
        </w:rPr>
        <w:t>tion qu'il fallait de Canadiens-français dans la fonction publique féd</w:t>
      </w:r>
      <w:r w:rsidRPr="00011A46">
        <w:rPr>
          <w:lang w:eastAsia="fr-FR" w:bidi="fr-FR"/>
        </w:rPr>
        <w:t>é</w:t>
      </w:r>
      <w:r w:rsidRPr="00011A46">
        <w:rPr>
          <w:lang w:eastAsia="fr-FR" w:bidi="fr-FR"/>
        </w:rPr>
        <w:t>rale</w:t>
      </w:r>
      <w:r w:rsidRPr="00011A46">
        <w:t> »</w:t>
      </w:r>
      <w:r w:rsidRPr="00011A46">
        <w:rPr>
          <w:lang w:eastAsia="fr-FR" w:bidi="fr-FR"/>
        </w:rPr>
        <w:t>. Par contre, les répondants t</w:t>
      </w:r>
      <w:r w:rsidRPr="00011A46">
        <w:rPr>
          <w:lang w:eastAsia="fr-FR" w:bidi="fr-FR"/>
        </w:rPr>
        <w:t>o</w:t>
      </w:r>
      <w:r>
        <w:rPr>
          <w:lang w:eastAsia="fr-FR" w:bidi="fr-FR"/>
        </w:rPr>
        <w:t>ron</w:t>
      </w:r>
      <w:r w:rsidRPr="00011A46">
        <w:rPr>
          <w:lang w:eastAsia="fr-FR" w:bidi="fr-FR"/>
        </w:rPr>
        <w:t>tois, s'ils admettent qu'il y ait eu une discrimination sy</w:t>
      </w:r>
      <w:r w:rsidRPr="00011A46">
        <w:rPr>
          <w:lang w:eastAsia="fr-FR" w:bidi="fr-FR"/>
        </w:rPr>
        <w:t>s</w:t>
      </w:r>
      <w:r w:rsidRPr="00011A46">
        <w:rPr>
          <w:lang w:eastAsia="fr-FR" w:bidi="fr-FR"/>
        </w:rPr>
        <w:t>témique à l'endroit des Franco-ontariens, cette minorité d</w:t>
      </w:r>
      <w:r w:rsidRPr="00011A46">
        <w:rPr>
          <w:lang w:eastAsia="fr-FR" w:bidi="fr-FR"/>
        </w:rPr>
        <w:t>e</w:t>
      </w:r>
      <w:r w:rsidRPr="00011A46">
        <w:rPr>
          <w:lang w:eastAsia="fr-FR" w:bidi="fr-FR"/>
        </w:rPr>
        <w:t>vrait jouir des mesures d'équité en emploi au même titre que les autres groupes. C'est donc dire qu'il faut situer la référe</w:t>
      </w:r>
      <w:r w:rsidRPr="00011A46">
        <w:rPr>
          <w:lang w:eastAsia="fr-FR" w:bidi="fr-FR"/>
        </w:rPr>
        <w:t>n</w:t>
      </w:r>
      <w:r w:rsidRPr="00011A46">
        <w:rPr>
          <w:lang w:eastAsia="fr-FR" w:bidi="fr-FR"/>
        </w:rPr>
        <w:t>ce historique dans le contexte du discours, avant de pouvoir déterm</w:t>
      </w:r>
      <w:r w:rsidRPr="00011A46">
        <w:rPr>
          <w:lang w:eastAsia="fr-FR" w:bidi="fr-FR"/>
        </w:rPr>
        <w:t>i</w:t>
      </w:r>
      <w:r w:rsidRPr="00011A46">
        <w:rPr>
          <w:lang w:eastAsia="fr-FR" w:bidi="fr-FR"/>
        </w:rPr>
        <w:t>ner son poids relatif dans le raisonnement justificatif d'une politique a</w:t>
      </w:r>
      <w:r w:rsidRPr="00011A46">
        <w:rPr>
          <w:lang w:eastAsia="fr-FR" w:bidi="fr-FR"/>
        </w:rPr>
        <w:t>c</w:t>
      </w:r>
      <w:r w:rsidRPr="00011A46">
        <w:rPr>
          <w:lang w:eastAsia="fr-FR" w:bidi="fr-FR"/>
        </w:rPr>
        <w:t>ceptée par tous de prime abord. Les travaux de Perelman (1970,</w:t>
      </w:r>
      <w:r>
        <w:rPr>
          <w:lang w:eastAsia="fr-FR" w:bidi="fr-FR"/>
        </w:rPr>
        <w:t xml:space="preserve"> </w:t>
      </w:r>
      <w:r w:rsidRPr="00011A46">
        <w:rPr>
          <w:lang w:eastAsia="fr-FR" w:bidi="fr-FR"/>
        </w:rPr>
        <w:t>1978)</w:t>
      </w:r>
      <w:r>
        <w:rPr>
          <w:lang w:eastAsia="fr-FR" w:bidi="fr-FR"/>
        </w:rPr>
        <w:t xml:space="preserve"> </w:t>
      </w:r>
      <w:r>
        <w:t xml:space="preserve">[444] </w:t>
      </w:r>
      <w:r w:rsidRPr="00011A46">
        <w:rPr>
          <w:lang w:eastAsia="fr-FR" w:bidi="fr-FR"/>
        </w:rPr>
        <w:t>ont par ailleurs montré l'importance de tenir compte de l'audito</w:t>
      </w:r>
      <w:r w:rsidRPr="00011A46">
        <w:rPr>
          <w:lang w:eastAsia="fr-FR" w:bidi="fr-FR"/>
        </w:rPr>
        <w:t>i</w:t>
      </w:r>
      <w:r w:rsidRPr="00011A46">
        <w:rPr>
          <w:lang w:eastAsia="fr-FR" w:bidi="fr-FR"/>
        </w:rPr>
        <w:t>re, aux attentes duquel le discours normatif s'adapte</w:t>
      </w:r>
      <w:r>
        <w:rPr>
          <w:lang w:eastAsia="fr-FR" w:bidi="fr-FR"/>
        </w:rPr>
        <w:t> </w:t>
      </w:r>
      <w:r>
        <w:rPr>
          <w:rStyle w:val="Appelnotedebasdep"/>
          <w:lang w:eastAsia="fr-FR" w:bidi="fr-FR"/>
        </w:rPr>
        <w:footnoteReference w:id="344"/>
      </w:r>
      <w:r w:rsidRPr="00011A46">
        <w:rPr>
          <w:lang w:eastAsia="fr-FR" w:bidi="fr-FR"/>
        </w:rPr>
        <w:t>. Une telle perspect</w:t>
      </w:r>
      <w:r w:rsidRPr="00011A46">
        <w:rPr>
          <w:lang w:eastAsia="fr-FR" w:bidi="fr-FR"/>
        </w:rPr>
        <w:t>i</w:t>
      </w:r>
      <w:r w:rsidRPr="00011A46">
        <w:rPr>
          <w:lang w:eastAsia="fr-FR" w:bidi="fr-FR"/>
        </w:rPr>
        <w:t>ve nous aidera éventuellement à interpréter de manière plus nuancée ce</w:t>
      </w:r>
      <w:r w:rsidRPr="00011A46">
        <w:rPr>
          <w:lang w:eastAsia="fr-FR" w:bidi="fr-FR"/>
        </w:rPr>
        <w:t>r</w:t>
      </w:r>
      <w:r w:rsidRPr="00011A46">
        <w:rPr>
          <w:lang w:eastAsia="fr-FR" w:bidi="fr-FR"/>
        </w:rPr>
        <w:t>taines contradictions apparentes.</w:t>
      </w:r>
    </w:p>
    <w:p w:rsidR="00B7214C" w:rsidRPr="00011A46" w:rsidRDefault="00B7214C" w:rsidP="00B7214C">
      <w:pPr>
        <w:spacing w:before="120" w:after="120"/>
        <w:jc w:val="both"/>
      </w:pPr>
      <w:r w:rsidRPr="00011A46">
        <w:rPr>
          <w:lang w:eastAsia="fr-FR" w:bidi="fr-FR"/>
        </w:rPr>
        <w:t>La responsabilité historique du pays d'accueil est rarement étayée, tandis que la discrimination latente ou manifeste sur le marché de l'emploi et du logement exige des mesures préventives. Tout en a</w:t>
      </w:r>
      <w:r w:rsidRPr="00011A46">
        <w:rPr>
          <w:lang w:eastAsia="fr-FR" w:bidi="fr-FR"/>
        </w:rPr>
        <w:t>d</w:t>
      </w:r>
      <w:r w:rsidRPr="00011A46">
        <w:rPr>
          <w:lang w:eastAsia="fr-FR" w:bidi="fr-FR"/>
        </w:rPr>
        <w:t>mettant que leur situation ne soit pas au</w:t>
      </w:r>
      <w:r w:rsidRPr="00011A46">
        <w:rPr>
          <w:lang w:eastAsia="fr-FR" w:bidi="fr-FR"/>
        </w:rPr>
        <w:t>s</w:t>
      </w:r>
      <w:r w:rsidRPr="00011A46">
        <w:rPr>
          <w:lang w:eastAsia="fr-FR" w:bidi="fr-FR"/>
        </w:rPr>
        <w:t>si dramatique que celle des Noirs américains, les représe</w:t>
      </w:r>
      <w:r w:rsidRPr="00011A46">
        <w:rPr>
          <w:lang w:eastAsia="fr-FR" w:bidi="fr-FR"/>
        </w:rPr>
        <w:t>n</w:t>
      </w:r>
      <w:r w:rsidRPr="00011A46">
        <w:rPr>
          <w:lang w:eastAsia="fr-FR" w:bidi="fr-FR"/>
        </w:rPr>
        <w:t>tants haïtiens et vietnamiens appuient différemment la portée de l'action positive. Si les premiers la revend</w:t>
      </w:r>
      <w:r w:rsidRPr="00011A46">
        <w:rPr>
          <w:lang w:eastAsia="fr-FR" w:bidi="fr-FR"/>
        </w:rPr>
        <w:t>i</w:t>
      </w:r>
      <w:r w:rsidRPr="00011A46">
        <w:rPr>
          <w:lang w:eastAsia="fr-FR" w:bidi="fr-FR"/>
        </w:rPr>
        <w:t>quent au nom d'une justice prospective</w:t>
      </w:r>
      <w:r w:rsidRPr="00011A46">
        <w:t> :</w:t>
      </w:r>
      <w:r w:rsidRPr="00011A46">
        <w:rPr>
          <w:lang w:eastAsia="fr-FR" w:bidi="fr-FR"/>
        </w:rPr>
        <w:t xml:space="preserve"> </w:t>
      </w:r>
      <w:r w:rsidRPr="00011A46">
        <w:t>« </w:t>
      </w:r>
      <w:r w:rsidRPr="00011A46">
        <w:rPr>
          <w:lang w:eastAsia="fr-FR" w:bidi="fr-FR"/>
        </w:rPr>
        <w:t>Est-ce qu'on devrait manger tous une claque, avant, et puis après, on pourrait avoir de la discrim</w:t>
      </w:r>
      <w:r w:rsidRPr="00011A46">
        <w:rPr>
          <w:lang w:eastAsia="fr-FR" w:bidi="fr-FR"/>
        </w:rPr>
        <w:t>i</w:t>
      </w:r>
      <w:r w:rsidRPr="00011A46">
        <w:rPr>
          <w:lang w:eastAsia="fr-FR" w:bidi="fr-FR"/>
        </w:rPr>
        <w:t>nation positive</w:t>
      </w:r>
      <w:r w:rsidRPr="00011A46">
        <w:t> ? »</w:t>
      </w:r>
      <w:r w:rsidRPr="00011A46">
        <w:rPr>
          <w:lang w:eastAsia="fr-FR" w:bidi="fr-FR"/>
        </w:rPr>
        <w:t>, les seconds craignent une réaction des majorita</w:t>
      </w:r>
      <w:r w:rsidRPr="00011A46">
        <w:rPr>
          <w:lang w:eastAsia="fr-FR" w:bidi="fr-FR"/>
        </w:rPr>
        <w:t>i</w:t>
      </w:r>
      <w:r w:rsidRPr="00011A46">
        <w:rPr>
          <w:lang w:eastAsia="fr-FR" w:bidi="fr-FR"/>
        </w:rPr>
        <w:t>res.</w:t>
      </w:r>
    </w:p>
    <w:p w:rsidR="00B7214C" w:rsidRPr="00011A46" w:rsidRDefault="00B7214C" w:rsidP="00B7214C">
      <w:pPr>
        <w:spacing w:before="120" w:after="120"/>
        <w:jc w:val="both"/>
      </w:pPr>
      <w:r w:rsidRPr="00011A46">
        <w:rPr>
          <w:lang w:eastAsia="fr-FR" w:bidi="fr-FR"/>
        </w:rPr>
        <w:t>Interpelés à pondérer entre avantages et risques de l'in</w:t>
      </w:r>
      <w:r w:rsidRPr="00011A46">
        <w:rPr>
          <w:lang w:eastAsia="fr-FR" w:bidi="fr-FR"/>
        </w:rPr>
        <w:t>s</w:t>
      </w:r>
      <w:r w:rsidRPr="00011A46">
        <w:rPr>
          <w:lang w:eastAsia="fr-FR" w:bidi="fr-FR"/>
        </w:rPr>
        <w:t>tauration de ces programmes, ils s'attardent peu sur les ava</w:t>
      </w:r>
      <w:r w:rsidRPr="00011A46">
        <w:rPr>
          <w:lang w:eastAsia="fr-FR" w:bidi="fr-FR"/>
        </w:rPr>
        <w:t>n</w:t>
      </w:r>
      <w:r w:rsidRPr="00011A46">
        <w:rPr>
          <w:lang w:eastAsia="fr-FR" w:bidi="fr-FR"/>
        </w:rPr>
        <w:t>tages qui iraient de soi, sauf pour plusieurs répondants de la communauté vietnamienne. Les arguments d'une meilleure planification macro-économique et des coûts sociaux du sous-emploi, voire de la discrimination, sont notifiés. Tout aussi fréquent est l'argument de la paix et de l'harmonie s</w:t>
      </w:r>
      <w:r w:rsidRPr="00011A46">
        <w:rPr>
          <w:lang w:eastAsia="fr-FR" w:bidi="fr-FR"/>
        </w:rPr>
        <w:t>o</w:t>
      </w:r>
      <w:r w:rsidRPr="00011A46">
        <w:rPr>
          <w:lang w:eastAsia="fr-FR" w:bidi="fr-FR"/>
        </w:rPr>
        <w:t>ciales dans une société complexe et diversifiée. Les risques repérés par les gestionnaires de ces programmes sont doubles. Les programmes pou</w:t>
      </w:r>
      <w:r w:rsidRPr="00011A46">
        <w:rPr>
          <w:lang w:eastAsia="fr-FR" w:bidi="fr-FR"/>
        </w:rPr>
        <w:t>r</w:t>
      </w:r>
      <w:r w:rsidRPr="00011A46">
        <w:rPr>
          <w:lang w:eastAsia="fr-FR" w:bidi="fr-FR"/>
        </w:rPr>
        <w:t>raient être mal gérés pour certains, tandis que d'autres craignent qu'ils ne modifient en rien la stratification socio-ethnique. En second lieu, ils pourraient provoquer des tensions intercommunautaires, des conflits entre employeurs et syndicats et transformer les groupes c</w:t>
      </w:r>
      <w:r w:rsidRPr="00011A46">
        <w:rPr>
          <w:lang w:eastAsia="fr-FR" w:bidi="fr-FR"/>
        </w:rPr>
        <w:t>i</w:t>
      </w:r>
      <w:r w:rsidRPr="00011A46">
        <w:rPr>
          <w:lang w:eastAsia="fr-FR" w:bidi="fr-FR"/>
        </w:rPr>
        <w:t>bles en victimes. À Montréal seulement, quelques fonctionnaires se font les porte-parole des craintes qu'ils perçoivent chez les majorita</w:t>
      </w:r>
      <w:r w:rsidRPr="00011A46">
        <w:rPr>
          <w:lang w:eastAsia="fr-FR" w:bidi="fr-FR"/>
        </w:rPr>
        <w:t>i</w:t>
      </w:r>
      <w:r w:rsidRPr="00011A46">
        <w:rPr>
          <w:lang w:eastAsia="fr-FR" w:bidi="fr-FR"/>
        </w:rPr>
        <w:t>res</w:t>
      </w:r>
      <w:r w:rsidRPr="00011A46">
        <w:t> :</w:t>
      </w:r>
      <w:r w:rsidRPr="00011A46">
        <w:rPr>
          <w:lang w:eastAsia="fr-FR" w:bidi="fr-FR"/>
        </w:rPr>
        <w:t xml:space="preserve"> </w:t>
      </w:r>
      <w:r w:rsidRPr="00011A46">
        <w:t>« </w:t>
      </w:r>
      <w:r w:rsidRPr="00011A46">
        <w:rPr>
          <w:lang w:eastAsia="fr-FR" w:bidi="fr-FR"/>
        </w:rPr>
        <w:t>Il y a une anxiété collective de plus en plus forte devant une minorisation à terme des gens de souche canadienne-française ancie</w:t>
      </w:r>
      <w:r w:rsidRPr="00011A46">
        <w:rPr>
          <w:lang w:eastAsia="fr-FR" w:bidi="fr-FR"/>
        </w:rPr>
        <w:t>n</w:t>
      </w:r>
      <w:r w:rsidRPr="00011A46">
        <w:rPr>
          <w:lang w:eastAsia="fr-FR" w:bidi="fr-FR"/>
        </w:rPr>
        <w:t>ne</w:t>
      </w:r>
      <w:r w:rsidRPr="00011A46">
        <w:t> »</w:t>
      </w:r>
      <w:r w:rsidRPr="00011A46">
        <w:rPr>
          <w:lang w:eastAsia="fr-FR" w:bidi="fr-FR"/>
        </w:rPr>
        <w:t>.</w:t>
      </w:r>
    </w:p>
    <w:p w:rsidR="00B7214C" w:rsidRDefault="00B7214C" w:rsidP="00B7214C">
      <w:pPr>
        <w:spacing w:before="120" w:after="120"/>
        <w:jc w:val="both"/>
        <w:rPr>
          <w:lang w:eastAsia="fr-FR" w:bidi="fr-FR"/>
        </w:rPr>
      </w:pPr>
      <w:r w:rsidRPr="00011A46">
        <w:rPr>
          <w:lang w:eastAsia="fr-FR" w:bidi="fr-FR"/>
        </w:rPr>
        <w:t>Le dilemme est plus explicite chez les analystes polit</w:t>
      </w:r>
      <w:r w:rsidRPr="00011A46">
        <w:rPr>
          <w:lang w:eastAsia="fr-FR" w:bidi="fr-FR"/>
        </w:rPr>
        <w:t>i</w:t>
      </w:r>
      <w:r w:rsidRPr="00011A46">
        <w:rPr>
          <w:lang w:eastAsia="fr-FR" w:bidi="fr-FR"/>
        </w:rPr>
        <w:t>ques. Un journaliste le résume ainsi</w:t>
      </w:r>
      <w:r w:rsidRPr="00011A46">
        <w:t> :</w:t>
      </w:r>
      <w:r w:rsidRPr="00011A46">
        <w:rPr>
          <w:lang w:eastAsia="fr-FR" w:bidi="fr-FR"/>
        </w:rPr>
        <w:t xml:space="preserve"> </w:t>
      </w:r>
      <w:r w:rsidRPr="00011A46">
        <w:t>« </w:t>
      </w:r>
      <w:r w:rsidRPr="00011A46">
        <w:rPr>
          <w:lang w:eastAsia="fr-FR" w:bidi="fr-FR"/>
        </w:rPr>
        <w:t>C'est un instrument qui aide quelqu'un à se sortir de la distinction négative dans laquelle on a pu l'enfermer. Mais en même temps, il se crée une autre distinction</w:t>
      </w:r>
      <w:r w:rsidRPr="00011A46">
        <w:t> :</w:t>
      </w:r>
      <w:r w:rsidRPr="00011A46">
        <w:rPr>
          <w:lang w:eastAsia="fr-FR" w:bidi="fr-FR"/>
        </w:rPr>
        <w:t xml:space="preserve"> c'est que ces gens deviennent</w:t>
      </w:r>
      <w:r>
        <w:rPr>
          <w:lang w:eastAsia="fr-FR" w:bidi="fr-FR"/>
        </w:rPr>
        <w:t xml:space="preserve"> </w:t>
      </w:r>
      <w:r w:rsidRPr="00011A46">
        <w:rPr>
          <w:lang w:eastAsia="fr-FR" w:bidi="fr-FR"/>
        </w:rPr>
        <w:t>des pupilles de l'État</w:t>
      </w:r>
      <w:r w:rsidRPr="00011A46">
        <w:rPr>
          <w:lang w:eastAsia="fr-FR" w:bidi="fr-FR"/>
        </w:rPr>
        <w:tab/>
        <w:t>et il y a danger à être le protégé de l'État.</w:t>
      </w:r>
      <w:r w:rsidRPr="00011A46">
        <w:t> »</w:t>
      </w:r>
      <w:r w:rsidRPr="00011A46">
        <w:rPr>
          <w:lang w:eastAsia="fr-FR" w:bidi="fr-FR"/>
        </w:rPr>
        <w:t xml:space="preserve"> Les</w:t>
      </w:r>
      <w:r>
        <w:rPr>
          <w:lang w:eastAsia="fr-FR" w:bidi="fr-FR"/>
        </w:rPr>
        <w:t xml:space="preserve"> </w:t>
      </w:r>
      <w:r w:rsidRPr="00011A46">
        <w:rPr>
          <w:lang w:eastAsia="fr-FR" w:bidi="fr-FR"/>
        </w:rPr>
        <w:t>répondants de la fonction publique admettent que ces mesures risquent d'être des formes de cooptation d'élites ethnocult</w:t>
      </w:r>
      <w:r w:rsidRPr="00011A46">
        <w:rPr>
          <w:lang w:eastAsia="fr-FR" w:bidi="fr-FR"/>
        </w:rPr>
        <w:t>u</w:t>
      </w:r>
      <w:r w:rsidRPr="00011A46">
        <w:rPr>
          <w:lang w:eastAsia="fr-FR" w:bidi="fr-FR"/>
        </w:rPr>
        <w:t>relles. Ce</w:t>
      </w:r>
      <w:r w:rsidRPr="00011A46">
        <w:rPr>
          <w:lang w:eastAsia="fr-FR" w:bidi="fr-FR"/>
        </w:rPr>
        <w:t>l</w:t>
      </w:r>
      <w:r w:rsidRPr="00011A46">
        <w:rPr>
          <w:lang w:eastAsia="fr-FR" w:bidi="fr-FR"/>
        </w:rPr>
        <w:t>les-ci en retour, souvent gestionnaires de ces programmes, s'en défendent au nom d'un corporatisme sym</w:t>
      </w:r>
      <w:r w:rsidRPr="00011A46">
        <w:rPr>
          <w:lang w:eastAsia="fr-FR" w:bidi="fr-FR"/>
        </w:rPr>
        <w:t>é</w:t>
      </w:r>
      <w:r w:rsidRPr="00011A46">
        <w:rPr>
          <w:lang w:eastAsia="fr-FR" w:bidi="fr-FR"/>
        </w:rPr>
        <w:t>trique</w:t>
      </w:r>
      <w:r w:rsidRPr="00011A46">
        <w:t> :</w:t>
      </w:r>
      <w:r w:rsidRPr="00011A46">
        <w:rPr>
          <w:lang w:eastAsia="fr-FR" w:bidi="fr-FR"/>
        </w:rPr>
        <w:t xml:space="preserve"> ils affirment que le mei</w:t>
      </w:r>
      <w:r w:rsidRPr="00011A46">
        <w:rPr>
          <w:lang w:eastAsia="fr-FR" w:bidi="fr-FR"/>
        </w:rPr>
        <w:t>l</w:t>
      </w:r>
      <w:r w:rsidRPr="00011A46">
        <w:rPr>
          <w:lang w:eastAsia="fr-FR" w:bidi="fr-FR"/>
        </w:rPr>
        <w:t>leur moyen pour ouvrir un système exclusif, c'est de jouer les règles du jeu des major</w:t>
      </w:r>
      <w:r w:rsidRPr="00011A46">
        <w:rPr>
          <w:lang w:eastAsia="fr-FR" w:bidi="fr-FR"/>
        </w:rPr>
        <w:t>i</w:t>
      </w:r>
      <w:r w:rsidRPr="00011A46">
        <w:rPr>
          <w:lang w:eastAsia="fr-FR" w:bidi="fr-FR"/>
        </w:rPr>
        <w:t>taires.</w:t>
      </w:r>
    </w:p>
    <w:p w:rsidR="00B7214C" w:rsidRPr="00011A46" w:rsidRDefault="00B7214C" w:rsidP="00B7214C">
      <w:pPr>
        <w:spacing w:before="120" w:after="120"/>
        <w:jc w:val="both"/>
      </w:pPr>
      <w:r>
        <w:rPr>
          <w:lang w:eastAsia="fr-FR" w:bidi="fr-FR"/>
        </w:rPr>
        <w:t>[445]</w:t>
      </w:r>
    </w:p>
    <w:p w:rsidR="00B7214C" w:rsidRPr="00011A46" w:rsidRDefault="00B7214C" w:rsidP="00B7214C">
      <w:pPr>
        <w:spacing w:before="120" w:after="120"/>
        <w:jc w:val="both"/>
      </w:pPr>
      <w:r w:rsidRPr="00011A46">
        <w:rPr>
          <w:lang w:eastAsia="fr-FR" w:bidi="fr-FR"/>
        </w:rPr>
        <w:t>Le dernier enjeu sensible est celui des quotas ou objectifs numér</w:t>
      </w:r>
      <w:r w:rsidRPr="00011A46">
        <w:rPr>
          <w:lang w:eastAsia="fr-FR" w:bidi="fr-FR"/>
        </w:rPr>
        <w:t>i</w:t>
      </w:r>
      <w:r w:rsidRPr="00011A46">
        <w:rPr>
          <w:lang w:eastAsia="fr-FR" w:bidi="fr-FR"/>
        </w:rPr>
        <w:t>ques. Rappelons que la mise en œuvre de l'action positive, pour ce</w:t>
      </w:r>
      <w:r w:rsidRPr="00011A46">
        <w:rPr>
          <w:lang w:eastAsia="fr-FR" w:bidi="fr-FR"/>
        </w:rPr>
        <w:t>r</w:t>
      </w:r>
      <w:r w:rsidRPr="00011A46">
        <w:rPr>
          <w:lang w:eastAsia="fr-FR" w:bidi="fr-FR"/>
        </w:rPr>
        <w:t>tains groupes, exige d'établir d'abord d'une manière fiable leur no</w:t>
      </w:r>
      <w:r w:rsidRPr="00011A46">
        <w:rPr>
          <w:lang w:eastAsia="fr-FR" w:bidi="fr-FR"/>
        </w:rPr>
        <w:t>m</w:t>
      </w:r>
      <w:r w:rsidRPr="00011A46">
        <w:rPr>
          <w:lang w:eastAsia="fr-FR" w:bidi="fr-FR"/>
        </w:rPr>
        <w:t>bre, par catégorie d'emploi. Ceci est à la base de l'analyse de dispon</w:t>
      </w:r>
      <w:r w:rsidRPr="00011A46">
        <w:rPr>
          <w:lang w:eastAsia="fr-FR" w:bidi="fr-FR"/>
        </w:rPr>
        <w:t>i</w:t>
      </w:r>
      <w:r w:rsidRPr="00011A46">
        <w:rPr>
          <w:lang w:eastAsia="fr-FR" w:bidi="fr-FR"/>
        </w:rPr>
        <w:t xml:space="preserve">bilité (selon les branches et les secteurs), de la preuve de </w:t>
      </w:r>
      <w:r w:rsidRPr="00011A46">
        <w:t>« </w:t>
      </w:r>
      <w:r w:rsidRPr="00011A46">
        <w:rPr>
          <w:lang w:eastAsia="fr-FR" w:bidi="fr-FR"/>
        </w:rPr>
        <w:t>sous-utilisation</w:t>
      </w:r>
      <w:r w:rsidRPr="00011A46">
        <w:t> »</w:t>
      </w:r>
      <w:r w:rsidRPr="00011A46">
        <w:rPr>
          <w:lang w:eastAsia="fr-FR" w:bidi="fr-FR"/>
        </w:rPr>
        <w:t>, voire de di</w:t>
      </w:r>
      <w:r w:rsidRPr="00011A46">
        <w:rPr>
          <w:lang w:eastAsia="fr-FR" w:bidi="fr-FR"/>
        </w:rPr>
        <w:t>s</w:t>
      </w:r>
      <w:r w:rsidRPr="00011A46">
        <w:rPr>
          <w:lang w:eastAsia="fr-FR" w:bidi="fr-FR"/>
        </w:rPr>
        <w:t xml:space="preserve">crimination, ou de bonne utilisation, voire du respect de l'obligation contractuelle ou légale. C'est donc dire que des recensements, par entreprise ou secteur gouvernemental, où l'origine ethnique ou </w:t>
      </w:r>
      <w:r w:rsidRPr="00011A46">
        <w:t>« </w:t>
      </w:r>
      <w:r w:rsidRPr="00011A46">
        <w:rPr>
          <w:lang w:eastAsia="fr-FR" w:bidi="fr-FR"/>
        </w:rPr>
        <w:t>raciale</w:t>
      </w:r>
      <w:r w:rsidRPr="00011A46">
        <w:t> »</w:t>
      </w:r>
      <w:r w:rsidRPr="00011A46">
        <w:rPr>
          <w:lang w:eastAsia="fr-FR" w:bidi="fr-FR"/>
        </w:rPr>
        <w:t xml:space="preserve"> fait l'objet de questions, do</w:t>
      </w:r>
      <w:r w:rsidRPr="00011A46">
        <w:rPr>
          <w:lang w:eastAsia="fr-FR" w:bidi="fr-FR"/>
        </w:rPr>
        <w:t>i</w:t>
      </w:r>
      <w:r w:rsidRPr="00011A46">
        <w:rPr>
          <w:lang w:eastAsia="fr-FR" w:bidi="fr-FR"/>
        </w:rPr>
        <w:t>vent précéder et accompagner l'instauration et l'évaluation des programmes. Tous les interlocuteurs majoritaires affirment la nécessité de disposer d'info</w:t>
      </w:r>
      <w:r w:rsidRPr="00011A46">
        <w:rPr>
          <w:lang w:eastAsia="fr-FR" w:bidi="fr-FR"/>
        </w:rPr>
        <w:t>r</w:t>
      </w:r>
      <w:r w:rsidRPr="00011A46">
        <w:rPr>
          <w:lang w:eastAsia="fr-FR" w:bidi="fr-FR"/>
        </w:rPr>
        <w:t>mations détaillées, tout en mentionnant la difficulté de les obtenir et le respect de ceux qui n'y souscrivent pas. Les risques de détournement d'un fichier ethnique sont évoqués, notamment par les analystes pol</w:t>
      </w:r>
      <w:r w:rsidRPr="00011A46">
        <w:rPr>
          <w:lang w:eastAsia="fr-FR" w:bidi="fr-FR"/>
        </w:rPr>
        <w:t>i</w:t>
      </w:r>
      <w:r w:rsidRPr="00011A46">
        <w:rPr>
          <w:lang w:eastAsia="fr-FR" w:bidi="fr-FR"/>
        </w:rPr>
        <w:t>tiques, tandis que gestionnaires de la fonction publ</w:t>
      </w:r>
      <w:r w:rsidRPr="00011A46">
        <w:rPr>
          <w:lang w:eastAsia="fr-FR" w:bidi="fr-FR"/>
        </w:rPr>
        <w:t>i</w:t>
      </w:r>
      <w:r w:rsidRPr="00011A46">
        <w:rPr>
          <w:lang w:eastAsia="fr-FR" w:bidi="fr-FR"/>
        </w:rPr>
        <w:t>que et du secteur privé n'y voient qu'un moindre mal. La plupart des minoritaires inte</w:t>
      </w:r>
      <w:r w:rsidRPr="00011A46">
        <w:rPr>
          <w:lang w:eastAsia="fr-FR" w:bidi="fr-FR"/>
        </w:rPr>
        <w:t>r</w:t>
      </w:r>
      <w:r w:rsidRPr="00011A46">
        <w:rPr>
          <w:lang w:eastAsia="fr-FR" w:bidi="fr-FR"/>
        </w:rPr>
        <w:t>rogés rappellent que l'exigence d'établir des fichiers complexes pou</w:t>
      </w:r>
      <w:r w:rsidRPr="00011A46">
        <w:rPr>
          <w:lang w:eastAsia="fr-FR" w:bidi="fr-FR"/>
        </w:rPr>
        <w:t>r</w:t>
      </w:r>
      <w:r w:rsidRPr="00011A46">
        <w:rPr>
          <w:lang w:eastAsia="fr-FR" w:bidi="fr-FR"/>
        </w:rPr>
        <w:t>rait n'être qu'une mesure dilatoire. Pourtant, et ils y voient une preuve de l'absence de volonté de résoudre le problème, lorsqu'il s'agit d'a</w:t>
      </w:r>
      <w:r w:rsidRPr="00011A46">
        <w:rPr>
          <w:lang w:eastAsia="fr-FR" w:bidi="fr-FR"/>
        </w:rPr>
        <w:t>p</w:t>
      </w:r>
      <w:r w:rsidRPr="00011A46">
        <w:rPr>
          <w:lang w:eastAsia="fr-FR" w:bidi="fr-FR"/>
        </w:rPr>
        <w:t>précier la composition ethnique de la population consommatrice ou électrice, des études de marché globales ne semblent pas p</w:t>
      </w:r>
      <w:r w:rsidRPr="00011A46">
        <w:rPr>
          <w:lang w:eastAsia="fr-FR" w:bidi="fr-FR"/>
        </w:rPr>
        <w:t>o</w:t>
      </w:r>
      <w:r w:rsidRPr="00011A46">
        <w:rPr>
          <w:lang w:eastAsia="fr-FR" w:bidi="fr-FR"/>
        </w:rPr>
        <w:t>ser des problèmes insurmontables</w:t>
      </w:r>
      <w:r w:rsidRPr="00011A46">
        <w:t> :</w:t>
      </w:r>
      <w:r w:rsidRPr="00011A46">
        <w:rPr>
          <w:lang w:eastAsia="fr-FR" w:bidi="fr-FR"/>
        </w:rPr>
        <w:t xml:space="preserve"> </w:t>
      </w:r>
      <w:r w:rsidRPr="00011A46">
        <w:t>« </w:t>
      </w:r>
      <w:r w:rsidRPr="00011A46">
        <w:rPr>
          <w:lang w:eastAsia="fr-FR" w:bidi="fr-FR"/>
        </w:rPr>
        <w:t>À Montréal-Nord, je ne connais pas d'homme politique qui fait sa campagne sans avoir au moins deux Haïtiens dans son équipe. Peut-être qu'il n'aura pas fait de grosses ét</w:t>
      </w:r>
      <w:r w:rsidRPr="00011A46">
        <w:rPr>
          <w:lang w:eastAsia="fr-FR" w:bidi="fr-FR"/>
        </w:rPr>
        <w:t>u</w:t>
      </w:r>
      <w:r w:rsidRPr="00011A46">
        <w:rPr>
          <w:lang w:eastAsia="fr-FR" w:bidi="fr-FR"/>
        </w:rPr>
        <w:t>des, mais il sait qu'il ferait mieux de faire attention à cet électorat. Il le fait... parce que c'est dans son intérêt... Mais il te voit absolument pas dans une position de pouvoir... Comment les hommes politiques s</w:t>
      </w:r>
      <w:r w:rsidRPr="00011A46">
        <w:rPr>
          <w:lang w:eastAsia="fr-FR" w:bidi="fr-FR"/>
        </w:rPr>
        <w:t>a</w:t>
      </w:r>
      <w:r w:rsidRPr="00011A46">
        <w:rPr>
          <w:lang w:eastAsia="fr-FR" w:bidi="fr-FR"/>
        </w:rPr>
        <w:t>vent que dans tel secteur, il te faut un Haïtien, et dans tel autre un It</w:t>
      </w:r>
      <w:r w:rsidRPr="00011A46">
        <w:rPr>
          <w:lang w:eastAsia="fr-FR" w:bidi="fr-FR"/>
        </w:rPr>
        <w:t>a</w:t>
      </w:r>
      <w:r w:rsidRPr="00011A46">
        <w:rPr>
          <w:lang w:eastAsia="fr-FR" w:bidi="fr-FR"/>
        </w:rPr>
        <w:t>lien, un Grec, un Chinois, un Vietnamien</w:t>
      </w:r>
      <w:r w:rsidRPr="00011A46">
        <w:t> ? »</w:t>
      </w:r>
    </w:p>
    <w:p w:rsidR="00B7214C" w:rsidRPr="00011A46" w:rsidRDefault="00B7214C" w:rsidP="00B7214C">
      <w:pPr>
        <w:spacing w:before="120" w:after="120"/>
        <w:jc w:val="both"/>
      </w:pPr>
      <w:r w:rsidRPr="00011A46">
        <w:rPr>
          <w:lang w:eastAsia="fr-FR" w:bidi="fr-FR"/>
        </w:rPr>
        <w:t>Mais plus fondamentale que le risque de l'utilisation des données à d'autres fins, est l'inévitable catégorisation des minoritaires que co</w:t>
      </w:r>
      <w:r w:rsidRPr="00011A46">
        <w:rPr>
          <w:lang w:eastAsia="fr-FR" w:bidi="fr-FR"/>
        </w:rPr>
        <w:t>m</w:t>
      </w:r>
      <w:r w:rsidRPr="00011A46">
        <w:rPr>
          <w:lang w:eastAsia="fr-FR" w:bidi="fr-FR"/>
        </w:rPr>
        <w:t>porte l'approche comptable de l'action p</w:t>
      </w:r>
      <w:r w:rsidRPr="00011A46">
        <w:rPr>
          <w:lang w:eastAsia="fr-FR" w:bidi="fr-FR"/>
        </w:rPr>
        <w:t>o</w:t>
      </w:r>
      <w:r w:rsidRPr="00011A46">
        <w:rPr>
          <w:lang w:eastAsia="fr-FR" w:bidi="fr-FR"/>
        </w:rPr>
        <w:t>sitive. Certains interlocuteurs majoritaires craignent une r</w:t>
      </w:r>
      <w:r w:rsidRPr="00011A46">
        <w:rPr>
          <w:lang w:eastAsia="fr-FR" w:bidi="fr-FR"/>
        </w:rPr>
        <w:t>e</w:t>
      </w:r>
      <w:r w:rsidRPr="00011A46">
        <w:rPr>
          <w:lang w:eastAsia="fr-FR" w:bidi="fr-FR"/>
        </w:rPr>
        <w:t>féodalisation du politique contraire à l'idéal démocratique, tandis que les répondants minoritaires allèguent que les r</w:t>
      </w:r>
      <w:r w:rsidRPr="00011A46">
        <w:rPr>
          <w:lang w:eastAsia="fr-FR" w:bidi="fr-FR"/>
        </w:rPr>
        <w:t>e</w:t>
      </w:r>
      <w:r w:rsidRPr="00011A46">
        <w:rPr>
          <w:lang w:eastAsia="fr-FR" w:bidi="fr-FR"/>
        </w:rPr>
        <w:t>censements et la pratique au Canada ont toujours reflété une forte conscience ethnique, contrairement au modèle amér</w:t>
      </w:r>
      <w:r w:rsidRPr="00011A46">
        <w:rPr>
          <w:lang w:eastAsia="fr-FR" w:bidi="fr-FR"/>
        </w:rPr>
        <w:t>i</w:t>
      </w:r>
      <w:r w:rsidRPr="00011A46">
        <w:rPr>
          <w:lang w:eastAsia="fr-FR" w:bidi="fr-FR"/>
        </w:rPr>
        <w:t>cain. Il reste cependant que les statistiques agrégées - bien que relativement fau</w:t>
      </w:r>
      <w:r w:rsidRPr="00011A46">
        <w:rPr>
          <w:lang w:eastAsia="fr-FR" w:bidi="fr-FR"/>
        </w:rPr>
        <w:t>s</w:t>
      </w:r>
      <w:r w:rsidRPr="00011A46">
        <w:rPr>
          <w:lang w:eastAsia="fr-FR" w:bidi="fr-FR"/>
        </w:rPr>
        <w:t>sées - forcent les gens à se définir et à être définis en termes linguist</w:t>
      </w:r>
      <w:r w:rsidRPr="00011A46">
        <w:rPr>
          <w:lang w:eastAsia="fr-FR" w:bidi="fr-FR"/>
        </w:rPr>
        <w:t>i</w:t>
      </w:r>
      <w:r w:rsidRPr="00011A46">
        <w:rPr>
          <w:lang w:eastAsia="fr-FR" w:bidi="fr-FR"/>
        </w:rPr>
        <w:t xml:space="preserve">ques, ethniques ou </w:t>
      </w:r>
      <w:r w:rsidRPr="00011A46">
        <w:t>« </w:t>
      </w:r>
      <w:r w:rsidRPr="00011A46">
        <w:rPr>
          <w:lang w:eastAsia="fr-FR" w:bidi="fr-FR"/>
        </w:rPr>
        <w:t>phénotypiques</w:t>
      </w:r>
      <w:r w:rsidRPr="00011A46">
        <w:t> » :</w:t>
      </w:r>
      <w:r w:rsidRPr="00011A46">
        <w:rPr>
          <w:lang w:eastAsia="fr-FR" w:bidi="fr-FR"/>
        </w:rPr>
        <w:t xml:space="preserve"> </w:t>
      </w:r>
      <w:r w:rsidRPr="00011A46">
        <w:t>« </w:t>
      </w:r>
      <w:r w:rsidRPr="00011A46">
        <w:rPr>
          <w:lang w:eastAsia="fr-FR" w:bidi="fr-FR"/>
        </w:rPr>
        <w:t>Moi, je n'ai pas de probl</w:t>
      </w:r>
      <w:r w:rsidRPr="00011A46">
        <w:rPr>
          <w:lang w:eastAsia="fr-FR" w:bidi="fr-FR"/>
        </w:rPr>
        <w:t>è</w:t>
      </w:r>
      <w:r w:rsidRPr="00011A46">
        <w:rPr>
          <w:lang w:eastAsia="fr-FR" w:bidi="fr-FR"/>
        </w:rPr>
        <w:t>mes, je suis d'origine française depuis douze générations. Mon chum qui est immigrant va répondre qu'il est d'origine italienne... Pour mes enfants, ça commence déjà dans les écoles, où ils se font traiter d'i</w:t>
      </w:r>
      <w:r w:rsidRPr="00011A46">
        <w:rPr>
          <w:lang w:eastAsia="fr-FR" w:bidi="fr-FR"/>
        </w:rPr>
        <w:t>m</w:t>
      </w:r>
      <w:r w:rsidRPr="00011A46">
        <w:rPr>
          <w:lang w:eastAsia="fr-FR" w:bidi="fr-FR"/>
        </w:rPr>
        <w:t>migrants parce qu'ils portent un nom qui n'est pas de consonance fra</w:t>
      </w:r>
      <w:r w:rsidRPr="00011A46">
        <w:rPr>
          <w:lang w:eastAsia="fr-FR" w:bidi="fr-FR"/>
        </w:rPr>
        <w:t>n</w:t>
      </w:r>
      <w:r w:rsidRPr="00011A46">
        <w:rPr>
          <w:lang w:eastAsia="fr-FR" w:bidi="fr-FR"/>
        </w:rPr>
        <w:t>çaise - une chance qu'ils portent un double nom. Mais ça veut dire quoi comme information</w:t>
      </w:r>
      <w:r w:rsidRPr="00011A46">
        <w:t> ?</w:t>
      </w:r>
      <w:r w:rsidRPr="00011A46">
        <w:rPr>
          <w:lang w:eastAsia="fr-FR" w:bidi="fr-FR"/>
        </w:rPr>
        <w:t xml:space="preserve"> Et à la troisième génération, leurs</w:t>
      </w:r>
      <w:r>
        <w:rPr>
          <w:lang w:eastAsia="fr-FR" w:bidi="fr-FR"/>
        </w:rPr>
        <w:t xml:space="preserve"> [446] </w:t>
      </w:r>
      <w:r w:rsidRPr="00011A46">
        <w:rPr>
          <w:lang w:eastAsia="fr-FR" w:bidi="fr-FR"/>
        </w:rPr>
        <w:t>enfants</w:t>
      </w:r>
      <w:r w:rsidRPr="00011A46">
        <w:t> ?</w:t>
      </w:r>
      <w:r w:rsidRPr="00011A46">
        <w:rPr>
          <w:lang w:eastAsia="fr-FR" w:bidi="fr-FR"/>
        </w:rPr>
        <w:t>... ça s'arrête où et ça commence où</w:t>
      </w:r>
      <w:r w:rsidRPr="00011A46">
        <w:t> ?</w:t>
      </w:r>
      <w:r w:rsidRPr="00011A46">
        <w:rPr>
          <w:lang w:eastAsia="fr-FR" w:bidi="fr-FR"/>
        </w:rPr>
        <w:t xml:space="preserve"> ça va être la vision qu'ils ont eux-mêmes, ou la vision que la société a d'eux autres</w:t>
      </w:r>
      <w:r w:rsidRPr="00011A46">
        <w:t> ? »</w:t>
      </w:r>
    </w:p>
    <w:p w:rsidR="00B7214C" w:rsidRDefault="00B7214C" w:rsidP="00B7214C">
      <w:pPr>
        <w:spacing w:before="120" w:after="120"/>
        <w:jc w:val="both"/>
        <w:rPr>
          <w:lang w:eastAsia="fr-FR" w:bidi="fr-FR"/>
        </w:rPr>
      </w:pPr>
    </w:p>
    <w:p w:rsidR="00B7214C" w:rsidRPr="00011A46" w:rsidRDefault="00B7214C" w:rsidP="00B7214C">
      <w:pPr>
        <w:pStyle w:val="b"/>
      </w:pPr>
      <w:r w:rsidRPr="00BB7297">
        <w:rPr>
          <w:lang w:eastAsia="fr-FR" w:bidi="fr-FR"/>
        </w:rPr>
        <w:t>Commentaires</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Plusieurs éléments méritent d'être approfondis au terme de ce tour d'horizon rapide d'une recherche complexe et dont les principales conclusions sont 1) que la polémicité du débat est moins aiguë qu'aux États-Unis</w:t>
      </w:r>
      <w:r w:rsidRPr="00011A46">
        <w:t> ;</w:t>
      </w:r>
      <w:r w:rsidRPr="00011A46">
        <w:rPr>
          <w:lang w:eastAsia="fr-FR" w:bidi="fr-FR"/>
        </w:rPr>
        <w:t xml:space="preserve"> 2) que la justice compens</w:t>
      </w:r>
      <w:r w:rsidRPr="00011A46">
        <w:rPr>
          <w:lang w:eastAsia="fr-FR" w:bidi="fr-FR"/>
        </w:rPr>
        <w:t>a</w:t>
      </w:r>
      <w:r w:rsidRPr="00011A46">
        <w:rPr>
          <w:lang w:eastAsia="fr-FR" w:bidi="fr-FR"/>
        </w:rPr>
        <w:t>toire n'a pas de fondements éthiques clairs</w:t>
      </w:r>
      <w:r w:rsidRPr="00011A46">
        <w:t> ;</w:t>
      </w:r>
      <w:r w:rsidRPr="00011A46">
        <w:rPr>
          <w:lang w:eastAsia="fr-FR" w:bidi="fr-FR"/>
        </w:rPr>
        <w:t xml:space="preserve"> 3) que les pr</w:t>
      </w:r>
      <w:r w:rsidRPr="00011A46">
        <w:rPr>
          <w:lang w:eastAsia="fr-FR" w:bidi="fr-FR"/>
        </w:rPr>
        <w:t>o</w:t>
      </w:r>
      <w:r w:rsidRPr="00011A46">
        <w:rPr>
          <w:lang w:eastAsia="fr-FR" w:bidi="fr-FR"/>
        </w:rPr>
        <w:t>grammes ont une efficacité peu concluante pour la réduction des inégalités</w:t>
      </w:r>
      <w:r w:rsidRPr="00011A46">
        <w:t> ;</w:t>
      </w:r>
      <w:r w:rsidRPr="00011A46">
        <w:rPr>
          <w:lang w:eastAsia="fr-FR" w:bidi="fr-FR"/>
        </w:rPr>
        <w:t xml:space="preserve"> 4) que les programmes auraient une fonction latente</w:t>
      </w:r>
      <w:r w:rsidRPr="00011A46">
        <w:t> :</w:t>
      </w:r>
      <w:r w:rsidRPr="00011A46">
        <w:rPr>
          <w:lang w:eastAsia="fr-FR" w:bidi="fr-FR"/>
        </w:rPr>
        <w:t xml:space="preserve"> gérer la tension interethnique sur le marché du tr</w:t>
      </w:r>
      <w:r w:rsidRPr="00011A46">
        <w:rPr>
          <w:lang w:eastAsia="fr-FR" w:bidi="fr-FR"/>
        </w:rPr>
        <w:t>a</w:t>
      </w:r>
      <w:r w:rsidRPr="00011A46">
        <w:rPr>
          <w:lang w:eastAsia="fr-FR" w:bidi="fr-FR"/>
        </w:rPr>
        <w:t>vail, et un effet pervers</w:t>
      </w:r>
      <w:r w:rsidRPr="00011A46">
        <w:t> :</w:t>
      </w:r>
      <w:r w:rsidRPr="00011A46">
        <w:rPr>
          <w:lang w:eastAsia="fr-FR" w:bidi="fr-FR"/>
        </w:rPr>
        <w:t xml:space="preserve"> promouvoir la formation d'un pluralisme classificatoire dans une société qui conjugue et sépare et</w:t>
      </w:r>
      <w:r w:rsidRPr="00011A46">
        <w:rPr>
          <w:lang w:eastAsia="fr-FR" w:bidi="fr-FR"/>
        </w:rPr>
        <w:t>h</w:t>
      </w:r>
      <w:r w:rsidRPr="00011A46">
        <w:rPr>
          <w:lang w:eastAsia="fr-FR" w:bidi="fr-FR"/>
        </w:rPr>
        <w:t>nicité et citoyenneté. L'analyse des fragments de discours sur les fo</w:t>
      </w:r>
      <w:r w:rsidRPr="00011A46">
        <w:rPr>
          <w:lang w:eastAsia="fr-FR" w:bidi="fr-FR"/>
        </w:rPr>
        <w:t>n</w:t>
      </w:r>
      <w:r w:rsidRPr="00011A46">
        <w:rPr>
          <w:lang w:eastAsia="fr-FR" w:bidi="fr-FR"/>
        </w:rPr>
        <w:t>dements de l'action positive, aussi partielle soit-elle, a l'avantage de montrer que la distribution des biens, des charges et des statuts est nouée par des narrations alternatives et contradictoires sur le bien commun, la force du droit, le pluralisme et la reconnaissance des di</w:t>
      </w:r>
      <w:r w:rsidRPr="00011A46">
        <w:rPr>
          <w:lang w:eastAsia="fr-FR" w:bidi="fr-FR"/>
        </w:rPr>
        <w:t>f</w:t>
      </w:r>
      <w:r w:rsidRPr="00011A46">
        <w:rPr>
          <w:lang w:eastAsia="fr-FR" w:bidi="fr-FR"/>
        </w:rPr>
        <w:t>férences.</w:t>
      </w:r>
    </w:p>
    <w:p w:rsidR="00B7214C" w:rsidRPr="00011A46" w:rsidRDefault="00B7214C" w:rsidP="00B7214C">
      <w:pPr>
        <w:spacing w:before="120" w:after="120"/>
        <w:jc w:val="both"/>
      </w:pPr>
      <w:r w:rsidRPr="00011A46">
        <w:rPr>
          <w:lang w:eastAsia="fr-FR" w:bidi="fr-FR"/>
        </w:rPr>
        <w:t>L'élargissement de la justice distributive trouve son fo</w:t>
      </w:r>
      <w:r w:rsidRPr="00011A46">
        <w:rPr>
          <w:lang w:eastAsia="fr-FR" w:bidi="fr-FR"/>
        </w:rPr>
        <w:t>n</w:t>
      </w:r>
      <w:r w:rsidRPr="00011A46">
        <w:rPr>
          <w:lang w:eastAsia="fr-FR" w:bidi="fr-FR"/>
        </w:rPr>
        <w:t>dement dans les principes d'intégration propres au multiculturalisme franc</w:t>
      </w:r>
      <w:r w:rsidRPr="00011A46">
        <w:rPr>
          <w:lang w:eastAsia="fr-FR" w:bidi="fr-FR"/>
        </w:rPr>
        <w:t>o</w:t>
      </w:r>
      <w:r w:rsidRPr="00011A46">
        <w:rPr>
          <w:lang w:eastAsia="fr-FR" w:bidi="fr-FR"/>
        </w:rPr>
        <w:t>phone ou anglophone sans que ne soient discutés les modes d'incl</w:t>
      </w:r>
      <w:r w:rsidRPr="00011A46">
        <w:rPr>
          <w:lang w:eastAsia="fr-FR" w:bidi="fr-FR"/>
        </w:rPr>
        <w:t>u</w:t>
      </w:r>
      <w:r w:rsidRPr="00011A46">
        <w:rPr>
          <w:lang w:eastAsia="fr-FR" w:bidi="fr-FR"/>
        </w:rPr>
        <w:t>sion symboliques. Certes, nombre de répondants émettent des rése</w:t>
      </w:r>
      <w:r w:rsidRPr="00011A46">
        <w:rPr>
          <w:lang w:eastAsia="fr-FR" w:bidi="fr-FR"/>
        </w:rPr>
        <w:t>r</w:t>
      </w:r>
      <w:r w:rsidRPr="00011A46">
        <w:rPr>
          <w:lang w:eastAsia="fr-FR" w:bidi="fr-FR"/>
        </w:rPr>
        <w:t>ves, moins sur l'inclusion e</w:t>
      </w:r>
      <w:r w:rsidRPr="00011A46">
        <w:rPr>
          <w:lang w:eastAsia="fr-FR" w:bidi="fr-FR"/>
        </w:rPr>
        <w:t>s</w:t>
      </w:r>
      <w:r w:rsidRPr="00011A46">
        <w:rPr>
          <w:lang w:eastAsia="fr-FR" w:bidi="fr-FR"/>
        </w:rPr>
        <w:t>comptée que sur les critères qui fondent les choix et déterm</w:t>
      </w:r>
      <w:r w:rsidRPr="00011A46">
        <w:rPr>
          <w:lang w:eastAsia="fr-FR" w:bidi="fr-FR"/>
        </w:rPr>
        <w:t>i</w:t>
      </w:r>
      <w:r w:rsidRPr="00011A46">
        <w:rPr>
          <w:lang w:eastAsia="fr-FR" w:bidi="fr-FR"/>
        </w:rPr>
        <w:t>nent les mesures allocatives. Par ailleurs, la faible polémicité du débat peut sans doute être inférée au fait qu'il s'agit en m</w:t>
      </w:r>
      <w:r w:rsidRPr="00011A46">
        <w:rPr>
          <w:lang w:eastAsia="fr-FR" w:bidi="fr-FR"/>
        </w:rPr>
        <w:t>a</w:t>
      </w:r>
      <w:r w:rsidRPr="00011A46">
        <w:rPr>
          <w:lang w:eastAsia="fr-FR" w:bidi="fr-FR"/>
        </w:rPr>
        <w:t>jorité d'agents de l'État soucieux d'expliquer une politique sociale qui est entérinée par des dispositions juridiques, des principes de sol</w:t>
      </w:r>
      <w:r w:rsidRPr="00011A46">
        <w:rPr>
          <w:lang w:eastAsia="fr-FR" w:bidi="fr-FR"/>
        </w:rPr>
        <w:t>i</w:t>
      </w:r>
      <w:r w:rsidRPr="00011A46">
        <w:rPr>
          <w:lang w:eastAsia="fr-FR" w:bidi="fr-FR"/>
        </w:rPr>
        <w:t>darité et de reconnaissance culturelle inscrits dans les orientations constitutionnelles de la mosaïque verticale canadienne. Cette soumi</w:t>
      </w:r>
      <w:r w:rsidRPr="00011A46">
        <w:rPr>
          <w:lang w:eastAsia="fr-FR" w:bidi="fr-FR"/>
        </w:rPr>
        <w:t>s</w:t>
      </w:r>
      <w:r w:rsidRPr="00011A46">
        <w:rPr>
          <w:lang w:eastAsia="fr-FR" w:bidi="fr-FR"/>
        </w:rPr>
        <w:t>sion aux règles du droit explique sans doute qu'on invoque tant l'un</w:t>
      </w:r>
      <w:r w:rsidRPr="00011A46">
        <w:rPr>
          <w:lang w:eastAsia="fr-FR" w:bidi="fr-FR"/>
        </w:rPr>
        <w:t>i</w:t>
      </w:r>
      <w:r w:rsidRPr="00011A46">
        <w:rPr>
          <w:lang w:eastAsia="fr-FR" w:bidi="fr-FR"/>
        </w:rPr>
        <w:t>versalisme de celles-ci que leur exercice particulier au nom de distin</w:t>
      </w:r>
      <w:r w:rsidRPr="00011A46">
        <w:rPr>
          <w:lang w:eastAsia="fr-FR" w:bidi="fr-FR"/>
        </w:rPr>
        <w:t>c</w:t>
      </w:r>
      <w:r w:rsidRPr="00011A46">
        <w:rPr>
          <w:lang w:eastAsia="fr-FR" w:bidi="fr-FR"/>
        </w:rPr>
        <w:t>tions telles que l'ancestralité, la visibilité, la langue et le genre. L'util</w:t>
      </w:r>
      <w:r w:rsidRPr="00011A46">
        <w:rPr>
          <w:lang w:eastAsia="fr-FR" w:bidi="fr-FR"/>
        </w:rPr>
        <w:t>i</w:t>
      </w:r>
      <w:r w:rsidRPr="00011A46">
        <w:rPr>
          <w:lang w:eastAsia="fr-FR" w:bidi="fr-FR"/>
        </w:rPr>
        <w:t>tarisme semble transcender les oppositions au point de justifier une suspension temporaire des procédures universalistes. Ce n'est pas tant une justice réversible qui trame le discours, que la volonté de réduire les effets d'une discrimination incontestée et de réguler les tensions interethniques. Nous sommes dès lors sur le terrain des politiques s</w:t>
      </w:r>
      <w:r w:rsidRPr="00011A46">
        <w:rPr>
          <w:lang w:eastAsia="fr-FR" w:bidi="fr-FR"/>
        </w:rPr>
        <w:t>o</w:t>
      </w:r>
      <w:r w:rsidRPr="00011A46">
        <w:rPr>
          <w:lang w:eastAsia="fr-FR" w:bidi="fr-FR"/>
        </w:rPr>
        <w:t>ciales dont les finalités implicites ou explicites relèvent d'une orient</w:t>
      </w:r>
      <w:r w:rsidRPr="00011A46">
        <w:rPr>
          <w:lang w:eastAsia="fr-FR" w:bidi="fr-FR"/>
        </w:rPr>
        <w:t>a</w:t>
      </w:r>
      <w:r w:rsidRPr="00011A46">
        <w:rPr>
          <w:lang w:eastAsia="fr-FR" w:bidi="fr-FR"/>
        </w:rPr>
        <w:t>tion inclusionna</w:t>
      </w:r>
      <w:r w:rsidRPr="00011A46">
        <w:rPr>
          <w:lang w:eastAsia="fr-FR" w:bidi="fr-FR"/>
        </w:rPr>
        <w:t>i</w:t>
      </w:r>
      <w:r w:rsidRPr="00011A46">
        <w:rPr>
          <w:lang w:eastAsia="fr-FR" w:bidi="fr-FR"/>
        </w:rPr>
        <w:t>re, faut-il pour cela classer et distinguer, séparer pour mieux intégrer.</w:t>
      </w:r>
    </w:p>
    <w:p w:rsidR="00B7214C" w:rsidRPr="00011A46" w:rsidRDefault="00B7214C" w:rsidP="00B7214C">
      <w:pPr>
        <w:spacing w:before="120" w:after="120"/>
        <w:jc w:val="both"/>
      </w:pPr>
      <w:r w:rsidRPr="00011A46">
        <w:rPr>
          <w:lang w:eastAsia="fr-FR" w:bidi="fr-FR"/>
        </w:rPr>
        <w:t>Or, reconnaître la différence et l'inégalité, c'est aussi poser du m</w:t>
      </w:r>
      <w:r w:rsidRPr="00011A46">
        <w:rPr>
          <w:lang w:eastAsia="fr-FR" w:bidi="fr-FR"/>
        </w:rPr>
        <w:t>ê</w:t>
      </w:r>
      <w:r w:rsidRPr="00011A46">
        <w:rPr>
          <w:lang w:eastAsia="fr-FR" w:bidi="fr-FR"/>
        </w:rPr>
        <w:t>me coup la difficulté de trouver quelque consensus tant sur les ident</w:t>
      </w:r>
      <w:r w:rsidRPr="00011A46">
        <w:rPr>
          <w:lang w:eastAsia="fr-FR" w:bidi="fr-FR"/>
        </w:rPr>
        <w:t>i</w:t>
      </w:r>
      <w:r w:rsidRPr="00011A46">
        <w:rPr>
          <w:lang w:eastAsia="fr-FR" w:bidi="fr-FR"/>
        </w:rPr>
        <w:t>tés que sur les biens sociaux à distribuer. Cette contradiction est rés</w:t>
      </w:r>
      <w:r w:rsidRPr="00011A46">
        <w:rPr>
          <w:lang w:eastAsia="fr-FR" w:bidi="fr-FR"/>
        </w:rPr>
        <w:t>o</w:t>
      </w:r>
      <w:r w:rsidRPr="00011A46">
        <w:rPr>
          <w:lang w:eastAsia="fr-FR" w:bidi="fr-FR"/>
        </w:rPr>
        <w:t>lue par le recours à l'instance juridique dont la raison normative est de trancher les</w:t>
      </w:r>
      <w:r>
        <w:rPr>
          <w:lang w:eastAsia="fr-FR" w:bidi="fr-FR"/>
        </w:rPr>
        <w:t xml:space="preserve"> </w:t>
      </w:r>
      <w:r>
        <w:t>[</w:t>
      </w:r>
      <w:r w:rsidRPr="00011A46">
        <w:rPr>
          <w:lang w:eastAsia="fr-FR" w:bidi="fr-FR"/>
        </w:rPr>
        <w:t>447</w:t>
      </w:r>
      <w:r>
        <w:rPr>
          <w:lang w:eastAsia="fr-FR" w:bidi="fr-FR"/>
        </w:rPr>
        <w:t xml:space="preserve">] </w:t>
      </w:r>
      <w:r w:rsidRPr="00011A46">
        <w:rPr>
          <w:lang w:eastAsia="fr-FR" w:bidi="fr-FR"/>
        </w:rPr>
        <w:t>dilemmes. Mahoney (1992) soutient que la Cour suprême du Canada, dans des décisions récentes, développe une a</w:t>
      </w:r>
      <w:r w:rsidRPr="00011A46">
        <w:rPr>
          <w:lang w:eastAsia="fr-FR" w:bidi="fr-FR"/>
        </w:rPr>
        <w:t>p</w:t>
      </w:r>
      <w:r w:rsidRPr="00011A46">
        <w:rPr>
          <w:lang w:eastAsia="fr-FR" w:bidi="fr-FR"/>
        </w:rPr>
        <w:t>proche contextuelle unique dans le monde occidental, en reconnai</w:t>
      </w:r>
      <w:r w:rsidRPr="00011A46">
        <w:rPr>
          <w:lang w:eastAsia="fr-FR" w:bidi="fr-FR"/>
        </w:rPr>
        <w:t>s</w:t>
      </w:r>
      <w:r w:rsidRPr="00011A46">
        <w:rPr>
          <w:lang w:eastAsia="fr-FR" w:bidi="fr-FR"/>
        </w:rPr>
        <w:t>sant que la réalité du désavantage social peut servir de base à l'analyse constitutionnelle de l'égalité. Dans ceci, elle se démarque de la Cour suprême américaine, un constat qui va à l'encontre de l'idée d'une continentalisation du droit en Amérique du Nord. Si cette tendance se maintient, les politiques de la différence et la demande de droits tro</w:t>
      </w:r>
      <w:r w:rsidRPr="00011A46">
        <w:rPr>
          <w:lang w:eastAsia="fr-FR" w:bidi="fr-FR"/>
        </w:rPr>
        <w:t>u</w:t>
      </w:r>
      <w:r w:rsidRPr="00011A46">
        <w:rPr>
          <w:lang w:eastAsia="fr-FR" w:bidi="fr-FR"/>
        </w:rPr>
        <w:t>veraient des assises plus fondées dans l'arène juridique que politique. Cela, sans doute, relancerait le débat sur la légitimité de la di</w:t>
      </w:r>
      <w:r w:rsidRPr="00011A46">
        <w:rPr>
          <w:lang w:eastAsia="fr-FR" w:bidi="fr-FR"/>
        </w:rPr>
        <w:t>s</w:t>
      </w:r>
      <w:r w:rsidRPr="00011A46">
        <w:rPr>
          <w:lang w:eastAsia="fr-FR" w:bidi="fr-FR"/>
        </w:rPr>
        <w:t>tribution du pouvoir au Canada entre peuples fondateurs. Autochtones, imm</w:t>
      </w:r>
      <w:r w:rsidRPr="00011A46">
        <w:rPr>
          <w:lang w:eastAsia="fr-FR" w:bidi="fr-FR"/>
        </w:rPr>
        <w:t>i</w:t>
      </w:r>
      <w:r w:rsidRPr="00011A46">
        <w:rPr>
          <w:lang w:eastAsia="fr-FR" w:bidi="fr-FR"/>
        </w:rPr>
        <w:t>grants, femmes.</w:t>
      </w:r>
    </w:p>
    <w:p w:rsidR="00B7214C" w:rsidRDefault="00B7214C" w:rsidP="00B7214C">
      <w:pPr>
        <w:spacing w:before="120" w:after="120"/>
        <w:jc w:val="both"/>
        <w:rPr>
          <w:lang w:eastAsia="fr-FR" w:bidi="fr-FR"/>
        </w:rPr>
      </w:pPr>
      <w:r w:rsidRPr="00011A46">
        <w:rPr>
          <w:lang w:eastAsia="fr-FR" w:bidi="fr-FR"/>
        </w:rPr>
        <w:t>Toutefois, la force du droit réside aussi, dans ce cas, dans sa cap</w:t>
      </w:r>
      <w:r w:rsidRPr="00011A46">
        <w:rPr>
          <w:lang w:eastAsia="fr-FR" w:bidi="fr-FR"/>
        </w:rPr>
        <w:t>a</w:t>
      </w:r>
      <w:r w:rsidRPr="00011A46">
        <w:rPr>
          <w:lang w:eastAsia="fr-FR" w:bidi="fr-FR"/>
        </w:rPr>
        <w:t>cité à valider des catégories administratives et des st</w:t>
      </w:r>
      <w:r w:rsidRPr="00011A46">
        <w:rPr>
          <w:lang w:eastAsia="fr-FR" w:bidi="fr-FR"/>
        </w:rPr>
        <w:t>a</w:t>
      </w:r>
      <w:r w:rsidRPr="00011A46">
        <w:rPr>
          <w:lang w:eastAsia="fr-FR" w:bidi="fr-FR"/>
        </w:rPr>
        <w:t>tuts tels ceux que condense la notion de minorité visible. On aboutirait ainsi à l'instit</w:t>
      </w:r>
      <w:r w:rsidRPr="00011A46">
        <w:rPr>
          <w:lang w:eastAsia="fr-FR" w:bidi="fr-FR"/>
        </w:rPr>
        <w:t>u</w:t>
      </w:r>
      <w:r w:rsidRPr="00011A46">
        <w:t xml:space="preserve">tionnalisation </w:t>
      </w:r>
      <w:r w:rsidRPr="00BB7297">
        <w:rPr>
          <w:i/>
          <w:iCs/>
        </w:rPr>
        <w:t>de facto</w:t>
      </w:r>
      <w:r w:rsidRPr="00011A46">
        <w:t xml:space="preserve"> de formes d'incorporation différentielle (Ka</w:t>
      </w:r>
      <w:r w:rsidRPr="00011A46">
        <w:t>l</w:t>
      </w:r>
      <w:r w:rsidRPr="00011A46">
        <w:rPr>
          <w:lang w:eastAsia="fr-FR" w:bidi="fr-FR"/>
        </w:rPr>
        <w:t>len, 1989). Le risque év</w:t>
      </w:r>
      <w:r w:rsidRPr="00011A46">
        <w:rPr>
          <w:lang w:eastAsia="fr-FR" w:bidi="fr-FR"/>
        </w:rPr>
        <w:t>o</w:t>
      </w:r>
      <w:r w:rsidRPr="00011A46">
        <w:rPr>
          <w:lang w:eastAsia="fr-FR" w:bidi="fr-FR"/>
        </w:rPr>
        <w:t>qué - par plusieurs répondants - de forcer de cette façon les individus à s'identifier involontairement à leur groupe d'or</w:t>
      </w:r>
      <w:r w:rsidRPr="00011A46">
        <w:rPr>
          <w:lang w:eastAsia="fr-FR" w:bidi="fr-FR"/>
        </w:rPr>
        <w:t>i</w:t>
      </w:r>
      <w:r w:rsidRPr="00011A46">
        <w:rPr>
          <w:lang w:eastAsia="fr-FR" w:bidi="fr-FR"/>
        </w:rPr>
        <w:t>gine est l'un des effets inintentionnels de l'action positive, critiqué par Porter (1979). En effet, quelle que soit l'efficacité de ces mesures, l'essentialisation et la totalisation qu'opère la notion de minorités vis</w:t>
      </w:r>
      <w:r w:rsidRPr="00011A46">
        <w:rPr>
          <w:lang w:eastAsia="fr-FR" w:bidi="fr-FR"/>
        </w:rPr>
        <w:t>i</w:t>
      </w:r>
      <w:r w:rsidRPr="00011A46">
        <w:rPr>
          <w:lang w:eastAsia="fr-FR" w:bidi="fr-FR"/>
        </w:rPr>
        <w:t>bles a pour effet de créer des comm</w:t>
      </w:r>
      <w:r w:rsidRPr="00011A46">
        <w:rPr>
          <w:lang w:eastAsia="fr-FR" w:bidi="fr-FR"/>
        </w:rPr>
        <w:t>u</w:t>
      </w:r>
      <w:r w:rsidRPr="00011A46">
        <w:rPr>
          <w:lang w:eastAsia="fr-FR" w:bidi="fr-FR"/>
        </w:rPr>
        <w:t>nautés imaginaires soudées par des marques imputées et r</w:t>
      </w:r>
      <w:r w:rsidRPr="00011A46">
        <w:rPr>
          <w:lang w:eastAsia="fr-FR" w:bidi="fr-FR"/>
        </w:rPr>
        <w:t>é</w:t>
      </w:r>
      <w:r w:rsidRPr="00011A46">
        <w:rPr>
          <w:lang w:eastAsia="fr-FR" w:bidi="fr-FR"/>
        </w:rPr>
        <w:t>putées être somatiques. Nous sommes de nouveau placés d</w:t>
      </w:r>
      <w:r w:rsidRPr="00011A46">
        <w:rPr>
          <w:lang w:eastAsia="fr-FR" w:bidi="fr-FR"/>
        </w:rPr>
        <w:t>e</w:t>
      </w:r>
      <w:r w:rsidRPr="00011A46">
        <w:rPr>
          <w:lang w:eastAsia="fr-FR" w:bidi="fr-FR"/>
        </w:rPr>
        <w:t>vant la double contrainte que nous avons évoquée quand nous parlions de la réitération de la stigmatisation. Par ailleurs la visibilité, dans le contexte canadien, semble manipulée rhétoriqu</w:t>
      </w:r>
      <w:r w:rsidRPr="00011A46">
        <w:rPr>
          <w:lang w:eastAsia="fr-FR" w:bidi="fr-FR"/>
        </w:rPr>
        <w:t>e</w:t>
      </w:r>
      <w:r w:rsidRPr="00011A46">
        <w:rPr>
          <w:lang w:eastAsia="fr-FR" w:bidi="fr-FR"/>
        </w:rPr>
        <w:t>ment et mobilisée politiquement au point que chacun est renvoyé sur le marché des identités pour se définir et être défini. La figure pos</w:t>
      </w:r>
      <w:r w:rsidRPr="00011A46">
        <w:rPr>
          <w:lang w:eastAsia="fr-FR" w:bidi="fr-FR"/>
        </w:rPr>
        <w:t>t</w:t>
      </w:r>
      <w:r w:rsidRPr="00011A46">
        <w:rPr>
          <w:lang w:eastAsia="fr-FR" w:bidi="fr-FR"/>
        </w:rPr>
        <w:t>moderne de la société pluriculturelle où les différences sont conte</w:t>
      </w:r>
      <w:r w:rsidRPr="00011A46">
        <w:rPr>
          <w:lang w:eastAsia="fr-FR" w:bidi="fr-FR"/>
        </w:rPr>
        <w:t>s</w:t>
      </w:r>
      <w:r w:rsidRPr="00011A46">
        <w:rPr>
          <w:lang w:eastAsia="fr-FR" w:bidi="fr-FR"/>
        </w:rPr>
        <w:t>tées, réinventées et négociées serait une interprétation séduisante, si n'étaient présentes d'autres lectures concurrentielles</w:t>
      </w:r>
      <w:r w:rsidRPr="00011A46">
        <w:t> :</w:t>
      </w:r>
      <w:r w:rsidRPr="00011A46">
        <w:rPr>
          <w:lang w:eastAsia="fr-FR" w:bidi="fr-FR"/>
        </w:rPr>
        <w:t xml:space="preserve"> l'assimilatio</w:t>
      </w:r>
      <w:r w:rsidRPr="00011A46">
        <w:rPr>
          <w:lang w:eastAsia="fr-FR" w:bidi="fr-FR"/>
        </w:rPr>
        <w:t>n</w:t>
      </w:r>
      <w:r w:rsidRPr="00011A46">
        <w:rPr>
          <w:lang w:eastAsia="fr-FR" w:bidi="fr-FR"/>
        </w:rPr>
        <w:t>nisme libéral et la recherche des frontières de la souveraineté, can</w:t>
      </w:r>
      <w:r w:rsidRPr="00011A46">
        <w:rPr>
          <w:lang w:eastAsia="fr-FR" w:bidi="fr-FR"/>
        </w:rPr>
        <w:t>a</w:t>
      </w:r>
      <w:r w:rsidRPr="00011A46">
        <w:rPr>
          <w:lang w:eastAsia="fr-FR" w:bidi="fr-FR"/>
        </w:rPr>
        <w:t>dienne et qu</w:t>
      </w:r>
      <w:r w:rsidRPr="00011A46">
        <w:rPr>
          <w:lang w:eastAsia="fr-FR" w:bidi="fr-FR"/>
        </w:rPr>
        <w:t>é</w:t>
      </w:r>
      <w:r w:rsidRPr="00011A46">
        <w:rPr>
          <w:lang w:eastAsia="fr-FR" w:bidi="fr-FR"/>
        </w:rPr>
        <w:t>bécoise. Elles peuvent avoir pour conséquence moins de concilier le pluralisme des identités que de forger un pluralisme class</w:t>
      </w:r>
      <w:r w:rsidRPr="00011A46">
        <w:rPr>
          <w:lang w:eastAsia="fr-FR" w:bidi="fr-FR"/>
        </w:rPr>
        <w:t>i</w:t>
      </w:r>
      <w:r w:rsidRPr="00011A46">
        <w:rPr>
          <w:lang w:eastAsia="fr-FR" w:bidi="fr-FR"/>
        </w:rPr>
        <w:t>ficatoire qui ne correspond guère à l'expérience des gens et à leurs r</w:t>
      </w:r>
      <w:r w:rsidRPr="00011A46">
        <w:rPr>
          <w:lang w:eastAsia="fr-FR" w:bidi="fr-FR"/>
        </w:rPr>
        <w:t>ê</w:t>
      </w:r>
      <w:r w:rsidRPr="00011A46">
        <w:rPr>
          <w:lang w:eastAsia="fr-FR" w:bidi="fr-FR"/>
        </w:rPr>
        <w:t>ves de la bonne société. Parier sur l'a</w:t>
      </w:r>
      <w:r w:rsidRPr="00011A46">
        <w:rPr>
          <w:lang w:eastAsia="fr-FR" w:bidi="fr-FR"/>
        </w:rPr>
        <w:t>c</w:t>
      </w:r>
      <w:r w:rsidRPr="00011A46">
        <w:rPr>
          <w:lang w:eastAsia="fr-FR" w:bidi="fr-FR"/>
        </w:rPr>
        <w:t>tion positive demeure donc une solution incomplète tant qu'elle restera confinée dans la gestion plutôt que d'ouvrir le dialogue sur la responsabilité partagée au sein d'une comm</w:t>
      </w:r>
      <w:r w:rsidRPr="00011A46">
        <w:rPr>
          <w:lang w:eastAsia="fr-FR" w:bidi="fr-FR"/>
        </w:rPr>
        <w:t>u</w:t>
      </w:r>
      <w:r w:rsidRPr="00011A46">
        <w:rPr>
          <w:lang w:eastAsia="fr-FR" w:bidi="fr-FR"/>
        </w:rPr>
        <w:t>nauté politique, la fusion des horizons entre concitoyens et sur le racisme et ses métamorphoses.</w:t>
      </w:r>
    </w:p>
    <w:p w:rsidR="00B7214C" w:rsidRDefault="00B7214C" w:rsidP="00B7214C">
      <w:pPr>
        <w:pStyle w:val="p"/>
        <w:rPr>
          <w:lang w:eastAsia="fr-FR" w:bidi="fr-FR"/>
        </w:rPr>
      </w:pPr>
      <w:r>
        <w:rPr>
          <w:lang w:eastAsia="fr-FR" w:bidi="fr-FR"/>
        </w:rPr>
        <w:br w:type="page"/>
        <w:t>[448]</w:t>
      </w:r>
    </w:p>
    <w:p w:rsidR="00B7214C" w:rsidRPr="00011A46" w:rsidRDefault="00B7214C" w:rsidP="00B7214C">
      <w:pPr>
        <w:spacing w:before="120" w:after="120"/>
        <w:jc w:val="both"/>
      </w:pPr>
    </w:p>
    <w:p w:rsidR="00B7214C" w:rsidRPr="00011A46" w:rsidRDefault="00B7214C" w:rsidP="00B7214C">
      <w:pPr>
        <w:pStyle w:val="a"/>
      </w:pPr>
      <w:r w:rsidRPr="00011A46">
        <w:rPr>
          <w:lang w:eastAsia="fr-FR" w:bidi="fr-FR"/>
        </w:rPr>
        <w:t>CONCLUSION</w:t>
      </w:r>
      <w:r w:rsidRPr="00011A46">
        <w:t> :</w:t>
      </w:r>
      <w:r>
        <w:br/>
      </w:r>
      <w:r w:rsidRPr="00011A46">
        <w:rPr>
          <w:lang w:eastAsia="fr-FR" w:bidi="fr-FR"/>
        </w:rPr>
        <w:t>JUSTICE INTERGÉNÉRATIONNE</w:t>
      </w:r>
      <w:r w:rsidRPr="00011A46">
        <w:rPr>
          <w:lang w:eastAsia="fr-FR" w:bidi="fr-FR"/>
        </w:rPr>
        <w:t>L</w:t>
      </w:r>
      <w:r w:rsidRPr="00011A46">
        <w:rPr>
          <w:lang w:eastAsia="fr-FR" w:bidi="fr-FR"/>
        </w:rPr>
        <w:t>LE</w:t>
      </w:r>
      <w:r>
        <w:rPr>
          <w:lang w:eastAsia="fr-FR" w:bidi="fr-FR"/>
        </w:rPr>
        <w:br/>
      </w:r>
      <w:r w:rsidRPr="00011A46">
        <w:rPr>
          <w:lang w:eastAsia="fr-FR" w:bidi="fr-FR"/>
        </w:rPr>
        <w:t>ET PROGRAMMES PR</w:t>
      </w:r>
      <w:r w:rsidRPr="00011A46">
        <w:rPr>
          <w:lang w:eastAsia="fr-FR" w:bidi="fr-FR"/>
        </w:rPr>
        <w:t>É</w:t>
      </w:r>
      <w:r w:rsidRPr="00011A46">
        <w:rPr>
          <w:lang w:eastAsia="fr-FR" w:bidi="fr-FR"/>
        </w:rPr>
        <w:t>FÉRENTIELS</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Les programmes préférentiels présupposent une gramma</w:t>
      </w:r>
      <w:r w:rsidRPr="00011A46">
        <w:rPr>
          <w:lang w:eastAsia="fr-FR" w:bidi="fr-FR"/>
        </w:rPr>
        <w:t>i</w:t>
      </w:r>
      <w:r w:rsidRPr="00011A46">
        <w:rPr>
          <w:lang w:eastAsia="fr-FR" w:bidi="fr-FR"/>
        </w:rPr>
        <w:t>re de l'égalité et une éthique de la responsabilité dans la s</w:t>
      </w:r>
      <w:r w:rsidRPr="00011A46">
        <w:rPr>
          <w:lang w:eastAsia="fr-FR" w:bidi="fr-FR"/>
        </w:rPr>
        <w:t>o</w:t>
      </w:r>
      <w:r w:rsidRPr="00011A46">
        <w:rPr>
          <w:lang w:eastAsia="fr-FR" w:bidi="fr-FR"/>
        </w:rPr>
        <w:t>ciété civile. Ils renvoient, implicitement ou explicitement, à l'idée qu'un tort irrépar</w:t>
      </w:r>
      <w:r w:rsidRPr="00011A46">
        <w:rPr>
          <w:lang w:eastAsia="fr-FR" w:bidi="fr-FR"/>
        </w:rPr>
        <w:t>a</w:t>
      </w:r>
      <w:r w:rsidRPr="00011A46">
        <w:rPr>
          <w:lang w:eastAsia="fr-FR" w:bidi="fr-FR"/>
        </w:rPr>
        <w:t>ble ou qu'un désavantage appréhendé doivent être compensés par des mesures d'équité pour des groupes spécifiques. La philosophie prat</w:t>
      </w:r>
      <w:r w:rsidRPr="00011A46">
        <w:rPr>
          <w:lang w:eastAsia="fr-FR" w:bidi="fr-FR"/>
        </w:rPr>
        <w:t>i</w:t>
      </w:r>
      <w:r w:rsidRPr="00011A46">
        <w:rPr>
          <w:lang w:eastAsia="fr-FR" w:bidi="fr-FR"/>
        </w:rPr>
        <w:t>que qui guide la réflexion, qu'elle soit arrimée à une justice rétrospe</w:t>
      </w:r>
      <w:r w:rsidRPr="00011A46">
        <w:rPr>
          <w:lang w:eastAsia="fr-FR" w:bidi="fr-FR"/>
        </w:rPr>
        <w:t>c</w:t>
      </w:r>
      <w:r w:rsidRPr="00011A46">
        <w:rPr>
          <w:lang w:eastAsia="fr-FR" w:bidi="fr-FR"/>
        </w:rPr>
        <w:t>tive ou prospective, semble admettre une responsabilité partagée, d'i</w:t>
      </w:r>
      <w:r w:rsidRPr="00011A46">
        <w:rPr>
          <w:lang w:eastAsia="fr-FR" w:bidi="fr-FR"/>
        </w:rPr>
        <w:t>n</w:t>
      </w:r>
      <w:r w:rsidRPr="00011A46">
        <w:rPr>
          <w:lang w:eastAsia="fr-FR" w:bidi="fr-FR"/>
        </w:rPr>
        <w:t>dividus ou de communautés, pour des exclusions qui ont limité les avoirs comme les savoirs de générations marquées par une origine, réelle ou putative. Elle présume ainsi que nos obligations ne sont pas statiques, régulées par le présent et confinées à toutes fins pratiques au seul contrat procréatif qui ne lie que des générations déterminées par la filiation. C'est donc dire que l'empreinte du temps influe sur les transmi</w:t>
      </w:r>
      <w:r w:rsidRPr="00011A46">
        <w:rPr>
          <w:lang w:eastAsia="fr-FR" w:bidi="fr-FR"/>
        </w:rPr>
        <w:t>s</w:t>
      </w:r>
      <w:r w:rsidRPr="00011A46">
        <w:rPr>
          <w:lang w:eastAsia="fr-FR" w:bidi="fr-FR"/>
        </w:rPr>
        <w:t>sions et corrélativement sur les rapports de créance et de dette que nous contractons à notre insu. Si nous acceptons cet a</w:t>
      </w:r>
      <w:r w:rsidRPr="00011A46">
        <w:rPr>
          <w:lang w:eastAsia="fr-FR" w:bidi="fr-FR"/>
        </w:rPr>
        <w:t>r</w:t>
      </w:r>
      <w:r w:rsidRPr="00011A46">
        <w:rPr>
          <w:lang w:eastAsia="fr-FR" w:bidi="fr-FR"/>
        </w:rPr>
        <w:t>gument, alors faut-il évaluer sérieusement la demande de r</w:t>
      </w:r>
      <w:r w:rsidRPr="00011A46">
        <w:rPr>
          <w:lang w:eastAsia="fr-FR" w:bidi="fr-FR"/>
        </w:rPr>
        <w:t>é</w:t>
      </w:r>
      <w:r w:rsidRPr="00011A46">
        <w:rPr>
          <w:lang w:eastAsia="fr-FR" w:bidi="fr-FR"/>
        </w:rPr>
        <w:t>parations au nom de crimes commis dans le passé tels que l'esclavage ou l'expropriation des autochtones dans les Am</w:t>
      </w:r>
      <w:r w:rsidRPr="00011A46">
        <w:rPr>
          <w:lang w:eastAsia="fr-FR" w:bidi="fr-FR"/>
        </w:rPr>
        <w:t>é</w:t>
      </w:r>
      <w:r w:rsidRPr="00011A46">
        <w:rPr>
          <w:lang w:eastAsia="fr-FR" w:bidi="fr-FR"/>
        </w:rPr>
        <w:t>riques, par exemple. D'autre part, si nous considérons que le passé est immaîtrisable et que les torts co</w:t>
      </w:r>
      <w:r w:rsidRPr="00011A46">
        <w:rPr>
          <w:lang w:eastAsia="fr-FR" w:bidi="fr-FR"/>
        </w:rPr>
        <w:t>m</w:t>
      </w:r>
      <w:r w:rsidRPr="00011A46">
        <w:rPr>
          <w:lang w:eastAsia="fr-FR" w:bidi="fr-FR"/>
        </w:rPr>
        <w:t>mis, aussi injust</w:t>
      </w:r>
      <w:r w:rsidRPr="00011A46">
        <w:rPr>
          <w:lang w:eastAsia="fr-FR" w:bidi="fr-FR"/>
        </w:rPr>
        <w:t>i</w:t>
      </w:r>
      <w:r w:rsidRPr="00011A46">
        <w:rPr>
          <w:lang w:eastAsia="fr-FR" w:bidi="fr-FR"/>
        </w:rPr>
        <w:t>fiables soient-ils, perdent de leur substance avec le passage du temps et que nous cherchons à remédier aux inégalités sy</w:t>
      </w:r>
      <w:r w:rsidRPr="00011A46">
        <w:rPr>
          <w:lang w:eastAsia="fr-FR" w:bidi="fr-FR"/>
        </w:rPr>
        <w:t>s</w:t>
      </w:r>
      <w:r w:rsidRPr="00011A46">
        <w:rPr>
          <w:lang w:eastAsia="fr-FR" w:bidi="fr-FR"/>
        </w:rPr>
        <w:t>témiques actuelles, ou à les prévenir, nous endossons l'h</w:t>
      </w:r>
      <w:r w:rsidRPr="00011A46">
        <w:rPr>
          <w:lang w:eastAsia="fr-FR" w:bidi="fr-FR"/>
        </w:rPr>
        <w:t>y</w:t>
      </w:r>
      <w:r w:rsidRPr="00011A46">
        <w:rPr>
          <w:lang w:eastAsia="fr-FR" w:bidi="fr-FR"/>
        </w:rPr>
        <w:t>pothèse que nous avons des relations obligées envers des g</w:t>
      </w:r>
      <w:r w:rsidRPr="00011A46">
        <w:rPr>
          <w:lang w:eastAsia="fr-FR" w:bidi="fr-FR"/>
        </w:rPr>
        <w:t>é</w:t>
      </w:r>
      <w:r w:rsidRPr="00011A46">
        <w:rPr>
          <w:lang w:eastAsia="fr-FR" w:bidi="fr-FR"/>
        </w:rPr>
        <w:t>nérations futures.</w:t>
      </w:r>
    </w:p>
    <w:p w:rsidR="00B7214C" w:rsidRPr="00011A46" w:rsidRDefault="00B7214C" w:rsidP="00B7214C">
      <w:pPr>
        <w:spacing w:before="120" w:after="120"/>
        <w:jc w:val="both"/>
      </w:pPr>
      <w:r w:rsidRPr="00011A46">
        <w:rPr>
          <w:lang w:eastAsia="fr-FR" w:bidi="fr-FR"/>
        </w:rPr>
        <w:t>La justice intergénérationnelle deviendrait l'art de disti</w:t>
      </w:r>
      <w:r w:rsidRPr="00011A46">
        <w:rPr>
          <w:lang w:eastAsia="fr-FR" w:bidi="fr-FR"/>
        </w:rPr>
        <w:t>n</w:t>
      </w:r>
      <w:r w:rsidRPr="00011A46">
        <w:rPr>
          <w:lang w:eastAsia="fr-FR" w:bidi="fr-FR"/>
        </w:rPr>
        <w:t>guer tant la séquence temporelle que les personnes ou les groupes qui auraient droit à une compensation ou à un traitement préférentiel. Elle exig</w:t>
      </w:r>
      <w:r w:rsidRPr="00011A46">
        <w:rPr>
          <w:lang w:eastAsia="fr-FR" w:bidi="fr-FR"/>
        </w:rPr>
        <w:t>e</w:t>
      </w:r>
      <w:r w:rsidRPr="00011A46">
        <w:rPr>
          <w:lang w:eastAsia="fr-FR" w:bidi="fr-FR"/>
        </w:rPr>
        <w:t>rait également que nous puissions justifier et démontrer qu'une certa</w:t>
      </w:r>
      <w:r w:rsidRPr="00011A46">
        <w:rPr>
          <w:lang w:eastAsia="fr-FR" w:bidi="fr-FR"/>
        </w:rPr>
        <w:t>i</w:t>
      </w:r>
      <w:r w:rsidRPr="00011A46">
        <w:rPr>
          <w:lang w:eastAsia="fr-FR" w:bidi="fr-FR"/>
        </w:rPr>
        <w:t>ne partialité dans l'a</w:t>
      </w:r>
      <w:r w:rsidRPr="00011A46">
        <w:rPr>
          <w:lang w:eastAsia="fr-FR" w:bidi="fr-FR"/>
        </w:rPr>
        <w:t>l</w:t>
      </w:r>
      <w:r w:rsidRPr="00011A46">
        <w:rPr>
          <w:lang w:eastAsia="fr-FR" w:bidi="fr-FR"/>
        </w:rPr>
        <w:t>location des biens et des charges ne viole pas les règles d'i</w:t>
      </w:r>
      <w:r w:rsidRPr="00011A46">
        <w:rPr>
          <w:lang w:eastAsia="fr-FR" w:bidi="fr-FR"/>
        </w:rPr>
        <w:t>m</w:t>
      </w:r>
      <w:r w:rsidRPr="00011A46">
        <w:rPr>
          <w:lang w:eastAsia="fr-FR" w:bidi="fr-FR"/>
        </w:rPr>
        <w:t>partialité que commande toute distribution. Même si cette dernière condition était remplie, demeurera entière la difficulté de r</w:t>
      </w:r>
      <w:r w:rsidRPr="00011A46">
        <w:rPr>
          <w:lang w:eastAsia="fr-FR" w:bidi="fr-FR"/>
        </w:rPr>
        <w:t>e</w:t>
      </w:r>
      <w:r w:rsidRPr="00011A46">
        <w:rPr>
          <w:lang w:eastAsia="fr-FR" w:bidi="fr-FR"/>
        </w:rPr>
        <w:t>pérer les contours de la génération ou de la cohorte à laquelle des pr</w:t>
      </w:r>
      <w:r w:rsidRPr="00011A46">
        <w:rPr>
          <w:lang w:eastAsia="fr-FR" w:bidi="fr-FR"/>
        </w:rPr>
        <w:t>é</w:t>
      </w:r>
      <w:r w:rsidRPr="00011A46">
        <w:rPr>
          <w:lang w:eastAsia="fr-FR" w:bidi="fr-FR"/>
        </w:rPr>
        <w:t>férences sont destinées. Pour répondre à ces questions difficiles, considérons d'abord la thèse qui affirme que toute éthique de la distr</w:t>
      </w:r>
      <w:r w:rsidRPr="00011A46">
        <w:rPr>
          <w:lang w:eastAsia="fr-FR" w:bidi="fr-FR"/>
        </w:rPr>
        <w:t>i</w:t>
      </w:r>
      <w:r w:rsidRPr="00011A46">
        <w:rPr>
          <w:lang w:eastAsia="fr-FR" w:bidi="fr-FR"/>
        </w:rPr>
        <w:t>bution ne peut être fondée que sur le présent. Elster (1992, p. 195 ss.) qui en fait l'analyse soutient que la justice n'est concernée que par des individus vivants et non ceux d'un autre temps, à moins que des di</w:t>
      </w:r>
      <w:r w:rsidRPr="00011A46">
        <w:rPr>
          <w:lang w:eastAsia="fr-FR" w:bidi="fr-FR"/>
        </w:rPr>
        <w:t>s</w:t>
      </w:r>
      <w:r w:rsidRPr="00011A46">
        <w:rPr>
          <w:lang w:eastAsia="fr-FR" w:bidi="fr-FR"/>
        </w:rPr>
        <w:t>criminations dans le passé n'aient laissé des traces dans le pr</w:t>
      </w:r>
      <w:r w:rsidRPr="00011A46">
        <w:rPr>
          <w:lang w:eastAsia="fr-FR" w:bidi="fr-FR"/>
        </w:rPr>
        <w:t>é</w:t>
      </w:r>
      <w:r w:rsidRPr="00011A46">
        <w:rPr>
          <w:lang w:eastAsia="fr-FR" w:bidi="fr-FR"/>
        </w:rPr>
        <w:t>sent. Dans un tel cas, on peut accepter l'idée des préférences, mais en ri</w:t>
      </w:r>
      <w:r w:rsidRPr="00011A46">
        <w:rPr>
          <w:lang w:eastAsia="fr-FR" w:bidi="fr-FR"/>
        </w:rPr>
        <w:t>s</w:t>
      </w:r>
      <w:r w:rsidRPr="00011A46">
        <w:rPr>
          <w:lang w:eastAsia="fr-FR" w:bidi="fr-FR"/>
        </w:rPr>
        <w:t>quant de violer un autre principe</w:t>
      </w:r>
      <w:r w:rsidRPr="00011A46">
        <w:t> :</w:t>
      </w:r>
      <w:r w:rsidRPr="00011A46">
        <w:rPr>
          <w:lang w:eastAsia="fr-FR" w:bidi="fr-FR"/>
        </w:rPr>
        <w:t xml:space="preserve"> la justice distr</w:t>
      </w:r>
      <w:r w:rsidRPr="00011A46">
        <w:rPr>
          <w:lang w:eastAsia="fr-FR" w:bidi="fr-FR"/>
        </w:rPr>
        <w:t>i</w:t>
      </w:r>
      <w:r w:rsidRPr="00011A46">
        <w:rPr>
          <w:lang w:eastAsia="fr-FR" w:bidi="fr-FR"/>
        </w:rPr>
        <w:t>butive n'a affaire qu'avec des individus et non des groupes. Procéder sur une base co</w:t>
      </w:r>
      <w:r w:rsidRPr="00011A46">
        <w:rPr>
          <w:lang w:eastAsia="fr-FR" w:bidi="fr-FR"/>
        </w:rPr>
        <w:t>l</w:t>
      </w:r>
      <w:r w:rsidRPr="00011A46">
        <w:rPr>
          <w:lang w:eastAsia="fr-FR" w:bidi="fr-FR"/>
        </w:rPr>
        <w:t>lective au nom de la réversibilité de la justice, peut entraîner une plus grande inégalité entre ind</w:t>
      </w:r>
      <w:r w:rsidRPr="00011A46">
        <w:rPr>
          <w:lang w:eastAsia="fr-FR" w:bidi="fr-FR"/>
        </w:rPr>
        <w:t>i</w:t>
      </w:r>
      <w:r w:rsidRPr="00011A46">
        <w:rPr>
          <w:lang w:eastAsia="fr-FR" w:bidi="fr-FR"/>
        </w:rPr>
        <w:t>vidus et dans chacun des groupes, malgré la justesse de</w:t>
      </w:r>
      <w:r>
        <w:rPr>
          <w:lang w:eastAsia="fr-FR" w:bidi="fr-FR"/>
        </w:rPr>
        <w:t xml:space="preserve"> [449] </w:t>
      </w:r>
      <w:r w:rsidRPr="00011A46">
        <w:rPr>
          <w:lang w:eastAsia="fr-FR" w:bidi="fr-FR"/>
        </w:rPr>
        <w:t>la demande des droits. Or, les dispositifs de l'action positive, standardisés et formels, diminuent la marge discrétio</w:t>
      </w:r>
      <w:r w:rsidRPr="00011A46">
        <w:rPr>
          <w:lang w:eastAsia="fr-FR" w:bidi="fr-FR"/>
        </w:rPr>
        <w:t>n</w:t>
      </w:r>
      <w:r w:rsidRPr="00011A46">
        <w:rPr>
          <w:lang w:eastAsia="fr-FR" w:bidi="fr-FR"/>
        </w:rPr>
        <w:t>naire de la décision allocative et de la formulation de critères individual</w:t>
      </w:r>
      <w:r w:rsidRPr="00011A46">
        <w:rPr>
          <w:lang w:eastAsia="fr-FR" w:bidi="fr-FR"/>
        </w:rPr>
        <w:t>i</w:t>
      </w:r>
      <w:r w:rsidRPr="00011A46">
        <w:rPr>
          <w:lang w:eastAsia="fr-FR" w:bidi="fr-FR"/>
        </w:rPr>
        <w:t>sants, entraînant les effets pervers signalés</w:t>
      </w:r>
      <w:r w:rsidRPr="00011A46">
        <w:t> :</w:t>
      </w:r>
      <w:r w:rsidRPr="00011A46">
        <w:rPr>
          <w:lang w:eastAsia="fr-FR" w:bidi="fr-FR"/>
        </w:rPr>
        <w:t xml:space="preserve"> ils ne réduisent pas néce</w:t>
      </w:r>
      <w:r w:rsidRPr="00011A46">
        <w:rPr>
          <w:lang w:eastAsia="fr-FR" w:bidi="fr-FR"/>
        </w:rPr>
        <w:t>s</w:t>
      </w:r>
      <w:r w:rsidRPr="00011A46">
        <w:rPr>
          <w:lang w:eastAsia="fr-FR" w:bidi="fr-FR"/>
        </w:rPr>
        <w:t>sairement la p</w:t>
      </w:r>
      <w:r w:rsidRPr="00011A46">
        <w:rPr>
          <w:lang w:eastAsia="fr-FR" w:bidi="fr-FR"/>
        </w:rPr>
        <w:t>o</w:t>
      </w:r>
      <w:r w:rsidRPr="00011A46">
        <w:rPr>
          <w:lang w:eastAsia="fr-FR" w:bidi="fr-FR"/>
        </w:rPr>
        <w:t>larisation ethnoraciale et catégorisent indûment celles et ceux qui relèvent de la prote</w:t>
      </w:r>
      <w:r w:rsidRPr="00011A46">
        <w:rPr>
          <w:lang w:eastAsia="fr-FR" w:bidi="fr-FR"/>
        </w:rPr>
        <w:t>c</w:t>
      </w:r>
      <w:r w:rsidRPr="00011A46">
        <w:rPr>
          <w:lang w:eastAsia="fr-FR" w:bidi="fr-FR"/>
        </w:rPr>
        <w:t>tion juridique de l'État. Elster (1992, p. 200) allègue aussi que tout transfert de biens fondé sur l'idée d'une responsabilité collective aboutit à traiter des générations successives comme si elles faisaient partie d'une même vie, mais aussi à appr</w:t>
      </w:r>
      <w:r w:rsidRPr="00011A46">
        <w:rPr>
          <w:lang w:eastAsia="fr-FR" w:bidi="fr-FR"/>
        </w:rPr>
        <w:t>é</w:t>
      </w:r>
      <w:r w:rsidRPr="00011A46">
        <w:rPr>
          <w:lang w:eastAsia="fr-FR" w:bidi="fr-FR"/>
        </w:rPr>
        <w:t>hender de manière indifférenciée les ancêtres et leurs desce</w:t>
      </w:r>
      <w:r w:rsidRPr="00011A46">
        <w:rPr>
          <w:lang w:eastAsia="fr-FR" w:bidi="fr-FR"/>
        </w:rPr>
        <w:t>n</w:t>
      </w:r>
      <w:r w:rsidRPr="00011A46">
        <w:rPr>
          <w:lang w:eastAsia="fr-FR" w:bidi="fr-FR"/>
        </w:rPr>
        <w:t>dants, qu'ils aient bénéficié ou non d'une discrimination avérée à l'encontre d'autrui. En bref, l'a</w:t>
      </w:r>
      <w:r w:rsidRPr="00011A46">
        <w:rPr>
          <w:lang w:eastAsia="fr-FR" w:bidi="fr-FR"/>
        </w:rPr>
        <w:t>u</w:t>
      </w:r>
      <w:r w:rsidRPr="00011A46">
        <w:rPr>
          <w:lang w:eastAsia="fr-FR" w:bidi="fr-FR"/>
        </w:rPr>
        <w:t>teur récuse qu'on puisse trouver des fondements logiques sur le terrain de la justice distributive pour valider une justice intergénérationnelle, à cause de la discontinuité historique qui limite notre respons</w:t>
      </w:r>
      <w:r w:rsidRPr="00011A46">
        <w:rPr>
          <w:lang w:eastAsia="fr-FR" w:bidi="fr-FR"/>
        </w:rPr>
        <w:t>a</w:t>
      </w:r>
      <w:r w:rsidRPr="00011A46">
        <w:rPr>
          <w:lang w:eastAsia="fr-FR" w:bidi="fr-FR"/>
        </w:rPr>
        <w:t>bilité face aux actions de générations disparues.</w:t>
      </w:r>
    </w:p>
    <w:p w:rsidR="00B7214C" w:rsidRPr="00011A46" w:rsidRDefault="00B7214C" w:rsidP="00B7214C">
      <w:pPr>
        <w:spacing w:before="120" w:after="120"/>
        <w:jc w:val="both"/>
      </w:pPr>
      <w:r w:rsidRPr="00011A46">
        <w:rPr>
          <w:lang w:eastAsia="fr-FR" w:bidi="fr-FR"/>
        </w:rPr>
        <w:t>Cette thèse est soumise à un débat contradictoire dans l'un des r</w:t>
      </w:r>
      <w:r w:rsidRPr="00011A46">
        <w:rPr>
          <w:lang w:eastAsia="fr-FR" w:bidi="fr-FR"/>
        </w:rPr>
        <w:t>a</w:t>
      </w:r>
      <w:r w:rsidRPr="00011A46">
        <w:rPr>
          <w:lang w:eastAsia="fr-FR" w:bidi="fr-FR"/>
        </w:rPr>
        <w:t>res livres qui s'affronte à la question de la justice entre groupes d'âge et générations (Laslett et Fishkin, 1992). Laslett soutient que nos obl</w:t>
      </w:r>
      <w:r w:rsidRPr="00011A46">
        <w:rPr>
          <w:lang w:eastAsia="fr-FR" w:bidi="fr-FR"/>
        </w:rPr>
        <w:t>i</w:t>
      </w:r>
      <w:r w:rsidRPr="00011A46">
        <w:rPr>
          <w:lang w:eastAsia="fr-FR" w:bidi="fr-FR"/>
        </w:rPr>
        <w:t>gations contractuelles se limitent aux générations futures, tandis que Sher (1992), admet que des torts</w:t>
      </w:r>
      <w:r>
        <w:rPr>
          <w:lang w:eastAsia="fr-FR" w:bidi="fr-FR"/>
        </w:rPr>
        <w:t xml:space="preserve"> anciens, symboli</w:t>
      </w:r>
      <w:r w:rsidRPr="00011A46">
        <w:rPr>
          <w:lang w:eastAsia="fr-FR" w:bidi="fr-FR"/>
        </w:rPr>
        <w:t>ques ou matériels, puissent être compensés si nous arrivions à clarifier les sources des torts, leur durée et leur portée. Ces arguments méritent qualific</w:t>
      </w:r>
      <w:r w:rsidRPr="00011A46">
        <w:rPr>
          <w:lang w:eastAsia="fr-FR" w:bidi="fr-FR"/>
        </w:rPr>
        <w:t>a</w:t>
      </w:r>
      <w:r w:rsidRPr="00011A46">
        <w:rPr>
          <w:lang w:eastAsia="fr-FR" w:bidi="fr-FR"/>
        </w:rPr>
        <w:t>tion.</w:t>
      </w:r>
    </w:p>
    <w:p w:rsidR="00B7214C" w:rsidRDefault="00B7214C" w:rsidP="00B7214C">
      <w:pPr>
        <w:spacing w:before="120" w:after="120"/>
        <w:jc w:val="both"/>
        <w:rPr>
          <w:lang w:eastAsia="fr-FR" w:bidi="fr-FR"/>
        </w:rPr>
      </w:pPr>
      <w:r w:rsidRPr="00011A46">
        <w:rPr>
          <w:lang w:eastAsia="fr-FR" w:bidi="fr-FR"/>
        </w:rPr>
        <w:t>Laslett (1992) récuse le poids de la responsabilité histor</w:t>
      </w:r>
      <w:r w:rsidRPr="00011A46">
        <w:rPr>
          <w:lang w:eastAsia="fr-FR" w:bidi="fr-FR"/>
        </w:rPr>
        <w:t>i</w:t>
      </w:r>
      <w:r w:rsidRPr="00011A46">
        <w:rPr>
          <w:lang w:eastAsia="fr-FR" w:bidi="fr-FR"/>
        </w:rPr>
        <w:t>que et de la culpabilité collective pour fonder le contrat inte</w:t>
      </w:r>
      <w:r w:rsidRPr="00011A46">
        <w:rPr>
          <w:lang w:eastAsia="fr-FR" w:bidi="fr-FR"/>
        </w:rPr>
        <w:t>r</w:t>
      </w:r>
      <w:r w:rsidRPr="00011A46">
        <w:rPr>
          <w:lang w:eastAsia="fr-FR" w:bidi="fr-FR"/>
        </w:rPr>
        <w:t>générationnel. Ce lien mettrait aux prises des générations qui ne peuvent répondre que de leurs actes et donc réparer les torts qu'elles ont commises ou qu'e</w:t>
      </w:r>
      <w:r w:rsidRPr="00011A46">
        <w:rPr>
          <w:lang w:eastAsia="fr-FR" w:bidi="fr-FR"/>
        </w:rPr>
        <w:t>l</w:t>
      </w:r>
      <w:r w:rsidRPr="00011A46">
        <w:rPr>
          <w:lang w:eastAsia="fr-FR" w:bidi="fr-FR"/>
        </w:rPr>
        <w:t>les sont susceptibles de commettre envers des générations futures. À cet égard, on peut justifier, au nom de notre commune humanité, des mesures qui assurent une distribution plus juste dans le futur. Les pr</w:t>
      </w:r>
      <w:r w:rsidRPr="00011A46">
        <w:rPr>
          <w:lang w:eastAsia="fr-FR" w:bidi="fr-FR"/>
        </w:rPr>
        <w:t>o</w:t>
      </w:r>
      <w:r w:rsidRPr="00011A46">
        <w:rPr>
          <w:lang w:eastAsia="fr-FR" w:bidi="fr-FR"/>
        </w:rPr>
        <w:t>grammes préférentiels au Canada trouveraient là une lég</w:t>
      </w:r>
      <w:r w:rsidRPr="00011A46">
        <w:rPr>
          <w:lang w:eastAsia="fr-FR" w:bidi="fr-FR"/>
        </w:rPr>
        <w:t>i</w:t>
      </w:r>
      <w:r w:rsidRPr="00011A46">
        <w:rPr>
          <w:lang w:eastAsia="fr-FR" w:bidi="fr-FR"/>
        </w:rPr>
        <w:t>timation, pour autant qu'on puisse démontrer que des actes répréhensibles de discrimination altèrent les conditions initi</w:t>
      </w:r>
      <w:r w:rsidRPr="00011A46">
        <w:rPr>
          <w:lang w:eastAsia="fr-FR" w:bidi="fr-FR"/>
        </w:rPr>
        <w:t>a</w:t>
      </w:r>
      <w:r w:rsidRPr="00011A46">
        <w:rPr>
          <w:lang w:eastAsia="fr-FR" w:bidi="fr-FR"/>
        </w:rPr>
        <w:t>les des rapports entre unités générationnelles. Par contre, dans des situations où sont invoquées des réparations pour des dommages dans le passé - aux États-Unis entre Blancs et Noirs en raison de l'esclavage, en Nouvelle-Zélande entre Pakeha et Maori à cause de la dépossession des autochtones ou enc</w:t>
      </w:r>
      <w:r w:rsidRPr="00011A46">
        <w:rPr>
          <w:lang w:eastAsia="fr-FR" w:bidi="fr-FR"/>
        </w:rPr>
        <w:t>o</w:t>
      </w:r>
      <w:r w:rsidRPr="00011A46">
        <w:rPr>
          <w:lang w:eastAsia="fr-FR" w:bidi="fr-FR"/>
        </w:rPr>
        <w:t>re, entre Allemands et Juifs à la suite du génocide perpétré par les n</w:t>
      </w:r>
      <w:r w:rsidRPr="00011A46">
        <w:rPr>
          <w:lang w:eastAsia="fr-FR" w:bidi="fr-FR"/>
        </w:rPr>
        <w:t>a</w:t>
      </w:r>
      <w:r w:rsidRPr="00011A46">
        <w:rPr>
          <w:lang w:eastAsia="fr-FR" w:bidi="fr-FR"/>
        </w:rPr>
        <w:t>zis - soutenir un transfert de culpabilité des générations mortes aux vivants, c'est assumer que l'ordre politique est construit sur une cont</w:t>
      </w:r>
      <w:r w:rsidRPr="00011A46">
        <w:rPr>
          <w:lang w:eastAsia="fr-FR" w:bidi="fr-FR"/>
        </w:rPr>
        <w:t>i</w:t>
      </w:r>
      <w:r w:rsidRPr="00011A46">
        <w:rPr>
          <w:lang w:eastAsia="fr-FR" w:bidi="fr-FR"/>
        </w:rPr>
        <w:t>nuité morale intemporelle et non sur la négociation politique qui a d'autres finalités et d'autres justifications. Laslett rejette donc l'hyp</w:t>
      </w:r>
      <w:r w:rsidRPr="00011A46">
        <w:rPr>
          <w:lang w:eastAsia="fr-FR" w:bidi="fr-FR"/>
        </w:rPr>
        <w:t>o</w:t>
      </w:r>
      <w:r w:rsidRPr="00011A46">
        <w:rPr>
          <w:lang w:eastAsia="fr-FR" w:bidi="fr-FR"/>
        </w:rPr>
        <w:t>thèse d'un contrat intergénérationnel rétrospectif, tout en admettant que nous puissions avoir une dette symbolique envers les vict</w:t>
      </w:r>
      <w:r w:rsidRPr="00011A46">
        <w:rPr>
          <w:lang w:eastAsia="fr-FR" w:bidi="fr-FR"/>
        </w:rPr>
        <w:t>i</w:t>
      </w:r>
      <w:r w:rsidRPr="00011A46">
        <w:rPr>
          <w:lang w:eastAsia="fr-FR" w:bidi="fr-FR"/>
        </w:rPr>
        <w:t>mes.</w:t>
      </w:r>
    </w:p>
    <w:p w:rsidR="00B7214C" w:rsidRPr="00011A46" w:rsidRDefault="00B7214C" w:rsidP="00B7214C">
      <w:pPr>
        <w:spacing w:before="120" w:after="120"/>
        <w:jc w:val="both"/>
      </w:pPr>
      <w:r>
        <w:t>[</w:t>
      </w:r>
      <w:r w:rsidRPr="00011A46">
        <w:rPr>
          <w:lang w:eastAsia="fr-FR" w:bidi="fr-FR"/>
        </w:rPr>
        <w:t>450</w:t>
      </w:r>
      <w:r>
        <w:rPr>
          <w:lang w:eastAsia="fr-FR" w:bidi="fr-FR"/>
        </w:rPr>
        <w:t>]</w:t>
      </w:r>
    </w:p>
    <w:p w:rsidR="00B7214C" w:rsidRPr="00011A46" w:rsidRDefault="00B7214C" w:rsidP="00B7214C">
      <w:pPr>
        <w:spacing w:before="120" w:after="120"/>
        <w:jc w:val="both"/>
      </w:pPr>
      <w:r w:rsidRPr="00011A46">
        <w:rPr>
          <w:lang w:eastAsia="fr-FR" w:bidi="fr-FR"/>
        </w:rPr>
        <w:t>Sher (1992) admet d'emblée le principe de la compensation. Il sp</w:t>
      </w:r>
      <w:r w:rsidRPr="00011A46">
        <w:rPr>
          <w:lang w:eastAsia="fr-FR" w:bidi="fr-FR"/>
        </w:rPr>
        <w:t>é</w:t>
      </w:r>
      <w:r w:rsidRPr="00011A46">
        <w:rPr>
          <w:lang w:eastAsia="fr-FR" w:bidi="fr-FR"/>
        </w:rPr>
        <w:t>cifie toutefois qu'en remontant dans le temps on pourrait poser que pour toute personne P, il y a des torts anciens qui lui ont été bénéf</w:t>
      </w:r>
      <w:r w:rsidRPr="00011A46">
        <w:rPr>
          <w:lang w:eastAsia="fr-FR" w:bidi="fr-FR"/>
        </w:rPr>
        <w:t>i</w:t>
      </w:r>
      <w:r w:rsidRPr="00011A46">
        <w:rPr>
          <w:lang w:eastAsia="fr-FR" w:bidi="fr-FR"/>
        </w:rPr>
        <w:t>ques et ont nui à d'autres, tandis que d'autres torts ont nui à P et ont été bénéfiques à d'autres (p. 50). Il en découle que la distribution des biens telle qu'elle est ne serait pas celle qui prévaudrait en l'absence de ces torts anciens. Que faire dès lors pour arbitrer entre des injustices historiques et comment déterminer un droit à l'indemnisation</w:t>
      </w:r>
      <w:r w:rsidRPr="00011A46">
        <w:t> ?</w:t>
      </w:r>
      <w:r w:rsidRPr="00011A46">
        <w:rPr>
          <w:lang w:eastAsia="fr-FR" w:bidi="fr-FR"/>
        </w:rPr>
        <w:t xml:space="preserve"> Rect</w:t>
      </w:r>
      <w:r w:rsidRPr="00011A46">
        <w:rPr>
          <w:lang w:eastAsia="fr-FR" w:bidi="fr-FR"/>
        </w:rPr>
        <w:t>i</w:t>
      </w:r>
      <w:r w:rsidRPr="00011A46">
        <w:rPr>
          <w:lang w:eastAsia="fr-FR" w:bidi="fr-FR"/>
        </w:rPr>
        <w:t>fier la situation, note l'auteur, implique un jug</w:t>
      </w:r>
      <w:r w:rsidRPr="00011A46">
        <w:rPr>
          <w:lang w:eastAsia="fr-FR" w:bidi="fr-FR"/>
        </w:rPr>
        <w:t>e</w:t>
      </w:r>
      <w:r w:rsidRPr="00011A46">
        <w:rPr>
          <w:lang w:eastAsia="fr-FR" w:bidi="fr-FR"/>
        </w:rPr>
        <w:t>ment normatif, celui de transférer les droits d'une personne tels qu'ils auraient été dans un monde sans tort, au monde a</w:t>
      </w:r>
      <w:r w:rsidRPr="00011A46">
        <w:rPr>
          <w:lang w:eastAsia="fr-FR" w:bidi="fr-FR"/>
        </w:rPr>
        <w:t>c</w:t>
      </w:r>
      <w:r w:rsidRPr="00011A46">
        <w:rPr>
          <w:lang w:eastAsia="fr-FR" w:bidi="fr-FR"/>
        </w:rPr>
        <w:t>tuel, en tenant compte successivement et alternativement des groupes en présence, de leurs actions et de leurs omissions. Une analyse juridique fine porte Sher (1992, p. 59) à con</w:t>
      </w:r>
      <w:r w:rsidRPr="00011A46">
        <w:rPr>
          <w:lang w:eastAsia="fr-FR" w:bidi="fr-FR"/>
        </w:rPr>
        <w:t>s</w:t>
      </w:r>
      <w:r w:rsidRPr="00011A46">
        <w:rPr>
          <w:lang w:eastAsia="fr-FR" w:bidi="fr-FR"/>
        </w:rPr>
        <w:t>tater que la transférabilité d'un droit à la réparation ira en d</w:t>
      </w:r>
      <w:r w:rsidRPr="00011A46">
        <w:rPr>
          <w:lang w:eastAsia="fr-FR" w:bidi="fr-FR"/>
        </w:rPr>
        <w:t>é</w:t>
      </w:r>
      <w:r w:rsidRPr="00011A46">
        <w:rPr>
          <w:lang w:eastAsia="fr-FR" w:bidi="fr-FR"/>
        </w:rPr>
        <w:t>croissant avec la succession des générations, à mesure que les torts invoqués perdent de leur acuité, dû aux actions ou omissions intervenues d</w:t>
      </w:r>
      <w:r w:rsidRPr="00011A46">
        <w:rPr>
          <w:lang w:eastAsia="fr-FR" w:bidi="fr-FR"/>
        </w:rPr>
        <w:t>e</w:t>
      </w:r>
      <w:r w:rsidRPr="00011A46">
        <w:rPr>
          <w:lang w:eastAsia="fr-FR" w:bidi="fr-FR"/>
        </w:rPr>
        <w:t>puis. 11 n'en demeure pas moins que, dans certains cas, les sources de ces droits, qui remontent à plusieurs siècles, ne sont pas seulement liées aux droits de propriété, mais tiennent aussi et surtout aux prat</w:t>
      </w:r>
      <w:r w:rsidRPr="00011A46">
        <w:rPr>
          <w:lang w:eastAsia="fr-FR" w:bidi="fr-FR"/>
        </w:rPr>
        <w:t>i</w:t>
      </w:r>
      <w:r w:rsidRPr="00011A46">
        <w:rPr>
          <w:lang w:eastAsia="fr-FR" w:bidi="fr-FR"/>
        </w:rPr>
        <w:t>ques de di</w:t>
      </w:r>
      <w:r w:rsidRPr="00011A46">
        <w:rPr>
          <w:lang w:eastAsia="fr-FR" w:bidi="fr-FR"/>
        </w:rPr>
        <w:t>s</w:t>
      </w:r>
      <w:r w:rsidRPr="00011A46">
        <w:rPr>
          <w:lang w:eastAsia="fr-FR" w:bidi="fr-FR"/>
        </w:rPr>
        <w:t>criminations récentes. Nous ne pouvons donc simplement faire comme si le poids du passé ne nous incombait aucun acte concret pour poser les conditions d'une reconnaissance mutuelle et restaurer les fondements politico-éthiques de la communauté.</w:t>
      </w:r>
    </w:p>
    <w:p w:rsidR="00B7214C" w:rsidRPr="00011A46" w:rsidRDefault="00B7214C" w:rsidP="00B7214C">
      <w:pPr>
        <w:spacing w:before="120" w:after="120"/>
        <w:jc w:val="both"/>
      </w:pPr>
      <w:r w:rsidRPr="00011A46">
        <w:rPr>
          <w:lang w:eastAsia="fr-FR" w:bidi="fr-FR"/>
        </w:rPr>
        <w:t>Arendt (1987) nous a alerté sur les tentatives de nous di</w:t>
      </w:r>
      <w:r w:rsidRPr="00011A46">
        <w:rPr>
          <w:lang w:eastAsia="fr-FR" w:bidi="fr-FR"/>
        </w:rPr>
        <w:t>s</w:t>
      </w:r>
      <w:r w:rsidRPr="00011A46">
        <w:rPr>
          <w:lang w:eastAsia="fr-FR" w:bidi="fr-FR"/>
        </w:rPr>
        <w:t>culper au nom du réalisme politique et de l'individualisme personnalisé de nos obligations envers des communautés opprimées, détruites ou enfe</w:t>
      </w:r>
      <w:r w:rsidRPr="00011A46">
        <w:rPr>
          <w:lang w:eastAsia="fr-FR" w:bidi="fr-FR"/>
        </w:rPr>
        <w:t>r</w:t>
      </w:r>
      <w:r w:rsidRPr="00011A46">
        <w:rPr>
          <w:lang w:eastAsia="fr-FR" w:bidi="fr-FR"/>
        </w:rPr>
        <w:t>mées dans la désolation et la perte de sens et des repères. May (1992) ainsi que Chaumont (1992) qui interprètent l'œuvre arendtienne sur la responsabilité historique, rejoignent à des degrés divers certaines pr</w:t>
      </w:r>
      <w:r w:rsidRPr="00011A46">
        <w:rPr>
          <w:lang w:eastAsia="fr-FR" w:bidi="fr-FR"/>
        </w:rPr>
        <w:t>o</w:t>
      </w:r>
      <w:r w:rsidRPr="00011A46">
        <w:rPr>
          <w:lang w:eastAsia="fr-FR" w:bidi="fr-FR"/>
        </w:rPr>
        <w:t xml:space="preserve">positions de philosophes nommés </w:t>
      </w:r>
      <w:r w:rsidRPr="00011A46">
        <w:t>« </w:t>
      </w:r>
      <w:r w:rsidRPr="00011A46">
        <w:rPr>
          <w:lang w:eastAsia="fr-FR" w:bidi="fr-FR"/>
        </w:rPr>
        <w:t>communautaires</w:t>
      </w:r>
      <w:r w:rsidRPr="00011A46">
        <w:t> »</w:t>
      </w:r>
      <w:r w:rsidRPr="00011A46">
        <w:rPr>
          <w:lang w:eastAsia="fr-FR" w:bidi="fr-FR"/>
        </w:rPr>
        <w:t>. Ceux-ci crit</w:t>
      </w:r>
      <w:r w:rsidRPr="00011A46">
        <w:rPr>
          <w:lang w:eastAsia="fr-FR" w:bidi="fr-FR"/>
        </w:rPr>
        <w:t>i</w:t>
      </w:r>
      <w:r w:rsidRPr="00011A46">
        <w:rPr>
          <w:lang w:eastAsia="fr-FR" w:bidi="fr-FR"/>
        </w:rPr>
        <w:t>quent l'individualisme libéral comme pensée de l'individu héroïque, capable de s'autodéterminer, ne répondant que de ses actes et ne d</w:t>
      </w:r>
      <w:r w:rsidRPr="00011A46">
        <w:rPr>
          <w:lang w:eastAsia="fr-FR" w:bidi="fr-FR"/>
        </w:rPr>
        <w:t>e</w:t>
      </w:r>
      <w:r w:rsidRPr="00011A46">
        <w:rPr>
          <w:lang w:eastAsia="fr-FR" w:bidi="fr-FR"/>
        </w:rPr>
        <w:t>vant être tenu responsable des projets et des pratiques de la ou des communautés où il est situé et dont il tire son identité. Or, soutient May (1992, n° 16, p. 152-153), partager les attitudes d'une comm</w:t>
      </w:r>
      <w:r w:rsidRPr="00011A46">
        <w:rPr>
          <w:lang w:eastAsia="fr-FR" w:bidi="fr-FR"/>
        </w:rPr>
        <w:t>u</w:t>
      </w:r>
      <w:r w:rsidRPr="00011A46">
        <w:rPr>
          <w:lang w:eastAsia="fr-FR" w:bidi="fr-FR"/>
        </w:rPr>
        <w:t>nauté - le racisme, par exemple - c'est être responsable individuell</w:t>
      </w:r>
      <w:r w:rsidRPr="00011A46">
        <w:rPr>
          <w:lang w:eastAsia="fr-FR" w:bidi="fr-FR"/>
        </w:rPr>
        <w:t>e</w:t>
      </w:r>
      <w:r w:rsidRPr="00011A46">
        <w:rPr>
          <w:lang w:eastAsia="fr-FR" w:bidi="fr-FR"/>
        </w:rPr>
        <w:t>ment des do</w:t>
      </w:r>
      <w:r w:rsidRPr="00011A46">
        <w:rPr>
          <w:lang w:eastAsia="fr-FR" w:bidi="fr-FR"/>
        </w:rPr>
        <w:t>m</w:t>
      </w:r>
      <w:r w:rsidRPr="00011A46">
        <w:rPr>
          <w:lang w:eastAsia="fr-FR" w:bidi="fr-FR"/>
        </w:rPr>
        <w:t>mages qui en résultent, même si nous ne sommes pas en cause directement. Admettre ainsi que nous avons des oblig</w:t>
      </w:r>
      <w:r w:rsidRPr="00011A46">
        <w:rPr>
          <w:lang w:eastAsia="fr-FR" w:bidi="fr-FR"/>
        </w:rPr>
        <w:t>a</w:t>
      </w:r>
      <w:r w:rsidRPr="00011A46">
        <w:rPr>
          <w:lang w:eastAsia="fr-FR" w:bidi="fr-FR"/>
        </w:rPr>
        <w:t>tions dans une communauté historiquement déterminée, c'est aussi assumer des torts qui ne sont pas notre œuvre et se p</w:t>
      </w:r>
      <w:r w:rsidRPr="00011A46">
        <w:rPr>
          <w:lang w:eastAsia="fr-FR" w:bidi="fr-FR"/>
        </w:rPr>
        <w:t>o</w:t>
      </w:r>
      <w:r w:rsidRPr="00011A46">
        <w:rPr>
          <w:lang w:eastAsia="fr-FR" w:bidi="fr-FR"/>
        </w:rPr>
        <w:t>ser comme légataires d'un héritage qui a contribué à faire ce que nous sommes, sans que nous l'ayons choisi (voir Cha</w:t>
      </w:r>
      <w:r w:rsidRPr="00011A46">
        <w:rPr>
          <w:lang w:eastAsia="fr-FR" w:bidi="fr-FR"/>
        </w:rPr>
        <w:t>u</w:t>
      </w:r>
      <w:r w:rsidRPr="00011A46">
        <w:rPr>
          <w:lang w:eastAsia="fr-FR" w:bidi="fr-FR"/>
        </w:rPr>
        <w:t>mont, 1992, p. 297). Une telle option recentre le débat sur le terrain moral et nous interpelle sur le prix que nous devons payer pour être membre d'une communauté, où le dial</w:t>
      </w:r>
      <w:r w:rsidRPr="00011A46">
        <w:rPr>
          <w:lang w:eastAsia="fr-FR" w:bidi="fr-FR"/>
        </w:rPr>
        <w:t>o</w:t>
      </w:r>
      <w:r w:rsidRPr="00011A46">
        <w:rPr>
          <w:lang w:eastAsia="fr-FR" w:bidi="fr-FR"/>
        </w:rPr>
        <w:t>gue ne s'instaure que si la plainte qui nous est adressée, trouve un écho dans notre volonté de remédier par</w:t>
      </w:r>
      <w:r>
        <w:rPr>
          <w:lang w:eastAsia="fr-FR" w:bidi="fr-FR"/>
        </w:rPr>
        <w:t xml:space="preserve"> [451] </w:t>
      </w:r>
      <w:r w:rsidRPr="00011A46">
        <w:rPr>
          <w:lang w:eastAsia="fr-FR" w:bidi="fr-FR"/>
        </w:rPr>
        <w:t>des actes concrets aux conséquences humaines et non n</w:t>
      </w:r>
      <w:r w:rsidRPr="00011A46">
        <w:rPr>
          <w:lang w:eastAsia="fr-FR" w:bidi="fr-FR"/>
        </w:rPr>
        <w:t>a</w:t>
      </w:r>
      <w:r w:rsidRPr="00011A46">
        <w:rPr>
          <w:lang w:eastAsia="fr-FR" w:bidi="fr-FR"/>
        </w:rPr>
        <w:t>turelles de nos actions ou omissions. La justice intergénérationnelle pour des c</w:t>
      </w:r>
      <w:r w:rsidRPr="00011A46">
        <w:rPr>
          <w:lang w:eastAsia="fr-FR" w:bidi="fr-FR"/>
        </w:rPr>
        <w:t>a</w:t>
      </w:r>
      <w:r w:rsidRPr="00011A46">
        <w:rPr>
          <w:lang w:eastAsia="fr-FR" w:bidi="fr-FR"/>
        </w:rPr>
        <w:t xml:space="preserve">tégories sociales enfermées dans la </w:t>
      </w:r>
      <w:r w:rsidRPr="00011A46">
        <w:t>« </w:t>
      </w:r>
      <w:r w:rsidRPr="00011A46">
        <w:rPr>
          <w:lang w:eastAsia="fr-FR" w:bidi="fr-FR"/>
        </w:rPr>
        <w:t>visibilité</w:t>
      </w:r>
      <w:r w:rsidRPr="00011A46">
        <w:t> »</w:t>
      </w:r>
      <w:r w:rsidRPr="00011A46">
        <w:rPr>
          <w:lang w:eastAsia="fr-FR" w:bidi="fr-FR"/>
        </w:rPr>
        <w:t xml:space="preserve"> ou la </w:t>
      </w:r>
      <w:r w:rsidRPr="00011A46">
        <w:t>« </w:t>
      </w:r>
      <w:r w:rsidRPr="00011A46">
        <w:rPr>
          <w:lang w:eastAsia="fr-FR" w:bidi="fr-FR"/>
        </w:rPr>
        <w:t>féminité</w:t>
      </w:r>
      <w:r w:rsidRPr="00011A46">
        <w:t> »</w:t>
      </w:r>
      <w:r w:rsidRPr="00011A46">
        <w:rPr>
          <w:lang w:eastAsia="fr-FR" w:bidi="fr-FR"/>
        </w:rPr>
        <w:t xml:space="preserve"> aurait un autre horizon que l'économisme triomphant, le juridisme positif ou l'individualisme d</w:t>
      </w:r>
      <w:r w:rsidRPr="00011A46">
        <w:rPr>
          <w:lang w:eastAsia="fr-FR" w:bidi="fr-FR"/>
        </w:rPr>
        <w:t>é</w:t>
      </w:r>
      <w:r w:rsidRPr="00011A46">
        <w:rPr>
          <w:lang w:eastAsia="fr-FR" w:bidi="fr-FR"/>
        </w:rPr>
        <w:t>lesté des limites morales.</w:t>
      </w:r>
    </w:p>
    <w:p w:rsidR="00B7214C" w:rsidRDefault="00B7214C" w:rsidP="00B7214C">
      <w:pPr>
        <w:spacing w:before="120" w:after="120"/>
        <w:jc w:val="both"/>
        <w:rPr>
          <w:lang w:eastAsia="fr-FR" w:bidi="fr-FR"/>
        </w:rPr>
      </w:pPr>
      <w:r w:rsidRPr="00011A46">
        <w:rPr>
          <w:lang w:eastAsia="fr-FR" w:bidi="fr-FR"/>
        </w:rPr>
        <w:t>Toutefois, accepter la thèse de l'assomption d'une respo</w:t>
      </w:r>
      <w:r w:rsidRPr="00011A46">
        <w:rPr>
          <w:lang w:eastAsia="fr-FR" w:bidi="fr-FR"/>
        </w:rPr>
        <w:t>n</w:t>
      </w:r>
      <w:r w:rsidRPr="00011A46">
        <w:rPr>
          <w:lang w:eastAsia="fr-FR" w:bidi="fr-FR"/>
        </w:rPr>
        <w:t>sabilité historique ne signifie guère que les modalités prat</w:t>
      </w:r>
      <w:r w:rsidRPr="00011A46">
        <w:rPr>
          <w:lang w:eastAsia="fr-FR" w:bidi="fr-FR"/>
        </w:rPr>
        <w:t>i</w:t>
      </w:r>
      <w:r w:rsidRPr="00011A46">
        <w:rPr>
          <w:lang w:eastAsia="fr-FR" w:bidi="fr-FR"/>
        </w:rPr>
        <w:t>ques des politiques de la différence cessent d'être ambiguës</w:t>
      </w:r>
      <w:r w:rsidRPr="00011A46">
        <w:t> :</w:t>
      </w:r>
      <w:r w:rsidRPr="00011A46">
        <w:rPr>
          <w:lang w:eastAsia="fr-FR" w:bidi="fr-FR"/>
        </w:rPr>
        <w:t xml:space="preserve"> comment reconnaître la vi</w:t>
      </w:r>
      <w:r w:rsidRPr="00011A46">
        <w:rPr>
          <w:lang w:eastAsia="fr-FR" w:bidi="fr-FR"/>
        </w:rPr>
        <w:t>c</w:t>
      </w:r>
      <w:r w:rsidRPr="00011A46">
        <w:rPr>
          <w:lang w:eastAsia="fr-FR" w:bidi="fr-FR"/>
        </w:rPr>
        <w:t>timisation de certains groupes sans la réitérer par le processus de r</w:t>
      </w:r>
      <w:r w:rsidRPr="00011A46">
        <w:rPr>
          <w:lang w:eastAsia="fr-FR" w:bidi="fr-FR"/>
        </w:rPr>
        <w:t>e</w:t>
      </w:r>
      <w:r w:rsidRPr="00011A46">
        <w:rPr>
          <w:lang w:eastAsia="fr-FR" w:bidi="fr-FR"/>
        </w:rPr>
        <w:t>connaissance</w:t>
      </w:r>
      <w:r w:rsidRPr="00011A46">
        <w:t> ?</w:t>
      </w:r>
      <w:r w:rsidRPr="00011A46">
        <w:rPr>
          <w:lang w:eastAsia="fr-FR" w:bidi="fr-FR"/>
        </w:rPr>
        <w:t xml:space="preserve"> L'unive</w:t>
      </w:r>
      <w:r w:rsidRPr="00011A46">
        <w:rPr>
          <w:lang w:eastAsia="fr-FR" w:bidi="fr-FR"/>
        </w:rPr>
        <w:t>r</w:t>
      </w:r>
      <w:r w:rsidRPr="00011A46">
        <w:rPr>
          <w:lang w:eastAsia="fr-FR" w:bidi="fr-FR"/>
        </w:rPr>
        <w:t>salisme réitératif proposé par Walzer (1992) admet success</w:t>
      </w:r>
      <w:r w:rsidRPr="00011A46">
        <w:rPr>
          <w:lang w:eastAsia="fr-FR" w:bidi="fr-FR"/>
        </w:rPr>
        <w:t>i</w:t>
      </w:r>
      <w:r w:rsidRPr="00011A46">
        <w:rPr>
          <w:lang w:eastAsia="fr-FR" w:bidi="fr-FR"/>
        </w:rPr>
        <w:t>vement le singulier et l'universel, une histoire à soi et des significations partagées avec d'autres qui dérivent de notre co</w:t>
      </w:r>
      <w:r w:rsidRPr="00011A46">
        <w:rPr>
          <w:lang w:eastAsia="fr-FR" w:bidi="fr-FR"/>
        </w:rPr>
        <w:t>m</w:t>
      </w:r>
      <w:r w:rsidRPr="00011A46">
        <w:rPr>
          <w:lang w:eastAsia="fr-FR" w:bidi="fr-FR"/>
        </w:rPr>
        <w:t>mune humanité. L'ascèse qui nous incombe, c'est moins de classifier ou d'hypostasier la différence ou encore de méconnaître sa signific</w:t>
      </w:r>
      <w:r w:rsidRPr="00011A46">
        <w:rPr>
          <w:lang w:eastAsia="fr-FR" w:bidi="fr-FR"/>
        </w:rPr>
        <w:t>a</w:t>
      </w:r>
      <w:r w:rsidRPr="00011A46">
        <w:rPr>
          <w:lang w:eastAsia="fr-FR" w:bidi="fr-FR"/>
        </w:rPr>
        <w:t>tion, que de reconnaître la part de l'autre en soi, d'écouter la quête d'authenticité et de justice qui émane de ces voix assourdies par l'hi</w:t>
      </w:r>
      <w:r w:rsidRPr="00011A46">
        <w:rPr>
          <w:lang w:eastAsia="fr-FR" w:bidi="fr-FR"/>
        </w:rPr>
        <w:t>s</w:t>
      </w:r>
      <w:r w:rsidRPr="00011A46">
        <w:rPr>
          <w:lang w:eastAsia="fr-FR" w:bidi="fr-FR"/>
        </w:rPr>
        <w:t>toire et qui revendiquent pour elles et les générations futures moins l'institutionnalisation des préférences et des différences qu'une indiff</w:t>
      </w:r>
      <w:r w:rsidRPr="00011A46">
        <w:rPr>
          <w:lang w:eastAsia="fr-FR" w:bidi="fr-FR"/>
        </w:rPr>
        <w:t>é</w:t>
      </w:r>
      <w:r w:rsidRPr="00011A46">
        <w:rPr>
          <w:lang w:eastAsia="fr-FR" w:bidi="fr-FR"/>
        </w:rPr>
        <w:t>rence soucieuse de leur altérité et de l'équivalence des droits.</w:t>
      </w:r>
    </w:p>
    <w:p w:rsidR="00B7214C" w:rsidRDefault="00B7214C" w:rsidP="00B7214C">
      <w:pPr>
        <w:pStyle w:val="p"/>
      </w:pPr>
      <w:r>
        <w:t>[452]</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p>
    <w:p w:rsidR="00B7214C" w:rsidRDefault="00B7214C" w:rsidP="00B7214C">
      <w:pPr>
        <w:pStyle w:val="p"/>
      </w:pPr>
      <w:r>
        <w:t>[453]</w:t>
      </w:r>
    </w:p>
    <w:p w:rsidR="00B7214C" w:rsidRPr="00011A46" w:rsidRDefault="00B7214C" w:rsidP="00B7214C">
      <w:pPr>
        <w:spacing w:before="120" w:after="120"/>
        <w:jc w:val="both"/>
      </w:pPr>
    </w:p>
    <w:p w:rsidR="00B7214C" w:rsidRDefault="00B7214C" w:rsidP="00B7214C">
      <w:pPr>
        <w:pStyle w:val="a"/>
      </w:pPr>
      <w:r w:rsidRPr="00011A46">
        <w:t>RÉFÉRENCES</w:t>
      </w:r>
    </w:p>
    <w:p w:rsidR="00B7214C" w:rsidRPr="00011A46" w:rsidRDefault="00B7214C" w:rsidP="00B7214C">
      <w:pPr>
        <w:spacing w:before="120" w:after="120"/>
        <w:jc w:val="both"/>
      </w:pPr>
    </w:p>
    <w:p w:rsidR="00B7214C" w:rsidRPr="00011A46" w:rsidRDefault="00B7214C" w:rsidP="00B7214C">
      <w:pPr>
        <w:spacing w:before="120" w:after="120"/>
        <w:jc w:val="both"/>
      </w:pPr>
      <w:r w:rsidRPr="00011A46">
        <w:t xml:space="preserve">Ackerman, B., </w:t>
      </w:r>
      <w:r w:rsidRPr="00BB7297">
        <w:rPr>
          <w:i/>
          <w:iCs/>
        </w:rPr>
        <w:t>Social Justice in the Liberal State,</w:t>
      </w:r>
      <w:r w:rsidRPr="00011A46">
        <w:t xml:space="preserve"> Yale University Press, New Haven, 1980.</w:t>
      </w:r>
    </w:p>
    <w:p w:rsidR="00B7214C" w:rsidRPr="00011A46" w:rsidRDefault="00B7214C" w:rsidP="00B7214C">
      <w:pPr>
        <w:spacing w:before="120" w:after="120"/>
        <w:jc w:val="both"/>
      </w:pPr>
      <w:r w:rsidRPr="00011A46">
        <w:t>Arendt, H., « Collective Responsabilité, dans J.W. Be</w:t>
      </w:r>
      <w:r w:rsidRPr="00011A46">
        <w:t>r</w:t>
      </w:r>
      <w:r w:rsidRPr="00011A46">
        <w:t xml:space="preserve">nauer (dir.), </w:t>
      </w:r>
      <w:r w:rsidRPr="00BB7297">
        <w:rPr>
          <w:i/>
          <w:iCs/>
        </w:rPr>
        <w:t>Amor Mundi. Explorations in the Faith and Thought of</w:t>
      </w:r>
      <w:r>
        <w:rPr>
          <w:i/>
          <w:iCs/>
        </w:rPr>
        <w:t xml:space="preserve"> </w:t>
      </w:r>
      <w:r w:rsidRPr="00BB7297">
        <w:rPr>
          <w:i/>
          <w:iCs/>
        </w:rPr>
        <w:t>Hannah Arendt,</w:t>
      </w:r>
      <w:r w:rsidRPr="00011A46">
        <w:t xml:space="preserve"> Martinus Nijhoff, Dordrecht, 1987.</w:t>
      </w:r>
    </w:p>
    <w:p w:rsidR="00B7214C" w:rsidRPr="00011A46" w:rsidRDefault="00B7214C" w:rsidP="00B7214C">
      <w:pPr>
        <w:spacing w:before="120" w:after="120"/>
        <w:jc w:val="both"/>
      </w:pPr>
      <w:r w:rsidRPr="00BB7297">
        <w:t xml:space="preserve">Bosset, P., </w:t>
      </w:r>
      <w:r w:rsidRPr="00011A46">
        <w:t>La discrimination indirecte dans le domaine de l'emploi</w:t>
      </w:r>
      <w:r w:rsidRPr="00BB7297">
        <w:t xml:space="preserve"> - </w:t>
      </w:r>
      <w:r w:rsidRPr="00011A46">
        <w:t>aspects juridiques.</w:t>
      </w:r>
      <w:r>
        <w:t xml:space="preserve"> </w:t>
      </w:r>
      <w:r w:rsidRPr="00011A46">
        <w:t>Collection Études et documents de recherche sur les droits et libe</w:t>
      </w:r>
      <w:r w:rsidRPr="00011A46">
        <w:t>r</w:t>
      </w:r>
      <w:r w:rsidRPr="00011A46">
        <w:t>tés, vol.</w:t>
      </w:r>
      <w:r>
        <w:t> </w:t>
      </w:r>
      <w:r w:rsidRPr="00011A46">
        <w:t>1. Montréal : Les Éditions Yvon Blais Inc., Montréal, 1989.</w:t>
      </w:r>
    </w:p>
    <w:p w:rsidR="00B7214C" w:rsidRPr="00011A46" w:rsidRDefault="00B7214C" w:rsidP="00B7214C">
      <w:pPr>
        <w:spacing w:before="120" w:after="120"/>
        <w:jc w:val="both"/>
      </w:pPr>
      <w:r w:rsidRPr="00011A46">
        <w:t xml:space="preserve">Boxill, B.R., </w:t>
      </w:r>
      <w:r w:rsidRPr="00BB7297">
        <w:rPr>
          <w:i/>
          <w:iCs/>
        </w:rPr>
        <w:t>Les Noirs et la justice sociale aux États-Unis,</w:t>
      </w:r>
      <w:r w:rsidRPr="00011A46">
        <w:t xml:space="preserve"> Presses universitaires de Nancy, Nancy, 1988.</w:t>
      </w:r>
    </w:p>
    <w:p w:rsidR="00B7214C" w:rsidRPr="00011A46" w:rsidRDefault="00B7214C" w:rsidP="00B7214C">
      <w:pPr>
        <w:spacing w:before="120" w:after="120"/>
        <w:jc w:val="both"/>
      </w:pPr>
      <w:r w:rsidRPr="00BB7297">
        <w:t xml:space="preserve">Chaumont, J.M., </w:t>
      </w:r>
      <w:r w:rsidRPr="00011A46">
        <w:t>Autour d'Auschwitz. De la critique de la mode</w:t>
      </w:r>
      <w:r w:rsidRPr="00011A46">
        <w:t>r</w:t>
      </w:r>
      <w:r w:rsidRPr="00011A46">
        <w:t>nité à l'assomption de la responsabilité historique : une lecture de Hannah Arendt,</w:t>
      </w:r>
      <w:r w:rsidRPr="00BB7297">
        <w:t xml:space="preserve"> Académie royale de Belgique, Bruxelles, 1992.</w:t>
      </w:r>
    </w:p>
    <w:p w:rsidR="00B7214C" w:rsidRPr="00011A46" w:rsidRDefault="00B7214C" w:rsidP="00B7214C">
      <w:pPr>
        <w:spacing w:before="120" w:after="120"/>
        <w:jc w:val="both"/>
      </w:pPr>
      <w:r w:rsidRPr="00011A46">
        <w:t xml:space="preserve">Cohen, M., T. Nagel et T. Scanlon, </w:t>
      </w:r>
      <w:r w:rsidRPr="00BB7297">
        <w:rPr>
          <w:i/>
          <w:iCs/>
        </w:rPr>
        <w:t>Equality and Preferential Treatment,</w:t>
      </w:r>
      <w:r w:rsidRPr="00011A46">
        <w:t xml:space="preserve"> Princeton University Press, Princeton, 1977.</w:t>
      </w:r>
    </w:p>
    <w:p w:rsidR="00B7214C" w:rsidRPr="00011A46" w:rsidRDefault="00B7214C" w:rsidP="00B7214C">
      <w:pPr>
        <w:spacing w:before="120" w:after="120"/>
        <w:jc w:val="both"/>
      </w:pPr>
      <w:r w:rsidRPr="00011A46">
        <w:t xml:space="preserve">Dupuy, J.P., </w:t>
      </w:r>
      <w:r w:rsidRPr="00BB7297">
        <w:rPr>
          <w:i/>
          <w:iCs/>
        </w:rPr>
        <w:t>L'envie et le sacrifice,</w:t>
      </w:r>
      <w:r w:rsidRPr="00011A46">
        <w:t xml:space="preserve"> Calmann-Lévy, Paris, 1992.</w:t>
      </w:r>
    </w:p>
    <w:p w:rsidR="00B7214C" w:rsidRPr="00011A46" w:rsidRDefault="00B7214C" w:rsidP="00B7214C">
      <w:pPr>
        <w:spacing w:before="120" w:after="120"/>
        <w:jc w:val="both"/>
      </w:pPr>
      <w:r w:rsidRPr="00011A46">
        <w:t xml:space="preserve">Dworkin, R., </w:t>
      </w:r>
      <w:r w:rsidRPr="00BB7297">
        <w:rPr>
          <w:i/>
          <w:iCs/>
        </w:rPr>
        <w:t>Taking Rights Seriously,</w:t>
      </w:r>
      <w:r w:rsidRPr="00011A46">
        <w:t xml:space="preserve"> Harvard University Press, Cambridge, 1977.</w:t>
      </w:r>
    </w:p>
    <w:p w:rsidR="00B7214C" w:rsidRPr="00011A46" w:rsidRDefault="00B7214C" w:rsidP="00B7214C">
      <w:pPr>
        <w:spacing w:before="120" w:after="120"/>
        <w:jc w:val="both"/>
      </w:pPr>
      <w:r w:rsidRPr="00011A46">
        <w:t xml:space="preserve">Elbaz, M. et R. Murbach, « Les droits d'autrui. Minorités, éthique et politique ». </w:t>
      </w:r>
      <w:r w:rsidRPr="00BB7297">
        <w:rPr>
          <w:i/>
          <w:iCs/>
        </w:rPr>
        <w:t>Cahiers de recherche éthique,</w:t>
      </w:r>
      <w:r w:rsidRPr="00011A46">
        <w:t xml:space="preserve"> 1991, vol.</w:t>
      </w:r>
      <w:r>
        <w:t> </w:t>
      </w:r>
      <w:r w:rsidRPr="00011A46">
        <w:t>16, p</w:t>
      </w:r>
      <w:r>
        <w:t>p</w:t>
      </w:r>
      <w:r w:rsidRPr="00011A46">
        <w:t>. 187-208.</w:t>
      </w:r>
    </w:p>
    <w:p w:rsidR="00B7214C" w:rsidRPr="00011A46" w:rsidRDefault="00B7214C" w:rsidP="00B7214C">
      <w:pPr>
        <w:spacing w:before="120" w:after="120"/>
        <w:jc w:val="both"/>
      </w:pPr>
      <w:r w:rsidRPr="00BB7297">
        <w:t xml:space="preserve">Elster, </w:t>
      </w:r>
      <w:r w:rsidRPr="00011A46">
        <w:t>]., Local Justice. How Institutions Allocate Scarce Goods and Necessary Burdens,</w:t>
      </w:r>
      <w:r w:rsidRPr="00BB7297">
        <w:t xml:space="preserve"> Russel Sage Foundation, New York, 1992.</w:t>
      </w:r>
    </w:p>
    <w:p w:rsidR="00B7214C" w:rsidRPr="00011A46" w:rsidRDefault="00B7214C" w:rsidP="00B7214C">
      <w:pPr>
        <w:spacing w:before="120" w:after="120"/>
        <w:jc w:val="both"/>
      </w:pPr>
      <w:r w:rsidRPr="00011A46">
        <w:t xml:space="preserve">Ezorsky, G., </w:t>
      </w:r>
      <w:r w:rsidRPr="00BB7297">
        <w:rPr>
          <w:i/>
          <w:iCs/>
        </w:rPr>
        <w:t>Racism and Justice. The Case for Affirmative Action,</w:t>
      </w:r>
      <w:r w:rsidRPr="00011A46">
        <w:t xml:space="preserve"> Cornell University Press, Ithaca, 1991.</w:t>
      </w:r>
    </w:p>
    <w:p w:rsidR="00B7214C" w:rsidRPr="00011A46" w:rsidRDefault="00B7214C" w:rsidP="00B7214C">
      <w:pPr>
        <w:spacing w:before="120" w:after="120"/>
        <w:jc w:val="both"/>
      </w:pPr>
      <w:r w:rsidRPr="00011A46">
        <w:t xml:space="preserve">Fiscus, R.J., </w:t>
      </w:r>
      <w:r w:rsidRPr="00BB7297">
        <w:rPr>
          <w:i/>
          <w:iCs/>
        </w:rPr>
        <w:t>The Constitutional Logic of Affirmative Action,</w:t>
      </w:r>
      <w:r w:rsidRPr="00011A46">
        <w:t xml:space="preserve"> Duke University Press, Durham, 1992.</w:t>
      </w:r>
    </w:p>
    <w:p w:rsidR="00B7214C" w:rsidRPr="00011A46" w:rsidRDefault="00B7214C" w:rsidP="00B7214C">
      <w:pPr>
        <w:spacing w:before="120" w:after="120"/>
        <w:jc w:val="both"/>
      </w:pPr>
      <w:r w:rsidRPr="00011A46">
        <w:t xml:space="preserve">Galston, W., </w:t>
      </w:r>
      <w:r w:rsidRPr="00BB7297">
        <w:rPr>
          <w:i/>
          <w:iCs/>
        </w:rPr>
        <w:t>Justice and the Human Good,</w:t>
      </w:r>
      <w:r w:rsidRPr="00011A46">
        <w:t xml:space="preserve"> Chicago Un</w:t>
      </w:r>
      <w:r w:rsidRPr="00011A46">
        <w:t>i</w:t>
      </w:r>
      <w:r w:rsidRPr="00011A46">
        <w:t>versity Press, Chicago, 1980.</w:t>
      </w:r>
    </w:p>
    <w:p w:rsidR="00B7214C" w:rsidRPr="00011A46" w:rsidRDefault="00B7214C" w:rsidP="00B7214C">
      <w:pPr>
        <w:spacing w:before="120" w:after="120"/>
        <w:jc w:val="both"/>
      </w:pPr>
      <w:r w:rsidRPr="00011A46">
        <w:t xml:space="preserve">Glazer, N., </w:t>
      </w:r>
      <w:r w:rsidRPr="00BB7297">
        <w:rPr>
          <w:i/>
          <w:iCs/>
        </w:rPr>
        <w:t>Affirmative Discrimination,</w:t>
      </w:r>
      <w:r w:rsidRPr="00011A46">
        <w:t xml:space="preserve"> Basic Books, New York, 1975.</w:t>
      </w:r>
    </w:p>
    <w:p w:rsidR="00B7214C" w:rsidRPr="00011A46" w:rsidRDefault="00B7214C" w:rsidP="00B7214C">
      <w:pPr>
        <w:spacing w:before="120" w:after="120"/>
        <w:jc w:val="both"/>
      </w:pPr>
      <w:r w:rsidRPr="00011A46">
        <w:t xml:space="preserve">Horowitz, D.L., </w:t>
      </w:r>
      <w:r w:rsidRPr="00BB7297">
        <w:rPr>
          <w:i/>
          <w:iCs/>
        </w:rPr>
        <w:t>Ethni</w:t>
      </w:r>
      <w:r>
        <w:rPr>
          <w:i/>
          <w:iCs/>
        </w:rPr>
        <w:t>c</w:t>
      </w:r>
      <w:r w:rsidRPr="00BB7297">
        <w:rPr>
          <w:i/>
          <w:iCs/>
        </w:rPr>
        <w:t xml:space="preserve"> Groups in Conflict,</w:t>
      </w:r>
      <w:r w:rsidRPr="00011A46">
        <w:t xml:space="preserve"> University of Califo</w:t>
      </w:r>
      <w:r w:rsidRPr="00011A46">
        <w:t>r</w:t>
      </w:r>
      <w:r w:rsidRPr="00011A46">
        <w:t>nia Press, Berkeley, 1985.</w:t>
      </w:r>
    </w:p>
    <w:p w:rsidR="00B7214C" w:rsidRPr="00011A46" w:rsidRDefault="00B7214C" w:rsidP="00B7214C">
      <w:pPr>
        <w:spacing w:before="120" w:after="120"/>
        <w:jc w:val="both"/>
      </w:pPr>
      <w:r w:rsidRPr="00011A46">
        <w:t xml:space="preserve">Kallen, E., </w:t>
      </w:r>
      <w:r w:rsidRPr="00BB7297">
        <w:rPr>
          <w:i/>
          <w:iCs/>
        </w:rPr>
        <w:t>Label</w:t>
      </w:r>
      <w:r>
        <w:t xml:space="preserve"> </w:t>
      </w:r>
      <w:r w:rsidRPr="00BB7297">
        <w:rPr>
          <w:i/>
        </w:rPr>
        <w:t>Me</w:t>
      </w:r>
      <w:r w:rsidRPr="00011A46">
        <w:t xml:space="preserve"> </w:t>
      </w:r>
      <w:r w:rsidRPr="00BB7297">
        <w:rPr>
          <w:i/>
          <w:iCs/>
        </w:rPr>
        <w:t>Human. Minority Rights of Stigmatized C</w:t>
      </w:r>
      <w:r w:rsidRPr="00BB7297">
        <w:rPr>
          <w:i/>
          <w:iCs/>
        </w:rPr>
        <w:t>a</w:t>
      </w:r>
      <w:r w:rsidRPr="00BB7297">
        <w:rPr>
          <w:i/>
          <w:iCs/>
        </w:rPr>
        <w:t>nadians,</w:t>
      </w:r>
      <w:r w:rsidRPr="00011A46">
        <w:t xml:space="preserve"> University of Toronto Press, Toronto, 1989.</w:t>
      </w:r>
    </w:p>
    <w:p w:rsidR="00B7214C" w:rsidRPr="00011A46" w:rsidRDefault="00B7214C" w:rsidP="00B7214C">
      <w:pPr>
        <w:spacing w:before="120" w:after="120"/>
        <w:jc w:val="both"/>
      </w:pPr>
      <w:r w:rsidRPr="00011A46">
        <w:t xml:space="preserve">Kymlicka, W., </w:t>
      </w:r>
      <w:r w:rsidRPr="00BB7297">
        <w:rPr>
          <w:i/>
          <w:iCs/>
        </w:rPr>
        <w:t>Liberalism, Community, and Culture,</w:t>
      </w:r>
      <w:r w:rsidRPr="00011A46">
        <w:t xml:space="preserve"> Cl</w:t>
      </w:r>
      <w:r w:rsidRPr="00011A46">
        <w:t>a</w:t>
      </w:r>
      <w:r w:rsidRPr="00011A46">
        <w:t>rendon Press, Oxford, 1991.</w:t>
      </w:r>
    </w:p>
    <w:p w:rsidR="00B7214C" w:rsidRPr="00011A46" w:rsidRDefault="00B7214C" w:rsidP="00B7214C">
      <w:pPr>
        <w:spacing w:before="120" w:after="120"/>
        <w:jc w:val="both"/>
      </w:pPr>
      <w:r w:rsidRPr="00011A46">
        <w:t xml:space="preserve">Laslett, P., « Is there a Generational Contract ? » dans P. Laslett et J.S. Fishkin (dir.). </w:t>
      </w:r>
      <w:r w:rsidRPr="00BB7297">
        <w:rPr>
          <w:i/>
          <w:iCs/>
        </w:rPr>
        <w:t>Justice Between Age Groups and G</w:t>
      </w:r>
      <w:r>
        <w:rPr>
          <w:i/>
          <w:iCs/>
        </w:rPr>
        <w:t>e</w:t>
      </w:r>
      <w:r w:rsidRPr="00BB7297">
        <w:rPr>
          <w:i/>
          <w:iCs/>
        </w:rPr>
        <w:t>n</w:t>
      </w:r>
      <w:r>
        <w:rPr>
          <w:i/>
          <w:iCs/>
        </w:rPr>
        <w:t>e</w:t>
      </w:r>
      <w:r w:rsidRPr="00BB7297">
        <w:rPr>
          <w:i/>
          <w:iCs/>
        </w:rPr>
        <w:t>rations,</w:t>
      </w:r>
      <w:r w:rsidRPr="00011A46">
        <w:t xml:space="preserve"> Yale University Press, New Haven, 1992, p</w:t>
      </w:r>
      <w:r>
        <w:t>p</w:t>
      </w:r>
      <w:r w:rsidRPr="00011A46">
        <w:t>. 24-47.</w:t>
      </w:r>
    </w:p>
    <w:p w:rsidR="00B7214C" w:rsidRPr="00011A46" w:rsidRDefault="00B7214C" w:rsidP="00B7214C">
      <w:pPr>
        <w:spacing w:before="120" w:after="120"/>
        <w:jc w:val="both"/>
      </w:pPr>
      <w:r w:rsidRPr="00011A46">
        <w:t xml:space="preserve">Laslett, P. et J.S. Fishkin (dir.), </w:t>
      </w:r>
      <w:r w:rsidRPr="00BB7297">
        <w:rPr>
          <w:i/>
          <w:iCs/>
        </w:rPr>
        <w:t>Justice Between Age Groups and Générations,</w:t>
      </w:r>
      <w:r w:rsidRPr="00011A46">
        <w:t xml:space="preserve"> Yale University Press, New Haven, 1992.</w:t>
      </w:r>
    </w:p>
    <w:p w:rsidR="00B7214C" w:rsidRPr="00011A46" w:rsidRDefault="00B7214C" w:rsidP="00B7214C">
      <w:pPr>
        <w:spacing w:before="120" w:after="120"/>
        <w:jc w:val="both"/>
      </w:pPr>
      <w:r w:rsidRPr="00BB7297">
        <w:t xml:space="preserve">Legendre, P., </w:t>
      </w:r>
      <w:r w:rsidRPr="00011A46">
        <w:t>Les enfants du texte. Étude sur la fonction parentale des États,</w:t>
      </w:r>
      <w:r w:rsidRPr="00BB7297">
        <w:t xml:space="preserve"> Leçons VI, Fayard, Paris, 1992.</w:t>
      </w:r>
    </w:p>
    <w:p w:rsidR="00B7214C" w:rsidRDefault="00B7214C" w:rsidP="00B7214C">
      <w:pPr>
        <w:spacing w:before="120" w:after="120"/>
        <w:jc w:val="both"/>
      </w:pPr>
      <w:r w:rsidRPr="00011A46">
        <w:t xml:space="preserve">Mahoney, K.E., « The Constitutional Law of Equality in Canada », </w:t>
      </w:r>
      <w:r w:rsidRPr="00BB7297">
        <w:rPr>
          <w:i/>
          <w:iCs/>
        </w:rPr>
        <w:t>New York University Journal of International Law and Politics,</w:t>
      </w:r>
      <w:r w:rsidRPr="00011A46">
        <w:t xml:space="preserve"> 1992, vol.</w:t>
      </w:r>
      <w:r>
        <w:t> </w:t>
      </w:r>
      <w:r w:rsidRPr="00011A46">
        <w:t>24, n°</w:t>
      </w:r>
      <w:r>
        <w:t> </w:t>
      </w:r>
      <w:r w:rsidRPr="00011A46">
        <w:t xml:space="preserve">2, </w:t>
      </w:r>
      <w:r>
        <w:t>p</w:t>
      </w:r>
      <w:r w:rsidRPr="00011A46">
        <w:t>p. 759-793.</w:t>
      </w:r>
    </w:p>
    <w:p w:rsidR="00B7214C" w:rsidRPr="00011A46" w:rsidRDefault="00B7214C" w:rsidP="00B7214C">
      <w:pPr>
        <w:spacing w:before="120" w:after="120"/>
        <w:jc w:val="both"/>
      </w:pPr>
      <w:r>
        <w:t>[454]</w:t>
      </w:r>
    </w:p>
    <w:p w:rsidR="00B7214C" w:rsidRPr="00011A46" w:rsidRDefault="00B7214C" w:rsidP="00B7214C">
      <w:pPr>
        <w:spacing w:before="120" w:after="120"/>
        <w:jc w:val="both"/>
      </w:pPr>
      <w:r w:rsidRPr="00011A46">
        <w:t xml:space="preserve">May, L., </w:t>
      </w:r>
      <w:r w:rsidRPr="00BB7297">
        <w:rPr>
          <w:i/>
          <w:iCs/>
        </w:rPr>
        <w:t>Sharing Responsibility,</w:t>
      </w:r>
      <w:r w:rsidRPr="00011A46">
        <w:t xml:space="preserve"> University of Chicago Press, Ch</w:t>
      </w:r>
      <w:r w:rsidRPr="00011A46">
        <w:t>i</w:t>
      </w:r>
      <w:r w:rsidRPr="00011A46">
        <w:t>cago, 1992.</w:t>
      </w:r>
    </w:p>
    <w:p w:rsidR="00B7214C" w:rsidRPr="00011A46" w:rsidRDefault="00B7214C" w:rsidP="00B7214C">
      <w:pPr>
        <w:spacing w:before="120" w:after="120"/>
        <w:jc w:val="both"/>
      </w:pPr>
      <w:r w:rsidRPr="00BB7297">
        <w:t xml:space="preserve">Miller, D., </w:t>
      </w:r>
      <w:r w:rsidRPr="00011A46">
        <w:t xml:space="preserve">Market, State and Community. Theoretical Foundations of Market Socialism, </w:t>
      </w:r>
      <w:r w:rsidRPr="00BB7297">
        <w:t>Clarendon Press, Oxford, 1989.</w:t>
      </w:r>
    </w:p>
    <w:p w:rsidR="00B7214C" w:rsidRPr="00011A46" w:rsidRDefault="00B7214C" w:rsidP="00B7214C">
      <w:pPr>
        <w:spacing w:before="120" w:after="120"/>
        <w:jc w:val="both"/>
      </w:pPr>
      <w:r w:rsidRPr="00011A46">
        <w:t xml:space="preserve">Minow, M., </w:t>
      </w:r>
      <w:r>
        <w:rPr>
          <w:i/>
          <w:iCs/>
        </w:rPr>
        <w:t>Making All</w:t>
      </w:r>
      <w:r w:rsidRPr="00BB7297">
        <w:rPr>
          <w:i/>
          <w:iCs/>
        </w:rPr>
        <w:t xml:space="preserve"> the Différence,</w:t>
      </w:r>
      <w:r w:rsidRPr="00011A46">
        <w:t xml:space="preserve"> Cornell Univers</w:t>
      </w:r>
      <w:r w:rsidRPr="00011A46">
        <w:t>i</w:t>
      </w:r>
      <w:r w:rsidRPr="00011A46">
        <w:t>ty Press, Ithaca, 1990.</w:t>
      </w:r>
    </w:p>
    <w:p w:rsidR="00B7214C" w:rsidRPr="00011A46" w:rsidRDefault="00B7214C" w:rsidP="00B7214C">
      <w:pPr>
        <w:spacing w:before="120" w:after="120"/>
        <w:jc w:val="both"/>
      </w:pPr>
      <w:r w:rsidRPr="00011A46">
        <w:t xml:space="preserve">Moynihan, D.P., </w:t>
      </w:r>
      <w:r w:rsidRPr="00BB7297">
        <w:rPr>
          <w:i/>
          <w:iCs/>
        </w:rPr>
        <w:t>Pandaemonium. Ethnicity in International Pol</w:t>
      </w:r>
      <w:r w:rsidRPr="00BB7297">
        <w:rPr>
          <w:i/>
          <w:iCs/>
        </w:rPr>
        <w:t>i</w:t>
      </w:r>
      <w:r w:rsidRPr="00BB7297">
        <w:rPr>
          <w:i/>
          <w:iCs/>
        </w:rPr>
        <w:t>tics,</w:t>
      </w:r>
      <w:r w:rsidRPr="00011A46">
        <w:t xml:space="preserve"> Oxford University Press, Oxford, 1993.</w:t>
      </w:r>
    </w:p>
    <w:p w:rsidR="00B7214C" w:rsidRPr="00011A46" w:rsidRDefault="00B7214C" w:rsidP="00B7214C">
      <w:pPr>
        <w:spacing w:before="120" w:after="120"/>
        <w:jc w:val="both"/>
      </w:pPr>
      <w:r w:rsidRPr="00011A46">
        <w:t>Niemi, F. et M. Salgado, « Minorities in Billboard Adve</w:t>
      </w:r>
      <w:r w:rsidRPr="00011A46">
        <w:t>r</w:t>
      </w:r>
      <w:r w:rsidRPr="00011A46">
        <w:t xml:space="preserve">tisements in Montreal's Subway Stations » </w:t>
      </w:r>
      <w:r w:rsidRPr="00BB7297">
        <w:rPr>
          <w:i/>
          <w:iCs/>
        </w:rPr>
        <w:t>Currents,</w:t>
      </w:r>
      <w:r w:rsidRPr="00011A46">
        <w:t xml:space="preserve"> 1989, vol.</w:t>
      </w:r>
      <w:r>
        <w:t> </w:t>
      </w:r>
      <w:r w:rsidRPr="00011A46">
        <w:t>5, n°</w:t>
      </w:r>
      <w:r>
        <w:t> </w:t>
      </w:r>
      <w:r w:rsidRPr="00011A46">
        <w:t>3, p</w:t>
      </w:r>
      <w:r>
        <w:t>p</w:t>
      </w:r>
      <w:r w:rsidRPr="00011A46">
        <w:t>. 27-28.</w:t>
      </w:r>
    </w:p>
    <w:p w:rsidR="00B7214C" w:rsidRPr="00011A46" w:rsidRDefault="00B7214C" w:rsidP="00B7214C">
      <w:pPr>
        <w:spacing w:before="120" w:after="120"/>
        <w:jc w:val="both"/>
      </w:pPr>
      <w:r w:rsidRPr="00011A46">
        <w:t xml:space="preserve">Nozick, R., </w:t>
      </w:r>
      <w:r w:rsidRPr="00BB7297">
        <w:rPr>
          <w:i/>
          <w:iCs/>
        </w:rPr>
        <w:t>Anarchy, State and Utopia,</w:t>
      </w:r>
      <w:r w:rsidRPr="00011A46">
        <w:t xml:space="preserve"> Basic Books, New York, 1974.</w:t>
      </w:r>
    </w:p>
    <w:p w:rsidR="00B7214C" w:rsidRPr="00011A46" w:rsidRDefault="00B7214C" w:rsidP="00B7214C">
      <w:pPr>
        <w:spacing w:before="120" w:after="120"/>
        <w:jc w:val="both"/>
      </w:pPr>
      <w:r w:rsidRPr="00011A46">
        <w:t xml:space="preserve">Okin, S.M., </w:t>
      </w:r>
      <w:r w:rsidRPr="00BB7297">
        <w:rPr>
          <w:i/>
          <w:iCs/>
        </w:rPr>
        <w:t>Justice, Gender and the Family,</w:t>
      </w:r>
      <w:r w:rsidRPr="00011A46">
        <w:t xml:space="preserve"> Basic Books, New York, 1989.</w:t>
      </w:r>
    </w:p>
    <w:p w:rsidR="00B7214C" w:rsidRPr="00011A46" w:rsidRDefault="00B7214C" w:rsidP="00B7214C">
      <w:pPr>
        <w:spacing w:before="120" w:after="120"/>
        <w:jc w:val="both"/>
      </w:pPr>
      <w:r w:rsidRPr="00BB7297">
        <w:t xml:space="preserve">Omi, M. et H. Winant, </w:t>
      </w:r>
      <w:r w:rsidRPr="00011A46">
        <w:t xml:space="preserve">Racial Formation in the United States : From the 1960s to the 1980s, </w:t>
      </w:r>
      <w:r w:rsidRPr="00BB7297">
        <w:t>Routledge, New York, 1986.</w:t>
      </w:r>
    </w:p>
    <w:p w:rsidR="00B7214C" w:rsidRPr="00011A46" w:rsidRDefault="00B7214C" w:rsidP="00B7214C">
      <w:pPr>
        <w:spacing w:before="120" w:after="120"/>
        <w:jc w:val="both"/>
      </w:pPr>
      <w:r w:rsidRPr="00011A46">
        <w:t xml:space="preserve">Pateman, C., </w:t>
      </w:r>
      <w:r w:rsidRPr="00BB7297">
        <w:rPr>
          <w:i/>
          <w:iCs/>
        </w:rPr>
        <w:t>The Sexual Contract,</w:t>
      </w:r>
      <w:r w:rsidRPr="00011A46">
        <w:t xml:space="preserve"> Stanford Unversity Press, Sta</w:t>
      </w:r>
      <w:r w:rsidRPr="00011A46">
        <w:t>n</w:t>
      </w:r>
      <w:r w:rsidRPr="00011A46">
        <w:t>ford, 1988.</w:t>
      </w:r>
    </w:p>
    <w:p w:rsidR="00B7214C" w:rsidRPr="00011A46" w:rsidRDefault="00B7214C" w:rsidP="00B7214C">
      <w:pPr>
        <w:spacing w:before="120" w:after="120"/>
        <w:jc w:val="both"/>
      </w:pPr>
      <w:r w:rsidRPr="00011A46">
        <w:t xml:space="preserve">Perelman, C. et P. Foriers, </w:t>
      </w:r>
      <w:r w:rsidRPr="00BB7297">
        <w:rPr>
          <w:i/>
          <w:iCs/>
        </w:rPr>
        <w:t>La motivation des décisions de justice,</w:t>
      </w:r>
      <w:r w:rsidRPr="00011A46">
        <w:t xml:space="preserve"> Établissements Émile Bruylant, 1978.</w:t>
      </w:r>
    </w:p>
    <w:p w:rsidR="00B7214C" w:rsidRPr="00011A46" w:rsidRDefault="00B7214C" w:rsidP="00B7214C">
      <w:pPr>
        <w:spacing w:before="120" w:after="120"/>
        <w:jc w:val="both"/>
      </w:pPr>
      <w:r w:rsidRPr="00011A46">
        <w:t xml:space="preserve">Perelman, C., </w:t>
      </w:r>
      <w:r w:rsidRPr="00BB7297">
        <w:rPr>
          <w:i/>
          <w:iCs/>
        </w:rPr>
        <w:t>Traité de l'argumentation,</w:t>
      </w:r>
      <w:r w:rsidRPr="00011A46">
        <w:t xml:space="preserve"> 2</w:t>
      </w:r>
      <w:r w:rsidRPr="00C5695B">
        <w:rPr>
          <w:vertAlign w:val="superscript"/>
        </w:rPr>
        <w:t>e</w:t>
      </w:r>
      <w:r w:rsidRPr="00011A46">
        <w:t xml:space="preserve"> éd., Éditions de l'Inst</w:t>
      </w:r>
      <w:r w:rsidRPr="00011A46">
        <w:t>i</w:t>
      </w:r>
      <w:r w:rsidRPr="00011A46">
        <w:t>tut de sociologie, Bruxelles, 1970.</w:t>
      </w:r>
    </w:p>
    <w:p w:rsidR="00B7214C" w:rsidRPr="00011A46" w:rsidRDefault="00B7214C" w:rsidP="00B7214C">
      <w:pPr>
        <w:spacing w:before="120" w:after="120"/>
        <w:jc w:val="both"/>
      </w:pPr>
      <w:r w:rsidRPr="00BB7297">
        <w:t xml:space="preserve">Porter, J., </w:t>
      </w:r>
      <w:r w:rsidRPr="00011A46">
        <w:t>The Measure of Canadian Society. Education, Equality, and Opportunity,</w:t>
      </w:r>
      <w:r w:rsidRPr="00BB7297">
        <w:t xml:space="preserve"> Sage, Agincourt, Ont., 1979.</w:t>
      </w:r>
    </w:p>
    <w:p w:rsidR="00B7214C" w:rsidRPr="00011A46" w:rsidRDefault="00B7214C" w:rsidP="00B7214C">
      <w:pPr>
        <w:spacing w:before="120" w:after="120"/>
        <w:jc w:val="both"/>
      </w:pPr>
      <w:r w:rsidRPr="00011A46">
        <w:t xml:space="preserve">Rawls, J., </w:t>
      </w:r>
      <w:r w:rsidRPr="00BB7297">
        <w:rPr>
          <w:i/>
          <w:iCs/>
        </w:rPr>
        <w:t>A Theory of justice,</w:t>
      </w:r>
      <w:r w:rsidRPr="00011A46">
        <w:t xml:space="preserve"> Harvard University Press, Cambri</w:t>
      </w:r>
      <w:r w:rsidRPr="00011A46">
        <w:t>d</w:t>
      </w:r>
      <w:r w:rsidRPr="00011A46">
        <w:t>ge, 1971.</w:t>
      </w:r>
    </w:p>
    <w:p w:rsidR="00B7214C" w:rsidRPr="00011A46" w:rsidRDefault="00B7214C" w:rsidP="00B7214C">
      <w:pPr>
        <w:spacing w:before="120" w:after="120"/>
        <w:jc w:val="both"/>
      </w:pPr>
      <w:r w:rsidRPr="00011A46">
        <w:t xml:space="preserve">Rex, J., </w:t>
      </w:r>
      <w:r w:rsidRPr="00BB7297">
        <w:rPr>
          <w:i/>
          <w:iCs/>
        </w:rPr>
        <w:t>Race and Ethnicity,</w:t>
      </w:r>
      <w:r w:rsidRPr="00011A46">
        <w:t xml:space="preserve"> Open University Press, Lo</w:t>
      </w:r>
      <w:r w:rsidRPr="00011A46">
        <w:t>n</w:t>
      </w:r>
      <w:r w:rsidRPr="00011A46">
        <w:t>dres, 1986.</w:t>
      </w:r>
    </w:p>
    <w:p w:rsidR="00B7214C" w:rsidRPr="00011A46" w:rsidRDefault="00B7214C" w:rsidP="00B7214C">
      <w:pPr>
        <w:spacing w:before="120" w:after="120"/>
        <w:jc w:val="both"/>
      </w:pPr>
      <w:r w:rsidRPr="00011A46">
        <w:t xml:space="preserve">Rosenberg, M., </w:t>
      </w:r>
      <w:r w:rsidRPr="00BB7297">
        <w:rPr>
          <w:i/>
          <w:iCs/>
        </w:rPr>
        <w:t>Affirmative Action and Justice,</w:t>
      </w:r>
      <w:r w:rsidRPr="00011A46">
        <w:t xml:space="preserve"> Yale Un</w:t>
      </w:r>
      <w:r w:rsidRPr="00011A46">
        <w:t>i</w:t>
      </w:r>
      <w:r w:rsidRPr="00011A46">
        <w:t>versity Press, New Haven, 1991.</w:t>
      </w:r>
    </w:p>
    <w:p w:rsidR="00B7214C" w:rsidRPr="00011A46" w:rsidRDefault="00B7214C" w:rsidP="00B7214C">
      <w:pPr>
        <w:spacing w:before="120" w:after="120"/>
        <w:jc w:val="both"/>
      </w:pPr>
      <w:r w:rsidRPr="00011A46">
        <w:t xml:space="preserve">Rothbard, M., </w:t>
      </w:r>
      <w:r w:rsidRPr="00BB7297">
        <w:rPr>
          <w:i/>
          <w:iCs/>
        </w:rPr>
        <w:t>L'éthique de la liberté,</w:t>
      </w:r>
      <w:r w:rsidRPr="00011A46">
        <w:t xml:space="preserve"> Les Belles Lettres, Paris, 1991.</w:t>
      </w:r>
    </w:p>
    <w:p w:rsidR="00B7214C" w:rsidRPr="00011A46" w:rsidRDefault="00B7214C" w:rsidP="00B7214C">
      <w:pPr>
        <w:spacing w:before="120" w:after="120"/>
        <w:jc w:val="both"/>
      </w:pPr>
      <w:r w:rsidRPr="00BB7297">
        <w:t xml:space="preserve">Schlesinger Jr., A.M., </w:t>
      </w:r>
      <w:r w:rsidRPr="00011A46">
        <w:t>The Disuniting of America. Refle</w:t>
      </w:r>
      <w:r w:rsidRPr="00011A46">
        <w:t>c</w:t>
      </w:r>
      <w:r w:rsidRPr="00011A46">
        <w:t>tions on a Multicultural Society,</w:t>
      </w:r>
      <w:r w:rsidRPr="00BB7297">
        <w:t xml:space="preserve"> W.W. Norton &amp; Company, New York, 1992.</w:t>
      </w:r>
    </w:p>
    <w:p w:rsidR="00B7214C" w:rsidRPr="00011A46" w:rsidRDefault="00B7214C" w:rsidP="00B7214C">
      <w:pPr>
        <w:spacing w:before="120" w:after="120"/>
        <w:jc w:val="both"/>
      </w:pPr>
      <w:r w:rsidRPr="00011A46">
        <w:t xml:space="preserve">Sher, G., « Ancient Wrongs and Modem Rights », dans P. Laslett et J.S. Fishkin (dir.), </w:t>
      </w:r>
      <w:r w:rsidRPr="00BB7297">
        <w:rPr>
          <w:i/>
          <w:iCs/>
        </w:rPr>
        <w:t>Justice Between Age Groups and G</w:t>
      </w:r>
      <w:r>
        <w:rPr>
          <w:i/>
          <w:iCs/>
        </w:rPr>
        <w:t>e</w:t>
      </w:r>
      <w:r w:rsidRPr="00BB7297">
        <w:rPr>
          <w:i/>
          <w:iCs/>
        </w:rPr>
        <w:t>n</w:t>
      </w:r>
      <w:r>
        <w:rPr>
          <w:i/>
          <w:iCs/>
        </w:rPr>
        <w:t>e</w:t>
      </w:r>
      <w:r w:rsidRPr="00BB7297">
        <w:rPr>
          <w:i/>
          <w:iCs/>
        </w:rPr>
        <w:t>rations,</w:t>
      </w:r>
      <w:r w:rsidRPr="00011A46">
        <w:t xml:space="preserve"> Yale University Press, New Haven, 1992, p</w:t>
      </w:r>
      <w:r>
        <w:t>p</w:t>
      </w:r>
      <w:r w:rsidRPr="00011A46">
        <w:t>. 48-61.</w:t>
      </w:r>
    </w:p>
    <w:p w:rsidR="00B7214C" w:rsidRPr="00011A46" w:rsidRDefault="00B7214C" w:rsidP="00B7214C">
      <w:pPr>
        <w:spacing w:before="120" w:after="120"/>
        <w:jc w:val="both"/>
      </w:pPr>
      <w:r w:rsidRPr="00011A46">
        <w:t xml:space="preserve">Sowell, T., </w:t>
      </w:r>
      <w:r w:rsidRPr="00BB7297">
        <w:rPr>
          <w:i/>
          <w:iCs/>
        </w:rPr>
        <w:t>Preferential Policies,</w:t>
      </w:r>
      <w:r w:rsidRPr="00011A46">
        <w:t xml:space="preserve"> William Horrow, New York, 1990.</w:t>
      </w:r>
    </w:p>
    <w:p w:rsidR="00B7214C" w:rsidRPr="00011A46" w:rsidRDefault="00B7214C" w:rsidP="00B7214C">
      <w:pPr>
        <w:spacing w:before="120" w:after="120"/>
        <w:jc w:val="both"/>
      </w:pPr>
      <w:r w:rsidRPr="00011A46">
        <w:t xml:space="preserve">Sowell, T., « Affirmative Action : A Worldwide Disaster », </w:t>
      </w:r>
      <w:r w:rsidRPr="00BB7297">
        <w:rPr>
          <w:i/>
          <w:iCs/>
        </w:rPr>
        <w:t>Co</w:t>
      </w:r>
      <w:r w:rsidRPr="00BB7297">
        <w:rPr>
          <w:i/>
          <w:iCs/>
        </w:rPr>
        <w:t>m</w:t>
      </w:r>
      <w:r w:rsidRPr="00BB7297">
        <w:rPr>
          <w:i/>
          <w:iCs/>
        </w:rPr>
        <w:t>mentary,</w:t>
      </w:r>
      <w:r w:rsidRPr="00011A46">
        <w:t xml:space="preserve"> décembre 1989, p</w:t>
      </w:r>
      <w:r>
        <w:t>p</w:t>
      </w:r>
      <w:r w:rsidRPr="00011A46">
        <w:t>. 21-41.</w:t>
      </w:r>
    </w:p>
    <w:p w:rsidR="00B7214C" w:rsidRPr="00011A46" w:rsidRDefault="00B7214C" w:rsidP="00B7214C">
      <w:pPr>
        <w:spacing w:before="120" w:after="120"/>
        <w:jc w:val="both"/>
      </w:pPr>
      <w:r w:rsidRPr="00BB7297">
        <w:t xml:space="preserve">Tambiah, S.J., </w:t>
      </w:r>
      <w:r w:rsidRPr="00C5695B">
        <w:rPr>
          <w:i/>
        </w:rPr>
        <w:t>Sri Lanka : Ethnic Fratricide and the Di</w:t>
      </w:r>
      <w:r w:rsidRPr="00C5695B">
        <w:rPr>
          <w:i/>
        </w:rPr>
        <w:t>s</w:t>
      </w:r>
      <w:r w:rsidRPr="00C5695B">
        <w:rPr>
          <w:i/>
        </w:rPr>
        <w:t>mantling of Democracy</w:t>
      </w:r>
      <w:r w:rsidRPr="00011A46">
        <w:t>,</w:t>
      </w:r>
      <w:r w:rsidRPr="00BB7297">
        <w:t xml:space="preserve"> University of Chicago Press, Chicago, 1986.</w:t>
      </w:r>
    </w:p>
    <w:p w:rsidR="00B7214C" w:rsidRPr="00011A46" w:rsidRDefault="00B7214C" w:rsidP="00B7214C">
      <w:pPr>
        <w:spacing w:before="120" w:after="120"/>
        <w:jc w:val="both"/>
      </w:pPr>
      <w:r w:rsidRPr="00BB7297">
        <w:t xml:space="preserve">Taylor, Ch. </w:t>
      </w:r>
      <w:r w:rsidRPr="00011A46">
        <w:t xml:space="preserve">et al., </w:t>
      </w:r>
      <w:r w:rsidRPr="00C5695B">
        <w:rPr>
          <w:i/>
        </w:rPr>
        <w:t>Multiculturalism and the « Politics of Recogn</w:t>
      </w:r>
      <w:r w:rsidRPr="00C5695B">
        <w:rPr>
          <w:i/>
        </w:rPr>
        <w:t>i</w:t>
      </w:r>
      <w:r w:rsidRPr="00C5695B">
        <w:rPr>
          <w:i/>
        </w:rPr>
        <w:t>tion »,</w:t>
      </w:r>
      <w:r w:rsidRPr="00BB7297">
        <w:t xml:space="preserve"> Princeton University Press, Princeton, 1992.</w:t>
      </w:r>
    </w:p>
    <w:p w:rsidR="00B7214C" w:rsidRPr="00011A46" w:rsidRDefault="00B7214C" w:rsidP="00B7214C">
      <w:pPr>
        <w:spacing w:before="120" w:after="120"/>
        <w:jc w:val="both"/>
      </w:pPr>
      <w:r w:rsidRPr="00011A46">
        <w:t xml:space="preserve">Van Dijk, T., </w:t>
      </w:r>
      <w:r w:rsidRPr="00BB7297">
        <w:rPr>
          <w:i/>
          <w:iCs/>
        </w:rPr>
        <w:t>Racism and the Press,</w:t>
      </w:r>
      <w:r w:rsidRPr="00011A46">
        <w:t xml:space="preserve"> Routledge, New York, 1991.</w:t>
      </w:r>
    </w:p>
    <w:p w:rsidR="00B7214C" w:rsidRPr="00011A46" w:rsidRDefault="00B7214C" w:rsidP="00B7214C">
      <w:pPr>
        <w:spacing w:before="120" w:after="120"/>
        <w:jc w:val="both"/>
      </w:pPr>
      <w:r w:rsidRPr="00011A46">
        <w:t xml:space="preserve">Wallerstein, I., </w:t>
      </w:r>
      <w:r w:rsidRPr="00BB7297">
        <w:rPr>
          <w:i/>
          <w:iCs/>
        </w:rPr>
        <w:t>Geopolitics and Geoculture. Essays on the Cha</w:t>
      </w:r>
      <w:r w:rsidRPr="00BB7297">
        <w:rPr>
          <w:i/>
          <w:iCs/>
        </w:rPr>
        <w:t>n</w:t>
      </w:r>
      <w:r w:rsidRPr="00BB7297">
        <w:rPr>
          <w:i/>
          <w:iCs/>
        </w:rPr>
        <w:t>ging World-System,</w:t>
      </w:r>
      <w:r w:rsidRPr="00011A46">
        <w:t xml:space="preserve"> Cambridge University, Presses et Éditions de la Maison des sciences de l'homme, New York, 1991.</w:t>
      </w:r>
    </w:p>
    <w:p w:rsidR="00B7214C" w:rsidRPr="00011A46" w:rsidRDefault="00B7214C" w:rsidP="00B7214C">
      <w:pPr>
        <w:spacing w:before="120" w:after="120"/>
        <w:jc w:val="both"/>
      </w:pPr>
      <w:r w:rsidRPr="00011A46">
        <w:t xml:space="preserve">Walzer, M., « Exclusion, Injustice, and the Démocratie State », </w:t>
      </w:r>
      <w:r w:rsidRPr="00BB7297">
        <w:rPr>
          <w:i/>
          <w:iCs/>
        </w:rPr>
        <w:t>Dissent,</w:t>
      </w:r>
      <w:r w:rsidRPr="00011A46">
        <w:t xml:space="preserve"> hiver 1993, </w:t>
      </w:r>
      <w:r>
        <w:t>p</w:t>
      </w:r>
      <w:r w:rsidRPr="00011A46">
        <w:t>p. 55-64.</w:t>
      </w:r>
    </w:p>
    <w:p w:rsidR="00B7214C" w:rsidRPr="00011A46" w:rsidRDefault="00B7214C" w:rsidP="00B7214C">
      <w:pPr>
        <w:spacing w:before="120" w:after="120"/>
        <w:jc w:val="both"/>
      </w:pPr>
      <w:r w:rsidRPr="00011A46">
        <w:t xml:space="preserve">Walzer, M., « Éloge du pluralisme démocratique », </w:t>
      </w:r>
      <w:r w:rsidRPr="00BB7297">
        <w:rPr>
          <w:i/>
          <w:iCs/>
        </w:rPr>
        <w:t>Esprit,</w:t>
      </w:r>
      <w:r w:rsidRPr="00011A46">
        <w:t xml:space="preserve"> mars-avril 1992, p</w:t>
      </w:r>
      <w:r>
        <w:t>p</w:t>
      </w:r>
      <w:r w:rsidRPr="00011A46">
        <w:t>. 123-129.</w:t>
      </w:r>
    </w:p>
    <w:p w:rsidR="00B7214C" w:rsidRDefault="00B7214C" w:rsidP="00B7214C">
      <w:pPr>
        <w:spacing w:before="120" w:after="120"/>
        <w:jc w:val="both"/>
      </w:pPr>
      <w:r w:rsidRPr="00011A46">
        <w:t xml:space="preserve">Williams, P.J., </w:t>
      </w:r>
      <w:r w:rsidRPr="00BB7297">
        <w:rPr>
          <w:i/>
          <w:iCs/>
        </w:rPr>
        <w:t>The Alchemy of</w:t>
      </w:r>
      <w:r>
        <w:rPr>
          <w:i/>
          <w:iCs/>
        </w:rPr>
        <w:t xml:space="preserve"> </w:t>
      </w:r>
      <w:r w:rsidRPr="00BB7297">
        <w:rPr>
          <w:i/>
          <w:iCs/>
        </w:rPr>
        <w:t>Race and Rights,</w:t>
      </w:r>
      <w:r w:rsidRPr="00011A46">
        <w:t xml:space="preserve"> Harvard Univers</w:t>
      </w:r>
      <w:r w:rsidRPr="00011A46">
        <w:t>i</w:t>
      </w:r>
      <w:r w:rsidRPr="00011A46">
        <w:t>ty Press, New York, 1991.</w:t>
      </w:r>
    </w:p>
    <w:p w:rsidR="00B7214C" w:rsidRPr="00011A46" w:rsidRDefault="00B7214C" w:rsidP="00B7214C">
      <w:pPr>
        <w:spacing w:before="120" w:after="120"/>
        <w:jc w:val="both"/>
      </w:pPr>
      <w:r>
        <w:t>[455]</w:t>
      </w:r>
    </w:p>
    <w:p w:rsidR="00B7214C" w:rsidRPr="00011A46" w:rsidRDefault="00B7214C" w:rsidP="00B7214C">
      <w:pPr>
        <w:spacing w:before="120" w:after="120"/>
        <w:jc w:val="both"/>
      </w:pPr>
      <w:r w:rsidRPr="00011A46">
        <w:t xml:space="preserve">Wilson, W.J., </w:t>
      </w:r>
      <w:r w:rsidRPr="00BB7297">
        <w:rPr>
          <w:i/>
          <w:iCs/>
        </w:rPr>
        <w:t>The Truly Disadvantaged,</w:t>
      </w:r>
      <w:r w:rsidRPr="00011A46">
        <w:t xml:space="preserve"> University of Chicago Press, Chicago, 1987.</w:t>
      </w:r>
    </w:p>
    <w:p w:rsidR="00B7214C" w:rsidRPr="00011A46" w:rsidRDefault="00B7214C" w:rsidP="00B7214C">
      <w:pPr>
        <w:spacing w:before="120" w:after="120"/>
        <w:jc w:val="both"/>
      </w:pPr>
      <w:r w:rsidRPr="00011A46">
        <w:t xml:space="preserve">Wilson, W.J., </w:t>
      </w:r>
      <w:r w:rsidRPr="00BB7297">
        <w:rPr>
          <w:i/>
          <w:iCs/>
        </w:rPr>
        <w:t>The Declining Significance of Race,</w:t>
      </w:r>
      <w:r w:rsidRPr="00011A46">
        <w:t xml:space="preserve"> Un</w:t>
      </w:r>
      <w:r w:rsidRPr="00011A46">
        <w:t>i</w:t>
      </w:r>
      <w:r w:rsidRPr="00011A46">
        <w:t>versity of Chicago Press, Chicago, 1979.</w:t>
      </w:r>
    </w:p>
    <w:p w:rsidR="00B7214C" w:rsidRPr="00011A46" w:rsidRDefault="00B7214C" w:rsidP="00B7214C">
      <w:pPr>
        <w:spacing w:before="120" w:after="120"/>
        <w:jc w:val="both"/>
      </w:pPr>
      <w:r w:rsidRPr="00011A46">
        <w:t xml:space="preserve">Young, R., </w:t>
      </w:r>
      <w:r w:rsidRPr="00BB7297">
        <w:rPr>
          <w:i/>
          <w:iCs/>
        </w:rPr>
        <w:t>The Politics of Différence,</w:t>
      </w:r>
      <w:r w:rsidRPr="00011A46">
        <w:t xml:space="preserve"> Princeton Univers</w:t>
      </w:r>
      <w:r w:rsidRPr="00011A46">
        <w:t>i</w:t>
      </w:r>
      <w:r w:rsidRPr="00011A46">
        <w:t>ty Press, Princeton, 1990</w:t>
      </w:r>
    </w:p>
    <w:p w:rsidR="00B7214C" w:rsidRDefault="00B7214C" w:rsidP="00B7214C">
      <w:pPr>
        <w:spacing w:before="120" w:after="120"/>
        <w:jc w:val="both"/>
      </w:pPr>
      <w:r w:rsidRPr="00011A46">
        <w:t>Young, R., « Affirmative Action and the Problem of Sub</w:t>
      </w:r>
      <w:r w:rsidRPr="00011A46">
        <w:t>s</w:t>
      </w:r>
      <w:r w:rsidRPr="00011A46">
        <w:t xml:space="preserve">tantive Racism », dans M.W. Combs et J. Gruhl (dir.), </w:t>
      </w:r>
      <w:r w:rsidRPr="00BB7297">
        <w:rPr>
          <w:i/>
          <w:iCs/>
        </w:rPr>
        <w:t xml:space="preserve">Affirmative Action : Theory, Analysis and Prospects, </w:t>
      </w:r>
      <w:r w:rsidRPr="00011A46">
        <w:t>McFarland, New York, 1986.</w:t>
      </w: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pStyle w:val="p"/>
      </w:pPr>
      <w:r>
        <w:t>[456]</w:t>
      </w:r>
    </w:p>
    <w:p w:rsidR="00B7214C" w:rsidRDefault="00B7214C" w:rsidP="00B7214C">
      <w:pPr>
        <w:pStyle w:val="p"/>
        <w:rPr>
          <w:lang w:eastAsia="fr-FR" w:bidi="fr-FR"/>
        </w:rPr>
      </w:pPr>
      <w:r w:rsidRPr="00011A46">
        <w:br w:type="page"/>
      </w:r>
      <w:r>
        <w:rPr>
          <w:lang w:eastAsia="fr-FR" w:bidi="fr-FR"/>
        </w:rPr>
        <w:t>[457]</w:t>
      </w:r>
    </w:p>
    <w:p w:rsidR="00B7214C" w:rsidRPr="00E07116" w:rsidRDefault="00B7214C" w:rsidP="00B7214C">
      <w:pPr>
        <w:jc w:val="both"/>
      </w:pPr>
    </w:p>
    <w:p w:rsidR="00B7214C" w:rsidRPr="00E07116" w:rsidRDefault="00B7214C" w:rsidP="00B7214C"/>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3" w:name="Entre_tradition_pt_3"/>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E07116" w:rsidRDefault="00B7214C" w:rsidP="00B7214C">
      <w:pPr>
        <w:jc w:val="both"/>
      </w:pPr>
    </w:p>
    <w:p w:rsidR="00B7214C" w:rsidRPr="00384B20" w:rsidRDefault="00B7214C" w:rsidP="00B7214C">
      <w:pPr>
        <w:pStyle w:val="partie"/>
        <w:jc w:val="center"/>
        <w:rPr>
          <w:sz w:val="72"/>
        </w:rPr>
      </w:pPr>
      <w:r>
        <w:rPr>
          <w:sz w:val="72"/>
        </w:rPr>
        <w:t>Troisième</w:t>
      </w:r>
      <w:r w:rsidRPr="00384B20">
        <w:rPr>
          <w:sz w:val="72"/>
        </w:rPr>
        <w:t xml:space="preserve"> partie</w:t>
      </w:r>
    </w:p>
    <w:p w:rsidR="00B7214C" w:rsidRPr="00E07116" w:rsidRDefault="00B7214C" w:rsidP="00B7214C">
      <w:pPr>
        <w:jc w:val="both"/>
      </w:pPr>
    </w:p>
    <w:p w:rsidR="00B7214C" w:rsidRPr="00384B20" w:rsidRDefault="00B7214C" w:rsidP="00B7214C">
      <w:pPr>
        <w:pStyle w:val="Titreniveau2"/>
      </w:pPr>
      <w:r>
        <w:t>LIEUX DES IDENTITÉS</w:t>
      </w:r>
      <w:r>
        <w:br/>
        <w:t>ET DE LA MÉMOIRE</w:t>
      </w:r>
    </w:p>
    <w:bookmarkEnd w:id="43"/>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E07116" w:rsidRDefault="00B7214C" w:rsidP="00B7214C">
      <w:pPr>
        <w:jc w:val="both"/>
      </w:pPr>
    </w:p>
    <w:p w:rsidR="00B7214C" w:rsidRPr="00011A46"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pStyle w:val="p"/>
      </w:pPr>
      <w:r>
        <w:t>[458]</w:t>
      </w:r>
    </w:p>
    <w:p w:rsidR="00B7214C" w:rsidRDefault="00B7214C" w:rsidP="00B7214C">
      <w:pPr>
        <w:jc w:val="both"/>
      </w:pPr>
      <w:r w:rsidRPr="00011A46">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4" w:name="Entre_tradition_pt_3_A"/>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TROISIÈME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A. LES ÉVÉNEMENTS CULTURELS</w:t>
      </w:r>
      <w:r>
        <w:rPr>
          <w:color w:val="FF0000"/>
          <w:sz w:val="32"/>
        </w:rPr>
        <w:br/>
        <w:t>EN RÉGION</w:t>
      </w:r>
    </w:p>
    <w:bookmarkEnd w:id="44"/>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pStyle w:val="p"/>
      </w:pPr>
      <w:r>
        <w:br w:type="page"/>
        <w:t>[459]</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5" w:name="Entre_tradition_pt_3_texte_3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LES ÉVÉNEMENTS CULTURELS EN RÉGION</w:t>
      </w:r>
    </w:p>
    <w:p w:rsidR="00B7214C" w:rsidRPr="00384B20" w:rsidRDefault="00B7214C" w:rsidP="00B7214C">
      <w:pPr>
        <w:pStyle w:val="Titreniveau1"/>
      </w:pPr>
      <w:r>
        <w:t>31</w:t>
      </w:r>
    </w:p>
    <w:p w:rsidR="00B7214C" w:rsidRDefault="00B7214C" w:rsidP="00B7214C">
      <w:pPr>
        <w:pStyle w:val="Titreniveau2"/>
      </w:pPr>
      <w:r>
        <w:t>“</w:t>
      </w:r>
      <w:r w:rsidRPr="00F50F4E">
        <w:t>Les événements artistiques en région,</w:t>
      </w:r>
      <w:r>
        <w:br/>
      </w:r>
      <w:r w:rsidRPr="00F50F4E">
        <w:t>au coeur de la postmodernité</w:t>
      </w:r>
      <w:r>
        <w:t>.”</w:t>
      </w:r>
    </w:p>
    <w:bookmarkEnd w:id="45"/>
    <w:p w:rsidR="00B7214C" w:rsidRPr="00E07116" w:rsidRDefault="00B7214C" w:rsidP="00B7214C">
      <w:pPr>
        <w:jc w:val="both"/>
        <w:rPr>
          <w:szCs w:val="36"/>
        </w:rPr>
      </w:pPr>
    </w:p>
    <w:p w:rsidR="00B7214C" w:rsidRPr="00E07116" w:rsidRDefault="00B7214C" w:rsidP="00B7214C">
      <w:pPr>
        <w:pStyle w:val="suite"/>
      </w:pPr>
      <w:r>
        <w:t>Par Andrée FORTIN</w:t>
      </w:r>
    </w:p>
    <w:p w:rsidR="00B7214C" w:rsidRPr="00E07116" w:rsidRDefault="00B7214C" w:rsidP="00B7214C">
      <w:pPr>
        <w:pStyle w:val="auteurst"/>
      </w:pPr>
      <w:r w:rsidRPr="004A7EF1">
        <w:t xml:space="preserve">Département de sociologie. Université Laval </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011A46" w:rsidRDefault="00B7214C" w:rsidP="00B7214C">
      <w:pPr>
        <w:spacing w:before="120" w:after="120"/>
        <w:jc w:val="both"/>
      </w:pPr>
      <w:r w:rsidRPr="00011A46">
        <w:t>La modernité culturelle a été caractérisée par la succe</w:t>
      </w:r>
      <w:r w:rsidRPr="00011A46">
        <w:t>s</w:t>
      </w:r>
      <w:r w:rsidRPr="00011A46">
        <w:t xml:space="preserve">sion des avant-gardes dans les métropoles artistiques, et ce qu'on a appelé la </w:t>
      </w:r>
      <w:r w:rsidRPr="00C5695B">
        <w:rPr>
          <w:i/>
          <w:iCs/>
        </w:rPr>
        <w:t>tradition du nouveau</w:t>
      </w:r>
      <w:r w:rsidRPr="00011A46">
        <w:t xml:space="preserve"> (Rosenberg, 1962). Dans cette perspective, tout ce qui n'est pas métropole est région, nécessairement en retard d'une révolution, voire lieu du régionalisme. C'est ainsi que Borduas ou Pe</w:t>
      </w:r>
      <w:r w:rsidRPr="00011A46">
        <w:t>l</w:t>
      </w:r>
      <w:r w:rsidRPr="00011A46">
        <w:t>lan, pour ne nommer que deux des plus illustres peintres québécois, qui</w:t>
      </w:r>
      <w:r w:rsidRPr="00011A46">
        <w:t>t</w:t>
      </w:r>
      <w:r w:rsidRPr="00011A46">
        <w:t>tent le Québec pour Paris dans les années 1950.</w:t>
      </w:r>
    </w:p>
    <w:p w:rsidR="00B7214C" w:rsidRDefault="00B7214C" w:rsidP="00B7214C">
      <w:pPr>
        <w:spacing w:before="120" w:after="120"/>
        <w:jc w:val="both"/>
      </w:pPr>
      <w:r w:rsidRPr="00011A46">
        <w:t>Si Montréal est provinciale en regard de l'activité artistique par</w:t>
      </w:r>
      <w:r w:rsidRPr="00011A46">
        <w:t>i</w:t>
      </w:r>
      <w:r w:rsidRPr="00011A46">
        <w:t>sienne ou new yorkaise, que dire des régions du Québec ? On pense immédiatement à un art figuratif, voire naïf, représentant la région dans un style « régional » par exemple celui des soeurs Bolduc de Charlevoix, ou encore celui de Villeneuve qui couvrit de fresques sa maison de Ch</w:t>
      </w:r>
      <w:r w:rsidRPr="00011A46">
        <w:t>i</w:t>
      </w:r>
      <w:r w:rsidRPr="00011A46">
        <w:t xml:space="preserve">coutimi. C'est un art populaire au sens de pratiqué par des autodidactes et non destiné - ou non destiné premièrement - au marché, quoique certains artistes « reconnus » peuvent y être associés, par exemple Clarence Gagnon (Gendreau, 1983). Les patenteux (De Grosbois </w:t>
      </w:r>
      <w:r w:rsidRPr="00C5695B">
        <w:rPr>
          <w:i/>
          <w:iCs/>
        </w:rPr>
        <w:t>et al,</w:t>
      </w:r>
      <w:r w:rsidRPr="00011A46">
        <w:t xml:space="preserve"> 1978) y sont assim</w:t>
      </w:r>
      <w:r w:rsidRPr="00011A46">
        <w:t>i</w:t>
      </w:r>
      <w:r w:rsidRPr="00011A46">
        <w:t>lés et en général la culture et l'art populaires, avec tout ce que ces termes comportent de péjoratif. Les artistes qui entendent s'inscrire dans l'art contemporain convergent vers les métr</w:t>
      </w:r>
      <w:r w:rsidRPr="00011A46">
        <w:t>o</w:t>
      </w:r>
      <w:r w:rsidRPr="00011A46">
        <w:t>poles, en effet, en région non seulement ils ne trouvent pas de milieu artistique, mais pas non plus d'amateurs ; les galeries d'art en région offrent cet art régional-régionaliste, car lui seul - ou presque - y trouve preneur (Fournier et Couture, 1983).</w:t>
      </w:r>
    </w:p>
    <w:p w:rsidR="00B7214C" w:rsidRPr="00011A46" w:rsidRDefault="00B7214C" w:rsidP="00B7214C">
      <w:pPr>
        <w:spacing w:before="120" w:after="120"/>
        <w:jc w:val="both"/>
      </w:pPr>
      <w:r>
        <w:rPr>
          <w:lang w:eastAsia="fr-FR" w:bidi="fr-FR"/>
        </w:rPr>
        <w:t>[460]</w:t>
      </w:r>
    </w:p>
    <w:p w:rsidR="00B7214C" w:rsidRPr="00011A46" w:rsidRDefault="00B7214C" w:rsidP="00B7214C">
      <w:pPr>
        <w:spacing w:before="120" w:after="120"/>
        <w:jc w:val="both"/>
        <w:rPr>
          <w:lang w:eastAsia="fr-FR" w:bidi="fr-FR"/>
        </w:rPr>
      </w:pPr>
      <w:r w:rsidRPr="00011A46">
        <w:rPr>
          <w:lang w:eastAsia="fr-FR" w:bidi="fr-FR"/>
        </w:rPr>
        <w:t xml:space="preserve">Or au Québec, depuis quelques années, un peu partout en région, fleurissent des manifestations artistiques, dont les plus connues sont certainement le </w:t>
      </w:r>
      <w:r w:rsidRPr="00C5695B">
        <w:rPr>
          <w:i/>
          <w:iCs/>
        </w:rPr>
        <w:t>Festival de musique actuelle de Victoriaville</w:t>
      </w:r>
      <w:r w:rsidRPr="00011A46">
        <w:rPr>
          <w:lang w:eastAsia="fr-FR" w:bidi="fr-FR"/>
        </w:rPr>
        <w:t xml:space="preserve"> (depuis 1983) et le </w:t>
      </w:r>
      <w:r w:rsidRPr="00C5695B">
        <w:rPr>
          <w:i/>
          <w:iCs/>
        </w:rPr>
        <w:t>Festival international du cinéma de Rouyn</w:t>
      </w:r>
      <w:r w:rsidRPr="00011A46">
        <w:rPr>
          <w:lang w:eastAsia="fr-FR" w:bidi="fr-FR"/>
        </w:rPr>
        <w:t xml:space="preserve"> (depuis 1982). Ces événements se tiennent parfois dans le même esprit que les fest</w:t>
      </w:r>
      <w:r w:rsidRPr="00011A46">
        <w:rPr>
          <w:lang w:eastAsia="fr-FR" w:bidi="fr-FR"/>
        </w:rPr>
        <w:t>i</w:t>
      </w:r>
      <w:r w:rsidRPr="00011A46">
        <w:rPr>
          <w:lang w:eastAsia="fr-FR" w:bidi="fr-FR"/>
        </w:rPr>
        <w:t xml:space="preserve">vals populaires (Chicoine </w:t>
      </w:r>
      <w:r w:rsidRPr="00C5695B">
        <w:rPr>
          <w:i/>
          <w:iCs/>
        </w:rPr>
        <w:t>et al,</w:t>
      </w:r>
      <w:r w:rsidRPr="00011A46">
        <w:rPr>
          <w:lang w:eastAsia="fr-FR" w:bidi="fr-FR"/>
        </w:rPr>
        <w:t xml:space="preserve"> 1982) : ainsi </w:t>
      </w:r>
      <w:r w:rsidRPr="00C5695B">
        <w:rPr>
          <w:i/>
          <w:iCs/>
        </w:rPr>
        <w:t>Tractions</w:t>
      </w:r>
      <w:r w:rsidRPr="00011A46">
        <w:rPr>
          <w:lang w:eastAsia="fr-FR" w:bidi="fr-FR"/>
        </w:rPr>
        <w:t xml:space="preserve"> (1991) en Ha</w:t>
      </w:r>
      <w:r w:rsidRPr="00011A46">
        <w:rPr>
          <w:lang w:eastAsia="fr-FR" w:bidi="fr-FR"/>
        </w:rPr>
        <w:t>u</w:t>
      </w:r>
      <w:r w:rsidRPr="00011A46">
        <w:rPr>
          <w:lang w:eastAsia="fr-FR" w:bidi="fr-FR"/>
        </w:rPr>
        <w:t xml:space="preserve">te-Beauce, ou </w:t>
      </w:r>
      <w:r w:rsidRPr="00C5695B">
        <w:rPr>
          <w:i/>
          <w:iCs/>
        </w:rPr>
        <w:t>Agrotexte</w:t>
      </w:r>
      <w:r w:rsidRPr="00011A46">
        <w:rPr>
          <w:lang w:eastAsia="fr-FR" w:bidi="fr-FR"/>
        </w:rPr>
        <w:t xml:space="preserve"> à Saint- Ubalde (Portneuf, 1982). S'y ench</w:t>
      </w:r>
      <w:r w:rsidRPr="00011A46">
        <w:rPr>
          <w:lang w:eastAsia="fr-FR" w:bidi="fr-FR"/>
        </w:rPr>
        <w:t>e</w:t>
      </w:r>
      <w:r w:rsidRPr="00011A46">
        <w:rPr>
          <w:lang w:eastAsia="fr-FR" w:bidi="fr-FR"/>
        </w:rPr>
        <w:t>vêtrent la logique culturelle et artistique d'avant-garde, celle de la fête régionale et de la promotion touristique et économique, mélange a priori aussi inusité que la rencontre d'un fer à repasser et d'un par</w:t>
      </w:r>
      <w:r w:rsidRPr="00011A46">
        <w:rPr>
          <w:lang w:eastAsia="fr-FR" w:bidi="fr-FR"/>
        </w:rPr>
        <w:t>a</w:t>
      </w:r>
      <w:r w:rsidRPr="00011A46">
        <w:rPr>
          <w:lang w:eastAsia="fr-FR" w:bidi="fr-FR"/>
        </w:rPr>
        <w:t>pluie sur une table de disse</w:t>
      </w:r>
      <w:r w:rsidRPr="00011A46">
        <w:rPr>
          <w:lang w:eastAsia="fr-FR" w:bidi="fr-FR"/>
        </w:rPr>
        <w:t>c</w:t>
      </w:r>
      <w:r w:rsidRPr="00011A46">
        <w:rPr>
          <w:lang w:eastAsia="fr-FR" w:bidi="fr-FR"/>
        </w:rPr>
        <w:t>tion. C'est ce que je souhaite éclairer ici.</w:t>
      </w:r>
    </w:p>
    <w:p w:rsidR="00B7214C" w:rsidRPr="00011A46" w:rsidRDefault="00B7214C" w:rsidP="00B7214C">
      <w:pPr>
        <w:spacing w:before="120" w:after="120"/>
        <w:jc w:val="both"/>
        <w:rPr>
          <w:lang w:eastAsia="fr-FR" w:bidi="fr-FR"/>
        </w:rPr>
      </w:pPr>
      <w:r w:rsidRPr="00011A46">
        <w:rPr>
          <w:lang w:eastAsia="fr-FR" w:bidi="fr-FR"/>
        </w:rPr>
        <w:t xml:space="preserve">À l'opposition entre l'art régional-régionaliste et l'avant-garde, une autre logique se superpose. Celle de la volonté des artistes de vivre et produire en région, à mettre en parallèle avec celle qui animait les </w:t>
      </w:r>
      <w:r w:rsidRPr="00C5695B">
        <w:rPr>
          <w:i/>
          <w:iCs/>
        </w:rPr>
        <w:t>Opérations-Dignité,</w:t>
      </w:r>
      <w:r w:rsidRPr="00011A46">
        <w:rPr>
          <w:lang w:eastAsia="fr-FR" w:bidi="fr-FR"/>
        </w:rPr>
        <w:t xml:space="preserve"> en 1970 dans les paroisses marginales du Bas-du-Fleuve, alors que la population s'est opposée à la fermeture de ces p</w:t>
      </w:r>
      <w:r w:rsidRPr="00011A46">
        <w:rPr>
          <w:lang w:eastAsia="fr-FR" w:bidi="fr-FR"/>
        </w:rPr>
        <w:t>a</w:t>
      </w:r>
      <w:r w:rsidRPr="00011A46">
        <w:rPr>
          <w:lang w:eastAsia="fr-FR" w:bidi="fr-FR"/>
        </w:rPr>
        <w:t>roisses et a entr</w:t>
      </w:r>
      <w:r w:rsidRPr="00011A46">
        <w:rPr>
          <w:lang w:eastAsia="fr-FR" w:bidi="fr-FR"/>
        </w:rPr>
        <w:t>e</w:t>
      </w:r>
      <w:r w:rsidRPr="00011A46">
        <w:rPr>
          <w:lang w:eastAsia="fr-FR" w:bidi="fr-FR"/>
        </w:rPr>
        <w:t>pris un programme de sylviculture (Gagnon, 1981 et 1985). Si les galeries ne peuvent faire vivre des artistes « contemporains » en région, d'autres institutions le perme</w:t>
      </w:r>
      <w:r w:rsidRPr="00011A46">
        <w:rPr>
          <w:lang w:eastAsia="fr-FR" w:bidi="fr-FR"/>
        </w:rPr>
        <w:t>t</w:t>
      </w:r>
      <w:r w:rsidRPr="00011A46">
        <w:rPr>
          <w:lang w:eastAsia="fr-FR" w:bidi="fr-FR"/>
        </w:rPr>
        <w:t>tent : l'Université du Québec et les nombreux cégeps qui o</w:t>
      </w:r>
      <w:r w:rsidRPr="00011A46">
        <w:rPr>
          <w:lang w:eastAsia="fr-FR" w:bidi="fr-FR"/>
        </w:rPr>
        <w:t>f</w:t>
      </w:r>
      <w:r w:rsidRPr="00011A46">
        <w:rPr>
          <w:lang w:eastAsia="fr-FR" w:bidi="fr-FR"/>
        </w:rPr>
        <w:t>frent des cours en art ou en histoire de l'art ; la recherche a</w:t>
      </w:r>
      <w:r w:rsidRPr="00011A46">
        <w:rPr>
          <w:lang w:eastAsia="fr-FR" w:bidi="fr-FR"/>
        </w:rPr>
        <w:t>r</w:t>
      </w:r>
      <w:r w:rsidRPr="00011A46">
        <w:rPr>
          <w:lang w:eastAsia="fr-FR" w:bidi="fr-FR"/>
        </w:rPr>
        <w:t>tistique y est encouragée, des expositions, ateliers, colloques, etc. s'y tiennent ; parfois cela d</w:t>
      </w:r>
      <w:r w:rsidRPr="00011A46">
        <w:rPr>
          <w:lang w:eastAsia="fr-FR" w:bidi="fr-FR"/>
        </w:rPr>
        <w:t>é</w:t>
      </w:r>
      <w:r w:rsidRPr="00011A46">
        <w:rPr>
          <w:lang w:eastAsia="fr-FR" w:bidi="fr-FR"/>
        </w:rPr>
        <w:t>bouche sur la création d'un regroupement d'artistes (</w:t>
      </w:r>
      <w:r w:rsidRPr="00C5695B">
        <w:rPr>
          <w:i/>
          <w:iCs/>
        </w:rPr>
        <w:t>Langage +</w:t>
      </w:r>
      <w:r w:rsidRPr="00011A46">
        <w:rPr>
          <w:lang w:eastAsia="fr-FR" w:bidi="fr-FR"/>
        </w:rPr>
        <w:t xml:space="preserve"> à A</w:t>
      </w:r>
      <w:r w:rsidRPr="00011A46">
        <w:rPr>
          <w:lang w:eastAsia="fr-FR" w:bidi="fr-FR"/>
        </w:rPr>
        <w:t>l</w:t>
      </w:r>
      <w:r w:rsidRPr="00011A46">
        <w:rPr>
          <w:lang w:eastAsia="fr-FR" w:bidi="fr-FR"/>
        </w:rPr>
        <w:t xml:space="preserve">ma par exemple) ou d'un centre d'artistes comme la </w:t>
      </w:r>
      <w:r w:rsidRPr="00C5695B">
        <w:rPr>
          <w:i/>
          <w:iCs/>
        </w:rPr>
        <w:t>Galerie d'art de Matane.</w:t>
      </w:r>
      <w:r w:rsidRPr="00011A46">
        <w:rPr>
          <w:lang w:eastAsia="fr-FR" w:bidi="fr-FR"/>
        </w:rPr>
        <w:t xml:space="preserve"> Mentionnons aussi les Conseils régionaux de la culture. S</w:t>
      </w:r>
      <w:r w:rsidRPr="00011A46">
        <w:rPr>
          <w:lang w:eastAsia="fr-FR" w:bidi="fr-FR"/>
        </w:rPr>
        <w:t>e</w:t>
      </w:r>
      <w:r w:rsidRPr="00011A46">
        <w:rPr>
          <w:lang w:eastAsia="fr-FR" w:bidi="fr-FR"/>
        </w:rPr>
        <w:t>lon plusieurs, la dynamique culturelle pourrait être la clé d'un reno</w:t>
      </w:r>
      <w:r w:rsidRPr="00011A46">
        <w:rPr>
          <w:lang w:eastAsia="fr-FR" w:bidi="fr-FR"/>
        </w:rPr>
        <w:t>u</w:t>
      </w:r>
      <w:r w:rsidRPr="00011A46">
        <w:rPr>
          <w:lang w:eastAsia="fr-FR" w:bidi="fr-FR"/>
        </w:rPr>
        <w:t xml:space="preserve">veau du développement régional : c'est d'abord dans la culture que s'affirme l'identité, comme expression d'un passé, d'une histoire mais aussi d'un projet (Bassand, 1990 ; Rossel </w:t>
      </w:r>
      <w:r w:rsidRPr="00C5695B">
        <w:rPr>
          <w:i/>
          <w:iCs/>
        </w:rPr>
        <w:t>et al,</w:t>
      </w:r>
      <w:r w:rsidRPr="00011A46">
        <w:rPr>
          <w:lang w:eastAsia="fr-FR" w:bidi="fr-FR"/>
        </w:rPr>
        <w:t xml:space="preserve"> 1990 ; Conseil des a</w:t>
      </w:r>
      <w:r w:rsidRPr="00011A46">
        <w:rPr>
          <w:lang w:eastAsia="fr-FR" w:bidi="fr-FR"/>
        </w:rPr>
        <w:t>f</w:t>
      </w:r>
      <w:r w:rsidRPr="00011A46">
        <w:rPr>
          <w:lang w:eastAsia="fr-FR" w:bidi="fr-FR"/>
        </w:rPr>
        <w:t>faires sociales, 1992). En effet, pour en saisir toutes les dimensions, il faut situer cette effe</w:t>
      </w:r>
      <w:r w:rsidRPr="00011A46">
        <w:rPr>
          <w:lang w:eastAsia="fr-FR" w:bidi="fr-FR"/>
        </w:rPr>
        <w:t>r</w:t>
      </w:r>
      <w:r w:rsidRPr="00011A46">
        <w:rPr>
          <w:lang w:eastAsia="fr-FR" w:bidi="fr-FR"/>
        </w:rPr>
        <w:t>vescence culturelle régionale sur fond de crise de développement (Klein et Gagnon, 1989 ; Conseil des affaires soci</w:t>
      </w:r>
      <w:r w:rsidRPr="00011A46">
        <w:rPr>
          <w:lang w:eastAsia="fr-FR" w:bidi="fr-FR"/>
        </w:rPr>
        <w:t>a</w:t>
      </w:r>
      <w:r w:rsidRPr="00011A46">
        <w:rPr>
          <w:lang w:eastAsia="fr-FR" w:bidi="fr-FR"/>
        </w:rPr>
        <w:t>les, 1989 ; Côté, 1991 ; Gagnon et Klein, 1992).</w:t>
      </w:r>
    </w:p>
    <w:p w:rsidR="00B7214C" w:rsidRDefault="00B7214C" w:rsidP="00B7214C">
      <w:pPr>
        <w:spacing w:before="120" w:after="120"/>
        <w:jc w:val="both"/>
        <w:rPr>
          <w:lang w:eastAsia="fr-FR" w:bidi="fr-FR"/>
        </w:rPr>
      </w:pPr>
      <w:r w:rsidRPr="00011A46">
        <w:rPr>
          <w:lang w:eastAsia="fr-FR" w:bidi="fr-FR"/>
        </w:rPr>
        <w:t>Mais l'infrastructure institutionnelle, l'affirmation région</w:t>
      </w:r>
      <w:r w:rsidRPr="00011A46">
        <w:rPr>
          <w:lang w:eastAsia="fr-FR" w:bidi="fr-FR"/>
        </w:rPr>
        <w:t>a</w:t>
      </w:r>
      <w:r w:rsidRPr="00011A46">
        <w:rPr>
          <w:lang w:eastAsia="fr-FR" w:bidi="fr-FR"/>
        </w:rPr>
        <w:t>le ou la volonté de relance économique, de promouvoir une nouvelle forme de tourisme culturel ne suffisent pas à expl</w:t>
      </w:r>
      <w:r w:rsidRPr="00011A46">
        <w:rPr>
          <w:lang w:eastAsia="fr-FR" w:bidi="fr-FR"/>
        </w:rPr>
        <w:t>i</w:t>
      </w:r>
      <w:r w:rsidRPr="00011A46">
        <w:rPr>
          <w:lang w:eastAsia="fr-FR" w:bidi="fr-FR"/>
        </w:rPr>
        <w:t>quer pourquoi l'art produit en région ne se définit plus comme régionaliste, et a des prétentions « d'actualité » (le terme « avant-garde » étant actuellement dévalué) et d'internation</w:t>
      </w:r>
      <w:r w:rsidRPr="00011A46">
        <w:rPr>
          <w:lang w:eastAsia="fr-FR" w:bidi="fr-FR"/>
        </w:rPr>
        <w:t>a</w:t>
      </w:r>
      <w:r w:rsidRPr="00011A46">
        <w:rPr>
          <w:lang w:eastAsia="fr-FR" w:bidi="fr-FR"/>
        </w:rPr>
        <w:t>lisme. Pour comprendre, il faut examiner de plus près les identités locales, régionales et internationales à l'époque a</w:t>
      </w:r>
      <w:r w:rsidRPr="00011A46">
        <w:rPr>
          <w:lang w:eastAsia="fr-FR" w:bidi="fr-FR"/>
        </w:rPr>
        <w:t>c</w:t>
      </w:r>
      <w:r w:rsidRPr="00011A46">
        <w:rPr>
          <w:lang w:eastAsia="fr-FR" w:bidi="fr-FR"/>
        </w:rPr>
        <w:t>tuelle. Mon hypothèse est que les événements artistiques r</w:t>
      </w:r>
      <w:r w:rsidRPr="00011A46">
        <w:rPr>
          <w:lang w:eastAsia="fr-FR" w:bidi="fr-FR"/>
        </w:rPr>
        <w:t>é</w:t>
      </w:r>
      <w:r w:rsidRPr="00011A46">
        <w:rPr>
          <w:lang w:eastAsia="fr-FR" w:bidi="fr-FR"/>
        </w:rPr>
        <w:t>gionaux mettent en œuvre et réconcilient des identités et des solidarités tant locales et r</w:t>
      </w:r>
      <w:r w:rsidRPr="00011A46">
        <w:rPr>
          <w:lang w:eastAsia="fr-FR" w:bidi="fr-FR"/>
        </w:rPr>
        <w:t>é</w:t>
      </w:r>
      <w:r w:rsidRPr="00011A46">
        <w:rPr>
          <w:lang w:eastAsia="fr-FR" w:bidi="fr-FR"/>
        </w:rPr>
        <w:t>gionales que transnationales, la tradition et la postmodernité, et même l'art populaire et l'art actuel ou « expérimental » (Fortin 1992a, 1992b). Reprenons.</w:t>
      </w:r>
    </w:p>
    <w:p w:rsidR="00B7214C" w:rsidRDefault="00B7214C" w:rsidP="00B7214C">
      <w:pPr>
        <w:spacing w:before="120" w:after="120"/>
        <w:jc w:val="both"/>
        <w:rPr>
          <w:lang w:eastAsia="fr-FR" w:bidi="fr-FR"/>
        </w:rPr>
      </w:pPr>
      <w:r>
        <w:rPr>
          <w:lang w:eastAsia="fr-FR" w:bidi="fr-FR"/>
        </w:rPr>
        <w:t>[</w:t>
      </w:r>
      <w:r w:rsidRPr="00011A46">
        <w:rPr>
          <w:lang w:eastAsia="fr-FR" w:bidi="fr-FR"/>
        </w:rPr>
        <w:t>461</w:t>
      </w:r>
      <w:r>
        <w:rPr>
          <w:lang w:eastAsia="fr-FR" w:bidi="fr-FR"/>
        </w:rPr>
        <w:t>]</w:t>
      </w:r>
    </w:p>
    <w:p w:rsidR="00B7214C" w:rsidRDefault="00B7214C" w:rsidP="00B7214C">
      <w:pPr>
        <w:spacing w:before="120" w:after="120"/>
        <w:jc w:val="both"/>
        <w:rPr>
          <w:lang w:eastAsia="fr-FR" w:bidi="fr-FR"/>
        </w:rPr>
      </w:pPr>
    </w:p>
    <w:p w:rsidR="00B7214C" w:rsidRDefault="00B7214C" w:rsidP="00B7214C">
      <w:pPr>
        <w:pStyle w:val="a"/>
        <w:rPr>
          <w:lang w:eastAsia="fr-FR" w:bidi="fr-FR"/>
        </w:rPr>
      </w:pPr>
      <w:r>
        <w:rPr>
          <w:lang w:eastAsia="fr-FR" w:bidi="fr-FR"/>
        </w:rPr>
        <w:t>L’ART EN RÉGION :</w:t>
      </w:r>
      <w:r>
        <w:rPr>
          <w:lang w:eastAsia="fr-FR" w:bidi="fr-FR"/>
        </w:rPr>
        <w:br/>
        <w:t>UNE INDUSTRIE CULTURELLE ?</w:t>
      </w:r>
    </w:p>
    <w:p w:rsidR="00B7214C" w:rsidRPr="00011A46" w:rsidRDefault="00B7214C" w:rsidP="00B7214C">
      <w:pPr>
        <w:spacing w:before="120" w:after="120"/>
        <w:jc w:val="both"/>
      </w:pPr>
    </w:p>
    <w:p w:rsidR="00B7214C" w:rsidRPr="00011A46" w:rsidRDefault="00B7214C" w:rsidP="00B7214C">
      <w:pPr>
        <w:spacing w:before="120" w:after="120"/>
        <w:jc w:val="both"/>
        <w:rPr>
          <w:lang w:eastAsia="fr-FR" w:bidi="fr-FR"/>
        </w:rPr>
      </w:pPr>
      <w:r w:rsidRPr="00011A46">
        <w:rPr>
          <w:lang w:eastAsia="fr-FR" w:bidi="fr-FR"/>
        </w:rPr>
        <w:t xml:space="preserve">Depuis 1980, année du </w:t>
      </w:r>
      <w:r w:rsidRPr="00F50F4E">
        <w:rPr>
          <w:i/>
          <w:iCs/>
        </w:rPr>
        <w:t xml:space="preserve">Symposium international de sculpture de </w:t>
      </w:r>
      <w:r w:rsidRPr="00F50F4E">
        <w:rPr>
          <w:lang w:eastAsia="fr-FR" w:bidi="fr-FR"/>
        </w:rPr>
        <w:t>Chicoutimi,</w:t>
      </w:r>
      <w:r w:rsidRPr="00011A46">
        <w:rPr>
          <w:lang w:eastAsia="fr-FR" w:bidi="fr-FR"/>
        </w:rPr>
        <w:t xml:space="preserve"> le premier événement que l'on peut cla</w:t>
      </w:r>
      <w:r w:rsidRPr="00011A46">
        <w:rPr>
          <w:lang w:eastAsia="fr-FR" w:bidi="fr-FR"/>
        </w:rPr>
        <w:t>i</w:t>
      </w:r>
      <w:r w:rsidRPr="00011A46">
        <w:rPr>
          <w:lang w:eastAsia="fr-FR" w:bidi="fr-FR"/>
        </w:rPr>
        <w:t>rement associer à la fois à l'art actuel et à une dynamique régionale, j'ai relevé dans l'e</w:t>
      </w:r>
      <w:r w:rsidRPr="00011A46">
        <w:rPr>
          <w:lang w:eastAsia="fr-FR" w:bidi="fr-FR"/>
        </w:rPr>
        <w:t>n</w:t>
      </w:r>
      <w:r w:rsidRPr="00011A46">
        <w:rPr>
          <w:lang w:eastAsia="fr-FR" w:bidi="fr-FR"/>
        </w:rPr>
        <w:t>semble des régions du Québec une dizaine de biennales et événements a</w:t>
      </w:r>
      <w:r w:rsidRPr="00011A46">
        <w:rPr>
          <w:lang w:eastAsia="fr-FR" w:bidi="fr-FR"/>
        </w:rPr>
        <w:t>n</w:t>
      </w:r>
      <w:r w:rsidRPr="00011A46">
        <w:rPr>
          <w:lang w:eastAsia="fr-FR" w:bidi="fr-FR"/>
        </w:rPr>
        <w:t>nuels en art actuel et plus de vingt événements ponctuels, répondant aux deux caractéristiques suivantes : 1) prétentions nationales ou i</w:t>
      </w:r>
      <w:r w:rsidRPr="00011A46">
        <w:rPr>
          <w:lang w:eastAsia="fr-FR" w:bidi="fr-FR"/>
        </w:rPr>
        <w:t>n</w:t>
      </w:r>
      <w:r w:rsidRPr="00011A46">
        <w:rPr>
          <w:lang w:eastAsia="fr-FR" w:bidi="fr-FR"/>
        </w:rPr>
        <w:t>ternationales et/ou 2) présentés hors des murs de la galerie ou du m</w:t>
      </w:r>
      <w:r w:rsidRPr="00011A46">
        <w:rPr>
          <w:lang w:eastAsia="fr-FR" w:bidi="fr-FR"/>
        </w:rPr>
        <w:t>u</w:t>
      </w:r>
      <w:r w:rsidRPr="00011A46">
        <w:rPr>
          <w:lang w:eastAsia="fr-FR" w:bidi="fr-FR"/>
        </w:rPr>
        <w:t>sée ; bref des activités se prolongeant hors de la région ou hors du monde de l'art. À noter : même si certaines régions figurent plus so</w:t>
      </w:r>
      <w:r w:rsidRPr="00011A46">
        <w:rPr>
          <w:lang w:eastAsia="fr-FR" w:bidi="fr-FR"/>
        </w:rPr>
        <w:t>u</w:t>
      </w:r>
      <w:r w:rsidRPr="00011A46">
        <w:rPr>
          <w:lang w:eastAsia="fr-FR" w:bidi="fr-FR"/>
        </w:rPr>
        <w:t>vent da</w:t>
      </w:r>
      <w:r>
        <w:rPr>
          <w:lang w:eastAsia="fr-FR" w:bidi="fr-FR"/>
        </w:rPr>
        <w:t>ns cette liste, comme le Sague</w:t>
      </w:r>
      <w:r w:rsidRPr="00011A46">
        <w:rPr>
          <w:lang w:eastAsia="fr-FR" w:bidi="fr-FR"/>
        </w:rPr>
        <w:t>nay-Lac-Saint-Jean où l'UQAC et le cégep d'Alma offrent des cours en arts visuels, l'ensemble du te</w:t>
      </w:r>
      <w:r w:rsidRPr="00011A46">
        <w:rPr>
          <w:lang w:eastAsia="fr-FR" w:bidi="fr-FR"/>
        </w:rPr>
        <w:t>r</w:t>
      </w:r>
      <w:r w:rsidRPr="00011A46">
        <w:rPr>
          <w:lang w:eastAsia="fr-FR" w:bidi="fr-FR"/>
        </w:rPr>
        <w:t>ritoire québécois est couvert, et le nombre de ces événements s'accroît annuellement. (Ce total ne tient évidemment pas compte des activ</w:t>
      </w:r>
      <w:r w:rsidRPr="00011A46">
        <w:rPr>
          <w:lang w:eastAsia="fr-FR" w:bidi="fr-FR"/>
        </w:rPr>
        <w:t>i</w:t>
      </w:r>
      <w:r w:rsidRPr="00011A46">
        <w:rPr>
          <w:lang w:eastAsia="fr-FR" w:bidi="fr-FR"/>
        </w:rPr>
        <w:t>tés régulières des musées ou galeries en région.)</w:t>
      </w:r>
    </w:p>
    <w:p w:rsidR="00B7214C" w:rsidRPr="00011A46" w:rsidRDefault="00B7214C" w:rsidP="00B7214C">
      <w:pPr>
        <w:spacing w:before="120" w:after="120"/>
        <w:jc w:val="both"/>
        <w:rPr>
          <w:lang w:eastAsia="fr-FR" w:bidi="fr-FR"/>
        </w:rPr>
      </w:pPr>
      <w:r w:rsidRPr="00011A46">
        <w:rPr>
          <w:lang w:eastAsia="fr-FR" w:bidi="fr-FR"/>
        </w:rPr>
        <w:t>Les artistes ne peuvent vivre en vase clos dans les régions, leur nombre ne créant pas la masse critique permettant la m</w:t>
      </w:r>
      <w:r w:rsidRPr="00011A46">
        <w:rPr>
          <w:lang w:eastAsia="fr-FR" w:bidi="fr-FR"/>
        </w:rPr>
        <w:t>i</w:t>
      </w:r>
      <w:r w:rsidRPr="00011A46">
        <w:rPr>
          <w:lang w:eastAsia="fr-FR" w:bidi="fr-FR"/>
        </w:rPr>
        <w:t>se en place d'un tel milieu ; Denys Tremblay, qui fut l'organ</w:t>
      </w:r>
      <w:r w:rsidRPr="00011A46">
        <w:rPr>
          <w:lang w:eastAsia="fr-FR" w:bidi="fr-FR"/>
        </w:rPr>
        <w:t>i</w:t>
      </w:r>
      <w:r w:rsidRPr="00011A46">
        <w:rPr>
          <w:lang w:eastAsia="fr-FR" w:bidi="fr-FR"/>
        </w:rPr>
        <w:t xml:space="preserve">sateur du </w:t>
      </w:r>
      <w:r w:rsidRPr="00C5695B">
        <w:rPr>
          <w:i/>
          <w:iCs/>
        </w:rPr>
        <w:t>Symposium intematiqnal de sculpture environnementale de Chicoutimi</w:t>
      </w:r>
      <w:r w:rsidRPr="00011A46">
        <w:rPr>
          <w:lang w:eastAsia="fr-FR" w:bidi="fr-FR"/>
        </w:rPr>
        <w:t xml:space="preserve"> en 1980, offre à cet égard un témo</w:t>
      </w:r>
      <w:r w:rsidRPr="00011A46">
        <w:rPr>
          <w:lang w:eastAsia="fr-FR" w:bidi="fr-FR"/>
        </w:rPr>
        <w:t>i</w:t>
      </w:r>
      <w:r w:rsidRPr="00011A46">
        <w:rPr>
          <w:lang w:eastAsia="fr-FR" w:bidi="fr-FR"/>
        </w:rPr>
        <w:t>gnage intéressant</w:t>
      </w:r>
      <w:r>
        <w:rPr>
          <w:lang w:eastAsia="fr-FR" w:bidi="fr-FR"/>
        </w:rPr>
        <w:t> </w:t>
      </w:r>
      <w:r>
        <w:rPr>
          <w:rStyle w:val="Appelnotedebasdep"/>
          <w:lang w:eastAsia="fr-FR" w:bidi="fr-FR"/>
        </w:rPr>
        <w:footnoteReference w:id="345"/>
      </w:r>
      <w:r w:rsidRPr="00011A46">
        <w:rPr>
          <w:lang w:eastAsia="fr-FR" w:bidi="fr-FR"/>
        </w:rPr>
        <w:t xml:space="preserve"> (Tremblay, 1981). Les lieux de l'art y sont aussi moins « marqués » que ne le sont les centres d'artistes « métropolitains ».</w:t>
      </w:r>
    </w:p>
    <w:p w:rsidR="00B7214C" w:rsidRPr="00011A46" w:rsidRDefault="00B7214C" w:rsidP="00B7214C">
      <w:pPr>
        <w:spacing w:before="120" w:after="120"/>
        <w:jc w:val="both"/>
        <w:rPr>
          <w:lang w:eastAsia="fr-FR" w:bidi="fr-FR"/>
        </w:rPr>
      </w:pPr>
      <w:r w:rsidRPr="00011A46">
        <w:rPr>
          <w:lang w:eastAsia="fr-FR" w:bidi="fr-FR"/>
        </w:rPr>
        <w:t>Dans le cadre des événements culturels régionaux, les promoteurs vont en quelque sorte chercher le public chez lui, plutôt que de l'inv</w:t>
      </w:r>
      <w:r w:rsidRPr="00011A46">
        <w:rPr>
          <w:lang w:eastAsia="fr-FR" w:bidi="fr-FR"/>
        </w:rPr>
        <w:t>i</w:t>
      </w:r>
      <w:r w:rsidRPr="00011A46">
        <w:rPr>
          <w:lang w:eastAsia="fr-FR" w:bidi="fr-FR"/>
        </w:rPr>
        <w:t>ter chez eux... dans une certaine mesure, cela permet un plus grand impact des visiteurs de l'extérieur sur la communauté.</w:t>
      </w:r>
    </w:p>
    <w:p w:rsidR="00B7214C" w:rsidRPr="00011A46" w:rsidRDefault="00B7214C" w:rsidP="00B7214C">
      <w:pPr>
        <w:spacing w:before="120" w:after="120"/>
        <w:jc w:val="both"/>
        <w:rPr>
          <w:lang w:eastAsia="fr-FR" w:bidi="fr-FR"/>
        </w:rPr>
      </w:pPr>
      <w:r w:rsidRPr="00011A46">
        <w:rPr>
          <w:lang w:eastAsia="fr-FR" w:bidi="fr-FR"/>
        </w:rPr>
        <w:t>La prolifération des événements artistiques locaux doit être mise en parallèle avec le grand nombre de festivals pop</w:t>
      </w:r>
      <w:r w:rsidRPr="00011A46">
        <w:rPr>
          <w:lang w:eastAsia="fr-FR" w:bidi="fr-FR"/>
        </w:rPr>
        <w:t>u</w:t>
      </w:r>
      <w:r w:rsidRPr="00011A46">
        <w:rPr>
          <w:lang w:eastAsia="fr-FR" w:bidi="fr-FR"/>
        </w:rPr>
        <w:t>laires au Québec et le théâtre d'été. Ce sont, dans tous les cas, des façons de promouvoir une autre industrie vitale pour les régions (et pour le Québec en gén</w:t>
      </w:r>
      <w:r w:rsidRPr="00011A46">
        <w:rPr>
          <w:lang w:eastAsia="fr-FR" w:bidi="fr-FR"/>
        </w:rPr>
        <w:t>é</w:t>
      </w:r>
      <w:r w:rsidRPr="00011A46">
        <w:rPr>
          <w:lang w:eastAsia="fr-FR" w:bidi="fr-FR"/>
        </w:rPr>
        <w:t>ral), l'industrie touristique. Plus de 260 festivals populaires se tiennent annuellement au Québec, surtout pendant les saisons estivale et a</w:t>
      </w:r>
      <w:r w:rsidRPr="00011A46">
        <w:rPr>
          <w:lang w:eastAsia="fr-FR" w:bidi="fr-FR"/>
        </w:rPr>
        <w:t>u</w:t>
      </w:r>
      <w:r w:rsidRPr="00011A46">
        <w:rPr>
          <w:lang w:eastAsia="fr-FR" w:bidi="fr-FR"/>
        </w:rPr>
        <w:t>tomnale, et sont affiliés à la Société des fêtes et festivals du Québec (Société des fêtes et festivals du Québec, 1993). Plusieurs de ces fe</w:t>
      </w:r>
      <w:r w:rsidRPr="00011A46">
        <w:rPr>
          <w:lang w:eastAsia="fr-FR" w:bidi="fr-FR"/>
        </w:rPr>
        <w:t>s</w:t>
      </w:r>
      <w:r w:rsidRPr="00011A46">
        <w:rPr>
          <w:lang w:eastAsia="fr-FR" w:bidi="fr-FR"/>
        </w:rPr>
        <w:t xml:space="preserve">tivals sont à caractère culturel comme le </w:t>
      </w:r>
      <w:r w:rsidRPr="00C5695B">
        <w:rPr>
          <w:i/>
          <w:iCs/>
        </w:rPr>
        <w:t>Carrefour mondial de l'a</w:t>
      </w:r>
      <w:r w:rsidRPr="00C5695B">
        <w:rPr>
          <w:i/>
          <w:iCs/>
        </w:rPr>
        <w:t>c</w:t>
      </w:r>
      <w:r w:rsidRPr="00C5695B">
        <w:rPr>
          <w:i/>
          <w:iCs/>
        </w:rPr>
        <w:t>cordéon</w:t>
      </w:r>
      <w:r w:rsidRPr="00011A46">
        <w:rPr>
          <w:lang w:eastAsia="fr-FR" w:bidi="fr-FR"/>
        </w:rPr>
        <w:t xml:space="preserve"> de Montmagny ou la </w:t>
      </w:r>
      <w:r w:rsidRPr="00C5695B">
        <w:rPr>
          <w:i/>
          <w:iCs/>
        </w:rPr>
        <w:t>Semaine mondiale de la marionnette</w:t>
      </w:r>
      <w:r w:rsidRPr="00011A46">
        <w:rPr>
          <w:lang w:eastAsia="fr-FR" w:bidi="fr-FR"/>
        </w:rPr>
        <w:t xml:space="preserve"> de Jonquière.</w:t>
      </w:r>
    </w:p>
    <w:p w:rsidR="00B7214C" w:rsidRPr="00011A46" w:rsidRDefault="00B7214C" w:rsidP="00B7214C">
      <w:pPr>
        <w:spacing w:before="120" w:after="120"/>
        <w:jc w:val="both"/>
        <w:rPr>
          <w:lang w:eastAsia="fr-FR" w:bidi="fr-FR"/>
        </w:rPr>
      </w:pPr>
      <w:r w:rsidRPr="00011A46">
        <w:rPr>
          <w:lang w:eastAsia="fr-FR" w:bidi="fr-FR"/>
        </w:rPr>
        <w:t>L'événement artistique n'est en effet pas réductible à sa dimension artistique. C'est aussi une industrie culturelle, mais pas au sens où on l'entend généralement de diffusion de ma</w:t>
      </w:r>
      <w:r w:rsidRPr="00011A46">
        <w:rPr>
          <w:lang w:eastAsia="fr-FR" w:bidi="fr-FR"/>
        </w:rPr>
        <w:t>s</w:t>
      </w:r>
      <w:r w:rsidRPr="00011A46">
        <w:rPr>
          <w:lang w:eastAsia="fr-FR" w:bidi="fr-FR"/>
        </w:rPr>
        <w:t>se d'objets culturels comme le livre ou le disque. C'est une industrie en ce que cela crée de l'emploi et active le tourisme. En région, dans un contexte de crise économ</w:t>
      </w:r>
      <w:r w:rsidRPr="00011A46">
        <w:rPr>
          <w:lang w:eastAsia="fr-FR" w:bidi="fr-FR"/>
        </w:rPr>
        <w:t>i</w:t>
      </w:r>
      <w:r w:rsidRPr="00011A46">
        <w:rPr>
          <w:lang w:eastAsia="fr-FR" w:bidi="fr-FR"/>
        </w:rPr>
        <w:t>que, toute i</w:t>
      </w:r>
      <w:r w:rsidRPr="00011A46">
        <w:rPr>
          <w:lang w:eastAsia="fr-FR" w:bidi="fr-FR"/>
        </w:rPr>
        <w:t>n</w:t>
      </w:r>
      <w:r>
        <w:rPr>
          <w:lang w:eastAsia="fr-FR" w:bidi="fr-FR"/>
        </w:rPr>
        <w:t>dus</w:t>
      </w:r>
      <w:r w:rsidRPr="00011A46">
        <w:rPr>
          <w:lang w:eastAsia="fr-FR" w:bidi="fr-FR"/>
        </w:rPr>
        <w:t>trie</w:t>
      </w:r>
      <w:r>
        <w:rPr>
          <w:lang w:eastAsia="fr-FR" w:bidi="fr-FR"/>
        </w:rPr>
        <w:t xml:space="preserve"> [</w:t>
      </w:r>
      <w:r w:rsidRPr="00011A46">
        <w:rPr>
          <w:lang w:eastAsia="fr-FR" w:bidi="fr-FR"/>
        </w:rPr>
        <w:t>462</w:t>
      </w:r>
      <w:r>
        <w:rPr>
          <w:lang w:eastAsia="fr-FR" w:bidi="fr-FR"/>
        </w:rPr>
        <w:t>]</w:t>
      </w:r>
      <w:r w:rsidRPr="00011A46">
        <w:rPr>
          <w:lang w:eastAsia="fr-FR" w:bidi="fr-FR"/>
        </w:rPr>
        <w:t xml:space="preserve"> est importante, même la plus « excentrique » comme l'industrie culturelle proposant des produits d'art actuel, et toute création d'e</w:t>
      </w:r>
      <w:r w:rsidRPr="00011A46">
        <w:rPr>
          <w:lang w:eastAsia="fr-FR" w:bidi="fr-FR"/>
        </w:rPr>
        <w:t>m</w:t>
      </w:r>
      <w:r w:rsidRPr="00011A46">
        <w:rPr>
          <w:lang w:eastAsia="fr-FR" w:bidi="fr-FR"/>
        </w:rPr>
        <w:t>ploi compte (Conseil des Affaires sociales, 1989,</w:t>
      </w:r>
      <w:r>
        <w:rPr>
          <w:lang w:eastAsia="fr-FR" w:bidi="fr-FR"/>
        </w:rPr>
        <w:t xml:space="preserve"> </w:t>
      </w:r>
      <w:r w:rsidRPr="00011A46">
        <w:rPr>
          <w:lang w:eastAsia="fr-FR" w:bidi="fr-FR"/>
        </w:rPr>
        <w:t>1990,</w:t>
      </w:r>
      <w:r>
        <w:rPr>
          <w:lang w:eastAsia="fr-FR" w:bidi="fr-FR"/>
        </w:rPr>
        <w:t xml:space="preserve"> </w:t>
      </w:r>
      <w:r w:rsidRPr="00011A46">
        <w:rPr>
          <w:lang w:eastAsia="fr-FR" w:bidi="fr-FR"/>
        </w:rPr>
        <w:t>1992). En 1992, le président de la Société des f</w:t>
      </w:r>
      <w:r w:rsidRPr="00011A46">
        <w:rPr>
          <w:lang w:eastAsia="fr-FR" w:bidi="fr-FR"/>
        </w:rPr>
        <w:t>ê</w:t>
      </w:r>
      <w:r w:rsidRPr="00011A46">
        <w:rPr>
          <w:lang w:eastAsia="fr-FR" w:bidi="fr-FR"/>
        </w:rPr>
        <w:t xml:space="preserve">tes et festivals du Québec évalue leur chiffre d'affaires global à 50 millions de dollars, dont 10 millions en droits d'entrée </w:t>
      </w:r>
      <w:r w:rsidRPr="00C5695B">
        <w:rPr>
          <w:i/>
          <w:iCs/>
        </w:rPr>
        <w:t>(Le Soleil,</w:t>
      </w:r>
      <w:r w:rsidRPr="00011A46">
        <w:rPr>
          <w:lang w:eastAsia="fr-FR" w:bidi="fr-FR"/>
        </w:rPr>
        <w:t xml:space="preserve"> 28 mai 1992, p. C-3). Cette Société, anciennement l'Association des fe</w:t>
      </w:r>
      <w:r w:rsidRPr="00011A46">
        <w:rPr>
          <w:lang w:eastAsia="fr-FR" w:bidi="fr-FR"/>
        </w:rPr>
        <w:t>s</w:t>
      </w:r>
      <w:r w:rsidRPr="00011A46">
        <w:rPr>
          <w:lang w:eastAsia="fr-FR" w:bidi="fr-FR"/>
        </w:rPr>
        <w:t xml:space="preserve">tivals populaires du Québec, publiait d'ailleurs en 1979 des </w:t>
      </w:r>
      <w:r w:rsidRPr="00C5695B">
        <w:rPr>
          <w:i/>
          <w:iCs/>
        </w:rPr>
        <w:t>Cahiers de formation</w:t>
      </w:r>
      <w:r w:rsidRPr="00011A46">
        <w:rPr>
          <w:lang w:eastAsia="fr-FR" w:bidi="fr-FR"/>
        </w:rPr>
        <w:t xml:space="preserve"> à l'intention des organis</w:t>
      </w:r>
      <w:r w:rsidRPr="00011A46">
        <w:rPr>
          <w:lang w:eastAsia="fr-FR" w:bidi="fr-FR"/>
        </w:rPr>
        <w:t>a</w:t>
      </w:r>
      <w:r w:rsidRPr="00011A46">
        <w:rPr>
          <w:lang w:eastAsia="fr-FR" w:bidi="fr-FR"/>
        </w:rPr>
        <w:t>teurs de festivals, dont un consacré à l'administration de la fête concernant les aspects juridiques, compt</w:t>
      </w:r>
      <w:r w:rsidRPr="00011A46">
        <w:rPr>
          <w:lang w:eastAsia="fr-FR" w:bidi="fr-FR"/>
        </w:rPr>
        <w:t>a</w:t>
      </w:r>
      <w:r w:rsidRPr="00011A46">
        <w:rPr>
          <w:lang w:eastAsia="fr-FR" w:bidi="fr-FR"/>
        </w:rPr>
        <w:t>bles, budgétaires et administratifs. Récemment, elle a mis à la dispos</w:t>
      </w:r>
      <w:r w:rsidRPr="00011A46">
        <w:rPr>
          <w:lang w:eastAsia="fr-FR" w:bidi="fr-FR"/>
        </w:rPr>
        <w:t>i</w:t>
      </w:r>
      <w:r w:rsidRPr="00011A46">
        <w:rPr>
          <w:lang w:eastAsia="fr-FR" w:bidi="fr-FR"/>
        </w:rPr>
        <w:t>tion de ses membres un logiciel d'aide à la gestion d'évén</w:t>
      </w:r>
      <w:r w:rsidRPr="00011A46">
        <w:rPr>
          <w:lang w:eastAsia="fr-FR" w:bidi="fr-FR"/>
        </w:rPr>
        <w:t>e</w:t>
      </w:r>
      <w:r w:rsidRPr="00011A46">
        <w:rPr>
          <w:lang w:eastAsia="fr-FR" w:bidi="fr-FR"/>
        </w:rPr>
        <w:t>ments</w:t>
      </w:r>
      <w:r>
        <w:rPr>
          <w:lang w:eastAsia="fr-FR" w:bidi="fr-FR"/>
        </w:rPr>
        <w:t> </w:t>
      </w:r>
      <w:r>
        <w:rPr>
          <w:rStyle w:val="Appelnotedebasdep"/>
          <w:lang w:eastAsia="fr-FR" w:bidi="fr-FR"/>
        </w:rPr>
        <w:footnoteReference w:id="346"/>
      </w:r>
      <w:r w:rsidRPr="00011A46">
        <w:rPr>
          <w:lang w:eastAsia="fr-FR" w:bidi="fr-FR"/>
        </w:rPr>
        <w:t>.</w:t>
      </w:r>
    </w:p>
    <w:p w:rsidR="00B7214C" w:rsidRDefault="00B7214C" w:rsidP="00B7214C">
      <w:pPr>
        <w:spacing w:before="120" w:after="120"/>
        <w:jc w:val="both"/>
        <w:rPr>
          <w:lang w:eastAsia="fr-FR" w:bidi="fr-FR"/>
        </w:rPr>
      </w:pPr>
      <w:r w:rsidRPr="00011A46">
        <w:rPr>
          <w:lang w:eastAsia="fr-FR" w:bidi="fr-FR"/>
        </w:rPr>
        <w:t>En ce qui concerne les manifestations artistiques région</w:t>
      </w:r>
      <w:r w:rsidRPr="00011A46">
        <w:rPr>
          <w:lang w:eastAsia="fr-FR" w:bidi="fr-FR"/>
        </w:rPr>
        <w:t>a</w:t>
      </w:r>
      <w:r w:rsidRPr="00011A46">
        <w:rPr>
          <w:lang w:eastAsia="fr-FR" w:bidi="fr-FR"/>
        </w:rPr>
        <w:t>les, elles génèrent également de nombreuses activités économiques, de la pr</w:t>
      </w:r>
      <w:r w:rsidRPr="00011A46">
        <w:rPr>
          <w:lang w:eastAsia="fr-FR" w:bidi="fr-FR"/>
        </w:rPr>
        <w:t>o</w:t>
      </w:r>
      <w:r w:rsidRPr="00011A46">
        <w:rPr>
          <w:lang w:eastAsia="fr-FR" w:bidi="fr-FR"/>
        </w:rPr>
        <w:t>motion du produit culturel en tant que tel (ventes de catalogues, d'o</w:t>
      </w:r>
      <w:r w:rsidRPr="00011A46">
        <w:rPr>
          <w:lang w:eastAsia="fr-FR" w:bidi="fr-FR"/>
        </w:rPr>
        <w:t>b</w:t>
      </w:r>
      <w:r w:rsidRPr="00011A46">
        <w:rPr>
          <w:lang w:eastAsia="fr-FR" w:bidi="fr-FR"/>
        </w:rPr>
        <w:t>jets souvenir, etc.) à l'augmentation du chiffre d'affaires des comme</w:t>
      </w:r>
      <w:r w:rsidRPr="00011A46">
        <w:rPr>
          <w:lang w:eastAsia="fr-FR" w:bidi="fr-FR"/>
        </w:rPr>
        <w:t>r</w:t>
      </w:r>
      <w:r w:rsidRPr="00011A46">
        <w:rPr>
          <w:lang w:eastAsia="fr-FR" w:bidi="fr-FR"/>
        </w:rPr>
        <w:t>ces de détail, des resta</w:t>
      </w:r>
      <w:r w:rsidRPr="00011A46">
        <w:rPr>
          <w:lang w:eastAsia="fr-FR" w:bidi="fr-FR"/>
        </w:rPr>
        <w:t>u</w:t>
      </w:r>
      <w:r w:rsidRPr="00011A46">
        <w:rPr>
          <w:lang w:eastAsia="fr-FR" w:bidi="fr-FR"/>
        </w:rPr>
        <w:t>rants, des hôtels, des transports et des revenus gouverneme</w:t>
      </w:r>
      <w:r w:rsidRPr="00011A46">
        <w:rPr>
          <w:lang w:eastAsia="fr-FR" w:bidi="fr-FR"/>
        </w:rPr>
        <w:t>n</w:t>
      </w:r>
      <w:r w:rsidRPr="00011A46">
        <w:rPr>
          <w:lang w:eastAsia="fr-FR" w:bidi="fr-FR"/>
        </w:rPr>
        <w:t>taux (émission de permis, taxes de vente, TPS, taxe sur les spectacles, etc.) ; cela oblige le recours à des services professio</w:t>
      </w:r>
      <w:r w:rsidRPr="00011A46">
        <w:rPr>
          <w:lang w:eastAsia="fr-FR" w:bidi="fr-FR"/>
        </w:rPr>
        <w:t>n</w:t>
      </w:r>
      <w:r w:rsidRPr="00011A46">
        <w:rPr>
          <w:lang w:eastAsia="fr-FR" w:bidi="fr-FR"/>
        </w:rPr>
        <w:t>nels et souvent permet de créer des emplois ; enfin il faut mentionner l'achat ou la location d'équipement. Évidemment, étant donné la nat</w:t>
      </w:r>
      <w:r w:rsidRPr="00011A46">
        <w:rPr>
          <w:lang w:eastAsia="fr-FR" w:bidi="fr-FR"/>
        </w:rPr>
        <w:t>u</w:t>
      </w:r>
      <w:r w:rsidRPr="00011A46">
        <w:rPr>
          <w:lang w:eastAsia="fr-FR" w:bidi="fr-FR"/>
        </w:rPr>
        <w:t>re du produit, les activités socioculturelles ne sont pas moins no</w:t>
      </w:r>
      <w:r w:rsidRPr="00011A46">
        <w:rPr>
          <w:lang w:eastAsia="fr-FR" w:bidi="fr-FR"/>
        </w:rPr>
        <w:t>m</w:t>
      </w:r>
      <w:r w:rsidRPr="00011A46">
        <w:rPr>
          <w:lang w:eastAsia="fr-FR" w:bidi="fr-FR"/>
        </w:rPr>
        <w:t>breuses ni moins essentielles que celles relevant de l'économie (D</w:t>
      </w:r>
      <w:r w:rsidRPr="00011A46">
        <w:rPr>
          <w:lang w:eastAsia="fr-FR" w:bidi="fr-FR"/>
        </w:rPr>
        <w:t>u</w:t>
      </w:r>
      <w:r w:rsidRPr="00011A46">
        <w:rPr>
          <w:lang w:eastAsia="fr-FR" w:bidi="fr-FR"/>
        </w:rPr>
        <w:t>rand (1987) propose pour sa part une grille de lecture des événements d'art en trois dime</w:t>
      </w:r>
      <w:r w:rsidRPr="00011A46">
        <w:rPr>
          <w:lang w:eastAsia="fr-FR" w:bidi="fr-FR"/>
        </w:rPr>
        <w:t>n</w:t>
      </w:r>
      <w:r w:rsidRPr="00011A46">
        <w:rPr>
          <w:lang w:eastAsia="fr-FR" w:bidi="fr-FR"/>
        </w:rPr>
        <w:t>sions et 28 points)</w:t>
      </w:r>
      <w:r>
        <w:rPr>
          <w:lang w:eastAsia="fr-FR" w:bidi="fr-FR"/>
        </w:rPr>
        <w:t> </w:t>
      </w:r>
      <w:r>
        <w:rPr>
          <w:rStyle w:val="Appelnotedebasdep"/>
          <w:lang w:eastAsia="fr-FR" w:bidi="fr-FR"/>
        </w:rPr>
        <w:footnoteReference w:id="347"/>
      </w:r>
      <w:r w:rsidRPr="00011A46">
        <w:rPr>
          <w:lang w:eastAsia="fr-FR" w:bidi="fr-FR"/>
        </w:rPr>
        <w:t>. Mentionnons du point de vue strictement artistique, l'organisation de diverses rencontres (spe</w:t>
      </w:r>
      <w:r w:rsidRPr="00011A46">
        <w:rPr>
          <w:lang w:eastAsia="fr-FR" w:bidi="fr-FR"/>
        </w:rPr>
        <w:t>c</w:t>
      </w:r>
      <w:r w:rsidRPr="00011A46">
        <w:rPr>
          <w:lang w:eastAsia="fr-FR" w:bidi="fr-FR"/>
        </w:rPr>
        <w:t>tacles, conférences) et la mise en présence de la population de la r</w:t>
      </w:r>
      <w:r w:rsidRPr="00011A46">
        <w:rPr>
          <w:lang w:eastAsia="fr-FR" w:bidi="fr-FR"/>
        </w:rPr>
        <w:t>é</w:t>
      </w:r>
      <w:r w:rsidRPr="00011A46">
        <w:rPr>
          <w:lang w:eastAsia="fr-FR" w:bidi="fr-FR"/>
        </w:rPr>
        <w:t>gion avec la culture « actuelle » ; mais ces événements ne seraient poss</w:t>
      </w:r>
      <w:r w:rsidRPr="00011A46">
        <w:rPr>
          <w:lang w:eastAsia="fr-FR" w:bidi="fr-FR"/>
        </w:rPr>
        <w:t>i</w:t>
      </w:r>
      <w:r w:rsidRPr="00011A46">
        <w:rPr>
          <w:lang w:eastAsia="fr-FR" w:bidi="fr-FR"/>
        </w:rPr>
        <w:t>bles sans une concertation municipale ou régionale des édiles munic</w:t>
      </w:r>
      <w:r w:rsidRPr="00011A46">
        <w:rPr>
          <w:lang w:eastAsia="fr-FR" w:bidi="fr-FR"/>
        </w:rPr>
        <w:t>i</w:t>
      </w:r>
      <w:r w:rsidRPr="00011A46">
        <w:rPr>
          <w:lang w:eastAsia="fr-FR" w:bidi="fr-FR"/>
        </w:rPr>
        <w:t>paux, des artistes, des hommes d'affaires, etc. Qu'il s'agisse d'un fest</w:t>
      </w:r>
      <w:r w:rsidRPr="00011A46">
        <w:rPr>
          <w:lang w:eastAsia="fr-FR" w:bidi="fr-FR"/>
        </w:rPr>
        <w:t>i</w:t>
      </w:r>
      <w:r w:rsidRPr="00011A46">
        <w:rPr>
          <w:lang w:eastAsia="fr-FR" w:bidi="fr-FR"/>
        </w:rPr>
        <w:t>val populaire ou d'un événement artistique, ce ne sont pas que des i</w:t>
      </w:r>
      <w:r w:rsidRPr="00011A46">
        <w:rPr>
          <w:lang w:eastAsia="fr-FR" w:bidi="fr-FR"/>
        </w:rPr>
        <w:t>n</w:t>
      </w:r>
      <w:r w:rsidRPr="00011A46">
        <w:rPr>
          <w:lang w:eastAsia="fr-FR" w:bidi="fr-FR"/>
        </w:rPr>
        <w:t>dustries culturelles, mais aussi des moments de rencontre communautaire. Leur organisation est rendue possible grâce à une d</w:t>
      </w:r>
      <w:r w:rsidRPr="00011A46">
        <w:rPr>
          <w:lang w:eastAsia="fr-FR" w:bidi="fr-FR"/>
        </w:rPr>
        <w:t>y</w:t>
      </w:r>
      <w:r w:rsidRPr="00011A46">
        <w:rPr>
          <w:lang w:eastAsia="fr-FR" w:bidi="fr-FR"/>
        </w:rPr>
        <w:t>namique panrégionale, tant économique que culturelle, autrement dit grâce à la mise en œuvre d'un partenariat. Ce dernier n'est pas réduct</w:t>
      </w:r>
      <w:r w:rsidRPr="00011A46">
        <w:rPr>
          <w:lang w:eastAsia="fr-FR" w:bidi="fr-FR"/>
        </w:rPr>
        <w:t>i</w:t>
      </w:r>
      <w:r w:rsidRPr="00011A46">
        <w:rPr>
          <w:lang w:eastAsia="fr-FR" w:bidi="fr-FR"/>
        </w:rPr>
        <w:t>ble aux intérêts réciproques des partenaires impliqués, car il vise ni plus ni moins que le développement régional. Ultimement cela conduit-il au développement du sentiment d'appartenance régionale</w:t>
      </w:r>
      <w:r w:rsidRPr="00011A46">
        <w:t> ?</w:t>
      </w:r>
      <w:r w:rsidRPr="00011A46">
        <w:rPr>
          <w:lang w:eastAsia="fr-FR" w:bidi="fr-FR"/>
        </w:rPr>
        <w:t xml:space="preserve"> à l'affirmation d'une identité r</w:t>
      </w:r>
      <w:r w:rsidRPr="00011A46">
        <w:rPr>
          <w:lang w:eastAsia="fr-FR" w:bidi="fr-FR"/>
        </w:rPr>
        <w:t>é</w:t>
      </w:r>
      <w:r w:rsidRPr="00011A46">
        <w:rPr>
          <w:lang w:eastAsia="fr-FR" w:bidi="fr-FR"/>
        </w:rPr>
        <w:t>gionale</w:t>
      </w:r>
      <w:r w:rsidRPr="00011A46">
        <w:t> ?</w:t>
      </w:r>
      <w:r w:rsidRPr="00011A46">
        <w:rPr>
          <w:lang w:eastAsia="fr-FR" w:bidi="fr-FR"/>
        </w:rPr>
        <w:t xml:space="preserve"> Chose certaine cela suppose une solidarité région</w:t>
      </w:r>
      <w:r w:rsidRPr="00011A46">
        <w:rPr>
          <w:lang w:eastAsia="fr-FR" w:bidi="fr-FR"/>
        </w:rPr>
        <w:t>a</w:t>
      </w:r>
      <w:r w:rsidRPr="00011A46">
        <w:rPr>
          <w:lang w:eastAsia="fr-FR" w:bidi="fr-FR"/>
        </w:rPr>
        <w:t>le. Sur quels intérêts, sur quelles identités se construit cette solidarité</w:t>
      </w:r>
      <w:r w:rsidRPr="00011A46">
        <w:t> ?</w:t>
      </w:r>
      <w:r w:rsidRPr="00011A46">
        <w:rPr>
          <w:lang w:eastAsia="fr-FR" w:bidi="fr-FR"/>
        </w:rPr>
        <w:t xml:space="preserve"> Voilà une première question à la base de ma d</w:t>
      </w:r>
      <w:r w:rsidRPr="00011A46">
        <w:rPr>
          <w:lang w:eastAsia="fr-FR" w:bidi="fr-FR"/>
        </w:rPr>
        <w:t>é</w:t>
      </w:r>
      <w:r w:rsidRPr="00011A46">
        <w:rPr>
          <w:lang w:eastAsia="fr-FR" w:bidi="fr-FR"/>
        </w:rPr>
        <w:t>marche.</w:t>
      </w:r>
    </w:p>
    <w:p w:rsidR="00B7214C" w:rsidRDefault="00B7214C" w:rsidP="00B7214C">
      <w:pPr>
        <w:pStyle w:val="p"/>
        <w:rPr>
          <w:lang w:eastAsia="fr-FR" w:bidi="fr-FR"/>
        </w:rPr>
      </w:pPr>
      <w:r w:rsidRPr="00011A46">
        <w:br w:type="page"/>
      </w:r>
      <w:r>
        <w:rPr>
          <w:lang w:eastAsia="fr-FR" w:bidi="fr-FR"/>
        </w:rPr>
        <w:t>[463]</w:t>
      </w:r>
    </w:p>
    <w:p w:rsidR="00B7214C" w:rsidRDefault="00B7214C" w:rsidP="00B7214C">
      <w:pPr>
        <w:spacing w:before="120" w:after="120"/>
        <w:jc w:val="both"/>
        <w:rPr>
          <w:lang w:eastAsia="fr-FR" w:bidi="fr-FR"/>
        </w:rPr>
      </w:pPr>
    </w:p>
    <w:p w:rsidR="00B7214C" w:rsidRDefault="00B7214C" w:rsidP="00B7214C">
      <w:pPr>
        <w:pStyle w:val="a"/>
        <w:rPr>
          <w:lang w:eastAsia="fr-FR" w:bidi="fr-FR"/>
        </w:rPr>
      </w:pPr>
      <w:r>
        <w:rPr>
          <w:lang w:eastAsia="fr-FR" w:bidi="fr-FR"/>
        </w:rPr>
        <w:t>IDENTITÉS RÉGIONALES</w:t>
      </w:r>
      <w:r>
        <w:rPr>
          <w:lang w:eastAsia="fr-FR" w:bidi="fr-FR"/>
        </w:rPr>
        <w:br/>
        <w:t>ET TRANSNATIONALES</w:t>
      </w:r>
    </w:p>
    <w:p w:rsidR="00B7214C" w:rsidRPr="00011A46" w:rsidRDefault="00B7214C" w:rsidP="00B7214C">
      <w:pPr>
        <w:spacing w:before="120" w:after="120"/>
        <w:jc w:val="both"/>
      </w:pPr>
    </w:p>
    <w:p w:rsidR="00B7214C" w:rsidRPr="00011A46" w:rsidRDefault="00B7214C" w:rsidP="00B7214C">
      <w:pPr>
        <w:spacing w:before="120" w:after="120"/>
        <w:jc w:val="both"/>
      </w:pPr>
      <w:r w:rsidRPr="00011A46">
        <w:rPr>
          <w:lang w:eastAsia="fr-FR" w:bidi="fr-FR"/>
        </w:rPr>
        <w:t>Depuis une vingtaine d'années, ce que revendiquent les mouv</w:t>
      </w:r>
      <w:r w:rsidRPr="00011A46">
        <w:rPr>
          <w:lang w:eastAsia="fr-FR" w:bidi="fr-FR"/>
        </w:rPr>
        <w:t>e</w:t>
      </w:r>
      <w:r w:rsidRPr="00011A46">
        <w:rPr>
          <w:lang w:eastAsia="fr-FR" w:bidi="fr-FR"/>
        </w:rPr>
        <w:t>ments sociaux, c'est la reconnaissance des dif</w:t>
      </w:r>
      <w:r>
        <w:rPr>
          <w:lang w:eastAsia="fr-FR" w:bidi="fr-FR"/>
        </w:rPr>
        <w:t>férences, des identités (Meluc</w:t>
      </w:r>
      <w:r w:rsidRPr="00011A46">
        <w:rPr>
          <w:lang w:eastAsia="fr-FR" w:bidi="fr-FR"/>
        </w:rPr>
        <w:t>ci, 1989</w:t>
      </w:r>
      <w:r w:rsidRPr="00011A46">
        <w:t> ;</w:t>
      </w:r>
      <w:r w:rsidRPr="00011A46">
        <w:rPr>
          <w:lang w:eastAsia="fr-FR" w:bidi="fr-FR"/>
        </w:rPr>
        <w:t xml:space="preserve"> Maheu, 1991). La base sur laquelle on revendique l'affirmation de son identité est so</w:t>
      </w:r>
      <w:r w:rsidRPr="00011A46">
        <w:rPr>
          <w:lang w:eastAsia="fr-FR" w:bidi="fr-FR"/>
        </w:rPr>
        <w:t>u</w:t>
      </w:r>
      <w:r w:rsidRPr="00011A46">
        <w:rPr>
          <w:lang w:eastAsia="fr-FR" w:bidi="fr-FR"/>
        </w:rPr>
        <w:t>vent celle du sexe, de l'âge ou du territoire (Melucci, 1983), mais les bases d'identification sont mult</w:t>
      </w:r>
      <w:r w:rsidRPr="00011A46">
        <w:rPr>
          <w:lang w:eastAsia="fr-FR" w:bidi="fr-FR"/>
        </w:rPr>
        <w:t>i</w:t>
      </w:r>
      <w:r w:rsidRPr="00011A46">
        <w:rPr>
          <w:lang w:eastAsia="fr-FR" w:bidi="fr-FR"/>
        </w:rPr>
        <w:t>ples. Ces particul</w:t>
      </w:r>
      <w:r w:rsidRPr="00011A46">
        <w:rPr>
          <w:lang w:eastAsia="fr-FR" w:bidi="fr-FR"/>
        </w:rPr>
        <w:t>a</w:t>
      </w:r>
      <w:r w:rsidRPr="00011A46">
        <w:rPr>
          <w:lang w:eastAsia="fr-FR" w:bidi="fr-FR"/>
        </w:rPr>
        <w:t>rismes s'épanouissent à la faveur des moyens de reproduction et de diffusion des idées et de la culture, efficaces et peu coûteux</w:t>
      </w:r>
      <w:r w:rsidRPr="00011A46">
        <w:t> :</w:t>
      </w:r>
      <w:r w:rsidRPr="00011A46">
        <w:rPr>
          <w:lang w:eastAsia="fr-FR" w:bidi="fr-FR"/>
        </w:rPr>
        <w:t xml:space="preserve"> traitement de texte et photocopie, enregistrements a</w:t>
      </w:r>
      <w:r w:rsidRPr="00011A46">
        <w:rPr>
          <w:lang w:eastAsia="fr-FR" w:bidi="fr-FR"/>
        </w:rPr>
        <w:t>u</w:t>
      </w:r>
      <w:r w:rsidRPr="00011A46">
        <w:rPr>
          <w:lang w:eastAsia="fr-FR" w:bidi="fr-FR"/>
        </w:rPr>
        <w:t>dio et vidéo. Autrement dit, existe désormais la possibilité de produire du texte, des images et du son, de les reproduire puis de les diffuser sans passer par les appareils lourds des ma</w:t>
      </w:r>
      <w:r w:rsidRPr="00011A46">
        <w:rPr>
          <w:lang w:eastAsia="fr-FR" w:bidi="fr-FR"/>
        </w:rPr>
        <w:t>i</w:t>
      </w:r>
      <w:r w:rsidRPr="00011A46">
        <w:rPr>
          <w:lang w:eastAsia="fr-FR" w:bidi="fr-FR"/>
        </w:rPr>
        <w:t>sons d'édition, des compagnies de disque, etc. Cela facilite la prise de parole, l'augmentation vertig</w:t>
      </w:r>
      <w:r w:rsidRPr="00011A46">
        <w:rPr>
          <w:lang w:eastAsia="fr-FR" w:bidi="fr-FR"/>
        </w:rPr>
        <w:t>i</w:t>
      </w:r>
      <w:r w:rsidRPr="00011A46">
        <w:rPr>
          <w:lang w:eastAsia="fr-FR" w:bidi="fr-FR"/>
        </w:rPr>
        <w:t>neuse des revues et périodiques et l'éclatement tous azimuts des th</w:t>
      </w:r>
      <w:r w:rsidRPr="00011A46">
        <w:rPr>
          <w:lang w:eastAsia="fr-FR" w:bidi="fr-FR"/>
        </w:rPr>
        <w:t>è</w:t>
      </w:r>
      <w:r w:rsidRPr="00011A46">
        <w:rPr>
          <w:lang w:eastAsia="fr-FR" w:bidi="fr-FR"/>
        </w:rPr>
        <w:t>mes qu'ils priv</w:t>
      </w:r>
      <w:r w:rsidRPr="00011A46">
        <w:rPr>
          <w:lang w:eastAsia="fr-FR" w:bidi="fr-FR"/>
        </w:rPr>
        <w:t>i</w:t>
      </w:r>
      <w:r w:rsidRPr="00011A46">
        <w:rPr>
          <w:lang w:eastAsia="fr-FR" w:bidi="fr-FR"/>
        </w:rPr>
        <w:t>légient en témoignent éloquemment (Fortin, 1990). Que ch</w:t>
      </w:r>
      <w:r w:rsidRPr="00011A46">
        <w:rPr>
          <w:lang w:eastAsia="fr-FR" w:bidi="fr-FR"/>
        </w:rPr>
        <w:t>a</w:t>
      </w:r>
      <w:r w:rsidRPr="00011A46">
        <w:rPr>
          <w:lang w:eastAsia="fr-FR" w:bidi="fr-FR"/>
        </w:rPr>
        <w:t xml:space="preserve">cun s'affirme et proclame sa différence, est-ce à dire qu'il n'y a plus de </w:t>
      </w:r>
      <w:r w:rsidRPr="00011A46">
        <w:t>« </w:t>
      </w:r>
      <w:r w:rsidRPr="00011A46">
        <w:rPr>
          <w:lang w:eastAsia="fr-FR" w:bidi="fr-FR"/>
        </w:rPr>
        <w:t>lieu commun</w:t>
      </w:r>
      <w:r w:rsidRPr="00011A46">
        <w:t> » ;</w:t>
      </w:r>
      <w:r w:rsidRPr="00011A46">
        <w:rPr>
          <w:lang w:eastAsia="fr-FR" w:bidi="fr-FR"/>
        </w:rPr>
        <w:t xml:space="preserve"> les identités différentes se rejo</w:t>
      </w:r>
      <w:r w:rsidRPr="00011A46">
        <w:rPr>
          <w:lang w:eastAsia="fr-FR" w:bidi="fr-FR"/>
        </w:rPr>
        <w:t>i</w:t>
      </w:r>
      <w:r w:rsidRPr="00011A46">
        <w:rPr>
          <w:lang w:eastAsia="fr-FR" w:bidi="fr-FR"/>
        </w:rPr>
        <w:t>gnent-elles</w:t>
      </w:r>
      <w:r w:rsidRPr="00011A46">
        <w:t> ?</w:t>
      </w:r>
      <w:r w:rsidRPr="00011A46">
        <w:rPr>
          <w:lang w:eastAsia="fr-FR" w:bidi="fr-FR"/>
        </w:rPr>
        <w:t xml:space="preserve"> Voilà une seconde interrogation sous-jacente à ma démarche.</w:t>
      </w:r>
    </w:p>
    <w:p w:rsidR="00B7214C" w:rsidRPr="00011A46" w:rsidRDefault="00B7214C" w:rsidP="00B7214C">
      <w:pPr>
        <w:spacing w:before="120" w:after="120"/>
        <w:jc w:val="both"/>
      </w:pPr>
      <w:r w:rsidRPr="00011A46">
        <w:rPr>
          <w:lang w:eastAsia="fr-FR" w:bidi="fr-FR"/>
        </w:rPr>
        <w:t>Deux types de particularismes retiennent ici mon attention</w:t>
      </w:r>
      <w:r w:rsidRPr="00011A46">
        <w:t> :</w:t>
      </w:r>
      <w:r w:rsidRPr="00011A46">
        <w:rPr>
          <w:lang w:eastAsia="fr-FR" w:bidi="fr-FR"/>
        </w:rPr>
        <w:t xml:space="preserve"> les l</w:t>
      </w:r>
      <w:r w:rsidRPr="00011A46">
        <w:rPr>
          <w:lang w:eastAsia="fr-FR" w:bidi="fr-FR"/>
        </w:rPr>
        <w:t>o</w:t>
      </w:r>
      <w:r w:rsidRPr="00011A46">
        <w:rPr>
          <w:lang w:eastAsia="fr-FR" w:bidi="fr-FR"/>
        </w:rPr>
        <w:t>caux ou régionaux d'une part et ceux liés au monde artistique et cult</w:t>
      </w:r>
      <w:r w:rsidRPr="00011A46">
        <w:rPr>
          <w:lang w:eastAsia="fr-FR" w:bidi="fr-FR"/>
        </w:rPr>
        <w:t>u</w:t>
      </w:r>
      <w:r w:rsidRPr="00011A46">
        <w:rPr>
          <w:lang w:eastAsia="fr-FR" w:bidi="fr-FR"/>
        </w:rPr>
        <w:t>rel d'autre part, qui semblent à première vue caractérisés par des d</w:t>
      </w:r>
      <w:r w:rsidRPr="00011A46">
        <w:rPr>
          <w:lang w:eastAsia="fr-FR" w:bidi="fr-FR"/>
        </w:rPr>
        <w:t>y</w:t>
      </w:r>
      <w:r w:rsidRPr="00011A46">
        <w:rPr>
          <w:lang w:eastAsia="fr-FR" w:bidi="fr-FR"/>
        </w:rPr>
        <w:t>namiques opposées, respectiv</w:t>
      </w:r>
      <w:r w:rsidRPr="00011A46">
        <w:rPr>
          <w:lang w:eastAsia="fr-FR" w:bidi="fr-FR"/>
        </w:rPr>
        <w:t>e</w:t>
      </w:r>
      <w:r w:rsidRPr="00011A46">
        <w:rPr>
          <w:lang w:eastAsia="fr-FR" w:bidi="fr-FR"/>
        </w:rPr>
        <w:t>ment centripète et centrifuge. Ces deux particularismes seraient selon plusieurs auteurs (Giddens, 1991) ém</w:t>
      </w:r>
      <w:r w:rsidRPr="00011A46">
        <w:rPr>
          <w:lang w:eastAsia="fr-FR" w:bidi="fr-FR"/>
        </w:rPr>
        <w:t>i</w:t>
      </w:r>
      <w:r w:rsidRPr="00011A46">
        <w:rPr>
          <w:lang w:eastAsia="fr-FR" w:bidi="fr-FR"/>
        </w:rPr>
        <w:t>nemment caractéristiques du monde actuel. En ce qui concerne le premier type, depuis quelques années on assiste à un renouveau nati</w:t>
      </w:r>
      <w:r w:rsidRPr="00011A46">
        <w:rPr>
          <w:lang w:eastAsia="fr-FR" w:bidi="fr-FR"/>
        </w:rPr>
        <w:t>o</w:t>
      </w:r>
      <w:r w:rsidRPr="00011A46">
        <w:rPr>
          <w:lang w:eastAsia="fr-FR" w:bidi="fr-FR"/>
        </w:rPr>
        <w:t>naliste, en particulier en Europe. Et si le Québec s'affi</w:t>
      </w:r>
      <w:r w:rsidRPr="00011A46">
        <w:rPr>
          <w:lang w:eastAsia="fr-FR" w:bidi="fr-FR"/>
        </w:rPr>
        <w:t>r</w:t>
      </w:r>
      <w:r w:rsidRPr="00011A46">
        <w:rPr>
          <w:lang w:eastAsia="fr-FR" w:bidi="fr-FR"/>
        </w:rPr>
        <w:t>me globalement comme société distincte en Amérique du Nord, il n'en est pas moins traversé depuis 25 ans par des mouvements d'affirmation régionale (Gagnon 1981 et 1985</w:t>
      </w:r>
      <w:r w:rsidRPr="00011A46">
        <w:t> ;</w:t>
      </w:r>
      <w:r w:rsidRPr="00011A46">
        <w:rPr>
          <w:lang w:eastAsia="fr-FR" w:bidi="fr-FR"/>
        </w:rPr>
        <w:t xml:space="preserve"> Klein et Gagnon 1989, par exemple</w:t>
      </w:r>
      <w:r w:rsidRPr="00011A46">
        <w:t> ;</w:t>
      </w:r>
      <w:r w:rsidRPr="00011A46">
        <w:rPr>
          <w:lang w:eastAsia="fr-FR" w:bidi="fr-FR"/>
        </w:rPr>
        <w:t xml:space="preserve"> on pou</w:t>
      </w:r>
      <w:r w:rsidRPr="00011A46">
        <w:rPr>
          <w:lang w:eastAsia="fr-FR" w:bidi="fr-FR"/>
        </w:rPr>
        <w:t>r</w:t>
      </w:r>
      <w:r w:rsidRPr="00011A46">
        <w:rPr>
          <w:lang w:eastAsia="fr-FR" w:bidi="fr-FR"/>
        </w:rPr>
        <w:t>rait ici citer l'ensemble des travaux du Groupe de recherches interdi</w:t>
      </w:r>
      <w:r w:rsidRPr="00011A46">
        <w:rPr>
          <w:lang w:eastAsia="fr-FR" w:bidi="fr-FR"/>
        </w:rPr>
        <w:t>s</w:t>
      </w:r>
      <w:r w:rsidRPr="00011A46">
        <w:rPr>
          <w:lang w:eastAsia="fr-FR" w:bidi="fr-FR"/>
        </w:rPr>
        <w:t>ciplina</w:t>
      </w:r>
      <w:r w:rsidRPr="00011A46">
        <w:rPr>
          <w:lang w:eastAsia="fr-FR" w:bidi="fr-FR"/>
        </w:rPr>
        <w:t>i</w:t>
      </w:r>
      <w:r w:rsidRPr="00011A46">
        <w:rPr>
          <w:lang w:eastAsia="fr-FR" w:bidi="fr-FR"/>
        </w:rPr>
        <w:t>res en développement de l'Est du Québec, ou GRIDEQ, de Rimouski, et du Groupe de recherche et d'intervention régi</w:t>
      </w:r>
      <w:r w:rsidRPr="00011A46">
        <w:rPr>
          <w:lang w:eastAsia="fr-FR" w:bidi="fr-FR"/>
        </w:rPr>
        <w:t>o</w:t>
      </w:r>
      <w:r w:rsidRPr="00011A46">
        <w:rPr>
          <w:lang w:eastAsia="fr-FR" w:bidi="fr-FR"/>
        </w:rPr>
        <w:t>nale, ou GRIR, de Chicoutimi). Les mouvements d'affirm</w:t>
      </w:r>
      <w:r w:rsidRPr="00011A46">
        <w:rPr>
          <w:lang w:eastAsia="fr-FR" w:bidi="fr-FR"/>
        </w:rPr>
        <w:t>a</w:t>
      </w:r>
      <w:r w:rsidRPr="00011A46">
        <w:rPr>
          <w:lang w:eastAsia="fr-FR" w:bidi="fr-FR"/>
        </w:rPr>
        <w:t>tion régionale ont souvent été accompagnés d'une prise de parole populaire. Par exe</w:t>
      </w:r>
      <w:r w:rsidRPr="00011A46">
        <w:rPr>
          <w:lang w:eastAsia="fr-FR" w:bidi="fr-FR"/>
        </w:rPr>
        <w:t>m</w:t>
      </w:r>
      <w:r w:rsidRPr="00011A46">
        <w:rPr>
          <w:lang w:eastAsia="fr-FR" w:bidi="fr-FR"/>
        </w:rPr>
        <w:t xml:space="preserve">ple, dans la foulée des </w:t>
      </w:r>
      <w:r w:rsidRPr="00C5695B">
        <w:rPr>
          <w:i/>
          <w:iCs/>
        </w:rPr>
        <w:t>Opérations-Dignité,</w:t>
      </w:r>
      <w:r w:rsidRPr="00011A46">
        <w:rPr>
          <w:lang w:eastAsia="fr-FR" w:bidi="fr-FR"/>
        </w:rPr>
        <w:t xml:space="preserve"> sont parus des ouvrages comme </w:t>
      </w:r>
      <w:r>
        <w:rPr>
          <w:i/>
          <w:iCs/>
        </w:rPr>
        <w:t>Si Saint-J</w:t>
      </w:r>
      <w:r w:rsidRPr="00C5695B">
        <w:rPr>
          <w:i/>
          <w:iCs/>
        </w:rPr>
        <w:t>ean-de-Cherbourg m'était conté</w:t>
      </w:r>
      <w:r w:rsidRPr="00011A46">
        <w:rPr>
          <w:lang w:eastAsia="fr-FR" w:bidi="fr-FR"/>
        </w:rPr>
        <w:t xml:space="preserve"> qui ne contient qu'une mention d'imprimeur (pas d'éditeur) ou </w:t>
      </w:r>
      <w:r w:rsidRPr="00C5695B">
        <w:rPr>
          <w:i/>
          <w:iCs/>
        </w:rPr>
        <w:t>Défaire la défaite</w:t>
      </w:r>
      <w:r w:rsidRPr="00011A46">
        <w:rPr>
          <w:lang w:eastAsia="fr-FR" w:bidi="fr-FR"/>
        </w:rPr>
        <w:t xml:space="preserve"> (Drapeau et Gagnon, 1982, aux Éditions S.A.I.R.E.Q. (Société d'am</w:t>
      </w:r>
      <w:r w:rsidRPr="00011A46">
        <w:rPr>
          <w:lang w:eastAsia="fr-FR" w:bidi="fr-FR"/>
        </w:rPr>
        <w:t>é</w:t>
      </w:r>
      <w:r w:rsidRPr="00011A46">
        <w:rPr>
          <w:lang w:eastAsia="fr-FR" w:bidi="fr-FR"/>
        </w:rPr>
        <w:t>n</w:t>
      </w:r>
      <w:r w:rsidRPr="00011A46">
        <w:rPr>
          <w:lang w:eastAsia="fr-FR" w:bidi="fr-FR"/>
        </w:rPr>
        <w:t>a</w:t>
      </w:r>
      <w:r w:rsidRPr="00011A46">
        <w:rPr>
          <w:lang w:eastAsia="fr-FR" w:bidi="fr-FR"/>
        </w:rPr>
        <w:t>gement intégré des ressources de l'Est du Québec), organisme qui comme son nom l'indique est davantage associé au dév</w:t>
      </w:r>
      <w:r w:rsidRPr="00011A46">
        <w:rPr>
          <w:lang w:eastAsia="fr-FR" w:bidi="fr-FR"/>
        </w:rPr>
        <w:t>e</w:t>
      </w:r>
      <w:r w:rsidRPr="00011A46">
        <w:rPr>
          <w:lang w:eastAsia="fr-FR" w:bidi="fr-FR"/>
        </w:rPr>
        <w:t>loppement économique qu'à l'édition.</w:t>
      </w:r>
    </w:p>
    <w:p w:rsidR="00B7214C" w:rsidRPr="00011A46" w:rsidRDefault="00B7214C" w:rsidP="00B7214C">
      <w:pPr>
        <w:spacing w:before="120" w:after="120"/>
        <w:jc w:val="both"/>
      </w:pPr>
      <w:r w:rsidRPr="00011A46">
        <w:rPr>
          <w:lang w:eastAsia="fr-FR" w:bidi="fr-FR"/>
        </w:rPr>
        <w:t>L'écueil de ce premier type d'affirmation identitaire est le repli r</w:t>
      </w:r>
      <w:r w:rsidRPr="00011A46">
        <w:rPr>
          <w:lang w:eastAsia="fr-FR" w:bidi="fr-FR"/>
        </w:rPr>
        <w:t>é</w:t>
      </w:r>
      <w:r w:rsidRPr="00011A46">
        <w:rPr>
          <w:lang w:eastAsia="fr-FR" w:bidi="fr-FR"/>
        </w:rPr>
        <w:t>gional. Mais vivre en région est moins que jamais s</w:t>
      </w:r>
      <w:r w:rsidRPr="00011A46">
        <w:rPr>
          <w:lang w:eastAsia="fr-FR" w:bidi="fr-FR"/>
        </w:rPr>
        <w:t>y</w:t>
      </w:r>
      <w:r w:rsidRPr="00011A46">
        <w:rPr>
          <w:lang w:eastAsia="fr-FR" w:bidi="fr-FR"/>
        </w:rPr>
        <w:t>nonyme de n'en être jamais sorti et de ne pas savoir ce qui se passe ailleurs (le fut-ce déjà</w:t>
      </w:r>
      <w:r w:rsidRPr="00011A46">
        <w:t> ?</w:t>
      </w:r>
      <w:r w:rsidRPr="00011A46">
        <w:rPr>
          <w:lang w:eastAsia="fr-FR" w:bidi="fr-FR"/>
        </w:rPr>
        <w:t xml:space="preserve"> voir</w:t>
      </w:r>
      <w:r>
        <w:rPr>
          <w:lang w:eastAsia="fr-FR" w:bidi="fr-FR"/>
        </w:rPr>
        <w:t xml:space="preserve"> </w:t>
      </w:r>
      <w:r w:rsidRPr="00C5695B">
        <w:t>[</w:t>
      </w:r>
      <w:r w:rsidRPr="00C5695B">
        <w:rPr>
          <w:lang w:eastAsia="fr-FR" w:bidi="fr-FR"/>
        </w:rPr>
        <w:t>464]</w:t>
      </w:r>
      <w:r>
        <w:rPr>
          <w:lang w:eastAsia="fr-FR" w:bidi="fr-FR"/>
        </w:rPr>
        <w:t xml:space="preserve"> </w:t>
      </w:r>
      <w:r w:rsidRPr="00011A46">
        <w:rPr>
          <w:lang w:eastAsia="fr-FR" w:bidi="fr-FR"/>
        </w:rPr>
        <w:t>la synthèse de Gérard Bouchard, 1986, sur la dyn</w:t>
      </w:r>
      <w:r w:rsidRPr="00011A46">
        <w:rPr>
          <w:lang w:eastAsia="fr-FR" w:bidi="fr-FR"/>
        </w:rPr>
        <w:t>a</w:t>
      </w:r>
      <w:r w:rsidRPr="00011A46">
        <w:rPr>
          <w:lang w:eastAsia="fr-FR" w:bidi="fr-FR"/>
        </w:rPr>
        <w:t>mique comm</w:t>
      </w:r>
      <w:r w:rsidRPr="00011A46">
        <w:rPr>
          <w:lang w:eastAsia="fr-FR" w:bidi="fr-FR"/>
        </w:rPr>
        <w:t>u</w:t>
      </w:r>
      <w:r w:rsidRPr="00011A46">
        <w:rPr>
          <w:lang w:eastAsia="fr-FR" w:bidi="fr-FR"/>
        </w:rPr>
        <w:t>nautaire au XIX</w:t>
      </w:r>
      <w:r w:rsidRPr="00011A46">
        <w:rPr>
          <w:vertAlign w:val="superscript"/>
          <w:lang w:eastAsia="fr-FR" w:bidi="fr-FR"/>
        </w:rPr>
        <w:t>e</w:t>
      </w:r>
      <w:r w:rsidRPr="00011A46">
        <w:rPr>
          <w:lang w:eastAsia="fr-FR" w:bidi="fr-FR"/>
        </w:rPr>
        <w:t xml:space="preserve"> siècle et au début du XX</w:t>
      </w:r>
      <w:r w:rsidRPr="00011A46">
        <w:rPr>
          <w:vertAlign w:val="superscript"/>
          <w:lang w:eastAsia="fr-FR" w:bidi="fr-FR"/>
        </w:rPr>
        <w:t>e</w:t>
      </w:r>
      <w:r w:rsidRPr="00011A46">
        <w:rPr>
          <w:lang w:eastAsia="fr-FR" w:bidi="fr-FR"/>
        </w:rPr>
        <w:t>).</w:t>
      </w:r>
    </w:p>
    <w:p w:rsidR="00B7214C" w:rsidRPr="00011A46" w:rsidRDefault="00B7214C" w:rsidP="00B7214C">
      <w:pPr>
        <w:spacing w:before="120" w:after="120"/>
        <w:jc w:val="both"/>
      </w:pPr>
      <w:r w:rsidRPr="00011A46">
        <w:rPr>
          <w:lang w:eastAsia="fr-FR" w:bidi="fr-FR"/>
        </w:rPr>
        <w:t>Le second type de particularismes qui s'affirment actue</w:t>
      </w:r>
      <w:r w:rsidRPr="00011A46">
        <w:rPr>
          <w:lang w:eastAsia="fr-FR" w:bidi="fr-FR"/>
        </w:rPr>
        <w:t>l</w:t>
      </w:r>
      <w:r w:rsidRPr="00011A46">
        <w:rPr>
          <w:lang w:eastAsia="fr-FR" w:bidi="fr-FR"/>
        </w:rPr>
        <w:t>lement est lié non plus à l'espace, mais à une activité spécifique. Ceux qui part</w:t>
      </w:r>
      <w:r w:rsidRPr="00011A46">
        <w:rPr>
          <w:lang w:eastAsia="fr-FR" w:bidi="fr-FR"/>
        </w:rPr>
        <w:t>a</w:t>
      </w:r>
      <w:r w:rsidRPr="00011A46">
        <w:rPr>
          <w:lang w:eastAsia="fr-FR" w:bidi="fr-FR"/>
        </w:rPr>
        <w:t>gent un intérêt commun, les adeptes de la BD féministe, de la musique sérielle ou de la philathélie pe</w:t>
      </w:r>
      <w:r w:rsidRPr="00011A46">
        <w:rPr>
          <w:lang w:eastAsia="fr-FR" w:bidi="fr-FR"/>
        </w:rPr>
        <w:t>u</w:t>
      </w:r>
      <w:r w:rsidRPr="00011A46">
        <w:rPr>
          <w:lang w:eastAsia="fr-FR" w:bidi="fr-FR"/>
        </w:rPr>
        <w:t>vent désormais entretenir un réseau d'échanges épistolaires, téléphoniques, électroniques (fax, bitnet), etc., sans passer par un centre coordonnateur. Dans le monde culturel, ce phénomène n'est pas nouveau (Bourdieu, 1971)</w:t>
      </w:r>
      <w:r w:rsidRPr="00011A46">
        <w:t> ;</w:t>
      </w:r>
      <w:r w:rsidRPr="00011A46">
        <w:rPr>
          <w:lang w:eastAsia="fr-FR" w:bidi="fr-FR"/>
        </w:rPr>
        <w:t xml:space="preserve"> chaque nouvelle te</w:t>
      </w:r>
      <w:r w:rsidRPr="00011A46">
        <w:rPr>
          <w:lang w:eastAsia="fr-FR" w:bidi="fr-FR"/>
        </w:rPr>
        <w:t>n</w:t>
      </w:r>
      <w:r w:rsidRPr="00011A46">
        <w:rPr>
          <w:lang w:eastAsia="fr-FR" w:bidi="fr-FR"/>
        </w:rPr>
        <w:t>dance artistique doit générer sa critique et gérer la diffusion de sa pr</w:t>
      </w:r>
      <w:r w:rsidRPr="00011A46">
        <w:rPr>
          <w:lang w:eastAsia="fr-FR" w:bidi="fr-FR"/>
        </w:rPr>
        <w:t>o</w:t>
      </w:r>
      <w:r w:rsidRPr="00011A46">
        <w:rPr>
          <w:lang w:eastAsia="fr-FR" w:bidi="fr-FR"/>
        </w:rPr>
        <w:t>duction, irrecevable par les institutions qui par définition ne s'intére</w:t>
      </w:r>
      <w:r w:rsidRPr="00011A46">
        <w:rPr>
          <w:lang w:eastAsia="fr-FR" w:bidi="fr-FR"/>
        </w:rPr>
        <w:t>s</w:t>
      </w:r>
      <w:r w:rsidRPr="00011A46">
        <w:rPr>
          <w:lang w:eastAsia="fr-FR" w:bidi="fr-FR"/>
        </w:rPr>
        <w:t>sent qu'aux valeurs sûres. Si donc les réseaux et les regroupements d'artistes ont toujours existé dans la modernité, on remarque, depuis quelques années, un changement qualitatif (Fortin, 1985). Autrefois les regroup</w:t>
      </w:r>
      <w:r w:rsidRPr="00011A46">
        <w:rPr>
          <w:lang w:eastAsia="fr-FR" w:bidi="fr-FR"/>
        </w:rPr>
        <w:t>e</w:t>
      </w:r>
      <w:r w:rsidRPr="00011A46">
        <w:rPr>
          <w:lang w:eastAsia="fr-FR" w:bidi="fr-FR"/>
        </w:rPr>
        <w:t xml:space="preserve">ments existaient pour défendre un groupe ou une forme d'art, désormais on cherche à les susciter, on valorise le lien en soi. L'autogestion de leur production par les artistes facilite de plus la </w:t>
      </w:r>
      <w:r w:rsidRPr="00011A46">
        <w:t>cré</w:t>
      </w:r>
      <w:r w:rsidRPr="00011A46">
        <w:t>a</w:t>
      </w:r>
      <w:r w:rsidRPr="00011A46">
        <w:t>tion de réseaux. Quand ils entendent parler de quelqu'un ou d'un groupe, ils lui envoient du « matériel » en lui demandant de faire de même. Ceci dit, certaines formes d'art sont plus propices à la création de réseaux, y sont pre</w:t>
      </w:r>
      <w:r w:rsidRPr="00011A46">
        <w:t>s</w:t>
      </w:r>
      <w:r w:rsidRPr="00011A46">
        <w:t xml:space="preserve">que prédestinées, comme le </w:t>
      </w:r>
      <w:r w:rsidRPr="00C5695B">
        <w:rPr>
          <w:i/>
          <w:iCs/>
        </w:rPr>
        <w:t>mail art</w:t>
      </w:r>
      <w:r w:rsidRPr="00011A46">
        <w:t xml:space="preserve"> ou le </w:t>
      </w:r>
      <w:r w:rsidRPr="00C5695B">
        <w:rPr>
          <w:i/>
          <w:iCs/>
        </w:rPr>
        <w:t>copy art.</w:t>
      </w:r>
      <w:r w:rsidRPr="00011A46">
        <w:t xml:space="preserve"> Et comme chaque élément d'un réseau peut être aussi bien éme</w:t>
      </w:r>
      <w:r w:rsidRPr="00011A46">
        <w:t>t</w:t>
      </w:r>
      <w:r w:rsidRPr="00011A46">
        <w:t>teur que récepteur, de Matane, de Matagami ou de Maastricht on peut diffuser de l'information à tous ceux avec qui on partage des intérêts, et en recevoir d'eux. C'est ainsi que s'organise un monde parallèle en art, proposant à la fois de nouvelles formes, éventuellement de no</w:t>
      </w:r>
      <w:r w:rsidRPr="00011A46">
        <w:t>u</w:t>
      </w:r>
      <w:r w:rsidRPr="00011A46">
        <w:rPr>
          <w:lang w:eastAsia="fr-FR" w:bidi="fr-FR"/>
        </w:rPr>
        <w:t>veaux contenus, de nouvelles in</w:t>
      </w:r>
      <w:r w:rsidRPr="00011A46">
        <w:rPr>
          <w:lang w:eastAsia="fr-FR" w:bidi="fr-FR"/>
        </w:rPr>
        <w:t>s</w:t>
      </w:r>
      <w:r w:rsidRPr="00011A46">
        <w:rPr>
          <w:lang w:eastAsia="fr-FR" w:bidi="fr-FR"/>
        </w:rPr>
        <w:t>titutions comme ANNPAC-RACA (Association of National Non Profit Artist Centers/Regroupement a</w:t>
      </w:r>
      <w:r w:rsidRPr="00011A46">
        <w:rPr>
          <w:lang w:eastAsia="fr-FR" w:bidi="fr-FR"/>
        </w:rPr>
        <w:t>u</w:t>
      </w:r>
      <w:r w:rsidRPr="00011A46">
        <w:rPr>
          <w:lang w:eastAsia="fr-FR" w:bidi="fr-FR"/>
        </w:rPr>
        <w:t>tonome des ce</w:t>
      </w:r>
      <w:r w:rsidRPr="00011A46">
        <w:rPr>
          <w:lang w:eastAsia="fr-FR" w:bidi="fr-FR"/>
        </w:rPr>
        <w:t>n</w:t>
      </w:r>
      <w:r w:rsidRPr="00011A46">
        <w:rPr>
          <w:lang w:eastAsia="fr-FR" w:bidi="fr-FR"/>
        </w:rPr>
        <w:t>tres d'artistes), dont un grand nombre de membres sont établis hors métropole, ou TACAR (Table autonome des centres d'a</w:t>
      </w:r>
      <w:r w:rsidRPr="00011A46">
        <w:rPr>
          <w:lang w:eastAsia="fr-FR" w:bidi="fr-FR"/>
        </w:rPr>
        <w:t>r</w:t>
      </w:r>
      <w:r w:rsidRPr="00011A46">
        <w:rPr>
          <w:lang w:eastAsia="fr-FR" w:bidi="fr-FR"/>
        </w:rPr>
        <w:t>tistes régionaux).</w:t>
      </w:r>
    </w:p>
    <w:p w:rsidR="00B7214C" w:rsidRDefault="00B7214C" w:rsidP="00B7214C">
      <w:pPr>
        <w:spacing w:before="120" w:after="120"/>
        <w:jc w:val="both"/>
        <w:rPr>
          <w:lang w:eastAsia="fr-FR" w:bidi="fr-FR"/>
        </w:rPr>
      </w:pPr>
      <w:r w:rsidRPr="00011A46">
        <w:rPr>
          <w:lang w:eastAsia="fr-FR" w:bidi="fr-FR"/>
        </w:rPr>
        <w:t>Le revers de cette médaille, c'est le cloisonnement des i</w:t>
      </w:r>
      <w:r w:rsidRPr="00011A46">
        <w:rPr>
          <w:lang w:eastAsia="fr-FR" w:bidi="fr-FR"/>
        </w:rPr>
        <w:t>n</w:t>
      </w:r>
      <w:r w:rsidRPr="00011A46">
        <w:rPr>
          <w:lang w:eastAsia="fr-FR" w:bidi="fr-FR"/>
        </w:rPr>
        <w:t>térêts. Mais la prolifération des créneaux artistiques et leur inscription régi</w:t>
      </w:r>
      <w:r w:rsidRPr="00011A46">
        <w:rPr>
          <w:lang w:eastAsia="fr-FR" w:bidi="fr-FR"/>
        </w:rPr>
        <w:t>o</w:t>
      </w:r>
      <w:r w:rsidRPr="00011A46">
        <w:rPr>
          <w:lang w:eastAsia="fr-FR" w:bidi="fr-FR"/>
        </w:rPr>
        <w:t>nale ne sont pas des épiphénomènes, ils se situent au coeur même de la postmodernité artistique.</w:t>
      </w:r>
    </w:p>
    <w:p w:rsidR="00B7214C" w:rsidRPr="00011A46" w:rsidRDefault="00B7214C" w:rsidP="00B7214C">
      <w:pPr>
        <w:spacing w:before="120" w:after="120"/>
        <w:jc w:val="both"/>
      </w:pPr>
    </w:p>
    <w:p w:rsidR="00B7214C" w:rsidRPr="00011A46" w:rsidRDefault="00B7214C" w:rsidP="00B7214C">
      <w:pPr>
        <w:pStyle w:val="a"/>
      </w:pPr>
      <w:r>
        <w:rPr>
          <w:lang w:eastAsia="fr-FR" w:bidi="fr-FR"/>
        </w:rPr>
        <w:t>BRÈVES CONSIDÉRATIONS</w:t>
      </w:r>
      <w:r>
        <w:rPr>
          <w:lang w:eastAsia="fr-FR" w:bidi="fr-FR"/>
        </w:rPr>
        <w:br/>
      </w:r>
      <w:r w:rsidRPr="00011A46">
        <w:rPr>
          <w:lang w:eastAsia="fr-FR" w:bidi="fr-FR"/>
        </w:rPr>
        <w:t>SUR L'ART POSTM</w:t>
      </w:r>
      <w:r w:rsidRPr="00011A46">
        <w:rPr>
          <w:lang w:eastAsia="fr-FR" w:bidi="fr-FR"/>
        </w:rPr>
        <w:t>O</w:t>
      </w:r>
      <w:r w:rsidRPr="00011A46">
        <w:rPr>
          <w:lang w:eastAsia="fr-FR" w:bidi="fr-FR"/>
        </w:rPr>
        <w:t>DERNE</w:t>
      </w:r>
    </w:p>
    <w:p w:rsidR="00B7214C" w:rsidRDefault="00B7214C" w:rsidP="00B7214C">
      <w:pPr>
        <w:spacing w:before="120" w:after="120"/>
        <w:jc w:val="both"/>
        <w:rPr>
          <w:lang w:eastAsia="fr-FR" w:bidi="fr-FR"/>
        </w:rPr>
      </w:pPr>
    </w:p>
    <w:p w:rsidR="00B7214C" w:rsidRDefault="00B7214C" w:rsidP="00B7214C">
      <w:pPr>
        <w:spacing w:before="120" w:after="120"/>
        <w:jc w:val="both"/>
        <w:rPr>
          <w:lang w:eastAsia="fr-FR" w:bidi="fr-FR"/>
        </w:rPr>
      </w:pPr>
      <w:r w:rsidRPr="00011A46">
        <w:rPr>
          <w:lang w:eastAsia="fr-FR" w:bidi="fr-FR"/>
        </w:rPr>
        <w:t xml:space="preserve">Je n'entreprendrai pas ici de définir théoriquement, </w:t>
      </w:r>
      <w:r w:rsidRPr="000D1A32">
        <w:rPr>
          <w:i/>
          <w:iCs/>
        </w:rPr>
        <w:t>a priori,</w:t>
      </w:r>
      <w:r w:rsidRPr="00011A46">
        <w:rPr>
          <w:lang w:eastAsia="fr-FR" w:bidi="fr-FR"/>
        </w:rPr>
        <w:t xml:space="preserve"> ce qu'est le postmoderne en art et ses liens avec la postmodernité phil</w:t>
      </w:r>
      <w:r w:rsidRPr="00011A46">
        <w:rPr>
          <w:lang w:eastAsia="fr-FR" w:bidi="fr-FR"/>
        </w:rPr>
        <w:t>o</w:t>
      </w:r>
      <w:r w:rsidRPr="00011A46">
        <w:rPr>
          <w:lang w:eastAsia="fr-FR" w:bidi="fr-FR"/>
        </w:rPr>
        <w:t>soph</w:t>
      </w:r>
      <w:r w:rsidRPr="00011A46">
        <w:rPr>
          <w:lang w:eastAsia="fr-FR" w:bidi="fr-FR"/>
        </w:rPr>
        <w:t>i</w:t>
      </w:r>
      <w:r w:rsidRPr="00011A46">
        <w:rPr>
          <w:lang w:eastAsia="fr-FR" w:bidi="fr-FR"/>
        </w:rPr>
        <w:t>que, mais plutôt de le décrire à partir de trois caractéristiques esse</w:t>
      </w:r>
      <w:r w:rsidRPr="00011A46">
        <w:rPr>
          <w:lang w:eastAsia="fr-FR" w:bidi="fr-FR"/>
        </w:rPr>
        <w:t>n</w:t>
      </w:r>
      <w:r w:rsidRPr="00011A46">
        <w:rPr>
          <w:lang w:eastAsia="fr-FR" w:bidi="fr-FR"/>
        </w:rPr>
        <w:t>tielles.</w:t>
      </w:r>
    </w:p>
    <w:p w:rsidR="00B7214C" w:rsidRPr="00011A46" w:rsidRDefault="00B7214C" w:rsidP="00B7214C">
      <w:pPr>
        <w:spacing w:before="120" w:after="120"/>
        <w:jc w:val="both"/>
      </w:pPr>
      <w:r>
        <w:rPr>
          <w:lang w:eastAsia="fr-FR" w:bidi="fr-FR"/>
        </w:rPr>
        <w:t>[465]</w:t>
      </w:r>
    </w:p>
    <w:p w:rsidR="00B7214C" w:rsidRPr="00011A46" w:rsidRDefault="00B7214C" w:rsidP="00B7214C">
      <w:pPr>
        <w:spacing w:before="120" w:after="120"/>
        <w:jc w:val="both"/>
        <w:rPr>
          <w:lang w:eastAsia="fr-FR" w:bidi="fr-FR"/>
        </w:rPr>
      </w:pPr>
      <w:r w:rsidRPr="00011A46">
        <w:rPr>
          <w:lang w:eastAsia="fr-FR" w:bidi="fr-FR"/>
        </w:rPr>
        <w:t xml:space="preserve">La première est l'éclectisme stylistique, par opposition à l'histoire cumulative de l'art, à </w:t>
      </w:r>
      <w:r w:rsidRPr="00C5695B">
        <w:rPr>
          <w:i/>
          <w:iCs/>
        </w:rPr>
        <w:t>la tradition du nouveau</w:t>
      </w:r>
      <w:r w:rsidRPr="00011A46">
        <w:rPr>
          <w:lang w:eastAsia="fr-FR" w:bidi="fr-FR"/>
        </w:rPr>
        <w:t xml:space="preserve"> (R</w:t>
      </w:r>
      <w:r w:rsidRPr="00011A46">
        <w:rPr>
          <w:lang w:eastAsia="fr-FR" w:bidi="fr-FR"/>
        </w:rPr>
        <w:t>o</w:t>
      </w:r>
      <w:r w:rsidRPr="00011A46">
        <w:rPr>
          <w:lang w:eastAsia="fr-FR" w:bidi="fr-FR"/>
        </w:rPr>
        <w:t xml:space="preserve">senberg, 1962). </w:t>
      </w:r>
      <w:r w:rsidRPr="00C5695B">
        <w:rPr>
          <w:i/>
          <w:iCs/>
        </w:rPr>
        <w:t>L’histoire de l'art est terminée</w:t>
      </w:r>
      <w:r w:rsidRPr="00011A46">
        <w:rPr>
          <w:lang w:eastAsia="fr-FR" w:bidi="fr-FR"/>
        </w:rPr>
        <w:t xml:space="preserve"> (Fischer, 1981) au sens où coexistent tous les styles ; le postmoderni</w:t>
      </w:r>
      <w:r w:rsidRPr="00011A46">
        <w:rPr>
          <w:lang w:eastAsia="fr-FR" w:bidi="fr-FR"/>
        </w:rPr>
        <w:t>s</w:t>
      </w:r>
      <w:r w:rsidRPr="00011A46">
        <w:rPr>
          <w:lang w:eastAsia="fr-FR" w:bidi="fr-FR"/>
        </w:rPr>
        <w:t>me a été caractérisé par ses emprunts à tous les styles préc</w:t>
      </w:r>
      <w:r w:rsidRPr="00011A46">
        <w:rPr>
          <w:lang w:eastAsia="fr-FR" w:bidi="fr-FR"/>
        </w:rPr>
        <w:t>é</w:t>
      </w:r>
      <w:r w:rsidRPr="00011A46">
        <w:rPr>
          <w:lang w:eastAsia="fr-FR" w:bidi="fr-FR"/>
        </w:rPr>
        <w:t>dents, dans une démarche artistique personnelle. Cela va de pair avec l'importance accrue de la signature. L'art est ce qui porte la griffe d'un artiste (Bourdieu et Delsaut, 1975) ; à la limite comme dans la performance, l'artiste devient lui-même matière artist</w:t>
      </w:r>
      <w:r w:rsidRPr="00011A46">
        <w:rPr>
          <w:lang w:eastAsia="fr-FR" w:bidi="fr-FR"/>
        </w:rPr>
        <w:t>i</w:t>
      </w:r>
      <w:r w:rsidRPr="00011A46">
        <w:rPr>
          <w:lang w:eastAsia="fr-FR" w:bidi="fr-FR"/>
        </w:rPr>
        <w:t>que. La fin de l'histoire de l'art va de pair avec un renouveau de l'hi</w:t>
      </w:r>
      <w:r w:rsidRPr="00011A46">
        <w:rPr>
          <w:lang w:eastAsia="fr-FR" w:bidi="fr-FR"/>
        </w:rPr>
        <w:t>s</w:t>
      </w:r>
      <w:r w:rsidRPr="00011A46">
        <w:rPr>
          <w:lang w:eastAsia="fr-FR" w:bidi="fr-FR"/>
        </w:rPr>
        <w:t>toire des artistes (au Québec : Bernier et Perrault, 1985 ; Fournier, 1986 ; Lacroix, 1990, par exemple).</w:t>
      </w:r>
    </w:p>
    <w:p w:rsidR="00B7214C" w:rsidRPr="00011A46" w:rsidRDefault="00B7214C" w:rsidP="00B7214C">
      <w:pPr>
        <w:spacing w:before="120" w:after="120"/>
        <w:jc w:val="both"/>
        <w:rPr>
          <w:lang w:eastAsia="fr-FR" w:bidi="fr-FR"/>
        </w:rPr>
      </w:pPr>
      <w:r w:rsidRPr="00011A46">
        <w:rPr>
          <w:lang w:eastAsia="fr-FR" w:bidi="fr-FR"/>
        </w:rPr>
        <w:t>La seconde caractéristique du postmoderne, plus ou moins dans le prolongement de la première, est « l'hybridation » des genres. Peinture et sculpture sont de plus en plus associées sous la rubrique « arts v</w:t>
      </w:r>
      <w:r w:rsidRPr="00011A46">
        <w:rPr>
          <w:lang w:eastAsia="fr-FR" w:bidi="fr-FR"/>
        </w:rPr>
        <w:t>i</w:t>
      </w:r>
      <w:r w:rsidRPr="00011A46">
        <w:rPr>
          <w:lang w:eastAsia="fr-FR" w:bidi="fr-FR"/>
        </w:rPr>
        <w:t>suels » où avec la photo elles s'int</w:t>
      </w:r>
      <w:r w:rsidRPr="00011A46">
        <w:rPr>
          <w:lang w:eastAsia="fr-FR" w:bidi="fr-FR"/>
        </w:rPr>
        <w:t>è</w:t>
      </w:r>
      <w:r w:rsidRPr="00011A46">
        <w:rPr>
          <w:lang w:eastAsia="fr-FR" w:bidi="fr-FR"/>
        </w:rPr>
        <w:t>grent en des « installations » éphémères. Danse, musique, théâtre, sculpture engendrent des pe</w:t>
      </w:r>
      <w:r w:rsidRPr="00011A46">
        <w:rPr>
          <w:lang w:eastAsia="fr-FR" w:bidi="fr-FR"/>
        </w:rPr>
        <w:t>r</w:t>
      </w:r>
      <w:r w:rsidRPr="00011A46">
        <w:rPr>
          <w:lang w:eastAsia="fr-FR" w:bidi="fr-FR"/>
        </w:rPr>
        <w:t xml:space="preserve">formances (Richard et Robertson, 1991). C'est l'époque de la </w:t>
      </w:r>
      <w:r w:rsidRPr="00C5695B">
        <w:rPr>
          <w:i/>
          <w:iCs/>
        </w:rPr>
        <w:t>fusion des arts,</w:t>
      </w:r>
      <w:r w:rsidRPr="00011A46">
        <w:rPr>
          <w:lang w:eastAsia="fr-FR" w:bidi="fr-FR"/>
        </w:rPr>
        <w:t xml:space="preserve"> pour reprendre le nom d'un groupe d'artistes montréalais de la fin des années 1960. Ce phénomène a trouvé de nombreux apol</w:t>
      </w:r>
      <w:r w:rsidRPr="00011A46">
        <w:rPr>
          <w:lang w:eastAsia="fr-FR" w:bidi="fr-FR"/>
        </w:rPr>
        <w:t>o</w:t>
      </w:r>
      <w:r w:rsidRPr="00011A46">
        <w:rPr>
          <w:lang w:eastAsia="fr-FR" w:bidi="fr-FR"/>
        </w:rPr>
        <w:t>gistes, en particulier dans les revues d'art (</w:t>
      </w:r>
      <w:r w:rsidRPr="00C5695B">
        <w:rPr>
          <w:i/>
          <w:iCs/>
        </w:rPr>
        <w:t xml:space="preserve">Inter </w:t>
      </w:r>
      <w:r w:rsidRPr="00011A46">
        <w:rPr>
          <w:lang w:eastAsia="fr-FR" w:bidi="fr-FR"/>
        </w:rPr>
        <w:t xml:space="preserve">ou </w:t>
      </w:r>
      <w:r w:rsidRPr="00C5695B">
        <w:rPr>
          <w:i/>
          <w:iCs/>
        </w:rPr>
        <w:t>Parachute),</w:t>
      </w:r>
      <w:r w:rsidRPr="00011A46">
        <w:rPr>
          <w:lang w:eastAsia="fr-FR" w:bidi="fr-FR"/>
        </w:rPr>
        <w:t xml:space="preserve"> mais encore peu d'analystes, au Québec toujours.</w:t>
      </w:r>
    </w:p>
    <w:p w:rsidR="00B7214C" w:rsidRPr="00011A46" w:rsidRDefault="00B7214C" w:rsidP="00B7214C">
      <w:pPr>
        <w:spacing w:before="120" w:after="120"/>
        <w:jc w:val="both"/>
        <w:rPr>
          <w:lang w:eastAsia="fr-FR" w:bidi="fr-FR"/>
        </w:rPr>
      </w:pPr>
      <w:r w:rsidRPr="00011A46">
        <w:rPr>
          <w:lang w:eastAsia="fr-FR" w:bidi="fr-FR"/>
        </w:rPr>
        <w:t>Enfin, troisième caractéristique, la plus intéressante pour mon pr</w:t>
      </w:r>
      <w:r w:rsidRPr="00011A46">
        <w:rPr>
          <w:lang w:eastAsia="fr-FR" w:bidi="fr-FR"/>
        </w:rPr>
        <w:t>o</w:t>
      </w:r>
      <w:r w:rsidRPr="00011A46">
        <w:rPr>
          <w:lang w:eastAsia="fr-FR" w:bidi="fr-FR"/>
        </w:rPr>
        <w:t xml:space="preserve">pos, et qui découle des deux précédentes : la fin des métropoles. Car, qu'était la métropole, sinon le lieu de l'avant-garde ? Désormais, pour paraphraser Feyerabend, </w:t>
      </w:r>
      <w:r w:rsidRPr="00C5695B">
        <w:rPr>
          <w:i/>
          <w:iCs/>
        </w:rPr>
        <w:t>« anything goes »... anywhere.</w:t>
      </w:r>
      <w:r w:rsidRPr="00011A46">
        <w:rPr>
          <w:lang w:eastAsia="fr-FR" w:bidi="fr-FR"/>
        </w:rPr>
        <w:t xml:space="preserve"> Certaines formes d'art comme le </w:t>
      </w:r>
      <w:r w:rsidRPr="00C5695B">
        <w:rPr>
          <w:i/>
          <w:iCs/>
        </w:rPr>
        <w:t>copy art</w:t>
      </w:r>
      <w:r w:rsidRPr="00011A46">
        <w:rPr>
          <w:lang w:eastAsia="fr-FR" w:bidi="fr-FR"/>
        </w:rPr>
        <w:t xml:space="preserve"> ou le </w:t>
      </w:r>
      <w:r w:rsidRPr="00C5695B">
        <w:rPr>
          <w:i/>
          <w:iCs/>
        </w:rPr>
        <w:t>mail art,</w:t>
      </w:r>
      <w:r w:rsidRPr="00011A46">
        <w:rPr>
          <w:lang w:eastAsia="fr-FR" w:bidi="fr-FR"/>
        </w:rPr>
        <w:t xml:space="preserve"> mais aussi l'installation et la performance incarnent par excellence cette caractéristique : fac</w:t>
      </w:r>
      <w:r w:rsidRPr="00011A46">
        <w:rPr>
          <w:lang w:eastAsia="fr-FR" w:bidi="fr-FR"/>
        </w:rPr>
        <w:t>i</w:t>
      </w:r>
      <w:r w:rsidRPr="00011A46">
        <w:rPr>
          <w:lang w:eastAsia="fr-FR" w:bidi="fr-FR"/>
        </w:rPr>
        <w:t>lement transportables, et à comparativement peu de frais, e</w:t>
      </w:r>
      <w:r w:rsidRPr="00011A46">
        <w:rPr>
          <w:lang w:eastAsia="fr-FR" w:bidi="fr-FR"/>
        </w:rPr>
        <w:t>l</w:t>
      </w:r>
      <w:r w:rsidRPr="00011A46">
        <w:rPr>
          <w:lang w:eastAsia="fr-FR" w:bidi="fr-FR"/>
        </w:rPr>
        <w:t>les se font volontiers « nomades » comme l'affirment leurs défenseurs et, à ce titre, jouent un rôle important dans la création de réseaux internati</w:t>
      </w:r>
      <w:r w:rsidRPr="00011A46">
        <w:rPr>
          <w:lang w:eastAsia="fr-FR" w:bidi="fr-FR"/>
        </w:rPr>
        <w:t>o</w:t>
      </w:r>
      <w:r w:rsidRPr="00011A46">
        <w:rPr>
          <w:lang w:eastAsia="fr-FR" w:bidi="fr-FR"/>
        </w:rPr>
        <w:t>naux. Cette dissolution des métr</w:t>
      </w:r>
      <w:r w:rsidRPr="00011A46">
        <w:rPr>
          <w:lang w:eastAsia="fr-FR" w:bidi="fr-FR"/>
        </w:rPr>
        <w:t>o</w:t>
      </w:r>
      <w:r w:rsidRPr="00011A46">
        <w:rPr>
          <w:lang w:eastAsia="fr-FR" w:bidi="fr-FR"/>
        </w:rPr>
        <w:t>poles, ainsi que les réseaux tissés à partir du Québec, ont été décrits par Guy Durand (1983, 1987,1989,1992).</w:t>
      </w:r>
    </w:p>
    <w:p w:rsidR="00B7214C" w:rsidRPr="00011A46" w:rsidRDefault="00B7214C" w:rsidP="00B7214C">
      <w:pPr>
        <w:spacing w:before="120" w:after="120"/>
        <w:jc w:val="both"/>
        <w:rPr>
          <w:lang w:eastAsia="fr-FR" w:bidi="fr-FR"/>
        </w:rPr>
      </w:pPr>
      <w:r w:rsidRPr="00011A46">
        <w:rPr>
          <w:lang w:eastAsia="fr-FR" w:bidi="fr-FR"/>
        </w:rPr>
        <w:t>Pour résumer, l'art moderne s'inscrivait dans une histoire longue et dans un espace précis, celui de la métropole artist</w:t>
      </w:r>
      <w:r w:rsidRPr="00011A46">
        <w:rPr>
          <w:lang w:eastAsia="fr-FR" w:bidi="fr-FR"/>
        </w:rPr>
        <w:t>i</w:t>
      </w:r>
      <w:r w:rsidRPr="00011A46">
        <w:rPr>
          <w:lang w:eastAsia="fr-FR" w:bidi="fr-FR"/>
        </w:rPr>
        <w:t>que (Fortin, 1992a). Actuellement le temps rétrécit et l'espace éclate ; l'art occupe tout l'e</w:t>
      </w:r>
      <w:r w:rsidRPr="00011A46">
        <w:rPr>
          <w:lang w:eastAsia="fr-FR" w:bidi="fr-FR"/>
        </w:rPr>
        <w:t>s</w:t>
      </w:r>
      <w:r w:rsidRPr="00011A46">
        <w:rPr>
          <w:lang w:eastAsia="fr-FR" w:bidi="fr-FR"/>
        </w:rPr>
        <w:t>pace disponible, dont celui des régions.</w:t>
      </w:r>
    </w:p>
    <w:p w:rsidR="00B7214C" w:rsidRDefault="00B7214C" w:rsidP="00B7214C">
      <w:pPr>
        <w:spacing w:before="120" w:after="120"/>
        <w:jc w:val="both"/>
        <w:rPr>
          <w:lang w:eastAsia="fr-FR" w:bidi="fr-FR"/>
        </w:rPr>
      </w:pPr>
    </w:p>
    <w:p w:rsidR="00B7214C" w:rsidRDefault="00B7214C" w:rsidP="00B7214C">
      <w:pPr>
        <w:pStyle w:val="a"/>
        <w:rPr>
          <w:lang w:eastAsia="fr-FR" w:bidi="fr-FR"/>
        </w:rPr>
      </w:pPr>
      <w:r w:rsidRPr="00011A46">
        <w:rPr>
          <w:lang w:eastAsia="fr-FR" w:bidi="fr-FR"/>
        </w:rPr>
        <w:t>ÉMERGENCE DE NOUVELLES SOLIDARITÉS</w:t>
      </w:r>
      <w:r>
        <w:rPr>
          <w:lang w:eastAsia="fr-FR" w:bidi="fr-FR"/>
        </w:rPr>
        <w:br/>
      </w:r>
      <w:r w:rsidRPr="00011A46">
        <w:rPr>
          <w:lang w:eastAsia="fr-FR" w:bidi="fr-FR"/>
        </w:rPr>
        <w:t>ET IDENT</w:t>
      </w:r>
      <w:r w:rsidRPr="00011A46">
        <w:rPr>
          <w:lang w:eastAsia="fr-FR" w:bidi="fr-FR"/>
        </w:rPr>
        <w:t>I</w:t>
      </w:r>
      <w:r w:rsidRPr="00011A46">
        <w:rPr>
          <w:lang w:eastAsia="fr-FR" w:bidi="fr-FR"/>
        </w:rPr>
        <w:t>TÉS</w:t>
      </w:r>
    </w:p>
    <w:p w:rsidR="00B7214C" w:rsidRPr="00011A46" w:rsidRDefault="00B7214C" w:rsidP="00B7214C">
      <w:pPr>
        <w:spacing w:before="120" w:after="120"/>
        <w:jc w:val="both"/>
      </w:pPr>
    </w:p>
    <w:p w:rsidR="00B7214C" w:rsidRPr="00011A46" w:rsidRDefault="00B7214C" w:rsidP="00B7214C">
      <w:pPr>
        <w:spacing w:before="120" w:after="120"/>
        <w:jc w:val="both"/>
      </w:pPr>
      <w:r>
        <w:rPr>
          <w:lang w:eastAsia="fr-FR" w:bidi="fr-FR"/>
        </w:rPr>
        <w:t>À</w:t>
      </w:r>
      <w:r w:rsidRPr="00011A46">
        <w:rPr>
          <w:lang w:eastAsia="fr-FR" w:bidi="fr-FR"/>
        </w:rPr>
        <w:t xml:space="preserve"> l'époque où les régions se vident, vieillissent, sont aux prises avec de graves problèmes de développement, s'y observe un reno</w:t>
      </w:r>
      <w:r w:rsidRPr="00011A46">
        <w:rPr>
          <w:lang w:eastAsia="fr-FR" w:bidi="fr-FR"/>
        </w:rPr>
        <w:t>u</w:t>
      </w:r>
      <w:r>
        <w:rPr>
          <w:lang w:eastAsia="fr-FR" w:bidi="fr-FR"/>
        </w:rPr>
        <w:t>veau artisti</w:t>
      </w:r>
      <w:r w:rsidRPr="00011A46">
        <w:rPr>
          <w:lang w:eastAsia="fr-FR" w:bidi="fr-FR"/>
        </w:rPr>
        <w:t>que.</w:t>
      </w:r>
      <w:r>
        <w:t xml:space="preserve"> </w:t>
      </w:r>
      <w:r>
        <w:rPr>
          <w:lang w:eastAsia="fr-FR" w:bidi="fr-FR"/>
        </w:rPr>
        <w:t>[466]</w:t>
      </w:r>
      <w:r w:rsidRPr="00011A46">
        <w:rPr>
          <w:lang w:eastAsia="fr-FR" w:bidi="fr-FR"/>
        </w:rPr>
        <w:t xml:space="preserve"> S'agit-il d'un nouveau mode d'occupation du territoire régional</w:t>
      </w:r>
      <w:r w:rsidRPr="00011A46">
        <w:t> ;</w:t>
      </w:r>
      <w:r w:rsidRPr="00011A46">
        <w:rPr>
          <w:lang w:eastAsia="fr-FR" w:bidi="fr-FR"/>
        </w:rPr>
        <w:t xml:space="preserve"> d'un outil de développement économique - et s</w:t>
      </w:r>
      <w:r w:rsidRPr="00011A46">
        <w:rPr>
          <w:lang w:eastAsia="fr-FR" w:bidi="fr-FR"/>
        </w:rPr>
        <w:t>o</w:t>
      </w:r>
      <w:r w:rsidRPr="00011A46">
        <w:rPr>
          <w:lang w:eastAsia="fr-FR" w:bidi="fr-FR"/>
        </w:rPr>
        <w:t>cial - dans un contexte de crise économique (Hamel et Klein, 1991</w:t>
      </w:r>
      <w:r w:rsidRPr="00011A46">
        <w:t> ;</w:t>
      </w:r>
      <w:r w:rsidRPr="00011A46">
        <w:rPr>
          <w:lang w:eastAsia="fr-FR" w:bidi="fr-FR"/>
        </w:rPr>
        <w:t xml:space="preserve"> Gagnon et Klein, 1992)</w:t>
      </w:r>
      <w:r w:rsidRPr="00011A46">
        <w:t> ?</w:t>
      </w:r>
    </w:p>
    <w:p w:rsidR="00B7214C" w:rsidRPr="00011A46" w:rsidRDefault="00B7214C" w:rsidP="00B7214C">
      <w:pPr>
        <w:spacing w:before="120" w:after="120"/>
        <w:jc w:val="both"/>
      </w:pPr>
      <w:r w:rsidRPr="00011A46">
        <w:rPr>
          <w:lang w:eastAsia="fr-FR" w:bidi="fr-FR"/>
        </w:rPr>
        <w:t>Les événements d'art en région misent sur les deux types de part</w:t>
      </w:r>
      <w:r w:rsidRPr="00011A46">
        <w:rPr>
          <w:lang w:eastAsia="fr-FR" w:bidi="fr-FR"/>
        </w:rPr>
        <w:t>i</w:t>
      </w:r>
      <w:r w:rsidRPr="00011A46">
        <w:rPr>
          <w:lang w:eastAsia="fr-FR" w:bidi="fr-FR"/>
        </w:rPr>
        <w:t>cularismes décrits plus haut tout en s'inscrivant dans la logique pos</w:t>
      </w:r>
      <w:r w:rsidRPr="00011A46">
        <w:rPr>
          <w:lang w:eastAsia="fr-FR" w:bidi="fr-FR"/>
        </w:rPr>
        <w:t>t</w:t>
      </w:r>
      <w:r>
        <w:rPr>
          <w:lang w:eastAsia="fr-FR" w:bidi="fr-FR"/>
        </w:rPr>
        <w:t>mo</w:t>
      </w:r>
      <w:r w:rsidRPr="00011A46">
        <w:rPr>
          <w:lang w:eastAsia="fr-FR" w:bidi="fr-FR"/>
        </w:rPr>
        <w:t>de</w:t>
      </w:r>
      <w:r>
        <w:rPr>
          <w:lang w:eastAsia="fr-FR" w:bidi="fr-FR"/>
        </w:rPr>
        <w:t>rn</w:t>
      </w:r>
      <w:r w:rsidRPr="00011A46">
        <w:rPr>
          <w:lang w:eastAsia="fr-FR" w:bidi="fr-FR"/>
        </w:rPr>
        <w:t>e de dissolution des avant-gardes et des métropoles. Ils se tiennent à la faveur de liens entre leurs promoteurs (artistes) avec le milieu extraartistique, en particulier le monde économique et tourist</w:t>
      </w:r>
      <w:r w:rsidRPr="00011A46">
        <w:rPr>
          <w:lang w:eastAsia="fr-FR" w:bidi="fr-FR"/>
        </w:rPr>
        <w:t>i</w:t>
      </w:r>
      <w:r w:rsidRPr="00011A46">
        <w:rPr>
          <w:lang w:eastAsia="fr-FR" w:bidi="fr-FR"/>
        </w:rPr>
        <w:t>que</w:t>
      </w:r>
      <w:r w:rsidRPr="00011A46">
        <w:t> ;</w:t>
      </w:r>
      <w:r w:rsidRPr="00011A46">
        <w:rPr>
          <w:lang w:eastAsia="fr-FR" w:bidi="fr-FR"/>
        </w:rPr>
        <w:t xml:space="preserve"> Durand (1992), met de plus en évidence leur complicité avec les mouvements sociaux (écologie, pacifisme et féminisme en partic</w:t>
      </w:r>
      <w:r w:rsidRPr="00011A46">
        <w:rPr>
          <w:lang w:eastAsia="fr-FR" w:bidi="fr-FR"/>
        </w:rPr>
        <w:t>u</w:t>
      </w:r>
      <w:r w:rsidRPr="00011A46">
        <w:rPr>
          <w:lang w:eastAsia="fr-FR" w:bidi="fr-FR"/>
        </w:rPr>
        <w:t>lier). À quel point les solidarités mises en œuvre pour leur organis</w:t>
      </w:r>
      <w:r w:rsidRPr="00011A46">
        <w:rPr>
          <w:lang w:eastAsia="fr-FR" w:bidi="fr-FR"/>
        </w:rPr>
        <w:t>a</w:t>
      </w:r>
      <w:r w:rsidRPr="00011A46">
        <w:rPr>
          <w:lang w:eastAsia="fr-FR" w:bidi="fr-FR"/>
        </w:rPr>
        <w:t>tion sont-elles l'expression d'identités régionales et artist</w:t>
      </w:r>
      <w:r w:rsidRPr="00011A46">
        <w:rPr>
          <w:lang w:eastAsia="fr-FR" w:bidi="fr-FR"/>
        </w:rPr>
        <w:t>i</w:t>
      </w:r>
      <w:r w:rsidRPr="00011A46">
        <w:rPr>
          <w:lang w:eastAsia="fr-FR" w:bidi="fr-FR"/>
        </w:rPr>
        <w:t>ques</w:t>
      </w:r>
      <w:r w:rsidRPr="00011A46">
        <w:t> ?</w:t>
      </w:r>
      <w:r w:rsidRPr="00011A46">
        <w:rPr>
          <w:lang w:eastAsia="fr-FR" w:bidi="fr-FR"/>
        </w:rPr>
        <w:t xml:space="preserve"> Comment des identités centrées sur l'espace re</w:t>
      </w:r>
      <w:r w:rsidRPr="00011A46">
        <w:rPr>
          <w:lang w:eastAsia="fr-FR" w:bidi="fr-FR"/>
        </w:rPr>
        <w:t>n</w:t>
      </w:r>
      <w:r w:rsidRPr="00011A46">
        <w:rPr>
          <w:lang w:eastAsia="fr-FR" w:bidi="fr-FR"/>
        </w:rPr>
        <w:t>contrent-elles celles, déterritorialisées, du monde de l'art</w:t>
      </w:r>
      <w:r w:rsidRPr="00011A46">
        <w:t> ?</w:t>
      </w:r>
      <w:r w:rsidRPr="00011A46">
        <w:rPr>
          <w:lang w:eastAsia="fr-FR" w:bidi="fr-FR"/>
        </w:rPr>
        <w:t xml:space="preserve"> Quel est l'ancrage local des ide</w:t>
      </w:r>
      <w:r w:rsidRPr="00011A46">
        <w:rPr>
          <w:lang w:eastAsia="fr-FR" w:bidi="fr-FR"/>
        </w:rPr>
        <w:t>n</w:t>
      </w:r>
      <w:r w:rsidRPr="00011A46">
        <w:rPr>
          <w:lang w:eastAsia="fr-FR" w:bidi="fr-FR"/>
        </w:rPr>
        <w:t>tités transnationales</w:t>
      </w:r>
      <w:r w:rsidRPr="00011A46">
        <w:t> ?</w:t>
      </w:r>
    </w:p>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STRATÉGIE DE RECHERCHE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Que les événements d'art actuel en région soient la man</w:t>
      </w:r>
      <w:r w:rsidRPr="00011A46">
        <w:rPr>
          <w:lang w:eastAsia="fr-FR" w:bidi="fr-FR"/>
        </w:rPr>
        <w:t>i</w:t>
      </w:r>
      <w:r w:rsidRPr="00011A46">
        <w:rPr>
          <w:lang w:eastAsia="fr-FR" w:bidi="fr-FR"/>
        </w:rPr>
        <w:t>festation de transformations de l'art et de la région et de son identité, voilà l'h</w:t>
      </w:r>
      <w:r w:rsidRPr="00011A46">
        <w:rPr>
          <w:lang w:eastAsia="fr-FR" w:bidi="fr-FR"/>
        </w:rPr>
        <w:t>y</w:t>
      </w:r>
      <w:r w:rsidRPr="00011A46">
        <w:rPr>
          <w:lang w:eastAsia="fr-FR" w:bidi="fr-FR"/>
        </w:rPr>
        <w:t>pothèse que je souhaite tester, à l'aide d'une double stratégie de r</w:t>
      </w:r>
      <w:r w:rsidRPr="00011A46">
        <w:rPr>
          <w:lang w:eastAsia="fr-FR" w:bidi="fr-FR"/>
        </w:rPr>
        <w:t>e</w:t>
      </w:r>
      <w:r w:rsidRPr="00011A46">
        <w:rPr>
          <w:lang w:eastAsia="fr-FR" w:bidi="fr-FR"/>
        </w:rPr>
        <w:t>cherche concernant d'une part les év</w:t>
      </w:r>
      <w:r w:rsidRPr="00011A46">
        <w:rPr>
          <w:lang w:eastAsia="fr-FR" w:bidi="fr-FR"/>
        </w:rPr>
        <w:t>é</w:t>
      </w:r>
      <w:r w:rsidRPr="00011A46">
        <w:rPr>
          <w:lang w:eastAsia="fr-FR" w:bidi="fr-FR"/>
        </w:rPr>
        <w:t>nements d'art en tant que tels et d'autre part les acteurs s</w:t>
      </w:r>
      <w:r w:rsidRPr="00011A46">
        <w:rPr>
          <w:lang w:eastAsia="fr-FR" w:bidi="fr-FR"/>
        </w:rPr>
        <w:t>o</w:t>
      </w:r>
      <w:r w:rsidRPr="00011A46">
        <w:rPr>
          <w:lang w:eastAsia="fr-FR" w:bidi="fr-FR"/>
        </w:rPr>
        <w:t>ciaux impliqués à divers titres.</w:t>
      </w:r>
    </w:p>
    <w:p w:rsidR="00B7214C" w:rsidRDefault="00B7214C" w:rsidP="00B7214C">
      <w:pPr>
        <w:spacing w:before="120" w:after="120"/>
        <w:jc w:val="both"/>
        <w:rPr>
          <w:lang w:eastAsia="fr-FR" w:bidi="fr-FR"/>
        </w:rPr>
      </w:pPr>
      <w:r w:rsidRPr="00011A46">
        <w:rPr>
          <w:lang w:eastAsia="fr-FR" w:bidi="fr-FR"/>
        </w:rPr>
        <w:t>Tout d'abord une série d'observations lors de ces évén</w:t>
      </w:r>
      <w:r w:rsidRPr="00011A46">
        <w:rPr>
          <w:lang w:eastAsia="fr-FR" w:bidi="fr-FR"/>
        </w:rPr>
        <w:t>e</w:t>
      </w:r>
      <w:r w:rsidRPr="00011A46">
        <w:rPr>
          <w:lang w:eastAsia="fr-FR" w:bidi="fr-FR"/>
        </w:rPr>
        <w:t>ments et l'analyse de divers documents produits à ces occasions ou lors des a</w:t>
      </w:r>
      <w:r w:rsidRPr="00011A46">
        <w:rPr>
          <w:lang w:eastAsia="fr-FR" w:bidi="fr-FR"/>
        </w:rPr>
        <w:t>n</w:t>
      </w:r>
      <w:r w:rsidRPr="00011A46">
        <w:rPr>
          <w:lang w:eastAsia="fr-FR" w:bidi="fr-FR"/>
        </w:rPr>
        <w:t>nées antérieures, permettront de cerner dans quelle mesure ces év</w:t>
      </w:r>
      <w:r w:rsidRPr="00011A46">
        <w:rPr>
          <w:lang w:eastAsia="fr-FR" w:bidi="fr-FR"/>
        </w:rPr>
        <w:t>é</w:t>
      </w:r>
      <w:r w:rsidRPr="00011A46">
        <w:rPr>
          <w:lang w:eastAsia="fr-FR" w:bidi="fr-FR"/>
        </w:rPr>
        <w:t>nements - ainsi que les œuvres qui y sont produites ou présentées - s'inscrivent 1) dans l'art actuel</w:t>
      </w:r>
      <w:r w:rsidRPr="00011A46">
        <w:t> ;</w:t>
      </w:r>
      <w:r w:rsidRPr="00011A46">
        <w:rPr>
          <w:lang w:eastAsia="fr-FR" w:bidi="fr-FR"/>
        </w:rPr>
        <w:t xml:space="preserve"> 2) dans la région. De plus, deux séries d'entrevues seront menées. Seront interrogés des organisateurs, des intervenants locaux, des artistes participants (lesquels ne sont pas n</w:t>
      </w:r>
      <w:r w:rsidRPr="00011A46">
        <w:rPr>
          <w:lang w:eastAsia="fr-FR" w:bidi="fr-FR"/>
        </w:rPr>
        <w:t>é</w:t>
      </w:r>
      <w:r w:rsidRPr="00011A46">
        <w:rPr>
          <w:lang w:eastAsia="fr-FR" w:bidi="fr-FR"/>
        </w:rPr>
        <w:t>cessairement de la région), autrement dit ceux qui se sont mobilisés dans ce partenariat économico-culturel, afin de r</w:t>
      </w:r>
      <w:r w:rsidRPr="00011A46">
        <w:rPr>
          <w:lang w:eastAsia="fr-FR" w:bidi="fr-FR"/>
        </w:rPr>
        <w:t>e</w:t>
      </w:r>
      <w:r w:rsidRPr="00011A46">
        <w:rPr>
          <w:lang w:eastAsia="fr-FR" w:bidi="fr-FR"/>
        </w:rPr>
        <w:t>tracer la genèse et l'histoire de l'événement, les solidarités (comme objectivation des identités sous-jacentes) mises en œuvres pour leur réalisation. Une seconde série d'entrevues auprès de la population locale, et du public viendra compléter ces informations, et portera plus spécifiquement sur la représentation de cet événement, sa signification dans la dynam</w:t>
      </w:r>
      <w:r w:rsidRPr="00011A46">
        <w:rPr>
          <w:lang w:eastAsia="fr-FR" w:bidi="fr-FR"/>
        </w:rPr>
        <w:t>i</w:t>
      </w:r>
      <w:r w:rsidRPr="00011A46">
        <w:rPr>
          <w:lang w:eastAsia="fr-FR" w:bidi="fr-FR"/>
        </w:rPr>
        <w:t>que communautaire régionale, pour l'affirmation d'une ident</w:t>
      </w:r>
      <w:r w:rsidRPr="00011A46">
        <w:rPr>
          <w:lang w:eastAsia="fr-FR" w:bidi="fr-FR"/>
        </w:rPr>
        <w:t>i</w:t>
      </w:r>
      <w:r w:rsidRPr="00011A46">
        <w:rPr>
          <w:lang w:eastAsia="fr-FR" w:bidi="fr-FR"/>
        </w:rPr>
        <w:t>té régionale. Certaines de ces entrevues, en particulier avec les artistes participants et le public pourront se dérouler pe</w:t>
      </w:r>
      <w:r w:rsidRPr="00011A46">
        <w:rPr>
          <w:lang w:eastAsia="fr-FR" w:bidi="fr-FR"/>
        </w:rPr>
        <w:t>n</w:t>
      </w:r>
      <w:r w:rsidRPr="00011A46">
        <w:rPr>
          <w:lang w:eastAsia="fr-FR" w:bidi="fr-FR"/>
        </w:rPr>
        <w:t>dant les événements, mais il sera plus facile de rencontrer les organisateurs et autres intervenants l</w:t>
      </w:r>
      <w:r w:rsidRPr="00011A46">
        <w:rPr>
          <w:lang w:eastAsia="fr-FR" w:bidi="fr-FR"/>
        </w:rPr>
        <w:t>o</w:t>
      </w:r>
      <w:r w:rsidRPr="00011A46">
        <w:rPr>
          <w:lang w:eastAsia="fr-FR" w:bidi="fr-FR"/>
        </w:rPr>
        <w:t>caux avant ou après l'événement.</w:t>
      </w:r>
    </w:p>
    <w:p w:rsidR="00B7214C" w:rsidRPr="00011A46" w:rsidRDefault="00B7214C" w:rsidP="00B7214C">
      <w:pPr>
        <w:spacing w:before="120" w:after="120"/>
        <w:jc w:val="both"/>
      </w:pPr>
      <w:r>
        <w:rPr>
          <w:lang w:eastAsia="fr-FR" w:bidi="fr-FR"/>
        </w:rPr>
        <w:t>[467]</w:t>
      </w:r>
    </w:p>
    <w:p w:rsidR="00B7214C" w:rsidRDefault="00B7214C" w:rsidP="00B7214C">
      <w:pPr>
        <w:spacing w:before="120" w:after="120"/>
        <w:jc w:val="both"/>
        <w:rPr>
          <w:lang w:eastAsia="fr-FR" w:bidi="fr-FR"/>
        </w:rPr>
      </w:pPr>
      <w:r w:rsidRPr="00011A46">
        <w:rPr>
          <w:lang w:eastAsia="fr-FR" w:bidi="fr-FR"/>
        </w:rPr>
        <w:t>Certains événements feront l'objet d'investigation détai</w:t>
      </w:r>
      <w:r w:rsidRPr="00011A46">
        <w:rPr>
          <w:lang w:eastAsia="fr-FR" w:bidi="fr-FR"/>
        </w:rPr>
        <w:t>l</w:t>
      </w:r>
      <w:r w:rsidRPr="00011A46">
        <w:rPr>
          <w:lang w:eastAsia="fr-FR" w:bidi="fr-FR"/>
        </w:rPr>
        <w:t>lée. À des fins comparatives - à titre de groupe témoin - seront examinés des f</w:t>
      </w:r>
      <w:r w:rsidRPr="00011A46">
        <w:rPr>
          <w:lang w:eastAsia="fr-FR" w:bidi="fr-FR"/>
        </w:rPr>
        <w:t>ê</w:t>
      </w:r>
      <w:r w:rsidRPr="00011A46">
        <w:rPr>
          <w:lang w:eastAsia="fr-FR" w:bidi="fr-FR"/>
        </w:rPr>
        <w:t xml:space="preserve">tes ou festivals centrés sur une activité culturelle ne se rattachant pas à l'art actuel (comme le </w:t>
      </w:r>
      <w:r w:rsidRPr="00C5695B">
        <w:rPr>
          <w:i/>
          <w:iCs/>
        </w:rPr>
        <w:t>Carrefour mondial de l'accordéon</w:t>
      </w:r>
      <w:r w:rsidRPr="00011A46">
        <w:rPr>
          <w:lang w:eastAsia="fr-FR" w:bidi="fr-FR"/>
        </w:rPr>
        <w:t xml:space="preserve"> de Montm</w:t>
      </w:r>
      <w:r w:rsidRPr="00011A46">
        <w:rPr>
          <w:lang w:eastAsia="fr-FR" w:bidi="fr-FR"/>
        </w:rPr>
        <w:t>a</w:t>
      </w:r>
      <w:r w:rsidRPr="00011A46">
        <w:rPr>
          <w:lang w:eastAsia="fr-FR" w:bidi="fr-FR"/>
        </w:rPr>
        <w:t xml:space="preserve">gny ou la </w:t>
      </w:r>
      <w:r w:rsidRPr="00C5695B">
        <w:rPr>
          <w:i/>
          <w:iCs/>
        </w:rPr>
        <w:t>Semaine mondiale de marionnettes</w:t>
      </w:r>
      <w:r w:rsidRPr="00011A46">
        <w:rPr>
          <w:lang w:eastAsia="fr-FR" w:bidi="fr-FR"/>
        </w:rPr>
        <w:t xml:space="preserve"> de Jonquière) et un év</w:t>
      </w:r>
      <w:r w:rsidRPr="00011A46">
        <w:rPr>
          <w:lang w:eastAsia="fr-FR" w:bidi="fr-FR"/>
        </w:rPr>
        <w:t>é</w:t>
      </w:r>
      <w:r w:rsidRPr="00011A46">
        <w:rPr>
          <w:lang w:eastAsia="fr-FR" w:bidi="fr-FR"/>
        </w:rPr>
        <w:t>nement d'art actuel dans la ville de Québec. Dans la constitution déf</w:t>
      </w:r>
      <w:r w:rsidRPr="00011A46">
        <w:rPr>
          <w:lang w:eastAsia="fr-FR" w:bidi="fr-FR"/>
        </w:rPr>
        <w:t>i</w:t>
      </w:r>
      <w:r w:rsidRPr="00011A46">
        <w:rPr>
          <w:lang w:eastAsia="fr-FR" w:bidi="fr-FR"/>
        </w:rPr>
        <w:t>nitive de l'échantillon, compte sera tenu de la taille de l'év</w:t>
      </w:r>
      <w:r w:rsidRPr="00011A46">
        <w:rPr>
          <w:lang w:eastAsia="fr-FR" w:bidi="fr-FR"/>
        </w:rPr>
        <w:t>é</w:t>
      </w:r>
      <w:r w:rsidRPr="00011A46">
        <w:rPr>
          <w:lang w:eastAsia="fr-FR" w:bidi="fr-FR"/>
        </w:rPr>
        <w:t>nement, de sa durée, de son éloignement géographique de Québec et de Montréal, de sa pérennité ou de sa ponctualité.</w:t>
      </w:r>
    </w:p>
    <w:p w:rsidR="00B7214C" w:rsidRPr="00011A46" w:rsidRDefault="00B7214C" w:rsidP="00B7214C">
      <w:pPr>
        <w:spacing w:before="120" w:after="120"/>
        <w:jc w:val="both"/>
      </w:pPr>
    </w:p>
    <w:p w:rsidR="00B7214C" w:rsidRDefault="00B7214C" w:rsidP="00B7214C">
      <w:pPr>
        <w:pStyle w:val="c"/>
        <w:rPr>
          <w:lang w:eastAsia="fr-FR" w:bidi="fr-FR"/>
        </w:rPr>
      </w:pPr>
      <w:r>
        <w:rPr>
          <w:lang w:eastAsia="fr-FR" w:bidi="fr-FR"/>
        </w:rPr>
        <w:t>*   *   *</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Il serait exagéré de dire que les événements artistiques en région cons</w:t>
      </w:r>
      <w:r>
        <w:rPr>
          <w:lang w:eastAsia="fr-FR" w:bidi="fr-FR"/>
        </w:rPr>
        <w:t>t</w:t>
      </w:r>
      <w:r w:rsidRPr="00011A46">
        <w:rPr>
          <w:lang w:eastAsia="fr-FR" w:bidi="fr-FR"/>
        </w:rPr>
        <w:t>ituent un phénomène social total. Cependant ils permettent d'i</w:t>
      </w:r>
      <w:r w:rsidRPr="00011A46">
        <w:rPr>
          <w:lang w:eastAsia="fr-FR" w:bidi="fr-FR"/>
        </w:rPr>
        <w:t>n</w:t>
      </w:r>
      <w:r w:rsidRPr="00011A46">
        <w:rPr>
          <w:lang w:eastAsia="fr-FR" w:bidi="fr-FR"/>
        </w:rPr>
        <w:t>terroger le social de plusieurs façons. Premièrement, ils doivent r</w:t>
      </w:r>
      <w:r w:rsidRPr="00011A46">
        <w:rPr>
          <w:lang w:eastAsia="fr-FR" w:bidi="fr-FR"/>
        </w:rPr>
        <w:t>é</w:t>
      </w:r>
      <w:r w:rsidRPr="00011A46">
        <w:rPr>
          <w:lang w:eastAsia="fr-FR" w:bidi="fr-FR"/>
        </w:rPr>
        <w:t>concilier des dynamiques caractérist</w:t>
      </w:r>
      <w:r w:rsidRPr="00011A46">
        <w:rPr>
          <w:lang w:eastAsia="fr-FR" w:bidi="fr-FR"/>
        </w:rPr>
        <w:t>i</w:t>
      </w:r>
      <w:r w:rsidRPr="00011A46">
        <w:rPr>
          <w:lang w:eastAsia="fr-FR" w:bidi="fr-FR"/>
        </w:rPr>
        <w:t>ques de l'époque actuelle, et que souvent on a tendance à o</w:t>
      </w:r>
      <w:r w:rsidRPr="00011A46">
        <w:rPr>
          <w:lang w:eastAsia="fr-FR" w:bidi="fr-FR"/>
        </w:rPr>
        <w:t>p</w:t>
      </w:r>
      <w:r w:rsidRPr="00011A46">
        <w:rPr>
          <w:lang w:eastAsia="fr-FR" w:bidi="fr-FR"/>
        </w:rPr>
        <w:t>poser, l'une centrée sur des appartenances territoriales et communautaires et l'autre sur des réseaux déterritorial</w:t>
      </w:r>
      <w:r w:rsidRPr="00011A46">
        <w:rPr>
          <w:lang w:eastAsia="fr-FR" w:bidi="fr-FR"/>
        </w:rPr>
        <w:t>i</w:t>
      </w:r>
      <w:r w:rsidRPr="00011A46">
        <w:rPr>
          <w:lang w:eastAsia="fr-FR" w:bidi="fr-FR"/>
        </w:rPr>
        <w:t>sés. De plus, ils se situent au coeur de la postmodernité artistique. E</w:t>
      </w:r>
      <w:r w:rsidRPr="00011A46">
        <w:rPr>
          <w:lang w:eastAsia="fr-FR" w:bidi="fr-FR"/>
        </w:rPr>
        <w:t>n</w:t>
      </w:r>
      <w:r w:rsidRPr="00011A46">
        <w:rPr>
          <w:lang w:eastAsia="fr-FR" w:bidi="fr-FR"/>
        </w:rPr>
        <w:t>fin ils s'inscrivent dans une dynamique régionale, et une redéfinition des relations entre le centre et la périphérie. Leur exploration nous entraîne dans les débats théoriques de la sociologie de la postmodern</w:t>
      </w:r>
      <w:r w:rsidRPr="00011A46">
        <w:rPr>
          <w:lang w:eastAsia="fr-FR" w:bidi="fr-FR"/>
        </w:rPr>
        <w:t>i</w:t>
      </w:r>
      <w:r w:rsidRPr="00011A46">
        <w:rPr>
          <w:lang w:eastAsia="fr-FR" w:bidi="fr-FR"/>
        </w:rPr>
        <w:t>té, de la sociologie de l'art et du développement régional. De plus, elle contribuera à cerner la spécificité culturelle québécoise et son inse</w:t>
      </w:r>
      <w:r w:rsidRPr="00011A46">
        <w:rPr>
          <w:lang w:eastAsia="fr-FR" w:bidi="fr-FR"/>
        </w:rPr>
        <w:t>r</w:t>
      </w:r>
      <w:r w:rsidRPr="00011A46">
        <w:rPr>
          <w:lang w:eastAsia="fr-FR" w:bidi="fr-FR"/>
        </w:rPr>
        <w:t>tion dans les r</w:t>
      </w:r>
      <w:r w:rsidRPr="00011A46">
        <w:rPr>
          <w:lang w:eastAsia="fr-FR" w:bidi="fr-FR"/>
        </w:rPr>
        <w:t>é</w:t>
      </w:r>
      <w:r w:rsidRPr="00011A46">
        <w:rPr>
          <w:lang w:eastAsia="fr-FR" w:bidi="fr-FR"/>
        </w:rPr>
        <w:t>seaux internationaux.</w:t>
      </w:r>
    </w:p>
    <w:p w:rsidR="00B7214C" w:rsidRDefault="00B7214C" w:rsidP="00B7214C">
      <w:pPr>
        <w:spacing w:before="120" w:after="120"/>
        <w:jc w:val="both"/>
        <w:rPr>
          <w:lang w:eastAsia="fr-FR" w:bidi="fr-FR"/>
        </w:rPr>
      </w:pPr>
      <w:r w:rsidRPr="00011A46">
        <w:rPr>
          <w:lang w:eastAsia="fr-FR" w:bidi="fr-FR"/>
        </w:rPr>
        <w:t>Les événements artistiques en région, phénomène ém</w:t>
      </w:r>
      <w:r w:rsidRPr="00011A46">
        <w:rPr>
          <w:lang w:eastAsia="fr-FR" w:bidi="fr-FR"/>
        </w:rPr>
        <w:t>i</w:t>
      </w:r>
      <w:r w:rsidRPr="00011A46">
        <w:rPr>
          <w:lang w:eastAsia="fr-FR" w:bidi="fr-FR"/>
        </w:rPr>
        <w:t>nemment postmoderne, ouvrant l'art sur la communauté et la communauté r</w:t>
      </w:r>
      <w:r w:rsidRPr="00011A46">
        <w:rPr>
          <w:lang w:eastAsia="fr-FR" w:bidi="fr-FR"/>
        </w:rPr>
        <w:t>é</w:t>
      </w:r>
      <w:r w:rsidRPr="00011A46">
        <w:rPr>
          <w:lang w:eastAsia="fr-FR" w:bidi="fr-FR"/>
        </w:rPr>
        <w:t xml:space="preserve">gionale sur l'art actuel, sont possiblement le lieu de transformations tant de l'art que de la région, un exemple de </w:t>
      </w:r>
      <w:r w:rsidRPr="00011A46">
        <w:t>« </w:t>
      </w:r>
      <w:r w:rsidRPr="00011A46">
        <w:rPr>
          <w:lang w:eastAsia="fr-FR" w:bidi="fr-FR"/>
        </w:rPr>
        <w:t>pratique émancipato</w:t>
      </w:r>
      <w:r w:rsidRPr="00011A46">
        <w:rPr>
          <w:lang w:eastAsia="fr-FR" w:bidi="fr-FR"/>
        </w:rPr>
        <w:t>i</w:t>
      </w:r>
      <w:r w:rsidRPr="00011A46">
        <w:rPr>
          <w:lang w:eastAsia="fr-FR" w:bidi="fr-FR"/>
        </w:rPr>
        <w:t>re</w:t>
      </w:r>
      <w:r w:rsidRPr="00011A46">
        <w:t> »</w:t>
      </w:r>
      <w:r w:rsidRPr="00011A46">
        <w:rPr>
          <w:lang w:eastAsia="fr-FR" w:bidi="fr-FR"/>
        </w:rPr>
        <w:t xml:space="preserve"> au sens de Marcel Rioux.</w:t>
      </w:r>
    </w:p>
    <w:p w:rsidR="00B7214C" w:rsidRDefault="00B7214C" w:rsidP="00B7214C">
      <w:pPr>
        <w:spacing w:before="120" w:after="120"/>
        <w:jc w:val="both"/>
      </w:pPr>
      <w:r>
        <w:t>[468]</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 w:rsidR="00B7214C" w:rsidRDefault="00B7214C" w:rsidP="00B7214C">
      <w:pPr>
        <w:pStyle w:val="p"/>
      </w:pPr>
      <w:r>
        <w:t>[469]</w:t>
      </w:r>
    </w:p>
    <w:p w:rsidR="00B7214C" w:rsidRPr="00011A46" w:rsidRDefault="00B7214C" w:rsidP="00B7214C">
      <w:pPr>
        <w:spacing w:before="120" w:after="120"/>
        <w:jc w:val="both"/>
      </w:pPr>
    </w:p>
    <w:p w:rsidR="00B7214C" w:rsidRDefault="00B7214C" w:rsidP="00B7214C">
      <w:pPr>
        <w:pStyle w:val="a"/>
        <w:rPr>
          <w:lang w:eastAsia="fr-FR" w:bidi="fr-FR"/>
        </w:rPr>
      </w:pPr>
      <w:r w:rsidRPr="00011A46">
        <w:rPr>
          <w:lang w:eastAsia="fr-FR" w:bidi="fr-FR"/>
        </w:rPr>
        <w:t>BIBLIOGRAPHIE</w:t>
      </w:r>
    </w:p>
    <w:p w:rsidR="00B7214C" w:rsidRPr="00011A46" w:rsidRDefault="00B7214C" w:rsidP="00B7214C">
      <w:pPr>
        <w:spacing w:before="120" w:after="120"/>
        <w:jc w:val="both"/>
      </w:pPr>
    </w:p>
    <w:p w:rsidR="00B7214C" w:rsidRPr="00011A46" w:rsidRDefault="00B7214C" w:rsidP="00B7214C">
      <w:pPr>
        <w:spacing w:before="120" w:after="120"/>
        <w:jc w:val="both"/>
      </w:pPr>
      <w:r w:rsidRPr="00011A46">
        <w:t xml:space="preserve">Bassand, M. (dir.). </w:t>
      </w:r>
      <w:r w:rsidRPr="00C5695B">
        <w:rPr>
          <w:i/>
          <w:iCs/>
        </w:rPr>
        <w:t>Identité et développement régional,</w:t>
      </w:r>
      <w:r w:rsidRPr="00011A46">
        <w:t xml:space="preserve"> Berne, P</w:t>
      </w:r>
      <w:r w:rsidRPr="00011A46">
        <w:t>e</w:t>
      </w:r>
      <w:r w:rsidRPr="00011A46">
        <w:t>ter Lang, 1991.</w:t>
      </w:r>
    </w:p>
    <w:p w:rsidR="00B7214C" w:rsidRPr="00011A46" w:rsidRDefault="00B7214C" w:rsidP="00B7214C">
      <w:pPr>
        <w:spacing w:before="120" w:after="120"/>
        <w:jc w:val="both"/>
      </w:pPr>
      <w:r w:rsidRPr="00011A46">
        <w:t xml:space="preserve">Bassand, M., </w:t>
      </w:r>
      <w:r w:rsidRPr="00C5695B">
        <w:rPr>
          <w:i/>
          <w:iCs/>
        </w:rPr>
        <w:t>Culture et régions d'Europe</w:t>
      </w:r>
      <w:r w:rsidRPr="00011A46">
        <w:t>, Lausanne, Presses pol</w:t>
      </w:r>
      <w:r w:rsidRPr="00011A46">
        <w:t>y</w:t>
      </w:r>
      <w:r w:rsidRPr="00011A46">
        <w:t>techniques et universitaires romandes, 1990.</w:t>
      </w:r>
    </w:p>
    <w:p w:rsidR="00B7214C" w:rsidRPr="00011A46" w:rsidRDefault="00B7214C" w:rsidP="00B7214C">
      <w:pPr>
        <w:spacing w:before="120" w:after="120"/>
        <w:jc w:val="both"/>
      </w:pPr>
      <w:r w:rsidRPr="00011A46">
        <w:t xml:space="preserve">Bélanger, Y. et P. Hamel (dir.), </w:t>
      </w:r>
      <w:r w:rsidRPr="00C5695B">
        <w:rPr>
          <w:i/>
          <w:iCs/>
        </w:rPr>
        <w:t>Québec 2000. Quel développ</w:t>
      </w:r>
      <w:r w:rsidRPr="00C5695B">
        <w:rPr>
          <w:i/>
          <w:iCs/>
        </w:rPr>
        <w:t>e</w:t>
      </w:r>
      <w:r w:rsidRPr="00C5695B">
        <w:rPr>
          <w:i/>
          <w:iCs/>
        </w:rPr>
        <w:t>ment ?,</w:t>
      </w:r>
      <w:r w:rsidRPr="00011A46">
        <w:t xml:space="preserve"> Sillery, Presses de l'Université du Québec, 1992.</w:t>
      </w:r>
    </w:p>
    <w:p w:rsidR="00B7214C" w:rsidRPr="00011A46" w:rsidRDefault="00B7214C" w:rsidP="00B7214C">
      <w:pPr>
        <w:spacing w:before="120" w:after="120"/>
        <w:jc w:val="both"/>
      </w:pPr>
      <w:r w:rsidRPr="00011A46">
        <w:t xml:space="preserve">Bernier, L. et I. Perrault, </w:t>
      </w:r>
      <w:r w:rsidRPr="00C5695B">
        <w:rPr>
          <w:i/>
          <w:iCs/>
        </w:rPr>
        <w:t>L'artiste et l'œuvre à faire,</w:t>
      </w:r>
      <w:r w:rsidRPr="00011A46">
        <w:t xml:space="preserve"> Québec, Inst</w:t>
      </w:r>
      <w:r w:rsidRPr="00011A46">
        <w:t>i</w:t>
      </w:r>
      <w:r w:rsidRPr="00011A46">
        <w:t>tut québécois de recherche sur la culture, 1985.</w:t>
      </w:r>
    </w:p>
    <w:p w:rsidR="00B7214C" w:rsidRPr="00011A46" w:rsidRDefault="00B7214C" w:rsidP="00B7214C">
      <w:pPr>
        <w:spacing w:before="120" w:after="120"/>
        <w:jc w:val="both"/>
      </w:pPr>
      <w:r w:rsidRPr="00011A46">
        <w:t>Bouchard, G., « La dynamique communautaire et l'évol</w:t>
      </w:r>
      <w:r w:rsidRPr="00011A46">
        <w:t>u</w:t>
      </w:r>
      <w:r w:rsidRPr="00011A46">
        <w:t>tion des sociétés rurales québécoises aux XIX</w:t>
      </w:r>
      <w:r w:rsidRPr="00C5695B">
        <w:t>e</w:t>
      </w:r>
      <w:r w:rsidRPr="00011A46">
        <w:t xml:space="preserve"> et XX</w:t>
      </w:r>
      <w:r w:rsidRPr="00C5695B">
        <w:t>e</w:t>
      </w:r>
      <w:r w:rsidRPr="00011A46">
        <w:t xml:space="preserve"> siècles. Construction d'un modèle ». </w:t>
      </w:r>
      <w:r w:rsidRPr="00C5695B">
        <w:rPr>
          <w:i/>
          <w:iCs/>
        </w:rPr>
        <w:t>Revue d'histoire de l'Amérique française,</w:t>
      </w:r>
      <w:r w:rsidRPr="00011A46">
        <w:t xml:space="preserve"> 1986, vol.</w:t>
      </w:r>
      <w:r>
        <w:t> </w:t>
      </w:r>
      <w:r w:rsidRPr="00011A46">
        <w:t>40, n°</w:t>
      </w:r>
      <w:r>
        <w:t> </w:t>
      </w:r>
      <w:r w:rsidRPr="00011A46">
        <w:t>1, p</w:t>
      </w:r>
      <w:r>
        <w:t>p</w:t>
      </w:r>
      <w:r w:rsidRPr="00011A46">
        <w:t>. 51-71.</w:t>
      </w:r>
    </w:p>
    <w:p w:rsidR="00B7214C" w:rsidRPr="00011A46" w:rsidRDefault="00B7214C" w:rsidP="00B7214C">
      <w:pPr>
        <w:spacing w:before="120" w:after="120"/>
        <w:jc w:val="both"/>
      </w:pPr>
      <w:r w:rsidRPr="00011A46">
        <w:t xml:space="preserve">Bourdieu, P. et Y. Delsaut, « Le couturier et sa griffe : contribution à une théorie de la magie ». </w:t>
      </w:r>
      <w:r w:rsidRPr="00C5695B">
        <w:rPr>
          <w:i/>
          <w:iCs/>
        </w:rPr>
        <w:t>Actes de la recherche en sciences soci</w:t>
      </w:r>
      <w:r w:rsidRPr="00C5695B">
        <w:rPr>
          <w:i/>
          <w:iCs/>
        </w:rPr>
        <w:t>a</w:t>
      </w:r>
      <w:r w:rsidRPr="00C5695B">
        <w:rPr>
          <w:i/>
          <w:iCs/>
        </w:rPr>
        <w:t>les,</w:t>
      </w:r>
      <w:r w:rsidRPr="00011A46">
        <w:t xml:space="preserve"> janvier 1975, n°</w:t>
      </w:r>
      <w:r>
        <w:t> </w:t>
      </w:r>
      <w:r w:rsidRPr="00011A46">
        <w:t>1, p</w:t>
      </w:r>
      <w:r>
        <w:t>p</w:t>
      </w:r>
      <w:r w:rsidRPr="00011A46">
        <w:t>. 7-36.</w:t>
      </w:r>
    </w:p>
    <w:p w:rsidR="00B7214C" w:rsidRPr="00011A46" w:rsidRDefault="00B7214C" w:rsidP="00B7214C">
      <w:pPr>
        <w:spacing w:before="120" w:after="120"/>
        <w:jc w:val="both"/>
      </w:pPr>
      <w:r w:rsidRPr="00011A46">
        <w:t xml:space="preserve">Bourdieu, P., « Le marché des biens symboliques », </w:t>
      </w:r>
      <w:r w:rsidRPr="00C5695B">
        <w:rPr>
          <w:i/>
          <w:iCs/>
        </w:rPr>
        <w:t>L'année soci</w:t>
      </w:r>
      <w:r w:rsidRPr="00C5695B">
        <w:rPr>
          <w:i/>
          <w:iCs/>
        </w:rPr>
        <w:t>o</w:t>
      </w:r>
      <w:r w:rsidRPr="00C5695B">
        <w:rPr>
          <w:i/>
          <w:iCs/>
        </w:rPr>
        <w:t>logique,</w:t>
      </w:r>
      <w:r w:rsidRPr="00011A46">
        <w:t xml:space="preserve"> 1971, p</w:t>
      </w:r>
      <w:r>
        <w:t>p</w:t>
      </w:r>
      <w:r w:rsidRPr="00011A46">
        <w:t>. 49-126.</w:t>
      </w:r>
    </w:p>
    <w:p w:rsidR="00B7214C" w:rsidRPr="00011A46" w:rsidRDefault="00B7214C" w:rsidP="00B7214C">
      <w:pPr>
        <w:spacing w:before="120" w:after="120"/>
        <w:jc w:val="both"/>
      </w:pPr>
      <w:r w:rsidRPr="00C5695B">
        <w:t xml:space="preserve">Chicoine, M., L. De Grosbois, E. Foy et F. Poirier, </w:t>
      </w:r>
      <w:r w:rsidRPr="00011A46">
        <w:t>Lâchés tousses. Les fêtes populaires au Québec, en Acadie et en Louisiane,</w:t>
      </w:r>
      <w:r w:rsidRPr="00C5695B">
        <w:t xml:space="preserve"> Montréal, VLB, 1982.</w:t>
      </w:r>
    </w:p>
    <w:p w:rsidR="00B7214C" w:rsidRPr="00011A46" w:rsidRDefault="00B7214C" w:rsidP="00B7214C">
      <w:pPr>
        <w:spacing w:before="120" w:after="120"/>
        <w:jc w:val="both"/>
      </w:pPr>
      <w:r w:rsidRPr="00011A46">
        <w:t xml:space="preserve">Conseil des Affaires sociales. </w:t>
      </w:r>
      <w:r w:rsidRPr="00C5695B">
        <w:rPr>
          <w:i/>
          <w:iCs/>
        </w:rPr>
        <w:t>Un Québec solidaire,</w:t>
      </w:r>
      <w:r w:rsidRPr="00011A46">
        <w:t xml:space="preserve"> Bo</w:t>
      </w:r>
      <w:r w:rsidRPr="00011A46">
        <w:t>u</w:t>
      </w:r>
      <w:r w:rsidRPr="00011A46">
        <w:t>cherville et Québec, Gaétan Morin et Gouvernement du Qu</w:t>
      </w:r>
      <w:r w:rsidRPr="00011A46">
        <w:t>é</w:t>
      </w:r>
      <w:r w:rsidRPr="00011A46">
        <w:t>bec, 1992.</w:t>
      </w:r>
    </w:p>
    <w:p w:rsidR="00B7214C" w:rsidRPr="00011A46" w:rsidRDefault="00B7214C" w:rsidP="00B7214C">
      <w:pPr>
        <w:spacing w:before="120" w:after="120"/>
        <w:jc w:val="both"/>
      </w:pPr>
      <w:r w:rsidRPr="00011A46">
        <w:t xml:space="preserve">Conseil des Affaires sociales. </w:t>
      </w:r>
      <w:r w:rsidRPr="00C5695B">
        <w:rPr>
          <w:i/>
          <w:iCs/>
        </w:rPr>
        <w:t>Agir ensemble,</w:t>
      </w:r>
      <w:r w:rsidRPr="00011A46">
        <w:t xml:space="preserve"> Boucherville et Qu</w:t>
      </w:r>
      <w:r w:rsidRPr="00011A46">
        <w:t>é</w:t>
      </w:r>
      <w:r w:rsidRPr="00011A46">
        <w:t>bec, Gaétan Morin et Gouvernement du Québec, 1990.</w:t>
      </w:r>
    </w:p>
    <w:p w:rsidR="00B7214C" w:rsidRPr="00011A46" w:rsidRDefault="00B7214C" w:rsidP="00B7214C">
      <w:pPr>
        <w:spacing w:before="120" w:after="120"/>
        <w:jc w:val="both"/>
      </w:pPr>
      <w:r w:rsidRPr="00011A46">
        <w:t xml:space="preserve">Conseil des Affaires sociales. </w:t>
      </w:r>
      <w:r w:rsidRPr="00C5695B">
        <w:rPr>
          <w:i/>
          <w:iCs/>
        </w:rPr>
        <w:t>Deux Québec dans un. Rapport sur le développement social et démographique,</w:t>
      </w:r>
      <w:r w:rsidRPr="00011A46">
        <w:t xml:space="preserve"> Bo</w:t>
      </w:r>
      <w:r w:rsidRPr="00011A46">
        <w:t>u</w:t>
      </w:r>
      <w:r w:rsidRPr="00011A46">
        <w:t>cherville et Québec, Gaétan Morin et Gouvernement du Qu</w:t>
      </w:r>
      <w:r w:rsidRPr="00011A46">
        <w:t>é</w:t>
      </w:r>
      <w:r w:rsidRPr="00011A46">
        <w:t>bec, 1989.</w:t>
      </w:r>
    </w:p>
    <w:p w:rsidR="00B7214C" w:rsidRPr="00011A46" w:rsidRDefault="00B7214C" w:rsidP="00B7214C">
      <w:pPr>
        <w:spacing w:before="120" w:after="120"/>
        <w:jc w:val="both"/>
      </w:pPr>
      <w:r>
        <w:t>Côté, Charles</w:t>
      </w:r>
      <w:r w:rsidRPr="00011A46">
        <w:t xml:space="preserve">, </w:t>
      </w:r>
      <w:hyperlink r:id="rId101" w:history="1">
        <w:r w:rsidRPr="00B51C7C">
          <w:rPr>
            <w:rStyle w:val="Lienhypertexte"/>
            <w:i/>
            <w:iCs/>
          </w:rPr>
          <w:t>Désintégration des régions</w:t>
        </w:r>
      </w:hyperlink>
      <w:r w:rsidRPr="00C5695B">
        <w:rPr>
          <w:i/>
          <w:iCs/>
        </w:rPr>
        <w:t>,</w:t>
      </w:r>
      <w:r w:rsidRPr="00011A46">
        <w:t xml:space="preserve"> Chicoutimi, JCL, 1991.</w:t>
      </w:r>
    </w:p>
    <w:p w:rsidR="00B7214C" w:rsidRPr="00011A46" w:rsidRDefault="00B7214C" w:rsidP="00B7214C">
      <w:pPr>
        <w:spacing w:before="120" w:after="120"/>
        <w:jc w:val="both"/>
      </w:pPr>
      <w:r w:rsidRPr="00011A46">
        <w:t xml:space="preserve">Couture, F., N. Gauthier et Y. Robillard, </w:t>
      </w:r>
      <w:r w:rsidRPr="00C5695B">
        <w:rPr>
          <w:i/>
          <w:iCs/>
        </w:rPr>
        <w:t>Le marché de l'art et l'a</w:t>
      </w:r>
      <w:r w:rsidRPr="00C5695B">
        <w:rPr>
          <w:i/>
          <w:iCs/>
        </w:rPr>
        <w:t>r</w:t>
      </w:r>
      <w:r w:rsidRPr="00C5695B">
        <w:rPr>
          <w:i/>
          <w:iCs/>
        </w:rPr>
        <w:t>tiste au Québec,</w:t>
      </w:r>
      <w:r w:rsidRPr="00011A46">
        <w:t xml:space="preserve"> Québec, Ministère des Affaires culturelles, 1984.</w:t>
      </w:r>
    </w:p>
    <w:p w:rsidR="00B7214C" w:rsidRPr="00011A46" w:rsidRDefault="00B7214C" w:rsidP="00B7214C">
      <w:pPr>
        <w:spacing w:before="120" w:after="120"/>
        <w:jc w:val="both"/>
      </w:pPr>
      <w:r w:rsidRPr="00011A46">
        <w:t xml:space="preserve">De Grosbois, L., R. Lamothe et L. Nantel, </w:t>
      </w:r>
      <w:r w:rsidRPr="00C5695B">
        <w:rPr>
          <w:i/>
          <w:iCs/>
        </w:rPr>
        <w:t>Les Patenteux du Qu</w:t>
      </w:r>
      <w:r w:rsidRPr="00C5695B">
        <w:rPr>
          <w:i/>
          <w:iCs/>
        </w:rPr>
        <w:t>é</w:t>
      </w:r>
      <w:r w:rsidRPr="00C5695B">
        <w:rPr>
          <w:i/>
          <w:iCs/>
        </w:rPr>
        <w:t>bec,</w:t>
      </w:r>
      <w:r w:rsidRPr="00011A46">
        <w:t xml:space="preserve"> avec une préface de Marcel Rioux, Montréal, Parti Pris, 1978.</w:t>
      </w:r>
    </w:p>
    <w:p w:rsidR="00B7214C" w:rsidRPr="00011A46" w:rsidRDefault="00B7214C" w:rsidP="00B7214C">
      <w:pPr>
        <w:spacing w:before="120" w:after="120"/>
        <w:jc w:val="both"/>
      </w:pPr>
      <w:r w:rsidRPr="00011A46">
        <w:t xml:space="preserve">Dinard, D. (dir.). </w:t>
      </w:r>
      <w:r w:rsidRPr="00C5695B">
        <w:rPr>
          <w:i/>
          <w:iCs/>
        </w:rPr>
        <w:t>Que la fête commence,</w:t>
      </w:r>
      <w:r w:rsidRPr="00011A46">
        <w:t xml:space="preserve"> Montréal, Société des fe</w:t>
      </w:r>
      <w:r w:rsidRPr="00011A46">
        <w:t>s</w:t>
      </w:r>
      <w:r w:rsidRPr="00011A46">
        <w:t>tivals populaires du Québec, 1982.</w:t>
      </w:r>
    </w:p>
    <w:p w:rsidR="00B7214C" w:rsidRPr="00011A46" w:rsidRDefault="00B7214C" w:rsidP="00B7214C">
      <w:pPr>
        <w:spacing w:before="120" w:after="120"/>
        <w:jc w:val="both"/>
      </w:pPr>
      <w:r w:rsidRPr="00011A46">
        <w:t>Durand, G., « Aventure et mésaventures des sculptures enviro</w:t>
      </w:r>
      <w:r w:rsidRPr="00011A46">
        <w:t>n</w:t>
      </w:r>
      <w:r w:rsidRPr="00011A46">
        <w:t xml:space="preserve">nementales au Québec, 1951-1991 », </w:t>
      </w:r>
      <w:r w:rsidRPr="00C5695B">
        <w:rPr>
          <w:i/>
          <w:iCs/>
        </w:rPr>
        <w:t>Recherches sociographiques,</w:t>
      </w:r>
      <w:r w:rsidRPr="00011A46">
        <w:t xml:space="preserve"> 1992, vol. XXXIII, n°</w:t>
      </w:r>
      <w:r>
        <w:t> </w:t>
      </w:r>
      <w:r w:rsidRPr="00011A46">
        <w:t>2, p. 205-237.</w:t>
      </w:r>
    </w:p>
    <w:p w:rsidR="00B7214C" w:rsidRPr="00011A46" w:rsidRDefault="00B7214C" w:rsidP="00B7214C">
      <w:pPr>
        <w:spacing w:before="120" w:after="120"/>
        <w:jc w:val="both"/>
      </w:pPr>
      <w:r w:rsidRPr="00011A46">
        <w:t xml:space="preserve">Durand, G., « Des traces passionnées au tracé inversé : Baie-Saint-Paul, été 91 », </w:t>
      </w:r>
      <w:r w:rsidRPr="00C5695B">
        <w:rPr>
          <w:i/>
          <w:iCs/>
        </w:rPr>
        <w:t>Noir d'encre,</w:t>
      </w:r>
      <w:r w:rsidRPr="00011A46">
        <w:t xml:space="preserve"> hiver 1991, vol.</w:t>
      </w:r>
      <w:r>
        <w:t> </w:t>
      </w:r>
      <w:r w:rsidRPr="00011A46">
        <w:t>1, n°</w:t>
      </w:r>
      <w:r>
        <w:t> </w:t>
      </w:r>
      <w:r w:rsidRPr="00011A46">
        <w:t xml:space="preserve">3, </w:t>
      </w:r>
      <w:r>
        <w:t>p</w:t>
      </w:r>
      <w:r w:rsidRPr="00011A46">
        <w:t>p. 4-7.</w:t>
      </w:r>
    </w:p>
    <w:p w:rsidR="00B7214C" w:rsidRPr="00011A46" w:rsidRDefault="00B7214C" w:rsidP="00B7214C">
      <w:pPr>
        <w:spacing w:before="120" w:after="120"/>
        <w:jc w:val="both"/>
      </w:pPr>
      <w:r w:rsidRPr="00011A46">
        <w:t xml:space="preserve">Durand, G., « Pas d'histoire d'art, mais des histoires d'été ». </w:t>
      </w:r>
      <w:r w:rsidRPr="00C5695B">
        <w:rPr>
          <w:i/>
          <w:iCs/>
        </w:rPr>
        <w:t>Inter,</w:t>
      </w:r>
      <w:r w:rsidRPr="00011A46">
        <w:t xml:space="preserve"> automne 1989, n°</w:t>
      </w:r>
      <w:r>
        <w:t> </w:t>
      </w:r>
      <w:r w:rsidRPr="00011A46">
        <w:t>45.</w:t>
      </w:r>
    </w:p>
    <w:p w:rsidR="00B7214C" w:rsidRPr="00011A46" w:rsidRDefault="00B7214C" w:rsidP="00B7214C">
      <w:pPr>
        <w:spacing w:before="120" w:after="120"/>
        <w:jc w:val="both"/>
      </w:pPr>
      <w:r w:rsidRPr="00011A46">
        <w:t xml:space="preserve">Durand, G., « Du fleuve à la rue ». </w:t>
      </w:r>
      <w:r w:rsidRPr="00C5695B">
        <w:rPr>
          <w:i/>
          <w:iCs/>
        </w:rPr>
        <w:t>Inter,</w:t>
      </w:r>
      <w:r w:rsidRPr="00011A46">
        <w:t xml:space="preserve"> automne 1987, n°</w:t>
      </w:r>
      <w:r>
        <w:t> </w:t>
      </w:r>
      <w:r w:rsidRPr="00011A46">
        <w:t>37, p</w:t>
      </w:r>
      <w:r>
        <w:t>p</w:t>
      </w:r>
      <w:r w:rsidRPr="00011A46">
        <w:t>. 31-53.</w:t>
      </w:r>
    </w:p>
    <w:p w:rsidR="00B7214C" w:rsidRDefault="00B7214C" w:rsidP="00B7214C">
      <w:pPr>
        <w:spacing w:before="120" w:after="120"/>
        <w:jc w:val="both"/>
      </w:pPr>
      <w:r w:rsidRPr="00011A46">
        <w:t xml:space="preserve">Durand, G., « L'art tendanciel », </w:t>
      </w:r>
      <w:r w:rsidRPr="00C5695B">
        <w:rPr>
          <w:i/>
          <w:iCs/>
        </w:rPr>
        <w:t>Dérives,</w:t>
      </w:r>
      <w:r w:rsidRPr="00011A46">
        <w:t xml:space="preserve"> 1986, n°</w:t>
      </w:r>
      <w:r>
        <w:t> </w:t>
      </w:r>
      <w:r w:rsidRPr="00011A46">
        <w:t>51, p. 59-68.</w:t>
      </w:r>
    </w:p>
    <w:p w:rsidR="00B7214C" w:rsidRPr="00011A46" w:rsidRDefault="00B7214C" w:rsidP="00B7214C">
      <w:pPr>
        <w:spacing w:before="120" w:after="120"/>
        <w:jc w:val="both"/>
      </w:pPr>
      <w:r>
        <w:t>[470]</w:t>
      </w:r>
    </w:p>
    <w:p w:rsidR="00B7214C" w:rsidRPr="00011A46" w:rsidRDefault="00B7214C" w:rsidP="00B7214C">
      <w:pPr>
        <w:spacing w:before="120" w:after="120"/>
        <w:jc w:val="both"/>
      </w:pPr>
      <w:r w:rsidRPr="00011A46">
        <w:t>Durand, G., « Les réseaux d'art, une alternative au centr</w:t>
      </w:r>
      <w:r w:rsidRPr="00011A46">
        <w:t>a</w:t>
      </w:r>
      <w:r w:rsidRPr="00011A46">
        <w:t xml:space="preserve">lisme ». </w:t>
      </w:r>
      <w:r w:rsidRPr="00C5695B">
        <w:rPr>
          <w:i/>
          <w:iCs/>
        </w:rPr>
        <w:t>Intervention,</w:t>
      </w:r>
      <w:r w:rsidRPr="00011A46">
        <w:t xml:space="preserve"> été 1983, n°</w:t>
      </w:r>
      <w:r>
        <w:t> </w:t>
      </w:r>
      <w:r w:rsidRPr="00011A46">
        <w:t>19, p</w:t>
      </w:r>
      <w:r>
        <w:t>p</w:t>
      </w:r>
      <w:r w:rsidRPr="00011A46">
        <w:t>. 9-13.</w:t>
      </w:r>
    </w:p>
    <w:p w:rsidR="00B7214C" w:rsidRPr="00011A46" w:rsidRDefault="00B7214C" w:rsidP="00B7214C">
      <w:pPr>
        <w:spacing w:before="120" w:after="120"/>
        <w:jc w:val="both"/>
      </w:pPr>
      <w:r w:rsidRPr="00011A46">
        <w:t xml:space="preserve">Duvignaud, </w:t>
      </w:r>
      <w:r w:rsidRPr="00C5695B">
        <w:rPr>
          <w:i/>
          <w:iCs/>
        </w:rPr>
        <w:t>}., Fêtes et civilisations,</w:t>
      </w:r>
      <w:r w:rsidRPr="00011A46">
        <w:t xml:space="preserve"> Genève, Weber, 1973.</w:t>
      </w:r>
    </w:p>
    <w:p w:rsidR="00B7214C" w:rsidRPr="00011A46" w:rsidRDefault="00B7214C" w:rsidP="00B7214C">
      <w:pPr>
        <w:spacing w:before="120" w:after="120"/>
        <w:jc w:val="both"/>
      </w:pPr>
      <w:r w:rsidRPr="00011A46">
        <w:t xml:space="preserve">Fischer, H., </w:t>
      </w:r>
      <w:r w:rsidRPr="00C5695B">
        <w:rPr>
          <w:i/>
          <w:iCs/>
        </w:rPr>
        <w:t>L'histoire de l'art est terminée,</w:t>
      </w:r>
      <w:r w:rsidRPr="00011A46">
        <w:t xml:space="preserve"> Paris, Balland, 1981.</w:t>
      </w:r>
    </w:p>
    <w:p w:rsidR="00B7214C" w:rsidRPr="00011A46" w:rsidRDefault="00B7214C" w:rsidP="00B7214C">
      <w:pPr>
        <w:spacing w:before="120" w:after="120"/>
        <w:jc w:val="both"/>
      </w:pPr>
      <w:r w:rsidRPr="00011A46">
        <w:t xml:space="preserve">Fortin, A., </w:t>
      </w:r>
      <w:r w:rsidRPr="00C5695B">
        <w:rPr>
          <w:i/>
          <w:iCs/>
        </w:rPr>
        <w:t>Les regroupements d'artistes, stratégies mixtes, colle</w:t>
      </w:r>
      <w:r w:rsidRPr="00C5695B">
        <w:rPr>
          <w:i/>
          <w:iCs/>
        </w:rPr>
        <w:t>c</w:t>
      </w:r>
      <w:r w:rsidRPr="00C5695B">
        <w:rPr>
          <w:i/>
          <w:iCs/>
        </w:rPr>
        <w:t>tives et fluides,</w:t>
      </w:r>
      <w:r w:rsidRPr="00011A46">
        <w:t xml:space="preserve"> Québec, Institut québécois de recherche sur la culture, 1985, p. 123-136. (Coll. « Questions de cult</w:t>
      </w:r>
      <w:r w:rsidRPr="00011A46">
        <w:t>u</w:t>
      </w:r>
      <w:r w:rsidRPr="00011A46">
        <w:t>re », n°</w:t>
      </w:r>
      <w:r>
        <w:t> </w:t>
      </w:r>
      <w:r w:rsidRPr="00011A46">
        <w:t>8.)</w:t>
      </w:r>
    </w:p>
    <w:p w:rsidR="00B7214C" w:rsidRPr="00011A46" w:rsidRDefault="00B7214C" w:rsidP="00B7214C">
      <w:pPr>
        <w:spacing w:before="120" w:after="120"/>
        <w:jc w:val="both"/>
      </w:pPr>
      <w:r w:rsidRPr="00011A46">
        <w:t>Fortin, A., « Présentation. Images, art et culture du Québec a</w:t>
      </w:r>
      <w:r w:rsidRPr="00011A46">
        <w:t>c</w:t>
      </w:r>
      <w:r w:rsidRPr="00011A46">
        <w:t xml:space="preserve">tuel ». </w:t>
      </w:r>
      <w:r w:rsidRPr="00C5695B">
        <w:rPr>
          <w:i/>
          <w:iCs/>
        </w:rPr>
        <w:t>Recherches sociographiques,</w:t>
      </w:r>
      <w:r w:rsidRPr="00011A46">
        <w:t xml:space="preserve"> 1992a, vol. XXXIII, n°</w:t>
      </w:r>
      <w:r>
        <w:t> </w:t>
      </w:r>
      <w:r w:rsidRPr="00011A46">
        <w:t>2, p</w:t>
      </w:r>
      <w:r>
        <w:t>p</w:t>
      </w:r>
      <w:r w:rsidRPr="00011A46">
        <w:t>. 169-178.</w:t>
      </w:r>
    </w:p>
    <w:p w:rsidR="00B7214C" w:rsidRPr="00011A46" w:rsidRDefault="00B7214C" w:rsidP="00B7214C">
      <w:pPr>
        <w:spacing w:before="120" w:after="120"/>
        <w:jc w:val="both"/>
      </w:pPr>
      <w:r w:rsidRPr="00011A46">
        <w:t>Fortin, A., « </w:t>
      </w:r>
      <w:hyperlink r:id="rId102" w:history="1">
        <w:r w:rsidRPr="00B51C7C">
          <w:rPr>
            <w:rStyle w:val="Lienhypertexte"/>
          </w:rPr>
          <w:t>Braconnages </w:t>
        </w:r>
      </w:hyperlink>
      <w:r w:rsidRPr="00011A46">
        <w:t xml:space="preserve">», dans Jacques Hamel et Louis Maheu (dir.). </w:t>
      </w:r>
      <w:hyperlink r:id="rId103" w:history="1">
        <w:r w:rsidRPr="00B51C7C">
          <w:rPr>
            <w:rStyle w:val="Lienhypertexte"/>
            <w:i/>
            <w:iCs/>
          </w:rPr>
          <w:t>Hommage à Marcel Rioux. Sociologie critique, création artist</w:t>
        </w:r>
        <w:r w:rsidRPr="00B51C7C">
          <w:rPr>
            <w:rStyle w:val="Lienhypertexte"/>
            <w:i/>
            <w:iCs/>
          </w:rPr>
          <w:t>i</w:t>
        </w:r>
        <w:r w:rsidRPr="00B51C7C">
          <w:rPr>
            <w:rStyle w:val="Lienhypertexte"/>
            <w:i/>
            <w:iCs/>
          </w:rPr>
          <w:t>que et société contemporaine</w:t>
        </w:r>
      </w:hyperlink>
      <w:r w:rsidRPr="00C5695B">
        <w:rPr>
          <w:i/>
          <w:iCs/>
        </w:rPr>
        <w:t>,</w:t>
      </w:r>
      <w:r w:rsidRPr="00011A46">
        <w:t xml:space="preserve"> Montréal, Éd</w:t>
      </w:r>
      <w:r w:rsidRPr="00011A46">
        <w:t>i</w:t>
      </w:r>
      <w:r w:rsidRPr="00011A46">
        <w:t>tions Saint-Martin, 1992b, p. 95-120.</w:t>
      </w:r>
    </w:p>
    <w:p w:rsidR="00B7214C" w:rsidRPr="00011A46" w:rsidRDefault="00B7214C" w:rsidP="00B7214C">
      <w:pPr>
        <w:spacing w:before="120" w:after="120"/>
        <w:jc w:val="both"/>
      </w:pPr>
      <w:r w:rsidRPr="00011A46">
        <w:t xml:space="preserve">Fortin, A., « Les intellectuels à travers leurs revues ». </w:t>
      </w:r>
      <w:r w:rsidRPr="00C5695B">
        <w:rPr>
          <w:i/>
          <w:iCs/>
        </w:rPr>
        <w:t>Recherches sociographiques,</w:t>
      </w:r>
      <w:r w:rsidRPr="00011A46">
        <w:t xml:space="preserve"> 1990, vol.</w:t>
      </w:r>
      <w:r>
        <w:t> </w:t>
      </w:r>
      <w:r w:rsidRPr="00011A46">
        <w:t>XXXI, n°</w:t>
      </w:r>
      <w:r>
        <w:t> </w:t>
      </w:r>
      <w:r w:rsidRPr="00011A46">
        <w:t xml:space="preserve">2, </w:t>
      </w:r>
      <w:r>
        <w:t>p</w:t>
      </w:r>
      <w:r w:rsidRPr="00011A46">
        <w:t>p. 169-200.</w:t>
      </w:r>
    </w:p>
    <w:p w:rsidR="00B7214C" w:rsidRPr="00011A46" w:rsidRDefault="00B7214C" w:rsidP="00B7214C">
      <w:pPr>
        <w:spacing w:before="120" w:after="120"/>
        <w:jc w:val="both"/>
      </w:pPr>
      <w:r w:rsidRPr="00011A46">
        <w:t xml:space="preserve">Fournier, M., </w:t>
      </w:r>
      <w:r w:rsidRPr="00C5695B">
        <w:rPr>
          <w:i/>
          <w:iCs/>
        </w:rPr>
        <w:t>Les générations d'artistes,</w:t>
      </w:r>
      <w:r w:rsidRPr="00011A46">
        <w:t xml:space="preserve"> Québec, Institut québécois de recherche sur la culture, 1986.</w:t>
      </w:r>
    </w:p>
    <w:p w:rsidR="00B7214C" w:rsidRPr="00011A46" w:rsidRDefault="00B7214C" w:rsidP="00B7214C">
      <w:pPr>
        <w:spacing w:before="120" w:after="120"/>
        <w:jc w:val="both"/>
      </w:pPr>
      <w:r w:rsidRPr="00011A46">
        <w:t xml:space="preserve">Fournier, M. et F. Couture, « Art et régionalismes(s) au Québec », </w:t>
      </w:r>
      <w:r w:rsidRPr="00C5695B">
        <w:rPr>
          <w:i/>
          <w:iCs/>
        </w:rPr>
        <w:t>Protée,</w:t>
      </w:r>
      <w:r w:rsidRPr="00011A46">
        <w:t xml:space="preserve"> printemps 1983, </w:t>
      </w:r>
      <w:r>
        <w:t>p</w:t>
      </w:r>
      <w:r w:rsidRPr="00011A46">
        <w:t>p. 24-34.</w:t>
      </w:r>
    </w:p>
    <w:p w:rsidR="00B7214C" w:rsidRPr="00011A46" w:rsidRDefault="00B7214C" w:rsidP="00B7214C">
      <w:pPr>
        <w:spacing w:before="120" w:after="120"/>
        <w:jc w:val="both"/>
      </w:pPr>
      <w:r w:rsidRPr="00C5695B">
        <w:t xml:space="preserve">Gagnon, A.-G., </w:t>
      </w:r>
      <w:r w:rsidRPr="00B51C7C">
        <w:rPr>
          <w:i/>
        </w:rPr>
        <w:t>Développement régional, État et groupes popula</w:t>
      </w:r>
      <w:r w:rsidRPr="00B51C7C">
        <w:rPr>
          <w:i/>
        </w:rPr>
        <w:t>i</w:t>
      </w:r>
      <w:r w:rsidRPr="00B51C7C">
        <w:rPr>
          <w:i/>
        </w:rPr>
        <w:t>res</w:t>
      </w:r>
      <w:r w:rsidRPr="00011A46">
        <w:t>,</w:t>
      </w:r>
      <w:r w:rsidRPr="00C5695B">
        <w:t xml:space="preserve"> Hull, Asticou, 1985.</w:t>
      </w:r>
    </w:p>
    <w:p w:rsidR="00B7214C" w:rsidRPr="00011A46" w:rsidRDefault="00B7214C" w:rsidP="00B7214C">
      <w:pPr>
        <w:spacing w:before="120" w:after="120"/>
        <w:jc w:val="both"/>
      </w:pPr>
      <w:r w:rsidRPr="00011A46">
        <w:t xml:space="preserve">Gagnon, A.-G. (dir.). </w:t>
      </w:r>
      <w:r w:rsidRPr="00C5695B">
        <w:rPr>
          <w:i/>
          <w:iCs/>
        </w:rPr>
        <w:t>Les Opérations-Dignité,</w:t>
      </w:r>
      <w:r w:rsidRPr="00011A46">
        <w:t xml:space="preserve"> Montréal et R</w:t>
      </w:r>
      <w:r w:rsidRPr="00011A46">
        <w:t>i</w:t>
      </w:r>
      <w:r w:rsidRPr="00011A46">
        <w:t>mouski, Léméac et GR1DEQ, 1981.</w:t>
      </w:r>
    </w:p>
    <w:p w:rsidR="00B7214C" w:rsidRPr="00011A46" w:rsidRDefault="00B7214C" w:rsidP="00B7214C">
      <w:pPr>
        <w:spacing w:before="120" w:after="120"/>
        <w:jc w:val="both"/>
      </w:pPr>
      <w:r w:rsidRPr="00011A46">
        <w:t xml:space="preserve">Gagnon, C. et J.-L. Klein (dir.). </w:t>
      </w:r>
      <w:r w:rsidRPr="00C5695B">
        <w:rPr>
          <w:i/>
          <w:iCs/>
        </w:rPr>
        <w:t xml:space="preserve">Les partenaires du développement face au défi du local, </w:t>
      </w:r>
      <w:r w:rsidRPr="00011A46">
        <w:t>Chicoutimi, GRIR, 1992.</w:t>
      </w:r>
    </w:p>
    <w:p w:rsidR="00B7214C" w:rsidRPr="00011A46" w:rsidRDefault="00B7214C" w:rsidP="00B7214C">
      <w:pPr>
        <w:spacing w:before="120" w:after="120"/>
        <w:jc w:val="both"/>
      </w:pPr>
      <w:r w:rsidRPr="00011A46">
        <w:t>Gendreau, A., « L'énonciation dans la peinture à Charl</w:t>
      </w:r>
      <w:r w:rsidRPr="00011A46">
        <w:t>e</w:t>
      </w:r>
      <w:r w:rsidRPr="00011A46">
        <w:t xml:space="preserve">voix : le cas de Clarence Gagnon », </w:t>
      </w:r>
      <w:r w:rsidRPr="00C5695B">
        <w:rPr>
          <w:i/>
          <w:iCs/>
        </w:rPr>
        <w:t>Études littéraires,</w:t>
      </w:r>
      <w:r w:rsidRPr="00011A46">
        <w:t xml:space="preserve"> 1983, vol.</w:t>
      </w:r>
      <w:r>
        <w:t> </w:t>
      </w:r>
      <w:r w:rsidRPr="00011A46">
        <w:t>16, n°</w:t>
      </w:r>
      <w:r>
        <w:t> </w:t>
      </w:r>
      <w:r w:rsidRPr="00011A46">
        <w:t>1, p</w:t>
      </w:r>
      <w:r>
        <w:t>p</w:t>
      </w:r>
      <w:r w:rsidRPr="00011A46">
        <w:t>. 79-98.</w:t>
      </w:r>
    </w:p>
    <w:p w:rsidR="00B7214C" w:rsidRPr="00011A46" w:rsidRDefault="00B7214C" w:rsidP="00B7214C">
      <w:pPr>
        <w:spacing w:before="120" w:after="120"/>
        <w:jc w:val="both"/>
      </w:pPr>
      <w:r w:rsidRPr="00011A46">
        <w:t xml:space="preserve">Giddens, A., </w:t>
      </w:r>
      <w:r w:rsidRPr="00C5695B">
        <w:rPr>
          <w:i/>
          <w:iCs/>
        </w:rPr>
        <w:t xml:space="preserve">Modernity and Self Identity. Self and Society in </w:t>
      </w:r>
      <w:r>
        <w:rPr>
          <w:i/>
          <w:iCs/>
        </w:rPr>
        <w:t>t</w:t>
      </w:r>
      <w:r w:rsidRPr="00C5695B">
        <w:rPr>
          <w:i/>
          <w:iCs/>
        </w:rPr>
        <w:t>he Late Mode</w:t>
      </w:r>
      <w:r>
        <w:rPr>
          <w:i/>
          <w:iCs/>
        </w:rPr>
        <w:t>rn</w:t>
      </w:r>
      <w:r w:rsidRPr="00C5695B">
        <w:rPr>
          <w:i/>
          <w:iCs/>
        </w:rPr>
        <w:t xml:space="preserve"> Age,</w:t>
      </w:r>
      <w:r w:rsidRPr="00011A46">
        <w:t xml:space="preserve"> Stanford, California, Stanford Un</w:t>
      </w:r>
      <w:r w:rsidRPr="00011A46">
        <w:t>i</w:t>
      </w:r>
      <w:r w:rsidRPr="00011A46">
        <w:t>versity Press, 1991.</w:t>
      </w:r>
    </w:p>
    <w:p w:rsidR="00B7214C" w:rsidRPr="00011A46" w:rsidRDefault="00B7214C" w:rsidP="00B7214C">
      <w:pPr>
        <w:spacing w:before="120" w:after="120"/>
        <w:jc w:val="both"/>
      </w:pPr>
      <w:r w:rsidRPr="00011A46">
        <w:t xml:space="preserve">Gurttler, K. K. et M. Sarfati-Arnaud, </w:t>
      </w:r>
      <w:r w:rsidRPr="00C5695B">
        <w:rPr>
          <w:i/>
          <w:iCs/>
        </w:rPr>
        <w:t>La fête en question,</w:t>
      </w:r>
      <w:r w:rsidRPr="00011A46">
        <w:t xml:space="preserve"> Montréal, Université de Montréal et Société des festivals p</w:t>
      </w:r>
      <w:r w:rsidRPr="00011A46">
        <w:t>o</w:t>
      </w:r>
      <w:r w:rsidRPr="00011A46">
        <w:t>pulaires du Québec, 1979.</w:t>
      </w:r>
    </w:p>
    <w:p w:rsidR="00B7214C" w:rsidRPr="00011A46" w:rsidRDefault="00B7214C" w:rsidP="00B7214C">
      <w:pPr>
        <w:spacing w:before="120" w:after="120"/>
        <w:jc w:val="both"/>
      </w:pPr>
      <w:r w:rsidRPr="00011A46">
        <w:t xml:space="preserve">Hamel, P. et J.-L. Klein (dir.), « Partenariat et territoire », numéro spécial des </w:t>
      </w:r>
      <w:r w:rsidRPr="00C5695B">
        <w:rPr>
          <w:i/>
          <w:iCs/>
        </w:rPr>
        <w:t>Cahiers de géographie du Québec,</w:t>
      </w:r>
      <w:r w:rsidRPr="00011A46">
        <w:t xml:space="preserve"> 1991, vol.</w:t>
      </w:r>
      <w:r>
        <w:t> </w:t>
      </w:r>
      <w:r w:rsidRPr="00011A46">
        <w:t>35, n°</w:t>
      </w:r>
      <w:r>
        <w:t> </w:t>
      </w:r>
      <w:r w:rsidRPr="00011A46">
        <w:t>95.</w:t>
      </w:r>
    </w:p>
    <w:p w:rsidR="00B7214C" w:rsidRPr="00011A46" w:rsidRDefault="00B7214C" w:rsidP="00B7214C">
      <w:pPr>
        <w:spacing w:before="120" w:after="120"/>
        <w:jc w:val="both"/>
      </w:pPr>
      <w:r w:rsidRPr="00011A46">
        <w:t xml:space="preserve">Klein, J.-L. et C. Gagnon, </w:t>
      </w:r>
      <w:r w:rsidRPr="00C5695B">
        <w:rPr>
          <w:i/>
          <w:iCs/>
        </w:rPr>
        <w:t>Le local apprivoisé,</w:t>
      </w:r>
      <w:r w:rsidRPr="00011A46">
        <w:t xml:space="preserve"> Hull, Ast</w:t>
      </w:r>
      <w:r w:rsidRPr="00011A46">
        <w:t>i</w:t>
      </w:r>
      <w:r w:rsidRPr="00011A46">
        <w:t>cou, 1989.</w:t>
      </w:r>
    </w:p>
    <w:p w:rsidR="00B7214C" w:rsidRPr="00011A46" w:rsidRDefault="00B7214C" w:rsidP="00B7214C">
      <w:pPr>
        <w:spacing w:before="120" w:after="120"/>
        <w:jc w:val="both"/>
      </w:pPr>
      <w:r w:rsidRPr="00C5695B">
        <w:t xml:space="preserve">Lacroix, J.-G., </w:t>
      </w:r>
      <w:r w:rsidRPr="00B51C7C">
        <w:rPr>
          <w:i/>
        </w:rPr>
        <w:t>La condition d’artiste : une injustice</w:t>
      </w:r>
      <w:r w:rsidRPr="00011A46">
        <w:t>,</w:t>
      </w:r>
      <w:r w:rsidRPr="00C5695B">
        <w:t xml:space="preserve"> Montréal, VLB, 1990.</w:t>
      </w:r>
    </w:p>
    <w:p w:rsidR="00B7214C" w:rsidRPr="00011A46" w:rsidRDefault="00B7214C" w:rsidP="00B7214C">
      <w:pPr>
        <w:spacing w:before="120" w:after="120"/>
        <w:jc w:val="both"/>
      </w:pPr>
      <w:r w:rsidRPr="00011A46">
        <w:t xml:space="preserve">Maheu, L., « Les nouveaux mouvements sociaux entre les voies de l'identité et les enjeux de la politique », dans Louis Maheu et Arnaud Sales (dir.), </w:t>
      </w:r>
      <w:r w:rsidRPr="00C5695B">
        <w:rPr>
          <w:i/>
          <w:iCs/>
        </w:rPr>
        <w:t>La recomposition du politique,</w:t>
      </w:r>
      <w:r w:rsidRPr="00011A46">
        <w:t xml:space="preserve"> Paris et Montréal, L'Ha</w:t>
      </w:r>
      <w:r w:rsidRPr="00011A46">
        <w:t>r</w:t>
      </w:r>
      <w:r w:rsidRPr="00011A46">
        <w:t>mattan et Presses de l'Université de Montréal, 1991.</w:t>
      </w:r>
    </w:p>
    <w:p w:rsidR="00B7214C" w:rsidRPr="00011A46" w:rsidRDefault="00B7214C" w:rsidP="00B7214C">
      <w:pPr>
        <w:spacing w:before="120" w:after="120"/>
        <w:jc w:val="both"/>
      </w:pPr>
      <w:r w:rsidRPr="00011A46">
        <w:t xml:space="preserve">Mahon, M., </w:t>
      </w:r>
      <w:r w:rsidRPr="00C5695B">
        <w:rPr>
          <w:i/>
          <w:iCs/>
        </w:rPr>
        <w:t>Une maison pas comme les autres,</w:t>
      </w:r>
      <w:r w:rsidRPr="00011A46">
        <w:t xml:space="preserve"> Chicout</w:t>
      </w:r>
      <w:r w:rsidRPr="00011A46">
        <w:t>i</w:t>
      </w:r>
      <w:r w:rsidRPr="00011A46">
        <w:t>mi, JCL, 1984.</w:t>
      </w:r>
    </w:p>
    <w:p w:rsidR="00B7214C" w:rsidRPr="00011A46" w:rsidRDefault="00B7214C" w:rsidP="00B7214C">
      <w:pPr>
        <w:spacing w:before="120" w:after="120"/>
        <w:jc w:val="both"/>
      </w:pPr>
      <w:r w:rsidRPr="00011A46">
        <w:t>Melucci, A., « Mouvements sociaux, mouvements postp</w:t>
      </w:r>
      <w:r w:rsidRPr="00011A46">
        <w:t>o</w:t>
      </w:r>
      <w:r w:rsidRPr="00011A46">
        <w:t xml:space="preserve">litiques ». </w:t>
      </w:r>
      <w:r w:rsidRPr="00C5695B">
        <w:rPr>
          <w:i/>
          <w:iCs/>
        </w:rPr>
        <w:t>Revue internationale d'action communautaire,</w:t>
      </w:r>
      <w:r w:rsidRPr="00011A46">
        <w:t xml:space="preserve"> 1983, n°</w:t>
      </w:r>
      <w:r>
        <w:t> </w:t>
      </w:r>
      <w:r w:rsidRPr="00011A46">
        <w:t xml:space="preserve">10/50, </w:t>
      </w:r>
      <w:r>
        <w:t>p</w:t>
      </w:r>
      <w:r w:rsidRPr="00011A46">
        <w:t>p. 13-30.</w:t>
      </w:r>
    </w:p>
    <w:p w:rsidR="00B7214C" w:rsidRPr="00011A46" w:rsidRDefault="00B7214C" w:rsidP="00B7214C">
      <w:pPr>
        <w:spacing w:before="120" w:after="120"/>
        <w:jc w:val="both"/>
      </w:pPr>
      <w:r w:rsidRPr="00C5695B">
        <w:t xml:space="preserve">Melucci, A., </w:t>
      </w:r>
      <w:r w:rsidRPr="00011A46">
        <w:t>Nomads ofthe Présent. Social Movements and Indiv</w:t>
      </w:r>
      <w:r w:rsidRPr="00011A46">
        <w:t>i</w:t>
      </w:r>
      <w:r w:rsidRPr="00011A46">
        <w:t>dual Needs in Contemporary Society,</w:t>
      </w:r>
      <w:r w:rsidRPr="00C5695B">
        <w:t xml:space="preserve"> Philadelphia, Temple Univers</w:t>
      </w:r>
      <w:r w:rsidRPr="00C5695B">
        <w:t>i</w:t>
      </w:r>
      <w:r w:rsidRPr="00C5695B">
        <w:t>ty Press, 1989.</w:t>
      </w:r>
    </w:p>
    <w:p w:rsidR="00B7214C" w:rsidRPr="00011A46" w:rsidRDefault="00B7214C" w:rsidP="00B7214C">
      <w:pPr>
        <w:spacing w:before="120" w:after="120"/>
        <w:jc w:val="both"/>
      </w:pPr>
      <w:r w:rsidRPr="00011A46">
        <w:t>Michaud, J., « Les événements culturels majeurs en r</w:t>
      </w:r>
      <w:r w:rsidRPr="00011A46">
        <w:t>é</w:t>
      </w:r>
      <w:r w:rsidRPr="00011A46">
        <w:t>gion : plus que des retombées économiques. Une relation i</w:t>
      </w:r>
      <w:r w:rsidRPr="00011A46">
        <w:t>n</w:t>
      </w:r>
      <w:r w:rsidRPr="00011A46">
        <w:t>tense et fructu</w:t>
      </w:r>
      <w:r>
        <w:t>euse entre l'entreprise, le tra</w:t>
      </w:r>
      <w:r w:rsidRPr="00011A46">
        <w:t>vailleur</w:t>
      </w:r>
      <w:r>
        <w:t xml:space="preserve"> [471]</w:t>
      </w:r>
      <w:r w:rsidRPr="00011A46">
        <w:t xml:space="preserve"> culturel et le citoyen », </w:t>
      </w:r>
      <w:r w:rsidRPr="00C5695B">
        <w:rPr>
          <w:i/>
          <w:iCs/>
        </w:rPr>
        <w:t>Feuilla</w:t>
      </w:r>
      <w:r w:rsidRPr="00C5695B">
        <w:rPr>
          <w:i/>
          <w:iCs/>
        </w:rPr>
        <w:t>i</w:t>
      </w:r>
      <w:r w:rsidRPr="00C5695B">
        <w:rPr>
          <w:i/>
          <w:iCs/>
        </w:rPr>
        <w:t>son, journal interne du m</w:t>
      </w:r>
      <w:r w:rsidRPr="00C5695B">
        <w:rPr>
          <w:i/>
          <w:iCs/>
        </w:rPr>
        <w:t>i</w:t>
      </w:r>
      <w:r w:rsidRPr="00C5695B">
        <w:rPr>
          <w:i/>
          <w:iCs/>
        </w:rPr>
        <w:t>nistère de la Culture,</w:t>
      </w:r>
      <w:r w:rsidRPr="00011A46">
        <w:t xml:space="preserve"> 1993, vol.</w:t>
      </w:r>
      <w:r>
        <w:t> </w:t>
      </w:r>
      <w:r w:rsidRPr="00011A46">
        <w:t>1, n°</w:t>
      </w:r>
      <w:r>
        <w:t> </w:t>
      </w:r>
      <w:r w:rsidRPr="00011A46">
        <w:t>1, p</w:t>
      </w:r>
      <w:r>
        <w:t>p</w:t>
      </w:r>
      <w:r w:rsidRPr="00011A46">
        <w:t>. 5-8.</w:t>
      </w:r>
    </w:p>
    <w:p w:rsidR="00B7214C" w:rsidRPr="00011A46" w:rsidRDefault="00B7214C" w:rsidP="00B7214C">
      <w:pPr>
        <w:spacing w:before="120" w:after="120"/>
        <w:jc w:val="both"/>
      </w:pPr>
      <w:r w:rsidRPr="00011A46">
        <w:t xml:space="preserve">Ouellet, J., « Les villes de spectacle au Québec », </w:t>
      </w:r>
      <w:r w:rsidRPr="00C5695B">
        <w:rPr>
          <w:i/>
          <w:iCs/>
        </w:rPr>
        <w:t>Chiffres à l'a</w:t>
      </w:r>
      <w:r w:rsidRPr="00C5695B">
        <w:rPr>
          <w:i/>
          <w:iCs/>
        </w:rPr>
        <w:t>p</w:t>
      </w:r>
      <w:r w:rsidRPr="00C5695B">
        <w:rPr>
          <w:i/>
          <w:iCs/>
        </w:rPr>
        <w:t>pui,</w:t>
      </w:r>
      <w:r w:rsidRPr="00011A46">
        <w:t xml:space="preserve"> mars 1991, vol.</w:t>
      </w:r>
      <w:r>
        <w:t> </w:t>
      </w:r>
      <w:r w:rsidRPr="00011A46">
        <w:t>VI, n°</w:t>
      </w:r>
      <w:r>
        <w:t> </w:t>
      </w:r>
      <w:r w:rsidRPr="00011A46">
        <w:t>2.</w:t>
      </w:r>
    </w:p>
    <w:p w:rsidR="00B7214C" w:rsidRPr="00011A46" w:rsidRDefault="00B7214C" w:rsidP="00B7214C">
      <w:pPr>
        <w:spacing w:before="120" w:after="120"/>
        <w:jc w:val="both"/>
      </w:pPr>
      <w:r w:rsidRPr="00011A46">
        <w:t xml:space="preserve">Regroupement des centres d'artistes autogérés du Québec, </w:t>
      </w:r>
      <w:r w:rsidRPr="00C5695B">
        <w:rPr>
          <w:i/>
          <w:iCs/>
        </w:rPr>
        <w:t>Répe</w:t>
      </w:r>
      <w:r w:rsidRPr="00C5695B">
        <w:rPr>
          <w:i/>
          <w:iCs/>
        </w:rPr>
        <w:t>r</w:t>
      </w:r>
      <w:r w:rsidRPr="00C5695B">
        <w:rPr>
          <w:i/>
          <w:iCs/>
        </w:rPr>
        <w:t>toire des centres d'artistes autogérés du Québec,</w:t>
      </w:r>
      <w:r w:rsidRPr="00011A46">
        <w:t xml:space="preserve"> 2</w:t>
      </w:r>
      <w:r w:rsidRPr="00C5695B">
        <w:t>e</w:t>
      </w:r>
      <w:r w:rsidRPr="00011A46">
        <w:t xml:space="preserve"> éd</w:t>
      </w:r>
      <w:r w:rsidRPr="00011A46">
        <w:t>i</w:t>
      </w:r>
      <w:r w:rsidRPr="00011A46">
        <w:t>tion, Montréal, 1992.</w:t>
      </w:r>
    </w:p>
    <w:p w:rsidR="00B7214C" w:rsidRPr="00011A46" w:rsidRDefault="00B7214C" w:rsidP="00B7214C">
      <w:pPr>
        <w:spacing w:before="120" w:after="120"/>
        <w:jc w:val="both"/>
      </w:pPr>
      <w:r w:rsidRPr="00011A46">
        <w:t xml:space="preserve">Richard, A.-M. et C. Robertson, </w:t>
      </w:r>
      <w:r w:rsidRPr="00C5695B">
        <w:rPr>
          <w:i/>
          <w:iCs/>
        </w:rPr>
        <w:t>Performance au/in Canada, 1970-1990,</w:t>
      </w:r>
      <w:r w:rsidRPr="00011A46">
        <w:t xml:space="preserve"> Québec et Toronto, Inter et Coach House Press, 1991.</w:t>
      </w:r>
    </w:p>
    <w:p w:rsidR="00B7214C" w:rsidRPr="00011A46" w:rsidRDefault="00B7214C" w:rsidP="00B7214C">
      <w:pPr>
        <w:spacing w:before="120" w:after="120"/>
        <w:jc w:val="both"/>
      </w:pPr>
      <w:r w:rsidRPr="00011A46">
        <w:t>Rioux, M., « Fête populaire et développement de la culture pop</w:t>
      </w:r>
      <w:r w:rsidRPr="00011A46">
        <w:t>u</w:t>
      </w:r>
      <w:r w:rsidRPr="00011A46">
        <w:t xml:space="preserve">laire au Québec : une approche critique ». </w:t>
      </w:r>
      <w:r w:rsidRPr="00C5695B">
        <w:rPr>
          <w:i/>
          <w:iCs/>
        </w:rPr>
        <w:t>Loisir et société,</w:t>
      </w:r>
      <w:r w:rsidRPr="00011A46">
        <w:t xml:space="preserve"> 1981, vol.</w:t>
      </w:r>
      <w:r>
        <w:t> </w:t>
      </w:r>
      <w:r w:rsidRPr="00011A46">
        <w:t>IV, n°</w:t>
      </w:r>
      <w:r>
        <w:t> </w:t>
      </w:r>
      <w:r w:rsidRPr="00011A46">
        <w:t>1, p</w:t>
      </w:r>
      <w:r>
        <w:t>p</w:t>
      </w:r>
      <w:r w:rsidRPr="00011A46">
        <w:t>. 55-82.</w:t>
      </w:r>
    </w:p>
    <w:p w:rsidR="00B7214C" w:rsidRPr="00011A46" w:rsidRDefault="00B7214C" w:rsidP="00B7214C">
      <w:pPr>
        <w:spacing w:before="120" w:after="120"/>
        <w:jc w:val="both"/>
      </w:pPr>
      <w:r w:rsidRPr="00011A46">
        <w:t xml:space="preserve">Rosenberg, H., </w:t>
      </w:r>
      <w:r w:rsidRPr="00C5695B">
        <w:rPr>
          <w:i/>
          <w:iCs/>
        </w:rPr>
        <w:t>La tradition du nouveau,</w:t>
      </w:r>
      <w:r w:rsidRPr="00011A46">
        <w:t xml:space="preserve"> Paris, Minuit, 1962.</w:t>
      </w:r>
    </w:p>
    <w:p w:rsidR="00B7214C" w:rsidRPr="00011A46" w:rsidRDefault="00B7214C" w:rsidP="00B7214C">
      <w:pPr>
        <w:spacing w:before="120" w:after="120"/>
        <w:jc w:val="both"/>
      </w:pPr>
      <w:r w:rsidRPr="00011A46">
        <w:t xml:space="preserve">Rossel, P., F. Hainard et M. Bassand, </w:t>
      </w:r>
      <w:r w:rsidRPr="00C5695B">
        <w:rPr>
          <w:i/>
          <w:iCs/>
        </w:rPr>
        <w:t>Cultures et réseaux en pér</w:t>
      </w:r>
      <w:r w:rsidRPr="00C5695B">
        <w:rPr>
          <w:i/>
          <w:iCs/>
        </w:rPr>
        <w:t>i</w:t>
      </w:r>
      <w:r w:rsidRPr="00C5695B">
        <w:rPr>
          <w:i/>
          <w:iCs/>
        </w:rPr>
        <w:t>phérie,</w:t>
      </w:r>
      <w:r w:rsidRPr="00011A46">
        <w:t xml:space="preserve"> Lausanne, réalité sociales, 1990.</w:t>
      </w:r>
    </w:p>
    <w:p w:rsidR="00B7214C" w:rsidRPr="00011A46" w:rsidRDefault="00B7214C" w:rsidP="00B7214C">
      <w:pPr>
        <w:spacing w:before="120" w:after="120"/>
        <w:jc w:val="both"/>
      </w:pPr>
      <w:r w:rsidRPr="00011A46">
        <w:t xml:space="preserve">Société des fêtes et festivals du Québec, </w:t>
      </w:r>
      <w:r w:rsidRPr="00C5695B">
        <w:rPr>
          <w:i/>
          <w:iCs/>
        </w:rPr>
        <w:t>Bottin des festivals, év</w:t>
      </w:r>
      <w:r w:rsidRPr="00C5695B">
        <w:rPr>
          <w:i/>
          <w:iCs/>
        </w:rPr>
        <w:t>é</w:t>
      </w:r>
      <w:r w:rsidRPr="00C5695B">
        <w:rPr>
          <w:i/>
          <w:iCs/>
        </w:rPr>
        <w:t xml:space="preserve">nements et attractions, </w:t>
      </w:r>
      <w:r w:rsidRPr="00011A46">
        <w:t>Montréal, Société des fêtes et festivals du Québec, 1993.</w:t>
      </w:r>
    </w:p>
    <w:p w:rsidR="00B7214C" w:rsidRPr="00011A46" w:rsidRDefault="00B7214C" w:rsidP="00B7214C">
      <w:pPr>
        <w:spacing w:before="120" w:after="120"/>
        <w:jc w:val="both"/>
      </w:pPr>
      <w:r w:rsidRPr="00C5695B">
        <w:t xml:space="preserve">Tourangeau, R., </w:t>
      </w:r>
      <w:r w:rsidRPr="00011A46">
        <w:t>Fêtes et spectacles du Québec. Région du Sagu</w:t>
      </w:r>
      <w:r w:rsidRPr="00011A46">
        <w:t>e</w:t>
      </w:r>
      <w:r w:rsidRPr="00011A46">
        <w:t>nay-Lac-Saint-Jean,</w:t>
      </w:r>
      <w:r w:rsidRPr="00C5695B">
        <w:t xml:space="preserve"> Québec, Nuit Blanche, 1993.</w:t>
      </w:r>
    </w:p>
    <w:p w:rsidR="00B7214C" w:rsidRPr="00011A46" w:rsidRDefault="00B7214C" w:rsidP="00B7214C">
      <w:pPr>
        <w:spacing w:before="120" w:after="120"/>
        <w:jc w:val="both"/>
      </w:pPr>
      <w:r w:rsidRPr="00011A46">
        <w:t>Tremblay, D., « Un art régional : avant tout un art d'attit</w:t>
      </w:r>
      <w:r w:rsidRPr="00011A46">
        <w:t>u</w:t>
      </w:r>
      <w:r w:rsidRPr="00011A46">
        <w:t xml:space="preserve">des », dans Richard Martel (dir.). </w:t>
      </w:r>
      <w:r w:rsidRPr="00C5695B">
        <w:rPr>
          <w:i/>
          <w:iCs/>
        </w:rPr>
        <w:t>Actes du Colloque Art/Société,</w:t>
      </w:r>
      <w:r w:rsidRPr="00011A46">
        <w:t xml:space="preserve"> Québec, Éditions Intervention, 1981, p</w:t>
      </w:r>
      <w:r>
        <w:t>p</w:t>
      </w:r>
      <w:r w:rsidRPr="00011A46">
        <w:t>. 98-115.</w:t>
      </w:r>
    </w:p>
    <w:p w:rsidR="00B7214C" w:rsidRDefault="00B7214C" w:rsidP="00B7214C">
      <w:pPr>
        <w:spacing w:before="120" w:after="120"/>
        <w:jc w:val="both"/>
      </w:pPr>
      <w:r w:rsidRPr="00011A46">
        <w:t xml:space="preserve">Wunenberger, </w:t>
      </w:r>
      <w:r w:rsidRPr="00C5695B">
        <w:rPr>
          <w:i/>
          <w:iCs/>
        </w:rPr>
        <w:t>La fête, le jeu et le sacré,</w:t>
      </w:r>
      <w:r w:rsidRPr="00011A46">
        <w:t xml:space="preserve"> Paris, Éditions universita</w:t>
      </w:r>
      <w:r w:rsidRPr="00011A46">
        <w:t>i</w:t>
      </w:r>
      <w:r w:rsidRPr="00011A46">
        <w:t>res Jean-Pierre Delarge, 1977.</w:t>
      </w:r>
    </w:p>
    <w:p w:rsidR="00B7214C" w:rsidRDefault="00B7214C" w:rsidP="00B7214C">
      <w:pPr>
        <w:pStyle w:val="p"/>
      </w:pPr>
      <w:r>
        <w:t>[472]</w:t>
      </w:r>
    </w:p>
    <w:p w:rsidR="00B7214C" w:rsidRDefault="00B7214C" w:rsidP="00B7214C">
      <w:pPr>
        <w:pStyle w:val="p"/>
      </w:pPr>
      <w:r w:rsidRPr="00011A46">
        <w:br w:type="page"/>
      </w:r>
      <w:r>
        <w:t>[473]</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6" w:name="Entre_tradition_pt_3_texte_32"/>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LES ÉVÉNEMENTS CULTURELS EN RÉGION</w:t>
      </w:r>
    </w:p>
    <w:p w:rsidR="00B7214C" w:rsidRPr="00384B20" w:rsidRDefault="00B7214C" w:rsidP="00B7214C">
      <w:pPr>
        <w:pStyle w:val="Titreniveau1"/>
      </w:pPr>
      <w:r>
        <w:t>32</w:t>
      </w:r>
    </w:p>
    <w:p w:rsidR="00B7214C" w:rsidRDefault="00B7214C" w:rsidP="00B7214C">
      <w:pPr>
        <w:pStyle w:val="Titreniveau2"/>
      </w:pPr>
      <w:r>
        <w:t>“De la tradition à la création.” </w:t>
      </w:r>
      <w:r>
        <w:rPr>
          <w:rStyle w:val="Appelnotedebasdep"/>
        </w:rPr>
        <w:footnoteReference w:id="348"/>
      </w:r>
    </w:p>
    <w:bookmarkEnd w:id="46"/>
    <w:p w:rsidR="00B7214C" w:rsidRPr="00E07116" w:rsidRDefault="00B7214C" w:rsidP="00B7214C">
      <w:pPr>
        <w:jc w:val="both"/>
        <w:rPr>
          <w:szCs w:val="36"/>
        </w:rPr>
      </w:pPr>
    </w:p>
    <w:p w:rsidR="00B7214C" w:rsidRPr="00E07116" w:rsidRDefault="00B7214C" w:rsidP="00B7214C">
      <w:pPr>
        <w:pStyle w:val="suite"/>
      </w:pPr>
      <w:r>
        <w:t>Par Andrée GENDREAU</w:t>
      </w:r>
    </w:p>
    <w:p w:rsidR="00B7214C" w:rsidRPr="00E07116" w:rsidRDefault="00B7214C" w:rsidP="00B7214C">
      <w:pPr>
        <w:pStyle w:val="auteurst"/>
      </w:pPr>
      <w:r w:rsidRPr="004A7EF1">
        <w:t>Musée de la civilisation</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011A46" w:rsidRDefault="00B7214C" w:rsidP="00B7214C">
      <w:pPr>
        <w:spacing w:before="120" w:after="120"/>
        <w:jc w:val="both"/>
      </w:pPr>
      <w:r w:rsidRPr="00011A46">
        <w:rPr>
          <w:lang w:eastAsia="fr-FR" w:bidi="fr-FR"/>
        </w:rPr>
        <w:t>On a trop souvent tendance à opposer le dynamisme cult</w:t>
      </w:r>
      <w:r w:rsidRPr="00011A46">
        <w:rPr>
          <w:lang w:eastAsia="fr-FR" w:bidi="fr-FR"/>
        </w:rPr>
        <w:t>u</w:t>
      </w:r>
      <w:r w:rsidRPr="00011A46">
        <w:rPr>
          <w:lang w:eastAsia="fr-FR" w:bidi="fr-FR"/>
        </w:rPr>
        <w:t>rel des grands centres urbains à l'immobilisme des régions. Aux premiers sont associés les paradigmes de création, de nouveauté et d'internati</w:t>
      </w:r>
      <w:r w:rsidRPr="00011A46">
        <w:rPr>
          <w:lang w:eastAsia="fr-FR" w:bidi="fr-FR"/>
        </w:rPr>
        <w:t>o</w:t>
      </w:r>
      <w:r w:rsidRPr="00011A46">
        <w:rPr>
          <w:lang w:eastAsia="fr-FR" w:bidi="fr-FR"/>
        </w:rPr>
        <w:t xml:space="preserve">nalisme alors que la transmission, la tradition et les particularismes relèvent des seconds. </w:t>
      </w:r>
      <w:r>
        <w:rPr>
          <w:lang w:eastAsia="fr-FR" w:bidi="fr-FR"/>
        </w:rPr>
        <w:t>À</w:t>
      </w:r>
      <w:r w:rsidRPr="00011A46">
        <w:rPr>
          <w:lang w:eastAsia="fr-FR" w:bidi="fr-FR"/>
        </w:rPr>
        <w:t xml:space="preserve"> l'e</w:t>
      </w:r>
      <w:r w:rsidRPr="00011A46">
        <w:rPr>
          <w:lang w:eastAsia="fr-FR" w:bidi="fr-FR"/>
        </w:rPr>
        <w:t>n</w:t>
      </w:r>
      <w:r w:rsidRPr="00011A46">
        <w:rPr>
          <w:lang w:eastAsia="fr-FR" w:bidi="fr-FR"/>
        </w:rPr>
        <w:t>contre des idées reçues, on constate que, plutôt que vecteurs d'opposition, tradition et création peuvent conve</w:t>
      </w:r>
      <w:r w:rsidRPr="00011A46">
        <w:rPr>
          <w:lang w:eastAsia="fr-FR" w:bidi="fr-FR"/>
        </w:rPr>
        <w:t>r</w:t>
      </w:r>
      <w:r w:rsidRPr="00011A46">
        <w:rPr>
          <w:lang w:eastAsia="fr-FR" w:bidi="fr-FR"/>
        </w:rPr>
        <w:t>ger vers une même trajectoire. Plus encore, ces dynamiques, quoique e</w:t>
      </w:r>
      <w:r w:rsidRPr="00011A46">
        <w:rPr>
          <w:lang w:eastAsia="fr-FR" w:bidi="fr-FR"/>
        </w:rPr>
        <w:t>s</w:t>
      </w:r>
      <w:r w:rsidRPr="00011A46">
        <w:rPr>
          <w:lang w:eastAsia="fr-FR" w:bidi="fr-FR"/>
        </w:rPr>
        <w:t>sentiellement différentes sont parfois organiquement liées, ce qui n'implique toutefois pas l'absence de contradictions et parfois même de conflits ouverts.</w:t>
      </w:r>
    </w:p>
    <w:p w:rsidR="00B7214C" w:rsidRPr="00011A46" w:rsidRDefault="00B7214C" w:rsidP="00B7214C">
      <w:pPr>
        <w:spacing w:before="120" w:after="120"/>
        <w:jc w:val="both"/>
      </w:pPr>
      <w:r w:rsidRPr="00011A46">
        <w:rPr>
          <w:lang w:eastAsia="fr-FR" w:bidi="fr-FR"/>
        </w:rPr>
        <w:t>Cette articulation de forces apparemment contradictoires, trouve un terrain fertile dans quelques régions culturelles dont l'identité région</w:t>
      </w:r>
      <w:r w:rsidRPr="00011A46">
        <w:rPr>
          <w:lang w:eastAsia="fr-FR" w:bidi="fr-FR"/>
        </w:rPr>
        <w:t>a</w:t>
      </w:r>
      <w:r w:rsidRPr="00011A46">
        <w:rPr>
          <w:lang w:eastAsia="fr-FR" w:bidi="fr-FR"/>
        </w:rPr>
        <w:t>le repose sur les mémoires esthétiques. Ces régions, aux prises avec un paradoxe fondamental - créer aujourd'hui tout en conservant la mémoire d'une production esthétique traditionnelle -, mettent au point des solutions originales. Celles-ci visent l'interpénétration des probl</w:t>
      </w:r>
      <w:r w:rsidRPr="00011A46">
        <w:rPr>
          <w:lang w:eastAsia="fr-FR" w:bidi="fr-FR"/>
        </w:rPr>
        <w:t>é</w:t>
      </w:r>
      <w:r w:rsidRPr="00011A46">
        <w:rPr>
          <w:lang w:eastAsia="fr-FR" w:bidi="fr-FR"/>
        </w:rPr>
        <w:t>matiques régionales et internationales dans un flux constant, et rég</w:t>
      </w:r>
      <w:r w:rsidRPr="00011A46">
        <w:rPr>
          <w:lang w:eastAsia="fr-FR" w:bidi="fr-FR"/>
        </w:rPr>
        <w:t>u</w:t>
      </w:r>
      <w:r w:rsidRPr="00011A46">
        <w:rPr>
          <w:lang w:eastAsia="fr-FR" w:bidi="fr-FR"/>
        </w:rPr>
        <w:t>lier d'échanges où l'un et l'autre y trouvent profit. Les cas de Saint-Jean-Port-Joli, de Baie-Saint-Paul et de Joliette sont à cet égard, exemplaires.</w:t>
      </w:r>
    </w:p>
    <w:p w:rsidR="00B7214C" w:rsidRPr="00011A46" w:rsidRDefault="00B7214C" w:rsidP="00B7214C">
      <w:pPr>
        <w:spacing w:before="120" w:after="120"/>
        <w:jc w:val="both"/>
      </w:pPr>
      <w:r w:rsidRPr="00011A46">
        <w:rPr>
          <w:lang w:eastAsia="fr-FR" w:bidi="fr-FR"/>
        </w:rPr>
        <w:t>Cette communication s'adresse à un public au fait des problémat</w:t>
      </w:r>
      <w:r w:rsidRPr="00011A46">
        <w:rPr>
          <w:lang w:eastAsia="fr-FR" w:bidi="fr-FR"/>
        </w:rPr>
        <w:t>i</w:t>
      </w:r>
      <w:r w:rsidRPr="00011A46">
        <w:rPr>
          <w:lang w:eastAsia="fr-FR" w:bidi="fr-FR"/>
        </w:rPr>
        <w:t>ques de l'art actuel, entre autres avec la dialectique qui oppose r</w:t>
      </w:r>
      <w:r w:rsidRPr="00011A46">
        <w:rPr>
          <w:lang w:eastAsia="fr-FR" w:bidi="fr-FR"/>
        </w:rPr>
        <w:t>é</w:t>
      </w:r>
      <w:r>
        <w:rPr>
          <w:lang w:eastAsia="fr-FR" w:bidi="fr-FR"/>
        </w:rPr>
        <w:t>gion/mé</w:t>
      </w:r>
      <w:r w:rsidRPr="00011A46">
        <w:rPr>
          <w:lang w:eastAsia="fr-FR" w:bidi="fr-FR"/>
        </w:rPr>
        <w:t xml:space="preserve">tropole, tradition/création. Il ne peut donc </w:t>
      </w:r>
      <w:r>
        <w:rPr>
          <w:lang w:eastAsia="fr-FR" w:bidi="fr-FR"/>
        </w:rPr>
        <w:t xml:space="preserve">qu'être informé des difficultés, </w:t>
      </w:r>
      <w:r>
        <w:t>[</w:t>
      </w:r>
      <w:r w:rsidRPr="00011A46">
        <w:rPr>
          <w:lang w:eastAsia="fr-FR" w:bidi="fr-FR"/>
        </w:rPr>
        <w:t>474</w:t>
      </w:r>
      <w:r>
        <w:rPr>
          <w:lang w:eastAsia="fr-FR" w:bidi="fr-FR"/>
        </w:rPr>
        <w:t xml:space="preserve">] </w:t>
      </w:r>
      <w:r w:rsidRPr="00011A46">
        <w:rPr>
          <w:lang w:eastAsia="fr-FR" w:bidi="fr-FR"/>
        </w:rPr>
        <w:t>des contradictions et même des limites d'une produ</w:t>
      </w:r>
      <w:r w:rsidRPr="00011A46">
        <w:rPr>
          <w:lang w:eastAsia="fr-FR" w:bidi="fr-FR"/>
        </w:rPr>
        <w:t>c</w:t>
      </w:r>
      <w:r w:rsidRPr="00011A46">
        <w:rPr>
          <w:lang w:eastAsia="fr-FR" w:bidi="fr-FR"/>
        </w:rPr>
        <w:t>tion avant-gardiste en région. Je voudrais donc, au cours de ce bref entretien, éviter de mettre l'emphase sur les contradi</w:t>
      </w:r>
      <w:r w:rsidRPr="00011A46">
        <w:rPr>
          <w:lang w:eastAsia="fr-FR" w:bidi="fr-FR"/>
        </w:rPr>
        <w:t>c</w:t>
      </w:r>
      <w:r w:rsidRPr="00011A46">
        <w:rPr>
          <w:lang w:eastAsia="fr-FR" w:bidi="fr-FR"/>
        </w:rPr>
        <w:t>tions constantes qui affectent les institutions vouées à l'art actuel pour mettre en relief l'originalité en même temps que les similitudes des solutions appo</w:t>
      </w:r>
      <w:r w:rsidRPr="00011A46">
        <w:rPr>
          <w:lang w:eastAsia="fr-FR" w:bidi="fr-FR"/>
        </w:rPr>
        <w:t>r</w:t>
      </w:r>
      <w:r w:rsidRPr="00011A46">
        <w:rPr>
          <w:lang w:eastAsia="fr-FR" w:bidi="fr-FR"/>
        </w:rPr>
        <w:t>tées par que</w:t>
      </w:r>
      <w:r w:rsidRPr="00011A46">
        <w:rPr>
          <w:lang w:eastAsia="fr-FR" w:bidi="fr-FR"/>
        </w:rPr>
        <w:t>l</w:t>
      </w:r>
      <w:r w:rsidRPr="00011A46">
        <w:rPr>
          <w:lang w:eastAsia="fr-FR" w:bidi="fr-FR"/>
        </w:rPr>
        <w:t>ques lieux de production artistique en région.</w:t>
      </w:r>
    </w:p>
    <w:p w:rsidR="00B7214C" w:rsidRPr="00011A46" w:rsidRDefault="00B7214C" w:rsidP="00B7214C">
      <w:pPr>
        <w:spacing w:before="120" w:after="120"/>
        <w:jc w:val="both"/>
      </w:pPr>
      <w:r w:rsidRPr="00011A46">
        <w:rPr>
          <w:lang w:eastAsia="fr-FR" w:bidi="fr-FR"/>
        </w:rPr>
        <w:t>Peut-on, malgré des différences réelles de parcours, déc</w:t>
      </w:r>
      <w:r w:rsidRPr="00011A46">
        <w:rPr>
          <w:lang w:eastAsia="fr-FR" w:bidi="fr-FR"/>
        </w:rPr>
        <w:t>e</w:t>
      </w:r>
      <w:r w:rsidRPr="00011A46">
        <w:rPr>
          <w:lang w:eastAsia="fr-FR" w:bidi="fr-FR"/>
        </w:rPr>
        <w:t>ler les traits communs aux uns et aux autres</w:t>
      </w:r>
      <w:r w:rsidRPr="00011A46">
        <w:t> ?</w:t>
      </w:r>
      <w:r w:rsidRPr="00011A46">
        <w:rPr>
          <w:lang w:eastAsia="fr-FR" w:bidi="fr-FR"/>
        </w:rPr>
        <w:t xml:space="preserve"> Au-delà des différences, si marquées qu'elles peuvent en obscurcir parfois les ressemblances, y a-t-il des éléments partagés, quels sont-ils</w:t>
      </w:r>
      <w:r w:rsidRPr="00011A46">
        <w:t> ?</w:t>
      </w:r>
      <w:r w:rsidRPr="00011A46">
        <w:rPr>
          <w:lang w:eastAsia="fr-FR" w:bidi="fr-FR"/>
        </w:rPr>
        <w:t xml:space="preserve"> Une dizaine d'années d'o</w:t>
      </w:r>
      <w:r w:rsidRPr="00011A46">
        <w:rPr>
          <w:lang w:eastAsia="fr-FR" w:bidi="fr-FR"/>
        </w:rPr>
        <w:t>b</w:t>
      </w:r>
      <w:r w:rsidRPr="00011A46">
        <w:rPr>
          <w:lang w:eastAsia="fr-FR" w:bidi="fr-FR"/>
        </w:rPr>
        <w:t>servation alliée à des contacts variés, qu'ils soient de l'ordre de l'étude de terrain, des rel</w:t>
      </w:r>
      <w:r w:rsidRPr="00011A46">
        <w:rPr>
          <w:lang w:eastAsia="fr-FR" w:bidi="fr-FR"/>
        </w:rPr>
        <w:t>a</w:t>
      </w:r>
      <w:r w:rsidRPr="00011A46">
        <w:rPr>
          <w:lang w:eastAsia="fr-FR" w:bidi="fr-FR"/>
        </w:rPr>
        <w:t>tions professionnelles ou personnelles, a permis de mettre à jour trois étapes de mise au point du processus d'élaboration de lieux de production esthétique</w:t>
      </w:r>
      <w:r w:rsidRPr="00011A46">
        <w:t> :</w:t>
      </w:r>
    </w:p>
    <w:p w:rsidR="00B7214C" w:rsidRDefault="00B7214C" w:rsidP="00B7214C">
      <w:pPr>
        <w:spacing w:before="120" w:after="120"/>
        <w:jc w:val="both"/>
        <w:rPr>
          <w:lang w:eastAsia="fr-FR" w:bidi="fr-FR"/>
        </w:rPr>
      </w:pPr>
    </w:p>
    <w:p w:rsidR="00B7214C" w:rsidRPr="00011A46" w:rsidRDefault="00B7214C" w:rsidP="00B7214C">
      <w:pPr>
        <w:ind w:left="1080" w:firstLine="0"/>
        <w:jc w:val="both"/>
      </w:pPr>
      <w:r w:rsidRPr="00011A46">
        <w:rPr>
          <w:lang w:eastAsia="fr-FR" w:bidi="fr-FR"/>
        </w:rPr>
        <w:t>la fondation d'une mémoire (phase 1)</w:t>
      </w:r>
      <w:r w:rsidRPr="00011A46">
        <w:t> ;</w:t>
      </w:r>
    </w:p>
    <w:p w:rsidR="00B7214C" w:rsidRPr="00011A46" w:rsidRDefault="00B7214C" w:rsidP="00B7214C">
      <w:pPr>
        <w:ind w:left="1080" w:firstLine="0"/>
        <w:jc w:val="both"/>
      </w:pPr>
      <w:r w:rsidRPr="00011A46">
        <w:rPr>
          <w:lang w:eastAsia="fr-FR" w:bidi="fr-FR"/>
        </w:rPr>
        <w:t>l'appropriation de cette mémoire (phase 2)</w:t>
      </w:r>
      <w:r w:rsidRPr="00011A46">
        <w:t> ;</w:t>
      </w:r>
    </w:p>
    <w:p w:rsidR="00B7214C" w:rsidRPr="00011A46" w:rsidRDefault="00B7214C" w:rsidP="00B7214C">
      <w:pPr>
        <w:ind w:left="1080" w:firstLine="0"/>
        <w:jc w:val="both"/>
      </w:pPr>
      <w:r w:rsidRPr="00011A46">
        <w:rPr>
          <w:lang w:eastAsia="fr-FR" w:bidi="fr-FR"/>
        </w:rPr>
        <w:t>la création d'une nouvelle mémoire (phase 3)</w:t>
      </w:r>
    </w:p>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DES PARTICULARISMES</w:t>
      </w:r>
      <w:r>
        <w:rPr>
          <w:lang w:eastAsia="fr-FR" w:bidi="fr-FR"/>
        </w:rPr>
        <w:br/>
      </w:r>
      <w:r w:rsidRPr="00011A46">
        <w:rPr>
          <w:lang w:eastAsia="fr-FR" w:bidi="fr-FR"/>
        </w:rPr>
        <w:t>ET DES CONTRADI</w:t>
      </w:r>
      <w:r w:rsidRPr="00011A46">
        <w:rPr>
          <w:lang w:eastAsia="fr-FR" w:bidi="fr-FR"/>
        </w:rPr>
        <w:t>C</w:t>
      </w:r>
      <w:r w:rsidRPr="00011A46">
        <w:rPr>
          <w:lang w:eastAsia="fr-FR" w:bidi="fr-FR"/>
        </w:rPr>
        <w:t>TIONS QUI OBSTRUENT LA VUE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Bien en deçà des convergences, l'importance des partic</w:t>
      </w:r>
      <w:r w:rsidRPr="00011A46">
        <w:rPr>
          <w:lang w:eastAsia="fr-FR" w:bidi="fr-FR"/>
        </w:rPr>
        <w:t>u</w:t>
      </w:r>
      <w:r w:rsidRPr="00011A46">
        <w:rPr>
          <w:lang w:eastAsia="fr-FR" w:bidi="fr-FR"/>
        </w:rPr>
        <w:t>larismes apparaît telle qu'une tentative de rapprochement semble vouée à l'échec. Qu'y a-t-il de commun entre une ma</w:t>
      </w:r>
      <w:r w:rsidRPr="00011A46">
        <w:rPr>
          <w:lang w:eastAsia="fr-FR" w:bidi="fr-FR"/>
        </w:rPr>
        <w:t>i</w:t>
      </w:r>
      <w:r w:rsidRPr="00011A46">
        <w:rPr>
          <w:lang w:eastAsia="fr-FR" w:bidi="fr-FR"/>
        </w:rPr>
        <w:t>son d'éducation, dont la vocation explicite est de former une élite, et des villages côtiers, r</w:t>
      </w:r>
      <w:r w:rsidRPr="00011A46">
        <w:rPr>
          <w:lang w:eastAsia="fr-FR" w:bidi="fr-FR"/>
        </w:rPr>
        <w:t>e</w:t>
      </w:r>
      <w:r w:rsidRPr="00011A46">
        <w:rPr>
          <w:lang w:eastAsia="fr-FR" w:bidi="fr-FR"/>
        </w:rPr>
        <w:t>connus pour leur production populaire</w:t>
      </w:r>
      <w:r w:rsidRPr="00011A46">
        <w:t> ?</w:t>
      </w:r>
      <w:r w:rsidRPr="00011A46">
        <w:rPr>
          <w:lang w:eastAsia="fr-FR" w:bidi="fr-FR"/>
        </w:rPr>
        <w:t xml:space="preserve"> Plus encore, entre chacun de ces villages, des di</w:t>
      </w:r>
      <w:r w:rsidRPr="00011A46">
        <w:rPr>
          <w:lang w:eastAsia="fr-FR" w:bidi="fr-FR"/>
        </w:rPr>
        <w:t>f</w:t>
      </w:r>
      <w:r w:rsidRPr="00011A46">
        <w:rPr>
          <w:lang w:eastAsia="fr-FR" w:bidi="fr-FR"/>
        </w:rPr>
        <w:t>férences majeures existent dans la formulation de la problématique esthétique, traditionnelle ou contemporaine. La pr</w:t>
      </w:r>
      <w:r w:rsidRPr="00011A46">
        <w:rPr>
          <w:lang w:eastAsia="fr-FR" w:bidi="fr-FR"/>
        </w:rPr>
        <w:t>o</w:t>
      </w:r>
      <w:r w:rsidRPr="00011A46">
        <w:rPr>
          <w:lang w:eastAsia="fr-FR" w:bidi="fr-FR"/>
        </w:rPr>
        <w:t>duction artisanale et artistique de Baie-Saint-Paul a toujours été plus diver</w:t>
      </w:r>
      <w:r>
        <w:rPr>
          <w:lang w:eastAsia="fr-FR" w:bidi="fr-FR"/>
        </w:rPr>
        <w:t>sifiée que celle de Saint-Jean-</w:t>
      </w:r>
      <w:r w:rsidRPr="00011A46">
        <w:rPr>
          <w:lang w:eastAsia="fr-FR" w:bidi="fr-FR"/>
        </w:rPr>
        <w:t>Port-Joli, qui s'est spécialisée rel</w:t>
      </w:r>
      <w:r w:rsidRPr="00011A46">
        <w:rPr>
          <w:lang w:eastAsia="fr-FR" w:bidi="fr-FR"/>
        </w:rPr>
        <w:t>a</w:t>
      </w:r>
      <w:r w:rsidRPr="00011A46">
        <w:rPr>
          <w:lang w:eastAsia="fr-FR" w:bidi="fr-FR"/>
        </w:rPr>
        <w:t>tivement tôt en sculpture sur bois. Par ailleurs, Baie-Saint-Paul insiste pour conserver ses racines populaires alors que Saint-Jean-Port-Joli vise la formation de profe</w:t>
      </w:r>
      <w:r w:rsidRPr="00011A46">
        <w:rPr>
          <w:lang w:eastAsia="fr-FR" w:bidi="fr-FR"/>
        </w:rPr>
        <w:t>s</w:t>
      </w:r>
      <w:r w:rsidRPr="00011A46">
        <w:rPr>
          <w:lang w:eastAsia="fr-FR" w:bidi="fr-FR"/>
        </w:rPr>
        <w:t>sionnels et l'inscription dans une réseau de production en art actuel, art qui, presque par définition est moins a</w:t>
      </w:r>
      <w:r w:rsidRPr="00011A46">
        <w:rPr>
          <w:lang w:eastAsia="fr-FR" w:bidi="fr-FR"/>
        </w:rPr>
        <w:t>c</w:t>
      </w:r>
      <w:r w:rsidRPr="00011A46">
        <w:rPr>
          <w:lang w:eastAsia="fr-FR" w:bidi="fr-FR"/>
        </w:rPr>
        <w:t>cessible au grand public.</w:t>
      </w:r>
    </w:p>
    <w:p w:rsidR="00B7214C" w:rsidRPr="00011A46" w:rsidRDefault="00B7214C" w:rsidP="00B7214C">
      <w:pPr>
        <w:spacing w:before="120" w:after="120"/>
        <w:jc w:val="both"/>
      </w:pPr>
      <w:r w:rsidRPr="00011A46">
        <w:rPr>
          <w:lang w:eastAsia="fr-FR" w:bidi="fr-FR"/>
        </w:rPr>
        <w:t>Par ailleurs, chaque dynamique interne est au prise avec des contradictions majeures, dont la première est générationnelle. Le pa</w:t>
      </w:r>
      <w:r w:rsidRPr="00011A46">
        <w:rPr>
          <w:lang w:eastAsia="fr-FR" w:bidi="fr-FR"/>
        </w:rPr>
        <w:t>s</w:t>
      </w:r>
      <w:r w:rsidRPr="00011A46">
        <w:rPr>
          <w:lang w:eastAsia="fr-FR" w:bidi="fr-FR"/>
        </w:rPr>
        <w:t>sage d'une pratique articulée autour de la tradition à celle de l'art a</w:t>
      </w:r>
      <w:r w:rsidRPr="00011A46">
        <w:rPr>
          <w:lang w:eastAsia="fr-FR" w:bidi="fr-FR"/>
        </w:rPr>
        <w:t>c</w:t>
      </w:r>
      <w:r w:rsidRPr="00011A46">
        <w:rPr>
          <w:lang w:eastAsia="fr-FR" w:bidi="fr-FR"/>
        </w:rPr>
        <w:t>tuel ne peut s'effectuer sans heurt, sans rejet, sans blessure. Des conflits locaux entre classes de producteurs sont immanents. Des ge</w:t>
      </w:r>
      <w:r w:rsidRPr="00011A46">
        <w:rPr>
          <w:lang w:eastAsia="fr-FR" w:bidi="fr-FR"/>
        </w:rPr>
        <w:t>s</w:t>
      </w:r>
      <w:r w:rsidRPr="00011A46">
        <w:rPr>
          <w:lang w:eastAsia="fr-FR" w:bidi="fr-FR"/>
        </w:rPr>
        <w:t>tes d'éclats, comme ceux</w:t>
      </w:r>
      <w:r>
        <w:rPr>
          <w:lang w:eastAsia="fr-FR" w:bidi="fr-FR"/>
        </w:rPr>
        <w:t xml:space="preserve"> [475] </w:t>
      </w:r>
      <w:r w:rsidRPr="00011A46">
        <w:rPr>
          <w:lang w:eastAsia="fr-FR" w:bidi="fr-FR"/>
        </w:rPr>
        <w:t>qui ont eu li</w:t>
      </w:r>
      <w:r>
        <w:rPr>
          <w:lang w:eastAsia="fr-FR" w:bidi="fr-FR"/>
        </w:rPr>
        <w:t>eu à Saint-Jean-Port-J</w:t>
      </w:r>
      <w:r w:rsidRPr="00011A46">
        <w:rPr>
          <w:lang w:eastAsia="fr-FR" w:bidi="fr-FR"/>
        </w:rPr>
        <w:t>oli et dont l'existence est soul</w:t>
      </w:r>
      <w:r w:rsidRPr="00011A46">
        <w:rPr>
          <w:lang w:eastAsia="fr-FR" w:bidi="fr-FR"/>
        </w:rPr>
        <w:t>i</w:t>
      </w:r>
      <w:r w:rsidRPr="00011A46">
        <w:rPr>
          <w:lang w:eastAsia="fr-FR" w:bidi="fr-FR"/>
        </w:rPr>
        <w:t>gnée dans la suite de cet exposé en font foi. Mais la capacité d'intégr</w:t>
      </w:r>
      <w:r w:rsidRPr="00011A46">
        <w:rPr>
          <w:lang w:eastAsia="fr-FR" w:bidi="fr-FR"/>
        </w:rPr>
        <w:t>a</w:t>
      </w:r>
      <w:r w:rsidRPr="00011A46">
        <w:rPr>
          <w:lang w:eastAsia="fr-FR" w:bidi="fr-FR"/>
        </w:rPr>
        <w:t>tion de l'art actuel - travail avec différents médium, association de tech</w:t>
      </w:r>
      <w:r>
        <w:rPr>
          <w:lang w:eastAsia="fr-FR" w:bidi="fr-FR"/>
        </w:rPr>
        <w:t>n</w:t>
      </w:r>
      <w:r w:rsidRPr="00011A46">
        <w:rPr>
          <w:lang w:eastAsia="fr-FR" w:bidi="fr-FR"/>
        </w:rPr>
        <w:t>iques diverses, citations, etc. - pe</w:t>
      </w:r>
      <w:r w:rsidRPr="00011A46">
        <w:rPr>
          <w:lang w:eastAsia="fr-FR" w:bidi="fr-FR"/>
        </w:rPr>
        <w:t>r</w:t>
      </w:r>
      <w:r w:rsidRPr="00011A46">
        <w:rPr>
          <w:lang w:eastAsia="fr-FR" w:bidi="fr-FR"/>
        </w:rPr>
        <w:t xml:space="preserve">met dans plusieurs cas de </w:t>
      </w:r>
      <w:r w:rsidRPr="00011A46">
        <w:t>« </w:t>
      </w:r>
      <w:r w:rsidRPr="00011A46">
        <w:rPr>
          <w:lang w:eastAsia="fr-FR" w:bidi="fr-FR"/>
        </w:rPr>
        <w:t>récupérer</w:t>
      </w:r>
      <w:r w:rsidRPr="00011A46">
        <w:t> »</w:t>
      </w:r>
      <w:r w:rsidRPr="00011A46">
        <w:rPr>
          <w:lang w:eastAsia="fr-FR" w:bidi="fr-FR"/>
        </w:rPr>
        <w:t xml:space="preserve"> la tradition, ou plutôt de lui rendre hommage en la retravaillant dans une perspect</w:t>
      </w:r>
      <w:r w:rsidRPr="00011A46">
        <w:rPr>
          <w:lang w:eastAsia="fr-FR" w:bidi="fr-FR"/>
        </w:rPr>
        <w:t>i</w:t>
      </w:r>
      <w:r w:rsidRPr="00011A46">
        <w:rPr>
          <w:lang w:eastAsia="fr-FR" w:bidi="fr-FR"/>
        </w:rPr>
        <w:t>ve nouvelle. Des ponts sont ainsi jetés entre les rives génér</w:t>
      </w:r>
      <w:r w:rsidRPr="00011A46">
        <w:rPr>
          <w:lang w:eastAsia="fr-FR" w:bidi="fr-FR"/>
        </w:rPr>
        <w:t>a</w:t>
      </w:r>
      <w:r w:rsidRPr="00011A46">
        <w:rPr>
          <w:lang w:eastAsia="fr-FR" w:bidi="fr-FR"/>
        </w:rPr>
        <w:t>tionnelles.</w:t>
      </w:r>
    </w:p>
    <w:p w:rsidR="00B7214C" w:rsidRPr="00011A46" w:rsidRDefault="00B7214C" w:rsidP="00B7214C">
      <w:pPr>
        <w:spacing w:before="120" w:after="120"/>
        <w:jc w:val="both"/>
      </w:pPr>
      <w:r w:rsidRPr="00011A46">
        <w:rPr>
          <w:lang w:eastAsia="fr-FR" w:bidi="fr-FR"/>
        </w:rPr>
        <w:t>D'autres indices font également part d'une division, sinon de conflits latents entre la population et les promoteurs d'art actuel</w:t>
      </w:r>
      <w:r w:rsidRPr="00011A46">
        <w:t> :</w:t>
      </w:r>
      <w:r w:rsidRPr="00011A46">
        <w:rPr>
          <w:lang w:eastAsia="fr-FR" w:bidi="fr-FR"/>
        </w:rPr>
        <w:t xml:space="preserve"> la passivité, la non-participation du public local aux événements, l'a</w:t>
      </w:r>
      <w:r w:rsidRPr="00011A46">
        <w:rPr>
          <w:lang w:eastAsia="fr-FR" w:bidi="fr-FR"/>
        </w:rPr>
        <w:t>b</w:t>
      </w:r>
      <w:r w:rsidRPr="00011A46">
        <w:rPr>
          <w:lang w:eastAsia="fr-FR" w:bidi="fr-FR"/>
        </w:rPr>
        <w:t>sence relative d'appuis de la part des élites municipaux en sont des signes manifestes.</w:t>
      </w:r>
    </w:p>
    <w:p w:rsidR="00B7214C" w:rsidRPr="00011A46" w:rsidRDefault="00B7214C" w:rsidP="00B7214C">
      <w:pPr>
        <w:spacing w:before="120" w:after="120"/>
        <w:jc w:val="both"/>
      </w:pPr>
      <w:r w:rsidRPr="00011A46">
        <w:rPr>
          <w:lang w:eastAsia="fr-FR" w:bidi="fr-FR"/>
        </w:rPr>
        <w:t xml:space="preserve">Enfin, faut-il souligner que chacune des </w:t>
      </w:r>
      <w:r w:rsidRPr="00011A46">
        <w:t>« </w:t>
      </w:r>
      <w:r w:rsidRPr="00011A46">
        <w:rPr>
          <w:lang w:eastAsia="fr-FR" w:bidi="fr-FR"/>
        </w:rPr>
        <w:t>institutions</w:t>
      </w:r>
      <w:r w:rsidRPr="00011A46">
        <w:t> »</w:t>
      </w:r>
      <w:r w:rsidRPr="00011A46">
        <w:rPr>
          <w:lang w:eastAsia="fr-FR" w:bidi="fr-FR"/>
        </w:rPr>
        <w:t xml:space="preserve"> est au prise avec des contradictions internes importantes. Sans insister, cette communication fait part de quelques-unes de ces contradictions, ou plutôt de certains effets produits, entre autres, au niveau de gestes symboliques, mais elle insiste su</w:t>
      </w:r>
      <w:r w:rsidRPr="00011A46">
        <w:rPr>
          <w:lang w:eastAsia="fr-FR" w:bidi="fr-FR"/>
        </w:rPr>
        <w:t>r</w:t>
      </w:r>
      <w:r w:rsidRPr="00011A46">
        <w:rPr>
          <w:lang w:eastAsia="fr-FR" w:bidi="fr-FR"/>
        </w:rPr>
        <w:t>tout sur les solutions apportées par le patient travail de réarticulation des données dans une nouvelle produ</w:t>
      </w:r>
      <w:r w:rsidRPr="00011A46">
        <w:rPr>
          <w:lang w:eastAsia="fr-FR" w:bidi="fr-FR"/>
        </w:rPr>
        <w:t>c</w:t>
      </w:r>
      <w:r w:rsidRPr="00011A46">
        <w:rPr>
          <w:lang w:eastAsia="fr-FR" w:bidi="fr-FR"/>
        </w:rPr>
        <w:t>tion.</w:t>
      </w:r>
    </w:p>
    <w:p w:rsidR="00B7214C" w:rsidRDefault="00B7214C" w:rsidP="00B7214C">
      <w:pPr>
        <w:spacing w:before="120" w:after="120"/>
        <w:jc w:val="both"/>
        <w:rPr>
          <w:lang w:eastAsia="fr-FR" w:bidi="fr-FR"/>
        </w:rPr>
      </w:pPr>
      <w:r>
        <w:rPr>
          <w:lang w:eastAsia="fr-FR" w:bidi="fr-FR"/>
        </w:rPr>
        <w:br w:type="page"/>
      </w:r>
    </w:p>
    <w:p w:rsidR="00B7214C" w:rsidRPr="00011A46" w:rsidRDefault="00B7214C" w:rsidP="00B7214C">
      <w:pPr>
        <w:pStyle w:val="a"/>
      </w:pPr>
      <w:r w:rsidRPr="00011A46">
        <w:rPr>
          <w:lang w:eastAsia="fr-FR" w:bidi="fr-FR"/>
        </w:rPr>
        <w:t>FONDER UNE MÉMOIRE (PHASE 1)</w:t>
      </w:r>
    </w:p>
    <w:p w:rsidR="00B7214C" w:rsidRDefault="00B7214C" w:rsidP="00B7214C">
      <w:pPr>
        <w:spacing w:before="120" w:after="120"/>
        <w:jc w:val="both"/>
        <w:rPr>
          <w:lang w:eastAsia="fr-FR" w:bidi="fr-FR"/>
        </w:rPr>
      </w:pPr>
    </w:p>
    <w:p w:rsidR="00B7214C" w:rsidRPr="00B51C7C" w:rsidRDefault="00B7214C" w:rsidP="00B7214C">
      <w:pPr>
        <w:pStyle w:val="b"/>
      </w:pPr>
      <w:r w:rsidRPr="00B51C7C">
        <w:rPr>
          <w:lang w:eastAsia="fr-FR" w:bidi="fr-FR"/>
        </w:rPr>
        <w:t>D'abord un lieu</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rPr>
          <w:lang w:eastAsia="fr-FR" w:bidi="fr-FR"/>
        </w:rPr>
      </w:pPr>
      <w:r w:rsidRPr="00011A46">
        <w:rPr>
          <w:lang w:eastAsia="fr-FR" w:bidi="fr-FR"/>
        </w:rPr>
        <w:t xml:space="preserve">Condition préalable à la création d'une mémoire régionale, celle du lieu. Lieu, entendu au sens anthropologique du terme : espace </w:t>
      </w:r>
      <w:r w:rsidRPr="00B51C7C">
        <w:rPr>
          <w:i/>
          <w:iCs/>
        </w:rPr>
        <w:t>top</w:t>
      </w:r>
      <w:r w:rsidRPr="00B51C7C">
        <w:rPr>
          <w:i/>
          <w:iCs/>
        </w:rPr>
        <w:t>o</w:t>
      </w:r>
      <w:r w:rsidRPr="00B51C7C">
        <w:rPr>
          <w:i/>
          <w:iCs/>
        </w:rPr>
        <w:t xml:space="preserve">graphique, </w:t>
      </w:r>
      <w:r w:rsidRPr="00011A46">
        <w:rPr>
          <w:lang w:eastAsia="fr-FR" w:bidi="fr-FR"/>
        </w:rPr>
        <w:t xml:space="preserve">circonscrit et délimité, lieu </w:t>
      </w:r>
      <w:r w:rsidRPr="00B51C7C">
        <w:rPr>
          <w:i/>
          <w:iCs/>
        </w:rPr>
        <w:t>fonctionnel,</w:t>
      </w:r>
      <w:r w:rsidRPr="00011A46">
        <w:rPr>
          <w:lang w:eastAsia="fr-FR" w:bidi="fr-FR"/>
        </w:rPr>
        <w:t xml:space="preserve"> support d'une p</w:t>
      </w:r>
      <w:r w:rsidRPr="00011A46">
        <w:rPr>
          <w:lang w:eastAsia="fr-FR" w:bidi="fr-FR"/>
        </w:rPr>
        <w:t>o</w:t>
      </w:r>
      <w:r w:rsidRPr="00011A46">
        <w:rPr>
          <w:lang w:eastAsia="fr-FR" w:bidi="fr-FR"/>
        </w:rPr>
        <w:t xml:space="preserve">pulation, d'une économie, d'une culture, lieu </w:t>
      </w:r>
      <w:r w:rsidRPr="00B51C7C">
        <w:rPr>
          <w:i/>
          <w:iCs/>
        </w:rPr>
        <w:t>symbolique</w:t>
      </w:r>
      <w:r w:rsidRPr="00011A46">
        <w:rPr>
          <w:lang w:eastAsia="fr-FR" w:bidi="fr-FR"/>
        </w:rPr>
        <w:t xml:space="preserve"> de conve</w:t>
      </w:r>
      <w:r w:rsidRPr="00011A46">
        <w:rPr>
          <w:lang w:eastAsia="fr-FR" w:bidi="fr-FR"/>
        </w:rPr>
        <w:t>r</w:t>
      </w:r>
      <w:r w:rsidRPr="00011A46">
        <w:rPr>
          <w:lang w:eastAsia="fr-FR" w:bidi="fr-FR"/>
        </w:rPr>
        <w:t xml:space="preserve">gences, de rencontres, d'échanges. En un mot, lieu </w:t>
      </w:r>
      <w:r w:rsidRPr="00B51C7C">
        <w:rPr>
          <w:i/>
          <w:iCs/>
        </w:rPr>
        <w:t>d'investissement symbolique.</w:t>
      </w:r>
      <w:r w:rsidRPr="00011A46">
        <w:rPr>
          <w:lang w:eastAsia="fr-FR" w:bidi="fr-FR"/>
        </w:rPr>
        <w:t xml:space="preserve"> C'est sur une base locale et régionale concrète que seront posées les assises d'une mémoire esthétique abstraite et symb</w:t>
      </w:r>
      <w:r w:rsidRPr="00011A46">
        <w:rPr>
          <w:lang w:eastAsia="fr-FR" w:bidi="fr-FR"/>
        </w:rPr>
        <w:t>o</w:t>
      </w:r>
      <w:r w:rsidRPr="00011A46">
        <w:rPr>
          <w:lang w:eastAsia="fr-FR" w:bidi="fr-FR"/>
        </w:rPr>
        <w:t>lique qui traversera les frontières étroites de la région.</w:t>
      </w:r>
    </w:p>
    <w:p w:rsidR="00B7214C" w:rsidRDefault="00B7214C" w:rsidP="00B7214C">
      <w:pPr>
        <w:spacing w:before="120" w:after="120"/>
        <w:jc w:val="both"/>
        <w:rPr>
          <w:lang w:eastAsia="fr-FR" w:bidi="fr-FR"/>
        </w:rPr>
      </w:pPr>
      <w:r w:rsidRPr="00011A46">
        <w:rPr>
          <w:lang w:eastAsia="fr-FR" w:bidi="fr-FR"/>
        </w:rPr>
        <w:t>Dans les cas qui nous intéressent, ce n'est qu'après son inscription dans une problématique sociale urbaine, qui joue sur la nostalgie, le retour aux sources ou l'éducation, que la mémoire esthétique s'aut</w:t>
      </w:r>
      <w:r w:rsidRPr="00011A46">
        <w:rPr>
          <w:lang w:eastAsia="fr-FR" w:bidi="fr-FR"/>
        </w:rPr>
        <w:t>o</w:t>
      </w:r>
      <w:r w:rsidRPr="00011A46">
        <w:rPr>
          <w:lang w:eastAsia="fr-FR" w:bidi="fr-FR"/>
        </w:rPr>
        <w:t>nomisera et sera prise en charge par la communauté. La prise en cha</w:t>
      </w:r>
      <w:r w:rsidRPr="00011A46">
        <w:rPr>
          <w:lang w:eastAsia="fr-FR" w:bidi="fr-FR"/>
        </w:rPr>
        <w:t>r</w:t>
      </w:r>
      <w:r w:rsidRPr="00011A46">
        <w:rPr>
          <w:lang w:eastAsia="fr-FR" w:bidi="fr-FR"/>
        </w:rPr>
        <w:t>ge économique ou politique locale, qui passe bien sûr par la transmi</w:t>
      </w:r>
      <w:r w:rsidRPr="00011A46">
        <w:rPr>
          <w:lang w:eastAsia="fr-FR" w:bidi="fr-FR"/>
        </w:rPr>
        <w:t>s</w:t>
      </w:r>
      <w:r w:rsidRPr="00011A46">
        <w:rPr>
          <w:lang w:eastAsia="fr-FR" w:bidi="fr-FR"/>
        </w:rPr>
        <w:t xml:space="preserve">sion, semble en effet nécessaire à la réalisation d'une </w:t>
      </w:r>
      <w:r w:rsidRPr="00011A46">
        <w:t>« </w:t>
      </w:r>
      <w:r w:rsidRPr="00011A46">
        <w:rPr>
          <w:lang w:eastAsia="fr-FR" w:bidi="fr-FR"/>
        </w:rPr>
        <w:t>mémoire</w:t>
      </w:r>
      <w:r w:rsidRPr="00011A46">
        <w:t> »</w:t>
      </w:r>
      <w:r w:rsidRPr="00011A46">
        <w:rPr>
          <w:lang w:eastAsia="fr-FR" w:bidi="fr-FR"/>
        </w:rPr>
        <w:t xml:space="preserve"> e</w:t>
      </w:r>
      <w:r w:rsidRPr="00011A46">
        <w:rPr>
          <w:lang w:eastAsia="fr-FR" w:bidi="fr-FR"/>
        </w:rPr>
        <w:t>s</w:t>
      </w:r>
      <w:r w:rsidRPr="00011A46">
        <w:rPr>
          <w:lang w:eastAsia="fr-FR" w:bidi="fr-FR"/>
        </w:rPr>
        <w:t>thétique v</w:t>
      </w:r>
      <w:r w:rsidRPr="00011A46">
        <w:rPr>
          <w:lang w:eastAsia="fr-FR" w:bidi="fr-FR"/>
        </w:rPr>
        <w:t>i</w:t>
      </w:r>
      <w:r w:rsidRPr="00011A46">
        <w:rPr>
          <w:lang w:eastAsia="fr-FR" w:bidi="fr-FR"/>
        </w:rPr>
        <w:t>vante et actuelle.</w:t>
      </w:r>
    </w:p>
    <w:p w:rsidR="00B7214C" w:rsidRPr="00011A46" w:rsidRDefault="00B7214C" w:rsidP="00B7214C">
      <w:pPr>
        <w:spacing w:before="120" w:after="120"/>
        <w:jc w:val="both"/>
      </w:pPr>
    </w:p>
    <w:p w:rsidR="00B7214C" w:rsidRPr="00B51C7C" w:rsidRDefault="00B7214C" w:rsidP="00B7214C">
      <w:pPr>
        <w:pStyle w:val="b"/>
      </w:pPr>
      <w:r w:rsidRPr="00B51C7C">
        <w:rPr>
          <w:lang w:eastAsia="fr-FR" w:bidi="fr-FR"/>
        </w:rPr>
        <w:t>Sur les bords du Saint-Laurent</w:t>
      </w:r>
    </w:p>
    <w:p w:rsidR="00B7214C" w:rsidRDefault="00B7214C" w:rsidP="00B7214C">
      <w:pPr>
        <w:spacing w:before="120" w:after="120"/>
        <w:jc w:val="both"/>
        <w:rPr>
          <w:lang w:eastAsia="fr-FR" w:bidi="fr-FR"/>
        </w:rPr>
      </w:pPr>
    </w:p>
    <w:p w:rsidR="00B7214C" w:rsidRDefault="00B7214C" w:rsidP="00B7214C">
      <w:pPr>
        <w:spacing w:before="120" w:after="120"/>
        <w:jc w:val="both"/>
        <w:rPr>
          <w:lang w:eastAsia="fr-FR" w:bidi="fr-FR"/>
        </w:rPr>
      </w:pPr>
      <w:r w:rsidRPr="00011A46">
        <w:rPr>
          <w:lang w:eastAsia="fr-FR" w:bidi="fr-FR"/>
        </w:rPr>
        <w:t>Espaces privilégiés qui traversent le temps, les villages côtiers de Baie-Saint-Paul et de Saint-Jean-Port-Joli jouissent des privilèges géographiques qui façonnent une communauté.</w:t>
      </w:r>
    </w:p>
    <w:p w:rsidR="00B7214C" w:rsidRPr="00011A46" w:rsidRDefault="00B7214C" w:rsidP="00B7214C">
      <w:pPr>
        <w:spacing w:before="120" w:after="120"/>
        <w:jc w:val="both"/>
      </w:pPr>
      <w:r>
        <w:rPr>
          <w:lang w:eastAsia="fr-FR" w:bidi="fr-FR"/>
        </w:rPr>
        <w:t>[476]</w:t>
      </w:r>
    </w:p>
    <w:p w:rsidR="00B7214C" w:rsidRPr="00011A46" w:rsidRDefault="00B7214C" w:rsidP="00B7214C">
      <w:pPr>
        <w:spacing w:before="120" w:after="120"/>
        <w:jc w:val="both"/>
      </w:pPr>
      <w:r w:rsidRPr="00011A46">
        <w:rPr>
          <w:lang w:eastAsia="fr-FR" w:bidi="fr-FR"/>
        </w:rPr>
        <w:t>De topographie exceptionnelle, ces municipalités riveraines s'in</w:t>
      </w:r>
      <w:r w:rsidRPr="00011A46">
        <w:rPr>
          <w:lang w:eastAsia="fr-FR" w:bidi="fr-FR"/>
        </w:rPr>
        <w:t>s</w:t>
      </w:r>
      <w:r w:rsidRPr="00011A46">
        <w:rPr>
          <w:lang w:eastAsia="fr-FR" w:bidi="fr-FR"/>
        </w:rPr>
        <w:t>crivent dans l'histoire québécoise au rythme des mouvements fl</w:t>
      </w:r>
      <w:r w:rsidRPr="00011A46">
        <w:rPr>
          <w:lang w:eastAsia="fr-FR" w:bidi="fr-FR"/>
        </w:rPr>
        <w:t>u</w:t>
      </w:r>
      <w:r w:rsidRPr="00011A46">
        <w:rPr>
          <w:lang w:eastAsia="fr-FR" w:bidi="fr-FR"/>
        </w:rPr>
        <w:t>viaux. Attirés par la proximité de 1'</w:t>
      </w:r>
      <w:r w:rsidRPr="00011A46">
        <w:t>« </w:t>
      </w:r>
      <w:r w:rsidRPr="00011A46">
        <w:rPr>
          <w:lang w:eastAsia="fr-FR" w:bidi="fr-FR"/>
        </w:rPr>
        <w:t>autre chemin</w:t>
      </w:r>
      <w:r w:rsidRPr="00011A46">
        <w:t> »</w:t>
      </w:r>
      <w:r w:rsidRPr="00011A46">
        <w:rPr>
          <w:lang w:eastAsia="fr-FR" w:bidi="fr-FR"/>
        </w:rPr>
        <w:t>, des colons s'ét</w:t>
      </w:r>
      <w:r w:rsidRPr="00011A46">
        <w:rPr>
          <w:lang w:eastAsia="fr-FR" w:bidi="fr-FR"/>
        </w:rPr>
        <w:t>a</w:t>
      </w:r>
      <w:r w:rsidRPr="00011A46">
        <w:rPr>
          <w:lang w:eastAsia="fr-FR" w:bidi="fr-FR"/>
        </w:rPr>
        <w:t>blissent et développent une communauté axée vers le fleuve. La tran</w:t>
      </w:r>
      <w:r w:rsidRPr="00011A46">
        <w:rPr>
          <w:lang w:eastAsia="fr-FR" w:bidi="fr-FR"/>
        </w:rPr>
        <w:t>s</w:t>
      </w:r>
      <w:r w:rsidRPr="00011A46">
        <w:rPr>
          <w:lang w:eastAsia="fr-FR" w:bidi="fr-FR"/>
        </w:rPr>
        <w:t>formation majeure que subira le trafic maritime au XX</w:t>
      </w:r>
      <w:r w:rsidRPr="00011A46">
        <w:rPr>
          <w:vertAlign w:val="superscript"/>
          <w:lang w:eastAsia="fr-FR" w:bidi="fr-FR"/>
        </w:rPr>
        <w:t>e</w:t>
      </w:r>
      <w:r w:rsidRPr="00011A46">
        <w:rPr>
          <w:lang w:eastAsia="fr-FR" w:bidi="fr-FR"/>
        </w:rPr>
        <w:t xml:space="preserve"> siècle les contraindra à se retourner vers l'intérieur. L'agriculture ou la foresterie en i</w:t>
      </w:r>
      <w:r w:rsidRPr="00011A46">
        <w:rPr>
          <w:lang w:eastAsia="fr-FR" w:bidi="fr-FR"/>
        </w:rPr>
        <w:t>n</w:t>
      </w:r>
      <w:r w:rsidRPr="00011A46">
        <w:rPr>
          <w:lang w:eastAsia="fr-FR" w:bidi="fr-FR"/>
        </w:rPr>
        <w:t xml:space="preserve">vitera certains, d'autres embrasseront des métiers artisanaux, mais la </w:t>
      </w:r>
      <w:r w:rsidRPr="00011A46">
        <w:t>« </w:t>
      </w:r>
      <w:r w:rsidRPr="00011A46">
        <w:rPr>
          <w:lang w:eastAsia="fr-FR" w:bidi="fr-FR"/>
        </w:rPr>
        <w:t>mer</w:t>
      </w:r>
      <w:r w:rsidRPr="00011A46">
        <w:t> »</w:t>
      </w:r>
      <w:r w:rsidRPr="00011A46">
        <w:rPr>
          <w:lang w:eastAsia="fr-FR" w:bidi="fr-FR"/>
        </w:rPr>
        <w:t xml:space="preserve"> ne leur fait jamais défaut. Bientôt, les touri</w:t>
      </w:r>
      <w:r w:rsidRPr="00011A46">
        <w:rPr>
          <w:lang w:eastAsia="fr-FR" w:bidi="fr-FR"/>
        </w:rPr>
        <w:t>s</w:t>
      </w:r>
      <w:r w:rsidRPr="00011A46">
        <w:rPr>
          <w:lang w:eastAsia="fr-FR" w:bidi="fr-FR"/>
        </w:rPr>
        <w:t>tes saisonniers, rejetés sur les bords des rives par l'agitation de la cité, donneront un second souffle à une économie cha</w:t>
      </w:r>
      <w:r w:rsidRPr="00011A46">
        <w:rPr>
          <w:lang w:eastAsia="fr-FR" w:bidi="fr-FR"/>
        </w:rPr>
        <w:t>n</w:t>
      </w:r>
      <w:r w:rsidRPr="00011A46">
        <w:rPr>
          <w:lang w:eastAsia="fr-FR" w:bidi="fr-FR"/>
        </w:rPr>
        <w:t>celante. Encore une fois marquée au sceau du fleuve, la vie poursuivra sa course.</w:t>
      </w:r>
    </w:p>
    <w:p w:rsidR="00B7214C" w:rsidRPr="00011A46" w:rsidRDefault="00B7214C" w:rsidP="00B7214C">
      <w:pPr>
        <w:spacing w:before="120" w:after="120"/>
        <w:jc w:val="both"/>
      </w:pPr>
      <w:r w:rsidRPr="00011A46">
        <w:rPr>
          <w:lang w:eastAsia="fr-FR" w:bidi="fr-FR"/>
        </w:rPr>
        <w:t>D'autres conditions s'allient à la nature pour attirer un to</w:t>
      </w:r>
      <w:r w:rsidRPr="00011A46">
        <w:rPr>
          <w:lang w:eastAsia="fr-FR" w:bidi="fr-FR"/>
        </w:rPr>
        <w:t>u</w:t>
      </w:r>
      <w:r w:rsidRPr="00011A46">
        <w:rPr>
          <w:lang w:eastAsia="fr-FR" w:bidi="fr-FR"/>
        </w:rPr>
        <w:t xml:space="preserve">risme en quête de ce qu'il appelait </w:t>
      </w:r>
      <w:r w:rsidRPr="00011A46">
        <w:t>« </w:t>
      </w:r>
      <w:r w:rsidRPr="00011A46">
        <w:rPr>
          <w:lang w:eastAsia="fr-FR" w:bidi="fr-FR"/>
        </w:rPr>
        <w:t>l'authenticité</w:t>
      </w:r>
      <w:r w:rsidRPr="00011A46">
        <w:t> »</w:t>
      </w:r>
      <w:r w:rsidRPr="00011A46">
        <w:rPr>
          <w:lang w:eastAsia="fr-FR" w:bidi="fr-FR"/>
        </w:rPr>
        <w:t xml:space="preserve"> du mode de vie traditionnel. Sortes de petites niches écologiques, ces villages soutiennent des p</w:t>
      </w:r>
      <w:r w:rsidRPr="00011A46">
        <w:rPr>
          <w:lang w:eastAsia="fr-FR" w:bidi="fr-FR"/>
        </w:rPr>
        <w:t>o</w:t>
      </w:r>
      <w:r w:rsidRPr="00011A46">
        <w:rPr>
          <w:lang w:eastAsia="fr-FR" w:bidi="fr-FR"/>
        </w:rPr>
        <w:t>pulations aux caractères soci</w:t>
      </w:r>
      <w:r w:rsidRPr="00011A46">
        <w:rPr>
          <w:lang w:eastAsia="fr-FR" w:bidi="fr-FR"/>
        </w:rPr>
        <w:t>o</w:t>
      </w:r>
      <w:r w:rsidRPr="00011A46">
        <w:rPr>
          <w:lang w:eastAsia="fr-FR" w:bidi="fr-FR"/>
        </w:rPr>
        <w:t>culturels bien définis, en particulier en ce qui a trait à la culture matérielle. Les femmes, entre autres, jouent un rôle important au niveau de la créativité et de la transmission des valeurs esthétiques traditionnelles. D'un côté comme de l'a</w:t>
      </w:r>
      <w:r w:rsidRPr="00011A46">
        <w:rPr>
          <w:lang w:eastAsia="fr-FR" w:bidi="fr-FR"/>
        </w:rPr>
        <w:t>u</w:t>
      </w:r>
      <w:r w:rsidRPr="00011A46">
        <w:rPr>
          <w:lang w:eastAsia="fr-FR" w:bidi="fr-FR"/>
        </w:rPr>
        <w:t>tre de la rive, le patrimoine architectural est également digne d'intérêt.</w:t>
      </w:r>
    </w:p>
    <w:p w:rsidR="00B7214C" w:rsidRPr="00011A46" w:rsidRDefault="00B7214C" w:rsidP="00B7214C">
      <w:pPr>
        <w:spacing w:before="120" w:after="120"/>
        <w:jc w:val="both"/>
      </w:pPr>
      <w:r w:rsidRPr="00011A46">
        <w:rPr>
          <w:lang w:eastAsia="fr-FR" w:bidi="fr-FR"/>
        </w:rPr>
        <w:t>Ces endroits présentent donc les caractéristiques d'un vér</w:t>
      </w:r>
      <w:r w:rsidRPr="00011A46">
        <w:rPr>
          <w:lang w:eastAsia="fr-FR" w:bidi="fr-FR"/>
        </w:rPr>
        <w:t>i</w:t>
      </w:r>
      <w:r w:rsidRPr="00011A46">
        <w:rPr>
          <w:lang w:eastAsia="fr-FR" w:bidi="fr-FR"/>
        </w:rPr>
        <w:t>table lieu anthropologique. Il n'est donc pas étonnant que des folkloristes, des écrivains, des artistes et des intellectuels soient allés à sa rencontre. On y reconnaît des Barbeau, G</w:t>
      </w:r>
      <w:r w:rsidRPr="00011A46">
        <w:rPr>
          <w:lang w:eastAsia="fr-FR" w:bidi="fr-FR"/>
        </w:rPr>
        <w:t>a</w:t>
      </w:r>
      <w:r w:rsidRPr="00011A46">
        <w:rPr>
          <w:lang w:eastAsia="fr-FR" w:bidi="fr-FR"/>
        </w:rPr>
        <w:t>gnon, Lismer, Jackson, Savard, Roy, etc. Et voilà que le de</w:t>
      </w:r>
      <w:r w:rsidRPr="00011A46">
        <w:rPr>
          <w:lang w:eastAsia="fr-FR" w:bidi="fr-FR"/>
        </w:rPr>
        <w:t>r</w:t>
      </w:r>
      <w:r w:rsidRPr="00011A46">
        <w:rPr>
          <w:lang w:eastAsia="fr-FR" w:bidi="fr-FR"/>
        </w:rPr>
        <w:t>nier élément nécessaire à la création d'un lieu de mémoire se met en place</w:t>
      </w:r>
      <w:r w:rsidRPr="00011A46">
        <w:t> :</w:t>
      </w:r>
      <w:r w:rsidRPr="00011A46">
        <w:rPr>
          <w:lang w:eastAsia="fr-FR" w:bidi="fr-FR"/>
        </w:rPr>
        <w:t xml:space="preserve"> au lieu anthropologique classique s'ajo</w:t>
      </w:r>
      <w:r w:rsidRPr="00011A46">
        <w:rPr>
          <w:lang w:eastAsia="fr-FR" w:bidi="fr-FR"/>
        </w:rPr>
        <w:t>u</w:t>
      </w:r>
      <w:r w:rsidRPr="00011A46">
        <w:rPr>
          <w:lang w:eastAsia="fr-FR" w:bidi="fr-FR"/>
        </w:rPr>
        <w:t>te un heu de sociabilité et de création. On s'y rencontre, on s'y d</w:t>
      </w:r>
      <w:r w:rsidRPr="00011A46">
        <w:rPr>
          <w:lang w:eastAsia="fr-FR" w:bidi="fr-FR"/>
        </w:rPr>
        <w:t>é</w:t>
      </w:r>
      <w:r w:rsidRPr="00011A46">
        <w:rPr>
          <w:lang w:eastAsia="fr-FR" w:bidi="fr-FR"/>
        </w:rPr>
        <w:t>tend, on y discute, on y travaille.</w:t>
      </w:r>
    </w:p>
    <w:p w:rsidR="00B7214C" w:rsidRDefault="00B7214C" w:rsidP="00B7214C">
      <w:pPr>
        <w:spacing w:before="120" w:after="120"/>
        <w:jc w:val="both"/>
        <w:rPr>
          <w:lang w:eastAsia="fr-FR" w:bidi="fr-FR"/>
        </w:rPr>
      </w:pPr>
    </w:p>
    <w:p w:rsidR="00B7214C" w:rsidRPr="00B51C7C" w:rsidRDefault="00B7214C" w:rsidP="00B7214C">
      <w:pPr>
        <w:pStyle w:val="b"/>
      </w:pPr>
      <w:r w:rsidRPr="00B51C7C">
        <w:rPr>
          <w:lang w:eastAsia="fr-FR" w:bidi="fr-FR"/>
        </w:rPr>
        <w:t>Fabriquer une image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J'ai montré ailleurs comment, dans le cas de Baie-Saint-Paul (on observe la même dynamique chez les voisins d'en face) s'est alors f</w:t>
      </w:r>
      <w:r w:rsidRPr="00011A46">
        <w:rPr>
          <w:lang w:eastAsia="fr-FR" w:bidi="fr-FR"/>
        </w:rPr>
        <w:t>a</w:t>
      </w:r>
      <w:r w:rsidRPr="00011A46">
        <w:rPr>
          <w:lang w:eastAsia="fr-FR" w:bidi="fr-FR"/>
        </w:rPr>
        <w:t>briquée une image nostalgique du terroir, c'est-à-dire comment les i</w:t>
      </w:r>
      <w:r w:rsidRPr="00011A46">
        <w:rPr>
          <w:lang w:eastAsia="fr-FR" w:bidi="fr-FR"/>
        </w:rPr>
        <w:t>n</w:t>
      </w:r>
      <w:r w:rsidRPr="00011A46">
        <w:rPr>
          <w:lang w:eastAsia="fr-FR" w:bidi="fr-FR"/>
        </w:rPr>
        <w:t xml:space="preserve">tellectuels et les artistes, en quête de ce qui était déjà </w:t>
      </w:r>
      <w:r w:rsidRPr="00011A46">
        <w:t>« </w:t>
      </w:r>
      <w:r w:rsidRPr="00011A46">
        <w:rPr>
          <w:lang w:eastAsia="fr-FR" w:bidi="fr-FR"/>
        </w:rPr>
        <w:t>perdu</w:t>
      </w:r>
      <w:r w:rsidRPr="00011A46">
        <w:t> »</w:t>
      </w:r>
      <w:r w:rsidRPr="00011A46">
        <w:rPr>
          <w:lang w:eastAsia="fr-FR" w:bidi="fr-FR"/>
        </w:rPr>
        <w:t xml:space="preserve"> dans leur milieu de vie respe</w:t>
      </w:r>
      <w:r w:rsidRPr="00011A46">
        <w:rPr>
          <w:lang w:eastAsia="fr-FR" w:bidi="fr-FR"/>
        </w:rPr>
        <w:t>c</w:t>
      </w:r>
      <w:r w:rsidRPr="00011A46">
        <w:rPr>
          <w:lang w:eastAsia="fr-FR" w:bidi="fr-FR"/>
        </w:rPr>
        <w:t xml:space="preserve">tif, ont tenté de </w:t>
      </w:r>
      <w:r w:rsidRPr="00B51C7C">
        <w:rPr>
          <w:i/>
          <w:iCs/>
        </w:rPr>
        <w:t>fixer</w:t>
      </w:r>
      <w:r w:rsidRPr="00011A46">
        <w:rPr>
          <w:lang w:eastAsia="fr-FR" w:bidi="fr-FR"/>
        </w:rPr>
        <w:t xml:space="preserve"> une image statique et passéiste de ces régions. Cette image a par la suite été transmise aux groupes culturels québécois, canadiens et même américains. Je ne crois pas qu'il soit utile d'y revenir. Cependant il faut soul</w:t>
      </w:r>
      <w:r w:rsidRPr="00011A46">
        <w:rPr>
          <w:lang w:eastAsia="fr-FR" w:bidi="fr-FR"/>
        </w:rPr>
        <w:t>i</w:t>
      </w:r>
      <w:r w:rsidRPr="00011A46">
        <w:rPr>
          <w:lang w:eastAsia="fr-FR" w:bidi="fr-FR"/>
        </w:rPr>
        <w:t>gner que s'il y a eu construction d'une mémo</w:t>
      </w:r>
      <w:r>
        <w:rPr>
          <w:lang w:eastAsia="fr-FR" w:bidi="fr-FR"/>
        </w:rPr>
        <w:t>ire nostalgique, ell</w:t>
      </w:r>
      <w:r w:rsidRPr="00011A46">
        <w:rPr>
          <w:lang w:eastAsia="fr-FR" w:bidi="fr-FR"/>
        </w:rPr>
        <w:t>e a effectivement été fabriquée à partir de faits concrets et réels (qui eux n'étaient c</w:t>
      </w:r>
      <w:r w:rsidRPr="00011A46">
        <w:rPr>
          <w:lang w:eastAsia="fr-FR" w:bidi="fr-FR"/>
        </w:rPr>
        <w:t>e</w:t>
      </w:r>
      <w:r w:rsidRPr="00011A46">
        <w:rPr>
          <w:lang w:eastAsia="fr-FR" w:bidi="fr-FR"/>
        </w:rPr>
        <w:t xml:space="preserve">pendant pas du tout nostalgiques mais bien actuels), mais selon une </w:t>
      </w:r>
      <w:r w:rsidRPr="00B51C7C">
        <w:rPr>
          <w:i/>
          <w:iCs/>
        </w:rPr>
        <w:t>initiative externe</w:t>
      </w:r>
      <w:r w:rsidRPr="00011A46">
        <w:rPr>
          <w:lang w:eastAsia="fr-FR" w:bidi="fr-FR"/>
        </w:rPr>
        <w:t xml:space="preserve"> et une </w:t>
      </w:r>
      <w:r w:rsidRPr="00B51C7C">
        <w:rPr>
          <w:i/>
          <w:iCs/>
        </w:rPr>
        <w:t xml:space="preserve">logique symbolique urbaine. </w:t>
      </w:r>
      <w:r w:rsidRPr="00011A46">
        <w:rPr>
          <w:lang w:eastAsia="fr-FR" w:bidi="fr-FR"/>
        </w:rPr>
        <w:t>Autrement dit, dans cette première phase, Baie-Saint-Paul et Saint-Jean-Port-Joli r</w:t>
      </w:r>
      <w:r w:rsidRPr="00011A46">
        <w:rPr>
          <w:lang w:eastAsia="fr-FR" w:bidi="fr-FR"/>
        </w:rPr>
        <w:t>é</w:t>
      </w:r>
      <w:r w:rsidRPr="00011A46">
        <w:rPr>
          <w:lang w:eastAsia="fr-FR" w:bidi="fr-FR"/>
        </w:rPr>
        <w:t>uni</w:t>
      </w:r>
      <w:r w:rsidRPr="00011A46">
        <w:rPr>
          <w:lang w:eastAsia="fr-FR" w:bidi="fr-FR"/>
        </w:rPr>
        <w:t>s</w:t>
      </w:r>
      <w:r w:rsidRPr="00011A46">
        <w:rPr>
          <w:lang w:eastAsia="fr-FR" w:bidi="fr-FR"/>
        </w:rPr>
        <w:t>sent les conditions nécessair</w:t>
      </w:r>
      <w:r>
        <w:rPr>
          <w:lang w:eastAsia="fr-FR" w:bidi="fr-FR"/>
        </w:rPr>
        <w:t>es à la création d'un lieu mémo</w:t>
      </w:r>
      <w:r w:rsidRPr="00011A46">
        <w:rPr>
          <w:lang w:eastAsia="fr-FR" w:bidi="fr-FR"/>
        </w:rPr>
        <w:t>rial</w:t>
      </w:r>
      <w:r w:rsidRPr="00011A46">
        <w:t> :</w:t>
      </w:r>
      <w:r>
        <w:t xml:space="preserve"> [477]</w:t>
      </w:r>
      <w:r w:rsidRPr="00011A46">
        <w:rPr>
          <w:lang w:eastAsia="fr-FR" w:bidi="fr-FR"/>
        </w:rPr>
        <w:t xml:space="preserve"> en plus d'ajouter au lieu anthropologique un lieu de sociabil</w:t>
      </w:r>
      <w:r w:rsidRPr="00011A46">
        <w:rPr>
          <w:lang w:eastAsia="fr-FR" w:bidi="fr-FR"/>
        </w:rPr>
        <w:t>i</w:t>
      </w:r>
      <w:r w:rsidRPr="00011A46">
        <w:rPr>
          <w:lang w:eastAsia="fr-FR" w:bidi="fr-FR"/>
        </w:rPr>
        <w:t>té, on fournit une interprétation de ces lieux. Dans les cas qui nous int</w:t>
      </w:r>
      <w:r w:rsidRPr="00011A46">
        <w:rPr>
          <w:lang w:eastAsia="fr-FR" w:bidi="fr-FR"/>
        </w:rPr>
        <w:t>é</w:t>
      </w:r>
      <w:r w:rsidRPr="00011A46">
        <w:rPr>
          <w:lang w:eastAsia="fr-FR" w:bidi="fr-FR"/>
        </w:rPr>
        <w:t xml:space="preserve">ressent, il s'agit d'une interprétation esthétique mais </w:t>
      </w:r>
      <w:r>
        <w:rPr>
          <w:lang w:eastAsia="fr-FR" w:bidi="fr-FR"/>
        </w:rPr>
        <w:t>à fondement s</w:t>
      </w:r>
      <w:r>
        <w:rPr>
          <w:lang w:eastAsia="fr-FR" w:bidi="fr-FR"/>
        </w:rPr>
        <w:t>o</w:t>
      </w:r>
      <w:r>
        <w:rPr>
          <w:lang w:eastAsia="fr-FR" w:bidi="fr-FR"/>
        </w:rPr>
        <w:t>cial. Baie-Saint-</w:t>
      </w:r>
      <w:r w:rsidRPr="00011A46">
        <w:rPr>
          <w:lang w:eastAsia="fr-FR" w:bidi="fr-FR"/>
        </w:rPr>
        <w:t>Paul et Saint-Jean-Port-Joli sont montrés en exe</w:t>
      </w:r>
      <w:r w:rsidRPr="00011A46">
        <w:rPr>
          <w:lang w:eastAsia="fr-FR" w:bidi="fr-FR"/>
        </w:rPr>
        <w:t>m</w:t>
      </w:r>
      <w:r w:rsidRPr="00011A46">
        <w:rPr>
          <w:lang w:eastAsia="fr-FR" w:bidi="fr-FR"/>
        </w:rPr>
        <w:t>ple. Ils représentent les communautés authentiques, non ternies par le m</w:t>
      </w:r>
      <w:r w:rsidRPr="00011A46">
        <w:rPr>
          <w:lang w:eastAsia="fr-FR" w:bidi="fr-FR"/>
        </w:rPr>
        <w:t>o</w:t>
      </w:r>
      <w:r w:rsidRPr="00011A46">
        <w:rPr>
          <w:lang w:eastAsia="fr-FR" w:bidi="fr-FR"/>
        </w:rPr>
        <w:t>dernisme, communautés qui ont su préserver l'esthétique naturelle fo</w:t>
      </w:r>
      <w:r w:rsidRPr="00011A46">
        <w:rPr>
          <w:lang w:eastAsia="fr-FR" w:bidi="fr-FR"/>
        </w:rPr>
        <w:t>n</w:t>
      </w:r>
      <w:r w:rsidRPr="00011A46">
        <w:rPr>
          <w:lang w:eastAsia="fr-FR" w:bidi="fr-FR"/>
        </w:rPr>
        <w:t>datrice de la société québécoise. Mais, ne nous y trompons pas. Il s'agit bien du regard de l'autre, c'est-à-dire de l'urbain et du to</w:t>
      </w:r>
      <w:r w:rsidRPr="00011A46">
        <w:rPr>
          <w:lang w:eastAsia="fr-FR" w:bidi="fr-FR"/>
        </w:rPr>
        <w:t>u</w:t>
      </w:r>
      <w:r w:rsidRPr="00011A46">
        <w:rPr>
          <w:lang w:eastAsia="fr-FR" w:bidi="fr-FR"/>
        </w:rPr>
        <w:t>riste, sur une ruralité en voie de disparition.</w:t>
      </w:r>
    </w:p>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S'APPROPRIER LA MÉMOIRE (PHASE 2)</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La seconde phase en est une d'appropriation de l'image par les a</w:t>
      </w:r>
      <w:r w:rsidRPr="00011A46">
        <w:rPr>
          <w:lang w:eastAsia="fr-FR" w:bidi="fr-FR"/>
        </w:rPr>
        <w:t>r</w:t>
      </w:r>
      <w:r w:rsidRPr="00011A46">
        <w:rPr>
          <w:lang w:eastAsia="fr-FR" w:bidi="fr-FR"/>
        </w:rPr>
        <w:t>tistes et artisans régionaux. Appropriation symbolique et économique tout à la fois. Car, ne l'oublions pas, il s'agit de communautés réelles et concrètes, aux prises, surtout à cette époque, avec des problèmes de survie.</w:t>
      </w:r>
    </w:p>
    <w:p w:rsidR="00B7214C" w:rsidRPr="00011A46" w:rsidRDefault="00B7214C" w:rsidP="00B7214C">
      <w:pPr>
        <w:spacing w:before="120" w:after="120"/>
        <w:jc w:val="both"/>
      </w:pPr>
      <w:r w:rsidRPr="00011A46">
        <w:rPr>
          <w:lang w:eastAsia="fr-FR" w:bidi="fr-FR"/>
        </w:rPr>
        <w:t>L'image projetée par les artistes et par les intellectuels semble leur convenir, suffisamment du moins pour qu'ils participent à sa consol</w:t>
      </w:r>
      <w:r w:rsidRPr="00011A46">
        <w:rPr>
          <w:lang w:eastAsia="fr-FR" w:bidi="fr-FR"/>
        </w:rPr>
        <w:t>i</w:t>
      </w:r>
      <w:r w:rsidRPr="00011A46">
        <w:rPr>
          <w:lang w:eastAsia="fr-FR" w:bidi="fr-FR"/>
        </w:rPr>
        <w:t>dation. Aidées par le folkloriste Marius Barbeau, le peintre Clarence Gagnon et Jean-Marie Gauvreau de l'école du meuble, une mise en marché s'organise et la production s'intensifie. À Baie-Saint-Paul, ce</w:t>
      </w:r>
      <w:r w:rsidRPr="00011A46">
        <w:rPr>
          <w:lang w:eastAsia="fr-FR" w:bidi="fr-FR"/>
        </w:rPr>
        <w:t>r</w:t>
      </w:r>
      <w:r w:rsidRPr="00011A46">
        <w:rPr>
          <w:lang w:eastAsia="fr-FR" w:bidi="fr-FR"/>
        </w:rPr>
        <w:t>taines familles marqueront le pas en peinture populaire, les autres su</w:t>
      </w:r>
      <w:r w:rsidRPr="00011A46">
        <w:rPr>
          <w:lang w:eastAsia="fr-FR" w:bidi="fr-FR"/>
        </w:rPr>
        <w:t>i</w:t>
      </w:r>
      <w:r w:rsidRPr="00011A46">
        <w:rPr>
          <w:lang w:eastAsia="fr-FR" w:bidi="fr-FR"/>
        </w:rPr>
        <w:t>vront du côté artisanal. À Saint-Jean-Port-Joli, le nom de Bourgault devient presque une marque de commerce.</w:t>
      </w:r>
    </w:p>
    <w:p w:rsidR="00B7214C" w:rsidRPr="00011A46" w:rsidRDefault="00B7214C" w:rsidP="00B7214C">
      <w:pPr>
        <w:spacing w:before="120" w:after="120"/>
        <w:jc w:val="both"/>
      </w:pPr>
      <w:r w:rsidRPr="00011A46">
        <w:rPr>
          <w:lang w:eastAsia="fr-FR" w:bidi="fr-FR"/>
        </w:rPr>
        <w:t>Après une période de stabilisation, voire même de stagn</w:t>
      </w:r>
      <w:r w:rsidRPr="00011A46">
        <w:rPr>
          <w:lang w:eastAsia="fr-FR" w:bidi="fr-FR"/>
        </w:rPr>
        <w:t>a</w:t>
      </w:r>
      <w:r w:rsidRPr="00011A46">
        <w:rPr>
          <w:lang w:eastAsia="fr-FR" w:bidi="fr-FR"/>
        </w:rPr>
        <w:t xml:space="preserve">tion et de chute, des énergies sont déployées pour effectuer une relance. Celle-ci </w:t>
      </w:r>
      <w:r w:rsidRPr="00011A46">
        <w:t>apparaît surtout au point de vue d</w:t>
      </w:r>
      <w:r w:rsidRPr="00B51C7C">
        <w:rPr>
          <w:i/>
          <w:iCs/>
        </w:rPr>
        <w:t>'infrastructures emblématiques</w:t>
      </w:r>
      <w:r w:rsidRPr="00011A46">
        <w:t xml:space="preserve"> qui</w:t>
      </w:r>
      <w:r w:rsidRPr="00011A46">
        <w:rPr>
          <w:lang w:eastAsia="fr-FR" w:bidi="fr-FR"/>
        </w:rPr>
        <w:t xml:space="preserve"> marquent matériellement ou épisodiquement la mémoire. Elles pe</w:t>
      </w:r>
      <w:r w:rsidRPr="00011A46">
        <w:rPr>
          <w:lang w:eastAsia="fr-FR" w:bidi="fr-FR"/>
        </w:rPr>
        <w:t>u</w:t>
      </w:r>
      <w:r w:rsidRPr="00011A46">
        <w:rPr>
          <w:lang w:eastAsia="fr-FR" w:bidi="fr-FR"/>
        </w:rPr>
        <w:t>vent être de plusieurs ordres</w:t>
      </w:r>
      <w:r w:rsidRPr="00011A46">
        <w:t> :</w:t>
      </w:r>
      <w:r w:rsidRPr="00011A46">
        <w:rPr>
          <w:lang w:eastAsia="fr-FR" w:bidi="fr-FR"/>
        </w:rPr>
        <w:t xml:space="preserve"> fêtes, festivals, symposiums, mon</w:t>
      </w:r>
      <w:r w:rsidRPr="00011A46">
        <w:rPr>
          <w:lang w:eastAsia="fr-FR" w:bidi="fr-FR"/>
        </w:rPr>
        <w:t>u</w:t>
      </w:r>
      <w:r w:rsidRPr="00011A46">
        <w:rPr>
          <w:lang w:eastAsia="fr-FR" w:bidi="fr-FR"/>
        </w:rPr>
        <w:t>ments ou édifices commémoratifs, musées, écoles et centres d'artistes et même des lois et des statuts. L'initiative de ces implantations est souvent d'origine locale mais aidée de l'extérieur (différents paliers gouvernementaux ou ministères).</w:t>
      </w:r>
    </w:p>
    <w:p w:rsidR="00B7214C" w:rsidRDefault="00B7214C" w:rsidP="00B7214C">
      <w:pPr>
        <w:spacing w:before="120" w:after="120"/>
        <w:jc w:val="both"/>
        <w:rPr>
          <w:lang w:eastAsia="fr-FR" w:bidi="fr-FR"/>
        </w:rPr>
      </w:pPr>
      <w:r w:rsidRPr="00011A46">
        <w:rPr>
          <w:lang w:eastAsia="fr-FR" w:bidi="fr-FR"/>
        </w:rPr>
        <w:t>En ce qui concerne Baie-Saint-Paul et Saint-Jean-Port-Joli, on r</w:t>
      </w:r>
      <w:r w:rsidRPr="00011A46">
        <w:rPr>
          <w:lang w:eastAsia="fr-FR" w:bidi="fr-FR"/>
        </w:rPr>
        <w:t>e</w:t>
      </w:r>
      <w:r w:rsidRPr="00011A46">
        <w:rPr>
          <w:lang w:eastAsia="fr-FR" w:bidi="fr-FR"/>
        </w:rPr>
        <w:t xml:space="preserve">connaît les fêtes et festivals, les symposiums, les centres d'artistes et écoles, les </w:t>
      </w:r>
      <w:r w:rsidRPr="00011A46">
        <w:t>« </w:t>
      </w:r>
      <w:r w:rsidRPr="00011A46">
        <w:rPr>
          <w:lang w:eastAsia="fr-FR" w:bidi="fr-FR"/>
        </w:rPr>
        <w:t>musées</w:t>
      </w:r>
      <w:r w:rsidRPr="00011A46">
        <w:t> »</w:t>
      </w:r>
      <w:r w:rsidRPr="00011A46">
        <w:rPr>
          <w:lang w:eastAsia="fr-FR" w:bidi="fr-FR"/>
        </w:rPr>
        <w:t xml:space="preserve"> commémoratifs (demeure de René Richard et de Médard Bourgault) et le r</w:t>
      </w:r>
      <w:r w:rsidRPr="00011A46">
        <w:rPr>
          <w:lang w:eastAsia="fr-FR" w:bidi="fr-FR"/>
        </w:rPr>
        <w:t>é</w:t>
      </w:r>
      <w:r w:rsidRPr="00011A46">
        <w:rPr>
          <w:lang w:eastAsia="fr-FR" w:bidi="fr-FR"/>
        </w:rPr>
        <w:t>cent centre d'exposition.</w:t>
      </w:r>
    </w:p>
    <w:p w:rsidR="00B7214C" w:rsidRPr="00011A46" w:rsidRDefault="00B7214C" w:rsidP="00B7214C">
      <w:pPr>
        <w:spacing w:before="120" w:after="120"/>
        <w:jc w:val="both"/>
      </w:pPr>
      <w:r>
        <w:t>[478]</w:t>
      </w:r>
    </w:p>
    <w:p w:rsidR="00B7214C" w:rsidRDefault="00B7214C" w:rsidP="00B7214C">
      <w:pPr>
        <w:spacing w:before="120" w:after="120"/>
        <w:jc w:val="both"/>
        <w:rPr>
          <w:bCs/>
        </w:rPr>
      </w:pPr>
    </w:p>
    <w:p w:rsidR="00B7214C" w:rsidRPr="00B51C7C" w:rsidRDefault="00B7214C" w:rsidP="00B7214C">
      <w:pPr>
        <w:pStyle w:val="a"/>
      </w:pPr>
      <w:r w:rsidRPr="00B51C7C">
        <w:t>CRÉER UNE MÉMOIRE (PHASE 3)</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La phase 3 n'est pas toujours présente et lorsqu'elle y est, c'est so</w:t>
      </w:r>
      <w:r w:rsidRPr="00011A46">
        <w:rPr>
          <w:lang w:eastAsia="fr-FR" w:bidi="fr-FR"/>
        </w:rPr>
        <w:t>u</w:t>
      </w:r>
      <w:r w:rsidRPr="00011A46">
        <w:rPr>
          <w:lang w:eastAsia="fr-FR" w:bidi="fr-FR"/>
        </w:rPr>
        <w:t>vent de façon parallèle ou emboîtée à la seconde phase. C'est elle qui fait basculer le programme mémorial, d'abord fondé sur une logique sociale urbaine nostalgique, à une logique résolument esthétique.</w:t>
      </w:r>
    </w:p>
    <w:p w:rsidR="00B7214C" w:rsidRPr="00011A46" w:rsidRDefault="00B7214C" w:rsidP="00B7214C">
      <w:pPr>
        <w:spacing w:before="120" w:after="120"/>
        <w:jc w:val="both"/>
      </w:pPr>
      <w:r w:rsidRPr="00011A46">
        <w:rPr>
          <w:lang w:eastAsia="fr-FR" w:bidi="fr-FR"/>
        </w:rPr>
        <w:t>L'image nostalgique et passéiste est ressentie comme un enferm</w:t>
      </w:r>
      <w:r w:rsidRPr="00011A46">
        <w:rPr>
          <w:lang w:eastAsia="fr-FR" w:bidi="fr-FR"/>
        </w:rPr>
        <w:t>e</w:t>
      </w:r>
      <w:r w:rsidRPr="00011A46">
        <w:rPr>
          <w:lang w:eastAsia="fr-FR" w:bidi="fr-FR"/>
        </w:rPr>
        <w:t>ment et un appauvrissement par la nouvelle génération qui veut part</w:t>
      </w:r>
      <w:r w:rsidRPr="00011A46">
        <w:rPr>
          <w:lang w:eastAsia="fr-FR" w:bidi="fr-FR"/>
        </w:rPr>
        <w:t>i</w:t>
      </w:r>
      <w:r w:rsidRPr="00011A46">
        <w:rPr>
          <w:lang w:eastAsia="fr-FR" w:bidi="fr-FR"/>
        </w:rPr>
        <w:t>ciper à la dynamique contemporaine. On élabore des stratégies d'inse</w:t>
      </w:r>
      <w:r w:rsidRPr="00011A46">
        <w:rPr>
          <w:lang w:eastAsia="fr-FR" w:bidi="fr-FR"/>
        </w:rPr>
        <w:t>r</w:t>
      </w:r>
      <w:r w:rsidRPr="00011A46">
        <w:rPr>
          <w:lang w:eastAsia="fr-FR" w:bidi="fr-FR"/>
        </w:rPr>
        <w:t>tion dans l'esthétique contemp</w:t>
      </w:r>
      <w:r w:rsidRPr="00011A46">
        <w:rPr>
          <w:lang w:eastAsia="fr-FR" w:bidi="fr-FR"/>
        </w:rPr>
        <w:t>o</w:t>
      </w:r>
      <w:r w:rsidRPr="00011A46">
        <w:rPr>
          <w:lang w:eastAsia="fr-FR" w:bidi="fr-FR"/>
        </w:rPr>
        <w:t>raine</w:t>
      </w:r>
      <w:r w:rsidRPr="00011A46">
        <w:t> :</w:t>
      </w:r>
      <w:r w:rsidRPr="00011A46">
        <w:rPr>
          <w:lang w:eastAsia="fr-FR" w:bidi="fr-FR"/>
        </w:rPr>
        <w:t xml:space="preserve"> centre d'art, école, symposium. On ira même dans certains cas jusqu'à poser des gestes de rupture r</w:t>
      </w:r>
      <w:r w:rsidRPr="00011A46">
        <w:rPr>
          <w:lang w:eastAsia="fr-FR" w:bidi="fr-FR"/>
        </w:rPr>
        <w:t>a</w:t>
      </w:r>
      <w:r w:rsidRPr="00011A46">
        <w:rPr>
          <w:lang w:eastAsia="fr-FR" w:bidi="fr-FR"/>
        </w:rPr>
        <w:t>dicale, (lors du symposium de sculpture à Saint-Jean-Port-Joli en 1969, on brûlera l'effigie d'un paysan), mais surtout on tente de reno</w:t>
      </w:r>
      <w:r w:rsidRPr="00011A46">
        <w:rPr>
          <w:lang w:eastAsia="fr-FR" w:bidi="fr-FR"/>
        </w:rPr>
        <w:t>u</w:t>
      </w:r>
      <w:r w:rsidRPr="00011A46">
        <w:rPr>
          <w:lang w:eastAsia="fr-FR" w:bidi="fr-FR"/>
        </w:rPr>
        <w:t>veler la pratique par l'apport de sang nouveau. Jean-Pierre Bourgault, sculpteur contemporain, sentira le besoin, dans ces mêmes années, de se dissocier de la commercialisation de son nom en y ajoutant celui de sa mère. Il se présentera sous le nom de Pierre Bourgault-Legros. Son père, Jean-Julien Bou</w:t>
      </w:r>
      <w:r w:rsidRPr="00011A46">
        <w:rPr>
          <w:lang w:eastAsia="fr-FR" w:bidi="fr-FR"/>
        </w:rPr>
        <w:t>r</w:t>
      </w:r>
      <w:r w:rsidRPr="00011A46">
        <w:rPr>
          <w:lang w:eastAsia="fr-FR" w:bidi="fr-FR"/>
        </w:rPr>
        <w:t>gault, adhérera, du moins pour un certain temps, à cette pos</w:t>
      </w:r>
      <w:r w:rsidRPr="00011A46">
        <w:rPr>
          <w:lang w:eastAsia="fr-FR" w:bidi="fr-FR"/>
        </w:rPr>
        <w:t>i</w:t>
      </w:r>
      <w:r w:rsidRPr="00011A46">
        <w:rPr>
          <w:lang w:eastAsia="fr-FR" w:bidi="fr-FR"/>
        </w:rPr>
        <w:t>tion.</w:t>
      </w:r>
    </w:p>
    <w:p w:rsidR="00B7214C" w:rsidRDefault="00B7214C" w:rsidP="00B7214C">
      <w:pPr>
        <w:spacing w:before="120" w:after="120"/>
        <w:jc w:val="both"/>
      </w:pPr>
      <w:r w:rsidRPr="00011A46">
        <w:rPr>
          <w:lang w:eastAsia="fr-FR" w:bidi="fr-FR"/>
        </w:rPr>
        <w:t>Après plusieurs tentatives de part et d'autre, l'un et l'autre des foyers culturels trouvera sa voie. Pour Baie-Saint-Paul, il s'agit d'un symposium annuel où jeunes artistes de provena</w:t>
      </w:r>
      <w:r w:rsidRPr="00011A46">
        <w:rPr>
          <w:lang w:eastAsia="fr-FR" w:bidi="fr-FR"/>
        </w:rPr>
        <w:t>n</w:t>
      </w:r>
      <w:r w:rsidRPr="00011A46">
        <w:rPr>
          <w:lang w:eastAsia="fr-FR" w:bidi="fr-FR"/>
        </w:rPr>
        <w:t>ce internationale sont conviés avec le public. Dans les thèmes des symposiums depuis 1982</w:t>
      </w:r>
      <w:r>
        <w:rPr>
          <w:lang w:eastAsia="fr-FR" w:bidi="fr-FR"/>
        </w:rPr>
        <w:t> </w:t>
      </w:r>
      <w:r>
        <w:rPr>
          <w:rStyle w:val="Appelnotedebasdep"/>
          <w:lang w:eastAsia="fr-FR" w:bidi="fr-FR"/>
        </w:rPr>
        <w:footnoteReference w:id="349"/>
      </w:r>
      <w:r w:rsidRPr="00011A46">
        <w:rPr>
          <w:lang w:eastAsia="fr-FR" w:bidi="fr-FR"/>
        </w:rPr>
        <w:t>, on perçoit l'intention d'int</w:t>
      </w:r>
      <w:r w:rsidRPr="00011A46">
        <w:rPr>
          <w:lang w:eastAsia="fr-FR" w:bidi="fr-FR"/>
        </w:rPr>
        <w:t>é</w:t>
      </w:r>
      <w:r w:rsidRPr="00011A46">
        <w:rPr>
          <w:lang w:eastAsia="fr-FR" w:bidi="fr-FR"/>
        </w:rPr>
        <w:t>grer la problématique régionale à celle de l'art contemporain. Pour Saint-Jean-Port-Joli, ce sera des rés</w:t>
      </w:r>
      <w:r w:rsidRPr="00011A46">
        <w:rPr>
          <w:lang w:eastAsia="fr-FR" w:bidi="fr-FR"/>
        </w:rPr>
        <w:t>i</w:t>
      </w:r>
      <w:r w:rsidRPr="00011A46">
        <w:rPr>
          <w:lang w:eastAsia="fr-FR" w:bidi="fr-FR"/>
        </w:rPr>
        <w:t>dences d'artistes d'envergure ou de provenance internationale. Le p</w:t>
      </w:r>
      <w:r w:rsidRPr="00011A46">
        <w:rPr>
          <w:lang w:eastAsia="fr-FR" w:bidi="fr-FR"/>
        </w:rPr>
        <w:t>u</w:t>
      </w:r>
      <w:r w:rsidRPr="00011A46">
        <w:rPr>
          <w:lang w:eastAsia="fr-FR" w:bidi="fr-FR"/>
        </w:rPr>
        <w:t>blic n'est pas admis à ces travaux de recherche mais les œuvres circ</w:t>
      </w:r>
      <w:r w:rsidRPr="00011A46">
        <w:rPr>
          <w:lang w:eastAsia="fr-FR" w:bidi="fr-FR"/>
        </w:rPr>
        <w:t>u</w:t>
      </w:r>
      <w:r w:rsidRPr="00011A46">
        <w:rPr>
          <w:lang w:eastAsia="fr-FR" w:bidi="fr-FR"/>
        </w:rPr>
        <w:t>lent au Québec, au Canada, en Amérique et même en Europe. Le mandat est clair</w:t>
      </w:r>
      <w:r w:rsidRPr="00011A46">
        <w:t> :</w:t>
      </w:r>
      <w:r w:rsidRPr="00011A46">
        <w:rPr>
          <w:lang w:eastAsia="fr-FR" w:bidi="fr-FR"/>
        </w:rPr>
        <w:t xml:space="preserve"> on veut en faire </w:t>
      </w:r>
      <w:r w:rsidRPr="00011A46">
        <w:t>« </w:t>
      </w:r>
      <w:r w:rsidRPr="00011A46">
        <w:rPr>
          <w:lang w:eastAsia="fr-FR" w:bidi="fr-FR"/>
        </w:rPr>
        <w:t>non pas un événement public et spectaculaire pour montrer l'art actuel de la métr</w:t>
      </w:r>
      <w:r w:rsidRPr="00011A46">
        <w:rPr>
          <w:lang w:eastAsia="fr-FR" w:bidi="fr-FR"/>
        </w:rPr>
        <w:t>o</w:t>
      </w:r>
      <w:r w:rsidRPr="00011A46">
        <w:rPr>
          <w:lang w:eastAsia="fr-FR" w:bidi="fr-FR"/>
        </w:rPr>
        <w:t>pole ou le comparer à des pratiques régionales, mais plutôt un atelier de travail favorisant l'échange et la confrontation des fondements de deux traditions artist</w:t>
      </w:r>
      <w:r w:rsidRPr="00011A46">
        <w:rPr>
          <w:lang w:eastAsia="fr-FR" w:bidi="fr-FR"/>
        </w:rPr>
        <w:t>i</w:t>
      </w:r>
      <w:r w:rsidRPr="00011A46">
        <w:t xml:space="preserve">ques » </w:t>
      </w:r>
      <w:r w:rsidRPr="00B51C7C">
        <w:rPr>
          <w:i/>
          <w:iCs/>
        </w:rPr>
        <w:t>(Histoire de bois,</w:t>
      </w:r>
      <w:r w:rsidRPr="00011A46">
        <w:t xml:space="preserve"> 1988, p. 4).</w:t>
      </w:r>
    </w:p>
    <w:p w:rsidR="00B7214C" w:rsidRPr="00011A46" w:rsidRDefault="00B7214C" w:rsidP="00B7214C">
      <w:pPr>
        <w:spacing w:before="120" w:after="120"/>
        <w:jc w:val="both"/>
      </w:pPr>
    </w:p>
    <w:p w:rsidR="00B7214C" w:rsidRPr="00011A46" w:rsidRDefault="00B7214C" w:rsidP="00B7214C">
      <w:pPr>
        <w:pStyle w:val="a"/>
      </w:pPr>
      <w:r w:rsidRPr="00011A46">
        <w:rPr>
          <w:lang w:eastAsia="fr-FR" w:bidi="fr-FR"/>
        </w:rPr>
        <w:t>LA FILIÈRE DE L'ÉDUCATION</w:t>
      </w:r>
      <w:r w:rsidRPr="00011A46">
        <w:t> :</w:t>
      </w:r>
      <w:r w:rsidRPr="00011A46">
        <w:rPr>
          <w:lang w:eastAsia="fr-FR" w:bidi="fr-FR"/>
        </w:rPr>
        <w:t xml:space="preserve"> </w:t>
      </w:r>
      <w:r>
        <w:rPr>
          <w:lang w:eastAsia="fr-FR" w:bidi="fr-FR"/>
        </w:rPr>
        <w:br/>
      </w:r>
      <w:r w:rsidRPr="00011A46">
        <w:rPr>
          <w:lang w:eastAsia="fr-FR" w:bidi="fr-FR"/>
        </w:rPr>
        <w:t>JOLIETTE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De problématique radicalement différente bien que soumis à un proces</w:t>
      </w:r>
      <w:r>
        <w:rPr>
          <w:lang w:eastAsia="fr-FR" w:bidi="fr-FR"/>
        </w:rPr>
        <w:t>sus mémorial similaire (fonder/s'approprier/</w:t>
      </w:r>
      <w:r w:rsidRPr="00011A46">
        <w:rPr>
          <w:lang w:eastAsia="fr-FR" w:bidi="fr-FR"/>
        </w:rPr>
        <w:t>créer), le cas du Musée d'art de Joliette vaut d'être signalé. Le directeur actuel, Michel Perron, aime à dire qu'il dirige un musée de région et non un musée régional. La nuance est i</w:t>
      </w:r>
      <w:r w:rsidRPr="00011A46">
        <w:rPr>
          <w:lang w:eastAsia="fr-FR" w:bidi="fr-FR"/>
        </w:rPr>
        <w:t>n</w:t>
      </w:r>
      <w:r w:rsidRPr="00011A46">
        <w:rPr>
          <w:lang w:eastAsia="fr-FR" w:bidi="fr-FR"/>
        </w:rPr>
        <w:t>dicative d'objectifs non voilés</w:t>
      </w:r>
      <w:r w:rsidRPr="00011A46">
        <w:t> :</w:t>
      </w:r>
      <w:r w:rsidRPr="00011A46">
        <w:rPr>
          <w:lang w:eastAsia="fr-FR" w:bidi="fr-FR"/>
        </w:rPr>
        <w:t xml:space="preserve"> le musée opte pour la qualité des œuvres qu'elles soient de facture régionale ou internati</w:t>
      </w:r>
      <w:r w:rsidRPr="00011A46">
        <w:rPr>
          <w:lang w:eastAsia="fr-FR" w:bidi="fr-FR"/>
        </w:rPr>
        <w:t>o</w:t>
      </w:r>
      <w:r w:rsidRPr="00011A46">
        <w:rPr>
          <w:lang w:eastAsia="fr-FR" w:bidi="fr-FR"/>
        </w:rPr>
        <w:t>nale. En cela, il</w:t>
      </w:r>
      <w:r>
        <w:rPr>
          <w:lang w:eastAsia="fr-FR" w:bidi="fr-FR"/>
        </w:rPr>
        <w:t xml:space="preserve"> </w:t>
      </w:r>
      <w:r>
        <w:t>[</w:t>
      </w:r>
      <w:r w:rsidRPr="00011A46">
        <w:rPr>
          <w:lang w:eastAsia="fr-FR" w:bidi="fr-FR"/>
        </w:rPr>
        <w:t>479</w:t>
      </w:r>
      <w:r>
        <w:rPr>
          <w:lang w:eastAsia="fr-FR" w:bidi="fr-FR"/>
        </w:rPr>
        <w:t xml:space="preserve">] </w:t>
      </w:r>
      <w:r w:rsidRPr="00011A46">
        <w:rPr>
          <w:lang w:eastAsia="fr-FR" w:bidi="fr-FR"/>
        </w:rPr>
        <w:t>respecte la perspective de Wilfrid Corbeil, son fondateur qui me</w:t>
      </w:r>
      <w:r w:rsidRPr="00011A46">
        <w:rPr>
          <w:lang w:eastAsia="fr-FR" w:bidi="fr-FR"/>
        </w:rPr>
        <w:t>t</w:t>
      </w:r>
      <w:r w:rsidRPr="00011A46">
        <w:rPr>
          <w:lang w:eastAsia="fr-FR" w:bidi="fr-FR"/>
        </w:rPr>
        <w:t>tait le public en garde contre le danger d'un enfermement régional des institutions culturelles</w:t>
      </w:r>
      <w:r w:rsidRPr="00011A46">
        <w:t> :</w:t>
      </w:r>
      <w:r w:rsidRPr="00011A46">
        <w:rPr>
          <w:lang w:eastAsia="fr-FR" w:bidi="fr-FR"/>
        </w:rPr>
        <w:t xml:space="preserve"> </w:t>
      </w:r>
      <w:r w:rsidRPr="00011A46">
        <w:t>« </w:t>
      </w:r>
      <w:r w:rsidRPr="00011A46">
        <w:rPr>
          <w:lang w:eastAsia="fr-FR" w:bidi="fr-FR"/>
        </w:rPr>
        <w:t>...une org</w:t>
      </w:r>
      <w:r w:rsidRPr="00011A46">
        <w:rPr>
          <w:lang w:eastAsia="fr-FR" w:bidi="fr-FR"/>
        </w:rPr>
        <w:t>a</w:t>
      </w:r>
      <w:r w:rsidRPr="00011A46">
        <w:rPr>
          <w:lang w:eastAsia="fr-FR" w:bidi="fr-FR"/>
        </w:rPr>
        <w:t>nis</w:t>
      </w:r>
      <w:r w:rsidRPr="00011A46">
        <w:rPr>
          <w:lang w:eastAsia="fr-FR" w:bidi="fr-FR"/>
        </w:rPr>
        <w:t>a</w:t>
      </w:r>
      <w:r w:rsidRPr="00011A46">
        <w:rPr>
          <w:lang w:eastAsia="fr-FR" w:bidi="fr-FR"/>
        </w:rPr>
        <w:t>tion du genre (un théâtre), fermée ou presque, circonscrite aux seules ressources de ses artistes locaux, risquerait de tourner en rond dans le cercle étroit de son régi</w:t>
      </w:r>
      <w:r w:rsidRPr="00011A46">
        <w:rPr>
          <w:lang w:eastAsia="fr-FR" w:bidi="fr-FR"/>
        </w:rPr>
        <w:t>o</w:t>
      </w:r>
      <w:r w:rsidRPr="00011A46">
        <w:rPr>
          <w:lang w:eastAsia="fr-FR" w:bidi="fr-FR"/>
        </w:rPr>
        <w:t>nalisme.</w:t>
      </w:r>
      <w:r w:rsidRPr="00011A46">
        <w:t> »</w:t>
      </w:r>
      <w:r w:rsidRPr="00011A46">
        <w:rPr>
          <w:lang w:eastAsia="fr-FR" w:bidi="fr-FR"/>
        </w:rPr>
        <w:t xml:space="preserve"> C'est d'ailleurs la position générale des promoteurs artistiques de la région. Si la région de L</w:t>
      </w:r>
      <w:r w:rsidRPr="00011A46">
        <w:rPr>
          <w:lang w:eastAsia="fr-FR" w:bidi="fr-FR"/>
        </w:rPr>
        <w:t>a</w:t>
      </w:r>
      <w:r w:rsidRPr="00011A46">
        <w:rPr>
          <w:lang w:eastAsia="fr-FR" w:bidi="fr-FR"/>
        </w:rPr>
        <w:t>naudière voisine la métropole et fait figure de région rurale, elle est souvent l'hôte et même l'initiatrice d'oeuvres d'art d'envergure intern</w:t>
      </w:r>
      <w:r w:rsidRPr="00011A46">
        <w:rPr>
          <w:lang w:eastAsia="fr-FR" w:bidi="fr-FR"/>
        </w:rPr>
        <w:t>a</w:t>
      </w:r>
      <w:r w:rsidRPr="00011A46">
        <w:rPr>
          <w:lang w:eastAsia="fr-FR" w:bidi="fr-FR"/>
        </w:rPr>
        <w:t>tionale, tant du côté de la musique contemporaine que de l'art visuel.</w:t>
      </w:r>
    </w:p>
    <w:p w:rsidR="00B7214C" w:rsidRPr="00011A46" w:rsidRDefault="00B7214C" w:rsidP="00B7214C">
      <w:pPr>
        <w:spacing w:before="120" w:after="120"/>
        <w:jc w:val="both"/>
      </w:pPr>
      <w:r w:rsidRPr="00011A46">
        <w:rPr>
          <w:lang w:eastAsia="fr-FR" w:bidi="fr-FR"/>
        </w:rPr>
        <w:t>Comme dans les cas précédents Joliette présente les cara</w:t>
      </w:r>
      <w:r w:rsidRPr="00011A46">
        <w:rPr>
          <w:lang w:eastAsia="fr-FR" w:bidi="fr-FR"/>
        </w:rPr>
        <w:t>c</w:t>
      </w:r>
      <w:r w:rsidRPr="00011A46">
        <w:rPr>
          <w:lang w:eastAsia="fr-FR" w:bidi="fr-FR"/>
        </w:rPr>
        <w:t>tères d'un lieu dont les projets cristallisateurs proviennent d'une volonté ext</w:t>
      </w:r>
      <w:r w:rsidRPr="00011A46">
        <w:rPr>
          <w:lang w:eastAsia="fr-FR" w:bidi="fr-FR"/>
        </w:rPr>
        <w:t>é</w:t>
      </w:r>
      <w:r w:rsidRPr="00011A46">
        <w:rPr>
          <w:lang w:eastAsia="fr-FR" w:bidi="fr-FR"/>
        </w:rPr>
        <w:t>rieure. À la différence de ceux-ci, ils ont une visée didactique et font figure de précurseurs de la pr</w:t>
      </w:r>
      <w:r w:rsidRPr="00011A46">
        <w:rPr>
          <w:lang w:eastAsia="fr-FR" w:bidi="fr-FR"/>
        </w:rPr>
        <w:t>o</w:t>
      </w:r>
      <w:r w:rsidRPr="00011A46">
        <w:rPr>
          <w:lang w:eastAsia="fr-FR" w:bidi="fr-FR"/>
        </w:rPr>
        <w:t>blématique artistique régionale actuelle, avec comme ferment l'Université du Québec en région et les cégeps.</w:t>
      </w:r>
    </w:p>
    <w:p w:rsidR="00B7214C" w:rsidRPr="00011A46" w:rsidRDefault="00B7214C" w:rsidP="00B7214C">
      <w:pPr>
        <w:spacing w:before="120" w:after="120"/>
        <w:jc w:val="both"/>
      </w:pPr>
      <w:r w:rsidRPr="00011A46">
        <w:rPr>
          <w:lang w:eastAsia="fr-FR" w:bidi="fr-FR"/>
        </w:rPr>
        <w:t>Sous l'initiative du père Wilfrid Corbeil, de 1929 à 1951,1e sém</w:t>
      </w:r>
      <w:r w:rsidRPr="00011A46">
        <w:rPr>
          <w:lang w:eastAsia="fr-FR" w:bidi="fr-FR"/>
        </w:rPr>
        <w:t>i</w:t>
      </w:r>
      <w:r w:rsidRPr="00011A46">
        <w:rPr>
          <w:lang w:eastAsia="fr-FR" w:bidi="fr-FR"/>
        </w:rPr>
        <w:t>naire de Joliette constitue une collection. Le but et les objectifs de ce</w:t>
      </w:r>
      <w:r w:rsidRPr="00011A46">
        <w:rPr>
          <w:lang w:eastAsia="fr-FR" w:bidi="fr-FR"/>
        </w:rPr>
        <w:t>l</w:t>
      </w:r>
      <w:r w:rsidRPr="00011A46">
        <w:rPr>
          <w:lang w:eastAsia="fr-FR" w:bidi="fr-FR"/>
        </w:rPr>
        <w:t>le-ci sont clairs. Le père Corbeil souha</w:t>
      </w:r>
      <w:r w:rsidRPr="00011A46">
        <w:rPr>
          <w:lang w:eastAsia="fr-FR" w:bidi="fr-FR"/>
        </w:rPr>
        <w:t>i</w:t>
      </w:r>
      <w:r w:rsidRPr="00011A46">
        <w:rPr>
          <w:lang w:eastAsia="fr-FR" w:bidi="fr-FR"/>
        </w:rPr>
        <w:t xml:space="preserve">te, par le biais des œuvres d'art, </w:t>
      </w:r>
      <w:r w:rsidRPr="00011A46">
        <w:t>« </w:t>
      </w:r>
      <w:r w:rsidRPr="00011A46">
        <w:rPr>
          <w:lang w:eastAsia="fr-FR" w:bidi="fr-FR"/>
        </w:rPr>
        <w:t>donner aux séminaristes le sens de la tradition et de l'appart</w:t>
      </w:r>
      <w:r w:rsidRPr="00011A46">
        <w:rPr>
          <w:lang w:eastAsia="fr-FR" w:bidi="fr-FR"/>
        </w:rPr>
        <w:t>e</w:t>
      </w:r>
      <w:r>
        <w:rPr>
          <w:lang w:eastAsia="fr-FR" w:bidi="fr-FR"/>
        </w:rPr>
        <w:t>nance à la culture cana</w:t>
      </w:r>
      <w:r w:rsidRPr="00011A46">
        <w:rPr>
          <w:lang w:eastAsia="fr-FR" w:bidi="fr-FR"/>
        </w:rPr>
        <w:t>dienne-française, leur inculquer l'intérêt pour l'étude des grands maîtres et développer leur goût pour la beauté et la liberté qu'offre l'art</w:t>
      </w:r>
      <w:r w:rsidRPr="00011A46">
        <w:t> »</w:t>
      </w:r>
      <w:r w:rsidRPr="00011A46">
        <w:rPr>
          <w:lang w:eastAsia="fr-FR" w:bidi="fr-FR"/>
        </w:rPr>
        <w:t xml:space="preserve"> (Huard, 1990, p. 13). On engrange diverses œ</w:t>
      </w:r>
      <w:r w:rsidRPr="00011A46">
        <w:rPr>
          <w:lang w:eastAsia="fr-FR" w:bidi="fr-FR"/>
        </w:rPr>
        <w:t>u</w:t>
      </w:r>
      <w:r w:rsidRPr="00011A46">
        <w:rPr>
          <w:lang w:eastAsia="fr-FR" w:bidi="fr-FR"/>
        </w:rPr>
        <w:t>vres, qu'elles aient été réalisées à des fins de culte ou de pure conte</w:t>
      </w:r>
      <w:r w:rsidRPr="00011A46">
        <w:rPr>
          <w:lang w:eastAsia="fr-FR" w:bidi="fr-FR"/>
        </w:rPr>
        <w:t>m</w:t>
      </w:r>
      <w:r w:rsidRPr="00011A46">
        <w:rPr>
          <w:lang w:eastAsia="fr-FR" w:bidi="fr-FR"/>
        </w:rPr>
        <w:t>plation, qu'elles proviennent d'époques aussi reculées que le Moyen Âge ou qu'elles portent une fa</w:t>
      </w:r>
      <w:r w:rsidRPr="00011A46">
        <w:rPr>
          <w:lang w:eastAsia="fr-FR" w:bidi="fr-FR"/>
        </w:rPr>
        <w:t>c</w:t>
      </w:r>
      <w:r w:rsidRPr="00011A46">
        <w:rPr>
          <w:lang w:eastAsia="fr-FR" w:bidi="fr-FR"/>
        </w:rPr>
        <w:t>ture résolument contemporaine, jugée, à l'époque du père Corbeil, révolutionnaire. Petit à petit une voie se dessine, ce</w:t>
      </w:r>
      <w:r w:rsidRPr="00011A46">
        <w:rPr>
          <w:lang w:eastAsia="fr-FR" w:bidi="fr-FR"/>
        </w:rPr>
        <w:t>l</w:t>
      </w:r>
      <w:r w:rsidRPr="00011A46">
        <w:rPr>
          <w:lang w:eastAsia="fr-FR" w:bidi="fr-FR"/>
        </w:rPr>
        <w:t xml:space="preserve">le d'exposer </w:t>
      </w:r>
      <w:r w:rsidRPr="00011A46">
        <w:t>« </w:t>
      </w:r>
      <w:r w:rsidRPr="00011A46">
        <w:rPr>
          <w:lang w:eastAsia="fr-FR" w:bidi="fr-FR"/>
        </w:rPr>
        <w:t>les grands maîtres de la peinture moderne au Canada français</w:t>
      </w:r>
      <w:r w:rsidRPr="00011A46">
        <w:t> »</w:t>
      </w:r>
      <w:r w:rsidRPr="00011A46">
        <w:rPr>
          <w:lang w:eastAsia="fr-FR" w:bidi="fr-FR"/>
        </w:rPr>
        <w:t>. L'intention de l'aventure est toujours l'éducation par l'exemple artistique, mais l'option de défendre l'art vivant entraîne des risques croissants. Au fil des ans, on assiste à la séparation des sphères religieuse et artistique. En 1963, une corporation laïque est créée pour la collection. Bientôt, le lieu de réflexion et de discours en vue d'un ense</w:t>
      </w:r>
      <w:r w:rsidRPr="00011A46">
        <w:rPr>
          <w:lang w:eastAsia="fr-FR" w:bidi="fr-FR"/>
        </w:rPr>
        <w:t>i</w:t>
      </w:r>
      <w:r w:rsidRPr="00011A46">
        <w:rPr>
          <w:lang w:eastAsia="fr-FR" w:bidi="fr-FR"/>
        </w:rPr>
        <w:t>gnement privé se verra projeté sur la place publique. Le musée quitte les murs du séminaire en 1976 pour devenir le M</w:t>
      </w:r>
      <w:r w:rsidRPr="00011A46">
        <w:rPr>
          <w:lang w:eastAsia="fr-FR" w:bidi="fr-FR"/>
        </w:rPr>
        <w:t>u</w:t>
      </w:r>
      <w:r w:rsidRPr="00011A46">
        <w:rPr>
          <w:lang w:eastAsia="fr-FR" w:bidi="fr-FR"/>
        </w:rPr>
        <w:t>sée d'art de Joliette. À cette occasion, le père Corbeil proclame son att</w:t>
      </w:r>
      <w:r w:rsidRPr="00011A46">
        <w:rPr>
          <w:lang w:eastAsia="fr-FR" w:bidi="fr-FR"/>
        </w:rPr>
        <w:t>a</w:t>
      </w:r>
      <w:r w:rsidRPr="00011A46">
        <w:rPr>
          <w:lang w:eastAsia="fr-FR" w:bidi="fr-FR"/>
        </w:rPr>
        <w:t>chement à la ville de Joliette et à la région</w:t>
      </w:r>
      <w:r w:rsidRPr="00011A46">
        <w:t> :</w:t>
      </w:r>
      <w:r w:rsidRPr="00011A46">
        <w:rPr>
          <w:lang w:eastAsia="fr-FR" w:bidi="fr-FR"/>
        </w:rPr>
        <w:t xml:space="preserve"> il e</w:t>
      </w:r>
      <w:r w:rsidRPr="00011A46">
        <w:rPr>
          <w:lang w:eastAsia="fr-FR" w:bidi="fr-FR"/>
        </w:rPr>
        <w:t>m</w:t>
      </w:r>
      <w:r w:rsidRPr="00011A46">
        <w:rPr>
          <w:lang w:eastAsia="fr-FR" w:bidi="fr-FR"/>
        </w:rPr>
        <w:t xml:space="preserve">prunte à Isocrate d'Athènes, les premiers mots d'un de ses discours </w:t>
      </w:r>
      <w:r w:rsidRPr="00011A46">
        <w:t>« </w:t>
      </w:r>
      <w:r w:rsidRPr="00011A46">
        <w:rPr>
          <w:lang w:eastAsia="fr-FR" w:bidi="fr-FR"/>
        </w:rPr>
        <w:t>Joliette, la ville à nous autres</w:t>
      </w:r>
      <w:r w:rsidRPr="00011A46">
        <w:t> ! »</w:t>
      </w:r>
      <w:r w:rsidRPr="00011A46">
        <w:rPr>
          <w:lang w:eastAsia="fr-FR" w:bidi="fr-FR"/>
        </w:rPr>
        <w:t xml:space="preserve"> (1990, p. 161).</w:t>
      </w:r>
    </w:p>
    <w:p w:rsidR="00B7214C" w:rsidRPr="00011A46" w:rsidRDefault="00B7214C" w:rsidP="00B7214C">
      <w:pPr>
        <w:spacing w:before="120" w:after="120"/>
        <w:jc w:val="both"/>
      </w:pPr>
      <w:r w:rsidRPr="00011A46">
        <w:rPr>
          <w:lang w:eastAsia="fr-FR" w:bidi="fr-FR"/>
        </w:rPr>
        <w:t>Une seconde phase publique est entreprise en 1985 avec la réorg</w:t>
      </w:r>
      <w:r w:rsidRPr="00011A46">
        <w:rPr>
          <w:lang w:eastAsia="fr-FR" w:bidi="fr-FR"/>
        </w:rPr>
        <w:t>a</w:t>
      </w:r>
      <w:r w:rsidRPr="00011A46">
        <w:rPr>
          <w:lang w:eastAsia="fr-FR" w:bidi="fr-FR"/>
        </w:rPr>
        <w:t>nisation de la collection. Une plus grande attention est alors portée à l'idée de l'intelligibilité de la collection et de la communication avec le public. En 1992, un agrandissement majeur du Musée est entrepris. Celui-ci est inauguré l'année suivante. L'un des principaux objectifs du Musée actuel est de travailler en filiation avec ceux qui le précède. Pour Michel Perron, il est</w:t>
      </w:r>
      <w:r>
        <w:rPr>
          <w:lang w:eastAsia="fr-FR" w:bidi="fr-FR"/>
        </w:rPr>
        <w:t xml:space="preserve"> [480] </w:t>
      </w:r>
      <w:r w:rsidRPr="00011A46">
        <w:rPr>
          <w:lang w:eastAsia="fr-FR" w:bidi="fr-FR"/>
        </w:rPr>
        <w:t xml:space="preserve">essentiel de construire sur les acquis mais de renouveler le regard. Des expériences ont été réalisées en art actuel, nous pensons principalement à </w:t>
      </w:r>
      <w:r w:rsidRPr="00370FFD">
        <w:rPr>
          <w:i/>
          <w:iCs/>
        </w:rPr>
        <w:t>Caméra Obscura,</w:t>
      </w:r>
      <w:r w:rsidRPr="00011A46">
        <w:rPr>
          <w:lang w:eastAsia="fr-FR" w:bidi="fr-FR"/>
        </w:rPr>
        <w:t xml:space="preserve"> pour faire travailler des artistes sur la colle</w:t>
      </w:r>
      <w:r w:rsidRPr="00011A46">
        <w:rPr>
          <w:lang w:eastAsia="fr-FR" w:bidi="fr-FR"/>
        </w:rPr>
        <w:t>c</w:t>
      </w:r>
      <w:r w:rsidRPr="00011A46">
        <w:rPr>
          <w:lang w:eastAsia="fr-FR" w:bidi="fr-FR"/>
        </w:rPr>
        <w:t>tion. La collection a été proposée comme sujet de création à des arti</w:t>
      </w:r>
      <w:r w:rsidRPr="00011A46">
        <w:rPr>
          <w:lang w:eastAsia="fr-FR" w:bidi="fr-FR"/>
        </w:rPr>
        <w:t>s</w:t>
      </w:r>
      <w:r w:rsidRPr="00011A46">
        <w:rPr>
          <w:lang w:eastAsia="fr-FR" w:bidi="fr-FR"/>
        </w:rPr>
        <w:t>tes choisis. Le résultat a été tout à fait étonnant, autant pour le conse</w:t>
      </w:r>
      <w:r w:rsidRPr="00011A46">
        <w:rPr>
          <w:lang w:eastAsia="fr-FR" w:bidi="fr-FR"/>
        </w:rPr>
        <w:t>r</w:t>
      </w:r>
      <w:r w:rsidRPr="00011A46">
        <w:rPr>
          <w:lang w:eastAsia="fr-FR" w:bidi="fr-FR"/>
        </w:rPr>
        <w:t>vateur que les artistes et le public. D'autres voies ont aussi été explorées. Ainsi, on a travaillé sur la sim</w:t>
      </w:r>
      <w:r w:rsidRPr="00011A46">
        <w:rPr>
          <w:lang w:eastAsia="fr-FR" w:bidi="fr-FR"/>
        </w:rPr>
        <w:t>i</w:t>
      </w:r>
      <w:r w:rsidRPr="00011A46">
        <w:rPr>
          <w:lang w:eastAsia="fr-FR" w:bidi="fr-FR"/>
        </w:rPr>
        <w:t>larité et la différence en exposant des oeuvres contemporaines parall</w:t>
      </w:r>
      <w:r w:rsidRPr="00011A46">
        <w:rPr>
          <w:lang w:eastAsia="fr-FR" w:bidi="fr-FR"/>
        </w:rPr>
        <w:t>è</w:t>
      </w:r>
      <w:r w:rsidRPr="00011A46">
        <w:rPr>
          <w:lang w:eastAsia="fr-FR" w:bidi="fr-FR"/>
        </w:rPr>
        <w:t>lement à d'autres datant du Moyen Âge. On espère ainsi créer un ra</w:t>
      </w:r>
      <w:r w:rsidRPr="00011A46">
        <w:rPr>
          <w:lang w:eastAsia="fr-FR" w:bidi="fr-FR"/>
        </w:rPr>
        <w:t>p</w:t>
      </w:r>
      <w:r w:rsidRPr="00011A46">
        <w:rPr>
          <w:lang w:eastAsia="fr-FR" w:bidi="fr-FR"/>
        </w:rPr>
        <w:t>port organique entre la cré</w:t>
      </w:r>
      <w:r w:rsidRPr="00011A46">
        <w:rPr>
          <w:lang w:eastAsia="fr-FR" w:bidi="fr-FR"/>
        </w:rPr>
        <w:t>a</w:t>
      </w:r>
      <w:r w:rsidRPr="00011A46">
        <w:rPr>
          <w:lang w:eastAsia="fr-FR" w:bidi="fr-FR"/>
        </w:rPr>
        <w:t>tion contemporaine et la collection.</w:t>
      </w:r>
    </w:p>
    <w:p w:rsidR="00B7214C" w:rsidRDefault="00B7214C" w:rsidP="00B7214C">
      <w:pPr>
        <w:spacing w:before="120" w:after="120"/>
        <w:jc w:val="both"/>
        <w:rPr>
          <w:lang w:eastAsia="fr-FR" w:bidi="fr-FR"/>
        </w:rPr>
      </w:pPr>
      <w:r>
        <w:rPr>
          <w:lang w:eastAsia="fr-FR" w:bidi="fr-FR"/>
        </w:rPr>
        <w:br w:type="page"/>
      </w:r>
    </w:p>
    <w:p w:rsidR="00B7214C" w:rsidRPr="00011A46" w:rsidRDefault="00B7214C" w:rsidP="00B7214C">
      <w:pPr>
        <w:pStyle w:val="a"/>
      </w:pPr>
      <w:r w:rsidRPr="00011A46">
        <w:rPr>
          <w:lang w:eastAsia="fr-FR" w:bidi="fr-FR"/>
        </w:rPr>
        <w:t>LE SÉMINAIRE, LA CRÉATION D'UN LIEU</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pPr>
      <w:r w:rsidRPr="00011A46">
        <w:rPr>
          <w:lang w:eastAsia="fr-FR" w:bidi="fr-FR"/>
        </w:rPr>
        <w:t>Il n'est pas de doute que le Séminaire de Joliette participe à la cré</w:t>
      </w:r>
      <w:r w:rsidRPr="00011A46">
        <w:rPr>
          <w:lang w:eastAsia="fr-FR" w:bidi="fr-FR"/>
        </w:rPr>
        <w:t>a</w:t>
      </w:r>
      <w:r w:rsidRPr="00011A46">
        <w:rPr>
          <w:lang w:eastAsia="fr-FR" w:bidi="fr-FR"/>
        </w:rPr>
        <w:t>tion d'un lieu et d'une culture.</w:t>
      </w:r>
    </w:p>
    <w:p w:rsidR="00B7214C" w:rsidRPr="00011A46" w:rsidRDefault="00B7214C" w:rsidP="00B7214C">
      <w:pPr>
        <w:spacing w:before="120" w:after="120"/>
        <w:jc w:val="both"/>
      </w:pPr>
      <w:r w:rsidRPr="00011A46">
        <w:rPr>
          <w:lang w:eastAsia="fr-FR" w:bidi="fr-FR"/>
        </w:rPr>
        <w:t>Dans une allocution aux anciens élèves du Séminaire qui avait pour but de leur rappeler la formation reçue dans cette institution, le père Corbeil les entraîne d'abord dans un circuit affectif qui prend r</w:t>
      </w:r>
      <w:r w:rsidRPr="00011A46">
        <w:rPr>
          <w:lang w:eastAsia="fr-FR" w:bidi="fr-FR"/>
        </w:rPr>
        <w:t>a</w:t>
      </w:r>
      <w:r w:rsidRPr="00011A46">
        <w:rPr>
          <w:lang w:eastAsia="fr-FR" w:bidi="fr-FR"/>
        </w:rPr>
        <w:t>cine sur le site même de l'école. Il leur rappelle la beauté du lieu ph</w:t>
      </w:r>
      <w:r w:rsidRPr="00011A46">
        <w:rPr>
          <w:lang w:eastAsia="fr-FR" w:bidi="fr-FR"/>
        </w:rPr>
        <w:t>y</w:t>
      </w:r>
      <w:r w:rsidRPr="00011A46">
        <w:rPr>
          <w:lang w:eastAsia="fr-FR" w:bidi="fr-FR"/>
        </w:rPr>
        <w:t>sique, l'ordre et l'esthétique des jardins, ses allées, les endroits reclus, l'architecture imposante si manifeste de structure des intelligences à construire. Il a</w:t>
      </w:r>
      <w:r w:rsidRPr="00011A46">
        <w:rPr>
          <w:lang w:eastAsia="fr-FR" w:bidi="fr-FR"/>
        </w:rPr>
        <w:t>p</w:t>
      </w:r>
      <w:r w:rsidRPr="00011A46">
        <w:rPr>
          <w:lang w:eastAsia="fr-FR" w:bidi="fr-FR"/>
        </w:rPr>
        <w:t>puie la formation donnée aux esprits sur la métaphore du lieu. Il avait raison. Le Séminaire de Joliette, avec ses clercs, ses étudiants et ses visiteurs, a su créer les conditions de produ</w:t>
      </w:r>
      <w:r w:rsidRPr="00011A46">
        <w:rPr>
          <w:lang w:eastAsia="fr-FR" w:bidi="fr-FR"/>
        </w:rPr>
        <w:t>c</w:t>
      </w:r>
      <w:r w:rsidRPr="00011A46">
        <w:rPr>
          <w:lang w:eastAsia="fr-FR" w:bidi="fr-FR"/>
        </w:rPr>
        <w:t>tion d'une mémoire en alliant à l'environnement rural app</w:t>
      </w:r>
      <w:r w:rsidRPr="00011A46">
        <w:rPr>
          <w:lang w:eastAsia="fr-FR" w:bidi="fr-FR"/>
        </w:rPr>
        <w:t>a</w:t>
      </w:r>
      <w:r w:rsidRPr="00011A46">
        <w:rPr>
          <w:lang w:eastAsia="fr-FR" w:bidi="fr-FR"/>
        </w:rPr>
        <w:t xml:space="preserve">remment neutre, l'amour de la connaissance et de l'art pour créer une </w:t>
      </w:r>
      <w:r w:rsidRPr="00011A46">
        <w:t>« </w:t>
      </w:r>
      <w:r w:rsidRPr="00011A46">
        <w:rPr>
          <w:lang w:eastAsia="fr-FR" w:bidi="fr-FR"/>
        </w:rPr>
        <w:t>niche culture</w:t>
      </w:r>
      <w:r w:rsidRPr="00011A46">
        <w:rPr>
          <w:lang w:eastAsia="fr-FR" w:bidi="fr-FR"/>
        </w:rPr>
        <w:t>l</w:t>
      </w:r>
      <w:r w:rsidRPr="00011A46">
        <w:rPr>
          <w:lang w:eastAsia="fr-FR" w:bidi="fr-FR"/>
        </w:rPr>
        <w:t>le</w:t>
      </w:r>
      <w:r w:rsidRPr="00011A46">
        <w:t> »</w:t>
      </w:r>
      <w:r w:rsidRPr="00011A46">
        <w:rPr>
          <w:lang w:eastAsia="fr-FR" w:bidi="fr-FR"/>
        </w:rPr>
        <w:t xml:space="preserve"> qui, encore aujourd'hui, appelle le plus grand respect.</w:t>
      </w:r>
    </w:p>
    <w:p w:rsidR="00B7214C" w:rsidRPr="00011A46" w:rsidRDefault="00B7214C" w:rsidP="00B7214C">
      <w:pPr>
        <w:spacing w:before="120" w:after="120"/>
        <w:jc w:val="both"/>
      </w:pPr>
      <w:r w:rsidRPr="00011A46">
        <w:rPr>
          <w:lang w:eastAsia="fr-FR" w:bidi="fr-FR"/>
        </w:rPr>
        <w:t>Ce lieu, marqué par l'œuvre des clercs de Saint-Viateur, s'est o</w:t>
      </w:r>
      <w:r w:rsidRPr="00011A46">
        <w:rPr>
          <w:lang w:eastAsia="fr-FR" w:bidi="fr-FR"/>
        </w:rPr>
        <w:t>u</w:t>
      </w:r>
      <w:r w:rsidRPr="00011A46">
        <w:rPr>
          <w:lang w:eastAsia="fr-FR" w:bidi="fr-FR"/>
        </w:rPr>
        <w:t>vert à la population locale qui se l'est approprié. Elle a mis sur pied des festivals, des manifestations culturelles et artistiques de toutes so</w:t>
      </w:r>
      <w:r w:rsidRPr="00011A46">
        <w:rPr>
          <w:lang w:eastAsia="fr-FR" w:bidi="fr-FR"/>
        </w:rPr>
        <w:t>r</w:t>
      </w:r>
      <w:r w:rsidRPr="00011A46">
        <w:rPr>
          <w:lang w:eastAsia="fr-FR" w:bidi="fr-FR"/>
        </w:rPr>
        <w:t>tes, dont un important symposium de sculpture en 1966, des regro</w:t>
      </w:r>
      <w:r w:rsidRPr="00011A46">
        <w:rPr>
          <w:lang w:eastAsia="fr-FR" w:bidi="fr-FR"/>
        </w:rPr>
        <w:t>u</w:t>
      </w:r>
      <w:r w:rsidRPr="00011A46">
        <w:rPr>
          <w:lang w:eastAsia="fr-FR" w:bidi="fr-FR"/>
        </w:rPr>
        <w:t>pements d'artistes, la constru</w:t>
      </w:r>
      <w:r w:rsidRPr="00011A46">
        <w:rPr>
          <w:lang w:eastAsia="fr-FR" w:bidi="fr-FR"/>
        </w:rPr>
        <w:t>c</w:t>
      </w:r>
      <w:r w:rsidRPr="00011A46">
        <w:rPr>
          <w:lang w:eastAsia="fr-FR" w:bidi="fr-FR"/>
        </w:rPr>
        <w:t>tion du musée, etc. C'est mani</w:t>
      </w:r>
      <w:r>
        <w:rPr>
          <w:lang w:eastAsia="fr-FR" w:bidi="fr-FR"/>
        </w:rPr>
        <w:t>festement la seconde phase mémo</w:t>
      </w:r>
      <w:r w:rsidRPr="00011A46">
        <w:rPr>
          <w:lang w:eastAsia="fr-FR" w:bidi="fr-FR"/>
        </w:rPr>
        <w:t>riale.</w:t>
      </w:r>
    </w:p>
    <w:p w:rsidR="00B7214C" w:rsidRDefault="00B7214C" w:rsidP="00B7214C">
      <w:pPr>
        <w:spacing w:before="120" w:after="120"/>
        <w:jc w:val="both"/>
        <w:rPr>
          <w:lang w:eastAsia="fr-FR" w:bidi="fr-FR"/>
        </w:rPr>
      </w:pPr>
      <w:r w:rsidRPr="00011A46">
        <w:rPr>
          <w:lang w:eastAsia="fr-FR" w:bidi="fr-FR"/>
        </w:rPr>
        <w:t>Enfin, l'actualité de Joliette fait suffisamment état du d</w:t>
      </w:r>
      <w:r w:rsidRPr="00011A46">
        <w:rPr>
          <w:lang w:eastAsia="fr-FR" w:bidi="fr-FR"/>
        </w:rPr>
        <w:t>y</w:t>
      </w:r>
      <w:r w:rsidRPr="00011A46">
        <w:rPr>
          <w:lang w:eastAsia="fr-FR" w:bidi="fr-FR"/>
        </w:rPr>
        <w:t>namisme régional pour que nous n'ayons pas à insister sur la dernière phase.</w:t>
      </w:r>
    </w:p>
    <w:p w:rsidR="00B7214C" w:rsidRDefault="00B7214C" w:rsidP="00B7214C">
      <w:pPr>
        <w:spacing w:before="120" w:after="120"/>
        <w:jc w:val="both"/>
        <w:rPr>
          <w:lang w:eastAsia="fr-FR" w:bidi="fr-FR"/>
        </w:rPr>
      </w:pPr>
    </w:p>
    <w:p w:rsidR="00B7214C" w:rsidRDefault="00B7214C" w:rsidP="00B7214C">
      <w:pPr>
        <w:pStyle w:val="p"/>
        <w:rPr>
          <w:lang w:eastAsia="fr-FR" w:bidi="fr-FR"/>
        </w:rPr>
      </w:pPr>
      <w:r>
        <w:rPr>
          <w:lang w:eastAsia="fr-FR" w:bidi="fr-FR"/>
        </w:rPr>
        <w:t>[481]</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spacing w:before="120" w:after="120"/>
        <w:jc w:val="both"/>
        <w:rPr>
          <w:lang w:eastAsia="fr-FR" w:bidi="fr-FR"/>
        </w:rPr>
      </w:pPr>
    </w:p>
    <w:p w:rsidR="00B7214C" w:rsidRPr="00011A46" w:rsidRDefault="00B7214C" w:rsidP="00B7214C">
      <w:pPr>
        <w:pStyle w:val="a"/>
      </w:pPr>
      <w:r w:rsidRPr="00011A46">
        <w:rPr>
          <w:lang w:eastAsia="fr-FR" w:bidi="fr-FR"/>
        </w:rPr>
        <w:t>BIBLIOGRAPHIE</w:t>
      </w:r>
    </w:p>
    <w:p w:rsidR="00B7214C" w:rsidRDefault="00B7214C" w:rsidP="00B7214C">
      <w:pPr>
        <w:spacing w:before="120" w:after="120"/>
        <w:jc w:val="both"/>
        <w:rPr>
          <w:lang w:eastAsia="fr-FR" w:bidi="fr-FR"/>
        </w:rPr>
      </w:pPr>
    </w:p>
    <w:p w:rsidR="00B7214C" w:rsidRPr="00011A46" w:rsidRDefault="00B7214C" w:rsidP="00B7214C">
      <w:pPr>
        <w:spacing w:before="120" w:after="120"/>
        <w:jc w:val="both"/>
        <w:rPr>
          <w:lang w:eastAsia="fr-FR" w:bidi="fr-FR"/>
        </w:rPr>
      </w:pPr>
      <w:r w:rsidRPr="00011A46">
        <w:rPr>
          <w:lang w:eastAsia="fr-FR" w:bidi="fr-FR"/>
        </w:rPr>
        <w:t xml:space="preserve">Huard, M., </w:t>
      </w:r>
      <w:r w:rsidRPr="008827E6">
        <w:rPr>
          <w:i/>
          <w:iCs/>
        </w:rPr>
        <w:t>Polémiques, art et sacré,</w:t>
      </w:r>
      <w:r w:rsidRPr="00011A46">
        <w:rPr>
          <w:lang w:eastAsia="fr-FR" w:bidi="fr-FR"/>
        </w:rPr>
        <w:t xml:space="preserve"> Musée d'art de Jolie</w:t>
      </w:r>
      <w:r w:rsidRPr="00011A46">
        <w:rPr>
          <w:lang w:eastAsia="fr-FR" w:bidi="fr-FR"/>
        </w:rPr>
        <w:t>t</w:t>
      </w:r>
      <w:r w:rsidRPr="00011A46">
        <w:rPr>
          <w:lang w:eastAsia="fr-FR" w:bidi="fr-FR"/>
        </w:rPr>
        <w:t>te, 1990.</w:t>
      </w:r>
    </w:p>
    <w:p w:rsidR="00B7214C" w:rsidRPr="00011A46" w:rsidRDefault="00B7214C" w:rsidP="00B7214C">
      <w:pPr>
        <w:spacing w:before="120" w:after="120"/>
        <w:jc w:val="both"/>
        <w:rPr>
          <w:lang w:eastAsia="fr-FR" w:bidi="fr-FR"/>
        </w:rPr>
      </w:pPr>
      <w:r w:rsidRPr="00011A46">
        <w:rPr>
          <w:lang w:eastAsia="fr-FR" w:bidi="fr-FR"/>
        </w:rPr>
        <w:t>Gendreau, A., « L'analyse des formes : une approche di</w:t>
      </w:r>
      <w:r w:rsidRPr="00011A46">
        <w:rPr>
          <w:lang w:eastAsia="fr-FR" w:bidi="fr-FR"/>
        </w:rPr>
        <w:t>s</w:t>
      </w:r>
      <w:r w:rsidRPr="00011A46">
        <w:rPr>
          <w:lang w:eastAsia="fr-FR" w:bidi="fr-FR"/>
        </w:rPr>
        <w:t xml:space="preserve">cursive de la production esthétique », dans </w:t>
      </w:r>
      <w:r w:rsidRPr="008827E6">
        <w:rPr>
          <w:i/>
          <w:iCs/>
        </w:rPr>
        <w:t>Sociologie du Sud-Est, Revue de Sciences Sociales,</w:t>
      </w:r>
      <w:r w:rsidRPr="00011A46">
        <w:rPr>
          <w:lang w:eastAsia="fr-FR" w:bidi="fr-FR"/>
        </w:rPr>
        <w:t xml:space="preserve"> Aix-en-Provence, Fra</w:t>
      </w:r>
      <w:r w:rsidRPr="00011A46">
        <w:rPr>
          <w:lang w:eastAsia="fr-FR" w:bidi="fr-FR"/>
        </w:rPr>
        <w:t>n</w:t>
      </w:r>
      <w:r w:rsidRPr="00011A46">
        <w:rPr>
          <w:lang w:eastAsia="fr-FR" w:bidi="fr-FR"/>
        </w:rPr>
        <w:t>ce, 1990.</w:t>
      </w:r>
    </w:p>
    <w:p w:rsidR="00B7214C" w:rsidRPr="00011A46" w:rsidRDefault="00B7214C" w:rsidP="00B7214C">
      <w:pPr>
        <w:spacing w:before="120" w:after="120"/>
        <w:jc w:val="both"/>
        <w:rPr>
          <w:lang w:eastAsia="fr-FR" w:bidi="fr-FR"/>
        </w:rPr>
      </w:pPr>
      <w:r w:rsidRPr="008827E6">
        <w:rPr>
          <w:i/>
          <w:iCs/>
        </w:rPr>
        <w:t>Histoire de Bois,</w:t>
      </w:r>
      <w:r w:rsidRPr="00011A46">
        <w:rPr>
          <w:lang w:eastAsia="fr-FR" w:bidi="fr-FR"/>
        </w:rPr>
        <w:t xml:space="preserve"> Les studios d'été à Saint-Jean-Port-Joli, 1988.</w:t>
      </w:r>
    </w:p>
    <w:p w:rsidR="00B7214C" w:rsidRPr="00011A46" w:rsidRDefault="00B7214C" w:rsidP="00B7214C">
      <w:pPr>
        <w:spacing w:before="120" w:after="120"/>
        <w:jc w:val="both"/>
        <w:rPr>
          <w:lang w:eastAsia="fr-FR" w:bidi="fr-FR"/>
        </w:rPr>
      </w:pPr>
      <w:r w:rsidRPr="00011A46">
        <w:rPr>
          <w:lang w:eastAsia="fr-FR" w:bidi="fr-FR"/>
        </w:rPr>
        <w:t xml:space="preserve">Nora, P., </w:t>
      </w:r>
      <w:r w:rsidRPr="008827E6">
        <w:rPr>
          <w:i/>
          <w:iCs/>
        </w:rPr>
        <w:t>Les lieux de mémoire,</w:t>
      </w:r>
      <w:r w:rsidRPr="00011A46">
        <w:rPr>
          <w:lang w:eastAsia="fr-FR" w:bidi="fr-FR"/>
        </w:rPr>
        <w:t xml:space="preserve"> Paris, Gallimard, 1984.</w:t>
      </w:r>
    </w:p>
    <w:p w:rsidR="00B7214C" w:rsidRDefault="00B7214C" w:rsidP="00B7214C">
      <w:pPr>
        <w:spacing w:before="120" w:after="120"/>
        <w:jc w:val="both"/>
        <w:rPr>
          <w:lang w:eastAsia="fr-FR" w:bidi="fr-FR"/>
        </w:rPr>
      </w:pPr>
      <w:r w:rsidRPr="008827E6">
        <w:rPr>
          <w:i/>
          <w:iCs/>
        </w:rPr>
        <w:t>Photo sculpture,</w:t>
      </w:r>
      <w:r w:rsidRPr="00011A46">
        <w:rPr>
          <w:lang w:eastAsia="fr-FR" w:bidi="fr-FR"/>
        </w:rPr>
        <w:t xml:space="preserve"> Les studios d'été à Saint-Jean-Port-Joli, éd. Arte</w:t>
      </w:r>
      <w:r w:rsidRPr="00011A46">
        <w:rPr>
          <w:lang w:eastAsia="fr-FR" w:bidi="fr-FR"/>
        </w:rPr>
        <w:t>x</w:t>
      </w:r>
      <w:r w:rsidRPr="00011A46">
        <w:rPr>
          <w:lang w:eastAsia="fr-FR" w:bidi="fr-FR"/>
        </w:rPr>
        <w:t>tes, 1991.</w:t>
      </w:r>
    </w:p>
    <w:p w:rsidR="00B7214C" w:rsidRDefault="00B7214C" w:rsidP="00B7214C">
      <w:pPr>
        <w:spacing w:before="120" w:after="120"/>
        <w:jc w:val="both"/>
      </w:pPr>
    </w:p>
    <w:p w:rsidR="00B7214C" w:rsidRPr="00011A46" w:rsidRDefault="00B7214C" w:rsidP="00B7214C">
      <w:pPr>
        <w:pStyle w:val="p"/>
      </w:pPr>
      <w:r>
        <w:t>[482]</w:t>
      </w:r>
    </w:p>
    <w:p w:rsidR="00B7214C" w:rsidRPr="00E64A4B" w:rsidRDefault="00B7214C" w:rsidP="00B7214C">
      <w:pPr>
        <w:pStyle w:val="p"/>
      </w:pPr>
      <w:r>
        <w:br w:type="page"/>
        <w:t>[483]</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7" w:name="Entre_tradition_pt_3_texte_33"/>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A. LES ÉVÉNEMENTS CULTURELS EN RÉGION</w:t>
      </w:r>
    </w:p>
    <w:p w:rsidR="00B7214C" w:rsidRPr="00384B20" w:rsidRDefault="00B7214C" w:rsidP="00B7214C">
      <w:pPr>
        <w:pStyle w:val="Titreniveau1"/>
      </w:pPr>
      <w:r>
        <w:t>33</w:t>
      </w:r>
    </w:p>
    <w:p w:rsidR="00B7214C" w:rsidRDefault="00B7214C" w:rsidP="00B7214C">
      <w:pPr>
        <w:pStyle w:val="Titreniveau2"/>
      </w:pPr>
      <w:r>
        <w:t>“Donner un festival.”</w:t>
      </w:r>
    </w:p>
    <w:bookmarkEnd w:id="47"/>
    <w:p w:rsidR="00B7214C" w:rsidRPr="00E07116" w:rsidRDefault="00B7214C" w:rsidP="00B7214C">
      <w:pPr>
        <w:jc w:val="both"/>
        <w:rPr>
          <w:szCs w:val="36"/>
        </w:rPr>
      </w:pPr>
    </w:p>
    <w:p w:rsidR="00B7214C" w:rsidRPr="00E07116" w:rsidRDefault="00B7214C" w:rsidP="00B7214C">
      <w:pPr>
        <w:pStyle w:val="suite"/>
      </w:pPr>
      <w:r>
        <w:t>Par Eric SCHWIMMER</w:t>
      </w:r>
    </w:p>
    <w:p w:rsidR="00B7214C" w:rsidRDefault="00B7214C" w:rsidP="00B7214C">
      <w:pPr>
        <w:pStyle w:val="auteurst"/>
      </w:pPr>
      <w:r w:rsidRPr="004A7EF1">
        <w:t>Anthropologue, Montréal</w:t>
      </w:r>
    </w:p>
    <w:p w:rsidR="00B7214C" w:rsidRPr="00E07116" w:rsidRDefault="00B7214C" w:rsidP="00B7214C">
      <w:pPr>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rsidRPr="000D1A32">
        <w:rPr>
          <w:iCs/>
        </w:rPr>
        <w:t>Le</w:t>
      </w:r>
      <w:r w:rsidRPr="005869B6">
        <w:t xml:space="preserve"> livre récent de Jacques Godbout (1992) m'a stimulé à faire quelques remarques générales sur la théorie du don</w:t>
      </w:r>
      <w:r>
        <w:t> </w:t>
      </w:r>
      <w:r>
        <w:rPr>
          <w:rStyle w:val="Appelnotedebasdep"/>
        </w:rPr>
        <w:footnoteReference w:id="350"/>
      </w:r>
      <w:r w:rsidRPr="005869B6">
        <w:t>. Je les illustr</w:t>
      </w:r>
      <w:r w:rsidRPr="005869B6">
        <w:t>e</w:t>
      </w:r>
      <w:r w:rsidRPr="005869B6">
        <w:t>rai par un cas particulier, celui des festivals de la Mauricie, pour e</w:t>
      </w:r>
      <w:r w:rsidRPr="005869B6">
        <w:t>x</w:t>
      </w:r>
      <w:r w:rsidRPr="005869B6">
        <w:t>pliquer pourquoi je regarde ces festivals comme un don et pourquoi je ne me fais pas du don la même idée que Godbout.</w:t>
      </w:r>
    </w:p>
    <w:p w:rsidR="00B7214C" w:rsidRPr="00451C3D" w:rsidRDefault="00B7214C" w:rsidP="00B7214C">
      <w:pPr>
        <w:spacing w:before="120" w:after="120"/>
        <w:jc w:val="both"/>
      </w:pPr>
      <w:r w:rsidRPr="005869B6">
        <w:t>Quelles que soient d'ailleurs mes réticences envers la thé</w:t>
      </w:r>
      <w:r w:rsidRPr="005869B6">
        <w:t>o</w:t>
      </w:r>
      <w:r w:rsidRPr="005869B6">
        <w:t>rie de Godbout, je suis heureux d'en accepter les conclusions principales, qui modifient sensiblement le modèle du don pr</w:t>
      </w:r>
      <w:r w:rsidRPr="005869B6">
        <w:t>o</w:t>
      </w:r>
      <w:r w:rsidRPr="005869B6">
        <w:t xml:space="preserve">posé par Marcel Mauss (1950). Car le chercheur québécois supprime les trois obligations </w:t>
      </w:r>
      <w:r w:rsidRPr="00451C3D">
        <w:t>maussiennes (donner, accepter, donner en retour) par le postulat d'un « mouvement spont</w:t>
      </w:r>
      <w:r w:rsidRPr="00451C3D">
        <w:t>a</w:t>
      </w:r>
      <w:r w:rsidRPr="00451C3D">
        <w:t>né », propre au genre humain tout entier. On pourrait dire qu'il a introduit un personnage nouveau, un robot unive</w:t>
      </w:r>
      <w:r w:rsidRPr="00451C3D">
        <w:t>r</w:t>
      </w:r>
      <w:r w:rsidRPr="00451C3D">
        <w:t xml:space="preserve">sel, dans la panoplie des sciences sociales. J'aimerais le baptiser </w:t>
      </w:r>
      <w:r w:rsidRPr="00451C3D">
        <w:rPr>
          <w:i/>
          <w:iCs/>
        </w:rPr>
        <w:t>homo donator.</w:t>
      </w:r>
      <w:r w:rsidRPr="00451C3D">
        <w:t xml:space="preserve"> La qualité surprenante de ce robot, c'est sa propension de do</w:t>
      </w:r>
      <w:r w:rsidRPr="00451C3D">
        <w:t>n</w:t>
      </w:r>
      <w:r w:rsidRPr="00451C3D">
        <w:t>ner librement, spontanément, de se faire des associés en donnant, de se doter d'un univers social par ses prestations, de donner des ch</w:t>
      </w:r>
      <w:r w:rsidRPr="00451C3D">
        <w:t>o</w:t>
      </w:r>
      <w:r w:rsidRPr="00451C3D">
        <w:t>ses, des signes, du travail, de la créativité gr</w:t>
      </w:r>
      <w:r w:rsidRPr="00451C3D">
        <w:t>a</w:t>
      </w:r>
      <w:r w:rsidRPr="00451C3D">
        <w:t>tuitement à autrui. Comme chez Mauss, le don est donc bien la socialité même, mais les dons de l’</w:t>
      </w:r>
      <w:r w:rsidRPr="00451C3D">
        <w:rPr>
          <w:i/>
          <w:iCs/>
        </w:rPr>
        <w:t>homo donator</w:t>
      </w:r>
      <w:r w:rsidRPr="00451C3D">
        <w:t xml:space="preserve"> sont en pri</w:t>
      </w:r>
      <w:r w:rsidRPr="00451C3D">
        <w:t>n</w:t>
      </w:r>
      <w:r w:rsidRPr="00451C3D">
        <w:t>cipe gratuits (Godbout, 1992, p</w:t>
      </w:r>
      <w:r>
        <w:t>p</w:t>
      </w:r>
      <w:r w:rsidRPr="00451C3D">
        <w:t>. 259-271).</w:t>
      </w:r>
    </w:p>
    <w:p w:rsidR="00B7214C" w:rsidRPr="0036007E" w:rsidRDefault="00B7214C" w:rsidP="00B7214C">
      <w:pPr>
        <w:spacing w:before="120" w:after="120"/>
        <w:jc w:val="both"/>
      </w:pPr>
      <w:r w:rsidRPr="005869B6">
        <w:t>Étant donné qu'il s'agit d'un modèle universel de l'homme, on doit bien y inclure les marchands et même les « personnes morales ». Dans toutes les sociétés, les dons se font au-delà ainsi qu'en-deçà des limites de la</w:t>
      </w:r>
      <w:r>
        <w:t xml:space="preserve"> [</w:t>
      </w:r>
      <w:r w:rsidRPr="005869B6">
        <w:t>484</w:t>
      </w:r>
      <w:r>
        <w:t xml:space="preserve">] </w:t>
      </w:r>
      <w:r w:rsidRPr="005869B6">
        <w:t>communauté. Les dons les plus importants sont destinés partout aux étrangers. Quant aux aspects économiques, juridiques et idéolog</w:t>
      </w:r>
      <w:r w:rsidRPr="005869B6">
        <w:t>i</w:t>
      </w:r>
      <w:r w:rsidRPr="0036007E">
        <w:t>ques, ma lecture du don diffère par quelques nuances de celle de Go</w:t>
      </w:r>
      <w:r w:rsidRPr="0036007E">
        <w:t>d</w:t>
      </w:r>
      <w:r w:rsidRPr="0036007E">
        <w:t>bout. Car, entre les modèles de l’</w:t>
      </w:r>
      <w:r w:rsidRPr="0036007E">
        <w:rPr>
          <w:i/>
          <w:iCs/>
        </w:rPr>
        <w:t>homo donator</w:t>
      </w:r>
      <w:r w:rsidRPr="0036007E">
        <w:t xml:space="preserve"> et de l’</w:t>
      </w:r>
      <w:r w:rsidRPr="0036007E">
        <w:rPr>
          <w:i/>
          <w:iCs/>
        </w:rPr>
        <w:t>homo econom</w:t>
      </w:r>
      <w:r w:rsidRPr="0036007E">
        <w:rPr>
          <w:i/>
          <w:iCs/>
        </w:rPr>
        <w:t>i</w:t>
      </w:r>
      <w:r w:rsidRPr="0036007E">
        <w:rPr>
          <w:i/>
          <w:iCs/>
        </w:rPr>
        <w:t>cus,</w:t>
      </w:r>
      <w:r w:rsidRPr="0036007E">
        <w:t xml:space="preserve"> je ne vois pas de conflit particulier. Partout où je les ai rega</w:t>
      </w:r>
      <w:r w:rsidRPr="0036007E">
        <w:t>r</w:t>
      </w:r>
      <w:r w:rsidRPr="0036007E">
        <w:t>dés, ils semblent cohabiter paisiblement dans la même personne. Quant à la question i</w:t>
      </w:r>
      <w:r w:rsidRPr="0036007E">
        <w:t>m</w:t>
      </w:r>
      <w:r w:rsidRPr="0036007E">
        <w:t>portante mais controversée du « retour du don », je la situe sur un plan plus particulier car, peu importe s'il y a retour ou non, le don suffit en lui-même à établir les relations sociales. Le retour du don les transforme, certes, les fixe et les stabilise, leur confère une qualité contractuelle. Avant de développer ces propos</w:t>
      </w:r>
      <w:r w:rsidRPr="0036007E">
        <w:t>i</w:t>
      </w:r>
      <w:r w:rsidRPr="0036007E">
        <w:t>tions, je décrirai comment fonctionne le don aujou</w:t>
      </w:r>
      <w:r w:rsidRPr="0036007E">
        <w:t>r</w:t>
      </w:r>
      <w:r w:rsidRPr="0036007E">
        <w:t>d'hui dans les fêtes communautaires du Québec.</w:t>
      </w:r>
    </w:p>
    <w:p w:rsidR="00B7214C" w:rsidRPr="0036007E" w:rsidRDefault="00B7214C" w:rsidP="00B7214C">
      <w:pPr>
        <w:spacing w:before="120" w:after="120"/>
        <w:jc w:val="both"/>
      </w:pPr>
    </w:p>
    <w:p w:rsidR="00B7214C" w:rsidRPr="0036007E" w:rsidRDefault="00B7214C" w:rsidP="00B7214C">
      <w:pPr>
        <w:pStyle w:val="a"/>
      </w:pPr>
      <w:r w:rsidRPr="0036007E">
        <w:t>LE CAS DES FESTIVALS DE LA MAURICIE</w:t>
      </w:r>
    </w:p>
    <w:p w:rsidR="00B7214C" w:rsidRPr="0036007E" w:rsidRDefault="00B7214C" w:rsidP="00B7214C">
      <w:pPr>
        <w:spacing w:before="120" w:after="120"/>
        <w:jc w:val="both"/>
      </w:pPr>
    </w:p>
    <w:p w:rsidR="00B7214C" w:rsidRPr="005869B6" w:rsidRDefault="00B7214C" w:rsidP="00B7214C">
      <w:pPr>
        <w:spacing w:before="120" w:after="120"/>
        <w:jc w:val="both"/>
      </w:pPr>
      <w:r w:rsidRPr="0036007E">
        <w:t>Afin de démontrer la pertinence du modèle de l’</w:t>
      </w:r>
      <w:r w:rsidRPr="0036007E">
        <w:rPr>
          <w:i/>
          <w:iCs/>
        </w:rPr>
        <w:t>homo donator</w:t>
      </w:r>
      <w:r w:rsidRPr="0036007E">
        <w:t xml:space="preserve"> dans une société contemporaine, à l'instar de Mauss, il convient de regarder les festivals. Rien ne ressemble de plus près, en Mauricie, à un « phénomène social total ». Aucun événement de la région ne cheva</w:t>
      </w:r>
      <w:r w:rsidRPr="0036007E">
        <w:t>u</w:t>
      </w:r>
      <w:r w:rsidRPr="005869B6">
        <w:t>che en effet, comme les festivals, la vie sociale, économique, pol</w:t>
      </w:r>
      <w:r w:rsidRPr="005869B6">
        <w:t>i</w:t>
      </w:r>
      <w:r w:rsidRPr="005869B6">
        <w:t>tique et religieuse ainsi que les arts populaires. On ne trouve qu'une seule objection à soulever : ces festiva</w:t>
      </w:r>
      <w:r>
        <w:t>l</w:t>
      </w:r>
      <w:r w:rsidRPr="005869B6">
        <w:t>s sont-ils autre chose qu'une prom</w:t>
      </w:r>
      <w:r w:rsidRPr="005869B6">
        <w:t>o</w:t>
      </w:r>
      <w:r w:rsidRPr="005869B6">
        <w:t>tion des marchands locaux ?</w:t>
      </w:r>
    </w:p>
    <w:p w:rsidR="00B7214C" w:rsidRPr="005869B6" w:rsidRDefault="00B7214C" w:rsidP="00B7214C">
      <w:pPr>
        <w:spacing w:before="120" w:after="120"/>
        <w:jc w:val="both"/>
      </w:pPr>
      <w:r w:rsidRPr="005869B6">
        <w:t>À ce sujet, remarquons d'abord que l'on continue rarement une telle promotion pendant 25 ans si l'on n'en a retiré aucun bénéfice écon</w:t>
      </w:r>
      <w:r w:rsidRPr="005869B6">
        <w:t>o</w:t>
      </w:r>
      <w:r w:rsidRPr="005869B6">
        <w:t>mique, ce qui est le cas pour les marchands. L'hypothèse de la prom</w:t>
      </w:r>
      <w:r w:rsidRPr="005869B6">
        <w:t>o</w:t>
      </w:r>
      <w:r w:rsidRPr="005869B6">
        <w:t>tion ne saurait donc expliquer pou</w:t>
      </w:r>
      <w:r w:rsidRPr="005869B6">
        <w:t>r</w:t>
      </w:r>
      <w:r w:rsidRPr="005869B6">
        <w:t>quoi ces festivals ont persisté. Afin d'arriver à une explication plus satisfaisante, résumons donc brièv</w:t>
      </w:r>
      <w:r w:rsidRPr="005869B6">
        <w:t>e</w:t>
      </w:r>
      <w:r w:rsidRPr="005869B6">
        <w:t>ment certains résultats de notre enquête comparative</w:t>
      </w:r>
      <w:r>
        <w:t> </w:t>
      </w:r>
      <w:r>
        <w:rPr>
          <w:rStyle w:val="Appelnotedebasdep"/>
        </w:rPr>
        <w:footnoteReference w:id="351"/>
      </w:r>
      <w:r w:rsidRPr="005869B6">
        <w:t xml:space="preserve"> sur les fêtes en Mauricie, su</w:t>
      </w:r>
      <w:r w:rsidRPr="005869B6">
        <w:t>b</w:t>
      </w:r>
      <w:r w:rsidRPr="005869B6">
        <w:t>ventionnée par le FCAR pour les années 1987-1988. Ses p</w:t>
      </w:r>
      <w:r w:rsidRPr="005869B6">
        <w:t>a</w:t>
      </w:r>
      <w:r w:rsidRPr="005869B6">
        <w:t>ramètres furent les suivants :</w:t>
      </w:r>
    </w:p>
    <w:p w:rsidR="00B7214C" w:rsidRDefault="00B7214C" w:rsidP="00B7214C">
      <w:pPr>
        <w:spacing w:before="120" w:after="120"/>
        <w:jc w:val="both"/>
      </w:pPr>
    </w:p>
    <w:p w:rsidR="00B7214C" w:rsidRPr="005869B6" w:rsidRDefault="00B7214C" w:rsidP="00B7214C">
      <w:pPr>
        <w:spacing w:before="120" w:after="120"/>
        <w:ind w:left="720" w:hanging="360"/>
        <w:jc w:val="both"/>
      </w:pPr>
      <w:r>
        <w:t>-</w:t>
      </w:r>
      <w:r>
        <w:tab/>
      </w:r>
      <w:r w:rsidRPr="005869B6">
        <w:t>volet socio-économique : analyse des bilans financiers, subve</w:t>
      </w:r>
      <w:r w:rsidRPr="005869B6">
        <w:t>n</w:t>
      </w:r>
      <w:r w:rsidRPr="005869B6">
        <w:t>tions, dons, prestations bénévoles, infrastructures, gestion des programmes ; computation des rendements financiers et des a</w:t>
      </w:r>
      <w:r w:rsidRPr="005869B6">
        <w:t>u</w:t>
      </w:r>
      <w:r w:rsidRPr="005869B6">
        <w:t>tres bén</w:t>
      </w:r>
      <w:r w:rsidRPr="005869B6">
        <w:t>é</w:t>
      </w:r>
      <w:r w:rsidRPr="005869B6">
        <w:t>fices à court et à long terme, intérieurs ou extérieurs ;</w:t>
      </w:r>
    </w:p>
    <w:p w:rsidR="00B7214C" w:rsidRPr="005869B6" w:rsidRDefault="00B7214C" w:rsidP="00B7214C">
      <w:pPr>
        <w:spacing w:before="120" w:after="120"/>
        <w:ind w:left="720" w:hanging="360"/>
        <w:jc w:val="both"/>
      </w:pPr>
      <w:r>
        <w:t>-</w:t>
      </w:r>
      <w:r>
        <w:tab/>
      </w:r>
      <w:r w:rsidRPr="005869B6">
        <w:t>reproduction de la société locale et de ses grandes familles ;</w:t>
      </w:r>
    </w:p>
    <w:p w:rsidR="00B7214C" w:rsidRPr="005869B6" w:rsidRDefault="00B7214C" w:rsidP="00B7214C">
      <w:pPr>
        <w:spacing w:before="120" w:after="120"/>
        <w:ind w:left="720" w:hanging="360"/>
        <w:jc w:val="both"/>
      </w:pPr>
      <w:r>
        <w:t>-</w:t>
      </w:r>
      <w:r>
        <w:tab/>
      </w:r>
      <w:r w:rsidRPr="005869B6">
        <w:t>résidence des festivaliers (c'est-à-dire des organisateurs, des participants - gens de la place, visiteurs de la région, visiteurs élo</w:t>
      </w:r>
      <w:r w:rsidRPr="005869B6">
        <w:t>i</w:t>
      </w:r>
      <w:r w:rsidRPr="005869B6">
        <w:t>gnés),</w:t>
      </w:r>
    </w:p>
    <w:p w:rsidR="00B7214C" w:rsidRDefault="00B7214C" w:rsidP="00B7214C">
      <w:pPr>
        <w:spacing w:before="120" w:after="120"/>
        <w:ind w:left="720" w:hanging="360"/>
        <w:jc w:val="both"/>
      </w:pPr>
      <w:r>
        <w:t>-</w:t>
      </w:r>
      <w:r>
        <w:tab/>
      </w:r>
      <w:r w:rsidRPr="005869B6">
        <w:t>l'espace festif : aménagement des lieux, décors, acoustique, éclairage, odeurs, transformations du quotidien, parcours rituel, ci</w:t>
      </w:r>
      <w:r w:rsidRPr="005869B6">
        <w:t>r</w:t>
      </w:r>
      <w:r w:rsidRPr="005869B6">
        <w:t>cuits préférés,</w:t>
      </w:r>
    </w:p>
    <w:p w:rsidR="00B7214C" w:rsidRPr="005869B6" w:rsidRDefault="00B7214C" w:rsidP="00B7214C">
      <w:pPr>
        <w:pStyle w:val="p"/>
      </w:pPr>
      <w:r>
        <w:t>[485]</w:t>
      </w:r>
    </w:p>
    <w:p w:rsidR="00B7214C" w:rsidRPr="005869B6" w:rsidRDefault="00B7214C" w:rsidP="00B7214C">
      <w:pPr>
        <w:spacing w:before="120" w:after="120"/>
        <w:ind w:left="720" w:hanging="360"/>
        <w:jc w:val="both"/>
      </w:pPr>
      <w:r>
        <w:t>-</w:t>
      </w:r>
      <w:r>
        <w:tab/>
      </w:r>
      <w:r w:rsidRPr="005869B6">
        <w:t>séquences événementielles : temps, événements, lieux, représent</w:t>
      </w:r>
      <w:r w:rsidRPr="005869B6">
        <w:t>a</w:t>
      </w:r>
      <w:r w:rsidRPr="005869B6">
        <w:t>tions, écarts entre le festif et le quotidien, inversions, etc. ;</w:t>
      </w:r>
    </w:p>
    <w:p w:rsidR="00B7214C" w:rsidRPr="005869B6" w:rsidRDefault="00B7214C" w:rsidP="00B7214C">
      <w:pPr>
        <w:spacing w:before="120" w:after="120"/>
        <w:ind w:left="720" w:hanging="360"/>
        <w:jc w:val="both"/>
      </w:pPr>
      <w:r>
        <w:t>-</w:t>
      </w:r>
      <w:r>
        <w:tab/>
      </w:r>
      <w:r w:rsidRPr="005869B6">
        <w:t>perspectives idéologiques.</w:t>
      </w:r>
    </w:p>
    <w:p w:rsidR="00B7214C" w:rsidRDefault="00B7214C" w:rsidP="00B7214C">
      <w:pPr>
        <w:spacing w:before="120" w:after="120"/>
        <w:jc w:val="both"/>
      </w:pPr>
      <w:r>
        <w:br w:type="page"/>
      </w:r>
    </w:p>
    <w:p w:rsidR="00B7214C" w:rsidRPr="008E27E5" w:rsidRDefault="00B7214C" w:rsidP="00B7214C">
      <w:pPr>
        <w:pStyle w:val="b"/>
      </w:pPr>
      <w:r w:rsidRPr="008E27E5">
        <w:t>Volet socio-économique</w:t>
      </w:r>
    </w:p>
    <w:p w:rsidR="00B7214C" w:rsidRDefault="00B7214C" w:rsidP="00B7214C">
      <w:pPr>
        <w:spacing w:before="120" w:after="120"/>
        <w:jc w:val="both"/>
      </w:pPr>
    </w:p>
    <w:p w:rsidR="00B7214C" w:rsidRPr="005869B6" w:rsidRDefault="00B7214C" w:rsidP="00B7214C">
      <w:pPr>
        <w:spacing w:before="120" w:after="120"/>
        <w:jc w:val="both"/>
      </w:pPr>
      <w:r w:rsidRPr="005869B6">
        <w:t>La plus grande partie des intrants financiers des festivals provie</w:t>
      </w:r>
      <w:r w:rsidRPr="005869B6">
        <w:t>n</w:t>
      </w:r>
      <w:r w:rsidRPr="005869B6">
        <w:t>nent de divers programmes des différents paliers de gouvernement. Les commanditaires fournissent des contributions importantes, so</w:t>
      </w:r>
      <w:r w:rsidRPr="005869B6">
        <w:t>u</w:t>
      </w:r>
      <w:r w:rsidRPr="005869B6">
        <w:t>vent en nature, comme la bière et les cigarettes vendues lors des fest</w:t>
      </w:r>
      <w:r w:rsidRPr="005869B6">
        <w:t>i</w:t>
      </w:r>
      <w:r w:rsidRPr="005869B6">
        <w:t>vals. L'apport des commanditaires locaux n'est pas négligeable. L'a</w:t>
      </w:r>
      <w:r w:rsidRPr="005869B6">
        <w:t>p</w:t>
      </w:r>
      <w:r w:rsidRPr="005869B6">
        <w:t>port en travail bénévole est considérable mais varie d'une communa</w:t>
      </w:r>
      <w:r w:rsidRPr="005869B6">
        <w:t>u</w:t>
      </w:r>
      <w:r w:rsidRPr="005869B6">
        <w:t>té à l'autre, et év</w:t>
      </w:r>
      <w:r w:rsidRPr="005869B6">
        <w:t>o</w:t>
      </w:r>
      <w:r w:rsidRPr="005869B6">
        <w:t>lue à la baisse. Traditionnellement, il y a des dons de retour immédiat pour les bénévoles - des caisses de bière. Aujou</w:t>
      </w:r>
      <w:r w:rsidRPr="005869B6">
        <w:t>r</w:t>
      </w:r>
      <w:r w:rsidRPr="005869B6">
        <w:t>d'hui, les grands festivals comme ceux de Saint-Tite et de Saint-Ubalde paient en argent ceux qui assurent les services à l'estrade lors d'autres événements majeurs. Les administrateurs et leur entourage restent b</w:t>
      </w:r>
      <w:r w:rsidRPr="005869B6">
        <w:t>é</w:t>
      </w:r>
      <w:r w:rsidRPr="005869B6">
        <w:t>névoles, prêts à réagir à toutes les urgences imprévues. On dit que la main-d'œuvre rémunérée est souvent celle de « B.S. », c'est-à-dire d'assistés sociaux. Seuls les services à la journée dé la femme, à la journée de l'âge d'or et au village des enfants sont pleinement bénév</w:t>
      </w:r>
      <w:r w:rsidRPr="005869B6">
        <w:t>o</w:t>
      </w:r>
      <w:r w:rsidRPr="005869B6">
        <w:t>les à Saint-Tite</w:t>
      </w:r>
      <w:r>
        <w:t> </w:t>
      </w:r>
      <w:r>
        <w:rPr>
          <w:rStyle w:val="Appelnotedebasdep"/>
        </w:rPr>
        <w:footnoteReference w:id="352"/>
      </w:r>
      <w:r w:rsidRPr="005869B6">
        <w:t>. À d'autres festivals, comme à Lac-aux-Sables, on utilise des bénévoles qui ne sont jamais des « B.S. ».</w:t>
      </w:r>
    </w:p>
    <w:p w:rsidR="00B7214C" w:rsidRPr="005869B6" w:rsidRDefault="00B7214C" w:rsidP="00B7214C">
      <w:pPr>
        <w:spacing w:before="120" w:after="120"/>
        <w:jc w:val="both"/>
      </w:pPr>
      <w:r w:rsidRPr="005869B6">
        <w:t>Une bonne partie des intrants (peut-être la plus importante) ne paraît sur aucun bilan financier. Chaque festival aménage un espace piétonnier défini comme « le village du festival ». Personne ne com</w:t>
      </w:r>
      <w:r w:rsidRPr="005869B6">
        <w:t>p</w:t>
      </w:r>
      <w:r w:rsidRPr="005869B6">
        <w:t>tabilise toutes les décorations de cet espace, ni celles, parfois abo</w:t>
      </w:r>
      <w:r w:rsidRPr="005869B6">
        <w:t>n</w:t>
      </w:r>
      <w:r w:rsidRPr="005869B6">
        <w:t>dantes et artistiques, des maisons et des jardins en dehors de ce « village ». Les frais encourus pour mon</w:t>
      </w:r>
      <w:r>
        <w:t>ter les chars des parades (de 1 </w:t>
      </w:r>
      <w:r w:rsidRPr="005869B6">
        <w:t>000</w:t>
      </w:r>
      <w:r>
        <w:t> </w:t>
      </w:r>
      <w:r w:rsidRPr="005869B6">
        <w:t>$ ou plus) sont toujours au compte de leurs commanditaires pa</w:t>
      </w:r>
      <w:r w:rsidRPr="005869B6">
        <w:t>r</w:t>
      </w:r>
      <w:r w:rsidRPr="005869B6">
        <w:t>ticuliers. Lors d'un festival, ceux qui veulent participer ont le choix entre beaucoup de manifestations somptuaires. Les organisateurs che</w:t>
      </w:r>
      <w:r w:rsidRPr="005869B6">
        <w:t>r</w:t>
      </w:r>
      <w:r w:rsidRPr="005869B6">
        <w:t>chent toujours des familles solides et des marchands ambitieux pour épauler ces manifestations. Ici encore, on pourrait dire qu'il y a un retour immédiat du don car les portes des notables semblent s'o</w:t>
      </w:r>
      <w:r w:rsidRPr="005869B6">
        <w:t>u</w:t>
      </w:r>
      <w:r w:rsidRPr="005869B6">
        <w:t>vrir d</w:t>
      </w:r>
      <w:r w:rsidRPr="005869B6">
        <w:t>e</w:t>
      </w:r>
      <w:r w:rsidRPr="005869B6">
        <w:t>vant celui qui participe</w:t>
      </w:r>
      <w:r>
        <w:t> </w:t>
      </w:r>
      <w:r>
        <w:rPr>
          <w:rStyle w:val="Appelnotedebasdep"/>
        </w:rPr>
        <w:footnoteReference w:id="353"/>
      </w:r>
      <w:r w:rsidRPr="005869B6">
        <w:t>. Il y a en effet de grandes carrières qui se sont bâties, en Mauricie, à partir des festivals</w:t>
      </w:r>
      <w:r>
        <w:t> </w:t>
      </w:r>
      <w:r>
        <w:rPr>
          <w:rStyle w:val="Appelnotedebasdep"/>
        </w:rPr>
        <w:footnoteReference w:id="354"/>
      </w:r>
      <w:r w:rsidRPr="005869B6">
        <w:t>. Cependant, pour la majorité de ces nouveaux notables, ce n'est pas la tête mais le cœur qui prime.</w:t>
      </w:r>
    </w:p>
    <w:p w:rsidR="00B7214C" w:rsidRPr="005869B6" w:rsidRDefault="00B7214C" w:rsidP="00B7214C">
      <w:pPr>
        <w:spacing w:before="120" w:after="120"/>
        <w:jc w:val="both"/>
      </w:pPr>
      <w:r w:rsidRPr="005869B6">
        <w:t>Car le rendement des festivals est souvent mythique. Sans doute beaucoup de Mauriciens ont investi dans les festivals avec l'idée de faire fortune, mais ils ont souvent fait faillite. Beaucoup de comme</w:t>
      </w:r>
      <w:r w:rsidRPr="005869B6">
        <w:t>r</w:t>
      </w:r>
      <w:r w:rsidRPr="005869B6">
        <w:t>çants de Saint-Tite, toujours en affaires, ont perdu de l'argent par leurs audaces</w:t>
      </w:r>
      <w:r>
        <w:t xml:space="preserve"> [486] </w:t>
      </w:r>
      <w:r w:rsidRPr="005869B6">
        <w:t>festivalières. L'industrie du cuir, qui a inspiré la genèse même du festival western en 1968, n'en a pas pr</w:t>
      </w:r>
      <w:r>
        <w:t>ofité. Elle avait une main-d’</w:t>
      </w:r>
      <w:r w:rsidRPr="005869B6">
        <w:t>œuvre</w:t>
      </w:r>
      <w:r>
        <w:t xml:space="preserve"> de plu</w:t>
      </w:r>
      <w:r w:rsidRPr="005869B6">
        <w:t>s de 700 personnes avant 1968, mais celle-ci a aujourd'hui beaucoup diminue. Ceux qui org</w:t>
      </w:r>
      <w:r w:rsidRPr="005869B6">
        <w:t>a</w:t>
      </w:r>
      <w:r w:rsidRPr="005869B6">
        <w:t>nisent le festival western continuent de parler de ses retombées impressionnantes. D'autres, tout aussi a</w:t>
      </w:r>
      <w:r w:rsidRPr="005869B6">
        <w:t>c</w:t>
      </w:r>
      <w:r>
        <w:t>tifs, pensent qu’</w:t>
      </w:r>
      <w:r w:rsidRPr="005869B6">
        <w:t>elles ne sont qu'une illusion. Nos recherches ne pe</w:t>
      </w:r>
      <w:r w:rsidRPr="005869B6">
        <w:t>u</w:t>
      </w:r>
      <w:r w:rsidRPr="005869B6">
        <w:t>vent trancher cette question, car presque personne en Mauricie ne pense vraiment qu'on puisse mesurer le rendement des festivals par leur bilan financier. Par ailleurs, les festivals ne meurent j</w:t>
      </w:r>
      <w:r w:rsidRPr="005869B6">
        <w:t>a</w:t>
      </w:r>
      <w:r w:rsidRPr="005869B6">
        <w:t>mais juste parce qu'ils perdent de l'argent, comme ils ne nai</w:t>
      </w:r>
      <w:r w:rsidRPr="005869B6">
        <w:t>s</w:t>
      </w:r>
      <w:r w:rsidRPr="005869B6">
        <w:t>sent jamais juste pour en faire. Ils se présentent, en Mauricie, plutôt comme signes de la santé des communautés : signes qu'elles n abandonnent que quand elles agonisent</w:t>
      </w:r>
      <w:r>
        <w:t> </w:t>
      </w:r>
      <w:r>
        <w:rPr>
          <w:rStyle w:val="Appelnotedebasdep"/>
        </w:rPr>
        <w:footnoteReference w:id="355"/>
      </w:r>
      <w:r w:rsidRPr="005869B6">
        <w:t>, signes dont elles peuvent se doter quand elles se re</w:t>
      </w:r>
      <w:r w:rsidRPr="005869B6">
        <w:t>n</w:t>
      </w:r>
      <w:r w:rsidRPr="005869B6">
        <w:t>dent compte de leur robustesse</w:t>
      </w:r>
      <w:r>
        <w:t> </w:t>
      </w:r>
      <w:r>
        <w:rPr>
          <w:rStyle w:val="Appelnotedebasdep"/>
        </w:rPr>
        <w:footnoteReference w:id="356"/>
      </w:r>
      <w:r w:rsidRPr="005869B6">
        <w:t>.</w:t>
      </w:r>
    </w:p>
    <w:p w:rsidR="00B7214C" w:rsidRDefault="00B7214C" w:rsidP="00B7214C">
      <w:pPr>
        <w:spacing w:before="120" w:after="120"/>
        <w:jc w:val="both"/>
      </w:pPr>
    </w:p>
    <w:p w:rsidR="00B7214C" w:rsidRPr="00992038" w:rsidRDefault="00B7214C" w:rsidP="00B7214C">
      <w:pPr>
        <w:pStyle w:val="b"/>
      </w:pPr>
      <w:r w:rsidRPr="00992038">
        <w:t>Reproduction de la société locale</w:t>
      </w:r>
    </w:p>
    <w:p w:rsidR="00B7214C" w:rsidRDefault="00B7214C" w:rsidP="00B7214C">
      <w:pPr>
        <w:spacing w:before="120" w:after="120"/>
        <w:jc w:val="both"/>
      </w:pPr>
    </w:p>
    <w:p w:rsidR="00B7214C" w:rsidRPr="005869B6" w:rsidRDefault="00B7214C" w:rsidP="00B7214C">
      <w:pPr>
        <w:spacing w:before="120" w:after="120"/>
        <w:jc w:val="both"/>
      </w:pPr>
      <w:r w:rsidRPr="005869B6">
        <w:t>La fête ne reproduit jamais la société sous sa forme phys</w:t>
      </w:r>
      <w:r w:rsidRPr="005869B6">
        <w:t>i</w:t>
      </w:r>
      <w:r w:rsidRPr="005869B6">
        <w:t>que, mais un simulacre de celle-ci qui la rend clairement vis</w:t>
      </w:r>
      <w:r w:rsidRPr="005869B6">
        <w:t>i</w:t>
      </w:r>
      <w:r w:rsidRPr="005869B6">
        <w:t>ble mais qui n'est pourtant pas elle. Nous décrirons d'abord l'un des mannequins de p</w:t>
      </w:r>
      <w:r w:rsidRPr="005869B6">
        <w:t>é</w:t>
      </w:r>
      <w:r w:rsidRPr="005869B6">
        <w:t>cheurs étalés devant les mai</w:t>
      </w:r>
      <w:r>
        <w:t>sons de la rue Principale de Sain</w:t>
      </w:r>
      <w:r w:rsidRPr="005869B6">
        <w:t>t-Jean-des-Piles lors du festival de pêche. Le mannequin masculin est assis dans une chaloupe, canne à pêche d'une main, bière Molson entre les cuisses et paquet de cigarettes dans sa poche de chemise. Il est orné d'une casquette bleue et d'un masque moulé dessiné au crayon noir. Son pantalon gris a des pièces aux genoux. Il y a une bi</w:t>
      </w:r>
      <w:r w:rsidRPr="005869B6">
        <w:t>è</w:t>
      </w:r>
      <w:r w:rsidRPr="005869B6">
        <w:t>re dans le nez de l'embarcation ; sur le banc, une caisse de bi</w:t>
      </w:r>
      <w:r w:rsidRPr="005869B6">
        <w:t>è</w:t>
      </w:r>
      <w:r w:rsidRPr="005869B6">
        <w:t xml:space="preserve">re. Un mécanisme fait lever de temps en temps la canne </w:t>
      </w:r>
      <w:r w:rsidRPr="005869B6">
        <w:rPr>
          <w:vertAlign w:val="superscript"/>
        </w:rPr>
        <w:t>a</w:t>
      </w:r>
      <w:r w:rsidRPr="005869B6">
        <w:t xml:space="preserve"> P</w:t>
      </w:r>
      <w:r w:rsidRPr="005869B6">
        <w:rPr>
          <w:vertAlign w:val="superscript"/>
        </w:rPr>
        <w:t>ec</w:t>
      </w:r>
      <w:r w:rsidRPr="005869B6">
        <w:t>|]</w:t>
      </w:r>
      <w:r w:rsidRPr="005869B6">
        <w:rPr>
          <w:vertAlign w:val="superscript"/>
        </w:rPr>
        <w:t xml:space="preserve">e </w:t>
      </w:r>
      <w:r w:rsidRPr="005869B6">
        <w:t>de laquelle pend un poisson que le pêcheur n'arrivera jamais a détacher de l'hameçon. Les autres mannequins de la rue</w:t>
      </w:r>
      <w:r>
        <w:t>, faits par d'autres habitants-</w:t>
      </w:r>
      <w:r w:rsidRPr="005869B6">
        <w:t>artistes, ont des me</w:t>
      </w:r>
      <w:r w:rsidRPr="005869B6">
        <w:t>s</w:t>
      </w:r>
      <w:r w:rsidRPr="005869B6">
        <w:t>sages semblables</w:t>
      </w:r>
      <w:r>
        <w:t> </w:t>
      </w:r>
      <w:r>
        <w:rPr>
          <w:rStyle w:val="Appelnotedebasdep"/>
        </w:rPr>
        <w:footnoteReference w:id="357"/>
      </w:r>
      <w:r w:rsidRPr="005869B6">
        <w:t>.</w:t>
      </w:r>
    </w:p>
    <w:p w:rsidR="00B7214C" w:rsidRDefault="00B7214C" w:rsidP="00B7214C">
      <w:pPr>
        <w:spacing w:before="120" w:after="120"/>
        <w:jc w:val="both"/>
      </w:pPr>
      <w:r w:rsidRPr="005869B6">
        <w:t>Ce mannequin veut donc commémorer la gloire traditio</w:t>
      </w:r>
      <w:r w:rsidRPr="005869B6">
        <w:t>n</w:t>
      </w:r>
      <w:r w:rsidRPr="005869B6">
        <w:t>nelle du village, celle de la pêche dans la rivière, qui était aussi la gloire et la richesse des ancêtres. Si ces ancêtres sont pr</w:t>
      </w:r>
      <w:r w:rsidRPr="005869B6">
        <w:t>é</w:t>
      </w:r>
      <w:r w:rsidRPr="005869B6">
        <w:t>sentés entourés d'une abondance de bière et de cigarettes, il faudra se rappeler que ces sy</w:t>
      </w:r>
      <w:r w:rsidRPr="005869B6">
        <w:t>m</w:t>
      </w:r>
      <w:r w:rsidRPr="005869B6">
        <w:t>boles ne désignent pas simpl</w:t>
      </w:r>
      <w:r w:rsidRPr="005869B6">
        <w:t>e</w:t>
      </w:r>
      <w:r w:rsidRPr="005869B6">
        <w:t>ment le péché ; ils désignent d'abord les commanditaires du festival. Il est tout aussi vrai que le pêcheur repr</w:t>
      </w:r>
      <w:r w:rsidRPr="005869B6">
        <w:t>é</w:t>
      </w:r>
      <w:r w:rsidRPr="005869B6">
        <w:t>sente n est pas près de s'enrichir et qu'il est entouré de symboles de mis</w:t>
      </w:r>
      <w:r w:rsidRPr="005869B6">
        <w:t>è</w:t>
      </w:r>
      <w:r w:rsidRPr="005869B6">
        <w:t>re. Le mode dérisoire de ces images est bien dans le style de la fête - ni mensonge ni vérité, d fait rire la communauté d'elle-même, sans jamais faire oublier le pass</w:t>
      </w:r>
      <w:r>
        <w:t>é</w:t>
      </w:r>
      <w:r w:rsidRPr="005869B6">
        <w:t xml:space="preserve"> r</w:t>
      </w:r>
      <w:r>
        <w:t>é</w:t>
      </w:r>
      <w:r w:rsidRPr="005869B6">
        <w:t>el. Tout en glor</w:t>
      </w:r>
      <w:r w:rsidRPr="005869B6">
        <w:t>i</w:t>
      </w:r>
      <w:r w:rsidRPr="005869B6">
        <w:t>fiant la fête, ces images ne l'idéalisent pas. On peut en dire autant pour les représent</w:t>
      </w:r>
      <w:r w:rsidRPr="005869B6">
        <w:t>a</w:t>
      </w:r>
      <w:r w:rsidRPr="005869B6">
        <w:t>tions que l'on retrouve sur les chars dans la plupart des parades de vi</w:t>
      </w:r>
      <w:r>
        <w:t>l</w:t>
      </w:r>
      <w:r>
        <w:t>lage : ell</w:t>
      </w:r>
      <w:r w:rsidRPr="005869B6">
        <w:t>es sont très fidèles au réel, mais le transforment</w:t>
      </w:r>
      <w:r>
        <w:t xml:space="preserve"> </w:t>
      </w:r>
      <w:r w:rsidRPr="005869B6">
        <w:t>toujours s</w:t>
      </w:r>
      <w:r w:rsidRPr="005869B6">
        <w:t>e</w:t>
      </w:r>
      <w:r w:rsidRPr="005869B6">
        <w:t>lon le code de la fête.</w:t>
      </w:r>
    </w:p>
    <w:p w:rsidR="00B7214C" w:rsidRPr="005869B6" w:rsidRDefault="00B7214C" w:rsidP="00B7214C">
      <w:pPr>
        <w:spacing w:before="120" w:after="120"/>
        <w:jc w:val="both"/>
      </w:pPr>
      <w:r>
        <w:t>[</w:t>
      </w:r>
      <w:r w:rsidRPr="005869B6">
        <w:t>487</w:t>
      </w:r>
      <w:r>
        <w:t>]</w:t>
      </w:r>
    </w:p>
    <w:p w:rsidR="00B7214C" w:rsidRPr="005869B6" w:rsidRDefault="00B7214C" w:rsidP="00B7214C">
      <w:pPr>
        <w:spacing w:before="120" w:after="120"/>
        <w:jc w:val="both"/>
      </w:pPr>
      <w:r w:rsidRPr="005869B6">
        <w:t>Ceci nous aide à comprendre les messages des comme</w:t>
      </w:r>
      <w:r w:rsidRPr="005869B6">
        <w:t>r</w:t>
      </w:r>
      <w:r w:rsidRPr="005869B6">
        <w:t>çants sur les chars et ailleurs. Ce ne sont ni des publicités ni des féeries. Les im</w:t>
      </w:r>
      <w:r w:rsidRPr="005869B6">
        <w:t>a</w:t>
      </w:r>
      <w:r w:rsidRPr="005869B6">
        <w:t>ges ne présentent jamais de l'actuel ; elles transportent le spectateur dans un monde du passé, imaginaire, comme le western lui-même. Pour figurer sur un char, l'objet prend d'abord la forme qu'il aurait pu avoir dans ce monde-là. Pour quelques jours par année, Saint-Tite vit dans ce deuxième monde. C'est vraiment le don communautaire, sub</w:t>
      </w:r>
      <w:r w:rsidRPr="005869B6">
        <w:t>s</w:t>
      </w:r>
      <w:r w:rsidRPr="005869B6">
        <w:t>tantiel, proposé par la ville au monde en général, celui d'assumer ce monde. Quelles que soient les arrière-pensées en termes de statut s</w:t>
      </w:r>
      <w:r w:rsidRPr="005869B6">
        <w:t>o</w:t>
      </w:r>
      <w:r w:rsidRPr="005869B6">
        <w:t>cial ou de richesse, ce don reste réel, et reste un don - sans contrepa</w:t>
      </w:r>
      <w:r w:rsidRPr="005869B6">
        <w:t>r</w:t>
      </w:r>
      <w:r w:rsidRPr="005869B6">
        <w:t>tie. S'il y a contrepartie, elle n'existe que dans les esprits, dans les e</w:t>
      </w:r>
      <w:r w:rsidRPr="005869B6">
        <w:t>s</w:t>
      </w:r>
      <w:r w:rsidRPr="005869B6">
        <w:t>poirs des participants, espoirs qui, pour la plupart, ne se réaliseront jamais. Cependant, en créant ce simulacre de leur société, les hab</w:t>
      </w:r>
      <w:r w:rsidRPr="005869B6">
        <w:t>i</w:t>
      </w:r>
      <w:r w:rsidRPr="005869B6">
        <w:t>tants ne peuvent éviter de représenter aussi leur communauté réelle, sur laquelle est ca</w:t>
      </w:r>
      <w:r w:rsidRPr="005869B6">
        <w:t>l</w:t>
      </w:r>
      <w:r w:rsidRPr="005869B6">
        <w:t>qué leur imaginaire.</w:t>
      </w:r>
    </w:p>
    <w:p w:rsidR="00B7214C" w:rsidRDefault="00B7214C" w:rsidP="00B7214C">
      <w:pPr>
        <w:spacing w:before="120" w:after="120"/>
        <w:jc w:val="both"/>
      </w:pPr>
    </w:p>
    <w:p w:rsidR="00B7214C" w:rsidRPr="00A513F3" w:rsidRDefault="00B7214C" w:rsidP="00B7214C">
      <w:pPr>
        <w:pStyle w:val="b"/>
      </w:pPr>
      <w:r w:rsidRPr="00A513F3">
        <w:t>Localisme, régionalisme</w:t>
      </w:r>
      <w:r>
        <w:br/>
      </w:r>
      <w:r w:rsidRPr="00A513F3">
        <w:t>et nationalisme des festivaliers</w:t>
      </w:r>
    </w:p>
    <w:p w:rsidR="00B7214C" w:rsidRDefault="00B7214C" w:rsidP="00B7214C">
      <w:pPr>
        <w:spacing w:before="120" w:after="120"/>
        <w:jc w:val="both"/>
      </w:pPr>
    </w:p>
    <w:p w:rsidR="00B7214C" w:rsidRPr="005869B6" w:rsidRDefault="00B7214C" w:rsidP="00B7214C">
      <w:pPr>
        <w:spacing w:before="120" w:after="120"/>
        <w:jc w:val="both"/>
      </w:pPr>
      <w:r w:rsidRPr="005869B6">
        <w:t>Si les festivals sont une forme de don, à qui sont-ils dest</w:t>
      </w:r>
      <w:r w:rsidRPr="005869B6">
        <w:t>i</w:t>
      </w:r>
      <w:r w:rsidRPr="005869B6">
        <w:t>nés ? Dans quelle mesure les communautés locales sont-elles les vrais de</w:t>
      </w:r>
      <w:r w:rsidRPr="005869B6">
        <w:t>s</w:t>
      </w:r>
      <w:r w:rsidRPr="005869B6">
        <w:t>tinataires des festivals du Québec et dans quelle mesure ceux-ci sont-ils destinés à un mouvement plus vaste, régional ou national ? C'est une question complexe dont la r</w:t>
      </w:r>
      <w:r w:rsidRPr="005869B6">
        <w:t>é</w:t>
      </w:r>
      <w:r w:rsidRPr="005869B6">
        <w:t>ponse doit être très nuancée. Car chaque festival s'identifie d'abord par un symbolisme local, comme le western pour Saint-Tite, les canots pour les riverains de la Saint-Maurice</w:t>
      </w:r>
      <w:r>
        <w:t>, la pêche pour Saint-Jean-des-</w:t>
      </w:r>
      <w:r w:rsidRPr="005869B6">
        <w:t>Piles, la drave pour Grandes-Piles, la patate pour Saint-Ubalde, les petits poissons des chenaux pour Sainte-Anne-de-la-Pérade, les artisans pour Grand-Mère, la foire des rameurs pour Notre-Dame-de-Montauban. Ces symboles sont à la fois historiques, économiques et, souvent, sportifs. Quand la connot</w:t>
      </w:r>
      <w:r w:rsidRPr="005869B6">
        <w:t>a</w:t>
      </w:r>
      <w:r w:rsidRPr="005869B6">
        <w:t>tion locale n'est pas dans le nom, comme au festival des Sportifs de Lac-aux-Sables, elle figure dans les événements : ce dernier festival commémorait par plusieurs rituels les familles des fondateurs du vi</w:t>
      </w:r>
      <w:r w:rsidRPr="005869B6">
        <w:t>l</w:t>
      </w:r>
      <w:r w:rsidRPr="005869B6">
        <w:t>lage</w:t>
      </w:r>
      <w:r>
        <w:t> </w:t>
      </w:r>
      <w:r>
        <w:rPr>
          <w:rStyle w:val="Appelnotedebasdep"/>
        </w:rPr>
        <w:footnoteReference w:id="358"/>
      </w:r>
      <w:r w:rsidRPr="005869B6">
        <w:t>.</w:t>
      </w:r>
    </w:p>
    <w:p w:rsidR="00B7214C" w:rsidRPr="005869B6" w:rsidRDefault="00B7214C" w:rsidP="00B7214C">
      <w:pPr>
        <w:spacing w:before="120" w:after="120"/>
        <w:jc w:val="both"/>
      </w:pPr>
      <w:r w:rsidRPr="005869B6">
        <w:t>Sans participer à l'organisation des festivals, les visiteurs y jouent un rôle de première importance. Us proviennent d'abord d'autres communautés de la Mauricie, car beaucoup de Maur</w:t>
      </w:r>
      <w:r w:rsidRPr="005869B6">
        <w:t>i</w:t>
      </w:r>
      <w:r w:rsidRPr="005869B6">
        <w:t>ciens assistent à quatre ou cinq festivals régionaux par année. D'autres viennent de loin, apportant leurs roulottes. Final</w:t>
      </w:r>
      <w:r w:rsidRPr="005869B6">
        <w:t>e</w:t>
      </w:r>
      <w:r w:rsidRPr="005869B6">
        <w:t>ment, il y a en Mauricie plusieurs sites de villégiature où des touristes passent leurs vacances et assistent aux festivals, surtout à Lac-aux-Sables et à Saint-Ubalde. Nos reche</w:t>
      </w:r>
      <w:r w:rsidRPr="005869B6">
        <w:t>r</w:t>
      </w:r>
      <w:r w:rsidRPr="005869B6">
        <w:t>ches d</w:t>
      </w:r>
      <w:r w:rsidRPr="005869B6">
        <w:t>é</w:t>
      </w:r>
      <w:r w:rsidRPr="005869B6">
        <w:t>montrent, dans toutes ces catégories, que des membres de la plupart de ces groupes de visiteurs ont de la parenté au village du fe</w:t>
      </w:r>
      <w:r w:rsidRPr="005869B6">
        <w:t>s</w:t>
      </w:r>
      <w:r w:rsidRPr="005869B6">
        <w:t>tival. Ces liens de parenté (ou d'amitié) leur permettent de stationner leurs roulottes devant une maison du village. Les terrains de presque toutes les maisons d'une municipalité en fête étalent</w:t>
      </w:r>
      <w:r>
        <w:t xml:space="preserve"> [488] </w:t>
      </w:r>
      <w:r w:rsidRPr="005869B6">
        <w:t>en effet une ou plusieurs roulottes. Dans les centres de vill</w:t>
      </w:r>
      <w:r w:rsidRPr="005869B6">
        <w:t>é</w:t>
      </w:r>
      <w:r w:rsidRPr="005869B6">
        <w:t>giature comme Lac-aux-Sables ou Saint-Ubalde, par ailleurs, la pl</w:t>
      </w:r>
      <w:r w:rsidRPr="005869B6">
        <w:t>u</w:t>
      </w:r>
      <w:r w:rsidRPr="005869B6">
        <w:t>part des chalets autour des lacs sont construits par la p</w:t>
      </w:r>
      <w:r w:rsidRPr="005869B6">
        <w:t>a</w:t>
      </w:r>
      <w:r w:rsidRPr="005869B6">
        <w:t>renté ou les amis des gens de la place. Les villageois parlent de ces vacanciers comme des « touristes », mais ce sont en fait des parents, émigrés ai</w:t>
      </w:r>
      <w:r w:rsidRPr="005869B6">
        <w:t>l</w:t>
      </w:r>
      <w:r w:rsidRPr="005869B6">
        <w:t>leurs au Québec, qui retournent « aux sources » lors des festivals estivaux. L'un des objets des fest</w:t>
      </w:r>
      <w:r w:rsidRPr="005869B6">
        <w:t>i</w:t>
      </w:r>
      <w:r w:rsidRPr="005869B6">
        <w:t>vals souvent mentionnes par les vill</w:t>
      </w:r>
      <w:r w:rsidRPr="005869B6">
        <w:t>a</w:t>
      </w:r>
      <w:r w:rsidRPr="005869B6">
        <w:t>geois est en effet de rassembler la parenté, partie ailleurs pour trouver du tr</w:t>
      </w:r>
      <w:r w:rsidRPr="005869B6">
        <w:t>a</w:t>
      </w:r>
      <w:r w:rsidRPr="005869B6">
        <w:t>vail.</w:t>
      </w:r>
    </w:p>
    <w:p w:rsidR="00B7214C" w:rsidRPr="005869B6" w:rsidRDefault="00B7214C" w:rsidP="00B7214C">
      <w:pPr>
        <w:spacing w:before="120" w:after="120"/>
        <w:jc w:val="both"/>
      </w:pPr>
      <w:r w:rsidRPr="005869B6">
        <w:t>Tandis que certains grands événements intéressent tout le monde, il y en a d'autres qui s'adressent aux gens de la place ou qui sont destinés principalement aux étrangers. Au festival western, ce sont surtout es activités bénévoles qui sont destinées plus particulièrement aux hab</w:t>
      </w:r>
      <w:r w:rsidRPr="005869B6">
        <w:t>i</w:t>
      </w:r>
      <w:r w:rsidRPr="005869B6">
        <w:t>tants du village. À Saint-Jean-des-Piles, selon plusieurs, la course à quatre roues serait surtout pour les gens de la place et la course des rameurs pour les touristes. Vérification faite, la moitié des rameurs ayant gagne un prix sont des gens de l'endroit. Le discours maur</w:t>
      </w:r>
      <w:r w:rsidRPr="005869B6">
        <w:t>i</w:t>
      </w:r>
      <w:r w:rsidRPr="005869B6">
        <w:t>cien tend à minimiser l'apport des ressources locales, préte</w:t>
      </w:r>
      <w:r w:rsidRPr="005869B6">
        <w:t>n</w:t>
      </w:r>
      <w:r w:rsidRPr="005869B6">
        <w:t>dant que toutes les récompenses vont ailleurs. Le propriétaire de l'une des industries les plus performantes de Saint-Tite est décrit, lui aussi, comme « étranger », parce que son père est venu de Qu</w:t>
      </w:r>
      <w:r>
        <w:t>é</w:t>
      </w:r>
      <w:r w:rsidRPr="005869B6">
        <w:t>bec en 1933 (Comité historique, 1984). On le marque comme « étranger » parce qu'il a r</w:t>
      </w:r>
      <w:r w:rsidRPr="005869B6">
        <w:t>é</w:t>
      </w:r>
      <w:r w:rsidRPr="005869B6">
        <w:t>ussi et qu'ensuite il a établi d'autres entreprises ailleurs au pays.</w:t>
      </w:r>
    </w:p>
    <w:p w:rsidR="00B7214C" w:rsidRPr="005869B6" w:rsidRDefault="00B7214C" w:rsidP="00B7214C">
      <w:pPr>
        <w:spacing w:before="120" w:after="120"/>
        <w:jc w:val="both"/>
      </w:pPr>
      <w:r w:rsidRPr="005869B6">
        <w:t>Dans la production des spectacles, on accentue d'ailleurs les a</w:t>
      </w:r>
      <w:r w:rsidRPr="005869B6">
        <w:t>p</w:t>
      </w:r>
      <w:r w:rsidRPr="005869B6">
        <w:t>ports extérieurs. C'est normal, puisque que le festival est là pour lai</w:t>
      </w:r>
      <w:r w:rsidRPr="005869B6">
        <w:t>s</w:t>
      </w:r>
      <w:r w:rsidRPr="005869B6">
        <w:t>ser entrer le monde extérieur, ou plus précisément le monde québ</w:t>
      </w:r>
      <w:r w:rsidRPr="005869B6">
        <w:t>é</w:t>
      </w:r>
      <w:r w:rsidRPr="005869B6">
        <w:t>cois, dans les villages. Cet aspect des festivals reste pourtant obscur à moins qu'on ne le regarde historiqu</w:t>
      </w:r>
      <w:r w:rsidRPr="005869B6">
        <w:t>e</w:t>
      </w:r>
      <w:r w:rsidRPr="005869B6">
        <w:t>ment. Le mouvement des festivals est récent en Mauricie - en 1968, le festival western de Saint-Tite fut le premier festival à s'établir. À partir de 1973, le gouvernement du Québec créa des programmes de promotion des activités sociocult</w:t>
      </w:r>
      <w:r w:rsidRPr="005869B6">
        <w:t>u</w:t>
      </w:r>
      <w:r w:rsidRPr="005869B6">
        <w:t>relles des festivals populaires (Bernier, 1982, p. 174). Quand le Parti québécois prit le pouvoir en 1976, les festivals de la" région étaient en plein épanouissement et semblaient être des allies naturels du nouveau gouvernement, étant donné qu'ils étaient tous concernés par « l'expression et la création de la culture populaire québécoise dans ses formes traditionnelles et contemporaines ». Le gouvernement d</w:t>
      </w:r>
      <w:r w:rsidRPr="005869B6">
        <w:t>é</w:t>
      </w:r>
      <w:r w:rsidRPr="005869B6">
        <w:t>cida donc de les impl</w:t>
      </w:r>
      <w:r w:rsidRPr="005869B6">
        <w:t>i</w:t>
      </w:r>
      <w:r w:rsidRPr="005869B6">
        <w:t>quer dans son grand projet de décolonisation psychologique de la nation.</w:t>
      </w:r>
    </w:p>
    <w:p w:rsidR="00B7214C" w:rsidRPr="00BF6C2D" w:rsidRDefault="00B7214C" w:rsidP="00B7214C">
      <w:pPr>
        <w:spacing w:before="120" w:after="120"/>
        <w:jc w:val="both"/>
      </w:pPr>
      <w:r w:rsidRPr="005869B6">
        <w:t>Cependant, tout en encourageant les festivals, ce nouveau gouve</w:t>
      </w:r>
      <w:r w:rsidRPr="005869B6">
        <w:t>r</w:t>
      </w:r>
      <w:r w:rsidRPr="00A513F3">
        <w:t xml:space="preserve">nement voulait aussi les purifier. Le </w:t>
      </w:r>
      <w:r w:rsidRPr="00A513F3">
        <w:rPr>
          <w:i/>
          <w:iCs/>
        </w:rPr>
        <w:t>Livre blanc</w:t>
      </w:r>
      <w:r w:rsidRPr="00A513F3">
        <w:t xml:space="preserve"> sur le développement</w:t>
      </w:r>
      <w:r w:rsidRPr="005869B6">
        <w:t xml:space="preserve"> culturel (1978) commente : « La prolifération de festivals western et de f</w:t>
      </w:r>
      <w:r>
        <w:t>ê</w:t>
      </w:r>
      <w:r w:rsidRPr="005869B6">
        <w:t>tes bavaroises illustre ce mouvement de désintégration culture</w:t>
      </w:r>
      <w:r w:rsidRPr="005869B6">
        <w:t>l</w:t>
      </w:r>
      <w:r w:rsidRPr="005869B6">
        <w:t>le. » Cette critique soulève des questions assez graves, car peu impo</w:t>
      </w:r>
      <w:r w:rsidRPr="005869B6">
        <w:t>r</w:t>
      </w:r>
      <w:r w:rsidRPr="005869B6">
        <w:t>te si le thème d</w:t>
      </w:r>
      <w:r>
        <w:t>’</w:t>
      </w:r>
      <w:r w:rsidRPr="005869B6">
        <w:t>un</w:t>
      </w:r>
      <w:r>
        <w:t xml:space="preserve"> [</w:t>
      </w:r>
      <w:r w:rsidRPr="005869B6">
        <w:t>489</w:t>
      </w:r>
      <w:r>
        <w:t xml:space="preserve">] </w:t>
      </w:r>
      <w:r w:rsidRPr="00BF6C2D">
        <w:t>festival mauricien est le western, le bûcheron ou la drave, la programmation est toujours sensiblement la même. S</w:t>
      </w:r>
      <w:r w:rsidRPr="00BF6C2D">
        <w:t>e</w:t>
      </w:r>
      <w:r w:rsidRPr="00BF6C2D">
        <w:t xml:space="preserve">lon le </w:t>
      </w:r>
      <w:r w:rsidRPr="00BF6C2D">
        <w:rPr>
          <w:i/>
          <w:iCs/>
        </w:rPr>
        <w:t>Livre blanc</w:t>
      </w:r>
      <w:r w:rsidRPr="00BF6C2D">
        <w:t xml:space="preserve"> tous ces festivals devraient donc retrouver leurs « racines ». Pour arr</w:t>
      </w:r>
      <w:r w:rsidRPr="00BF6C2D">
        <w:t>i</w:t>
      </w:r>
      <w:r w:rsidRPr="00BF6C2D">
        <w:t xml:space="preserve">ver à cette fin, le gouvernement établit en 1978 la </w:t>
      </w:r>
      <w:r w:rsidRPr="00BF6C2D">
        <w:rPr>
          <w:i/>
          <w:iCs/>
        </w:rPr>
        <w:t>Société des festivals du Québec</w:t>
      </w:r>
      <w:r w:rsidRPr="00BF6C2D">
        <w:t xml:space="preserve"> qui organisa deux grands colloques, en 1979 et en 1980, dont les interventions furent loin de résoudre le problème posé (Gür</w:t>
      </w:r>
      <w:r w:rsidRPr="00BF6C2D">
        <w:t>t</w:t>
      </w:r>
      <w:r w:rsidRPr="00BF6C2D">
        <w:t>tler et Salfati-Arnaud, 1980 ; Pinard, 1982).</w:t>
      </w:r>
    </w:p>
    <w:p w:rsidR="00B7214C" w:rsidRPr="00BF6C2D" w:rsidRDefault="00B7214C" w:rsidP="00B7214C">
      <w:pPr>
        <w:spacing w:before="120" w:after="120"/>
        <w:jc w:val="both"/>
      </w:pPr>
      <w:r w:rsidRPr="00BF6C2D">
        <w:t xml:space="preserve">Suite au </w:t>
      </w:r>
      <w:r w:rsidRPr="00BF6C2D">
        <w:rPr>
          <w:i/>
          <w:iCs/>
        </w:rPr>
        <w:t>Livre blanc,</w:t>
      </w:r>
      <w:r w:rsidRPr="00BF6C2D">
        <w:t xml:space="preserve"> le gouvernement aida les festivals en subve</w:t>
      </w:r>
      <w:r w:rsidRPr="00BF6C2D">
        <w:t>n</w:t>
      </w:r>
      <w:r w:rsidRPr="00BF6C2D">
        <w:t>tionnant leurs travaux de construction et d'aménag</w:t>
      </w:r>
      <w:r w:rsidRPr="00BF6C2D">
        <w:t>e</w:t>
      </w:r>
      <w:r w:rsidRPr="00BF6C2D">
        <w:t>ment et surtout en rendant disponibles les meilleurs artistes de la culture populaire qu</w:t>
      </w:r>
      <w:r w:rsidRPr="00BF6C2D">
        <w:t>é</w:t>
      </w:r>
      <w:r w:rsidRPr="00BF6C2D">
        <w:t>bécoise qui purent se produire partout en Mauricie grâce à des fonds publics. Il assurait un contact direct des gens des régions avec les meilleurs talents du pays ainsi qu'une très grande affluence dans les festivals. Après la période péquiste, cette affluence a diminué sens</w:t>
      </w:r>
      <w:r w:rsidRPr="00BF6C2D">
        <w:t>i</w:t>
      </w:r>
      <w:r w:rsidRPr="00BF6C2D">
        <w:t>blement.</w:t>
      </w:r>
    </w:p>
    <w:p w:rsidR="00B7214C" w:rsidRPr="00BF6C2D" w:rsidRDefault="00B7214C" w:rsidP="00B7214C">
      <w:pPr>
        <w:spacing w:before="120" w:after="120"/>
        <w:jc w:val="both"/>
      </w:pPr>
      <w:r w:rsidRPr="00BF6C2D">
        <w:t>Il s'ensuit de ce survol historique que ni le localisme ni le région</w:t>
      </w:r>
      <w:r w:rsidRPr="00BF6C2D">
        <w:t>a</w:t>
      </w:r>
      <w:r w:rsidRPr="00BF6C2D">
        <w:t>lisme, ni même le nationalisme, ne prédominent dans les festivals de la Mauricie. Le localisme prédomine dans les symboles, le région</w:t>
      </w:r>
      <w:r w:rsidRPr="00BF6C2D">
        <w:t>a</w:t>
      </w:r>
      <w:r w:rsidRPr="00BF6C2D">
        <w:t>lisme dans les réseaux d'échange, tandis que le nationalisme est une force persuasive, profondément enracinée, qui s'exprime dans tous les discours et tous les comportements.</w:t>
      </w:r>
    </w:p>
    <w:p w:rsidR="00B7214C" w:rsidRPr="00BF6C2D" w:rsidRDefault="00B7214C" w:rsidP="00B7214C">
      <w:pPr>
        <w:spacing w:before="120" w:after="120"/>
        <w:jc w:val="both"/>
      </w:pPr>
      <w:r w:rsidRPr="00BF6C2D">
        <w:t>Notre recherche s'inspirait, en partie, des réflexions et des co</w:t>
      </w:r>
      <w:r w:rsidRPr="00BF6C2D">
        <w:t>m</w:t>
      </w:r>
      <w:r w:rsidRPr="00BF6C2D">
        <w:t>mentaires du volume de Pinard (1982), notamment de ceux de Gilles Pronovost, fidèles aux faits mauriciens. Ce de</w:t>
      </w:r>
      <w:r w:rsidRPr="00BF6C2D">
        <w:t>r</w:t>
      </w:r>
      <w:r w:rsidRPr="00BF6C2D">
        <w:t>nier a bien raison de parler de l'éclatement de la fête conte</w:t>
      </w:r>
      <w:r w:rsidRPr="00BF6C2D">
        <w:t>m</w:t>
      </w:r>
      <w:r w:rsidRPr="00BF6C2D">
        <w:t>poraine. Celle-ci n'est plus obligatoire à certaines périodes de l'année, elle ne se déroule plus dans un « temps fort » homogène et les intérêts en jeu dans la fête sont d</w:t>
      </w:r>
      <w:r w:rsidRPr="00BF6C2D">
        <w:t>é</w:t>
      </w:r>
      <w:r w:rsidRPr="00BF6C2D">
        <w:t>sormais très fra</w:t>
      </w:r>
      <w:r w:rsidRPr="00BF6C2D">
        <w:t>c</w:t>
      </w:r>
      <w:r w:rsidRPr="00BF6C2D">
        <w:t>tionnés entre le culturel, l'économique et le politique. On pourrait parler en effet de ses facettes multiples et des lectures d</w:t>
      </w:r>
      <w:r w:rsidRPr="00BF6C2D">
        <w:t>i</w:t>
      </w:r>
      <w:r w:rsidRPr="00BF6C2D">
        <w:t>verses faites par ses publics hétérogènes. Il y a, à Saint-Tite, la lecture de l'industrie du cuir, la lecture des notables, la lecture des gens des écuries, la lecture des « B.S. », la lecture du PQ. Dans une autre per</w:t>
      </w:r>
      <w:r w:rsidRPr="00BF6C2D">
        <w:t>s</w:t>
      </w:r>
      <w:r w:rsidRPr="00BF6C2D">
        <w:t>pective, on peut distinguer la lecture des vacanciers en roulottes (qui coûtent 50</w:t>
      </w:r>
      <w:r>
        <w:t> </w:t>
      </w:r>
      <w:r w:rsidRPr="00BF6C2D">
        <w:t>000</w:t>
      </w:r>
      <w:r>
        <w:t> </w:t>
      </w:r>
      <w:r w:rsidRPr="00BF6C2D">
        <w:t>$ chacune, comme on dit à Saint-Tite) et la lecture de ceux qui les reçoivent à leurs maisons (lesquelles ne valent souvent pas les 50</w:t>
      </w:r>
      <w:r>
        <w:t> </w:t>
      </w:r>
      <w:r w:rsidRPr="00BF6C2D">
        <w:t>000</w:t>
      </w:r>
      <w:r>
        <w:t> </w:t>
      </w:r>
      <w:r w:rsidRPr="00BF6C2D">
        <w:t>$). Toutes ces lectures des participants offrent-elles les « bribes d'espoir » partagées dont parle Pronovost ou plutôt la « manière de hausser le temps en calme ? » (dont parle Rab</w:t>
      </w:r>
      <w:r w:rsidRPr="00BF6C2D">
        <w:t>e</w:t>
      </w:r>
      <w:r w:rsidRPr="00BF6C2D">
        <w:t xml:space="preserve">lais, </w:t>
      </w:r>
      <w:r w:rsidRPr="00BF6C2D">
        <w:rPr>
          <w:i/>
          <w:iCs/>
        </w:rPr>
        <w:t>Quart Livre) ?</w:t>
      </w:r>
    </w:p>
    <w:p w:rsidR="00B7214C" w:rsidRPr="005869B6" w:rsidRDefault="00B7214C" w:rsidP="00B7214C">
      <w:pPr>
        <w:spacing w:before="120" w:after="120"/>
        <w:jc w:val="both"/>
      </w:pPr>
      <w:r w:rsidRPr="005869B6">
        <w:t>La question la plus pertinente est peut-être toujours celle-là, posée à Pantagruel qui répondit : « Nous haussant et vidant les tasses, s'est pareillement le temps haussé par occulte symp</w:t>
      </w:r>
      <w:r w:rsidRPr="005869B6">
        <w:t>a</w:t>
      </w:r>
      <w:r w:rsidRPr="005869B6">
        <w:t>thie de la nature ». Si le Québec décide de devenir un État souverain dont Rabelais serait l'ancêtre de prédilection, cet État ne manquera sûrement pas d'imm</w:t>
      </w:r>
      <w:r w:rsidRPr="005869B6">
        <w:t>i</w:t>
      </w:r>
      <w:r w:rsidRPr="005869B6">
        <w:t>grants avides. C'est</w:t>
      </w:r>
      <w:r>
        <w:t xml:space="preserve"> [490] </w:t>
      </w:r>
      <w:r w:rsidRPr="005869B6">
        <w:t>un projet de société qui en vaut beaucoup d'autres, mais la Société des festivals populaires d</w:t>
      </w:r>
      <w:r>
        <w:t>u Québec ne l'a j</w:t>
      </w:r>
      <w:r>
        <w:t>a</w:t>
      </w:r>
      <w:r>
        <w:t>mais avoue noir</w:t>
      </w:r>
      <w:r w:rsidRPr="005869B6">
        <w:t xml:space="preserve"> sur blanc Elle a bien publié un article d'un représe</w:t>
      </w:r>
      <w:r w:rsidRPr="005869B6">
        <w:t>n</w:t>
      </w:r>
      <w:r w:rsidRPr="005869B6">
        <w:t>tant de la brasserie O'Keefe (St-Lau</w:t>
      </w:r>
      <w:r>
        <w:t>rent 1982</w:t>
      </w:r>
      <w:r w:rsidRPr="005869B6">
        <w:t>), qui parle beaucoup de « l'implication communautaire », mais c est moins clair que Pant</w:t>
      </w:r>
      <w:r w:rsidRPr="005869B6">
        <w:t>a</w:t>
      </w:r>
      <w:r w:rsidRPr="005869B6">
        <w:t>gruel.</w:t>
      </w:r>
    </w:p>
    <w:p w:rsidR="00B7214C" w:rsidRPr="005869B6" w:rsidRDefault="00B7214C" w:rsidP="00B7214C">
      <w:pPr>
        <w:spacing w:before="120" w:after="120"/>
        <w:jc w:val="both"/>
      </w:pPr>
      <w:r w:rsidRPr="005869B6">
        <w:t>Rabelais parle beaucoup de la fête, mais rarement du don. Dans son monde, on donne toujours ce qu'on a, même s'il n'y a pas de réc</w:t>
      </w:r>
      <w:r w:rsidRPr="005869B6">
        <w:t>i</w:t>
      </w:r>
      <w:r w:rsidRPr="005869B6">
        <w:t>procité y a ceux qui don</w:t>
      </w:r>
      <w:r>
        <w:t>nent spontanément et ceux que 1’</w:t>
      </w:r>
      <w:r w:rsidRPr="005869B6">
        <w:t>on force à donner. Cela ressemble au monde « archaïque » tel que je le connais. Quand je faisais l'ethnographie en Papouasie, on me disait que je d</w:t>
      </w:r>
      <w:r w:rsidRPr="005869B6">
        <w:t>e</w:t>
      </w:r>
      <w:r>
        <w:t>vrais y rester. J’</w:t>
      </w:r>
      <w:r w:rsidRPr="005869B6">
        <w:t>e</w:t>
      </w:r>
      <w:r w:rsidRPr="005869B6">
        <w:t>x</w:t>
      </w:r>
      <w:r w:rsidRPr="005869B6">
        <w:t xml:space="preserve">pliquai alors que je n'avais pas de jardin et que si je restais je n'aurais rien du tout. On me répondit : « ce serait beaucoup mieux ». </w:t>
      </w:r>
      <w:r>
        <w:t>Si j'avais accepte cette invita</w:t>
      </w:r>
      <w:r w:rsidRPr="005869B6">
        <w:t>tion, j'aurais sûrement survécu « par occulte sympathie de la nature ».</w:t>
      </w:r>
    </w:p>
    <w:p w:rsidR="00B7214C" w:rsidRPr="005869B6" w:rsidRDefault="00B7214C" w:rsidP="00B7214C">
      <w:pPr>
        <w:spacing w:before="120" w:after="120"/>
        <w:jc w:val="both"/>
      </w:pPr>
      <w:r w:rsidRPr="005869B6">
        <w:t>Les expériences des festivals de la Mauricie ne sont pas si différe</w:t>
      </w:r>
      <w:r w:rsidRPr="005869B6">
        <w:t>n</w:t>
      </w:r>
      <w:r w:rsidRPr="005869B6">
        <w:t>tes de celle-là. On n'est pas dans ce système sans donner des ch</w:t>
      </w:r>
      <w:r w:rsidRPr="005869B6">
        <w:t>o</w:t>
      </w:r>
      <w:r w:rsidRPr="005869B6">
        <w:t>ses ou des services à quelqu'un. On donne aussi du travail à beaucoup de gens ; on donne à la ville un niveau d'a</w:t>
      </w:r>
      <w:r w:rsidRPr="005869B6">
        <w:t>c</w:t>
      </w:r>
      <w:r w:rsidRPr="005869B6">
        <w:t>tivité qu'elle ne connaîtrait pas autrement. Les marchands sont eux aussi donneurs plutôt qu'explo</w:t>
      </w:r>
      <w:r w:rsidRPr="005869B6">
        <w:t>i</w:t>
      </w:r>
      <w:r w:rsidRPr="005869B6">
        <w:t>teurs, car ils ne gagnent jamais grand-chose et risquent toujours d'y perdre beaucoup. Tout au plus, les marchands, les commanditaires, les paliers de gouvernement y gagnent une bonne réputation à cause de leur « implication communautaire » - tout comme les chefs des soci</w:t>
      </w:r>
      <w:r w:rsidRPr="005869B6">
        <w:t>é</w:t>
      </w:r>
      <w:r w:rsidRPr="005869B6">
        <w:t>tés « archaïques ».</w:t>
      </w:r>
    </w:p>
    <w:p w:rsidR="00B7214C" w:rsidRDefault="00B7214C" w:rsidP="00B7214C">
      <w:pPr>
        <w:spacing w:before="120" w:after="120"/>
        <w:jc w:val="both"/>
      </w:pPr>
      <w:r w:rsidRPr="005869B6">
        <w:t>On continue à laisser entendre que ce système de dons l</w:t>
      </w:r>
      <w:r w:rsidRPr="005869B6">
        <w:t>o</w:t>
      </w:r>
      <w:r w:rsidRPr="005869B6">
        <w:t>caux pourrait aider le développement économique. Ces spéc</w:t>
      </w:r>
      <w:r w:rsidRPr="005869B6">
        <w:t>u</w:t>
      </w:r>
      <w:r w:rsidRPr="005869B6">
        <w:t>lations sont peu sérieuses, car ni Saint-Tite ni les autres vill</w:t>
      </w:r>
      <w:r w:rsidRPr="005869B6">
        <w:t>a</w:t>
      </w:r>
      <w:r w:rsidRPr="005869B6">
        <w:t>ges fest</w:t>
      </w:r>
      <w:r>
        <w:t>ivaliers n’ont d’</w:t>
      </w:r>
      <w:r w:rsidRPr="005869B6">
        <w:t>infrastructure touristique - ni hôtellerie, ni restaurants de marque. Les festiva</w:t>
      </w:r>
      <w:r>
        <w:t>l</w:t>
      </w:r>
      <w:r w:rsidRPr="005869B6">
        <w:t>s réussissent à rassembler la parenté émigrée et les anus, ce sont les</w:t>
      </w:r>
      <w:r>
        <w:t xml:space="preserve"> </w:t>
      </w:r>
      <w:r w:rsidRPr="005869B6">
        <w:t>se</w:t>
      </w:r>
      <w:r>
        <w:t>uls</w:t>
      </w:r>
      <w:r w:rsidRPr="005869B6">
        <w:t xml:space="preserve"> « étrange</w:t>
      </w:r>
      <w:r>
        <w:t>rs » à se manifester en masse. À moins qu’</w:t>
      </w:r>
      <w:r w:rsidRPr="005869B6">
        <w:t>on ne fasse revivre l'industrie du bois ou celle du cuir ou qu'on en établisse une autre, a Ma</w:t>
      </w:r>
      <w:r w:rsidRPr="005869B6">
        <w:t>u</w:t>
      </w:r>
      <w:r w:rsidRPr="005869B6">
        <w:t>ricie continuera son déclin. Les festivals ne sont que 1</w:t>
      </w:r>
      <w:r>
        <w:t>’</w:t>
      </w:r>
      <w:r w:rsidRPr="005869B6">
        <w:t>un des mécanismes assurant le minimum de santé mentale à ces communautés en difficu</w:t>
      </w:r>
      <w:r>
        <w:t>l</w:t>
      </w:r>
      <w:r w:rsidRPr="005869B6">
        <w:t>té. Les festivals permettent, précis</w:t>
      </w:r>
      <w:r w:rsidRPr="005869B6">
        <w:t>é</w:t>
      </w:r>
      <w:r w:rsidRPr="005869B6">
        <w:t>ment, que les gens maintiennent leu identité de donneurs - c'est impo</w:t>
      </w:r>
      <w:r w:rsidRPr="005869B6">
        <w:t>r</w:t>
      </w:r>
      <w:r w:rsidRPr="005869B6">
        <w:t>tant. Quand on donne, ce n est souve</w:t>
      </w:r>
      <w:r>
        <w:t>n</w:t>
      </w:r>
      <w:r w:rsidRPr="005869B6">
        <w:t>t pas parce qu'on est riche.</w:t>
      </w:r>
    </w:p>
    <w:p w:rsidR="00B7214C" w:rsidRDefault="00B7214C" w:rsidP="00B7214C">
      <w:pPr>
        <w:pStyle w:val="p"/>
      </w:pPr>
      <w:r>
        <w:t>[491]</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r>
        <w:t>[492]</w:t>
      </w:r>
    </w:p>
    <w:p w:rsidR="00B7214C" w:rsidRPr="005869B6" w:rsidRDefault="00B7214C" w:rsidP="00B7214C">
      <w:pPr>
        <w:spacing w:before="120" w:after="120"/>
        <w:jc w:val="both"/>
      </w:pPr>
    </w:p>
    <w:p w:rsidR="00B7214C" w:rsidRPr="005869B6" w:rsidRDefault="00B7214C" w:rsidP="00B7214C">
      <w:pPr>
        <w:pStyle w:val="a"/>
      </w:pPr>
      <w:r w:rsidRPr="005869B6">
        <w:t>BIBLIOGRAPHIE</w:t>
      </w:r>
      <w:r>
        <w:t> </w:t>
      </w:r>
      <w:r>
        <w:rPr>
          <w:rStyle w:val="Appelnotedebasdep"/>
        </w:rPr>
        <w:footnoteReference w:customMarkFollows="1" w:id="359"/>
        <w:t>*</w:t>
      </w:r>
    </w:p>
    <w:p w:rsidR="00B7214C" w:rsidRDefault="00B7214C" w:rsidP="00B7214C">
      <w:pPr>
        <w:spacing w:before="120" w:after="120"/>
        <w:jc w:val="both"/>
      </w:pPr>
    </w:p>
    <w:p w:rsidR="00B7214C" w:rsidRPr="00574516" w:rsidRDefault="00B7214C" w:rsidP="00B7214C">
      <w:pPr>
        <w:spacing w:before="120" w:after="120"/>
        <w:jc w:val="both"/>
      </w:pPr>
      <w:r w:rsidRPr="005869B6">
        <w:t>Bernier, P., « Les objectifs généraux de l'État quant à la fête pop</w:t>
      </w:r>
      <w:r w:rsidRPr="005869B6">
        <w:t>u</w:t>
      </w:r>
      <w:r w:rsidRPr="00574516">
        <w:t xml:space="preserve">laire », dans Pinard, 1982, </w:t>
      </w:r>
      <w:r>
        <w:t>p</w:t>
      </w:r>
      <w:r w:rsidRPr="00574516">
        <w:t>p. 173-179.</w:t>
      </w:r>
    </w:p>
    <w:p w:rsidR="00B7214C" w:rsidRPr="00574516" w:rsidRDefault="00B7214C" w:rsidP="00B7214C">
      <w:pPr>
        <w:spacing w:before="120" w:after="120"/>
        <w:jc w:val="both"/>
      </w:pPr>
      <w:r>
        <w:rPr>
          <w:iCs/>
        </w:rPr>
        <w:t>Bouchard, M.</w:t>
      </w:r>
      <w:r w:rsidRPr="00574516">
        <w:rPr>
          <w:iCs/>
        </w:rPr>
        <w:t xml:space="preserve"> </w:t>
      </w:r>
      <w:r w:rsidRPr="00574516">
        <w:rPr>
          <w:i/>
        </w:rPr>
        <w:t>Le bénévolat dans les festivals de la Maur</w:t>
      </w:r>
      <w:r w:rsidRPr="00574516">
        <w:rPr>
          <w:i/>
        </w:rPr>
        <w:t>i</w:t>
      </w:r>
      <w:r w:rsidRPr="00574516">
        <w:rPr>
          <w:i/>
        </w:rPr>
        <w:t>cie</w:t>
      </w:r>
      <w:r w:rsidRPr="00574516">
        <w:t>,</w:t>
      </w:r>
      <w:r w:rsidRPr="00574516">
        <w:rPr>
          <w:iCs/>
        </w:rPr>
        <w:t xml:space="preserve"> 1987, 20 p. FPM.</w:t>
      </w:r>
    </w:p>
    <w:p w:rsidR="00B7214C" w:rsidRPr="00574516" w:rsidRDefault="00B7214C" w:rsidP="00B7214C">
      <w:pPr>
        <w:spacing w:before="120" w:after="120"/>
        <w:jc w:val="both"/>
      </w:pPr>
      <w:r w:rsidRPr="00574516">
        <w:t>Chartier, M</w:t>
      </w:r>
      <w:r>
        <w:t>.</w:t>
      </w:r>
      <w:r w:rsidRPr="00574516">
        <w:t xml:space="preserve"> « L'inversion rituelle dans le cérémoniel des par</w:t>
      </w:r>
      <w:r w:rsidRPr="00574516">
        <w:t>a</w:t>
      </w:r>
      <w:r w:rsidRPr="00574516">
        <w:t xml:space="preserve">des ». </w:t>
      </w:r>
      <w:r w:rsidRPr="00574516">
        <w:rPr>
          <w:i/>
          <w:iCs/>
        </w:rPr>
        <w:t>Anthropologie et sociétés,</w:t>
      </w:r>
      <w:r w:rsidRPr="00574516">
        <w:t xml:space="preserve"> 1994, sous presse.</w:t>
      </w:r>
    </w:p>
    <w:p w:rsidR="00B7214C" w:rsidRPr="00574516" w:rsidRDefault="00B7214C" w:rsidP="00B7214C">
      <w:pPr>
        <w:spacing w:before="120" w:after="120"/>
        <w:jc w:val="both"/>
      </w:pPr>
      <w:r w:rsidRPr="00574516">
        <w:t>Cherubini, B., « </w:t>
      </w:r>
      <w:r w:rsidRPr="00574516">
        <w:rPr>
          <w:i/>
        </w:rPr>
        <w:t>Grandes-Piles : dynamique de la communauté vi</w:t>
      </w:r>
      <w:r w:rsidRPr="00574516">
        <w:rPr>
          <w:i/>
        </w:rPr>
        <w:t>l</w:t>
      </w:r>
      <w:r w:rsidRPr="00574516">
        <w:rPr>
          <w:i/>
        </w:rPr>
        <w:t>lageoise et destins des lignées </w:t>
      </w:r>
      <w:r w:rsidRPr="00574516">
        <w:t>», 1989, 23 p. FPM.</w:t>
      </w:r>
    </w:p>
    <w:p w:rsidR="00B7214C" w:rsidRPr="00574516" w:rsidRDefault="00B7214C" w:rsidP="00B7214C">
      <w:pPr>
        <w:spacing w:before="120" w:after="120"/>
        <w:jc w:val="both"/>
      </w:pPr>
      <w:r w:rsidRPr="00574516">
        <w:t>Cherubini, B., « </w:t>
      </w:r>
      <w:r w:rsidRPr="00574516">
        <w:rPr>
          <w:i/>
        </w:rPr>
        <w:t>Gangs de festivals et ordre local </w:t>
      </w:r>
      <w:r w:rsidRPr="00574516">
        <w:t>», 1987,</w:t>
      </w:r>
      <w:r>
        <w:t xml:space="preserve"> </w:t>
      </w:r>
      <w:r w:rsidRPr="00574516">
        <w:t>143 p. FPM.</w:t>
      </w:r>
    </w:p>
    <w:p w:rsidR="00B7214C" w:rsidRPr="00574516" w:rsidRDefault="00B7214C" w:rsidP="00B7214C">
      <w:pPr>
        <w:spacing w:before="120" w:after="120"/>
        <w:jc w:val="both"/>
      </w:pPr>
      <w:r w:rsidRPr="00574516">
        <w:t xml:space="preserve">Comité historique, </w:t>
      </w:r>
      <w:r w:rsidRPr="00574516">
        <w:rPr>
          <w:i/>
          <w:iCs/>
        </w:rPr>
        <w:t>Histoire de Saint-Tite 1833-1984,</w:t>
      </w:r>
      <w:r w:rsidRPr="00574516">
        <w:t xml:space="preserve"> Saint-Tite, Éd</w:t>
      </w:r>
      <w:r w:rsidRPr="00574516">
        <w:t>i</w:t>
      </w:r>
      <w:r w:rsidRPr="00574516">
        <w:t>tions Souvenance, 1984.</w:t>
      </w:r>
    </w:p>
    <w:p w:rsidR="00B7214C" w:rsidRPr="00574516" w:rsidRDefault="00B7214C" w:rsidP="00B7214C">
      <w:pPr>
        <w:spacing w:before="120" w:after="120"/>
        <w:jc w:val="both"/>
      </w:pPr>
      <w:r w:rsidRPr="00574516">
        <w:t>Garneau, B., « Rapport de recherche d'un préterrain effe</w:t>
      </w:r>
      <w:r w:rsidRPr="00574516">
        <w:t>c</w:t>
      </w:r>
      <w:r w:rsidRPr="00574516">
        <w:t>tué à St</w:t>
      </w:r>
      <w:r>
        <w:t>e</w:t>
      </w:r>
      <w:r w:rsidRPr="00574516">
        <w:t>-Th</w:t>
      </w:r>
      <w:r>
        <w:t>è</w:t>
      </w:r>
      <w:r w:rsidRPr="00574516">
        <w:t>cle », 1988, 47 p. FPM.</w:t>
      </w:r>
    </w:p>
    <w:p w:rsidR="00B7214C" w:rsidRPr="00574516" w:rsidRDefault="00B7214C" w:rsidP="00B7214C">
      <w:pPr>
        <w:spacing w:before="120" w:after="120"/>
        <w:jc w:val="both"/>
      </w:pPr>
      <w:r>
        <w:t>Godbout, J</w:t>
      </w:r>
      <w:r w:rsidRPr="00574516">
        <w:t>. T</w:t>
      </w:r>
      <w:r>
        <w:t>.</w:t>
      </w:r>
      <w:r w:rsidRPr="00574516">
        <w:t xml:space="preserve"> </w:t>
      </w:r>
      <w:hyperlink r:id="rId104" w:history="1">
        <w:r w:rsidRPr="00574516">
          <w:rPr>
            <w:rStyle w:val="Lienhypertexte"/>
            <w:i/>
            <w:iCs/>
          </w:rPr>
          <w:t>L'esprit du don</w:t>
        </w:r>
      </w:hyperlink>
      <w:r w:rsidRPr="00574516">
        <w:rPr>
          <w:i/>
          <w:iCs/>
        </w:rPr>
        <w:t>,</w:t>
      </w:r>
      <w:r w:rsidRPr="00574516">
        <w:t xml:space="preserve"> Paris, La Découverte, 1992.</w:t>
      </w:r>
    </w:p>
    <w:p w:rsidR="00B7214C" w:rsidRPr="00574516" w:rsidRDefault="00B7214C" w:rsidP="00B7214C">
      <w:pPr>
        <w:spacing w:before="120" w:after="120"/>
        <w:jc w:val="both"/>
      </w:pPr>
      <w:r w:rsidRPr="00574516">
        <w:t xml:space="preserve">Gürttler et Salfati-Arnaud (dir.), </w:t>
      </w:r>
      <w:r w:rsidRPr="00574516">
        <w:rPr>
          <w:i/>
          <w:iCs/>
        </w:rPr>
        <w:t>La fête en question,</w:t>
      </w:r>
      <w:r w:rsidRPr="00574516">
        <w:t xml:space="preserve"> Montréal, Université de Montréal et La Société des festivals populaires du Qu</w:t>
      </w:r>
      <w:r w:rsidRPr="00574516">
        <w:t>é</w:t>
      </w:r>
      <w:r w:rsidRPr="00574516">
        <w:t>bec, 1980.</w:t>
      </w:r>
    </w:p>
    <w:p w:rsidR="00B7214C" w:rsidRPr="00574516" w:rsidRDefault="00B7214C" w:rsidP="00B7214C">
      <w:pPr>
        <w:spacing w:before="120" w:after="120"/>
        <w:jc w:val="both"/>
      </w:pPr>
      <w:r w:rsidRPr="00574516">
        <w:t>Mauss, M., « </w:t>
      </w:r>
      <w:hyperlink r:id="rId105" w:history="1">
        <w:r w:rsidRPr="00574516">
          <w:rPr>
            <w:rStyle w:val="Lienhypertexte"/>
          </w:rPr>
          <w:t>Essai sur le don </w:t>
        </w:r>
      </w:hyperlink>
      <w:r w:rsidRPr="00574516">
        <w:t xml:space="preserve">», dans </w:t>
      </w:r>
      <w:hyperlink r:id="rId106" w:history="1">
        <w:r w:rsidRPr="00574516">
          <w:rPr>
            <w:rStyle w:val="Lienhypertexte"/>
            <w:i/>
            <w:iCs/>
          </w:rPr>
          <w:t>Sociologie et anthropologie</w:t>
        </w:r>
      </w:hyperlink>
      <w:r w:rsidRPr="00574516">
        <w:rPr>
          <w:i/>
          <w:iCs/>
        </w:rPr>
        <w:t xml:space="preserve"> </w:t>
      </w:r>
      <w:r w:rsidRPr="00574516">
        <w:rPr>
          <w:iCs/>
        </w:rPr>
        <w:t>(1950),</w:t>
      </w:r>
      <w:r w:rsidRPr="00574516">
        <w:t xml:space="preserve"> Pans, Presses universitaires de France, 1924.</w:t>
      </w:r>
    </w:p>
    <w:p w:rsidR="00B7214C" w:rsidRPr="00574516" w:rsidRDefault="00B7214C" w:rsidP="00B7214C">
      <w:pPr>
        <w:spacing w:before="120" w:after="120"/>
        <w:jc w:val="both"/>
      </w:pPr>
      <w:r w:rsidRPr="00574516">
        <w:t xml:space="preserve">Pinard, D. (dir.), </w:t>
      </w:r>
      <w:r w:rsidRPr="00574516">
        <w:rPr>
          <w:i/>
          <w:iCs/>
        </w:rPr>
        <w:t>Que la fête commence,</w:t>
      </w:r>
      <w:r w:rsidRPr="00574516">
        <w:t xml:space="preserve"> Montréal, Société des fe</w:t>
      </w:r>
      <w:r w:rsidRPr="00574516">
        <w:t>s</w:t>
      </w:r>
      <w:r w:rsidRPr="00574516">
        <w:t>tivals populaires du Québec, 1982.</w:t>
      </w:r>
    </w:p>
    <w:p w:rsidR="00B7214C" w:rsidRPr="00574516" w:rsidRDefault="00B7214C" w:rsidP="00B7214C">
      <w:pPr>
        <w:spacing w:before="120" w:after="120"/>
        <w:jc w:val="both"/>
      </w:pPr>
      <w:r w:rsidRPr="00574516">
        <w:t>Pronovost, G., « Fête éclatée - rupture du temps », dans P</w:t>
      </w:r>
      <w:r w:rsidRPr="00574516">
        <w:t>i</w:t>
      </w:r>
      <w:r w:rsidRPr="00574516">
        <w:t>nard (dir.), 1982, p</w:t>
      </w:r>
      <w:r>
        <w:t>p</w:t>
      </w:r>
      <w:r w:rsidRPr="00574516">
        <w:t>. 113-120.</w:t>
      </w:r>
    </w:p>
    <w:p w:rsidR="00B7214C" w:rsidRPr="00574516" w:rsidRDefault="00B7214C" w:rsidP="00B7214C">
      <w:pPr>
        <w:spacing w:before="120" w:after="120"/>
        <w:jc w:val="both"/>
      </w:pPr>
      <w:r w:rsidRPr="00574516">
        <w:rPr>
          <w:iCs/>
        </w:rPr>
        <w:t xml:space="preserve">Rabelais, F., </w:t>
      </w:r>
      <w:r w:rsidRPr="00574516">
        <w:rPr>
          <w:i/>
        </w:rPr>
        <w:t>Le Quart Livre des faicts et dicts Heroiques du bon Pantagruel</w:t>
      </w:r>
      <w:r w:rsidRPr="00574516">
        <w:t>,</w:t>
      </w:r>
      <w:r w:rsidRPr="00574516">
        <w:rPr>
          <w:iCs/>
        </w:rPr>
        <w:t xml:space="preserve"> Paris, 1552.</w:t>
      </w:r>
    </w:p>
    <w:p w:rsidR="00B7214C" w:rsidRPr="00574516" w:rsidRDefault="00B7214C" w:rsidP="00B7214C">
      <w:pPr>
        <w:spacing w:before="120" w:after="120"/>
        <w:jc w:val="both"/>
      </w:pPr>
      <w:r w:rsidRPr="00574516">
        <w:t xml:space="preserve">Sahlins, M., </w:t>
      </w:r>
      <w:r w:rsidRPr="00574516">
        <w:rPr>
          <w:i/>
          <w:iCs/>
        </w:rPr>
        <w:t>Âge de pierre, âge d'abondance,</w:t>
      </w:r>
      <w:r w:rsidRPr="00574516">
        <w:t xml:space="preserve"> Paris, Gall</w:t>
      </w:r>
      <w:r w:rsidRPr="00574516">
        <w:t>i</w:t>
      </w:r>
      <w:r w:rsidRPr="00574516">
        <w:t>mard, 1976.</w:t>
      </w:r>
    </w:p>
    <w:p w:rsidR="00B7214C" w:rsidRPr="00574516" w:rsidRDefault="00B7214C" w:rsidP="00B7214C">
      <w:pPr>
        <w:spacing w:before="120" w:after="120"/>
        <w:jc w:val="both"/>
      </w:pPr>
      <w:r w:rsidRPr="00574516">
        <w:t>Savard, D., « </w:t>
      </w:r>
      <w:r w:rsidRPr="00574516">
        <w:rPr>
          <w:i/>
        </w:rPr>
        <w:t>Les mannequins de Saint-Jean-des-Piles </w:t>
      </w:r>
      <w:r w:rsidRPr="00574516">
        <w:t>», 1987, 40 p. FPM.</w:t>
      </w:r>
    </w:p>
    <w:p w:rsidR="00B7214C" w:rsidRPr="00574516" w:rsidRDefault="00B7214C" w:rsidP="00B7214C">
      <w:pPr>
        <w:spacing w:before="120" w:after="120"/>
        <w:jc w:val="both"/>
      </w:pPr>
      <w:r w:rsidRPr="00574516">
        <w:t>Sibomana, F., « </w:t>
      </w:r>
      <w:r w:rsidRPr="00574516">
        <w:rPr>
          <w:i/>
        </w:rPr>
        <w:t>Les réseaux sociaux impliqués dans deux fêtes </w:t>
      </w:r>
      <w:r w:rsidRPr="00574516">
        <w:t>», 1987,</w:t>
      </w:r>
      <w:r>
        <w:t xml:space="preserve"> </w:t>
      </w:r>
      <w:r w:rsidRPr="00574516">
        <w:t>17 p. FPM.</w:t>
      </w:r>
    </w:p>
    <w:p w:rsidR="00B7214C" w:rsidRPr="00574516" w:rsidRDefault="00B7214C" w:rsidP="00B7214C">
      <w:pPr>
        <w:spacing w:before="120" w:after="120"/>
        <w:jc w:val="both"/>
      </w:pPr>
      <w:r w:rsidRPr="00574516">
        <w:t>Sibomana, F., « Rapport d'activités », 1988, 22 p. FPM.</w:t>
      </w:r>
    </w:p>
    <w:p w:rsidR="00B7214C" w:rsidRPr="00574516" w:rsidRDefault="00B7214C" w:rsidP="00B7214C">
      <w:pPr>
        <w:spacing w:before="120" w:after="120"/>
        <w:jc w:val="both"/>
      </w:pPr>
      <w:r w:rsidRPr="00574516">
        <w:t xml:space="preserve">St-Laurent, M., « L'implication d'un commanditaire dans les fêtes populaires », dans Pinard (éd.), 1982, </w:t>
      </w:r>
      <w:r>
        <w:t>p</w:t>
      </w:r>
      <w:r w:rsidRPr="00574516">
        <w:t>p. 166-169.</w:t>
      </w:r>
    </w:p>
    <w:p w:rsidR="00B7214C" w:rsidRDefault="00B7214C" w:rsidP="00B7214C">
      <w:pPr>
        <w:jc w:val="both"/>
      </w:pPr>
      <w:r w:rsidRPr="00574516">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8" w:name="Entre_tradition_pt_3_B"/>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TROISIÈME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B. LE DISCOURS ARCHÉOLOGIQUE</w:t>
      </w:r>
    </w:p>
    <w:bookmarkEnd w:id="48"/>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pStyle w:val="p"/>
      </w:pPr>
      <w:r>
        <w:br w:type="page"/>
        <w:t>[493]</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49" w:name="Entre_tradition_pt_3_texte_34"/>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B. LE DISCOURS ARCHÉOLOGIQUE</w:t>
      </w:r>
    </w:p>
    <w:p w:rsidR="00B7214C" w:rsidRPr="00384B20" w:rsidRDefault="00B7214C" w:rsidP="00B7214C">
      <w:pPr>
        <w:pStyle w:val="Titreniveau1"/>
      </w:pPr>
      <w:r>
        <w:t>34</w:t>
      </w:r>
    </w:p>
    <w:p w:rsidR="00B7214C" w:rsidRDefault="00B7214C" w:rsidP="00B7214C">
      <w:pPr>
        <w:pStyle w:val="Titreniveau2"/>
      </w:pPr>
      <w:r>
        <w:t>“Le Mexique préhistorique :</w:t>
      </w:r>
      <w:r>
        <w:br/>
        <w:t>discours scientifique</w:t>
      </w:r>
      <w:r>
        <w:br/>
        <w:t>ou vulgarisation.”</w:t>
      </w:r>
    </w:p>
    <w:bookmarkEnd w:id="49"/>
    <w:p w:rsidR="00B7214C" w:rsidRPr="00E07116" w:rsidRDefault="00B7214C" w:rsidP="00B7214C">
      <w:pPr>
        <w:jc w:val="both"/>
        <w:rPr>
          <w:szCs w:val="36"/>
        </w:rPr>
      </w:pPr>
    </w:p>
    <w:p w:rsidR="00B7214C" w:rsidRPr="00E07116" w:rsidRDefault="00B7214C" w:rsidP="00B7214C">
      <w:pPr>
        <w:pStyle w:val="suite"/>
      </w:pPr>
      <w:r>
        <w:t>Par Louise-Iseult PARADIS</w:t>
      </w:r>
    </w:p>
    <w:p w:rsidR="00B7214C" w:rsidRPr="00E07116" w:rsidRDefault="00B7214C" w:rsidP="00B7214C">
      <w:pPr>
        <w:pStyle w:val="auteurst"/>
      </w:pPr>
      <w:r w:rsidRPr="004A7EF1">
        <w:t>Département d'anthropologie. Université de Montréal</w:t>
      </w:r>
    </w:p>
    <w:p w:rsidR="00B7214C" w:rsidRDefault="00B7214C" w:rsidP="00B7214C">
      <w:pPr>
        <w:spacing w:before="120" w:after="120"/>
        <w:jc w:val="both"/>
      </w:pPr>
    </w:p>
    <w:p w:rsidR="00B7214C" w:rsidRPr="005869B6" w:rsidRDefault="00B7214C" w:rsidP="00B7214C">
      <w:pPr>
        <w:pStyle w:val="a"/>
      </w:pPr>
      <w:r w:rsidRPr="005869B6">
        <w:t>TROIS DISCOURS SUR LE MONDE AZTÈQUE</w:t>
      </w: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t>Cette c</w:t>
      </w:r>
      <w:r w:rsidRPr="005869B6">
        <w:t>ommunication se veut une réflexion sur le thème des « lieux de la mémoire » et, plus spécifiquement, sur les inférences que l'on peut faire sur le passé en regard du contexte et des problèmes p</w:t>
      </w:r>
      <w:r w:rsidRPr="005869B6">
        <w:t>o</w:t>
      </w:r>
      <w:r w:rsidRPr="005869B6">
        <w:t>sés par les données archéologiques d'une part, et des fins auxquelles elle sont destinées, de l'autre. Les participants à cet atelier partagent le même objet d'étude - soit les traces culturelles associées à des popul</w:t>
      </w:r>
      <w:r w:rsidRPr="005869B6">
        <w:t>a</w:t>
      </w:r>
      <w:r w:rsidRPr="005869B6">
        <w:t>tions aujourd'hui disparues - et les mêmes objectifs scientifiques ; les contextes de recherche (archéologie urbaine, Mexique préhispanique) et de diffusion (musée, communauté scientifique, vulgarisation) v</w:t>
      </w:r>
      <w:r w:rsidRPr="005869B6">
        <w:t>a</w:t>
      </w:r>
      <w:r w:rsidRPr="005869B6">
        <w:t>rient toutefois.</w:t>
      </w:r>
    </w:p>
    <w:p w:rsidR="00B7214C" w:rsidRPr="005869B6" w:rsidRDefault="00B7214C" w:rsidP="00B7214C">
      <w:pPr>
        <w:spacing w:before="120" w:after="120"/>
        <w:jc w:val="both"/>
      </w:pPr>
      <w:r w:rsidRPr="005869B6">
        <w:t>Je propose ici l'examen de trois discours distincts portant sur les Aztèques, un exercice qui permettra de réaliser co</w:t>
      </w:r>
      <w:r w:rsidRPr="005869B6">
        <w:t>m</w:t>
      </w:r>
      <w:r w:rsidRPr="005869B6">
        <w:t>bien peut varier l'interprétation de la réalité historique qu'on y propose. Ainsi, pour certains, le terme aztèque fait référence au sacrifice humain et aux dieux assoiffés de sang ; pour d'a</w:t>
      </w:r>
      <w:r w:rsidRPr="005869B6">
        <w:t>u</w:t>
      </w:r>
      <w:r w:rsidRPr="005869B6">
        <w:t>tres, c'est cette société fabuleuse de promesses d'or et d'autres richesses que rencontreront et décriront les Conquistadores espagnols en 1519 ; pour d'autres encore, c'est l'exemple le plus complexe d'un Etat et d'un empire dans l'Amérique pr</w:t>
      </w:r>
      <w:r w:rsidRPr="005869B6">
        <w:t>é</w:t>
      </w:r>
      <w:r>
        <w:t>hispanique. Pour beaucoup d'au</w:t>
      </w:r>
      <w:r w:rsidRPr="005869B6">
        <w:t>tr</w:t>
      </w:r>
      <w:r>
        <w:t>e</w:t>
      </w:r>
      <w:r w:rsidRPr="005869B6">
        <w:t>s</w:t>
      </w:r>
      <w:r>
        <w:t xml:space="preserve"> [</w:t>
      </w:r>
      <w:r w:rsidRPr="005869B6">
        <w:t>494</w:t>
      </w:r>
      <w:r>
        <w:t>]</w:t>
      </w:r>
      <w:r w:rsidRPr="005869B6">
        <w:t xml:space="preserve"> finalement, ce n'est qu'un de ces groupes qu'on situe plus ou moins bien au Mexique et au Pérou avant que les Espagnols n arr</w:t>
      </w:r>
      <w:r w:rsidRPr="005869B6">
        <w:t>i</w:t>
      </w:r>
      <w:r w:rsidRPr="005869B6">
        <w:t>vent.</w:t>
      </w:r>
    </w:p>
    <w:p w:rsidR="00B7214C" w:rsidRDefault="00B7214C" w:rsidP="00B7214C">
      <w:pPr>
        <w:spacing w:before="120" w:after="120"/>
        <w:jc w:val="both"/>
      </w:pPr>
      <w:r w:rsidRPr="005869B6">
        <w:t>Les portraits que l'on brosse de la réalité aztèque varient en fon</w:t>
      </w:r>
      <w:r w:rsidRPr="005869B6">
        <w:t>c</w:t>
      </w:r>
      <w:r w:rsidRPr="005869B6">
        <w:t>tion des objectifs du discours et des contraintes méthod</w:t>
      </w:r>
      <w:r w:rsidRPr="005869B6">
        <w:t>o</w:t>
      </w:r>
      <w:r w:rsidRPr="005869B6">
        <w:t>logiques ou épistémologiques associées à sa production. Je me propose donc ici d examiner les caractéristiques de trois di</w:t>
      </w:r>
      <w:r w:rsidRPr="005869B6">
        <w:t>s</w:t>
      </w:r>
      <w:r w:rsidRPr="005869B6">
        <w:t>cours distincts et d'évaluer leur validité ou le</w:t>
      </w:r>
      <w:r>
        <w:t xml:space="preserve"> pertinence en regard de la réali</w:t>
      </w:r>
      <w:r w:rsidRPr="005869B6">
        <w:t>té historique qu'ils veulent reproduire.</w:t>
      </w:r>
    </w:p>
    <w:p w:rsidR="00B7214C" w:rsidRPr="005869B6" w:rsidRDefault="00B7214C" w:rsidP="00B7214C">
      <w:pPr>
        <w:spacing w:before="120" w:after="120"/>
        <w:jc w:val="both"/>
      </w:pPr>
    </w:p>
    <w:p w:rsidR="00B7214C" w:rsidRPr="005869B6" w:rsidRDefault="00B7214C" w:rsidP="00B7214C">
      <w:pPr>
        <w:pStyle w:val="a"/>
      </w:pPr>
      <w:r w:rsidRPr="005869B6">
        <w:t xml:space="preserve">MUSÉE NATIONAL D'ANTHROPOLOGIE </w:t>
      </w:r>
      <w:r>
        <w:br/>
      </w:r>
      <w:r w:rsidRPr="005869B6">
        <w:t>DE LA VILLE DE MEXICO</w:t>
      </w:r>
    </w:p>
    <w:p w:rsidR="00B7214C" w:rsidRDefault="00B7214C" w:rsidP="00B7214C">
      <w:pPr>
        <w:spacing w:before="120" w:after="120"/>
        <w:jc w:val="both"/>
      </w:pPr>
    </w:p>
    <w:p w:rsidR="00B7214C" w:rsidRDefault="00B7214C" w:rsidP="00B7214C">
      <w:pPr>
        <w:spacing w:before="120" w:after="120"/>
        <w:jc w:val="both"/>
      </w:pPr>
      <w:r w:rsidRPr="005869B6">
        <w:t>Situé dans la ville moderne de Mexico, le Musée national d'anthr</w:t>
      </w:r>
      <w:r w:rsidRPr="005869B6">
        <w:t>o</w:t>
      </w:r>
      <w:r w:rsidRPr="005869B6">
        <w:t>pologie abrite des collections ethnographiques et archéologiques c</w:t>
      </w:r>
      <w:r w:rsidRPr="005869B6">
        <w:t>o</w:t>
      </w:r>
      <w:r w:rsidRPr="005869B6">
        <w:t>gnant les populations autochtones du Mex</w:t>
      </w:r>
      <w:r w:rsidRPr="005869B6">
        <w:t>i</w:t>
      </w:r>
      <w:r w:rsidRPr="005869B6">
        <w:t>que. Le mussée</w:t>
      </w:r>
      <w:r>
        <w:t xml:space="preserve"> consacre le rez-de-</w:t>
      </w:r>
      <w:r w:rsidRPr="005869B6">
        <w:t>chaussée à l'archéologie et le premier étage à l'ethnologie</w:t>
      </w:r>
      <w:r>
        <w:t>.</w:t>
      </w:r>
      <w:r w:rsidRPr="005869B6">
        <w:t xml:space="preserve"> Le </w:t>
      </w:r>
      <w:r>
        <w:t xml:space="preserve">contraste entre </w:t>
      </w:r>
      <w:r w:rsidRPr="005869B6">
        <w:t>les sections ethnologiques, documentant de façon st</w:t>
      </w:r>
      <w:r w:rsidRPr="005869B6">
        <w:t>a</w:t>
      </w:r>
      <w:r w:rsidRPr="005869B6">
        <w:t>tique et terne les Indiens d'aujourd'hui, et les sections archéol</w:t>
      </w:r>
      <w:r w:rsidRPr="005869B6">
        <w:t>o</w:t>
      </w:r>
      <w:r w:rsidRPr="005869B6">
        <w:t>giques, témoins de 1 illustre passé de ces « pauvres Indiens » est fra</w:t>
      </w:r>
      <w:r w:rsidRPr="005869B6">
        <w:t>p</w:t>
      </w:r>
      <w:r w:rsidRPr="005869B6">
        <w:t>pant. Je privilégierai, pour les fins de mon propos, la portion arché</w:t>
      </w:r>
      <w:r w:rsidRPr="005869B6">
        <w:t>o</w:t>
      </w:r>
      <w:r w:rsidRPr="005869B6">
        <w:t>logique du m</w:t>
      </w:r>
      <w:r w:rsidRPr="005869B6">
        <w:t>u</w:t>
      </w:r>
      <w:r w:rsidRPr="005869B6">
        <w:t>sée et plus spécifiquement</w:t>
      </w:r>
      <w:r>
        <w:t xml:space="preserve"> </w:t>
      </w:r>
      <w:r w:rsidRPr="005869B6">
        <w:t>la salle aztèque.</w:t>
      </w:r>
    </w:p>
    <w:p w:rsidR="00B7214C" w:rsidRDefault="00B7214C" w:rsidP="00B7214C">
      <w:pPr>
        <w:spacing w:before="120" w:after="120"/>
        <w:jc w:val="both"/>
      </w:pPr>
    </w:p>
    <w:p w:rsidR="00B7214C" w:rsidRPr="005822FE" w:rsidRDefault="00B7214C" w:rsidP="00B7214C">
      <w:pPr>
        <w:pStyle w:val="b"/>
      </w:pPr>
      <w:r w:rsidRPr="005822FE">
        <w:t>Caractéristiques du discours</w:t>
      </w:r>
    </w:p>
    <w:p w:rsidR="00B7214C" w:rsidRDefault="00B7214C" w:rsidP="00B7214C">
      <w:pPr>
        <w:spacing w:before="120" w:after="120"/>
        <w:jc w:val="both"/>
      </w:pPr>
    </w:p>
    <w:p w:rsidR="00B7214C" w:rsidRDefault="00B7214C" w:rsidP="00B7214C">
      <w:pPr>
        <w:spacing w:before="120" w:after="120"/>
        <w:jc w:val="both"/>
      </w:pPr>
      <w:r w:rsidRPr="005E67DD">
        <w:rPr>
          <w:color w:val="FF0000"/>
        </w:rPr>
        <w:t>Forme et contenu</w:t>
      </w:r>
      <w:r w:rsidRPr="005822FE">
        <w:t xml:space="preserve"> - C'est par le biais de collections archéologiques que s'exprime le discours muséal. La première portion d'un parcours dirigé est presque entièrement consacrée aux développements soci</w:t>
      </w:r>
      <w:r w:rsidRPr="005822FE">
        <w:t>o</w:t>
      </w:r>
      <w:r w:rsidRPr="005822FE">
        <w:t>culturels dans les hauts plateaux mexicains, à partir des or</w:t>
      </w:r>
      <w:r>
        <w:t>igines, des débuts de l'agricul</w:t>
      </w:r>
      <w:r w:rsidRPr="005822FE">
        <w:t>ture et de la vie villageoise jusqu'à l'avènement des grandes civilisations de Teotihuacan, de Tula et des Toltèques et des Aztèques; la seconde moitié du parcours est consacrée aux régions culturelles du Mexique: Oaxaca (Zapotèques et Mixtèques), les Maya, la c</w:t>
      </w:r>
      <w:r>
        <w:t>ôte du golfe du Mexique (Totona</w:t>
      </w:r>
      <w:r w:rsidRPr="005822FE">
        <w:t>ques et Huastèques), l'Occident mexicain. Dans la majorité des cas, il s'agit de présentations d'art</w:t>
      </w:r>
      <w:r w:rsidRPr="005822FE">
        <w:t>e</w:t>
      </w:r>
      <w:r w:rsidRPr="005822FE">
        <w:t>facts dans des vitrines avec un texte explicatif, mais il y a, à l'extérieur comme à l'intérieur du musée, des reconstitutions de sites, de cimeti</w:t>
      </w:r>
      <w:r w:rsidRPr="005822FE">
        <w:t>è</w:t>
      </w:r>
      <w:r w:rsidRPr="005822FE">
        <w:t>res (Tlatilco), de temples (Teotihuacan, Bonampak), etc.</w:t>
      </w:r>
    </w:p>
    <w:p w:rsidR="00B7214C" w:rsidRPr="005822FE" w:rsidRDefault="00B7214C" w:rsidP="00B7214C">
      <w:pPr>
        <w:spacing w:before="120" w:after="120"/>
        <w:jc w:val="both"/>
      </w:pPr>
    </w:p>
    <w:p w:rsidR="00B7214C" w:rsidRDefault="00B7214C" w:rsidP="00B7214C">
      <w:pPr>
        <w:spacing w:before="120" w:after="120"/>
        <w:jc w:val="both"/>
      </w:pPr>
      <w:r w:rsidRPr="005E67DD">
        <w:rPr>
          <w:color w:val="FF0000"/>
        </w:rPr>
        <w:t>Méthodologie</w:t>
      </w:r>
      <w:r w:rsidRPr="005822FE">
        <w:t xml:space="preserve"> - C'est sur la base des résultats des travaux et études faits par les archéologues œuvrant au Mexique que s'est élaboré le discours présenté dans les salles archéologiques du musée. La déma</w:t>
      </w:r>
      <w:r w:rsidRPr="005822FE">
        <w:t>r</w:t>
      </w:r>
      <w:r w:rsidRPr="005822FE">
        <w:t>che se veut donc scientifique mais elle repose évidemment sur une centaine d'années de recherche et de ses conséquences. Ceci a pour effet de produire un décalage entre ce qui est présenté et les no</w:t>
      </w:r>
      <w:r>
        <w:t>uvelles découvertes et/ou inter</w:t>
      </w:r>
      <w:r w:rsidRPr="005869B6">
        <w:t>prétations</w:t>
      </w:r>
      <w:r>
        <w:t xml:space="preserve"> [</w:t>
      </w:r>
      <w:r w:rsidRPr="005869B6">
        <w:t>495</w:t>
      </w:r>
      <w:r>
        <w:t>]</w:t>
      </w:r>
      <w:r w:rsidRPr="005869B6">
        <w:t xml:space="preserve"> ainsi qu'une sélection de ce</w:t>
      </w:r>
      <w:r w:rsidRPr="005869B6">
        <w:t>r</w:t>
      </w:r>
      <w:r w:rsidRPr="005869B6">
        <w:t>taines interprétations sans considération du fait qu'il puisse y avoir absence de consensus sur le traitement de certains thèmes.</w:t>
      </w:r>
    </w:p>
    <w:p w:rsidR="00B7214C" w:rsidRPr="005869B6" w:rsidRDefault="00B7214C" w:rsidP="00B7214C">
      <w:pPr>
        <w:spacing w:before="120" w:after="120"/>
        <w:jc w:val="both"/>
      </w:pPr>
    </w:p>
    <w:p w:rsidR="00B7214C" w:rsidRDefault="00B7214C" w:rsidP="00B7214C">
      <w:pPr>
        <w:spacing w:before="120" w:after="120"/>
        <w:jc w:val="both"/>
      </w:pPr>
      <w:r w:rsidRPr="005E67DD">
        <w:rPr>
          <w:color w:val="FF0000"/>
        </w:rPr>
        <w:t>Contenu</w:t>
      </w:r>
      <w:r w:rsidRPr="005869B6">
        <w:t xml:space="preserve"> - C'est une synthèse de l'histoire préhispanique du Mex</w:t>
      </w:r>
      <w:r w:rsidRPr="005869B6">
        <w:t>i</w:t>
      </w:r>
      <w:r w:rsidRPr="005869B6">
        <w:t>que qui est livrée au spectateur. Ce domaine immense est présenté de façon « classique », ce qui veut dire que peu ou pas de techniques m</w:t>
      </w:r>
      <w:r w:rsidRPr="005869B6">
        <w:t>u</w:t>
      </w:r>
      <w:r w:rsidRPr="005869B6">
        <w:t>séales récentes telles que vidéo, diap</w:t>
      </w:r>
      <w:r w:rsidRPr="005869B6">
        <w:t>o</w:t>
      </w:r>
      <w:r w:rsidRPr="005869B6">
        <w:t>rama, etc. y sont utilisées. Quel message nous livre la salle a</w:t>
      </w:r>
      <w:r w:rsidRPr="005869B6">
        <w:t>z</w:t>
      </w:r>
      <w:r w:rsidRPr="005869B6">
        <w:t xml:space="preserve">tèque plus spécifiquement ? </w:t>
      </w:r>
      <w:r>
        <w:t>Comme je l'ai souligné tout à l’</w:t>
      </w:r>
      <w:r w:rsidRPr="005869B6">
        <w:t>heure, un discours nationaliste est sous-jacent à la présentation de cette dernière ; il met en valeur la grandeur du passé pr</w:t>
      </w:r>
      <w:r w:rsidRPr="005869B6">
        <w:t>é</w:t>
      </w:r>
      <w:r w:rsidRPr="005869B6">
        <w:t>hispanique et plus spécifiquement celui de l'empire aztèque. Tout comme Tenochtitlan était au coeur du Mexique d'avant Cortès, la s</w:t>
      </w:r>
      <w:r>
        <w:t>alle aztèque est au centre de l’</w:t>
      </w:r>
      <w:r w:rsidRPr="005869B6">
        <w:t>espace muséal. On a une impression de grandeur, d'écrasement presque, sous la puissance des œuvres scul</w:t>
      </w:r>
      <w:r w:rsidRPr="005869B6">
        <w:t>p</w:t>
      </w:r>
      <w:r w:rsidRPr="005869B6">
        <w:t>tées comme la pierre du soleil, le complexe sacrificiel et les divinités aztèques qui dominent les lieux. En retrait, les paysages de la ville sont reconstitués à partir des textes et cartes produits au moment de la Conquête ; une maquette du fameux marché de Tlatelolco, décrit avec le regard admiratif et aiguisé de Bernai Diaz del Castillo, permet d'imaginer la vie quotidienne des habitants du bassin</w:t>
      </w:r>
      <w:r>
        <w:t xml:space="preserve"> </w:t>
      </w:r>
      <w:r w:rsidRPr="005869B6">
        <w:t>de Mexico à ce</w:t>
      </w:r>
      <w:r w:rsidRPr="005869B6">
        <w:t>t</w:t>
      </w:r>
      <w:r w:rsidRPr="005869B6">
        <w:t>te époque.</w:t>
      </w:r>
    </w:p>
    <w:p w:rsidR="00B7214C" w:rsidRPr="005869B6" w:rsidRDefault="00B7214C" w:rsidP="00B7214C">
      <w:pPr>
        <w:spacing w:before="120" w:after="120"/>
        <w:jc w:val="both"/>
      </w:pPr>
    </w:p>
    <w:p w:rsidR="00B7214C" w:rsidRDefault="00B7214C" w:rsidP="00B7214C">
      <w:pPr>
        <w:spacing w:before="120" w:after="120"/>
        <w:jc w:val="both"/>
      </w:pPr>
      <w:r w:rsidRPr="005E67DD">
        <w:rPr>
          <w:color w:val="FF0000"/>
        </w:rPr>
        <w:t>Objectifs et public auquel est destiné le discours</w:t>
      </w:r>
      <w:r w:rsidRPr="005869B6">
        <w:t xml:space="preserve"> - C'est avant tout au grand public, national et international (la visite du musée est dans tous les itinéraires touristiques), qu'est destiné le discours de ce m</w:t>
      </w:r>
      <w:r w:rsidRPr="005869B6">
        <w:t>u</w:t>
      </w:r>
      <w:r w:rsidRPr="005869B6">
        <w:t>sée. La présence de groupes d'enfants des classes primaires et s</w:t>
      </w:r>
      <w:r w:rsidRPr="005869B6">
        <w:t>e</w:t>
      </w:r>
      <w:r w:rsidRPr="005869B6">
        <w:t>condaires témoignent également d'objectifs pédagogiques. Les dima</w:t>
      </w:r>
      <w:r w:rsidRPr="005869B6">
        <w:t>n</w:t>
      </w:r>
      <w:r w:rsidRPr="005869B6">
        <w:t>ches, on peut même pa</w:t>
      </w:r>
      <w:r w:rsidRPr="005869B6">
        <w:t>r</w:t>
      </w:r>
      <w:r w:rsidRPr="005869B6">
        <w:t>fois y voir de rares autochtones en famille qui viennent visiter le musée.</w:t>
      </w:r>
    </w:p>
    <w:p w:rsidR="00B7214C" w:rsidRPr="005869B6" w:rsidRDefault="00B7214C" w:rsidP="00B7214C">
      <w:pPr>
        <w:spacing w:before="120" w:after="120"/>
        <w:jc w:val="both"/>
      </w:pPr>
    </w:p>
    <w:p w:rsidR="00B7214C" w:rsidRDefault="00B7214C" w:rsidP="00B7214C">
      <w:pPr>
        <w:spacing w:before="120" w:after="120"/>
        <w:jc w:val="both"/>
      </w:pPr>
      <w:r w:rsidRPr="005E67DD">
        <w:rPr>
          <w:color w:val="FF0000"/>
        </w:rPr>
        <w:t>Évaluation</w:t>
      </w:r>
      <w:r w:rsidRPr="005869B6">
        <w:t xml:space="preserve"> - Il s'agit d'un discours muséal dont les fond</w:t>
      </w:r>
      <w:r w:rsidRPr="005869B6">
        <w:t>e</w:t>
      </w:r>
      <w:r w:rsidRPr="005869B6">
        <w:t>ments et les objectifs se veulent scientifiques. Il est clair tout</w:t>
      </w:r>
      <w:r w:rsidRPr="005869B6">
        <w:t>e</w:t>
      </w:r>
      <w:r w:rsidRPr="005869B6">
        <w:t>fois qu'il y a un net biais dans le message qui est livré au spectateur ; le monde préhi</w:t>
      </w:r>
      <w:r w:rsidRPr="005869B6">
        <w:t>s</w:t>
      </w:r>
      <w:r w:rsidRPr="005869B6">
        <w:t>panique est valorisé au détriment de la réalité autochtone actuelle ; et dans le monde préhispanique, ce sont les développements qui ont eu lieu dans les hauts plateaux mexicains avec, à son apogée, les Azt</w:t>
      </w:r>
      <w:r w:rsidRPr="005869B6">
        <w:t>è</w:t>
      </w:r>
      <w:r w:rsidRPr="005869B6">
        <w:t>ques, qui préd</w:t>
      </w:r>
      <w:r w:rsidRPr="005869B6">
        <w:t>o</w:t>
      </w:r>
      <w:r w:rsidRPr="005869B6">
        <w:t>minent. Plusieurs lectures sont possibles, soit, mais sans la supervision des « initiés » de l'archéologie du Mexique, ce di</w:t>
      </w:r>
      <w:r w:rsidRPr="005869B6">
        <w:t>s</w:t>
      </w:r>
      <w:r w:rsidRPr="005869B6">
        <w:t>cours est une œuvre de création plus que de reconstruction de la réal</w:t>
      </w:r>
      <w:r w:rsidRPr="005869B6">
        <w:t>i</w:t>
      </w:r>
      <w:r w:rsidRPr="005869B6">
        <w:t>té préhispanique.</w:t>
      </w:r>
    </w:p>
    <w:p w:rsidR="00B7214C" w:rsidRDefault="00B7214C" w:rsidP="00B7214C">
      <w:pPr>
        <w:spacing w:before="120" w:after="120"/>
        <w:jc w:val="both"/>
      </w:pPr>
      <w:r>
        <w:t>[496]</w:t>
      </w:r>
    </w:p>
    <w:p w:rsidR="00B7214C" w:rsidRDefault="00B7214C" w:rsidP="00B7214C">
      <w:pPr>
        <w:spacing w:before="120" w:after="120"/>
        <w:jc w:val="both"/>
      </w:pPr>
    </w:p>
    <w:p w:rsidR="00B7214C" w:rsidRPr="00825E12" w:rsidRDefault="00B7214C" w:rsidP="00B7214C">
      <w:pPr>
        <w:pStyle w:val="a"/>
      </w:pPr>
      <w:r w:rsidRPr="00825E12">
        <w:t>LE PROJET MEZCALA</w:t>
      </w:r>
    </w:p>
    <w:p w:rsidR="00B7214C" w:rsidRDefault="00B7214C" w:rsidP="00B7214C">
      <w:pPr>
        <w:spacing w:before="120" w:after="120"/>
        <w:jc w:val="both"/>
      </w:pPr>
    </w:p>
    <w:p w:rsidR="00B7214C" w:rsidRPr="00825E12" w:rsidRDefault="00B7214C" w:rsidP="00B7214C">
      <w:pPr>
        <w:spacing w:before="120" w:after="120"/>
        <w:jc w:val="both"/>
      </w:pPr>
      <w:r w:rsidRPr="00825E12">
        <w:t>Il s'agit d'un projet d'archéologie du département d'anthropologie de l'Université de Montréal qui étudie l'histoire préhispanique de la région Mezcala Balsas, située dans l'État du Guerrero, au Mexique. Etant donné l'absence de connaissances systématiques de l'archéologie de la région, le projet s'est donné plusieurs objectifs depuis ses débuts. Mais, pour les fins de cette réflexion, c'est une région qui a été conquise par les Aztèques et c'est sur cette portion de l'histoire préhi</w:t>
      </w:r>
      <w:r w:rsidRPr="00825E12">
        <w:t>s</w:t>
      </w:r>
      <w:r w:rsidRPr="00825E12">
        <w:t>panique que je ferai porter mon propos.</w:t>
      </w:r>
    </w:p>
    <w:p w:rsidR="00B7214C" w:rsidRDefault="00B7214C" w:rsidP="00B7214C">
      <w:pPr>
        <w:spacing w:before="120" w:after="120"/>
        <w:jc w:val="both"/>
      </w:pPr>
      <w:r>
        <w:br w:type="page"/>
      </w:r>
    </w:p>
    <w:p w:rsidR="00B7214C" w:rsidRPr="00825E12" w:rsidRDefault="00B7214C" w:rsidP="00B7214C">
      <w:pPr>
        <w:pStyle w:val="b"/>
      </w:pPr>
      <w:r w:rsidRPr="00825E12">
        <w:t>Caractéristiques du discours</w:t>
      </w:r>
    </w:p>
    <w:p w:rsidR="00B7214C" w:rsidRDefault="00B7214C" w:rsidP="00B7214C">
      <w:pPr>
        <w:spacing w:before="120" w:after="120"/>
        <w:jc w:val="both"/>
      </w:pPr>
    </w:p>
    <w:p w:rsidR="00B7214C" w:rsidRPr="00825E12" w:rsidRDefault="00B7214C" w:rsidP="00B7214C">
      <w:pPr>
        <w:spacing w:before="120" w:after="120"/>
        <w:jc w:val="both"/>
      </w:pPr>
      <w:r w:rsidRPr="005E67DD">
        <w:rPr>
          <w:color w:val="FF0000"/>
        </w:rPr>
        <w:t>Forme et méthodologie</w:t>
      </w:r>
      <w:r w:rsidRPr="00825E12">
        <w:t xml:space="preserve"> - Le discours proposé s'inscrit dans le contexte d'un projet de recherche. Sa démarche est scientifique; c'est par le biais de l'examen des documents archéologiques et ethnohist</w:t>
      </w:r>
      <w:r w:rsidRPr="00825E12">
        <w:t>o</w:t>
      </w:r>
      <w:r w:rsidRPr="00825E12">
        <w:t>riques tra</w:t>
      </w:r>
      <w:r>
        <w:t>i</w:t>
      </w:r>
      <w:r w:rsidRPr="00825E12">
        <w:t>tant de la pénétration aztèque dans la région Balsas au cours de la période postclassique, c'est-à-dire entre 1350 et 1520, qu'il pr</w:t>
      </w:r>
      <w:r w:rsidRPr="00825E12">
        <w:t>é</w:t>
      </w:r>
      <w:r w:rsidRPr="00825E12">
        <w:t>tend atteindre ses objectifs.</w:t>
      </w:r>
    </w:p>
    <w:p w:rsidR="00B7214C" w:rsidRPr="00825E12" w:rsidRDefault="00B7214C" w:rsidP="00B7214C">
      <w:pPr>
        <w:spacing w:before="120" w:after="120"/>
        <w:jc w:val="both"/>
      </w:pPr>
      <w:r w:rsidRPr="005E67DD">
        <w:rPr>
          <w:color w:val="FF0000"/>
        </w:rPr>
        <w:t>Contenu</w:t>
      </w:r>
      <w:r w:rsidRPr="00825E12">
        <w:t xml:space="preserve"> - Il s'agit d'un projet de recherche: les problèmes sont p</w:t>
      </w:r>
      <w:r w:rsidRPr="00825E12">
        <w:t>o</w:t>
      </w:r>
      <w:r w:rsidRPr="00825E12">
        <w:t>sés; l'état des connaissances est présenté et la méthode de travail pr</w:t>
      </w:r>
      <w:r w:rsidRPr="00825E12">
        <w:t>o</w:t>
      </w:r>
      <w:r>
        <w:t>po</w:t>
      </w:r>
      <w:r w:rsidRPr="00825E12">
        <w:t>sée. Les résultats de la recherche ne figurent toutefois pas encore ici.</w:t>
      </w:r>
    </w:p>
    <w:p w:rsidR="00B7214C" w:rsidRPr="00825E12" w:rsidRDefault="00B7214C" w:rsidP="00B7214C">
      <w:pPr>
        <w:spacing w:before="120" w:after="120"/>
        <w:jc w:val="both"/>
      </w:pPr>
      <w:r w:rsidRPr="005E67DD">
        <w:rPr>
          <w:color w:val="FF0000"/>
        </w:rPr>
        <w:t>Objectifs</w:t>
      </w:r>
      <w:r w:rsidRPr="00825E12">
        <w:t xml:space="preserve"> - Les objectifs de ce projet de recherche sont d'établir un cadre chronologique rendant compte des événements qui ont marqué l'histoire d'une province aztèque située dans l'État du Guerrero, la pr</w:t>
      </w:r>
      <w:r w:rsidRPr="00825E12">
        <w:t>o</w:t>
      </w:r>
      <w:r w:rsidRPr="00825E12">
        <w:t>vince Tepecoacuilco, entre 1350 et 1519, de reconstruire l'organis</w:t>
      </w:r>
      <w:r w:rsidRPr="00825E12">
        <w:t>a</w:t>
      </w:r>
      <w:r w:rsidRPr="00825E12">
        <w:t>tion sociale et économique avant, pendant et après la Conquête et l'établissement de provinces tributaires des Aztèques au Guerrero et, finalement, d'examiner l'impact de la présence aztèque dans cette pr</w:t>
      </w:r>
      <w:r w:rsidRPr="00825E12">
        <w:t>o</w:t>
      </w:r>
      <w:r w:rsidRPr="00825E12">
        <w:t>vince et, plus généralement, dans l'État du Guerrero.</w:t>
      </w:r>
    </w:p>
    <w:p w:rsidR="00B7214C" w:rsidRPr="00825E12" w:rsidRDefault="00B7214C" w:rsidP="00B7214C">
      <w:pPr>
        <w:spacing w:before="120" w:after="120"/>
        <w:jc w:val="both"/>
      </w:pPr>
      <w:r w:rsidRPr="00825E12">
        <w:t>Le projet se veut donc une contribution au discours scientifique (archéologique) concernant le Mexique préhispanique; en tant que tel, il est destiné à la communauté archéologique. Il faut toutefois ajouter que les objectifs de diffusion des résultats d'un projet d'archéologie, fait dans une région du Mexique, visent également les populations locales. La forme du discours devra s'adapter au contexte de diffusion, sans pour autant en altérer les objectifs scientifiques initiaux.</w:t>
      </w:r>
    </w:p>
    <w:p w:rsidR="00B7214C" w:rsidRPr="005869B6" w:rsidRDefault="00B7214C" w:rsidP="00B7214C">
      <w:pPr>
        <w:spacing w:before="120" w:after="120"/>
        <w:jc w:val="both"/>
      </w:pPr>
      <w:r w:rsidRPr="005E67DD">
        <w:rPr>
          <w:color w:val="FF0000"/>
        </w:rPr>
        <w:t>Évaluation</w:t>
      </w:r>
      <w:r w:rsidRPr="00825E12">
        <w:t xml:space="preserve"> - Le discours est scientifique, avec ses objectifs et ses contraintes méthodologiques. Ceci veut dire expliciter la déma</w:t>
      </w:r>
      <w:r>
        <w:t>rche et jus</w:t>
      </w:r>
      <w:r w:rsidRPr="005869B6">
        <w:t>tifier</w:t>
      </w:r>
      <w:r>
        <w:t xml:space="preserve"> [497]</w:t>
      </w:r>
      <w:r w:rsidRPr="005869B6">
        <w:t xml:space="preserve"> chaque inférence, chaque résultat qui découlera de l'o</w:t>
      </w:r>
      <w:r w:rsidRPr="005869B6">
        <w:t>b</w:t>
      </w:r>
      <w:r w:rsidRPr="005869B6">
        <w:t>servation et de l'analyse des données. Ce n'est pas là néce</w:t>
      </w:r>
      <w:r w:rsidRPr="005869B6">
        <w:t>s</w:t>
      </w:r>
      <w:r w:rsidRPr="005869B6">
        <w:t>sairement une garantie de reconstitution fidèle et réelle de la réalité étudiée mais c'en est l'ambition.</w:t>
      </w:r>
    </w:p>
    <w:p w:rsidR="00B7214C" w:rsidRDefault="00B7214C" w:rsidP="00B7214C">
      <w:pPr>
        <w:spacing w:before="120" w:after="120"/>
        <w:jc w:val="both"/>
      </w:pPr>
    </w:p>
    <w:p w:rsidR="00B7214C" w:rsidRDefault="00B7214C" w:rsidP="00B7214C">
      <w:pPr>
        <w:spacing w:before="120" w:after="120"/>
        <w:jc w:val="both"/>
      </w:pPr>
    </w:p>
    <w:p w:rsidR="00B7214C" w:rsidRPr="005869B6" w:rsidRDefault="00B7214C" w:rsidP="00B7214C">
      <w:pPr>
        <w:pStyle w:val="a"/>
      </w:pPr>
      <w:r w:rsidRPr="005869B6">
        <w:t>AZTECA, ROMAN DE GARY JENNING</w:t>
      </w:r>
    </w:p>
    <w:p w:rsidR="00B7214C" w:rsidRDefault="00B7214C" w:rsidP="00B7214C">
      <w:pPr>
        <w:spacing w:before="120" w:after="120"/>
        <w:jc w:val="both"/>
      </w:pPr>
    </w:p>
    <w:p w:rsidR="00B7214C" w:rsidRPr="005869B6" w:rsidRDefault="00B7214C" w:rsidP="00B7214C">
      <w:pPr>
        <w:spacing w:before="120" w:after="120"/>
        <w:jc w:val="both"/>
      </w:pPr>
      <w:r w:rsidRPr="005869B6">
        <w:t>Roman historique traitant de la vie d'un homme entre 1450 et 1500 à l'époque de l'empire aztèque. Il s'agit d'une fiction, soit, mais toute la trame historique reflète une connaissance et un contrôle excellent de la littérature ethnohistorique sur les Aztèques. C'est un livre que j'ai recommandé à mes étudiants, avec des réserves toutefois.</w:t>
      </w:r>
    </w:p>
    <w:p w:rsidR="00B7214C" w:rsidRDefault="00B7214C" w:rsidP="00B7214C">
      <w:pPr>
        <w:spacing w:before="120" w:after="120"/>
        <w:jc w:val="both"/>
      </w:pPr>
    </w:p>
    <w:p w:rsidR="00B7214C" w:rsidRPr="00145170" w:rsidRDefault="00B7214C" w:rsidP="00B7214C">
      <w:pPr>
        <w:pStyle w:val="b"/>
      </w:pPr>
      <w:r w:rsidRPr="00145170">
        <w:t>Caractéristiques du discours :</w:t>
      </w:r>
    </w:p>
    <w:p w:rsidR="00B7214C" w:rsidRDefault="00B7214C" w:rsidP="00B7214C">
      <w:pPr>
        <w:spacing w:before="120" w:after="120"/>
        <w:jc w:val="both"/>
      </w:pPr>
    </w:p>
    <w:p w:rsidR="00B7214C" w:rsidRPr="005869B6" w:rsidRDefault="00B7214C" w:rsidP="00B7214C">
      <w:pPr>
        <w:spacing w:before="120" w:after="120"/>
        <w:jc w:val="both"/>
      </w:pPr>
      <w:r w:rsidRPr="005E67DD">
        <w:rPr>
          <w:color w:val="FF0000"/>
        </w:rPr>
        <w:t>Forme</w:t>
      </w:r>
      <w:r w:rsidRPr="005869B6">
        <w:t xml:space="preserve"> - Littéraire.</w:t>
      </w:r>
    </w:p>
    <w:p w:rsidR="00B7214C" w:rsidRPr="005869B6" w:rsidRDefault="00B7214C" w:rsidP="00B7214C">
      <w:pPr>
        <w:spacing w:before="120" w:after="120"/>
        <w:jc w:val="both"/>
      </w:pPr>
      <w:r w:rsidRPr="005E67DD">
        <w:rPr>
          <w:color w:val="FF0000"/>
        </w:rPr>
        <w:t>Méthode</w:t>
      </w:r>
      <w:r w:rsidRPr="005869B6">
        <w:t xml:space="preserve"> - L'auteur n'est pas s</w:t>
      </w:r>
      <w:r>
        <w:t>oumis aux contraintes de la déma</w:t>
      </w:r>
      <w:r>
        <w:t>r</w:t>
      </w:r>
      <w:r>
        <w:t>c</w:t>
      </w:r>
      <w:r w:rsidRPr="005869B6">
        <w:t>he scientifique ; il l'est à celles de l'écriture littéraire.</w:t>
      </w:r>
    </w:p>
    <w:p w:rsidR="00B7214C" w:rsidRPr="005869B6" w:rsidRDefault="00B7214C" w:rsidP="00B7214C">
      <w:pPr>
        <w:spacing w:before="120" w:after="120"/>
        <w:jc w:val="both"/>
      </w:pPr>
      <w:r w:rsidRPr="005869B6">
        <w:t>Contenu - Il s'agit d'une fiction qui se situe dans une trame histor</w:t>
      </w:r>
      <w:r w:rsidRPr="005869B6">
        <w:t>i</w:t>
      </w:r>
      <w:r w:rsidRPr="005869B6">
        <w:t>que. L'auteur décrit, avec une exactitude à laquelle on n'aurait pas lieu de s'attendre, les pratiques culturelles des A</w:t>
      </w:r>
      <w:r w:rsidRPr="005869B6">
        <w:t>z</w:t>
      </w:r>
      <w:r w:rsidRPr="005869B6">
        <w:t>tèques ; pour ce faire, il s'est forcément appuyé sur la consult</w:t>
      </w:r>
      <w:r w:rsidRPr="005869B6">
        <w:t>a</w:t>
      </w:r>
      <w:r w:rsidRPr="005869B6">
        <w:t>tion de documents historiques écrits au moment de la Conqu</w:t>
      </w:r>
      <w:r w:rsidRPr="005869B6">
        <w:t>ê</w:t>
      </w:r>
      <w:r w:rsidRPr="005869B6">
        <w:t>te espagnole.</w:t>
      </w:r>
    </w:p>
    <w:p w:rsidR="00B7214C" w:rsidRPr="005869B6" w:rsidRDefault="00B7214C" w:rsidP="00B7214C">
      <w:pPr>
        <w:spacing w:before="120" w:after="120"/>
        <w:jc w:val="both"/>
      </w:pPr>
      <w:r w:rsidRPr="005E67DD">
        <w:rPr>
          <w:color w:val="FF0000"/>
        </w:rPr>
        <w:t>Objectifs</w:t>
      </w:r>
      <w:r w:rsidRPr="005869B6">
        <w:t xml:space="preserve"> - C'est à un public de lecteurs non scientifiques que s'adresse ce discours ; on ne peut même pas parler ici d'une intention de vulgarisation bien que cela en soit une et de qualité. La valeur de document historique est secondaire et vraisemblablement pas le but de l'exercice.</w:t>
      </w:r>
    </w:p>
    <w:p w:rsidR="00B7214C" w:rsidRDefault="00B7214C" w:rsidP="00B7214C">
      <w:pPr>
        <w:spacing w:before="120" w:after="120"/>
        <w:jc w:val="both"/>
      </w:pPr>
      <w:r w:rsidRPr="005E67DD">
        <w:rPr>
          <w:color w:val="FF0000"/>
        </w:rPr>
        <w:t>Évaluation</w:t>
      </w:r>
      <w:r w:rsidRPr="005869B6">
        <w:t xml:space="preserve"> - Si l'on parle des lieux de la mémoire, Jenning réussit l'exploit de faire une reconstitution fidèle du contexte historique dans lequel il situe s</w:t>
      </w:r>
      <w:r>
        <w:t>on action. Pour un public non informé toutefois, il est d</w:t>
      </w:r>
      <w:r w:rsidRPr="005869B6">
        <w:t>ifficile de discriminer entre science et fiction.</w:t>
      </w:r>
    </w:p>
    <w:p w:rsidR="00B7214C" w:rsidRPr="005869B6" w:rsidRDefault="00B7214C" w:rsidP="00B7214C">
      <w:pPr>
        <w:spacing w:before="120" w:after="120"/>
        <w:jc w:val="both"/>
      </w:pPr>
    </w:p>
    <w:p w:rsidR="00B7214C" w:rsidRPr="005869B6" w:rsidRDefault="00B7214C" w:rsidP="00B7214C">
      <w:pPr>
        <w:pStyle w:val="a"/>
      </w:pPr>
      <w:r w:rsidRPr="005869B6">
        <w:t>QU'EN CONCLURE ?</w:t>
      </w:r>
    </w:p>
    <w:p w:rsidR="00B7214C" w:rsidRDefault="00B7214C" w:rsidP="00B7214C">
      <w:pPr>
        <w:spacing w:before="120" w:after="120"/>
        <w:jc w:val="both"/>
      </w:pPr>
    </w:p>
    <w:p w:rsidR="00B7214C" w:rsidRPr="00E64571" w:rsidRDefault="00B7214C" w:rsidP="00B7214C">
      <w:pPr>
        <w:spacing w:before="120" w:after="120"/>
        <w:jc w:val="both"/>
      </w:pPr>
      <w:r w:rsidRPr="005869B6">
        <w:t>Trois discours sur le monde aztèque vous ont été présentés, trois discours dont les caractéristiques et les objectifs diff</w:t>
      </w:r>
      <w:r w:rsidRPr="005869B6">
        <w:t>è</w:t>
      </w:r>
      <w:r w:rsidRPr="005869B6">
        <w:t>rent : un discours muséal, un discours scientifique et un discours littéraire. Il fallait s'a</w:t>
      </w:r>
      <w:r w:rsidRPr="005869B6">
        <w:t>t</w:t>
      </w:r>
      <w:r w:rsidRPr="005869B6">
        <w:t>tendre</w:t>
      </w:r>
      <w:r>
        <w:t xml:space="preserve"> [</w:t>
      </w:r>
      <w:r w:rsidRPr="005869B6">
        <w:t>498</w:t>
      </w:r>
      <w:r>
        <w:t xml:space="preserve">] </w:t>
      </w:r>
      <w:r w:rsidRPr="00E64571">
        <w:t>au résultat, celui de trois niveaux de discours, de trois versions d'une réalité historique créée, reconstituée ou réinventée. L</w:t>
      </w:r>
      <w:r w:rsidRPr="00E64571">
        <w:t>e</w:t>
      </w:r>
      <w:r w:rsidRPr="00E64571">
        <w:t>quel de ces discours est le plus près de la réalité, le plus pertinent, le plus vrai</w:t>
      </w:r>
      <w:r>
        <w:t> </w:t>
      </w:r>
      <w:r w:rsidRPr="00E64571">
        <w:t>? Il semblerait, après analyse, que la validité du discours ne provienne pas nécessairement du fait qu'il soit scientifique. C'est pl</w:t>
      </w:r>
      <w:r w:rsidRPr="00E64571">
        <w:t>u</w:t>
      </w:r>
      <w:r w:rsidRPr="00E64571">
        <w:t>tôt dans l'adéquation entre les objectifs, les contraintes méthodolog</w:t>
      </w:r>
      <w:r w:rsidRPr="00E64571">
        <w:t>i</w:t>
      </w:r>
      <w:r w:rsidRPr="00E64571">
        <w:t>ques et les résultats qu'elle réside. Ainsi il n'y a pas une bonne adéqu</w:t>
      </w:r>
      <w:r w:rsidRPr="00E64571">
        <w:t>a</w:t>
      </w:r>
      <w:r w:rsidRPr="00E64571">
        <w:t>tion entre ces trois éléments dans le cas du discours offert par le M</w:t>
      </w:r>
      <w:r w:rsidRPr="00E64571">
        <w:t>u</w:t>
      </w:r>
      <w:r w:rsidRPr="00E64571">
        <w:t>sée national d'anthropologie: sa vocation est scientifique, elle se d</w:t>
      </w:r>
      <w:r w:rsidRPr="00E64571">
        <w:t>e</w:t>
      </w:r>
      <w:r w:rsidRPr="00E64571">
        <w:t>vrait d'être objective et de répondre aux canons de la démarche scie</w:t>
      </w:r>
      <w:r w:rsidRPr="00E64571">
        <w:t>n</w:t>
      </w:r>
      <w:r w:rsidRPr="00E64571">
        <w:t>tifique dans la présentation des sociétés préhispaniques et aztèque en partic</w:t>
      </w:r>
      <w:r w:rsidRPr="00E64571">
        <w:t>u</w:t>
      </w:r>
      <w:r w:rsidRPr="00E64571">
        <w:t>lier. Ce n'est pas le cas; sa vision de cette société est amplifiée, disto</w:t>
      </w:r>
      <w:r w:rsidRPr="00E64571">
        <w:t>r</w:t>
      </w:r>
      <w:r w:rsidRPr="00E64571">
        <w:t>tionnée. Chez Jenning, c'est presque par accident qu'il narre et recrée ce qu'aurait pu être la vie au temps des derniers dirigeants azt</w:t>
      </w:r>
      <w:r w:rsidRPr="00E64571">
        <w:t>è</w:t>
      </w:r>
      <w:r w:rsidRPr="00E64571">
        <w:t>ques. Il n'y a toutefois pas de décalage entre les objectifs, les contrai</w:t>
      </w:r>
      <w:r w:rsidRPr="00E64571">
        <w:t>n</w:t>
      </w:r>
      <w:r w:rsidRPr="00E64571">
        <w:t>tes et les résultats de son discours. Quant au projet Mezcala, à premi</w:t>
      </w:r>
      <w:r w:rsidRPr="00E64571">
        <w:t>è</w:t>
      </w:r>
      <w:r w:rsidRPr="00E64571">
        <w:t>re vue, il montre une adéquation entre objectifs et contraintes méth</w:t>
      </w:r>
      <w:r w:rsidRPr="00E64571">
        <w:t>o</w:t>
      </w:r>
      <w:r w:rsidRPr="00E64571">
        <w:t>dologiques, mais il faudra attendre les résultats pour disserter sur la pertinence de son discours.</w:t>
      </w:r>
    </w:p>
    <w:p w:rsidR="00B7214C" w:rsidRDefault="00B7214C" w:rsidP="00B7214C">
      <w:pPr>
        <w:pStyle w:val="p"/>
      </w:pPr>
      <w:r w:rsidRPr="005869B6">
        <w:br w:type="page"/>
      </w:r>
      <w:r>
        <w:t>[499]</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0" w:name="Entre_tradition_pt_3_texte_35"/>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B. LE DISCOURS ARCHÉOLOGIQUE</w:t>
      </w:r>
    </w:p>
    <w:p w:rsidR="00B7214C" w:rsidRPr="00384B20" w:rsidRDefault="00B7214C" w:rsidP="00B7214C">
      <w:pPr>
        <w:pStyle w:val="Titreniveau1"/>
      </w:pPr>
      <w:r>
        <w:t>35</w:t>
      </w:r>
    </w:p>
    <w:p w:rsidR="00B7214C" w:rsidRDefault="00B7214C" w:rsidP="00B7214C">
      <w:pPr>
        <w:pStyle w:val="Titreniveau2"/>
      </w:pPr>
      <w:r>
        <w:t>“</w:t>
      </w:r>
      <w:r w:rsidRPr="00B84DC7">
        <w:t>Archéologie : reconstruction</w:t>
      </w:r>
      <w:r>
        <w:br/>
      </w:r>
      <w:r w:rsidRPr="00B84DC7">
        <w:t>et construction du passé</w:t>
      </w:r>
      <w:r>
        <w:t>.”</w:t>
      </w:r>
    </w:p>
    <w:bookmarkEnd w:id="50"/>
    <w:p w:rsidR="00B7214C" w:rsidRPr="00E07116" w:rsidRDefault="00B7214C" w:rsidP="00B7214C">
      <w:pPr>
        <w:jc w:val="both"/>
        <w:rPr>
          <w:szCs w:val="36"/>
        </w:rPr>
      </w:pPr>
    </w:p>
    <w:p w:rsidR="00B7214C" w:rsidRPr="00E07116" w:rsidRDefault="00B7214C" w:rsidP="00B7214C">
      <w:pPr>
        <w:pStyle w:val="suite"/>
      </w:pPr>
      <w:r>
        <w:t>Par Geneviève DUGUAY</w:t>
      </w:r>
    </w:p>
    <w:p w:rsidR="00B7214C" w:rsidRPr="00E07116" w:rsidRDefault="00B7214C" w:rsidP="00B7214C">
      <w:pPr>
        <w:pStyle w:val="auteurst"/>
      </w:pPr>
      <w:r>
        <w:t>Archéologue</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rsidRPr="005869B6">
        <w:t>Certains ont écrit que les archéologues passent leur temps à produ</w:t>
      </w:r>
      <w:r w:rsidRPr="005869B6">
        <w:t>i</w:t>
      </w:r>
      <w:r w:rsidRPr="005869B6">
        <w:t>re du passé dans le présent</w:t>
      </w:r>
      <w:r>
        <w:t> </w:t>
      </w:r>
      <w:r>
        <w:rPr>
          <w:rStyle w:val="Appelnotedebasdep"/>
        </w:rPr>
        <w:footnoteReference w:id="360"/>
      </w:r>
      <w:r w:rsidRPr="005869B6">
        <w:t> ; ou alors, que l'archéologie est une di</w:t>
      </w:r>
      <w:r w:rsidRPr="005869B6">
        <w:t>s</w:t>
      </w:r>
      <w:r w:rsidRPr="005869B6">
        <w:t>cipline qui a le mauvais penchant de poser des questions que nul ne p</w:t>
      </w:r>
      <w:r w:rsidRPr="005869B6">
        <w:t>o</w:t>
      </w:r>
      <w:r w:rsidRPr="005869B6">
        <w:t>se</w:t>
      </w:r>
      <w:r>
        <w:t> </w:t>
      </w:r>
      <w:r>
        <w:rPr>
          <w:rStyle w:val="Appelnotedebasdep"/>
        </w:rPr>
        <w:footnoteReference w:id="361"/>
      </w:r>
      <w:r>
        <w:t>. À</w:t>
      </w:r>
      <w:r w:rsidRPr="005869B6">
        <w:t xml:space="preserve"> l'extrême, l'entreprise relève des missions impossibles qui font les héros</w:t>
      </w:r>
      <w:r>
        <w:t> </w:t>
      </w:r>
      <w:r>
        <w:rPr>
          <w:rStyle w:val="Appelnotedebasdep"/>
        </w:rPr>
        <w:footnoteReference w:id="362"/>
      </w:r>
      <w:r w:rsidRPr="005869B6">
        <w:t>. Bien sûr, ce sont là des représentations sociales pr</w:t>
      </w:r>
      <w:r w:rsidRPr="005869B6">
        <w:t>é</w:t>
      </w:r>
      <w:r w:rsidRPr="005869B6">
        <w:t>sentes chez les gens de la pr</w:t>
      </w:r>
      <w:r w:rsidRPr="005869B6">
        <w:t>o</w:t>
      </w:r>
      <w:r w:rsidRPr="005869B6">
        <w:t>fession et chez le public. Quoi qu'il en soit, l'approche que les archéologues ont du passé demeure partout partic</w:t>
      </w:r>
      <w:r w:rsidRPr="005869B6">
        <w:t>u</w:t>
      </w:r>
      <w:r w:rsidRPr="005869B6">
        <w:t>lière.</w:t>
      </w:r>
    </w:p>
    <w:p w:rsidR="00B7214C" w:rsidRDefault="00B7214C" w:rsidP="00B7214C">
      <w:pPr>
        <w:spacing w:before="120" w:after="120"/>
        <w:jc w:val="both"/>
      </w:pPr>
      <w:r w:rsidRPr="005869B6">
        <w:t>Intéressés par le passé, certes, mais plus spécialement par ses tr</w:t>
      </w:r>
      <w:r w:rsidRPr="005869B6">
        <w:t>a</w:t>
      </w:r>
      <w:r w:rsidRPr="005869B6">
        <w:t>ces matérielles qu'ils interprètent comme une matérial</w:t>
      </w:r>
      <w:r w:rsidRPr="005869B6">
        <w:t>i</w:t>
      </w:r>
      <w:r w:rsidRPr="005869B6">
        <w:t>sation de la culture, les archéologues sont des interprètes constamment à la r</w:t>
      </w:r>
      <w:r w:rsidRPr="005869B6">
        <w:t>e</w:t>
      </w:r>
      <w:r w:rsidRPr="005869B6">
        <w:t>cherche des significations qui ne se trouvent pas ailleurs. Pour eux, les vestiges deviennent des documents de l'action humaine passée et les sites sont une voie royale qui mène tout droit aux environnements n</w:t>
      </w:r>
      <w:r w:rsidRPr="005869B6">
        <w:t>a</w:t>
      </w:r>
      <w:r w:rsidRPr="005869B6">
        <w:t>turels et culturels pa</w:t>
      </w:r>
      <w:r w:rsidRPr="005869B6">
        <w:t>s</w:t>
      </w:r>
      <w:r w:rsidRPr="005869B6">
        <w:t>sés. Le culturel a été en quelque sorte fossilisé dans les pr</w:t>
      </w:r>
      <w:r w:rsidRPr="005869B6">
        <w:t>o</w:t>
      </w:r>
      <w:r w:rsidRPr="005869B6">
        <w:t>duits et les actions transcrites dans les traces et dans ce que les archéologues appellent des contextes. Contextes de produ</w:t>
      </w:r>
      <w:r w:rsidRPr="005869B6">
        <w:t>c</w:t>
      </w:r>
      <w:r w:rsidRPr="005869B6">
        <w:t>tion, d'utilisation, de dépôt, spatial, temporel, typologique, hi</w:t>
      </w:r>
      <w:r w:rsidRPr="005869B6">
        <w:t>s</w:t>
      </w:r>
      <w:r w:rsidRPr="005869B6">
        <w:t>torique, social, symbolique, rituel, etc. Ces niveaux d'analyse sont autant de grilles qui peuvent conduire à une compréhension des vestiges obse</w:t>
      </w:r>
      <w:r w:rsidRPr="005869B6">
        <w:t>r</w:t>
      </w:r>
      <w:r w:rsidRPr="005869B6">
        <w:t>vés.</w:t>
      </w:r>
    </w:p>
    <w:p w:rsidR="00B7214C" w:rsidRPr="005869B6" w:rsidRDefault="00B7214C" w:rsidP="00B7214C">
      <w:pPr>
        <w:spacing w:before="120" w:after="120"/>
        <w:jc w:val="both"/>
      </w:pPr>
      <w:r>
        <w:t>[500]</w:t>
      </w:r>
    </w:p>
    <w:p w:rsidR="00B7214C" w:rsidRPr="00867CFD" w:rsidRDefault="00B7214C" w:rsidP="00B7214C">
      <w:pPr>
        <w:spacing w:before="120" w:after="120"/>
        <w:jc w:val="both"/>
      </w:pPr>
      <w:r w:rsidRPr="00867CFD">
        <w:rPr>
          <w:szCs w:val="22"/>
        </w:rPr>
        <w:t>La lecture des traces matérielles implique un mode d'appréhension, la mise en œuvre d'un savoir interprétatif qui cumule les sources et réfère à des mémoires. De la compréhension va émerger la signific</w:t>
      </w:r>
      <w:r w:rsidRPr="00867CFD">
        <w:rPr>
          <w:szCs w:val="22"/>
        </w:rPr>
        <w:t>a</w:t>
      </w:r>
      <w:r>
        <w:rPr>
          <w:szCs w:val="22"/>
        </w:rPr>
        <w:t>tion. Consé</w:t>
      </w:r>
      <w:r w:rsidRPr="00867CFD">
        <w:rPr>
          <w:szCs w:val="22"/>
        </w:rPr>
        <w:t>quemment, par leur interprétation, les archéologues ont une double relation avec le temps: ils regardent vers le passé tout en l'inscrivant dans le présent. Ils récoltent les productions du passé qu'ils perçoivent, appréhendent et transposent. Simultanément, ils partic</w:t>
      </w:r>
      <w:r w:rsidRPr="00867CFD">
        <w:rPr>
          <w:szCs w:val="22"/>
        </w:rPr>
        <w:t>i</w:t>
      </w:r>
      <w:r w:rsidRPr="00867CFD">
        <w:rPr>
          <w:szCs w:val="22"/>
        </w:rPr>
        <w:t>pent à la reconstruction des éléments du passé et à la construction pr</w:t>
      </w:r>
      <w:r w:rsidRPr="00867CFD">
        <w:rPr>
          <w:szCs w:val="22"/>
        </w:rPr>
        <w:t>é</w:t>
      </w:r>
      <w:r w:rsidRPr="00867CFD">
        <w:rPr>
          <w:szCs w:val="22"/>
        </w:rPr>
        <w:t xml:space="preserve">sente de la </w:t>
      </w:r>
      <w:r>
        <w:rPr>
          <w:szCs w:val="22"/>
        </w:rPr>
        <w:t>notion du passé. De la construc</w:t>
      </w:r>
      <w:r w:rsidRPr="00867CFD">
        <w:rPr>
          <w:szCs w:val="22"/>
        </w:rPr>
        <w:t>tion élaborée découl</w:t>
      </w:r>
      <w:r w:rsidRPr="00867CFD">
        <w:rPr>
          <w:szCs w:val="22"/>
        </w:rPr>
        <w:t>e</w:t>
      </w:r>
      <w:r w:rsidRPr="00867CFD">
        <w:rPr>
          <w:szCs w:val="22"/>
        </w:rPr>
        <w:t>ront les représentations de l'archéologie, de ses pro</w:t>
      </w:r>
      <w:r w:rsidRPr="00867CFD">
        <w:rPr>
          <w:szCs w:val="22"/>
        </w:rPr>
        <w:softHyphen/>
        <w:t>cessus et de ses résu</w:t>
      </w:r>
      <w:r w:rsidRPr="00867CFD">
        <w:rPr>
          <w:szCs w:val="22"/>
        </w:rPr>
        <w:t>l</w:t>
      </w:r>
      <w:r w:rsidRPr="00867CFD">
        <w:rPr>
          <w:szCs w:val="22"/>
        </w:rPr>
        <w:t>tats.</w:t>
      </w:r>
    </w:p>
    <w:p w:rsidR="00B7214C" w:rsidRDefault="00B7214C" w:rsidP="00B7214C">
      <w:pPr>
        <w:spacing w:before="120" w:after="120"/>
        <w:jc w:val="both"/>
        <w:rPr>
          <w:szCs w:val="22"/>
        </w:rPr>
      </w:pPr>
    </w:p>
    <w:p w:rsidR="00B7214C" w:rsidRPr="00867CFD" w:rsidRDefault="00B7214C" w:rsidP="00B7214C">
      <w:pPr>
        <w:spacing w:before="120" w:after="120"/>
        <w:jc w:val="both"/>
      </w:pPr>
      <w:r w:rsidRPr="00867CFD">
        <w:rPr>
          <w:szCs w:val="22"/>
        </w:rPr>
        <w:t>Souvent en parallèle, de plus en plus en collaboration, l'archéologie contribue à façonner la mémoire collective. Elle dispose du lien le plus concret avec le passé, le fil conducteur de la matérialité. C'est lui qui permet aujourd'hui à tout être humain de trouver un point de co</w:t>
      </w:r>
      <w:r w:rsidRPr="00867CFD">
        <w:rPr>
          <w:szCs w:val="22"/>
        </w:rPr>
        <w:t>m</w:t>
      </w:r>
      <w:r w:rsidRPr="00867CFD">
        <w:rPr>
          <w:szCs w:val="22"/>
        </w:rPr>
        <w:t>para</w:t>
      </w:r>
      <w:r w:rsidRPr="00867CFD">
        <w:rPr>
          <w:szCs w:val="22"/>
        </w:rPr>
        <w:t>i</w:t>
      </w:r>
      <w:r w:rsidRPr="00867CFD">
        <w:rPr>
          <w:szCs w:val="22"/>
        </w:rPr>
        <w:t>son avec sa réalité quotidienne.</w:t>
      </w:r>
    </w:p>
    <w:p w:rsidR="00B7214C" w:rsidRDefault="00B7214C" w:rsidP="00B7214C">
      <w:pPr>
        <w:spacing w:before="120" w:after="120"/>
        <w:jc w:val="both"/>
        <w:rPr>
          <w:szCs w:val="22"/>
        </w:rPr>
      </w:pPr>
      <w:r>
        <w:rPr>
          <w:szCs w:val="22"/>
        </w:rPr>
        <w:br w:type="page"/>
      </w:r>
    </w:p>
    <w:p w:rsidR="00B7214C" w:rsidRPr="00867CFD" w:rsidRDefault="00B7214C" w:rsidP="00B7214C">
      <w:pPr>
        <w:pStyle w:val="a"/>
      </w:pPr>
      <w:r>
        <w:t>UN DOUBLE RAPPORT AU PASSÉ</w:t>
      </w:r>
      <w:r w:rsidRPr="00867CFD">
        <w:t>:</w:t>
      </w:r>
      <w:r>
        <w:br/>
      </w:r>
      <w:r w:rsidRPr="00867CFD">
        <w:t>RECON</w:t>
      </w:r>
      <w:r w:rsidRPr="00867CFD">
        <w:t>S</w:t>
      </w:r>
      <w:r w:rsidRPr="00867CFD">
        <w:t>TRUCTION ET CONSTRUCTION DU PASSÉ</w:t>
      </w:r>
    </w:p>
    <w:p w:rsidR="00B7214C" w:rsidRDefault="00B7214C" w:rsidP="00B7214C">
      <w:pPr>
        <w:spacing w:before="120" w:after="120"/>
        <w:jc w:val="both"/>
        <w:rPr>
          <w:szCs w:val="22"/>
        </w:rPr>
      </w:pPr>
    </w:p>
    <w:p w:rsidR="00B7214C" w:rsidRPr="00867CFD" w:rsidRDefault="00B7214C" w:rsidP="00B7214C">
      <w:pPr>
        <w:spacing w:before="120" w:after="120"/>
        <w:jc w:val="both"/>
      </w:pPr>
      <w:r w:rsidRPr="00867CFD">
        <w:rPr>
          <w:szCs w:val="22"/>
        </w:rPr>
        <w:t>Par notre rapport au temps et au passé, nous défini</w:t>
      </w:r>
      <w:r w:rsidRPr="00867CFD">
        <w:rPr>
          <w:szCs w:val="22"/>
        </w:rPr>
        <w:t>s</w:t>
      </w:r>
      <w:r w:rsidRPr="00867CFD">
        <w:rPr>
          <w:szCs w:val="22"/>
        </w:rPr>
        <w:t>sons une grande partie de notre identité. Cela est vrai sur le plan personnel tout comme pour la collectivité. Si l'Homme actuel se sent concerné par le passé, c'est parce qu'il a conscience d'être situé quelque part</w:t>
      </w:r>
      <w:r>
        <w:rPr>
          <w:szCs w:val="22"/>
        </w:rPr>
        <w:t xml:space="preserve"> sur la trame sp</w:t>
      </w:r>
      <w:r>
        <w:rPr>
          <w:szCs w:val="22"/>
        </w:rPr>
        <w:t>a</w:t>
      </w:r>
      <w:r>
        <w:rPr>
          <w:szCs w:val="22"/>
        </w:rPr>
        <w:t>tiale et tempo</w:t>
      </w:r>
      <w:r w:rsidRPr="00867CFD">
        <w:rPr>
          <w:szCs w:val="22"/>
        </w:rPr>
        <w:t>relle. Mais, ce passé auquel il peut référer est un passé qui a survécu, qui a sa propre historicité.</w:t>
      </w:r>
    </w:p>
    <w:p w:rsidR="00B7214C" w:rsidRDefault="00B7214C" w:rsidP="00B7214C">
      <w:pPr>
        <w:spacing w:before="120" w:after="120"/>
        <w:jc w:val="both"/>
        <w:rPr>
          <w:szCs w:val="22"/>
        </w:rPr>
      </w:pPr>
    </w:p>
    <w:p w:rsidR="00B7214C" w:rsidRDefault="00B7214C" w:rsidP="00B7214C">
      <w:pPr>
        <w:pStyle w:val="b"/>
      </w:pPr>
      <w:r w:rsidRPr="00D22F2E">
        <w:t>Quel passé ?</w:t>
      </w:r>
    </w:p>
    <w:p w:rsidR="00B7214C" w:rsidRDefault="00B7214C" w:rsidP="00B7214C">
      <w:pPr>
        <w:spacing w:before="120" w:after="120"/>
        <w:jc w:val="both"/>
        <w:rPr>
          <w:szCs w:val="22"/>
        </w:rPr>
      </w:pPr>
    </w:p>
    <w:p w:rsidR="00B7214C" w:rsidRDefault="00B7214C" w:rsidP="00B7214C">
      <w:pPr>
        <w:spacing w:before="120" w:after="120"/>
        <w:jc w:val="both"/>
        <w:rPr>
          <w:szCs w:val="22"/>
        </w:rPr>
      </w:pPr>
      <w:r w:rsidRPr="00867CFD">
        <w:rPr>
          <w:szCs w:val="22"/>
        </w:rPr>
        <w:t>Les archéologues comme les historiens, anthropologues, ethnol</w:t>
      </w:r>
      <w:r w:rsidRPr="00867CFD">
        <w:rPr>
          <w:szCs w:val="22"/>
        </w:rPr>
        <w:t>o</w:t>
      </w:r>
      <w:r w:rsidRPr="00867CFD">
        <w:rPr>
          <w:szCs w:val="22"/>
        </w:rPr>
        <w:t>gues et autres professionnels des sciences sociales formés à la pensée occidentale sont héritiers d'une certaine idéologie du passé</w:t>
      </w:r>
      <w:r>
        <w:rPr>
          <w:szCs w:val="22"/>
        </w:rPr>
        <w:t>. Chez les socié</w:t>
      </w:r>
      <w:r w:rsidRPr="00867CFD">
        <w:rPr>
          <w:szCs w:val="22"/>
        </w:rPr>
        <w:t>tés occidentales, le passé est fait d'un te</w:t>
      </w:r>
      <w:r>
        <w:rPr>
          <w:szCs w:val="22"/>
        </w:rPr>
        <w:t>mps continu en perpétuel change</w:t>
      </w:r>
      <w:r w:rsidRPr="00867CFD">
        <w:rPr>
          <w:szCs w:val="22"/>
        </w:rPr>
        <w:t>ment progressif, d'un temps qui passe. Ce n'était pas le cas chez les Grecs de l'Antiquité, et ce ne l'est pas non plus chez les Aborig</w:t>
      </w:r>
      <w:r w:rsidRPr="00867CFD">
        <w:rPr>
          <w:szCs w:val="22"/>
        </w:rPr>
        <w:t>è</w:t>
      </w:r>
      <w:r w:rsidRPr="00867CFD">
        <w:rPr>
          <w:szCs w:val="22"/>
        </w:rPr>
        <w:t>nes d'Australie pour lesquels le temps est discontinu, marqué par des phases et des cycles naturels contrastés qui se répètent, d'un temps qui dure</w:t>
      </w:r>
      <w:r>
        <w:rPr>
          <w:szCs w:val="22"/>
        </w:rPr>
        <w:t> </w:t>
      </w:r>
      <w:r>
        <w:rPr>
          <w:rStyle w:val="Appelnotedebasdep"/>
          <w:szCs w:val="22"/>
        </w:rPr>
        <w:footnoteReference w:id="363"/>
      </w:r>
      <w:r w:rsidRPr="00867CFD">
        <w:rPr>
          <w:szCs w:val="22"/>
        </w:rPr>
        <w:t>. Les uns regardent l'histoire comme une séquence cumulative de développement pendant que les autres y suivent le déclin de l'ordre initial. Cet arrière-plan, ce non-dit, est toujours lisible dans l'approche archéologique.</w:t>
      </w:r>
    </w:p>
    <w:p w:rsidR="00B7214C" w:rsidRDefault="00B7214C" w:rsidP="00B7214C">
      <w:pPr>
        <w:spacing w:before="120" w:after="120"/>
        <w:jc w:val="both"/>
      </w:pPr>
      <w:r>
        <w:t>[501]</w:t>
      </w:r>
    </w:p>
    <w:p w:rsidR="00B7214C" w:rsidRPr="005869B6" w:rsidRDefault="00B7214C" w:rsidP="00B7214C">
      <w:pPr>
        <w:spacing w:before="120" w:after="120"/>
        <w:jc w:val="both"/>
      </w:pPr>
      <w:r w:rsidRPr="005869B6">
        <w:t>L'archéologie d'ici s'inscrit dans une lecture du temps progre</w:t>
      </w:r>
      <w:r w:rsidRPr="005869B6">
        <w:t>s</w:t>
      </w:r>
      <w:r w:rsidRPr="005869B6">
        <w:t>sif, et ses interprétations transcrivent une suite de ruptures dues au choc des altérités. Songeons ici que l'archéologie préhistorique traite des soci</w:t>
      </w:r>
      <w:r w:rsidRPr="005869B6">
        <w:t>é</w:t>
      </w:r>
      <w:r w:rsidRPr="005869B6">
        <w:t>tés amérindiennes et que l'archéol</w:t>
      </w:r>
      <w:r w:rsidRPr="005869B6">
        <w:t>o</w:t>
      </w:r>
      <w:r w:rsidRPr="005869B6">
        <w:t>gie historique s'intéresse aux autres périodes, avec pour résu</w:t>
      </w:r>
      <w:r w:rsidRPr="005869B6">
        <w:t>l</w:t>
      </w:r>
      <w:r w:rsidRPr="005869B6">
        <w:t>tat que ce que l'on appelle la période de contact n'est à peu près pas étudiée. Lorsqu'elle l'est, elle est observée en termes de ruptures bien plus qu'en regard des échanges et des tran</w:t>
      </w:r>
      <w:r w:rsidRPr="005869B6">
        <w:t>s</w:t>
      </w:r>
      <w:r w:rsidRPr="005869B6">
        <w:t>formations dynamiques. La nuance est importante. Cette v</w:t>
      </w:r>
      <w:r w:rsidRPr="005869B6">
        <w:t>i</w:t>
      </w:r>
      <w:r w:rsidRPr="005869B6">
        <w:t>sion du passé semble bien refléter le présent, la conjugaison étant appare</w:t>
      </w:r>
      <w:r w:rsidRPr="005869B6">
        <w:t>m</w:t>
      </w:r>
      <w:r w:rsidRPr="005869B6">
        <w:t>ment inévitable.</w:t>
      </w:r>
    </w:p>
    <w:p w:rsidR="00B7214C" w:rsidRDefault="00B7214C" w:rsidP="00B7214C">
      <w:pPr>
        <w:spacing w:before="120" w:after="120"/>
        <w:jc w:val="both"/>
      </w:pPr>
    </w:p>
    <w:p w:rsidR="00B7214C" w:rsidRPr="009E1C81" w:rsidRDefault="00B7214C" w:rsidP="00B7214C">
      <w:pPr>
        <w:pStyle w:val="b"/>
      </w:pPr>
      <w:r w:rsidRPr="009E1C81">
        <w:t xml:space="preserve">Une reconstruction : </w:t>
      </w:r>
      <w:r>
        <w:br/>
      </w:r>
      <w:r w:rsidRPr="009E1C81">
        <w:t>la mémoire et les traces matérielles</w:t>
      </w:r>
    </w:p>
    <w:p w:rsidR="00B7214C" w:rsidRDefault="00B7214C" w:rsidP="00B7214C">
      <w:pPr>
        <w:spacing w:before="120" w:after="120"/>
        <w:jc w:val="both"/>
      </w:pPr>
    </w:p>
    <w:p w:rsidR="00B7214C" w:rsidRPr="005869B6" w:rsidRDefault="00B7214C" w:rsidP="00B7214C">
      <w:pPr>
        <w:spacing w:before="120" w:after="120"/>
        <w:jc w:val="both"/>
      </w:pPr>
      <w:r w:rsidRPr="005869B6">
        <w:t>David Lowenthal a écrit que « Toute perception du passé est fo</w:t>
      </w:r>
      <w:r w:rsidRPr="005869B6">
        <w:t>n</w:t>
      </w:r>
      <w:r w:rsidRPr="005869B6">
        <w:t>dée sur la mémoire. Par le souvenir, nous retrouvons la conscience des événements passés, distinguons hier de aujourd'hui et confirmons ai</w:t>
      </w:r>
      <w:r w:rsidRPr="005869B6">
        <w:t>n</w:t>
      </w:r>
      <w:r w:rsidRPr="005869B6">
        <w:t>si que nous avons expérimenté le passé</w:t>
      </w:r>
      <w:r>
        <w:t> </w:t>
      </w:r>
      <w:r>
        <w:rPr>
          <w:rStyle w:val="Appelnotedebasdep"/>
        </w:rPr>
        <w:footnoteReference w:id="364"/>
      </w:r>
      <w:r w:rsidRPr="005869B6">
        <w:t>. » Il ajoute que cette m</w:t>
      </w:r>
      <w:r w:rsidRPr="005869B6">
        <w:t>é</w:t>
      </w:r>
      <w:r w:rsidRPr="005869B6">
        <w:t>moire du passé semble fictive lor</w:t>
      </w:r>
      <w:r w:rsidRPr="005869B6">
        <w:t>s</w:t>
      </w:r>
      <w:r w:rsidRPr="005869B6">
        <w:t>qu'elle n'est pas partagée. Elle est donc individuelle et collect</w:t>
      </w:r>
      <w:r w:rsidRPr="005869B6">
        <w:t>i</w:t>
      </w:r>
      <w:r w:rsidRPr="005869B6">
        <w:t>ve. La mémoire est par ailleurs fortement liée à l'identité pe</w:t>
      </w:r>
      <w:r w:rsidRPr="005869B6">
        <w:t>r</w:t>
      </w:r>
      <w:r w:rsidRPr="005869B6">
        <w:t>sonnelle, à sa continuité, car le souvenir de ce que nous avons été confirme ce que nous sommes. Ainsi, les amnésiques pe</w:t>
      </w:r>
      <w:r w:rsidRPr="005869B6">
        <w:t>r</w:t>
      </w:r>
      <w:r w:rsidRPr="005869B6">
        <w:t>dent-ils avec leurs souvenirs même la capacité d'émotion</w:t>
      </w:r>
      <w:r>
        <w:t> </w:t>
      </w:r>
      <w:r>
        <w:rPr>
          <w:rStyle w:val="Appelnotedebasdep"/>
        </w:rPr>
        <w:footnoteReference w:id="365"/>
      </w:r>
      <w:r w:rsidRPr="005869B6">
        <w:t>.</w:t>
      </w:r>
    </w:p>
    <w:p w:rsidR="00B7214C" w:rsidRPr="005869B6" w:rsidRDefault="00B7214C" w:rsidP="00B7214C">
      <w:pPr>
        <w:spacing w:before="120" w:after="120"/>
        <w:jc w:val="both"/>
      </w:pPr>
      <w:r w:rsidRPr="005869B6">
        <w:t>Ailleurs que dans la mémoire, le passé survit aussi dans les traces matérielles, de la culture matérielle au paysage. De plus, il est transcrit dans les narrations qui en sont faites, qu'elles soient écrites, enregi</w:t>
      </w:r>
      <w:r w:rsidRPr="005869B6">
        <w:t>s</w:t>
      </w:r>
      <w:r w:rsidRPr="005869B6">
        <w:t>trées ou filmées, de la fiction ou des d</w:t>
      </w:r>
      <w:r w:rsidRPr="005869B6">
        <w:t>o</w:t>
      </w:r>
      <w:r w:rsidRPr="005869B6">
        <w:t>cuments historiques. L'enquête archéologique utilise toutes ces sources, dans les meilleures situations et ses découvertes vont vers la mémoire collective. L'archéologie s'i</w:t>
      </w:r>
      <w:r w:rsidRPr="005869B6">
        <w:t>n</w:t>
      </w:r>
      <w:r w:rsidRPr="005869B6">
        <w:t>téresse à la pr</w:t>
      </w:r>
      <w:r w:rsidRPr="005869B6">
        <w:t>é</w:t>
      </w:r>
      <w:r>
        <w:t>cé</w:t>
      </w:r>
      <w:r w:rsidRPr="005869B6">
        <w:t>dence, à ce qui n'appartient plus à l'individuel, mais au co</w:t>
      </w:r>
      <w:r w:rsidRPr="005869B6">
        <w:t>l</w:t>
      </w:r>
      <w:r w:rsidRPr="005869B6">
        <w:t>lectif, à la vénération du passé.</w:t>
      </w:r>
    </w:p>
    <w:p w:rsidR="00B7214C" w:rsidRPr="005869B6" w:rsidRDefault="00B7214C" w:rsidP="00B7214C">
      <w:pPr>
        <w:spacing w:before="120" w:after="120"/>
        <w:jc w:val="both"/>
      </w:pPr>
      <w:r w:rsidRPr="005869B6">
        <w:t>La mémoire est constituée de représentations, mais les vraies ch</w:t>
      </w:r>
      <w:r w:rsidRPr="005869B6">
        <w:t>o</w:t>
      </w:r>
      <w:r w:rsidRPr="005869B6">
        <w:t>ses concrètes et authentiques sont les artefacts, ceux-là mêmes que les archéologues qualifient de témoins matériels. Ils ont en effet un fort pouvoir d'évocation et de résurrection. Être en leur présence donne de l'importance au passé. Les ve</w:t>
      </w:r>
      <w:r w:rsidRPr="005869B6">
        <w:t>s</w:t>
      </w:r>
      <w:r w:rsidRPr="005869B6">
        <w:t>tiges matériels sont perçus comme étant plus authentiques et plus typiques de la vie quotidienne. Ils apparai</w:t>
      </w:r>
      <w:r w:rsidRPr="005869B6">
        <w:t>s</w:t>
      </w:r>
      <w:r w:rsidRPr="005869B6">
        <w:t>sent plus su</w:t>
      </w:r>
      <w:r w:rsidRPr="005869B6">
        <w:t>s</w:t>
      </w:r>
      <w:r w:rsidRPr="005869B6">
        <w:t>ceptibles de rétablir un équilibre en apportant une version plus populiste de l'histoire, à partir des témoins modestes des moins bien nantis. Le fait qu'ils soient tangibles les rend à la fois pa</w:t>
      </w:r>
      <w:r w:rsidRPr="005869B6">
        <w:t>s</w:t>
      </w:r>
      <w:r w:rsidRPr="005869B6">
        <w:t>sés et présents, les situe dans la réalité d'aujourd'hui.</w:t>
      </w:r>
    </w:p>
    <w:p w:rsidR="00B7214C" w:rsidRPr="00A06297" w:rsidRDefault="00B7214C" w:rsidP="00B7214C">
      <w:pPr>
        <w:spacing w:before="120" w:after="120"/>
        <w:jc w:val="both"/>
      </w:pPr>
      <w:r w:rsidRPr="005869B6">
        <w:t>C'est par l'interprétation qu'ils vont occuper le champ des signific</w:t>
      </w:r>
      <w:r w:rsidRPr="005869B6">
        <w:t>a</w:t>
      </w:r>
      <w:r w:rsidRPr="005869B6">
        <w:t>tions, puisqu'en archéologie, le passé est fait de données et d'évén</w:t>
      </w:r>
      <w:r w:rsidRPr="005869B6">
        <w:t>e</w:t>
      </w:r>
      <w:r w:rsidRPr="005869B6">
        <w:t>ments</w:t>
      </w:r>
      <w:r>
        <w:t xml:space="preserve"> [</w:t>
      </w:r>
      <w:r w:rsidRPr="005869B6">
        <w:t>502</w:t>
      </w:r>
      <w:r>
        <w:t xml:space="preserve">] </w:t>
      </w:r>
      <w:r w:rsidRPr="00A06297">
        <w:rPr>
          <w:szCs w:val="22"/>
        </w:rPr>
        <w:t>soumis à une transcription. Être en présence des vraies choses concrètes n'assure pas une communication immédiate de la connai</w:t>
      </w:r>
      <w:r w:rsidRPr="00A06297">
        <w:rPr>
          <w:szCs w:val="22"/>
        </w:rPr>
        <w:t>s</w:t>
      </w:r>
      <w:r w:rsidRPr="00A06297">
        <w:rPr>
          <w:szCs w:val="22"/>
        </w:rPr>
        <w:t>sance. Pour cela, les analystes disposent de la somme des constru</w:t>
      </w:r>
      <w:r w:rsidRPr="00A06297">
        <w:rPr>
          <w:szCs w:val="22"/>
        </w:rPr>
        <w:t>c</w:t>
      </w:r>
      <w:r w:rsidRPr="00A06297">
        <w:rPr>
          <w:szCs w:val="22"/>
        </w:rPr>
        <w:t>tions précédentes de l'histoire et sont en même temps à la source de constructions présentes et futures qui vont remplacer les premières ou les enrichir. Par le processus documentaire et l'analyse, il est possible de traiter de phénomènes sociaux abstraits comme la str</w:t>
      </w:r>
      <w:r w:rsidRPr="00A06297">
        <w:rPr>
          <w:szCs w:val="22"/>
        </w:rPr>
        <w:t>a</w:t>
      </w:r>
      <w:r w:rsidRPr="00A06297">
        <w:rPr>
          <w:szCs w:val="22"/>
        </w:rPr>
        <w:t>tification s</w:t>
      </w:r>
      <w:r w:rsidRPr="00A06297">
        <w:rPr>
          <w:szCs w:val="22"/>
        </w:rPr>
        <w:t>o</w:t>
      </w:r>
      <w:r w:rsidRPr="00A06297">
        <w:rPr>
          <w:szCs w:val="22"/>
        </w:rPr>
        <w:t>ciale, les</w:t>
      </w:r>
      <w:r>
        <w:rPr>
          <w:szCs w:val="22"/>
        </w:rPr>
        <w:t xml:space="preserve"> circuits commerciaux, l'organi</w:t>
      </w:r>
      <w:r w:rsidRPr="00A06297">
        <w:rPr>
          <w:szCs w:val="22"/>
        </w:rPr>
        <w:t>sation politique, les croyances religieuses, les modes de vie, etc.</w:t>
      </w:r>
    </w:p>
    <w:p w:rsidR="00B7214C" w:rsidRPr="00A06297" w:rsidRDefault="00B7214C" w:rsidP="00B7214C">
      <w:pPr>
        <w:spacing w:before="120" w:after="120"/>
        <w:jc w:val="both"/>
      </w:pPr>
      <w:r w:rsidRPr="00A06297">
        <w:rPr>
          <w:szCs w:val="22"/>
        </w:rPr>
        <w:t>De la compréhension des éléments culturels va déco</w:t>
      </w:r>
      <w:r w:rsidRPr="00A06297">
        <w:rPr>
          <w:szCs w:val="22"/>
        </w:rPr>
        <w:t>u</w:t>
      </w:r>
      <w:r w:rsidRPr="00A06297">
        <w:rPr>
          <w:szCs w:val="22"/>
        </w:rPr>
        <w:t>ler la recons</w:t>
      </w:r>
      <w:r w:rsidRPr="00A06297">
        <w:rPr>
          <w:szCs w:val="22"/>
        </w:rPr>
        <w:softHyphen/>
        <w:t>titution des situations et des événements, le plus so</w:t>
      </w:r>
      <w:r w:rsidRPr="00A06297">
        <w:rPr>
          <w:szCs w:val="22"/>
        </w:rPr>
        <w:t>u</w:t>
      </w:r>
      <w:r w:rsidRPr="00A06297">
        <w:rPr>
          <w:szCs w:val="22"/>
        </w:rPr>
        <w:t>vent considérée comme une reconstruction du passé.</w:t>
      </w:r>
    </w:p>
    <w:p w:rsidR="00B7214C" w:rsidRDefault="00B7214C" w:rsidP="00B7214C">
      <w:pPr>
        <w:spacing w:before="120" w:after="120"/>
        <w:jc w:val="both"/>
        <w:rPr>
          <w:szCs w:val="22"/>
        </w:rPr>
      </w:pPr>
    </w:p>
    <w:p w:rsidR="00B7214C" w:rsidRPr="00AA2519" w:rsidRDefault="00B7214C" w:rsidP="00B7214C">
      <w:pPr>
        <w:pStyle w:val="b"/>
      </w:pPr>
      <w:r w:rsidRPr="00AA2519">
        <w:t>Une construction</w:t>
      </w:r>
    </w:p>
    <w:p w:rsidR="00B7214C" w:rsidRDefault="00B7214C" w:rsidP="00B7214C">
      <w:pPr>
        <w:spacing w:before="120" w:after="120"/>
        <w:jc w:val="both"/>
        <w:rPr>
          <w:szCs w:val="22"/>
        </w:rPr>
      </w:pPr>
    </w:p>
    <w:p w:rsidR="00B7214C" w:rsidRPr="00A06297" w:rsidRDefault="00B7214C" w:rsidP="00B7214C">
      <w:pPr>
        <w:spacing w:before="120" w:after="120"/>
        <w:jc w:val="both"/>
      </w:pPr>
      <w:r w:rsidRPr="00A06297">
        <w:rPr>
          <w:szCs w:val="22"/>
        </w:rPr>
        <w:t>Bien sûr, le passé n'est pas transcrit mot à mot dans les traces r</w:t>
      </w:r>
      <w:r w:rsidRPr="00A06297">
        <w:rPr>
          <w:szCs w:val="22"/>
        </w:rPr>
        <w:t>e</w:t>
      </w:r>
      <w:r w:rsidRPr="00A06297">
        <w:rPr>
          <w:szCs w:val="22"/>
        </w:rPr>
        <w:t>trouvées. Il n'y a jamais de version intégrale, les événements se supe</w:t>
      </w:r>
      <w:r w:rsidRPr="00A06297">
        <w:rPr>
          <w:szCs w:val="22"/>
        </w:rPr>
        <w:t>r</w:t>
      </w:r>
      <w:r>
        <w:rPr>
          <w:szCs w:val="22"/>
        </w:rPr>
        <w:t>po</w:t>
      </w:r>
      <w:r w:rsidRPr="00A06297">
        <w:rPr>
          <w:szCs w:val="22"/>
        </w:rPr>
        <w:t>sant les uns aux autres en une a</w:t>
      </w:r>
      <w:r w:rsidRPr="00A06297">
        <w:rPr>
          <w:szCs w:val="22"/>
        </w:rPr>
        <w:t>c</w:t>
      </w:r>
      <w:r w:rsidRPr="00A06297">
        <w:rPr>
          <w:szCs w:val="22"/>
        </w:rPr>
        <w:t>cumulation de débris et de déchets. Une enquête minutie</w:t>
      </w:r>
      <w:r w:rsidRPr="00A06297">
        <w:rPr>
          <w:szCs w:val="22"/>
        </w:rPr>
        <w:t>u</w:t>
      </w:r>
      <w:r w:rsidRPr="00A06297">
        <w:rPr>
          <w:szCs w:val="22"/>
        </w:rPr>
        <w:t>se est menée alliant faits et hypothèses. Pendant que les uns scrutent les documents manuscrits, les autres y ajo</w:t>
      </w:r>
      <w:r w:rsidRPr="00A06297">
        <w:rPr>
          <w:szCs w:val="22"/>
        </w:rPr>
        <w:t>u</w:t>
      </w:r>
      <w:r w:rsidRPr="00A06297">
        <w:rPr>
          <w:szCs w:val="22"/>
        </w:rPr>
        <w:t>tent les témoins matériels et parfois l'enquête ethnolog</w:t>
      </w:r>
      <w:r w:rsidRPr="00A06297">
        <w:rPr>
          <w:szCs w:val="22"/>
        </w:rPr>
        <w:t>i</w:t>
      </w:r>
      <w:r w:rsidRPr="00A06297">
        <w:rPr>
          <w:szCs w:val="22"/>
        </w:rPr>
        <w:t>que. Tous versent à la connaissance historique les démon</w:t>
      </w:r>
      <w:r w:rsidRPr="00A06297">
        <w:rPr>
          <w:szCs w:val="22"/>
        </w:rPr>
        <w:t>s</w:t>
      </w:r>
      <w:r w:rsidRPr="00A06297">
        <w:rPr>
          <w:szCs w:val="22"/>
        </w:rPr>
        <w:t>trations de leurs interprétations, même lorsqu'il est que</w:t>
      </w:r>
      <w:r w:rsidRPr="00A06297">
        <w:rPr>
          <w:szCs w:val="22"/>
        </w:rPr>
        <w:t>s</w:t>
      </w:r>
      <w:r w:rsidRPr="00A06297">
        <w:rPr>
          <w:szCs w:val="22"/>
        </w:rPr>
        <w:t>tion des cultures préhistoriques. Le passé est une constru</w:t>
      </w:r>
      <w:r w:rsidRPr="00A06297">
        <w:rPr>
          <w:szCs w:val="22"/>
        </w:rPr>
        <w:t>c</w:t>
      </w:r>
      <w:r w:rsidRPr="00A06297">
        <w:rPr>
          <w:szCs w:val="22"/>
        </w:rPr>
        <w:t>tion faite de relectures successives, l'histoire étant un récit</w:t>
      </w:r>
      <w:r>
        <w:rPr>
          <w:szCs w:val="22"/>
        </w:rPr>
        <w:t xml:space="preserve"> interprétatif tiré d'un proces</w:t>
      </w:r>
      <w:r w:rsidRPr="00A06297">
        <w:rPr>
          <w:szCs w:val="22"/>
        </w:rPr>
        <w:t xml:space="preserve">sus empirique. </w:t>
      </w:r>
      <w:r>
        <w:rPr>
          <w:szCs w:val="22"/>
        </w:rPr>
        <w:t>Il</w:t>
      </w:r>
      <w:r w:rsidRPr="00A06297">
        <w:rPr>
          <w:szCs w:val="22"/>
        </w:rPr>
        <w:t xml:space="preserve"> y a sélection, donc ref</w:t>
      </w:r>
      <w:r w:rsidRPr="00A06297">
        <w:rPr>
          <w:szCs w:val="22"/>
        </w:rPr>
        <w:t>a</w:t>
      </w:r>
      <w:r w:rsidRPr="00A06297">
        <w:rPr>
          <w:szCs w:val="22"/>
        </w:rPr>
        <w:t>çonnage et adaptation, parfois biaisage.</w:t>
      </w:r>
    </w:p>
    <w:p w:rsidR="00B7214C" w:rsidRPr="00A06297" w:rsidRDefault="00B7214C" w:rsidP="00B7214C">
      <w:pPr>
        <w:spacing w:before="120" w:after="120"/>
        <w:jc w:val="both"/>
      </w:pPr>
      <w:r w:rsidRPr="00A06297">
        <w:rPr>
          <w:szCs w:val="22"/>
        </w:rPr>
        <w:t>Construire l'histoire est aussi une contribution à la sphère culture</w:t>
      </w:r>
      <w:r w:rsidRPr="00A06297">
        <w:rPr>
          <w:szCs w:val="22"/>
        </w:rPr>
        <w:t>l</w:t>
      </w:r>
      <w:r w:rsidRPr="00A06297">
        <w:rPr>
          <w:szCs w:val="22"/>
        </w:rPr>
        <w:t>le, production de significations et de valeurs. Éloquemment, le pa</w:t>
      </w:r>
      <w:r w:rsidRPr="00A06297">
        <w:rPr>
          <w:szCs w:val="22"/>
        </w:rPr>
        <w:t>s</w:t>
      </w:r>
      <w:r w:rsidRPr="00A06297">
        <w:rPr>
          <w:szCs w:val="22"/>
        </w:rPr>
        <w:t>sé que nous construisons est plus c</w:t>
      </w:r>
      <w:r w:rsidRPr="00A06297">
        <w:rPr>
          <w:szCs w:val="22"/>
        </w:rPr>
        <w:t>o</w:t>
      </w:r>
      <w:r w:rsidRPr="00A06297">
        <w:rPr>
          <w:szCs w:val="22"/>
        </w:rPr>
        <w:t>hérent qu'il ne l'était à la source</w:t>
      </w:r>
      <w:r>
        <w:rPr>
          <w:szCs w:val="22"/>
        </w:rPr>
        <w:t> </w:t>
      </w:r>
      <w:r>
        <w:rPr>
          <w:rStyle w:val="Appelnotedebasdep"/>
          <w:szCs w:val="22"/>
        </w:rPr>
        <w:footnoteReference w:id="366"/>
      </w:r>
      <w:r w:rsidRPr="00A06297">
        <w:rPr>
          <w:szCs w:val="22"/>
        </w:rPr>
        <w:t>. Comme la mémoire le fait avec les souvenirs personnels, l'histoire gonfle, compresse, exagère les moments uniques qui vont d</w:t>
      </w:r>
      <w:r w:rsidRPr="00A06297">
        <w:rPr>
          <w:szCs w:val="22"/>
        </w:rPr>
        <w:t>e</w:t>
      </w:r>
      <w:r w:rsidRPr="00A06297">
        <w:rPr>
          <w:szCs w:val="22"/>
        </w:rPr>
        <w:t>meurer ou affadit ceux qui sont uniformes, communs jusqu'à les faire disp</w:t>
      </w:r>
      <w:r w:rsidRPr="00A06297">
        <w:rPr>
          <w:szCs w:val="22"/>
        </w:rPr>
        <w:t>a</w:t>
      </w:r>
      <w:r w:rsidRPr="00A06297">
        <w:rPr>
          <w:szCs w:val="22"/>
        </w:rPr>
        <w:t>raître. La narration du passé structure le temps et lui donne sa texture; il est continu, linéaire et d</w:t>
      </w:r>
      <w:r w:rsidRPr="00A06297">
        <w:rPr>
          <w:szCs w:val="22"/>
        </w:rPr>
        <w:t>i</w:t>
      </w:r>
      <w:r>
        <w:rPr>
          <w:szCs w:val="22"/>
        </w:rPr>
        <w:t>rec</w:t>
      </w:r>
      <w:r w:rsidRPr="00A06297">
        <w:rPr>
          <w:szCs w:val="22"/>
        </w:rPr>
        <w:t>tionnel.</w:t>
      </w:r>
    </w:p>
    <w:p w:rsidR="00B7214C" w:rsidRPr="005869B6" w:rsidRDefault="00B7214C" w:rsidP="00B7214C">
      <w:pPr>
        <w:spacing w:before="120" w:after="120"/>
        <w:jc w:val="both"/>
      </w:pPr>
      <w:r w:rsidRPr="00A06297">
        <w:rPr>
          <w:szCs w:val="22"/>
        </w:rPr>
        <w:t>La production de significations faite par l'archéologie s'adresse à la collectivité, recherche le consensus social de la mémoire collective. Pour David Lowenthal, c'est une activité sociale et pour Susan Pearce qui va plus loin, les archéologues font partie de la négociation sociale présente. Ils sont en effet inscrits dans un projet actif de persu</w:t>
      </w:r>
      <w:r w:rsidRPr="00A06297">
        <w:rPr>
          <w:szCs w:val="22"/>
        </w:rPr>
        <w:t>a</w:t>
      </w:r>
      <w:r w:rsidRPr="00A06297">
        <w:rPr>
          <w:szCs w:val="22"/>
        </w:rPr>
        <w:t>sion dirigé d'abord vers la communauté scientifique mais, rap</w:t>
      </w:r>
      <w:r w:rsidRPr="00A06297">
        <w:rPr>
          <w:szCs w:val="22"/>
        </w:rPr>
        <w:t>i</w:t>
      </w:r>
      <w:r w:rsidRPr="00A06297">
        <w:rPr>
          <w:szCs w:val="22"/>
        </w:rPr>
        <w:t>dement orienté vers le public. D'ailleurs, la relation aux fonds publics paraît bien plus évidente pour la</w:t>
      </w:r>
      <w:r>
        <w:rPr>
          <w:szCs w:val="22"/>
        </w:rPr>
        <w:t xml:space="preserve"> </w:t>
      </w:r>
      <w:r>
        <w:t xml:space="preserve">[503] </w:t>
      </w:r>
      <w:r w:rsidRPr="005869B6">
        <w:t>recherche archéologique que pour la recherche historique ; la dernière étant plutôt associée au milieu un</w:t>
      </w:r>
      <w:r w:rsidRPr="005869B6">
        <w:t>i</w:t>
      </w:r>
      <w:r w:rsidRPr="005869B6">
        <w:t>versitaire</w:t>
      </w:r>
      <w:r>
        <w:t> </w:t>
      </w:r>
      <w:r>
        <w:rPr>
          <w:rStyle w:val="Appelnotedebasdep"/>
        </w:rPr>
        <w:footnoteReference w:id="367"/>
      </w:r>
      <w:r w:rsidRPr="005869B6">
        <w:t>.</w:t>
      </w:r>
    </w:p>
    <w:p w:rsidR="00B7214C" w:rsidRPr="005869B6" w:rsidRDefault="00B7214C" w:rsidP="00B7214C">
      <w:pPr>
        <w:spacing w:before="120" w:after="120"/>
        <w:jc w:val="both"/>
      </w:pPr>
      <w:r w:rsidRPr="005869B6">
        <w:t>Dans leur relation complexe avec le temps, les archéol</w:t>
      </w:r>
      <w:r w:rsidRPr="005869B6">
        <w:t>o</w:t>
      </w:r>
      <w:r w:rsidRPr="005869B6">
        <w:t>gues ont inévitablement à assumer un rapport au présent qui détermine leur pratique et la représentation qui en sera faite.</w:t>
      </w:r>
    </w:p>
    <w:p w:rsidR="00B7214C" w:rsidRDefault="00B7214C" w:rsidP="00B7214C">
      <w:pPr>
        <w:spacing w:before="120" w:after="120"/>
        <w:jc w:val="both"/>
      </w:pPr>
    </w:p>
    <w:p w:rsidR="00B7214C" w:rsidRPr="005869B6" w:rsidRDefault="00B7214C" w:rsidP="00B7214C">
      <w:pPr>
        <w:pStyle w:val="a"/>
      </w:pPr>
      <w:r w:rsidRPr="005869B6">
        <w:t>UN RAPPORT AU PRÉSENT</w:t>
      </w:r>
    </w:p>
    <w:p w:rsidR="00B7214C" w:rsidRDefault="00B7214C" w:rsidP="00B7214C">
      <w:pPr>
        <w:spacing w:before="120" w:after="120"/>
        <w:jc w:val="both"/>
      </w:pPr>
    </w:p>
    <w:p w:rsidR="00B7214C" w:rsidRPr="005869B6" w:rsidRDefault="00B7214C" w:rsidP="00B7214C">
      <w:pPr>
        <w:spacing w:before="120" w:after="120"/>
        <w:jc w:val="both"/>
      </w:pPr>
      <w:r w:rsidRPr="005869B6">
        <w:t>Comme le souligne avec un réalisme aigu Susan Pearce, l'arché</w:t>
      </w:r>
      <w:r w:rsidRPr="005869B6">
        <w:t>o</w:t>
      </w:r>
      <w:r w:rsidRPr="005869B6">
        <w:t>logie doit constamment négocier ses processus</w:t>
      </w:r>
      <w:r>
        <w:t> </w:t>
      </w:r>
      <w:r>
        <w:rPr>
          <w:rStyle w:val="Appelnotedebasdep"/>
        </w:rPr>
        <w:footnoteReference w:id="368"/>
      </w:r>
      <w:r w:rsidRPr="005869B6">
        <w:t>. Ici comme ailleurs, cela se vit depuis la définition de ce qui est archéologique jusqu'au choix des sites d'intérêt, à la planific</w:t>
      </w:r>
      <w:r w:rsidRPr="005869B6">
        <w:t>a</w:t>
      </w:r>
      <w:r w:rsidRPr="005869B6">
        <w:t>tion des interventions, et même jusqu'à la mise en valeur sous la forme de publication, d'exposition ou d'activités d'interprét</w:t>
      </w:r>
      <w:r w:rsidRPr="005869B6">
        <w:t>a</w:t>
      </w:r>
      <w:r w:rsidRPr="005869B6">
        <w:t>tion. Le passé est structuré et restructuré lors des choix qui sont faits pendant le processus archéologique : lors de la fo</w:t>
      </w:r>
      <w:r w:rsidRPr="005869B6">
        <w:t>r</w:t>
      </w:r>
      <w:r w:rsidRPr="005869B6">
        <w:t>mation des collections, au cours du protocole de conservation, d'étude et de publication ; et lors de la mise en valeur. Les co</w:t>
      </w:r>
      <w:r w:rsidRPr="005869B6">
        <w:t>l</w:t>
      </w:r>
      <w:r w:rsidRPr="005869B6">
        <w:t>lections sont constituées selon des critères sélectifs depuis la cueillette sur les sites jusqu'aux catalogues. Le processus de conservation n'attribue pas le même sort aux objets suivant qu'ils sont utilisés pour étude, expos</w:t>
      </w:r>
      <w:r w:rsidRPr="005869B6">
        <w:t>i</w:t>
      </w:r>
      <w:r w:rsidRPr="005869B6">
        <w:t>tion ou publication. Lors de ces opérations, il y a un archivage des données qui laisse un résidu informatif difficile à gérer et par lequel on élimine une partie de la connaissance à tirer des collections au pr</w:t>
      </w:r>
      <w:r w:rsidRPr="005869B6">
        <w:t>o</w:t>
      </w:r>
      <w:r w:rsidRPr="005869B6">
        <w:t>fit de ce qui est plus lisible ou spectaculaire. La mise en valeur des sites et des collections implique la mise en place d'un discours dir</w:t>
      </w:r>
      <w:r w:rsidRPr="005869B6">
        <w:t>i</w:t>
      </w:r>
      <w:r w:rsidRPr="005869B6">
        <w:t>gé vers le public. Ce mode de diffusion du savoir est haut</w:t>
      </w:r>
      <w:r w:rsidRPr="005869B6">
        <w:t>e</w:t>
      </w:r>
      <w:r w:rsidRPr="005869B6">
        <w:t>ment diluant, éliminant notamment la controverse et le conflit. La connaissance hi</w:t>
      </w:r>
      <w:r w:rsidRPr="005869B6">
        <w:t>s</w:t>
      </w:r>
      <w:r w:rsidRPr="005869B6">
        <w:t>torique n'est-elle pas, par définition, consensuelle. Le passé doit être défini collectivement dans sa stabilité, confirmant notre identité et la tradition. Le passé v</w:t>
      </w:r>
      <w:r w:rsidRPr="005869B6">
        <w:t>a</w:t>
      </w:r>
      <w:r w:rsidRPr="005869B6">
        <w:t>lide ainsi le présent, lui donne un sens. Mais, il ne faut surtout pas ignorer à quel point le passé a toujours été tran</w:t>
      </w:r>
      <w:r w:rsidRPr="005869B6">
        <w:t>s</w:t>
      </w:r>
      <w:r w:rsidRPr="005869B6">
        <w:t>formé par le présent. Cet échange perpétuel est une source intarissable de richesses, de redéfinitions et de renouvellement. Notre vision du monde et la culture globale s'en nourrissent.</w:t>
      </w:r>
    </w:p>
    <w:p w:rsidR="00B7214C" w:rsidRDefault="00B7214C" w:rsidP="00B7214C">
      <w:pPr>
        <w:spacing w:before="120" w:after="120"/>
        <w:jc w:val="both"/>
      </w:pPr>
      <w:r w:rsidRPr="005869B6">
        <w:t>Pour paraphraser Susan Pearce, je dirais que nous travaillons con</w:t>
      </w:r>
      <w:r w:rsidRPr="005869B6">
        <w:t>s</w:t>
      </w:r>
      <w:r w:rsidRPr="005869B6">
        <w:t>tamment à analyser des moments de l'histoire, en a</w:t>
      </w:r>
      <w:r w:rsidRPr="005869B6">
        <w:t>p</w:t>
      </w:r>
      <w:r w:rsidRPr="005869B6">
        <w:t>parence décousus les uns des autres dans le temps et dans l'e</w:t>
      </w:r>
      <w:r w:rsidRPr="005869B6">
        <w:t>s</w:t>
      </w:r>
      <w:r w:rsidRPr="005869B6">
        <w:t>pace, parmi lesquels nous sélectionnons ceux qui sont les plus attrayants à relater. À partir de là, il nous est demandé d'int</w:t>
      </w:r>
      <w:r w:rsidRPr="005869B6">
        <w:t>é</w:t>
      </w:r>
      <w:r w:rsidRPr="005869B6">
        <w:t>grer cette pièce de tricot lâche et isolée au grand chandail de l'histoire globale tricoté bien serré. Mission impo</w:t>
      </w:r>
      <w:r w:rsidRPr="005869B6">
        <w:t>s</w:t>
      </w:r>
      <w:r w:rsidRPr="005869B6">
        <w:t>sible, vous dirait n'importe quelle tricoteuse. Bien sûr, il y a Indiana. Un projet actif de persuasion dirigé vers le public disait-elle...</w:t>
      </w:r>
    </w:p>
    <w:p w:rsidR="00B7214C" w:rsidRPr="005869B6" w:rsidRDefault="00B7214C" w:rsidP="00B7214C">
      <w:pPr>
        <w:spacing w:before="120" w:after="120"/>
        <w:jc w:val="both"/>
      </w:pPr>
      <w:r>
        <w:t>[504]</w:t>
      </w:r>
    </w:p>
    <w:p w:rsidR="00B7214C" w:rsidRPr="005869B6" w:rsidRDefault="00B7214C" w:rsidP="00B7214C">
      <w:pPr>
        <w:spacing w:before="120" w:after="120"/>
        <w:jc w:val="both"/>
      </w:pPr>
      <w:r w:rsidRPr="005869B6">
        <w:t>La difficulté que les archéologues ont avec le présent, leur diachro- nisme aigu et permanent, n'est pas surprenant. Ont-ils appris à comp</w:t>
      </w:r>
      <w:r w:rsidRPr="005869B6">
        <w:t>o</w:t>
      </w:r>
      <w:r w:rsidRPr="005869B6">
        <w:t>ser avec la transformation qu'exige la transpos</w:t>
      </w:r>
      <w:r w:rsidRPr="005869B6">
        <w:t>i</w:t>
      </w:r>
      <w:r w:rsidRPr="005869B6">
        <w:t>tion du passé ? Pour conjuguer les découvertes au présent, il faut d'abord avoir la latitude de les faire et ensuite pouvoir en exposer à la fois les richesses comme les vides et les faible</w:t>
      </w:r>
      <w:r w:rsidRPr="005869B6">
        <w:t>s</w:t>
      </w:r>
      <w:r w:rsidRPr="005869B6">
        <w:t>ses. Notre version du passé n'a pas à être finale plus que celles des autres ; elle n'est pas plus fictive non plus. Joui</w:t>
      </w:r>
      <w:r w:rsidRPr="005869B6">
        <w:t>s</w:t>
      </w:r>
      <w:r w:rsidRPr="005869B6">
        <w:t>sons de la créativité. Nous sommes concernés par le passé, nous créons un passé, et ce passé devient lui-même historique. Quel bo</w:t>
      </w:r>
      <w:r w:rsidRPr="005869B6">
        <w:t>n</w:t>
      </w:r>
      <w:r w:rsidRPr="005869B6">
        <w:t>heur !</w:t>
      </w:r>
    </w:p>
    <w:p w:rsidR="00B7214C" w:rsidRPr="00B05531" w:rsidRDefault="00B7214C" w:rsidP="00B7214C">
      <w:pPr>
        <w:spacing w:before="120" w:after="120"/>
        <w:jc w:val="both"/>
        <w:rPr>
          <w:b/>
          <w:color w:val="FF0000"/>
        </w:rPr>
      </w:pPr>
      <w:r w:rsidRPr="00B05531">
        <w:rPr>
          <w:b/>
          <w:color w:val="FF0000"/>
        </w:rPr>
        <w:t>NOTES</w:t>
      </w: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r w:rsidRPr="005869B6">
        <w:br w:type="page"/>
      </w:r>
      <w:r>
        <w:t>[505]</w:t>
      </w: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1" w:name="Entre_tradition_pt_3_texte_36"/>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B. LE DISCOURS ARCHÉOLOGIQUE</w:t>
      </w:r>
    </w:p>
    <w:p w:rsidR="00B7214C" w:rsidRPr="00384B20" w:rsidRDefault="00B7214C" w:rsidP="00B7214C">
      <w:pPr>
        <w:pStyle w:val="Titreniveau1"/>
      </w:pPr>
      <w:r>
        <w:t>36</w:t>
      </w:r>
    </w:p>
    <w:p w:rsidR="00B7214C" w:rsidRDefault="00B7214C" w:rsidP="00B7214C">
      <w:pPr>
        <w:pStyle w:val="Titreniveau2"/>
      </w:pPr>
      <w:r>
        <w:t>“</w:t>
      </w:r>
      <w:r w:rsidRPr="00B84DC7">
        <w:t>Pointe-à-Callière, musée d'archéologie</w:t>
      </w:r>
      <w:r>
        <w:br/>
      </w:r>
      <w:r w:rsidRPr="00B84DC7">
        <w:t>et d'histoire de Montréal :</w:t>
      </w:r>
      <w:r>
        <w:br/>
      </w:r>
      <w:r w:rsidRPr="00B84DC7">
        <w:t>les fond</w:t>
      </w:r>
      <w:r w:rsidRPr="00B84DC7">
        <w:t>e</w:t>
      </w:r>
      <w:r w:rsidRPr="00B84DC7">
        <w:t>ments du discours</w:t>
      </w:r>
      <w:r>
        <w:t>.”</w:t>
      </w:r>
    </w:p>
    <w:bookmarkEnd w:id="51"/>
    <w:p w:rsidR="00B7214C" w:rsidRPr="00E07116" w:rsidRDefault="00B7214C" w:rsidP="00B7214C">
      <w:pPr>
        <w:jc w:val="both"/>
        <w:rPr>
          <w:szCs w:val="36"/>
        </w:rPr>
      </w:pPr>
    </w:p>
    <w:p w:rsidR="00B7214C" w:rsidRPr="00E07116" w:rsidRDefault="00B7214C" w:rsidP="00B7214C">
      <w:pPr>
        <w:pStyle w:val="suite"/>
      </w:pPr>
      <w:r>
        <w:t xml:space="preserve">Par </w:t>
      </w:r>
      <w:r w:rsidRPr="00B84DC7">
        <w:t>Jean-Guy BROSSARD et Michèle GARCEAU</w:t>
      </w:r>
      <w:r>
        <w:rPr>
          <w:b w:val="0"/>
        </w:rPr>
        <w:t> </w:t>
      </w:r>
      <w:r>
        <w:rPr>
          <w:rStyle w:val="Appelnotedebasdep"/>
          <w:b w:val="0"/>
        </w:rPr>
        <w:footnoteReference w:id="369"/>
      </w:r>
    </w:p>
    <w:p w:rsidR="00B7214C" w:rsidRPr="00E07116" w:rsidRDefault="00B7214C" w:rsidP="00B7214C">
      <w:pPr>
        <w:pStyle w:val="auteurst"/>
      </w:pPr>
      <w:r w:rsidRPr="004A7EF1">
        <w:t>Musée d'archéo</w:t>
      </w:r>
      <w:r>
        <w:t>logie et d'histoire de Montréal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t xml:space="preserve">À </w:t>
      </w:r>
      <w:r w:rsidRPr="005869B6">
        <w:t xml:space="preserve">Pointe-à-Callière, musée d'archéologie et d'histoire de Montréal, deux sites archéologiques majeurs sont conservés et mis en valeur </w:t>
      </w:r>
      <w:r w:rsidRPr="000D1A32">
        <w:rPr>
          <w:i/>
          <w:iCs/>
        </w:rPr>
        <w:t>in situ :</w:t>
      </w:r>
      <w:r w:rsidRPr="005869B6">
        <w:t xml:space="preserve"> le site de la pointe à Callière et celui de la place Royale. Ce sont des sites stratifiés à plusieurs niveaux d'occupations superposés.</w:t>
      </w:r>
    </w:p>
    <w:p w:rsidR="00B7214C" w:rsidRPr="005869B6" w:rsidRDefault="00B7214C" w:rsidP="00B7214C">
      <w:pPr>
        <w:spacing w:before="120" w:after="120"/>
        <w:jc w:val="both"/>
      </w:pPr>
      <w:r w:rsidRPr="005869B6">
        <w:t>La pointe formée par la confluence de la rivière Saint-Pierre et du fleuve Saint-Laurent porte le nom du troisième gouverneur de Mo</w:t>
      </w:r>
      <w:r w:rsidRPr="005869B6">
        <w:t>n</w:t>
      </w:r>
      <w:r w:rsidRPr="005869B6">
        <w:t>tréal qui y établit sa résidence au XVII</w:t>
      </w:r>
      <w:r w:rsidRPr="005869B6">
        <w:rPr>
          <w:vertAlign w:val="superscript"/>
        </w:rPr>
        <w:t>e</w:t>
      </w:r>
      <w:r w:rsidRPr="005869B6">
        <w:t xml:space="preserve"> siècle, Louis-Hector de Calli</w:t>
      </w:r>
      <w:r w:rsidRPr="005869B6">
        <w:t>è</w:t>
      </w:r>
      <w:r w:rsidRPr="005869B6">
        <w:t>re. L'extrémité de cette ancienne entité géographique est aujourd'hui comprise dans une des composantes du musée, le bâtiment de l'Ép</w:t>
      </w:r>
      <w:r w:rsidRPr="005869B6">
        <w:t>e</w:t>
      </w:r>
      <w:r w:rsidRPr="005869B6">
        <w:t>ron. Il abrite en sous-sol des vestiges remontant à la fondation de Vi</w:t>
      </w:r>
      <w:r w:rsidRPr="005869B6">
        <w:t>l</w:t>
      </w:r>
      <w:r w:rsidRPr="005869B6">
        <w:t>le-Marie, le cimetière, jusqu'à ceux du dernier bâtiment à occuper les lieux, le « Royal Insurance Building ».</w:t>
      </w:r>
    </w:p>
    <w:p w:rsidR="00B7214C" w:rsidRDefault="00B7214C" w:rsidP="00B7214C">
      <w:pPr>
        <w:spacing w:before="120" w:after="120"/>
        <w:jc w:val="both"/>
      </w:pPr>
      <w:r w:rsidRPr="005869B6">
        <w:t>L'actuelle place Royale, au nord immédiat de l'Éperon, co</w:t>
      </w:r>
      <w:r w:rsidRPr="005869B6">
        <w:t>r</w:t>
      </w:r>
      <w:r w:rsidRPr="005869B6">
        <w:t>respond aux premières pentes du coteau sur la rive gauche de la rivière. L'e</w:t>
      </w:r>
      <w:r w:rsidRPr="005869B6">
        <w:t>s</w:t>
      </w:r>
      <w:r w:rsidRPr="005869B6">
        <w:t>pace intégré à la crypte archéologique qui s'y trouve, autre composa</w:t>
      </w:r>
      <w:r w:rsidRPr="005869B6">
        <w:t>n</w:t>
      </w:r>
      <w:r w:rsidRPr="005869B6">
        <w:t>te du musée, était autrefois la partie sud de la première place publique et de marché où se succédèrent, depuis le XVII</w:t>
      </w:r>
      <w:r w:rsidRPr="005869B6">
        <w:rPr>
          <w:vertAlign w:val="superscript"/>
        </w:rPr>
        <w:t>e</w:t>
      </w:r>
      <w:r w:rsidRPr="005869B6">
        <w:t xml:space="preserve"> siècle, divers amén</w:t>
      </w:r>
      <w:r w:rsidRPr="005869B6">
        <w:t>a</w:t>
      </w:r>
      <w:r w:rsidRPr="005869B6">
        <w:t>gements et bâtiments.</w:t>
      </w:r>
    </w:p>
    <w:p w:rsidR="00B7214C" w:rsidRPr="005869B6" w:rsidRDefault="00B7214C" w:rsidP="00B7214C">
      <w:pPr>
        <w:spacing w:before="120" w:after="120"/>
        <w:jc w:val="both"/>
      </w:pPr>
      <w:r>
        <w:t>[</w:t>
      </w:r>
      <w:r w:rsidRPr="005869B6">
        <w:t>506</w:t>
      </w:r>
      <w:r>
        <w:t>]</w:t>
      </w:r>
    </w:p>
    <w:p w:rsidR="00B7214C" w:rsidRPr="004C64C1" w:rsidRDefault="00B7214C" w:rsidP="00B7214C">
      <w:pPr>
        <w:spacing w:before="120" w:after="120"/>
        <w:jc w:val="both"/>
      </w:pPr>
      <w:r w:rsidRPr="004C64C1">
        <w:rPr>
          <w:szCs w:val="22"/>
        </w:rPr>
        <w:t>Deux autres composantes complètent les infrastructures du musée. Dans l'axe de l'ancienne rivière Saint-Pierre, un imposant ouvrage de génie civil fut réalisé au XIX</w:t>
      </w:r>
      <w:r w:rsidRPr="004C64C1">
        <w:rPr>
          <w:szCs w:val="22"/>
          <w:vertAlign w:val="superscript"/>
        </w:rPr>
        <w:t>e</w:t>
      </w:r>
      <w:r w:rsidRPr="004C64C1">
        <w:rPr>
          <w:szCs w:val="22"/>
        </w:rPr>
        <w:t xml:space="preserve"> siècle pour canaliser le cours d'eau. Cet ancien égout-collecteur est mis en valeur dans un corridor souterrain reliant l'Ép</w:t>
      </w:r>
      <w:r w:rsidRPr="004C64C1">
        <w:rPr>
          <w:szCs w:val="22"/>
        </w:rPr>
        <w:t>e</w:t>
      </w:r>
      <w:r w:rsidRPr="004C64C1">
        <w:rPr>
          <w:szCs w:val="22"/>
        </w:rPr>
        <w:t>ron et la crypte.</w:t>
      </w:r>
    </w:p>
    <w:p w:rsidR="00B7214C" w:rsidRPr="004C64C1" w:rsidRDefault="00B7214C" w:rsidP="00B7214C">
      <w:pPr>
        <w:spacing w:before="120" w:after="120"/>
        <w:jc w:val="both"/>
      </w:pPr>
      <w:r w:rsidRPr="004C64C1">
        <w:rPr>
          <w:szCs w:val="22"/>
        </w:rPr>
        <w:t>Au nord de la crypte, la première douane de Montréal, construite au milieu du XIX</w:t>
      </w:r>
      <w:r w:rsidRPr="004C64C1">
        <w:rPr>
          <w:szCs w:val="22"/>
          <w:vertAlign w:val="superscript"/>
        </w:rPr>
        <w:t>e</w:t>
      </w:r>
      <w:r w:rsidRPr="004C64C1">
        <w:rPr>
          <w:szCs w:val="22"/>
        </w:rPr>
        <w:t xml:space="preserve"> siècle à l'emplacement </w:t>
      </w:r>
      <w:r>
        <w:rPr>
          <w:szCs w:val="22"/>
        </w:rPr>
        <w:t>même de l'ancienne place publi</w:t>
      </w:r>
      <w:r w:rsidRPr="004C64C1">
        <w:rPr>
          <w:szCs w:val="22"/>
        </w:rPr>
        <w:t>que, est aussi partie du musée. On y accède par des corridors souterrains à partir de la crypte.</w:t>
      </w:r>
    </w:p>
    <w:p w:rsidR="00B7214C" w:rsidRPr="004C64C1" w:rsidRDefault="00B7214C" w:rsidP="00B7214C">
      <w:pPr>
        <w:spacing w:before="120" w:after="120"/>
        <w:jc w:val="both"/>
      </w:pPr>
      <w:r w:rsidRPr="004C64C1">
        <w:rPr>
          <w:szCs w:val="22"/>
        </w:rPr>
        <w:t>Ce musée jette un regard sur les développements qui sont propres au passé de Montréal en intégrant à la fois des connaissances histor</w:t>
      </w:r>
      <w:r w:rsidRPr="004C64C1">
        <w:rPr>
          <w:szCs w:val="22"/>
        </w:rPr>
        <w:t>i</w:t>
      </w:r>
      <w:r w:rsidRPr="004C64C1">
        <w:rPr>
          <w:szCs w:val="22"/>
        </w:rPr>
        <w:t>ques et archéologiques. Qu'en est-il du discours vé</w:t>
      </w:r>
      <w:r>
        <w:rPr>
          <w:szCs w:val="22"/>
        </w:rPr>
        <w:t>hiculé dans les te</w:t>
      </w:r>
      <w:r>
        <w:rPr>
          <w:szCs w:val="22"/>
        </w:rPr>
        <w:t>x</w:t>
      </w:r>
      <w:r>
        <w:rPr>
          <w:szCs w:val="22"/>
        </w:rPr>
        <w:t>tes des expo</w:t>
      </w:r>
      <w:r w:rsidRPr="004C64C1">
        <w:rPr>
          <w:szCs w:val="22"/>
        </w:rPr>
        <w:t>sitions, dans les aménagements muséographiques et par l'anim</w:t>
      </w:r>
      <w:r w:rsidRPr="004C64C1">
        <w:rPr>
          <w:szCs w:val="22"/>
        </w:rPr>
        <w:t>a</w:t>
      </w:r>
      <w:r w:rsidRPr="004C64C1">
        <w:rPr>
          <w:szCs w:val="22"/>
        </w:rPr>
        <w:t>tion?</w:t>
      </w:r>
    </w:p>
    <w:p w:rsidR="00B7214C" w:rsidRPr="004C64C1" w:rsidRDefault="00B7214C" w:rsidP="00B7214C">
      <w:pPr>
        <w:spacing w:before="120" w:after="120"/>
        <w:jc w:val="both"/>
      </w:pPr>
      <w:r w:rsidRPr="004C64C1">
        <w:rPr>
          <w:szCs w:val="22"/>
        </w:rPr>
        <w:t>Cette réflexion porte donc sur les rapports entre l'hi</w:t>
      </w:r>
      <w:r w:rsidRPr="004C64C1">
        <w:rPr>
          <w:szCs w:val="22"/>
        </w:rPr>
        <w:t>s</w:t>
      </w:r>
      <w:r w:rsidRPr="004C64C1">
        <w:rPr>
          <w:szCs w:val="22"/>
        </w:rPr>
        <w:t>toire-science et l'archéologie. Quels types de liens à l'espace les données de chac</w:t>
      </w:r>
      <w:r w:rsidRPr="004C64C1">
        <w:rPr>
          <w:szCs w:val="22"/>
        </w:rPr>
        <w:t>u</w:t>
      </w:r>
      <w:r w:rsidRPr="004C64C1">
        <w:rPr>
          <w:szCs w:val="22"/>
        </w:rPr>
        <w:t>ne de ces deux disciplines pe</w:t>
      </w:r>
      <w:r w:rsidRPr="004C64C1">
        <w:rPr>
          <w:szCs w:val="22"/>
        </w:rPr>
        <w:t>r</w:t>
      </w:r>
      <w:r w:rsidRPr="004C64C1">
        <w:rPr>
          <w:szCs w:val="22"/>
        </w:rPr>
        <w:t>mettent-elles respectivement de tisser</w:t>
      </w:r>
      <w:r>
        <w:rPr>
          <w:szCs w:val="22"/>
        </w:rPr>
        <w:t> </w:t>
      </w:r>
      <w:r w:rsidRPr="004C64C1">
        <w:rPr>
          <w:szCs w:val="22"/>
        </w:rPr>
        <w:t>? Comment concevoir et r</w:t>
      </w:r>
      <w:r w:rsidRPr="004C64C1">
        <w:rPr>
          <w:szCs w:val="22"/>
        </w:rPr>
        <w:t>é</w:t>
      </w:r>
      <w:r w:rsidRPr="004C64C1">
        <w:rPr>
          <w:szCs w:val="22"/>
        </w:rPr>
        <w:t>aliser un discours global, à la fois historique et archéolog</w:t>
      </w:r>
      <w:r w:rsidRPr="004C64C1">
        <w:rPr>
          <w:szCs w:val="22"/>
        </w:rPr>
        <w:t>i</w:t>
      </w:r>
      <w:r w:rsidRPr="004C64C1">
        <w:rPr>
          <w:szCs w:val="22"/>
        </w:rPr>
        <w:t>que, sur le passé de cette ville dans ce cadre particulier d'une mise en valeur de vestiges archéologiques destinée au grand p</w:t>
      </w:r>
      <w:r w:rsidRPr="004C64C1">
        <w:rPr>
          <w:szCs w:val="22"/>
        </w:rPr>
        <w:t>u</w:t>
      </w:r>
      <w:r w:rsidRPr="004C64C1">
        <w:rPr>
          <w:szCs w:val="22"/>
        </w:rPr>
        <w:t>blic</w:t>
      </w:r>
      <w:r>
        <w:rPr>
          <w:szCs w:val="22"/>
        </w:rPr>
        <w:t> </w:t>
      </w:r>
      <w:r w:rsidRPr="004C64C1">
        <w:rPr>
          <w:szCs w:val="22"/>
        </w:rPr>
        <w:t>?</w:t>
      </w:r>
    </w:p>
    <w:p w:rsidR="00B7214C" w:rsidRDefault="00B7214C" w:rsidP="00B7214C">
      <w:pPr>
        <w:spacing w:before="120" w:after="120"/>
        <w:jc w:val="both"/>
        <w:rPr>
          <w:szCs w:val="22"/>
        </w:rPr>
      </w:pPr>
      <w:r>
        <w:rPr>
          <w:szCs w:val="22"/>
        </w:rPr>
        <w:br w:type="page"/>
        <w:t xml:space="preserve"> </w:t>
      </w:r>
    </w:p>
    <w:p w:rsidR="00B7214C" w:rsidRPr="004C64C1" w:rsidRDefault="00B7214C" w:rsidP="00B7214C">
      <w:pPr>
        <w:pStyle w:val="a"/>
      </w:pPr>
      <w:r w:rsidRPr="004C64C1">
        <w:t>ARCH</w:t>
      </w:r>
      <w:r>
        <w:t>É</w:t>
      </w:r>
      <w:r w:rsidRPr="004C64C1">
        <w:t>OLOGIE ET HISTOIRE:</w:t>
      </w:r>
      <w:r>
        <w:br/>
      </w:r>
      <w:r w:rsidRPr="004C64C1">
        <w:t>DEUX DISCIPL</w:t>
      </w:r>
      <w:r w:rsidRPr="004C64C1">
        <w:t>I</w:t>
      </w:r>
      <w:r w:rsidRPr="004C64C1">
        <w:t>NES, UN MÊME CHAMP D'ÉTUDE</w:t>
      </w:r>
    </w:p>
    <w:p w:rsidR="00B7214C" w:rsidRDefault="00B7214C" w:rsidP="00B7214C">
      <w:pPr>
        <w:spacing w:before="120" w:after="120"/>
        <w:jc w:val="both"/>
        <w:rPr>
          <w:szCs w:val="22"/>
        </w:rPr>
      </w:pPr>
    </w:p>
    <w:p w:rsidR="00B7214C" w:rsidRPr="004C64C1" w:rsidRDefault="00B7214C" w:rsidP="00B7214C">
      <w:pPr>
        <w:spacing w:before="120" w:after="120"/>
        <w:jc w:val="both"/>
      </w:pPr>
      <w:r w:rsidRPr="004C64C1">
        <w:rPr>
          <w:szCs w:val="22"/>
        </w:rPr>
        <w:t>Audacieuse entreprise que de réunir au sein d'un même projet et d'une même institution ces deux disciplines à la fois si proches et si éloignées. On pourrait se dire que leur affinité va de soi, étant donné que toutes deux étudient le passé d'une même région, Montréal. On pourrait penser que l'archéologie jettera une lumière nouvelle sur les i</w:t>
      </w:r>
      <w:r w:rsidRPr="004C64C1">
        <w:rPr>
          <w:szCs w:val="22"/>
        </w:rPr>
        <w:t>n</w:t>
      </w:r>
      <w:r w:rsidRPr="004C64C1">
        <w:rPr>
          <w:szCs w:val="22"/>
        </w:rPr>
        <w:t>terprétations historiques et vice versa.</w:t>
      </w:r>
    </w:p>
    <w:p w:rsidR="00B7214C" w:rsidRPr="005869B6" w:rsidRDefault="00B7214C" w:rsidP="00B7214C">
      <w:pPr>
        <w:spacing w:before="120" w:after="120"/>
        <w:jc w:val="both"/>
      </w:pPr>
      <w:r w:rsidRPr="004C64C1">
        <w:rPr>
          <w:szCs w:val="22"/>
        </w:rPr>
        <w:t>Ce sont deux disciplines pour lesquelles tous les a</w:t>
      </w:r>
      <w:r w:rsidRPr="004C64C1">
        <w:rPr>
          <w:szCs w:val="22"/>
        </w:rPr>
        <w:t>s</w:t>
      </w:r>
      <w:r w:rsidRPr="004C64C1">
        <w:rPr>
          <w:szCs w:val="22"/>
        </w:rPr>
        <w:t>pects du passé comportent un intérêt dans leurs moindres particularités; deux disc</w:t>
      </w:r>
      <w:r w:rsidRPr="004C64C1">
        <w:rPr>
          <w:szCs w:val="22"/>
        </w:rPr>
        <w:t>i</w:t>
      </w:r>
      <w:r w:rsidRPr="004C64C1">
        <w:rPr>
          <w:szCs w:val="22"/>
        </w:rPr>
        <w:t xml:space="preserve">plines qui se sont enrichies des concepts élaborés dans les autres </w:t>
      </w:r>
      <w:r>
        <w:rPr>
          <w:szCs w:val="22"/>
        </w:rPr>
        <w:t>sciences humai</w:t>
      </w:r>
      <w:r w:rsidRPr="004C64C1">
        <w:rPr>
          <w:szCs w:val="22"/>
        </w:rPr>
        <w:t>nes comme la géographie humaine, l'économie, la d</w:t>
      </w:r>
      <w:r w:rsidRPr="004C64C1">
        <w:rPr>
          <w:szCs w:val="22"/>
        </w:rPr>
        <w:t>é</w:t>
      </w:r>
      <w:r>
        <w:rPr>
          <w:szCs w:val="22"/>
        </w:rPr>
        <w:t>mographie, la sociolo</w:t>
      </w:r>
      <w:r w:rsidRPr="004C64C1">
        <w:rPr>
          <w:szCs w:val="22"/>
        </w:rPr>
        <w:t>gie, l'urbanisme ou la psychologie; deux disc</w:t>
      </w:r>
      <w:r w:rsidRPr="004C64C1">
        <w:rPr>
          <w:szCs w:val="22"/>
        </w:rPr>
        <w:t>i</w:t>
      </w:r>
      <w:r w:rsidRPr="004C64C1">
        <w:rPr>
          <w:szCs w:val="22"/>
        </w:rPr>
        <w:t>plines dont les méthodes font appel aux raisonnements analog</w:t>
      </w:r>
      <w:r w:rsidRPr="004C64C1">
        <w:rPr>
          <w:szCs w:val="22"/>
        </w:rPr>
        <w:t>i</w:t>
      </w:r>
      <w:r w:rsidRPr="004C64C1">
        <w:rPr>
          <w:szCs w:val="22"/>
        </w:rPr>
        <w:t>ques et inférentiels</w:t>
      </w:r>
      <w:r>
        <w:rPr>
          <w:szCs w:val="22"/>
        </w:rPr>
        <w:t> </w:t>
      </w:r>
      <w:r w:rsidRPr="004C64C1">
        <w:rPr>
          <w:szCs w:val="22"/>
        </w:rPr>
        <w:t>; deux disciplines qui tendent vers une approche globale du passé, c'est-à-dire que la totalité des faits sociaux inférés est cons</w:t>
      </w:r>
      <w:r w:rsidRPr="004C64C1">
        <w:rPr>
          <w:szCs w:val="22"/>
        </w:rPr>
        <w:t>i</w:t>
      </w:r>
      <w:r w:rsidRPr="004C64C1">
        <w:rPr>
          <w:szCs w:val="22"/>
        </w:rPr>
        <w:t>dérée et forme un ensemble indissociable, une globalité, afin d'expl</w:t>
      </w:r>
      <w:r w:rsidRPr="004C64C1">
        <w:rPr>
          <w:szCs w:val="22"/>
        </w:rPr>
        <w:t>i</w:t>
      </w:r>
      <w:r w:rsidRPr="004C64C1">
        <w:rPr>
          <w:szCs w:val="22"/>
        </w:rPr>
        <w:t>quer les compo</w:t>
      </w:r>
      <w:r w:rsidRPr="004C64C1">
        <w:rPr>
          <w:szCs w:val="22"/>
        </w:rPr>
        <w:t>r</w:t>
      </w:r>
      <w:r w:rsidRPr="004C64C1">
        <w:rPr>
          <w:szCs w:val="22"/>
        </w:rPr>
        <w:t>tem</w:t>
      </w:r>
      <w:r>
        <w:rPr>
          <w:szCs w:val="22"/>
        </w:rPr>
        <w:t>ents humains individuels ou col</w:t>
      </w:r>
      <w:r w:rsidRPr="005869B6">
        <w:t>lectifs</w:t>
      </w:r>
      <w:r>
        <w:t xml:space="preserve"> [</w:t>
      </w:r>
      <w:r w:rsidRPr="005869B6">
        <w:t>507</w:t>
      </w:r>
      <w:r>
        <w:t>]</w:t>
      </w:r>
      <w:r w:rsidRPr="005869B6">
        <w:t xml:space="preserve"> et ce, avec une pluralité de points de vue et de dime</w:t>
      </w:r>
      <w:r w:rsidRPr="005869B6">
        <w:t>n</w:t>
      </w:r>
      <w:r w:rsidRPr="005869B6">
        <w:t>sions analytiques.</w:t>
      </w:r>
    </w:p>
    <w:p w:rsidR="00B7214C" w:rsidRPr="005869B6" w:rsidRDefault="00B7214C" w:rsidP="00B7214C">
      <w:pPr>
        <w:spacing w:before="120" w:after="120"/>
        <w:jc w:val="both"/>
      </w:pPr>
      <w:r w:rsidRPr="005869B6">
        <w:t>Leur distinction première réside dans les données de base utilisées pour inférer le passé. À première vue, les résultats de chacune d</w:t>
      </w:r>
      <w:r w:rsidRPr="005869B6">
        <w:t>e</w:t>
      </w:r>
      <w:r w:rsidRPr="005869B6">
        <w:t>vraient être concordants étant donné qu'il s'agit du même passé, qu'on n'invente point, mais qu'on met en lumière. Mais mettons au défi qui que ce soit de décrire et d'expliquer le présent vécu par une collectiv</w:t>
      </w:r>
      <w:r w:rsidRPr="005869B6">
        <w:t>i</w:t>
      </w:r>
      <w:r w:rsidRPr="005869B6">
        <w:t>té avec une approche aussi globale que ces deux disciplines le font pour le passé, et nous n'aurons jamais deux réponses semblables. La réponse donnée variera selon l'aspect ou les aspects du réel observés.</w:t>
      </w:r>
    </w:p>
    <w:p w:rsidR="00B7214C" w:rsidRPr="005869B6" w:rsidRDefault="00B7214C" w:rsidP="00B7214C">
      <w:pPr>
        <w:spacing w:before="120" w:after="120"/>
        <w:jc w:val="both"/>
      </w:pPr>
      <w:r w:rsidRPr="005869B6">
        <w:t>L'aspect du réel observable est conditionné à la fois par la vision de l'observateur et par les données recueillies suggérant ou non une inférence. Ni les données archéologiques ni les données historiques ne permettent des inférences sur tous les aspects du passé. Par exemple, toutes les activités pratiquées en un lieu n'amènent pas nécessairement à la formation de données archéologiques et historiques. Elles n'am</w:t>
      </w:r>
      <w:r w:rsidRPr="005869B6">
        <w:t>è</w:t>
      </w:r>
      <w:r w:rsidRPr="005869B6">
        <w:t>nent pas toutes un rejet des matériaux utilisés, tout comme elles n'am</w:t>
      </w:r>
      <w:r w:rsidRPr="005869B6">
        <w:t>è</w:t>
      </w:r>
      <w:r w:rsidRPr="005869B6">
        <w:t>nent pas nécessairement la production d'un texte écrit ou une représentation iconographique. Certains aspects sont sujets à mieux ressortir de l'un ou l'autre des corpus, d'autres seront illisibles.</w:t>
      </w:r>
    </w:p>
    <w:p w:rsidR="00B7214C" w:rsidRPr="005869B6" w:rsidRDefault="00B7214C" w:rsidP="00B7214C">
      <w:pPr>
        <w:spacing w:before="120" w:after="120"/>
        <w:jc w:val="both"/>
      </w:pPr>
      <w:r w:rsidRPr="005869B6">
        <w:t>Il n'est pas nécessairement possible de lier ces deux corpus, de compléter certaines données archéologiques par quelques données hi</w:t>
      </w:r>
      <w:r w:rsidRPr="005869B6">
        <w:t>s</w:t>
      </w:r>
      <w:r w:rsidRPr="005869B6">
        <w:t>toriques, et vice versa. Elles ne sont pas de même nature, car ce ne sont pas les mêmes processus qui les ont formées. Les données a</w:t>
      </w:r>
      <w:r w:rsidRPr="005869B6">
        <w:t>r</w:t>
      </w:r>
      <w:r w:rsidRPr="005869B6">
        <w:t>chéologiques sont des restes matériels d'individus occupant un espace précis ; elles résultent fr</w:t>
      </w:r>
      <w:r w:rsidRPr="005869B6">
        <w:t>é</w:t>
      </w:r>
      <w:r w:rsidRPr="005869B6">
        <w:t>quemment de gestes d'abandon, d'oubli, de rejet. Les données historiques sont des documents écrits ou illustrés par des individus portant sur une population occupant ou non un esp</w:t>
      </w:r>
      <w:r w:rsidRPr="005869B6">
        <w:t>a</w:t>
      </w:r>
      <w:r w:rsidRPr="005869B6">
        <w:t>ce précis ; elles résultent toujours de gestes volontaires.</w:t>
      </w:r>
    </w:p>
    <w:p w:rsidR="00B7214C" w:rsidRPr="005869B6" w:rsidRDefault="00B7214C" w:rsidP="00B7214C">
      <w:pPr>
        <w:spacing w:before="120" w:after="120"/>
        <w:jc w:val="both"/>
      </w:pPr>
      <w:r w:rsidRPr="005869B6">
        <w:t>De nature différentes et difficilement concordantes, ces données ne sont pas nécessairement contradictoires si leurs limites sont connues par un contrôle de ce qu'elles docume</w:t>
      </w:r>
      <w:r w:rsidRPr="005869B6">
        <w:t>n</w:t>
      </w:r>
      <w:r w:rsidRPr="005869B6">
        <w:t>tent, par exemple en identifiant clairement les occupants d'un lieu ou les personnes visées par un texte, en contrôlant les pr</w:t>
      </w:r>
      <w:r w:rsidRPr="005869B6">
        <w:t>o</w:t>
      </w:r>
      <w:r w:rsidRPr="005869B6">
        <w:t>cessus qui les ont formées, en établissant leurs cadres temporel et spatial.</w:t>
      </w:r>
    </w:p>
    <w:p w:rsidR="00B7214C" w:rsidRPr="00B27C56" w:rsidRDefault="00B7214C" w:rsidP="00B7214C">
      <w:pPr>
        <w:spacing w:before="120" w:after="120"/>
        <w:jc w:val="both"/>
      </w:pPr>
      <w:r w:rsidRPr="005869B6">
        <w:t>Pour une seule activité circonscrite et documentée par les deux corpus, par exemple pour une activité de fabrication, ces données ne sont pas statistiquement signifiantes de l'ensemble de la réalité. Les objets retrouvés par l'archéologie ne repr</w:t>
      </w:r>
      <w:r w:rsidRPr="005869B6">
        <w:t>é</w:t>
      </w:r>
      <w:r w:rsidRPr="005869B6">
        <w:t>senten</w:t>
      </w:r>
      <w:r>
        <w:t>t pas un pourcentage nécessaire</w:t>
      </w:r>
      <w:r w:rsidRPr="00B27C56">
        <w:rPr>
          <w:szCs w:val="22"/>
        </w:rPr>
        <w:t>ment</w:t>
      </w:r>
      <w:r>
        <w:t xml:space="preserve"> [508]</w:t>
      </w:r>
      <w:r w:rsidRPr="00B27C56">
        <w:rPr>
          <w:szCs w:val="22"/>
        </w:rPr>
        <w:t xml:space="preserve"> significatif de ce qui y a été produit et tout ce qui est produit en un lieu ne s'y retrouve pas nécessairement. Tout n'est pas écrit, tous n'écrivent pas, et la description et compréhension d'une activité varieront selon le milieu socio-économique de la pe</w:t>
      </w:r>
      <w:r w:rsidRPr="00B27C56">
        <w:rPr>
          <w:szCs w:val="22"/>
        </w:rPr>
        <w:t>r</w:t>
      </w:r>
      <w:r w:rsidRPr="00B27C56">
        <w:rPr>
          <w:szCs w:val="22"/>
        </w:rPr>
        <w:t>sonne qui écrit, son intérêt et ses o</w:t>
      </w:r>
      <w:r w:rsidRPr="00B27C56">
        <w:rPr>
          <w:szCs w:val="22"/>
        </w:rPr>
        <w:t>b</w:t>
      </w:r>
      <w:r w:rsidRPr="00B27C56">
        <w:rPr>
          <w:szCs w:val="22"/>
        </w:rPr>
        <w:t>jectifs, selon le destinataire. Ecrire ou dess</w:t>
      </w:r>
      <w:r w:rsidRPr="00B27C56">
        <w:rPr>
          <w:szCs w:val="22"/>
        </w:rPr>
        <w:t>i</w:t>
      </w:r>
      <w:r w:rsidRPr="00B27C56">
        <w:rPr>
          <w:szCs w:val="22"/>
        </w:rPr>
        <w:t>ner ce que l'on a vu ou ce que l'on nous a raconté est déjà une interpr</w:t>
      </w:r>
      <w:r w:rsidRPr="00B27C56">
        <w:rPr>
          <w:szCs w:val="22"/>
        </w:rPr>
        <w:t>é</w:t>
      </w:r>
      <w:r w:rsidRPr="00B27C56">
        <w:rPr>
          <w:szCs w:val="22"/>
        </w:rPr>
        <w:t>tation du réel.</w:t>
      </w:r>
    </w:p>
    <w:p w:rsidR="00B7214C" w:rsidRPr="00B27C56" w:rsidRDefault="00B7214C" w:rsidP="00B7214C">
      <w:pPr>
        <w:spacing w:before="120" w:after="120"/>
        <w:jc w:val="both"/>
      </w:pPr>
      <w:r w:rsidRPr="00B27C56">
        <w:rPr>
          <w:szCs w:val="22"/>
        </w:rPr>
        <w:t>Ainsi, pour la seule description de cette activité de fabric</w:t>
      </w:r>
      <w:r w:rsidRPr="00B27C56">
        <w:rPr>
          <w:szCs w:val="22"/>
        </w:rPr>
        <w:t>a</w:t>
      </w:r>
      <w:r w:rsidRPr="00B27C56">
        <w:rPr>
          <w:szCs w:val="22"/>
        </w:rPr>
        <w:t>tion, nous pouvons nous attendre à des résultats fort variés, sans être néce</w:t>
      </w:r>
      <w:r w:rsidRPr="00B27C56">
        <w:rPr>
          <w:szCs w:val="22"/>
        </w:rPr>
        <w:t>s</w:t>
      </w:r>
      <w:r w:rsidRPr="00B27C56">
        <w:rPr>
          <w:szCs w:val="22"/>
        </w:rPr>
        <w:t>sairement contradictoires, entre un historien et un archéologue. Cette variation sera d'autant plus forte lorsque des liens seront établis entre des évén</w:t>
      </w:r>
      <w:r w:rsidRPr="00B27C56">
        <w:rPr>
          <w:szCs w:val="22"/>
        </w:rPr>
        <w:t>e</w:t>
      </w:r>
      <w:r w:rsidRPr="00B27C56">
        <w:rPr>
          <w:szCs w:val="22"/>
        </w:rPr>
        <w:t>ments, des activités, des groupes culturels dans le temps et dans l'espace. Les données elles-mêmes délimiteront les liens à ét</w:t>
      </w:r>
      <w:r w:rsidRPr="00B27C56">
        <w:rPr>
          <w:szCs w:val="22"/>
        </w:rPr>
        <w:t>a</w:t>
      </w:r>
      <w:r w:rsidRPr="00B27C56">
        <w:rPr>
          <w:szCs w:val="22"/>
        </w:rPr>
        <w:t>blir.</w:t>
      </w:r>
    </w:p>
    <w:p w:rsidR="00B7214C" w:rsidRDefault="00B7214C" w:rsidP="00B7214C">
      <w:pPr>
        <w:spacing w:before="120" w:after="120"/>
        <w:jc w:val="both"/>
        <w:rPr>
          <w:szCs w:val="22"/>
        </w:rPr>
      </w:pPr>
    </w:p>
    <w:p w:rsidR="00B7214C" w:rsidRDefault="00B7214C" w:rsidP="00B7214C">
      <w:pPr>
        <w:spacing w:before="120" w:after="120"/>
        <w:jc w:val="both"/>
        <w:rPr>
          <w:szCs w:val="22"/>
        </w:rPr>
      </w:pPr>
    </w:p>
    <w:p w:rsidR="00B7214C" w:rsidRPr="00B27C56" w:rsidRDefault="00B7214C" w:rsidP="00B7214C">
      <w:pPr>
        <w:pStyle w:val="a"/>
      </w:pPr>
      <w:r>
        <w:t>DES DONNÉ</w:t>
      </w:r>
      <w:r w:rsidRPr="00B27C56">
        <w:t>ES, UN ESPACE</w:t>
      </w:r>
    </w:p>
    <w:p w:rsidR="00B7214C" w:rsidRDefault="00B7214C" w:rsidP="00B7214C">
      <w:pPr>
        <w:spacing w:before="120" w:after="120"/>
        <w:jc w:val="both"/>
        <w:rPr>
          <w:szCs w:val="22"/>
        </w:rPr>
      </w:pPr>
    </w:p>
    <w:p w:rsidR="00B7214C" w:rsidRPr="00B27C56" w:rsidRDefault="00B7214C" w:rsidP="00B7214C">
      <w:pPr>
        <w:spacing w:before="120" w:after="120"/>
        <w:jc w:val="both"/>
      </w:pPr>
      <w:r w:rsidRPr="00B27C56">
        <w:rPr>
          <w:szCs w:val="22"/>
        </w:rPr>
        <w:t>Les données archéologiques relèvent d'un espace. Cet espace est intime. Quelque fois, il s'agit d'un contexte pr</w:t>
      </w:r>
      <w:r w:rsidRPr="00B27C56">
        <w:rPr>
          <w:szCs w:val="22"/>
        </w:rPr>
        <w:t>i</w:t>
      </w:r>
      <w:r w:rsidRPr="00B27C56">
        <w:rPr>
          <w:szCs w:val="22"/>
        </w:rPr>
        <w:t>maire de déposition, par exemple, une fosse à déchet; d'a</w:t>
      </w:r>
      <w:r w:rsidRPr="00B27C56">
        <w:rPr>
          <w:szCs w:val="22"/>
        </w:rPr>
        <w:t>u</w:t>
      </w:r>
      <w:r w:rsidRPr="00B27C56">
        <w:rPr>
          <w:szCs w:val="22"/>
        </w:rPr>
        <w:t>tres fois, d'un contexte secondaire lorsque cette première déposition a été transportée vers un dépotoir. Elles sont toujours contextualisées dans un espace relativement pr</w:t>
      </w:r>
      <w:r w:rsidRPr="00B27C56">
        <w:rPr>
          <w:szCs w:val="22"/>
        </w:rPr>
        <w:t>o</w:t>
      </w:r>
      <w:r w:rsidRPr="00B27C56">
        <w:rPr>
          <w:szCs w:val="22"/>
        </w:rPr>
        <w:t>che du lieu où elles ont été formées. Il est possible de comparer plusieurs contextes de déposition. Par exemple, il est possible de comparer la culture matérielle trouvée dans les latrines de plusieurs bâtiments pour une même période, pour des périodes différentes, pour une même culture. Les comparaisons intersites élargissent l'espace, mais il d</w:t>
      </w:r>
      <w:r w:rsidRPr="00B27C56">
        <w:rPr>
          <w:szCs w:val="22"/>
        </w:rPr>
        <w:t>e</w:t>
      </w:r>
      <w:r w:rsidRPr="00B27C56">
        <w:rPr>
          <w:szCs w:val="22"/>
        </w:rPr>
        <w:t>meure localisé.</w:t>
      </w:r>
    </w:p>
    <w:p w:rsidR="00B7214C" w:rsidRPr="00B27C56" w:rsidRDefault="00B7214C" w:rsidP="00B7214C">
      <w:pPr>
        <w:spacing w:before="120" w:after="120"/>
        <w:jc w:val="both"/>
      </w:pPr>
      <w:r w:rsidRPr="00B27C56">
        <w:rPr>
          <w:szCs w:val="22"/>
        </w:rPr>
        <w:t>Quant aux données historiques, elles relèvent d'un espace plus o</w:t>
      </w:r>
      <w:r w:rsidRPr="00B27C56">
        <w:rPr>
          <w:szCs w:val="22"/>
        </w:rPr>
        <w:t>u</w:t>
      </w:r>
      <w:r w:rsidRPr="00B27C56">
        <w:rPr>
          <w:szCs w:val="22"/>
        </w:rPr>
        <w:t>vert, moins bien circonscrit, et d'une échelle temp</w:t>
      </w:r>
      <w:r w:rsidRPr="00B27C56">
        <w:rPr>
          <w:szCs w:val="22"/>
        </w:rPr>
        <w:t>o</w:t>
      </w:r>
      <w:r w:rsidRPr="00B27C56">
        <w:rPr>
          <w:szCs w:val="22"/>
        </w:rPr>
        <w:t>relle plus précise que ne le sont les données archéologiques. Souvent les individus i</w:t>
      </w:r>
      <w:r w:rsidRPr="00B27C56">
        <w:rPr>
          <w:szCs w:val="22"/>
        </w:rPr>
        <w:t>m</w:t>
      </w:r>
      <w:r w:rsidRPr="00B27C56">
        <w:rPr>
          <w:szCs w:val="22"/>
        </w:rPr>
        <w:t>pliqués, et même leur appartenance socio-économique, sont mentio</w:t>
      </w:r>
      <w:r w:rsidRPr="00B27C56">
        <w:rPr>
          <w:szCs w:val="22"/>
        </w:rPr>
        <w:t>n</w:t>
      </w:r>
      <w:r w:rsidRPr="00B27C56">
        <w:rPr>
          <w:szCs w:val="22"/>
        </w:rPr>
        <w:t>nés. Par exemple, il peut s'agir de correspondances établies entre ind</w:t>
      </w:r>
      <w:r w:rsidRPr="00B27C56">
        <w:rPr>
          <w:szCs w:val="22"/>
        </w:rPr>
        <w:t>i</w:t>
      </w:r>
      <w:r w:rsidRPr="00B27C56">
        <w:rPr>
          <w:szCs w:val="22"/>
        </w:rPr>
        <w:t>vidus provenant de pays éloignés. Ces lettres ne sont pas nécessair</w:t>
      </w:r>
      <w:r w:rsidRPr="00B27C56">
        <w:rPr>
          <w:szCs w:val="22"/>
        </w:rPr>
        <w:t>e</w:t>
      </w:r>
      <w:r w:rsidRPr="00B27C56">
        <w:rPr>
          <w:szCs w:val="22"/>
        </w:rPr>
        <w:t>ment contextualisables. Leur lien à l'espace est moins intime.</w:t>
      </w:r>
    </w:p>
    <w:p w:rsidR="00B7214C" w:rsidRDefault="00B7214C" w:rsidP="00B7214C">
      <w:pPr>
        <w:spacing w:before="120" w:after="120"/>
        <w:jc w:val="both"/>
      </w:pPr>
      <w:r w:rsidRPr="00B27C56">
        <w:rPr>
          <w:szCs w:val="22"/>
        </w:rPr>
        <w:t>Les données elles-mêmes délimitent donc, entre autres, les liens qui peuvent être établis entre différents espaces. Pour un même sujet, la ville, les objets d'étude privilégiés s</w:t>
      </w:r>
      <w:r w:rsidRPr="00B27C56">
        <w:rPr>
          <w:szCs w:val="22"/>
        </w:rPr>
        <w:t>e</w:t>
      </w:r>
      <w:r w:rsidRPr="00B27C56">
        <w:rPr>
          <w:szCs w:val="22"/>
        </w:rPr>
        <w:t>ront fort variés. Les données historiques se prêtent mieux à la description et l'explication des ra</w:t>
      </w:r>
      <w:r w:rsidRPr="00B27C56">
        <w:rPr>
          <w:szCs w:val="22"/>
        </w:rPr>
        <w:t>p</w:t>
      </w:r>
      <w:r w:rsidRPr="00B27C56">
        <w:rPr>
          <w:szCs w:val="22"/>
        </w:rPr>
        <w:t>ports existants entre une ville et la colonie, entre une colonie et sa m</w:t>
      </w:r>
      <w:r w:rsidRPr="00B27C56">
        <w:rPr>
          <w:szCs w:val="22"/>
        </w:rPr>
        <w:t>è</w:t>
      </w:r>
      <w:r w:rsidRPr="00B27C56">
        <w:rPr>
          <w:szCs w:val="22"/>
        </w:rPr>
        <w:t>re patrie, entre les différents réseaux existants. Les données archéol</w:t>
      </w:r>
      <w:r w:rsidRPr="00B27C56">
        <w:rPr>
          <w:szCs w:val="22"/>
        </w:rPr>
        <w:t>o</w:t>
      </w:r>
      <w:r w:rsidRPr="00B27C56">
        <w:rPr>
          <w:szCs w:val="22"/>
        </w:rPr>
        <w:t>giques sont plus près de liens entre vo</w:t>
      </w:r>
      <w:r w:rsidRPr="00B27C56">
        <w:rPr>
          <w:szCs w:val="22"/>
        </w:rPr>
        <w:t>i</w:t>
      </w:r>
      <w:r w:rsidRPr="00B27C56">
        <w:rPr>
          <w:szCs w:val="22"/>
        </w:rPr>
        <w:t>sins immédiats, de l'utilisation d'espaces communs, du rapport entre la ville et la campagne, entre la ville intramuros et la ville extramuros, de l'utilisation et de l'amén</w:t>
      </w:r>
      <w:r w:rsidRPr="00B27C56">
        <w:rPr>
          <w:szCs w:val="22"/>
        </w:rPr>
        <w:t>a</w:t>
      </w:r>
      <w:r w:rsidRPr="00B27C56">
        <w:rPr>
          <w:szCs w:val="22"/>
        </w:rPr>
        <w:t>gement des ressources disponibles, etc.</w:t>
      </w:r>
    </w:p>
    <w:p w:rsidR="00B7214C" w:rsidRPr="00B84DC7" w:rsidRDefault="00B7214C" w:rsidP="00B7214C">
      <w:pPr>
        <w:pStyle w:val="p"/>
      </w:pPr>
      <w:r w:rsidRPr="005869B6">
        <w:br w:type="page"/>
      </w:r>
      <w:r w:rsidRPr="00817C6E">
        <w:t>[509]</w:t>
      </w:r>
    </w:p>
    <w:p w:rsidR="00B7214C" w:rsidRDefault="00B7214C" w:rsidP="00B7214C">
      <w:pPr>
        <w:spacing w:before="120" w:after="120"/>
        <w:jc w:val="both"/>
      </w:pPr>
    </w:p>
    <w:p w:rsidR="00B7214C" w:rsidRPr="005869B6" w:rsidRDefault="00B7214C" w:rsidP="00B7214C">
      <w:pPr>
        <w:pStyle w:val="a"/>
      </w:pPr>
      <w:r w:rsidRPr="005869B6">
        <w:t>LE COMMERCE :</w:t>
      </w:r>
      <w:r>
        <w:br/>
      </w:r>
      <w:r w:rsidRPr="005869B6">
        <w:t>DEUX APPROCHES DIFFÉRENTES</w:t>
      </w:r>
    </w:p>
    <w:p w:rsidR="00B7214C" w:rsidRDefault="00B7214C" w:rsidP="00B7214C">
      <w:pPr>
        <w:spacing w:before="120" w:after="120"/>
        <w:jc w:val="both"/>
      </w:pPr>
    </w:p>
    <w:p w:rsidR="00B7214C" w:rsidRPr="005869B6" w:rsidRDefault="00B7214C" w:rsidP="00B7214C">
      <w:pPr>
        <w:spacing w:before="120" w:after="120"/>
        <w:jc w:val="both"/>
      </w:pPr>
      <w:r w:rsidRPr="005869B6">
        <w:t>À Montréal, et au Québec en général, le commerce fut très étudié. Archéologues et historiens ont travaillé selon une a</w:t>
      </w:r>
      <w:r w:rsidRPr="005869B6">
        <w:t>p</w:t>
      </w:r>
      <w:r w:rsidRPr="005869B6">
        <w:t>proche de type économiste. Selon la perspective abordée et selon les données util</w:t>
      </w:r>
      <w:r w:rsidRPr="005869B6">
        <w:t>i</w:t>
      </w:r>
      <w:r w:rsidRPr="005869B6">
        <w:t>sées, les liens commerciaux entre les parties furent étudiés soit en ra</w:t>
      </w:r>
      <w:r w:rsidRPr="005869B6">
        <w:t>p</w:t>
      </w:r>
      <w:r w:rsidRPr="005869B6">
        <w:t>port avec l'espace proche, pour les archéologues, soit avec un espace éloigné, pour les hist</w:t>
      </w:r>
      <w:r w:rsidRPr="005869B6">
        <w:t>o</w:t>
      </w:r>
      <w:r w:rsidRPr="005869B6">
        <w:t>riens.</w:t>
      </w:r>
    </w:p>
    <w:p w:rsidR="00B7214C" w:rsidRPr="005869B6" w:rsidRDefault="00B7214C" w:rsidP="00B7214C">
      <w:pPr>
        <w:spacing w:before="120" w:after="120"/>
        <w:jc w:val="both"/>
      </w:pPr>
      <w:r w:rsidRPr="005869B6">
        <w:t>Les historiens ont jeté un regard sur l'évolution économique de Montréal en la reliant, ainsi que tout ce qui a favorisé cette économie comme les réseaux de transport, aux grands évén</w:t>
      </w:r>
      <w:r w:rsidRPr="005869B6">
        <w:t>e</w:t>
      </w:r>
      <w:r w:rsidRPr="005869B6">
        <w:t>ments européens et aux liens économiques qu'entretenait Mo</w:t>
      </w:r>
      <w:r w:rsidRPr="005869B6">
        <w:t>n</w:t>
      </w:r>
      <w:r w:rsidRPr="005869B6">
        <w:t>tréal, tantôt avec la mère patrie, tantôt au Commonwealth, ta</w:t>
      </w:r>
      <w:r w:rsidRPr="005869B6">
        <w:t>n</w:t>
      </w:r>
      <w:r w:rsidRPr="005869B6">
        <w:t>tôt vis-à-vis d'autres villes de la colonie.</w:t>
      </w:r>
    </w:p>
    <w:p w:rsidR="00B7214C" w:rsidRPr="005869B6" w:rsidRDefault="00B7214C" w:rsidP="00B7214C">
      <w:pPr>
        <w:spacing w:before="120" w:after="120"/>
        <w:jc w:val="both"/>
      </w:pPr>
      <w:r w:rsidRPr="005869B6">
        <w:t>À l'aube des premières interventions archéologiques à Montréal, i.e. en 1979, les archéologues ont défini la ville comme un lieu où sont concentrées plusieurs activités ou fonctions, en perpétuelle transfo</w:t>
      </w:r>
      <w:r w:rsidRPr="005869B6">
        <w:t>r</w:t>
      </w:r>
      <w:r w:rsidRPr="005869B6">
        <w:t>mation. La ville devint un site archéologique unique où les inform</w:t>
      </w:r>
      <w:r w:rsidRPr="005869B6">
        <w:t>a</w:t>
      </w:r>
      <w:r w:rsidRPr="005869B6">
        <w:t>tions, les données archéol</w:t>
      </w:r>
      <w:r w:rsidRPr="005869B6">
        <w:t>o</w:t>
      </w:r>
      <w:r w:rsidRPr="005869B6">
        <w:t>giques, sont complexes, parce que souvent partielles, et épa</w:t>
      </w:r>
      <w:r w:rsidRPr="005869B6">
        <w:t>r</w:t>
      </w:r>
      <w:r w:rsidRPr="005869B6">
        <w:t>pillées sur le territoire.</w:t>
      </w:r>
    </w:p>
    <w:p w:rsidR="00B7214C" w:rsidRPr="005869B6" w:rsidRDefault="00B7214C" w:rsidP="00B7214C">
      <w:pPr>
        <w:spacing w:before="120" w:after="120"/>
        <w:jc w:val="both"/>
      </w:pPr>
      <w:r w:rsidRPr="005869B6">
        <w:t>Pour définir des thèmes de recherche en archéologie, l'an</w:t>
      </w:r>
      <w:r w:rsidRPr="005869B6">
        <w:t>a</w:t>
      </w:r>
      <w:r w:rsidRPr="005869B6">
        <w:t>lyse de la sociologie du bâti résulta en la caractérisation des terrains, où des fouilles archéologiques étaient planifiées, par les fonctions ou occup</w:t>
      </w:r>
      <w:r w:rsidRPr="005869B6">
        <w:t>a</w:t>
      </w:r>
      <w:r w:rsidRPr="005869B6">
        <w:t>tions du ou des propriétaires : ma</w:t>
      </w:r>
      <w:r w:rsidRPr="005869B6">
        <w:t>r</w:t>
      </w:r>
      <w:r w:rsidRPr="005869B6">
        <w:t>chands, artisans, religieux, etc. Sur le constat que Montréal avait toujours été une ville marchande, sa fonction première, on jugea que la fonction artisanale n'était pas d</w:t>
      </w:r>
      <w:r w:rsidRPr="005869B6">
        <w:t>é</w:t>
      </w:r>
      <w:r w:rsidRPr="005869B6">
        <w:t>terminante du développement de la ville, quoique présente dès les d</w:t>
      </w:r>
      <w:r w:rsidRPr="005869B6">
        <w:t>é</w:t>
      </w:r>
      <w:r w:rsidRPr="005869B6">
        <w:t>buts de la colonie et débordant déjà les murs de la ville fortifiée à la fin du XVIII</w:t>
      </w:r>
      <w:r w:rsidRPr="005869B6">
        <w:rPr>
          <w:vertAlign w:val="superscript"/>
        </w:rPr>
        <w:t>e</w:t>
      </w:r>
      <w:r w:rsidRPr="005869B6">
        <w:t xml:space="preserve"> siècle. Les orientations de la recherche retenues se r</w:t>
      </w:r>
      <w:r w:rsidRPr="005869B6">
        <w:t>é</w:t>
      </w:r>
      <w:r w:rsidRPr="005869B6">
        <w:t>sument ainsi : vies et moeurs des marchands et des artisans, mouv</w:t>
      </w:r>
      <w:r w:rsidRPr="005869B6">
        <w:t>e</w:t>
      </w:r>
      <w:r w:rsidRPr="005869B6">
        <w:t>ment du centre vers la périphérie, passage du Régime français au R</w:t>
      </w:r>
      <w:r w:rsidRPr="005869B6">
        <w:t>é</w:t>
      </w:r>
      <w:r w:rsidRPr="005869B6">
        <w:t>gime anglais, localisation de</w:t>
      </w:r>
      <w:r>
        <w:t>s fortifications (Salaün et Té-</w:t>
      </w:r>
      <w:r w:rsidRPr="005869B6">
        <w:t>trault, 1982).</w:t>
      </w:r>
    </w:p>
    <w:p w:rsidR="00B7214C" w:rsidRPr="00077FF6" w:rsidRDefault="00B7214C" w:rsidP="00B7214C">
      <w:pPr>
        <w:spacing w:before="120" w:after="120"/>
        <w:jc w:val="both"/>
      </w:pPr>
      <w:r w:rsidRPr="005869B6">
        <w:t>Cette approche posa des problèmes lorsque vint le moment de r</w:t>
      </w:r>
      <w:r w:rsidRPr="005869B6">
        <w:t>é</w:t>
      </w:r>
      <w:r w:rsidRPr="005869B6">
        <w:t>aliser des inférences, entre autres, sur le mode de vie des occupants d'un lieu à partir des données des fouilles archéologiques à l'empl</w:t>
      </w:r>
      <w:r w:rsidRPr="005869B6">
        <w:t>a</w:t>
      </w:r>
      <w:r w:rsidRPr="005869B6">
        <w:t>cement de bâtiments disparus classés par fonctions. Même s'il s'agi</w:t>
      </w:r>
      <w:r w:rsidRPr="005869B6">
        <w:t>s</w:t>
      </w:r>
      <w:r w:rsidRPr="005869B6">
        <w:t>sait de bâtiments appartenant à ces gro</w:t>
      </w:r>
      <w:r w:rsidRPr="005869B6">
        <w:t>u</w:t>
      </w:r>
      <w:r w:rsidRPr="005869B6">
        <w:t>pes socio-économiques, les données archéologiques docume</w:t>
      </w:r>
      <w:r w:rsidRPr="005869B6">
        <w:t>n</w:t>
      </w:r>
      <w:r w:rsidRPr="005869B6">
        <w:t>taient difficilement leurs fonctions et les modes de vie de ceux qui les avaient pratiquées. Un même bât</w:t>
      </w:r>
      <w:r w:rsidRPr="005869B6">
        <w:t>i</w:t>
      </w:r>
      <w:r w:rsidRPr="005869B6">
        <w:t>ment pouvait avoir été occupé, au cours de son existence, par diff</w:t>
      </w:r>
      <w:r w:rsidRPr="005869B6">
        <w:t>é</w:t>
      </w:r>
      <w:r w:rsidRPr="005869B6">
        <w:t>rents propriéta</w:t>
      </w:r>
      <w:r w:rsidRPr="005869B6">
        <w:t>i</w:t>
      </w:r>
      <w:r w:rsidRPr="005869B6">
        <w:t>res, marchands ou pas, par plusieurs locataires, et avoir été le lieu de diverses fonctions et activités les</w:t>
      </w:r>
      <w:r>
        <w:t xml:space="preserve"> [</w:t>
      </w:r>
      <w:r w:rsidRPr="005869B6">
        <w:t>510</w:t>
      </w:r>
      <w:r>
        <w:t xml:space="preserve">] </w:t>
      </w:r>
      <w:r w:rsidRPr="00077FF6">
        <w:rPr>
          <w:szCs w:val="22"/>
        </w:rPr>
        <w:t>unes après les autres ou simultanément. Les vestiges archéolog</w:t>
      </w:r>
      <w:r w:rsidRPr="00077FF6">
        <w:rPr>
          <w:szCs w:val="22"/>
        </w:rPr>
        <w:t>i</w:t>
      </w:r>
      <w:r w:rsidRPr="00077FF6">
        <w:rPr>
          <w:szCs w:val="22"/>
        </w:rPr>
        <w:t>ques ne pouvaient, par le fait même, être considérés comme relevant d'une des ces mult</w:t>
      </w:r>
      <w:r w:rsidRPr="00077FF6">
        <w:rPr>
          <w:szCs w:val="22"/>
        </w:rPr>
        <w:t>i</w:t>
      </w:r>
      <w:r w:rsidRPr="00077FF6">
        <w:rPr>
          <w:szCs w:val="22"/>
        </w:rPr>
        <w:t>ples occupations.</w:t>
      </w:r>
    </w:p>
    <w:p w:rsidR="00B7214C" w:rsidRPr="00077FF6" w:rsidRDefault="00B7214C" w:rsidP="00B7214C">
      <w:pPr>
        <w:spacing w:before="120" w:after="120"/>
        <w:jc w:val="both"/>
      </w:pPr>
      <w:r w:rsidRPr="00077FF6">
        <w:rPr>
          <w:szCs w:val="22"/>
        </w:rPr>
        <w:t>En fait, ce cadre d'analyse avait été établi en fonction et à partir de documents historiques avec une idée vague de ce que l'on pouvait trouver en sous-sol. Le questionnement que l'on posait aux données archéologiques relevait de questions applicables aux données histor</w:t>
      </w:r>
      <w:r w:rsidRPr="00077FF6">
        <w:rPr>
          <w:szCs w:val="22"/>
        </w:rPr>
        <w:t>i</w:t>
      </w:r>
      <w:r w:rsidRPr="00077FF6">
        <w:rPr>
          <w:szCs w:val="22"/>
        </w:rPr>
        <w:t>ques et s'avéra peu ou pas opératoire en archéologie.</w:t>
      </w:r>
    </w:p>
    <w:p w:rsidR="00B7214C" w:rsidRDefault="00B7214C" w:rsidP="00B7214C">
      <w:pPr>
        <w:spacing w:before="120" w:after="120"/>
        <w:jc w:val="both"/>
        <w:rPr>
          <w:szCs w:val="22"/>
        </w:rPr>
      </w:pPr>
    </w:p>
    <w:p w:rsidR="00B7214C" w:rsidRPr="00077FF6" w:rsidRDefault="00B7214C" w:rsidP="00B7214C">
      <w:pPr>
        <w:pStyle w:val="a"/>
      </w:pPr>
      <w:r w:rsidRPr="00077FF6">
        <w:t>LE COMMERCE ET LE RESTE...</w:t>
      </w:r>
    </w:p>
    <w:p w:rsidR="00B7214C" w:rsidRDefault="00B7214C" w:rsidP="00B7214C">
      <w:pPr>
        <w:spacing w:before="120" w:after="120"/>
        <w:jc w:val="both"/>
        <w:rPr>
          <w:szCs w:val="22"/>
        </w:rPr>
      </w:pPr>
    </w:p>
    <w:p w:rsidR="00B7214C" w:rsidRPr="00077FF6" w:rsidRDefault="00B7214C" w:rsidP="00B7214C">
      <w:pPr>
        <w:spacing w:before="120" w:after="120"/>
        <w:jc w:val="both"/>
      </w:pPr>
      <w:r w:rsidRPr="00077FF6">
        <w:rPr>
          <w:szCs w:val="22"/>
        </w:rPr>
        <w:t>Les archéologues ont donc largement fait par le passé œuvre d'hi</w:t>
      </w:r>
      <w:r w:rsidRPr="00077FF6">
        <w:rPr>
          <w:szCs w:val="22"/>
        </w:rPr>
        <w:t>s</w:t>
      </w:r>
      <w:r w:rsidRPr="00077FF6">
        <w:rPr>
          <w:szCs w:val="22"/>
        </w:rPr>
        <w:t>toriens dans la recherche de questionnements pr</w:t>
      </w:r>
      <w:r w:rsidRPr="00077FF6">
        <w:rPr>
          <w:szCs w:val="22"/>
        </w:rPr>
        <w:t>é</w:t>
      </w:r>
      <w:r w:rsidRPr="00077FF6">
        <w:rPr>
          <w:szCs w:val="22"/>
        </w:rPr>
        <w:t>alables aux premières interventions archéologiques à Montréal. Les données archéologiques retrouvées ne répondaient pas au questionnement historique ainsi ét</w:t>
      </w:r>
      <w:r w:rsidRPr="00077FF6">
        <w:rPr>
          <w:szCs w:val="22"/>
        </w:rPr>
        <w:t>a</w:t>
      </w:r>
      <w:r w:rsidRPr="00077FF6">
        <w:rPr>
          <w:szCs w:val="22"/>
        </w:rPr>
        <w:t>bli.</w:t>
      </w:r>
    </w:p>
    <w:p w:rsidR="00B7214C" w:rsidRPr="00077FF6" w:rsidRDefault="00B7214C" w:rsidP="00B7214C">
      <w:pPr>
        <w:spacing w:before="120" w:after="120"/>
        <w:jc w:val="both"/>
      </w:pPr>
      <w:r w:rsidRPr="00077FF6">
        <w:rPr>
          <w:szCs w:val="22"/>
        </w:rPr>
        <w:t>Lorsqu'il fut question de mettre en valeur les sites arché</w:t>
      </w:r>
      <w:r w:rsidRPr="00077FF6">
        <w:rPr>
          <w:szCs w:val="22"/>
        </w:rPr>
        <w:t>o</w:t>
      </w:r>
      <w:r w:rsidRPr="00077FF6">
        <w:rPr>
          <w:szCs w:val="22"/>
        </w:rPr>
        <w:t>logiques montréalais de la pointe à Callière et de la place Royale et de dresser un portrait descriptif et explicatif du passé montréalais, des archéol</w:t>
      </w:r>
      <w:r w:rsidRPr="00077FF6">
        <w:rPr>
          <w:szCs w:val="22"/>
        </w:rPr>
        <w:t>o</w:t>
      </w:r>
      <w:r w:rsidRPr="00077FF6">
        <w:rPr>
          <w:szCs w:val="22"/>
        </w:rPr>
        <w:t>gues et des historiens f</w:t>
      </w:r>
      <w:r w:rsidRPr="00077FF6">
        <w:rPr>
          <w:szCs w:val="22"/>
        </w:rPr>
        <w:t>u</w:t>
      </w:r>
      <w:r w:rsidRPr="00077FF6">
        <w:rPr>
          <w:szCs w:val="22"/>
        </w:rPr>
        <w:t>rent impliqués pour offrir une contribution propre à leurs disciplines respectives. Les expositions au musée sont le résultat d'ententes entre historiens et anthropologues sp</w:t>
      </w:r>
      <w:r w:rsidRPr="00077FF6">
        <w:rPr>
          <w:szCs w:val="22"/>
        </w:rPr>
        <w:t>é</w:t>
      </w:r>
      <w:r w:rsidRPr="00077FF6">
        <w:rPr>
          <w:szCs w:val="22"/>
        </w:rPr>
        <w:t>cialisés en archéologie historique urbaine. Elles résultent également de la contr</w:t>
      </w:r>
      <w:r w:rsidRPr="00077FF6">
        <w:rPr>
          <w:szCs w:val="22"/>
        </w:rPr>
        <w:t>i</w:t>
      </w:r>
      <w:r w:rsidRPr="00077FF6">
        <w:rPr>
          <w:szCs w:val="22"/>
        </w:rPr>
        <w:t>bution d'historiens de l'archi</w:t>
      </w:r>
      <w:r w:rsidRPr="00077FF6">
        <w:rPr>
          <w:szCs w:val="22"/>
        </w:rPr>
        <w:softHyphen/>
        <w:t>tecture, de géographes, d'anthropologues spécialisés en culture matérielle et en préhistoire de la vallée du Saint-Laurent, et de leurs approches et considérations sur le passé montré</w:t>
      </w:r>
      <w:r w:rsidRPr="00077FF6">
        <w:rPr>
          <w:szCs w:val="22"/>
        </w:rPr>
        <w:t>a</w:t>
      </w:r>
      <w:r w:rsidRPr="00077FF6">
        <w:rPr>
          <w:szCs w:val="22"/>
        </w:rPr>
        <w:t>lais.</w:t>
      </w:r>
    </w:p>
    <w:p w:rsidR="00B7214C" w:rsidRDefault="00B7214C" w:rsidP="00B7214C">
      <w:pPr>
        <w:spacing w:before="120" w:after="120"/>
        <w:jc w:val="both"/>
      </w:pPr>
      <w:r w:rsidRPr="00077FF6">
        <w:rPr>
          <w:szCs w:val="22"/>
        </w:rPr>
        <w:t>Les historiens ont élaboré une thématique d'ensemble comme cat</w:t>
      </w:r>
      <w:r w:rsidRPr="00077FF6">
        <w:rPr>
          <w:szCs w:val="22"/>
        </w:rPr>
        <w:t>a</w:t>
      </w:r>
      <w:r w:rsidRPr="00077FF6">
        <w:rPr>
          <w:szCs w:val="22"/>
        </w:rPr>
        <w:t>lyseur organisant les messages qui seraient ultérieurement développés dans les aménagements du musée. Le thème intégrateur est</w:t>
      </w:r>
      <w:r>
        <w:rPr>
          <w:szCs w:val="22"/>
        </w:rPr>
        <w:t> </w:t>
      </w:r>
      <w:r w:rsidRPr="00077FF6">
        <w:rPr>
          <w:szCs w:val="22"/>
        </w:rPr>
        <w:t>: «</w:t>
      </w:r>
      <w:r>
        <w:rPr>
          <w:szCs w:val="22"/>
        </w:rPr>
        <w:t> </w:t>
      </w:r>
      <w:r w:rsidRPr="00077FF6">
        <w:rPr>
          <w:szCs w:val="22"/>
        </w:rPr>
        <w:t>Mo</w:t>
      </w:r>
      <w:r w:rsidRPr="00077FF6">
        <w:rPr>
          <w:szCs w:val="22"/>
        </w:rPr>
        <w:t>n</w:t>
      </w:r>
      <w:r w:rsidRPr="00077FF6">
        <w:rPr>
          <w:szCs w:val="22"/>
        </w:rPr>
        <w:t>tréal, carrefour d'échanges et de commerce</w:t>
      </w:r>
      <w:r>
        <w:rPr>
          <w:szCs w:val="22"/>
        </w:rPr>
        <w:t> </w:t>
      </w:r>
      <w:r w:rsidRPr="00077FF6">
        <w:rPr>
          <w:szCs w:val="22"/>
        </w:rPr>
        <w:t>». Cette thématique co</w:t>
      </w:r>
      <w:r w:rsidRPr="00077FF6">
        <w:rPr>
          <w:szCs w:val="22"/>
        </w:rPr>
        <w:t>m</w:t>
      </w:r>
      <w:r w:rsidRPr="00077FF6">
        <w:rPr>
          <w:szCs w:val="22"/>
        </w:rPr>
        <w:t>portait à la fois des ancrages au niveau des sites archéologiques mis en valeur et au niveau de l'architecture ancienne à l'aide d'icon</w:t>
      </w:r>
      <w:r w:rsidRPr="00077FF6">
        <w:rPr>
          <w:szCs w:val="22"/>
        </w:rPr>
        <w:t>o</w:t>
      </w:r>
      <w:r w:rsidRPr="00077FF6">
        <w:rPr>
          <w:szCs w:val="22"/>
        </w:rPr>
        <w:t>graphies (Simpa, 1989). Trois idées globales la résument: Montréal est un carrefour, un carrefour dans un espace plus large, un emplac</w:t>
      </w:r>
      <w:r w:rsidRPr="00077FF6">
        <w:rPr>
          <w:szCs w:val="22"/>
        </w:rPr>
        <w:t>e</w:t>
      </w:r>
      <w:r w:rsidRPr="00077FF6">
        <w:rPr>
          <w:szCs w:val="22"/>
        </w:rPr>
        <w:t>ment géographique exce</w:t>
      </w:r>
      <w:r w:rsidRPr="00077FF6">
        <w:rPr>
          <w:szCs w:val="22"/>
        </w:rPr>
        <w:t>p</w:t>
      </w:r>
      <w:r w:rsidRPr="00077FF6">
        <w:rPr>
          <w:szCs w:val="22"/>
        </w:rPr>
        <w:t>tionnel, le point de rencontre de plusieurs cours d'eau navigables; un carrefour où plusieurs groupes culturels di</w:t>
      </w:r>
      <w:r w:rsidRPr="00077FF6">
        <w:rPr>
          <w:szCs w:val="22"/>
        </w:rPr>
        <w:t>s</w:t>
      </w:r>
      <w:r w:rsidRPr="00077FF6">
        <w:rPr>
          <w:szCs w:val="22"/>
        </w:rPr>
        <w:t>tincts se sont retrouvés l'un après l'autre et simultanément, en échangeant à la fois des objets et des manières de vivre; enfin, un ca</w:t>
      </w:r>
      <w:r w:rsidRPr="00077FF6">
        <w:rPr>
          <w:szCs w:val="22"/>
        </w:rPr>
        <w:t>r</w:t>
      </w:r>
      <w:r w:rsidRPr="00077FF6">
        <w:rPr>
          <w:szCs w:val="22"/>
        </w:rPr>
        <w:t>refour comme</w:t>
      </w:r>
      <w:r w:rsidRPr="00077FF6">
        <w:rPr>
          <w:szCs w:val="22"/>
        </w:rPr>
        <w:t>r</w:t>
      </w:r>
      <w:r w:rsidRPr="00077FF6">
        <w:rPr>
          <w:szCs w:val="22"/>
        </w:rPr>
        <w:t>cial: une ville née pour le commerce, et se développant, au niveau technologique, par et pour son commerce, en contrôlant un réseau d'échanges de biens et de services.</w:t>
      </w:r>
    </w:p>
    <w:p w:rsidR="00B7214C" w:rsidRPr="005869B6" w:rsidRDefault="00B7214C" w:rsidP="00B7214C">
      <w:pPr>
        <w:spacing w:before="120" w:after="120"/>
        <w:jc w:val="both"/>
      </w:pPr>
      <w:r>
        <w:t>[511]</w:t>
      </w:r>
    </w:p>
    <w:p w:rsidR="00B7214C" w:rsidRPr="005869B6" w:rsidRDefault="00B7214C" w:rsidP="00B7214C">
      <w:pPr>
        <w:spacing w:before="120" w:after="120"/>
        <w:jc w:val="both"/>
      </w:pPr>
      <w:r w:rsidRPr="005869B6">
        <w:t>Les liens établis dans cette thématique se situent dans un espace large propre aux données historiques. Sans renier que ces liens pui</w:t>
      </w:r>
      <w:r w:rsidRPr="005869B6">
        <w:t>s</w:t>
      </w:r>
      <w:r w:rsidRPr="005869B6">
        <w:t>sent être en effet réels, ou du moins le plus réel possible avec les do</w:t>
      </w:r>
      <w:r w:rsidRPr="005869B6">
        <w:t>n</w:t>
      </w:r>
      <w:r w:rsidRPr="005869B6">
        <w:t>nées historiques disponibles, les arché</w:t>
      </w:r>
      <w:r w:rsidRPr="005869B6">
        <w:t>o</w:t>
      </w:r>
      <w:r w:rsidRPr="005869B6">
        <w:t>logues ressentaient un malaise face à des rapports à l'espace si éloignés des contextes archéologiques. Si, par le passé, l'a</w:t>
      </w:r>
      <w:r w:rsidRPr="005869B6">
        <w:t>p</w:t>
      </w:r>
      <w:r w:rsidRPr="005869B6">
        <w:t>proche fonctionnelle n'avait pas été opératoire en archéologie et qu'il avait été difficile d'inférer, entre autres, le mode de vie des marchands, pourtant dans un espace si près des données a</w:t>
      </w:r>
      <w:r w:rsidRPr="005869B6">
        <w:t>r</w:t>
      </w:r>
      <w:r w:rsidRPr="005869B6">
        <w:t>chéologiques, il était encore plus difficile d'inférer, à l'aide des do</w:t>
      </w:r>
      <w:r w:rsidRPr="005869B6">
        <w:t>n</w:t>
      </w:r>
      <w:r w:rsidRPr="005869B6">
        <w:t>nées archéologiques « contextualisées », des liens d'échanges co</w:t>
      </w:r>
      <w:r w:rsidRPr="005869B6">
        <w:t>m</w:t>
      </w:r>
      <w:r w:rsidRPr="005869B6">
        <w:t>merciaux avec les Européens. La thématique était perçue à la fois comme étant trop englobante, pas assez près de ce que l'archéologie pouvait documenter, et à la fois réductionniste par rapport à ce que ces sites complexes, strat</w:t>
      </w:r>
      <w:r w:rsidRPr="005869B6">
        <w:t>i</w:t>
      </w:r>
      <w:r w:rsidRPr="005869B6">
        <w:t>fiés pouvaient apporter comme connaissances sur des aspects du passé autres que le commerce et l'échange.</w:t>
      </w:r>
    </w:p>
    <w:p w:rsidR="00B7214C" w:rsidRPr="005869B6" w:rsidRDefault="00B7214C" w:rsidP="00B7214C">
      <w:pPr>
        <w:spacing w:before="120" w:after="120"/>
        <w:jc w:val="both"/>
      </w:pPr>
      <w:r w:rsidRPr="005869B6">
        <w:t>Si les données archéologiques avaient pu être opératoires sur le thème du commerce, nous aurions une vision globale par l'établiss</w:t>
      </w:r>
      <w:r w:rsidRPr="005869B6">
        <w:t>e</w:t>
      </w:r>
      <w:r w:rsidRPr="005869B6">
        <w:t>ment de liens économiques entre Montréal et des espaces plus vastes propres à l'approche et aux données hist</w:t>
      </w:r>
      <w:r w:rsidRPr="005869B6">
        <w:t>o</w:t>
      </w:r>
      <w:r w:rsidRPr="005869B6">
        <w:t>riques ; à une échelle plus près des données archéologiques, nous aurions des descriptions et e</w:t>
      </w:r>
      <w:r w:rsidRPr="005869B6">
        <w:t>x</w:t>
      </w:r>
      <w:r w:rsidRPr="005869B6">
        <w:t>plications de la fonction commerciale et de la vie des gens qui ont ju</w:t>
      </w:r>
      <w:r w:rsidRPr="005869B6">
        <w:t>s</w:t>
      </w:r>
      <w:r w:rsidRPr="005869B6">
        <w:t>tement fait le commerce. Les fouilles archéologiques pouvaient contribuer, sur ce thème, surtout à l'identification de vestiges attribu</w:t>
      </w:r>
      <w:r w:rsidRPr="005869B6">
        <w:t>a</w:t>
      </w:r>
      <w:r w:rsidRPr="005869B6">
        <w:t>bles à des marchands à un moment donné de l'existence de ces bât</w:t>
      </w:r>
      <w:r w:rsidRPr="005869B6">
        <w:t>i</w:t>
      </w:r>
      <w:r w:rsidRPr="005869B6">
        <w:t>ments.</w:t>
      </w:r>
    </w:p>
    <w:p w:rsidR="00B7214C" w:rsidRPr="005869B6" w:rsidRDefault="00B7214C" w:rsidP="00B7214C">
      <w:pPr>
        <w:spacing w:before="120" w:after="120"/>
        <w:jc w:val="both"/>
      </w:pPr>
      <w:r w:rsidRPr="005869B6">
        <w:t>Une autre thématique, plus près de ce que les données archéolog</w:t>
      </w:r>
      <w:r w:rsidRPr="005869B6">
        <w:t>i</w:t>
      </w:r>
      <w:r w:rsidRPr="005869B6">
        <w:t>ques avaient documenté, aurait pu être développée. Cependant elle aurait été plus éloignée des données et des sy</w:t>
      </w:r>
      <w:r w:rsidRPr="005869B6">
        <w:t>n</w:t>
      </w:r>
      <w:r w:rsidRPr="005869B6">
        <w:t>thèses historiques. D'autres thématiques, portant sur des périodes ou des aspects partic</w:t>
      </w:r>
      <w:r w:rsidRPr="005869B6">
        <w:t>u</w:t>
      </w:r>
      <w:r w:rsidRPr="005869B6">
        <w:t>liers de la ville n'auraient pas eu le mérite d'intégrer toutes les séque</w:t>
      </w:r>
      <w:r w:rsidRPr="005869B6">
        <w:t>n</w:t>
      </w:r>
      <w:r w:rsidRPr="005869B6">
        <w:t>ces du développement de Montréal.</w:t>
      </w:r>
    </w:p>
    <w:p w:rsidR="00B7214C" w:rsidRPr="005869B6" w:rsidRDefault="00B7214C" w:rsidP="00B7214C">
      <w:pPr>
        <w:spacing w:before="120" w:after="120"/>
        <w:jc w:val="both"/>
      </w:pPr>
      <w:r w:rsidRPr="005869B6">
        <w:t>En fait, il est pratiquement impossible de relier toutes les périodes du développement de Montréal dans une approche globale en reliant tous les aspects déjà documentés, à la fois par les données archéolog</w:t>
      </w:r>
      <w:r w:rsidRPr="005869B6">
        <w:t>i</w:t>
      </w:r>
      <w:r w:rsidRPr="005869B6">
        <w:t>ques et historiques, à l'aide d'un même fil conducteur. Une thématique en soit n'est-elle pas un renoncement de l'approche globale qui cara</w:t>
      </w:r>
      <w:r w:rsidRPr="005869B6">
        <w:t>c</w:t>
      </w:r>
      <w:r w:rsidRPr="005869B6">
        <w:t>térise l'histoire et l'archéologie ?</w:t>
      </w:r>
    </w:p>
    <w:p w:rsidR="00B7214C" w:rsidRDefault="00B7214C" w:rsidP="00B7214C">
      <w:pPr>
        <w:spacing w:before="120" w:after="120"/>
        <w:jc w:val="both"/>
      </w:pPr>
    </w:p>
    <w:p w:rsidR="00B7214C" w:rsidRPr="005869B6" w:rsidRDefault="00B7214C" w:rsidP="00B7214C">
      <w:pPr>
        <w:pStyle w:val="a"/>
      </w:pPr>
      <w:r w:rsidRPr="005869B6">
        <w:t>UN DISCOURS POUR LE VISITEUR :</w:t>
      </w:r>
      <w:r>
        <w:br/>
      </w:r>
      <w:r w:rsidRPr="005869B6">
        <w:t>CONTRAINTE À LA GLOBALITÉ</w:t>
      </w:r>
    </w:p>
    <w:p w:rsidR="00B7214C" w:rsidRDefault="00B7214C" w:rsidP="00B7214C">
      <w:pPr>
        <w:spacing w:before="120" w:after="120"/>
        <w:jc w:val="both"/>
      </w:pPr>
    </w:p>
    <w:p w:rsidR="00B7214C" w:rsidRPr="004F1726" w:rsidRDefault="00B7214C" w:rsidP="00B7214C">
      <w:pPr>
        <w:spacing w:before="120" w:after="120"/>
        <w:jc w:val="both"/>
      </w:pPr>
      <w:r w:rsidRPr="005869B6">
        <w:t>Le propre d'une thématique est d'assurer une cohérence aux cont</w:t>
      </w:r>
      <w:r w:rsidRPr="005869B6">
        <w:t>e</w:t>
      </w:r>
      <w:r w:rsidRPr="005869B6">
        <w:t>nus élaborés dans les aménagements (Dufresne, 1992). Réaliser le discours</w:t>
      </w:r>
      <w:r>
        <w:t xml:space="preserve"> [512] </w:t>
      </w:r>
      <w:r w:rsidRPr="004F1726">
        <w:rPr>
          <w:szCs w:val="22"/>
        </w:rPr>
        <w:t>d'un musée est en soi un processus complexe. Le n</w:t>
      </w:r>
      <w:r w:rsidRPr="004F1726">
        <w:rPr>
          <w:szCs w:val="22"/>
        </w:rPr>
        <w:t>i</w:t>
      </w:r>
      <w:r w:rsidRPr="004F1726">
        <w:rPr>
          <w:szCs w:val="22"/>
        </w:rPr>
        <w:t>veau de lang</w:t>
      </w:r>
      <w:r w:rsidRPr="004F1726">
        <w:rPr>
          <w:szCs w:val="22"/>
        </w:rPr>
        <w:t>a</w:t>
      </w:r>
      <w:r w:rsidRPr="004F1726">
        <w:rPr>
          <w:szCs w:val="22"/>
        </w:rPr>
        <w:t>ge doit être accessible à tous. Les informations doivent être cohérentes, ordonnées, compréhensibles. Le contenu et les appr</w:t>
      </w:r>
      <w:r w:rsidRPr="004F1726">
        <w:rPr>
          <w:szCs w:val="22"/>
        </w:rPr>
        <w:t>o</w:t>
      </w:r>
      <w:r w:rsidRPr="004F1726">
        <w:rPr>
          <w:szCs w:val="22"/>
        </w:rPr>
        <w:t>ches pour diffuser le discours do</w:t>
      </w:r>
      <w:r w:rsidRPr="004F1726">
        <w:rPr>
          <w:szCs w:val="22"/>
        </w:rPr>
        <w:t>i</w:t>
      </w:r>
      <w:r w:rsidRPr="004F1726">
        <w:rPr>
          <w:szCs w:val="22"/>
        </w:rPr>
        <w:t>vent tenir compte des différentes personnalités des visiteurs. Certains s'intéressent davantage aux év</w:t>
      </w:r>
      <w:r w:rsidRPr="004F1726">
        <w:rPr>
          <w:szCs w:val="22"/>
        </w:rPr>
        <w:t>é</w:t>
      </w:r>
      <w:r w:rsidRPr="004F1726">
        <w:rPr>
          <w:szCs w:val="22"/>
        </w:rPr>
        <w:t>nements, aux faits et à leur relation dans le temps et l'espace; d'autres à l'architecture d'un bâtiment, à sa fabrication; d'autres privil</w:t>
      </w:r>
      <w:r w:rsidRPr="004F1726">
        <w:rPr>
          <w:szCs w:val="22"/>
        </w:rPr>
        <w:t>é</w:t>
      </w:r>
      <w:r w:rsidRPr="004F1726">
        <w:rPr>
          <w:szCs w:val="22"/>
        </w:rPr>
        <w:t>gient la vie des gens. Certains apprécient davantage lire des informations, d'autres les regarder, d'autres les ente</w:t>
      </w:r>
      <w:r w:rsidRPr="004F1726">
        <w:rPr>
          <w:szCs w:val="22"/>
        </w:rPr>
        <w:t>n</w:t>
      </w:r>
      <w:r w:rsidRPr="004F1726">
        <w:rPr>
          <w:szCs w:val="22"/>
        </w:rPr>
        <w:t>dre, les écouter.</w:t>
      </w:r>
    </w:p>
    <w:p w:rsidR="00B7214C" w:rsidRPr="004F1726" w:rsidRDefault="00B7214C" w:rsidP="00B7214C">
      <w:pPr>
        <w:spacing w:before="120" w:after="120"/>
        <w:jc w:val="both"/>
      </w:pPr>
      <w:r w:rsidRPr="004F1726">
        <w:rPr>
          <w:szCs w:val="22"/>
        </w:rPr>
        <w:t>Le visiteur aurait pu, en effet, être déconcerté face à cette réalité archéologique complexe, si la trame archéol</w:t>
      </w:r>
      <w:r w:rsidRPr="004F1726">
        <w:rPr>
          <w:szCs w:val="22"/>
        </w:rPr>
        <w:t>o</w:t>
      </w:r>
      <w:r w:rsidRPr="004F1726">
        <w:rPr>
          <w:szCs w:val="22"/>
        </w:rPr>
        <w:t>gique complète de ces sites, et des autres sites qui leur sont reliés dans un espace proche, avait fait l'objet de textes à la fois descriptifs et explicatifs, en plus de ceux directement liés à la thématique historique et aux autres données hist</w:t>
      </w:r>
      <w:r w:rsidRPr="004F1726">
        <w:rPr>
          <w:szCs w:val="22"/>
        </w:rPr>
        <w:t>o</w:t>
      </w:r>
      <w:r w:rsidRPr="004F1726">
        <w:rPr>
          <w:szCs w:val="22"/>
        </w:rPr>
        <w:t>riques.</w:t>
      </w:r>
    </w:p>
    <w:p w:rsidR="00B7214C" w:rsidRPr="004F1726" w:rsidRDefault="00B7214C" w:rsidP="00B7214C">
      <w:pPr>
        <w:spacing w:before="120" w:after="120"/>
        <w:jc w:val="both"/>
      </w:pPr>
      <w:r w:rsidRPr="004F1726">
        <w:rPr>
          <w:szCs w:val="22"/>
        </w:rPr>
        <w:t>Le visiteur devait, dans un premier temps, être à même de lire ces sites archéologiques, du moins à un niveau primaire de lecture. Il d</w:t>
      </w:r>
      <w:r w:rsidRPr="004F1726">
        <w:rPr>
          <w:szCs w:val="22"/>
        </w:rPr>
        <w:t>e</w:t>
      </w:r>
      <w:r w:rsidRPr="004F1726">
        <w:rPr>
          <w:szCs w:val="22"/>
        </w:rPr>
        <w:t>vait pouvoir identifier les vestiges, v</w:t>
      </w:r>
      <w:r w:rsidRPr="004F1726">
        <w:rPr>
          <w:szCs w:val="22"/>
        </w:rPr>
        <w:t>i</w:t>
      </w:r>
      <w:r w:rsidRPr="004F1726">
        <w:rPr>
          <w:szCs w:val="22"/>
        </w:rPr>
        <w:t>sualiser leur périmètre, les situer dans le temps et dans l'espace les uns par rapport aux autres, co</w:t>
      </w:r>
      <w:r w:rsidRPr="004F1726">
        <w:rPr>
          <w:szCs w:val="22"/>
        </w:rPr>
        <w:t>m</w:t>
      </w:r>
      <w:r w:rsidRPr="004F1726">
        <w:rPr>
          <w:szCs w:val="22"/>
        </w:rPr>
        <w:t>prendre les ca</w:t>
      </w:r>
      <w:r w:rsidRPr="004F1726">
        <w:rPr>
          <w:szCs w:val="22"/>
        </w:rPr>
        <w:t>u</w:t>
      </w:r>
      <w:r w:rsidRPr="004F1726">
        <w:rPr>
          <w:szCs w:val="22"/>
        </w:rPr>
        <w:t>ses de leur formation et être en mesure de redonner une volumétrie pour chaque occupation ancienne.</w:t>
      </w:r>
    </w:p>
    <w:p w:rsidR="00B7214C" w:rsidRPr="004F1726" w:rsidRDefault="00B7214C" w:rsidP="00B7214C">
      <w:pPr>
        <w:spacing w:before="120" w:after="120"/>
        <w:jc w:val="both"/>
      </w:pPr>
      <w:r w:rsidRPr="004F1726">
        <w:rPr>
          <w:szCs w:val="22"/>
        </w:rPr>
        <w:t>Le visiteur devait aussi être en mesure de situer ces s</w:t>
      </w:r>
      <w:r w:rsidRPr="004F1726">
        <w:rPr>
          <w:szCs w:val="22"/>
        </w:rPr>
        <w:t>i</w:t>
      </w:r>
      <w:r w:rsidRPr="004F1726">
        <w:rPr>
          <w:szCs w:val="22"/>
        </w:rPr>
        <w:t>tes dans un contexte large par rapport aux grands faits de l'hi</w:t>
      </w:r>
      <w:r w:rsidRPr="004F1726">
        <w:rPr>
          <w:szCs w:val="22"/>
        </w:rPr>
        <w:t>s</w:t>
      </w:r>
      <w:r w:rsidRPr="004F1726">
        <w:rPr>
          <w:szCs w:val="22"/>
        </w:rPr>
        <w:t>toire montréalaise et européenne. Il devait pouvoir voir des visages, des activités de pe</w:t>
      </w:r>
      <w:r w:rsidRPr="004F1726">
        <w:rPr>
          <w:szCs w:val="22"/>
        </w:rPr>
        <w:t>r</w:t>
      </w:r>
      <w:r w:rsidRPr="004F1726">
        <w:rPr>
          <w:szCs w:val="22"/>
        </w:rPr>
        <w:t>sonnes de chaque époque.</w:t>
      </w:r>
    </w:p>
    <w:p w:rsidR="00B7214C" w:rsidRPr="004F1726" w:rsidRDefault="00B7214C" w:rsidP="00B7214C">
      <w:pPr>
        <w:spacing w:before="120" w:after="120"/>
        <w:jc w:val="both"/>
      </w:pPr>
      <w:r w:rsidRPr="004F1726">
        <w:rPr>
          <w:szCs w:val="22"/>
        </w:rPr>
        <w:t>La thématique exigeait en soi que l'on développe l'évol</w:t>
      </w:r>
      <w:r w:rsidRPr="004F1726">
        <w:rPr>
          <w:szCs w:val="22"/>
        </w:rPr>
        <w:t>u</w:t>
      </w:r>
      <w:r w:rsidRPr="004F1726">
        <w:rPr>
          <w:szCs w:val="22"/>
        </w:rPr>
        <w:t>tion éco</w:t>
      </w:r>
      <w:r w:rsidRPr="004F1726">
        <w:rPr>
          <w:szCs w:val="22"/>
        </w:rPr>
        <w:softHyphen/>
        <w:t>nomique de Montréal jusqu'à aujourd'hui, que l'on redonne, entre a</w:t>
      </w:r>
      <w:r w:rsidRPr="004F1726">
        <w:rPr>
          <w:szCs w:val="22"/>
        </w:rPr>
        <w:t>u</w:t>
      </w:r>
      <w:r w:rsidRPr="004F1726">
        <w:rPr>
          <w:szCs w:val="22"/>
        </w:rPr>
        <w:t>tres, la parole à tous les groupes culturels ayant formé Montréal, que l'on détaille les r</w:t>
      </w:r>
      <w:r w:rsidRPr="004F1726">
        <w:rPr>
          <w:szCs w:val="22"/>
        </w:rPr>
        <w:t>é</w:t>
      </w:r>
      <w:r w:rsidRPr="004F1726">
        <w:rPr>
          <w:szCs w:val="22"/>
        </w:rPr>
        <w:t>seaux de transport et de communication, que l'on explicite cet esp</w:t>
      </w:r>
      <w:r w:rsidRPr="004F1726">
        <w:rPr>
          <w:szCs w:val="22"/>
        </w:rPr>
        <w:t>a</w:t>
      </w:r>
      <w:r w:rsidRPr="004F1726">
        <w:rPr>
          <w:szCs w:val="22"/>
        </w:rPr>
        <w:t>ce géographique.</w:t>
      </w:r>
    </w:p>
    <w:p w:rsidR="00B7214C" w:rsidRDefault="00B7214C" w:rsidP="00B7214C">
      <w:pPr>
        <w:spacing w:before="120" w:after="120"/>
        <w:jc w:val="both"/>
      </w:pPr>
      <w:r w:rsidRPr="004F1726">
        <w:rPr>
          <w:szCs w:val="22"/>
        </w:rPr>
        <w:t>Le visiteur devait se reconnaître comme participant à la formation actuelle des données de nature historique et archéologique, qui form</w:t>
      </w:r>
      <w:r w:rsidRPr="004F1726">
        <w:rPr>
          <w:szCs w:val="22"/>
        </w:rPr>
        <w:t>e</w:t>
      </w:r>
      <w:r w:rsidRPr="004F1726">
        <w:rPr>
          <w:szCs w:val="22"/>
        </w:rPr>
        <w:t>ra un jour ce qui sera le passé. Il devait aussi reconnaître dans le passé ses préoccupations actuelles. Comme le disait Braudel en 1950, «</w:t>
      </w:r>
      <w:r>
        <w:rPr>
          <w:szCs w:val="22"/>
        </w:rPr>
        <w:t> </w:t>
      </w:r>
      <w:r w:rsidRPr="004F1726">
        <w:rPr>
          <w:szCs w:val="22"/>
        </w:rPr>
        <w:t>L'histoire est fille de son temps</w:t>
      </w:r>
      <w:r>
        <w:rPr>
          <w:szCs w:val="22"/>
        </w:rPr>
        <w:t> </w:t>
      </w:r>
      <w:r w:rsidRPr="004F1726">
        <w:rPr>
          <w:szCs w:val="22"/>
        </w:rPr>
        <w:t>» (1969, p. 15). En ce sens, la th</w:t>
      </w:r>
      <w:r w:rsidRPr="004F1726">
        <w:rPr>
          <w:szCs w:val="22"/>
        </w:rPr>
        <w:t>é</w:t>
      </w:r>
      <w:r w:rsidRPr="004F1726">
        <w:rPr>
          <w:szCs w:val="22"/>
        </w:rPr>
        <w:t>matique «</w:t>
      </w:r>
      <w:r>
        <w:rPr>
          <w:szCs w:val="22"/>
        </w:rPr>
        <w:t> </w:t>
      </w:r>
      <w:r w:rsidRPr="004F1726">
        <w:rPr>
          <w:szCs w:val="22"/>
        </w:rPr>
        <w:t>Montréal, carrefour d'échanges et de commerce</w:t>
      </w:r>
      <w:r>
        <w:rPr>
          <w:szCs w:val="22"/>
        </w:rPr>
        <w:t> </w:t>
      </w:r>
      <w:r w:rsidRPr="004F1726">
        <w:rPr>
          <w:szCs w:val="22"/>
        </w:rPr>
        <w:t>» r</w:t>
      </w:r>
      <w:r w:rsidRPr="004F1726">
        <w:rPr>
          <w:szCs w:val="22"/>
        </w:rPr>
        <w:t>e</w:t>
      </w:r>
      <w:r w:rsidRPr="004F1726">
        <w:rPr>
          <w:szCs w:val="22"/>
        </w:rPr>
        <w:t>joi</w:t>
      </w:r>
      <w:r>
        <w:rPr>
          <w:szCs w:val="22"/>
        </w:rPr>
        <w:t>nt, à plus d'un titre, les Mont</w:t>
      </w:r>
      <w:r w:rsidRPr="004F1726">
        <w:rPr>
          <w:szCs w:val="22"/>
        </w:rPr>
        <w:t>réalais dans leurs préoccupations actuelles en m</w:t>
      </w:r>
      <w:r w:rsidRPr="004F1726">
        <w:rPr>
          <w:szCs w:val="22"/>
        </w:rPr>
        <w:t>a</w:t>
      </w:r>
      <w:r>
        <w:rPr>
          <w:szCs w:val="22"/>
        </w:rPr>
        <w:t>tière d'économie et d'in</w:t>
      </w:r>
      <w:r w:rsidRPr="004F1726">
        <w:rPr>
          <w:szCs w:val="22"/>
        </w:rPr>
        <w:t>terculturalisme.</w:t>
      </w:r>
    </w:p>
    <w:p w:rsidR="00B7214C" w:rsidRDefault="00B7214C" w:rsidP="00B7214C">
      <w:pPr>
        <w:spacing w:before="120" w:after="120"/>
        <w:jc w:val="both"/>
      </w:pPr>
      <w:r>
        <w:t>[513]</w:t>
      </w:r>
    </w:p>
    <w:p w:rsidR="00B7214C" w:rsidRDefault="00B7214C" w:rsidP="00B7214C">
      <w:pPr>
        <w:spacing w:before="120" w:after="120"/>
        <w:jc w:val="both"/>
      </w:pPr>
    </w:p>
    <w:p w:rsidR="00B7214C" w:rsidRPr="005869B6" w:rsidRDefault="00B7214C" w:rsidP="00B7214C">
      <w:pPr>
        <w:pStyle w:val="a"/>
      </w:pPr>
      <w:r w:rsidRPr="005869B6">
        <w:t>LES DISCOURS DANS LE MUSÉE</w:t>
      </w:r>
    </w:p>
    <w:p w:rsidR="00B7214C" w:rsidRDefault="00B7214C" w:rsidP="00B7214C">
      <w:pPr>
        <w:spacing w:before="120" w:after="120"/>
        <w:jc w:val="both"/>
      </w:pPr>
    </w:p>
    <w:p w:rsidR="00B7214C" w:rsidRPr="005869B6" w:rsidRDefault="00B7214C" w:rsidP="00B7214C">
      <w:pPr>
        <w:spacing w:before="120" w:after="120"/>
        <w:jc w:val="both"/>
      </w:pPr>
      <w:r w:rsidRPr="005869B6">
        <w:t>Plusieurs niveaux de lecture superposés furent donc élab</w:t>
      </w:r>
      <w:r w:rsidRPr="005869B6">
        <w:t>o</w:t>
      </w:r>
      <w:r w:rsidRPr="005869B6">
        <w:t>rés en priorisant certains messages. Les globalités historique et archéolog</w:t>
      </w:r>
      <w:r w:rsidRPr="005869B6">
        <w:t>i</w:t>
      </w:r>
      <w:r w:rsidRPr="005869B6">
        <w:t>que furent certes réduites, mais le discours atteint mieux le visiteur.</w:t>
      </w:r>
    </w:p>
    <w:p w:rsidR="00B7214C" w:rsidRPr="005869B6" w:rsidRDefault="00B7214C" w:rsidP="00B7214C">
      <w:pPr>
        <w:spacing w:before="120" w:after="120"/>
        <w:jc w:val="both"/>
      </w:pPr>
      <w:r w:rsidRPr="005869B6">
        <w:t>La thématique est élaborée principalement dans les textes des e</w:t>
      </w:r>
      <w:r w:rsidRPr="005869B6">
        <w:t>x</w:t>
      </w:r>
      <w:r w:rsidRPr="005869B6">
        <w:t>positions permanentes et durant un spectacle multimédia retraçant l'évolution économique de Montréal, depuis la péri</w:t>
      </w:r>
      <w:r w:rsidRPr="005869B6">
        <w:t>o</w:t>
      </w:r>
      <w:r w:rsidRPr="005869B6">
        <w:t>de amérindienne jusqu'à aujourd'hui. Cette évolution est pon</w:t>
      </w:r>
      <w:r w:rsidRPr="005869B6">
        <w:t>c</w:t>
      </w:r>
      <w:r w:rsidRPr="005869B6">
        <w:t>tuée de dialogues entre le narrateur et des personnages ayant vécu et initié les changements mentionnés. De plus, les assemblages d'artefacts furent disposés chr</w:t>
      </w:r>
      <w:r w:rsidRPr="005869B6">
        <w:t>o</w:t>
      </w:r>
      <w:r w:rsidRPr="005869B6">
        <w:t>nologiquement dans des vitrines par fonctions et par provenance. La disposition des artefacts permet également de comparer chronolog</w:t>
      </w:r>
      <w:r w:rsidRPr="005869B6">
        <w:t>i</w:t>
      </w:r>
      <w:r w:rsidRPr="005869B6">
        <w:t>quement l'évolution des formes et des matériaux ainsi que la conce</w:t>
      </w:r>
      <w:r w:rsidRPr="005869B6">
        <w:t>n</w:t>
      </w:r>
      <w:r w:rsidRPr="005869B6">
        <w:t>tration d'objets trouvés pour une même fonction ou selon les prov</w:t>
      </w:r>
      <w:r w:rsidRPr="005869B6">
        <w:t>e</w:t>
      </w:r>
      <w:r w:rsidRPr="005869B6">
        <w:t>nances.</w:t>
      </w:r>
    </w:p>
    <w:p w:rsidR="00B7214C" w:rsidRPr="005869B6" w:rsidRDefault="00B7214C" w:rsidP="00B7214C">
      <w:pPr>
        <w:spacing w:before="120" w:after="120"/>
        <w:jc w:val="both"/>
      </w:pPr>
      <w:r w:rsidRPr="005869B6">
        <w:t>La démarche archéologique demandait que l'on contextu</w:t>
      </w:r>
      <w:r w:rsidRPr="005869B6">
        <w:t>a</w:t>
      </w:r>
      <w:r w:rsidRPr="005869B6">
        <w:t>lise les vestiges archéologiques trouvés en rapport avec l'esp</w:t>
      </w:r>
      <w:r w:rsidRPr="005869B6">
        <w:t>a</w:t>
      </w:r>
      <w:r w:rsidRPr="005869B6">
        <w:t>ce immédiat, la ville ancienne ou le territoire qu'elle occupa, particulièrement au site complexe de la place Royale. À la crypte, cinq maquettes ont été conçues à cet égard pour cinq périodes données, dont une datant d'avant la fondation de Montréal. Les vestiges archéologiques de la place Royale, en bordure sud de l'ancienne place publique et de ma</w:t>
      </w:r>
      <w:r w:rsidRPr="005869B6">
        <w:t>r</w:t>
      </w:r>
      <w:r w:rsidRPr="005869B6">
        <w:t>ché pour les périodes historiques, se ret</w:t>
      </w:r>
      <w:r>
        <w:t>r</w:t>
      </w:r>
      <w:r w:rsidRPr="005869B6">
        <w:t>ouvent donc contextualisés dans un espace plus large, permettant ainsi au visiteur de comprendre quelle partie de la maquette les vestiges couvrent et de mieux situer la « partie », le site de la place Royale, par rapport à « l'ensemble », la ville ancienne.</w:t>
      </w:r>
    </w:p>
    <w:p w:rsidR="00B7214C" w:rsidRPr="005869B6" w:rsidRDefault="00B7214C" w:rsidP="00B7214C">
      <w:pPr>
        <w:spacing w:before="120" w:after="120"/>
        <w:jc w:val="both"/>
      </w:pPr>
      <w:r w:rsidRPr="005869B6">
        <w:t>La solution trouvée pour lier les vestiges à la thématique fut de s</w:t>
      </w:r>
      <w:r w:rsidRPr="005869B6">
        <w:t>i</w:t>
      </w:r>
      <w:r w:rsidRPr="005869B6">
        <w:t>tuer l'ancienne place publique au centre de chacune des maquettes, plutôt que le site archéologique lui-même en bordure sud. On dés</w:t>
      </w:r>
      <w:r w:rsidRPr="005869B6">
        <w:t>i</w:t>
      </w:r>
      <w:r w:rsidRPr="005869B6">
        <w:t>gnait ainsi implicitement la place comme un « carrefour d'échanges et de commerce ».</w:t>
      </w:r>
    </w:p>
    <w:p w:rsidR="00B7214C" w:rsidRDefault="00B7214C" w:rsidP="00B7214C">
      <w:pPr>
        <w:spacing w:before="120" w:after="120"/>
        <w:jc w:val="both"/>
      </w:pPr>
      <w:r w:rsidRPr="005869B6">
        <w:t>Ces maquettes permettent d'intégrer plusieurs aspects du dévelo</w:t>
      </w:r>
      <w:r w:rsidRPr="005869B6">
        <w:t>p</w:t>
      </w:r>
      <w:r w:rsidRPr="005869B6">
        <w:t>pement de Montréal qui ne sont pas étroitement liés à la thématique. On peut y voir l'évolution des types architect</w:t>
      </w:r>
      <w:r w:rsidRPr="005869B6">
        <w:t>u</w:t>
      </w:r>
      <w:r w:rsidRPr="005869B6">
        <w:t>raux, quant aux formes, aux utilités et aux matériaux utilisés, la densification de la population par l'évolution du bâti, les conséquences de la démolition des fortific</w:t>
      </w:r>
      <w:r w:rsidRPr="005869B6">
        <w:t>a</w:t>
      </w:r>
      <w:r w:rsidRPr="005869B6">
        <w:t>tions, le dévelo</w:t>
      </w:r>
      <w:r w:rsidRPr="005869B6">
        <w:t>p</w:t>
      </w:r>
      <w:r w:rsidRPr="005869B6">
        <w:t>pement d'aires pour les cultures et les animaux au XVII</w:t>
      </w:r>
      <w:r w:rsidRPr="005869B6">
        <w:rPr>
          <w:vertAlign w:val="superscript"/>
        </w:rPr>
        <w:t>e</w:t>
      </w:r>
      <w:r w:rsidRPr="005869B6">
        <w:t xml:space="preserve"> siècle, les conséquences des feux au XVIII</w:t>
      </w:r>
      <w:r w:rsidRPr="005869B6">
        <w:rPr>
          <w:vertAlign w:val="superscript"/>
        </w:rPr>
        <w:t>e</w:t>
      </w:r>
      <w:r w:rsidRPr="005869B6">
        <w:t xml:space="preserve"> siècle, l'aménag</w:t>
      </w:r>
      <w:r w:rsidRPr="005869B6">
        <w:t>e</w:t>
      </w:r>
      <w:r w:rsidRPr="005869B6">
        <w:t>ment des espaces riverains et l'introduction de parcs aménagés au XIX</w:t>
      </w:r>
      <w:r w:rsidRPr="005869B6">
        <w:rPr>
          <w:vertAlign w:val="superscript"/>
        </w:rPr>
        <w:t>e</w:t>
      </w:r>
      <w:r w:rsidRPr="005869B6">
        <w:t xml:space="preserve"> siècle, etc.</w:t>
      </w:r>
    </w:p>
    <w:p w:rsidR="00B7214C" w:rsidRPr="005869B6" w:rsidRDefault="00B7214C" w:rsidP="00B7214C">
      <w:pPr>
        <w:spacing w:before="120" w:after="120"/>
        <w:jc w:val="both"/>
      </w:pPr>
      <w:r>
        <w:br w:type="page"/>
        <w:t>[</w:t>
      </w:r>
      <w:r w:rsidRPr="005869B6">
        <w:t>514</w:t>
      </w:r>
      <w:r>
        <w:t>]</w:t>
      </w:r>
    </w:p>
    <w:p w:rsidR="00B7214C" w:rsidRPr="005869B6" w:rsidRDefault="00B7214C" w:rsidP="00B7214C">
      <w:pPr>
        <w:spacing w:before="120" w:after="120"/>
        <w:jc w:val="both"/>
      </w:pPr>
      <w:r w:rsidRPr="005869B6">
        <w:t>Cinq personnages virtuels pour lesquels des textes historiques o</w:t>
      </w:r>
      <w:r w:rsidRPr="005869B6">
        <w:t>f</w:t>
      </w:r>
      <w:r w:rsidRPr="005869B6">
        <w:t>fraient des informations contribuent à animer les vestiges archéolog</w:t>
      </w:r>
      <w:r w:rsidRPr="005869B6">
        <w:t>i</w:t>
      </w:r>
      <w:r w:rsidRPr="005869B6">
        <w:t>ques de la crypte. Ils sont reliés aux vestiges soit par un lien de pare</w:t>
      </w:r>
      <w:r w:rsidRPr="005869B6">
        <w:t>n</w:t>
      </w:r>
      <w:r w:rsidRPr="005869B6">
        <w:t>té avec l'un des propriétaires d'un bât</w:t>
      </w:r>
      <w:r w:rsidRPr="005869B6">
        <w:t>i</w:t>
      </w:r>
      <w:r w:rsidRPr="005869B6">
        <w:t>ment, soit par l'époque ou par la culture.</w:t>
      </w:r>
    </w:p>
    <w:p w:rsidR="00B7214C" w:rsidRPr="005869B6" w:rsidRDefault="00B7214C" w:rsidP="00B7214C">
      <w:pPr>
        <w:spacing w:before="120" w:after="120"/>
        <w:jc w:val="both"/>
      </w:pPr>
      <w:r w:rsidRPr="005869B6">
        <w:t>Plusieurs contextes archéologiques témoins de toutes les périodes présentes aux sites, des stratigraphies, ont été conse</w:t>
      </w:r>
      <w:r w:rsidRPr="005869B6">
        <w:t>r</w:t>
      </w:r>
      <w:r w:rsidRPr="005869B6">
        <w:t>vés et identifiés, même ceux n'étant pas nécessairement liés à la thématique.</w:t>
      </w:r>
    </w:p>
    <w:p w:rsidR="00B7214C" w:rsidRPr="005869B6" w:rsidRDefault="00B7214C" w:rsidP="00B7214C">
      <w:pPr>
        <w:spacing w:before="120" w:after="120"/>
        <w:jc w:val="both"/>
      </w:pPr>
      <w:r w:rsidRPr="005869B6">
        <w:t>À l'Éperon, une maquette de verre présente à la fois l'évol</w:t>
      </w:r>
      <w:r w:rsidRPr="005869B6">
        <w:t>u</w:t>
      </w:r>
      <w:r w:rsidRPr="005869B6">
        <w:t>tion du bâti sur la pointe à Callière et l'évolution des amén</w:t>
      </w:r>
      <w:r w:rsidRPr="005869B6">
        <w:t>a</w:t>
      </w:r>
      <w:r w:rsidRPr="005869B6">
        <w:t>gements riverains du fleuve et de la petite rivière Saint-Pierre, par niveaux superposés.</w:t>
      </w:r>
    </w:p>
    <w:p w:rsidR="00B7214C" w:rsidRPr="005869B6" w:rsidRDefault="00B7214C" w:rsidP="00B7214C">
      <w:pPr>
        <w:spacing w:before="120" w:after="120"/>
        <w:jc w:val="both"/>
      </w:pPr>
      <w:r w:rsidRPr="005869B6">
        <w:t>Dans le corridor de liaison Éperon-crypte traversant l'axe de l'a</w:t>
      </w:r>
      <w:r w:rsidRPr="005869B6">
        <w:t>n</w:t>
      </w:r>
      <w:r w:rsidRPr="005869B6">
        <w:t>cienne rivière Saint-Pierre, deux tableaux montrent des activités prat</w:t>
      </w:r>
      <w:r w:rsidRPr="005869B6">
        <w:t>i</w:t>
      </w:r>
      <w:r w:rsidRPr="005869B6">
        <w:t>quées sur les premières pentes du coteau : un pour la période améri</w:t>
      </w:r>
      <w:r w:rsidRPr="005869B6">
        <w:t>n</w:t>
      </w:r>
      <w:r w:rsidRPr="005869B6">
        <w:t>dienne, représentant les activités documentées pour le groupe conce</w:t>
      </w:r>
      <w:r w:rsidRPr="005869B6">
        <w:t>r</w:t>
      </w:r>
      <w:r w:rsidRPr="005869B6">
        <w:t>né, soit les Iroquoiens du Saint-Laurent ; l'autre pour la petite ville naissante vers 1700, illu</w:t>
      </w:r>
      <w:r w:rsidRPr="005869B6">
        <w:t>s</w:t>
      </w:r>
      <w:r w:rsidRPr="005869B6">
        <w:t>trant des activités en rapport avec la traite des fourrures.</w:t>
      </w:r>
    </w:p>
    <w:p w:rsidR="00B7214C" w:rsidRPr="005869B6" w:rsidRDefault="00B7214C" w:rsidP="00B7214C">
      <w:pPr>
        <w:spacing w:before="120" w:after="120"/>
        <w:jc w:val="both"/>
      </w:pPr>
      <w:r w:rsidRPr="005869B6">
        <w:t>À l'extrémité sud de l'ancien égout-collecteur, soit en r</w:t>
      </w:r>
      <w:r w:rsidRPr="005869B6">
        <w:t>e</w:t>
      </w:r>
      <w:r w:rsidRPr="005869B6">
        <w:t>gardant vers l'embouchure de la rivière, un tableau illustre le lieu géograph</w:t>
      </w:r>
      <w:r w:rsidRPr="005869B6">
        <w:t>i</w:t>
      </w:r>
      <w:r w:rsidRPr="005869B6">
        <w:t>que, sa topographie, son hydrographie et sa flore, avant les aménag</w:t>
      </w:r>
      <w:r w:rsidRPr="005869B6">
        <w:t>e</w:t>
      </w:r>
      <w:r w:rsidRPr="005869B6">
        <w:t>ments portuaires.</w:t>
      </w:r>
    </w:p>
    <w:p w:rsidR="00B7214C" w:rsidRPr="005869B6" w:rsidRDefault="00B7214C" w:rsidP="00B7214C">
      <w:pPr>
        <w:spacing w:before="120" w:after="120"/>
        <w:jc w:val="both"/>
      </w:pPr>
      <w:r w:rsidRPr="005869B6">
        <w:t>Le discours véhiculé par l'animation intègre à la fois toutes ces i</w:t>
      </w:r>
      <w:r w:rsidRPr="005869B6">
        <w:t>n</w:t>
      </w:r>
      <w:r w:rsidRPr="005869B6">
        <w:t>formations écrites ou illustrées. Les guides-animateurs aident les vis</w:t>
      </w:r>
      <w:r w:rsidRPr="005869B6">
        <w:t>i</w:t>
      </w:r>
      <w:r w:rsidRPr="005869B6">
        <w:t>teurs à percevoir les changements, d'une époque à l'autre, et leur o</w:t>
      </w:r>
      <w:r w:rsidRPr="005869B6">
        <w:t>f</w:t>
      </w:r>
      <w:r w:rsidRPr="005869B6">
        <w:t>frent des repères temporels et événementiels. De plus, ils favorisent la compréhension générale des visiteurs en situant chronologiquement la trame archéologique des deux sites, l'un par rapport à l'autre, rappelant ainsi l'ensemble du site de la fondation et des premiers développ</w:t>
      </w:r>
      <w:r w:rsidRPr="005869B6">
        <w:t>e</w:t>
      </w:r>
      <w:r w:rsidRPr="005869B6">
        <w:t>ments de Mo</w:t>
      </w:r>
      <w:r w:rsidRPr="005869B6">
        <w:t>n</w:t>
      </w:r>
      <w:r w:rsidRPr="005869B6">
        <w:t>tréal : la pointe, la rivière et le coteau.</w:t>
      </w:r>
    </w:p>
    <w:p w:rsidR="00B7214C" w:rsidRDefault="00B7214C" w:rsidP="00B7214C">
      <w:pPr>
        <w:spacing w:before="120" w:after="120"/>
        <w:jc w:val="both"/>
      </w:pPr>
      <w:r>
        <w:br w:type="page"/>
      </w:r>
    </w:p>
    <w:p w:rsidR="00B7214C" w:rsidRPr="005869B6" w:rsidRDefault="00B7214C" w:rsidP="00B7214C">
      <w:pPr>
        <w:pStyle w:val="a"/>
      </w:pPr>
      <w:r w:rsidRPr="005869B6">
        <w:t>UN DISCOURS À VENIR...</w:t>
      </w:r>
    </w:p>
    <w:p w:rsidR="00B7214C" w:rsidRDefault="00B7214C" w:rsidP="00B7214C">
      <w:pPr>
        <w:spacing w:before="120" w:after="120"/>
        <w:jc w:val="both"/>
      </w:pPr>
    </w:p>
    <w:p w:rsidR="00B7214C" w:rsidRPr="005869B6" w:rsidRDefault="00B7214C" w:rsidP="00B7214C">
      <w:pPr>
        <w:spacing w:before="120" w:after="120"/>
        <w:jc w:val="both"/>
      </w:pPr>
      <w:r w:rsidRPr="005869B6">
        <w:t>Si l'histoire et l'archéologie sont des disciplines très proches dans leur sujet d'étude, la ville, et dans leur perspective globale du passé, la nature de leurs données les éloignent dans les a</w:t>
      </w:r>
      <w:r w:rsidRPr="005869B6">
        <w:t>s</w:t>
      </w:r>
      <w:r>
        <w:t>pects de la réalité qu’</w:t>
      </w:r>
      <w:r w:rsidRPr="005869B6">
        <w:t>elles peuvent chacune documenter et dans les liens divers pour diff</w:t>
      </w:r>
      <w:r w:rsidRPr="005869B6">
        <w:t>é</w:t>
      </w:r>
      <w:r w:rsidRPr="005869B6">
        <w:t>rents espaces qu'elles peuvent inférer. Bien que c</w:t>
      </w:r>
      <w:r>
        <w:t xml:space="preserve">es données et ce qui en découle, [515] </w:t>
      </w:r>
      <w:r w:rsidRPr="005869B6">
        <w:t>i.e. les objets d'études privilégiés, soient diff</w:t>
      </w:r>
      <w:r w:rsidRPr="005869B6">
        <w:t>é</w:t>
      </w:r>
      <w:r w:rsidRPr="005869B6">
        <w:t>rentes, elles ne sont pas pour autant contradictoires, à condition d'en connaître les portées re</w:t>
      </w:r>
      <w:r w:rsidRPr="005869B6">
        <w:t>s</w:t>
      </w:r>
      <w:r w:rsidRPr="005869B6">
        <w:t>pectives.</w:t>
      </w:r>
    </w:p>
    <w:p w:rsidR="00B7214C" w:rsidRPr="005869B6" w:rsidRDefault="00B7214C" w:rsidP="00B7214C">
      <w:pPr>
        <w:spacing w:before="120" w:after="120"/>
        <w:jc w:val="both"/>
      </w:pPr>
      <w:r w:rsidRPr="005869B6">
        <w:t>Par l'application d'une approche mettant les vestiges en r</w:t>
      </w:r>
      <w:r w:rsidRPr="005869B6">
        <w:t>e</w:t>
      </w:r>
      <w:r w:rsidRPr="005869B6">
        <w:t>lation les uns par rapport aux autres, les données archéolog</w:t>
      </w:r>
      <w:r w:rsidRPr="005869B6">
        <w:t>i</w:t>
      </w:r>
      <w:r w:rsidRPr="005869B6">
        <w:t>ques ont fourni des résultats surprenants. Par exemple, elles ont pu documenter et mettre en évidence un possible réseau radio-concentrique des rues de la ville naissante antérieur au réseau orthogonal planifié par le sulpicien Do</w:t>
      </w:r>
      <w:r w:rsidRPr="005869B6">
        <w:t>l</w:t>
      </w:r>
      <w:r w:rsidRPr="005869B6">
        <w:t>lier de Casson dès 1672 et considéré jusqu'ici comme le premier r</w:t>
      </w:r>
      <w:r w:rsidRPr="005869B6">
        <w:t>é</w:t>
      </w:r>
      <w:r w:rsidRPr="005869B6">
        <w:t>seau plan</w:t>
      </w:r>
      <w:r w:rsidRPr="005869B6">
        <w:t>i</w:t>
      </w:r>
      <w:r w:rsidRPr="005869B6">
        <w:t>fié des rues de Montréal (Arkéos, 1991).</w:t>
      </w:r>
    </w:p>
    <w:p w:rsidR="00B7214C" w:rsidRPr="005869B6" w:rsidRDefault="00B7214C" w:rsidP="00B7214C">
      <w:pPr>
        <w:spacing w:before="120" w:after="120"/>
        <w:jc w:val="both"/>
      </w:pPr>
      <w:r w:rsidRPr="005869B6">
        <w:t>La poursuite des recherches archéologiques selon des a</w:t>
      </w:r>
      <w:r w:rsidRPr="005869B6">
        <w:t>p</w:t>
      </w:r>
      <w:r w:rsidRPr="005869B6">
        <w:t>proches et des méthodes propres à cette discipline fournira de nouveaux résultats. Comment les intégrer dans le musée ? En offrant une compréhension sur d'autres aspects du réel passé, en enrichissant le discours appuyant les interprétations des s</w:t>
      </w:r>
      <w:r w:rsidRPr="005869B6">
        <w:t>i</w:t>
      </w:r>
      <w:r w:rsidRPr="005869B6">
        <w:t>tes archéologiques.</w:t>
      </w:r>
    </w:p>
    <w:p w:rsidR="00B7214C" w:rsidRPr="005869B6" w:rsidRDefault="00B7214C" w:rsidP="00B7214C">
      <w:pPr>
        <w:spacing w:before="120" w:after="120"/>
        <w:jc w:val="both"/>
      </w:pPr>
      <w:r w:rsidRPr="005869B6">
        <w:t>La manière dont Pointe-à-Callière intègre à la fois ces deux disc</w:t>
      </w:r>
      <w:r w:rsidRPr="005869B6">
        <w:t>i</w:t>
      </w:r>
      <w:r w:rsidRPr="005869B6">
        <w:t>plines en fait son originalité. Pour le visiteur, la globalité, c'est peut-être de pouvoir voir ces sites, les situer sur la maquette, i.e. dans l'e</w:t>
      </w:r>
      <w:r w:rsidRPr="005869B6">
        <w:t>s</w:t>
      </w:r>
      <w:r w:rsidRPr="005869B6">
        <w:t>pace, percevoir l'évolution de la trame u</w:t>
      </w:r>
      <w:r w:rsidRPr="005869B6">
        <w:t>r</w:t>
      </w:r>
      <w:r w:rsidRPr="005869B6">
        <w:t>baine du secteur, entendre des personnages, se rappeler les événements et le développement de notre hist</w:t>
      </w:r>
      <w:r>
        <w:t>oire locale et nationale en la li</w:t>
      </w:r>
      <w:r w:rsidRPr="005869B6">
        <w:t>ant avec l'outre-mer et les a</w:t>
      </w:r>
      <w:r w:rsidRPr="005869B6">
        <w:t>u</w:t>
      </w:r>
      <w:r w:rsidRPr="005869B6">
        <w:t>tres villes de la c</w:t>
      </w:r>
      <w:r w:rsidRPr="005869B6">
        <w:t>o</w:t>
      </w:r>
      <w:r w:rsidRPr="005869B6">
        <w:t>lonie.</w:t>
      </w:r>
    </w:p>
    <w:p w:rsidR="00B7214C" w:rsidRPr="005869B6" w:rsidRDefault="00B7214C" w:rsidP="00B7214C">
      <w:pPr>
        <w:spacing w:before="120" w:after="120"/>
        <w:jc w:val="both"/>
      </w:pPr>
      <w:r w:rsidRPr="005869B6">
        <w:t>C'est aussi la complémentarité des approches pour tran</w:t>
      </w:r>
      <w:r w:rsidRPr="005869B6">
        <w:t>s</w:t>
      </w:r>
      <w:r w:rsidRPr="005869B6">
        <w:t>mettre ces discours. L'archéologie est plutôt visuelle alors que l'histoire est plutôt écrite. Mais qui en parle ? Le guide en pa</w:t>
      </w:r>
      <w:r w:rsidRPr="005869B6">
        <w:t>r</w:t>
      </w:r>
      <w:r w:rsidRPr="005869B6">
        <w:t>le.</w:t>
      </w:r>
    </w:p>
    <w:p w:rsidR="00B7214C" w:rsidRPr="00BC632B" w:rsidRDefault="00B7214C" w:rsidP="00B7214C">
      <w:pPr>
        <w:spacing w:before="120" w:after="120"/>
        <w:jc w:val="both"/>
      </w:pPr>
      <w:r>
        <w:br w:type="page"/>
      </w: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pStyle w:val="p"/>
      </w:pPr>
    </w:p>
    <w:p w:rsidR="00B7214C" w:rsidRDefault="00B7214C" w:rsidP="00B7214C">
      <w:pPr>
        <w:pStyle w:val="p"/>
      </w:pPr>
      <w:r>
        <w:t>[</w:t>
      </w:r>
      <w:r w:rsidRPr="005869B6">
        <w:t>516</w:t>
      </w:r>
      <w:r>
        <w:t>]</w:t>
      </w:r>
    </w:p>
    <w:p w:rsidR="00B7214C" w:rsidRPr="005869B6" w:rsidRDefault="00B7214C" w:rsidP="00B7214C">
      <w:pPr>
        <w:spacing w:before="120" w:after="120"/>
        <w:jc w:val="both"/>
      </w:pPr>
    </w:p>
    <w:p w:rsidR="00B7214C" w:rsidRDefault="00B7214C" w:rsidP="00B7214C">
      <w:pPr>
        <w:pStyle w:val="a"/>
      </w:pPr>
      <w:r w:rsidRPr="005869B6">
        <w:t>BIBLIOGRAPHIE</w:t>
      </w:r>
    </w:p>
    <w:p w:rsidR="00B7214C" w:rsidRPr="005869B6" w:rsidRDefault="00B7214C" w:rsidP="00B7214C">
      <w:pPr>
        <w:spacing w:before="120" w:after="120"/>
        <w:jc w:val="both"/>
      </w:pPr>
    </w:p>
    <w:p w:rsidR="00B7214C" w:rsidRPr="00B84DC7" w:rsidRDefault="00B7214C" w:rsidP="00B7214C">
      <w:pPr>
        <w:spacing w:before="120" w:after="120"/>
        <w:jc w:val="both"/>
      </w:pPr>
      <w:r w:rsidRPr="00B84DC7">
        <w:rPr>
          <w:iCs/>
        </w:rPr>
        <w:t xml:space="preserve">Arkéos Inc., </w:t>
      </w:r>
      <w:r w:rsidRPr="00B84DC7">
        <w:t>Montréal, carrefour dans l'espace : projet Poi</w:t>
      </w:r>
      <w:r w:rsidRPr="00B84DC7">
        <w:t>n</w:t>
      </w:r>
      <w:r w:rsidRPr="00B84DC7">
        <w:t>te-à-Callière, musée d'archéologie et d’histoire de Montréal,</w:t>
      </w:r>
      <w:r w:rsidRPr="00B84DC7">
        <w:rPr>
          <w:iCs/>
        </w:rPr>
        <w:t xml:space="preserve"> Montréal, Simpa, 1991.</w:t>
      </w:r>
    </w:p>
    <w:p w:rsidR="00B7214C" w:rsidRPr="005869B6" w:rsidRDefault="00B7214C" w:rsidP="00B7214C">
      <w:pPr>
        <w:spacing w:before="120" w:after="120"/>
        <w:jc w:val="both"/>
      </w:pPr>
      <w:r w:rsidRPr="005869B6">
        <w:t xml:space="preserve">Braudel, F., </w:t>
      </w:r>
      <w:r w:rsidRPr="00B84DC7">
        <w:rPr>
          <w:i/>
          <w:iCs/>
        </w:rPr>
        <w:t>Écrits sur l’histoire,</w:t>
      </w:r>
      <w:r w:rsidRPr="005869B6">
        <w:t xml:space="preserve"> Paris, Flammarion, 1969.</w:t>
      </w:r>
    </w:p>
    <w:p w:rsidR="00B7214C" w:rsidRPr="005869B6" w:rsidRDefault="00B7214C" w:rsidP="00B7214C">
      <w:pPr>
        <w:spacing w:before="120" w:after="120"/>
        <w:jc w:val="both"/>
      </w:pPr>
      <w:r w:rsidRPr="005869B6">
        <w:t>Dufresne, S., « Pointe-à-Callière : comment naît une appr</w:t>
      </w:r>
      <w:r w:rsidRPr="005869B6">
        <w:t>o</w:t>
      </w:r>
      <w:r w:rsidRPr="005869B6">
        <w:t xml:space="preserve">che de mise en valeur », Montréal, </w:t>
      </w:r>
      <w:r w:rsidRPr="00B84DC7">
        <w:rPr>
          <w:i/>
          <w:iCs/>
        </w:rPr>
        <w:t>Mémoires vives,</w:t>
      </w:r>
      <w:r w:rsidRPr="005869B6">
        <w:t xml:space="preserve"> 1992, n</w:t>
      </w:r>
      <w:r>
        <w:t>os </w:t>
      </w:r>
      <w:r w:rsidRPr="005869B6">
        <w:t>1-2.</w:t>
      </w:r>
    </w:p>
    <w:p w:rsidR="00B7214C" w:rsidRPr="005869B6" w:rsidRDefault="00B7214C" w:rsidP="00B7214C">
      <w:pPr>
        <w:spacing w:before="120" w:after="120"/>
        <w:jc w:val="both"/>
      </w:pPr>
      <w:r w:rsidRPr="005869B6">
        <w:t>SIMPA (Société immobilière du patrimoine architectural de Mo</w:t>
      </w:r>
      <w:r w:rsidRPr="005869B6">
        <w:t>n</w:t>
      </w:r>
      <w:r w:rsidRPr="005869B6">
        <w:t xml:space="preserve">tréal), </w:t>
      </w:r>
      <w:r w:rsidRPr="00B84DC7">
        <w:rPr>
          <w:i/>
          <w:iCs/>
        </w:rPr>
        <w:t>Complexe archéologique et historique de la Place du 350e</w:t>
      </w:r>
      <w:r w:rsidRPr="005869B6">
        <w:t xml:space="preserve"> a</w:t>
      </w:r>
      <w:r w:rsidRPr="005869B6">
        <w:t>n</w:t>
      </w:r>
      <w:r w:rsidRPr="005869B6">
        <w:t>niversaire de Mo</w:t>
      </w:r>
      <w:r w:rsidRPr="005869B6">
        <w:t>n</w:t>
      </w:r>
      <w:r w:rsidRPr="005869B6">
        <w:t>tr</w:t>
      </w:r>
      <w:r>
        <w:t>é</w:t>
      </w:r>
      <w:r w:rsidRPr="005869B6">
        <w:t>al, Volume 2 : concept d'interprétation, Montréal, Simpa, 1989.</w:t>
      </w:r>
    </w:p>
    <w:p w:rsidR="00B7214C" w:rsidRDefault="00B7214C" w:rsidP="00B7214C">
      <w:pPr>
        <w:spacing w:before="120" w:after="120"/>
        <w:jc w:val="both"/>
      </w:pPr>
      <w:r w:rsidRPr="005869B6">
        <w:t xml:space="preserve">Salaün, J.-P. et M. Tétrault, </w:t>
      </w:r>
      <w:r w:rsidRPr="00B84DC7">
        <w:rPr>
          <w:i/>
          <w:iCs/>
        </w:rPr>
        <w:t>Étude du potentiel archéologique du Vieux-Montréal,</w:t>
      </w:r>
      <w:r w:rsidRPr="005869B6">
        <w:rPr>
          <w:rStyle w:val="Corpsdutexte1075ptGras"/>
        </w:rPr>
        <w:t xml:space="preserve"> </w:t>
      </w:r>
      <w:r w:rsidRPr="005869B6">
        <w:t>Ville de Montréal, 1992.</w:t>
      </w:r>
    </w:p>
    <w:p w:rsidR="00B7214C" w:rsidRDefault="00B7214C" w:rsidP="00B7214C">
      <w:pPr>
        <w:pStyle w:val="p"/>
      </w:pPr>
      <w:r w:rsidRPr="005869B6">
        <w:br w:type="page"/>
      </w:r>
      <w:r>
        <w:t>[517]</w:t>
      </w: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2" w:name="Entre_tradition_pt_3_texte_37"/>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B. LE DISCOURS ARCHÉOLOGIQUE</w:t>
      </w:r>
    </w:p>
    <w:p w:rsidR="00B7214C" w:rsidRPr="00384B20" w:rsidRDefault="00B7214C" w:rsidP="00B7214C">
      <w:pPr>
        <w:pStyle w:val="Titreniveau1"/>
      </w:pPr>
      <w:r>
        <w:t>37</w:t>
      </w:r>
    </w:p>
    <w:p w:rsidR="00B7214C" w:rsidRDefault="00B7214C" w:rsidP="00B7214C">
      <w:pPr>
        <w:pStyle w:val="Titreniveau2"/>
      </w:pPr>
      <w:r>
        <w:t>“Lieu de la mémoire :</w:t>
      </w:r>
      <w:r>
        <w:br/>
        <w:t>la ville.”</w:t>
      </w:r>
    </w:p>
    <w:bookmarkEnd w:id="52"/>
    <w:p w:rsidR="00B7214C" w:rsidRPr="00E07116" w:rsidRDefault="00B7214C" w:rsidP="00B7214C">
      <w:pPr>
        <w:jc w:val="both"/>
        <w:rPr>
          <w:szCs w:val="36"/>
        </w:rPr>
      </w:pPr>
    </w:p>
    <w:p w:rsidR="00B7214C" w:rsidRPr="00E07116" w:rsidRDefault="00B7214C" w:rsidP="00B7214C">
      <w:pPr>
        <w:pStyle w:val="suite"/>
      </w:pPr>
      <w:r>
        <w:t>Par Claire MOUSSEAU</w:t>
      </w:r>
    </w:p>
    <w:p w:rsidR="00B7214C" w:rsidRPr="00E07116" w:rsidRDefault="00B7214C" w:rsidP="00B7214C">
      <w:pPr>
        <w:pStyle w:val="auteurst"/>
      </w:pPr>
      <w:r w:rsidRPr="004A7EF1">
        <w:t>Société d'habitation et de développement urbain, Montréal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rsidRPr="005869B6">
        <w:t>Considérant que la presque totalité des archéologues œuvrant a</w:t>
      </w:r>
      <w:r w:rsidRPr="005869B6">
        <w:t>c</w:t>
      </w:r>
      <w:r w:rsidRPr="005869B6">
        <w:t>tuellement au Québec sont associés à l'archéologie d'aménagement et ainsi appelés à s'inscrire dans des problém</w:t>
      </w:r>
      <w:r w:rsidRPr="005869B6">
        <w:t>a</w:t>
      </w:r>
      <w:r w:rsidRPr="005869B6">
        <w:t>tiques contemporaines, à l'exemple d'étude d'impact, de l'ét</w:t>
      </w:r>
      <w:r w:rsidRPr="005869B6">
        <w:t>a</w:t>
      </w:r>
      <w:r w:rsidRPr="005869B6">
        <w:t>blissement de plans d'utilisation du sol, de la réhabilitation des friches industrielles et d'ensemble d'habit</w:t>
      </w:r>
      <w:r w:rsidRPr="005869B6">
        <w:t>a</w:t>
      </w:r>
      <w:r w:rsidRPr="005869B6">
        <w:t>tion, d'aménagement linéaire, de station d'épuration, de voie publique, de place, square, etc., je me propose de vous présenter une réflexion sur les nouveaux rapports qui se tissent entre archéologie et esp</w:t>
      </w:r>
      <w:r w:rsidRPr="005869B6">
        <w:t>a</w:t>
      </w:r>
      <w:r w:rsidRPr="005869B6">
        <w:t>ce.</w:t>
      </w:r>
    </w:p>
    <w:p w:rsidR="00B7214C" w:rsidRPr="005869B6" w:rsidRDefault="00B7214C" w:rsidP="00B7214C">
      <w:pPr>
        <w:spacing w:before="120" w:after="120"/>
        <w:jc w:val="both"/>
      </w:pPr>
      <w:r w:rsidRPr="005869B6">
        <w:t>J'aborderai les questions que l'archéologie peut adresser à la ville et aux autres professions de l'espace, sans toutefois insister sur les fo</w:t>
      </w:r>
      <w:r w:rsidRPr="005869B6">
        <w:t>n</w:t>
      </w:r>
      <w:r w:rsidRPr="005869B6">
        <w:t>dements théoriques de ce questionnement, vous laissant la possibilité de les découvrir par la lecture des plus récents travaux archéologiques produits par les chercheurs œuvrant en milieu montréalais</w:t>
      </w:r>
      <w:r>
        <w:t> </w:t>
      </w:r>
      <w:r>
        <w:rPr>
          <w:rStyle w:val="Appelnotedebasdep"/>
        </w:rPr>
        <w:footnoteReference w:id="370"/>
      </w:r>
      <w:r w:rsidRPr="005869B6">
        <w:t>.</w:t>
      </w:r>
    </w:p>
    <w:p w:rsidR="00B7214C" w:rsidRDefault="00B7214C" w:rsidP="00B7214C">
      <w:pPr>
        <w:spacing w:before="120" w:after="120"/>
        <w:jc w:val="both"/>
      </w:pPr>
    </w:p>
    <w:p w:rsidR="00B7214C" w:rsidRPr="005869B6" w:rsidRDefault="00B7214C" w:rsidP="00B7214C">
      <w:pPr>
        <w:pStyle w:val="a"/>
      </w:pPr>
      <w:r w:rsidRPr="005869B6">
        <w:t>FREINER L'É</w:t>
      </w:r>
      <w:r>
        <w:t>ROSION</w:t>
      </w:r>
      <w:r>
        <w:br/>
      </w:r>
      <w:r w:rsidRPr="005869B6">
        <w:t>DU PATRIMOINE ARCHÉ</w:t>
      </w:r>
      <w:r w:rsidRPr="005869B6">
        <w:t>O</w:t>
      </w:r>
      <w:r w:rsidRPr="005869B6">
        <w:t>LOGIQUE :</w:t>
      </w:r>
      <w:r>
        <w:br/>
      </w:r>
      <w:r w:rsidRPr="005869B6">
        <w:t>L'EXPÉRIENCE MONTRÉALAISE</w:t>
      </w:r>
    </w:p>
    <w:p w:rsidR="00B7214C" w:rsidRDefault="00B7214C" w:rsidP="00B7214C">
      <w:pPr>
        <w:spacing w:before="120" w:after="120"/>
        <w:jc w:val="both"/>
      </w:pPr>
    </w:p>
    <w:p w:rsidR="00B7214C" w:rsidRDefault="00B7214C" w:rsidP="00B7214C">
      <w:pPr>
        <w:spacing w:before="120" w:after="120"/>
        <w:jc w:val="both"/>
      </w:pPr>
      <w:r w:rsidRPr="005869B6">
        <w:t>L'idée de ville sédimentaire, maintenant largement répandue, év</w:t>
      </w:r>
      <w:r w:rsidRPr="005869B6">
        <w:t>o</w:t>
      </w:r>
      <w:r w:rsidRPr="005869B6">
        <w:t>que le fait que les différentes époques et occupations laissent des tr</w:t>
      </w:r>
      <w:r w:rsidRPr="005869B6">
        <w:t>a</w:t>
      </w:r>
      <w:r w:rsidRPr="005869B6">
        <w:t>ces qui peuvent se déposer et se superposer comme les sédiments. Le processus de sédimentation peut être fort complexe et les vestiges a</w:t>
      </w:r>
      <w:r w:rsidRPr="005869B6">
        <w:t>r</w:t>
      </w:r>
      <w:r w:rsidRPr="005869B6">
        <w:t>chéologiques enfouis ou hors-sol, même discrets, sont souvent les plus significatifs du paysage urbain.</w:t>
      </w:r>
    </w:p>
    <w:p w:rsidR="00B7214C" w:rsidRPr="005869B6" w:rsidRDefault="00B7214C" w:rsidP="00B7214C">
      <w:pPr>
        <w:spacing w:before="120" w:after="120"/>
        <w:jc w:val="both"/>
      </w:pPr>
      <w:r>
        <w:t>[518]</w:t>
      </w:r>
    </w:p>
    <w:p w:rsidR="00B7214C" w:rsidRPr="00220A1B" w:rsidRDefault="00B7214C" w:rsidP="00B7214C">
      <w:pPr>
        <w:spacing w:before="120" w:after="120"/>
        <w:jc w:val="both"/>
      </w:pPr>
      <w:r w:rsidRPr="00220A1B">
        <w:rPr>
          <w:szCs w:val="22"/>
        </w:rPr>
        <w:t>Il est de plus en plus admis que leur connaissance est l'un des points de départ de la composition urbaine, à condition, bien entendu, de contrôler l'érosion des ressou</w:t>
      </w:r>
      <w:r w:rsidRPr="00220A1B">
        <w:rPr>
          <w:szCs w:val="22"/>
        </w:rPr>
        <w:t>r</w:t>
      </w:r>
      <w:r w:rsidRPr="00220A1B">
        <w:rPr>
          <w:szCs w:val="22"/>
        </w:rPr>
        <w:t>ces archéologiques par la mise en œuvre d'études archéologiques dès la planification des aménag</w:t>
      </w:r>
      <w:r w:rsidRPr="00220A1B">
        <w:rPr>
          <w:szCs w:val="22"/>
        </w:rPr>
        <w:t>e</w:t>
      </w:r>
      <w:r w:rsidRPr="00220A1B">
        <w:rPr>
          <w:szCs w:val="22"/>
        </w:rPr>
        <w:t>ments. Et, à destination, encore faut-il, que ces études dont le cadre conce</w:t>
      </w:r>
      <w:r w:rsidRPr="00220A1B">
        <w:rPr>
          <w:szCs w:val="22"/>
        </w:rPr>
        <w:t>p</w:t>
      </w:r>
      <w:r w:rsidRPr="00220A1B">
        <w:rPr>
          <w:szCs w:val="22"/>
        </w:rPr>
        <w:t>tuel a largement évolué ces dernières années, alimentent la r</w:t>
      </w:r>
      <w:r w:rsidRPr="00220A1B">
        <w:rPr>
          <w:szCs w:val="22"/>
        </w:rPr>
        <w:t>é</w:t>
      </w:r>
      <w:r w:rsidRPr="00220A1B">
        <w:rPr>
          <w:szCs w:val="22"/>
        </w:rPr>
        <w:t>flexion de manière à ce que la signification des vestiges ne soit pas réduite à de simples objets just</w:t>
      </w:r>
      <w:r w:rsidRPr="00220A1B">
        <w:rPr>
          <w:szCs w:val="22"/>
        </w:rPr>
        <w:t>i</w:t>
      </w:r>
      <w:r w:rsidRPr="00220A1B">
        <w:rPr>
          <w:szCs w:val="22"/>
        </w:rPr>
        <w:t>fiant des tracés fantaisistes sur des sols de rues piétonnes...</w:t>
      </w:r>
    </w:p>
    <w:p w:rsidR="00B7214C" w:rsidRPr="00220A1B" w:rsidRDefault="00B7214C" w:rsidP="00B7214C">
      <w:pPr>
        <w:spacing w:before="120" w:after="120"/>
        <w:jc w:val="both"/>
      </w:pPr>
      <w:r w:rsidRPr="00220A1B">
        <w:rPr>
          <w:szCs w:val="22"/>
        </w:rPr>
        <w:t>Revenons à cette question d'érosion. Depuis une tre</w:t>
      </w:r>
      <w:r w:rsidRPr="00220A1B">
        <w:rPr>
          <w:szCs w:val="22"/>
        </w:rPr>
        <w:t>n</w:t>
      </w:r>
      <w:r>
        <w:rPr>
          <w:szCs w:val="22"/>
        </w:rPr>
        <w:t>taine d'an</w:t>
      </w:r>
      <w:r w:rsidRPr="00220A1B">
        <w:rPr>
          <w:szCs w:val="22"/>
        </w:rPr>
        <w:t>nées, les ruptures enregistrées dans la permane</w:t>
      </w:r>
      <w:r w:rsidRPr="00220A1B">
        <w:rPr>
          <w:szCs w:val="22"/>
        </w:rPr>
        <w:t>n</w:t>
      </w:r>
      <w:r w:rsidRPr="00220A1B">
        <w:rPr>
          <w:szCs w:val="22"/>
        </w:rPr>
        <w:t>ce du tissu urbain, garante de la conservation du patrimoine archéologique enfoui, sont fréque</w:t>
      </w:r>
      <w:r w:rsidRPr="00220A1B">
        <w:rPr>
          <w:szCs w:val="22"/>
        </w:rPr>
        <w:t>n</w:t>
      </w:r>
      <w:r w:rsidRPr="00220A1B">
        <w:rPr>
          <w:szCs w:val="22"/>
        </w:rPr>
        <w:t>tes.</w:t>
      </w:r>
    </w:p>
    <w:p w:rsidR="00B7214C" w:rsidRPr="00220A1B" w:rsidRDefault="00B7214C" w:rsidP="00B7214C">
      <w:pPr>
        <w:spacing w:before="120" w:after="120"/>
        <w:jc w:val="both"/>
      </w:pPr>
      <w:r w:rsidRPr="00220A1B">
        <w:rPr>
          <w:szCs w:val="22"/>
        </w:rPr>
        <w:t>Il est évident que l'érosion du patrimoine archéologique urbain s'est dangereusement accélérée avec l'apparition de l'urbanisme souterrain et a atteint un sommet à la fin des années 1970 avec l'utilisation quasi systématique du sous-sol. Stationnements souterrains privés ou p</w:t>
      </w:r>
      <w:r w:rsidRPr="00220A1B">
        <w:rPr>
          <w:szCs w:val="22"/>
        </w:rPr>
        <w:t>u</w:t>
      </w:r>
      <w:r w:rsidRPr="00220A1B">
        <w:rPr>
          <w:szCs w:val="22"/>
        </w:rPr>
        <w:t>blics, tunnels, métros, grandes surfaces commerciales, entraînent mai</w:t>
      </w:r>
      <w:r w:rsidRPr="00220A1B">
        <w:rPr>
          <w:szCs w:val="22"/>
        </w:rPr>
        <w:t>n</w:t>
      </w:r>
      <w:r w:rsidRPr="00220A1B">
        <w:rPr>
          <w:szCs w:val="22"/>
        </w:rPr>
        <w:t>tenant la destruction complète des sites archéologiques épargnés par les urbanisations an</w:t>
      </w:r>
      <w:r w:rsidRPr="00220A1B">
        <w:rPr>
          <w:szCs w:val="22"/>
        </w:rPr>
        <w:softHyphen/>
        <w:t>térieures.</w:t>
      </w:r>
    </w:p>
    <w:p w:rsidR="00B7214C" w:rsidRPr="00220A1B" w:rsidRDefault="00B7214C" w:rsidP="00B7214C">
      <w:pPr>
        <w:spacing w:before="120" w:after="120"/>
        <w:jc w:val="both"/>
      </w:pPr>
      <w:r w:rsidRPr="00220A1B">
        <w:rPr>
          <w:szCs w:val="22"/>
        </w:rPr>
        <w:t>À titre d'exemple, en Grande-Bretagne, pays précu</w:t>
      </w:r>
      <w:r w:rsidRPr="00220A1B">
        <w:rPr>
          <w:szCs w:val="22"/>
        </w:rPr>
        <w:t>r</w:t>
      </w:r>
      <w:r w:rsidRPr="00220A1B">
        <w:rPr>
          <w:szCs w:val="22"/>
        </w:rPr>
        <w:t>seur en matière de lutte contre «</w:t>
      </w:r>
      <w:r>
        <w:rPr>
          <w:szCs w:val="22"/>
        </w:rPr>
        <w:t> </w:t>
      </w:r>
      <w:r w:rsidRPr="00220A1B">
        <w:rPr>
          <w:szCs w:val="22"/>
        </w:rPr>
        <w:t>The Erosion of History</w:t>
      </w:r>
      <w:r>
        <w:rPr>
          <w:szCs w:val="22"/>
        </w:rPr>
        <w:t> </w:t>
      </w:r>
      <w:r w:rsidRPr="00220A1B">
        <w:rPr>
          <w:szCs w:val="22"/>
        </w:rPr>
        <w:t>», la ville de Londres n'a pas échappé à ce phénomène pui</w:t>
      </w:r>
      <w:r w:rsidRPr="00220A1B">
        <w:rPr>
          <w:szCs w:val="22"/>
        </w:rPr>
        <w:t>s</w:t>
      </w:r>
      <w:r>
        <w:rPr>
          <w:szCs w:val="22"/>
        </w:rPr>
        <w:t>qu'on évalue à 25</w:t>
      </w:r>
      <w:r w:rsidRPr="00220A1B">
        <w:rPr>
          <w:szCs w:val="22"/>
        </w:rPr>
        <w:t>% seulement les sites ayant survécu à la destruction. À Montréal, le constat ne saurait être aussi sévère, mais comme en témoignent plusieurs villes nord-américaines, l'utilisation du sous-sol va croissante. La pr</w:t>
      </w:r>
      <w:r w:rsidRPr="00220A1B">
        <w:rPr>
          <w:szCs w:val="22"/>
        </w:rPr>
        <w:t>i</w:t>
      </w:r>
      <w:r w:rsidRPr="00220A1B">
        <w:rPr>
          <w:szCs w:val="22"/>
        </w:rPr>
        <w:t>se en compte de la problématique de la conservation des ressources archéologiques découle, en quelque sorte, d'une prise de conscience de cette accélér</w:t>
      </w:r>
      <w:r w:rsidRPr="00220A1B">
        <w:rPr>
          <w:szCs w:val="22"/>
        </w:rPr>
        <w:t>a</w:t>
      </w:r>
      <w:r w:rsidRPr="00220A1B">
        <w:rPr>
          <w:szCs w:val="22"/>
        </w:rPr>
        <w:t>tion de l'érosion d</w:t>
      </w:r>
      <w:r w:rsidRPr="00220A1B">
        <w:rPr>
          <w:szCs w:val="22"/>
        </w:rPr>
        <w:t>e</w:t>
      </w:r>
      <w:r>
        <w:rPr>
          <w:szCs w:val="22"/>
        </w:rPr>
        <w:t>puis la décen</w:t>
      </w:r>
      <w:r w:rsidRPr="00220A1B">
        <w:rPr>
          <w:szCs w:val="22"/>
        </w:rPr>
        <w:t>nie 1970.</w:t>
      </w:r>
    </w:p>
    <w:p w:rsidR="00B7214C" w:rsidRPr="00220A1B" w:rsidRDefault="00B7214C" w:rsidP="00B7214C">
      <w:pPr>
        <w:spacing w:before="120" w:after="120"/>
        <w:jc w:val="both"/>
      </w:pPr>
      <w:r w:rsidRPr="00220A1B">
        <w:rPr>
          <w:szCs w:val="22"/>
        </w:rPr>
        <w:t>Ainsi, l'archéologie montréalaise pratiquée d'abord au fil des d</w:t>
      </w:r>
      <w:r w:rsidRPr="00220A1B">
        <w:rPr>
          <w:szCs w:val="22"/>
        </w:rPr>
        <w:t>é</w:t>
      </w:r>
      <w:r w:rsidRPr="00220A1B">
        <w:rPr>
          <w:szCs w:val="22"/>
        </w:rPr>
        <w:t>couvertes fortuites provoquées par les travaux de réaménagement de la ville participe, depuis 1979, à un programme de sauvegarde et de mise en valeur de l'arro</w:t>
      </w:r>
      <w:r w:rsidRPr="00220A1B">
        <w:rPr>
          <w:szCs w:val="22"/>
        </w:rPr>
        <w:t>n</w:t>
      </w:r>
      <w:r w:rsidRPr="00220A1B">
        <w:rPr>
          <w:szCs w:val="22"/>
        </w:rPr>
        <w:t>dissement historique du Vieux-Montréal.</w:t>
      </w:r>
    </w:p>
    <w:p w:rsidR="00B7214C" w:rsidRPr="00220A1B" w:rsidRDefault="00B7214C" w:rsidP="00B7214C">
      <w:pPr>
        <w:spacing w:before="120" w:after="120"/>
        <w:jc w:val="both"/>
      </w:pPr>
      <w:r w:rsidRPr="00220A1B">
        <w:rPr>
          <w:szCs w:val="22"/>
        </w:rPr>
        <w:t>Il faut souligner que pendant presque une décennie, soit les années 1980, les interventions archéologiques ont ainsi été concentrées dans le quartier historique du Vieux-Montréal et que les projets immob</w:t>
      </w:r>
      <w:r w:rsidRPr="00220A1B">
        <w:rPr>
          <w:szCs w:val="22"/>
        </w:rPr>
        <w:t>i</w:t>
      </w:r>
      <w:r w:rsidRPr="00220A1B">
        <w:rPr>
          <w:szCs w:val="22"/>
        </w:rPr>
        <w:t>liers, les projets de r</w:t>
      </w:r>
      <w:r w:rsidRPr="00220A1B">
        <w:rPr>
          <w:szCs w:val="22"/>
        </w:rPr>
        <w:t>é</w:t>
      </w:r>
      <w:r w:rsidRPr="00220A1B">
        <w:rPr>
          <w:szCs w:val="22"/>
        </w:rPr>
        <w:t>fection et de construction d'utilités publiques, d'installation de mobilier urbain, ont conditionné le choix d</w:t>
      </w:r>
      <w:r>
        <w:rPr>
          <w:szCs w:val="22"/>
        </w:rPr>
        <w:t>es lieux de la recherche archéo</w:t>
      </w:r>
      <w:r w:rsidRPr="00220A1B">
        <w:rPr>
          <w:szCs w:val="22"/>
        </w:rPr>
        <w:t>logique.</w:t>
      </w:r>
    </w:p>
    <w:p w:rsidR="00B7214C" w:rsidRDefault="00B7214C" w:rsidP="00B7214C">
      <w:pPr>
        <w:spacing w:before="120" w:after="120"/>
        <w:jc w:val="both"/>
      </w:pPr>
      <w:r>
        <w:t>[519]</w:t>
      </w:r>
    </w:p>
    <w:p w:rsidR="00B7214C" w:rsidRPr="005869B6" w:rsidRDefault="00B7214C" w:rsidP="00B7214C">
      <w:pPr>
        <w:spacing w:before="120" w:after="120"/>
        <w:jc w:val="both"/>
      </w:pPr>
      <w:r w:rsidRPr="005869B6">
        <w:t>La décennie 1980 a donc été, en réaction à la précédente, ce</w:t>
      </w:r>
      <w:r w:rsidRPr="005869B6">
        <w:t>l</w:t>
      </w:r>
      <w:r w:rsidRPr="005869B6">
        <w:t>le de la mise en œuvre d'une première stratégie de conservation dont l'eff</w:t>
      </w:r>
      <w:r w:rsidRPr="005869B6">
        <w:t>i</w:t>
      </w:r>
      <w:r w:rsidRPr="005869B6">
        <w:t>cacité ne pouvait être que proportionnelle aux moyens matériels d</w:t>
      </w:r>
      <w:r w:rsidRPr="005869B6">
        <w:t>é</w:t>
      </w:r>
      <w:r w:rsidRPr="005869B6">
        <w:t>ployés. Nous référons ici aux fouilles a</w:t>
      </w:r>
      <w:r w:rsidRPr="005869B6">
        <w:t>r</w:t>
      </w:r>
      <w:r w:rsidRPr="005869B6">
        <w:t>chéologiques de sauvetage des sites menacés par des opérations de rénovation urbaine ayant e</w:t>
      </w:r>
      <w:r w:rsidRPr="005869B6">
        <w:t>n</w:t>
      </w:r>
      <w:r w:rsidRPr="005869B6">
        <w:t>tamé le potentiel de sites et d'îlots entiers.</w:t>
      </w:r>
    </w:p>
    <w:p w:rsidR="00B7214C" w:rsidRPr="005869B6" w:rsidRDefault="00B7214C" w:rsidP="00B7214C">
      <w:pPr>
        <w:spacing w:before="120" w:after="120"/>
        <w:jc w:val="both"/>
      </w:pPr>
      <w:r w:rsidRPr="005869B6">
        <w:t>Quant à la décennie actuelle, un nombre croissant de cond</w:t>
      </w:r>
      <w:r w:rsidRPr="005869B6">
        <w:t>i</w:t>
      </w:r>
      <w:r w:rsidRPr="005869B6">
        <w:t>tions semble avoir été mis en place par les différents intervenants territ</w:t>
      </w:r>
      <w:r w:rsidRPr="005869B6">
        <w:t>o</w:t>
      </w:r>
      <w:r w:rsidRPr="005869B6">
        <w:t>riaux afin :</w:t>
      </w:r>
    </w:p>
    <w:p w:rsidR="00B7214C" w:rsidRDefault="00B7214C" w:rsidP="00B7214C">
      <w:pPr>
        <w:spacing w:before="120" w:after="120"/>
        <w:jc w:val="both"/>
      </w:pPr>
    </w:p>
    <w:p w:rsidR="00B7214C" w:rsidRPr="005869B6" w:rsidRDefault="00B7214C" w:rsidP="00B7214C">
      <w:pPr>
        <w:spacing w:before="120" w:after="120"/>
        <w:ind w:left="720" w:hanging="360"/>
        <w:jc w:val="both"/>
      </w:pPr>
      <w:r>
        <w:t>-</w:t>
      </w:r>
      <w:r>
        <w:tab/>
      </w:r>
      <w:r w:rsidRPr="005869B6">
        <w:t>de freiner l'érosion du patrimoine archéologique, cette fois à l'ext</w:t>
      </w:r>
      <w:r w:rsidRPr="005869B6">
        <w:t>é</w:t>
      </w:r>
      <w:r w:rsidRPr="005869B6">
        <w:t>rieur de l'arrondissement historique du Vieux-Montréal, en amorça</w:t>
      </w:r>
      <w:r w:rsidRPr="005869B6">
        <w:t>n</w:t>
      </w:r>
      <w:r w:rsidRPr="005869B6">
        <w:t>t</w:t>
      </w:r>
      <w:r>
        <w:t xml:space="preserve"> </w:t>
      </w:r>
      <w:r w:rsidRPr="005869B6">
        <w:t>l'étude des autres secteurs d'intérêt, à l'exemple des récentes initiat</w:t>
      </w:r>
      <w:r w:rsidRPr="005869B6">
        <w:t>i</w:t>
      </w:r>
      <w:r w:rsidRPr="005869B6">
        <w:t>ves dans le port de Montréal, les faubourgs Québec et St-Laurent ;</w:t>
      </w:r>
    </w:p>
    <w:p w:rsidR="00B7214C" w:rsidRPr="005869B6" w:rsidRDefault="00B7214C" w:rsidP="00B7214C">
      <w:pPr>
        <w:spacing w:before="120" w:after="120"/>
        <w:ind w:left="720" w:hanging="360"/>
        <w:jc w:val="both"/>
      </w:pPr>
      <w:r>
        <w:t>-</w:t>
      </w:r>
      <w:r>
        <w:tab/>
      </w:r>
      <w:r w:rsidRPr="005869B6">
        <w:t>d'intégrer la recherche archéologique au processus de planific</w:t>
      </w:r>
      <w:r w:rsidRPr="005869B6">
        <w:t>a</w:t>
      </w:r>
      <w:r w:rsidRPr="005869B6">
        <w:t>tion de l'aménagement de la ville, la recherche devant se faire le plus tôt possible dans le processus pour que l'archéologie s'ins</w:t>
      </w:r>
      <w:r w:rsidRPr="005869B6">
        <w:t>è</w:t>
      </w:r>
      <w:r w:rsidRPr="005869B6">
        <w:t>re comme un des éléments de choix entre les diverses solutions de concurrence ;</w:t>
      </w:r>
    </w:p>
    <w:p w:rsidR="00B7214C" w:rsidRPr="005869B6" w:rsidRDefault="00B7214C" w:rsidP="00B7214C">
      <w:pPr>
        <w:spacing w:before="120" w:after="120"/>
        <w:ind w:left="720" w:hanging="360"/>
        <w:jc w:val="both"/>
      </w:pPr>
      <w:r>
        <w:t>-</w:t>
      </w:r>
      <w:r>
        <w:tab/>
      </w:r>
      <w:r w:rsidRPr="005869B6">
        <w:t>et finalement, d'encourager le développement de nouvelles str</w:t>
      </w:r>
      <w:r w:rsidRPr="005869B6">
        <w:t>a</w:t>
      </w:r>
      <w:r w:rsidRPr="005869B6">
        <w:t>tégies de recherche et de conservation et démontrer ainsi qu'il est possible de conserver les ressources archéologiques en m</w:t>
      </w:r>
      <w:r w:rsidRPr="005869B6">
        <w:t>i</w:t>
      </w:r>
      <w:r w:rsidRPr="005869B6">
        <w:t>lieu urbain sans nécessairement les « muséifier » toutes ; des stratégies souvent moins radicales que la fouille archéologique de sauvetage de dernière min</w:t>
      </w:r>
      <w:r w:rsidRPr="005869B6">
        <w:t>u</w:t>
      </w:r>
      <w:r w:rsidRPr="005869B6">
        <w:t xml:space="preserve">te, des stratégies en quelque sorte moins sélectives que celle de la mise en valeur </w:t>
      </w:r>
      <w:r w:rsidRPr="007F213E">
        <w:rPr>
          <w:i/>
          <w:iCs/>
        </w:rPr>
        <w:t>in situ</w:t>
      </w:r>
      <w:r w:rsidRPr="005869B6">
        <w:t xml:space="preserve"> des vest</w:t>
      </w:r>
      <w:r w:rsidRPr="005869B6">
        <w:t>i</w:t>
      </w:r>
      <w:r w:rsidRPr="005869B6">
        <w:t>ges souvent réservée à des sites et ensembles dont la signific</w:t>
      </w:r>
      <w:r w:rsidRPr="005869B6">
        <w:t>a</w:t>
      </w:r>
      <w:r w:rsidRPr="005869B6">
        <w:t>tion, la symbolique et la portée n'échappent à pe</w:t>
      </w:r>
      <w:r w:rsidRPr="005869B6">
        <w:t>r</w:t>
      </w:r>
      <w:r w:rsidRPr="005869B6">
        <w:t>sonne.</w:t>
      </w:r>
    </w:p>
    <w:p w:rsidR="00B7214C" w:rsidRDefault="00B7214C" w:rsidP="00B7214C">
      <w:pPr>
        <w:spacing w:before="120" w:after="120"/>
        <w:jc w:val="both"/>
      </w:pPr>
    </w:p>
    <w:p w:rsidR="00B7214C" w:rsidRPr="005869B6" w:rsidRDefault="00B7214C" w:rsidP="00B7214C">
      <w:pPr>
        <w:pStyle w:val="a"/>
      </w:pPr>
      <w:r w:rsidRPr="005869B6">
        <w:t xml:space="preserve">SUSCITER DE NOUVELLES APPROCHES </w:t>
      </w:r>
      <w:r>
        <w:br/>
      </w:r>
      <w:r w:rsidRPr="005869B6">
        <w:t>ET STR</w:t>
      </w:r>
      <w:r w:rsidRPr="005869B6">
        <w:t>A</w:t>
      </w:r>
      <w:r w:rsidRPr="005869B6">
        <w:t>TÉGIES DE RECHERCHE</w:t>
      </w:r>
    </w:p>
    <w:p w:rsidR="00B7214C" w:rsidRDefault="00B7214C" w:rsidP="00B7214C">
      <w:pPr>
        <w:spacing w:before="120" w:after="120"/>
        <w:jc w:val="both"/>
      </w:pPr>
    </w:p>
    <w:p w:rsidR="00B7214C" w:rsidRDefault="00B7214C" w:rsidP="00B7214C">
      <w:pPr>
        <w:spacing w:before="120" w:after="120"/>
        <w:jc w:val="both"/>
      </w:pPr>
      <w:r w:rsidRPr="005869B6">
        <w:t>L'étendue, la profondeur, la complexité de certains sites et vestiges archéologiques, également les enjeux et les contrai</w:t>
      </w:r>
      <w:r w:rsidRPr="005869B6">
        <w:t>n</w:t>
      </w:r>
      <w:r w:rsidRPr="005869B6">
        <w:t>tes matérielles des projets d'aménagement et certes, la nécessité de faire participer l'a</w:t>
      </w:r>
      <w:r w:rsidRPr="005869B6">
        <w:t>r</w:t>
      </w:r>
      <w:r w:rsidRPr="005869B6">
        <w:t>chéologie à la connaissance fine de l'espace, nous ont incités depuis 1990, à diversifier les strat</w:t>
      </w:r>
      <w:r w:rsidRPr="005869B6">
        <w:t>é</w:t>
      </w:r>
      <w:r w:rsidRPr="005869B6">
        <w:t>gies de recherche et de conservation. Le questionnement a</w:t>
      </w:r>
      <w:r w:rsidRPr="005869B6">
        <w:t>r</w:t>
      </w:r>
      <w:r w:rsidRPr="005869B6">
        <w:t>chéologique se devant de prendre en considération les besoins des autres professionnels de l'espace et déterminer si les approches expérimentées jusqu'à ce jour en archéologie urbaine po</w:t>
      </w:r>
      <w:r w:rsidRPr="005869B6">
        <w:t>u</w:t>
      </w:r>
      <w:r w:rsidRPr="005869B6">
        <w:t>vaient contribuer à la définition de l'espace et des logiques d'appr</w:t>
      </w:r>
      <w:r w:rsidRPr="005869B6">
        <w:t>o</w:t>
      </w:r>
      <w:r w:rsidRPr="005869B6">
        <w:t>priation de l'espace, à la caractérisation des mi</w:t>
      </w:r>
      <w:r>
        <w:t>li</w:t>
      </w:r>
      <w:r w:rsidRPr="005869B6">
        <w:t>eux s</w:t>
      </w:r>
      <w:r w:rsidRPr="005869B6">
        <w:t>o</w:t>
      </w:r>
      <w:r w:rsidRPr="005869B6">
        <w:t>cio-économiques, et des modes de vie ?</w:t>
      </w:r>
    </w:p>
    <w:p w:rsidR="00B7214C" w:rsidRDefault="00B7214C" w:rsidP="00B7214C">
      <w:pPr>
        <w:spacing w:before="120" w:after="120"/>
        <w:jc w:val="both"/>
      </w:pPr>
      <w:r>
        <w:t>[520]</w:t>
      </w:r>
    </w:p>
    <w:p w:rsidR="00B7214C" w:rsidRPr="005869B6" w:rsidRDefault="00B7214C" w:rsidP="00B7214C">
      <w:pPr>
        <w:spacing w:before="120" w:after="120"/>
        <w:jc w:val="both"/>
      </w:pPr>
      <w:r w:rsidRPr="005869B6">
        <w:t>La première décennie, soit les années 1980, d études archéolog</w:t>
      </w:r>
      <w:r w:rsidRPr="005869B6">
        <w:t>i</w:t>
      </w:r>
      <w:r w:rsidRPr="005869B6">
        <w:t>ques en milieu urbain montréalais, plus spécifiquement pour l'arro</w:t>
      </w:r>
      <w:r w:rsidRPr="005869B6">
        <w:t>n</w:t>
      </w:r>
      <w:r w:rsidRPr="005869B6">
        <w:t>dissement historique du Vieux-Montréal, a été alimentée d'un point de vue conceptuel par une étude de potentiel archéologique, réalisée e</w:t>
      </w:r>
      <w:r w:rsidRPr="005869B6">
        <w:t>n</w:t>
      </w:r>
      <w:r w:rsidRPr="005869B6">
        <w:t>tre 1979 et 1982, définissant des notions jusqu'alors peu ou pas abo</w:t>
      </w:r>
      <w:r w:rsidRPr="005869B6">
        <w:t>r</w:t>
      </w:r>
      <w:r w:rsidRPr="005869B6">
        <w:t>dées en archéol</w:t>
      </w:r>
      <w:r w:rsidRPr="005869B6">
        <w:t>o</w:t>
      </w:r>
      <w:r w:rsidRPr="005869B6">
        <w:t>gie historique québécoise : la science de la ville, la ville co</w:t>
      </w:r>
      <w:r w:rsidRPr="005869B6">
        <w:t>m</w:t>
      </w:r>
      <w:r w:rsidRPr="005869B6">
        <w:t>me objet d étude, la ville ancienne comme lieu privilégié de conservation et de mise en valeur. On y mettait en perspective des p</w:t>
      </w:r>
      <w:r w:rsidRPr="005869B6">
        <w:t>a</w:t>
      </w:r>
      <w:r w:rsidRPr="005869B6">
        <w:t>ramètres afin de guider le choix des lieux de la reche</w:t>
      </w:r>
      <w:r w:rsidRPr="005869B6">
        <w:t>r</w:t>
      </w:r>
      <w:r w:rsidRPr="005869B6">
        <w:t>che, mais surtout une approche pour l'étude de la ville ancienne et de ses îlots, fort</w:t>
      </w:r>
      <w:r w:rsidRPr="005869B6">
        <w:t>e</w:t>
      </w:r>
      <w:r w:rsidRPr="005869B6">
        <w:t>ment inspirée des grandes tendances de recherche en histoire du Qu</w:t>
      </w:r>
      <w:r w:rsidRPr="005869B6">
        <w:t>é</w:t>
      </w:r>
      <w:r w:rsidRPr="005869B6">
        <w:t>bec au cours des années 1960 et 1970, l'approche économiste.</w:t>
      </w:r>
    </w:p>
    <w:p w:rsidR="00B7214C" w:rsidRPr="005869B6" w:rsidRDefault="00B7214C" w:rsidP="00B7214C">
      <w:pPr>
        <w:spacing w:before="120" w:after="120"/>
        <w:jc w:val="both"/>
      </w:pPr>
      <w:r w:rsidRPr="005869B6">
        <w:t>Il faut se rappeler qu'au tournant des années 1980, le savoir arché</w:t>
      </w:r>
      <w:r w:rsidRPr="005869B6">
        <w:t>o</w:t>
      </w:r>
      <w:r w:rsidRPr="005869B6">
        <w:t>logique du passé montréalais était à toute</w:t>
      </w:r>
      <w:r>
        <w:t xml:space="preserve"> fin pratique inexistant, et qu’</w:t>
      </w:r>
      <w:r w:rsidRPr="005869B6">
        <w:t>un des buts de l'étude de potentiel était de mettre en place des o</w:t>
      </w:r>
      <w:r w:rsidRPr="005869B6">
        <w:t>u</w:t>
      </w:r>
      <w:r w:rsidRPr="005869B6">
        <w:t>tils archéologiques permettant l'acquisition et la compréhension des modèles de déposition des sols afin d'établir un premier profil strat</w:t>
      </w:r>
      <w:r w:rsidRPr="005869B6">
        <w:t>i</w:t>
      </w:r>
      <w:r w:rsidRPr="005869B6">
        <w:t>graphique montréalais. L'absence de corpus de données archéolog</w:t>
      </w:r>
      <w:r w:rsidRPr="005869B6">
        <w:t>i</w:t>
      </w:r>
      <w:r w:rsidRPr="005869B6">
        <w:t>ques a amené l'archéologie à se tourner vers le seul corpus de connai</w:t>
      </w:r>
      <w:r w:rsidRPr="005869B6">
        <w:t>s</w:t>
      </w:r>
      <w:r w:rsidRPr="005869B6">
        <w:t>sances disponibles concernant le passé montréalais, à savoir les sou</w:t>
      </w:r>
      <w:r w:rsidRPr="005869B6">
        <w:t>r</w:t>
      </w:r>
      <w:r w:rsidRPr="005869B6">
        <w:t>ces hist</w:t>
      </w:r>
      <w:r w:rsidRPr="005869B6">
        <w:t>o</w:t>
      </w:r>
      <w:r w:rsidRPr="005869B6">
        <w:t>riques primaires et secondaires.</w:t>
      </w:r>
    </w:p>
    <w:p w:rsidR="00B7214C" w:rsidRPr="005869B6" w:rsidRDefault="00B7214C" w:rsidP="00B7214C">
      <w:pPr>
        <w:spacing w:before="120" w:after="120"/>
        <w:jc w:val="both"/>
      </w:pPr>
      <w:r w:rsidRPr="005869B6">
        <w:t>Il s'est avéré très difficile, suite aux paramètres historiques utilisés afin de déterminer les potentiels, de procéder avec un questionnement archéologique.</w:t>
      </w:r>
    </w:p>
    <w:p w:rsidR="00B7214C" w:rsidRPr="005869B6" w:rsidRDefault="00B7214C" w:rsidP="00B7214C">
      <w:pPr>
        <w:spacing w:before="120" w:after="120"/>
        <w:jc w:val="both"/>
      </w:pPr>
      <w:r w:rsidRPr="005869B6">
        <w:t>Selon l'approche proposée, l'e</w:t>
      </w:r>
      <w:r>
        <w:t>xamen des cartes anciennes et l’</w:t>
      </w:r>
      <w:r w:rsidRPr="005869B6">
        <w:t>identification des fonctions d'utilisation du cadre bâti, fonctions r</w:t>
      </w:r>
      <w:r w:rsidRPr="005869B6">
        <w:t>e</w:t>
      </w:r>
      <w:r w:rsidRPr="005869B6">
        <w:t>posant sur l'identification de la profession du ou des propriétaires du bâti, ont servi à caractériser la sociologie du bâti du Vieux-Montréal de ses origines à nos jours. Douze fonctions ont ainsi été retenues : religie</w:t>
      </w:r>
      <w:r w:rsidRPr="005869B6">
        <w:t>u</w:t>
      </w:r>
      <w:r w:rsidRPr="005869B6">
        <w:t>se, pelletière, militaire, portuaire, économique (marchande), économique (commerce de gros), artisanale, place de marché, réside</w:t>
      </w:r>
      <w:r w:rsidRPr="005869B6">
        <w:t>n</w:t>
      </w:r>
      <w:r w:rsidRPr="005869B6">
        <w:t>tielle, financière, touristique et administrative. Huit des douze fon</w:t>
      </w:r>
      <w:r w:rsidRPr="005869B6">
        <w:t>c</w:t>
      </w:r>
      <w:r w:rsidRPr="005869B6">
        <w:t>tions d</w:t>
      </w:r>
      <w:r w:rsidRPr="005869B6">
        <w:t>é</w:t>
      </w:r>
      <w:r w:rsidRPr="005869B6">
        <w:t>coulent d'une approche économiste.</w:t>
      </w:r>
    </w:p>
    <w:p w:rsidR="00B7214C" w:rsidRPr="005869B6" w:rsidRDefault="00B7214C" w:rsidP="00B7214C">
      <w:pPr>
        <w:spacing w:before="120" w:after="120"/>
        <w:jc w:val="both"/>
      </w:pPr>
      <w:r w:rsidRPr="005869B6">
        <w:t>L'application généralisée de ce postulat, soit la détermin</w:t>
      </w:r>
      <w:r w:rsidRPr="005869B6">
        <w:t>a</w:t>
      </w:r>
      <w:r w:rsidRPr="005869B6">
        <w:t>tion des fonctions des sites et secteurs reposant principalement sur l'identific</w:t>
      </w:r>
      <w:r w:rsidRPr="005869B6">
        <w:t>a</w:t>
      </w:r>
      <w:r w:rsidRPr="005869B6">
        <w:t>tion de la profession des propriétaires des sites, à tous les groupes s</w:t>
      </w:r>
      <w:r w:rsidRPr="005869B6">
        <w:t>o</w:t>
      </w:r>
      <w:r w:rsidRPr="005869B6">
        <w:t>ciaux et à tous leurs membres, a poss</w:t>
      </w:r>
      <w:r w:rsidRPr="005869B6">
        <w:t>i</w:t>
      </w:r>
      <w:r w:rsidRPr="005869B6">
        <w:t>blement eu pour effet de réduire la mosaïque des comport</w:t>
      </w:r>
      <w:r w:rsidRPr="005869B6">
        <w:t>e</w:t>
      </w:r>
      <w:r w:rsidRPr="005869B6">
        <w:t>ments socioculturels et de classes sociales, vivant en milieu urbain, à un seul modèle ou mode de vie.</w:t>
      </w:r>
    </w:p>
    <w:p w:rsidR="00B7214C" w:rsidRPr="005869B6" w:rsidRDefault="00B7214C" w:rsidP="00B7214C">
      <w:pPr>
        <w:spacing w:before="120" w:after="120"/>
        <w:jc w:val="both"/>
      </w:pPr>
      <w:r w:rsidRPr="005869B6">
        <w:t>La démarche engagée depuis quelques années, plus particulièr</w:t>
      </w:r>
      <w:r w:rsidRPr="005869B6">
        <w:t>e</w:t>
      </w:r>
      <w:r w:rsidRPr="005869B6">
        <w:t>ment dans les secteurs du port de Montréal, à l'initiative de la Société du</w:t>
      </w:r>
      <w:r>
        <w:t xml:space="preserve"> [</w:t>
      </w:r>
      <w:r w:rsidRPr="005869B6">
        <w:t>521</w:t>
      </w:r>
      <w:r>
        <w:t xml:space="preserve">] </w:t>
      </w:r>
      <w:r w:rsidRPr="005869B6">
        <w:t>Vieux-Port de Montréal et dans les faubourgs Québec et St-Laurent, par la Ville de Montréal, a fait ressortir la nécessité de se di</w:t>
      </w:r>
      <w:r w:rsidRPr="005869B6">
        <w:t>s</w:t>
      </w:r>
      <w:r w:rsidRPr="005869B6">
        <w:t>tancer des approches historique et économiste des études portant sur l'évolution urbaine de Montréal. Tout en conservant les acquis de ces approches, les résultats des plus récents travaux en archéologie inc</w:t>
      </w:r>
      <w:r w:rsidRPr="005869B6">
        <w:t>i</w:t>
      </w:r>
      <w:r w:rsidRPr="005869B6">
        <w:t>tent plutôt à favoriser une manière d'aborder le site archéologique dans la perspective d'une problématique qui met en scène des modes d'organisation de l'espace en relation avec l'ensemble de l'aire urban</w:t>
      </w:r>
      <w:r w:rsidRPr="005869B6">
        <w:t>i</w:t>
      </w:r>
      <w:r w:rsidRPr="005869B6">
        <w:t>sée.</w:t>
      </w:r>
    </w:p>
    <w:p w:rsidR="00B7214C" w:rsidRDefault="00B7214C" w:rsidP="00B7214C">
      <w:pPr>
        <w:spacing w:before="120" w:after="120"/>
        <w:jc w:val="both"/>
      </w:pPr>
    </w:p>
    <w:p w:rsidR="00B7214C" w:rsidRPr="005869B6" w:rsidRDefault="00B7214C" w:rsidP="00B7214C">
      <w:pPr>
        <w:pStyle w:val="a"/>
      </w:pPr>
      <w:r w:rsidRPr="005869B6">
        <w:t>LES QUESTIONS QUE L'A</w:t>
      </w:r>
      <w:r>
        <w:t>RCHÉOLOGIE</w:t>
      </w:r>
      <w:r>
        <w:br/>
      </w:r>
      <w:r w:rsidRPr="005869B6">
        <w:t>ADRESSE À LA VI</w:t>
      </w:r>
      <w:r w:rsidRPr="005869B6">
        <w:t>L</w:t>
      </w:r>
      <w:r w:rsidRPr="005869B6">
        <w:t>LE</w:t>
      </w:r>
    </w:p>
    <w:p w:rsidR="00B7214C" w:rsidRPr="00457FDD" w:rsidRDefault="00B7214C" w:rsidP="00B7214C">
      <w:pPr>
        <w:spacing w:before="120" w:after="120"/>
        <w:jc w:val="both"/>
      </w:pPr>
    </w:p>
    <w:p w:rsidR="00B7214C" w:rsidRPr="005869B6" w:rsidRDefault="00B7214C" w:rsidP="00B7214C">
      <w:pPr>
        <w:spacing w:before="120" w:after="120"/>
        <w:jc w:val="both"/>
      </w:pPr>
      <w:r w:rsidRPr="00457FDD">
        <w:t>L'intention est maintenant d</w:t>
      </w:r>
      <w:r w:rsidRPr="00457FDD">
        <w:rPr>
          <w:i/>
          <w:iCs/>
        </w:rPr>
        <w:t>'étudier par l'archéologie</w:t>
      </w:r>
      <w:r w:rsidRPr="00457FDD">
        <w:t xml:space="preserve">, </w:t>
      </w:r>
      <w:r w:rsidRPr="00457FDD">
        <w:rPr>
          <w:i/>
          <w:iCs/>
        </w:rPr>
        <w:t>l'évolution des structures spatiales</w:t>
      </w:r>
      <w:r w:rsidRPr="00457FDD">
        <w:t xml:space="preserve"> et de rechercher à travers l'évolution de la</w:t>
      </w:r>
      <w:r w:rsidRPr="005869B6">
        <w:t xml:space="preserve"> morphol</w:t>
      </w:r>
      <w:r w:rsidRPr="005869B6">
        <w:t>o</w:t>
      </w:r>
      <w:r w:rsidRPr="005869B6">
        <w:t>gie urbaine, l'idéologie véhiculée par les différents modèles d'organisation de l'espace et leur impact sur le comportement des o</w:t>
      </w:r>
      <w:r w:rsidRPr="005869B6">
        <w:t>c</w:t>
      </w:r>
      <w:r w:rsidRPr="005869B6">
        <w:t>cupants. Il s'agit de donner un sens à des vestiges souvent oblitérés par la croissance u</w:t>
      </w:r>
      <w:r w:rsidRPr="005869B6">
        <w:t>r</w:t>
      </w:r>
      <w:r w:rsidRPr="005869B6">
        <w:t>bain</w:t>
      </w:r>
      <w:r>
        <w:t>e révélés par l'archéologie.</w:t>
      </w:r>
    </w:p>
    <w:p w:rsidR="00B7214C" w:rsidRPr="005869B6" w:rsidRDefault="00B7214C" w:rsidP="00B7214C">
      <w:pPr>
        <w:spacing w:before="120" w:after="120"/>
        <w:jc w:val="both"/>
      </w:pPr>
      <w:r>
        <w:t>L’</w:t>
      </w:r>
      <w:r w:rsidRPr="005869B6">
        <w:t>analyse des vestiges archéologiques, plus particulière</w:t>
      </w:r>
      <w:r>
        <w:t>ment i</w:t>
      </w:r>
      <w:r>
        <w:t>m</w:t>
      </w:r>
      <w:r>
        <w:t>mobili</w:t>
      </w:r>
      <w:r w:rsidRPr="005869B6">
        <w:t>ers, oblige une définition de ce qu'est un vest</w:t>
      </w:r>
      <w:r w:rsidRPr="005869B6">
        <w:t>i</w:t>
      </w:r>
      <w:r w:rsidRPr="005869B6">
        <w:t>ge, de ce dont il est constitué, de ses formes, mais également de son utilité, sa nécessité et sa « raison d'être ». Puisqu'un vestige archéologique immobilier n'est qu'un témoin partiel d'une entité plus importante disparue, il faut également expl</w:t>
      </w:r>
      <w:r w:rsidRPr="005869B6">
        <w:t>i</w:t>
      </w:r>
      <w:r w:rsidRPr="005869B6">
        <w:t>quer son abandon, sa destruction, son enfouissement...</w:t>
      </w:r>
    </w:p>
    <w:p w:rsidR="00B7214C" w:rsidRPr="005869B6" w:rsidRDefault="00B7214C" w:rsidP="00B7214C">
      <w:pPr>
        <w:spacing w:before="120" w:after="120"/>
        <w:jc w:val="both"/>
      </w:pPr>
      <w:r w:rsidRPr="005869B6">
        <w:t>Cette définition ne peut être complète sans que l'on s'inte</w:t>
      </w:r>
      <w:r w:rsidRPr="005869B6">
        <w:t>r</w:t>
      </w:r>
      <w:r w:rsidRPr="005869B6">
        <w:t>roge sur les utilisateurs de ces vestiges. Qui étaient-ils ? Que faisaient-ils ? À quoi leur servaient ces bâtiments dont nous n'avons que les traces ? Où s'installaient-ils et pourquoi ? Combien de temps utilisaient-ils ces bâtiments ?</w:t>
      </w:r>
    </w:p>
    <w:p w:rsidR="00B7214C" w:rsidRPr="005869B6" w:rsidRDefault="00B7214C" w:rsidP="00B7214C">
      <w:pPr>
        <w:spacing w:before="120" w:after="120"/>
        <w:jc w:val="both"/>
      </w:pPr>
      <w:r w:rsidRPr="005869B6">
        <w:t>Il est certes impossible de répondre dans le détail à toutes ces que</w:t>
      </w:r>
      <w:r w:rsidRPr="005869B6">
        <w:t>s</w:t>
      </w:r>
      <w:r w:rsidRPr="005869B6">
        <w:t>tions. Il n'est d'ailleurs plus prioritaire d'identifier spécifiquement ch</w:t>
      </w:r>
      <w:r w:rsidRPr="005869B6">
        <w:t>a</w:t>
      </w:r>
      <w:r w:rsidRPr="005869B6">
        <w:t>que occupant par son nom, de déterminer pr</w:t>
      </w:r>
      <w:r w:rsidRPr="005869B6">
        <w:t>é</w:t>
      </w:r>
      <w:r w:rsidRPr="005869B6">
        <w:t>cisément ses activités en un lieu donné, ainsi qu'identifier l'o</w:t>
      </w:r>
      <w:r w:rsidRPr="005869B6">
        <w:t>r</w:t>
      </w:r>
      <w:r w:rsidRPr="005869B6">
        <w:t>dre, le statut ou l'état auquel il appartient, ni d'établir le m</w:t>
      </w:r>
      <w:r w:rsidRPr="005869B6">
        <w:t>o</w:t>
      </w:r>
      <w:r w:rsidRPr="005869B6">
        <w:t>ment exact de sa présence sur le site, sauf si ces éléments nous sont connus historiquement.</w:t>
      </w:r>
    </w:p>
    <w:p w:rsidR="00B7214C" w:rsidRPr="005869B6" w:rsidRDefault="00B7214C" w:rsidP="00B7214C">
      <w:pPr>
        <w:spacing w:before="120" w:after="120"/>
        <w:jc w:val="both"/>
      </w:pPr>
      <w:r w:rsidRPr="005869B6">
        <w:t>Il est plutôt essentiel de déterminer, à partir de l'organis</w:t>
      </w:r>
      <w:r w:rsidRPr="005869B6">
        <w:t>a</w:t>
      </w:r>
      <w:r w:rsidRPr="005869B6">
        <w:t>tion de leur espace, l'appartenance des occupants à leur groupe social, leurs préférences culturelles et les degrés d'accessibilité au savoir-faire technologique. Ainsi, le recours, comme outil analytique, aux concepts développés par des</w:t>
      </w:r>
      <w:r>
        <w:t xml:space="preserve"> [</w:t>
      </w:r>
      <w:r w:rsidRPr="005869B6">
        <w:t>522</w:t>
      </w:r>
      <w:r>
        <w:t xml:space="preserve">] </w:t>
      </w:r>
      <w:r w:rsidRPr="005869B6">
        <w:t>géographes, anthropologues, soci</w:t>
      </w:r>
      <w:r w:rsidRPr="005869B6">
        <w:t>o</w:t>
      </w:r>
      <w:r w:rsidRPr="005869B6">
        <w:t>logues, architectes et u</w:t>
      </w:r>
      <w:r w:rsidRPr="005869B6">
        <w:t>r</w:t>
      </w:r>
      <w:r w:rsidRPr="005869B6">
        <w:t>banistes, est de plus en plus fait courant en archéologie urbaine montréalaise.</w:t>
      </w:r>
    </w:p>
    <w:p w:rsidR="00B7214C" w:rsidRPr="005869B6" w:rsidRDefault="00B7214C" w:rsidP="00B7214C">
      <w:pPr>
        <w:spacing w:before="120" w:after="120"/>
        <w:jc w:val="both"/>
      </w:pPr>
      <w:r w:rsidRPr="005869B6">
        <w:t>Les questions que l'archéologie adresse à la ville concernent les v</w:t>
      </w:r>
      <w:r w:rsidRPr="005869B6">
        <w:t>a</w:t>
      </w:r>
      <w:r w:rsidRPr="005869B6">
        <w:t>riations des arrangements des espaces aménagés, à l'exemple de la présence de cour et jardin pour le fonctionn</w:t>
      </w:r>
      <w:r w:rsidRPr="005869B6">
        <w:t>e</w:t>
      </w:r>
      <w:r w:rsidRPr="005869B6">
        <w:t>ment de l'organisation domestique de ou des familles, les v</w:t>
      </w:r>
      <w:r w:rsidRPr="005869B6">
        <w:t>a</w:t>
      </w:r>
      <w:r w:rsidRPr="005869B6">
        <w:t>riations dans l'habitat et dans la façon d'occuper le territoire, les changements dans le style de vie conséquemment à la croissance démographique. Il faut aussi tenter d'inférer, à pa</w:t>
      </w:r>
      <w:r w:rsidRPr="005869B6">
        <w:t>r</w:t>
      </w:r>
      <w:r w:rsidRPr="005869B6">
        <w:t>tir des données archéologiques, la stratification socio-économique des quartiers et le rôle de la planification, dans l'expa</w:t>
      </w:r>
      <w:r w:rsidRPr="005869B6">
        <w:t>n</w:t>
      </w:r>
      <w:r w:rsidRPr="005869B6">
        <w:t>sion urbaine.</w:t>
      </w:r>
    </w:p>
    <w:p w:rsidR="00B7214C" w:rsidRPr="005869B6" w:rsidRDefault="00B7214C" w:rsidP="00B7214C">
      <w:pPr>
        <w:spacing w:before="120" w:after="120"/>
        <w:jc w:val="both"/>
      </w:pPr>
      <w:r w:rsidRPr="005869B6">
        <w:t>L'objet d'étude se situe alors dans le développement de la ville et dans les processus d'urbanisation à travers l'organis</w:t>
      </w:r>
      <w:r w:rsidRPr="005869B6">
        <w:t>a</w:t>
      </w:r>
      <w:r w:rsidRPr="005869B6">
        <w:t>tion spatiale des composantes bâties et non bâties et des aires d'activités. Les catégories d'occupants ne sont plus essentie</w:t>
      </w:r>
      <w:r w:rsidRPr="005869B6">
        <w:t>l</w:t>
      </w:r>
      <w:r w:rsidRPr="005869B6">
        <w:t>lement définies par leur fonction mais selon la place qu'ils o</w:t>
      </w:r>
      <w:r w:rsidRPr="005869B6">
        <w:t>c</w:t>
      </w:r>
      <w:r w:rsidRPr="005869B6">
        <w:t>cupent dans une organisation urbaine, et le type de traces m</w:t>
      </w:r>
      <w:r w:rsidRPr="005869B6">
        <w:t>a</w:t>
      </w:r>
      <w:r w:rsidRPr="005869B6">
        <w:t>térielles qu'ils localisent dans un espace donné. Ces traces ne deviennent interprétables qu'en vertu de ce contexte global.</w:t>
      </w:r>
    </w:p>
    <w:p w:rsidR="00B7214C" w:rsidRDefault="00B7214C" w:rsidP="00B7214C">
      <w:pPr>
        <w:spacing w:before="120" w:after="120"/>
        <w:jc w:val="both"/>
      </w:pPr>
    </w:p>
    <w:p w:rsidR="00B7214C" w:rsidRPr="005869B6" w:rsidRDefault="00B7214C" w:rsidP="00B7214C">
      <w:pPr>
        <w:pStyle w:val="a"/>
      </w:pPr>
      <w:r w:rsidRPr="005869B6">
        <w:t>EN CONCLUSION</w:t>
      </w:r>
    </w:p>
    <w:p w:rsidR="00B7214C" w:rsidRDefault="00B7214C" w:rsidP="00B7214C">
      <w:pPr>
        <w:spacing w:before="120" w:after="120"/>
        <w:jc w:val="both"/>
      </w:pPr>
    </w:p>
    <w:p w:rsidR="00B7214C" w:rsidRPr="005869B6" w:rsidRDefault="00B7214C" w:rsidP="00B7214C">
      <w:pPr>
        <w:spacing w:before="120" w:after="120"/>
        <w:jc w:val="both"/>
      </w:pPr>
      <w:r w:rsidRPr="005869B6">
        <w:t>Je soulignerai le fait que l'archéologue ne produit pas véritabl</w:t>
      </w:r>
      <w:r w:rsidRPr="005869B6">
        <w:t>e</w:t>
      </w:r>
      <w:r w:rsidRPr="005869B6">
        <w:t>ment d'espace mais apparaît plutôt comme un médiateur, dans le sens où il collabore à l'occasion du projet urbain avec les différents profe</w:t>
      </w:r>
      <w:r w:rsidRPr="005869B6">
        <w:t>s</w:t>
      </w:r>
      <w:r w:rsidRPr="005869B6">
        <w:t>sionnels qui interfèrent dans la production des espaces.</w:t>
      </w:r>
    </w:p>
    <w:p w:rsidR="00B7214C" w:rsidRPr="005869B6" w:rsidRDefault="00B7214C" w:rsidP="00B7214C">
      <w:pPr>
        <w:spacing w:before="120" w:after="120"/>
        <w:jc w:val="both"/>
      </w:pPr>
      <w:r w:rsidRPr="005869B6">
        <w:t>Considérant que la ville se construit par accumulations, par subst</w:t>
      </w:r>
      <w:r w:rsidRPr="005869B6">
        <w:t>i</w:t>
      </w:r>
      <w:r w:rsidRPr="005869B6">
        <w:t>tutions, par effacements partiels, par oblitérations, mod</w:t>
      </w:r>
      <w:r w:rsidRPr="005869B6">
        <w:t>i</w:t>
      </w:r>
      <w:r>
        <w:t>fier l’</w:t>
      </w:r>
      <w:r w:rsidRPr="005869B6">
        <w:t>espace engage l'histoire de la ville. Il devient donc e</w:t>
      </w:r>
      <w:r w:rsidRPr="005869B6">
        <w:t>s</w:t>
      </w:r>
      <w:r w:rsidRPr="005869B6">
        <w:t>sentiel de garder en mémoire le fait que plusieurs aménag</w:t>
      </w:r>
      <w:r w:rsidRPr="005869B6">
        <w:t>e</w:t>
      </w:r>
      <w:r w:rsidRPr="005869B6">
        <w:t>ments urbains nous semblent irréversibles et que même s'ils sont modifiés plus tard pour répondre à de nouveaux usages, des traces de la forme initiale, en général, persi</w:t>
      </w:r>
      <w:r w:rsidRPr="005869B6">
        <w:t>s</w:t>
      </w:r>
      <w:r w:rsidRPr="005869B6">
        <w:t>teront...</w:t>
      </w:r>
    </w:p>
    <w:p w:rsidR="00B7214C" w:rsidRDefault="00B7214C" w:rsidP="00B7214C">
      <w:pPr>
        <w:spacing w:before="120" w:after="120"/>
        <w:jc w:val="both"/>
      </w:pP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jc w:val="both"/>
      </w:pPr>
      <w:r w:rsidRPr="005869B6">
        <w:br w:type="page"/>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3" w:name="Entre_tradition_pt_3_C"/>
      <w:r w:rsidRPr="00124590">
        <w:rPr>
          <w:b/>
          <w:sz w:val="24"/>
        </w:rPr>
        <w:t>Entre tradition et universalisme.</w:t>
      </w:r>
    </w:p>
    <w:p w:rsidR="00B7214C"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jc w:val="center"/>
        <w:rPr>
          <w:sz w:val="24"/>
        </w:rPr>
      </w:pPr>
    </w:p>
    <w:p w:rsidR="00B7214C" w:rsidRPr="00DA1F44" w:rsidRDefault="00B7214C" w:rsidP="00B7214C">
      <w:pPr>
        <w:spacing w:before="60" w:after="120"/>
        <w:ind w:firstLine="0"/>
        <w:jc w:val="center"/>
        <w:rPr>
          <w:b/>
          <w:caps/>
          <w:color w:val="000080"/>
          <w:sz w:val="36"/>
        </w:rPr>
      </w:pPr>
      <w:r>
        <w:rPr>
          <w:b/>
          <w:caps/>
          <w:color w:val="000080"/>
          <w:sz w:val="36"/>
        </w:rPr>
        <w:t>TROISIÈME</w:t>
      </w:r>
      <w:r w:rsidRPr="00DA1F44">
        <w:rPr>
          <w:b/>
          <w:caps/>
          <w:color w:val="000080"/>
          <w:sz w:val="36"/>
        </w:rPr>
        <w:t xml:space="preserve"> partie</w:t>
      </w:r>
    </w:p>
    <w:p w:rsidR="00B7214C" w:rsidRDefault="00B7214C" w:rsidP="00B7214C">
      <w:pPr>
        <w:jc w:val="both"/>
      </w:pPr>
    </w:p>
    <w:p w:rsidR="00B7214C" w:rsidRPr="00DC0C7E" w:rsidRDefault="00B7214C" w:rsidP="00B7214C">
      <w:pPr>
        <w:ind w:firstLine="0"/>
        <w:jc w:val="center"/>
        <w:rPr>
          <w:color w:val="FF0000"/>
          <w:sz w:val="32"/>
        </w:rPr>
      </w:pPr>
      <w:r>
        <w:rPr>
          <w:color w:val="FF0000"/>
          <w:sz w:val="32"/>
        </w:rPr>
        <w:t>C. LES MUSÉES :</w:t>
      </w:r>
      <w:r>
        <w:rPr>
          <w:color w:val="FF0000"/>
          <w:sz w:val="32"/>
        </w:rPr>
        <w:br/>
        <w:t>GRENIERS PATRIMONIAUX</w:t>
      </w:r>
      <w:r>
        <w:rPr>
          <w:color w:val="FF0000"/>
          <w:sz w:val="32"/>
        </w:rPr>
        <w:br/>
        <w:t>OU INGÉNIERIE CULTURELLE</w:t>
      </w:r>
    </w:p>
    <w:bookmarkEnd w:id="53"/>
    <w:p w:rsidR="00B7214C" w:rsidRDefault="00B7214C" w:rsidP="00B7214C">
      <w:pPr>
        <w:jc w:val="both"/>
      </w:pPr>
    </w:p>
    <w:p w:rsidR="00B7214C" w:rsidRDefault="00B7214C" w:rsidP="00B7214C">
      <w:pPr>
        <w:jc w:val="both"/>
      </w:pPr>
    </w:p>
    <w:p w:rsidR="00B7214C" w:rsidRDefault="00B7214C" w:rsidP="00B7214C">
      <w:pPr>
        <w:jc w:val="both"/>
      </w:pP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pStyle w:val="p"/>
      </w:pPr>
      <w:r>
        <w:br w:type="page"/>
        <w:t>[523]</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4" w:name="Entre_tradition_pt_3_texte_38"/>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C. LES MUSÉES : GRENIERS PATRIMONIAUX</w:t>
      </w:r>
      <w:r>
        <w:rPr>
          <w:color w:val="FF0000"/>
          <w:sz w:val="24"/>
        </w:rPr>
        <w:br/>
        <w:t>OU INGÉNIERIE CULTURELLE</w:t>
      </w:r>
    </w:p>
    <w:p w:rsidR="00B7214C" w:rsidRPr="00384B20" w:rsidRDefault="00B7214C" w:rsidP="00B7214C">
      <w:pPr>
        <w:pStyle w:val="Titreniveau1"/>
      </w:pPr>
      <w:r>
        <w:t>38</w:t>
      </w:r>
    </w:p>
    <w:p w:rsidR="00B7214C" w:rsidRDefault="00B7214C" w:rsidP="00B7214C">
      <w:pPr>
        <w:pStyle w:val="Titreniveau2"/>
      </w:pPr>
      <w:r>
        <w:t>“</w:t>
      </w:r>
      <w:r w:rsidRPr="00B84DC7">
        <w:t>Un anthropologue au musée ou</w:t>
      </w:r>
      <w:r>
        <w:br/>
      </w:r>
      <w:r w:rsidRPr="00B84DC7">
        <w:t>le difficile passage de l'analyse</w:t>
      </w:r>
      <w:r>
        <w:t xml:space="preserve"> à</w:t>
      </w:r>
      <w:r>
        <w:br/>
      </w:r>
      <w:r w:rsidRPr="00B84DC7">
        <w:t>la pr</w:t>
      </w:r>
      <w:r w:rsidRPr="00B84DC7">
        <w:t>o</w:t>
      </w:r>
      <w:r w:rsidRPr="00B84DC7">
        <w:t>duction des identités</w:t>
      </w:r>
      <w:r>
        <w:t>.”</w:t>
      </w:r>
    </w:p>
    <w:bookmarkEnd w:id="54"/>
    <w:p w:rsidR="00B7214C" w:rsidRPr="00E07116" w:rsidRDefault="00B7214C" w:rsidP="00B7214C">
      <w:pPr>
        <w:jc w:val="both"/>
        <w:rPr>
          <w:szCs w:val="36"/>
        </w:rPr>
      </w:pPr>
    </w:p>
    <w:p w:rsidR="00B7214C" w:rsidRPr="00E07116" w:rsidRDefault="00B7214C" w:rsidP="00B7214C">
      <w:pPr>
        <w:pStyle w:val="suite"/>
      </w:pPr>
      <w:r>
        <w:t>Par Mauro PERESSINI</w:t>
      </w:r>
    </w:p>
    <w:p w:rsidR="00B7214C" w:rsidRPr="00E07116" w:rsidRDefault="00B7214C" w:rsidP="00B7214C">
      <w:pPr>
        <w:pStyle w:val="auteurst"/>
      </w:pPr>
      <w:r w:rsidRPr="004A7EF1">
        <w:t>Musée canadien des civilisations, Hull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Default="00B7214C" w:rsidP="00B7214C">
      <w:pPr>
        <w:spacing w:before="120" w:after="120"/>
        <w:jc w:val="both"/>
      </w:pPr>
      <w:r w:rsidRPr="005869B6">
        <w:t>Les réflexions qui suivent trouvent leur origine dans mon exp</w:t>
      </w:r>
      <w:r w:rsidRPr="005869B6">
        <w:t>é</w:t>
      </w:r>
      <w:r w:rsidRPr="005869B6">
        <w:t>rience personnelle d'anthropologue œuvrant dans un musée. Pour ce</w:t>
      </w:r>
      <w:r w:rsidRPr="005869B6">
        <w:t>t</w:t>
      </w:r>
      <w:r w:rsidRPr="005869B6">
        <w:t>te raison et puisqu'il sera aussi question d'ident</w:t>
      </w:r>
      <w:r w:rsidRPr="005869B6">
        <w:t>i</w:t>
      </w:r>
      <w:r w:rsidRPr="005869B6">
        <w:t>tés, il serait peut-être bon de commencer par m'identifier ne serait-ce que pour décrire brièv</w:t>
      </w:r>
      <w:r w:rsidRPr="005869B6">
        <w:t>e</w:t>
      </w:r>
      <w:r w:rsidRPr="005869B6">
        <w:t>ment le lieu d'où j'écris. Ces lignes présentent, premièrement, les r</w:t>
      </w:r>
      <w:r w:rsidRPr="005869B6">
        <w:t>é</w:t>
      </w:r>
      <w:r w:rsidRPr="005869B6">
        <w:t>flexions d'un anthropologue dont les travaux ont porté essentiell</w:t>
      </w:r>
      <w:r w:rsidRPr="005869B6">
        <w:t>e</w:t>
      </w:r>
      <w:r w:rsidRPr="005869B6">
        <w:t>ment sur des que</w:t>
      </w:r>
      <w:r w:rsidRPr="005869B6">
        <w:t>s</w:t>
      </w:r>
      <w:r w:rsidRPr="005869B6">
        <w:t>tions d'émigration, d'immigration et d'identité. Elles sont aussi le fruit, deuxièmement, d'une expérience muséale toute r</w:t>
      </w:r>
      <w:r w:rsidRPr="005869B6">
        <w:t>é</w:t>
      </w:r>
      <w:r w:rsidRPr="005869B6">
        <w:t>cente, puisque mon engagement au Musée canadien des civilis</w:t>
      </w:r>
      <w:r w:rsidRPr="005869B6">
        <w:t>a</w:t>
      </w:r>
      <w:r w:rsidRPr="005869B6">
        <w:t>tions, en tant que conservateur chargé de la recherche, des collections et des expos</w:t>
      </w:r>
      <w:r w:rsidRPr="005869B6">
        <w:t>i</w:t>
      </w:r>
      <w:r w:rsidRPr="005869B6">
        <w:t>tions portant sur les Canadiens français, les Italiens, les Port</w:t>
      </w:r>
      <w:r w:rsidRPr="005869B6">
        <w:t>u</w:t>
      </w:r>
      <w:r w:rsidRPr="005869B6">
        <w:t>gais et les Espagnols, ne date que d'un an. Troisièmement, enfin, il ne s'agit pas d'un texte issu d'une r</w:t>
      </w:r>
      <w:r w:rsidRPr="005869B6">
        <w:t>é</w:t>
      </w:r>
      <w:r w:rsidRPr="005869B6">
        <w:t>flexion de longue date sur les rapports entre l'anthropologie et les musées, car avant mon arrivée dans cette instit</w:t>
      </w:r>
      <w:r w:rsidRPr="005869B6">
        <w:t>u</w:t>
      </w:r>
      <w:r w:rsidRPr="005869B6">
        <w:t>tion, je ne visitais que très rarement les musées que je regardais d'ai</w:t>
      </w:r>
      <w:r w:rsidRPr="005869B6">
        <w:t>l</w:t>
      </w:r>
      <w:r w:rsidRPr="005869B6">
        <w:t>leurs d'un œil tantôt ennuyé et tantôt critique. Mais c'est précis</w:t>
      </w:r>
      <w:r w:rsidRPr="005869B6">
        <w:t>é</w:t>
      </w:r>
      <w:r w:rsidRPr="005869B6">
        <w:t>ment mon arrivée inattendue et abrupte dans un musée qui a fait surgir toute une série de réflexions thé</w:t>
      </w:r>
      <w:r>
        <w:t>oriques qui devinrent très vite</w:t>
      </w:r>
      <w:r w:rsidRPr="005869B6">
        <w:t xml:space="preserve"> incontourn</w:t>
      </w:r>
      <w:r w:rsidRPr="005869B6">
        <w:t>a</w:t>
      </w:r>
      <w:r w:rsidRPr="005869B6">
        <w:t>bles. N'ayant jamais eu à œuvrer au sein d'un tel type d'in</w:t>
      </w:r>
      <w:r w:rsidRPr="005869B6">
        <w:t>s</w:t>
      </w:r>
      <w:r w:rsidRPr="005869B6">
        <w:t>titution, il me fallait réfléchir, avec ceux qui s'étaient déjà penchés sur la que</w:t>
      </w:r>
      <w:r w:rsidRPr="005869B6">
        <w:t>s</w:t>
      </w:r>
      <w:r w:rsidRPr="005869B6">
        <w:t>tion, à ce que signifiait la pratique muséale et aux moyens éventuels de la rendre comp</w:t>
      </w:r>
      <w:r w:rsidRPr="005869B6">
        <w:t>a</w:t>
      </w:r>
      <w:r w:rsidRPr="005869B6">
        <w:t>tible avec ma pratique d'anthropologue.</w:t>
      </w:r>
    </w:p>
    <w:p w:rsidR="00B7214C" w:rsidRPr="005869B6" w:rsidRDefault="00B7214C" w:rsidP="00B7214C">
      <w:pPr>
        <w:spacing w:before="120" w:after="120"/>
        <w:jc w:val="both"/>
      </w:pPr>
      <w:r>
        <w:t>[</w:t>
      </w:r>
      <w:r w:rsidRPr="005869B6">
        <w:t>524</w:t>
      </w:r>
      <w:r>
        <w:t>]</w:t>
      </w:r>
    </w:p>
    <w:p w:rsidR="00B7214C" w:rsidRPr="00716FE2" w:rsidRDefault="00B7214C" w:rsidP="00B7214C">
      <w:pPr>
        <w:spacing w:before="120" w:after="120"/>
        <w:jc w:val="both"/>
      </w:pPr>
      <w:r w:rsidRPr="005869B6">
        <w:t>Cela étant dit, mon intervention portera donc sur les pr</w:t>
      </w:r>
      <w:r w:rsidRPr="005869B6">
        <w:t>o</w:t>
      </w:r>
      <w:r w:rsidRPr="005869B6">
        <w:t>blèmes que pose à un anthropologue son insertion dans un musée et, plus partic</w:t>
      </w:r>
      <w:r w:rsidRPr="005869B6">
        <w:t>u</w:t>
      </w:r>
      <w:r w:rsidRPr="005869B6">
        <w:t xml:space="preserve">lièrement, dans un musée d'ethnographie, même si ce qui suit peut tout aussi bien s'appliquer aux musées d'art. Il faut dire tout de suite </w:t>
      </w:r>
      <w:r w:rsidRPr="00716FE2">
        <w:t>qu</w:t>
      </w:r>
      <w:r>
        <w:t>’</w:t>
      </w:r>
      <w:r w:rsidRPr="00716FE2">
        <w:t>au contraire de ce que suggère la description de cet atelier, la que</w:t>
      </w:r>
      <w:r w:rsidRPr="00716FE2">
        <w:t>s</w:t>
      </w:r>
      <w:r w:rsidRPr="00716FE2">
        <w:t xml:space="preserve">tion n'est pas tant de savoir s'il faut définir un musée comme un « grenier de la culture » tourne vers le passé ou comme un « producteur culturel » tourné vers l’avenir. Car dans un cas comme dans l'autre, le musée produit et met en circulation dans la société quelque chose de tout à fait </w:t>
      </w:r>
      <w:r w:rsidRPr="00716FE2">
        <w:rPr>
          <w:i/>
          <w:iCs/>
        </w:rPr>
        <w:t xml:space="preserve">actuel. </w:t>
      </w:r>
      <w:r w:rsidRPr="00716FE2">
        <w:rPr>
          <w:iCs/>
        </w:rPr>
        <w:t>Ce</w:t>
      </w:r>
      <w:r w:rsidRPr="00716FE2">
        <w:t xml:space="preserve"> produit muséal n est pas si</w:t>
      </w:r>
      <w:r w:rsidRPr="00716FE2">
        <w:t>m</w:t>
      </w:r>
      <w:r w:rsidRPr="00716FE2">
        <w:t>plement de la culture conservée ou produite, puisqu'une fois dans un musée, cette culture acquiert une toute nouvelle fon</w:t>
      </w:r>
      <w:r w:rsidRPr="00716FE2">
        <w:t>c</w:t>
      </w:r>
      <w:r w:rsidRPr="00716FE2">
        <w:t xml:space="preserve">tion, soit celle de </w:t>
      </w:r>
      <w:r w:rsidRPr="00716FE2">
        <w:rPr>
          <w:i/>
          <w:iCs/>
        </w:rPr>
        <w:t>représenter</w:t>
      </w:r>
      <w:r w:rsidRPr="00716FE2">
        <w:t xml:space="preserve"> des gens sous diverses étique</w:t>
      </w:r>
      <w:r w:rsidRPr="00716FE2">
        <w:t>t</w:t>
      </w:r>
      <w:r w:rsidRPr="00716FE2">
        <w:t>tes</w:t>
      </w:r>
      <w:r>
        <w:t> </w:t>
      </w:r>
      <w:r>
        <w:rPr>
          <w:rStyle w:val="Appelnotedebasdep"/>
        </w:rPr>
        <w:footnoteReference w:id="371"/>
      </w:r>
      <w:r w:rsidRPr="00716FE2">
        <w:t>. C'est ainsi qu'une fois acquis et exposés dans un musée, un outil ou une chanson, par exemple, ne servent plus à tr</w:t>
      </w:r>
      <w:r w:rsidRPr="00716FE2">
        <w:t>a</w:t>
      </w:r>
      <w:r w:rsidRPr="00716FE2">
        <w:t>vailler ou à égayer une soirée en famille, mais bien à représenter comment les membres de tel ou tel groupe tr</w:t>
      </w:r>
      <w:r w:rsidRPr="00716FE2">
        <w:t>a</w:t>
      </w:r>
      <w:r w:rsidRPr="00716FE2">
        <w:t>vai</w:t>
      </w:r>
      <w:r w:rsidRPr="00716FE2">
        <w:t>l</w:t>
      </w:r>
      <w:r>
        <w:t>lent ou travaillaient, comment il</w:t>
      </w:r>
      <w:r w:rsidRPr="00716FE2">
        <w:t>s s'amusent ou s'amusaient. La culture entreposée ou c</w:t>
      </w:r>
      <w:r>
        <w:t>réé</w:t>
      </w:r>
      <w:r w:rsidRPr="00716FE2">
        <w:t>e dans un musée sert toujours à nous dire ce qu'étaient, sont, seront ou devraient être tel ou tel groupe s</w:t>
      </w:r>
      <w:r w:rsidRPr="00716FE2">
        <w:t>o</w:t>
      </w:r>
      <w:r w:rsidRPr="00716FE2">
        <w:t>cial (les hommes, les femmes, les jeunes, les vieux, les o</w:t>
      </w:r>
      <w:r w:rsidRPr="00716FE2">
        <w:t>u</w:t>
      </w:r>
      <w:r w:rsidRPr="00716FE2">
        <w:t>vriers, les hommes d'affaires, les pauvres, les riches, etc.), telle ou telle culture tel ou tel groupe ethn</w:t>
      </w:r>
      <w:r>
        <w:t>ique ou national, ou même ce qu’</w:t>
      </w:r>
      <w:r w:rsidRPr="00716FE2">
        <w:t>était, est ou sera l'hum</w:t>
      </w:r>
      <w:r w:rsidRPr="00716FE2">
        <w:t>a</w:t>
      </w:r>
      <w:r w:rsidRPr="00716FE2">
        <w:t xml:space="preserve">nité en général. Dans tous les cas, en « engrangeant » la culture ou en la « produisant », le musée fabrique et met en circulation </w:t>
      </w:r>
      <w:r w:rsidRPr="00716FE2">
        <w:rPr>
          <w:i/>
          <w:iCs/>
        </w:rPr>
        <w:t xml:space="preserve">des identités. </w:t>
      </w:r>
      <w:r w:rsidRPr="00716FE2">
        <w:t>Et c'est précisément cette fonction, par laquelle le musée se transfo</w:t>
      </w:r>
      <w:r w:rsidRPr="00716FE2">
        <w:t>r</w:t>
      </w:r>
      <w:r w:rsidRPr="00716FE2">
        <w:t>me en une véritable machine à identités, qui soulève les difficultés auxquelles fait face l'anthropologue.</w:t>
      </w:r>
    </w:p>
    <w:p w:rsidR="00B7214C" w:rsidRDefault="00B7214C" w:rsidP="00B7214C">
      <w:pPr>
        <w:spacing w:before="120" w:after="120"/>
        <w:jc w:val="both"/>
      </w:pPr>
    </w:p>
    <w:p w:rsidR="00B7214C" w:rsidRPr="00716FE2" w:rsidRDefault="00B7214C" w:rsidP="00B7214C">
      <w:pPr>
        <w:pStyle w:val="a"/>
      </w:pPr>
      <w:r w:rsidRPr="00716FE2">
        <w:t>LES PROBLÈMES DE L'ANTHROPOLOGUE</w:t>
      </w:r>
      <w:r>
        <w:br/>
      </w:r>
      <w:r w:rsidRPr="00716FE2">
        <w:t>AU M</w:t>
      </w:r>
      <w:r w:rsidRPr="00716FE2">
        <w:t>U</w:t>
      </w:r>
      <w:r w:rsidRPr="00716FE2">
        <w:t>SÉE</w:t>
      </w:r>
    </w:p>
    <w:p w:rsidR="00B7214C" w:rsidRDefault="00B7214C" w:rsidP="00B7214C">
      <w:pPr>
        <w:spacing w:before="120" w:after="120"/>
        <w:jc w:val="both"/>
      </w:pPr>
    </w:p>
    <w:p w:rsidR="00B7214C" w:rsidRPr="00716FE2" w:rsidRDefault="00B7214C" w:rsidP="00B7214C">
      <w:pPr>
        <w:spacing w:before="120" w:after="120"/>
        <w:jc w:val="both"/>
      </w:pPr>
      <w:r w:rsidRPr="00716FE2">
        <w:t>Sans vouloir être exhaustif, on peut identifier trois types de pr</w:t>
      </w:r>
      <w:r w:rsidRPr="00716FE2">
        <w:t>o</w:t>
      </w:r>
      <w:r w:rsidRPr="00716FE2">
        <w:t>blèmes que j'aborderai successivement avant de proposer quelques voies de solutions.</w:t>
      </w:r>
    </w:p>
    <w:p w:rsidR="00B7214C" w:rsidRDefault="00B7214C" w:rsidP="00B7214C">
      <w:pPr>
        <w:spacing w:before="120" w:after="120"/>
        <w:jc w:val="both"/>
      </w:pPr>
    </w:p>
    <w:p w:rsidR="00B7214C" w:rsidRPr="00716FE2" w:rsidRDefault="00B7214C" w:rsidP="00B7214C">
      <w:pPr>
        <w:pStyle w:val="b"/>
      </w:pPr>
      <w:r w:rsidRPr="00716FE2">
        <w:t>La construction des identités</w:t>
      </w:r>
    </w:p>
    <w:p w:rsidR="00B7214C" w:rsidRDefault="00B7214C" w:rsidP="00B7214C">
      <w:pPr>
        <w:spacing w:before="120" w:after="120"/>
        <w:jc w:val="both"/>
      </w:pPr>
    </w:p>
    <w:p w:rsidR="00B7214C" w:rsidRPr="005869B6" w:rsidRDefault="00B7214C" w:rsidP="00B7214C">
      <w:pPr>
        <w:spacing w:before="120" w:after="120"/>
        <w:jc w:val="both"/>
      </w:pPr>
      <w:r w:rsidRPr="00716FE2">
        <w:t xml:space="preserve">Le premier problème se situe au niveau même de la </w:t>
      </w:r>
      <w:r w:rsidRPr="00716FE2">
        <w:rPr>
          <w:i/>
          <w:iCs/>
        </w:rPr>
        <w:t xml:space="preserve">construction </w:t>
      </w:r>
      <w:r w:rsidRPr="00716FE2">
        <w:t>d'une identité. Pour être moins abstrait, je prendrai un exemple. Su</w:t>
      </w:r>
      <w:r w:rsidRPr="00716FE2">
        <w:t>p</w:t>
      </w:r>
      <w:r w:rsidRPr="00716FE2">
        <w:t>posons qu'un conservateur soit chargé d'organ</w:t>
      </w:r>
      <w:r w:rsidRPr="00716FE2">
        <w:t>i</w:t>
      </w:r>
      <w:r w:rsidRPr="00716FE2">
        <w:t>ser ce que je souhaite n'avoir</w:t>
      </w:r>
      <w:r>
        <w:t xml:space="preserve"> </w:t>
      </w:r>
      <w:r w:rsidRPr="00716FE2">
        <w:t>jamais à faire, soit une exposition intitulée « Les Italiens au</w:t>
      </w:r>
      <w:r w:rsidRPr="005869B6">
        <w:t xml:space="preserve"> Canada, au Québec ou à Montréal », peu importe. Facile au départ, cette tâche aura tôt fait de man</w:t>
      </w:r>
      <w:r w:rsidRPr="005869B6">
        <w:t>i</w:t>
      </w:r>
      <w:r w:rsidRPr="005869B6">
        <w:t>fester toute sa complexité à notre conservateur. Premier pr</w:t>
      </w:r>
      <w:r w:rsidRPr="005869B6">
        <w:t>o</w:t>
      </w:r>
      <w:r w:rsidRPr="005869B6">
        <w:t>blème : quels sont les aspects, les pratiques, les habitudes ou les productions que l'on choisira comme représentat</w:t>
      </w:r>
      <w:r w:rsidRPr="005869B6">
        <w:t>i</w:t>
      </w:r>
      <w:r w:rsidRPr="005869B6">
        <w:t>ves de ce g</w:t>
      </w:r>
      <w:r>
        <w:t>roupe ? Les pratiques alimentai</w:t>
      </w:r>
      <w:r w:rsidRPr="005869B6">
        <w:t>res,</w:t>
      </w:r>
      <w:r>
        <w:t xml:space="preserve"> [</w:t>
      </w:r>
      <w:r w:rsidRPr="005869B6">
        <w:t>525</w:t>
      </w:r>
      <w:r>
        <w:t>]</w:t>
      </w:r>
      <w:r w:rsidRPr="005869B6">
        <w:t xml:space="preserve"> vestimentaires, religieuses, sociales ? Supposons alors que notre conservateur choisi</w:t>
      </w:r>
      <w:r w:rsidRPr="005869B6">
        <w:t>s</w:t>
      </w:r>
      <w:r w:rsidRPr="005869B6">
        <w:t>se de trancher la question en se prop</w:t>
      </w:r>
      <w:r w:rsidRPr="005869B6">
        <w:t>o</w:t>
      </w:r>
      <w:r w:rsidRPr="005869B6">
        <w:t>sant de dresser le portrait des « Italiens » à travers un seul de ces éléments, soit les pratiques alime</w:t>
      </w:r>
      <w:r w:rsidRPr="005869B6">
        <w:t>n</w:t>
      </w:r>
      <w:r w:rsidRPr="005869B6">
        <w:t>taires. Aussitôt lui faudra-t-il affronter de nouveau toute une série de probl</w:t>
      </w:r>
      <w:r w:rsidRPr="005869B6">
        <w:t>è</w:t>
      </w:r>
      <w:r w:rsidRPr="005869B6">
        <w:t>mes insolubles. Le premier en est un d'espace. Comment traiter, en effet, la multiplicité des traditions italiennes, non seulement régi</w:t>
      </w:r>
      <w:r w:rsidRPr="005869B6">
        <w:t>o</w:t>
      </w:r>
      <w:r w:rsidRPr="005869B6">
        <w:t xml:space="preserve">nales, mais aussi locales. En tiendra-t-on compte ? Si oui, jusqu'à quel point ? Va-t-on continuer à considérer la pizza, par exemple, comme un mets « italien » même si bon nombre d'immigrants n'en mangèrent pour la première fois qu'au Canada ? De même, la </w:t>
      </w:r>
      <w:r w:rsidRPr="007F213E">
        <w:rPr>
          <w:i/>
          <w:iCs/>
        </w:rPr>
        <w:t>polenta,</w:t>
      </w:r>
      <w:r w:rsidRPr="005869B6">
        <w:t xml:space="preserve"> mets typ</w:t>
      </w:r>
      <w:r w:rsidRPr="005869B6">
        <w:t>i</w:t>
      </w:r>
      <w:r w:rsidRPr="005869B6">
        <w:t>que de plusieurs régions septentrionales, doit-il faire partie des traits retenus, même s'il n'était pas consommé dans la plupart des r</w:t>
      </w:r>
      <w:r w:rsidRPr="005869B6">
        <w:t>é</w:t>
      </w:r>
      <w:r w:rsidRPr="005869B6">
        <w:t>gions du Sud ? Et que fera-t-on des différences qui distinguent, à l'intérieur de chaque région, les villages de montagne et de plaine, les villages c</w:t>
      </w:r>
      <w:r w:rsidRPr="005869B6">
        <w:t>ô</w:t>
      </w:r>
      <w:r w:rsidRPr="005869B6">
        <w:t>tiers et ceux de l'intérieur ? Combien de catégories et de sous-catégories va-t-il falloir créer et quand sera-t-on en droit de cesser ces subdivisions ? Mais il y a aussi un problème de temps. Va-t-on parler de la « cuisine italie</w:t>
      </w:r>
      <w:r w:rsidRPr="005869B6">
        <w:t>n</w:t>
      </w:r>
      <w:r w:rsidRPr="005869B6">
        <w:t>ne » au Canada ou de celle pratiquée avant le départ ? Dans ce dernier cas, parlera-t-on de la cuisine du XIX</w:t>
      </w:r>
      <w:r w:rsidRPr="005869B6">
        <w:rPr>
          <w:vertAlign w:val="superscript"/>
        </w:rPr>
        <w:t>e</w:t>
      </w:r>
      <w:r w:rsidRPr="005869B6">
        <w:t xml:space="preserve"> siècle ou de ce</w:t>
      </w:r>
      <w:r w:rsidRPr="005869B6">
        <w:t>l</w:t>
      </w:r>
      <w:r w:rsidRPr="005869B6">
        <w:t>le du XX</w:t>
      </w:r>
      <w:r w:rsidRPr="005869B6">
        <w:rPr>
          <w:vertAlign w:val="superscript"/>
        </w:rPr>
        <w:t>e</w:t>
      </w:r>
      <w:r w:rsidRPr="005869B6">
        <w:t> ? Va-t-on se référer à celle d'avant l'émigration ou aux nouvelles formes d'alimentation qui se créèrent suite à l'émigr</w:t>
      </w:r>
      <w:r w:rsidRPr="005869B6">
        <w:t>a</w:t>
      </w:r>
      <w:r w:rsidRPr="005869B6">
        <w:t>tion et aux nouvelles conditions de vie des popul</w:t>
      </w:r>
      <w:r w:rsidRPr="005869B6">
        <w:t>a</w:t>
      </w:r>
      <w:r w:rsidRPr="005869B6">
        <w:t>tions ? Et que fera-t-on des « nouvelles traditions » qui sont apparues dans le second après-guerre et selon lesquelles, par exemple, des mets de poisson se retro</w:t>
      </w:r>
      <w:r w:rsidRPr="005869B6">
        <w:t>u</w:t>
      </w:r>
      <w:r w:rsidRPr="005869B6">
        <w:t>vent définis comme mets traditionnels typiques dans des villages de montagne, alors qu'on ne les avait jamais consommés avant les années 1970 ? Dans le cas où l'on décide de se pencher uniquement sur les pratiques alimentaires des « Italiens » au Canada, parlera-t-on de ce</w:t>
      </w:r>
      <w:r w:rsidRPr="005869B6">
        <w:t>l</w:t>
      </w:r>
      <w:r w:rsidRPr="005869B6">
        <w:t>les des immigrants ou de celles de leurs enfants ? Et que fera-t-on des cas de plus en plus nombreux d'« Italiens » de première ou de deuxième génération qui, en plus de consommer fréquemment des mets nord-américains, expérimentent aussi des cuisines « ethniques » : indienne, chinoise, mexicaine, africaine, etc. ? De quel droit les excl</w:t>
      </w:r>
      <w:r w:rsidRPr="005869B6">
        <w:t>u</w:t>
      </w:r>
      <w:r w:rsidRPr="005869B6">
        <w:t>re ? Ne sont-elles pas aussi des pratiques « italiennes », dans la mes</w:t>
      </w:r>
      <w:r w:rsidRPr="005869B6">
        <w:t>u</w:t>
      </w:r>
      <w:r w:rsidRPr="005869B6">
        <w:t>re où elles sont le propre d'individus dont l'origine est italienne ? Ou peut-être faudrait-il alors abandonner le critère de l'origine pour déf</w:t>
      </w:r>
      <w:r w:rsidRPr="005869B6">
        <w:t>i</w:t>
      </w:r>
      <w:r w:rsidRPr="005869B6">
        <w:t>nir notre population ?</w:t>
      </w:r>
    </w:p>
    <w:p w:rsidR="00B7214C" w:rsidRDefault="00B7214C" w:rsidP="00B7214C">
      <w:pPr>
        <w:spacing w:before="120" w:after="120"/>
        <w:jc w:val="both"/>
      </w:pPr>
      <w:r w:rsidRPr="005869B6">
        <w:t xml:space="preserve">On pourrait allonger la liste de ces questions insolubles. Quoi qu'il </w:t>
      </w:r>
      <w:r w:rsidRPr="00716FE2">
        <w:t>en soit, notre conservateur sera tôt ou tard amené à constater que la réalité empirique qu'il a devant lui ne peut lui fournir d</w:t>
      </w:r>
      <w:r w:rsidRPr="00716FE2">
        <w:rPr>
          <w:i/>
          <w:iCs/>
        </w:rPr>
        <w:t>'elle-même</w:t>
      </w:r>
      <w:r w:rsidRPr="00716FE2">
        <w:t xml:space="preserve"> un découpage identitaire déjà là et qu'il suffirait d'enregistrer ; que cet ensemble de pratiques et de discours ne lui offre qu'une </w:t>
      </w:r>
      <w:r w:rsidRPr="00716FE2">
        <w:rPr>
          <w:i/>
          <w:iCs/>
        </w:rPr>
        <w:t>matière i</w:t>
      </w:r>
      <w:r w:rsidRPr="00716FE2">
        <w:rPr>
          <w:i/>
          <w:iCs/>
        </w:rPr>
        <w:t>n</w:t>
      </w:r>
      <w:r w:rsidRPr="00716FE2">
        <w:rPr>
          <w:i/>
          <w:iCs/>
        </w:rPr>
        <w:t>forme</w:t>
      </w:r>
      <w:r w:rsidRPr="00716FE2">
        <w:t xml:space="preserve"> du point de vue de l'identité ; qu'il ne fait que lui proposer des frontières multiples, floues et mouvantes. Prise comme réalité empir</w:t>
      </w:r>
      <w:r w:rsidRPr="00716FE2">
        <w:t>i</w:t>
      </w:r>
      <w:r w:rsidRPr="005869B6">
        <w:t>que, cette matière propose un nombre virtuellement illimité de découp</w:t>
      </w:r>
      <w:r w:rsidRPr="005869B6">
        <w:t>a</w:t>
      </w:r>
      <w:r w:rsidRPr="005869B6">
        <w:t>ges et aboutit, à la limite, à présenter chaque individu comme une « culture » empiriquement originale et unique.</w:t>
      </w:r>
    </w:p>
    <w:p w:rsidR="00B7214C" w:rsidRDefault="00B7214C" w:rsidP="00B7214C">
      <w:pPr>
        <w:spacing w:before="120" w:after="120"/>
        <w:jc w:val="both"/>
      </w:pPr>
      <w:r>
        <w:t>[626</w:t>
      </w:r>
    </w:p>
    <w:p w:rsidR="00B7214C" w:rsidRPr="007F29B5" w:rsidRDefault="00B7214C" w:rsidP="00B7214C">
      <w:pPr>
        <w:spacing w:before="120" w:after="120"/>
        <w:jc w:val="both"/>
      </w:pPr>
      <w:r w:rsidRPr="007F29B5">
        <w:rPr>
          <w:szCs w:val="22"/>
        </w:rPr>
        <w:t xml:space="preserve">Du fait de cette surabondance de virtualités offertes, la matière culturelle empiriquement observable </w:t>
      </w:r>
      <w:r w:rsidRPr="004F27B4">
        <w:rPr>
          <w:i/>
          <w:szCs w:val="22"/>
        </w:rPr>
        <w:t xml:space="preserve">ne dit plus rien </w:t>
      </w:r>
      <w:r w:rsidRPr="007F29B5">
        <w:rPr>
          <w:szCs w:val="22"/>
        </w:rPr>
        <w:t>sur le plan de l'identité et reste muette. Devant ces problèmes, et s'il n'abandonne pas son projet de représenter les «Italiens», notre conservateur devra se résoudre à faire ce que tout acteur individuel ou collectif, instit</w:t>
      </w:r>
      <w:r w:rsidRPr="007F29B5">
        <w:rPr>
          <w:szCs w:val="22"/>
        </w:rPr>
        <w:t>u</w:t>
      </w:r>
      <w:r w:rsidRPr="007F29B5">
        <w:rPr>
          <w:szCs w:val="22"/>
        </w:rPr>
        <w:t xml:space="preserve">tionnel ou non, fait plus ou moins consciemment, lorsqu'il s'agit de se définir lui-même ou de définir les autres: notre conservateur devra se résoudre à effectuer toute une série de choix nécessairement </w:t>
      </w:r>
      <w:r w:rsidRPr="004F27B4">
        <w:rPr>
          <w:i/>
          <w:szCs w:val="22"/>
        </w:rPr>
        <w:t>arbitra</w:t>
      </w:r>
      <w:r w:rsidRPr="004F27B4">
        <w:rPr>
          <w:i/>
          <w:szCs w:val="22"/>
        </w:rPr>
        <w:t>i</w:t>
      </w:r>
      <w:r w:rsidRPr="004F27B4">
        <w:rPr>
          <w:i/>
          <w:szCs w:val="22"/>
        </w:rPr>
        <w:t>res</w:t>
      </w:r>
      <w:r w:rsidRPr="007F29B5">
        <w:rPr>
          <w:szCs w:val="22"/>
        </w:rPr>
        <w:t xml:space="preserve"> qui auront pour but de simplifier la réalité et de l'immobiliser dans le temps. Pour faire parler cette réalité empirique, pour lui faire dire «</w:t>
      </w:r>
      <w:r>
        <w:rPr>
          <w:szCs w:val="22"/>
        </w:rPr>
        <w:t> </w:t>
      </w:r>
      <w:r w:rsidRPr="007F29B5">
        <w:rPr>
          <w:szCs w:val="22"/>
        </w:rPr>
        <w:t>voici les Italiens de Montréal</w:t>
      </w:r>
      <w:r>
        <w:rPr>
          <w:szCs w:val="22"/>
        </w:rPr>
        <w:t> </w:t>
      </w:r>
      <w:r w:rsidRPr="007F29B5">
        <w:rPr>
          <w:szCs w:val="22"/>
        </w:rPr>
        <w:t>», il lui faudra, tout d'abord, sélectio</w:t>
      </w:r>
      <w:r w:rsidRPr="007F29B5">
        <w:rPr>
          <w:szCs w:val="22"/>
        </w:rPr>
        <w:t>n</w:t>
      </w:r>
      <w:r w:rsidRPr="007F29B5">
        <w:rPr>
          <w:szCs w:val="22"/>
        </w:rPr>
        <w:t>ner arbitrairement un nombre limité de mets et de pratiques alimenta</w:t>
      </w:r>
      <w:r w:rsidRPr="007F29B5">
        <w:rPr>
          <w:szCs w:val="22"/>
        </w:rPr>
        <w:t>i</w:t>
      </w:r>
      <w:r w:rsidRPr="007F29B5">
        <w:rPr>
          <w:szCs w:val="22"/>
        </w:rPr>
        <w:t xml:space="preserve">res. Il lui faudra aussi, pour chacun de ces éléments, les </w:t>
      </w:r>
      <w:r w:rsidRPr="004F27B4">
        <w:rPr>
          <w:i/>
          <w:szCs w:val="22"/>
        </w:rPr>
        <w:t>schématiser</w:t>
      </w:r>
      <w:r w:rsidRPr="007F29B5">
        <w:rPr>
          <w:szCs w:val="22"/>
        </w:rPr>
        <w:t xml:space="preserve"> afin d'en éliminer les variations subtiles et encombrantes entre indiv</w:t>
      </w:r>
      <w:r w:rsidRPr="007F29B5">
        <w:rPr>
          <w:szCs w:val="22"/>
        </w:rPr>
        <w:t>i</w:t>
      </w:r>
      <w:r w:rsidRPr="007F29B5">
        <w:rPr>
          <w:szCs w:val="22"/>
        </w:rPr>
        <w:t xml:space="preserve">dus et sous-groupes. Enfin, </w:t>
      </w:r>
      <w:r w:rsidRPr="004F27B4">
        <w:rPr>
          <w:i/>
          <w:szCs w:val="22"/>
        </w:rPr>
        <w:t>organisés</w:t>
      </w:r>
      <w:r w:rsidRPr="007F29B5">
        <w:rPr>
          <w:szCs w:val="22"/>
        </w:rPr>
        <w:t xml:space="preserve"> dans la logique spatiale et chr</w:t>
      </w:r>
      <w:r w:rsidRPr="007F29B5">
        <w:rPr>
          <w:szCs w:val="22"/>
        </w:rPr>
        <w:t>o</w:t>
      </w:r>
      <w:r w:rsidRPr="007F29B5">
        <w:rPr>
          <w:szCs w:val="22"/>
        </w:rPr>
        <w:t>nologique de l'exposition, ces éléments présenteront alors une image du groupe «italien» qui sera toujours plus h</w:t>
      </w:r>
      <w:r w:rsidRPr="007F29B5">
        <w:rPr>
          <w:szCs w:val="22"/>
        </w:rPr>
        <w:t>o</w:t>
      </w:r>
      <w:r w:rsidRPr="007F29B5">
        <w:rPr>
          <w:szCs w:val="22"/>
        </w:rPr>
        <w:t>mogène et plus statique que ne l'est la réalité. Comme toutes les ide</w:t>
      </w:r>
      <w:r w:rsidRPr="007F29B5">
        <w:rPr>
          <w:szCs w:val="22"/>
        </w:rPr>
        <w:t>n</w:t>
      </w:r>
      <w:r w:rsidRPr="007F29B5">
        <w:rPr>
          <w:szCs w:val="22"/>
        </w:rPr>
        <w:t xml:space="preserve">tités, celle proposée par l'exposition apparaîtra donc pour ce qu'elle est, soit une </w:t>
      </w:r>
      <w:r w:rsidRPr="004F27B4">
        <w:rPr>
          <w:i/>
          <w:szCs w:val="22"/>
        </w:rPr>
        <w:t>fiction</w:t>
      </w:r>
      <w:r w:rsidRPr="007F29B5">
        <w:rPr>
          <w:szCs w:val="22"/>
        </w:rPr>
        <w:t xml:space="preserve"> dont le paradoxe est d'être à la fois </w:t>
      </w:r>
      <w:r w:rsidRPr="004F27B4">
        <w:rPr>
          <w:i/>
          <w:szCs w:val="22"/>
        </w:rPr>
        <w:t>simplificatrice</w:t>
      </w:r>
      <w:r w:rsidRPr="007F29B5">
        <w:rPr>
          <w:szCs w:val="22"/>
        </w:rPr>
        <w:t xml:space="preserve"> et </w:t>
      </w:r>
      <w:r w:rsidRPr="004F27B4">
        <w:rPr>
          <w:i/>
          <w:szCs w:val="22"/>
        </w:rPr>
        <w:t>nécessaire</w:t>
      </w:r>
      <w:r w:rsidRPr="007F29B5">
        <w:rPr>
          <w:szCs w:val="22"/>
        </w:rPr>
        <w:t>, pour peu que l'on veui</w:t>
      </w:r>
      <w:r w:rsidRPr="007F29B5">
        <w:rPr>
          <w:szCs w:val="22"/>
        </w:rPr>
        <w:t>l</w:t>
      </w:r>
      <w:r w:rsidRPr="007F29B5">
        <w:rPr>
          <w:szCs w:val="22"/>
        </w:rPr>
        <w:t>le pouvoir dire et faire voir quelque chose.</w:t>
      </w:r>
    </w:p>
    <w:p w:rsidR="00B7214C" w:rsidRDefault="00B7214C" w:rsidP="00B7214C">
      <w:pPr>
        <w:spacing w:before="120" w:after="120"/>
        <w:jc w:val="both"/>
        <w:rPr>
          <w:szCs w:val="22"/>
        </w:rPr>
      </w:pPr>
    </w:p>
    <w:p w:rsidR="00B7214C" w:rsidRPr="004F27B4" w:rsidRDefault="00B7214C" w:rsidP="00B7214C">
      <w:pPr>
        <w:pStyle w:val="b"/>
      </w:pPr>
      <w:r w:rsidRPr="004F27B4">
        <w:t>Identités et pouvoir</w:t>
      </w:r>
    </w:p>
    <w:p w:rsidR="00B7214C" w:rsidRDefault="00B7214C" w:rsidP="00B7214C">
      <w:pPr>
        <w:spacing w:before="120" w:after="120"/>
        <w:jc w:val="both"/>
        <w:rPr>
          <w:szCs w:val="22"/>
        </w:rPr>
      </w:pPr>
    </w:p>
    <w:p w:rsidR="00B7214C" w:rsidRPr="004F27B4" w:rsidRDefault="00B7214C" w:rsidP="00B7214C">
      <w:pPr>
        <w:spacing w:before="120" w:after="120"/>
        <w:jc w:val="both"/>
      </w:pPr>
      <w:r w:rsidRPr="007F29B5">
        <w:rPr>
          <w:szCs w:val="22"/>
        </w:rPr>
        <w:t>Cela étant dit sur la construction des identités, le deuxième type de problème qui attend l'anthropologue dans un musée découle direct</w:t>
      </w:r>
      <w:r w:rsidRPr="007F29B5">
        <w:rPr>
          <w:szCs w:val="22"/>
        </w:rPr>
        <w:t>e</w:t>
      </w:r>
      <w:r w:rsidRPr="007F29B5">
        <w:rPr>
          <w:szCs w:val="22"/>
        </w:rPr>
        <w:t>ment de ce caractère fictif de toute identité. En effet, puisqu'aucune identité ne peut revend</w:t>
      </w:r>
      <w:r w:rsidRPr="007F29B5">
        <w:rPr>
          <w:szCs w:val="22"/>
        </w:rPr>
        <w:t>i</w:t>
      </w:r>
      <w:r w:rsidRPr="007F29B5">
        <w:rPr>
          <w:szCs w:val="22"/>
        </w:rPr>
        <w:t>quer le statut de réalité empirique objective, les luttes identitaires ne peuvent être comprises comme des luttes où le «vrai» affronterait le «faux», définissant ainsi clairement le camp auquel donner son appui. Au contraire, ce qui détermine le succès ou l'échec de telle ou telle cat</w:t>
      </w:r>
      <w:r w:rsidRPr="007F29B5">
        <w:rPr>
          <w:szCs w:val="22"/>
        </w:rPr>
        <w:t>é</w:t>
      </w:r>
      <w:r w:rsidRPr="007F29B5">
        <w:rPr>
          <w:szCs w:val="22"/>
        </w:rPr>
        <w:t>gorie identitaire dans une société, ce qui détermine, en d'autres mots, l'</w:t>
      </w:r>
      <w:r w:rsidRPr="004F27B4">
        <w:rPr>
          <w:i/>
          <w:szCs w:val="22"/>
        </w:rPr>
        <w:t>effet de vérité</w:t>
      </w:r>
      <w:r w:rsidRPr="007F29B5">
        <w:rPr>
          <w:szCs w:val="22"/>
        </w:rPr>
        <w:t xml:space="preserve"> qu'une identité peut exe</w:t>
      </w:r>
      <w:r w:rsidRPr="007F29B5">
        <w:rPr>
          <w:szCs w:val="22"/>
        </w:rPr>
        <w:t>r</w:t>
      </w:r>
      <w:r w:rsidRPr="007F29B5">
        <w:rPr>
          <w:szCs w:val="22"/>
        </w:rPr>
        <w:t xml:space="preserve">cer, c'est en </w:t>
      </w:r>
      <w:r>
        <w:rPr>
          <w:szCs w:val="22"/>
        </w:rPr>
        <w:t>grande partie la position qu'oc</w:t>
      </w:r>
      <w:r w:rsidRPr="007F29B5">
        <w:rPr>
          <w:szCs w:val="22"/>
        </w:rPr>
        <w:t>cupent ses prom</w:t>
      </w:r>
      <w:r w:rsidRPr="007F29B5">
        <w:rPr>
          <w:szCs w:val="22"/>
        </w:rPr>
        <w:t>o</w:t>
      </w:r>
      <w:r w:rsidRPr="007F29B5">
        <w:rPr>
          <w:szCs w:val="22"/>
        </w:rPr>
        <w:t xml:space="preserve">teurs dans la dynamique des relations de </w:t>
      </w:r>
      <w:r w:rsidRPr="004F27B4">
        <w:rPr>
          <w:i/>
          <w:szCs w:val="22"/>
        </w:rPr>
        <w:t>pouvoir</w:t>
      </w:r>
      <w:r w:rsidRPr="007F29B5">
        <w:rPr>
          <w:szCs w:val="22"/>
        </w:rPr>
        <w:t xml:space="preserve"> et d'</w:t>
      </w:r>
      <w:r w:rsidRPr="004F27B4">
        <w:rPr>
          <w:i/>
          <w:szCs w:val="22"/>
        </w:rPr>
        <w:t>aut</w:t>
      </w:r>
      <w:r w:rsidRPr="004F27B4">
        <w:rPr>
          <w:i/>
          <w:szCs w:val="22"/>
        </w:rPr>
        <w:t>o</w:t>
      </w:r>
      <w:r w:rsidRPr="004F27B4">
        <w:rPr>
          <w:i/>
          <w:szCs w:val="22"/>
        </w:rPr>
        <w:t>rité</w:t>
      </w:r>
      <w:r w:rsidRPr="007F29B5">
        <w:rPr>
          <w:szCs w:val="22"/>
        </w:rPr>
        <w:t>. C'est en raison de l'autorité politique, religieuse, scientifique ou autre que les gens leur accordent, que certains individus, groupes ou institutions peuvent e</w:t>
      </w:r>
      <w:r w:rsidRPr="007F29B5">
        <w:rPr>
          <w:szCs w:val="22"/>
        </w:rPr>
        <w:t>s</w:t>
      </w:r>
      <w:r w:rsidRPr="007F29B5">
        <w:rPr>
          <w:szCs w:val="22"/>
        </w:rPr>
        <w:t>pérer «faire croire» à leurs fictions et «faire voir» leurs déco</w:t>
      </w:r>
      <w:r w:rsidRPr="007F29B5">
        <w:rPr>
          <w:szCs w:val="22"/>
        </w:rPr>
        <w:t>u</w:t>
      </w:r>
      <w:r w:rsidRPr="007F29B5">
        <w:rPr>
          <w:szCs w:val="22"/>
        </w:rPr>
        <w:t>pages identitaires comme des réalités</w:t>
      </w:r>
      <w:r>
        <w:rPr>
          <w:szCs w:val="22"/>
        </w:rPr>
        <w:t> </w:t>
      </w:r>
      <w:r>
        <w:rPr>
          <w:rStyle w:val="Appelnotedebasdep"/>
          <w:szCs w:val="22"/>
        </w:rPr>
        <w:footnoteReference w:id="372"/>
      </w:r>
      <w:r w:rsidRPr="007F29B5">
        <w:rPr>
          <w:szCs w:val="22"/>
        </w:rPr>
        <w:t>. La question qui se pose alors à l'anthropologue est celle-ci: n'y a-t-il pas i</w:t>
      </w:r>
      <w:r w:rsidRPr="007F29B5">
        <w:rPr>
          <w:szCs w:val="22"/>
        </w:rPr>
        <w:t>n</w:t>
      </w:r>
      <w:r w:rsidRPr="007F29B5">
        <w:rPr>
          <w:szCs w:val="22"/>
        </w:rPr>
        <w:t>compatibilité entre, d'une part, la pratique anthropologique qui consiste à analyser les mécani</w:t>
      </w:r>
      <w:r w:rsidRPr="007F29B5">
        <w:rPr>
          <w:szCs w:val="22"/>
        </w:rPr>
        <w:t>s</w:t>
      </w:r>
      <w:r w:rsidRPr="007F29B5">
        <w:rPr>
          <w:szCs w:val="22"/>
        </w:rPr>
        <w:t>mes à travers lesquels sont produites et acceptées les identités sous lesque</w:t>
      </w:r>
      <w:r w:rsidRPr="007F29B5">
        <w:rPr>
          <w:szCs w:val="22"/>
        </w:rPr>
        <w:t>l</w:t>
      </w:r>
      <w:r w:rsidRPr="007F29B5">
        <w:rPr>
          <w:szCs w:val="22"/>
        </w:rPr>
        <w:t>les les individus, groupes et institutions se classent et classent les autres et, d'autre part, la pratique muséale qui, mettant en circul</w:t>
      </w:r>
      <w:r w:rsidRPr="007F29B5">
        <w:rPr>
          <w:szCs w:val="22"/>
        </w:rPr>
        <w:t>a</w:t>
      </w:r>
      <w:r w:rsidRPr="007F29B5">
        <w:rPr>
          <w:szCs w:val="22"/>
        </w:rPr>
        <w:t xml:space="preserve">tion des identités, </w:t>
      </w:r>
      <w:r w:rsidRPr="004F27B4">
        <w:rPr>
          <w:i/>
          <w:szCs w:val="22"/>
        </w:rPr>
        <w:t>prend part</w:t>
      </w:r>
      <w:r w:rsidRPr="007F29B5">
        <w:rPr>
          <w:szCs w:val="22"/>
        </w:rPr>
        <w:t xml:space="preserve"> dans les luttes et les relations de pouvoir et d'autorité</w:t>
      </w:r>
      <w:r>
        <w:rPr>
          <w:szCs w:val="22"/>
        </w:rPr>
        <w:t> </w:t>
      </w:r>
      <w:r w:rsidRPr="007F29B5">
        <w:rPr>
          <w:szCs w:val="22"/>
        </w:rPr>
        <w:t>? De quel droit, l'anthr</w:t>
      </w:r>
      <w:r w:rsidRPr="007F29B5">
        <w:rPr>
          <w:szCs w:val="22"/>
        </w:rPr>
        <w:t>o</w:t>
      </w:r>
      <w:r w:rsidRPr="007F29B5">
        <w:rPr>
          <w:szCs w:val="22"/>
        </w:rPr>
        <w:t>pologue peut-il utiliser l'autorité que lui accorde la société, via</w:t>
      </w:r>
      <w:r>
        <w:rPr>
          <w:szCs w:val="22"/>
        </w:rPr>
        <w:t xml:space="preserve"> </w:t>
      </w:r>
      <w:r>
        <w:t>[</w:t>
      </w:r>
      <w:r w:rsidRPr="005869B6">
        <w:t>527</w:t>
      </w:r>
      <w:r>
        <w:t xml:space="preserve">] </w:t>
      </w:r>
      <w:r w:rsidRPr="005869B6">
        <w:t>l'autorité de sa discipline et celle de son institution, pour chercher à imposer ou soutenir telle « vision et division</w:t>
      </w:r>
      <w:r>
        <w:t> </w:t>
      </w:r>
      <w:r>
        <w:rPr>
          <w:rStyle w:val="Appelnotedebasdep"/>
        </w:rPr>
        <w:footnoteReference w:id="373"/>
      </w:r>
      <w:r w:rsidRPr="005869B6">
        <w:t> » du monde, de la soci</w:t>
      </w:r>
      <w:r w:rsidRPr="005869B6">
        <w:t>é</w:t>
      </w:r>
      <w:r w:rsidRPr="004F27B4">
        <w:t>té et des groupes qui la composent, au d</w:t>
      </w:r>
      <w:r w:rsidRPr="004F27B4">
        <w:t>é</w:t>
      </w:r>
      <w:r w:rsidRPr="004F27B4">
        <w:t>triment des autres ?</w:t>
      </w:r>
    </w:p>
    <w:p w:rsidR="00B7214C" w:rsidRPr="005869B6" w:rsidRDefault="00B7214C" w:rsidP="00B7214C">
      <w:pPr>
        <w:spacing w:before="120" w:after="120"/>
        <w:jc w:val="both"/>
      </w:pPr>
      <w:r w:rsidRPr="004F27B4">
        <w:t>Bien sûr, la question du pouvoir et de l'autorité ne se pose pas qu'aux chercheurs des musées. Mais elle y revêt tout de même certains caractères spécifiques. Comparons, par exemple, le chercheur unive</w:t>
      </w:r>
      <w:r w:rsidRPr="004F27B4">
        <w:t>r</w:t>
      </w:r>
      <w:r w:rsidRPr="004F27B4">
        <w:t>sitaire et le chercheur dans un musée. Dans une université, le pouvoir et l'autorité que le chercheur peut exercer sont dirigés avant tout sur ses collègues anthrop</w:t>
      </w:r>
      <w:r w:rsidRPr="004F27B4">
        <w:t>o</w:t>
      </w:r>
      <w:r w:rsidRPr="004F27B4">
        <w:t>logues, sur lesquels il peut avoir une certaine influence par ses travaux, et sur ses étudiants, sur lesquels son i</w:t>
      </w:r>
      <w:r w:rsidRPr="004F27B4">
        <w:t>n</w:t>
      </w:r>
      <w:r w:rsidRPr="004F27B4">
        <w:t>fluence s'exerce au moyen de son enseignement. L'influence du che</w:t>
      </w:r>
      <w:r w:rsidRPr="004F27B4">
        <w:t>r</w:t>
      </w:r>
      <w:r w:rsidRPr="004F27B4">
        <w:t>cheur sur le public en général est beaucoup moins importante. Elle ne s'exerce que dans les rares cas où le chercheur est appelé à i</w:t>
      </w:r>
      <w:r w:rsidRPr="004F27B4">
        <w:t>n</w:t>
      </w:r>
      <w:r w:rsidRPr="004F27B4">
        <w:t>tervenir via les médias, par exemple. Or, ce qui est intéressant de constater, c'est que dans le cas des deux premiers groupes avec lesquels il entr</w:t>
      </w:r>
      <w:r w:rsidRPr="004F27B4">
        <w:t>e</w:t>
      </w:r>
      <w:r w:rsidRPr="004F27B4">
        <w:t>tient des relations de loin beaucoup plus fréquentes, le problème que pose l'exercice du pouvoir est d</w:t>
      </w:r>
      <w:r w:rsidRPr="004F27B4">
        <w:t>é</w:t>
      </w:r>
      <w:r w:rsidRPr="004F27B4">
        <w:t xml:space="preserve">samorcé du fait qu'il existe des </w:t>
      </w:r>
      <w:r w:rsidRPr="004F27B4">
        <w:rPr>
          <w:i/>
          <w:iCs/>
        </w:rPr>
        <w:t>règles du jeu</w:t>
      </w:r>
      <w:r w:rsidRPr="004F27B4">
        <w:t xml:space="preserve"> bien définies qui, en plus d'impliquer le pouvoir et l'autorité comme des aspects normaux de la profession, en régissent aussi l'exercice. Ainsi, le fait qu'un chercheur fasse preuve d'autorité à tr</w:t>
      </w:r>
      <w:r w:rsidRPr="004F27B4">
        <w:t>a</w:t>
      </w:r>
      <w:r w:rsidRPr="004F27B4">
        <w:t>vers ses écrits est vue comme une partie intégrante de son travail et est légitimé par les règles d'un jeu académique qui se définit essentiell</w:t>
      </w:r>
      <w:r w:rsidRPr="004F27B4">
        <w:t>e</w:t>
      </w:r>
      <w:r w:rsidRPr="004F27B4">
        <w:t>ment par la possibilité et la nécessité, pour tout chercheur, de produ</w:t>
      </w:r>
      <w:r w:rsidRPr="004F27B4">
        <w:t>i</w:t>
      </w:r>
      <w:r w:rsidRPr="004F27B4">
        <w:t>re, par son travail, à la fois une critique et un dépassement de celui de ses collègues. Quant aux étudiants, le fait même qu'ils aient choisi d'assister à des cours dans un c</w:t>
      </w:r>
      <w:r w:rsidRPr="004F27B4">
        <w:t>a</w:t>
      </w:r>
      <w:r w:rsidRPr="004F27B4">
        <w:t>dre universitaire, implique qu'ils aient accepté dans une large mesure, comme partie intégrante de leur fo</w:t>
      </w:r>
      <w:r w:rsidRPr="004F27B4">
        <w:t>r</w:t>
      </w:r>
      <w:r w:rsidRPr="004F27B4">
        <w:t xml:space="preserve">mation, d'être </w:t>
      </w:r>
      <w:r w:rsidRPr="004F27B4">
        <w:rPr>
          <w:i/>
          <w:iCs/>
        </w:rPr>
        <w:t>formés</w:t>
      </w:r>
      <w:r w:rsidRPr="004F27B4">
        <w:t xml:space="preserve"> par le savoir de leur professeur. Cela dit, la s</w:t>
      </w:r>
      <w:r w:rsidRPr="004F27B4">
        <w:t>i</w:t>
      </w:r>
      <w:r w:rsidRPr="004F27B4">
        <w:t>tuation d'un chercheur dans un musée est tout à fait différente, dans la m</w:t>
      </w:r>
      <w:r w:rsidRPr="004F27B4">
        <w:t>e</w:t>
      </w:r>
      <w:r w:rsidRPr="004F27B4">
        <w:t>sure où les clientèles n'occupent plus les mêmes positions. Alors que la relation à des étudiants se fait très rare et que celle aux coll</w:t>
      </w:r>
      <w:r w:rsidRPr="004F27B4">
        <w:t>è</w:t>
      </w:r>
      <w:r w:rsidRPr="004F27B4">
        <w:t>gues de la même discipline est relativement moins importante qu'à l'université (mais cela varie sensiblement d'une institution muséale à l'autre), c'est la relation au large public qui prend le devant de la sc</w:t>
      </w:r>
      <w:r w:rsidRPr="004F27B4">
        <w:t>è</w:t>
      </w:r>
      <w:r w:rsidRPr="004F27B4">
        <w:t>ne. Or, ce qui est caract</w:t>
      </w:r>
      <w:r w:rsidRPr="004F27B4">
        <w:t>é</w:t>
      </w:r>
      <w:r w:rsidRPr="004F27B4">
        <w:t xml:space="preserve">ristique de cette relation aux individus, aux groupes et aux communautés qui composent la société, c'est </w:t>
      </w:r>
      <w:r>
        <w:t>l’</w:t>
      </w:r>
      <w:r w:rsidRPr="004F27B4">
        <w:rPr>
          <w:i/>
          <w:iCs/>
        </w:rPr>
        <w:t>absence</w:t>
      </w:r>
      <w:r w:rsidRPr="004F27B4">
        <w:t xml:space="preserve"> de r</w:t>
      </w:r>
      <w:r w:rsidRPr="004F27B4">
        <w:t>è</w:t>
      </w:r>
      <w:r w:rsidRPr="004F27B4">
        <w:t>gles claires concernant l'exercice du pouvoir et de l'autorité. En</w:t>
      </w:r>
      <w:r w:rsidRPr="005869B6">
        <w:t xml:space="preserve"> l'absence de règles du jeu définissant clairement le rapport chercheur-public et les rôles de chacun, la relation de pouvoir peut être con</w:t>
      </w:r>
      <w:r w:rsidRPr="005869B6">
        <w:t>s</w:t>
      </w:r>
      <w:r w:rsidRPr="005869B6">
        <w:t>tamment remise en question, contestée, que</w:t>
      </w:r>
      <w:r w:rsidRPr="005869B6">
        <w:t>s</w:t>
      </w:r>
      <w:r w:rsidRPr="005869B6">
        <w:t>tionnée ou redéfinie. Comme nous le montrent les cas de plus en plus nombreux de pre</w:t>
      </w:r>
      <w:r w:rsidRPr="005869B6">
        <w:t>s</w:t>
      </w:r>
      <w:r w:rsidRPr="005869B6">
        <w:t>sions extérieures exercées sur les musées par divers groupes, la rel</w:t>
      </w:r>
      <w:r w:rsidRPr="005869B6">
        <w:t>a</w:t>
      </w:r>
      <w:r w:rsidRPr="005869B6">
        <w:t>tion chercheur-public d</w:t>
      </w:r>
      <w:r w:rsidRPr="005869B6">
        <w:t>e</w:t>
      </w:r>
      <w:r w:rsidRPr="005869B6">
        <w:t>meure une relation en débat</w:t>
      </w:r>
      <w:r>
        <w:t> </w:t>
      </w:r>
      <w:r>
        <w:rPr>
          <w:rStyle w:val="Appelnotedebasdep"/>
        </w:rPr>
        <w:footnoteReference w:id="374"/>
      </w:r>
      <w:r w:rsidRPr="005869B6">
        <w:t>. Cela n'a pas toujours été le cas et cela n'a pas toujours été aussi intense. La dém</w:t>
      </w:r>
      <w:r w:rsidRPr="005869B6">
        <w:t>o</w:t>
      </w:r>
      <w:r w:rsidRPr="005869B6">
        <w:t>cratisation g</w:t>
      </w:r>
      <w:r w:rsidRPr="005869B6">
        <w:t>é</w:t>
      </w:r>
      <w:r w:rsidRPr="005869B6">
        <w:t>nérale des sociétés industrielles, l'augmentation de la scolarité, la pénétration des discours scientifiques et académiques dans la société ont</w:t>
      </w:r>
      <w:r>
        <w:t xml:space="preserve"> [527] </w:t>
      </w:r>
      <w:r w:rsidRPr="005869B6">
        <w:t>favorisé l'acquisition, de la part de la popul</w:t>
      </w:r>
      <w:r w:rsidRPr="005869B6">
        <w:t>a</w:t>
      </w:r>
      <w:r w:rsidRPr="005869B6">
        <w:t>tion, d'une « culture » autrefois réservée aux spécialistes des sciences humaines, ce qui s'est accompagné également de l'acquisition des moyens de contester l'a</w:t>
      </w:r>
      <w:r w:rsidRPr="005869B6">
        <w:t>u</w:t>
      </w:r>
      <w:r w:rsidRPr="005869B6">
        <w:t>torité de ces spécialistes.</w:t>
      </w:r>
    </w:p>
    <w:p w:rsidR="00B7214C" w:rsidRDefault="00B7214C" w:rsidP="00B7214C">
      <w:pPr>
        <w:spacing w:before="120" w:after="120"/>
        <w:jc w:val="both"/>
      </w:pPr>
      <w:r>
        <w:br w:type="page"/>
      </w:r>
    </w:p>
    <w:p w:rsidR="00B7214C" w:rsidRPr="004F27B4" w:rsidRDefault="00B7214C" w:rsidP="00B7214C">
      <w:pPr>
        <w:pStyle w:val="b"/>
      </w:pPr>
      <w:r w:rsidRPr="004F27B4">
        <w:t>Identités et conception de l'histoire</w:t>
      </w:r>
    </w:p>
    <w:p w:rsidR="00B7214C" w:rsidRDefault="00B7214C" w:rsidP="00B7214C">
      <w:pPr>
        <w:spacing w:before="120" w:after="120"/>
        <w:jc w:val="both"/>
      </w:pPr>
    </w:p>
    <w:p w:rsidR="00B7214C" w:rsidRPr="004F27B4" w:rsidRDefault="00B7214C" w:rsidP="00B7214C">
      <w:pPr>
        <w:spacing w:before="120" w:after="120"/>
        <w:jc w:val="both"/>
      </w:pPr>
      <w:r w:rsidRPr="005869B6">
        <w:t>Le troisième problème auquel fait face l'anthropologue au musée vient du rapport au temps et à l'histoire qu'implique to</w:t>
      </w:r>
      <w:r w:rsidRPr="005869B6">
        <w:t>u</w:t>
      </w:r>
      <w:r w:rsidRPr="005869B6">
        <w:t>te identité. En tant que fiction simplificatrice qui vise à faire dire à une réalité emp</w:t>
      </w:r>
      <w:r w:rsidRPr="005869B6">
        <w:t>i</w:t>
      </w:r>
      <w:r w:rsidRPr="004F27B4">
        <w:t>rique muette « voici ce que sont les « femmes », les « hommes », les « jeunes », les « vieux », les « Italiens », les « Québécois », les « Canadiens », les « Noirs », les « Blancs », les « Amérindiens », les « Occidentaux », etc., toute identité se présente dans une certaine m</w:t>
      </w:r>
      <w:r w:rsidRPr="004F27B4">
        <w:t>e</w:t>
      </w:r>
      <w:r w:rsidRPr="004F27B4">
        <w:t xml:space="preserve">sure comme </w:t>
      </w:r>
      <w:r w:rsidRPr="004F27B4">
        <w:rPr>
          <w:i/>
          <w:iCs/>
        </w:rPr>
        <w:t>une tentative d’arrêter le temps, l’histoire et le chang</w:t>
      </w:r>
      <w:r w:rsidRPr="004F27B4">
        <w:rPr>
          <w:i/>
          <w:iCs/>
        </w:rPr>
        <w:t>e</w:t>
      </w:r>
      <w:r w:rsidRPr="004F27B4">
        <w:rPr>
          <w:i/>
          <w:iCs/>
        </w:rPr>
        <w:t>ment</w:t>
      </w:r>
      <w:r w:rsidRPr="004F27B4">
        <w:t xml:space="preserve"> qui transforment sans cesse ce que nous sommes et ce que sont les autres. Cela peut se faire autant par une projection de l'identité du groupe dans le passé que par sa projection vers le futur. On retrouve aisément ces deux te</w:t>
      </w:r>
      <w:r w:rsidRPr="004F27B4">
        <w:t>n</w:t>
      </w:r>
      <w:r w:rsidRPr="004F27B4">
        <w:t>dances dans les musées.</w:t>
      </w:r>
    </w:p>
    <w:p w:rsidR="00B7214C" w:rsidRPr="005869B6" w:rsidRDefault="00B7214C" w:rsidP="00B7214C">
      <w:pPr>
        <w:spacing w:before="120" w:after="120"/>
        <w:jc w:val="both"/>
      </w:pPr>
      <w:r w:rsidRPr="004F27B4">
        <w:t xml:space="preserve">Pour ce qui est de la </w:t>
      </w:r>
      <w:r w:rsidRPr="004F27B4">
        <w:rPr>
          <w:i/>
          <w:iCs/>
        </w:rPr>
        <w:t>projection dans le passé,</w:t>
      </w:r>
      <w:r w:rsidRPr="004F27B4">
        <w:t xml:space="preserve"> le simple fait de co</w:t>
      </w:r>
      <w:r w:rsidRPr="004F27B4">
        <w:t>l</w:t>
      </w:r>
      <w:r w:rsidRPr="004F27B4">
        <w:t>lectionner et de préserver des objets et des documents constitue en soi un effort pour éliminer les événements histor</w:t>
      </w:r>
      <w:r w:rsidRPr="004F27B4">
        <w:t>i</w:t>
      </w:r>
      <w:r w:rsidRPr="004F27B4">
        <w:t>ques qui les auraient fait</w:t>
      </w:r>
      <w:r w:rsidRPr="005869B6">
        <w:t xml:space="preserve"> disparaître tôt ou tard. Accumuler et préserver sans fin constitue un projet de sauvegarde des cult</w:t>
      </w:r>
      <w:r w:rsidRPr="005869B6">
        <w:t>u</w:t>
      </w:r>
      <w:r w:rsidRPr="005869B6">
        <w:t>res contre un processus historique qui est vu comme destructeur et producteur de désordre. Mais plus impo</w:t>
      </w:r>
      <w:r w:rsidRPr="005869B6">
        <w:t>r</w:t>
      </w:r>
      <w:r w:rsidRPr="005869B6">
        <w:t>tante encore pour notre propos est la tendance de nombreux musées à ne voir de 1'« authentique » et de Inintéressant », ethnograph</w:t>
      </w:r>
      <w:r w:rsidRPr="005869B6">
        <w:t>i</w:t>
      </w:r>
      <w:r w:rsidRPr="005869B6">
        <w:t>quement parlant, que dans les époques passées. Le passé est vu alors comme le lieu de productions « pures », c'est-à-dire comme le lieu de produ</w:t>
      </w:r>
      <w:r w:rsidRPr="005869B6">
        <w:t>c</w:t>
      </w:r>
      <w:r w:rsidRPr="005869B6">
        <w:t>tions qui représentent mieux que to</w:t>
      </w:r>
      <w:r w:rsidRPr="005869B6">
        <w:t>u</w:t>
      </w:r>
      <w:r w:rsidRPr="005869B6">
        <w:t>tes les autres l'essence du groupe, de la culture ou de tel ou tel aspect de la culture dont il est question. Le passé - qui pourtant a été le présent des gens qui y vivaient et le lieu de leur histoire-en-train-de-se-faire par laquelle ils se transfo</w:t>
      </w:r>
      <w:r w:rsidRPr="005869B6">
        <w:t>r</w:t>
      </w:r>
      <w:r w:rsidRPr="005869B6">
        <w:t>maient en acquérant, en perdant, en reformulant et en élaborant des él</w:t>
      </w:r>
      <w:r w:rsidRPr="005869B6">
        <w:t>é</w:t>
      </w:r>
      <w:r w:rsidRPr="005869B6">
        <w:t>ments divers - est vu comme un point solide, arrêté, une base ou un fondement inébranlable d'une supposée authenticité.</w:t>
      </w:r>
    </w:p>
    <w:p w:rsidR="00B7214C" w:rsidRPr="004F27B4" w:rsidRDefault="00B7214C" w:rsidP="00B7214C">
      <w:pPr>
        <w:spacing w:before="120" w:after="120"/>
        <w:jc w:val="both"/>
      </w:pPr>
      <w:r w:rsidRPr="004F27B4">
        <w:t xml:space="preserve">Si l'on se tourne maintenant vers la </w:t>
      </w:r>
      <w:r w:rsidRPr="004F27B4">
        <w:rPr>
          <w:i/>
          <w:iCs/>
        </w:rPr>
        <w:t>projection dans le futur,</w:t>
      </w:r>
      <w:r w:rsidRPr="004F27B4">
        <w:t xml:space="preserve"> bon</w:t>
      </w:r>
      <w:r w:rsidRPr="005869B6">
        <w:t xml:space="preserve"> nombre de musées la combinent à la précédente toujours avec le m</w:t>
      </w:r>
      <w:r w:rsidRPr="005869B6">
        <w:t>ê</w:t>
      </w:r>
      <w:r w:rsidRPr="005869B6">
        <w:t>me effet de contrer l'histoire comme processus de changement ince</w:t>
      </w:r>
      <w:r w:rsidRPr="005869B6">
        <w:t>s</w:t>
      </w:r>
      <w:r w:rsidRPr="005869B6">
        <w:t>sant. D'ailleurs, vouloir sauvegarder le passé et concevoir celui-ci comme le lieu d une authenticité perdue ou en voie de se perdre pre</w:t>
      </w:r>
      <w:r w:rsidRPr="005869B6">
        <w:t>n</w:t>
      </w:r>
      <w:r w:rsidRPr="005869B6">
        <w:t>nent leur sens que si l'on conçoit l'avenir, non pas comme quelque chose d'indéterminé et d'i</w:t>
      </w:r>
      <w:r w:rsidRPr="005869B6">
        <w:t>m</w:t>
      </w:r>
      <w:r w:rsidRPr="005869B6">
        <w:t>prévisible, fruit de multiples créations, mais plutôt comme quelque chose à construire de manière planifiée. C'est parce que l'on conçoit 1 humanité, la</w:t>
      </w:r>
      <w:r>
        <w:t xml:space="preserve"> [</w:t>
      </w:r>
      <w:r w:rsidRPr="005869B6">
        <w:t>529</w:t>
      </w:r>
      <w:r>
        <w:t xml:space="preserve">] </w:t>
      </w:r>
      <w:r w:rsidRPr="005869B6">
        <w:t>nation, le groupe ethnique ou la culture comme de grandes œuvres à réaliser que le pa</w:t>
      </w:r>
      <w:r w:rsidRPr="005869B6">
        <w:t>s</w:t>
      </w:r>
      <w:r w:rsidRPr="005869B6">
        <w:t>sé et ses éléments doivent être accumulés et disposés, de manière ra</w:t>
      </w:r>
      <w:r w:rsidRPr="005869B6">
        <w:t>i</w:t>
      </w:r>
      <w:r w:rsidRPr="005869B6">
        <w:t>sonnée et réfléchie par des spécialistes, comme a</w:t>
      </w:r>
      <w:r w:rsidRPr="005869B6">
        <w:t>u</w:t>
      </w:r>
      <w:r>
        <w:t>tant de pierres à l’</w:t>
      </w:r>
      <w:r w:rsidRPr="005869B6">
        <w:t>édifice collectif. Ce n'est qu'en fonction d'une telle conception cum</w:t>
      </w:r>
      <w:r w:rsidRPr="005869B6">
        <w:t>u</w:t>
      </w:r>
      <w:r w:rsidRPr="005869B6">
        <w:t>lative et linéa</w:t>
      </w:r>
      <w:r w:rsidRPr="005869B6">
        <w:t>i</w:t>
      </w:r>
      <w:r w:rsidRPr="005869B6">
        <w:t xml:space="preserve">re de l'histoire que les objets du passé peuvent être considérés comme un « patrimoine » ou un « héritage » </w:t>
      </w:r>
      <w:r w:rsidRPr="004F27B4">
        <w:t>pour l'hum</w:t>
      </w:r>
      <w:r w:rsidRPr="004F27B4">
        <w:t>a</w:t>
      </w:r>
      <w:r w:rsidRPr="004F27B4">
        <w:t xml:space="preserve">nité, la nation ou le groupe. Les notions de « patrimoine » ou d'« héritage » réfèrent à une </w:t>
      </w:r>
      <w:r w:rsidRPr="004F27B4">
        <w:rPr>
          <w:i/>
          <w:iCs/>
        </w:rPr>
        <w:t>œuvre à faire.</w:t>
      </w:r>
    </w:p>
    <w:p w:rsidR="00B7214C" w:rsidRPr="005869B6" w:rsidRDefault="00B7214C" w:rsidP="00B7214C">
      <w:pPr>
        <w:spacing w:before="120" w:after="120"/>
        <w:jc w:val="both"/>
      </w:pPr>
      <w:r w:rsidRPr="004F27B4">
        <w:t xml:space="preserve">Du fait de leur fonction identitaire, les musées héritent donc de la résistance qu'oppose toute identité à l'histoire-en-train-de-se-faire et au changement. Du même coup, comme les identités qu'ils produisent, les musées contribuent à </w:t>
      </w:r>
      <w:r w:rsidRPr="004F27B4">
        <w:rPr>
          <w:i/>
          <w:iCs/>
        </w:rPr>
        <w:t>esc</w:t>
      </w:r>
      <w:r w:rsidRPr="004F27B4">
        <w:rPr>
          <w:i/>
          <w:iCs/>
        </w:rPr>
        <w:t>a</w:t>
      </w:r>
      <w:r w:rsidRPr="004F27B4">
        <w:rPr>
          <w:i/>
          <w:iCs/>
        </w:rPr>
        <w:t>moter le présent</w:t>
      </w:r>
      <w:r w:rsidRPr="004F27B4">
        <w:t xml:space="preserve"> qui est précisément ce lieu où s'effectue l'histoire-en-train-de-se-faire et le changement ince</w:t>
      </w:r>
      <w:r w:rsidRPr="004F27B4">
        <w:t>s</w:t>
      </w:r>
      <w:r w:rsidRPr="004F27B4">
        <w:t>sant, ce lieu où rien ne demeure stable, où les indiv</w:t>
      </w:r>
      <w:r w:rsidRPr="004F27B4">
        <w:t>i</w:t>
      </w:r>
      <w:r w:rsidRPr="004F27B4">
        <w:t>dus, les groupes, les cultures et les nations ne cessent de perdre certain de leurs traits pour en acquérir de nouveaux, ce lieu où l'acculturation apparaît comme le seul véritable mode d'être de la culture</w:t>
      </w:r>
      <w:r>
        <w:t> </w:t>
      </w:r>
      <w:r>
        <w:rPr>
          <w:rStyle w:val="Appelnotedebasdep"/>
        </w:rPr>
        <w:footnoteReference w:id="375"/>
      </w:r>
      <w:r w:rsidRPr="004F27B4">
        <w:t>. Or, cet escam</w:t>
      </w:r>
      <w:r w:rsidRPr="004F27B4">
        <w:t>o</w:t>
      </w:r>
      <w:r w:rsidRPr="004F27B4">
        <w:t>tage du pr</w:t>
      </w:r>
      <w:r w:rsidRPr="004F27B4">
        <w:t>é</w:t>
      </w:r>
      <w:r w:rsidRPr="004F27B4">
        <w:t xml:space="preserve">sent trahit un </w:t>
      </w:r>
      <w:r w:rsidRPr="004F27B4">
        <w:rPr>
          <w:i/>
          <w:iCs/>
        </w:rPr>
        <w:t xml:space="preserve">jugement négatif </w:t>
      </w:r>
      <w:r w:rsidRPr="004F27B4">
        <w:t>porté sur celui-ci et sur le sens de l'histoire qui est très répandu dans la société. Le présent est, en effet, souvent considéré comme un lieu où les cultures et les trad</w:t>
      </w:r>
      <w:r w:rsidRPr="004F27B4">
        <w:t>i</w:t>
      </w:r>
      <w:r w:rsidRPr="004F27B4">
        <w:t>tions, autrefois bien identifiables, distinctes et « pures », en viennent à se mélanger irrémédiablement, à se contaminer pour donner lieu à des productions hybrides et métissées, et le plus souvent jugées sans v</w:t>
      </w:r>
      <w:r w:rsidRPr="004F27B4">
        <w:t>a</w:t>
      </w:r>
      <w:r w:rsidRPr="004F27B4">
        <w:t>leur. Le pr</w:t>
      </w:r>
      <w:r w:rsidRPr="004F27B4">
        <w:t>é</w:t>
      </w:r>
      <w:r w:rsidRPr="004F27B4">
        <w:t>sent est alors condamné en tant que lieu où l'histoire qui</w:t>
      </w:r>
      <w:r w:rsidRPr="005869B6">
        <w:t xml:space="preserve"> s'y fait tend à l'homogénéisation et à la disparition de la diversité h</w:t>
      </w:r>
      <w:r w:rsidRPr="005869B6">
        <w:t>u</w:t>
      </w:r>
      <w:r w:rsidRPr="005869B6">
        <w:t>maine. Si on me permet de faire une comparaison, ce diagnostic ra</w:t>
      </w:r>
      <w:r w:rsidRPr="005869B6">
        <w:t>p</w:t>
      </w:r>
      <w:r w:rsidRPr="005869B6">
        <w:t>pelle la conception linéaire du temps propre à la thermodyn</w:t>
      </w:r>
      <w:r w:rsidRPr="005869B6">
        <w:t>a</w:t>
      </w:r>
      <w:r w:rsidRPr="005869B6">
        <w:t>mique et qui est aujourd'hui remise en question dans les sciences de la nature. Selon cette conception, tout système, laissé à lui-même, évolue néce</w:t>
      </w:r>
      <w:r w:rsidRPr="005869B6">
        <w:t>s</w:t>
      </w:r>
      <w:r w:rsidRPr="005869B6">
        <w:t>sairement vers une entropie croissante, c'est-à-dire vers une perte d'énergie constante qui le mène à un état de désordre et d'homogénéité maximaux. Une question se pose alors aux chercheurs en sciences s</w:t>
      </w:r>
      <w:r w:rsidRPr="005869B6">
        <w:t>o</w:t>
      </w:r>
      <w:r w:rsidRPr="005869B6">
        <w:t>ciales : la société et la culture sont-ils assimilables à ce type de syst</w:t>
      </w:r>
      <w:r w:rsidRPr="005869B6">
        <w:t>è</w:t>
      </w:r>
      <w:r w:rsidRPr="005869B6">
        <w:t>me dont la m</w:t>
      </w:r>
      <w:r w:rsidRPr="005869B6">
        <w:t>a</w:t>
      </w:r>
      <w:r w:rsidRPr="005869B6">
        <w:t>chine à vapeur fut l'exemple type ? Laissées à elles-mêmes, la société et la culture sont-elles destinées à évoluer vers une homogénéité croissa</w:t>
      </w:r>
      <w:r w:rsidRPr="005869B6">
        <w:t>n</w:t>
      </w:r>
      <w:r w:rsidRPr="005869B6">
        <w:t>te ? Requièrent-elles, elles aussi, une source d'énergie extérieure, fournie ici par des spécialistes de la société et de la culture, pour que se maintienne en vie leur richesse créatrice ? Va-t-on réellement vers une « fin de l'histoire » pour reprendre une expre</w:t>
      </w:r>
      <w:r w:rsidRPr="005869B6">
        <w:t>s</w:t>
      </w:r>
      <w:r w:rsidRPr="005869B6">
        <w:t>sion à la mode</w:t>
      </w:r>
      <w:r>
        <w:t> </w:t>
      </w:r>
      <w:r>
        <w:rPr>
          <w:rStyle w:val="Appelnotedebasdep"/>
        </w:rPr>
        <w:footnoteReference w:id="376"/>
      </w:r>
      <w:r w:rsidRPr="005869B6">
        <w:t>, ou encore vers ce que Baudrillard appelle « le d</w:t>
      </w:r>
      <w:r w:rsidRPr="005869B6">
        <w:t>e</w:t>
      </w:r>
      <w:r w:rsidRPr="005869B6">
        <w:t>gré xérox de la culture »</w:t>
      </w:r>
      <w:r>
        <w:t> </w:t>
      </w:r>
      <w:r>
        <w:rPr>
          <w:rStyle w:val="Appelnotedebasdep"/>
        </w:rPr>
        <w:footnoteReference w:id="377"/>
      </w:r>
      <w:r w:rsidRPr="005869B6">
        <w:t> ? Répondre par l'affirmative à ces que</w:t>
      </w:r>
      <w:r w:rsidRPr="005869B6">
        <w:t>s</w:t>
      </w:r>
      <w:r w:rsidRPr="005869B6">
        <w:t>tions, comme le font souvent implicitement les appareils culturels et les musées, ne nous renvoie-t-il pas de nouveau au problème du po</w:t>
      </w:r>
      <w:r w:rsidRPr="005869B6">
        <w:t>u</w:t>
      </w:r>
      <w:r w:rsidRPr="005869B6">
        <w:t>voir des spécialistes et de leur droit à parler au nom du reste de la s</w:t>
      </w:r>
      <w:r w:rsidRPr="005869B6">
        <w:t>o</w:t>
      </w:r>
      <w:r w:rsidRPr="005869B6">
        <w:t>ciété et à lui dicter la marche à suivre ? Cela ne nous rend-il pas pr</w:t>
      </w:r>
      <w:r w:rsidRPr="005869B6">
        <w:t>i</w:t>
      </w:r>
      <w:r w:rsidRPr="005869B6">
        <w:t>sonniers, enfin, d'une vision scatologique confor</w:t>
      </w:r>
      <w:r>
        <w:t>ta</w:t>
      </w:r>
      <w:r w:rsidRPr="005869B6">
        <w:t>ble,</w:t>
      </w:r>
      <w:r>
        <w:t xml:space="preserve"> [530]</w:t>
      </w:r>
      <w:r w:rsidRPr="005869B6">
        <w:t xml:space="preserve"> puisqu'e</w:t>
      </w:r>
      <w:r w:rsidRPr="005869B6">
        <w:t>l</w:t>
      </w:r>
      <w:r w:rsidRPr="005869B6">
        <w:t>le permet de faire l'économie d'une analyse fo</w:t>
      </w:r>
      <w:r w:rsidRPr="005869B6">
        <w:t>r</w:t>
      </w:r>
      <w:r w:rsidRPr="005869B6">
        <w:t>cément difficile de la complexité contemporaine ?</w:t>
      </w:r>
    </w:p>
    <w:p w:rsidR="00B7214C" w:rsidRDefault="00B7214C" w:rsidP="00B7214C">
      <w:pPr>
        <w:spacing w:before="120" w:after="120"/>
        <w:jc w:val="both"/>
      </w:pPr>
    </w:p>
    <w:p w:rsidR="00B7214C" w:rsidRPr="005869B6" w:rsidRDefault="00B7214C" w:rsidP="00B7214C">
      <w:pPr>
        <w:pStyle w:val="a"/>
      </w:pPr>
      <w:r w:rsidRPr="005869B6">
        <w:t>DES PISTES DE SOLUTIONS</w:t>
      </w:r>
    </w:p>
    <w:p w:rsidR="00B7214C" w:rsidRDefault="00B7214C" w:rsidP="00B7214C">
      <w:pPr>
        <w:spacing w:before="120" w:after="120"/>
        <w:jc w:val="both"/>
      </w:pPr>
    </w:p>
    <w:p w:rsidR="00B7214C" w:rsidRPr="005869B6" w:rsidRDefault="00B7214C" w:rsidP="00B7214C">
      <w:pPr>
        <w:spacing w:before="120" w:after="120"/>
        <w:jc w:val="both"/>
      </w:pPr>
      <w:r w:rsidRPr="005869B6">
        <w:t>Cela étant dit sur les problèmes rencontrés par l'anthrop</w:t>
      </w:r>
      <w:r w:rsidRPr="005869B6">
        <w:t>o</w:t>
      </w:r>
      <w:r w:rsidRPr="005869B6">
        <w:t>logue au musée, il est possible d'esquisser quelques pistes de solution.</w:t>
      </w:r>
    </w:p>
    <w:p w:rsidR="00B7214C" w:rsidRPr="005869B6" w:rsidRDefault="00B7214C" w:rsidP="00B7214C">
      <w:pPr>
        <w:spacing w:before="120" w:after="120"/>
        <w:jc w:val="both"/>
      </w:pPr>
      <w:r w:rsidRPr="005869B6">
        <w:t>Comment éviter, tout d'abord, que les fictions identitaires constru</w:t>
      </w:r>
      <w:r w:rsidRPr="005869B6">
        <w:t>i</w:t>
      </w:r>
      <w:r w:rsidRPr="005869B6">
        <w:t xml:space="preserve">tes à travers les collections et les expositions ne soient présentées comme des réalités ? Comment rendre explicite, en d'autres mots, ce </w:t>
      </w:r>
      <w:r w:rsidRPr="004F27B4">
        <w:t>que toute identité doit masquer pour pouvoir fonctionner, soit son c</w:t>
      </w:r>
      <w:r w:rsidRPr="004F27B4">
        <w:t>a</w:t>
      </w:r>
      <w:r w:rsidRPr="004F27B4">
        <w:t xml:space="preserve">ractère arbitraire ? Premièrement, en passant de la construction à la </w:t>
      </w:r>
      <w:r w:rsidRPr="004F27B4">
        <w:rPr>
          <w:i/>
          <w:iCs/>
        </w:rPr>
        <w:t>déconstruction.</w:t>
      </w:r>
      <w:r w:rsidRPr="004F27B4">
        <w:t xml:space="preserve"> En organisant, par exemple, des expositions qui mo</w:t>
      </w:r>
      <w:r w:rsidRPr="004F27B4">
        <w:t>n</w:t>
      </w:r>
      <w:r w:rsidRPr="005869B6">
        <w:t>trent au public que les objets ne disent rien d'eux-mêmes et que l'on peut donc leur faire dire plusieurs choses ; des expositions, en d'autres mots, qui rendent explicites, les innombrables choix qui ont lieu dans les coulisses. Je pense, par exemple, à des présentations qui port</w:t>
      </w:r>
      <w:r w:rsidRPr="005869B6">
        <w:t>e</w:t>
      </w:r>
      <w:r w:rsidRPr="005869B6">
        <w:t>raient sur l'histoire des expositions d'une institution, montrant ainsi comment d'époques en époques les valeurs, les préjugés et les idées reçues ont changé et avec elles les images construites sur soi et sur les autres. Je pense aussi à des expos</w:t>
      </w:r>
      <w:r w:rsidRPr="005869B6">
        <w:t>i</w:t>
      </w:r>
      <w:r w:rsidRPr="005869B6">
        <w:t>tions sur 1 histoire des collections d'un musée qui situeraient dans leurs contextes sociaux les collectio</w:t>
      </w:r>
      <w:r w:rsidRPr="005869B6">
        <w:t>n</w:t>
      </w:r>
      <w:r w:rsidRPr="005869B6">
        <w:t>neurs et leurs v</w:t>
      </w:r>
      <w:r w:rsidRPr="005869B6">
        <w:t>i</w:t>
      </w:r>
      <w:r w:rsidRPr="005869B6">
        <w:t>sions du monde. Au Musée canadien des civilisations, par exemple, se prépare actuellement une exposition sur l'art pop</w:t>
      </w:r>
      <w:r w:rsidRPr="005869B6">
        <w:t>u</w:t>
      </w:r>
      <w:r w:rsidRPr="005869B6">
        <w:t>laire québécois qui, plutôt que de nous dire « voici ce qu'est cet art » ou « voici ce que sont les Québécois à travers ce type d'art », présentera les différentes visions du Québec qui se dégagent des choix des co</w:t>
      </w:r>
      <w:r w:rsidRPr="005869B6">
        <w:t>l</w:t>
      </w:r>
      <w:r w:rsidRPr="005869B6">
        <w:t>lectionneurs qui ont décidé, chacun à leur façon, de ce qui valait la peine ou non d'être retenu dans la collection du musée depuis la fin du XIX</w:t>
      </w:r>
      <w:r w:rsidRPr="005869B6">
        <w:rPr>
          <w:vertAlign w:val="superscript"/>
        </w:rPr>
        <w:t>e</w:t>
      </w:r>
      <w:r w:rsidRPr="005869B6">
        <w:t xml:space="preserve"> siècle</w:t>
      </w:r>
      <w:r>
        <w:t> </w:t>
      </w:r>
      <w:r>
        <w:rPr>
          <w:rStyle w:val="Appelnotedebasdep"/>
        </w:rPr>
        <w:footnoteReference w:id="378"/>
      </w:r>
      <w:r w:rsidRPr="005869B6">
        <w:t>. On peut aussi imaginer des expositions qui, tout en portant, pour des besoins pratiques, sur un groupe social précis co</w:t>
      </w:r>
      <w:r w:rsidRPr="005869B6">
        <w:t>m</w:t>
      </w:r>
      <w:r w:rsidRPr="005869B6">
        <w:t>me les « Italiens », par exemple, auraient pour but de montrer co</w:t>
      </w:r>
      <w:r w:rsidRPr="005869B6">
        <w:t>m</w:t>
      </w:r>
      <w:r w:rsidRPr="005869B6">
        <w:t>ment ce groupe n'existe pas à proprement parler, comment il n'est pas homogène, à quel point il est fractionné et multiple, tant dans ses f</w:t>
      </w:r>
      <w:r w:rsidRPr="005869B6">
        <w:t>a</w:t>
      </w:r>
      <w:r w:rsidRPr="005869B6">
        <w:t>çons de faire et de penser que dans ses produ</w:t>
      </w:r>
      <w:r w:rsidRPr="005869B6">
        <w:t>c</w:t>
      </w:r>
      <w:r w:rsidRPr="005869B6">
        <w:t>tions matérielles ou non.</w:t>
      </w:r>
    </w:p>
    <w:p w:rsidR="00B7214C" w:rsidRPr="005869B6" w:rsidRDefault="00B7214C" w:rsidP="00B7214C">
      <w:pPr>
        <w:spacing w:before="120" w:after="120"/>
        <w:jc w:val="both"/>
      </w:pPr>
      <w:r w:rsidRPr="005869B6">
        <w:t>En libérant le conservateur de sa tâche de produire des identités, ces exemples de déconstruction auraient aussi pour avantage d'esqu</w:t>
      </w:r>
      <w:r w:rsidRPr="005869B6">
        <w:t>i</w:t>
      </w:r>
      <w:r w:rsidRPr="005869B6">
        <w:t>ver les difficultés relatives à l'exercice du pouvoir et de l'autorité. D autres solutions se présentent ég</w:t>
      </w:r>
      <w:r w:rsidRPr="005869B6">
        <w:t>a</w:t>
      </w:r>
      <w:r w:rsidRPr="005869B6">
        <w:t>lement pour affronter ce problème. Certaines sont moins satisfaisantes. Je pense, par exemple, aux exp</w:t>
      </w:r>
      <w:r w:rsidRPr="005869B6">
        <w:t>o</w:t>
      </w:r>
      <w:r w:rsidRPr="005869B6">
        <w:t>sitions qui donnent la parole aux groupes qui en sont l'objet en leur permettant de présenter</w:t>
      </w:r>
      <w:r>
        <w:t xml:space="preserve"> [531] </w:t>
      </w:r>
      <w:r w:rsidRPr="005869B6">
        <w:t>eux-mêmes leurs patrimoines de s</w:t>
      </w:r>
      <w:r w:rsidRPr="005869B6">
        <w:t>a</w:t>
      </w:r>
      <w:r w:rsidRPr="005869B6">
        <w:t>voirs, de valeurs et de trad</w:t>
      </w:r>
      <w:r w:rsidRPr="005869B6">
        <w:t>i</w:t>
      </w:r>
      <w:r w:rsidRPr="005869B6">
        <w:t>tions. Bien sûr, la promotion d'une « vision de l'intérieur » permet au conservateur de s'effacer et à d'autres di</w:t>
      </w:r>
      <w:r w:rsidRPr="005869B6">
        <w:t>s</w:t>
      </w:r>
      <w:r w:rsidRPr="005869B6">
        <w:t>cours de se manifester. Mais au bout du compte, cette solution ne fait que déplacer le problème du pouvoir et de l'autorité. En effet, puisque tout groupe comporte inév</w:t>
      </w:r>
      <w:r w:rsidRPr="005869B6">
        <w:t>i</w:t>
      </w:r>
      <w:r w:rsidRPr="005869B6">
        <w:t>tablement une multiplicité de points de vue selon les sous-groupes qui le composent (hommes/femmes, je</w:t>
      </w:r>
      <w:r w:rsidRPr="005869B6">
        <w:t>u</w:t>
      </w:r>
      <w:r w:rsidRPr="005869B6">
        <w:t>nes/vieux, statuts socioprofe</w:t>
      </w:r>
      <w:r w:rsidRPr="005869B6">
        <w:t>s</w:t>
      </w:r>
      <w:r w:rsidRPr="005869B6">
        <w:t>sionnels, régions, etc.), à qui donnera-t-on la parole ? Quel groupe fav</w:t>
      </w:r>
      <w:r w:rsidRPr="005869B6">
        <w:t>o</w:t>
      </w:r>
      <w:r w:rsidRPr="005869B6">
        <w:t>risera-t-on et de quel droit ? Comme on peut le constater, il n'est pas facile de s'extraire des relations de pouvoir. En outre, à moins de nier le caractère arbitraire de toute ide</w:t>
      </w:r>
      <w:r w:rsidRPr="005869B6">
        <w:t>n</w:t>
      </w:r>
      <w:r w:rsidRPr="005869B6">
        <w:t xml:space="preserve">tité, il est impossible de soutenir qu'une « vision de l'intérieur » soit nécessairement plus « vraie » que </w:t>
      </w:r>
      <w:r w:rsidRPr="00914638">
        <w:t xml:space="preserve">celle d'un </w:t>
      </w:r>
      <w:r w:rsidRPr="00914638">
        <w:rPr>
          <w:i/>
          <w:iCs/>
        </w:rPr>
        <w:t>« outsider »,</w:t>
      </w:r>
      <w:r w:rsidRPr="00914638">
        <w:t xml:space="preserve"> sans com</w:t>
      </w:r>
      <w:r w:rsidRPr="00914638">
        <w:t>p</w:t>
      </w:r>
      <w:r w:rsidRPr="00914638">
        <w:t>ter le fait qu'une telle position</w:t>
      </w:r>
      <w:r w:rsidRPr="005869B6">
        <w:t xml:space="preserve"> condamnerait la très gra</w:t>
      </w:r>
      <w:r w:rsidRPr="005869B6">
        <w:t>n</w:t>
      </w:r>
      <w:r w:rsidRPr="005869B6">
        <w:t>de majorité des travaux anthropologiques et sociologiques, et mènerait tout droit à une conclusion logique désa</w:t>
      </w:r>
      <w:r w:rsidRPr="005869B6">
        <w:t>s</w:t>
      </w:r>
      <w:r w:rsidRPr="005869B6">
        <w:t>treuse : à savoir que l'on ne peut plus parler correctement que de soi. Enfin, comment soutenir des « visions de l'intérieur » qui pourraient être oppressives pour d'autres groupes, qui prôneraient l'exclusion, la xénophobie, le racisme ou même la tri</w:t>
      </w:r>
      <w:r w:rsidRPr="005869B6">
        <w:t>s</w:t>
      </w:r>
      <w:r w:rsidRPr="005869B6">
        <w:t>tement célèbre « purification ethnique » ?</w:t>
      </w:r>
    </w:p>
    <w:p w:rsidR="00B7214C" w:rsidRPr="00076F6E" w:rsidRDefault="00B7214C" w:rsidP="00B7214C">
      <w:pPr>
        <w:spacing w:before="120" w:after="120"/>
        <w:jc w:val="both"/>
      </w:pPr>
      <w:r w:rsidRPr="005869B6">
        <w:t xml:space="preserve">Mais il existe d'autres moyens de résoudre le problème du pouvoir </w:t>
      </w:r>
      <w:r w:rsidRPr="00914638">
        <w:t xml:space="preserve">et de l'autorité. Un de ceux-ci consiste à monter des expositions qui illustrent comment chaque individu participe à des </w:t>
      </w:r>
      <w:r w:rsidRPr="00914638">
        <w:rPr>
          <w:i/>
          <w:iCs/>
        </w:rPr>
        <w:t>identités multiples</w:t>
      </w:r>
      <w:r w:rsidRPr="00914638">
        <w:t xml:space="preserve"> qu'il peut utiliser ou faire valoir simu</w:t>
      </w:r>
      <w:r w:rsidRPr="00914638">
        <w:t>l</w:t>
      </w:r>
      <w:r w:rsidRPr="00914638">
        <w:t>tanément ou successivement</w:t>
      </w:r>
      <w:r w:rsidRPr="005869B6">
        <w:t xml:space="preserve"> selon les situations. C'est ce type de stratégie que les femmes autoc</w:t>
      </w:r>
      <w:r w:rsidRPr="005869B6">
        <w:t>h</w:t>
      </w:r>
      <w:r w:rsidRPr="005869B6">
        <w:t>tones ont adopté, par exemple, à propos de la place que leur réserv</w:t>
      </w:r>
      <w:r w:rsidRPr="005869B6">
        <w:t>e</w:t>
      </w:r>
      <w:r w:rsidRPr="005869B6">
        <w:t>rait un éventuel go</w:t>
      </w:r>
      <w:r w:rsidRPr="005869B6">
        <w:t>u</w:t>
      </w:r>
      <w:r w:rsidRPr="005869B6">
        <w:t>vernement autochtone. « Amérindiennes », par leurs origines, elles ont aussi fait valoir leur identité de « femmes », en s'opposant aux « hommes » de leurs groupes, en plus de se prése</w:t>
      </w:r>
      <w:r w:rsidRPr="005869B6">
        <w:t>n</w:t>
      </w:r>
      <w:r w:rsidRPr="00914638">
        <w:t>ter sous leur identité de « citoyennes canadiennes » par leur attach</w:t>
      </w:r>
      <w:r w:rsidRPr="00914638">
        <w:t>e</w:t>
      </w:r>
      <w:r w:rsidRPr="00914638">
        <w:t>ment à la Charte des droits et libertés de ce pays. En promouvant, non pas telle ou telle identité, mais plutôt la po</w:t>
      </w:r>
      <w:r w:rsidRPr="00914638">
        <w:t>s</w:t>
      </w:r>
      <w:r w:rsidRPr="00914638">
        <w:t xml:space="preserve">sibilité pour chaque acteur de faire preuve d'une </w:t>
      </w:r>
      <w:r w:rsidRPr="00914638">
        <w:rPr>
          <w:i/>
          <w:iCs/>
        </w:rPr>
        <w:t>mobilité identitaire,</w:t>
      </w:r>
      <w:r w:rsidRPr="00914638">
        <w:t xml:space="preserve"> le musée ouvre ainsi des pistes plutôt que d'en imposer et laisse au public le soin de choisir sa propre stratégie. Par ailleurs, s'il faut absolument produire et, par le fait m</w:t>
      </w:r>
      <w:r w:rsidRPr="00914638">
        <w:t>ê</w:t>
      </w:r>
      <w:r w:rsidRPr="00914638">
        <w:t>me, promouvoir des identités, pourquoi ne pas laisser de côté</w:t>
      </w:r>
      <w:r w:rsidRPr="005869B6">
        <w:t xml:space="preserve"> ce</w:t>
      </w:r>
      <w:r w:rsidRPr="005869B6">
        <w:t>l</w:t>
      </w:r>
      <w:r w:rsidRPr="005869B6">
        <w:t>les qui, par leurs critères d'appartenance comme la « race », le « sang », la « filiation généalogique » ou le « sol natif », déf</w:t>
      </w:r>
      <w:r w:rsidRPr="005869B6">
        <w:t>i</w:t>
      </w:r>
      <w:r w:rsidRPr="005869B6">
        <w:t>nissent les membres et les exclus de manière atemporelle et définitive ? Pou</w:t>
      </w:r>
      <w:r w:rsidRPr="005869B6">
        <w:t>r</w:t>
      </w:r>
      <w:r w:rsidRPr="00914638">
        <w:t>quoi ne pas leur préférer des identités dont les principes sont résol</w:t>
      </w:r>
      <w:r w:rsidRPr="00914638">
        <w:t>u</w:t>
      </w:r>
      <w:r w:rsidRPr="00914638">
        <w:t xml:space="preserve">ment </w:t>
      </w:r>
      <w:r w:rsidRPr="00914638">
        <w:rPr>
          <w:i/>
          <w:iCs/>
        </w:rPr>
        <w:t>ancrés dans le présent</w:t>
      </w:r>
      <w:r w:rsidRPr="00914638">
        <w:t xml:space="preserve"> et, ainsi, </w:t>
      </w:r>
      <w:r w:rsidRPr="00914638">
        <w:rPr>
          <w:i/>
          <w:iCs/>
        </w:rPr>
        <w:t>sujets à débat</w:t>
      </w:r>
      <w:r w:rsidRPr="00914638">
        <w:t> ? Je pense, par exe</w:t>
      </w:r>
      <w:r w:rsidRPr="00914638">
        <w:t>m</w:t>
      </w:r>
      <w:r w:rsidRPr="00914638">
        <w:t>ple, à l'identité du « citoyen » qui a l'avantage de se présenter explicitement comme une ide</w:t>
      </w:r>
      <w:r w:rsidRPr="00914638">
        <w:t>n</w:t>
      </w:r>
      <w:r w:rsidRPr="00914638">
        <w:t>tité construite par des règles que le</w:t>
      </w:r>
      <w:r w:rsidRPr="005869B6">
        <w:t xml:space="preserve"> groupe se donne ; qui a l'avantage, par conséquent, de ne pas nier son caractère arbitraire et, donc, de pouvoir être débattue, contestée et r</w:t>
      </w:r>
      <w:r w:rsidRPr="005869B6">
        <w:t>e</w:t>
      </w:r>
      <w:r w:rsidRPr="00914638">
        <w:t>définie. Je pense au</w:t>
      </w:r>
      <w:r w:rsidRPr="00914638">
        <w:t>s</w:t>
      </w:r>
      <w:r w:rsidRPr="00914638">
        <w:t xml:space="preserve">si aux identités que j'appelle </w:t>
      </w:r>
      <w:r w:rsidRPr="00914638">
        <w:rPr>
          <w:i/>
          <w:iCs/>
        </w:rPr>
        <w:t>locales et éphémères</w:t>
      </w:r>
      <w:r w:rsidRPr="005869B6">
        <w:t xml:space="preserve"> et dont l'instabilité présente l'avantage d'interdire aussi bien tout e</w:t>
      </w:r>
      <w:r w:rsidRPr="005869B6">
        <w:t>n</w:t>
      </w:r>
      <w:r w:rsidRPr="005869B6">
        <w:t>fermement que toute</w:t>
      </w:r>
      <w:r>
        <w:t xml:space="preserve"> [532] </w:t>
      </w:r>
      <w:r w:rsidRPr="00076F6E">
        <w:rPr>
          <w:szCs w:val="22"/>
        </w:rPr>
        <w:t>exclusion définitifs: identités de quartier, par exemple, dont le perso</w:t>
      </w:r>
      <w:r w:rsidRPr="00076F6E">
        <w:rPr>
          <w:szCs w:val="22"/>
        </w:rPr>
        <w:t>n</w:t>
      </w:r>
      <w:r w:rsidRPr="00076F6E">
        <w:rPr>
          <w:szCs w:val="22"/>
        </w:rPr>
        <w:t>nel se modifie selon les allées et venues sur le territoire; identités de luttes aussi qui se forment sur la base de solidarités transversales, r</w:t>
      </w:r>
      <w:r w:rsidRPr="00076F6E">
        <w:rPr>
          <w:szCs w:val="22"/>
        </w:rPr>
        <w:t>é</w:t>
      </w:r>
      <w:r w:rsidRPr="00076F6E">
        <w:rPr>
          <w:szCs w:val="22"/>
        </w:rPr>
        <w:t>unissant, par exemple, «</w:t>
      </w:r>
      <w:r>
        <w:rPr>
          <w:szCs w:val="22"/>
        </w:rPr>
        <w:t> </w:t>
      </w:r>
      <w:r w:rsidRPr="00076F6E">
        <w:rPr>
          <w:szCs w:val="22"/>
        </w:rPr>
        <w:t>femmes</w:t>
      </w:r>
      <w:r>
        <w:rPr>
          <w:szCs w:val="22"/>
        </w:rPr>
        <w:t> </w:t>
      </w:r>
      <w:r w:rsidRPr="00076F6E">
        <w:rPr>
          <w:szCs w:val="22"/>
        </w:rPr>
        <w:t>» et «hommes», «jeunes» et «vieux», membres de divers groupes ethn</w:t>
      </w:r>
      <w:r w:rsidRPr="00076F6E">
        <w:rPr>
          <w:szCs w:val="22"/>
        </w:rPr>
        <w:t>i</w:t>
      </w:r>
      <w:r w:rsidRPr="00076F6E">
        <w:rPr>
          <w:szCs w:val="22"/>
        </w:rPr>
        <w:t>ques et nationaux autour de questions comme la violence faite aux femmes ou l'organisation de services s</w:t>
      </w:r>
      <w:r w:rsidRPr="00076F6E">
        <w:rPr>
          <w:szCs w:val="22"/>
        </w:rPr>
        <w:t>o</w:t>
      </w:r>
      <w:r w:rsidRPr="00076F6E">
        <w:rPr>
          <w:szCs w:val="22"/>
        </w:rPr>
        <w:t>ciaux populaires parallèles; des identités qui se manifestent le temps d'une lutte ou le temps d'un projet, et qui disparaissent quitte à réapp</w:t>
      </w:r>
      <w:r w:rsidRPr="00076F6E">
        <w:rPr>
          <w:szCs w:val="22"/>
        </w:rPr>
        <w:t>a</w:t>
      </w:r>
      <w:r w:rsidRPr="00076F6E">
        <w:rPr>
          <w:szCs w:val="22"/>
        </w:rPr>
        <w:t>raître plus tard sous d'autres formes et selon d'autres principes d'appa</w:t>
      </w:r>
      <w:r w:rsidRPr="00076F6E">
        <w:rPr>
          <w:szCs w:val="22"/>
        </w:rPr>
        <w:t>r</w:t>
      </w:r>
      <w:r w:rsidRPr="00076F6E">
        <w:rPr>
          <w:szCs w:val="22"/>
        </w:rPr>
        <w:t>tenance.</w:t>
      </w:r>
    </w:p>
    <w:p w:rsidR="00B7214C" w:rsidRDefault="00B7214C" w:rsidP="00B7214C">
      <w:pPr>
        <w:spacing w:before="120" w:after="120"/>
        <w:jc w:val="both"/>
      </w:pPr>
      <w:r w:rsidRPr="00076F6E">
        <w:rPr>
          <w:szCs w:val="22"/>
        </w:rPr>
        <w:t>La liste des exemples pourrait s'allonger. Mais dans tous les cas, ces solutions exigent de manière impérative une revalorisation du pr</w:t>
      </w:r>
      <w:r w:rsidRPr="00076F6E">
        <w:rPr>
          <w:szCs w:val="22"/>
        </w:rPr>
        <w:t>é</w:t>
      </w:r>
      <w:r w:rsidRPr="00076F6E">
        <w:rPr>
          <w:szCs w:val="22"/>
        </w:rPr>
        <w:t>sent et de l'histoire qui s'y déroule. Oublier Baudrillard et les proph</w:t>
      </w:r>
      <w:r w:rsidRPr="00076F6E">
        <w:rPr>
          <w:szCs w:val="22"/>
        </w:rPr>
        <w:t>è</w:t>
      </w:r>
      <w:r w:rsidRPr="00076F6E">
        <w:rPr>
          <w:szCs w:val="22"/>
        </w:rPr>
        <w:t>tes de la «</w:t>
      </w:r>
      <w:r>
        <w:rPr>
          <w:szCs w:val="22"/>
        </w:rPr>
        <w:t> </w:t>
      </w:r>
      <w:r w:rsidRPr="00076F6E">
        <w:rPr>
          <w:szCs w:val="22"/>
        </w:rPr>
        <w:t>fin des temps</w:t>
      </w:r>
      <w:r>
        <w:rPr>
          <w:szCs w:val="22"/>
        </w:rPr>
        <w:t> </w:t>
      </w:r>
      <w:r w:rsidRPr="00076F6E">
        <w:rPr>
          <w:szCs w:val="22"/>
        </w:rPr>
        <w:t>» pour se tourner plutôt vers les sciences de la nature qui nous montrent comment certains systèmes complexes, loin d'évoluer liné</w:t>
      </w:r>
      <w:r>
        <w:rPr>
          <w:szCs w:val="22"/>
        </w:rPr>
        <w:t>aire</w:t>
      </w:r>
      <w:r w:rsidRPr="00076F6E">
        <w:rPr>
          <w:szCs w:val="22"/>
        </w:rPr>
        <w:t>ment vers un état d'équilibre, bifurquent de manière imprévisible, créant sans cesse de nouvelles organis</w:t>
      </w:r>
      <w:r w:rsidRPr="00076F6E">
        <w:rPr>
          <w:szCs w:val="22"/>
        </w:rPr>
        <w:t>a</w:t>
      </w:r>
      <w:r w:rsidRPr="00076F6E">
        <w:rPr>
          <w:szCs w:val="22"/>
        </w:rPr>
        <w:t>tions</w:t>
      </w:r>
      <w:r>
        <w:rPr>
          <w:szCs w:val="22"/>
        </w:rPr>
        <w:t> </w:t>
      </w:r>
      <w:r>
        <w:rPr>
          <w:rStyle w:val="Appelnotedebasdep"/>
          <w:szCs w:val="22"/>
        </w:rPr>
        <w:footnoteReference w:id="379"/>
      </w:r>
      <w:r w:rsidRPr="00076F6E">
        <w:rPr>
          <w:szCs w:val="22"/>
        </w:rPr>
        <w:t>. Se tourner aussi vers des philo</w:t>
      </w:r>
      <w:r>
        <w:rPr>
          <w:szCs w:val="22"/>
        </w:rPr>
        <w:t>so</w:t>
      </w:r>
      <w:r w:rsidRPr="00076F6E">
        <w:rPr>
          <w:szCs w:val="22"/>
        </w:rPr>
        <w:t>phes qui, comme Cornélius Castoriadis ou Ed</w:t>
      </w:r>
      <w:r>
        <w:rPr>
          <w:szCs w:val="22"/>
        </w:rPr>
        <w:t>gar Morin, montrent l'absur</w:t>
      </w:r>
      <w:r w:rsidRPr="00076F6E">
        <w:rPr>
          <w:szCs w:val="22"/>
        </w:rPr>
        <w:t>dité de l'idée de la «</w:t>
      </w:r>
      <w:r>
        <w:rPr>
          <w:szCs w:val="22"/>
        </w:rPr>
        <w:t> </w:t>
      </w:r>
      <w:r w:rsidRPr="00076F6E">
        <w:rPr>
          <w:szCs w:val="22"/>
        </w:rPr>
        <w:t>fin de l'histo</w:t>
      </w:r>
      <w:r w:rsidRPr="00076F6E">
        <w:rPr>
          <w:szCs w:val="22"/>
        </w:rPr>
        <w:t>i</w:t>
      </w:r>
      <w:r w:rsidRPr="00076F6E">
        <w:rPr>
          <w:szCs w:val="22"/>
        </w:rPr>
        <w:t>re</w:t>
      </w:r>
      <w:r>
        <w:rPr>
          <w:szCs w:val="22"/>
        </w:rPr>
        <w:t> </w:t>
      </w:r>
      <w:r w:rsidRPr="00076F6E">
        <w:rPr>
          <w:szCs w:val="22"/>
        </w:rPr>
        <w:t>»</w:t>
      </w:r>
      <w:r>
        <w:rPr>
          <w:szCs w:val="22"/>
        </w:rPr>
        <w:t> </w:t>
      </w:r>
      <w:r>
        <w:rPr>
          <w:rStyle w:val="Appelnotedebasdep"/>
          <w:szCs w:val="22"/>
        </w:rPr>
        <w:footnoteReference w:id="380"/>
      </w:r>
      <w:r w:rsidRPr="00076F6E">
        <w:rPr>
          <w:szCs w:val="22"/>
        </w:rPr>
        <w:t>. Écouter des historiens qui, comme Krzysztof Pomian mo</w:t>
      </w:r>
      <w:r w:rsidRPr="00076F6E">
        <w:rPr>
          <w:szCs w:val="22"/>
        </w:rPr>
        <w:t>n</w:t>
      </w:r>
      <w:r w:rsidRPr="00076F6E">
        <w:rPr>
          <w:szCs w:val="22"/>
        </w:rPr>
        <w:t>trent que tout processus d'uniformisation dans l'histoire s'est toujours accompagné de sa contrepartie, soit la création de nouvelles divers</w:t>
      </w:r>
      <w:r w:rsidRPr="00076F6E">
        <w:rPr>
          <w:szCs w:val="22"/>
        </w:rPr>
        <w:t>i</w:t>
      </w:r>
      <w:r w:rsidRPr="00076F6E">
        <w:rPr>
          <w:szCs w:val="22"/>
        </w:rPr>
        <w:t>tés</w:t>
      </w:r>
      <w:r>
        <w:rPr>
          <w:szCs w:val="22"/>
        </w:rPr>
        <w:t> </w:t>
      </w:r>
      <w:r>
        <w:rPr>
          <w:rStyle w:val="Appelnotedebasdep"/>
          <w:szCs w:val="22"/>
        </w:rPr>
        <w:footnoteReference w:id="381"/>
      </w:r>
      <w:r w:rsidRPr="00076F6E">
        <w:rPr>
          <w:szCs w:val="22"/>
        </w:rPr>
        <w:t>. Lire enfin des sociologues et des anthropologues comme M</w:t>
      </w:r>
      <w:r w:rsidRPr="00076F6E">
        <w:rPr>
          <w:szCs w:val="22"/>
        </w:rPr>
        <w:t>i</w:t>
      </w:r>
      <w:r w:rsidRPr="00076F6E">
        <w:rPr>
          <w:szCs w:val="22"/>
        </w:rPr>
        <w:t>chel de Certeau ou Michel Maffesoli qui s'appliquent mé</w:t>
      </w:r>
      <w:r>
        <w:rPr>
          <w:szCs w:val="22"/>
        </w:rPr>
        <w:t>ticuleu</w:t>
      </w:r>
      <w:r w:rsidRPr="00076F6E">
        <w:rPr>
          <w:szCs w:val="22"/>
        </w:rPr>
        <w:t>sement à décrire les qu</w:t>
      </w:r>
      <w:r w:rsidRPr="00076F6E">
        <w:rPr>
          <w:szCs w:val="22"/>
        </w:rPr>
        <w:t>o</w:t>
      </w:r>
      <w:r w:rsidRPr="00076F6E">
        <w:rPr>
          <w:szCs w:val="22"/>
        </w:rPr>
        <w:t>tidiens créateurs de ces gens ordinaires qui, loin d'être de si</w:t>
      </w:r>
      <w:r w:rsidRPr="00076F6E">
        <w:rPr>
          <w:szCs w:val="22"/>
        </w:rPr>
        <w:t>m</w:t>
      </w:r>
      <w:r w:rsidRPr="00076F6E">
        <w:rPr>
          <w:szCs w:val="22"/>
        </w:rPr>
        <w:t>ples consommateurs passifs,</w:t>
      </w:r>
      <w:r>
        <w:rPr>
          <w:szCs w:val="22"/>
        </w:rPr>
        <w:t xml:space="preserve"> bricolent, agencent et s'appro</w:t>
      </w:r>
      <w:r w:rsidRPr="00076F6E">
        <w:rPr>
          <w:szCs w:val="22"/>
        </w:rPr>
        <w:t>prient activ</w:t>
      </w:r>
      <w:r w:rsidRPr="00076F6E">
        <w:rPr>
          <w:szCs w:val="22"/>
        </w:rPr>
        <w:t>e</w:t>
      </w:r>
      <w:r w:rsidRPr="00076F6E">
        <w:rPr>
          <w:szCs w:val="22"/>
        </w:rPr>
        <w:t>ment les produits industriels et mass-médiatiques pour créer des no</w:t>
      </w:r>
      <w:r w:rsidRPr="00076F6E">
        <w:rPr>
          <w:szCs w:val="22"/>
        </w:rPr>
        <w:t>u</w:t>
      </w:r>
      <w:r w:rsidRPr="00076F6E">
        <w:rPr>
          <w:szCs w:val="22"/>
        </w:rPr>
        <w:t>velles formes de socialité</w:t>
      </w:r>
      <w:r>
        <w:rPr>
          <w:szCs w:val="22"/>
        </w:rPr>
        <w:t> </w:t>
      </w:r>
      <w:r>
        <w:rPr>
          <w:rStyle w:val="Appelnotedebasdep"/>
          <w:szCs w:val="22"/>
        </w:rPr>
        <w:footnoteReference w:id="382"/>
      </w:r>
      <w:r w:rsidRPr="00076F6E">
        <w:rPr>
          <w:szCs w:val="22"/>
        </w:rPr>
        <w:t>. Être donc attentif aux productions qui émergent ainsi et considérer avec un égal intérêt les productions dites «</w:t>
      </w:r>
      <w:r>
        <w:rPr>
          <w:szCs w:val="22"/>
        </w:rPr>
        <w:t> </w:t>
      </w:r>
      <w:r w:rsidRPr="00076F6E">
        <w:rPr>
          <w:szCs w:val="22"/>
        </w:rPr>
        <w:t>traditionnelles</w:t>
      </w:r>
      <w:r>
        <w:rPr>
          <w:szCs w:val="22"/>
        </w:rPr>
        <w:t> </w:t>
      </w:r>
      <w:r w:rsidRPr="00076F6E">
        <w:rPr>
          <w:szCs w:val="22"/>
        </w:rPr>
        <w:t>» et celles auxquelles on assigne les titres dév</w:t>
      </w:r>
      <w:r w:rsidRPr="00076F6E">
        <w:rPr>
          <w:szCs w:val="22"/>
        </w:rPr>
        <w:t>a</w:t>
      </w:r>
      <w:r w:rsidRPr="00076F6E">
        <w:rPr>
          <w:szCs w:val="22"/>
        </w:rPr>
        <w:t>lor</w:t>
      </w:r>
      <w:r w:rsidRPr="00076F6E">
        <w:rPr>
          <w:szCs w:val="22"/>
        </w:rPr>
        <w:t>i</w:t>
      </w:r>
      <w:r w:rsidRPr="00076F6E">
        <w:rPr>
          <w:szCs w:val="22"/>
        </w:rPr>
        <w:t>sants d'«</w:t>
      </w:r>
      <w:r>
        <w:rPr>
          <w:szCs w:val="22"/>
        </w:rPr>
        <w:t> </w:t>
      </w:r>
      <w:r w:rsidRPr="00076F6E">
        <w:rPr>
          <w:szCs w:val="22"/>
        </w:rPr>
        <w:t>art touristique</w:t>
      </w:r>
      <w:r>
        <w:rPr>
          <w:szCs w:val="22"/>
        </w:rPr>
        <w:t> </w:t>
      </w:r>
      <w:r w:rsidRPr="00076F6E">
        <w:rPr>
          <w:szCs w:val="22"/>
        </w:rPr>
        <w:t>» ou de «culture kitch», puisque les unes co</w:t>
      </w:r>
      <w:r w:rsidRPr="00076F6E">
        <w:rPr>
          <w:szCs w:val="22"/>
        </w:rPr>
        <w:t>m</w:t>
      </w:r>
      <w:r w:rsidRPr="00076F6E">
        <w:rPr>
          <w:szCs w:val="22"/>
        </w:rPr>
        <w:t>me les autres sont le produit de processus sociaux. Ne pas s'exiler du présent. Éviter la nostalgie qui nous fait croire que tout est déso</w:t>
      </w:r>
      <w:r w:rsidRPr="00076F6E">
        <w:rPr>
          <w:szCs w:val="22"/>
        </w:rPr>
        <w:t>r</w:t>
      </w:r>
      <w:r w:rsidRPr="00076F6E">
        <w:rPr>
          <w:szCs w:val="22"/>
        </w:rPr>
        <w:t>mais fini, qu'il n'y a plus rien de neuf, qu'il n'y a pas d'au-delà de la société prése</w:t>
      </w:r>
      <w:r w:rsidRPr="00076F6E">
        <w:rPr>
          <w:szCs w:val="22"/>
        </w:rPr>
        <w:t>n</w:t>
      </w:r>
      <w:r>
        <w:rPr>
          <w:szCs w:val="22"/>
        </w:rPr>
        <w:t>te, industrielle, capi</w:t>
      </w:r>
      <w:r w:rsidRPr="00076F6E">
        <w:rPr>
          <w:szCs w:val="22"/>
        </w:rPr>
        <w:t>taliste et marchande</w:t>
      </w:r>
      <w:r>
        <w:rPr>
          <w:szCs w:val="22"/>
        </w:rPr>
        <w:t> </w:t>
      </w:r>
      <w:r w:rsidRPr="00076F6E">
        <w:rPr>
          <w:szCs w:val="22"/>
        </w:rPr>
        <w:t>; mais éviter tout autant l'obsession de la planification qui réduit la société et la culture à une collection de grandes réalisations institutionnelles ou étatiques. A</w:t>
      </w:r>
      <w:r w:rsidRPr="00076F6E">
        <w:rPr>
          <w:szCs w:val="22"/>
        </w:rPr>
        <w:t>p</w:t>
      </w:r>
      <w:r w:rsidRPr="00076F6E">
        <w:rPr>
          <w:szCs w:val="22"/>
        </w:rPr>
        <w:t>prendre à se faire discret, pl</w:t>
      </w:r>
      <w:r>
        <w:rPr>
          <w:szCs w:val="22"/>
        </w:rPr>
        <w:t>u</w:t>
      </w:r>
      <w:r w:rsidRPr="00076F6E">
        <w:rPr>
          <w:szCs w:val="22"/>
        </w:rPr>
        <w:t>tôt, et s'intéresser comme le suggère Gi</w:t>
      </w:r>
      <w:r w:rsidRPr="00076F6E">
        <w:rPr>
          <w:szCs w:val="22"/>
        </w:rPr>
        <w:t>l</w:t>
      </w:r>
      <w:r w:rsidRPr="00076F6E">
        <w:rPr>
          <w:szCs w:val="22"/>
        </w:rPr>
        <w:t>les Deleu</w:t>
      </w:r>
      <w:r>
        <w:rPr>
          <w:szCs w:val="22"/>
        </w:rPr>
        <w:t> </w:t>
      </w:r>
      <w:r w:rsidRPr="00076F6E">
        <w:rPr>
          <w:szCs w:val="22"/>
        </w:rPr>
        <w:t>ze, aux «devenirs qui opèrent en silence</w:t>
      </w:r>
      <w:r>
        <w:rPr>
          <w:szCs w:val="22"/>
        </w:rPr>
        <w:t> </w:t>
      </w:r>
      <w:r w:rsidRPr="00076F6E">
        <w:rPr>
          <w:szCs w:val="22"/>
        </w:rPr>
        <w:t>» et «</w:t>
      </w:r>
      <w:r>
        <w:rPr>
          <w:szCs w:val="22"/>
        </w:rPr>
        <w:t> </w:t>
      </w:r>
      <w:r w:rsidRPr="00076F6E">
        <w:rPr>
          <w:szCs w:val="22"/>
        </w:rPr>
        <w:t>qui sont presque impercept</w:t>
      </w:r>
      <w:r w:rsidRPr="00076F6E">
        <w:rPr>
          <w:szCs w:val="22"/>
        </w:rPr>
        <w:t>i</w:t>
      </w:r>
      <w:r w:rsidRPr="00076F6E">
        <w:rPr>
          <w:szCs w:val="22"/>
        </w:rPr>
        <w:t>bles</w:t>
      </w:r>
      <w:r>
        <w:rPr>
          <w:szCs w:val="22"/>
        </w:rPr>
        <w:t> </w:t>
      </w:r>
      <w:r w:rsidRPr="00076F6E">
        <w:rPr>
          <w:szCs w:val="22"/>
        </w:rPr>
        <w:t>»</w:t>
      </w:r>
      <w:r>
        <w:rPr>
          <w:szCs w:val="22"/>
        </w:rPr>
        <w:t> </w:t>
      </w:r>
      <w:r>
        <w:rPr>
          <w:rStyle w:val="Appelnotedebasdep"/>
          <w:szCs w:val="22"/>
        </w:rPr>
        <w:footnoteReference w:id="383"/>
      </w:r>
      <w:r w:rsidRPr="00076F6E">
        <w:rPr>
          <w:szCs w:val="22"/>
        </w:rPr>
        <w:t>.</w:t>
      </w:r>
    </w:p>
    <w:p w:rsidR="00B7214C" w:rsidRDefault="00B7214C" w:rsidP="00B7214C">
      <w:pPr>
        <w:pStyle w:val="p"/>
      </w:pPr>
    </w:p>
    <w:p w:rsidR="00B7214C" w:rsidRDefault="00B7214C" w:rsidP="00B7214C">
      <w:pPr>
        <w:pStyle w:val="p"/>
      </w:pPr>
      <w:r>
        <w:t>[533]</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spacing w:before="120" w:after="120"/>
        <w:jc w:val="both"/>
      </w:pPr>
    </w:p>
    <w:p w:rsidR="00B7214C" w:rsidRDefault="00B7214C" w:rsidP="00B7214C">
      <w:pPr>
        <w:pStyle w:val="p"/>
      </w:pPr>
      <w:r>
        <w:t>[534]</w:t>
      </w:r>
    </w:p>
    <w:p w:rsidR="00B7214C" w:rsidRDefault="00B7214C" w:rsidP="00B7214C">
      <w:pPr>
        <w:pStyle w:val="p"/>
      </w:pPr>
      <w:r w:rsidRPr="005869B6">
        <w:br w:type="page"/>
      </w:r>
      <w:r>
        <w:t>[535]</w:t>
      </w:r>
    </w:p>
    <w:p w:rsidR="00B7214C" w:rsidRPr="00E07116" w:rsidRDefault="00B7214C" w:rsidP="00B7214C">
      <w:pPr>
        <w:jc w:val="both"/>
      </w:pPr>
    </w:p>
    <w:p w:rsidR="00B7214C"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5" w:name="Entre_tradition_pt_3_texte_39"/>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C. LES MUSÉES : GRENIERS PATRIMONIAUX</w:t>
      </w:r>
      <w:r>
        <w:rPr>
          <w:color w:val="FF0000"/>
          <w:sz w:val="24"/>
        </w:rPr>
        <w:br/>
        <w:t>OU INGÉNIERIE CULTURELLE</w:t>
      </w:r>
    </w:p>
    <w:p w:rsidR="00B7214C" w:rsidRPr="00384B20" w:rsidRDefault="00B7214C" w:rsidP="00B7214C">
      <w:pPr>
        <w:pStyle w:val="Titreniveau1"/>
      </w:pPr>
      <w:r>
        <w:t>39</w:t>
      </w:r>
    </w:p>
    <w:p w:rsidR="00B7214C" w:rsidRDefault="00B7214C" w:rsidP="00B7214C">
      <w:pPr>
        <w:pStyle w:val="Titreniveau2"/>
      </w:pPr>
      <w:r>
        <w:t>“</w:t>
      </w:r>
      <w:r w:rsidRPr="00CE057C">
        <w:t>Les frontières symboliques</w:t>
      </w:r>
      <w:r>
        <w:br/>
      </w:r>
      <w:r w:rsidRPr="00CE057C">
        <w:t>et le musée</w:t>
      </w:r>
      <w:r>
        <w:t>.”</w:t>
      </w:r>
    </w:p>
    <w:bookmarkEnd w:id="55"/>
    <w:p w:rsidR="00B7214C" w:rsidRPr="00E07116" w:rsidRDefault="00B7214C" w:rsidP="00B7214C">
      <w:pPr>
        <w:jc w:val="both"/>
        <w:rPr>
          <w:szCs w:val="36"/>
        </w:rPr>
      </w:pPr>
    </w:p>
    <w:p w:rsidR="00B7214C" w:rsidRPr="00E07116" w:rsidRDefault="00B7214C" w:rsidP="00B7214C">
      <w:pPr>
        <w:pStyle w:val="suite"/>
      </w:pPr>
      <w:r>
        <w:t xml:space="preserve">Par </w:t>
      </w:r>
      <w:r w:rsidRPr="00CE057C">
        <w:t>Jan MARONTATE et Marcel FOURNIER</w:t>
      </w:r>
    </w:p>
    <w:p w:rsidR="00B7214C" w:rsidRPr="00E07116" w:rsidRDefault="00B7214C" w:rsidP="00B7214C">
      <w:pPr>
        <w:pStyle w:val="auteurst"/>
      </w:pPr>
      <w:r>
        <w:t>Respectivement s</w:t>
      </w:r>
      <w:r w:rsidRPr="004A7EF1">
        <w:t>ociologue, Wolfville</w:t>
      </w:r>
      <w:r>
        <w:br/>
        <w:t xml:space="preserve">et </w:t>
      </w:r>
      <w:r w:rsidRPr="004A7EF1">
        <w:t>Département de sociologie. Université de Montréal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rsidRPr="00CE057C">
        <w:rPr>
          <w:iCs/>
        </w:rPr>
        <w:t xml:space="preserve">Le </w:t>
      </w:r>
      <w:r w:rsidRPr="005869B6">
        <w:t>musée est une institution écartelée entre des objectifs mult</w:t>
      </w:r>
      <w:r w:rsidRPr="005869B6">
        <w:t>i</w:t>
      </w:r>
      <w:r w:rsidRPr="005869B6">
        <w:t>ples, souvent difficiles à concilier, pour ne pas dire contradictoires. L'une des oppositions principales est celle qui, comme l'indique le t</w:t>
      </w:r>
      <w:r w:rsidRPr="005869B6">
        <w:t>i</w:t>
      </w:r>
      <w:r w:rsidRPr="005869B6">
        <w:t>tre du présent atelier, oppose le musée comme grenier du patrimoine et le musée comme lieu d'inte</w:t>
      </w:r>
      <w:r w:rsidRPr="005869B6">
        <w:t>r</w:t>
      </w:r>
      <w:r w:rsidRPr="005869B6">
        <w:t>vention socioculturelle. Cette façon de poser le problème témoigne de la difficulté de situer la place des d</w:t>
      </w:r>
      <w:r w:rsidRPr="005869B6">
        <w:t>i</w:t>
      </w:r>
      <w:r w:rsidRPr="005869B6">
        <w:t>verses activités des musées par rapport aux processus sociaux. Quelle est la signification de la présence d'un musée pour une communa</w:t>
      </w:r>
      <w:r w:rsidRPr="005869B6">
        <w:t>u</w:t>
      </w:r>
      <w:r w:rsidRPr="005869B6">
        <w:t>té ? S'agit-il d'un lieu de recherche-action, d'une institution de consécr</w:t>
      </w:r>
      <w:r w:rsidRPr="005869B6">
        <w:t>a</w:t>
      </w:r>
      <w:r w:rsidRPr="005869B6">
        <w:t>tion des valeurs dominantes ou d'un instrument de changement s</w:t>
      </w:r>
      <w:r w:rsidRPr="005869B6">
        <w:t>o</w:t>
      </w:r>
      <w:r w:rsidRPr="005869B6">
        <w:t>cial ? Comment tenir compte des différents t</w:t>
      </w:r>
      <w:r w:rsidRPr="005869B6">
        <w:t>y</w:t>
      </w:r>
      <w:r w:rsidRPr="005869B6">
        <w:t>pes de musée ? Quelle interprétation peut-on fournir de la fréquentation plus ou moins gra</w:t>
      </w:r>
      <w:r w:rsidRPr="005869B6">
        <w:t>n</w:t>
      </w:r>
      <w:r w:rsidRPr="005869B6">
        <w:t>de des musées ?</w:t>
      </w:r>
    </w:p>
    <w:p w:rsidR="00B7214C" w:rsidRPr="005869B6" w:rsidRDefault="00B7214C" w:rsidP="00B7214C">
      <w:pPr>
        <w:spacing w:before="120" w:after="120"/>
        <w:jc w:val="both"/>
      </w:pPr>
      <w:r w:rsidRPr="005869B6">
        <w:t>Il n'est pas dans notre intention aujourd'hui de parler du « devoir » des musées, mais de celui des sociologues de la culture. Il importe d'abord d'examiner les outils théoriques mis à l'œuvre dans les anal</w:t>
      </w:r>
      <w:r w:rsidRPr="005869B6">
        <w:t>y</w:t>
      </w:r>
      <w:r w:rsidRPr="005869B6">
        <w:t>ses du musée. La complexité des m</w:t>
      </w:r>
      <w:r w:rsidRPr="005869B6">
        <w:t>a</w:t>
      </w:r>
      <w:r w:rsidRPr="005869B6">
        <w:t>nifestations culturelles de notre époque nous oblige à aller au-delà des typologies simplistes</w:t>
      </w:r>
      <w:r>
        <w:t> </w:t>
      </w:r>
      <w:r>
        <w:rPr>
          <w:rStyle w:val="Appelnotedebasdep"/>
        </w:rPr>
        <w:footnoteReference w:id="384"/>
      </w:r>
      <w:r w:rsidRPr="005869B6">
        <w:t>.</w:t>
      </w:r>
    </w:p>
    <w:p w:rsidR="00B7214C" w:rsidRDefault="00B7214C" w:rsidP="00B7214C">
      <w:pPr>
        <w:spacing w:before="120" w:after="120"/>
        <w:jc w:val="both"/>
      </w:pPr>
      <w:r w:rsidRPr="005869B6">
        <w:t>Nous présenterons d'abord quelques travaux récents en s</w:t>
      </w:r>
      <w:r w:rsidRPr="005869B6">
        <w:t>o</w:t>
      </w:r>
      <w:r w:rsidRPr="005869B6">
        <w:t>ciologie de la culture qui sont d'un intérêt dans l'étude du m</w:t>
      </w:r>
      <w:r w:rsidRPr="005869B6">
        <w:t>u</w:t>
      </w:r>
      <w:r w:rsidRPr="005869B6">
        <w:t>sée. Ensuite, nous appuyant sur deux recherches en cours, nous élaborerons quelques réflexions qui permettront, nous l'espérons, d'élargir le débat d'aujou</w:t>
      </w:r>
      <w:r w:rsidRPr="005869B6">
        <w:t>r</w:t>
      </w:r>
      <w:r w:rsidRPr="005869B6">
        <w:t>d'hui.</w:t>
      </w:r>
    </w:p>
    <w:p w:rsidR="00B7214C" w:rsidRDefault="00B7214C" w:rsidP="00B7214C">
      <w:pPr>
        <w:spacing w:before="120" w:after="120"/>
        <w:jc w:val="both"/>
      </w:pPr>
      <w:r>
        <w:t>[</w:t>
      </w:r>
      <w:r w:rsidRPr="005869B6">
        <w:t>536</w:t>
      </w:r>
      <w:r>
        <w:t>]</w:t>
      </w:r>
    </w:p>
    <w:p w:rsidR="00B7214C" w:rsidRDefault="00B7214C" w:rsidP="00B7214C">
      <w:pPr>
        <w:spacing w:before="120" w:after="120"/>
        <w:jc w:val="both"/>
      </w:pPr>
    </w:p>
    <w:p w:rsidR="00B7214C" w:rsidRDefault="00B7214C" w:rsidP="00B7214C">
      <w:pPr>
        <w:pStyle w:val="a"/>
      </w:pPr>
      <w:r>
        <w:t xml:space="preserve">TENDANCES RÉCENTES </w:t>
      </w:r>
      <w:r>
        <w:br/>
        <w:t xml:space="preserve">EN SOCIOLOGIE DE LA CULTURE : </w:t>
      </w:r>
      <w:r>
        <w:br/>
        <w:t>L’ÉTUDE DES FRO</w:t>
      </w:r>
      <w:r>
        <w:t>N</w:t>
      </w:r>
      <w:r>
        <w:t>TIÈRES SYMBOLIQUES</w:t>
      </w:r>
    </w:p>
    <w:p w:rsidR="00B7214C" w:rsidRPr="005869B6" w:rsidRDefault="00B7214C" w:rsidP="00B7214C">
      <w:pPr>
        <w:spacing w:before="120" w:after="120"/>
        <w:jc w:val="both"/>
      </w:pPr>
    </w:p>
    <w:p w:rsidR="00B7214C" w:rsidRPr="005869B6" w:rsidRDefault="00B7214C" w:rsidP="00B7214C">
      <w:pPr>
        <w:spacing w:before="120" w:after="120"/>
        <w:jc w:val="both"/>
      </w:pPr>
      <w:r w:rsidRPr="005869B6">
        <w:t>Il y n'a pas ou peu de consensus en sociologie de la culture. La se</w:t>
      </w:r>
      <w:r w:rsidRPr="005869B6">
        <w:t>u</w:t>
      </w:r>
      <w:r w:rsidRPr="005869B6">
        <w:t>le proposition générale qui fasse l'unanimité est la su</w:t>
      </w:r>
      <w:r w:rsidRPr="005869B6">
        <w:t>i</w:t>
      </w:r>
      <w:r w:rsidRPr="005869B6">
        <w:t>vante : « L'humanité est constituée de groupes sociaux qui se différencient selon les pratiques, les croyances et les instit</w:t>
      </w:r>
      <w:r w:rsidRPr="005869B6">
        <w:t>u</w:t>
      </w:r>
      <w:r w:rsidRPr="005869B6">
        <w:t>tions</w:t>
      </w:r>
      <w:r>
        <w:t> </w:t>
      </w:r>
      <w:r>
        <w:rPr>
          <w:rStyle w:val="Appelnotedebasdep"/>
        </w:rPr>
        <w:footnoteReference w:id="385"/>
      </w:r>
      <w:r w:rsidRPr="005869B6">
        <w:t>. » Au-delà, tout n'est que divergence et débat. Même s'ils reconnaissent habituellement l'existence des frontières symboliques entre les groupes sociaux, les chercheurs fourni</w:t>
      </w:r>
      <w:r w:rsidRPr="005869B6">
        <w:t>s</w:t>
      </w:r>
      <w:r w:rsidRPr="005869B6">
        <w:t>sent des analyses fort différentes de la genèse et de la signification de ces frontières : facteurs cognitifs, effets de comm</w:t>
      </w:r>
      <w:r w:rsidRPr="005869B6">
        <w:t>u</w:t>
      </w:r>
      <w:r w:rsidRPr="005869B6">
        <w:t>nication ou d'interaction, forces sociopolitiques, causes innées. À ch</w:t>
      </w:r>
      <w:r w:rsidRPr="005869B6">
        <w:t>a</w:t>
      </w:r>
      <w:r w:rsidRPr="005869B6">
        <w:t>que perspective correspond une interprétation différente.</w:t>
      </w:r>
    </w:p>
    <w:p w:rsidR="00B7214C" w:rsidRDefault="00B7214C" w:rsidP="00B7214C">
      <w:pPr>
        <w:spacing w:before="120" w:after="120"/>
        <w:jc w:val="both"/>
      </w:pPr>
    </w:p>
    <w:p w:rsidR="00B7214C" w:rsidRPr="00760BBE" w:rsidRDefault="00B7214C" w:rsidP="00B7214C">
      <w:pPr>
        <w:pStyle w:val="b"/>
      </w:pPr>
      <w:r w:rsidRPr="00760BBE">
        <w:t>Classification et tradition sociologique</w:t>
      </w:r>
    </w:p>
    <w:p w:rsidR="00B7214C" w:rsidRDefault="00B7214C" w:rsidP="00B7214C">
      <w:pPr>
        <w:spacing w:before="120" w:after="120"/>
        <w:jc w:val="both"/>
      </w:pPr>
    </w:p>
    <w:p w:rsidR="00B7214C" w:rsidRPr="005869B6" w:rsidRDefault="00B7214C" w:rsidP="00B7214C">
      <w:pPr>
        <w:spacing w:before="120" w:after="120"/>
        <w:jc w:val="both"/>
      </w:pPr>
      <w:r w:rsidRPr="005869B6">
        <w:t>L'idée de frontière, de distinction entre individus et groupes est présente dans les grandes traditions sociologiques et anthropolog</w:t>
      </w:r>
      <w:r w:rsidRPr="005869B6">
        <w:t>i</w:t>
      </w:r>
      <w:r w:rsidRPr="005869B6">
        <w:t>ques. Par exemple, pour l'Ecole sociologique fra</w:t>
      </w:r>
      <w:r w:rsidRPr="005869B6">
        <w:t>n</w:t>
      </w:r>
      <w:r w:rsidRPr="005869B6">
        <w:t>çaise, les questions d'inclusion et d'exclusion ont une telle i</w:t>
      </w:r>
      <w:r w:rsidRPr="005869B6">
        <w:t>m</w:t>
      </w:r>
      <w:r w:rsidRPr="005869B6">
        <w:t>portance que ses ennemis ont identifié ses membres au « clan totem-tabou ». Pour Durkheim et Mauss, il y a une étroite correspondance entre les modes de classific</w:t>
      </w:r>
      <w:r w:rsidRPr="005869B6">
        <w:t>a</w:t>
      </w:r>
      <w:r w:rsidRPr="005869B6">
        <w:t>tion et les modes d'organisation sociale. S'agissant des structures me</w:t>
      </w:r>
      <w:r w:rsidRPr="005869B6">
        <w:t>n</w:t>
      </w:r>
      <w:r w:rsidRPr="005869B6">
        <w:t>tales, Lévi-Strauss conteste l'approche durkheimienne mais il met au</w:t>
      </w:r>
      <w:r w:rsidRPr="005869B6">
        <w:t>s</w:t>
      </w:r>
      <w:r w:rsidRPr="005869B6">
        <w:t>si l'accent sur des classifications organisées autour d'oppositions b</w:t>
      </w:r>
      <w:r w:rsidRPr="005869B6">
        <w:t>i</w:t>
      </w:r>
      <w:r w:rsidRPr="005869B6">
        <w:t>naires. Quant à Mary Douglas, elle accorde une tout aussi grande i</w:t>
      </w:r>
      <w:r w:rsidRPr="005869B6">
        <w:t>m</w:t>
      </w:r>
      <w:r w:rsidRPr="005869B6">
        <w:t>portance aux classifications - par exemple le pur et l'impur - dans l'o</w:t>
      </w:r>
      <w:r w:rsidRPr="005869B6">
        <w:t>r</w:t>
      </w:r>
      <w:r w:rsidRPr="005869B6">
        <w:t>ganisation de la vie sociale, reconnaissant que leur élaboration est, dans nos sociétés, de plus en plus l'œuvre des spécialistes, des profe</w:t>
      </w:r>
      <w:r w:rsidRPr="005869B6">
        <w:t>s</w:t>
      </w:r>
      <w:r w:rsidRPr="005869B6">
        <w:t xml:space="preserve">sionnels. Et que dire des travaux de Howard Becker sur l'étiquetage </w:t>
      </w:r>
      <w:r w:rsidRPr="00760BBE">
        <w:rPr>
          <w:i/>
          <w:iCs/>
        </w:rPr>
        <w:t>(labeling theory</w:t>
      </w:r>
      <w:r w:rsidRPr="00760BBE">
        <w:t>) ? L'exclusion est ici conçue comme l'effet d'un pr</w:t>
      </w:r>
      <w:r w:rsidRPr="00760BBE">
        <w:t>o</w:t>
      </w:r>
      <w:r w:rsidRPr="005869B6">
        <w:t>cessus de d</w:t>
      </w:r>
      <w:r w:rsidRPr="005869B6">
        <w:t>é</w:t>
      </w:r>
      <w:r w:rsidRPr="005869B6">
        <w:t>finition sociale : largement symboliques ou cognitives, les frontières qui séparent les groupes sont le produit de l'interaction s</w:t>
      </w:r>
      <w:r w:rsidRPr="005869B6">
        <w:t>o</w:t>
      </w:r>
      <w:r w:rsidRPr="005869B6">
        <w:t>ciale.</w:t>
      </w:r>
    </w:p>
    <w:p w:rsidR="00B7214C" w:rsidRDefault="00B7214C" w:rsidP="00B7214C">
      <w:pPr>
        <w:spacing w:before="120" w:after="120"/>
        <w:jc w:val="both"/>
      </w:pPr>
      <w:r w:rsidRPr="005869B6">
        <w:t>Si pour certains, la culture est code ou mode de communication e</w:t>
      </w:r>
      <w:r w:rsidRPr="005869B6">
        <w:t>n</w:t>
      </w:r>
      <w:r w:rsidRPr="005869B6">
        <w:t>tre individus dans un micromilieu (par exemple dans la perspective interactionniste), pour d'autres, elle est un phénomène d'ordre macr</w:t>
      </w:r>
      <w:r w:rsidRPr="005869B6">
        <w:t>o</w:t>
      </w:r>
      <w:r w:rsidRPr="005869B6">
        <w:t>sociologique : l'établissement de frontières est l'expression d'un ra</w:t>
      </w:r>
      <w:r w:rsidRPr="005869B6">
        <w:t>p</w:t>
      </w:r>
      <w:r w:rsidRPr="005869B6">
        <w:t>port de domination et parfois de formes de résistance</w:t>
      </w:r>
      <w:r>
        <w:t> </w:t>
      </w:r>
      <w:r>
        <w:rPr>
          <w:rStyle w:val="Appelnotedebasdep"/>
        </w:rPr>
        <w:footnoteReference w:id="386"/>
      </w:r>
      <w:r w:rsidRPr="005869B6">
        <w:t>. Signalons ici l'a</w:t>
      </w:r>
      <w:r w:rsidRPr="005869B6">
        <w:t>p</w:t>
      </w:r>
      <w:r w:rsidRPr="005869B6">
        <w:t>port des approches néo-weberienne et marxiste.</w:t>
      </w:r>
    </w:p>
    <w:p w:rsidR="00B7214C" w:rsidRDefault="00B7214C" w:rsidP="00B7214C">
      <w:pPr>
        <w:pStyle w:val="p"/>
      </w:pPr>
      <w:r>
        <w:br w:type="page"/>
        <w:t>[</w:t>
      </w:r>
      <w:r w:rsidRPr="005869B6">
        <w:t>537</w:t>
      </w:r>
      <w:r>
        <w:t>]</w:t>
      </w:r>
    </w:p>
    <w:p w:rsidR="00B7214C" w:rsidRPr="005869B6" w:rsidRDefault="00B7214C" w:rsidP="00B7214C">
      <w:pPr>
        <w:spacing w:before="120" w:after="120"/>
        <w:jc w:val="both"/>
      </w:pPr>
    </w:p>
    <w:p w:rsidR="00B7214C" w:rsidRPr="00760BBE" w:rsidRDefault="00B7214C" w:rsidP="00B7214C">
      <w:pPr>
        <w:pStyle w:val="b"/>
      </w:pPr>
      <w:r w:rsidRPr="00760BBE">
        <w:t>Les frontières dans la théorie sociologique</w:t>
      </w:r>
      <w:r>
        <w:br/>
      </w:r>
      <w:r w:rsidRPr="00760BBE">
        <w:t>et dans la vie quot</w:t>
      </w:r>
      <w:r w:rsidRPr="00760BBE">
        <w:t>i</w:t>
      </w:r>
      <w:r w:rsidRPr="00760BBE">
        <w:t>dienne</w:t>
      </w:r>
    </w:p>
    <w:p w:rsidR="00B7214C" w:rsidRDefault="00B7214C" w:rsidP="00B7214C">
      <w:pPr>
        <w:spacing w:before="120" w:after="120"/>
        <w:jc w:val="both"/>
      </w:pPr>
    </w:p>
    <w:p w:rsidR="00B7214C" w:rsidRPr="005869B6" w:rsidRDefault="00B7214C" w:rsidP="00B7214C">
      <w:pPr>
        <w:spacing w:before="120" w:after="120"/>
        <w:jc w:val="both"/>
      </w:pPr>
      <w:r w:rsidRPr="005869B6">
        <w:t>Selon l'approche théorique adoptée, la culture est donc de l'ordre tantôt de la connaissance, tantôt de la communication, tantôt de la domination</w:t>
      </w:r>
      <w:r>
        <w:t> </w:t>
      </w:r>
      <w:r>
        <w:rPr>
          <w:rStyle w:val="Appelnotedebasdep"/>
        </w:rPr>
        <w:footnoteReference w:id="387"/>
      </w:r>
      <w:r w:rsidRPr="005869B6">
        <w:t>. Mais ces distinctions demeurent rel</w:t>
      </w:r>
      <w:r w:rsidRPr="005869B6">
        <w:t>a</w:t>
      </w:r>
      <w:r w:rsidRPr="005869B6">
        <w:t>tivement floues</w:t>
      </w:r>
      <w:r>
        <w:t> </w:t>
      </w:r>
      <w:r>
        <w:rPr>
          <w:rStyle w:val="Appelnotedebasdep"/>
        </w:rPr>
        <w:footnoteReference w:id="388"/>
      </w:r>
      <w:r w:rsidRPr="005869B6">
        <w:t>, elles ont un côté arbitraire. Il en va donc des frontières dans la théorie sociologique comme des frontières dans la vie quotidienne. Le défi est de déplacer et de transgresser ces frontières afin de dév</w:t>
      </w:r>
      <w:r w:rsidRPr="005869B6">
        <w:t>e</w:t>
      </w:r>
      <w:r w:rsidRPr="005869B6">
        <w:t>lopper une conception multid</w:t>
      </w:r>
      <w:r w:rsidRPr="005869B6">
        <w:t>i</w:t>
      </w:r>
      <w:r w:rsidRPr="005869B6">
        <w:t>mensionnelle de la culture</w:t>
      </w:r>
      <w:r>
        <w:t> </w:t>
      </w:r>
      <w:r>
        <w:rPr>
          <w:rStyle w:val="Appelnotedebasdep"/>
        </w:rPr>
        <w:footnoteReference w:id="389"/>
      </w:r>
      <w:r w:rsidRPr="005869B6">
        <w:t>.</w:t>
      </w:r>
    </w:p>
    <w:p w:rsidR="00B7214C" w:rsidRPr="005869B6" w:rsidRDefault="00B7214C" w:rsidP="00B7214C">
      <w:pPr>
        <w:spacing w:before="120" w:after="120"/>
        <w:jc w:val="both"/>
      </w:pPr>
      <w:r w:rsidRPr="005869B6">
        <w:t>L'une des caractéristiques du développement de la sociol</w:t>
      </w:r>
      <w:r w:rsidRPr="005869B6">
        <w:t>o</w:t>
      </w:r>
      <w:r w:rsidRPr="005869B6">
        <w:t>gie de la culture — et de la sociologie en général - depuis une vingtaine d'a</w:t>
      </w:r>
      <w:r w:rsidRPr="005869B6">
        <w:t>n</w:t>
      </w:r>
      <w:r w:rsidRPr="005869B6">
        <w:t>nées est la remise en question de plusieurs di</w:t>
      </w:r>
      <w:r w:rsidRPr="005869B6">
        <w:t>s</w:t>
      </w:r>
      <w:r w:rsidRPr="005869B6">
        <w:t>tinctions ou frontières : par exemple l'opposition macro/microsociologie ou méthode qualitat</w:t>
      </w:r>
      <w:r w:rsidRPr="005869B6">
        <w:t>i</w:t>
      </w:r>
      <w:r w:rsidRPr="005869B6">
        <w:t>ve/quantitative. L'on voit aussi s'opérer un rapprochement entre l'a</w:t>
      </w:r>
      <w:r w:rsidRPr="005869B6">
        <w:t>n</w:t>
      </w:r>
      <w:r w:rsidRPr="005869B6">
        <w:t>thropologie et la sociologie.</w:t>
      </w:r>
      <w:r>
        <w:t> </w:t>
      </w:r>
      <w:r>
        <w:rPr>
          <w:rStyle w:val="Appelnotedebasdep"/>
        </w:rPr>
        <w:footnoteReference w:id="390"/>
      </w:r>
      <w:r w:rsidRPr="005869B6">
        <w:t xml:space="preserve"> Par ailleurs, les approches interprét</w:t>
      </w:r>
      <w:r w:rsidRPr="005869B6">
        <w:t>a</w:t>
      </w:r>
      <w:r w:rsidRPr="005869B6">
        <w:t>tives et herméneutiques font des gains considérables en sociologie de la science</w:t>
      </w:r>
      <w:r>
        <w:t> </w:t>
      </w:r>
      <w:r>
        <w:rPr>
          <w:rStyle w:val="Appelnotedebasdep"/>
        </w:rPr>
        <w:footnoteReference w:id="391"/>
      </w:r>
      <w:r>
        <w:t xml:space="preserve"> et en sociologie de l’</w:t>
      </w:r>
      <w:r w:rsidRPr="005869B6">
        <w:t>art</w:t>
      </w:r>
      <w:r>
        <w:t> </w:t>
      </w:r>
      <w:r>
        <w:rPr>
          <w:rStyle w:val="Appelnotedebasdep"/>
        </w:rPr>
        <w:footnoteReference w:id="392"/>
      </w:r>
      <w:r w:rsidRPr="005869B6">
        <w:t xml:space="preserve"> en particulier. Enfin, pl</w:t>
      </w:r>
      <w:r w:rsidRPr="005869B6">
        <w:t>u</w:t>
      </w:r>
      <w:r w:rsidRPr="005869B6">
        <w:t>tôt que d'étudier les « faits sociaux comme des choses » dans un optique pos</w:t>
      </w:r>
      <w:r w:rsidRPr="005869B6">
        <w:t>i</w:t>
      </w:r>
      <w:r w:rsidRPr="005869B6">
        <w:t>tiviste, les sociologues de la culture ont actuellement tendance à substituer à la question du « pourquoi » celle du « comment » et à pr</w:t>
      </w:r>
      <w:r w:rsidRPr="005869B6">
        <w:t>i</w:t>
      </w:r>
      <w:r w:rsidRPr="005869B6">
        <w:t>vil</w:t>
      </w:r>
      <w:r w:rsidRPr="005869B6">
        <w:t>é</w:t>
      </w:r>
      <w:r w:rsidRPr="005869B6">
        <w:t>gier l'étude des processus de construction sociale de la culture.</w:t>
      </w:r>
    </w:p>
    <w:p w:rsidR="00B7214C" w:rsidRDefault="00B7214C" w:rsidP="00B7214C">
      <w:pPr>
        <w:spacing w:before="120" w:after="120"/>
        <w:jc w:val="both"/>
      </w:pPr>
      <w:r w:rsidRPr="005869B6">
        <w:t>Donc, une multitude de travaux et un véritable renouveau de la s</w:t>
      </w:r>
      <w:r w:rsidRPr="005869B6">
        <w:t>o</w:t>
      </w:r>
      <w:r w:rsidRPr="005869B6">
        <w:t>ciologie de la culture permettent de jeter un nouvel éclairage sur la dimension culturelle des mécanismes d'inclusion et d'exclusion soci</w:t>
      </w:r>
      <w:r w:rsidRPr="005869B6">
        <w:t>a</w:t>
      </w:r>
      <w:r w:rsidRPr="005869B6">
        <w:t>les. Pour l'étude du musée, la notion de « frontière symbolique » app</w:t>
      </w:r>
      <w:r w:rsidRPr="005869B6">
        <w:t>a</w:t>
      </w:r>
      <w:r w:rsidRPr="005869B6">
        <w:t>raît des plus riches. C'est ce que nous voudrions montrer en nous a</w:t>
      </w:r>
      <w:r w:rsidRPr="005869B6">
        <w:t>p</w:t>
      </w:r>
      <w:r w:rsidRPr="005869B6">
        <w:t>puyant sur deux r</w:t>
      </w:r>
      <w:r w:rsidRPr="005869B6">
        <w:t>e</w:t>
      </w:r>
      <w:r w:rsidRPr="005869B6">
        <w:t>cherches que nous menons et qui nous obligent à réfléchir sur les deux « pôles » établis par le titre de l'atelier.</w:t>
      </w:r>
    </w:p>
    <w:p w:rsidR="00B7214C" w:rsidRPr="005869B6" w:rsidRDefault="00B7214C" w:rsidP="00B7214C">
      <w:pPr>
        <w:spacing w:before="120" w:after="120"/>
        <w:jc w:val="both"/>
      </w:pPr>
    </w:p>
    <w:p w:rsidR="00B7214C" w:rsidRPr="005869B6" w:rsidRDefault="00B7214C" w:rsidP="00B7214C">
      <w:pPr>
        <w:pStyle w:val="a"/>
      </w:pPr>
      <w:r w:rsidRPr="005869B6">
        <w:t xml:space="preserve">« CULTURE MATÉRIELLE » ET SYMBOLISME : </w:t>
      </w:r>
      <w:r>
        <w:br/>
      </w:r>
      <w:r w:rsidRPr="005869B6">
        <w:t>LA POL</w:t>
      </w:r>
      <w:r w:rsidRPr="005869B6">
        <w:t>Y</w:t>
      </w:r>
      <w:r w:rsidRPr="005869B6">
        <w:t>SÉMIE DE L'OBJET DANS LE MUSÉE</w:t>
      </w:r>
    </w:p>
    <w:p w:rsidR="00B7214C" w:rsidRDefault="00B7214C" w:rsidP="00B7214C">
      <w:pPr>
        <w:spacing w:before="120" w:after="120"/>
        <w:jc w:val="both"/>
      </w:pPr>
    </w:p>
    <w:p w:rsidR="00B7214C" w:rsidRPr="005869B6" w:rsidRDefault="00B7214C" w:rsidP="00B7214C">
      <w:pPr>
        <w:spacing w:before="120" w:after="120"/>
        <w:jc w:val="both"/>
      </w:pPr>
      <w:r w:rsidRPr="005869B6">
        <w:t>Que le musée soit un grenier - ou un dépositaire de l'histo</w:t>
      </w:r>
      <w:r w:rsidRPr="005869B6">
        <w:t>i</w:t>
      </w:r>
      <w:r w:rsidRPr="005869B6">
        <w:t>re -, cela va de soi. Mais l'action du musée est-elle neutre ? Un objet muséol</w:t>
      </w:r>
      <w:r w:rsidRPr="005869B6">
        <w:t>o</w:t>
      </w:r>
      <w:r w:rsidRPr="005869B6">
        <w:t>gique est-il inerte ? Quelle signification l'objet muséologique peut-il avoir dans les études du social ? L'une des études que nous terminons porte sur la transmission des savoirs techniques, plus précisément sur le développement et la diffusion d'un groupe de produits modernes (les peintures à l'acrylique) en Amérique du Nord</w:t>
      </w:r>
      <w:r>
        <w:t> </w:t>
      </w:r>
      <w:r>
        <w:rPr>
          <w:rStyle w:val="Appelnotedebasdep"/>
        </w:rPr>
        <w:footnoteReference w:id="393"/>
      </w:r>
      <w:r w:rsidRPr="005869B6">
        <w:t>. Il s'agit év</w:t>
      </w:r>
      <w:r w:rsidRPr="005869B6">
        <w:t>i</w:t>
      </w:r>
      <w:r w:rsidRPr="005869B6">
        <w:t>demment d'un produit industriel mais dont la mise au point implique la part</w:t>
      </w:r>
      <w:r w:rsidRPr="005869B6">
        <w:t>i</w:t>
      </w:r>
      <w:r w:rsidRPr="005869B6">
        <w:t>c</w:t>
      </w:r>
      <w:r>
        <w:t>ipation non seulement des indus</w:t>
      </w:r>
      <w:r w:rsidRPr="005869B6">
        <w:t>triels</w:t>
      </w:r>
      <w:r>
        <w:t xml:space="preserve"> [</w:t>
      </w:r>
      <w:r w:rsidRPr="005869B6">
        <w:t>538</w:t>
      </w:r>
      <w:r>
        <w:t>]</w:t>
      </w:r>
      <w:r w:rsidRPr="005869B6">
        <w:t xml:space="preserve"> ou des agents commerciaux mais aussi des artistes et des i</w:t>
      </w:r>
      <w:r w:rsidRPr="005869B6">
        <w:t>n</w:t>
      </w:r>
      <w:r w:rsidRPr="005869B6">
        <w:t>tellectuels. Le problème de la fabrication de matériau n'est donc pas exclusivement technique, il comporte aussi une dimension sociale et culturelle.</w:t>
      </w:r>
    </w:p>
    <w:p w:rsidR="00B7214C" w:rsidRPr="005869B6" w:rsidRDefault="00B7214C" w:rsidP="00B7214C">
      <w:pPr>
        <w:spacing w:before="120" w:after="120"/>
        <w:jc w:val="both"/>
      </w:pPr>
      <w:r w:rsidRPr="005869B6">
        <w:t>Ce dernier aspect est souvent négligé. Les recherches sur les mat</w:t>
      </w:r>
      <w:r w:rsidRPr="005869B6">
        <w:t>é</w:t>
      </w:r>
      <w:r w:rsidRPr="005869B6">
        <w:t>riaux modernes ont d'abord été, il ne faut pas s'en étonner, menées par des conservateurs de musée, des experts en sciences de la conserv</w:t>
      </w:r>
      <w:r w:rsidRPr="005869B6">
        <w:t>a</w:t>
      </w:r>
      <w:r w:rsidRPr="005869B6">
        <w:t>tion ou des historiens de l'art et de la technologie. Manifestations de l'innovation technique pendant notre siècle, ces nouveaux matériaux ont aussi été l'objet, pour ne pas dire le « leitmotiv », d'expositions dans les musées : par exemple, l'Autopsie d'un sac vert</w:t>
      </w:r>
      <w:r>
        <w:t> </w:t>
      </w:r>
      <w:r>
        <w:rPr>
          <w:rStyle w:val="Appelnotedebasdep"/>
        </w:rPr>
        <w:footnoteReference w:id="394"/>
      </w:r>
      <w:r w:rsidRPr="005869B6">
        <w:t xml:space="preserve"> au Musée de la civilisation et plus récemment, La crise de l'abstraction</w:t>
      </w:r>
      <w:r>
        <w:t> </w:t>
      </w:r>
      <w:r>
        <w:rPr>
          <w:rStyle w:val="Appelnotedebasdep"/>
        </w:rPr>
        <w:footnoteReference w:id="395"/>
      </w:r>
      <w:r w:rsidRPr="005869B6">
        <w:t xml:space="preserve"> pr</w:t>
      </w:r>
      <w:r w:rsidRPr="005869B6">
        <w:t>é</w:t>
      </w:r>
      <w:r w:rsidRPr="005869B6">
        <w:t>sentée au M</w:t>
      </w:r>
      <w:r w:rsidRPr="005869B6">
        <w:t>u</w:t>
      </w:r>
      <w:r w:rsidRPr="005869B6">
        <w:t>sée du Québec.</w:t>
      </w:r>
    </w:p>
    <w:p w:rsidR="00B7214C" w:rsidRDefault="00B7214C" w:rsidP="00B7214C">
      <w:pPr>
        <w:spacing w:before="120" w:after="120"/>
        <w:jc w:val="both"/>
      </w:pPr>
    </w:p>
    <w:p w:rsidR="00B7214C" w:rsidRPr="007117EA" w:rsidRDefault="00B7214C" w:rsidP="00B7214C">
      <w:pPr>
        <w:pStyle w:val="b"/>
      </w:pPr>
      <w:r w:rsidRPr="007117EA">
        <w:t>L'artefact m</w:t>
      </w:r>
      <w:r>
        <w:t>oderne</w:t>
      </w:r>
      <w:r>
        <w:br/>
      </w:r>
      <w:r w:rsidRPr="007117EA">
        <w:t>et les recherches sociologiques</w:t>
      </w:r>
    </w:p>
    <w:p w:rsidR="00B7214C" w:rsidRDefault="00B7214C" w:rsidP="00B7214C">
      <w:pPr>
        <w:spacing w:before="120" w:after="120"/>
        <w:jc w:val="both"/>
      </w:pPr>
    </w:p>
    <w:p w:rsidR="00B7214C" w:rsidRPr="005869B6" w:rsidRDefault="00B7214C" w:rsidP="00B7214C">
      <w:pPr>
        <w:spacing w:before="120" w:after="120"/>
        <w:jc w:val="both"/>
      </w:pPr>
      <w:r w:rsidRPr="005869B6">
        <w:t>De leur côté, les sociologues et les anthropologues reco</w:t>
      </w:r>
      <w:r w:rsidRPr="005869B6">
        <w:t>n</w:t>
      </w:r>
      <w:r w:rsidRPr="005869B6">
        <w:t>naissent l'importance du social dans la valorisation de l</w:t>
      </w:r>
      <w:r>
        <w:t>'objet matériel et ils s'effor</w:t>
      </w:r>
      <w:r w:rsidRPr="005869B6">
        <w:t>cent de mettre en lumière les processus sociaux à l'œuvre, par exemple, dans la constitution de la co</w:t>
      </w:r>
      <w:r w:rsidRPr="005869B6">
        <w:t>l</w:t>
      </w:r>
      <w:r w:rsidRPr="005869B6">
        <w:t>lection du musée. Définir ce qui appartient au champ culturel, c'est nécessairement exclure ce qui ne correspond pas à la définition</w:t>
      </w:r>
      <w:r>
        <w:t> </w:t>
      </w:r>
      <w:r>
        <w:rPr>
          <w:rStyle w:val="Appelnotedebasdep"/>
        </w:rPr>
        <w:footnoteReference w:id="396"/>
      </w:r>
      <w:r w:rsidRPr="005869B6">
        <w:t>. L'acte d'engranger la culture mat</w:t>
      </w:r>
      <w:r w:rsidRPr="005869B6">
        <w:t>é</w:t>
      </w:r>
      <w:r w:rsidRPr="005869B6">
        <w:t>rielle constitue une forme de consécration et de création d'une mémo</w:t>
      </w:r>
      <w:r w:rsidRPr="005869B6">
        <w:t>i</w:t>
      </w:r>
      <w:r w:rsidRPr="005869B6">
        <w:t>re co</w:t>
      </w:r>
      <w:r w:rsidRPr="005869B6">
        <w:t>l</w:t>
      </w:r>
      <w:r w:rsidRPr="005869B6">
        <w:t>lective qui renvoie à la définition des identités et des valeurs conte</w:t>
      </w:r>
      <w:r w:rsidRPr="005869B6">
        <w:t>m</w:t>
      </w:r>
      <w:r w:rsidRPr="005869B6">
        <w:t>poraines. Cette action est souvent en évidence dans les travaux sur le public des musées, notamment lorsqu'il s'agit d'analyser la r</w:t>
      </w:r>
      <w:r w:rsidRPr="005869B6">
        <w:t>é</w:t>
      </w:r>
      <w:r w:rsidRPr="005869B6">
        <w:t>ception des expositions. Toutefois, lorsque l'on regarde de plus près ce que contient le « grenier », force est de constater que, s'il y a polys</w:t>
      </w:r>
      <w:r w:rsidRPr="005869B6">
        <w:t>é</w:t>
      </w:r>
      <w:r w:rsidRPr="005869B6">
        <w:t>mie de l'objet de musée, c'est qu'il y a jeu des acteurs (dont l'instit</w:t>
      </w:r>
      <w:r w:rsidRPr="005869B6">
        <w:t>u</w:t>
      </w:r>
      <w:r w:rsidRPr="005869B6">
        <w:t>tion m</w:t>
      </w:r>
      <w:r w:rsidRPr="005869B6">
        <w:t>u</w:t>
      </w:r>
      <w:r w:rsidRPr="005869B6">
        <w:t>séologique, avec ses projets) et interprétations diverses de la signific</w:t>
      </w:r>
      <w:r w:rsidRPr="005869B6">
        <w:t>a</w:t>
      </w:r>
      <w:r w:rsidRPr="005869B6">
        <w:t>tion des objets.</w:t>
      </w:r>
    </w:p>
    <w:p w:rsidR="00B7214C" w:rsidRDefault="00B7214C" w:rsidP="00B7214C">
      <w:pPr>
        <w:spacing w:before="120" w:after="120"/>
        <w:jc w:val="both"/>
      </w:pPr>
      <w:r>
        <w:br w:type="page"/>
      </w:r>
    </w:p>
    <w:p w:rsidR="00B7214C" w:rsidRPr="007117EA" w:rsidRDefault="00B7214C" w:rsidP="00B7214C">
      <w:pPr>
        <w:pStyle w:val="b"/>
      </w:pPr>
      <w:r w:rsidRPr="007117EA">
        <w:t>Un exemple :</w:t>
      </w:r>
      <w:r>
        <w:br/>
      </w:r>
      <w:r w:rsidRPr="007117EA">
        <w:t>les combinaisons spatiales des astronautes amér</w:t>
      </w:r>
      <w:r w:rsidRPr="007117EA">
        <w:t>i</w:t>
      </w:r>
      <w:r w:rsidRPr="007117EA">
        <w:t>cains</w:t>
      </w:r>
    </w:p>
    <w:p w:rsidR="00B7214C" w:rsidRDefault="00B7214C" w:rsidP="00B7214C">
      <w:pPr>
        <w:spacing w:before="120" w:after="120"/>
        <w:jc w:val="both"/>
      </w:pPr>
    </w:p>
    <w:p w:rsidR="00B7214C" w:rsidRDefault="00B7214C" w:rsidP="00B7214C">
      <w:pPr>
        <w:spacing w:before="120" w:after="120"/>
        <w:jc w:val="both"/>
      </w:pPr>
      <w:r w:rsidRPr="005869B6">
        <w:t>La relecture — sociologique — d'une recherche récente sur les m</w:t>
      </w:r>
      <w:r w:rsidRPr="005869B6">
        <w:t>a</w:t>
      </w:r>
      <w:r w:rsidRPr="005869B6">
        <w:t>tériaux modernes nous offre la possibilité de voir que les activités du musée reliées à la conservation et à la restaur</w:t>
      </w:r>
      <w:r w:rsidRPr="005869B6">
        <w:t>a</w:t>
      </w:r>
      <w:r w:rsidRPr="005869B6">
        <w:t>tion comportent une dimension nettement socioculturelle, de l'ordre des valeurs.</w:t>
      </w:r>
    </w:p>
    <w:p w:rsidR="00B7214C" w:rsidRPr="005869B6" w:rsidRDefault="00B7214C" w:rsidP="00B7214C">
      <w:pPr>
        <w:spacing w:before="120" w:after="120"/>
        <w:jc w:val="both"/>
      </w:pPr>
      <w:r>
        <w:t xml:space="preserve">Il </w:t>
      </w:r>
      <w:r w:rsidRPr="005869B6">
        <w:t>y a quelques années, aux États-Unis, les Laboratoires de conse</w:t>
      </w:r>
      <w:r w:rsidRPr="005869B6">
        <w:t>r</w:t>
      </w:r>
      <w:r w:rsidRPr="005869B6">
        <w:t>vation et le Musée national de l'ai</w:t>
      </w:r>
      <w:r>
        <w:t>r et de l'espace du réseau de l’</w:t>
      </w:r>
      <w:r w:rsidRPr="005869B6">
        <w:t>Institution Smiths</w:t>
      </w:r>
      <w:r w:rsidRPr="005869B6">
        <w:t>o</w:t>
      </w:r>
      <w:r w:rsidRPr="005869B6">
        <w:t>nian à Washington se sont lancés dans un projet de conserva</w:t>
      </w:r>
      <w:r>
        <w:t>tion-</w:t>
      </w:r>
      <w:r w:rsidRPr="005869B6">
        <w:t>restauration des combinaisons spatiales des astrona</w:t>
      </w:r>
      <w:r w:rsidRPr="005869B6">
        <w:t>u</w:t>
      </w:r>
      <w:r w:rsidRPr="005869B6">
        <w:t>tes américains</w:t>
      </w:r>
      <w:r>
        <w:t> </w:t>
      </w:r>
      <w:r>
        <w:rPr>
          <w:rStyle w:val="Appelnotedebasdep"/>
        </w:rPr>
        <w:footnoteReference w:id="397"/>
      </w:r>
      <w:r w:rsidRPr="005869B6">
        <w:t>. Le</w:t>
      </w:r>
      <w:r>
        <w:t xml:space="preserve"> </w:t>
      </w:r>
      <w:r w:rsidRPr="007117EA">
        <w:t>programme d'exploration spatiale a eu une grande i</w:t>
      </w:r>
      <w:r w:rsidRPr="007117EA">
        <w:t>m</w:t>
      </w:r>
      <w:r w:rsidRPr="007117EA">
        <w:t>portance idéologique</w:t>
      </w:r>
      <w:r>
        <w:t xml:space="preserve"> </w:t>
      </w:r>
      <w:r w:rsidRPr="005869B6">
        <w:t>pendant les années 1960 et 1970 : on y voyait tout à la fois le triomphe de la</w:t>
      </w:r>
      <w:r>
        <w:t xml:space="preserve"> [539] </w:t>
      </w:r>
      <w:r w:rsidRPr="005869B6">
        <w:t>technologie, le symbole de la réussite des États-Unis dans la guerre froide et l'expression de l'e</w:t>
      </w:r>
      <w:r w:rsidRPr="005869B6">
        <w:t>s</w:t>
      </w:r>
      <w:r w:rsidRPr="005869B6">
        <w:t>prit pionnier et d'aventure enraciné dans le mythe du Nouveau Monde. L'Amérique avait besoin d'une nouvelle image de soi, à un moment où elle traversait une période de grande anxiété : revendications des m</w:t>
      </w:r>
      <w:r w:rsidRPr="005869B6">
        <w:t>i</w:t>
      </w:r>
      <w:r w:rsidRPr="005869B6">
        <w:t>norités et des femmes, prise de conscience du désastre écol</w:t>
      </w:r>
      <w:r w:rsidRPr="005869B6">
        <w:t>o</w:t>
      </w:r>
      <w:r w:rsidRPr="005869B6">
        <w:t>gique, guerre du Vietnam. Pour certains, la conquête de l'esp</w:t>
      </w:r>
      <w:r w:rsidRPr="005869B6">
        <w:t>a</w:t>
      </w:r>
      <w:r w:rsidRPr="005869B6">
        <w:t>ce offrait la possibilité d'une vie humaine ailleurs. Le programme d'exploration de l'espace renvoie donc à des représe</w:t>
      </w:r>
      <w:r w:rsidRPr="005869B6">
        <w:t>n</w:t>
      </w:r>
      <w:r w:rsidRPr="005869B6">
        <w:t>tations collectives diverses.</w:t>
      </w:r>
    </w:p>
    <w:p w:rsidR="00B7214C" w:rsidRPr="005869B6" w:rsidRDefault="00B7214C" w:rsidP="00B7214C">
      <w:pPr>
        <w:spacing w:before="120" w:after="120"/>
        <w:jc w:val="both"/>
      </w:pPr>
      <w:r w:rsidRPr="005869B6">
        <w:t>En 1967, le Musée national de l'air et de l'espace a négocié le droit de collectionner les artefacts des expéditions avec la NASA. Dans un premier temps, les combinaisons spatiales semblent avoir servi co</w:t>
      </w:r>
      <w:r w:rsidRPr="005869B6">
        <w:t>m</w:t>
      </w:r>
      <w:r w:rsidRPr="005869B6">
        <w:t>me objets symboliques de l'identité américaine tout en permettant au musée d'attirer un nouveau public de curieux. Volonté politique et souci de démocratis</w:t>
      </w:r>
      <w:r w:rsidRPr="005869B6">
        <w:t>a</w:t>
      </w:r>
      <w:r w:rsidRPr="005869B6">
        <w:t>tion se rejoignaient.</w:t>
      </w:r>
    </w:p>
    <w:p w:rsidR="00B7214C" w:rsidRPr="005869B6" w:rsidRDefault="00B7214C" w:rsidP="00B7214C">
      <w:pPr>
        <w:spacing w:before="120" w:after="120"/>
        <w:jc w:val="both"/>
      </w:pPr>
      <w:r w:rsidRPr="005869B6">
        <w:t>Le musée n'avait cependant pas de politique concernant la colle</w:t>
      </w:r>
      <w:r w:rsidRPr="005869B6">
        <w:t>c</w:t>
      </w:r>
      <w:r w:rsidRPr="005869B6">
        <w:t>tion, l'exposition et l'entretien de ces combinaisons : ce</w:t>
      </w:r>
      <w:r w:rsidRPr="005869B6">
        <w:t>l</w:t>
      </w:r>
      <w:r w:rsidRPr="005869B6">
        <w:t>les-ci ont été exposées à travers le pays, entreposées dans des conditions doute</w:t>
      </w:r>
      <w:r w:rsidRPr="005869B6">
        <w:t>u</w:t>
      </w:r>
      <w:r w:rsidRPr="005869B6">
        <w:t>ses ; elles ont aussi servi d'accessoires pour les démonstrations dans les séances d'animation. Et final</w:t>
      </w:r>
      <w:r w:rsidRPr="005869B6">
        <w:t>e</w:t>
      </w:r>
      <w:r w:rsidRPr="005869B6">
        <w:t>ment, elles se sont détériorées. Il a donc fallu les confier aux laboratoires de conservation. Une fois e</w:t>
      </w:r>
      <w:r w:rsidRPr="005869B6">
        <w:t>n</w:t>
      </w:r>
      <w:r w:rsidRPr="005869B6">
        <w:t>treposées dans le « grenier », les combinaisons auraient dû (re)prendre le statut d'objets matériels et neutres, de simples « artefacts ».</w:t>
      </w:r>
    </w:p>
    <w:p w:rsidR="00B7214C" w:rsidRPr="005869B6" w:rsidRDefault="00B7214C" w:rsidP="00B7214C">
      <w:pPr>
        <w:spacing w:before="120" w:after="120"/>
        <w:jc w:val="both"/>
      </w:pPr>
      <w:r w:rsidRPr="005869B6">
        <w:t>Tout n'est pas si simple. Les premiers efforts de restaur</w:t>
      </w:r>
      <w:r w:rsidRPr="005869B6">
        <w:t>a</w:t>
      </w:r>
      <w:r w:rsidRPr="005869B6">
        <w:t>tion ont démontré l'intérêt à faire des recherches approfondies sur la fabric</w:t>
      </w:r>
      <w:r w:rsidRPr="005869B6">
        <w:t>a</w:t>
      </w:r>
      <w:r w:rsidRPr="005869B6">
        <w:t>tion de ces combinaisons, qui avait nécessité l'ut</w:t>
      </w:r>
      <w:r w:rsidRPr="005869B6">
        <w:t>i</w:t>
      </w:r>
      <w:r w:rsidRPr="005869B6">
        <w:t>lisation de nouveaux matériaux. L'identification même des matériaux était difficile, les e</w:t>
      </w:r>
      <w:r w:rsidRPr="005869B6">
        <w:t>f</w:t>
      </w:r>
      <w:r w:rsidRPr="005869B6">
        <w:t>fets de leur vieillissement n'étaient pas connus et les options de tra</w:t>
      </w:r>
      <w:r w:rsidRPr="005869B6">
        <w:t>i</w:t>
      </w:r>
      <w:r w:rsidRPr="005869B6">
        <w:t>tement n'étaient pas évidentes.</w:t>
      </w:r>
    </w:p>
    <w:p w:rsidR="00B7214C" w:rsidRDefault="00B7214C" w:rsidP="00B7214C">
      <w:pPr>
        <w:spacing w:before="120" w:after="120"/>
        <w:jc w:val="both"/>
      </w:pPr>
      <w:r w:rsidRPr="005869B6">
        <w:t>De plus, ces combinaisons n'étaient pas simplement des vêt</w:t>
      </w:r>
      <w:r w:rsidRPr="005869B6">
        <w:t>e</w:t>
      </w:r>
      <w:r w:rsidRPr="005869B6">
        <w:t>ments : c'étaient de véritables environnements, et donc des témoign</w:t>
      </w:r>
      <w:r w:rsidRPr="005869B6">
        <w:t>a</w:t>
      </w:r>
      <w:r w:rsidRPr="005869B6">
        <w:t>ges précieux de la course technologique dans le pr</w:t>
      </w:r>
      <w:r w:rsidRPr="005869B6">
        <w:t>o</w:t>
      </w:r>
      <w:r w:rsidRPr="005869B6">
        <w:t>gramme de la conquête de l'espace. C'étaient en fait, on l'a d</w:t>
      </w:r>
      <w:r w:rsidRPr="005869B6">
        <w:t>é</w:t>
      </w:r>
      <w:r w:rsidRPr="005869B6">
        <w:t>couvert, les seules sources d'information sur certaines étapes de l'expérience, puisque plusieurs compagnies impliquées avaient disparu. La perte des comb</w:t>
      </w:r>
      <w:r w:rsidRPr="005869B6">
        <w:t>i</w:t>
      </w:r>
      <w:r w:rsidRPr="005869B6">
        <w:t>naisons signifiait la disp</w:t>
      </w:r>
      <w:r w:rsidRPr="005869B6">
        <w:t>a</w:t>
      </w:r>
      <w:r w:rsidRPr="005869B6">
        <w:t>rition d'informations sur l'histoire de toute une série d'efforts d'application des connaissances scientifiques. Enfin la co</w:t>
      </w:r>
      <w:r w:rsidRPr="005869B6">
        <w:t>m</w:t>
      </w:r>
      <w:r w:rsidRPr="005869B6">
        <w:t>préhension des causes de la détérioration des matériaux était d'un grand intérêt pour la fabrication des futures combinaisons spati</w:t>
      </w:r>
      <w:r w:rsidRPr="005869B6">
        <w:t>a</w:t>
      </w:r>
      <w:r w:rsidRPr="005869B6">
        <w:t>les. Ces combinaisons ne constituent donc pas seulement des objets de grenier, elles sont aussi des documents scientif</w:t>
      </w:r>
      <w:r w:rsidRPr="005869B6">
        <w:t>i</w:t>
      </w:r>
      <w:r w:rsidRPr="005869B6">
        <w:t>ques.</w:t>
      </w:r>
    </w:p>
    <w:p w:rsidR="00B7214C" w:rsidRDefault="00B7214C" w:rsidP="00B7214C">
      <w:pPr>
        <w:spacing w:before="120" w:after="120"/>
        <w:jc w:val="both"/>
      </w:pPr>
      <w:r>
        <w:t>[540]</w:t>
      </w:r>
    </w:p>
    <w:p w:rsidR="00B7214C" w:rsidRDefault="00B7214C" w:rsidP="00B7214C">
      <w:pPr>
        <w:spacing w:before="120" w:after="120"/>
        <w:jc w:val="both"/>
        <w:rPr>
          <w:szCs w:val="22"/>
        </w:rPr>
      </w:pPr>
      <w:r w:rsidRPr="00924702">
        <w:rPr>
          <w:szCs w:val="22"/>
        </w:rPr>
        <w:t>Voilà un bel exemple qui illustre que les objets portent les traces des lectures et relectures successives</w:t>
      </w:r>
      <w:r>
        <w:rPr>
          <w:szCs w:val="22"/>
        </w:rPr>
        <w:t> </w:t>
      </w:r>
      <w:r w:rsidRPr="00924702">
        <w:rPr>
          <w:szCs w:val="22"/>
        </w:rPr>
        <w:t>: leur signification change. M</w:t>
      </w:r>
      <w:r w:rsidRPr="00924702">
        <w:rPr>
          <w:szCs w:val="22"/>
        </w:rPr>
        <w:t>a</w:t>
      </w:r>
      <w:r w:rsidRPr="00924702">
        <w:rPr>
          <w:szCs w:val="22"/>
        </w:rPr>
        <w:t>deleine Ackrich n'a-t-elle pas écrit</w:t>
      </w:r>
      <w:r>
        <w:rPr>
          <w:szCs w:val="22"/>
        </w:rPr>
        <w:t> </w:t>
      </w:r>
      <w:r w:rsidRPr="00924702">
        <w:rPr>
          <w:szCs w:val="22"/>
        </w:rPr>
        <w:t>: «</w:t>
      </w:r>
      <w:r>
        <w:rPr>
          <w:szCs w:val="22"/>
        </w:rPr>
        <w:t> </w:t>
      </w:r>
      <w:r w:rsidRPr="00924702">
        <w:rPr>
          <w:szCs w:val="22"/>
        </w:rPr>
        <w:t>L'o</w:t>
      </w:r>
      <w:r w:rsidRPr="00924702">
        <w:rPr>
          <w:szCs w:val="22"/>
        </w:rPr>
        <w:t>b</w:t>
      </w:r>
      <w:r w:rsidRPr="00924702">
        <w:rPr>
          <w:szCs w:val="22"/>
        </w:rPr>
        <w:t>jet opère comme une sorte de &lt;traceur&gt; en ce sens que la réalité s'organise et se constitue dans sa mise en forme [...] à mesure qu'il se déplace et se transforme, nous voyons se dessiner ce qu'on pourrait appeler son soci</w:t>
      </w:r>
      <w:r w:rsidRPr="00924702">
        <w:rPr>
          <w:szCs w:val="22"/>
        </w:rPr>
        <w:t>o</w:t>
      </w:r>
      <w:r w:rsidRPr="00924702">
        <w:rPr>
          <w:szCs w:val="22"/>
        </w:rPr>
        <w:t>gramme, c'est-à-dire l'ensemble de tout ce qu'il est néce</w:t>
      </w:r>
      <w:r w:rsidRPr="00924702">
        <w:rPr>
          <w:szCs w:val="22"/>
        </w:rPr>
        <w:t>s</w:t>
      </w:r>
      <w:r w:rsidRPr="00924702">
        <w:rPr>
          <w:szCs w:val="22"/>
        </w:rPr>
        <w:t>saire de mettre en place pour qu'il puisse exister</w:t>
      </w:r>
      <w:r>
        <w:rPr>
          <w:szCs w:val="22"/>
        </w:rPr>
        <w:t> </w:t>
      </w:r>
      <w:r>
        <w:rPr>
          <w:rStyle w:val="Appelnotedebasdep"/>
          <w:szCs w:val="22"/>
        </w:rPr>
        <w:footnoteReference w:id="398"/>
      </w:r>
      <w:r>
        <w:rPr>
          <w:szCs w:val="22"/>
          <w:vertAlign w:val="superscript"/>
        </w:rPr>
        <w:t> </w:t>
      </w:r>
      <w:r w:rsidRPr="00924702">
        <w:rPr>
          <w:szCs w:val="22"/>
        </w:rPr>
        <w:t>?</w:t>
      </w:r>
      <w:r>
        <w:rPr>
          <w:szCs w:val="22"/>
        </w:rPr>
        <w:t> </w:t>
      </w:r>
      <w:r w:rsidRPr="00924702">
        <w:rPr>
          <w:szCs w:val="22"/>
        </w:rPr>
        <w:t>» Et encore</w:t>
      </w:r>
      <w:r>
        <w:rPr>
          <w:szCs w:val="22"/>
        </w:rPr>
        <w:t> </w:t>
      </w:r>
      <w:r w:rsidRPr="00924702">
        <w:rPr>
          <w:szCs w:val="22"/>
        </w:rPr>
        <w:t>: «</w:t>
      </w:r>
      <w:r>
        <w:rPr>
          <w:szCs w:val="22"/>
        </w:rPr>
        <w:t> </w:t>
      </w:r>
      <w:r w:rsidRPr="00924702">
        <w:rPr>
          <w:szCs w:val="22"/>
        </w:rPr>
        <w:t>L'analyse de l'interaction qui se forme entre les acteurs, leurs projets et l'objet lui-même est cr</w:t>
      </w:r>
      <w:r w:rsidRPr="00924702">
        <w:rPr>
          <w:szCs w:val="22"/>
        </w:rPr>
        <w:t>u</w:t>
      </w:r>
      <w:r w:rsidRPr="00924702">
        <w:rPr>
          <w:szCs w:val="22"/>
        </w:rPr>
        <w:t>ciale: elle [...] permet de comprendre les processus qui sont à l'œu</w:t>
      </w:r>
      <w:r w:rsidRPr="00924702">
        <w:rPr>
          <w:szCs w:val="22"/>
        </w:rPr>
        <w:t>v</w:t>
      </w:r>
      <w:r w:rsidRPr="00924702">
        <w:rPr>
          <w:szCs w:val="22"/>
        </w:rPr>
        <w:t>re dans la constitution d'une certaine réalité... [cette an</w:t>
      </w:r>
      <w:r w:rsidRPr="00924702">
        <w:rPr>
          <w:szCs w:val="22"/>
        </w:rPr>
        <w:t>a</w:t>
      </w:r>
      <w:r w:rsidRPr="00924702">
        <w:rPr>
          <w:szCs w:val="22"/>
        </w:rPr>
        <w:t>lyse permet de comprendre] à quel point l'objet et les r</w:t>
      </w:r>
      <w:r w:rsidRPr="00924702">
        <w:rPr>
          <w:szCs w:val="22"/>
        </w:rPr>
        <w:t>é</w:t>
      </w:r>
      <w:r w:rsidRPr="00924702">
        <w:rPr>
          <w:szCs w:val="22"/>
        </w:rPr>
        <w:t>seaux dans lesquels il se situe sont indissociables</w:t>
      </w:r>
      <w:r>
        <w:rPr>
          <w:szCs w:val="22"/>
        </w:rPr>
        <w:t> </w:t>
      </w:r>
      <w:r>
        <w:rPr>
          <w:rStyle w:val="Appelnotedebasdep"/>
          <w:szCs w:val="22"/>
        </w:rPr>
        <w:footnoteReference w:id="399"/>
      </w:r>
      <w:r w:rsidRPr="00924702">
        <w:rPr>
          <w:szCs w:val="22"/>
        </w:rPr>
        <w:t>.</w:t>
      </w:r>
      <w:r>
        <w:rPr>
          <w:szCs w:val="22"/>
        </w:rPr>
        <w:t> </w:t>
      </w:r>
      <w:r w:rsidRPr="00924702">
        <w:rPr>
          <w:szCs w:val="22"/>
        </w:rPr>
        <w:t>»</w:t>
      </w:r>
    </w:p>
    <w:p w:rsidR="00B7214C" w:rsidRPr="00924702" w:rsidRDefault="00B7214C" w:rsidP="00B7214C">
      <w:pPr>
        <w:spacing w:before="120" w:after="120"/>
        <w:jc w:val="both"/>
      </w:pPr>
    </w:p>
    <w:p w:rsidR="00B7214C" w:rsidRDefault="00B7214C" w:rsidP="00B7214C">
      <w:pPr>
        <w:pStyle w:val="a"/>
      </w:pPr>
      <w:r>
        <w:t>LES RAPPORTS PUBLIC/MUSÉ</w:t>
      </w:r>
      <w:r w:rsidRPr="00924702">
        <w:t xml:space="preserve">E: </w:t>
      </w:r>
      <w:r>
        <w:br/>
      </w:r>
      <w:r w:rsidRPr="00924702">
        <w:t>LA MODERN</w:t>
      </w:r>
      <w:r w:rsidRPr="00924702">
        <w:t>I</w:t>
      </w:r>
      <w:r>
        <w:t>TÉ</w:t>
      </w:r>
      <w:r w:rsidRPr="00924702">
        <w:t xml:space="preserve"> FACE AUX PRATIQUES «</w:t>
      </w:r>
      <w:r>
        <w:t> </w:t>
      </w:r>
      <w:r w:rsidRPr="00924702">
        <w:t>POSTMODERNES</w:t>
      </w:r>
      <w:r>
        <w:t> </w:t>
      </w:r>
      <w:r w:rsidRPr="00924702">
        <w:t>»</w:t>
      </w:r>
    </w:p>
    <w:p w:rsidR="00B7214C" w:rsidRPr="00924702" w:rsidRDefault="00B7214C" w:rsidP="00B7214C">
      <w:pPr>
        <w:spacing w:before="120" w:after="120"/>
        <w:jc w:val="both"/>
      </w:pPr>
    </w:p>
    <w:p w:rsidR="00B7214C" w:rsidRPr="00924702" w:rsidRDefault="00B7214C" w:rsidP="00B7214C">
      <w:pPr>
        <w:spacing w:before="120" w:after="120"/>
        <w:jc w:val="both"/>
      </w:pPr>
      <w:r w:rsidRPr="00924702">
        <w:rPr>
          <w:szCs w:val="22"/>
        </w:rPr>
        <w:t>Abordons maintenant l'autre «pôle» thématique de cet atelier: les processus d'interprétation et de diffusion qui seraient plus conscie</w:t>
      </w:r>
      <w:r w:rsidRPr="00924702">
        <w:rPr>
          <w:szCs w:val="22"/>
        </w:rPr>
        <w:t>m</w:t>
      </w:r>
      <w:r w:rsidRPr="00924702">
        <w:rPr>
          <w:szCs w:val="22"/>
        </w:rPr>
        <w:t>ment liés à la construction de la culture contemporaine. Notre r</w:t>
      </w:r>
      <w:r w:rsidRPr="00924702">
        <w:rPr>
          <w:szCs w:val="22"/>
        </w:rPr>
        <w:t>é</w:t>
      </w:r>
      <w:r w:rsidRPr="00924702">
        <w:rPr>
          <w:szCs w:val="22"/>
        </w:rPr>
        <w:t>flexion s'inscrit dans le cadre d'une autre recherche en cours qui porte sur les pr</w:t>
      </w:r>
      <w:r w:rsidRPr="00924702">
        <w:rPr>
          <w:szCs w:val="22"/>
        </w:rPr>
        <w:t>a</w:t>
      </w:r>
      <w:r w:rsidRPr="00924702">
        <w:rPr>
          <w:szCs w:val="22"/>
        </w:rPr>
        <w:t>tiques culturelles. L'un des volets de cette recherche concerne les rapports entre le public et le musée.</w:t>
      </w:r>
    </w:p>
    <w:p w:rsidR="00B7214C" w:rsidRPr="00924702" w:rsidRDefault="00B7214C" w:rsidP="00B7214C">
      <w:pPr>
        <w:spacing w:before="120" w:after="120"/>
        <w:jc w:val="both"/>
      </w:pPr>
      <w:r w:rsidRPr="00924702">
        <w:rPr>
          <w:szCs w:val="22"/>
        </w:rPr>
        <w:t>L'on sait que les musées d'aujourd'hui portent les traces de l'his</w:t>
      </w:r>
      <w:r w:rsidRPr="00924702">
        <w:rPr>
          <w:szCs w:val="22"/>
        </w:rPr>
        <w:softHyphen/>
        <w:t>toire, qu'ils sont étroitement associés aux grands projets de modernis</w:t>
      </w:r>
      <w:r w:rsidRPr="00924702">
        <w:rPr>
          <w:szCs w:val="22"/>
        </w:rPr>
        <w:t>a</w:t>
      </w:r>
      <w:r w:rsidRPr="00924702">
        <w:rPr>
          <w:szCs w:val="22"/>
        </w:rPr>
        <w:t>tion culturelle de notre époque, n</w:t>
      </w:r>
      <w:r w:rsidRPr="00924702">
        <w:rPr>
          <w:szCs w:val="22"/>
        </w:rPr>
        <w:t>o</w:t>
      </w:r>
      <w:r w:rsidRPr="00924702">
        <w:rPr>
          <w:szCs w:val="22"/>
        </w:rPr>
        <w:t>tamment à la recherche moderniste d'universalismes, à l'él</w:t>
      </w:r>
      <w:r w:rsidRPr="00924702">
        <w:rPr>
          <w:szCs w:val="22"/>
        </w:rPr>
        <w:t>a</w:t>
      </w:r>
      <w:r w:rsidRPr="00924702">
        <w:rPr>
          <w:szCs w:val="22"/>
        </w:rPr>
        <w:t xml:space="preserve">boration de connaissances </w:t>
      </w:r>
      <w:r>
        <w:rPr>
          <w:szCs w:val="22"/>
        </w:rPr>
        <w:t>transhistoriques destinées à as</w:t>
      </w:r>
      <w:r w:rsidRPr="00924702">
        <w:rPr>
          <w:szCs w:val="22"/>
        </w:rPr>
        <w:t>surer le progrès et à la volonté de démocratisation. Les m</w:t>
      </w:r>
      <w:r w:rsidRPr="00924702">
        <w:rPr>
          <w:szCs w:val="22"/>
        </w:rPr>
        <w:t>u</w:t>
      </w:r>
      <w:r w:rsidRPr="00924702">
        <w:rPr>
          <w:szCs w:val="22"/>
        </w:rPr>
        <w:t>sées ont été, sont des institutions modernes, qui sont partie liée avec la modernité.</w:t>
      </w:r>
    </w:p>
    <w:p w:rsidR="00B7214C" w:rsidRPr="00924702" w:rsidRDefault="00B7214C" w:rsidP="00B7214C">
      <w:pPr>
        <w:spacing w:before="120" w:after="120"/>
        <w:jc w:val="both"/>
      </w:pPr>
      <w:r w:rsidRPr="00924702">
        <w:rPr>
          <w:szCs w:val="22"/>
        </w:rPr>
        <w:t>Les tenants de la «postmodernité» remettent aujourd'hui en que</w:t>
      </w:r>
      <w:r w:rsidRPr="00924702">
        <w:rPr>
          <w:szCs w:val="22"/>
        </w:rPr>
        <w:t>s</w:t>
      </w:r>
      <w:r w:rsidRPr="00924702">
        <w:rPr>
          <w:szCs w:val="22"/>
        </w:rPr>
        <w:t>tion l'existence même des universalismes</w:t>
      </w:r>
      <w:r>
        <w:rPr>
          <w:szCs w:val="22"/>
        </w:rPr>
        <w:t> </w:t>
      </w:r>
      <w:r>
        <w:rPr>
          <w:rStyle w:val="Appelnotedebasdep"/>
          <w:szCs w:val="22"/>
        </w:rPr>
        <w:footnoteReference w:id="400"/>
      </w:r>
      <w:r>
        <w:rPr>
          <w:szCs w:val="22"/>
        </w:rPr>
        <w:t> </w:t>
      </w:r>
      <w:r w:rsidRPr="00924702">
        <w:rPr>
          <w:szCs w:val="22"/>
        </w:rPr>
        <w:t xml:space="preserve">; ils annoncent un retour au local, tout aussi bien dans les pratiques sociales </w:t>
      </w:r>
      <w:r>
        <w:rPr>
          <w:szCs w:val="22"/>
        </w:rPr>
        <w:t>que dans les thé</w:t>
      </w:r>
      <w:r>
        <w:rPr>
          <w:szCs w:val="22"/>
        </w:rPr>
        <w:t>o</w:t>
      </w:r>
      <w:r>
        <w:rPr>
          <w:szCs w:val="22"/>
        </w:rPr>
        <w:t>ries sociologi</w:t>
      </w:r>
      <w:r w:rsidRPr="00924702">
        <w:rPr>
          <w:szCs w:val="22"/>
        </w:rPr>
        <w:t>ques. Dans cette perspective, la mise en situation soci</w:t>
      </w:r>
      <w:r w:rsidRPr="00924702">
        <w:rPr>
          <w:szCs w:val="22"/>
        </w:rPr>
        <w:t>o</w:t>
      </w:r>
      <w:r w:rsidRPr="00924702">
        <w:rPr>
          <w:szCs w:val="22"/>
        </w:rPr>
        <w:t>hist</w:t>
      </w:r>
      <w:r w:rsidRPr="00924702">
        <w:rPr>
          <w:szCs w:val="22"/>
        </w:rPr>
        <w:t>o</w:t>
      </w:r>
      <w:r>
        <w:rPr>
          <w:szCs w:val="22"/>
        </w:rPr>
        <w:t>rique des sa</w:t>
      </w:r>
      <w:r w:rsidRPr="00924702">
        <w:rPr>
          <w:szCs w:val="22"/>
        </w:rPr>
        <w:t>voirs serait un passage obligatoire, la condition de toute connaissance.</w:t>
      </w:r>
    </w:p>
    <w:p w:rsidR="00B7214C" w:rsidRPr="005869B6" w:rsidRDefault="00B7214C" w:rsidP="00B7214C">
      <w:pPr>
        <w:spacing w:before="120" w:after="120"/>
        <w:jc w:val="both"/>
      </w:pPr>
      <w:r w:rsidRPr="00924702">
        <w:rPr>
          <w:szCs w:val="22"/>
        </w:rPr>
        <w:t>Et si les musées vivent actuellement des tensions, peut-on penser que, toujours attachés aux prémisses univers</w:t>
      </w:r>
      <w:r w:rsidRPr="00924702">
        <w:rPr>
          <w:szCs w:val="22"/>
        </w:rPr>
        <w:t>a</w:t>
      </w:r>
      <w:r w:rsidRPr="00924702">
        <w:rPr>
          <w:szCs w:val="22"/>
        </w:rPr>
        <w:t>listes de la modernité, ils peuvent difficilement s'adapter à la divers</w:t>
      </w:r>
      <w:r>
        <w:rPr>
          <w:szCs w:val="22"/>
        </w:rPr>
        <w:t>ité des pratiques dites « postmo</w:t>
      </w:r>
      <w:r w:rsidRPr="00924702">
        <w:rPr>
          <w:szCs w:val="22"/>
        </w:rPr>
        <w:t>dernes</w:t>
      </w:r>
      <w:r>
        <w:rPr>
          <w:szCs w:val="22"/>
        </w:rPr>
        <w:t> </w:t>
      </w:r>
      <w:r w:rsidRPr="00924702">
        <w:rPr>
          <w:szCs w:val="22"/>
        </w:rPr>
        <w:t>»</w:t>
      </w:r>
      <w:r>
        <w:rPr>
          <w:szCs w:val="22"/>
        </w:rPr>
        <w:t> </w:t>
      </w:r>
      <w:r w:rsidRPr="00924702">
        <w:rPr>
          <w:szCs w:val="22"/>
        </w:rPr>
        <w:t>?</w:t>
      </w:r>
    </w:p>
    <w:p w:rsidR="00B7214C" w:rsidRPr="005869B6" w:rsidRDefault="00B7214C" w:rsidP="00B7214C">
      <w:pPr>
        <w:spacing w:before="120" w:after="120"/>
        <w:jc w:val="both"/>
      </w:pPr>
      <w:r>
        <w:t>[541]</w:t>
      </w:r>
    </w:p>
    <w:p w:rsidR="00B7214C" w:rsidRPr="005869B6" w:rsidRDefault="00B7214C" w:rsidP="00B7214C">
      <w:pPr>
        <w:spacing w:before="120" w:after="120"/>
        <w:jc w:val="both"/>
      </w:pPr>
    </w:p>
    <w:p w:rsidR="00B7214C" w:rsidRPr="00366660" w:rsidRDefault="00B7214C" w:rsidP="00B7214C">
      <w:pPr>
        <w:pStyle w:val="b"/>
      </w:pPr>
      <w:r w:rsidRPr="00366660">
        <w:t>Classification des musées</w:t>
      </w:r>
      <w:r>
        <w:br/>
      </w:r>
      <w:r w:rsidRPr="00366660">
        <w:t>selon les caractéristiques des vis</w:t>
      </w:r>
      <w:r w:rsidRPr="00366660">
        <w:t>i</w:t>
      </w:r>
      <w:r w:rsidRPr="00366660">
        <w:t>teurs</w:t>
      </w:r>
    </w:p>
    <w:p w:rsidR="00B7214C" w:rsidRDefault="00B7214C" w:rsidP="00B7214C">
      <w:pPr>
        <w:spacing w:before="120" w:after="120"/>
        <w:jc w:val="both"/>
      </w:pPr>
    </w:p>
    <w:p w:rsidR="00B7214C" w:rsidRPr="005869B6" w:rsidRDefault="00B7214C" w:rsidP="00B7214C">
      <w:pPr>
        <w:spacing w:before="120" w:after="120"/>
        <w:jc w:val="both"/>
      </w:pPr>
      <w:r w:rsidRPr="005869B6">
        <w:t>Admettons d'abord qu'il y a aussi des tensions qui renvoient à l'hi</w:t>
      </w:r>
      <w:r w:rsidRPr="005869B6">
        <w:t>s</w:t>
      </w:r>
      <w:r w:rsidRPr="005869B6">
        <w:t>torique du discours sur le mandat du musée. Considérons deux grands modèles auxquels s'est rapportée historiquement l'institution muséol</w:t>
      </w:r>
      <w:r w:rsidRPr="005869B6">
        <w:t>o</w:t>
      </w:r>
      <w:r>
        <w:t>gi</w:t>
      </w:r>
      <w:r w:rsidRPr="005869B6">
        <w:t>que soit : le modèle dit de la haute culture (le musée comme « palais d'une élite ») et celui de la démocratisation (le projet de nive</w:t>
      </w:r>
      <w:r w:rsidRPr="005869B6">
        <w:t>l</w:t>
      </w:r>
      <w:r w:rsidRPr="005869B6">
        <w:t>lement des mécanismes d'exclusion)</w:t>
      </w:r>
      <w:r>
        <w:t> </w:t>
      </w:r>
      <w:r>
        <w:rPr>
          <w:rStyle w:val="Appelnotedebasdep"/>
        </w:rPr>
        <w:footnoteReference w:id="401"/>
      </w:r>
      <w:r w:rsidRPr="005869B6">
        <w:t>. Ces deux modèles correspo</w:t>
      </w:r>
      <w:r w:rsidRPr="005869B6">
        <w:t>n</w:t>
      </w:r>
      <w:r w:rsidRPr="005869B6">
        <w:t>dent à des efforts - modernistes - d'imaginer des universalismes, bien qu'il s'agi</w:t>
      </w:r>
      <w:r w:rsidRPr="005869B6">
        <w:t>s</w:t>
      </w:r>
      <w:r w:rsidRPr="005869B6">
        <w:t>se de deux interprétations très différentes. Grossièrement on peut les caractériser comme suit :</w:t>
      </w:r>
    </w:p>
    <w:p w:rsidR="00B7214C" w:rsidRPr="005869B6" w:rsidRDefault="00B7214C" w:rsidP="00B7214C">
      <w:pPr>
        <w:spacing w:before="120" w:after="120"/>
        <w:ind w:left="720" w:hanging="360"/>
        <w:jc w:val="both"/>
      </w:pPr>
      <w:r>
        <w:t>-</w:t>
      </w:r>
      <w:r>
        <w:tab/>
      </w:r>
      <w:r w:rsidRPr="005869B6">
        <w:t>Le modèle delà haute culture se confond souvent avec celui d</w:t>
      </w:r>
      <w:r w:rsidRPr="005869B6">
        <w:t>e</w:t>
      </w:r>
      <w:r w:rsidRPr="005869B6">
        <w:t>là culture savante : les connaissances véritables nécessitent une rupt</w:t>
      </w:r>
      <w:r w:rsidRPr="005869B6">
        <w:t>u</w:t>
      </w:r>
      <w:r w:rsidRPr="005869B6">
        <w:t>re avec le sens commun. Cette rupture assure une espèce d'impartial</w:t>
      </w:r>
      <w:r w:rsidRPr="005869B6">
        <w:t>i</w:t>
      </w:r>
      <w:r w:rsidRPr="005869B6">
        <w:t>té, d'universalité, et de validité du travail de l'expert. Par conséquent, un musée qui s'inscrit dans le modèle de la culture savante n'est pas facile d'accès et nécessite une déma</w:t>
      </w:r>
      <w:r w:rsidRPr="005869B6">
        <w:t>r</w:t>
      </w:r>
      <w:r w:rsidRPr="005869B6">
        <w:t>che avertie de la part des vis</w:t>
      </w:r>
      <w:r w:rsidRPr="005869B6">
        <w:t>i</w:t>
      </w:r>
      <w:r w:rsidRPr="005869B6">
        <w:t xml:space="preserve">teurs. L'accès à la culture savante est donc plutôt réservée </w:t>
      </w:r>
      <w:r w:rsidRPr="00923E24">
        <w:t xml:space="preserve">à </w:t>
      </w:r>
      <w:r w:rsidRPr="005869B6">
        <w:t>une élite.</w:t>
      </w:r>
    </w:p>
    <w:p w:rsidR="00B7214C" w:rsidRPr="005869B6" w:rsidRDefault="00B7214C" w:rsidP="00B7214C">
      <w:pPr>
        <w:spacing w:before="120" w:after="120"/>
        <w:ind w:left="720" w:hanging="360"/>
        <w:jc w:val="both"/>
      </w:pPr>
      <w:r>
        <w:t>-</w:t>
      </w:r>
      <w:r>
        <w:tab/>
      </w:r>
      <w:r w:rsidRPr="005869B6">
        <w:t>Un autre principe d'universalisme est en jeu lorsqu'on examine des rapports public/musée dans la visée de la démocratisation : il s'agit du principe d'égalité fondé sur l'idée d'un potentiel d'a</w:t>
      </w:r>
      <w:r w:rsidRPr="005869B6">
        <w:t>c</w:t>
      </w:r>
      <w:r w:rsidRPr="005869B6">
        <w:t>cès universel aux savoirs. Une institution démocratique est en principe accessible à tous et à toutes.</w:t>
      </w:r>
    </w:p>
    <w:p w:rsidR="00B7214C" w:rsidRDefault="00B7214C" w:rsidP="00B7214C">
      <w:pPr>
        <w:spacing w:before="120" w:after="120"/>
        <w:jc w:val="both"/>
      </w:pPr>
      <w:r w:rsidRPr="005869B6">
        <w:t>Voilà deux modèles qui mettent à l'œuvre des notions d'univers</w:t>
      </w:r>
      <w:r w:rsidRPr="005869B6">
        <w:t>a</w:t>
      </w:r>
      <w:r w:rsidRPr="005869B6">
        <w:t>lisme fort différentes et qui, pour les institutions, impliquent deux t</w:t>
      </w:r>
      <w:r w:rsidRPr="005869B6">
        <w:t>y</w:t>
      </w:r>
      <w:r w:rsidRPr="005869B6">
        <w:t>pes de rapport au public. Mais dans les deux cas, l'argumentation bâtie sur le principe moderniste d'universalisme encourage une forme de réductionnisme conduisant à mettre l'accent sur le seul statut socio-économique des visiteurs comme indice de réussite ou comme indic</w:t>
      </w:r>
      <w:r w:rsidRPr="005869B6">
        <w:t>a</w:t>
      </w:r>
      <w:r w:rsidRPr="005869B6">
        <w:t>teur de l'orienta</w:t>
      </w:r>
      <w:r>
        <w:t>tion du musée. Or, les activité</w:t>
      </w:r>
      <w:r w:rsidRPr="005869B6">
        <w:t>s et les fonctions mult</w:t>
      </w:r>
      <w:r w:rsidRPr="005869B6">
        <w:t>i</w:t>
      </w:r>
      <w:r w:rsidRPr="005869B6">
        <w:t>ples des musées se définissent aujourd'hui par rapport à une situation qui se caractérise par une très grande diversité dans la configuration des choix culturels du public. Et ces choix sont difficilement réduct</w:t>
      </w:r>
      <w:r w:rsidRPr="005869B6">
        <w:t>i</w:t>
      </w:r>
      <w:r w:rsidRPr="005869B6">
        <w:t xml:space="preserve">bles </w:t>
      </w:r>
      <w:r w:rsidRPr="005869B6">
        <w:rPr>
          <w:rStyle w:val="Corpsdutexte295pt"/>
        </w:rPr>
        <w:t xml:space="preserve">à </w:t>
      </w:r>
      <w:r w:rsidRPr="005869B6">
        <w:t>la seule appartenance de classe</w:t>
      </w:r>
      <w:r>
        <w:t> </w:t>
      </w:r>
      <w:r>
        <w:rPr>
          <w:rStyle w:val="Appelnotedebasdep"/>
        </w:rPr>
        <w:footnoteReference w:id="402"/>
      </w:r>
      <w:r w:rsidRPr="005869B6">
        <w:t>.</w:t>
      </w:r>
    </w:p>
    <w:p w:rsidR="00B7214C" w:rsidRPr="005869B6" w:rsidRDefault="00B7214C" w:rsidP="00B7214C">
      <w:pPr>
        <w:spacing w:before="120" w:after="120"/>
        <w:jc w:val="both"/>
      </w:pPr>
    </w:p>
    <w:p w:rsidR="00B7214C" w:rsidRPr="00366660" w:rsidRDefault="00B7214C" w:rsidP="00B7214C">
      <w:pPr>
        <w:pStyle w:val="b"/>
      </w:pPr>
      <w:r w:rsidRPr="00366660">
        <w:t>Caractéristiques du public</w:t>
      </w:r>
    </w:p>
    <w:p w:rsidR="00B7214C" w:rsidRPr="005869B6" w:rsidRDefault="00B7214C" w:rsidP="00B7214C">
      <w:pPr>
        <w:spacing w:before="120" w:after="120"/>
        <w:jc w:val="both"/>
      </w:pPr>
    </w:p>
    <w:p w:rsidR="00B7214C" w:rsidRDefault="00B7214C" w:rsidP="00B7214C">
      <w:pPr>
        <w:spacing w:before="120" w:after="120"/>
        <w:jc w:val="both"/>
      </w:pPr>
      <w:r w:rsidRPr="005869B6">
        <w:t>Les enquêtes empiriques établissent habituellement une corrélation entre certaines mesures du statut social et la fréquentation des musées. Et nos recherches préliminaires</w:t>
      </w:r>
      <w:r>
        <w:t> </w:t>
      </w:r>
      <w:r>
        <w:rPr>
          <w:rStyle w:val="Appelnotedebasdep"/>
        </w:rPr>
        <w:footnoteReference w:id="403"/>
      </w:r>
      <w:r w:rsidRPr="005869B6">
        <w:t xml:space="preserve"> confirment ces observations : le taux de fréquentation varie selon le niveau d'instruction, le statut s</w:t>
      </w:r>
      <w:r w:rsidRPr="005869B6">
        <w:t>o</w:t>
      </w:r>
      <w:r w:rsidRPr="005869B6">
        <w:t>ciopr</w:t>
      </w:r>
      <w:r w:rsidRPr="005869B6">
        <w:t>o</w:t>
      </w:r>
      <w:r w:rsidRPr="005869B6">
        <w:t>fessionnel et le revenu.</w:t>
      </w:r>
    </w:p>
    <w:p w:rsidR="00B7214C" w:rsidRPr="005869B6" w:rsidRDefault="00B7214C" w:rsidP="00B7214C">
      <w:pPr>
        <w:spacing w:before="120" w:after="120"/>
        <w:jc w:val="both"/>
      </w:pPr>
      <w:r w:rsidRPr="005869B6">
        <w:br w:type="page"/>
      </w:r>
      <w:r>
        <w:t>[</w:t>
      </w:r>
      <w:r w:rsidRPr="005869B6">
        <w:t>542</w:t>
      </w:r>
      <w:r>
        <w:t>]</w:t>
      </w:r>
    </w:p>
    <w:p w:rsidR="00B7214C" w:rsidRPr="005869B6" w:rsidRDefault="00B7214C" w:rsidP="00B7214C">
      <w:pPr>
        <w:spacing w:before="120" w:after="120"/>
        <w:jc w:val="both"/>
      </w:pPr>
      <w:r w:rsidRPr="005869B6">
        <w:t>Cependant une analyse plus attentive des données recueillies a</w:t>
      </w:r>
      <w:r w:rsidRPr="005869B6">
        <w:t>u</w:t>
      </w:r>
      <w:r w:rsidRPr="005869B6">
        <w:t>près du grand public (y compris les non-visiteurs) a permis de const</w:t>
      </w:r>
      <w:r w:rsidRPr="005869B6">
        <w:t>a</w:t>
      </w:r>
      <w:r w:rsidRPr="005869B6">
        <w:t>ter que les personnes les plus instruites, de catégories socioprofe</w:t>
      </w:r>
      <w:r w:rsidRPr="005869B6">
        <w:t>s</w:t>
      </w:r>
      <w:r w:rsidRPr="005869B6">
        <w:t>sionnelles supérieures et ayant des revenus él</w:t>
      </w:r>
      <w:r>
        <w:t>e</w:t>
      </w:r>
      <w:r w:rsidRPr="005869B6">
        <w:t>vés sont plus actives dans la plupart des activités culturelles et de loisir en dehors du foyer</w:t>
      </w:r>
      <w:r>
        <w:t> </w:t>
      </w:r>
      <w:r>
        <w:rPr>
          <w:rStyle w:val="Appelnotedebasdep"/>
        </w:rPr>
        <w:footnoteReference w:id="404"/>
      </w:r>
      <w:r w:rsidRPr="005869B6">
        <w:t>. Les mesures classiques du statut social que sont l'éducation, l'occupation et le revenu, permettent certes d'identifier les groupes les plus susceptibles d aller au musée, mais ils ne suffisent pas pour e</w:t>
      </w:r>
      <w:r w:rsidRPr="005869B6">
        <w:t>x</w:t>
      </w:r>
      <w:r w:rsidRPr="005869B6">
        <w:t>pliquer comment s'effectuent les choix culturels.</w:t>
      </w:r>
    </w:p>
    <w:p w:rsidR="00B7214C" w:rsidRDefault="00B7214C" w:rsidP="00B7214C">
      <w:pPr>
        <w:spacing w:before="120" w:after="120"/>
        <w:jc w:val="both"/>
      </w:pPr>
    </w:p>
    <w:p w:rsidR="00B7214C" w:rsidRPr="00366660" w:rsidRDefault="00B7214C" w:rsidP="00B7214C">
      <w:pPr>
        <w:pStyle w:val="b"/>
      </w:pPr>
      <w:r w:rsidRPr="00366660">
        <w:t>La signification de la fréquentation du musée</w:t>
      </w:r>
    </w:p>
    <w:p w:rsidR="00B7214C" w:rsidRDefault="00B7214C" w:rsidP="00B7214C">
      <w:pPr>
        <w:spacing w:before="120" w:after="120"/>
        <w:jc w:val="both"/>
      </w:pPr>
    </w:p>
    <w:p w:rsidR="00B7214C" w:rsidRPr="005869B6" w:rsidRDefault="00B7214C" w:rsidP="00B7214C">
      <w:pPr>
        <w:spacing w:before="120" w:after="120"/>
        <w:jc w:val="both"/>
      </w:pPr>
      <w:r w:rsidRPr="005869B6">
        <w:t>Selon les nombreuses études menées dans la foulée des travaux de Bourdieu</w:t>
      </w:r>
      <w:r>
        <w:t> </w:t>
      </w:r>
      <w:r>
        <w:rPr>
          <w:rStyle w:val="Appelnotedebasdep"/>
        </w:rPr>
        <w:footnoteReference w:id="405"/>
      </w:r>
      <w:r w:rsidRPr="005869B6">
        <w:t>, la fréquentation du musée est une façon d'affirmer son identité et aussi une stratégie de « distinction » entre groupes sociaux. Sont alors à l'œuvre des procédures d'exclusion et d'inclusion : on ét</w:t>
      </w:r>
      <w:r w:rsidRPr="005869B6">
        <w:t>a</w:t>
      </w:r>
      <w:r w:rsidRPr="005869B6">
        <w:t>blit des frontières symboliques, souvent attribuées aux détermin</w:t>
      </w:r>
      <w:r w:rsidRPr="005869B6">
        <w:t>a</w:t>
      </w:r>
      <w:r w:rsidRPr="005869B6">
        <w:t>tions socio-économiques de classe.</w:t>
      </w:r>
    </w:p>
    <w:p w:rsidR="00B7214C" w:rsidRPr="005869B6" w:rsidRDefault="00B7214C" w:rsidP="00B7214C">
      <w:pPr>
        <w:spacing w:before="120" w:after="120"/>
        <w:jc w:val="both"/>
      </w:pPr>
      <w:r w:rsidRPr="005869B6">
        <w:t>Par ailleurs, Gans</w:t>
      </w:r>
      <w:r>
        <w:t> </w:t>
      </w:r>
      <w:r>
        <w:rPr>
          <w:rStyle w:val="Appelnotedebasdep"/>
        </w:rPr>
        <w:footnoteReference w:id="406"/>
      </w:r>
      <w:r w:rsidRPr="005869B6">
        <w:t xml:space="preserve"> dégage, dans ses travaux, un autre modèle de participation, qui échappe pour l'essentiel à la dichotomie classique entre « haute culture » et « culture de masse » (ou culture populaire). Plus socioculturel que socio-économique, ce modèle permet d'associer des publics à des styles de vie pour former un ensemble composite de </w:t>
      </w:r>
      <w:r w:rsidRPr="00366660">
        <w:t xml:space="preserve">« cultures de goût » (« taste cultures »). L'on peut alors parler </w:t>
      </w:r>
      <w:r w:rsidRPr="00366660">
        <w:rPr>
          <w:i/>
          <w:iCs/>
        </w:rPr>
        <w:t>non pas d'un</w:t>
      </w:r>
      <w:r w:rsidRPr="00366660">
        <w:t xml:space="preserve"> mais de </w:t>
      </w:r>
      <w:r w:rsidRPr="00366660">
        <w:rPr>
          <w:i/>
          <w:iCs/>
        </w:rPr>
        <w:t xml:space="preserve">plusieurs </w:t>
      </w:r>
      <w:r w:rsidRPr="00366660">
        <w:t>publics des musées. Les variations socio-</w:t>
      </w:r>
      <w:r w:rsidRPr="005869B6">
        <w:t>économique, ethnolinguistique, régionale et urbaine ainsi que les di</w:t>
      </w:r>
      <w:r w:rsidRPr="005869B6">
        <w:t>f</w:t>
      </w:r>
      <w:r>
        <w:t>férences par rapport à l’</w:t>
      </w:r>
      <w:r w:rsidRPr="005869B6">
        <w:t>accès figurent dans la constitution des publics, mais l'importance de ces diverses caractéristiques varie selon les log</w:t>
      </w:r>
      <w:r w:rsidRPr="005869B6">
        <w:t>i</w:t>
      </w:r>
      <w:r w:rsidRPr="005869B6">
        <w:t>ques différentes qui fonctionnent simultanément dans une même s</w:t>
      </w:r>
      <w:r w:rsidRPr="005869B6">
        <w:t>o</w:t>
      </w:r>
      <w:r w:rsidRPr="005869B6">
        <w:t>ciété. Il y a donc coexistence des différentes « cultures de goût » ou des différentes configurations de choix culturels, et s'il y a constitution de publics, c'est à partir d'une logique plus locale. Ici les frontières entre les groupes ne sont plus réductibles à un seul principe universel.</w:t>
      </w:r>
    </w:p>
    <w:p w:rsidR="00B7214C" w:rsidRDefault="00B7214C" w:rsidP="00B7214C">
      <w:pPr>
        <w:spacing w:before="120" w:after="120"/>
        <w:jc w:val="both"/>
      </w:pPr>
    </w:p>
    <w:p w:rsidR="00B7214C" w:rsidRPr="00366660" w:rsidRDefault="00B7214C" w:rsidP="00B7214C">
      <w:pPr>
        <w:pStyle w:val="b"/>
      </w:pPr>
      <w:r w:rsidRPr="00366660">
        <w:t>La disciplinarité et le musée</w:t>
      </w:r>
    </w:p>
    <w:p w:rsidR="00B7214C" w:rsidRPr="005869B6" w:rsidRDefault="00B7214C" w:rsidP="00B7214C">
      <w:pPr>
        <w:spacing w:before="120" w:after="120"/>
        <w:jc w:val="both"/>
      </w:pPr>
    </w:p>
    <w:p w:rsidR="00B7214C" w:rsidRPr="005869B6" w:rsidRDefault="00B7214C" w:rsidP="00B7214C">
      <w:pPr>
        <w:spacing w:before="120" w:after="120"/>
        <w:jc w:val="both"/>
      </w:pPr>
      <w:r w:rsidRPr="005869B6">
        <w:t>D'aucuns suggèrent que les configurations du « goût » seraient, dans une certaine mesure, liées aux catégories disciplinaires</w:t>
      </w:r>
      <w:r>
        <w:t> </w:t>
      </w:r>
      <w:r>
        <w:rPr>
          <w:rStyle w:val="Appelnotedebasdep"/>
        </w:rPr>
        <w:footnoteReference w:id="407"/>
      </w:r>
      <w:r w:rsidRPr="005869B6">
        <w:t>. Th</w:t>
      </w:r>
      <w:r w:rsidRPr="005869B6">
        <w:t>o</w:t>
      </w:r>
      <w:r w:rsidRPr="005869B6">
        <w:t>mas Kuhn propose que les rapports entre le musée et le public diff</w:t>
      </w:r>
      <w:r w:rsidRPr="005869B6">
        <w:t>è</w:t>
      </w:r>
      <w:r w:rsidRPr="005869B6">
        <w:t>rent selon le type de musée : ces différences renvoient, insiste-t-il, à la spécificité même des démarches propres aux disciplines. Par exemple si l'on compare un musée d'art à un musée de la science, le premier est un lieu de recherche et présente</w:t>
      </w:r>
      <w:r>
        <w:t xml:space="preserve"> [</w:t>
      </w:r>
      <w:r w:rsidRPr="005869B6">
        <w:t>543</w:t>
      </w:r>
      <w:r>
        <w:t xml:space="preserve">] </w:t>
      </w:r>
      <w:r w:rsidRPr="005869B6">
        <w:t>des réalisations du passé qui ont toujours un intérêt pour l'initiation des artistes à la pratique de l'art et pour la formation d'un public. Ce qui n'est pas le cas d'un musée de la science et de la technologie : il s'agit plutôt d'un lieu de recrutement et de consécration qui n'a aucun lien ni avec la pratique de la science ni avec le développement des connaissances du public relatives aux sciences actuelles</w:t>
      </w:r>
      <w:r>
        <w:t> </w:t>
      </w:r>
      <w:r>
        <w:rPr>
          <w:rStyle w:val="Appelnotedebasdep"/>
        </w:rPr>
        <w:footnoteReference w:id="408"/>
      </w:r>
      <w:r w:rsidRPr="005869B6">
        <w:t>. Cependant, l'analyse de Kuhn ne tient pas compte des transformations récentes des disciplines, et notamment la pluri- (inter-, trans-) disciplinarité des études de la culture.</w:t>
      </w:r>
    </w:p>
    <w:p w:rsidR="00B7214C" w:rsidRDefault="00B7214C" w:rsidP="00B7214C">
      <w:pPr>
        <w:spacing w:before="120" w:after="120"/>
        <w:jc w:val="both"/>
      </w:pPr>
    </w:p>
    <w:p w:rsidR="00B7214C" w:rsidRPr="005869B6" w:rsidRDefault="00B7214C" w:rsidP="00B7214C">
      <w:pPr>
        <w:pStyle w:val="a"/>
      </w:pPr>
      <w:r w:rsidRPr="005869B6">
        <w:t>CONCLUSION</w:t>
      </w:r>
    </w:p>
    <w:p w:rsidR="00B7214C" w:rsidRDefault="00B7214C" w:rsidP="00B7214C">
      <w:pPr>
        <w:spacing w:before="120" w:after="120"/>
        <w:jc w:val="both"/>
      </w:pPr>
    </w:p>
    <w:p w:rsidR="00B7214C" w:rsidRPr="005869B6" w:rsidRDefault="00B7214C" w:rsidP="00B7214C">
      <w:pPr>
        <w:spacing w:before="120" w:after="120"/>
        <w:jc w:val="both"/>
      </w:pPr>
      <w:r w:rsidRPr="005869B6">
        <w:t>L'époque actuelle peut être identifiée à une mutation fondamentale de la sphère « culturelle ». Selon Jameson, l'expansion du champ de la culture est telle que tous les aspects de la vie sociale peuvent être tra</w:t>
      </w:r>
      <w:r w:rsidRPr="005869B6">
        <w:t>i</w:t>
      </w:r>
      <w:r w:rsidRPr="005869B6">
        <w:t>tés sous la rubrique de la « culture ». Dans ce contexte, le musée a</w:t>
      </w:r>
      <w:r w:rsidRPr="005869B6">
        <w:t>u</w:t>
      </w:r>
      <w:r w:rsidRPr="005869B6">
        <w:t>rait, peut-on penser, une nouvelle fonction qui serait de permettre aux visiteurs de saisir leur position dans le monde contemporain comme sujets individuels et collectifs sur la carte du réseau immense et mult</w:t>
      </w:r>
      <w:r w:rsidRPr="005869B6">
        <w:t>i</w:t>
      </w:r>
      <w:r w:rsidRPr="005869B6">
        <w:t>national sans centre évident</w:t>
      </w:r>
      <w:r>
        <w:t> </w:t>
      </w:r>
      <w:r>
        <w:rPr>
          <w:rStyle w:val="Appelnotedebasdep"/>
        </w:rPr>
        <w:footnoteReference w:id="409"/>
      </w:r>
      <w:r w:rsidRPr="005869B6">
        <w:t>. Quant aux sociologues et aux anthr</w:t>
      </w:r>
      <w:r w:rsidRPr="005869B6">
        <w:t>o</w:t>
      </w:r>
      <w:r w:rsidRPr="005869B6">
        <w:t>pologues, leur rôle serait d'assister aux opérations de cette cartogr</w:t>
      </w:r>
      <w:r w:rsidRPr="005869B6">
        <w:t>a</w:t>
      </w:r>
      <w:r w:rsidRPr="005869B6">
        <w:t>phie « postmoderne » par le questionnem</w:t>
      </w:r>
      <w:r>
        <w:t>ent et l’</w:t>
      </w:r>
      <w:r w:rsidRPr="005869B6">
        <w:t>exploration des fro</w:t>
      </w:r>
      <w:r w:rsidRPr="005869B6">
        <w:t>n</w:t>
      </w:r>
      <w:r w:rsidRPr="005869B6">
        <w:t>tières symboliques qui servent de points de repère.</w:t>
      </w:r>
    </w:p>
    <w:p w:rsidR="00B7214C" w:rsidRDefault="00B7214C" w:rsidP="00B7214C">
      <w:pPr>
        <w:spacing w:before="120" w:after="120"/>
        <w:jc w:val="both"/>
      </w:pPr>
      <w:r>
        <w:t>C’</w:t>
      </w:r>
      <w:r w:rsidRPr="005869B6">
        <w:t>est là une nouvelle façon de penser la culture. L'universalisme moderniste était - potentiellement du moins - porteur d'un sens d'h</w:t>
      </w:r>
      <w:r>
        <w:t>o</w:t>
      </w:r>
      <w:r w:rsidRPr="00366660">
        <w:t xml:space="preserve">mogénéité de </w:t>
      </w:r>
      <w:r w:rsidRPr="00366660">
        <w:rPr>
          <w:i/>
          <w:iCs/>
        </w:rPr>
        <w:t>La</w:t>
      </w:r>
      <w:r w:rsidRPr="00366660">
        <w:t xml:space="preserve"> culture. Or force est de reconnaître que la « mondialisation » des pratiques socioculturelles n'a pas entraîné la disparition </w:t>
      </w:r>
      <w:r w:rsidRPr="00366660">
        <w:rPr>
          <w:i/>
          <w:iCs/>
        </w:rPr>
        <w:t>déformés différentes de culture :</w:t>
      </w:r>
      <w:r w:rsidRPr="00366660">
        <w:t xml:space="preserve"> il y a au contraire, dans ce nouveau macrocontexte global, coexistence, maintien et renforcement</w:t>
      </w:r>
      <w:r w:rsidRPr="005869B6">
        <w:t xml:space="preserve"> de l'hétérogénéité des vécus culturels.</w:t>
      </w:r>
    </w:p>
    <w:p w:rsidR="00B7214C" w:rsidRPr="005869B6" w:rsidRDefault="00B7214C" w:rsidP="00B7214C">
      <w:pPr>
        <w:pStyle w:val="p"/>
      </w:pPr>
      <w:r>
        <w:t>[544]</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 w:rsidR="00B7214C" w:rsidRDefault="00B7214C" w:rsidP="00B7214C">
      <w:pPr>
        <w:pStyle w:val="p"/>
      </w:pPr>
      <w:r>
        <w:t>[545]</w:t>
      </w:r>
    </w:p>
    <w:p w:rsidR="00B7214C" w:rsidRDefault="00B7214C" w:rsidP="00B7214C">
      <w:pPr>
        <w:pStyle w:val="p"/>
      </w:pPr>
      <w:r>
        <w:t>[546]</w:t>
      </w:r>
    </w:p>
    <w:p w:rsidR="00B7214C" w:rsidRDefault="00B7214C" w:rsidP="00B7214C">
      <w:pPr>
        <w:pStyle w:val="p"/>
      </w:pPr>
      <w:r w:rsidRPr="005869B6">
        <w:br w:type="page"/>
      </w:r>
      <w:r>
        <w:t>[547]</w:t>
      </w: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6" w:name="Entre_tradition_pt_3_texte_40"/>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C. LES MUSÉES : GRENIERS PATRIMONIAUX</w:t>
      </w:r>
      <w:r>
        <w:rPr>
          <w:color w:val="FF0000"/>
          <w:sz w:val="24"/>
        </w:rPr>
        <w:br/>
        <w:t>OU INGÉNIERIE CULTURELLE</w:t>
      </w:r>
    </w:p>
    <w:p w:rsidR="00B7214C" w:rsidRPr="00384B20" w:rsidRDefault="00B7214C" w:rsidP="00B7214C">
      <w:pPr>
        <w:pStyle w:val="Titreniveau1"/>
      </w:pPr>
      <w:r>
        <w:t>40</w:t>
      </w:r>
    </w:p>
    <w:p w:rsidR="00B7214C" w:rsidRDefault="00B7214C" w:rsidP="00B7214C">
      <w:pPr>
        <w:pStyle w:val="Titreniveau2"/>
      </w:pPr>
      <w:r>
        <w:t>“</w:t>
      </w:r>
      <w:r w:rsidRPr="00CE057C">
        <w:t>Le passé de l'actualité scientifique</w:t>
      </w:r>
      <w:r>
        <w:t xml:space="preserve"> et</w:t>
      </w:r>
      <w:r>
        <w:br/>
      </w:r>
      <w:r w:rsidRPr="00CE057C">
        <w:t>le présent de la muséologie historique:</w:t>
      </w:r>
      <w:r>
        <w:br/>
      </w:r>
      <w:r w:rsidRPr="00CE057C">
        <w:t>une conjugaison non défective</w:t>
      </w:r>
      <w:r>
        <w:t>.”</w:t>
      </w:r>
    </w:p>
    <w:bookmarkEnd w:id="56"/>
    <w:p w:rsidR="00B7214C" w:rsidRPr="00E07116" w:rsidRDefault="00B7214C" w:rsidP="00B7214C">
      <w:pPr>
        <w:jc w:val="both"/>
        <w:rPr>
          <w:szCs w:val="36"/>
        </w:rPr>
      </w:pPr>
    </w:p>
    <w:p w:rsidR="00B7214C" w:rsidRPr="00E07116" w:rsidRDefault="00B7214C" w:rsidP="00B7214C">
      <w:pPr>
        <w:pStyle w:val="suite"/>
      </w:pPr>
      <w:r>
        <w:t>Par Manon NIQUETTE</w:t>
      </w:r>
    </w:p>
    <w:p w:rsidR="00B7214C" w:rsidRPr="00E07116" w:rsidRDefault="00B7214C" w:rsidP="00B7214C">
      <w:pPr>
        <w:pStyle w:val="auteurst"/>
      </w:pPr>
      <w:r w:rsidRPr="004A7EF1">
        <w:t>CREST, Université du Québec à Montréal</w:t>
      </w: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rsidRPr="005869B6">
        <w:t xml:space="preserve">Conjugaison non défective, voilà une notion bien grammaticale pour traiter de l'actualité scientifique et de la muséologie historique. Elle est pourtant fort pertinente puisqu'elle questionne le radicalisme de l'opposition entre le passé et le présent. « Défectif », allons voir la définition de ce terme dans le </w:t>
      </w:r>
      <w:r w:rsidRPr="00CE057C">
        <w:rPr>
          <w:i/>
          <w:iCs/>
        </w:rPr>
        <w:t>Petit Robert : « se</w:t>
      </w:r>
      <w:r w:rsidRPr="005869B6">
        <w:t xml:space="preserve"> dit des verbes qui ne possèdent pas, dans l'usage réel, toutes les formes du type de conj</w:t>
      </w:r>
      <w:r w:rsidRPr="005869B6">
        <w:t>u</w:t>
      </w:r>
      <w:r w:rsidRPr="005869B6">
        <w:t>gaison auquel ils appartiennent. Choir, clore, et quérir sont des verbes défe</w:t>
      </w:r>
      <w:r w:rsidRPr="005869B6">
        <w:t>c</w:t>
      </w:r>
      <w:r w:rsidRPr="005869B6">
        <w:t>tifs ». Cette phrase clé nous amène à l'essentiel de notre propos : dans l'usage réel, la muséologie historique et l'actualité scientifique ne sont pas des pratiques défectives : la muséologie historique se conj</w:t>
      </w:r>
      <w:r w:rsidRPr="005869B6">
        <w:t>u</w:t>
      </w:r>
      <w:r w:rsidRPr="005869B6">
        <w:t>gue au présent et l'actualité scientifique est marquée par tous les m</w:t>
      </w:r>
      <w:r w:rsidRPr="005869B6">
        <w:t>o</w:t>
      </w:r>
      <w:r w:rsidRPr="005869B6">
        <w:t>des du passé. En d'autres mots, la muséologie historique est contrainte par les rapports sociaux actuels de ses acteurs et la sélection des no</w:t>
      </w:r>
      <w:r w:rsidRPr="005869B6">
        <w:t>u</w:t>
      </w:r>
      <w:r w:rsidRPr="005869B6">
        <w:t>velles, qui font l'actualité scientifique, est orientée par l'histoire de ses m</w:t>
      </w:r>
      <w:r w:rsidRPr="005869B6">
        <w:t>é</w:t>
      </w:r>
      <w:r w:rsidRPr="005869B6">
        <w:t>dias.</w:t>
      </w:r>
    </w:p>
    <w:p w:rsidR="00B7214C" w:rsidRPr="005869B6" w:rsidRDefault="00B7214C" w:rsidP="00B7214C">
      <w:pPr>
        <w:spacing w:before="120" w:after="120"/>
        <w:jc w:val="both"/>
      </w:pPr>
      <w:r w:rsidRPr="005869B6">
        <w:t>Vérité de La Palice ? Pas autant qu'on pourrait le croire. Plusieurs musées d'histoire aspirent encore à une représentation transparente du passé et les magazines scientifiques se targuent toujours d'être à la fine pointe des questions de l'heure. Le débat entre modernité et pos</w:t>
      </w:r>
      <w:r w:rsidRPr="005869B6">
        <w:t>t</w:t>
      </w:r>
      <w:r w:rsidRPr="005869B6">
        <w:t>modernité n'atteint encore que très peu les petites organisations dont le principal enjeu en est un de survie. C'est le cas pour le musée du Ch</w:t>
      </w:r>
      <w:r w:rsidRPr="005869B6">
        <w:t>â</w:t>
      </w:r>
      <w:r w:rsidRPr="005869B6">
        <w:t>teau Ramezay et le</w:t>
      </w:r>
      <w:r>
        <w:t xml:space="preserve"> [548] </w:t>
      </w:r>
      <w:r w:rsidRPr="000D35A3">
        <w:t xml:space="preserve">magazine d'actualité scientifique </w:t>
      </w:r>
      <w:r w:rsidRPr="000D35A3">
        <w:rPr>
          <w:i/>
          <w:iCs/>
        </w:rPr>
        <w:t>Québec-Science.</w:t>
      </w:r>
      <w:r w:rsidRPr="000D35A3">
        <w:t xml:space="preserve"> Le développ</w:t>
      </w:r>
      <w:r w:rsidRPr="000D35A3">
        <w:t>e</w:t>
      </w:r>
      <w:r w:rsidRPr="005869B6">
        <w:t>ment de chacune de ces organisations a fait l'objet d'une étude appr</w:t>
      </w:r>
      <w:r w:rsidRPr="005869B6">
        <w:t>o</w:t>
      </w:r>
      <w:r w:rsidRPr="005869B6">
        <w:t>fondie. L analyse de documents et d'articles de presse accompagnait une série d'entrevues avec divers acteurs de chacune de ces organis</w:t>
      </w:r>
      <w:r w:rsidRPr="005869B6">
        <w:t>a</w:t>
      </w:r>
      <w:r w:rsidRPr="005869B6">
        <w:t>tions</w:t>
      </w:r>
      <w:r>
        <w:t> </w:t>
      </w:r>
      <w:r>
        <w:rPr>
          <w:rStyle w:val="Appelnotedebasdep"/>
        </w:rPr>
        <w:footnoteReference w:id="410"/>
      </w:r>
      <w:r w:rsidRPr="005869B6">
        <w:t>.</w:t>
      </w:r>
    </w:p>
    <w:p w:rsidR="00B7214C" w:rsidRPr="005869B6" w:rsidRDefault="00B7214C" w:rsidP="00B7214C">
      <w:pPr>
        <w:spacing w:before="120" w:after="120"/>
        <w:jc w:val="both"/>
      </w:pPr>
      <w:r w:rsidRPr="005869B6">
        <w:t>S'inspirant d'une synthèse de la théorie de la structuration de Gi</w:t>
      </w:r>
      <w:r w:rsidRPr="005869B6">
        <w:t>d</w:t>
      </w:r>
      <w:r w:rsidRPr="005869B6">
        <w:t>dens (1987) et de l'approche expérientialiste de la compréhension de Lakoff et Johnson (1985), cette communication a pour objectif de montrer comment les pratiques locales de la diffusion des savoirs sont empreintes de significations puisées dans des secteurs d'activité sp</w:t>
      </w:r>
      <w:r w:rsidRPr="005869B6">
        <w:t>a</w:t>
      </w:r>
      <w:r w:rsidRPr="005869B6">
        <w:t>tio</w:t>
      </w:r>
      <w:r>
        <w:t>-</w:t>
      </w:r>
      <w:r w:rsidRPr="005869B6">
        <w:t>temporellement détachés de leur lieu d'action. Pour donner un sens à leurs pratiques, les acteurs ont recours à des schèmes interprétatifs qui relèvent de différents secteurs d'activité de la vie quotidienne. Ces secteurs d'activités sont régionalisés sur des étendues plus ou moins longues d'espace et de temps.</w:t>
      </w:r>
    </w:p>
    <w:p w:rsidR="00B7214C" w:rsidRPr="005869B6" w:rsidRDefault="00B7214C" w:rsidP="00B7214C">
      <w:pPr>
        <w:spacing w:before="120" w:after="120"/>
        <w:jc w:val="both"/>
      </w:pPr>
      <w:r w:rsidRPr="005869B6">
        <w:t>Prenons d'abord l'exemple du musée du Château Ramezay qui est un musée montréalais à vocation historique. Il appartient à la Société d'archéologie et de numismatique de Montréal, une ancienne société « savante », sélecte, bilingue, et vouée à la promotion de l'étude de la numismatique. En 1895, la Société installa un musée et une biblioth</w:t>
      </w:r>
      <w:r w:rsidRPr="005869B6">
        <w:t>è</w:t>
      </w:r>
      <w:r w:rsidRPr="005869B6">
        <w:t>que au Château Ramezay dont elle était la locataire. Le musée et la bibliothèque étaient alors réservés à l'usage exclusif de ses membres. Le Château fut cédé à la Société en 1929 par la Ville de Montréal. Le droit de propriété était toutefois assujetti à certaines conditions dont l'accessibilité gratuite du musée au public.</w:t>
      </w:r>
    </w:p>
    <w:p w:rsidR="00B7214C" w:rsidRPr="005869B6" w:rsidRDefault="00B7214C" w:rsidP="00B7214C">
      <w:pPr>
        <w:spacing w:before="120" w:after="120"/>
        <w:jc w:val="both"/>
      </w:pPr>
      <w:r w:rsidRPr="005869B6">
        <w:t>Historiquement, depuis la fondation de la Société d'archéologie et de numismatique de Montréal, la structure formelle de cet organisme privé à but non lucratif est articulée selon un mode de fonctionnement bilingue. Cette structure répondait au projet de l'élite bourgeoise, a</w:t>
      </w:r>
      <w:r w:rsidRPr="005869B6">
        <w:t>n</w:t>
      </w:r>
      <w:r w:rsidRPr="005869B6">
        <w:t>glophone et francophone, d'une confédération canadienne unie. L'équilibre de ce fonctionnement bilingue dans un musée historique est difficile à assurer puisque traditionnellement la culture anglo-canadienne a toujours éprouvé plus de difficulté à se définir par ra</w:t>
      </w:r>
      <w:r w:rsidRPr="005869B6">
        <w:t>p</w:t>
      </w:r>
      <w:r w:rsidRPr="005869B6">
        <w:t>port à la culture francophone. C'est pour répondre à cette lacune qu'un groupe anglophone, la « Junior League », dont la mission était d'int</w:t>
      </w:r>
      <w:r w:rsidRPr="005869B6">
        <w:t>é</w:t>
      </w:r>
      <w:r w:rsidRPr="005869B6">
        <w:t>grer les femmes immigrantes, a pris l'initiative de former une associ</w:t>
      </w:r>
      <w:r w:rsidRPr="005869B6">
        <w:t>a</w:t>
      </w:r>
      <w:r w:rsidRPr="005869B6">
        <w:t>tion de guides anglophones. C'est en réaction à cet événement que s'est formé, une année plus tard, un groupe de guides francophones.</w:t>
      </w:r>
    </w:p>
    <w:p w:rsidR="00B7214C" w:rsidRPr="005869B6" w:rsidRDefault="00B7214C" w:rsidP="00B7214C">
      <w:pPr>
        <w:spacing w:before="120" w:after="120"/>
        <w:jc w:val="both"/>
      </w:pPr>
      <w:r w:rsidRPr="005869B6">
        <w:t>Les guides font elles-même</w:t>
      </w:r>
      <w:r>
        <w:t>s</w:t>
      </w:r>
      <w:r w:rsidRPr="005869B6">
        <w:t xml:space="preserve"> la recherche et la conception des act</w:t>
      </w:r>
      <w:r w:rsidRPr="005869B6">
        <w:t>i</w:t>
      </w:r>
      <w:r w:rsidRPr="005869B6">
        <w:t>vités destinées aux groupes d'enfants. Ce sont les besoins du moment qui donnent un sens au choix des acteurs. Mais ce sont aussi les diff</w:t>
      </w:r>
      <w:r w:rsidRPr="005869B6">
        <w:t>i</w:t>
      </w:r>
      <w:r w:rsidRPr="005869B6">
        <w:t>cultés du temps présent qui les mettent en scène. Ainsi, le projet qui a donné naissance</w:t>
      </w:r>
      <w:r>
        <w:t xml:space="preserve"> [549] </w:t>
      </w:r>
      <w:r w:rsidRPr="005869B6">
        <w:t>à la structure organisationnelle du musée se heurte à la réalité de ses acteurs actuels et donne lieu à plusieurs sy</w:t>
      </w:r>
      <w:r w:rsidRPr="005869B6">
        <w:t>s</w:t>
      </w:r>
      <w:r w:rsidRPr="005869B6">
        <w:t>tèmes de signific</w:t>
      </w:r>
      <w:r w:rsidRPr="005869B6">
        <w:t>a</w:t>
      </w:r>
      <w:r w:rsidRPr="005869B6">
        <w:t>tions contradictoires.</w:t>
      </w:r>
    </w:p>
    <w:p w:rsidR="00B7214C" w:rsidRDefault="00B7214C" w:rsidP="00B7214C">
      <w:pPr>
        <w:spacing w:before="120" w:after="120"/>
        <w:jc w:val="both"/>
      </w:pPr>
    </w:p>
    <w:p w:rsidR="00B7214C" w:rsidRPr="005869B6" w:rsidRDefault="00B7214C" w:rsidP="00B7214C">
      <w:pPr>
        <w:spacing w:before="120" w:after="120"/>
        <w:ind w:left="720" w:hanging="360"/>
        <w:jc w:val="both"/>
      </w:pPr>
      <w:r>
        <w:t>1.</w:t>
      </w:r>
      <w:r>
        <w:tab/>
      </w:r>
      <w:r w:rsidRPr="005869B6">
        <w:t>L'association des valeurs démocratiques à la triple histoire de l'occupation française, américaine et anglaise du Château nou</w:t>
      </w:r>
      <w:r w:rsidRPr="005869B6">
        <w:t>r</w:t>
      </w:r>
      <w:r w:rsidRPr="005869B6">
        <w:t>rit encore l'idéal véhiculé par le discours des animatrices</w:t>
      </w:r>
      <w:r>
        <w:t> </w:t>
      </w:r>
      <w:r>
        <w:rPr>
          <w:rStyle w:val="Appelnotedebasdep"/>
        </w:rPr>
        <w:footnoteReference w:id="411"/>
      </w:r>
      <w:r w:rsidRPr="005869B6">
        <w:t xml:space="preserve"> a</w:t>
      </w:r>
      <w:r w:rsidRPr="005869B6">
        <w:t>n</w:t>
      </w:r>
      <w:r w:rsidRPr="005869B6">
        <w:t>glophones. Elle fait l'éloge du</w:t>
      </w:r>
      <w:r>
        <w:t xml:space="preserve"> fonctionnement biculturel de l’</w:t>
      </w:r>
      <w:r w:rsidRPr="005869B6">
        <w:t>organisation. Ce système de valeurs s'oppose aux aspirations patriotiques, par surcroît nation</w:t>
      </w:r>
      <w:r w:rsidRPr="005869B6">
        <w:t>a</w:t>
      </w:r>
      <w:r w:rsidRPr="005869B6">
        <w:t>listes, des guides francophones.</w:t>
      </w:r>
    </w:p>
    <w:p w:rsidR="00B7214C" w:rsidRPr="005869B6" w:rsidRDefault="00B7214C" w:rsidP="00B7214C">
      <w:pPr>
        <w:spacing w:before="120" w:after="120"/>
        <w:ind w:left="720" w:hanging="360"/>
        <w:jc w:val="both"/>
      </w:pPr>
      <w:r>
        <w:t>2.</w:t>
      </w:r>
      <w:r>
        <w:tab/>
      </w:r>
      <w:r w:rsidRPr="005869B6">
        <w:t>Le caractère sélect de la Société et l'expertise de ses membres doivent composer avec les valeurs d'accessibilité publique, de volo</w:t>
      </w:r>
      <w:r w:rsidRPr="005869B6">
        <w:t>n</w:t>
      </w:r>
      <w:r w:rsidRPr="005869B6">
        <w:t>tarisme et de désintéressement imposées par la Ville de Montréal.</w:t>
      </w:r>
    </w:p>
    <w:p w:rsidR="00B7214C" w:rsidRPr="005869B6" w:rsidRDefault="00B7214C" w:rsidP="00B7214C">
      <w:pPr>
        <w:spacing w:before="120" w:after="120"/>
        <w:ind w:left="720" w:hanging="360"/>
        <w:jc w:val="both"/>
      </w:pPr>
      <w:r>
        <w:t>3.</w:t>
      </w:r>
      <w:r>
        <w:tab/>
      </w:r>
      <w:r w:rsidRPr="005869B6">
        <w:t>La tension entre le fait que les biens conse</w:t>
      </w:r>
      <w:r>
        <w:t>rvés appartiennent au secteur pri</w:t>
      </w:r>
      <w:r w:rsidRPr="005869B6">
        <w:t>vé et que la notion de patrimoine collectivise de plus en plus la valeur symbolique de ces biens a ouvert la voie à des tendances contradictoires à l'étatisation et à la privatisation a</w:t>
      </w:r>
      <w:r w:rsidRPr="005869B6">
        <w:t>c</w:t>
      </w:r>
      <w:r w:rsidRPr="005869B6">
        <w:t>crue du musée.</w:t>
      </w:r>
    </w:p>
    <w:p w:rsidR="00B7214C" w:rsidRDefault="00B7214C" w:rsidP="00B7214C">
      <w:pPr>
        <w:spacing w:before="120" w:after="120"/>
        <w:jc w:val="both"/>
      </w:pPr>
    </w:p>
    <w:p w:rsidR="00B7214C" w:rsidRPr="005869B6" w:rsidRDefault="00B7214C" w:rsidP="00B7214C">
      <w:pPr>
        <w:spacing w:before="120" w:after="120"/>
        <w:jc w:val="both"/>
      </w:pPr>
      <w:r w:rsidRPr="005869B6">
        <w:t>Bien qu'opposés les uns aux autres, ces systèmes de signification sont essentiels car ce sont par eux que les acteurs donnent un sens à leur travail. Ils participent à la stabilisation de leurs relations dans le temps et 1 espace, sous forme de traits institutionnels. La rencontre de ces schèmes contradictoires a néanmoins une incidence directe sur la sélection et la mise en scène des savoirs historiques.</w:t>
      </w:r>
    </w:p>
    <w:p w:rsidR="00B7214C" w:rsidRPr="005869B6" w:rsidRDefault="00B7214C" w:rsidP="00B7214C">
      <w:pPr>
        <w:spacing w:before="120" w:after="120"/>
        <w:jc w:val="both"/>
      </w:pPr>
      <w:r w:rsidRPr="005869B6">
        <w:t>Les guides anglophones, ayant plus de difficulté à définir leur ide</w:t>
      </w:r>
      <w:r w:rsidRPr="005869B6">
        <w:t>n</w:t>
      </w:r>
      <w:r w:rsidRPr="005869B6">
        <w:t xml:space="preserve">tité culturelle que les guides francophones, ne parvinrent pas à mettre en valeur la triple histoire du </w:t>
      </w:r>
      <w:r>
        <w:t>Château. La thématique de la co</w:t>
      </w:r>
      <w:r>
        <w:t>l</w:t>
      </w:r>
      <w:r>
        <w:t>l</w:t>
      </w:r>
      <w:r w:rsidRPr="005869B6">
        <w:t>ection du musée accentue toujours le passé du Château sous le r</w:t>
      </w:r>
      <w:r w:rsidRPr="005869B6">
        <w:t>é</w:t>
      </w:r>
      <w:r>
        <w:t>gim</w:t>
      </w:r>
      <w:r w:rsidRPr="005869B6">
        <w:t>e français. Pour éviter l'éclatement interne des conflits, l'énoncé du contenu de l'exposition permanente s'en tient à « la vie quotidienne des Montréalais au XVIII</w:t>
      </w:r>
      <w:r w:rsidRPr="005869B6">
        <w:rPr>
          <w:vertAlign w:val="superscript"/>
        </w:rPr>
        <w:t>e</w:t>
      </w:r>
      <w:r w:rsidRPr="005869B6">
        <w:t xml:space="preserve"> siècle ». De ce fait, la représentation m</w:t>
      </w:r>
      <w:r w:rsidRPr="005869B6">
        <w:t>u</w:t>
      </w:r>
      <w:r w:rsidRPr="005869B6">
        <w:t>séale est épurée de toute information sur le contexte historique et pol</w:t>
      </w:r>
      <w:r w:rsidRPr="005869B6">
        <w:t>i</w:t>
      </w:r>
      <w:r w:rsidRPr="005869B6">
        <w:t>tique de cette vie quotidienne. Animée majoritairement par des fe</w:t>
      </w:r>
      <w:r w:rsidRPr="005869B6">
        <w:t>m</w:t>
      </w:r>
      <w:r w:rsidRPr="005869B6">
        <w:t>mes, l'accent est plutôt mis sur l'aspect fonctionnel des objets dome</w:t>
      </w:r>
      <w:r w:rsidRPr="005869B6">
        <w:t>s</w:t>
      </w:r>
      <w:r w:rsidRPr="005869B6">
        <w:t>tiques. Soulignons en passant que si le labeur des femmes est mis en scène, c'est surtout pour mettre en valeur les trouvailles technolog</w:t>
      </w:r>
      <w:r w:rsidRPr="005869B6">
        <w:t>i</w:t>
      </w:r>
      <w:r w:rsidRPr="005869B6">
        <w:t>ques, voire masculines, de l'époque (Porter, 1991).</w:t>
      </w:r>
    </w:p>
    <w:p w:rsidR="00B7214C" w:rsidRPr="005869B6" w:rsidRDefault="00B7214C" w:rsidP="00B7214C">
      <w:pPr>
        <w:spacing w:before="120" w:after="120"/>
        <w:jc w:val="both"/>
      </w:pPr>
      <w:r w:rsidRPr="00144A85">
        <w:t xml:space="preserve">Ce rabattement de l'historique sur la </w:t>
      </w:r>
      <w:r w:rsidRPr="00144A85">
        <w:rPr>
          <w:i/>
          <w:iCs/>
        </w:rPr>
        <w:t>tekhnê</w:t>
      </w:r>
      <w:r w:rsidRPr="00144A85">
        <w:t xml:space="preserve"> quotidienne offre du</w:t>
      </w:r>
      <w:r w:rsidRPr="005869B6">
        <w:t xml:space="preserve"> même coup un terrain d'entente aux valeurs modernes d'accessibilité et à la tradition de notoriété liée au membership d'un groupe averti de collectionneurs. Le culte d un passé héroïque subjugue celui du pr</w:t>
      </w:r>
      <w:r w:rsidRPr="005869B6">
        <w:t>o</w:t>
      </w:r>
      <w:r w:rsidRPr="005869B6">
        <w:t>grès. C'est en minimisant l'idée d'évolution que la collection est mise en valeur. Ce que nous faisons aujourd'hui, nous pouvions le faire hier. La représentation</w:t>
      </w:r>
      <w:r>
        <w:t xml:space="preserve"> [550] </w:t>
      </w:r>
      <w:r w:rsidRPr="005869B6">
        <w:t>muséale est une célébration de la déco</w:t>
      </w:r>
      <w:r w:rsidRPr="005869B6">
        <w:t>u</w:t>
      </w:r>
      <w:r w:rsidRPr="005869B6">
        <w:t>verte au service des génér</w:t>
      </w:r>
      <w:r w:rsidRPr="005869B6">
        <w:t>a</w:t>
      </w:r>
      <w:r w:rsidRPr="005869B6">
        <w:t>tions futures.</w:t>
      </w:r>
    </w:p>
    <w:p w:rsidR="00B7214C" w:rsidRPr="005869B6" w:rsidRDefault="00B7214C" w:rsidP="00B7214C">
      <w:pPr>
        <w:spacing w:before="120" w:after="120"/>
        <w:jc w:val="both"/>
      </w:pPr>
      <w:r w:rsidRPr="005869B6">
        <w:t>Souvent les enfants trouvent que c'est bien primitif, dit Julie Da</w:t>
      </w:r>
      <w:r w:rsidRPr="005869B6">
        <w:t>w</w:t>
      </w:r>
      <w:r w:rsidRPr="005869B6">
        <w:t>son, un</w:t>
      </w:r>
      <w:r>
        <w:t> </w:t>
      </w:r>
      <w:r>
        <w:rPr>
          <w:rStyle w:val="Appelnotedebasdep"/>
        </w:rPr>
        <w:footnoteReference w:id="412"/>
      </w:r>
      <w:r w:rsidRPr="005869B6">
        <w:t xml:space="preserve"> autre guide. Nous demandons alors aux enfants ce qu'ils font cuire à la maison que nous ne pourrions pas cuire ici. Et la pl</w:t>
      </w:r>
      <w:r w:rsidRPr="005869B6">
        <w:t>u</w:t>
      </w:r>
      <w:r w:rsidRPr="005869B6">
        <w:t>part du temps, nous sommes capables de le faire</w:t>
      </w:r>
      <w:r>
        <w:t> </w:t>
      </w:r>
      <w:r>
        <w:rPr>
          <w:rStyle w:val="Appelnotedebasdep"/>
        </w:rPr>
        <w:footnoteReference w:id="413"/>
      </w:r>
      <w:r w:rsidRPr="005869B6">
        <w:t>.</w:t>
      </w:r>
    </w:p>
    <w:p w:rsidR="00B7214C" w:rsidRPr="005869B6" w:rsidRDefault="00B7214C" w:rsidP="00B7214C">
      <w:pPr>
        <w:spacing w:before="120" w:after="120"/>
        <w:jc w:val="both"/>
      </w:pPr>
      <w:r w:rsidRPr="005869B6">
        <w:t xml:space="preserve">Enfin, il appert que la bibliothèque est devenue un lieu stratégique de concertation. Les documents qui s'y trouvent ont un lien direct avec </w:t>
      </w:r>
      <w:r w:rsidRPr="00144A85">
        <w:t xml:space="preserve">les objets du musée. Un comité </w:t>
      </w:r>
      <w:r w:rsidRPr="00144A85">
        <w:rPr>
          <w:i/>
          <w:iCs/>
        </w:rPr>
        <w:t>ad hoc</w:t>
      </w:r>
      <w:r w:rsidRPr="00144A85">
        <w:t xml:space="preserve"> a été créé pour régler une série</w:t>
      </w:r>
      <w:r w:rsidRPr="005869B6">
        <w:t xml:space="preserve"> de problèmes concernant la spécialisation des documents, 1 identific</w:t>
      </w:r>
      <w:r w:rsidRPr="005869B6">
        <w:t>a</w:t>
      </w:r>
      <w:r w:rsidRPr="005869B6">
        <w:t>tion des limites de la collection, la sélection des thèmes de classific</w:t>
      </w:r>
      <w:r w:rsidRPr="005869B6">
        <w:t>a</w:t>
      </w:r>
      <w:r w:rsidRPr="005869B6">
        <w:t>tion, etc. Les décisions de ce comité ont un impact concret sur les s</w:t>
      </w:r>
      <w:r w:rsidRPr="005869B6">
        <w:t>i</w:t>
      </w:r>
      <w:r w:rsidRPr="005869B6">
        <w:t>gnifications qui sont attribuées aux objets dont est constituée la colle</w:t>
      </w:r>
      <w:r w:rsidRPr="005869B6">
        <w:t>c</w:t>
      </w:r>
      <w:r w:rsidRPr="005869B6">
        <w:t>tion du musée. Dans les petits musées d'histoire, le texte-cible est so</w:t>
      </w:r>
      <w:r w:rsidRPr="005869B6">
        <w:t>u</w:t>
      </w:r>
      <w:r w:rsidRPr="005869B6">
        <w:t>vent construit à partir des objets disponibles et des informations dont les acteurs disposent pour leur donner une signification. Par cons</w:t>
      </w:r>
      <w:r w:rsidRPr="005869B6">
        <w:t>é</w:t>
      </w:r>
      <w:r w:rsidRPr="005869B6">
        <w:t>quent, le contrôle de ces informations, parce qu'il a un impact déte</w:t>
      </w:r>
      <w:r w:rsidRPr="005869B6">
        <w:t>r</w:t>
      </w:r>
      <w:r w:rsidRPr="005869B6">
        <w:t>minan</w:t>
      </w:r>
      <w:r>
        <w:t>t sur l'exposition, constitue l’</w:t>
      </w:r>
      <w:r w:rsidRPr="005869B6">
        <w:t>enjeu réel des membres du comité.</w:t>
      </w:r>
    </w:p>
    <w:p w:rsidR="00B7214C" w:rsidRPr="005869B6" w:rsidRDefault="00B7214C" w:rsidP="00B7214C">
      <w:pPr>
        <w:spacing w:before="120" w:after="120"/>
        <w:jc w:val="both"/>
      </w:pPr>
      <w:r w:rsidRPr="005869B6">
        <w:t>Bref, l'hypothèse soulevée est la suivante : les schèmes interprét</w:t>
      </w:r>
      <w:r w:rsidRPr="005869B6">
        <w:t>a</w:t>
      </w:r>
      <w:r w:rsidRPr="005869B6">
        <w:t>tifs que les acteurs d'un musée historique utilisent pour assurer le « contrôle du contrôle » de leurs actions contraignent la mise en scène du passé à deux possibilités : reproduire les tensions actuelles du champ social ou construire une histoire aseptisée. Le sacrifice de la cohérence des représentations muséales est le prix à paye</w:t>
      </w:r>
      <w:r>
        <w:t>r. Qu'en est-il maintenant de l’</w:t>
      </w:r>
      <w:r w:rsidRPr="005869B6">
        <w:t>influence du passé d'un magazine scientifique sur sa représentation du présent ? L histoire peut être embarrassante pour un médi</w:t>
      </w:r>
      <w:r>
        <w:t>a qui se veut « branché » sur l’</w:t>
      </w:r>
      <w:r w:rsidRPr="005869B6">
        <w:t>actualité mais la tradition sert bien son image de fidélité. Les magazines doivent savoir se renouv</w:t>
      </w:r>
      <w:r w:rsidRPr="005869B6">
        <w:t>e</w:t>
      </w:r>
      <w:r w:rsidRPr="005869B6">
        <w:t>ler sans perdre leurs lecteurs les plus assidus. C est donc en jouant et en transformant subtilement les slogans internes que les administr</w:t>
      </w:r>
      <w:r w:rsidRPr="005869B6">
        <w:t>a</w:t>
      </w:r>
      <w:r w:rsidRPr="005869B6">
        <w:t>teurs et les journalistes arrivent à imposer leur schèmes interprétatifs. D</w:t>
      </w:r>
      <w:r w:rsidRPr="005869B6">
        <w:t>é</w:t>
      </w:r>
      <w:r w:rsidRPr="005869B6">
        <w:t>coupé dans les préoccupations dominantes du moment, le fait journ</w:t>
      </w:r>
      <w:r w:rsidRPr="005869B6">
        <w:t>a</w:t>
      </w:r>
      <w:r w:rsidRPr="005869B6">
        <w:t>listique ne décolle jamais complètement de la tradition du magaz</w:t>
      </w:r>
      <w:r w:rsidRPr="005869B6">
        <w:t>i</w:t>
      </w:r>
      <w:r w:rsidRPr="005869B6">
        <w:t>ne.</w:t>
      </w:r>
    </w:p>
    <w:p w:rsidR="00B7214C" w:rsidRDefault="00B7214C" w:rsidP="00B7214C">
      <w:pPr>
        <w:spacing w:before="120" w:after="120"/>
        <w:jc w:val="both"/>
      </w:pPr>
      <w:r w:rsidRPr="005869B6">
        <w:t xml:space="preserve">Publié pendant 23 ans par les Presses de l'Université du Québec </w:t>
      </w:r>
      <w:r w:rsidRPr="00144A85">
        <w:t xml:space="preserve">(PUQ), </w:t>
      </w:r>
      <w:r w:rsidRPr="00144A85">
        <w:rPr>
          <w:i/>
        </w:rPr>
        <w:t>Québec-Science</w:t>
      </w:r>
      <w:r w:rsidRPr="00144A85">
        <w:t xml:space="preserve"> est un magazine d'actualité scientifique qui s'adresse au grand public. D'abord propriété de l'ACF AS, l'ancêtre de </w:t>
      </w:r>
      <w:r w:rsidRPr="00144A85">
        <w:rPr>
          <w:i/>
          <w:iCs/>
        </w:rPr>
        <w:t xml:space="preserve">Québec-Science, </w:t>
      </w:r>
      <w:r w:rsidRPr="00144A85">
        <w:t xml:space="preserve">la revue </w:t>
      </w:r>
      <w:r w:rsidRPr="00144A85">
        <w:rPr>
          <w:i/>
          <w:iCs/>
        </w:rPr>
        <w:t>Le Jeune Scientifique,</w:t>
      </w:r>
      <w:r w:rsidRPr="00144A85">
        <w:t xml:space="preserve"> était un outil parasc</w:t>
      </w:r>
      <w:r w:rsidRPr="00144A85">
        <w:t>o</w:t>
      </w:r>
      <w:r w:rsidRPr="00144A85">
        <w:t xml:space="preserve">laire. Cette revue était aussi issue d'une ancienne publication fondée par Léo Brassard et publiée par les Clercs deSt-Viateur : </w:t>
      </w:r>
      <w:r w:rsidRPr="00144A85">
        <w:rPr>
          <w:i/>
          <w:iCs/>
        </w:rPr>
        <w:t>Lejeune N</w:t>
      </w:r>
      <w:r w:rsidRPr="00144A85">
        <w:rPr>
          <w:i/>
          <w:iCs/>
        </w:rPr>
        <w:t>a</w:t>
      </w:r>
      <w:r w:rsidRPr="00144A85">
        <w:rPr>
          <w:i/>
          <w:iCs/>
        </w:rPr>
        <w:t>turaliste.</w:t>
      </w:r>
      <w:r w:rsidRPr="00144A85">
        <w:t xml:space="preserve"> Aujourd'hui </w:t>
      </w:r>
      <w:r w:rsidRPr="00144A85">
        <w:rPr>
          <w:i/>
          <w:iCs/>
        </w:rPr>
        <w:t>Québec-Science</w:t>
      </w:r>
      <w:r w:rsidRPr="00144A85">
        <w:t xml:space="preserve"> n'est pas seulement un magaz</w:t>
      </w:r>
      <w:r w:rsidRPr="00144A85">
        <w:t>i</w:t>
      </w:r>
      <w:r w:rsidRPr="00144A85">
        <w:t>ne ; il est aussi une société à but non lucratif qui a vu le jour sous</w:t>
      </w:r>
      <w:r w:rsidRPr="005869B6">
        <w:t xml:space="preserve"> l'égide du cégep de Jonquière. Le périodique a fêté ses trente ans cette année.</w:t>
      </w:r>
    </w:p>
    <w:p w:rsidR="00B7214C" w:rsidRPr="005869B6" w:rsidRDefault="00B7214C" w:rsidP="00B7214C">
      <w:pPr>
        <w:spacing w:before="120" w:after="120"/>
        <w:jc w:val="both"/>
      </w:pPr>
      <w:r>
        <w:t>[</w:t>
      </w:r>
      <w:r w:rsidRPr="005869B6">
        <w:t>551</w:t>
      </w:r>
      <w:r>
        <w:t>]</w:t>
      </w:r>
    </w:p>
    <w:p w:rsidR="00B7214C" w:rsidRPr="00144A85" w:rsidRDefault="00B7214C" w:rsidP="00B7214C">
      <w:pPr>
        <w:spacing w:before="120" w:after="120"/>
        <w:jc w:val="both"/>
      </w:pPr>
      <w:r w:rsidRPr="005869B6">
        <w:t xml:space="preserve">L'actualité scientifique n'était pas une préoccupation de la revue il </w:t>
      </w:r>
      <w:r w:rsidRPr="00144A85">
        <w:t>y a 25 ans. Elle ne l'est devenue qu'à partir de 1969. Ce concept red</w:t>
      </w:r>
      <w:r w:rsidRPr="00144A85">
        <w:t>é</w:t>
      </w:r>
      <w:r w:rsidRPr="00144A85">
        <w:t>finit la fonction de vulgarisation dans le cadre d'une pratique journ</w:t>
      </w:r>
      <w:r w:rsidRPr="00144A85">
        <w:t>a</w:t>
      </w:r>
      <w:r w:rsidRPr="00144A85">
        <w:t>listiq</w:t>
      </w:r>
      <w:r>
        <w:t>ue. Peu importe l’identité de l’</w:t>
      </w:r>
      <w:r w:rsidRPr="00144A85">
        <w:t xml:space="preserve">organisation qui publiait </w:t>
      </w:r>
      <w:r w:rsidRPr="00144A85">
        <w:rPr>
          <w:i/>
          <w:iCs/>
        </w:rPr>
        <w:t>Québec-Science,</w:t>
      </w:r>
      <w:r w:rsidRPr="00144A85">
        <w:t xml:space="preserve"> que ce soit les Clercs de St-Viateur, l'ACFAS ou l'Université du Québec, il était entendu pour chacune qu'elle devait fournir l'infra</w:t>
      </w:r>
      <w:r w:rsidRPr="00144A85">
        <w:t>s</w:t>
      </w:r>
      <w:r w:rsidRPr="00144A85">
        <w:t>tructure nécessaire à la production du magazine et laisser à la réda</w:t>
      </w:r>
      <w:r w:rsidRPr="00144A85">
        <w:t>c</w:t>
      </w:r>
      <w:r w:rsidRPr="00144A85">
        <w:t>tion son autonomie. Si l'administration et la vocation de la revue ont changé, la défense de son autonomie rédactionnelle est demeurée i</w:t>
      </w:r>
      <w:r w:rsidRPr="00144A85">
        <w:t>n</w:t>
      </w:r>
      <w:r w:rsidRPr="00144A85">
        <w:t xml:space="preserve">tacte. Bien que </w:t>
      </w:r>
      <w:r w:rsidRPr="00144A85">
        <w:rPr>
          <w:i/>
          <w:iCs/>
        </w:rPr>
        <w:t>Le Jeune Naturaliste</w:t>
      </w:r>
      <w:r w:rsidRPr="00144A85">
        <w:t xml:space="preserve"> ait prêché les merveilles de la nature et </w:t>
      </w:r>
      <w:r w:rsidRPr="00144A85">
        <w:rPr>
          <w:i/>
          <w:iCs/>
        </w:rPr>
        <w:t>Le Jeune Scientifique</w:t>
      </w:r>
      <w:r w:rsidRPr="00144A85">
        <w:t xml:space="preserve"> les vertus de la science, la fonction de vulgarisation a tenu ces revues à l'écart de toute adhésion confessio</w:t>
      </w:r>
      <w:r w:rsidRPr="00144A85">
        <w:t>n</w:t>
      </w:r>
      <w:r w:rsidRPr="00144A85">
        <w:t xml:space="preserve">nelle. Plus tard, c'est en ayant recours à une fonction plus moderne, la fonction journalistique, que </w:t>
      </w:r>
      <w:r w:rsidRPr="00144A85">
        <w:rPr>
          <w:i/>
          <w:iCs/>
        </w:rPr>
        <w:t>Québec-Science</w:t>
      </w:r>
      <w:r w:rsidRPr="00144A85">
        <w:t xml:space="preserve"> a continué de se prése</w:t>
      </w:r>
      <w:r w:rsidRPr="00144A85">
        <w:t>r</w:t>
      </w:r>
      <w:r w:rsidRPr="00144A85">
        <w:t>ver de tout contrôle institutionnel. La défense de la liberté de presse a remplacé celle de la laïcité. Les acteurs ont ainsi emprunté des él</w:t>
      </w:r>
      <w:r w:rsidRPr="00144A85">
        <w:t>é</w:t>
      </w:r>
      <w:r w:rsidRPr="00144A85">
        <w:t xml:space="preserve">ments de signification du champ mass-médiatique pour réinterpréter des pratiques anciennes et les adapter à la réalité de leur nouveau contexte d'action. Dans un autre ordre d'idées, mentionnons que si </w:t>
      </w:r>
      <w:r w:rsidRPr="00144A85">
        <w:rPr>
          <w:i/>
          <w:iCs/>
        </w:rPr>
        <w:t>Le Jeune Scientifique</w:t>
      </w:r>
      <w:r w:rsidRPr="00144A85">
        <w:t xml:space="preserve"> avait pour objectif de susciter des vocations scient</w:t>
      </w:r>
      <w:r w:rsidRPr="00144A85">
        <w:t>i</w:t>
      </w:r>
      <w:r w:rsidRPr="00144A85">
        <w:t xml:space="preserve">fiques, </w:t>
      </w:r>
      <w:r w:rsidRPr="00144A85">
        <w:rPr>
          <w:i/>
          <w:iCs/>
        </w:rPr>
        <w:t>Québec-Science</w:t>
      </w:r>
      <w:r w:rsidRPr="00144A85">
        <w:t xml:space="preserve"> a surtout réussi à créer des vocations journ</w:t>
      </w:r>
      <w:r w:rsidRPr="00144A85">
        <w:t>a</w:t>
      </w:r>
      <w:r w:rsidRPr="00144A85">
        <w:t>listiques. Étudiants engagés destinés à une brillante carrière scientif</w:t>
      </w:r>
      <w:r w:rsidRPr="00144A85">
        <w:t>i</w:t>
      </w:r>
      <w:r w:rsidRPr="00144A85">
        <w:t xml:space="preserve">que, les jeunes collaborateurs de </w:t>
      </w:r>
      <w:r w:rsidRPr="00144A85">
        <w:rPr>
          <w:i/>
          <w:iCs/>
        </w:rPr>
        <w:t xml:space="preserve">Québec-Science </w:t>
      </w:r>
      <w:r w:rsidRPr="00144A85">
        <w:t>changèrent d'orie</w:t>
      </w:r>
      <w:r w:rsidRPr="00144A85">
        <w:t>n</w:t>
      </w:r>
      <w:r w:rsidRPr="00144A85">
        <w:t>tation et devinrent journalistes.</w:t>
      </w:r>
    </w:p>
    <w:p w:rsidR="00B7214C" w:rsidRPr="00144A85" w:rsidRDefault="00B7214C" w:rsidP="00B7214C">
      <w:pPr>
        <w:spacing w:before="120" w:after="120"/>
        <w:jc w:val="both"/>
      </w:pPr>
      <w:r w:rsidRPr="00144A85">
        <w:t>La création d'un comité de rédaction, constitué de journalistes e</w:t>
      </w:r>
      <w:r w:rsidRPr="00144A85">
        <w:t>m</w:t>
      </w:r>
      <w:r w:rsidRPr="00144A85">
        <w:t>ployés à plein temps, contribuèrent à augmenter le pouvoir des pr</w:t>
      </w:r>
      <w:r w:rsidRPr="00144A85">
        <w:t>o</w:t>
      </w:r>
      <w:r w:rsidRPr="00144A85">
        <w:t>ducteurs d'information au profit des administrateurs. Un nouveau pr</w:t>
      </w:r>
      <w:r w:rsidRPr="00144A85">
        <w:t>o</w:t>
      </w:r>
      <w:r w:rsidRPr="00144A85">
        <w:t>jet émergea du vedettariat grandissant des journalistes : « dénoncer les abus de la science ». Produit de l'effervescence contestataire de l'ép</w:t>
      </w:r>
      <w:r w:rsidRPr="00144A85">
        <w:t>o</w:t>
      </w:r>
      <w:r w:rsidRPr="00144A85">
        <w:t>que ? Pas entièrement censeur des applications ou des politiques tec</w:t>
      </w:r>
      <w:r w:rsidRPr="00144A85">
        <w:t>h</w:t>
      </w:r>
      <w:r w:rsidRPr="00144A85">
        <w:t xml:space="preserve">nologiques et scientifiques, </w:t>
      </w:r>
      <w:r w:rsidRPr="00144A85">
        <w:rPr>
          <w:i/>
          <w:iCs/>
        </w:rPr>
        <w:t>Québec-Science</w:t>
      </w:r>
      <w:r w:rsidRPr="00144A85">
        <w:t xml:space="preserve"> n'avait tout simplement pas perdu sa vocation morale. Que les acteurs du passé le confessent ou pas, la revue est née à partir de préoccupations idéologiques et a toujours continué d'évoluer dans cette direction.</w:t>
      </w:r>
    </w:p>
    <w:p w:rsidR="00B7214C" w:rsidRPr="00144A85" w:rsidRDefault="00B7214C" w:rsidP="00B7214C">
      <w:pPr>
        <w:spacing w:before="120" w:after="120"/>
        <w:jc w:val="both"/>
      </w:pPr>
      <w:r w:rsidRPr="00144A85">
        <w:t xml:space="preserve">Le projet de « dénoncer les abus de la science » se juxtaposait à l'idéal dont avait toujours été doté </w:t>
      </w:r>
      <w:r w:rsidRPr="00144A85">
        <w:rPr>
          <w:i/>
          <w:iCs/>
        </w:rPr>
        <w:t>Québec-Science</w:t>
      </w:r>
      <w:r w:rsidRPr="00144A85">
        <w:t xml:space="preserve"> au fil des années, celui d'« établir un lien entre la science et le grand public ». Au sein du grand réseau de l'Université du Québec, c'est bien sûr cet idéal qui devait s'imposer. La fusion de l'administration des Presses de l'Un</w:t>
      </w:r>
      <w:r w:rsidRPr="00144A85">
        <w:t>i</w:t>
      </w:r>
      <w:r w:rsidRPr="00144A85">
        <w:t>versité du Québec, une maison d'édition savante, avec celle du mag</w:t>
      </w:r>
      <w:r w:rsidRPr="00144A85">
        <w:t>a</w:t>
      </w:r>
      <w:r w:rsidRPr="00144A85">
        <w:t>zine populaire s'inscrivait dans cette voie. Cette fusion ouvrit la porte à l'introduction de schèmes interprétatifs issus directement de l'indu</w:t>
      </w:r>
      <w:r w:rsidRPr="00144A85">
        <w:t>s</w:t>
      </w:r>
      <w:r w:rsidRPr="00144A85">
        <w:t>trie culturelle : « contrôle des ressources » et « rentabilité » étaient les mots d'ordre. Un glissement sémantique s'ensuivit : le projet d</w:t>
      </w:r>
      <w:r w:rsidRPr="00144A85">
        <w:rPr>
          <w:i/>
          <w:iCs/>
        </w:rPr>
        <w:t>'« établir un lien entre la science et le grand public »</w:t>
      </w:r>
      <w:r w:rsidRPr="00144A85">
        <w:t xml:space="preserve"> se</w:t>
      </w:r>
      <w:r>
        <w:t xml:space="preserve"> [552] </w:t>
      </w:r>
      <w:r w:rsidRPr="00144A85">
        <w:t>tran</w:t>
      </w:r>
      <w:r w:rsidRPr="00144A85">
        <w:t>s</w:t>
      </w:r>
      <w:r w:rsidRPr="00144A85">
        <w:t xml:space="preserve">forma pour celui </w:t>
      </w:r>
      <w:r w:rsidRPr="00CE057C">
        <w:rPr>
          <w:i/>
          <w:iCs/>
        </w:rPr>
        <w:t>« de répondre aux besoins du public ».</w:t>
      </w:r>
      <w:r w:rsidRPr="00144A85">
        <w:t xml:space="preserve"> Or les enqu</w:t>
      </w:r>
      <w:r w:rsidRPr="00144A85">
        <w:t>ê</w:t>
      </w:r>
      <w:r w:rsidRPr="00144A85">
        <w:t>tes de marché ont démontré que c'est à un public fidélisé, qui avait vieilli avec lui, que le magazine devait continuer de plaire (D</w:t>
      </w:r>
      <w:r w:rsidRPr="00144A85">
        <w:t>o</w:t>
      </w:r>
      <w:r w:rsidRPr="00144A85">
        <w:t>nadini et Froissart, 1990).</w:t>
      </w:r>
    </w:p>
    <w:p w:rsidR="00B7214C" w:rsidRPr="00144A85" w:rsidRDefault="00B7214C" w:rsidP="00B7214C">
      <w:pPr>
        <w:spacing w:before="120" w:after="120"/>
        <w:jc w:val="both"/>
      </w:pPr>
      <w:r w:rsidRPr="00144A85">
        <w:t xml:space="preserve">Aujourd'hui, le contrôle de </w:t>
      </w:r>
      <w:r w:rsidRPr="00144A85">
        <w:rPr>
          <w:i/>
          <w:iCs/>
        </w:rPr>
        <w:t>Québec-Science</w:t>
      </w:r>
      <w:r w:rsidRPr="00144A85">
        <w:t xml:space="preserve"> est revenu entre les mains de quelques anciens journalistes. Le cégep de Jonquière se po</w:t>
      </w:r>
      <w:r w:rsidRPr="00144A85">
        <w:t>r</w:t>
      </w:r>
      <w:r w:rsidRPr="00144A85">
        <w:t>te garant de sa légitimité. Il est intéressant maintenant de surveiller, à la lumière de ce nouveau contrôle administratif qui leur échoit (ah ! un verbe défectif), dans quelles régions géographiques et historiques du champ social, les acteurs iront puiser pour réinterpréter le sens de leurs pratiques. Il est en outre important de noter 1) quelles contraintes ils finiront par reproduire ou 2) les moyens qu'ils mettront en œuvre pour les éviter. Il y a fort à parier que les questions concernant l'env</w:t>
      </w:r>
      <w:r w:rsidRPr="00144A85">
        <w:t>i</w:t>
      </w:r>
      <w:r w:rsidRPr="00144A85">
        <w:t>ronnement prendront de plus en plus de place. Le Biodôme et la future Biosphère sont les modèles de l'heure. Ce fait n'est pas né d'une « conscientisation » subite de la population : elle s'enracine aussi dans l'histoire de la vulgarisa</w:t>
      </w:r>
      <w:r>
        <w:t>tion québécoise. Avec un brin d’</w:t>
      </w:r>
      <w:r w:rsidRPr="00144A85">
        <w:t>humour, pe</w:t>
      </w:r>
      <w:r w:rsidRPr="00144A85">
        <w:t>r</w:t>
      </w:r>
      <w:r w:rsidRPr="00144A85">
        <w:t>mettons-nous d'imaginer : peut-être aurons-nous droit à un « Jeune Naturaliste Ingénieur », qui au heu de la dénoncer, sera devenu l'ami d'une science vouée à la protection de son objet de contemplation...</w:t>
      </w:r>
    </w:p>
    <w:p w:rsidR="00B7214C" w:rsidRPr="00144A85" w:rsidRDefault="00B7214C" w:rsidP="00B7214C">
      <w:pPr>
        <w:spacing w:before="120" w:after="120"/>
        <w:jc w:val="both"/>
      </w:pPr>
      <w:r w:rsidRPr="00144A85">
        <w:t>Pour conclure, nous avons vu que dans ces deux cas, un musée d'histoire et un magazine scientifique, la dichotomie passé/présent est plus relative que les représentations produites par ces médias ne le laissent croire. La relation maintenue entre ces deux notions opère toutefois de façon différente : a) dans le cas de la mise en scène des savoirs historiques, les tensions du présent occultent celles du passé alors que b) la mise en page du fait scientifique, parce qu'elle se fait en continuité avec les visées idéologiques de la tradition vulgarisatr</w:t>
      </w:r>
      <w:r w:rsidRPr="00144A85">
        <w:t>i</w:t>
      </w:r>
      <w:r w:rsidRPr="00144A85">
        <w:t>ce, ne peut prétendre à un traitement journalistique objectif de la science d'aujourd'hui.</w:t>
      </w:r>
    </w:p>
    <w:p w:rsidR="00B7214C" w:rsidRPr="00BC632B" w:rsidRDefault="00B7214C" w:rsidP="00B7214C">
      <w:pPr>
        <w:spacing w:before="120" w:after="120"/>
        <w:jc w:val="both"/>
      </w:pPr>
    </w:p>
    <w:p w:rsidR="00B7214C" w:rsidRPr="00B05531" w:rsidRDefault="00B7214C" w:rsidP="00B7214C">
      <w:pPr>
        <w:pStyle w:val="aa"/>
      </w:pPr>
      <w:r w:rsidRPr="00B05531">
        <w:t>NOTES</w:t>
      </w:r>
    </w:p>
    <w:p w:rsidR="00B7214C" w:rsidRDefault="00B7214C" w:rsidP="00B7214C">
      <w:pPr>
        <w:spacing w:before="120" w:after="120"/>
        <w:jc w:val="both"/>
      </w:pPr>
    </w:p>
    <w:p w:rsidR="00B7214C" w:rsidRDefault="00B7214C" w:rsidP="00B7214C">
      <w:pPr>
        <w:spacing w:before="120" w:after="120"/>
        <w:jc w:val="both"/>
      </w:pPr>
      <w:r>
        <w:t>Les notes en fin de texte ont toute été converties, dans cette édition numérique des Classiques des sciences sociales, en notes de bas de page afin d’en faciliter la consultation. JMT.</w:t>
      </w:r>
    </w:p>
    <w:p w:rsidR="00B7214C" w:rsidRDefault="00B7214C" w:rsidP="00B7214C">
      <w:pPr>
        <w:pStyle w:val="p"/>
      </w:pPr>
    </w:p>
    <w:p w:rsidR="00B7214C" w:rsidRDefault="00B7214C" w:rsidP="00B7214C">
      <w:pPr>
        <w:pStyle w:val="p"/>
      </w:pPr>
      <w:r>
        <w:t>[</w:t>
      </w:r>
      <w:r w:rsidRPr="005869B6">
        <w:t>553</w:t>
      </w:r>
      <w:r>
        <w:t>]</w:t>
      </w:r>
    </w:p>
    <w:p w:rsidR="00B7214C" w:rsidRPr="005869B6" w:rsidRDefault="00B7214C" w:rsidP="00B7214C">
      <w:pPr>
        <w:spacing w:before="120" w:after="120"/>
        <w:jc w:val="both"/>
      </w:pPr>
    </w:p>
    <w:p w:rsidR="00B7214C" w:rsidRDefault="00B7214C" w:rsidP="00B7214C">
      <w:pPr>
        <w:pStyle w:val="a"/>
      </w:pPr>
      <w:r w:rsidRPr="005869B6">
        <w:t>BIBLIOGRAPHIE</w:t>
      </w:r>
    </w:p>
    <w:p w:rsidR="00B7214C" w:rsidRPr="005869B6" w:rsidRDefault="00B7214C" w:rsidP="00B7214C">
      <w:pPr>
        <w:spacing w:before="120" w:after="120"/>
        <w:jc w:val="both"/>
      </w:pPr>
    </w:p>
    <w:p w:rsidR="00B7214C" w:rsidRPr="007F213E" w:rsidRDefault="00B7214C" w:rsidP="00B7214C">
      <w:pPr>
        <w:spacing w:before="120" w:after="120"/>
        <w:jc w:val="both"/>
      </w:pPr>
      <w:r w:rsidRPr="007F213E">
        <w:rPr>
          <w:iCs/>
        </w:rPr>
        <w:t xml:space="preserve">Donadini, M. et P. Froissart. </w:t>
      </w:r>
      <w:r w:rsidRPr="007F213E">
        <w:rPr>
          <w:i/>
        </w:rPr>
        <w:t>Les abonnés de Québec-Science, sy</w:t>
      </w:r>
      <w:r w:rsidRPr="007F213E">
        <w:rPr>
          <w:i/>
        </w:rPr>
        <w:t>n</w:t>
      </w:r>
      <w:r w:rsidRPr="007F213E">
        <w:rPr>
          <w:i/>
        </w:rPr>
        <w:t>thèse des principaux résultats des études réalisées sur le lectorat abonné de Québec-Science</w:t>
      </w:r>
      <w:r w:rsidRPr="007F213E">
        <w:t>,</w:t>
      </w:r>
      <w:r w:rsidRPr="007F213E">
        <w:rPr>
          <w:b/>
          <w:bCs/>
          <w:iCs/>
        </w:rPr>
        <w:t xml:space="preserve"> </w:t>
      </w:r>
      <w:r w:rsidRPr="007F213E">
        <w:rPr>
          <w:iCs/>
        </w:rPr>
        <w:t>Étude réalisée sous la direction de Be</w:t>
      </w:r>
      <w:r w:rsidRPr="007F213E">
        <w:rPr>
          <w:iCs/>
        </w:rPr>
        <w:t>r</w:t>
      </w:r>
      <w:r w:rsidRPr="007F213E">
        <w:rPr>
          <w:iCs/>
        </w:rPr>
        <w:t>nard Schiele, CREST, UQAM, juin 1990.</w:t>
      </w:r>
    </w:p>
    <w:p w:rsidR="00B7214C" w:rsidRPr="005869B6" w:rsidRDefault="00B7214C" w:rsidP="00B7214C">
      <w:pPr>
        <w:spacing w:before="120" w:after="120"/>
        <w:jc w:val="both"/>
      </w:pPr>
      <w:r w:rsidRPr="005869B6">
        <w:t xml:space="preserve">Giddens, A., </w:t>
      </w:r>
      <w:r w:rsidRPr="007F213E">
        <w:rPr>
          <w:i/>
          <w:iCs/>
        </w:rPr>
        <w:t>La constitution de la société. Éléments de la théorie de la structuration</w:t>
      </w:r>
      <w:r w:rsidRPr="007F213E">
        <w:rPr>
          <w:b/>
          <w:bCs/>
        </w:rPr>
        <w:t xml:space="preserve"> </w:t>
      </w:r>
      <w:r w:rsidRPr="005869B6">
        <w:t>Presses universitaires de France, Paris, 1987. (Coll. « Sociologies ».)</w:t>
      </w:r>
    </w:p>
    <w:p w:rsidR="00B7214C" w:rsidRPr="005869B6" w:rsidRDefault="00B7214C" w:rsidP="00B7214C">
      <w:pPr>
        <w:spacing w:before="120" w:after="120"/>
        <w:jc w:val="both"/>
      </w:pPr>
      <w:r w:rsidRPr="005869B6">
        <w:t xml:space="preserve">Lakoff G. et M. Johnson, </w:t>
      </w:r>
      <w:r w:rsidRPr="007F213E">
        <w:rPr>
          <w:i/>
          <w:iCs/>
        </w:rPr>
        <w:t>Les métaphores dans la vie quotidienne,</w:t>
      </w:r>
      <w:r w:rsidRPr="007F213E">
        <w:rPr>
          <w:b/>
          <w:bCs/>
        </w:rPr>
        <w:t xml:space="preserve"> </w:t>
      </w:r>
      <w:r w:rsidRPr="005869B6">
        <w:t>Éditions de Minuit Paris 1985. (Coll. « Propositions ».)</w:t>
      </w:r>
    </w:p>
    <w:p w:rsidR="00B7214C" w:rsidRPr="005869B6" w:rsidRDefault="00B7214C" w:rsidP="00B7214C">
      <w:pPr>
        <w:spacing w:before="120" w:after="120"/>
        <w:jc w:val="both"/>
      </w:pPr>
      <w:r w:rsidRPr="005869B6">
        <w:t xml:space="preserve">Porter, G., « Partial truths », dans Gaynor Kavanagh </w:t>
      </w:r>
      <w:r w:rsidRPr="007F213E">
        <w:rPr>
          <w:iCs/>
        </w:rPr>
        <w:t>(dir.),</w:t>
      </w:r>
      <w:r w:rsidRPr="007F213E">
        <w:rPr>
          <w:i/>
          <w:iCs/>
        </w:rPr>
        <w:t xml:space="preserve"> M</w:t>
      </w:r>
      <w:r w:rsidRPr="007F213E">
        <w:rPr>
          <w:i/>
          <w:iCs/>
        </w:rPr>
        <w:t>u</w:t>
      </w:r>
      <w:r w:rsidRPr="007F213E">
        <w:rPr>
          <w:i/>
          <w:iCs/>
        </w:rPr>
        <w:t>seum Languages : Objects and Texts,</w:t>
      </w:r>
      <w:r w:rsidRPr="007F213E">
        <w:rPr>
          <w:b/>
          <w:bCs/>
        </w:rPr>
        <w:t xml:space="preserve"> </w:t>
      </w:r>
      <w:r w:rsidRPr="00144A85">
        <w:t>Leicester University Press, 1991,</w:t>
      </w:r>
      <w:r>
        <w:t xml:space="preserve"> pp.</w:t>
      </w:r>
      <w:r w:rsidRPr="007F213E">
        <w:rPr>
          <w:b/>
          <w:bCs/>
        </w:rPr>
        <w:t xml:space="preserve"> </w:t>
      </w:r>
      <w:r w:rsidRPr="005869B6">
        <w:t>103-117.</w:t>
      </w:r>
    </w:p>
    <w:p w:rsidR="00B7214C" w:rsidRDefault="00B7214C" w:rsidP="00B7214C">
      <w:pPr>
        <w:spacing w:before="120" w:after="120"/>
        <w:jc w:val="both"/>
      </w:pPr>
      <w:r w:rsidRPr="005869B6">
        <w:t xml:space="preserve">Sans signature, « Au Château des Ramezay, des écoliers visitent avec leurs yeux, leurs oreilles et leurs mains » dans </w:t>
      </w:r>
      <w:r w:rsidRPr="007F213E">
        <w:rPr>
          <w:i/>
          <w:iCs/>
        </w:rPr>
        <w:t>La Presse,</w:t>
      </w:r>
      <w:r w:rsidRPr="007F213E">
        <w:rPr>
          <w:b/>
          <w:bCs/>
        </w:rPr>
        <w:t xml:space="preserve"> </w:t>
      </w:r>
      <w:r w:rsidRPr="005869B6">
        <w:t>Mo</w:t>
      </w:r>
      <w:r w:rsidRPr="005869B6">
        <w:t>n</w:t>
      </w:r>
      <w:r w:rsidRPr="005869B6">
        <w:t>tréal, le 22 novembre 1980, Archives de la ville de Montréal.</w:t>
      </w:r>
    </w:p>
    <w:p w:rsidR="00B7214C" w:rsidRDefault="00B7214C" w:rsidP="00B7214C">
      <w:pPr>
        <w:pStyle w:val="p"/>
      </w:pPr>
      <w:r>
        <w:t>[554]</w:t>
      </w:r>
    </w:p>
    <w:p w:rsidR="00B7214C" w:rsidRDefault="00B7214C" w:rsidP="00B7214C">
      <w:pPr>
        <w:pStyle w:val="p"/>
      </w:pPr>
      <w:r w:rsidRPr="005869B6">
        <w:br w:type="page"/>
      </w:r>
      <w:r>
        <w:t>[555]</w:t>
      </w:r>
    </w:p>
    <w:p w:rsidR="00B7214C"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7" w:name="Entre_tradition_pt_3_texte_41"/>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124590" w:rsidRDefault="00B7214C" w:rsidP="00B7214C">
      <w:pPr>
        <w:spacing w:before="60" w:after="120"/>
        <w:ind w:firstLine="0"/>
        <w:jc w:val="center"/>
        <w:rPr>
          <w:b/>
          <w:caps/>
          <w:color w:val="000080"/>
          <w:sz w:val="24"/>
        </w:rPr>
      </w:pPr>
      <w:r>
        <w:rPr>
          <w:b/>
          <w:caps/>
          <w:color w:val="000080"/>
          <w:sz w:val="24"/>
        </w:rPr>
        <w:t>troisième</w:t>
      </w:r>
      <w:r w:rsidRPr="00124590">
        <w:rPr>
          <w:b/>
          <w:caps/>
          <w:color w:val="000080"/>
          <w:sz w:val="24"/>
        </w:rPr>
        <w:t xml:space="preserve"> partie</w:t>
      </w:r>
    </w:p>
    <w:p w:rsidR="00B7214C" w:rsidRPr="00DA1F44" w:rsidRDefault="00B7214C" w:rsidP="00B7214C">
      <w:pPr>
        <w:spacing w:after="120"/>
        <w:ind w:firstLine="0"/>
        <w:jc w:val="center"/>
        <w:rPr>
          <w:color w:val="FF0000"/>
          <w:sz w:val="24"/>
        </w:rPr>
      </w:pPr>
      <w:r>
        <w:rPr>
          <w:color w:val="FF0000"/>
          <w:sz w:val="24"/>
        </w:rPr>
        <w:t>C. LES MUSÉES : GRENIERS PATRIMONIAUX</w:t>
      </w:r>
      <w:r>
        <w:rPr>
          <w:color w:val="FF0000"/>
          <w:sz w:val="24"/>
        </w:rPr>
        <w:br/>
        <w:t>OU INGÉNIERIE CULTURELLE</w:t>
      </w:r>
    </w:p>
    <w:p w:rsidR="00B7214C" w:rsidRPr="00384B20" w:rsidRDefault="00B7214C" w:rsidP="00B7214C">
      <w:pPr>
        <w:pStyle w:val="Titreniveau1"/>
      </w:pPr>
      <w:r>
        <w:t>41</w:t>
      </w:r>
    </w:p>
    <w:p w:rsidR="00B7214C" w:rsidRDefault="00B7214C" w:rsidP="00B7214C">
      <w:pPr>
        <w:pStyle w:val="Titreniveau2"/>
      </w:pPr>
      <w:r>
        <w:t>“</w:t>
      </w:r>
      <w:r w:rsidRPr="00CE057C">
        <w:t>Science et technique</w:t>
      </w:r>
      <w:r>
        <w:br/>
      </w:r>
      <w:r w:rsidRPr="00CE057C">
        <w:t>comme objet de tourisme</w:t>
      </w:r>
      <w:r>
        <w:br/>
      </w:r>
      <w:r w:rsidRPr="00CE057C">
        <w:t>dans les m</w:t>
      </w:r>
      <w:r w:rsidRPr="00CE057C">
        <w:t>u</w:t>
      </w:r>
      <w:r w:rsidRPr="00CE057C">
        <w:t>sées du Québec</w:t>
      </w:r>
      <w:r>
        <w:t>.”</w:t>
      </w:r>
    </w:p>
    <w:bookmarkEnd w:id="57"/>
    <w:p w:rsidR="00B7214C" w:rsidRPr="00E07116" w:rsidRDefault="00B7214C" w:rsidP="00B7214C">
      <w:pPr>
        <w:jc w:val="both"/>
        <w:rPr>
          <w:szCs w:val="36"/>
        </w:rPr>
      </w:pPr>
    </w:p>
    <w:p w:rsidR="00B7214C" w:rsidRPr="00E07116" w:rsidRDefault="00B7214C" w:rsidP="00B7214C">
      <w:pPr>
        <w:pStyle w:val="suite"/>
      </w:pPr>
      <w:r>
        <w:t>Par Gérald BARIL</w:t>
      </w:r>
    </w:p>
    <w:p w:rsidR="00B7214C" w:rsidRPr="00E07116" w:rsidRDefault="00B7214C" w:rsidP="00B7214C">
      <w:pPr>
        <w:pStyle w:val="auteurst"/>
      </w:pPr>
      <w:r w:rsidRPr="008453E2">
        <w:t xml:space="preserve">Étudiant au doctorat en anthropologie. Université de Montréal </w:t>
      </w: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5869B6" w:rsidRDefault="00B7214C" w:rsidP="00B7214C">
      <w:pPr>
        <w:spacing w:before="120" w:after="120"/>
        <w:jc w:val="both"/>
      </w:pPr>
      <w:r>
        <w:t>L</w:t>
      </w:r>
      <w:r w:rsidRPr="005869B6">
        <w:t>a muséologie a connu un essor considérable au Canada depuis les années 1960. C'est un fait connu de tous et la prolifération de musées en tous genres en témoigne de façon éloquente. Dans l'exposé qui suit, je m'interroge plus particulièrement sur les musées scientifiques et techniques, que je définis par exclusion comme étant les musées qui ne sont pas du domaine des beaux-arts, ou, de façon inclusive, comme les musées qui affichent la préoccupation de hausser le niveau de culture scientifique et technique de leur public.</w:t>
      </w:r>
    </w:p>
    <w:p w:rsidR="00B7214C" w:rsidRDefault="00B7214C" w:rsidP="00B7214C">
      <w:pPr>
        <w:spacing w:before="120" w:after="120"/>
        <w:jc w:val="both"/>
      </w:pPr>
      <w:r>
        <w:br w:type="page"/>
      </w:r>
    </w:p>
    <w:p w:rsidR="00B7214C" w:rsidRPr="005869B6" w:rsidRDefault="00B7214C" w:rsidP="00B7214C">
      <w:pPr>
        <w:pStyle w:val="a"/>
      </w:pPr>
      <w:r w:rsidRPr="005869B6">
        <w:t>PREMIER TOUR DE PISTE...</w:t>
      </w:r>
    </w:p>
    <w:p w:rsidR="00B7214C" w:rsidRDefault="00B7214C" w:rsidP="00B7214C">
      <w:pPr>
        <w:spacing w:before="120" w:after="120"/>
        <w:jc w:val="both"/>
      </w:pPr>
    </w:p>
    <w:p w:rsidR="00B7214C" w:rsidRPr="005869B6" w:rsidRDefault="00B7214C" w:rsidP="00B7214C">
      <w:pPr>
        <w:spacing w:before="120" w:after="120"/>
        <w:jc w:val="both"/>
      </w:pPr>
      <w:r w:rsidRPr="005869B6">
        <w:t>Au Québec, le développement de la muséologie scientifique et technique a été particulièrement rapide. Parmi une liste de plus de 200 établissements sur le territoire québécois, au-delà des trois quarts ont moins de 20 ans d'existence (Larose, 1990). En l'absence presque complète de tradition, un champ d'activité s'est mis en place. À la f</w:t>
      </w:r>
      <w:r w:rsidRPr="005869B6">
        <w:t>a</w:t>
      </w:r>
      <w:r w:rsidRPr="005869B6">
        <w:t>veur d'un discours officiel incitant au rattrapage en matière de science et de technologie au Québec, les efforts de muséation des sciences et des techniques se sont multipliés, surtout depuis les années 1980. Fa</w:t>
      </w:r>
      <w:r w:rsidRPr="005869B6">
        <w:t>u</w:t>
      </w:r>
      <w:r w:rsidRPr="005869B6">
        <w:t>te de produire les savants</w:t>
      </w:r>
      <w:r>
        <w:t xml:space="preserve"> [556] </w:t>
      </w:r>
      <w:r w:rsidRPr="005869B6">
        <w:t>qui auraient pu assurer la prospérité à la nation, nos musées allaient au moins nous permettre de fréquenter la science en touristes.</w:t>
      </w:r>
    </w:p>
    <w:p w:rsidR="00B7214C" w:rsidRPr="005869B6" w:rsidRDefault="00B7214C" w:rsidP="00B7214C">
      <w:pPr>
        <w:spacing w:before="120" w:after="120"/>
        <w:jc w:val="both"/>
      </w:pPr>
      <w:r w:rsidRPr="005869B6">
        <w:t>En effet, comme le suggère le philosophe Alain Finkielkraut (1991), le tourisme peut être vu non seulement au sens strict d une consommation de la culture de l'autre mais, également, au sens large, comme un mode d'investissement de sa propre culture et de sa propre vie. Lorsque, sous couvert de démocratiser la science, on offre au p</w:t>
      </w:r>
      <w:r w:rsidRPr="005869B6">
        <w:t>u</w:t>
      </w:r>
      <w:r w:rsidRPr="005869B6">
        <w:t>blic des expositions étalant au grand jour les processus, les instr</w:t>
      </w:r>
      <w:r w:rsidRPr="005869B6">
        <w:t>u</w:t>
      </w:r>
      <w:r w:rsidRPr="005869B6">
        <w:t>ments et les acteurs scientifiques, on autorise ce même public à faire une incursion dans le monde scientifique et technique. Comme le to</w:t>
      </w:r>
      <w:r w:rsidRPr="005869B6">
        <w:t>u</w:t>
      </w:r>
      <w:r w:rsidRPr="005869B6">
        <w:t>riste qui, retournant dans son pays, ne se met pas à vouloir ressembler à l'autre, le visiteur de musée scientifique et technique revient chez lui à la fois dépaysé et rassuré. Il s'amuse de façons et d'objets qui lui sont étrangers et il se rassure de pouvoir compter sur la science et sur ses dépositaires autorisés.</w:t>
      </w:r>
    </w:p>
    <w:p w:rsidR="00B7214C" w:rsidRPr="005869B6" w:rsidRDefault="00B7214C" w:rsidP="00B7214C">
      <w:pPr>
        <w:spacing w:before="120" w:after="120"/>
        <w:jc w:val="both"/>
      </w:pPr>
      <w:r w:rsidRPr="005869B6">
        <w:t>Les anthropologues qui se sont penchés sur le phénomène tourist</w:t>
      </w:r>
      <w:r w:rsidRPr="005869B6">
        <w:t>i</w:t>
      </w:r>
      <w:r w:rsidRPr="005869B6">
        <w:t>que, au sens strict, ont tenté de définir d'une part 1 expérience du to</w:t>
      </w:r>
      <w:r w:rsidRPr="005869B6">
        <w:t>u</w:t>
      </w:r>
      <w:r w:rsidRPr="005869B6">
        <w:t>riste et, d'autre part, l'impact de la présence touristique dans la co</w:t>
      </w:r>
      <w:r w:rsidRPr="005869B6">
        <w:t>m</w:t>
      </w:r>
      <w:r w:rsidRPr="005869B6">
        <w:t>munauté visitée (Lett, 1989, p. 276). De ces deux approches, la pr</w:t>
      </w:r>
      <w:r w:rsidRPr="005869B6">
        <w:t>e</w:t>
      </w:r>
      <w:r w:rsidRPr="005869B6">
        <w:t>mière me permettra d'abord de comparer le voyage touristique et la visite au musée. Dans un deuxième temps, je ferai plutôt ressortir un aspect spécifique à la muséologie scientifique et technique, c'est-à-dire un discours et des interventions visant à mettre la science à la portée de tous.</w:t>
      </w:r>
    </w:p>
    <w:p w:rsidR="00B7214C" w:rsidRDefault="00B7214C" w:rsidP="00B7214C">
      <w:pPr>
        <w:spacing w:before="120" w:after="120"/>
        <w:jc w:val="both"/>
      </w:pPr>
    </w:p>
    <w:p w:rsidR="00B7214C" w:rsidRPr="005869B6" w:rsidRDefault="00B7214C" w:rsidP="00B7214C">
      <w:pPr>
        <w:pStyle w:val="a"/>
      </w:pPr>
      <w:r w:rsidRPr="005869B6">
        <w:t>L'EXPÉRIENCE DU VISITEUR :</w:t>
      </w:r>
      <w:r>
        <w:br/>
      </w:r>
      <w:r w:rsidRPr="005869B6">
        <w:t>TOURISME AU PAYS DE LA CONNAISSANCE</w:t>
      </w:r>
    </w:p>
    <w:p w:rsidR="00B7214C" w:rsidRDefault="00B7214C" w:rsidP="00B7214C">
      <w:pPr>
        <w:spacing w:before="120" w:after="120"/>
        <w:jc w:val="both"/>
      </w:pPr>
    </w:p>
    <w:p w:rsidR="00B7214C" w:rsidRPr="005869B6" w:rsidRDefault="00B7214C" w:rsidP="00B7214C">
      <w:pPr>
        <w:spacing w:before="120" w:after="120"/>
        <w:jc w:val="both"/>
      </w:pPr>
      <w:r w:rsidRPr="005869B6">
        <w:t>L'anthropologue américain Nelson Graburn (1989) définit le to</w:t>
      </w:r>
      <w:r w:rsidRPr="005869B6">
        <w:t>u</w:t>
      </w:r>
      <w:r w:rsidRPr="005869B6">
        <w:t>risme comme un « périple sacré » (« sacred journey »). Voyons d'un peu plus près ce qu'il entend par là et si cette définition du tourisme s applique à la visite au musée.</w:t>
      </w:r>
    </w:p>
    <w:p w:rsidR="00B7214C" w:rsidRPr="005869B6" w:rsidRDefault="00B7214C" w:rsidP="00B7214C">
      <w:pPr>
        <w:spacing w:before="120" w:after="120"/>
        <w:jc w:val="both"/>
      </w:pPr>
      <w:r w:rsidRPr="005869B6">
        <w:t>Pour Graburn, le tourisme est comparable à d'autres activités comme le sport, les arts et divers cérémoniels qu</w:t>
      </w:r>
      <w:r>
        <w:t>i nous sortent de l'« ordi</w:t>
      </w:r>
      <w:r w:rsidRPr="005869B6">
        <w:t>naire ». Bien qu'on ne le retrouve pas dans toutes les cultures en tant qu'activité spécifique, le tourisme est assimilable à une tenda</w:t>
      </w:r>
      <w:r w:rsidRPr="005869B6">
        <w:t>n</w:t>
      </w:r>
      <w:r w:rsidRPr="005869B6">
        <w:t>ce universelle à créer des institutions destinées à ajouter du sens à nos vies. En tant que quête et voyage, le tourisme a des antécédents qui eurent leurs significations propres en d'autres temps et en d'autres lieux. Qu on pense par exemple aux voyages étudiants du Moyen Âge, aux croisades et aux trajets de pèlerinage en Europe et en Asie. Par ailleurs, le tourisme moderne est</w:t>
      </w:r>
      <w:r>
        <w:t xml:space="preserve"> [</w:t>
      </w:r>
      <w:r w:rsidRPr="005869B6">
        <w:t>557</w:t>
      </w:r>
      <w:r>
        <w:t xml:space="preserve">] </w:t>
      </w:r>
      <w:r w:rsidRPr="005869B6">
        <w:t>caractérisé, selon Graburn, par le fait qu'il « n'est pas du travail mais fait partie de ce qu'on appelle le loisir, une invention récente qui est sensée nous renouveler pour que nous puissions affronter à no</w:t>
      </w:r>
      <w:r w:rsidRPr="005869B6">
        <w:t>u</w:t>
      </w:r>
      <w:r w:rsidRPr="005869B6">
        <w:t>veau le monde du travail quotidien » (</w:t>
      </w:r>
      <w:r w:rsidRPr="008C66B2">
        <w:t>op</w:t>
      </w:r>
      <w:r w:rsidRPr="005869B6">
        <w:t xml:space="preserve">. </w:t>
      </w:r>
      <w:r w:rsidRPr="008C66B2">
        <w:rPr>
          <w:i/>
          <w:iCs/>
        </w:rPr>
        <w:t>cit.,</w:t>
      </w:r>
      <w:r w:rsidRPr="005869B6">
        <w:t xml:space="preserve"> p. 22, traduction libre).</w:t>
      </w:r>
    </w:p>
    <w:p w:rsidR="00B7214C" w:rsidRPr="005869B6" w:rsidRDefault="00B7214C" w:rsidP="00B7214C">
      <w:pPr>
        <w:spacing w:before="120" w:after="120"/>
        <w:jc w:val="both"/>
      </w:pPr>
      <w:r w:rsidRPr="005869B6">
        <w:t>N'est-ce pas justement ce qui se passe avec la visite au musée ? En allant au musée, on ne fait pas nécessairement un long voyage, mais on sort de la maison et de l'habituel pour se ressourcer. Comme le to</w:t>
      </w:r>
      <w:r w:rsidRPr="005869B6">
        <w:t>u</w:t>
      </w:r>
      <w:r w:rsidRPr="005869B6">
        <w:t>risme, la visite au musée s'apparente aux activités sacrées ou aux fe</w:t>
      </w:r>
      <w:r w:rsidRPr="005869B6">
        <w:t>s</w:t>
      </w:r>
      <w:r w:rsidRPr="005869B6">
        <w:t>tivités qui, dans toute société, brisent régulièrement la routine du tr</w:t>
      </w:r>
      <w:r w:rsidRPr="005869B6">
        <w:t>a</w:t>
      </w:r>
      <w:r w:rsidRPr="005869B6">
        <w:t>vail, établissant une alternance qui marque la durée. La visite au m</w:t>
      </w:r>
      <w:r w:rsidRPr="005869B6">
        <w:t>u</w:t>
      </w:r>
      <w:r w:rsidRPr="005869B6">
        <w:t>sée est une fête mais on ne refuse pas de faire un certain effort pour rentabiliser le déplacement. La participation à laquelle est souvent convié le visiteur dans un musée qui se veut « éducatif », équivaut alors au rite initiatique, à la chasse au trésor, à l'expédition pour acc</w:t>
      </w:r>
      <w:r w:rsidRPr="005869B6">
        <w:t>é</w:t>
      </w:r>
      <w:r w:rsidRPr="005869B6">
        <w:t>der au sommet élevé d'une montagne ou aux vestiges d'une civilis</w:t>
      </w:r>
      <w:r w:rsidRPr="005869B6">
        <w:t>a</w:t>
      </w:r>
      <w:r w:rsidRPr="005869B6">
        <w:t>tion ancienne.</w:t>
      </w:r>
    </w:p>
    <w:p w:rsidR="00B7214C" w:rsidRPr="005869B6" w:rsidRDefault="00B7214C" w:rsidP="00B7214C">
      <w:pPr>
        <w:spacing w:before="120" w:after="120"/>
        <w:jc w:val="both"/>
      </w:pPr>
      <w:r w:rsidRPr="005869B6">
        <w:t>Le tourisme selon Graburn, le « périple sacré » d'aujourd'hui, pr</w:t>
      </w:r>
      <w:r w:rsidRPr="005869B6">
        <w:t>o</w:t>
      </w:r>
      <w:r w:rsidRPr="005869B6">
        <w:t>cure à celui qui le pratique une valorisation, un profit qui s'exprime en termes de santé physique et mentale, de statut social et d'expérience personnelle de l'exotisme (</w:t>
      </w:r>
      <w:r w:rsidRPr="007F213E">
        <w:rPr>
          <w:i/>
        </w:rPr>
        <w:t>op</w:t>
      </w:r>
      <w:r w:rsidRPr="005869B6">
        <w:t xml:space="preserve">. </w:t>
      </w:r>
      <w:r w:rsidRPr="007F213E">
        <w:rPr>
          <w:i/>
          <w:iCs/>
        </w:rPr>
        <w:t>cit.,</w:t>
      </w:r>
      <w:r w:rsidRPr="005869B6">
        <w:t xml:space="preserve"> p. 28). De la même manière, la v</w:t>
      </w:r>
      <w:r w:rsidRPr="005869B6">
        <w:t>i</w:t>
      </w:r>
      <w:r w:rsidRPr="005869B6">
        <w:t>site du musée, comme l'exprime Pierre Bourdieu (1979, 1982) procure un « profit de distinction ». Étant mis par le musée au contact du monde de la science et de la technique, le visiteur ajoutera cette exp</w:t>
      </w:r>
      <w:r w:rsidRPr="005869B6">
        <w:t>é</w:t>
      </w:r>
      <w:r w:rsidRPr="005869B6">
        <w:t>rience à son « capital symbolique » personnel, ce qui pourra en retour avoir un effet à la hausse sur son classement social, ou sur la représe</w:t>
      </w:r>
      <w:r w:rsidRPr="005869B6">
        <w:t>n</w:t>
      </w:r>
      <w:r w:rsidRPr="005869B6">
        <w:t>tation qu'il s'en fait.</w:t>
      </w:r>
    </w:p>
    <w:p w:rsidR="00B7214C" w:rsidRDefault="00B7214C" w:rsidP="00B7214C">
      <w:pPr>
        <w:spacing w:before="120" w:after="120"/>
        <w:jc w:val="both"/>
      </w:pPr>
    </w:p>
    <w:p w:rsidR="00B7214C" w:rsidRPr="005869B6" w:rsidRDefault="00B7214C" w:rsidP="00B7214C">
      <w:pPr>
        <w:pStyle w:val="a"/>
      </w:pPr>
      <w:r w:rsidRPr="005869B6">
        <w:t xml:space="preserve">VOYONS MAINTENANT, </w:t>
      </w:r>
      <w:r>
        <w:br/>
      </w:r>
      <w:r w:rsidRPr="005869B6">
        <w:t>À L'AIDE DE QUELQUES EXE</w:t>
      </w:r>
      <w:r w:rsidRPr="005869B6">
        <w:t>M</w:t>
      </w:r>
      <w:r w:rsidRPr="005869B6">
        <w:t>PLES,</w:t>
      </w:r>
      <w:r>
        <w:br/>
      </w:r>
      <w:r w:rsidRPr="005869B6">
        <w:t>QUELLE EST L'INTENTION MANIFESTE</w:t>
      </w:r>
      <w:r>
        <w:br/>
      </w:r>
      <w:r w:rsidRPr="005869B6">
        <w:t>DE LA MUSÉOL</w:t>
      </w:r>
      <w:r w:rsidRPr="005869B6">
        <w:t>O</w:t>
      </w:r>
      <w:r w:rsidRPr="005869B6">
        <w:t>GIE SCIENTIFIQUE ET TECHNIQUE</w:t>
      </w:r>
      <w:r>
        <w:br/>
      </w:r>
      <w:r w:rsidRPr="005869B6">
        <w:t>AU QUÉBEC</w:t>
      </w:r>
    </w:p>
    <w:p w:rsidR="00B7214C" w:rsidRDefault="00B7214C" w:rsidP="00B7214C">
      <w:pPr>
        <w:spacing w:before="120" w:after="120"/>
        <w:jc w:val="both"/>
      </w:pPr>
    </w:p>
    <w:p w:rsidR="00B7214C" w:rsidRPr="005869B6" w:rsidRDefault="00B7214C" w:rsidP="00B7214C">
      <w:pPr>
        <w:spacing w:before="120" w:after="120"/>
        <w:jc w:val="both"/>
      </w:pPr>
      <w:r w:rsidRPr="005869B6">
        <w:t xml:space="preserve">« Une visite au Musée de la civilisation vous en met plein la vue. </w:t>
      </w:r>
      <w:r w:rsidRPr="00144A85">
        <w:t xml:space="preserve">Et plein la tête » dit la publicité (dans </w:t>
      </w:r>
      <w:r w:rsidRPr="00144A85">
        <w:rPr>
          <w:i/>
          <w:iCs/>
        </w:rPr>
        <w:t>Voir,</w:t>
      </w:r>
      <w:r w:rsidRPr="00144A85">
        <w:t xml:space="preserve"> édition de Québec, 14-20</w:t>
      </w:r>
      <w:r w:rsidRPr="005869B6">
        <w:t xml:space="preserve"> janvier 1993). Et on ajoute « En plus de vous être bien amusé, vous sortirez du Musée de la civilisation plus informé, grandi quoi. » Avec humour, l'illustration qui accompagne cette publicité montre le vis</w:t>
      </w:r>
      <w:r w:rsidRPr="005869B6">
        <w:t>i</w:t>
      </w:r>
      <w:r w:rsidRPr="005869B6">
        <w:t>teur du musée « avant » et « après ». Avant, l'image est normale, après, la tête du personnage a été exagérément agrandie et posée sur les mêmes épaules que dans la première image, représentant le vis</w:t>
      </w:r>
      <w:r w:rsidRPr="005869B6">
        <w:t>i</w:t>
      </w:r>
      <w:r w:rsidRPr="005869B6">
        <w:t>teur en macrocéphale à l'air débonnaire.</w:t>
      </w:r>
    </w:p>
    <w:p w:rsidR="00B7214C" w:rsidRPr="005869B6" w:rsidRDefault="00B7214C" w:rsidP="00B7214C">
      <w:pPr>
        <w:spacing w:before="120" w:after="120"/>
        <w:jc w:val="both"/>
      </w:pPr>
      <w:r w:rsidRPr="005869B6">
        <w:t>Cette publicité illustre bien le discours officiel des musées se do</w:t>
      </w:r>
      <w:r w:rsidRPr="005869B6">
        <w:t>n</w:t>
      </w:r>
      <w:r w:rsidRPr="005869B6">
        <w:t>nant pour mission de changer le visiteur, d'en faire un individu plus</w:t>
      </w:r>
      <w:r>
        <w:t xml:space="preserve"> [558] </w:t>
      </w:r>
      <w:r w:rsidRPr="005869B6">
        <w:t>connaissant. Sous prétexte de rendre le visiteur plus à même de prendre position sur les choix à faire en matière de développement scientifique et technique, on cherche les moyens de contrôler l'exp</w:t>
      </w:r>
      <w:r w:rsidRPr="005869B6">
        <w:t>é</w:t>
      </w:r>
      <w:r w:rsidRPr="005869B6">
        <w:t>rience du visiteur au musée et de le diriger dans un processus d'a</w:t>
      </w:r>
      <w:r w:rsidRPr="005869B6">
        <w:t>p</w:t>
      </w:r>
      <w:r w:rsidRPr="005869B6">
        <w:t>prentissage.</w:t>
      </w:r>
    </w:p>
    <w:p w:rsidR="00B7214C" w:rsidRPr="005869B6" w:rsidRDefault="00B7214C" w:rsidP="00B7214C">
      <w:pPr>
        <w:spacing w:before="120" w:after="120"/>
        <w:jc w:val="both"/>
      </w:pPr>
      <w:r w:rsidRPr="005869B6">
        <w:t>Depuis le rapport produit en 1980 par le Groupe de travail sur les musées scientifiques (1980), réuni autour de Fernand S</w:t>
      </w:r>
      <w:r>
        <w:t>é</w:t>
      </w:r>
      <w:r w:rsidRPr="005869B6">
        <w:t>guin, les actes de foi dans la capacité du public de comprendre et de s'approprier la science se sont succédés, en particulier à travers les projets muséol</w:t>
      </w:r>
      <w:r w:rsidRPr="005869B6">
        <w:t>o</w:t>
      </w:r>
      <w:r w:rsidRPr="005869B6">
        <w:t>giques en science et technique. Déjà, ce rapport commandé par le m</w:t>
      </w:r>
      <w:r w:rsidRPr="005869B6">
        <w:t>i</w:t>
      </w:r>
      <w:r w:rsidRPr="005869B6">
        <w:t>nistère des Affaires culturelles se situait dans le courant de la dém</w:t>
      </w:r>
      <w:r w:rsidRPr="005869B6">
        <w:t>o</w:t>
      </w:r>
      <w:r w:rsidRPr="005869B6">
        <w:t>cratisation, qui guide toujours les interventions dans le champ de la muséologie scientifique et technique. Le rapport annonçait ainsi ses couleurs :</w:t>
      </w:r>
    </w:p>
    <w:p w:rsidR="00B7214C" w:rsidRPr="004A7EF1" w:rsidRDefault="00B7214C" w:rsidP="00B7214C">
      <w:pPr>
        <w:spacing w:before="120" w:after="120"/>
        <w:jc w:val="both"/>
      </w:pPr>
      <w:r w:rsidRPr="005869B6">
        <w:t>Nous avons des intentions préci</w:t>
      </w:r>
      <w:r>
        <w:t>s</w:t>
      </w:r>
      <w:r w:rsidRPr="005869B6">
        <w:t>es, appuyées sur des acquis impo</w:t>
      </w:r>
      <w:r w:rsidRPr="005869B6">
        <w:t>r</w:t>
      </w:r>
      <w:r w:rsidRPr="005869B6">
        <w:t>tants et pondérés par des lacunes également importantes. L'inte</w:t>
      </w:r>
      <w:r w:rsidRPr="005869B6">
        <w:t>n</w:t>
      </w:r>
      <w:r>
        <w:t>tion, c’est l’</w:t>
      </w:r>
      <w:r w:rsidRPr="005869B6">
        <w:t>accès démocratique ; l'acquis, c'est la mentalité déjà créée quant à la préoccupation et à l'activité scientifique des Québécois ; la lacune, c'est l'absence d'un nombre suffisant d</w:t>
      </w:r>
      <w:r>
        <w:t xml:space="preserve">e médiateurs compétents </w:t>
      </w:r>
      <w:r w:rsidRPr="004A7EF1">
        <w:t xml:space="preserve">entre l’un et l’autre, </w:t>
      </w:r>
      <w:r w:rsidRPr="004A7EF1">
        <w:rPr>
          <w:i/>
          <w:iCs/>
        </w:rPr>
        <w:t>(op. cit.,</w:t>
      </w:r>
      <w:r w:rsidRPr="004A7EF1">
        <w:t xml:space="preserve"> p. 8)</w:t>
      </w:r>
    </w:p>
    <w:p w:rsidR="00B7214C" w:rsidRPr="005869B6" w:rsidRDefault="00B7214C" w:rsidP="00B7214C">
      <w:pPr>
        <w:spacing w:before="120" w:after="120"/>
        <w:jc w:val="both"/>
      </w:pPr>
      <w:r w:rsidRPr="005869B6">
        <w:t>Le rapport Seguin proposait la création d'un musée national québ</w:t>
      </w:r>
      <w:r w:rsidRPr="005869B6">
        <w:t>é</w:t>
      </w:r>
      <w:r w:rsidRPr="005869B6">
        <w:t>cois des sciences et de la technologie. Treize ans plus tard, une telle institution n'existe toujours pas mais divers projets en ce sens ont vu le jour et, bien qu'ils n'aient jamais atteint l'étape de construction du monument projeté, ils ont produit nombre de documents d'orientation qui se situent tous dans la même lignée.</w:t>
      </w:r>
    </w:p>
    <w:p w:rsidR="00B7214C" w:rsidRPr="005869B6" w:rsidRDefault="00B7214C" w:rsidP="00B7214C">
      <w:pPr>
        <w:spacing w:before="120" w:after="120"/>
        <w:jc w:val="both"/>
      </w:pPr>
      <w:r w:rsidRPr="005869B6">
        <w:t>Par exemple, de 1990 à 1992, le ministère des Communications du Canada, sous l'impulsion initiale du ministre Marcel Masse, a investi environ deux millions de dollars dans des études qui devaient aboutir à la construction du Musée des sciences et des techniques à Montréal, un équipement dont le coût final se serait situé entre 50 et 250 mi</w:t>
      </w:r>
      <w:r w:rsidRPr="005869B6">
        <w:t>l</w:t>
      </w:r>
      <w:r w:rsidRPr="005869B6">
        <w:t xml:space="preserve">lions. Dans un des principaux documents produits par la direction de </w:t>
      </w:r>
      <w:r>
        <w:t>l’</w:t>
      </w:r>
      <w:r w:rsidRPr="005869B6">
        <w:t>équipe dont le mandat était, tout compte fait, l'élaboration d'un pr</w:t>
      </w:r>
      <w:r w:rsidRPr="005869B6">
        <w:t>o</w:t>
      </w:r>
      <w:r w:rsidRPr="005869B6">
        <w:t>gramme de mise en œuvre du futur musée, on peut lire, sous la rubr</w:t>
      </w:r>
      <w:r w:rsidRPr="005869B6">
        <w:t>i</w:t>
      </w:r>
      <w:r w:rsidRPr="005869B6">
        <w:t>que « Une mission éducative » :</w:t>
      </w:r>
    </w:p>
    <w:p w:rsidR="00B7214C" w:rsidRPr="005869B6" w:rsidRDefault="00B7214C" w:rsidP="00B7214C">
      <w:pPr>
        <w:spacing w:before="120" w:after="120"/>
        <w:jc w:val="both"/>
      </w:pPr>
      <w:r w:rsidRPr="005869B6">
        <w:t>Le MSTM [Musée des sciences et des techniques à Montréal] a pour mission de développer la culture scientifique et technique au plan individuel et collectif, à travers l'amélioration des rapports humains aux sciences et aux techniques. (Collectif 1991, p. 1)</w:t>
      </w:r>
    </w:p>
    <w:p w:rsidR="00B7214C" w:rsidRPr="005869B6" w:rsidRDefault="00B7214C" w:rsidP="00B7214C">
      <w:pPr>
        <w:spacing w:before="120" w:after="120"/>
        <w:jc w:val="both"/>
      </w:pPr>
      <w:r w:rsidRPr="005869B6">
        <w:t>Au cours de l'automne 1992, j'ai interrogé des communicateurs scientifiques ayant œuvré dans divers médias mais ayant tous, à un moment ou à un autre, contribué à définir les</w:t>
      </w:r>
      <w:r>
        <w:t xml:space="preserve"> orientations ou les contenus d’</w:t>
      </w:r>
      <w:r w:rsidRPr="005869B6">
        <w:t>un</w:t>
      </w:r>
      <w:r>
        <w:t xml:space="preserve"> [</w:t>
      </w:r>
      <w:r w:rsidRPr="005869B6">
        <w:t>559</w:t>
      </w:r>
      <w:r>
        <w:t xml:space="preserve">] </w:t>
      </w:r>
      <w:r w:rsidRPr="005869B6">
        <w:t>éventuel musée des sciences et des techniques à Montréal. J'espérais ainsi recueillir auprès d eux une vision plus nua</w:t>
      </w:r>
      <w:r w:rsidRPr="005869B6">
        <w:t>n</w:t>
      </w:r>
      <w:r w:rsidRPr="005869B6">
        <w:t>cée de la musé</w:t>
      </w:r>
      <w:r w:rsidRPr="005869B6">
        <w:t>o</w:t>
      </w:r>
      <w:r w:rsidRPr="005869B6">
        <w:t>logie scientifique et technique.</w:t>
      </w:r>
    </w:p>
    <w:p w:rsidR="00B7214C" w:rsidRPr="005869B6" w:rsidRDefault="00B7214C" w:rsidP="00B7214C">
      <w:pPr>
        <w:spacing w:before="120" w:after="120"/>
        <w:jc w:val="both"/>
      </w:pPr>
      <w:r w:rsidRPr="005869B6">
        <w:t>Lorsqu'ils définissent l'expérience du visiteur de musée, les co</w:t>
      </w:r>
      <w:r w:rsidRPr="005869B6">
        <w:t>m</w:t>
      </w:r>
      <w:r w:rsidRPr="005869B6">
        <w:t>municateurs témoignent d'une conscience des limites de leur travail, en termes de pédagogie, et préfèrent parler d'une intervention qui agit sur l'attitude du public à l'égard de la science et de la technique.</w:t>
      </w:r>
    </w:p>
    <w:p w:rsidR="00B7214C" w:rsidRPr="005869B6" w:rsidRDefault="00B7214C" w:rsidP="00B7214C">
      <w:pPr>
        <w:spacing w:before="120" w:after="120"/>
        <w:jc w:val="both"/>
      </w:pPr>
      <w:r w:rsidRPr="005869B6">
        <w:t>Ainsi, les communicateurs interrogés parlent d'« améliorer la confiance » du public en ses capacités de comprendre et d'agir dans une « société qui mise sur la technologie pour son avenir ». Les te</w:t>
      </w:r>
      <w:r w:rsidRPr="005869B6">
        <w:t>r</w:t>
      </w:r>
      <w:r w:rsidRPr="005869B6">
        <w:t>mes de « confiance », de « familiarisation », de « mise en perspect</w:t>
      </w:r>
      <w:r w:rsidRPr="005869B6">
        <w:t>i</w:t>
      </w:r>
      <w:r w:rsidRPr="005869B6">
        <w:t>ve » et de « contexte culturel » reviennent constamment dans le di</w:t>
      </w:r>
      <w:r w:rsidRPr="005869B6">
        <w:t>s</w:t>
      </w:r>
      <w:r w:rsidRPr="005869B6">
        <w:t xml:space="preserve">cours des </w:t>
      </w:r>
      <w:r>
        <w:t>communicateurs. Leurs interven</w:t>
      </w:r>
      <w:r w:rsidRPr="005869B6">
        <w:t>tions viseraient à « rassurer », à dire que « le monde est compréhensible » plutôt qu'à le faire comprendre. Les communicateurs sont tous d'accord sur le fait que le musée ne remplace pas l'école, qu'il est bien davantage un « lieu de rencontre », de « prise de conscience » et de « consensus s</w:t>
      </w:r>
      <w:r w:rsidRPr="005869B6">
        <w:t>o</w:t>
      </w:r>
      <w:r w:rsidRPr="005869B6">
        <w:t>cial » qu'un lieu d'apprentissage.</w:t>
      </w:r>
    </w:p>
    <w:p w:rsidR="00B7214C" w:rsidRPr="005869B6" w:rsidRDefault="00B7214C" w:rsidP="00B7214C">
      <w:pPr>
        <w:spacing w:before="120" w:after="120"/>
        <w:jc w:val="both"/>
      </w:pPr>
      <w:r w:rsidRPr="005869B6">
        <w:t>Pour les communicateurs scientifiques, la science et la technique sont encore en quelque sorte à réhabiliter dans la culture populaire. Le public aurait à sa disposition une masse d'outils lui permettant de se familiariser ou, si l'on veut, de se cultiver, dans les domaines des arts, de 1 économie ou même des sports. En ce qui concerne les sciences et les techniques, le champ serait encore largement perçu comme étra</w:t>
      </w:r>
      <w:r w:rsidRPr="005869B6">
        <w:t>n</w:t>
      </w:r>
      <w:r w:rsidRPr="005869B6">
        <w:t>ger à la culture québécoise et des efforts importants seraient encore à consentir pour faire reconnaître leur pleine insertion. À ce titre, les musées pourraient jouer un rôle de premier plan.</w:t>
      </w:r>
    </w:p>
    <w:p w:rsidR="00B7214C" w:rsidRPr="005869B6" w:rsidRDefault="00B7214C" w:rsidP="00B7214C">
      <w:pPr>
        <w:spacing w:before="120" w:after="120"/>
        <w:jc w:val="both"/>
      </w:pPr>
      <w:r w:rsidRPr="005869B6">
        <w:t>Evidemment, la science et la technique ne constituent pas, à pr</w:t>
      </w:r>
      <w:r w:rsidRPr="005869B6">
        <w:t>o</w:t>
      </w:r>
      <w:r w:rsidRPr="005869B6">
        <w:t>prement parler, un champ « étranger » à la culture québécoise, ni à aucune autre culture sur la planète, puisqu'elles contribuent à l</w:t>
      </w:r>
      <w:r>
        <w:t>a base même de l'écono</w:t>
      </w:r>
      <w:r w:rsidRPr="005869B6">
        <w:t>mie du système-monde. Par ailleurs, en définissant le champ comme peu intégré à la culture, on en fait un lieu à être i</w:t>
      </w:r>
      <w:r w:rsidRPr="005869B6">
        <w:t>n</w:t>
      </w:r>
      <w:r w:rsidRPr="005869B6">
        <w:t>vesti, un monde à découvrir et - on revient au tourisme - une sorte d'exoti</w:t>
      </w:r>
      <w:r w:rsidRPr="005869B6">
        <w:t>s</w:t>
      </w:r>
      <w:r w:rsidRPr="005869B6">
        <w:t>me à s'offrir.</w:t>
      </w:r>
    </w:p>
    <w:p w:rsidR="00B7214C" w:rsidRPr="005869B6" w:rsidRDefault="00B7214C" w:rsidP="00B7214C">
      <w:pPr>
        <w:spacing w:before="120" w:after="120"/>
        <w:jc w:val="both"/>
      </w:pPr>
      <w:r w:rsidRPr="005869B6">
        <w:t>Dans ces termes, la muséation de la science et de la technique s'a</w:t>
      </w:r>
      <w:r w:rsidRPr="005869B6">
        <w:t>p</w:t>
      </w:r>
      <w:r w:rsidRPr="005869B6">
        <w:t>parente à la « marchandisation de la culture » dont fait état</w:t>
      </w:r>
      <w:r>
        <w:t xml:space="preserve"> Davydd Greenwood (1989) lorsqu’</w:t>
      </w:r>
      <w:r w:rsidRPr="005869B6">
        <w:t>il analyse la transformation de certaines a</w:t>
      </w:r>
      <w:r w:rsidRPr="005869B6">
        <w:t>c</w:t>
      </w:r>
      <w:r w:rsidRPr="005869B6">
        <w:t>tivités traditionnelles en produits de consommation touristique. Par contre, dans le cas de la muséologie scientifique et technique, il ne s'agit pas de la confrontation entre une culture et la prédation tourist</w:t>
      </w:r>
      <w:r w:rsidRPr="005869B6">
        <w:t>i</w:t>
      </w:r>
      <w:r w:rsidRPr="005869B6">
        <w:t>que mais plutôt d'une</w:t>
      </w:r>
      <w:r>
        <w:t xml:space="preserve"> [560] </w:t>
      </w:r>
      <w:r w:rsidRPr="005869B6">
        <w:t>entreprise de renforcement d'un champ à l'intérieur d'une culture par le moyen d'une mobilisation de type to</w:t>
      </w:r>
      <w:r w:rsidRPr="005869B6">
        <w:t>u</w:t>
      </w:r>
      <w:r w:rsidRPr="005869B6">
        <w:t>ristique.</w:t>
      </w:r>
    </w:p>
    <w:p w:rsidR="00B7214C" w:rsidRDefault="00B7214C" w:rsidP="00B7214C">
      <w:pPr>
        <w:spacing w:before="120" w:after="120"/>
        <w:jc w:val="both"/>
      </w:pPr>
    </w:p>
    <w:p w:rsidR="00B7214C" w:rsidRPr="005869B6" w:rsidRDefault="00B7214C" w:rsidP="00B7214C">
      <w:pPr>
        <w:pStyle w:val="a"/>
      </w:pPr>
      <w:r w:rsidRPr="005869B6">
        <w:t>CONCLUSION</w:t>
      </w:r>
    </w:p>
    <w:p w:rsidR="00B7214C" w:rsidRDefault="00B7214C" w:rsidP="00B7214C">
      <w:pPr>
        <w:spacing w:before="120" w:after="120"/>
        <w:jc w:val="both"/>
      </w:pPr>
    </w:p>
    <w:p w:rsidR="00B7214C" w:rsidRPr="005869B6" w:rsidRDefault="00B7214C" w:rsidP="00B7214C">
      <w:pPr>
        <w:spacing w:before="120" w:after="120"/>
        <w:jc w:val="both"/>
      </w:pPr>
      <w:r w:rsidRPr="005869B6">
        <w:t xml:space="preserve">À la lumière des quelques observations qui précèdent, la tendance « éducative » en muséologie me semble participer de ce qu'on pourrait appeler un mode touristique d'appréhension du monde. Cette image, évoquée par Finkielkraut, du touriste qui se substitue au nomade à </w:t>
      </w:r>
      <w:r>
        <w:t>l’</w:t>
      </w:r>
      <w:r w:rsidRPr="005869B6">
        <w:t>époque moderne, bien qu'elle ne puisse à elle seule rendre compte de l'ensemble des rapports sociaux actuels, en révèle un aspect signific</w:t>
      </w:r>
      <w:r w:rsidRPr="005869B6">
        <w:t>a</w:t>
      </w:r>
      <w:r w:rsidRPr="005869B6">
        <w:t>tif.</w:t>
      </w:r>
    </w:p>
    <w:p w:rsidR="00B7214C" w:rsidRPr="005869B6" w:rsidRDefault="00B7214C" w:rsidP="00B7214C">
      <w:pPr>
        <w:spacing w:before="120" w:after="120"/>
        <w:jc w:val="both"/>
      </w:pPr>
      <w:r w:rsidRPr="005869B6">
        <w:t>Un monde pour touristes est un monde où tout est accessible, où tout peut être vu, où tout peut être connu. Et l'on pense aussitôt au cl</w:t>
      </w:r>
      <w:r w:rsidRPr="005869B6">
        <w:t>i</w:t>
      </w:r>
      <w:r w:rsidRPr="005869B6">
        <w:t>ché voulant que ce siècle ait donné aux humains la connaissance à la fois de l'infiniment grand et de l'infiniment petit, alors que l'infini est potentiellement inconnaissable par définition. La connaissance du to</w:t>
      </w:r>
      <w:r w:rsidRPr="005869B6">
        <w:t>u</w:t>
      </w:r>
      <w:r w:rsidRPr="005869B6">
        <w:t>riste est une illusion de connaissance.</w:t>
      </w:r>
    </w:p>
    <w:p w:rsidR="00B7214C" w:rsidRDefault="00B7214C" w:rsidP="00B7214C">
      <w:pPr>
        <w:spacing w:before="120" w:after="120"/>
        <w:jc w:val="both"/>
      </w:pPr>
      <w:r w:rsidRPr="005869B6">
        <w:t>Par ailleurs, une conception touristique de la connaissance est i</w:t>
      </w:r>
      <w:r w:rsidRPr="005869B6">
        <w:t>n</w:t>
      </w:r>
      <w:r w:rsidRPr="005869B6">
        <w:t>dissociable des concepts de liberté, de démocratie et d'autonomie de l'individu sur lesquels se fondent les sociétés modernes. Un réexamen approfondi de certaines de ces « croyances anthropologiques », co</w:t>
      </w:r>
      <w:r w:rsidRPr="005869B6">
        <w:t>m</w:t>
      </w:r>
      <w:r w:rsidRPr="005869B6">
        <w:t>me se plaît à les appeler le philosophe Charles Taylor (1991, p. 121), serait sans doute à entreprendre, à condition, bien sûr, que nous ayons toujours l'intention, en tant qu'espèce, de nous installer « à demeure » sur cette planète.</w:t>
      </w:r>
    </w:p>
    <w:p w:rsidR="00B7214C" w:rsidRDefault="00B7214C" w:rsidP="00B7214C">
      <w:pPr>
        <w:pStyle w:val="p"/>
      </w:pPr>
      <w:r>
        <w:t>[</w:t>
      </w:r>
      <w:r w:rsidRPr="005869B6">
        <w:t>561</w:t>
      </w:r>
      <w:r>
        <w:t>]</w:t>
      </w:r>
    </w:p>
    <w:p w:rsidR="00B7214C" w:rsidRPr="005869B6" w:rsidRDefault="00B7214C" w:rsidP="00B7214C">
      <w:pPr>
        <w:spacing w:before="120" w:after="120"/>
        <w:jc w:val="both"/>
      </w:pPr>
    </w:p>
    <w:p w:rsidR="00B7214C" w:rsidRDefault="00B7214C" w:rsidP="00B7214C">
      <w:pPr>
        <w:pStyle w:val="a"/>
      </w:pPr>
      <w:r w:rsidRPr="005869B6">
        <w:t>BIBLIOGRAPHIE</w:t>
      </w:r>
    </w:p>
    <w:p w:rsidR="00B7214C" w:rsidRPr="005869B6" w:rsidRDefault="00B7214C" w:rsidP="00B7214C">
      <w:pPr>
        <w:spacing w:before="120" w:after="120"/>
        <w:jc w:val="both"/>
      </w:pPr>
    </w:p>
    <w:p w:rsidR="00B7214C" w:rsidRPr="004A7EF1" w:rsidRDefault="00B7214C" w:rsidP="00B7214C">
      <w:pPr>
        <w:spacing w:before="120" w:after="120"/>
        <w:jc w:val="both"/>
      </w:pPr>
      <w:r w:rsidRPr="004A7EF1">
        <w:t xml:space="preserve">Bourdieu, P., </w:t>
      </w:r>
      <w:r w:rsidRPr="004A7EF1">
        <w:rPr>
          <w:i/>
          <w:iCs/>
        </w:rPr>
        <w:t>Ce que parler veut dire,</w:t>
      </w:r>
      <w:r w:rsidRPr="004A7EF1">
        <w:rPr>
          <w:b/>
          <w:bCs/>
        </w:rPr>
        <w:t xml:space="preserve"> </w:t>
      </w:r>
      <w:r w:rsidRPr="004A7EF1">
        <w:t>Paris, Fayard, 1982, 244</w:t>
      </w:r>
      <w:r>
        <w:t xml:space="preserve"> p.</w:t>
      </w:r>
    </w:p>
    <w:p w:rsidR="00B7214C" w:rsidRPr="004A7EF1" w:rsidRDefault="00B7214C" w:rsidP="00B7214C">
      <w:pPr>
        <w:spacing w:before="120" w:after="120"/>
        <w:jc w:val="both"/>
      </w:pPr>
      <w:r w:rsidRPr="004A7EF1">
        <w:t xml:space="preserve">Bourdieu, P., </w:t>
      </w:r>
      <w:r w:rsidRPr="004A7EF1">
        <w:rPr>
          <w:i/>
          <w:iCs/>
        </w:rPr>
        <w:t>La distinction,</w:t>
      </w:r>
      <w:r w:rsidRPr="004A7EF1">
        <w:rPr>
          <w:b/>
          <w:bCs/>
        </w:rPr>
        <w:t xml:space="preserve"> </w:t>
      </w:r>
      <w:r w:rsidRPr="004A7EF1">
        <w:t>Paris, Éditions de Minuit, 1979, 670 p.</w:t>
      </w:r>
    </w:p>
    <w:p w:rsidR="00B7214C" w:rsidRPr="004A7EF1" w:rsidRDefault="00B7214C" w:rsidP="00B7214C">
      <w:pPr>
        <w:spacing w:before="120" w:after="120"/>
        <w:jc w:val="both"/>
      </w:pPr>
      <w:r w:rsidRPr="004A7EF1">
        <w:t xml:space="preserve">Collectif (sous la direction de C. Benoit), </w:t>
      </w:r>
      <w:r w:rsidRPr="004A7EF1">
        <w:rPr>
          <w:i/>
          <w:iCs/>
        </w:rPr>
        <w:t>Musée des Sciences et des Techniques à Montréal. Le concept,</w:t>
      </w:r>
      <w:r w:rsidRPr="004A7EF1">
        <w:rPr>
          <w:b/>
          <w:bCs/>
        </w:rPr>
        <w:t xml:space="preserve"> </w:t>
      </w:r>
      <w:r w:rsidRPr="004A7EF1">
        <w:t>Montréal, Communications Canada, 1991,</w:t>
      </w:r>
      <w:r>
        <w:t xml:space="preserve"> </w:t>
      </w:r>
      <w:r w:rsidRPr="004A7EF1">
        <w:t>110 p.</w:t>
      </w:r>
    </w:p>
    <w:p w:rsidR="00B7214C" w:rsidRPr="004A7EF1" w:rsidRDefault="00B7214C" w:rsidP="00B7214C">
      <w:pPr>
        <w:spacing w:before="120" w:after="120"/>
        <w:jc w:val="both"/>
      </w:pPr>
      <w:r w:rsidRPr="004A7EF1">
        <w:t xml:space="preserve">Finkielkraut, A., </w:t>
      </w:r>
      <w:r w:rsidRPr="004A7EF1">
        <w:rPr>
          <w:i/>
          <w:iCs/>
        </w:rPr>
        <w:t>Le mécontemporain,</w:t>
      </w:r>
      <w:r w:rsidRPr="004A7EF1">
        <w:rPr>
          <w:b/>
          <w:bCs/>
        </w:rPr>
        <w:t xml:space="preserve"> </w:t>
      </w:r>
      <w:r w:rsidRPr="004A7EF1">
        <w:t>Paris, Gallimard, 1991,195 p.</w:t>
      </w:r>
    </w:p>
    <w:p w:rsidR="00B7214C" w:rsidRPr="004A7EF1" w:rsidRDefault="00B7214C" w:rsidP="00B7214C">
      <w:pPr>
        <w:spacing w:before="120" w:after="120"/>
        <w:jc w:val="both"/>
      </w:pPr>
      <w:r w:rsidRPr="004A7EF1">
        <w:t xml:space="preserve">Graburn, N. H.H., « Tourism : The Sacred Journey », dans Valene L. Smith (dir.), </w:t>
      </w:r>
      <w:r w:rsidRPr="004A7EF1">
        <w:rPr>
          <w:i/>
          <w:iCs/>
        </w:rPr>
        <w:t>Hosts and Guests : The Anthropology of Tourism,</w:t>
      </w:r>
      <w:r w:rsidRPr="004A7EF1">
        <w:rPr>
          <w:b/>
          <w:bCs/>
        </w:rPr>
        <w:t xml:space="preserve"> </w:t>
      </w:r>
      <w:r w:rsidRPr="004A7EF1">
        <w:t>S</w:t>
      </w:r>
      <w:r w:rsidRPr="004A7EF1">
        <w:t>e</w:t>
      </w:r>
      <w:r w:rsidRPr="004A7EF1">
        <w:t>cond Edition, Philadelphia, Univer- sity of Pennsylvania Press, 1989, p</w:t>
      </w:r>
      <w:r>
        <w:t>p</w:t>
      </w:r>
      <w:r w:rsidRPr="004A7EF1">
        <w:t>. 21-36.</w:t>
      </w:r>
    </w:p>
    <w:p w:rsidR="00B7214C" w:rsidRPr="004A7EF1" w:rsidRDefault="00B7214C" w:rsidP="00B7214C">
      <w:pPr>
        <w:spacing w:before="120" w:after="120"/>
        <w:jc w:val="both"/>
      </w:pPr>
      <w:r w:rsidRPr="004A7EF1">
        <w:t xml:space="preserve">Groupe de travail sur les musées scientifiques (sous la direction de Fernand Seguin) (1980), </w:t>
      </w:r>
      <w:r w:rsidRPr="004A7EF1">
        <w:rPr>
          <w:i/>
          <w:iCs/>
        </w:rPr>
        <w:t>Rapport final,</w:t>
      </w:r>
      <w:r w:rsidRPr="004A7EF1">
        <w:rPr>
          <w:b/>
          <w:bCs/>
        </w:rPr>
        <w:t xml:space="preserve"> </w:t>
      </w:r>
      <w:r w:rsidRPr="004A7EF1">
        <w:t>Québec, ministère des Affa</w:t>
      </w:r>
      <w:r w:rsidRPr="004A7EF1">
        <w:t>i</w:t>
      </w:r>
      <w:r w:rsidRPr="004A7EF1">
        <w:t>res culturelles, 68 p.</w:t>
      </w:r>
    </w:p>
    <w:p w:rsidR="00B7214C" w:rsidRPr="004A7EF1" w:rsidRDefault="00B7214C" w:rsidP="00B7214C">
      <w:pPr>
        <w:spacing w:before="120" w:after="120"/>
        <w:jc w:val="both"/>
      </w:pPr>
      <w:r w:rsidRPr="004A7EF1">
        <w:t xml:space="preserve">Greenwovd, D. J., « Culture by the Pound : An Anthropological Perspective on Tourism as Cultural Commoditization », dans Valene L. Smith (dir.), </w:t>
      </w:r>
      <w:r w:rsidRPr="004A7EF1">
        <w:rPr>
          <w:i/>
          <w:iCs/>
        </w:rPr>
        <w:t>Hosts and Guests : The Anthropology of Tourism,</w:t>
      </w:r>
      <w:r w:rsidRPr="004A7EF1">
        <w:rPr>
          <w:b/>
          <w:bCs/>
        </w:rPr>
        <w:t xml:space="preserve"> </w:t>
      </w:r>
      <w:r w:rsidRPr="004A7EF1">
        <w:t>S</w:t>
      </w:r>
      <w:r w:rsidRPr="004A7EF1">
        <w:t>e</w:t>
      </w:r>
      <w:r w:rsidRPr="004A7EF1">
        <w:t>cond Edition, Philadelphia, University of Pennsylvania Press, 1989, p. 171-185.</w:t>
      </w:r>
    </w:p>
    <w:p w:rsidR="00B7214C" w:rsidRPr="004A7EF1" w:rsidRDefault="00B7214C" w:rsidP="00B7214C">
      <w:pPr>
        <w:spacing w:before="120" w:after="120"/>
        <w:jc w:val="both"/>
      </w:pPr>
      <w:r w:rsidRPr="004A7EF1">
        <w:t xml:space="preserve">Larose, Y., « La muséologie scientifique en ébullition », dans </w:t>
      </w:r>
      <w:r w:rsidRPr="004A7EF1">
        <w:rPr>
          <w:i/>
          <w:iCs/>
        </w:rPr>
        <w:t>Qu</w:t>
      </w:r>
      <w:r w:rsidRPr="004A7EF1">
        <w:rPr>
          <w:i/>
          <w:iCs/>
        </w:rPr>
        <w:t>é</w:t>
      </w:r>
      <w:r w:rsidRPr="004A7EF1">
        <w:rPr>
          <w:i/>
          <w:iCs/>
        </w:rPr>
        <w:t>bec Science,</w:t>
      </w:r>
      <w:r w:rsidRPr="004A7EF1">
        <w:rPr>
          <w:b/>
          <w:bCs/>
        </w:rPr>
        <w:t xml:space="preserve"> </w:t>
      </w:r>
      <w:r>
        <w:t>1990 vol. 28 n° 8, pp. 24-28.</w:t>
      </w:r>
    </w:p>
    <w:p w:rsidR="00B7214C" w:rsidRPr="004A7EF1" w:rsidRDefault="00B7214C" w:rsidP="00B7214C">
      <w:pPr>
        <w:spacing w:before="120" w:after="120"/>
        <w:jc w:val="both"/>
      </w:pPr>
      <w:r w:rsidRPr="004A7EF1">
        <w:t>Lett, J., « Touristic Studies in Anthropological Perspective - Epil</w:t>
      </w:r>
      <w:r w:rsidRPr="004A7EF1">
        <w:t>o</w:t>
      </w:r>
      <w:r w:rsidRPr="004A7EF1">
        <w:t xml:space="preserve">gue », dans Valene L. Smith (dir.), </w:t>
      </w:r>
      <w:r w:rsidRPr="004A7EF1">
        <w:rPr>
          <w:i/>
          <w:iCs/>
        </w:rPr>
        <w:t>Hosts and Guests : The Anthrop</w:t>
      </w:r>
      <w:r w:rsidRPr="004A7EF1">
        <w:rPr>
          <w:i/>
          <w:iCs/>
        </w:rPr>
        <w:t>o</w:t>
      </w:r>
      <w:r w:rsidRPr="004A7EF1">
        <w:rPr>
          <w:i/>
          <w:iCs/>
        </w:rPr>
        <w:t>logy of Tourism,</w:t>
      </w:r>
      <w:r w:rsidRPr="004A7EF1">
        <w:rPr>
          <w:b/>
          <w:bCs/>
        </w:rPr>
        <w:t xml:space="preserve"> </w:t>
      </w:r>
      <w:r w:rsidRPr="004A7EF1">
        <w:t>Second Edition, Philadelphia, University of Pennsy</w:t>
      </w:r>
      <w:r w:rsidRPr="004A7EF1">
        <w:t>l</w:t>
      </w:r>
      <w:r w:rsidRPr="004A7EF1">
        <w:t>vania Press, 1989, p</w:t>
      </w:r>
      <w:r>
        <w:t>p</w:t>
      </w:r>
      <w:r w:rsidRPr="004A7EF1">
        <w:t>. 275-279.</w:t>
      </w:r>
    </w:p>
    <w:p w:rsidR="00B7214C" w:rsidRDefault="00B7214C" w:rsidP="00B7214C">
      <w:pPr>
        <w:spacing w:before="120" w:after="120"/>
        <w:jc w:val="both"/>
      </w:pPr>
      <w:r w:rsidRPr="004A7EF1">
        <w:t xml:space="preserve">Taylor, C., « Le dépassement de l'épistémologie », dans Jacques Poulain (dir.), </w:t>
      </w:r>
      <w:r w:rsidRPr="004A7EF1">
        <w:rPr>
          <w:i/>
          <w:iCs/>
        </w:rPr>
        <w:t>Critique de la raison phénoménologique,</w:t>
      </w:r>
      <w:r w:rsidRPr="004A7EF1">
        <w:rPr>
          <w:b/>
          <w:bCs/>
        </w:rPr>
        <w:t xml:space="preserve"> </w:t>
      </w:r>
      <w:r w:rsidRPr="004A7EF1">
        <w:t>actes du co</w:t>
      </w:r>
      <w:r w:rsidRPr="004A7EF1">
        <w:t>l</w:t>
      </w:r>
      <w:r w:rsidRPr="004A7EF1">
        <w:t>loque de Vienne, 10-13 mai 1985, Paris, Les Éditions du Cerf, 1991, p</w:t>
      </w:r>
      <w:r>
        <w:t>p</w:t>
      </w:r>
      <w:r w:rsidRPr="004A7EF1">
        <w:t>. 115-135.</w:t>
      </w:r>
    </w:p>
    <w:p w:rsidR="00B7214C" w:rsidRDefault="00B7214C" w:rsidP="00B7214C">
      <w:pPr>
        <w:spacing w:before="120" w:after="120"/>
        <w:jc w:val="both"/>
      </w:pPr>
    </w:p>
    <w:p w:rsidR="00B7214C" w:rsidRDefault="00B7214C" w:rsidP="00B7214C">
      <w:pPr>
        <w:pStyle w:val="p"/>
      </w:pPr>
      <w:r>
        <w:t>[562]</w:t>
      </w:r>
    </w:p>
    <w:p w:rsidR="00B7214C" w:rsidRDefault="00B7214C" w:rsidP="00B7214C">
      <w:pPr>
        <w:spacing w:before="120" w:after="120"/>
        <w:ind w:firstLine="0"/>
        <w:jc w:val="both"/>
      </w:pPr>
      <w:r w:rsidRPr="005869B6">
        <w:br w:type="page"/>
      </w:r>
      <w:r>
        <w:t>[563]</w:t>
      </w: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8" w:name="Entre_tradition_collaborateurs"/>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384B20" w:rsidRDefault="00B7214C" w:rsidP="00B7214C">
      <w:pPr>
        <w:pStyle w:val="planchest"/>
      </w:pPr>
      <w:r>
        <w:t>Collaboratrices et collaborateurs</w:t>
      </w:r>
    </w:p>
    <w:bookmarkEnd w:id="58"/>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384B20" w:rsidRDefault="00B7214C" w:rsidP="00B7214C">
      <w:pPr>
        <w:ind w:right="90" w:firstLine="0"/>
        <w:jc w:val="both"/>
        <w:rPr>
          <w:sz w:val="20"/>
        </w:rPr>
      </w:pPr>
      <w:hyperlink w:anchor="tdm" w:history="1">
        <w:r w:rsidRPr="00384B20">
          <w:rPr>
            <w:rStyle w:val="Lienhypertexte"/>
            <w:sz w:val="20"/>
          </w:rPr>
          <w:t>Retour à la table des matières</w:t>
        </w:r>
      </w:hyperlink>
    </w:p>
    <w:p w:rsidR="00B7214C" w:rsidRPr="004A7EF1" w:rsidRDefault="00B7214C" w:rsidP="00B7214C">
      <w:pPr>
        <w:spacing w:before="120" w:after="120"/>
        <w:ind w:firstLine="0"/>
        <w:jc w:val="both"/>
      </w:pPr>
      <w:r w:rsidRPr="004A7EF1">
        <w:t xml:space="preserve">Marc </w:t>
      </w:r>
      <w:r w:rsidRPr="004A7EF1">
        <w:rPr>
          <w:bCs/>
        </w:rPr>
        <w:t>Augé</w:t>
      </w:r>
    </w:p>
    <w:p w:rsidR="00B7214C" w:rsidRDefault="00B7214C" w:rsidP="00B7214C">
      <w:pPr>
        <w:pStyle w:val="ba"/>
      </w:pPr>
      <w:r w:rsidRPr="004A7EF1">
        <w:t>Président, École des Hautes études en sciences sociales</w:t>
      </w:r>
    </w:p>
    <w:p w:rsidR="00B7214C" w:rsidRPr="004A7EF1" w:rsidRDefault="00B7214C" w:rsidP="00B7214C">
      <w:pPr>
        <w:spacing w:before="120" w:after="120"/>
        <w:ind w:firstLine="0"/>
        <w:jc w:val="both"/>
      </w:pPr>
      <w:r w:rsidRPr="004A7EF1">
        <w:t>Gérald B</w:t>
      </w:r>
      <w:r w:rsidRPr="004A7EF1">
        <w:t>a</w:t>
      </w:r>
      <w:r w:rsidRPr="004A7EF1">
        <w:t>ril</w:t>
      </w:r>
    </w:p>
    <w:p w:rsidR="00B7214C" w:rsidRDefault="00B7214C" w:rsidP="00B7214C">
      <w:pPr>
        <w:pStyle w:val="ba"/>
      </w:pPr>
      <w:r w:rsidRPr="004A7EF1">
        <w:t xml:space="preserve">Étudiant au doctorat en anthropologie. Université de Montréal </w:t>
      </w:r>
    </w:p>
    <w:p w:rsidR="00B7214C" w:rsidRPr="004A7EF1" w:rsidRDefault="00B7214C" w:rsidP="00B7214C">
      <w:pPr>
        <w:spacing w:before="120" w:after="120"/>
        <w:ind w:firstLine="0"/>
        <w:jc w:val="both"/>
      </w:pPr>
      <w:r w:rsidRPr="004A7EF1">
        <w:t>Claude Bariteau</w:t>
      </w:r>
    </w:p>
    <w:p w:rsidR="00B7214C" w:rsidRDefault="00B7214C" w:rsidP="00B7214C">
      <w:pPr>
        <w:pStyle w:val="ba"/>
      </w:pPr>
      <w:r w:rsidRPr="004A7EF1">
        <w:t xml:space="preserve">Département d'anthropologie. Université Laval </w:t>
      </w:r>
    </w:p>
    <w:p w:rsidR="00B7214C" w:rsidRPr="004A7EF1" w:rsidRDefault="00B7214C" w:rsidP="00B7214C">
      <w:pPr>
        <w:spacing w:before="120" w:after="120"/>
        <w:ind w:firstLine="0"/>
        <w:jc w:val="both"/>
      </w:pPr>
      <w:r w:rsidRPr="004A7EF1">
        <w:t>Pierre Beaucage</w:t>
      </w:r>
    </w:p>
    <w:p w:rsidR="00B7214C" w:rsidRDefault="00B7214C" w:rsidP="00B7214C">
      <w:pPr>
        <w:pStyle w:val="ba"/>
      </w:pPr>
      <w:r w:rsidRPr="004A7EF1">
        <w:t xml:space="preserve">Département d'anthropologie. Université de Montréal </w:t>
      </w:r>
    </w:p>
    <w:p w:rsidR="00B7214C" w:rsidRPr="004A7EF1" w:rsidRDefault="00B7214C" w:rsidP="00B7214C">
      <w:pPr>
        <w:spacing w:before="120" w:after="120"/>
        <w:ind w:firstLine="0"/>
        <w:jc w:val="both"/>
      </w:pPr>
      <w:r w:rsidRPr="004A7EF1">
        <w:t>Paul Béla</w:t>
      </w:r>
      <w:r w:rsidRPr="004A7EF1">
        <w:t>n</w:t>
      </w:r>
      <w:r w:rsidRPr="004A7EF1">
        <w:t>ger</w:t>
      </w:r>
    </w:p>
    <w:p w:rsidR="00B7214C" w:rsidRDefault="00B7214C" w:rsidP="00B7214C">
      <w:pPr>
        <w:pStyle w:val="ba"/>
      </w:pPr>
      <w:r w:rsidRPr="004A7EF1">
        <w:t xml:space="preserve">Département de sociologie, Université du Québec à Montréal </w:t>
      </w:r>
    </w:p>
    <w:p w:rsidR="00B7214C" w:rsidRPr="004A7EF1" w:rsidRDefault="00B7214C" w:rsidP="00B7214C">
      <w:pPr>
        <w:spacing w:before="120" w:after="120"/>
        <w:ind w:firstLine="0"/>
        <w:jc w:val="both"/>
      </w:pPr>
      <w:r w:rsidRPr="004A7EF1">
        <w:t>H</w:t>
      </w:r>
      <w:r w:rsidRPr="004A7EF1">
        <w:t>é</w:t>
      </w:r>
      <w:r w:rsidRPr="004A7EF1">
        <w:t>lène Belleau</w:t>
      </w:r>
    </w:p>
    <w:p w:rsidR="00B7214C" w:rsidRDefault="00B7214C" w:rsidP="00B7214C">
      <w:pPr>
        <w:pStyle w:val="ba"/>
      </w:pPr>
      <w:r w:rsidRPr="004A7EF1">
        <w:t xml:space="preserve">Étudiante au doctorat en sociologie. Université de Montréal </w:t>
      </w:r>
    </w:p>
    <w:p w:rsidR="00B7214C" w:rsidRPr="004A7EF1" w:rsidRDefault="00B7214C" w:rsidP="00B7214C">
      <w:pPr>
        <w:spacing w:before="120" w:after="120"/>
        <w:ind w:firstLine="0"/>
        <w:jc w:val="both"/>
      </w:pPr>
      <w:r w:rsidRPr="004A7EF1">
        <w:rPr>
          <w:bCs/>
        </w:rPr>
        <w:t xml:space="preserve">Gilles </w:t>
      </w:r>
      <w:r w:rsidRPr="004A7EF1">
        <w:t>Bibeau</w:t>
      </w:r>
    </w:p>
    <w:p w:rsidR="00B7214C" w:rsidRDefault="00B7214C" w:rsidP="00B7214C">
      <w:pPr>
        <w:pStyle w:val="ba"/>
      </w:pPr>
      <w:r w:rsidRPr="004A7EF1">
        <w:t xml:space="preserve">Département d'anthropologie. Université de Montréal </w:t>
      </w:r>
    </w:p>
    <w:p w:rsidR="00B7214C" w:rsidRPr="004A7EF1" w:rsidRDefault="00B7214C" w:rsidP="00B7214C">
      <w:pPr>
        <w:spacing w:before="120" w:after="120"/>
        <w:ind w:firstLine="0"/>
        <w:jc w:val="both"/>
      </w:pPr>
      <w:r w:rsidRPr="004A7EF1">
        <w:t>Yves Bonny</w:t>
      </w:r>
    </w:p>
    <w:p w:rsidR="00B7214C" w:rsidRDefault="00B7214C" w:rsidP="00B7214C">
      <w:pPr>
        <w:pStyle w:val="ba"/>
      </w:pPr>
      <w:r w:rsidRPr="004A7EF1">
        <w:t xml:space="preserve">Département de sociologie, Université du Québec à Montréal </w:t>
      </w:r>
    </w:p>
    <w:p w:rsidR="00B7214C" w:rsidRPr="004A7EF1" w:rsidRDefault="00B7214C" w:rsidP="00B7214C">
      <w:pPr>
        <w:spacing w:before="120" w:after="120"/>
        <w:ind w:firstLine="0"/>
        <w:jc w:val="both"/>
      </w:pPr>
      <w:r w:rsidRPr="004A7EF1">
        <w:rPr>
          <w:bCs/>
        </w:rPr>
        <w:t xml:space="preserve">Jean-Guy </w:t>
      </w:r>
      <w:r w:rsidRPr="004A7EF1">
        <w:t>Brossard</w:t>
      </w:r>
    </w:p>
    <w:p w:rsidR="00B7214C" w:rsidRDefault="00B7214C" w:rsidP="00B7214C">
      <w:pPr>
        <w:pStyle w:val="ba"/>
      </w:pPr>
      <w:r w:rsidRPr="004A7EF1">
        <w:t xml:space="preserve">Musée d'archéologie et d'histoire de Montréal </w:t>
      </w:r>
    </w:p>
    <w:p w:rsidR="00B7214C" w:rsidRPr="004A7EF1" w:rsidRDefault="00B7214C" w:rsidP="00B7214C">
      <w:pPr>
        <w:spacing w:before="120" w:after="120"/>
        <w:ind w:firstLine="0"/>
        <w:jc w:val="both"/>
      </w:pPr>
      <w:r w:rsidRPr="004A7EF1">
        <w:t>Aline Charles</w:t>
      </w:r>
    </w:p>
    <w:p w:rsidR="00B7214C" w:rsidRPr="004A7EF1" w:rsidRDefault="00B7214C" w:rsidP="00B7214C">
      <w:pPr>
        <w:pStyle w:val="ba"/>
      </w:pPr>
      <w:r w:rsidRPr="004A7EF1">
        <w:t>Étudiante au doctorat en histoire. Université du Québec à Mo</w:t>
      </w:r>
      <w:r w:rsidRPr="004A7EF1">
        <w:t>n</w:t>
      </w:r>
      <w:r w:rsidRPr="004A7EF1">
        <w:t>tréal</w:t>
      </w:r>
    </w:p>
    <w:p w:rsidR="00B7214C" w:rsidRPr="004A7EF1" w:rsidRDefault="00B7214C" w:rsidP="00B7214C">
      <w:pPr>
        <w:spacing w:before="120" w:after="120"/>
        <w:ind w:firstLine="0"/>
        <w:jc w:val="both"/>
      </w:pPr>
      <w:r w:rsidRPr="004A7EF1">
        <w:t>Ginette CÔTÉ</w:t>
      </w:r>
    </w:p>
    <w:p w:rsidR="00B7214C" w:rsidRDefault="00B7214C" w:rsidP="00B7214C">
      <w:pPr>
        <w:pStyle w:val="ba"/>
      </w:pPr>
      <w:r w:rsidRPr="004A7EF1">
        <w:t>Centre de recherche sur les services communautaires. Univers</w:t>
      </w:r>
      <w:r w:rsidRPr="004A7EF1">
        <w:t>i</w:t>
      </w:r>
      <w:r w:rsidRPr="004A7EF1">
        <w:t>té L</w:t>
      </w:r>
      <w:r w:rsidRPr="004A7EF1">
        <w:t>a</w:t>
      </w:r>
      <w:r w:rsidRPr="004A7EF1">
        <w:t xml:space="preserve">val </w:t>
      </w:r>
    </w:p>
    <w:p w:rsidR="00B7214C" w:rsidRPr="004A7EF1" w:rsidRDefault="00B7214C" w:rsidP="00B7214C">
      <w:pPr>
        <w:spacing w:before="120" w:after="120"/>
        <w:ind w:firstLine="0"/>
        <w:jc w:val="both"/>
      </w:pPr>
      <w:r w:rsidRPr="004A7EF1">
        <w:rPr>
          <w:bCs/>
        </w:rPr>
        <w:t xml:space="preserve">Marie-Andrée </w:t>
      </w:r>
      <w:r w:rsidRPr="004A7EF1">
        <w:t>Couillard</w:t>
      </w:r>
    </w:p>
    <w:p w:rsidR="00B7214C" w:rsidRDefault="00B7214C" w:rsidP="00B7214C">
      <w:pPr>
        <w:pStyle w:val="ba"/>
      </w:pPr>
      <w:r w:rsidRPr="004A7EF1">
        <w:t xml:space="preserve">Département d'anthropologie. Université Laval </w:t>
      </w:r>
    </w:p>
    <w:p w:rsidR="00B7214C" w:rsidRPr="004A7EF1" w:rsidRDefault="00B7214C" w:rsidP="00B7214C">
      <w:pPr>
        <w:spacing w:before="120" w:after="120"/>
        <w:ind w:firstLine="0"/>
        <w:jc w:val="both"/>
      </w:pPr>
      <w:r w:rsidRPr="004A7EF1">
        <w:t>Emerson Douyon</w:t>
      </w:r>
    </w:p>
    <w:p w:rsidR="00B7214C" w:rsidRDefault="00B7214C" w:rsidP="00B7214C">
      <w:pPr>
        <w:pStyle w:val="ba"/>
      </w:pPr>
      <w:r w:rsidRPr="004A7EF1">
        <w:t>École de crimi</w:t>
      </w:r>
      <w:r>
        <w:t>nologie. Université de Montréal</w:t>
      </w:r>
    </w:p>
    <w:p w:rsidR="00B7214C" w:rsidRDefault="00B7214C" w:rsidP="00B7214C">
      <w:pPr>
        <w:spacing w:before="120" w:after="120"/>
        <w:ind w:firstLine="0"/>
        <w:jc w:val="both"/>
      </w:pPr>
      <w:r w:rsidRPr="004A7EF1">
        <w:rPr>
          <w:bCs/>
        </w:rPr>
        <w:t xml:space="preserve">Geneviève </w:t>
      </w:r>
      <w:r>
        <w:t>Duguay</w:t>
      </w:r>
    </w:p>
    <w:p w:rsidR="00B7214C" w:rsidRDefault="00B7214C" w:rsidP="00B7214C">
      <w:pPr>
        <w:pStyle w:val="ba"/>
      </w:pPr>
      <w:r>
        <w:t>Archéologue</w:t>
      </w:r>
    </w:p>
    <w:p w:rsidR="00B7214C" w:rsidRPr="004A7EF1" w:rsidRDefault="00B7214C" w:rsidP="00B7214C">
      <w:pPr>
        <w:spacing w:before="120" w:after="120"/>
        <w:ind w:firstLine="0"/>
        <w:jc w:val="both"/>
      </w:pPr>
      <w:r w:rsidRPr="004A7EF1">
        <w:rPr>
          <w:bCs/>
        </w:rPr>
        <w:t xml:space="preserve">Mikhaël </w:t>
      </w:r>
      <w:r w:rsidRPr="004A7EF1">
        <w:t>Elbaz</w:t>
      </w:r>
    </w:p>
    <w:p w:rsidR="00B7214C" w:rsidRDefault="00B7214C" w:rsidP="00B7214C">
      <w:pPr>
        <w:pStyle w:val="ba"/>
      </w:pPr>
      <w:r w:rsidRPr="004A7EF1">
        <w:t>Département d'</w:t>
      </w:r>
      <w:r>
        <w:t>anthropologie. Université Laval</w:t>
      </w:r>
    </w:p>
    <w:p w:rsidR="00B7214C" w:rsidRPr="004A7EF1" w:rsidRDefault="00B7214C" w:rsidP="00B7214C">
      <w:pPr>
        <w:spacing w:before="120" w:after="120"/>
        <w:ind w:firstLine="0"/>
        <w:jc w:val="both"/>
      </w:pPr>
      <w:r w:rsidRPr="004A7EF1">
        <w:t>Louise Fontaine</w:t>
      </w:r>
    </w:p>
    <w:p w:rsidR="00B7214C" w:rsidRDefault="00B7214C" w:rsidP="00B7214C">
      <w:pPr>
        <w:pStyle w:val="ba"/>
      </w:pPr>
      <w:r w:rsidRPr="004A7EF1">
        <w:t>Département des sciences a</w:t>
      </w:r>
      <w:r>
        <w:t>dministratives. Université Sain</w:t>
      </w:r>
      <w:r w:rsidRPr="004A7EF1">
        <w:t xml:space="preserve">te-Anne </w:t>
      </w:r>
    </w:p>
    <w:p w:rsidR="00B7214C" w:rsidRPr="004A7EF1" w:rsidRDefault="00B7214C" w:rsidP="00B7214C">
      <w:pPr>
        <w:spacing w:before="120" w:after="120"/>
        <w:ind w:firstLine="0"/>
        <w:jc w:val="both"/>
      </w:pPr>
      <w:r w:rsidRPr="004A7EF1">
        <w:t>Andrée Fortin</w:t>
      </w:r>
    </w:p>
    <w:p w:rsidR="00B7214C" w:rsidRDefault="00B7214C" w:rsidP="00B7214C">
      <w:pPr>
        <w:pStyle w:val="ba"/>
      </w:pPr>
      <w:r w:rsidRPr="004A7EF1">
        <w:t xml:space="preserve">Département de sociologie. Université Laval </w:t>
      </w:r>
    </w:p>
    <w:p w:rsidR="00B7214C" w:rsidRPr="004A7EF1" w:rsidRDefault="00B7214C" w:rsidP="00B7214C">
      <w:pPr>
        <w:spacing w:before="120" w:after="120"/>
        <w:ind w:firstLine="0"/>
        <w:jc w:val="both"/>
      </w:pPr>
      <w:r w:rsidRPr="004A7EF1">
        <w:rPr>
          <w:bCs/>
        </w:rPr>
        <w:t xml:space="preserve">Marcel </w:t>
      </w:r>
      <w:r w:rsidRPr="004A7EF1">
        <w:t>Fournier</w:t>
      </w:r>
    </w:p>
    <w:p w:rsidR="00B7214C" w:rsidRDefault="00B7214C" w:rsidP="00B7214C">
      <w:pPr>
        <w:pStyle w:val="ba"/>
      </w:pPr>
      <w:r w:rsidRPr="004A7EF1">
        <w:t>Département de sociologie. Université de Montréal</w:t>
      </w:r>
    </w:p>
    <w:p w:rsidR="00B7214C" w:rsidRPr="004A7EF1" w:rsidRDefault="00B7214C" w:rsidP="00B7214C">
      <w:pPr>
        <w:spacing w:before="120" w:after="120"/>
        <w:ind w:firstLine="0"/>
        <w:jc w:val="both"/>
      </w:pPr>
      <w:r>
        <w:t>[</w:t>
      </w:r>
      <w:r w:rsidRPr="004A7EF1">
        <w:t>564</w:t>
      </w:r>
      <w:r>
        <w:t>]</w:t>
      </w:r>
    </w:p>
    <w:p w:rsidR="00B7214C" w:rsidRPr="004A7EF1" w:rsidRDefault="00B7214C" w:rsidP="00B7214C">
      <w:pPr>
        <w:spacing w:before="120" w:after="120"/>
        <w:ind w:firstLine="0"/>
        <w:jc w:val="both"/>
      </w:pPr>
      <w:r w:rsidRPr="004A7EF1">
        <w:t xml:space="preserve">Michèle </w:t>
      </w:r>
      <w:r w:rsidRPr="004A7EF1">
        <w:rPr>
          <w:bCs/>
        </w:rPr>
        <w:t>Garceau</w:t>
      </w:r>
    </w:p>
    <w:p w:rsidR="00B7214C" w:rsidRPr="004A7EF1" w:rsidRDefault="00B7214C" w:rsidP="00B7214C">
      <w:pPr>
        <w:pStyle w:val="ba"/>
      </w:pPr>
      <w:r w:rsidRPr="004A7EF1">
        <w:t>Musée d'archéologie et d'histoire de Montréal</w:t>
      </w:r>
    </w:p>
    <w:p w:rsidR="00B7214C" w:rsidRPr="004A7EF1" w:rsidRDefault="00B7214C" w:rsidP="00B7214C">
      <w:pPr>
        <w:spacing w:before="120" w:after="120"/>
        <w:ind w:firstLine="0"/>
        <w:jc w:val="both"/>
      </w:pPr>
      <w:r w:rsidRPr="004A7EF1">
        <w:t>Andrée Gendreau</w:t>
      </w:r>
    </w:p>
    <w:p w:rsidR="00B7214C" w:rsidRPr="004A7EF1" w:rsidRDefault="00B7214C" w:rsidP="00B7214C">
      <w:pPr>
        <w:pStyle w:val="ba"/>
      </w:pPr>
      <w:r w:rsidRPr="004A7EF1">
        <w:t>Musée de la civilisation</w:t>
      </w:r>
    </w:p>
    <w:p w:rsidR="00B7214C" w:rsidRDefault="00B7214C" w:rsidP="00B7214C">
      <w:pPr>
        <w:spacing w:before="120" w:after="120"/>
        <w:ind w:firstLine="0"/>
        <w:jc w:val="both"/>
      </w:pPr>
      <w:r w:rsidRPr="004A7EF1">
        <w:t xml:space="preserve">Jacques T. Godbout </w:t>
      </w:r>
    </w:p>
    <w:p w:rsidR="00B7214C" w:rsidRPr="004A7EF1" w:rsidRDefault="00B7214C" w:rsidP="00B7214C">
      <w:pPr>
        <w:pStyle w:val="ba"/>
      </w:pPr>
      <w:r w:rsidRPr="004A7EF1">
        <w:t>INRS-Urbanisation</w:t>
      </w:r>
    </w:p>
    <w:p w:rsidR="00B7214C" w:rsidRPr="004A7EF1" w:rsidRDefault="00B7214C" w:rsidP="00B7214C">
      <w:pPr>
        <w:spacing w:before="120" w:after="120"/>
        <w:ind w:firstLine="0"/>
        <w:jc w:val="both"/>
      </w:pPr>
      <w:r w:rsidRPr="004A7EF1">
        <w:t>Ratiba Hadj-Moussa</w:t>
      </w:r>
    </w:p>
    <w:p w:rsidR="00B7214C" w:rsidRPr="004A7EF1" w:rsidRDefault="00B7214C" w:rsidP="00B7214C">
      <w:pPr>
        <w:pStyle w:val="ba"/>
      </w:pPr>
      <w:r w:rsidRPr="004A7EF1">
        <w:t>Sociologue, Montréal</w:t>
      </w:r>
    </w:p>
    <w:p w:rsidR="00B7214C" w:rsidRPr="004A7EF1" w:rsidRDefault="00B7214C" w:rsidP="00B7214C">
      <w:pPr>
        <w:spacing w:before="120" w:after="120"/>
        <w:ind w:firstLine="0"/>
        <w:jc w:val="both"/>
      </w:pPr>
      <w:r w:rsidRPr="004A7EF1">
        <w:t>André Jacob</w:t>
      </w:r>
    </w:p>
    <w:p w:rsidR="00B7214C" w:rsidRPr="004A7EF1" w:rsidRDefault="00B7214C" w:rsidP="00B7214C">
      <w:pPr>
        <w:pStyle w:val="ba"/>
      </w:pPr>
      <w:r w:rsidRPr="004A7EF1">
        <w:t>Département de travail social. Université du Québec à Montréal</w:t>
      </w:r>
    </w:p>
    <w:p w:rsidR="00B7214C" w:rsidRPr="004A7EF1" w:rsidRDefault="00B7214C" w:rsidP="00B7214C">
      <w:pPr>
        <w:spacing w:before="120" w:after="120"/>
        <w:ind w:firstLine="0"/>
        <w:jc w:val="both"/>
      </w:pPr>
      <w:r w:rsidRPr="004A7EF1">
        <w:t xml:space="preserve">Alain </w:t>
      </w:r>
      <w:r w:rsidRPr="004A7EF1">
        <w:rPr>
          <w:bCs/>
        </w:rPr>
        <w:t>Joyal</w:t>
      </w:r>
    </w:p>
    <w:p w:rsidR="00B7214C" w:rsidRPr="004A7EF1" w:rsidRDefault="00B7214C" w:rsidP="00B7214C">
      <w:pPr>
        <w:pStyle w:val="ba"/>
      </w:pPr>
      <w:r w:rsidRPr="004A7EF1">
        <w:t>Sociologie, Cégep Lionel-Groulx</w:t>
      </w:r>
    </w:p>
    <w:p w:rsidR="00B7214C" w:rsidRPr="004A7EF1" w:rsidRDefault="00B7214C" w:rsidP="00B7214C">
      <w:pPr>
        <w:spacing w:before="120" w:after="120"/>
        <w:ind w:firstLine="0"/>
        <w:jc w:val="both"/>
      </w:pPr>
      <w:r w:rsidRPr="004A7EF1">
        <w:t xml:space="preserve">Renée </w:t>
      </w:r>
      <w:r w:rsidRPr="004A7EF1">
        <w:rPr>
          <w:bCs/>
        </w:rPr>
        <w:t>Joyal</w:t>
      </w:r>
    </w:p>
    <w:p w:rsidR="00B7214C" w:rsidRPr="004A7EF1" w:rsidRDefault="00B7214C" w:rsidP="00B7214C">
      <w:pPr>
        <w:pStyle w:val="ba"/>
      </w:pPr>
      <w:r w:rsidRPr="004A7EF1">
        <w:t>Département des sciences juridiques, Université du Québec à Mo</w:t>
      </w:r>
      <w:r w:rsidRPr="004A7EF1">
        <w:t>n</w:t>
      </w:r>
      <w:r w:rsidRPr="004A7EF1">
        <w:t>tréal</w:t>
      </w:r>
    </w:p>
    <w:p w:rsidR="00B7214C" w:rsidRPr="004A7EF1" w:rsidRDefault="00B7214C" w:rsidP="00B7214C">
      <w:pPr>
        <w:spacing w:before="120" w:after="120"/>
        <w:ind w:firstLine="0"/>
        <w:jc w:val="both"/>
      </w:pPr>
      <w:r w:rsidRPr="004A7EF1">
        <w:t>Micheline Labelle</w:t>
      </w:r>
    </w:p>
    <w:p w:rsidR="00B7214C" w:rsidRPr="004A7EF1" w:rsidRDefault="00B7214C" w:rsidP="00B7214C">
      <w:pPr>
        <w:pStyle w:val="ba"/>
      </w:pPr>
      <w:r w:rsidRPr="004A7EF1">
        <w:t>Département de sociologie. Université du Québec à Montréal</w:t>
      </w:r>
    </w:p>
    <w:p w:rsidR="00B7214C" w:rsidRPr="004A7EF1" w:rsidRDefault="00B7214C" w:rsidP="00B7214C">
      <w:pPr>
        <w:spacing w:before="120" w:after="120"/>
        <w:ind w:firstLine="0"/>
        <w:jc w:val="both"/>
      </w:pPr>
      <w:r w:rsidRPr="004A7EF1">
        <w:t xml:space="preserve">Marie-France </w:t>
      </w:r>
      <w:r w:rsidRPr="004A7EF1">
        <w:rPr>
          <w:bCs/>
        </w:rPr>
        <w:t>Labrecque</w:t>
      </w:r>
    </w:p>
    <w:p w:rsidR="00B7214C" w:rsidRPr="004A7EF1" w:rsidRDefault="00B7214C" w:rsidP="00B7214C">
      <w:pPr>
        <w:pStyle w:val="ba"/>
      </w:pPr>
      <w:r w:rsidRPr="004A7EF1">
        <w:t>Département d'anthropologie, Université Laval</w:t>
      </w:r>
    </w:p>
    <w:p w:rsidR="00B7214C" w:rsidRPr="004A7EF1" w:rsidRDefault="00B7214C" w:rsidP="00B7214C">
      <w:pPr>
        <w:spacing w:before="120" w:after="120"/>
        <w:ind w:firstLine="0"/>
        <w:jc w:val="both"/>
      </w:pPr>
      <w:r w:rsidRPr="004A7EF1">
        <w:t>Serge Larose</w:t>
      </w:r>
    </w:p>
    <w:p w:rsidR="00B7214C" w:rsidRPr="004A7EF1" w:rsidRDefault="00B7214C" w:rsidP="00B7214C">
      <w:pPr>
        <w:pStyle w:val="ba"/>
      </w:pPr>
      <w:r w:rsidRPr="004A7EF1">
        <w:t>Anthropologie, Cégep de Saint-Hyacinthe</w:t>
      </w:r>
    </w:p>
    <w:p w:rsidR="00B7214C" w:rsidRPr="004A7EF1" w:rsidRDefault="00B7214C" w:rsidP="00B7214C">
      <w:pPr>
        <w:spacing w:before="120" w:after="120"/>
        <w:ind w:firstLine="0"/>
        <w:jc w:val="both"/>
      </w:pPr>
      <w:r w:rsidRPr="004A7EF1">
        <w:t>Benoît Lévesque</w:t>
      </w:r>
    </w:p>
    <w:p w:rsidR="00B7214C" w:rsidRPr="004A7EF1" w:rsidRDefault="00B7214C" w:rsidP="00B7214C">
      <w:pPr>
        <w:pStyle w:val="ba"/>
      </w:pPr>
      <w:r w:rsidRPr="004A7EF1">
        <w:t>Département de sociologie. Université du Québec à Montréal</w:t>
      </w:r>
    </w:p>
    <w:p w:rsidR="00B7214C" w:rsidRPr="004A7EF1" w:rsidRDefault="00B7214C" w:rsidP="00B7214C">
      <w:pPr>
        <w:spacing w:before="120" w:after="120"/>
        <w:ind w:firstLine="0"/>
        <w:jc w:val="both"/>
      </w:pPr>
      <w:r w:rsidRPr="004A7EF1">
        <w:t>Joseph Levy</w:t>
      </w:r>
    </w:p>
    <w:p w:rsidR="00B7214C" w:rsidRPr="004A7EF1" w:rsidRDefault="00B7214C" w:rsidP="00B7214C">
      <w:pPr>
        <w:pStyle w:val="ba"/>
      </w:pPr>
      <w:r w:rsidRPr="004A7EF1">
        <w:t>Département de sexologie. Université du Québec à Montréal</w:t>
      </w:r>
    </w:p>
    <w:p w:rsidR="00B7214C" w:rsidRPr="004A7EF1" w:rsidRDefault="00B7214C" w:rsidP="00B7214C">
      <w:pPr>
        <w:spacing w:before="120" w:after="120"/>
        <w:ind w:firstLine="0"/>
        <w:jc w:val="both"/>
      </w:pPr>
      <w:r w:rsidRPr="004A7EF1">
        <w:t>Claire Mousseau</w:t>
      </w:r>
    </w:p>
    <w:p w:rsidR="00B7214C" w:rsidRPr="004A7EF1" w:rsidRDefault="00B7214C" w:rsidP="00B7214C">
      <w:pPr>
        <w:pStyle w:val="ba"/>
      </w:pPr>
      <w:r w:rsidRPr="004A7EF1">
        <w:t>Société d'habitation et de développement urbain, Montréal</w:t>
      </w:r>
    </w:p>
    <w:p w:rsidR="00B7214C" w:rsidRPr="004A7EF1" w:rsidRDefault="00B7214C" w:rsidP="00B7214C">
      <w:pPr>
        <w:spacing w:before="120" w:after="120"/>
        <w:ind w:firstLine="0"/>
        <w:jc w:val="both"/>
      </w:pPr>
      <w:r w:rsidRPr="004A7EF1">
        <w:t>Jan Marontate</w:t>
      </w:r>
    </w:p>
    <w:p w:rsidR="00B7214C" w:rsidRPr="004A7EF1" w:rsidRDefault="00B7214C" w:rsidP="00B7214C">
      <w:pPr>
        <w:pStyle w:val="ba"/>
      </w:pPr>
      <w:r w:rsidRPr="004A7EF1">
        <w:t>Sociologue, Wolfville</w:t>
      </w:r>
    </w:p>
    <w:p w:rsidR="00B7214C" w:rsidRPr="004A7EF1" w:rsidRDefault="00B7214C" w:rsidP="00B7214C">
      <w:pPr>
        <w:spacing w:before="120" w:after="120"/>
        <w:ind w:firstLine="0"/>
        <w:jc w:val="both"/>
      </w:pPr>
      <w:r w:rsidRPr="004A7EF1">
        <w:t>Ruth Murbach</w:t>
      </w:r>
    </w:p>
    <w:p w:rsidR="00B7214C" w:rsidRPr="004A7EF1" w:rsidRDefault="00B7214C" w:rsidP="00B7214C">
      <w:pPr>
        <w:pStyle w:val="ba"/>
      </w:pPr>
      <w:r w:rsidRPr="004A7EF1">
        <w:t>Département des sciences juridiques. Université du Québec à Mo</w:t>
      </w:r>
      <w:r w:rsidRPr="004A7EF1">
        <w:t>n</w:t>
      </w:r>
      <w:r w:rsidRPr="004A7EF1">
        <w:t>tréal</w:t>
      </w:r>
    </w:p>
    <w:p w:rsidR="00B7214C" w:rsidRPr="004A7EF1" w:rsidRDefault="00B7214C" w:rsidP="00B7214C">
      <w:pPr>
        <w:spacing w:before="120" w:after="120"/>
        <w:ind w:firstLine="0"/>
        <w:jc w:val="both"/>
      </w:pPr>
      <w:r w:rsidRPr="004A7EF1">
        <w:t>Greg Marc Nielsen</w:t>
      </w:r>
    </w:p>
    <w:p w:rsidR="00B7214C" w:rsidRPr="004A7EF1" w:rsidRDefault="00B7214C" w:rsidP="00B7214C">
      <w:pPr>
        <w:pStyle w:val="ba"/>
      </w:pPr>
      <w:r w:rsidRPr="004A7EF1">
        <w:t>Département de sociologie, York University</w:t>
      </w:r>
    </w:p>
    <w:p w:rsidR="00B7214C" w:rsidRPr="004A7EF1" w:rsidRDefault="00B7214C" w:rsidP="00B7214C">
      <w:pPr>
        <w:spacing w:before="120" w:after="120"/>
        <w:ind w:firstLine="0"/>
        <w:jc w:val="both"/>
      </w:pPr>
      <w:r w:rsidRPr="004A7EF1">
        <w:t>Manon Niquette</w:t>
      </w:r>
    </w:p>
    <w:p w:rsidR="00B7214C" w:rsidRPr="004A7EF1" w:rsidRDefault="00B7214C" w:rsidP="00B7214C">
      <w:pPr>
        <w:pStyle w:val="ba"/>
      </w:pPr>
      <w:r w:rsidRPr="004A7EF1">
        <w:t>CREST, Université du Québec à Montréal</w:t>
      </w:r>
    </w:p>
    <w:p w:rsidR="00B7214C" w:rsidRPr="004A7EF1" w:rsidRDefault="00B7214C" w:rsidP="00B7214C">
      <w:pPr>
        <w:spacing w:before="120" w:after="120"/>
        <w:ind w:firstLine="0"/>
        <w:jc w:val="both"/>
      </w:pPr>
      <w:r w:rsidRPr="004A7EF1">
        <w:t>Milagros Ortis</w:t>
      </w:r>
    </w:p>
    <w:p w:rsidR="00B7214C" w:rsidRPr="004A7EF1" w:rsidRDefault="00B7214C" w:rsidP="00B7214C">
      <w:pPr>
        <w:pStyle w:val="ba"/>
      </w:pPr>
      <w:r w:rsidRPr="004A7EF1">
        <w:t>Anthropologue, Dawson Creek</w:t>
      </w:r>
    </w:p>
    <w:p w:rsidR="00B7214C" w:rsidRPr="004A7EF1" w:rsidRDefault="00B7214C" w:rsidP="00B7214C">
      <w:pPr>
        <w:spacing w:before="120" w:after="120"/>
        <w:ind w:firstLine="0"/>
        <w:jc w:val="both"/>
      </w:pPr>
      <w:r w:rsidRPr="004A7EF1">
        <w:t xml:space="preserve">Fernand </w:t>
      </w:r>
      <w:r w:rsidRPr="004A7EF1">
        <w:rPr>
          <w:bCs/>
        </w:rPr>
        <w:t>Ouellet</w:t>
      </w:r>
    </w:p>
    <w:p w:rsidR="00B7214C" w:rsidRPr="004A7EF1" w:rsidRDefault="00B7214C" w:rsidP="00B7214C">
      <w:pPr>
        <w:pStyle w:val="ba"/>
      </w:pPr>
      <w:r w:rsidRPr="004A7EF1">
        <w:t>Faculté de théologie. Université de Sherbrooke</w:t>
      </w:r>
    </w:p>
    <w:p w:rsidR="00B7214C" w:rsidRPr="004A7EF1" w:rsidRDefault="00B7214C" w:rsidP="00B7214C">
      <w:pPr>
        <w:spacing w:before="120" w:after="120"/>
        <w:ind w:firstLine="0"/>
        <w:jc w:val="both"/>
      </w:pPr>
      <w:r w:rsidRPr="004A7EF1">
        <w:t xml:space="preserve">Françoise-Romaine </w:t>
      </w:r>
      <w:r w:rsidRPr="004A7EF1">
        <w:rPr>
          <w:bCs/>
        </w:rPr>
        <w:t>Ouellette</w:t>
      </w:r>
    </w:p>
    <w:p w:rsidR="00B7214C" w:rsidRPr="004A7EF1" w:rsidRDefault="00B7214C" w:rsidP="00B7214C">
      <w:pPr>
        <w:pStyle w:val="ba"/>
      </w:pPr>
      <w:r w:rsidRPr="004A7EF1">
        <w:t>Institut québécois de recherche sur la culture</w:t>
      </w:r>
    </w:p>
    <w:p w:rsidR="00B7214C" w:rsidRPr="004A7EF1" w:rsidRDefault="00B7214C" w:rsidP="00B7214C">
      <w:pPr>
        <w:spacing w:before="120" w:after="120"/>
        <w:ind w:firstLine="0"/>
        <w:jc w:val="both"/>
      </w:pPr>
      <w:r w:rsidRPr="004A7EF1">
        <w:t>Louise-Iseult Paradis</w:t>
      </w:r>
    </w:p>
    <w:p w:rsidR="00B7214C" w:rsidRPr="004A7EF1" w:rsidRDefault="00B7214C" w:rsidP="00B7214C">
      <w:pPr>
        <w:pStyle w:val="ba"/>
      </w:pPr>
      <w:r w:rsidRPr="004A7EF1">
        <w:t>Département d'anthropologie. Université de Montréal</w:t>
      </w:r>
    </w:p>
    <w:p w:rsidR="00B7214C" w:rsidRPr="004A7EF1" w:rsidRDefault="00B7214C" w:rsidP="00B7214C">
      <w:pPr>
        <w:spacing w:before="120" w:after="120"/>
        <w:ind w:firstLine="0"/>
        <w:jc w:val="both"/>
      </w:pPr>
      <w:r w:rsidRPr="004A7EF1">
        <w:t>Mauro Peressini</w:t>
      </w:r>
    </w:p>
    <w:p w:rsidR="00B7214C" w:rsidRPr="004A7EF1" w:rsidRDefault="00B7214C" w:rsidP="00B7214C">
      <w:pPr>
        <w:pStyle w:val="ba"/>
      </w:pPr>
      <w:r w:rsidRPr="004A7EF1">
        <w:t>Musée canadien des civilisations, Hull</w:t>
      </w:r>
    </w:p>
    <w:p w:rsidR="00B7214C" w:rsidRPr="004A7EF1" w:rsidRDefault="00B7214C" w:rsidP="00B7214C">
      <w:pPr>
        <w:spacing w:before="120" w:after="120"/>
        <w:ind w:firstLine="0"/>
        <w:jc w:val="both"/>
      </w:pPr>
      <w:r w:rsidRPr="004A7EF1">
        <w:t>Eric Schwimmer</w:t>
      </w:r>
    </w:p>
    <w:p w:rsidR="00B7214C" w:rsidRPr="004A7EF1" w:rsidRDefault="00B7214C" w:rsidP="00B7214C">
      <w:pPr>
        <w:pStyle w:val="ba"/>
      </w:pPr>
      <w:r w:rsidRPr="004A7EF1">
        <w:t>Anthropologue, Montréal</w:t>
      </w:r>
    </w:p>
    <w:p w:rsidR="00B7214C" w:rsidRPr="004A7EF1" w:rsidRDefault="00B7214C" w:rsidP="00B7214C">
      <w:pPr>
        <w:spacing w:before="120" w:after="120"/>
        <w:ind w:firstLine="0"/>
        <w:jc w:val="both"/>
      </w:pPr>
      <w:r w:rsidRPr="004A7EF1">
        <w:t>Yvan Simonis</w:t>
      </w:r>
    </w:p>
    <w:p w:rsidR="00B7214C" w:rsidRPr="004A7EF1" w:rsidRDefault="00B7214C" w:rsidP="00B7214C">
      <w:pPr>
        <w:pStyle w:val="ba"/>
      </w:pPr>
      <w:r w:rsidRPr="004A7EF1">
        <w:t>Département d'anthropologie, Université Laval</w:t>
      </w:r>
    </w:p>
    <w:p w:rsidR="00B7214C" w:rsidRPr="004A7EF1" w:rsidRDefault="00B7214C" w:rsidP="00B7214C">
      <w:pPr>
        <w:spacing w:before="120" w:after="120"/>
        <w:ind w:firstLine="0"/>
        <w:jc w:val="both"/>
      </w:pPr>
      <w:r w:rsidRPr="004A7EF1">
        <w:t xml:space="preserve">Marie-Blanche </w:t>
      </w:r>
      <w:r w:rsidRPr="004A7EF1">
        <w:rPr>
          <w:bCs/>
        </w:rPr>
        <w:t>Tahon</w:t>
      </w:r>
    </w:p>
    <w:p w:rsidR="00B7214C" w:rsidRPr="004A7EF1" w:rsidRDefault="00B7214C" w:rsidP="00B7214C">
      <w:pPr>
        <w:pStyle w:val="ba"/>
      </w:pPr>
      <w:r w:rsidRPr="004A7EF1">
        <w:t>Département de sociologie. Université d'Ottawa</w:t>
      </w:r>
    </w:p>
    <w:p w:rsidR="00B7214C" w:rsidRPr="004A7EF1" w:rsidRDefault="00B7214C" w:rsidP="00B7214C">
      <w:pPr>
        <w:spacing w:before="120" w:after="120"/>
        <w:ind w:firstLine="0"/>
        <w:jc w:val="both"/>
      </w:pPr>
      <w:r w:rsidRPr="004A7EF1">
        <w:t>Calvin Veltman</w:t>
      </w:r>
    </w:p>
    <w:p w:rsidR="00B7214C" w:rsidRDefault="00B7214C" w:rsidP="00B7214C">
      <w:pPr>
        <w:pStyle w:val="ba"/>
      </w:pPr>
      <w:r w:rsidRPr="004A7EF1">
        <w:t>Département d'études urbaines, Université du Québec à Mo</w:t>
      </w:r>
      <w:r w:rsidRPr="004A7EF1">
        <w:t>n</w:t>
      </w:r>
      <w:r w:rsidRPr="004A7EF1">
        <w:t>tréal</w:t>
      </w:r>
    </w:p>
    <w:p w:rsidR="00B7214C" w:rsidRDefault="00B7214C" w:rsidP="00B7214C">
      <w:pPr>
        <w:pStyle w:val="p"/>
      </w:pPr>
      <w:r w:rsidRPr="004A7EF1">
        <w:br w:type="page"/>
      </w:r>
      <w:r>
        <w:t>[565]</w:t>
      </w:r>
    </w:p>
    <w:p w:rsidR="00B7214C" w:rsidRPr="00E07116" w:rsidRDefault="00B7214C" w:rsidP="00B7214C">
      <w:pPr>
        <w:jc w:val="both"/>
      </w:pPr>
    </w:p>
    <w:p w:rsidR="00B7214C" w:rsidRPr="00E07116" w:rsidRDefault="00B7214C" w:rsidP="00B7214C">
      <w:pPr>
        <w:jc w:val="both"/>
      </w:pPr>
    </w:p>
    <w:p w:rsidR="00B7214C" w:rsidRPr="00E07116" w:rsidRDefault="00B7214C" w:rsidP="00B7214C">
      <w:pPr>
        <w:jc w:val="both"/>
      </w:pPr>
    </w:p>
    <w:p w:rsidR="00B7214C" w:rsidRPr="00124590" w:rsidRDefault="00B7214C" w:rsidP="00B7214C">
      <w:pPr>
        <w:ind w:hanging="20"/>
        <w:jc w:val="center"/>
        <w:rPr>
          <w:b/>
          <w:sz w:val="24"/>
        </w:rPr>
      </w:pPr>
      <w:bookmarkStart w:id="59" w:name="Entre_tradition_publications_IQRC"/>
      <w:r w:rsidRPr="00124590">
        <w:rPr>
          <w:b/>
          <w:sz w:val="24"/>
        </w:rPr>
        <w:t>Entre tradition et universalisme.</w:t>
      </w:r>
    </w:p>
    <w:p w:rsidR="00B7214C" w:rsidRPr="00124590" w:rsidRDefault="00B7214C" w:rsidP="00B7214C">
      <w:pPr>
        <w:jc w:val="center"/>
        <w:rPr>
          <w:sz w:val="24"/>
        </w:rPr>
      </w:pPr>
      <w:r w:rsidRPr="00124590">
        <w:rPr>
          <w:sz w:val="24"/>
        </w:rPr>
        <w:t xml:space="preserve">Recueil d’articles suite au Colloque </w:t>
      </w:r>
      <w:r w:rsidRPr="00124590">
        <w:rPr>
          <w:i/>
          <w:sz w:val="24"/>
        </w:rPr>
        <w:t>Entre tradition et universali</w:t>
      </w:r>
      <w:r w:rsidRPr="00124590">
        <w:rPr>
          <w:i/>
          <w:sz w:val="24"/>
        </w:rPr>
        <w:t>s</w:t>
      </w:r>
      <w:r w:rsidRPr="00124590">
        <w:rPr>
          <w:i/>
          <w:sz w:val="24"/>
        </w:rPr>
        <w:t>me</w:t>
      </w:r>
      <w:r w:rsidRPr="00124590">
        <w:rPr>
          <w:sz w:val="24"/>
        </w:rPr>
        <w:br/>
        <w:t>tenu à Rimouski par l’ACSALF du 18 au 20 mai 1993.</w:t>
      </w:r>
    </w:p>
    <w:p w:rsidR="00B7214C" w:rsidRPr="00384B20" w:rsidRDefault="00B7214C" w:rsidP="00B7214C">
      <w:pPr>
        <w:pStyle w:val="planchest"/>
      </w:pPr>
      <w:r>
        <w:t>Les publications de l’IQRC *</w:t>
      </w:r>
    </w:p>
    <w:bookmarkEnd w:id="59"/>
    <w:p w:rsidR="00B7214C" w:rsidRPr="00E07116" w:rsidRDefault="00B7214C" w:rsidP="00B7214C">
      <w:pPr>
        <w:jc w:val="both"/>
      </w:pPr>
    </w:p>
    <w:p w:rsidR="00B7214C" w:rsidRPr="00E07116" w:rsidRDefault="00B7214C" w:rsidP="00B7214C">
      <w:pPr>
        <w:jc w:val="both"/>
      </w:pPr>
    </w:p>
    <w:p w:rsidR="00B7214C" w:rsidRPr="004A7EF1" w:rsidRDefault="00B7214C" w:rsidP="00B7214C">
      <w:pPr>
        <w:spacing w:before="120" w:after="120"/>
        <w:jc w:val="both"/>
      </w:pPr>
    </w:p>
    <w:p w:rsidR="00B7214C" w:rsidRPr="004A7EF1" w:rsidRDefault="00B7214C" w:rsidP="00B7214C">
      <w:pPr>
        <w:pStyle w:val="a"/>
      </w:pPr>
      <w:r>
        <w:t xml:space="preserve">I. </w:t>
      </w:r>
      <w:r w:rsidRPr="004A7EF1">
        <w:t>La famille, les sexes, les générations</w:t>
      </w:r>
    </w:p>
    <w:p w:rsidR="00B7214C" w:rsidRDefault="00B7214C" w:rsidP="00B7214C">
      <w:pPr>
        <w:spacing w:before="120" w:after="120"/>
        <w:jc w:val="both"/>
      </w:pPr>
    </w:p>
    <w:p w:rsidR="00B7214C" w:rsidRPr="00384B20" w:rsidRDefault="00B7214C" w:rsidP="00B7214C">
      <w:pPr>
        <w:ind w:right="90" w:firstLine="0"/>
        <w:jc w:val="both"/>
        <w:rPr>
          <w:sz w:val="20"/>
        </w:rPr>
      </w:pPr>
      <w:hyperlink w:anchor="tdm" w:history="1">
        <w:r w:rsidRPr="00384B20">
          <w:rPr>
            <w:rStyle w:val="Lienhypertexte"/>
            <w:sz w:val="20"/>
          </w:rPr>
          <w:t>Re</w:t>
        </w:r>
        <w:r w:rsidRPr="00384B20">
          <w:rPr>
            <w:rStyle w:val="Lienhypertexte"/>
            <w:sz w:val="20"/>
          </w:rPr>
          <w:t>t</w:t>
        </w:r>
        <w:r w:rsidRPr="00384B20">
          <w:rPr>
            <w:rStyle w:val="Lienhypertexte"/>
            <w:sz w:val="20"/>
          </w:rPr>
          <w:t>our à la table des matières</w:t>
        </w:r>
      </w:hyperlink>
    </w:p>
    <w:p w:rsidR="00B7214C" w:rsidRPr="004A7EF1" w:rsidRDefault="00B7214C" w:rsidP="00B7214C">
      <w:pPr>
        <w:spacing w:before="120" w:after="120"/>
        <w:ind w:left="540" w:hanging="540"/>
        <w:jc w:val="both"/>
      </w:pPr>
      <w:r>
        <w:t>1.</w:t>
      </w:r>
      <w:r>
        <w:tab/>
      </w:r>
      <w:r w:rsidRPr="004A7EF1">
        <w:t xml:space="preserve">Denise Lemieux et Lucie Mercier, </w:t>
      </w:r>
      <w:r w:rsidRPr="004A7EF1">
        <w:rPr>
          <w:i/>
          <w:iCs/>
        </w:rPr>
        <w:t>La recherche sur les femmes au Québec : bilan et bibliographie.</w:t>
      </w:r>
      <w:r w:rsidRPr="004A7EF1">
        <w:rPr>
          <w:bCs/>
        </w:rPr>
        <w:t xml:space="preserve"> </w:t>
      </w:r>
      <w:r w:rsidRPr="004A7EF1">
        <w:t>Coll. « Instruments de tr</w:t>
      </w:r>
      <w:r w:rsidRPr="004A7EF1">
        <w:t>a</w:t>
      </w:r>
      <w:r w:rsidRPr="004A7EF1">
        <w:t>vail » n°</w:t>
      </w:r>
      <w:r>
        <w:t> </w:t>
      </w:r>
      <w:r w:rsidRPr="004A7EF1">
        <w:t>5, 1982, 339 pages. ÉPUISÉ (nouvelle édition revue et augmentée en prépar</w:t>
      </w:r>
      <w:r w:rsidRPr="004A7EF1">
        <w:t>a</w:t>
      </w:r>
      <w:r w:rsidRPr="004A7EF1">
        <w:t>tion).</w:t>
      </w:r>
    </w:p>
    <w:p w:rsidR="00B7214C" w:rsidRPr="004A7EF1" w:rsidRDefault="00B7214C" w:rsidP="00B7214C">
      <w:pPr>
        <w:spacing w:before="120" w:after="120"/>
        <w:ind w:left="540" w:hanging="540"/>
        <w:jc w:val="both"/>
      </w:pPr>
      <w:r>
        <w:t>2.</w:t>
      </w:r>
      <w:r>
        <w:tab/>
      </w:r>
      <w:r w:rsidRPr="004A7EF1">
        <w:t>Renée Cloutier, Gabrielle Lachance, Denise Lemieux, Madeleine Pr</w:t>
      </w:r>
      <w:r w:rsidRPr="004A7EF1">
        <w:t>é</w:t>
      </w:r>
      <w:r w:rsidRPr="004A7EF1">
        <w:t xml:space="preserve">claire et Luce Ranger-Poisson. </w:t>
      </w:r>
      <w:r w:rsidRPr="004A7EF1">
        <w:rPr>
          <w:i/>
          <w:iCs/>
        </w:rPr>
        <w:t>Femmes et culture au Québec.</w:t>
      </w:r>
      <w:r w:rsidRPr="004A7EF1">
        <w:rPr>
          <w:bCs/>
        </w:rPr>
        <w:t xml:space="preserve"> </w:t>
      </w:r>
      <w:r w:rsidRPr="004A7EF1">
        <w:t>Coll. « Documents préliminaires » n°</w:t>
      </w:r>
      <w:r>
        <w:t> </w:t>
      </w:r>
      <w:r w:rsidRPr="004A7EF1">
        <w:t>3</w:t>
      </w:r>
      <w:r>
        <w:t>,</w:t>
      </w:r>
      <w:r w:rsidRPr="004A7EF1">
        <w:t xml:space="preserve"> 1982,</w:t>
      </w:r>
      <w:r>
        <w:t xml:space="preserve"> </w:t>
      </w:r>
      <w:r w:rsidRPr="004A7EF1">
        <w:t xml:space="preserve">107 pages. </w:t>
      </w:r>
      <w:r>
        <w:t>É</w:t>
      </w:r>
      <w:r w:rsidRPr="004A7EF1">
        <w:t>PU</w:t>
      </w:r>
      <w:r w:rsidRPr="004A7EF1">
        <w:t>I</w:t>
      </w:r>
      <w:r w:rsidRPr="004A7EF1">
        <w:t>S</w:t>
      </w:r>
      <w:r>
        <w:t>É</w:t>
      </w:r>
    </w:p>
    <w:p w:rsidR="00B7214C" w:rsidRPr="004A7EF1" w:rsidRDefault="00B7214C" w:rsidP="00B7214C">
      <w:pPr>
        <w:spacing w:before="120" w:after="120"/>
        <w:ind w:left="540" w:hanging="540"/>
        <w:jc w:val="both"/>
      </w:pPr>
      <w:r>
        <w:t>3.</w:t>
      </w:r>
      <w:r>
        <w:tab/>
      </w:r>
      <w:r w:rsidRPr="004A7EF1">
        <w:t xml:space="preserve">Alain Vinet, Francine Dufresne et Lucie Vézina. </w:t>
      </w:r>
      <w:r w:rsidRPr="004A7EF1">
        <w:rPr>
          <w:i/>
          <w:iCs/>
        </w:rPr>
        <w:t>La condition féminine en milieu ouvrier :</w:t>
      </w:r>
      <w:r>
        <w:rPr>
          <w:i/>
          <w:iCs/>
        </w:rPr>
        <w:t xml:space="preserve"> </w:t>
      </w:r>
      <w:r w:rsidRPr="004A7EF1">
        <w:rPr>
          <w:i/>
          <w:iCs/>
        </w:rPr>
        <w:t>une enquête.</w:t>
      </w:r>
      <w:r w:rsidRPr="004A7EF1">
        <w:rPr>
          <w:bCs/>
        </w:rPr>
        <w:t xml:space="preserve"> </w:t>
      </w:r>
      <w:r w:rsidRPr="004A7EF1">
        <w:t>Coll. « Identité et cha</w:t>
      </w:r>
      <w:r w:rsidRPr="004A7EF1">
        <w:t>n</w:t>
      </w:r>
      <w:r w:rsidRPr="004A7EF1">
        <w:t>g</w:t>
      </w:r>
      <w:r w:rsidRPr="004A7EF1">
        <w:t>e</w:t>
      </w:r>
      <w:r w:rsidRPr="004A7EF1">
        <w:t>ments culturels » n°</w:t>
      </w:r>
      <w:r>
        <w:t> </w:t>
      </w:r>
      <w:r w:rsidRPr="004A7EF1">
        <w:t xml:space="preserve">3, 1982, 222 pages </w:t>
      </w:r>
      <w:r>
        <w:t>ÉPUISÉ</w:t>
      </w:r>
    </w:p>
    <w:p w:rsidR="00B7214C" w:rsidRPr="004A7EF1" w:rsidRDefault="00B7214C" w:rsidP="00B7214C">
      <w:pPr>
        <w:spacing w:before="120" w:after="120"/>
        <w:ind w:left="540" w:hanging="540"/>
        <w:jc w:val="both"/>
      </w:pPr>
      <w:r>
        <w:t>4.</w:t>
      </w:r>
      <w:r>
        <w:tab/>
      </w:r>
      <w:r w:rsidRPr="004A7EF1">
        <w:t xml:space="preserve">Yolande Cohen. </w:t>
      </w:r>
      <w:r w:rsidRPr="004A7EF1">
        <w:rPr>
          <w:i/>
          <w:iCs/>
        </w:rPr>
        <w:t>Les thèses québécoises sur les femmes.</w:t>
      </w:r>
      <w:r w:rsidRPr="004A7EF1">
        <w:rPr>
          <w:bCs/>
        </w:rPr>
        <w:t xml:space="preserve"> </w:t>
      </w:r>
      <w:r w:rsidRPr="004A7EF1">
        <w:t>Coll. « Instruments de trav</w:t>
      </w:r>
      <w:r>
        <w:t>ail » n° 7, 1983, 124 pages.</w:t>
      </w:r>
    </w:p>
    <w:p w:rsidR="00B7214C" w:rsidRPr="00D80D9E" w:rsidRDefault="00B7214C" w:rsidP="00B7214C">
      <w:pPr>
        <w:spacing w:before="120" w:after="120"/>
        <w:ind w:left="540" w:hanging="540"/>
        <w:jc w:val="both"/>
      </w:pPr>
      <w:r>
        <w:t>5.</w:t>
      </w:r>
      <w:r>
        <w:tab/>
      </w:r>
      <w:r w:rsidRPr="00D80D9E">
        <w:rPr>
          <w:iCs/>
        </w:rPr>
        <w:t xml:space="preserve">Denise Lemieux. </w:t>
      </w:r>
      <w:r w:rsidRPr="00D80D9E">
        <w:rPr>
          <w:i/>
        </w:rPr>
        <w:t>Les petits innocents. L’enfance en Nouvelle-France</w:t>
      </w:r>
      <w:r w:rsidRPr="00D80D9E">
        <w:t>.</w:t>
      </w:r>
      <w:r w:rsidRPr="00D80D9E">
        <w:rPr>
          <w:bCs/>
          <w:iCs/>
        </w:rPr>
        <w:t xml:space="preserve"> </w:t>
      </w:r>
      <w:r w:rsidRPr="00D80D9E">
        <w:rPr>
          <w:iCs/>
        </w:rPr>
        <w:t>1985,</w:t>
      </w:r>
      <w:r>
        <w:rPr>
          <w:iCs/>
        </w:rPr>
        <w:t xml:space="preserve"> 205 pages.</w:t>
      </w:r>
    </w:p>
    <w:p w:rsidR="00B7214C" w:rsidRPr="004A7EF1" w:rsidRDefault="00B7214C" w:rsidP="00B7214C">
      <w:pPr>
        <w:spacing w:before="120" w:after="120"/>
        <w:ind w:left="540" w:hanging="540"/>
        <w:jc w:val="both"/>
      </w:pPr>
      <w:r>
        <w:t>6.</w:t>
      </w:r>
      <w:r>
        <w:tab/>
      </w:r>
      <w:r w:rsidRPr="004A7EF1">
        <w:t xml:space="preserve">Fernand Dumont, dir. </w:t>
      </w:r>
      <w:r w:rsidRPr="004A7EF1">
        <w:rPr>
          <w:i/>
          <w:iCs/>
        </w:rPr>
        <w:t>Une société des jeunes ?</w:t>
      </w:r>
      <w:r w:rsidRPr="004A7EF1">
        <w:rPr>
          <w:bCs/>
        </w:rPr>
        <w:t xml:space="preserve"> </w:t>
      </w:r>
      <w:r w:rsidRPr="004A7EF1">
        <w:t>1986,</w:t>
      </w:r>
      <w:r>
        <w:t xml:space="preserve"> 397 pages.</w:t>
      </w:r>
    </w:p>
    <w:p w:rsidR="00B7214C" w:rsidRPr="004A7EF1" w:rsidRDefault="00B7214C" w:rsidP="00B7214C">
      <w:pPr>
        <w:spacing w:before="120" w:after="120"/>
        <w:ind w:left="540" w:hanging="540"/>
        <w:jc w:val="both"/>
      </w:pPr>
      <w:r>
        <w:t>7.</w:t>
      </w:r>
      <w:r>
        <w:tab/>
      </w:r>
      <w:r w:rsidRPr="004A7EF1">
        <w:t xml:space="preserve">Marie-Marthe T. Brault. </w:t>
      </w:r>
      <w:r w:rsidRPr="004A7EF1">
        <w:rPr>
          <w:i/>
          <w:iCs/>
        </w:rPr>
        <w:t>Du loisir à l’innovation. Les associ</w:t>
      </w:r>
      <w:r w:rsidRPr="004A7EF1">
        <w:rPr>
          <w:i/>
          <w:iCs/>
        </w:rPr>
        <w:t>a</w:t>
      </w:r>
      <w:r w:rsidRPr="004A7EF1">
        <w:rPr>
          <w:i/>
          <w:iCs/>
        </w:rPr>
        <w:t>tions volontaires de personnes retraitées.</w:t>
      </w:r>
      <w:r w:rsidRPr="004A7EF1">
        <w:rPr>
          <w:bCs/>
        </w:rPr>
        <w:t xml:space="preserve"> </w:t>
      </w:r>
      <w:r w:rsidRPr="004A7EF1">
        <w:t>Coll. « Documents de r</w:t>
      </w:r>
      <w:r w:rsidRPr="004A7EF1">
        <w:t>e</w:t>
      </w:r>
      <w:r w:rsidRPr="004A7EF1">
        <w:t>cherche</w:t>
      </w:r>
      <w:r>
        <w:t> » n° 15, 1987, 176 pages.</w:t>
      </w:r>
    </w:p>
    <w:p w:rsidR="00B7214C" w:rsidRPr="004A7EF1" w:rsidRDefault="00B7214C" w:rsidP="00B7214C">
      <w:pPr>
        <w:spacing w:before="120" w:after="120"/>
        <w:ind w:left="540" w:hanging="540"/>
        <w:jc w:val="both"/>
      </w:pPr>
      <w:r>
        <w:t>8.</w:t>
      </w:r>
      <w:r>
        <w:tab/>
      </w:r>
      <w:r w:rsidRPr="004A7EF1">
        <w:t xml:space="preserve">Renée B.-Dandurand et Lise Saint-Jean. </w:t>
      </w:r>
      <w:r w:rsidRPr="004A7EF1">
        <w:rPr>
          <w:i/>
          <w:iCs/>
        </w:rPr>
        <w:t>Des mères sans alliance. Monoparentalité et désunions conjugales.</w:t>
      </w:r>
      <w:r w:rsidRPr="004A7EF1">
        <w:rPr>
          <w:bCs/>
        </w:rPr>
        <w:t xml:space="preserve"> </w:t>
      </w:r>
      <w:r w:rsidRPr="004A7EF1">
        <w:t>1988,1989, 2e</w:t>
      </w:r>
      <w:r>
        <w:t xml:space="preserve"> édition, 297 pages.</w:t>
      </w:r>
    </w:p>
    <w:p w:rsidR="00B7214C" w:rsidRPr="004A7EF1" w:rsidRDefault="00B7214C" w:rsidP="00B7214C">
      <w:pPr>
        <w:spacing w:before="120" w:after="120"/>
        <w:ind w:left="540" w:hanging="540"/>
        <w:jc w:val="both"/>
      </w:pPr>
      <w:r>
        <w:t>9.</w:t>
      </w:r>
      <w:r>
        <w:tab/>
      </w:r>
      <w:r w:rsidRPr="004A7EF1">
        <w:t xml:space="preserve">Renée B.-Dandurand. </w:t>
      </w:r>
      <w:hyperlink r:id="rId107" w:history="1">
        <w:r w:rsidRPr="00D80D9E">
          <w:rPr>
            <w:rStyle w:val="Lienhypertexte"/>
            <w:i/>
            <w:iCs/>
          </w:rPr>
          <w:t>Le mariage en question. Essai sociohist</w:t>
        </w:r>
        <w:r w:rsidRPr="00D80D9E">
          <w:rPr>
            <w:rStyle w:val="Lienhypertexte"/>
            <w:i/>
            <w:iCs/>
          </w:rPr>
          <w:t>o</w:t>
        </w:r>
        <w:r w:rsidRPr="00D80D9E">
          <w:rPr>
            <w:rStyle w:val="Lienhypertexte"/>
            <w:i/>
            <w:iCs/>
          </w:rPr>
          <w:t>rique</w:t>
        </w:r>
      </w:hyperlink>
      <w:r w:rsidRPr="004A7EF1">
        <w:rPr>
          <w:i/>
          <w:iCs/>
        </w:rPr>
        <w:t>.</w:t>
      </w:r>
      <w:r w:rsidRPr="004A7EF1">
        <w:rPr>
          <w:bCs/>
        </w:rPr>
        <w:t xml:space="preserve"> </w:t>
      </w:r>
      <w:r w:rsidRPr="004A7EF1">
        <w:t>1988,</w:t>
      </w:r>
      <w:r>
        <w:t xml:space="preserve"> </w:t>
      </w:r>
      <w:r w:rsidRPr="004A7EF1">
        <w:t>1991 2</w:t>
      </w:r>
      <w:r w:rsidRPr="00D80D9E">
        <w:rPr>
          <w:vertAlign w:val="superscript"/>
        </w:rPr>
        <w:t>e</w:t>
      </w:r>
      <w:r>
        <w:t xml:space="preserve"> édition 190 pages.</w:t>
      </w:r>
    </w:p>
    <w:p w:rsidR="00B7214C" w:rsidRPr="004A7EF1" w:rsidRDefault="00B7214C" w:rsidP="00B7214C">
      <w:pPr>
        <w:spacing w:before="120" w:after="120"/>
        <w:ind w:left="540" w:hanging="540"/>
        <w:jc w:val="both"/>
      </w:pPr>
      <w:r>
        <w:t>10.</w:t>
      </w:r>
      <w:r>
        <w:tab/>
      </w:r>
      <w:r w:rsidRPr="004A7EF1">
        <w:t xml:space="preserve">Isabelle Perrault. </w:t>
      </w:r>
      <w:r w:rsidRPr="004A7EF1">
        <w:rPr>
          <w:i/>
          <w:iCs/>
        </w:rPr>
        <w:t>Autour des jeunes. Reconnaissance bibliogr</w:t>
      </w:r>
      <w:r w:rsidRPr="004A7EF1">
        <w:rPr>
          <w:i/>
          <w:iCs/>
        </w:rPr>
        <w:t>a</w:t>
      </w:r>
      <w:r w:rsidRPr="004A7EF1">
        <w:rPr>
          <w:i/>
          <w:iCs/>
        </w:rPr>
        <w:t>phique.</w:t>
      </w:r>
      <w:r w:rsidRPr="004A7EF1">
        <w:rPr>
          <w:bCs/>
        </w:rPr>
        <w:t xml:space="preserve"> </w:t>
      </w:r>
      <w:r w:rsidRPr="004A7EF1">
        <w:t>Coll. « Documents de recherche » n°</w:t>
      </w:r>
      <w:r>
        <w:t> </w:t>
      </w:r>
      <w:r w:rsidRPr="004A7EF1">
        <w:t>17,</w:t>
      </w:r>
      <w:r>
        <w:t xml:space="preserve"> </w:t>
      </w:r>
      <w:r w:rsidRPr="004A7EF1">
        <w:t>1988,</w:t>
      </w:r>
      <w:r>
        <w:t xml:space="preserve"> 422 p</w:t>
      </w:r>
      <w:r>
        <w:t>a</w:t>
      </w:r>
      <w:r>
        <w:t>ges.</w:t>
      </w:r>
    </w:p>
    <w:p w:rsidR="00B7214C" w:rsidRPr="00D80D9E" w:rsidRDefault="00B7214C" w:rsidP="00B7214C">
      <w:pPr>
        <w:spacing w:before="120" w:after="120"/>
        <w:ind w:left="540" w:hanging="540"/>
        <w:jc w:val="both"/>
      </w:pPr>
      <w:r>
        <w:t>11.</w:t>
      </w:r>
      <w:r>
        <w:tab/>
      </w:r>
      <w:r w:rsidRPr="00D80D9E">
        <w:rPr>
          <w:iCs/>
        </w:rPr>
        <w:t xml:space="preserve">Denise Lemieux et Lucie Mercier. </w:t>
      </w:r>
      <w:r w:rsidRPr="00D80D9E">
        <w:rPr>
          <w:i/>
        </w:rPr>
        <w:t>Les femmes au tournant du si</w:t>
      </w:r>
      <w:r w:rsidRPr="00D80D9E">
        <w:rPr>
          <w:i/>
        </w:rPr>
        <w:t>è</w:t>
      </w:r>
      <w:r w:rsidRPr="00D80D9E">
        <w:rPr>
          <w:i/>
        </w:rPr>
        <w:t>cle, 1880-1940. Âges de la vie, maternité et quotidien</w:t>
      </w:r>
      <w:r w:rsidRPr="00D80D9E">
        <w:t>.</w:t>
      </w:r>
      <w:r w:rsidRPr="00D80D9E">
        <w:rPr>
          <w:bCs/>
          <w:iCs/>
        </w:rPr>
        <w:t xml:space="preserve"> </w:t>
      </w:r>
      <w:r w:rsidRPr="00D80D9E">
        <w:rPr>
          <w:iCs/>
        </w:rPr>
        <w:t>1989, 4e tir</w:t>
      </w:r>
      <w:r w:rsidRPr="00D80D9E">
        <w:rPr>
          <w:iCs/>
        </w:rPr>
        <w:t>a</w:t>
      </w:r>
      <w:r>
        <w:rPr>
          <w:iCs/>
        </w:rPr>
        <w:t>ge, 398 pages.</w:t>
      </w:r>
    </w:p>
    <w:p w:rsidR="00B7214C" w:rsidRPr="004A7EF1" w:rsidRDefault="00B7214C" w:rsidP="00B7214C">
      <w:pPr>
        <w:spacing w:before="120" w:after="120"/>
        <w:ind w:left="540" w:hanging="540"/>
        <w:jc w:val="both"/>
      </w:pPr>
      <w:r>
        <w:t>12.</w:t>
      </w:r>
      <w:r>
        <w:tab/>
      </w:r>
      <w:r w:rsidRPr="004A7EF1">
        <w:t xml:space="preserve">Gabrielle Lachance. </w:t>
      </w:r>
      <w:r w:rsidRPr="004A7EF1">
        <w:rPr>
          <w:i/>
          <w:iCs/>
        </w:rPr>
        <w:t xml:space="preserve">Nouvelles images de la vieillesse. Une étude de la presse âgée au Québec. </w:t>
      </w:r>
      <w:r w:rsidRPr="004A7EF1">
        <w:t>Coll. « Documents de recherche » n°</w:t>
      </w:r>
      <w:r>
        <w:t> </w:t>
      </w:r>
      <w:r w:rsidRPr="004A7EF1">
        <w:t>22, 1990,168 pages. (20 $)</w:t>
      </w:r>
    </w:p>
    <w:p w:rsidR="00B7214C" w:rsidRPr="004A7EF1" w:rsidRDefault="00B7214C" w:rsidP="00B7214C">
      <w:pPr>
        <w:spacing w:before="120" w:after="120"/>
        <w:ind w:left="540" w:hanging="540"/>
        <w:jc w:val="both"/>
      </w:pPr>
      <w:r>
        <w:t>13.</w:t>
      </w:r>
      <w:r>
        <w:tab/>
      </w:r>
      <w:r w:rsidRPr="004A7EF1">
        <w:t xml:space="preserve">Marie-Marthe T. Brault. </w:t>
      </w:r>
      <w:r w:rsidRPr="004A7EF1">
        <w:rPr>
          <w:i/>
          <w:iCs/>
        </w:rPr>
        <w:t>Le travail bénévole à la retraite.</w:t>
      </w:r>
      <w:r w:rsidRPr="004A7EF1">
        <w:rPr>
          <w:bCs/>
        </w:rPr>
        <w:t xml:space="preserve"> </w:t>
      </w:r>
      <w:r w:rsidRPr="004A7EF1">
        <w:t>Coll. « Documents de recher</w:t>
      </w:r>
      <w:r>
        <w:t>che » n° 25, 1990, 122 pages.</w:t>
      </w:r>
    </w:p>
    <w:p w:rsidR="00B7214C" w:rsidRPr="004A7EF1" w:rsidRDefault="00B7214C" w:rsidP="00B7214C">
      <w:pPr>
        <w:spacing w:before="120" w:after="120"/>
        <w:ind w:left="540" w:hanging="540"/>
        <w:jc w:val="both"/>
      </w:pPr>
      <w:r>
        <w:t>15.</w:t>
      </w:r>
      <w:r>
        <w:tab/>
      </w:r>
      <w:r w:rsidRPr="004A7EF1">
        <w:t xml:space="preserve">Denise Lemieux, dir. </w:t>
      </w:r>
      <w:r w:rsidRPr="004A7EF1">
        <w:rPr>
          <w:i/>
          <w:iCs/>
        </w:rPr>
        <w:t>Familles d'aujourd'hui.</w:t>
      </w:r>
      <w:r w:rsidRPr="004A7EF1">
        <w:rPr>
          <w:bCs/>
        </w:rPr>
        <w:t xml:space="preserve"> </w:t>
      </w:r>
      <w:r w:rsidRPr="004A7EF1">
        <w:t>IQRC en collabor</w:t>
      </w:r>
      <w:r w:rsidRPr="004A7EF1">
        <w:t>a</w:t>
      </w:r>
      <w:r w:rsidRPr="004A7EF1">
        <w:t>tion avec le Musée de la civilisation, 1</w:t>
      </w:r>
      <w:r>
        <w:t>990,2e tirage, 243 pages.</w:t>
      </w:r>
    </w:p>
    <w:p w:rsidR="00B7214C" w:rsidRDefault="00B7214C" w:rsidP="00B7214C">
      <w:pPr>
        <w:spacing w:before="120" w:after="120"/>
        <w:ind w:left="540" w:hanging="540"/>
        <w:jc w:val="both"/>
      </w:pPr>
      <w:r>
        <w:t>16.</w:t>
      </w:r>
      <w:r>
        <w:tab/>
      </w:r>
      <w:r w:rsidRPr="004A7EF1">
        <w:t xml:space="preserve">Renée B.-Dandurand et Francine Descarries, dir. </w:t>
      </w:r>
      <w:r w:rsidRPr="004A7EF1">
        <w:rPr>
          <w:i/>
          <w:iCs/>
        </w:rPr>
        <w:t>Mères et tr</w:t>
      </w:r>
      <w:r w:rsidRPr="004A7EF1">
        <w:rPr>
          <w:i/>
          <w:iCs/>
        </w:rPr>
        <w:t>a</w:t>
      </w:r>
      <w:r w:rsidRPr="004A7EF1">
        <w:rPr>
          <w:i/>
          <w:iCs/>
        </w:rPr>
        <w:t>vaille</w:t>
      </w:r>
      <w:r w:rsidRPr="004A7EF1">
        <w:rPr>
          <w:i/>
          <w:iCs/>
        </w:rPr>
        <w:t>u</w:t>
      </w:r>
      <w:r w:rsidRPr="004A7EF1">
        <w:rPr>
          <w:i/>
          <w:iCs/>
        </w:rPr>
        <w:t>ses. De l’exception à la règle.</w:t>
      </w:r>
      <w:r w:rsidRPr="004A7EF1">
        <w:rPr>
          <w:bCs/>
        </w:rPr>
        <w:t xml:space="preserve"> </w:t>
      </w:r>
      <w:r>
        <w:t>1992, 214 pages.</w:t>
      </w:r>
    </w:p>
    <w:p w:rsidR="00B7214C" w:rsidRDefault="00B7214C" w:rsidP="00B7214C">
      <w:pPr>
        <w:spacing w:before="120" w:after="120"/>
        <w:ind w:left="540" w:hanging="540"/>
        <w:jc w:val="both"/>
      </w:pPr>
      <w:r w:rsidRPr="004A7EF1">
        <w:br w:type="page"/>
      </w:r>
      <w:r>
        <w:t>[566]</w:t>
      </w:r>
    </w:p>
    <w:p w:rsidR="00B7214C" w:rsidRDefault="00B7214C" w:rsidP="00B7214C">
      <w:pPr>
        <w:spacing w:before="120" w:after="120"/>
        <w:ind w:left="540" w:hanging="540"/>
        <w:jc w:val="both"/>
      </w:pPr>
    </w:p>
    <w:p w:rsidR="00B7214C" w:rsidRPr="004A7EF1" w:rsidRDefault="00B7214C" w:rsidP="00B7214C">
      <w:pPr>
        <w:pStyle w:val="a"/>
      </w:pPr>
      <w:r>
        <w:t xml:space="preserve">II. </w:t>
      </w:r>
      <w:r w:rsidRPr="004A7EF1">
        <w:rPr>
          <w:bCs/>
        </w:rPr>
        <w:t xml:space="preserve">Les </w:t>
      </w:r>
      <w:r w:rsidRPr="004A7EF1">
        <w:t>communautés ethnoculturelles</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David Rome, Judith Nefsky et Paule Obermeir. </w:t>
      </w:r>
      <w:r w:rsidRPr="004A7EF1">
        <w:rPr>
          <w:i/>
          <w:iCs/>
        </w:rPr>
        <w:t>Les Juifs du Qu</w:t>
      </w:r>
      <w:r w:rsidRPr="004A7EF1">
        <w:rPr>
          <w:i/>
          <w:iCs/>
        </w:rPr>
        <w:t>é</w:t>
      </w:r>
      <w:r w:rsidRPr="004A7EF1">
        <w:rPr>
          <w:i/>
          <w:iCs/>
        </w:rPr>
        <w:t>bec — Bibliographie rétrospective annotée.</w:t>
      </w:r>
      <w:r w:rsidRPr="004A7EF1">
        <w:rPr>
          <w:bCs/>
        </w:rPr>
        <w:t xml:space="preserve"> </w:t>
      </w:r>
      <w:r w:rsidRPr="004A7EF1">
        <w:t>Coll. « Instruments de tr</w:t>
      </w:r>
      <w:r w:rsidRPr="004A7EF1">
        <w:t>a</w:t>
      </w:r>
      <w:r w:rsidRPr="004A7EF1">
        <w:t>vail » n°</w:t>
      </w:r>
      <w:r>
        <w:t> </w:t>
      </w:r>
      <w:r w:rsidRPr="004A7EF1">
        <w:t>1,</w:t>
      </w:r>
      <w:r>
        <w:t xml:space="preserve"> </w:t>
      </w:r>
      <w:r w:rsidRPr="004A7EF1">
        <w:t>1981,</w:t>
      </w:r>
      <w:r>
        <w:t xml:space="preserve"> 319 pages.</w:t>
      </w:r>
    </w:p>
    <w:p w:rsidR="00B7214C" w:rsidRPr="004A7EF1" w:rsidRDefault="00B7214C" w:rsidP="00B7214C">
      <w:pPr>
        <w:spacing w:before="120" w:after="120"/>
        <w:ind w:left="540" w:hanging="540"/>
        <w:jc w:val="both"/>
      </w:pPr>
      <w:r>
        <w:t>2.</w:t>
      </w:r>
      <w:r>
        <w:tab/>
      </w:r>
      <w:r w:rsidRPr="004A7EF1">
        <w:t xml:space="preserve">Gary Caldwell et Éric Waddell, dir. </w:t>
      </w:r>
      <w:r w:rsidRPr="004A7EF1">
        <w:rPr>
          <w:i/>
          <w:iCs/>
        </w:rPr>
        <w:t>Les anglophones du Qu</w:t>
      </w:r>
      <w:r w:rsidRPr="004A7EF1">
        <w:rPr>
          <w:i/>
          <w:iCs/>
        </w:rPr>
        <w:t>é</w:t>
      </w:r>
      <w:r w:rsidRPr="004A7EF1">
        <w:rPr>
          <w:i/>
          <w:iCs/>
        </w:rPr>
        <w:t>bec : de majoritaires à minoritaires.</w:t>
      </w:r>
      <w:r w:rsidRPr="004A7EF1">
        <w:rPr>
          <w:bCs/>
        </w:rPr>
        <w:t xml:space="preserve"> </w:t>
      </w:r>
      <w:r w:rsidRPr="004A7EF1">
        <w:t>Coll. « Identité et chang</w:t>
      </w:r>
      <w:r w:rsidRPr="004A7EF1">
        <w:t>e</w:t>
      </w:r>
      <w:r w:rsidRPr="004A7EF1">
        <w:t>ments cult</w:t>
      </w:r>
      <w:r w:rsidRPr="004A7EF1">
        <w:t>u</w:t>
      </w:r>
      <w:r w:rsidRPr="004A7EF1">
        <w:t>rels » n°</w:t>
      </w:r>
      <w:r>
        <w:t> 1, 1982, 482 pages.</w:t>
      </w:r>
    </w:p>
    <w:p w:rsidR="00B7214C" w:rsidRPr="004A7EF1" w:rsidRDefault="00B7214C" w:rsidP="00B7214C">
      <w:pPr>
        <w:spacing w:before="120" w:after="120"/>
        <w:ind w:left="540" w:hanging="540"/>
        <w:jc w:val="both"/>
      </w:pPr>
      <w:r>
        <w:t>3.</w:t>
      </w:r>
      <w:r>
        <w:tab/>
      </w:r>
      <w:r w:rsidRPr="004A7EF1">
        <w:t xml:space="preserve">Gary Caldwell et Éric Waddell, editors. </w:t>
      </w:r>
      <w:r w:rsidRPr="004A7EF1">
        <w:rPr>
          <w:i/>
          <w:iCs/>
        </w:rPr>
        <w:t>The English of Qu</w:t>
      </w:r>
      <w:r w:rsidRPr="004A7EF1">
        <w:rPr>
          <w:i/>
          <w:iCs/>
        </w:rPr>
        <w:t>e</w:t>
      </w:r>
      <w:r w:rsidRPr="004A7EF1">
        <w:rPr>
          <w:i/>
          <w:iCs/>
        </w:rPr>
        <w:t>bec : from majority to minority status.</w:t>
      </w:r>
      <w:r w:rsidRPr="004A7EF1">
        <w:rPr>
          <w:bCs/>
        </w:rPr>
        <w:t xml:space="preserve"> </w:t>
      </w:r>
      <w:r w:rsidRPr="004A7EF1">
        <w:t>Coll. « Identité et changements cult</w:t>
      </w:r>
      <w:r w:rsidRPr="004A7EF1">
        <w:t>u</w:t>
      </w:r>
      <w:r w:rsidRPr="004A7EF1">
        <w:t>rels »</w:t>
      </w:r>
      <w:r>
        <w:t>,</w:t>
      </w:r>
      <w:r w:rsidRPr="004A7EF1">
        <w:t xml:space="preserve"> n°</w:t>
      </w:r>
      <w:r>
        <w:t> </w:t>
      </w:r>
      <w:r w:rsidRPr="004A7EF1">
        <w:t>2,</w:t>
      </w:r>
      <w:r>
        <w:t xml:space="preserve"> </w:t>
      </w:r>
      <w:r w:rsidRPr="004A7EF1">
        <w:t>1982, 466 pages. (14 $)</w:t>
      </w:r>
    </w:p>
    <w:p w:rsidR="00B7214C" w:rsidRPr="004A7EF1" w:rsidRDefault="00B7214C" w:rsidP="00B7214C">
      <w:pPr>
        <w:spacing w:before="120" w:after="120"/>
        <w:ind w:left="540" w:hanging="540"/>
        <w:jc w:val="both"/>
      </w:pPr>
      <w:r>
        <w:t>4.</w:t>
      </w:r>
      <w:r>
        <w:tab/>
      </w:r>
      <w:r w:rsidRPr="004A7EF1">
        <w:t xml:space="preserve">Gary Caldwell. </w:t>
      </w:r>
      <w:r w:rsidRPr="004A7EF1">
        <w:rPr>
          <w:i/>
          <w:iCs/>
        </w:rPr>
        <w:t>Les études ethniques au Québec</w:t>
      </w:r>
      <w:r w:rsidRPr="004A7EF1">
        <w:rPr>
          <w:bCs/>
        </w:rPr>
        <w:t xml:space="preserve"> — </w:t>
      </w:r>
      <w:r w:rsidRPr="004A7EF1">
        <w:rPr>
          <w:i/>
          <w:iCs/>
        </w:rPr>
        <w:t>Bilan et per</w:t>
      </w:r>
      <w:r w:rsidRPr="004A7EF1">
        <w:rPr>
          <w:i/>
          <w:iCs/>
        </w:rPr>
        <w:t>s</w:t>
      </w:r>
      <w:r w:rsidRPr="004A7EF1">
        <w:rPr>
          <w:i/>
          <w:iCs/>
        </w:rPr>
        <w:t>pect</w:t>
      </w:r>
      <w:r w:rsidRPr="004A7EF1">
        <w:rPr>
          <w:i/>
          <w:iCs/>
        </w:rPr>
        <w:t>i</w:t>
      </w:r>
      <w:r w:rsidRPr="004A7EF1">
        <w:rPr>
          <w:i/>
          <w:iCs/>
        </w:rPr>
        <w:t>ves.</w:t>
      </w:r>
      <w:r w:rsidRPr="004A7EF1">
        <w:rPr>
          <w:bCs/>
        </w:rPr>
        <w:t xml:space="preserve"> </w:t>
      </w:r>
      <w:r w:rsidRPr="004A7EF1">
        <w:t>Coll. « Instruments de travail » n°</w:t>
      </w:r>
      <w:r>
        <w:t> </w:t>
      </w:r>
      <w:r w:rsidRPr="004A7EF1">
        <w:t>8,</w:t>
      </w:r>
      <w:r>
        <w:t xml:space="preserve"> </w:t>
      </w:r>
      <w:r w:rsidRPr="004A7EF1">
        <w:t>1983,</w:t>
      </w:r>
      <w:r>
        <w:t xml:space="preserve"> 108 pages.</w:t>
      </w:r>
    </w:p>
    <w:p w:rsidR="00B7214C" w:rsidRPr="004A7EF1" w:rsidRDefault="00B7214C" w:rsidP="00B7214C">
      <w:pPr>
        <w:spacing w:before="120" w:after="120"/>
        <w:ind w:left="540" w:hanging="540"/>
        <w:jc w:val="both"/>
      </w:pPr>
      <w:r>
        <w:t>5.</w:t>
      </w:r>
      <w:r>
        <w:tab/>
      </w:r>
      <w:r w:rsidRPr="004A7EF1">
        <w:t xml:space="preserve">Honorius Provost. </w:t>
      </w:r>
      <w:r w:rsidRPr="004A7EF1">
        <w:rPr>
          <w:i/>
          <w:iCs/>
        </w:rPr>
        <w:t xml:space="preserve">Les premiers Anglo-Canadiens </w:t>
      </w:r>
      <w:r w:rsidRPr="004A7EF1">
        <w:rPr>
          <w:bCs/>
          <w:i/>
          <w:iCs/>
        </w:rPr>
        <w:t xml:space="preserve">à </w:t>
      </w:r>
      <w:r w:rsidRPr="004A7EF1">
        <w:rPr>
          <w:i/>
          <w:iCs/>
        </w:rPr>
        <w:t>Québec</w:t>
      </w:r>
      <w:r w:rsidRPr="004A7EF1">
        <w:rPr>
          <w:bCs/>
        </w:rPr>
        <w:t xml:space="preserve"> </w:t>
      </w:r>
      <w:r w:rsidRPr="004A7EF1">
        <w:t xml:space="preserve">— </w:t>
      </w:r>
      <w:r w:rsidRPr="004A7EF1">
        <w:rPr>
          <w:i/>
          <w:iCs/>
        </w:rPr>
        <w:t>Essai de recensement (1759- 1775).</w:t>
      </w:r>
      <w:r w:rsidRPr="004A7EF1">
        <w:rPr>
          <w:bCs/>
        </w:rPr>
        <w:t xml:space="preserve"> </w:t>
      </w:r>
      <w:r w:rsidRPr="004A7EF1">
        <w:t>Coll. « Documents de r</w:t>
      </w:r>
      <w:r w:rsidRPr="004A7EF1">
        <w:t>e</w:t>
      </w:r>
      <w:r w:rsidRPr="004A7EF1">
        <w:t>cherche » n°</w:t>
      </w:r>
      <w:r>
        <w:t> </w:t>
      </w:r>
      <w:r w:rsidRPr="004A7EF1">
        <w:t>1, 1983, 1984, 2e éd</w:t>
      </w:r>
      <w:r>
        <w:t>ition, 71 pages. ÉPUISÉ</w:t>
      </w:r>
    </w:p>
    <w:p w:rsidR="00B7214C" w:rsidRPr="004A7EF1" w:rsidRDefault="00B7214C" w:rsidP="00B7214C">
      <w:pPr>
        <w:spacing w:before="120" w:after="120"/>
        <w:ind w:left="540" w:hanging="540"/>
        <w:jc w:val="both"/>
      </w:pPr>
      <w:r>
        <w:t>6.</w:t>
      </w:r>
      <w:r>
        <w:tab/>
      </w:r>
      <w:r w:rsidRPr="004A7EF1">
        <w:t xml:space="preserve">Tina Ioannou. </w:t>
      </w:r>
      <w:r w:rsidRPr="004A7EF1">
        <w:rPr>
          <w:i/>
          <w:iCs/>
        </w:rPr>
        <w:t>La communauté grecque du Québec.</w:t>
      </w:r>
      <w:r w:rsidRPr="004A7EF1">
        <w:rPr>
          <w:bCs/>
        </w:rPr>
        <w:t xml:space="preserve"> </w:t>
      </w:r>
      <w:r w:rsidRPr="004A7EF1">
        <w:t>Coll. « Identité et changements culturels » n°</w:t>
      </w:r>
      <w:r>
        <w:t> </w:t>
      </w:r>
      <w:r w:rsidRPr="004A7EF1">
        <w:t>4,</w:t>
      </w:r>
      <w:r>
        <w:t xml:space="preserve"> </w:t>
      </w:r>
      <w:r w:rsidRPr="004A7EF1">
        <w:t>1984,</w:t>
      </w:r>
      <w:r>
        <w:t xml:space="preserve"> 337 pages.</w:t>
      </w:r>
    </w:p>
    <w:p w:rsidR="00B7214C" w:rsidRPr="004A7EF1" w:rsidRDefault="00B7214C" w:rsidP="00B7214C">
      <w:pPr>
        <w:spacing w:before="120" w:after="120"/>
        <w:ind w:left="540" w:hanging="540"/>
        <w:jc w:val="both"/>
      </w:pPr>
      <w:r>
        <w:t>7.</w:t>
      </w:r>
      <w:r>
        <w:tab/>
      </w:r>
      <w:r w:rsidRPr="004A7EF1">
        <w:t>Pierre Anctil</w:t>
      </w:r>
      <w:r>
        <w:t xml:space="preserve"> </w:t>
      </w:r>
      <w:r w:rsidRPr="004A7EF1">
        <w:t>et</w:t>
      </w:r>
      <w:r>
        <w:t xml:space="preserve"> </w:t>
      </w:r>
      <w:r w:rsidRPr="004A7EF1">
        <w:t xml:space="preserve">Gary Caldwell. </w:t>
      </w:r>
      <w:r>
        <w:rPr>
          <w:i/>
          <w:iCs/>
        </w:rPr>
        <w:t>J</w:t>
      </w:r>
      <w:r w:rsidRPr="004A7EF1">
        <w:rPr>
          <w:i/>
          <w:iCs/>
        </w:rPr>
        <w:t>uifs et réalités juives au Québec.</w:t>
      </w:r>
      <w:r w:rsidRPr="004A7EF1">
        <w:rPr>
          <w:bCs/>
        </w:rPr>
        <w:t xml:space="preserve"> </w:t>
      </w:r>
      <w:r w:rsidRPr="004A7EF1">
        <w:t>1984, 371 pages. (20$)</w:t>
      </w:r>
    </w:p>
    <w:p w:rsidR="00B7214C" w:rsidRPr="004A7EF1" w:rsidRDefault="00B7214C" w:rsidP="00B7214C">
      <w:pPr>
        <w:spacing w:before="120" w:after="120"/>
        <w:ind w:left="540" w:hanging="540"/>
        <w:jc w:val="both"/>
      </w:pPr>
      <w:r>
        <w:t>8.</w:t>
      </w:r>
      <w:r>
        <w:tab/>
      </w:r>
      <w:r w:rsidRPr="004A7EF1">
        <w:t xml:space="preserve">Richard Dominique et Jean-Guy Deschênes. </w:t>
      </w:r>
      <w:r w:rsidRPr="004A7EF1">
        <w:rPr>
          <w:i/>
          <w:iCs/>
        </w:rPr>
        <w:t>Cultures et sociétés a</w:t>
      </w:r>
      <w:r w:rsidRPr="004A7EF1">
        <w:rPr>
          <w:i/>
          <w:iCs/>
        </w:rPr>
        <w:t>u</w:t>
      </w:r>
      <w:r w:rsidRPr="004A7EF1">
        <w:rPr>
          <w:i/>
          <w:iCs/>
        </w:rPr>
        <w:t>tochtones du Québec. Bibliographie critique.</w:t>
      </w:r>
      <w:r w:rsidRPr="004A7EF1">
        <w:rPr>
          <w:bCs/>
        </w:rPr>
        <w:t xml:space="preserve"> </w:t>
      </w:r>
      <w:r w:rsidRPr="004A7EF1">
        <w:t>Coll</w:t>
      </w:r>
      <w:r>
        <w:t>. « Instruments de travail » n° </w:t>
      </w:r>
      <w:r w:rsidRPr="004A7EF1">
        <w:t>11,</w:t>
      </w:r>
      <w:r>
        <w:t xml:space="preserve"> </w:t>
      </w:r>
      <w:r w:rsidRPr="004A7EF1">
        <w:t>1985,</w:t>
      </w:r>
      <w:r>
        <w:t xml:space="preserve"> 221 pages.</w:t>
      </w:r>
    </w:p>
    <w:p w:rsidR="00B7214C" w:rsidRPr="00F16CAB" w:rsidRDefault="00B7214C" w:rsidP="00B7214C">
      <w:pPr>
        <w:spacing w:before="120" w:after="120"/>
        <w:ind w:left="540" w:hanging="540"/>
        <w:jc w:val="both"/>
      </w:pPr>
      <w:r>
        <w:t>9.</w:t>
      </w:r>
      <w:r>
        <w:tab/>
      </w:r>
      <w:r w:rsidRPr="00F16CAB">
        <w:rPr>
          <w:iCs/>
        </w:rPr>
        <w:t xml:space="preserve">Ronald Rudin. </w:t>
      </w:r>
      <w:r w:rsidRPr="00F16CAB">
        <w:rPr>
          <w:i/>
        </w:rPr>
        <w:t>The Forgotten Quebecers. A History of English-Speaking Quebec, 1759-1980</w:t>
      </w:r>
      <w:r w:rsidRPr="00F16CAB">
        <w:t xml:space="preserve">. </w:t>
      </w:r>
      <w:r>
        <w:rPr>
          <w:iCs/>
        </w:rPr>
        <w:t>1985, 315 pages.</w:t>
      </w:r>
    </w:p>
    <w:p w:rsidR="00B7214C" w:rsidRPr="004A7EF1" w:rsidRDefault="00B7214C" w:rsidP="00B7214C">
      <w:pPr>
        <w:spacing w:before="120" w:after="120"/>
        <w:ind w:left="540" w:hanging="540"/>
        <w:jc w:val="both"/>
      </w:pPr>
      <w:r>
        <w:t>10.</w:t>
      </w:r>
      <w:r>
        <w:tab/>
      </w:r>
      <w:r w:rsidRPr="004A7EF1">
        <w:t xml:space="preserve">Ronald Rudin. </w:t>
      </w:r>
      <w:r w:rsidRPr="004A7EF1">
        <w:rPr>
          <w:i/>
          <w:iCs/>
        </w:rPr>
        <w:t>Histoire du Québec anglophone, 1759-1980.</w:t>
      </w:r>
      <w:r w:rsidRPr="004A7EF1">
        <w:rPr>
          <w:bCs/>
        </w:rPr>
        <w:t xml:space="preserve"> </w:t>
      </w:r>
      <w:r w:rsidRPr="004A7EF1">
        <w:t>Tr</w:t>
      </w:r>
      <w:r w:rsidRPr="004A7EF1">
        <w:t>a</w:t>
      </w:r>
      <w:r w:rsidRPr="004A7EF1">
        <w:t>duit de l'anglais par Rob</w:t>
      </w:r>
      <w:r>
        <w:t>ert Paré, 1986,332 pages.</w:t>
      </w:r>
    </w:p>
    <w:p w:rsidR="00B7214C" w:rsidRPr="004A7EF1" w:rsidRDefault="00B7214C" w:rsidP="00B7214C">
      <w:pPr>
        <w:spacing w:before="120" w:after="120"/>
        <w:ind w:left="540" w:hanging="540"/>
        <w:jc w:val="both"/>
      </w:pPr>
      <w:r>
        <w:t>11.</w:t>
      </w:r>
      <w:r>
        <w:tab/>
      </w:r>
      <w:r w:rsidRPr="004A7EF1">
        <w:t xml:space="preserve">Denise Helly. </w:t>
      </w:r>
      <w:hyperlink r:id="rId108" w:history="1">
        <w:r w:rsidRPr="00F16CAB">
          <w:rPr>
            <w:rStyle w:val="Lienhypertexte"/>
            <w:i/>
            <w:iCs/>
          </w:rPr>
          <w:t>Les Chinois à Montréal, 1877-1951</w:t>
        </w:r>
      </w:hyperlink>
      <w:r w:rsidRPr="004A7EF1">
        <w:rPr>
          <w:i/>
          <w:iCs/>
        </w:rPr>
        <w:t>.</w:t>
      </w:r>
      <w:r w:rsidRPr="004A7EF1">
        <w:rPr>
          <w:bCs/>
        </w:rPr>
        <w:t xml:space="preserve"> </w:t>
      </w:r>
      <w:r w:rsidRPr="004A7EF1">
        <w:t>1987, 315 p</w:t>
      </w:r>
      <w:r w:rsidRPr="004A7EF1">
        <w:t>a</w:t>
      </w:r>
      <w:r>
        <w:t>ges.</w:t>
      </w:r>
    </w:p>
    <w:p w:rsidR="00B7214C" w:rsidRPr="00F16CAB" w:rsidRDefault="00B7214C" w:rsidP="00B7214C">
      <w:pPr>
        <w:spacing w:before="120" w:after="120"/>
        <w:ind w:left="540" w:hanging="540"/>
        <w:jc w:val="both"/>
      </w:pPr>
      <w:r>
        <w:t>12.</w:t>
      </w:r>
      <w:r>
        <w:tab/>
      </w:r>
      <w:r w:rsidRPr="00F16CAB">
        <w:rPr>
          <w:iCs/>
        </w:rPr>
        <w:t xml:space="preserve">Fernand Ouellet, dir. </w:t>
      </w:r>
      <w:r w:rsidRPr="00F16CAB">
        <w:rPr>
          <w:i/>
        </w:rPr>
        <w:t>Pluralisme et école. Jalons pour une appr</w:t>
      </w:r>
      <w:r w:rsidRPr="00F16CAB">
        <w:rPr>
          <w:i/>
        </w:rPr>
        <w:t>o</w:t>
      </w:r>
      <w:r w:rsidRPr="00F16CAB">
        <w:rPr>
          <w:i/>
        </w:rPr>
        <w:t>che critique de la formation interculturelle des éducateurs</w:t>
      </w:r>
      <w:r w:rsidRPr="00F16CAB">
        <w:t>.</w:t>
      </w:r>
      <w:r w:rsidRPr="00F16CAB">
        <w:rPr>
          <w:bCs/>
          <w:iCs/>
        </w:rPr>
        <w:t xml:space="preserve"> </w:t>
      </w:r>
      <w:r w:rsidRPr="00F16CAB">
        <w:rPr>
          <w:iCs/>
        </w:rPr>
        <w:t>1988,</w:t>
      </w:r>
      <w:r>
        <w:rPr>
          <w:iCs/>
        </w:rPr>
        <w:t xml:space="preserve"> </w:t>
      </w:r>
      <w:r w:rsidRPr="00F16CAB">
        <w:rPr>
          <w:iCs/>
        </w:rPr>
        <w:t>2</w:t>
      </w:r>
      <w:r w:rsidRPr="00F16CAB">
        <w:rPr>
          <w:iCs/>
          <w:vertAlign w:val="superscript"/>
        </w:rPr>
        <w:t>e</w:t>
      </w:r>
      <w:r w:rsidRPr="00F16CAB">
        <w:rPr>
          <w:iCs/>
        </w:rPr>
        <w:t xml:space="preserve"> tirage, 617 pages. (30 $)</w:t>
      </w:r>
    </w:p>
    <w:p w:rsidR="00B7214C" w:rsidRPr="00F16CAB" w:rsidRDefault="00B7214C" w:rsidP="00B7214C">
      <w:pPr>
        <w:spacing w:before="120" w:after="120"/>
        <w:ind w:left="540" w:hanging="540"/>
        <w:jc w:val="both"/>
      </w:pPr>
      <w:r>
        <w:t>13.</w:t>
      </w:r>
      <w:r>
        <w:tab/>
      </w:r>
      <w:r w:rsidRPr="00F16CAB">
        <w:rPr>
          <w:iCs/>
        </w:rPr>
        <w:t xml:space="preserve">Pierre Anctil. </w:t>
      </w:r>
      <w:r w:rsidRPr="00F16CAB">
        <w:t xml:space="preserve">Le rendez-vous manqué. </w:t>
      </w:r>
      <w:r w:rsidRPr="00F16CAB">
        <w:rPr>
          <w:i/>
        </w:rPr>
        <w:t xml:space="preserve">Les Juifs de Montréal </w:t>
      </w:r>
      <w:r>
        <w:rPr>
          <w:i/>
        </w:rPr>
        <w:t>face au Québec de l'entre-deux-</w:t>
      </w:r>
      <w:r w:rsidRPr="00F16CAB">
        <w:rPr>
          <w:i/>
        </w:rPr>
        <w:t>guerres</w:t>
      </w:r>
      <w:r w:rsidRPr="00F16CAB">
        <w:t>.</w:t>
      </w:r>
      <w:r w:rsidRPr="00F16CAB">
        <w:rPr>
          <w:bCs/>
          <w:iCs/>
        </w:rPr>
        <w:t xml:space="preserve"> </w:t>
      </w:r>
      <w:r w:rsidRPr="00F16CAB">
        <w:rPr>
          <w:iCs/>
        </w:rPr>
        <w:t>1988, 366 pages. (25 $)</w:t>
      </w:r>
    </w:p>
    <w:p w:rsidR="00B7214C" w:rsidRPr="00F16CAB" w:rsidRDefault="00B7214C" w:rsidP="00B7214C">
      <w:pPr>
        <w:spacing w:before="120" w:after="120"/>
        <w:ind w:left="540" w:hanging="540"/>
        <w:jc w:val="both"/>
      </w:pPr>
      <w:r>
        <w:t>14.</w:t>
      </w:r>
      <w:r>
        <w:tab/>
      </w:r>
      <w:r w:rsidRPr="00F16CAB">
        <w:rPr>
          <w:iCs/>
        </w:rPr>
        <w:t xml:space="preserve">Pierre Anctil. </w:t>
      </w:r>
      <w:r w:rsidRPr="00F16CAB">
        <w:rPr>
          <w:i/>
        </w:rPr>
        <w:t>« Le Devoir », les Juifs et l'immigration. De Bo</w:t>
      </w:r>
      <w:r w:rsidRPr="00F16CAB">
        <w:rPr>
          <w:i/>
        </w:rPr>
        <w:t>u</w:t>
      </w:r>
      <w:r w:rsidRPr="00F16CAB">
        <w:rPr>
          <w:i/>
        </w:rPr>
        <w:t>ra</w:t>
      </w:r>
      <w:r w:rsidRPr="00F16CAB">
        <w:rPr>
          <w:i/>
        </w:rPr>
        <w:t>s</w:t>
      </w:r>
      <w:r w:rsidRPr="00F16CAB">
        <w:rPr>
          <w:i/>
        </w:rPr>
        <w:t>sa à Laurendeau</w:t>
      </w:r>
      <w:r w:rsidRPr="00F16CAB">
        <w:t>.</w:t>
      </w:r>
      <w:r w:rsidRPr="00F16CAB">
        <w:rPr>
          <w:bCs/>
          <w:iCs/>
        </w:rPr>
        <w:t xml:space="preserve"> </w:t>
      </w:r>
      <w:r>
        <w:rPr>
          <w:iCs/>
        </w:rPr>
        <w:t>1988, 170 pages.</w:t>
      </w:r>
    </w:p>
    <w:p w:rsidR="00B7214C" w:rsidRPr="004A7EF1" w:rsidRDefault="00B7214C" w:rsidP="00B7214C">
      <w:pPr>
        <w:spacing w:before="120" w:after="120"/>
        <w:ind w:left="540" w:hanging="540"/>
        <w:jc w:val="both"/>
      </w:pPr>
      <w:r>
        <w:t>15.</w:t>
      </w:r>
      <w:r>
        <w:tab/>
      </w:r>
      <w:r w:rsidRPr="004A7EF1">
        <w:t xml:space="preserve">Fernand Ouellet et Michel Pagé, dir. </w:t>
      </w:r>
      <w:r w:rsidRPr="004A7EF1">
        <w:rPr>
          <w:i/>
          <w:iCs/>
        </w:rPr>
        <w:t>Pluriethnicité, éducation et société. Construire un espace commun.</w:t>
      </w:r>
      <w:r w:rsidRPr="004A7EF1">
        <w:rPr>
          <w:bCs/>
        </w:rPr>
        <w:t xml:space="preserve"> </w:t>
      </w:r>
      <w:r w:rsidRPr="004A7EF1">
        <w:t>1988,2e tirage, 596 p</w:t>
      </w:r>
      <w:r w:rsidRPr="004A7EF1">
        <w:t>a</w:t>
      </w:r>
      <w:r w:rsidRPr="004A7EF1">
        <w:t>ges</w:t>
      </w:r>
      <w:r>
        <w:t>.</w:t>
      </w:r>
    </w:p>
    <w:p w:rsidR="00B7214C" w:rsidRPr="004A7EF1" w:rsidRDefault="00B7214C" w:rsidP="00B7214C">
      <w:pPr>
        <w:spacing w:before="120" w:after="120"/>
        <w:ind w:left="540" w:hanging="540"/>
        <w:jc w:val="both"/>
      </w:pPr>
      <w:r>
        <w:t>16.</w:t>
      </w:r>
      <w:r>
        <w:tab/>
      </w:r>
      <w:r w:rsidRPr="004A7EF1">
        <w:t xml:space="preserve">Denise Helly. </w:t>
      </w:r>
      <w:hyperlink r:id="rId109" w:history="1">
        <w:r w:rsidRPr="00F16CAB">
          <w:rPr>
            <w:rStyle w:val="Lienhypertexte"/>
            <w:i/>
            <w:iCs/>
          </w:rPr>
          <w:t>L'immigration pour quoi faire</w:t>
        </w:r>
        <w:r w:rsidRPr="00F16CAB">
          <w:rPr>
            <w:rStyle w:val="Lienhypertexte"/>
            <w:bCs/>
            <w:i/>
            <w:iCs/>
          </w:rPr>
          <w:t> ?</w:t>
        </w:r>
      </w:hyperlink>
      <w:r>
        <w:t xml:space="preserve"> 1992, 229 pages.</w:t>
      </w:r>
    </w:p>
    <w:p w:rsidR="00B7214C" w:rsidRPr="00F16CAB" w:rsidRDefault="00B7214C" w:rsidP="00B7214C">
      <w:pPr>
        <w:spacing w:before="120" w:after="120"/>
        <w:ind w:left="540" w:hanging="540"/>
        <w:jc w:val="both"/>
      </w:pPr>
      <w:r>
        <w:t>17.</w:t>
      </w:r>
      <w:r>
        <w:tab/>
      </w:r>
      <w:r w:rsidRPr="00F16CAB">
        <w:rPr>
          <w:iCs/>
        </w:rPr>
        <w:t xml:space="preserve">Alberte Ledoyen. </w:t>
      </w:r>
      <w:r w:rsidRPr="00F16CAB">
        <w:t>Montréal au pluriel. Huit communautés et</w:t>
      </w:r>
      <w:r w:rsidRPr="00F16CAB">
        <w:t>h</w:t>
      </w:r>
      <w:r w:rsidRPr="00F16CAB">
        <w:t>no-culturelles de la région montréalaise.</w:t>
      </w:r>
      <w:r w:rsidRPr="00F16CAB">
        <w:rPr>
          <w:bCs/>
          <w:iCs/>
        </w:rPr>
        <w:t xml:space="preserve"> </w:t>
      </w:r>
      <w:r w:rsidRPr="00F16CAB">
        <w:rPr>
          <w:iCs/>
        </w:rPr>
        <w:t>Coll. « Documents de r</w:t>
      </w:r>
      <w:r w:rsidRPr="00F16CAB">
        <w:rPr>
          <w:iCs/>
        </w:rPr>
        <w:t>e</w:t>
      </w:r>
      <w:r w:rsidRPr="00F16CAB">
        <w:rPr>
          <w:iCs/>
        </w:rPr>
        <w:t>che</w:t>
      </w:r>
      <w:r w:rsidRPr="00F16CAB">
        <w:rPr>
          <w:iCs/>
        </w:rPr>
        <w:t>r</w:t>
      </w:r>
      <w:r w:rsidRPr="00F16CAB">
        <w:rPr>
          <w:iCs/>
        </w:rPr>
        <w:t>che »</w:t>
      </w:r>
      <w:r>
        <w:rPr>
          <w:iCs/>
        </w:rPr>
        <w:t>,</w:t>
      </w:r>
      <w:r w:rsidRPr="00F16CAB">
        <w:rPr>
          <w:iCs/>
        </w:rPr>
        <w:t xml:space="preserve"> n°</w:t>
      </w:r>
      <w:r>
        <w:rPr>
          <w:iCs/>
        </w:rPr>
        <w:t> </w:t>
      </w:r>
      <w:r w:rsidRPr="00F16CAB">
        <w:rPr>
          <w:iCs/>
        </w:rPr>
        <w:t>32,</w:t>
      </w:r>
      <w:r>
        <w:rPr>
          <w:iCs/>
        </w:rPr>
        <w:t xml:space="preserve"> </w:t>
      </w:r>
      <w:r w:rsidRPr="00F16CAB">
        <w:rPr>
          <w:iCs/>
        </w:rPr>
        <w:t>1992,</w:t>
      </w:r>
      <w:r>
        <w:rPr>
          <w:iCs/>
        </w:rPr>
        <w:t xml:space="preserve"> 329 pages.</w:t>
      </w:r>
    </w:p>
    <w:p w:rsidR="00B7214C" w:rsidRPr="00F16CAB" w:rsidRDefault="00B7214C" w:rsidP="00B7214C">
      <w:pPr>
        <w:spacing w:before="120" w:after="120"/>
        <w:ind w:left="540" w:hanging="540"/>
        <w:jc w:val="both"/>
      </w:pPr>
      <w:r>
        <w:t>18.</w:t>
      </w:r>
      <w:r>
        <w:tab/>
      </w:r>
      <w:r w:rsidRPr="00F16CAB">
        <w:rPr>
          <w:iCs/>
        </w:rPr>
        <w:t xml:space="preserve">Robert J. Grâce. </w:t>
      </w:r>
      <w:r w:rsidRPr="00F16CAB">
        <w:t>The lrish in Quebec. An Introduction to the Hi</w:t>
      </w:r>
      <w:r w:rsidRPr="00F16CAB">
        <w:t>s</w:t>
      </w:r>
      <w:r w:rsidRPr="00F16CAB">
        <w:t>tori</w:t>
      </w:r>
      <w:r w:rsidRPr="00F16CAB">
        <w:t>o</w:t>
      </w:r>
      <w:r w:rsidRPr="00F16CAB">
        <w:t>graphy. Followed by An Annotated Bibliography on the lrish in Qu</w:t>
      </w:r>
      <w:r w:rsidRPr="00F16CAB">
        <w:t>e</w:t>
      </w:r>
      <w:r w:rsidRPr="00F16CAB">
        <w:t>bec.</w:t>
      </w:r>
      <w:r w:rsidRPr="00F16CAB">
        <w:rPr>
          <w:bCs/>
          <w:iCs/>
        </w:rPr>
        <w:t xml:space="preserve"> </w:t>
      </w:r>
      <w:r w:rsidRPr="00F16CAB">
        <w:rPr>
          <w:iCs/>
        </w:rPr>
        <w:t>Coll. « Instruments de travail », n°</w:t>
      </w:r>
      <w:r>
        <w:rPr>
          <w:iCs/>
        </w:rPr>
        <w:t> </w:t>
      </w:r>
      <w:r w:rsidRPr="00F16CAB">
        <w:rPr>
          <w:iCs/>
        </w:rPr>
        <w:t>12,</w:t>
      </w:r>
      <w:r>
        <w:rPr>
          <w:iCs/>
        </w:rPr>
        <w:t xml:space="preserve"> 1993, 265 pages.</w:t>
      </w:r>
    </w:p>
    <w:p w:rsidR="00B7214C" w:rsidRPr="004A7EF1" w:rsidRDefault="00B7214C" w:rsidP="00B7214C">
      <w:pPr>
        <w:spacing w:before="120" w:after="120"/>
        <w:ind w:left="540" w:hanging="540"/>
        <w:jc w:val="both"/>
      </w:pPr>
      <w:r>
        <w:t>19.</w:t>
      </w:r>
      <w:r>
        <w:tab/>
      </w:r>
      <w:r w:rsidRPr="004A7EF1">
        <w:t xml:space="preserve">Denise Helly et Anne Vassal. </w:t>
      </w:r>
      <w:r w:rsidRPr="004A7EF1">
        <w:rPr>
          <w:i/>
          <w:iCs/>
        </w:rPr>
        <w:t>Romanciers immigrés : biogr</w:t>
      </w:r>
      <w:r w:rsidRPr="004A7EF1">
        <w:rPr>
          <w:i/>
          <w:iCs/>
        </w:rPr>
        <w:t>a</w:t>
      </w:r>
      <w:r w:rsidRPr="004A7EF1">
        <w:rPr>
          <w:i/>
          <w:iCs/>
        </w:rPr>
        <w:t>phies et oeuvres publiées au Québec entre 1970 et 1990.</w:t>
      </w:r>
      <w:r w:rsidRPr="004A7EF1">
        <w:rPr>
          <w:bCs/>
        </w:rPr>
        <w:t xml:space="preserve"> </w:t>
      </w:r>
      <w:r w:rsidRPr="004A7EF1">
        <w:t>Institut québ</w:t>
      </w:r>
      <w:r w:rsidRPr="004A7EF1">
        <w:t>é</w:t>
      </w:r>
      <w:r w:rsidRPr="004A7EF1">
        <w:t>cois de recherche sur la culture et Centre universitaire d'analyse du discours et s</w:t>
      </w:r>
      <w:r w:rsidRPr="004A7EF1">
        <w:t>o</w:t>
      </w:r>
      <w:r w:rsidRPr="004A7EF1">
        <w:t>ciocritique de</w:t>
      </w:r>
      <w:r>
        <w:t>s textes, 1993,122 pages.</w:t>
      </w:r>
    </w:p>
    <w:p w:rsidR="00B7214C" w:rsidRPr="004A7EF1" w:rsidRDefault="00B7214C" w:rsidP="00B7214C">
      <w:pPr>
        <w:spacing w:before="120" w:after="120"/>
        <w:ind w:left="540" w:hanging="540"/>
        <w:jc w:val="both"/>
      </w:pPr>
      <w:r>
        <w:t>20.</w:t>
      </w:r>
      <w:r>
        <w:tab/>
      </w:r>
      <w:r w:rsidRPr="004A7EF1">
        <w:t xml:space="preserve">Denise Helly et Alberte Ledoyen. </w:t>
      </w:r>
      <w:r w:rsidRPr="004A7EF1">
        <w:rPr>
          <w:i/>
          <w:iCs/>
        </w:rPr>
        <w:t>Immigrés et création d'entr</w:t>
      </w:r>
      <w:r w:rsidRPr="004A7EF1">
        <w:rPr>
          <w:i/>
          <w:iCs/>
        </w:rPr>
        <w:t>e</w:t>
      </w:r>
      <w:r w:rsidRPr="004A7EF1">
        <w:rPr>
          <w:i/>
          <w:iCs/>
        </w:rPr>
        <w:t>prises, Montréal 1990.</w:t>
      </w:r>
      <w:r w:rsidRPr="004A7EF1">
        <w:t>1994, 305 pages. (35 $)</w:t>
      </w:r>
    </w:p>
    <w:p w:rsidR="00B7214C" w:rsidRDefault="00B7214C" w:rsidP="00B7214C">
      <w:pPr>
        <w:spacing w:before="120" w:after="120"/>
        <w:ind w:left="540" w:hanging="540"/>
        <w:jc w:val="both"/>
      </w:pPr>
    </w:p>
    <w:p w:rsidR="00B7214C" w:rsidRPr="004A7EF1" w:rsidRDefault="00B7214C" w:rsidP="00B7214C">
      <w:pPr>
        <w:pStyle w:val="a"/>
      </w:pPr>
      <w:r>
        <w:t xml:space="preserve">III. </w:t>
      </w:r>
      <w:r w:rsidRPr="004A7EF1">
        <w:t>La culture populaire</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Yvan Lamonde, Lucia Ferretti et Daniel Leblanc. </w:t>
      </w:r>
      <w:r w:rsidRPr="004A7EF1">
        <w:rPr>
          <w:i/>
          <w:iCs/>
        </w:rPr>
        <w:t>La culture o</w:t>
      </w:r>
      <w:r w:rsidRPr="004A7EF1">
        <w:rPr>
          <w:i/>
          <w:iCs/>
        </w:rPr>
        <w:t>u</w:t>
      </w:r>
      <w:r w:rsidRPr="004A7EF1">
        <w:rPr>
          <w:i/>
          <w:iCs/>
        </w:rPr>
        <w:t>vrière à Montréal (1880-1920) : bilan historiographique.</w:t>
      </w:r>
      <w:r w:rsidRPr="004A7EF1">
        <w:rPr>
          <w:bCs/>
        </w:rPr>
        <w:t xml:space="preserve"> </w:t>
      </w:r>
      <w:r w:rsidRPr="004A7EF1">
        <w:t>Coll. « Culture popula</w:t>
      </w:r>
      <w:r w:rsidRPr="004A7EF1">
        <w:t>i</w:t>
      </w:r>
      <w:r>
        <w:t>re » n° 1, 1982, 178 pages.</w:t>
      </w:r>
    </w:p>
    <w:p w:rsidR="00B7214C" w:rsidRDefault="00B7214C" w:rsidP="00B7214C">
      <w:pPr>
        <w:spacing w:before="120" w:after="120"/>
        <w:ind w:left="540" w:hanging="540"/>
        <w:jc w:val="both"/>
      </w:pPr>
      <w:r>
        <w:t>2.</w:t>
      </w:r>
      <w:r>
        <w:tab/>
      </w:r>
      <w:r w:rsidRPr="00F16CAB">
        <w:rPr>
          <w:iCs/>
        </w:rPr>
        <w:t xml:space="preserve">Danielle Nepveu. </w:t>
      </w:r>
      <w:r w:rsidRPr="00F16CAB">
        <w:t>Les représentations religieuses au Québec dans les manuels scolaires de niveau élémentaire (1950-1960).</w:t>
      </w:r>
      <w:r w:rsidRPr="00F16CAB">
        <w:rPr>
          <w:bCs/>
          <w:iCs/>
        </w:rPr>
        <w:t xml:space="preserve"> </w:t>
      </w:r>
      <w:r w:rsidRPr="00F16CAB">
        <w:rPr>
          <w:iCs/>
        </w:rPr>
        <w:t>Coll. « Documents préliminaires</w:t>
      </w:r>
      <w:r>
        <w:rPr>
          <w:iCs/>
        </w:rPr>
        <w:t> » n° 1, 1982, 97 pages.</w:t>
      </w:r>
    </w:p>
    <w:p w:rsidR="00B7214C" w:rsidRPr="00F16CAB" w:rsidRDefault="00B7214C" w:rsidP="00B7214C">
      <w:pPr>
        <w:spacing w:before="120" w:after="120"/>
        <w:ind w:left="540" w:hanging="540"/>
        <w:jc w:val="both"/>
      </w:pPr>
      <w:r>
        <w:t>[567]</w:t>
      </w:r>
    </w:p>
    <w:p w:rsidR="00B7214C" w:rsidRPr="004A7EF1" w:rsidRDefault="00B7214C" w:rsidP="00B7214C">
      <w:pPr>
        <w:spacing w:before="120" w:after="120"/>
        <w:ind w:left="540" w:hanging="540"/>
        <w:jc w:val="both"/>
      </w:pPr>
      <w:r>
        <w:t>3.</w:t>
      </w:r>
      <w:r>
        <w:tab/>
      </w:r>
      <w:r w:rsidRPr="004A7EF1">
        <w:t>Jean-Pierre Dupuis, Andrée Fortin, Gabriel Gagnon, Robert L</w:t>
      </w:r>
      <w:r w:rsidRPr="004A7EF1">
        <w:t>a</w:t>
      </w:r>
      <w:r w:rsidRPr="004A7EF1">
        <w:t xml:space="preserve">plante et Marcel Rioux. </w:t>
      </w:r>
      <w:r w:rsidRPr="004A7EF1">
        <w:rPr>
          <w:i/>
          <w:iCs/>
        </w:rPr>
        <w:t>Les pratiques émancipatoires en milieu pop</w:t>
      </w:r>
      <w:r w:rsidRPr="004A7EF1">
        <w:rPr>
          <w:i/>
          <w:iCs/>
        </w:rPr>
        <w:t>u</w:t>
      </w:r>
      <w:r w:rsidRPr="004A7EF1">
        <w:rPr>
          <w:i/>
          <w:iCs/>
        </w:rPr>
        <w:t>laire.</w:t>
      </w:r>
      <w:r w:rsidRPr="004A7EF1">
        <w:rPr>
          <w:bCs/>
        </w:rPr>
        <w:t xml:space="preserve"> </w:t>
      </w:r>
      <w:r w:rsidRPr="004A7EF1">
        <w:t>Coll. « Documents préliminai</w:t>
      </w:r>
      <w:r>
        <w:t>res », n° 2, 1982, 178 pages.</w:t>
      </w:r>
    </w:p>
    <w:p w:rsidR="00B7214C" w:rsidRPr="004A7EF1" w:rsidRDefault="00B7214C" w:rsidP="00B7214C">
      <w:pPr>
        <w:spacing w:before="120" w:after="120"/>
        <w:ind w:left="540" w:hanging="540"/>
        <w:jc w:val="both"/>
      </w:pPr>
      <w:r>
        <w:t>4.</w:t>
      </w:r>
      <w:r>
        <w:tab/>
      </w:r>
      <w:r w:rsidRPr="004A7EF1">
        <w:t xml:space="preserve">Jean Bourassa. </w:t>
      </w:r>
      <w:r w:rsidRPr="004A7EF1">
        <w:rPr>
          <w:i/>
          <w:iCs/>
        </w:rPr>
        <w:t>Le travailleur minier, la culture et le savoir o</w:t>
      </w:r>
      <w:r w:rsidRPr="004A7EF1">
        <w:rPr>
          <w:i/>
          <w:iCs/>
        </w:rPr>
        <w:t>u</w:t>
      </w:r>
      <w:r w:rsidRPr="004A7EF1">
        <w:rPr>
          <w:i/>
          <w:iCs/>
        </w:rPr>
        <w:t>vrier.</w:t>
      </w:r>
      <w:r w:rsidRPr="004A7EF1">
        <w:rPr>
          <w:bCs/>
        </w:rPr>
        <w:t xml:space="preserve"> </w:t>
      </w:r>
      <w:r w:rsidRPr="004A7EF1">
        <w:t>Coll. « Documents préliminaires »</w:t>
      </w:r>
      <w:r>
        <w:t>,</w:t>
      </w:r>
      <w:r w:rsidRPr="004A7EF1">
        <w:t xml:space="preserve"> n°</w:t>
      </w:r>
      <w:r>
        <w:t> </w:t>
      </w:r>
      <w:r w:rsidRPr="004A7EF1">
        <w:t>4,</w:t>
      </w:r>
      <w:r>
        <w:t xml:space="preserve"> 1982, 79 pages.</w:t>
      </w:r>
    </w:p>
    <w:p w:rsidR="00B7214C" w:rsidRPr="004A7EF1" w:rsidRDefault="00B7214C" w:rsidP="00B7214C">
      <w:pPr>
        <w:spacing w:before="120" w:after="120"/>
        <w:ind w:left="540" w:hanging="540"/>
        <w:jc w:val="both"/>
      </w:pPr>
      <w:r>
        <w:t>5.</w:t>
      </w:r>
      <w:r>
        <w:tab/>
      </w:r>
      <w:r w:rsidRPr="004A7EF1">
        <w:t xml:space="preserve">Sophie-Laurence Lamontagne. </w:t>
      </w:r>
      <w:r w:rsidRPr="004A7EF1">
        <w:rPr>
          <w:i/>
          <w:iCs/>
        </w:rPr>
        <w:t>L'hiver dans la culture québ</w:t>
      </w:r>
      <w:r w:rsidRPr="004A7EF1">
        <w:rPr>
          <w:i/>
          <w:iCs/>
        </w:rPr>
        <w:t>é</w:t>
      </w:r>
      <w:r>
        <w:rPr>
          <w:i/>
          <w:iCs/>
        </w:rPr>
        <w:t>coise (XVII</w:t>
      </w:r>
      <w:r w:rsidRPr="00F16CAB">
        <w:rPr>
          <w:i/>
          <w:iCs/>
          <w:vertAlign w:val="superscript"/>
        </w:rPr>
        <w:t>e</w:t>
      </w:r>
      <w:r w:rsidRPr="004A7EF1">
        <w:rPr>
          <w:i/>
          <w:iCs/>
        </w:rPr>
        <w:t>-XIX</w:t>
      </w:r>
      <w:r w:rsidRPr="00F16CAB">
        <w:rPr>
          <w:i/>
          <w:iCs/>
          <w:vertAlign w:val="superscript"/>
        </w:rPr>
        <w:t>e</w:t>
      </w:r>
      <w:r w:rsidRPr="004A7EF1">
        <w:rPr>
          <w:i/>
          <w:iCs/>
        </w:rPr>
        <w:t xml:space="preserve"> siècles).</w:t>
      </w:r>
      <w:r w:rsidRPr="004A7EF1">
        <w:rPr>
          <w:bCs/>
        </w:rPr>
        <w:t xml:space="preserve"> </w:t>
      </w:r>
      <w:r>
        <w:t>1983, 197 pages.</w:t>
      </w:r>
    </w:p>
    <w:p w:rsidR="00B7214C" w:rsidRPr="004A7EF1" w:rsidRDefault="00B7214C" w:rsidP="00B7214C">
      <w:pPr>
        <w:spacing w:before="120" w:after="120"/>
        <w:ind w:left="540" w:hanging="540"/>
        <w:jc w:val="both"/>
      </w:pPr>
      <w:r>
        <w:t>6.</w:t>
      </w:r>
      <w:r>
        <w:tab/>
      </w:r>
      <w:r w:rsidRPr="004A7EF1">
        <w:t xml:space="preserve">Joseph Laliberté. </w:t>
      </w:r>
      <w:r w:rsidRPr="004A7EF1">
        <w:rPr>
          <w:i/>
          <w:iCs/>
        </w:rPr>
        <w:t>Agronome-colon en Abitibi.</w:t>
      </w:r>
      <w:r w:rsidRPr="004A7EF1">
        <w:rPr>
          <w:bCs/>
        </w:rPr>
        <w:t xml:space="preserve"> </w:t>
      </w:r>
      <w:r w:rsidRPr="004A7EF1">
        <w:t>Coll. « Littérature qu</w:t>
      </w:r>
      <w:r w:rsidRPr="004A7EF1">
        <w:t>o</w:t>
      </w:r>
      <w:r w:rsidRPr="004A7EF1">
        <w:t>tidienn</w:t>
      </w:r>
      <w:r>
        <w:t>e », n° 1, 1983, 157 pages.</w:t>
      </w:r>
    </w:p>
    <w:p w:rsidR="00B7214C" w:rsidRPr="004A7EF1" w:rsidRDefault="00B7214C" w:rsidP="00B7214C">
      <w:pPr>
        <w:spacing w:before="120" w:after="120"/>
        <w:ind w:left="540" w:hanging="540"/>
        <w:jc w:val="both"/>
      </w:pPr>
      <w:r>
        <w:t>7.</w:t>
      </w:r>
      <w:r>
        <w:tab/>
      </w:r>
      <w:r w:rsidRPr="004A7EF1">
        <w:t xml:space="preserve">Benoît Lacroix et Jean Simard. </w:t>
      </w:r>
      <w:r w:rsidRPr="004A7EF1">
        <w:rPr>
          <w:i/>
          <w:iCs/>
        </w:rPr>
        <w:t>Religion populaire, religion de clercs ?</w:t>
      </w:r>
      <w:r w:rsidRPr="004A7EF1">
        <w:rPr>
          <w:bCs/>
        </w:rPr>
        <w:t xml:space="preserve"> </w:t>
      </w:r>
      <w:r w:rsidRPr="004A7EF1">
        <w:t>Coll. « Culture populaire »</w:t>
      </w:r>
      <w:r>
        <w:t>,</w:t>
      </w:r>
      <w:r w:rsidRPr="004A7EF1">
        <w:t xml:space="preserve"> n°</w:t>
      </w:r>
      <w:r>
        <w:t> </w:t>
      </w:r>
      <w:r w:rsidRPr="004A7EF1">
        <w:t>2,</w:t>
      </w:r>
      <w:r>
        <w:t xml:space="preserve"> 1984, 444 pages.</w:t>
      </w:r>
    </w:p>
    <w:p w:rsidR="00B7214C" w:rsidRPr="004A7EF1" w:rsidRDefault="00B7214C" w:rsidP="00B7214C">
      <w:pPr>
        <w:spacing w:before="120" w:after="120"/>
        <w:ind w:left="540" w:hanging="540"/>
        <w:jc w:val="both"/>
      </w:pPr>
      <w:r>
        <w:t>8.</w:t>
      </w:r>
      <w:r>
        <w:tab/>
      </w:r>
      <w:r w:rsidRPr="004A7EF1">
        <w:t xml:space="preserve">Benoît Lacroix et Madeleine Grammond. </w:t>
      </w:r>
      <w:r w:rsidRPr="004A7EF1">
        <w:rPr>
          <w:i/>
          <w:iCs/>
        </w:rPr>
        <w:t>Religion populaire au Qu</w:t>
      </w:r>
      <w:r w:rsidRPr="004A7EF1">
        <w:rPr>
          <w:i/>
          <w:iCs/>
        </w:rPr>
        <w:t>é</w:t>
      </w:r>
      <w:r w:rsidRPr="004A7EF1">
        <w:rPr>
          <w:i/>
          <w:iCs/>
        </w:rPr>
        <w:t>bec. Typologie des sources</w:t>
      </w:r>
      <w:r w:rsidRPr="004A7EF1">
        <w:rPr>
          <w:bCs/>
        </w:rPr>
        <w:t xml:space="preserve"> </w:t>
      </w:r>
      <w:r w:rsidRPr="004A7EF1">
        <w:t xml:space="preserve">— </w:t>
      </w:r>
      <w:r w:rsidRPr="004A7EF1">
        <w:rPr>
          <w:i/>
          <w:iCs/>
        </w:rPr>
        <w:t>Bibliographie sélective (1900-1980).</w:t>
      </w:r>
      <w:r w:rsidRPr="004A7EF1">
        <w:rPr>
          <w:bCs/>
        </w:rPr>
        <w:t xml:space="preserve"> </w:t>
      </w:r>
      <w:r w:rsidRPr="004A7EF1">
        <w:t>Coll. « Instruments de travail »</w:t>
      </w:r>
      <w:r>
        <w:t>,</w:t>
      </w:r>
      <w:r w:rsidRPr="004A7EF1">
        <w:t xml:space="preserve"> n°</w:t>
      </w:r>
      <w:r>
        <w:t> </w:t>
      </w:r>
      <w:r w:rsidRPr="004A7EF1">
        <w:t>10,</w:t>
      </w:r>
      <w:r>
        <w:t xml:space="preserve"> </w:t>
      </w:r>
      <w:r w:rsidRPr="004A7EF1">
        <w:t>1985, 175 page</w:t>
      </w:r>
      <w:r>
        <w:t>s.</w:t>
      </w:r>
    </w:p>
    <w:p w:rsidR="00B7214C" w:rsidRPr="004A7EF1" w:rsidRDefault="00B7214C" w:rsidP="00B7214C">
      <w:pPr>
        <w:spacing w:before="120" w:after="120"/>
        <w:ind w:left="540" w:hanging="540"/>
        <w:jc w:val="both"/>
      </w:pPr>
      <w:r>
        <w:t>9.</w:t>
      </w:r>
      <w:r>
        <w:tab/>
      </w:r>
      <w:r w:rsidRPr="004A7EF1">
        <w:t xml:space="preserve">Andrée Fortin. </w:t>
      </w:r>
      <w:r w:rsidRPr="004A7EF1">
        <w:rPr>
          <w:i/>
          <w:iCs/>
        </w:rPr>
        <w:t>Le Rézo. Essai sur les coopératives d'aliment</w:t>
      </w:r>
      <w:r w:rsidRPr="004A7EF1">
        <w:rPr>
          <w:i/>
          <w:iCs/>
        </w:rPr>
        <w:t>a</w:t>
      </w:r>
      <w:r w:rsidRPr="004A7EF1">
        <w:rPr>
          <w:i/>
          <w:iCs/>
        </w:rPr>
        <w:t>tion au Québec.</w:t>
      </w:r>
      <w:r w:rsidRPr="004A7EF1">
        <w:rPr>
          <w:bCs/>
        </w:rPr>
        <w:t xml:space="preserve"> </w:t>
      </w:r>
      <w:r w:rsidRPr="004A7EF1">
        <w:t>Coll. « Documents de recherche »</w:t>
      </w:r>
      <w:r>
        <w:t>,</w:t>
      </w:r>
      <w:r w:rsidRPr="004A7EF1">
        <w:t xml:space="preserve"> n°</w:t>
      </w:r>
      <w:r>
        <w:t> </w:t>
      </w:r>
      <w:r w:rsidRPr="004A7EF1">
        <w:t>5,</w:t>
      </w:r>
      <w:r>
        <w:t xml:space="preserve"> 1985, 282 pages.</w:t>
      </w:r>
    </w:p>
    <w:p w:rsidR="00B7214C" w:rsidRPr="004A7EF1" w:rsidRDefault="00B7214C" w:rsidP="00B7214C">
      <w:pPr>
        <w:spacing w:before="120" w:after="120"/>
        <w:ind w:left="540" w:hanging="540"/>
        <w:jc w:val="both"/>
      </w:pPr>
      <w:r>
        <w:t>10.</w:t>
      </w:r>
      <w:r>
        <w:tab/>
      </w:r>
      <w:r w:rsidRPr="004A7EF1">
        <w:t xml:space="preserve">Jean-Pierre Dupuis. </w:t>
      </w:r>
      <w:r w:rsidRPr="004A7EF1">
        <w:rPr>
          <w:i/>
          <w:iCs/>
        </w:rPr>
        <w:t>Le ROCC de Rimouski. La recherche de nouvelles s</w:t>
      </w:r>
      <w:r w:rsidRPr="004A7EF1">
        <w:rPr>
          <w:i/>
          <w:iCs/>
        </w:rPr>
        <w:t>o</w:t>
      </w:r>
      <w:r w:rsidRPr="004A7EF1">
        <w:rPr>
          <w:i/>
          <w:iCs/>
        </w:rPr>
        <w:t>lidarités.</w:t>
      </w:r>
      <w:r w:rsidRPr="004A7EF1">
        <w:rPr>
          <w:bCs/>
        </w:rPr>
        <w:t xml:space="preserve"> </w:t>
      </w:r>
      <w:r w:rsidRPr="004A7EF1">
        <w:t>Coll. « Documents de recherche »</w:t>
      </w:r>
      <w:r>
        <w:t>,</w:t>
      </w:r>
      <w:r w:rsidRPr="004A7EF1">
        <w:t xml:space="preserve"> n°</w:t>
      </w:r>
      <w:r>
        <w:t> </w:t>
      </w:r>
      <w:r w:rsidRPr="004A7EF1">
        <w:t>6,</w:t>
      </w:r>
      <w:r>
        <w:t xml:space="preserve"> </w:t>
      </w:r>
      <w:r w:rsidRPr="004A7EF1">
        <w:t>1985,</w:t>
      </w:r>
      <w:r>
        <w:t xml:space="preserve"> 282 pages.</w:t>
      </w:r>
    </w:p>
    <w:p w:rsidR="00B7214C" w:rsidRPr="004A7EF1" w:rsidRDefault="00B7214C" w:rsidP="00B7214C">
      <w:pPr>
        <w:spacing w:before="120" w:after="120"/>
        <w:ind w:left="540" w:hanging="540"/>
        <w:jc w:val="both"/>
      </w:pPr>
      <w:r>
        <w:t>11.</w:t>
      </w:r>
      <w:r>
        <w:tab/>
      </w:r>
      <w:r w:rsidRPr="004A7EF1">
        <w:t xml:space="preserve">Centre populaire de documentation de Montréal. </w:t>
      </w:r>
      <w:r w:rsidRPr="004A7EF1">
        <w:rPr>
          <w:i/>
          <w:iCs/>
        </w:rPr>
        <w:t>Le choc du pa</w:t>
      </w:r>
      <w:r w:rsidRPr="004A7EF1">
        <w:rPr>
          <w:i/>
          <w:iCs/>
        </w:rPr>
        <w:t>s</w:t>
      </w:r>
      <w:r w:rsidRPr="004A7EF1">
        <w:rPr>
          <w:i/>
          <w:iCs/>
        </w:rPr>
        <w:t>sé. Les années trente et les sans travail. Bibliographie sélective annotée.</w:t>
      </w:r>
      <w:r w:rsidRPr="004A7EF1">
        <w:rPr>
          <w:bCs/>
        </w:rPr>
        <w:t xml:space="preserve"> </w:t>
      </w:r>
      <w:r w:rsidRPr="004A7EF1">
        <w:t>Coll. « Documents de recherch</w:t>
      </w:r>
      <w:r>
        <w:t>e », n° 11, 1986, 186 p</w:t>
      </w:r>
      <w:r>
        <w:t>a</w:t>
      </w:r>
      <w:r>
        <w:t>ges.</w:t>
      </w:r>
    </w:p>
    <w:p w:rsidR="00B7214C" w:rsidRPr="004A7EF1" w:rsidRDefault="00B7214C" w:rsidP="00B7214C">
      <w:pPr>
        <w:spacing w:before="120" w:after="120"/>
        <w:ind w:left="540" w:hanging="540"/>
        <w:jc w:val="both"/>
      </w:pPr>
      <w:r>
        <w:t>12.</w:t>
      </w:r>
      <w:r>
        <w:tab/>
      </w:r>
      <w:r w:rsidRPr="004A7EF1">
        <w:rPr>
          <w:i/>
          <w:iCs/>
        </w:rPr>
        <w:t xml:space="preserve">Yvan Lamonde et Raymond Montpetit. </w:t>
      </w:r>
      <w:r w:rsidRPr="004A7EF1">
        <w:t>Le parc Sohmer de Mo</w:t>
      </w:r>
      <w:r w:rsidRPr="004A7EF1">
        <w:t>n</w:t>
      </w:r>
      <w:r w:rsidRPr="004A7EF1">
        <w:t>tréal, 1889-1919. Unjieu populaire de culture urbaine.</w:t>
      </w:r>
      <w:r w:rsidRPr="004A7EF1">
        <w:rPr>
          <w:bCs/>
          <w:i/>
          <w:iCs/>
        </w:rPr>
        <w:t xml:space="preserve"> </w:t>
      </w:r>
      <w:r w:rsidRPr="004A7EF1">
        <w:rPr>
          <w:i/>
          <w:iCs/>
        </w:rPr>
        <w:t>1986,231 p</w:t>
      </w:r>
      <w:r w:rsidRPr="004A7EF1">
        <w:rPr>
          <w:i/>
          <w:iCs/>
        </w:rPr>
        <w:t>a</w:t>
      </w:r>
      <w:r w:rsidRPr="004A7EF1">
        <w:rPr>
          <w:i/>
          <w:iCs/>
        </w:rPr>
        <w:t>ges. (17 S)</w:t>
      </w:r>
    </w:p>
    <w:p w:rsidR="00B7214C" w:rsidRPr="004A7EF1" w:rsidRDefault="00B7214C" w:rsidP="00B7214C">
      <w:pPr>
        <w:spacing w:before="120" w:after="120"/>
        <w:ind w:left="540" w:hanging="540"/>
        <w:jc w:val="both"/>
      </w:pPr>
      <w:r>
        <w:t>13.</w:t>
      </w:r>
      <w:r>
        <w:tab/>
      </w:r>
      <w:r w:rsidRPr="004A7EF1">
        <w:t xml:space="preserve">Thérèse Beaudoin. </w:t>
      </w:r>
      <w:r w:rsidRPr="004A7EF1">
        <w:rPr>
          <w:i/>
          <w:iCs/>
        </w:rPr>
        <w:t>L'été dans la culture québécoise, XVIf-XIXe si</w:t>
      </w:r>
      <w:r w:rsidRPr="004A7EF1">
        <w:rPr>
          <w:i/>
          <w:iCs/>
        </w:rPr>
        <w:t>è</w:t>
      </w:r>
      <w:r w:rsidRPr="004A7EF1">
        <w:rPr>
          <w:i/>
          <w:iCs/>
        </w:rPr>
        <w:t>cles.</w:t>
      </w:r>
      <w:r w:rsidRPr="004A7EF1">
        <w:rPr>
          <w:bCs/>
        </w:rPr>
        <w:t xml:space="preserve"> </w:t>
      </w:r>
      <w:r w:rsidRPr="004A7EF1">
        <w:t>Coll. « Documents de recherche »</w:t>
      </w:r>
      <w:r>
        <w:t>,</w:t>
      </w:r>
      <w:r w:rsidRPr="004A7EF1">
        <w:t xml:space="preserve"> n° 10,1987,235 pages. (20 $)</w:t>
      </w:r>
    </w:p>
    <w:p w:rsidR="00B7214C" w:rsidRPr="004A7EF1" w:rsidRDefault="00B7214C" w:rsidP="00B7214C">
      <w:pPr>
        <w:spacing w:before="120" w:after="120"/>
        <w:ind w:left="540" w:hanging="540"/>
        <w:jc w:val="both"/>
      </w:pPr>
      <w:r>
        <w:t>14.</w:t>
      </w:r>
      <w:r>
        <w:tab/>
      </w:r>
      <w:r w:rsidRPr="004A7EF1">
        <w:t xml:space="preserve">Gabriel Gagnon et Marcel Rioux. </w:t>
      </w:r>
      <w:r w:rsidRPr="004A7EF1">
        <w:rPr>
          <w:i/>
          <w:iCs/>
        </w:rPr>
        <w:t>À propos d’autogestion et d'émancip</w:t>
      </w:r>
      <w:r w:rsidRPr="004A7EF1">
        <w:rPr>
          <w:i/>
          <w:iCs/>
        </w:rPr>
        <w:t>a</w:t>
      </w:r>
      <w:r w:rsidRPr="004A7EF1">
        <w:rPr>
          <w:i/>
          <w:iCs/>
        </w:rPr>
        <w:t xml:space="preserve">tion. Deux essais. </w:t>
      </w:r>
      <w:r w:rsidRPr="004A7EF1">
        <w:t>1988, 190 pages. (17 $)</w:t>
      </w:r>
    </w:p>
    <w:p w:rsidR="00B7214C" w:rsidRPr="004A7EF1" w:rsidRDefault="00B7214C" w:rsidP="00B7214C">
      <w:pPr>
        <w:spacing w:before="120" w:after="120"/>
        <w:ind w:left="540" w:hanging="540"/>
        <w:jc w:val="both"/>
      </w:pPr>
      <w:r>
        <w:t>15.</w:t>
      </w:r>
      <w:r>
        <w:tab/>
      </w:r>
      <w:r w:rsidRPr="004A7EF1">
        <w:t xml:space="preserve">Madeleine Gauthier. </w:t>
      </w:r>
      <w:r w:rsidRPr="004A7EF1">
        <w:rPr>
          <w:i/>
          <w:iCs/>
        </w:rPr>
        <w:t>Les jeunes chômeurs. Une enquête.</w:t>
      </w:r>
      <w:r w:rsidRPr="004A7EF1">
        <w:rPr>
          <w:bCs/>
        </w:rPr>
        <w:t xml:space="preserve"> </w:t>
      </w:r>
      <w:r w:rsidRPr="004A7EF1">
        <w:t>Coll. « Documents de recherche »</w:t>
      </w:r>
      <w:r>
        <w:t>,</w:t>
      </w:r>
      <w:r w:rsidRPr="004A7EF1">
        <w:t xml:space="preserve"> n° 18,1988, 2e tirage, 302 pages. (18 $)</w:t>
      </w:r>
    </w:p>
    <w:p w:rsidR="00B7214C" w:rsidRPr="004A7EF1" w:rsidRDefault="00B7214C" w:rsidP="00B7214C">
      <w:pPr>
        <w:spacing w:before="120" w:after="120"/>
        <w:ind w:left="540" w:hanging="540"/>
        <w:jc w:val="both"/>
      </w:pPr>
      <w:r>
        <w:t>16.</w:t>
      </w:r>
      <w:r>
        <w:tab/>
      </w:r>
      <w:r w:rsidRPr="004A7EF1">
        <w:t xml:space="preserve">Ginette Paquet. </w:t>
      </w:r>
      <w:r w:rsidRPr="004A7EF1">
        <w:rPr>
          <w:i/>
          <w:iCs/>
        </w:rPr>
        <w:t>Santé et inégalités sociales. Un problème de di</w:t>
      </w:r>
      <w:r w:rsidRPr="004A7EF1">
        <w:rPr>
          <w:i/>
          <w:iCs/>
        </w:rPr>
        <w:t>s</w:t>
      </w:r>
      <w:r w:rsidRPr="004A7EF1">
        <w:rPr>
          <w:i/>
          <w:iCs/>
        </w:rPr>
        <w:t>tance culturelle.</w:t>
      </w:r>
      <w:r w:rsidRPr="004A7EF1">
        <w:rPr>
          <w:bCs/>
        </w:rPr>
        <w:t xml:space="preserve"> </w:t>
      </w:r>
      <w:r w:rsidRPr="004A7EF1">
        <w:t>Coll. « Documents de recherche »</w:t>
      </w:r>
      <w:r>
        <w:t>,</w:t>
      </w:r>
      <w:r w:rsidRPr="004A7EF1">
        <w:t xml:space="preserve"> n° 21,1989, 5e tirage, 133 p</w:t>
      </w:r>
      <w:r w:rsidRPr="004A7EF1">
        <w:t>a</w:t>
      </w:r>
      <w:r w:rsidRPr="004A7EF1">
        <w:t>ges. (14 S)</w:t>
      </w:r>
    </w:p>
    <w:p w:rsidR="00B7214C" w:rsidRDefault="00B7214C" w:rsidP="00B7214C">
      <w:pPr>
        <w:spacing w:before="120" w:after="120"/>
        <w:ind w:left="540" w:hanging="540"/>
        <w:jc w:val="both"/>
      </w:pPr>
    </w:p>
    <w:p w:rsidR="00B7214C" w:rsidRPr="004A7EF1" w:rsidRDefault="00B7214C" w:rsidP="00B7214C">
      <w:pPr>
        <w:pStyle w:val="a"/>
      </w:pPr>
      <w:r>
        <w:t xml:space="preserve">IV. </w:t>
      </w:r>
      <w:r w:rsidRPr="004A7EF1">
        <w:t>La création et la diffusion de la culture</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Jean-Robert Faucher, André Fournier et Gisèle Gallichan. </w:t>
      </w:r>
      <w:r w:rsidRPr="004A7EF1">
        <w:rPr>
          <w:i/>
          <w:iCs/>
        </w:rPr>
        <w:t>L'i</w:t>
      </w:r>
      <w:r w:rsidRPr="004A7EF1">
        <w:rPr>
          <w:i/>
          <w:iCs/>
        </w:rPr>
        <w:t>n</w:t>
      </w:r>
      <w:r w:rsidRPr="004A7EF1">
        <w:rPr>
          <w:i/>
          <w:iCs/>
        </w:rPr>
        <w:t>form</w:t>
      </w:r>
      <w:r w:rsidRPr="004A7EF1">
        <w:rPr>
          <w:i/>
          <w:iCs/>
        </w:rPr>
        <w:t>a</w:t>
      </w:r>
      <w:r w:rsidRPr="004A7EF1">
        <w:rPr>
          <w:i/>
          <w:iCs/>
        </w:rPr>
        <w:t>tion culturelle dans les médias électroniques.</w:t>
      </w:r>
      <w:r w:rsidRPr="004A7EF1">
        <w:rPr>
          <w:bCs/>
        </w:rPr>
        <w:t xml:space="preserve"> </w:t>
      </w:r>
      <w:r w:rsidRPr="004A7EF1">
        <w:t>Coll. « Diagnostics cult</w:t>
      </w:r>
      <w:r w:rsidRPr="004A7EF1">
        <w:t>u</w:t>
      </w:r>
      <w:r w:rsidRPr="004A7EF1">
        <w:t>rels »</w:t>
      </w:r>
      <w:r>
        <w:t>, n° 1, 1981, 167 pages.</w:t>
      </w:r>
    </w:p>
    <w:p w:rsidR="00B7214C" w:rsidRPr="004A7EF1" w:rsidRDefault="00B7214C" w:rsidP="00B7214C">
      <w:pPr>
        <w:spacing w:before="120" w:after="120"/>
        <w:ind w:left="540" w:hanging="540"/>
        <w:jc w:val="both"/>
      </w:pPr>
      <w:r>
        <w:t>2.</w:t>
      </w:r>
      <w:r>
        <w:tab/>
      </w:r>
      <w:r w:rsidRPr="004A7EF1">
        <w:t xml:space="preserve">Angèle Dagenais. </w:t>
      </w:r>
      <w:r w:rsidRPr="004A7EF1">
        <w:rPr>
          <w:i/>
          <w:iCs/>
        </w:rPr>
        <w:t>Crise de croissance : le théâtre au Québec.</w:t>
      </w:r>
      <w:r w:rsidRPr="004A7EF1">
        <w:rPr>
          <w:bCs/>
        </w:rPr>
        <w:t xml:space="preserve"> </w:t>
      </w:r>
      <w:r w:rsidRPr="004A7EF1">
        <w:t>Coll. « Diagnostics culturels »</w:t>
      </w:r>
      <w:r>
        <w:t>, n° 2, 1981, 73 pages.</w:t>
      </w:r>
    </w:p>
    <w:p w:rsidR="00B7214C" w:rsidRPr="004A7EF1" w:rsidRDefault="00B7214C" w:rsidP="00B7214C">
      <w:pPr>
        <w:spacing w:before="120" w:after="120"/>
        <w:ind w:left="540" w:hanging="540"/>
        <w:jc w:val="both"/>
      </w:pPr>
      <w:r>
        <w:t>3.</w:t>
      </w:r>
      <w:r>
        <w:tab/>
      </w:r>
      <w:r w:rsidRPr="004A7EF1">
        <w:t xml:space="preserve">Yvan Lamonde et Pierre-François Hébert. </w:t>
      </w:r>
      <w:r w:rsidRPr="004A7EF1">
        <w:rPr>
          <w:i/>
          <w:iCs/>
        </w:rPr>
        <w:t>Le cinéma au Québec</w:t>
      </w:r>
      <w:r w:rsidRPr="004A7EF1">
        <w:rPr>
          <w:bCs/>
        </w:rPr>
        <w:t xml:space="preserve"> — </w:t>
      </w:r>
      <w:r w:rsidRPr="004A7EF1">
        <w:rPr>
          <w:i/>
          <w:iCs/>
        </w:rPr>
        <w:t>E</w:t>
      </w:r>
      <w:r w:rsidRPr="004A7EF1">
        <w:rPr>
          <w:i/>
          <w:iCs/>
        </w:rPr>
        <w:t>s</w:t>
      </w:r>
      <w:r w:rsidRPr="004A7EF1">
        <w:rPr>
          <w:i/>
          <w:iCs/>
        </w:rPr>
        <w:t>sai de statistique historique (1896 à nos jours).</w:t>
      </w:r>
      <w:r w:rsidRPr="004A7EF1">
        <w:rPr>
          <w:bCs/>
        </w:rPr>
        <w:t xml:space="preserve"> </w:t>
      </w:r>
      <w:r w:rsidRPr="004A7EF1">
        <w:t>Coll. « Instruments de tr</w:t>
      </w:r>
      <w:r w:rsidRPr="004A7EF1">
        <w:t>a</w:t>
      </w:r>
      <w:r w:rsidRPr="004A7EF1">
        <w:t>vail » n°</w:t>
      </w:r>
      <w:r>
        <w:t> </w:t>
      </w:r>
      <w:r w:rsidRPr="004A7EF1">
        <w:t>2,</w:t>
      </w:r>
      <w:r>
        <w:t xml:space="preserve"> 1981, 481 pages.</w:t>
      </w:r>
    </w:p>
    <w:p w:rsidR="00B7214C" w:rsidRPr="004A7EF1" w:rsidRDefault="00B7214C" w:rsidP="00B7214C">
      <w:pPr>
        <w:spacing w:before="120" w:after="120"/>
        <w:ind w:left="540" w:hanging="540"/>
        <w:jc w:val="both"/>
      </w:pPr>
      <w:r>
        <w:t>4.</w:t>
      </w:r>
      <w:r>
        <w:tab/>
      </w:r>
      <w:r w:rsidRPr="004A7EF1">
        <w:t xml:space="preserve">François Colbert. </w:t>
      </w:r>
      <w:r w:rsidRPr="004A7EF1">
        <w:rPr>
          <w:i/>
          <w:iCs/>
        </w:rPr>
        <w:t>Le marché québécois du théâtre.</w:t>
      </w:r>
      <w:r w:rsidRPr="004A7EF1">
        <w:rPr>
          <w:bCs/>
        </w:rPr>
        <w:t xml:space="preserve"> </w:t>
      </w:r>
      <w:r w:rsidRPr="004A7EF1">
        <w:t>Coll. « Culture s</w:t>
      </w:r>
      <w:r w:rsidRPr="004A7EF1">
        <w:t>a</w:t>
      </w:r>
      <w:r w:rsidRPr="004A7EF1">
        <w:t>vant</w:t>
      </w:r>
      <w:r>
        <w:t>e » n° 1, 1982, 112 pages.</w:t>
      </w:r>
    </w:p>
    <w:p w:rsidR="00B7214C" w:rsidRPr="004A7EF1" w:rsidRDefault="00B7214C" w:rsidP="00B7214C">
      <w:pPr>
        <w:spacing w:before="120" w:after="120"/>
        <w:ind w:left="540" w:hanging="540"/>
        <w:jc w:val="both"/>
      </w:pPr>
      <w:r>
        <w:t>5.</w:t>
      </w:r>
      <w:r>
        <w:tab/>
      </w:r>
      <w:r w:rsidRPr="004A7EF1">
        <w:t xml:space="preserve">Jean-Pierre Charland et Nicole Th ivierge. </w:t>
      </w:r>
      <w:r w:rsidRPr="004A7EF1">
        <w:rPr>
          <w:i/>
          <w:iCs/>
        </w:rPr>
        <w:t>Bibliographie de l'ense</w:t>
      </w:r>
      <w:r w:rsidRPr="004A7EF1">
        <w:rPr>
          <w:i/>
          <w:iCs/>
        </w:rPr>
        <w:t>i</w:t>
      </w:r>
      <w:r w:rsidRPr="004A7EF1">
        <w:rPr>
          <w:i/>
          <w:iCs/>
        </w:rPr>
        <w:t>gnement professionnel au Québec (1850-1980).</w:t>
      </w:r>
      <w:r w:rsidRPr="004A7EF1">
        <w:rPr>
          <w:bCs/>
        </w:rPr>
        <w:t xml:space="preserve"> </w:t>
      </w:r>
      <w:r w:rsidRPr="004A7EF1">
        <w:t>Coll. « Instruments de tr</w:t>
      </w:r>
      <w:r w:rsidRPr="004A7EF1">
        <w:t>a</w:t>
      </w:r>
      <w:r w:rsidRPr="004A7EF1">
        <w:t>vail » n° 3,1982, 284 pages</w:t>
      </w:r>
      <w:r>
        <w:t>.</w:t>
      </w:r>
    </w:p>
    <w:p w:rsidR="00B7214C" w:rsidRPr="004A7EF1" w:rsidRDefault="00B7214C" w:rsidP="00B7214C">
      <w:pPr>
        <w:spacing w:before="120" w:after="120"/>
        <w:ind w:left="540" w:hanging="540"/>
        <w:jc w:val="both"/>
      </w:pPr>
      <w:r>
        <w:t>6.</w:t>
      </w:r>
      <w:r>
        <w:tab/>
      </w:r>
      <w:r w:rsidRPr="004A7EF1">
        <w:t xml:space="preserve">Vivian Labrie. </w:t>
      </w:r>
      <w:hyperlink r:id="rId110" w:history="1">
        <w:r w:rsidRPr="00F44535">
          <w:rPr>
            <w:rStyle w:val="Lienhypertexte"/>
            <w:i/>
            <w:iCs/>
          </w:rPr>
          <w:t>Précis de transcription de documents d'archives or</w:t>
        </w:r>
        <w:r w:rsidRPr="00F44535">
          <w:rPr>
            <w:rStyle w:val="Lienhypertexte"/>
            <w:i/>
            <w:iCs/>
          </w:rPr>
          <w:t>a</w:t>
        </w:r>
        <w:r w:rsidRPr="00F44535">
          <w:rPr>
            <w:rStyle w:val="Lienhypertexte"/>
            <w:i/>
            <w:iCs/>
          </w:rPr>
          <w:t>les</w:t>
        </w:r>
      </w:hyperlink>
      <w:r w:rsidRPr="004A7EF1">
        <w:rPr>
          <w:i/>
          <w:iCs/>
        </w:rPr>
        <w:t>.</w:t>
      </w:r>
      <w:r w:rsidRPr="004A7EF1">
        <w:rPr>
          <w:bCs/>
        </w:rPr>
        <w:t xml:space="preserve"> </w:t>
      </w:r>
      <w:r w:rsidRPr="004A7EF1">
        <w:t>Coll. « Instruments de travail »</w:t>
      </w:r>
      <w:r>
        <w:t>,</w:t>
      </w:r>
      <w:r w:rsidRPr="004A7EF1">
        <w:t xml:space="preserve"> n°</w:t>
      </w:r>
      <w:r>
        <w:t> </w:t>
      </w:r>
      <w:r w:rsidRPr="004A7EF1">
        <w:t>4,</w:t>
      </w:r>
      <w:r>
        <w:t xml:space="preserve"> </w:t>
      </w:r>
      <w:r w:rsidRPr="004A7EF1">
        <w:t>1982,</w:t>
      </w:r>
      <w:r>
        <w:t xml:space="preserve"> 220 pages.</w:t>
      </w:r>
    </w:p>
    <w:p w:rsidR="00B7214C" w:rsidRPr="004A7EF1" w:rsidRDefault="00B7214C" w:rsidP="00B7214C">
      <w:pPr>
        <w:spacing w:before="120" w:after="120"/>
        <w:ind w:left="540" w:hanging="540"/>
        <w:jc w:val="both"/>
      </w:pPr>
      <w:r>
        <w:t>7.</w:t>
      </w:r>
      <w:r>
        <w:tab/>
      </w:r>
      <w:r w:rsidRPr="004A7EF1">
        <w:t xml:space="preserve">Sylvie Tellier. </w:t>
      </w:r>
      <w:r w:rsidRPr="004A7EF1">
        <w:rPr>
          <w:i/>
          <w:iCs/>
        </w:rPr>
        <w:t>Chronologie littéraire du Québec.</w:t>
      </w:r>
      <w:r w:rsidRPr="004A7EF1">
        <w:rPr>
          <w:bCs/>
        </w:rPr>
        <w:t xml:space="preserve"> </w:t>
      </w:r>
      <w:r w:rsidRPr="004A7EF1">
        <w:t>Coll. « Instruments de travail »</w:t>
      </w:r>
      <w:r>
        <w:t>,</w:t>
      </w:r>
      <w:r w:rsidRPr="004A7EF1">
        <w:t xml:space="preserve"> n°</w:t>
      </w:r>
      <w:r>
        <w:t> </w:t>
      </w:r>
      <w:r w:rsidRPr="004A7EF1">
        <w:t>6,</w:t>
      </w:r>
      <w:r>
        <w:t xml:space="preserve"> 1982, 352 pages.</w:t>
      </w:r>
    </w:p>
    <w:p w:rsidR="00B7214C" w:rsidRPr="00F44535" w:rsidRDefault="00B7214C" w:rsidP="00B7214C">
      <w:pPr>
        <w:spacing w:before="120" w:after="120"/>
        <w:ind w:left="540" w:hanging="540"/>
        <w:jc w:val="both"/>
        <w:rPr>
          <w:iCs/>
        </w:rPr>
      </w:pPr>
      <w:r>
        <w:rPr>
          <w:iCs/>
        </w:rPr>
        <w:t>8</w:t>
      </w:r>
      <w:r>
        <w:t>.</w:t>
      </w:r>
      <w:r>
        <w:tab/>
        <w:t>J</w:t>
      </w:r>
      <w:r w:rsidRPr="00F44535">
        <w:rPr>
          <w:iCs/>
        </w:rPr>
        <w:t xml:space="preserve">ean-Pierre Charland. </w:t>
      </w:r>
      <w:r w:rsidRPr="00F44535">
        <w:rPr>
          <w:i/>
        </w:rPr>
        <w:t>Histoire de l'enseignement technique et profe</w:t>
      </w:r>
      <w:r w:rsidRPr="00F44535">
        <w:rPr>
          <w:i/>
        </w:rPr>
        <w:t>s</w:t>
      </w:r>
      <w:r w:rsidRPr="00F44535">
        <w:rPr>
          <w:i/>
        </w:rPr>
        <w:t>sionnel</w:t>
      </w:r>
      <w:r w:rsidRPr="00F44535">
        <w:t>.</w:t>
      </w:r>
      <w:r w:rsidRPr="00F44535">
        <w:rPr>
          <w:bCs/>
          <w:iCs/>
        </w:rPr>
        <w:t xml:space="preserve"> </w:t>
      </w:r>
      <w:r>
        <w:rPr>
          <w:iCs/>
        </w:rPr>
        <w:t>1982, 485 pages.</w:t>
      </w:r>
    </w:p>
    <w:p w:rsidR="00B7214C" w:rsidRPr="004A7EF1" w:rsidRDefault="00B7214C" w:rsidP="00B7214C">
      <w:pPr>
        <w:spacing w:before="120" w:after="120"/>
        <w:ind w:left="540" w:hanging="540"/>
        <w:jc w:val="both"/>
      </w:pPr>
      <w:r>
        <w:t>[</w:t>
      </w:r>
      <w:r w:rsidRPr="004A7EF1">
        <w:t>568</w:t>
      </w:r>
      <w:r>
        <w:t>]</w:t>
      </w:r>
    </w:p>
    <w:p w:rsidR="00B7214C" w:rsidRPr="00F44535" w:rsidRDefault="00B7214C" w:rsidP="00B7214C">
      <w:pPr>
        <w:spacing w:before="120" w:after="120"/>
        <w:ind w:left="540" w:hanging="540"/>
        <w:jc w:val="both"/>
      </w:pPr>
      <w:r>
        <w:t>9.</w:t>
      </w:r>
      <w:r>
        <w:tab/>
      </w:r>
      <w:r w:rsidRPr="00F44535">
        <w:rPr>
          <w:iCs/>
        </w:rPr>
        <w:t xml:space="preserve">Nicole Thivierge. </w:t>
      </w:r>
      <w:r w:rsidRPr="00F44535">
        <w:t>Écoles ménagères et instituts familiaux : un m</w:t>
      </w:r>
      <w:r w:rsidRPr="00F44535">
        <w:t>o</w:t>
      </w:r>
      <w:r w:rsidRPr="00F44535">
        <w:t xml:space="preserve">dèle féminin traditionnel. </w:t>
      </w:r>
      <w:r w:rsidRPr="00F44535">
        <w:rPr>
          <w:iCs/>
        </w:rPr>
        <w:t>1982,</w:t>
      </w:r>
      <w:r>
        <w:rPr>
          <w:iCs/>
        </w:rPr>
        <w:t xml:space="preserve"> 478 pages.</w:t>
      </w:r>
    </w:p>
    <w:p w:rsidR="00B7214C" w:rsidRPr="004A7EF1" w:rsidRDefault="00B7214C" w:rsidP="00B7214C">
      <w:pPr>
        <w:spacing w:before="120" w:after="120"/>
        <w:ind w:left="540" w:hanging="540"/>
        <w:jc w:val="both"/>
      </w:pPr>
      <w:r>
        <w:t>10.</w:t>
      </w:r>
      <w:r>
        <w:tab/>
      </w:r>
      <w:r w:rsidRPr="004A7EF1">
        <w:t xml:space="preserve">Yvan Lamonde. </w:t>
      </w:r>
      <w:r w:rsidRPr="004A7EF1">
        <w:rPr>
          <w:i/>
          <w:iCs/>
        </w:rPr>
        <w:t>L'imprimé au Québec : aspects historiques (18</w:t>
      </w:r>
      <w:r w:rsidRPr="00F44535">
        <w:rPr>
          <w:i/>
          <w:iCs/>
          <w:vertAlign w:val="superscript"/>
        </w:rPr>
        <w:t>e</w:t>
      </w:r>
      <w:r w:rsidRPr="004A7EF1">
        <w:rPr>
          <w:i/>
          <w:iCs/>
        </w:rPr>
        <w:t>-2</w:t>
      </w:r>
      <w:r>
        <w:rPr>
          <w:i/>
          <w:iCs/>
        </w:rPr>
        <w:t>0</w:t>
      </w:r>
      <w:r w:rsidRPr="00F44535">
        <w:rPr>
          <w:i/>
          <w:iCs/>
          <w:vertAlign w:val="superscript"/>
        </w:rPr>
        <w:t>e</w:t>
      </w:r>
      <w:r w:rsidRPr="004A7EF1">
        <w:rPr>
          <w:i/>
          <w:iCs/>
        </w:rPr>
        <w:t xml:space="preserve"> si</w:t>
      </w:r>
      <w:r w:rsidRPr="004A7EF1">
        <w:rPr>
          <w:i/>
          <w:iCs/>
        </w:rPr>
        <w:t>è</w:t>
      </w:r>
      <w:r w:rsidRPr="004A7EF1">
        <w:rPr>
          <w:i/>
          <w:iCs/>
        </w:rPr>
        <w:t>cles).</w:t>
      </w:r>
      <w:r w:rsidRPr="004A7EF1">
        <w:rPr>
          <w:bCs/>
        </w:rPr>
        <w:t xml:space="preserve"> </w:t>
      </w:r>
      <w:r w:rsidRPr="004A7EF1">
        <w:t>Coll. « Culture savante »</w:t>
      </w:r>
      <w:r>
        <w:t>,</w:t>
      </w:r>
      <w:r w:rsidRPr="004A7EF1">
        <w:t xml:space="preserve"> n°</w:t>
      </w:r>
      <w:r>
        <w:t> </w:t>
      </w:r>
      <w:r w:rsidRPr="004A7EF1">
        <w:t>2,</w:t>
      </w:r>
      <w:r>
        <w:t xml:space="preserve"> </w:t>
      </w:r>
      <w:r w:rsidRPr="004A7EF1">
        <w:t>1983,</w:t>
      </w:r>
      <w:r>
        <w:t xml:space="preserve"> 370 pages.</w:t>
      </w:r>
    </w:p>
    <w:p w:rsidR="00B7214C" w:rsidRPr="004A7EF1" w:rsidRDefault="00B7214C" w:rsidP="00B7214C">
      <w:pPr>
        <w:spacing w:before="120" w:after="120"/>
        <w:ind w:left="540" w:hanging="540"/>
        <w:jc w:val="both"/>
      </w:pPr>
      <w:r>
        <w:t>11.</w:t>
      </w:r>
      <w:r>
        <w:tab/>
      </w:r>
      <w:r w:rsidRPr="004A7EF1">
        <w:t xml:space="preserve">Yvan Lamonde. </w:t>
      </w:r>
      <w:r>
        <w:rPr>
          <w:i/>
          <w:iCs/>
        </w:rPr>
        <w:t>J</w:t>
      </w:r>
      <w:r w:rsidRPr="004A7EF1">
        <w:rPr>
          <w:i/>
          <w:iCs/>
        </w:rPr>
        <w:t>e me souviens. La littérature personnelle au Qu</w:t>
      </w:r>
      <w:r w:rsidRPr="004A7EF1">
        <w:rPr>
          <w:i/>
          <w:iCs/>
        </w:rPr>
        <w:t>é</w:t>
      </w:r>
      <w:r w:rsidRPr="004A7EF1">
        <w:rPr>
          <w:i/>
          <w:iCs/>
        </w:rPr>
        <w:t>bec (1860-1980).</w:t>
      </w:r>
      <w:r w:rsidRPr="004A7EF1">
        <w:rPr>
          <w:bCs/>
        </w:rPr>
        <w:t xml:space="preserve"> </w:t>
      </w:r>
      <w:r w:rsidRPr="004A7EF1">
        <w:t>Coll. « Instruments de travail »</w:t>
      </w:r>
      <w:r>
        <w:t>,</w:t>
      </w:r>
      <w:r w:rsidRPr="004A7EF1">
        <w:t xml:space="preserve"> n°</w:t>
      </w:r>
      <w:r>
        <w:t> </w:t>
      </w:r>
      <w:r w:rsidRPr="004A7EF1">
        <w:t>9,</w:t>
      </w:r>
      <w:r>
        <w:t xml:space="preserve"> 1983, 278 p</w:t>
      </w:r>
      <w:r>
        <w:t>a</w:t>
      </w:r>
      <w:r>
        <w:t>ges.</w:t>
      </w:r>
    </w:p>
    <w:p w:rsidR="00B7214C" w:rsidRPr="00F44535" w:rsidRDefault="00B7214C" w:rsidP="00B7214C">
      <w:pPr>
        <w:spacing w:before="120" w:after="120"/>
        <w:ind w:left="540" w:hanging="540"/>
        <w:jc w:val="both"/>
      </w:pPr>
      <w:r>
        <w:t>12.</w:t>
      </w:r>
      <w:r>
        <w:tab/>
      </w:r>
      <w:r>
        <w:rPr>
          <w:iCs/>
        </w:rPr>
        <w:t>Claude Sa</w:t>
      </w:r>
      <w:r w:rsidRPr="00F44535">
        <w:rPr>
          <w:iCs/>
        </w:rPr>
        <w:t>vary,</w:t>
      </w:r>
      <w:r>
        <w:rPr>
          <w:iCs/>
        </w:rPr>
        <w:t xml:space="preserve"> </w:t>
      </w:r>
      <w:r w:rsidRPr="00F44535">
        <w:rPr>
          <w:iCs/>
        </w:rPr>
        <w:t xml:space="preserve">dir. </w:t>
      </w:r>
      <w:r w:rsidRPr="00F44535">
        <w:rPr>
          <w:bCs/>
          <w:i/>
        </w:rPr>
        <w:t xml:space="preserve">Les </w:t>
      </w:r>
      <w:r w:rsidRPr="00F44535">
        <w:rPr>
          <w:i/>
        </w:rPr>
        <w:t>rapports culturels entre le Québec et les États-Unis</w:t>
      </w:r>
      <w:r w:rsidRPr="00F44535">
        <w:t>.</w:t>
      </w:r>
      <w:r w:rsidRPr="00F44535">
        <w:rPr>
          <w:bCs/>
          <w:iCs/>
        </w:rPr>
        <w:t xml:space="preserve"> </w:t>
      </w:r>
      <w:r w:rsidRPr="00F44535">
        <w:rPr>
          <w:iCs/>
        </w:rPr>
        <w:t>1984,</w:t>
      </w:r>
      <w:r>
        <w:rPr>
          <w:iCs/>
        </w:rPr>
        <w:t xml:space="preserve"> 353 pages.</w:t>
      </w:r>
    </w:p>
    <w:p w:rsidR="00B7214C" w:rsidRPr="004A7EF1" w:rsidRDefault="00B7214C" w:rsidP="00B7214C">
      <w:pPr>
        <w:spacing w:before="120" w:after="120"/>
        <w:ind w:left="540" w:hanging="540"/>
        <w:jc w:val="both"/>
      </w:pPr>
      <w:r>
        <w:t>13.</w:t>
      </w:r>
      <w:r>
        <w:tab/>
      </w:r>
      <w:r w:rsidRPr="004A7EF1">
        <w:t xml:space="preserve">Pierre Lavoie. </w:t>
      </w:r>
      <w:r w:rsidRPr="004A7EF1">
        <w:rPr>
          <w:i/>
          <w:iCs/>
        </w:rPr>
        <w:t>Pour suivre le théâtre au Québec. Les ressources d</w:t>
      </w:r>
      <w:r w:rsidRPr="004A7EF1">
        <w:rPr>
          <w:i/>
          <w:iCs/>
        </w:rPr>
        <w:t>o</w:t>
      </w:r>
      <w:r w:rsidRPr="004A7EF1">
        <w:rPr>
          <w:i/>
          <w:iCs/>
        </w:rPr>
        <w:t>cumentaires.</w:t>
      </w:r>
      <w:r w:rsidRPr="004A7EF1">
        <w:rPr>
          <w:bCs/>
        </w:rPr>
        <w:t xml:space="preserve"> </w:t>
      </w:r>
      <w:r w:rsidRPr="004A7EF1">
        <w:t>Coll. « Documents de recherche »</w:t>
      </w:r>
      <w:r>
        <w:t>,</w:t>
      </w:r>
      <w:r w:rsidRPr="004A7EF1">
        <w:t xml:space="preserve"> n°</w:t>
      </w:r>
      <w:r>
        <w:t> </w:t>
      </w:r>
      <w:r w:rsidRPr="004A7EF1">
        <w:t>4,</w:t>
      </w:r>
      <w:r>
        <w:t xml:space="preserve"> </w:t>
      </w:r>
      <w:r w:rsidRPr="004A7EF1">
        <w:t>1985, 521 pages. ÉPU</w:t>
      </w:r>
      <w:r w:rsidRPr="004A7EF1">
        <w:t>I</w:t>
      </w:r>
      <w:r>
        <w:t>SÉ</w:t>
      </w:r>
    </w:p>
    <w:p w:rsidR="00B7214C" w:rsidRPr="004A7EF1" w:rsidRDefault="00B7214C" w:rsidP="00B7214C">
      <w:pPr>
        <w:spacing w:before="120" w:after="120"/>
        <w:ind w:left="540" w:hanging="540"/>
        <w:jc w:val="both"/>
      </w:pPr>
      <w:r>
        <w:t>14.</w:t>
      </w:r>
      <w:r>
        <w:tab/>
      </w:r>
      <w:r w:rsidRPr="004A7EF1">
        <w:t xml:space="preserve">Jacques Dufresne, Fernand Dumont et Yves Martin. </w:t>
      </w:r>
      <w:hyperlink r:id="rId111" w:history="1">
        <w:r w:rsidRPr="00F44535">
          <w:rPr>
            <w:rStyle w:val="Lienhypertexte"/>
            <w:i/>
            <w:iCs/>
          </w:rPr>
          <w:t>Traité d’anthropologie médicale. L'Institution de la santé et de la mal</w:t>
        </w:r>
        <w:r w:rsidRPr="00F44535">
          <w:rPr>
            <w:rStyle w:val="Lienhypertexte"/>
            <w:i/>
            <w:iCs/>
          </w:rPr>
          <w:t>a</w:t>
        </w:r>
        <w:r w:rsidRPr="00F44535">
          <w:rPr>
            <w:rStyle w:val="Lienhypertexte"/>
            <w:i/>
            <w:iCs/>
          </w:rPr>
          <w:t>die</w:t>
        </w:r>
      </w:hyperlink>
      <w:r w:rsidRPr="004A7EF1">
        <w:rPr>
          <w:i/>
          <w:iCs/>
        </w:rPr>
        <w:t>.</w:t>
      </w:r>
      <w:r w:rsidRPr="004A7EF1">
        <w:rPr>
          <w:bCs/>
        </w:rPr>
        <w:t xml:space="preserve"> </w:t>
      </w:r>
      <w:r w:rsidRPr="004A7EF1">
        <w:t>Presses de l'Université du Québec, Institut québécois de r</w:t>
      </w:r>
      <w:r w:rsidRPr="004A7EF1">
        <w:t>e</w:t>
      </w:r>
      <w:r w:rsidRPr="004A7EF1">
        <w:t>cherche sur la culture. Pre</w:t>
      </w:r>
      <w:r w:rsidRPr="004A7EF1">
        <w:t>s</w:t>
      </w:r>
      <w:r w:rsidRPr="004A7EF1">
        <w:t>ses Univer</w:t>
      </w:r>
      <w:r>
        <w:t>sitaires de Lyon, 1985, XVII- 1245 pages.</w:t>
      </w:r>
    </w:p>
    <w:p w:rsidR="00B7214C" w:rsidRPr="004A7EF1" w:rsidRDefault="00B7214C" w:rsidP="00B7214C">
      <w:pPr>
        <w:spacing w:before="120" w:after="120"/>
        <w:ind w:left="540" w:hanging="540"/>
        <w:jc w:val="both"/>
      </w:pPr>
      <w:r>
        <w:t>15.</w:t>
      </w:r>
      <w:r>
        <w:tab/>
      </w:r>
      <w:r w:rsidRPr="004A7EF1">
        <w:t xml:space="preserve">Léon Bernier et Isabelle Perrault. </w:t>
      </w:r>
      <w:r w:rsidRPr="004A7EF1">
        <w:rPr>
          <w:i/>
          <w:iCs/>
        </w:rPr>
        <w:t>L'artiste et l'œuvre à faire.</w:t>
      </w:r>
      <w:r w:rsidRPr="004A7EF1">
        <w:rPr>
          <w:bCs/>
        </w:rPr>
        <w:t xml:space="preserve"> </w:t>
      </w:r>
      <w:r w:rsidRPr="004A7EF1">
        <w:t>« La pr</w:t>
      </w:r>
      <w:r w:rsidRPr="004A7EF1">
        <w:t>a</w:t>
      </w:r>
      <w:r w:rsidRPr="004A7EF1">
        <w:t>tique de l'art 1 »</w:t>
      </w:r>
      <w:r>
        <w:t>, 1985, 518 pages. ÉPUISÉ</w:t>
      </w:r>
    </w:p>
    <w:p w:rsidR="00B7214C" w:rsidRPr="00F44535" w:rsidRDefault="00B7214C" w:rsidP="00B7214C">
      <w:pPr>
        <w:spacing w:before="120" w:after="120"/>
        <w:ind w:left="540" w:hanging="540"/>
        <w:jc w:val="both"/>
      </w:pPr>
      <w:r>
        <w:t>16.</w:t>
      </w:r>
      <w:r>
        <w:tab/>
      </w:r>
      <w:r w:rsidRPr="00F44535">
        <w:rPr>
          <w:iCs/>
        </w:rPr>
        <w:t xml:space="preserve">Marcel Fournier. </w:t>
      </w:r>
      <w:r w:rsidRPr="00F44535">
        <w:t>Les générations d'artistes suivi d'entretiens avec R</w:t>
      </w:r>
      <w:r w:rsidRPr="00F44535">
        <w:t>o</w:t>
      </w:r>
      <w:r w:rsidRPr="00F44535">
        <w:t>bert Roussil et Roland Giguère.</w:t>
      </w:r>
      <w:r w:rsidRPr="00F44535">
        <w:rPr>
          <w:bCs/>
          <w:iCs/>
        </w:rPr>
        <w:t xml:space="preserve"> </w:t>
      </w:r>
      <w:r w:rsidRPr="00F44535">
        <w:rPr>
          <w:iCs/>
        </w:rPr>
        <w:t>« La pratique de l'art 2 », 1986, 202 p</w:t>
      </w:r>
      <w:r w:rsidRPr="00F44535">
        <w:rPr>
          <w:iCs/>
        </w:rPr>
        <w:t>a</w:t>
      </w:r>
      <w:r>
        <w:rPr>
          <w:iCs/>
        </w:rPr>
        <w:t>ges.</w:t>
      </w:r>
    </w:p>
    <w:p w:rsidR="00B7214C" w:rsidRPr="004A7EF1" w:rsidRDefault="00B7214C" w:rsidP="00B7214C">
      <w:pPr>
        <w:spacing w:before="120" w:after="120"/>
        <w:ind w:left="540" w:hanging="540"/>
        <w:jc w:val="both"/>
      </w:pPr>
      <w:r>
        <w:t>17.</w:t>
      </w:r>
      <w:r>
        <w:tab/>
      </w:r>
      <w:r w:rsidRPr="004A7EF1">
        <w:t xml:space="preserve">Yvan Lamonde et Esther Trépanier. </w:t>
      </w:r>
      <w:r w:rsidRPr="004A7EF1">
        <w:rPr>
          <w:i/>
          <w:iCs/>
        </w:rPr>
        <w:t>L'avènement de la modernité cult</w:t>
      </w:r>
      <w:r w:rsidRPr="004A7EF1">
        <w:rPr>
          <w:i/>
          <w:iCs/>
        </w:rPr>
        <w:t>u</w:t>
      </w:r>
      <w:r w:rsidRPr="004A7EF1">
        <w:rPr>
          <w:i/>
          <w:iCs/>
        </w:rPr>
        <w:t xml:space="preserve">relle au Québec. </w:t>
      </w:r>
      <w:r w:rsidRPr="004A7EF1">
        <w:t>1986,</w:t>
      </w:r>
      <w:r>
        <w:t xml:space="preserve"> 320 pages.</w:t>
      </w:r>
    </w:p>
    <w:p w:rsidR="00B7214C" w:rsidRPr="00F44535" w:rsidRDefault="00B7214C" w:rsidP="00B7214C">
      <w:pPr>
        <w:spacing w:before="120" w:after="120"/>
        <w:ind w:left="540" w:hanging="540"/>
        <w:jc w:val="both"/>
      </w:pPr>
      <w:r>
        <w:t>18.</w:t>
      </w:r>
      <w:r>
        <w:tab/>
      </w:r>
      <w:r w:rsidRPr="00F44535">
        <w:rPr>
          <w:iCs/>
        </w:rPr>
        <w:t xml:space="preserve">Vivian Labrie. </w:t>
      </w:r>
      <w:r w:rsidRPr="00F44535">
        <w:rPr>
          <w:i/>
        </w:rPr>
        <w:t>ABC : Trois constats d'alphabétisation de la cult</w:t>
      </w:r>
      <w:r w:rsidRPr="00F44535">
        <w:rPr>
          <w:i/>
        </w:rPr>
        <w:t>u</w:t>
      </w:r>
      <w:r w:rsidRPr="00F44535">
        <w:rPr>
          <w:i/>
        </w:rPr>
        <w:t>re</w:t>
      </w:r>
      <w:r w:rsidRPr="00F44535">
        <w:t>.</w:t>
      </w:r>
      <w:r w:rsidRPr="00F44535">
        <w:rPr>
          <w:bCs/>
          <w:iCs/>
        </w:rPr>
        <w:t xml:space="preserve"> </w:t>
      </w:r>
      <w:r>
        <w:rPr>
          <w:iCs/>
        </w:rPr>
        <w:t>1986, 246 pages.</w:t>
      </w:r>
    </w:p>
    <w:p w:rsidR="00B7214C" w:rsidRPr="004A7EF1" w:rsidRDefault="00B7214C" w:rsidP="00B7214C">
      <w:pPr>
        <w:spacing w:before="120" w:after="120"/>
        <w:ind w:left="540" w:hanging="540"/>
        <w:jc w:val="both"/>
      </w:pPr>
      <w:r>
        <w:t>19.</w:t>
      </w:r>
      <w:r>
        <w:tab/>
      </w:r>
      <w:r w:rsidRPr="004A7EF1">
        <w:t xml:space="preserve">Maurice Lemire, dir. </w:t>
      </w:r>
      <w:r w:rsidRPr="004A7EF1">
        <w:rPr>
          <w:i/>
          <w:iCs/>
        </w:rPr>
        <w:t>L'institution littéraire.</w:t>
      </w:r>
      <w:r w:rsidRPr="004A7EF1">
        <w:rPr>
          <w:bCs/>
        </w:rPr>
        <w:t xml:space="preserve"> </w:t>
      </w:r>
      <w:r w:rsidRPr="004A7EF1">
        <w:t>IQRC et CRELIQ, 1986, 217 pages. (19,50 $)</w:t>
      </w:r>
    </w:p>
    <w:p w:rsidR="00B7214C" w:rsidRPr="004A7EF1" w:rsidRDefault="00B7214C" w:rsidP="00B7214C">
      <w:pPr>
        <w:spacing w:before="120" w:after="120"/>
        <w:ind w:left="540" w:hanging="540"/>
        <w:jc w:val="both"/>
      </w:pPr>
      <w:r>
        <w:t>20.</w:t>
      </w:r>
      <w:r>
        <w:tab/>
      </w:r>
      <w:r w:rsidRPr="004A7EF1">
        <w:t xml:space="preserve">Alfred Dumais et Johanne Lévesque. </w:t>
      </w:r>
      <w:r w:rsidRPr="004A7EF1">
        <w:rPr>
          <w:i/>
          <w:iCs/>
        </w:rPr>
        <w:t>L’auto-santé. Des indiv</w:t>
      </w:r>
      <w:r w:rsidRPr="004A7EF1">
        <w:rPr>
          <w:i/>
          <w:iCs/>
        </w:rPr>
        <w:t>i</w:t>
      </w:r>
      <w:r w:rsidRPr="004A7EF1">
        <w:rPr>
          <w:i/>
          <w:iCs/>
        </w:rPr>
        <w:t xml:space="preserve">dus et des groupes au Québec. </w:t>
      </w:r>
      <w:r>
        <w:t>1986,223 pages.</w:t>
      </w:r>
    </w:p>
    <w:p w:rsidR="00B7214C" w:rsidRPr="004A7EF1" w:rsidRDefault="00B7214C" w:rsidP="00B7214C">
      <w:pPr>
        <w:spacing w:before="120" w:after="120"/>
        <w:ind w:left="540" w:hanging="540"/>
        <w:jc w:val="both"/>
      </w:pPr>
      <w:r>
        <w:t>21.</w:t>
      </w:r>
      <w:r>
        <w:tab/>
      </w:r>
      <w:r w:rsidRPr="004A7EF1">
        <w:t xml:space="preserve">Gabrielle Lachance, dir. </w:t>
      </w:r>
      <w:r w:rsidRPr="004A7EF1">
        <w:rPr>
          <w:i/>
          <w:iCs/>
        </w:rPr>
        <w:t>Mémoire d'une époque. Un fonds d'a</w:t>
      </w:r>
      <w:r w:rsidRPr="004A7EF1">
        <w:rPr>
          <w:i/>
          <w:iCs/>
        </w:rPr>
        <w:t>r</w:t>
      </w:r>
      <w:r w:rsidRPr="004A7EF1">
        <w:rPr>
          <w:i/>
          <w:iCs/>
        </w:rPr>
        <w:t>chives or</w:t>
      </w:r>
      <w:r w:rsidRPr="004A7EF1">
        <w:rPr>
          <w:i/>
          <w:iCs/>
        </w:rPr>
        <w:t>a</w:t>
      </w:r>
      <w:r w:rsidRPr="004A7EF1">
        <w:rPr>
          <w:i/>
          <w:iCs/>
        </w:rPr>
        <w:t>les au Québec.</w:t>
      </w:r>
      <w:r w:rsidRPr="004A7EF1">
        <w:rPr>
          <w:bCs/>
        </w:rPr>
        <w:t xml:space="preserve"> </w:t>
      </w:r>
      <w:r w:rsidRPr="004A7EF1">
        <w:t>Coll. « Documents de recherche »</w:t>
      </w:r>
      <w:r>
        <w:t>,</w:t>
      </w:r>
      <w:r w:rsidRPr="004A7EF1">
        <w:t xml:space="preserve"> n° 12,1987, 251 p</w:t>
      </w:r>
      <w:r w:rsidRPr="004A7EF1">
        <w:t>a</w:t>
      </w:r>
      <w:r>
        <w:t>ges.</w:t>
      </w:r>
    </w:p>
    <w:p w:rsidR="00B7214C" w:rsidRPr="004A7EF1" w:rsidRDefault="00B7214C" w:rsidP="00B7214C">
      <w:pPr>
        <w:spacing w:before="120" w:after="120"/>
        <w:ind w:left="540" w:hanging="540"/>
        <w:jc w:val="both"/>
      </w:pPr>
      <w:r>
        <w:t>22.</w:t>
      </w:r>
      <w:r>
        <w:tab/>
      </w:r>
      <w:r w:rsidRPr="004A7EF1">
        <w:t xml:space="preserve">Marcel Fournier, Yves Gingras et Othmar Keel. </w:t>
      </w:r>
      <w:hyperlink r:id="rId112" w:history="1">
        <w:r w:rsidRPr="00F44535">
          <w:rPr>
            <w:rStyle w:val="Lienhypertexte"/>
            <w:i/>
            <w:iCs/>
          </w:rPr>
          <w:t>Sciences et m</w:t>
        </w:r>
        <w:r w:rsidRPr="00F44535">
          <w:rPr>
            <w:rStyle w:val="Lienhypertexte"/>
            <w:i/>
            <w:iCs/>
          </w:rPr>
          <w:t>é</w:t>
        </w:r>
        <w:r w:rsidRPr="00F44535">
          <w:rPr>
            <w:rStyle w:val="Lienhypertexte"/>
            <w:i/>
            <w:iCs/>
          </w:rPr>
          <w:t>decine au Québec : perspectives sociohistoriques</w:t>
        </w:r>
      </w:hyperlink>
      <w:r w:rsidRPr="004A7EF1">
        <w:rPr>
          <w:i/>
          <w:iCs/>
        </w:rPr>
        <w:t>.</w:t>
      </w:r>
      <w:r w:rsidRPr="004A7EF1">
        <w:rPr>
          <w:bCs/>
        </w:rPr>
        <w:t xml:space="preserve"> </w:t>
      </w:r>
      <w:r w:rsidRPr="004A7EF1">
        <w:t>1987,</w:t>
      </w:r>
      <w:r>
        <w:t xml:space="preserve"> </w:t>
      </w:r>
      <w:r w:rsidRPr="004A7EF1">
        <w:t>212 p</w:t>
      </w:r>
      <w:r w:rsidRPr="004A7EF1">
        <w:t>a</w:t>
      </w:r>
      <w:r>
        <w:t>ges.</w:t>
      </w:r>
    </w:p>
    <w:p w:rsidR="00B7214C" w:rsidRPr="004A7EF1" w:rsidRDefault="00B7214C" w:rsidP="00B7214C">
      <w:pPr>
        <w:spacing w:before="120" w:after="120"/>
        <w:ind w:left="540" w:hanging="540"/>
        <w:jc w:val="both"/>
      </w:pPr>
      <w:r>
        <w:t>23.</w:t>
      </w:r>
      <w:r>
        <w:tab/>
      </w:r>
      <w:r w:rsidRPr="004A7EF1">
        <w:t xml:space="preserve">Maurice Lemire, dir., avec la collaboration de Pierrette Dionne et </w:t>
      </w:r>
      <w:r>
        <w:t>2.</w:t>
      </w:r>
      <w:r>
        <w:tab/>
      </w:r>
      <w:r w:rsidRPr="004A7EF1">
        <w:t>M</w:t>
      </w:r>
      <w:r w:rsidRPr="004A7EF1">
        <w:t>i</w:t>
      </w:r>
      <w:r w:rsidRPr="004A7EF1">
        <w:t xml:space="preserve">chel Lord. </w:t>
      </w:r>
      <w:r w:rsidRPr="004A7EF1">
        <w:rPr>
          <w:i/>
          <w:iCs/>
        </w:rPr>
        <w:t>Le poids des politiques. Livres, lecture et littérat</w:t>
      </w:r>
      <w:r w:rsidRPr="004A7EF1">
        <w:rPr>
          <w:i/>
          <w:iCs/>
        </w:rPr>
        <w:t>u</w:t>
      </w:r>
      <w:r w:rsidRPr="004A7EF1">
        <w:rPr>
          <w:i/>
          <w:iCs/>
        </w:rPr>
        <w:t>re.</w:t>
      </w:r>
      <w:r w:rsidRPr="004A7EF1">
        <w:rPr>
          <w:bCs/>
        </w:rPr>
        <w:t xml:space="preserve"> </w:t>
      </w:r>
      <w:r>
        <w:t>1987, 191 pages.</w:t>
      </w:r>
    </w:p>
    <w:p w:rsidR="00B7214C" w:rsidRPr="00F44535" w:rsidRDefault="00B7214C" w:rsidP="00B7214C">
      <w:pPr>
        <w:spacing w:before="120" w:after="120"/>
        <w:ind w:left="540" w:hanging="540"/>
        <w:jc w:val="both"/>
      </w:pPr>
      <w:r>
        <w:t>24.</w:t>
      </w:r>
      <w:r>
        <w:tab/>
      </w:r>
      <w:r w:rsidRPr="00F44535">
        <w:rPr>
          <w:iCs/>
        </w:rPr>
        <w:t xml:space="preserve">Vivian Labrie. </w:t>
      </w:r>
      <w:r w:rsidRPr="00F44535">
        <w:t>Alphabétisé-e-s ! Quatre essais sur le savoir-lire.</w:t>
      </w:r>
      <w:r w:rsidRPr="00F44535">
        <w:rPr>
          <w:bCs/>
          <w:iCs/>
        </w:rPr>
        <w:t xml:space="preserve"> </w:t>
      </w:r>
      <w:r>
        <w:rPr>
          <w:iCs/>
        </w:rPr>
        <w:t>1987, 270 pages.</w:t>
      </w:r>
    </w:p>
    <w:p w:rsidR="00B7214C" w:rsidRPr="004A7EF1" w:rsidRDefault="00B7214C" w:rsidP="00B7214C">
      <w:pPr>
        <w:spacing w:before="120" w:after="120"/>
        <w:ind w:left="540" w:hanging="540"/>
        <w:jc w:val="both"/>
      </w:pPr>
      <w:r>
        <w:t>25.</w:t>
      </w:r>
      <w:r>
        <w:tab/>
        <w:t>Claude Galarn</w:t>
      </w:r>
      <w:r w:rsidRPr="004A7EF1">
        <w:t xml:space="preserve">eau et Maurice Lemire, dir. </w:t>
      </w:r>
      <w:r w:rsidRPr="004A7EF1">
        <w:rPr>
          <w:i/>
          <w:iCs/>
        </w:rPr>
        <w:t>Livre et lecture au Qu</w:t>
      </w:r>
      <w:r w:rsidRPr="004A7EF1">
        <w:rPr>
          <w:i/>
          <w:iCs/>
        </w:rPr>
        <w:t>é</w:t>
      </w:r>
      <w:r w:rsidRPr="004A7EF1">
        <w:rPr>
          <w:i/>
          <w:iCs/>
        </w:rPr>
        <w:t>bec, 1800-1850.</w:t>
      </w:r>
      <w:r w:rsidRPr="004A7EF1">
        <w:rPr>
          <w:bCs/>
        </w:rPr>
        <w:t xml:space="preserve"> </w:t>
      </w:r>
      <w:r>
        <w:t>1988, 270 pages.</w:t>
      </w:r>
    </w:p>
    <w:p w:rsidR="00B7214C" w:rsidRPr="004A7EF1" w:rsidRDefault="00B7214C" w:rsidP="00B7214C">
      <w:pPr>
        <w:spacing w:before="120" w:after="120"/>
        <w:ind w:left="540" w:hanging="540"/>
        <w:jc w:val="both"/>
      </w:pPr>
      <w:r>
        <w:t>26.</w:t>
      </w:r>
      <w:r>
        <w:tab/>
      </w:r>
      <w:r w:rsidRPr="004A7EF1">
        <w:t xml:space="preserve">M'hammed Mellouki. </w:t>
      </w:r>
      <w:r w:rsidRPr="004A7EF1">
        <w:rPr>
          <w:i/>
          <w:iCs/>
        </w:rPr>
        <w:t>Savoir enseignant et idéologie réformiste. La formation des maîtres (1930-1964).</w:t>
      </w:r>
      <w:r w:rsidRPr="004A7EF1">
        <w:rPr>
          <w:bCs/>
        </w:rPr>
        <w:t xml:space="preserve"> </w:t>
      </w:r>
      <w:r w:rsidRPr="004A7EF1">
        <w:t>Coll. « Documents de r</w:t>
      </w:r>
      <w:r w:rsidRPr="004A7EF1">
        <w:t>e</w:t>
      </w:r>
      <w:r w:rsidRPr="004A7EF1">
        <w:t>cherche »</w:t>
      </w:r>
      <w:r>
        <w:t>, n° 20, 1989, 392 pages.</w:t>
      </w:r>
    </w:p>
    <w:p w:rsidR="00B7214C" w:rsidRPr="004A7EF1" w:rsidRDefault="00B7214C" w:rsidP="00B7214C">
      <w:pPr>
        <w:spacing w:before="120" w:after="120"/>
        <w:ind w:left="540" w:hanging="540"/>
        <w:jc w:val="both"/>
      </w:pPr>
      <w:r>
        <w:t>27.</w:t>
      </w:r>
      <w:r>
        <w:tab/>
      </w:r>
      <w:r w:rsidRPr="004A7EF1">
        <w:t xml:space="preserve">Jean-Pierre Charland. </w:t>
      </w:r>
      <w:r w:rsidRPr="004A7EF1">
        <w:rPr>
          <w:i/>
          <w:iCs/>
        </w:rPr>
        <w:t>Les pâtes et papiers au Québec 1880-1980. Technologies, travail et travailleurs.</w:t>
      </w:r>
      <w:r w:rsidRPr="004A7EF1">
        <w:rPr>
          <w:bCs/>
        </w:rPr>
        <w:t xml:space="preserve"> </w:t>
      </w:r>
      <w:r w:rsidRPr="004A7EF1">
        <w:t>Coll. « Documents de r</w:t>
      </w:r>
      <w:r w:rsidRPr="004A7EF1">
        <w:t>e</w:t>
      </w:r>
      <w:r w:rsidRPr="004A7EF1">
        <w:t>cherche »</w:t>
      </w:r>
      <w:r>
        <w:t>,</w:t>
      </w:r>
      <w:r w:rsidRPr="004A7EF1">
        <w:t xml:space="preserve"> n°</w:t>
      </w:r>
      <w:r>
        <w:t> 23,1990, 447 pages.</w:t>
      </w:r>
    </w:p>
    <w:p w:rsidR="00B7214C" w:rsidRPr="004A7EF1" w:rsidRDefault="00B7214C" w:rsidP="00B7214C">
      <w:pPr>
        <w:spacing w:before="120" w:after="120"/>
        <w:ind w:left="540" w:hanging="540"/>
        <w:jc w:val="both"/>
      </w:pPr>
      <w:r>
        <w:t>28.</w:t>
      </w:r>
      <w:r>
        <w:tab/>
      </w:r>
      <w:r w:rsidRPr="004A7EF1">
        <w:t xml:space="preserve">Fernand Dumont et Yves Martin, dir. </w:t>
      </w:r>
      <w:hyperlink r:id="rId113" w:history="1">
        <w:r w:rsidRPr="00F44535">
          <w:rPr>
            <w:rStyle w:val="Lienhypertexte"/>
            <w:i/>
            <w:iCs/>
          </w:rPr>
          <w:t>L'éducation,</w:t>
        </w:r>
        <w:r w:rsidRPr="00F44535">
          <w:rPr>
            <w:rStyle w:val="Lienhypertexte"/>
            <w:bCs/>
          </w:rPr>
          <w:t xml:space="preserve"> </w:t>
        </w:r>
        <w:r w:rsidRPr="00F44535">
          <w:rPr>
            <w:rStyle w:val="Lienhypertexte"/>
          </w:rPr>
          <w:t xml:space="preserve">25 </w:t>
        </w:r>
        <w:r w:rsidRPr="00F44535">
          <w:rPr>
            <w:rStyle w:val="Lienhypertexte"/>
            <w:i/>
            <w:iCs/>
          </w:rPr>
          <w:t>ans plus tard ! Et après ?</w:t>
        </w:r>
      </w:hyperlink>
      <w:r w:rsidRPr="004A7EF1">
        <w:rPr>
          <w:bCs/>
        </w:rPr>
        <w:t xml:space="preserve"> </w:t>
      </w:r>
      <w:r>
        <w:t>1990, 432 pages.</w:t>
      </w:r>
    </w:p>
    <w:p w:rsidR="00B7214C" w:rsidRPr="004A7EF1" w:rsidRDefault="00B7214C" w:rsidP="00B7214C">
      <w:pPr>
        <w:spacing w:before="120" w:after="120"/>
        <w:ind w:left="540" w:hanging="540"/>
        <w:jc w:val="both"/>
      </w:pPr>
      <w:r>
        <w:t>29.</w:t>
      </w:r>
      <w:r>
        <w:tab/>
      </w:r>
      <w:r w:rsidRPr="004A7EF1">
        <w:t xml:space="preserve">Fernand Dumont, dir. </w:t>
      </w:r>
      <w:hyperlink r:id="rId114" w:history="1">
        <w:r w:rsidRPr="00F44535">
          <w:rPr>
            <w:rStyle w:val="Lienhypertexte"/>
            <w:i/>
            <w:iCs/>
          </w:rPr>
          <w:t>La société québécoise après 30 ans de chang</w:t>
        </w:r>
        <w:r w:rsidRPr="00F44535">
          <w:rPr>
            <w:rStyle w:val="Lienhypertexte"/>
            <w:i/>
            <w:iCs/>
          </w:rPr>
          <w:t>e</w:t>
        </w:r>
        <w:r w:rsidRPr="00F44535">
          <w:rPr>
            <w:rStyle w:val="Lienhypertexte"/>
            <w:i/>
            <w:iCs/>
          </w:rPr>
          <w:t>ments</w:t>
        </w:r>
      </w:hyperlink>
      <w:r w:rsidRPr="004A7EF1">
        <w:rPr>
          <w:i/>
          <w:iCs/>
        </w:rPr>
        <w:t>.</w:t>
      </w:r>
      <w:r w:rsidRPr="004A7EF1">
        <w:rPr>
          <w:bCs/>
        </w:rPr>
        <w:t xml:space="preserve"> </w:t>
      </w:r>
      <w:r w:rsidRPr="004A7EF1">
        <w:t>1990, 4</w:t>
      </w:r>
      <w:r w:rsidRPr="00F44535">
        <w:rPr>
          <w:vertAlign w:val="superscript"/>
        </w:rPr>
        <w:t>e</w:t>
      </w:r>
      <w:r>
        <w:t xml:space="preserve"> tirage, 358 pages.</w:t>
      </w:r>
    </w:p>
    <w:p w:rsidR="00B7214C" w:rsidRPr="004A7EF1" w:rsidRDefault="00B7214C" w:rsidP="00B7214C">
      <w:pPr>
        <w:spacing w:before="120" w:after="120"/>
        <w:ind w:left="540" w:hanging="540"/>
        <w:jc w:val="both"/>
      </w:pPr>
      <w:r>
        <w:t>30.</w:t>
      </w:r>
      <w:r>
        <w:tab/>
      </w:r>
      <w:r w:rsidRPr="004A7EF1">
        <w:t xml:space="preserve">Simon Langlois, dir. </w:t>
      </w:r>
      <w:r w:rsidRPr="004A7EF1">
        <w:rPr>
          <w:i/>
          <w:iCs/>
        </w:rPr>
        <w:t>La société québécoise en tendances, 1960-1990.</w:t>
      </w:r>
      <w:r>
        <w:rPr>
          <w:i/>
          <w:iCs/>
        </w:rPr>
        <w:t xml:space="preserve"> </w:t>
      </w:r>
      <w:r w:rsidRPr="004A7EF1">
        <w:t>1990</w:t>
      </w:r>
      <w:r>
        <w:t>, 2e tirage, 667 pages.</w:t>
      </w:r>
    </w:p>
    <w:p w:rsidR="00B7214C" w:rsidRPr="004A7EF1" w:rsidRDefault="00B7214C" w:rsidP="00B7214C">
      <w:pPr>
        <w:spacing w:before="120" w:after="120"/>
        <w:ind w:left="540" w:hanging="540"/>
        <w:jc w:val="both"/>
      </w:pPr>
      <w:r>
        <w:t>31.</w:t>
      </w:r>
      <w:r>
        <w:tab/>
      </w:r>
      <w:r w:rsidRPr="004A7EF1">
        <w:t xml:space="preserve">Jean-Pierre Charland avec la participation de Mario Désautels. </w:t>
      </w:r>
      <w:r w:rsidRPr="004A7EF1">
        <w:rPr>
          <w:i/>
          <w:iCs/>
        </w:rPr>
        <w:t>Système technique et bonheur domestique. Rémunération, conso</w:t>
      </w:r>
      <w:r w:rsidRPr="004A7EF1">
        <w:rPr>
          <w:i/>
          <w:iCs/>
        </w:rPr>
        <w:t>m</w:t>
      </w:r>
      <w:r w:rsidRPr="004A7EF1">
        <w:rPr>
          <w:i/>
          <w:iCs/>
        </w:rPr>
        <w:t>mation et pauvreté au Québec, 1920-1960.</w:t>
      </w:r>
      <w:r w:rsidRPr="004A7EF1">
        <w:rPr>
          <w:bCs/>
        </w:rPr>
        <w:t xml:space="preserve"> </w:t>
      </w:r>
      <w:r w:rsidRPr="004A7EF1">
        <w:t>Coll. « Documents de r</w:t>
      </w:r>
      <w:r w:rsidRPr="004A7EF1">
        <w:t>e</w:t>
      </w:r>
      <w:r w:rsidRPr="004A7EF1">
        <w:t>cherche »</w:t>
      </w:r>
      <w:r>
        <w:t>, n° 28, 1992, 275 pages.</w:t>
      </w:r>
    </w:p>
    <w:p w:rsidR="00B7214C" w:rsidRDefault="00B7214C" w:rsidP="00B7214C">
      <w:pPr>
        <w:spacing w:before="120" w:after="120"/>
        <w:ind w:left="540" w:hanging="540"/>
        <w:jc w:val="both"/>
      </w:pPr>
      <w:r>
        <w:rPr>
          <w:iCs/>
        </w:rPr>
        <w:t>32.</w:t>
      </w:r>
      <w:r>
        <w:rPr>
          <w:iCs/>
        </w:rPr>
        <w:tab/>
      </w:r>
      <w:r w:rsidRPr="00F44535">
        <w:rPr>
          <w:iCs/>
        </w:rPr>
        <w:t xml:space="preserve">Claude Beauchesne. </w:t>
      </w:r>
      <w:r w:rsidRPr="00F44535">
        <w:t>Le professeur de cégep : un maître en hum</w:t>
      </w:r>
      <w:r w:rsidRPr="00F44535">
        <w:t>a</w:t>
      </w:r>
      <w:r w:rsidRPr="00F44535">
        <w:t>nisme ? Enquête sur les pratiques pédagogiques en sciences h</w:t>
      </w:r>
      <w:r w:rsidRPr="00F44535">
        <w:t>u</w:t>
      </w:r>
      <w:r w:rsidRPr="00F44535">
        <w:t>maines.</w:t>
      </w:r>
      <w:r w:rsidRPr="00F44535">
        <w:rPr>
          <w:bCs/>
          <w:iCs/>
        </w:rPr>
        <w:t xml:space="preserve"> </w:t>
      </w:r>
      <w:r w:rsidRPr="00F44535">
        <w:rPr>
          <w:iCs/>
        </w:rPr>
        <w:t>Coll. « Documents de recherche »</w:t>
      </w:r>
      <w:r>
        <w:rPr>
          <w:iCs/>
        </w:rPr>
        <w:t>,</w:t>
      </w:r>
      <w:r w:rsidRPr="00F44535">
        <w:rPr>
          <w:iCs/>
        </w:rPr>
        <w:t xml:space="preserve"> n</w:t>
      </w:r>
      <w:r>
        <w:rPr>
          <w:iCs/>
        </w:rPr>
        <w:t>o </w:t>
      </w:r>
      <w:r w:rsidRPr="00F44535">
        <w:rPr>
          <w:iCs/>
        </w:rPr>
        <w:t>29,</w:t>
      </w:r>
      <w:r>
        <w:rPr>
          <w:iCs/>
        </w:rPr>
        <w:t xml:space="preserve"> </w:t>
      </w:r>
      <w:r w:rsidRPr="00F44535">
        <w:rPr>
          <w:iCs/>
        </w:rPr>
        <w:t>1991, 125 p</w:t>
      </w:r>
      <w:r w:rsidRPr="00F44535">
        <w:rPr>
          <w:iCs/>
        </w:rPr>
        <w:t>a</w:t>
      </w:r>
      <w:r w:rsidRPr="00F44535">
        <w:rPr>
          <w:iCs/>
        </w:rPr>
        <w:t>ges. (18 $)</w:t>
      </w:r>
    </w:p>
    <w:p w:rsidR="00B7214C" w:rsidRPr="004A7EF1" w:rsidRDefault="00B7214C" w:rsidP="00B7214C">
      <w:pPr>
        <w:spacing w:before="120" w:after="120"/>
        <w:ind w:left="540" w:hanging="540"/>
        <w:jc w:val="both"/>
      </w:pPr>
      <w:r>
        <w:t>[</w:t>
      </w:r>
      <w:r w:rsidRPr="004A7EF1">
        <w:t>569</w:t>
      </w:r>
      <w:r>
        <w:t>]</w:t>
      </w:r>
    </w:p>
    <w:p w:rsidR="00B7214C" w:rsidRPr="004A7EF1" w:rsidRDefault="00B7214C" w:rsidP="00B7214C">
      <w:pPr>
        <w:spacing w:before="120" w:after="120"/>
        <w:ind w:left="540" w:hanging="540"/>
        <w:jc w:val="both"/>
      </w:pPr>
      <w:r>
        <w:t>33.</w:t>
      </w:r>
      <w:r>
        <w:tab/>
      </w:r>
      <w:r w:rsidRPr="004A7EF1">
        <w:t xml:space="preserve">Claude Lessard, Madeleine Perron et Pierre W. Bélanger, dir. </w:t>
      </w:r>
      <w:r w:rsidRPr="004A7EF1">
        <w:rPr>
          <w:i/>
          <w:iCs/>
        </w:rPr>
        <w:t>La pr</w:t>
      </w:r>
      <w:r w:rsidRPr="004A7EF1">
        <w:rPr>
          <w:i/>
          <w:iCs/>
        </w:rPr>
        <w:t>o</w:t>
      </w:r>
      <w:r w:rsidRPr="004A7EF1">
        <w:rPr>
          <w:i/>
          <w:iCs/>
        </w:rPr>
        <w:t>fession enseignante au Québec. Enjeux et défis des années 1990.</w:t>
      </w:r>
      <w:r w:rsidRPr="004A7EF1">
        <w:rPr>
          <w:bCs/>
        </w:rPr>
        <w:t xml:space="preserve"> </w:t>
      </w:r>
      <w:r w:rsidRPr="004A7EF1">
        <w:t>Coll. « Documents de recherche »</w:t>
      </w:r>
      <w:r>
        <w:t>,</w:t>
      </w:r>
      <w:r w:rsidRPr="004A7EF1">
        <w:t xml:space="preserve"> n°</w:t>
      </w:r>
      <w:r>
        <w:t> </w:t>
      </w:r>
      <w:r w:rsidRPr="004A7EF1">
        <w:t>30,</w:t>
      </w:r>
      <w:r>
        <w:t xml:space="preserve"> </w:t>
      </w:r>
      <w:r w:rsidRPr="004A7EF1">
        <w:t>1991, 241 pa</w:t>
      </w:r>
      <w:r>
        <w:t>ges.</w:t>
      </w:r>
    </w:p>
    <w:p w:rsidR="00B7214C" w:rsidRPr="00F91775" w:rsidRDefault="00B7214C" w:rsidP="00B7214C">
      <w:pPr>
        <w:spacing w:before="120" w:after="120"/>
        <w:ind w:left="540" w:hanging="540"/>
        <w:jc w:val="both"/>
      </w:pPr>
      <w:r>
        <w:t>34.</w:t>
      </w:r>
      <w:r>
        <w:tab/>
      </w:r>
      <w:r w:rsidRPr="00F91775">
        <w:rPr>
          <w:iCs/>
        </w:rPr>
        <w:t xml:space="preserve">Thérèse Hamel. </w:t>
      </w:r>
      <w:r w:rsidRPr="00F91775">
        <w:t>Le déracinement des écoles normales. Le tran</w:t>
      </w:r>
      <w:r w:rsidRPr="00F91775">
        <w:t>s</w:t>
      </w:r>
      <w:r w:rsidRPr="00F91775">
        <w:t xml:space="preserve">fert de la formation des maîtres </w:t>
      </w:r>
      <w:r w:rsidRPr="00F91775">
        <w:rPr>
          <w:bCs/>
        </w:rPr>
        <w:t xml:space="preserve">à </w:t>
      </w:r>
      <w:r w:rsidRPr="00F91775">
        <w:t>l'université.</w:t>
      </w:r>
      <w:r w:rsidRPr="00F91775">
        <w:rPr>
          <w:bCs/>
          <w:iCs/>
        </w:rPr>
        <w:t xml:space="preserve"> </w:t>
      </w:r>
      <w:r w:rsidRPr="00F91775">
        <w:rPr>
          <w:iCs/>
        </w:rPr>
        <w:t>Coll. « Documents de reche</w:t>
      </w:r>
      <w:r>
        <w:rPr>
          <w:iCs/>
        </w:rPr>
        <w:t>r</w:t>
      </w:r>
      <w:r>
        <w:rPr>
          <w:iCs/>
        </w:rPr>
        <w:t>che », n° 31, 1991, 231 pages.</w:t>
      </w:r>
    </w:p>
    <w:p w:rsidR="00B7214C" w:rsidRPr="00C976D2" w:rsidRDefault="00B7214C" w:rsidP="00B7214C">
      <w:pPr>
        <w:spacing w:before="120" w:after="120"/>
        <w:ind w:left="540" w:hanging="540"/>
        <w:jc w:val="both"/>
      </w:pPr>
      <w:r>
        <w:t>35.</w:t>
      </w:r>
      <w:r>
        <w:tab/>
      </w:r>
      <w:r w:rsidRPr="00C976D2">
        <w:rPr>
          <w:bCs/>
          <w:iCs/>
        </w:rPr>
        <w:t xml:space="preserve">Fernand Harvey, dir. </w:t>
      </w:r>
      <w:r w:rsidRPr="00C976D2">
        <w:rPr>
          <w:i/>
        </w:rPr>
        <w:t>Médias francophones hors Québec. Anal</w:t>
      </w:r>
      <w:r w:rsidRPr="00C976D2">
        <w:rPr>
          <w:i/>
        </w:rPr>
        <w:t>y</w:t>
      </w:r>
      <w:r w:rsidRPr="00C976D2">
        <w:rPr>
          <w:i/>
        </w:rPr>
        <w:t>ses, essais et témoignages</w:t>
      </w:r>
      <w:r w:rsidRPr="00C976D2">
        <w:t xml:space="preserve">. </w:t>
      </w:r>
      <w:r>
        <w:rPr>
          <w:bCs/>
          <w:iCs/>
        </w:rPr>
        <w:t>1992, 356 pages.</w:t>
      </w:r>
    </w:p>
    <w:p w:rsidR="00B7214C" w:rsidRPr="004A7EF1" w:rsidRDefault="00B7214C" w:rsidP="00B7214C">
      <w:pPr>
        <w:spacing w:before="120" w:after="120"/>
        <w:ind w:left="540" w:hanging="540"/>
        <w:jc w:val="both"/>
      </w:pPr>
      <w:r>
        <w:t>36.</w:t>
      </w:r>
      <w:r>
        <w:tab/>
      </w:r>
      <w:r w:rsidRPr="004A7EF1">
        <w:t xml:space="preserve">Pierre Lanthier et Guildo Rousseau, dir. </w:t>
      </w:r>
      <w:r w:rsidRPr="004A7EF1">
        <w:rPr>
          <w:i/>
          <w:iCs/>
        </w:rPr>
        <w:t>La culture inventée. Les str</w:t>
      </w:r>
      <w:r w:rsidRPr="004A7EF1">
        <w:rPr>
          <w:i/>
          <w:iCs/>
        </w:rPr>
        <w:t>a</w:t>
      </w:r>
      <w:r w:rsidRPr="004A7EF1">
        <w:rPr>
          <w:i/>
          <w:iCs/>
        </w:rPr>
        <w:t>tégies culturelles aux 19</w:t>
      </w:r>
      <w:r w:rsidRPr="00C976D2">
        <w:rPr>
          <w:i/>
          <w:iCs/>
          <w:vertAlign w:val="superscript"/>
        </w:rPr>
        <w:t>e</w:t>
      </w:r>
      <w:r w:rsidRPr="004A7EF1">
        <w:rPr>
          <w:i/>
          <w:iCs/>
        </w:rPr>
        <w:t xml:space="preserve"> et</w:t>
      </w:r>
      <w:r w:rsidRPr="004A7EF1">
        <w:rPr>
          <w:bCs/>
        </w:rPr>
        <w:t xml:space="preserve"> </w:t>
      </w:r>
      <w:r w:rsidRPr="00C976D2">
        <w:rPr>
          <w:i/>
        </w:rPr>
        <w:t>20</w:t>
      </w:r>
      <w:r w:rsidRPr="00C976D2">
        <w:rPr>
          <w:i/>
          <w:vertAlign w:val="superscript"/>
        </w:rPr>
        <w:t>e</w:t>
      </w:r>
      <w:r w:rsidRPr="004A7EF1">
        <w:t xml:space="preserve"> </w:t>
      </w:r>
      <w:r w:rsidRPr="004A7EF1">
        <w:rPr>
          <w:i/>
          <w:iCs/>
        </w:rPr>
        <w:t>siècles.</w:t>
      </w:r>
      <w:r w:rsidRPr="004A7EF1">
        <w:rPr>
          <w:bCs/>
        </w:rPr>
        <w:t xml:space="preserve"> </w:t>
      </w:r>
      <w:r w:rsidRPr="004A7EF1">
        <w:t>1992,</w:t>
      </w:r>
      <w:r>
        <w:t xml:space="preserve"> 369 pages.</w:t>
      </w:r>
    </w:p>
    <w:p w:rsidR="00B7214C" w:rsidRPr="004A7EF1" w:rsidRDefault="00B7214C" w:rsidP="00B7214C">
      <w:pPr>
        <w:spacing w:before="120" w:after="120"/>
        <w:ind w:left="540" w:hanging="540"/>
        <w:jc w:val="both"/>
      </w:pPr>
      <w:r>
        <w:t>37.</w:t>
      </w:r>
      <w:r>
        <w:tab/>
      </w:r>
      <w:r w:rsidRPr="004A7EF1">
        <w:t xml:space="preserve">Robert Thérien et Isabelle D'Amours. </w:t>
      </w:r>
      <w:r w:rsidRPr="004A7EF1">
        <w:rPr>
          <w:i/>
          <w:iCs/>
        </w:rPr>
        <w:t>Dictionnaire de la musique pop</w:t>
      </w:r>
      <w:r w:rsidRPr="004A7EF1">
        <w:rPr>
          <w:i/>
          <w:iCs/>
        </w:rPr>
        <w:t>u</w:t>
      </w:r>
      <w:r w:rsidRPr="004A7EF1">
        <w:rPr>
          <w:i/>
          <w:iCs/>
        </w:rPr>
        <w:t>laire au Québec, 1955-1992.</w:t>
      </w:r>
      <w:r>
        <w:rPr>
          <w:i/>
          <w:iCs/>
        </w:rPr>
        <w:t xml:space="preserve"> </w:t>
      </w:r>
      <w:r w:rsidRPr="004A7EF1">
        <w:t>1</w:t>
      </w:r>
      <w:r>
        <w:t>992, XXVIII-580 pages.</w:t>
      </w:r>
    </w:p>
    <w:p w:rsidR="00B7214C" w:rsidRPr="00C976D2" w:rsidRDefault="00B7214C" w:rsidP="00B7214C">
      <w:pPr>
        <w:spacing w:before="120" w:after="120"/>
        <w:ind w:left="540" w:hanging="540"/>
        <w:jc w:val="both"/>
      </w:pPr>
      <w:r>
        <w:t>38.</w:t>
      </w:r>
      <w:r>
        <w:tab/>
      </w:r>
      <w:r w:rsidRPr="00C976D2">
        <w:rPr>
          <w:iCs/>
        </w:rPr>
        <w:t xml:space="preserve">Gaston Cholette. </w:t>
      </w:r>
      <w:r w:rsidRPr="00C976D2">
        <w:rPr>
          <w:i/>
        </w:rPr>
        <w:t>L’Office de la langue française, de 1961 à 1974. R</w:t>
      </w:r>
      <w:r w:rsidRPr="00C976D2">
        <w:rPr>
          <w:i/>
        </w:rPr>
        <w:t>e</w:t>
      </w:r>
      <w:r w:rsidRPr="00C976D2">
        <w:rPr>
          <w:i/>
        </w:rPr>
        <w:t>gard et témoignage</w:t>
      </w:r>
      <w:r w:rsidRPr="00C976D2">
        <w:t>.</w:t>
      </w:r>
      <w:r w:rsidRPr="00C976D2">
        <w:rPr>
          <w:bCs/>
          <w:iCs/>
        </w:rPr>
        <w:t xml:space="preserve"> </w:t>
      </w:r>
      <w:r w:rsidRPr="00C976D2">
        <w:rPr>
          <w:iCs/>
        </w:rPr>
        <w:t xml:space="preserve">1993, </w:t>
      </w:r>
      <w:r>
        <w:rPr>
          <w:iCs/>
        </w:rPr>
        <w:t>488 pages + 2 hors-texte.</w:t>
      </w:r>
    </w:p>
    <w:p w:rsidR="00B7214C" w:rsidRPr="004A7EF1" w:rsidRDefault="00B7214C" w:rsidP="00B7214C">
      <w:pPr>
        <w:spacing w:before="120" w:after="120"/>
        <w:ind w:left="540" w:hanging="540"/>
        <w:jc w:val="both"/>
      </w:pPr>
      <w:r>
        <w:t>39.</w:t>
      </w:r>
      <w:r>
        <w:tab/>
        <w:t>ACF</w:t>
      </w:r>
      <w:r w:rsidRPr="004A7EF1">
        <w:t xml:space="preserve">AS, Actes du colloque. </w:t>
      </w:r>
      <w:r w:rsidRPr="004A7EF1">
        <w:rPr>
          <w:i/>
          <w:iCs/>
        </w:rPr>
        <w:t>Recherche, arts et culture.</w:t>
      </w:r>
      <w:r w:rsidRPr="004A7EF1">
        <w:rPr>
          <w:bCs/>
        </w:rPr>
        <w:t xml:space="preserve"> </w:t>
      </w:r>
      <w:r w:rsidRPr="004A7EF1">
        <w:t>60</w:t>
      </w:r>
      <w:r w:rsidRPr="00C976D2">
        <w:rPr>
          <w:vertAlign w:val="superscript"/>
        </w:rPr>
        <w:t>e</w:t>
      </w:r>
      <w:r w:rsidRPr="004A7EF1">
        <w:t xml:space="preserve"> congrès de l'ACFAS, Université de Montréal, 12 et 13 mai 1992. IQRC et Mini</w:t>
      </w:r>
      <w:r w:rsidRPr="004A7EF1">
        <w:t>s</w:t>
      </w:r>
      <w:r w:rsidRPr="004A7EF1">
        <w:t xml:space="preserve">tère de la </w:t>
      </w:r>
      <w:r>
        <w:t>culture, 1993, 154 pages.</w:t>
      </w:r>
    </w:p>
    <w:p w:rsidR="00B7214C" w:rsidRPr="00F91775" w:rsidRDefault="00B7214C" w:rsidP="00B7214C">
      <w:pPr>
        <w:spacing w:before="120" w:after="120"/>
        <w:ind w:left="540" w:hanging="540"/>
        <w:jc w:val="both"/>
      </w:pPr>
      <w:r>
        <w:rPr>
          <w:iCs/>
        </w:rPr>
        <w:t>40.</w:t>
      </w:r>
      <w:r>
        <w:rPr>
          <w:iCs/>
        </w:rPr>
        <w:tab/>
      </w:r>
      <w:r w:rsidRPr="00F91775">
        <w:rPr>
          <w:iCs/>
        </w:rPr>
        <w:t xml:space="preserve">Dave Atkinson. </w:t>
      </w:r>
      <w:r w:rsidRPr="00C976D2">
        <w:rPr>
          <w:i/>
        </w:rPr>
        <w:t>La crise des télévisions publiques européennes ou la propagation du « syndrome canadien ».</w:t>
      </w:r>
      <w:r w:rsidRPr="00F91775">
        <w:rPr>
          <w:bCs/>
          <w:iCs/>
        </w:rPr>
        <w:t xml:space="preserve"> </w:t>
      </w:r>
      <w:r w:rsidRPr="00F91775">
        <w:rPr>
          <w:iCs/>
        </w:rPr>
        <w:t>Coll. « Documents de reche</w:t>
      </w:r>
      <w:r w:rsidRPr="00F91775">
        <w:rPr>
          <w:iCs/>
        </w:rPr>
        <w:t>r</w:t>
      </w:r>
      <w:r w:rsidRPr="00F91775">
        <w:rPr>
          <w:iCs/>
        </w:rPr>
        <w:t>che »,</w:t>
      </w:r>
      <w:r>
        <w:rPr>
          <w:iCs/>
        </w:rPr>
        <w:t xml:space="preserve"> n° 34, 1993, 197 pages.</w:t>
      </w:r>
    </w:p>
    <w:p w:rsidR="00B7214C" w:rsidRPr="004A7EF1" w:rsidRDefault="00B7214C" w:rsidP="00B7214C">
      <w:pPr>
        <w:spacing w:before="120" w:after="120"/>
        <w:ind w:left="540" w:hanging="540"/>
        <w:jc w:val="both"/>
      </w:pPr>
      <w:r>
        <w:rPr>
          <w:iCs/>
        </w:rPr>
        <w:t>41.</w:t>
      </w:r>
      <w:r>
        <w:rPr>
          <w:iCs/>
        </w:rPr>
        <w:tab/>
      </w:r>
      <w:r w:rsidRPr="004A7EF1">
        <w:t xml:space="preserve">Manon Brunet et Serge Gagnon. </w:t>
      </w:r>
      <w:r w:rsidRPr="004A7EF1">
        <w:rPr>
          <w:i/>
          <w:iCs/>
        </w:rPr>
        <w:t>Discours et pratiques de l'int</w:t>
      </w:r>
      <w:r w:rsidRPr="004A7EF1">
        <w:rPr>
          <w:i/>
          <w:iCs/>
        </w:rPr>
        <w:t>i</w:t>
      </w:r>
      <w:r w:rsidRPr="004A7EF1">
        <w:rPr>
          <w:i/>
          <w:iCs/>
        </w:rPr>
        <w:t>me.</w:t>
      </w:r>
      <w:r w:rsidRPr="004A7EF1">
        <w:rPr>
          <w:bCs/>
        </w:rPr>
        <w:t xml:space="preserve"> </w:t>
      </w:r>
      <w:r>
        <w:t>1993, 267 pages.</w:t>
      </w:r>
    </w:p>
    <w:p w:rsidR="00B7214C" w:rsidRPr="004A7EF1" w:rsidRDefault="00B7214C" w:rsidP="00B7214C">
      <w:pPr>
        <w:spacing w:before="120" w:after="120"/>
        <w:ind w:left="540" w:hanging="540"/>
        <w:jc w:val="both"/>
      </w:pPr>
      <w:r>
        <w:rPr>
          <w:iCs/>
        </w:rPr>
        <w:t>42.</w:t>
      </w:r>
      <w:r>
        <w:rPr>
          <w:iCs/>
        </w:rPr>
        <w:tab/>
      </w:r>
      <w:r w:rsidRPr="004A7EF1">
        <w:t xml:space="preserve">Fernand Dumont, Simon Langlois et Yves Martin. </w:t>
      </w:r>
      <w:r w:rsidRPr="004A7EF1">
        <w:rPr>
          <w:i/>
          <w:iCs/>
        </w:rPr>
        <w:t>Traité des probl</w:t>
      </w:r>
      <w:r w:rsidRPr="004A7EF1">
        <w:rPr>
          <w:i/>
          <w:iCs/>
        </w:rPr>
        <w:t>è</w:t>
      </w:r>
      <w:r w:rsidRPr="004A7EF1">
        <w:rPr>
          <w:i/>
          <w:iCs/>
        </w:rPr>
        <w:t>mes sociaux.</w:t>
      </w:r>
      <w:r w:rsidRPr="004A7EF1">
        <w:rPr>
          <w:bCs/>
        </w:rPr>
        <w:t xml:space="preserve"> </w:t>
      </w:r>
      <w:r>
        <w:t>1994, XVI-1264 pages.</w:t>
      </w:r>
    </w:p>
    <w:p w:rsidR="00B7214C" w:rsidRPr="004A7EF1" w:rsidRDefault="00B7214C" w:rsidP="00B7214C">
      <w:pPr>
        <w:spacing w:before="120" w:after="120"/>
        <w:ind w:left="540" w:hanging="540"/>
        <w:jc w:val="both"/>
      </w:pPr>
      <w:r>
        <w:rPr>
          <w:iCs/>
        </w:rPr>
        <w:t>43.</w:t>
      </w:r>
      <w:r>
        <w:rPr>
          <w:iCs/>
        </w:rPr>
        <w:tab/>
      </w:r>
      <w:r w:rsidRPr="004A7EF1">
        <w:t>Marc</w:t>
      </w:r>
      <w:r>
        <w:t xml:space="preserve"> </w:t>
      </w:r>
      <w:r w:rsidRPr="004A7EF1">
        <w:t xml:space="preserve">Raboy, Yvan Bernier, Florian Sauvageau et Dave Atkinson. </w:t>
      </w:r>
      <w:r w:rsidRPr="004A7EF1">
        <w:rPr>
          <w:i/>
          <w:iCs/>
        </w:rPr>
        <w:t>Développement culturel et mondialisation de l’économie. Un e</w:t>
      </w:r>
      <w:r w:rsidRPr="004A7EF1">
        <w:rPr>
          <w:i/>
          <w:iCs/>
        </w:rPr>
        <w:t>n</w:t>
      </w:r>
      <w:r w:rsidRPr="004A7EF1">
        <w:rPr>
          <w:i/>
          <w:iCs/>
        </w:rPr>
        <w:t>jeu d</w:t>
      </w:r>
      <w:r w:rsidRPr="004A7EF1">
        <w:rPr>
          <w:i/>
          <w:iCs/>
        </w:rPr>
        <w:t>é</w:t>
      </w:r>
      <w:r w:rsidRPr="004A7EF1">
        <w:rPr>
          <w:i/>
          <w:iCs/>
        </w:rPr>
        <w:t>mocratique.</w:t>
      </w:r>
      <w:r w:rsidRPr="004A7EF1">
        <w:rPr>
          <w:bCs/>
        </w:rPr>
        <w:t xml:space="preserve"> </w:t>
      </w:r>
      <w:r>
        <w:t>1994, 144 pages.</w:t>
      </w:r>
    </w:p>
    <w:p w:rsidR="00B7214C" w:rsidRPr="00F91775" w:rsidRDefault="00B7214C" w:rsidP="00B7214C">
      <w:pPr>
        <w:spacing w:before="120" w:after="120"/>
        <w:ind w:left="540" w:hanging="540"/>
        <w:jc w:val="both"/>
        <w:rPr>
          <w:i/>
        </w:rPr>
      </w:pPr>
      <w:r>
        <w:rPr>
          <w:iCs/>
        </w:rPr>
        <w:t>44.</w:t>
      </w:r>
      <w:r>
        <w:rPr>
          <w:iCs/>
        </w:rPr>
        <w:tab/>
      </w:r>
      <w:r w:rsidRPr="00F91775">
        <w:rPr>
          <w:i/>
        </w:rPr>
        <w:t>La circulation des créateurs et des produits culturels dans la franc</w:t>
      </w:r>
      <w:r w:rsidRPr="00F91775">
        <w:rPr>
          <w:i/>
        </w:rPr>
        <w:t>o</w:t>
      </w:r>
      <w:r w:rsidRPr="00F91775">
        <w:rPr>
          <w:i/>
        </w:rPr>
        <w:t>phonie. Dimensions juridiques.</w:t>
      </w:r>
      <w:r w:rsidRPr="00F91775">
        <w:rPr>
          <w:bCs/>
          <w:i/>
          <w:iCs/>
        </w:rPr>
        <w:t xml:space="preserve"> </w:t>
      </w:r>
      <w:r>
        <w:rPr>
          <w:iCs/>
        </w:rPr>
        <w:t>1994,269 pages.</w:t>
      </w:r>
    </w:p>
    <w:p w:rsidR="00B7214C" w:rsidRDefault="00B7214C" w:rsidP="00B7214C">
      <w:pPr>
        <w:spacing w:before="120" w:after="120"/>
        <w:ind w:left="540" w:hanging="540"/>
        <w:jc w:val="both"/>
      </w:pPr>
    </w:p>
    <w:p w:rsidR="00B7214C" w:rsidRPr="004A7EF1" w:rsidRDefault="00B7214C" w:rsidP="00B7214C">
      <w:pPr>
        <w:pStyle w:val="a"/>
      </w:pPr>
      <w:r>
        <w:t xml:space="preserve">V. </w:t>
      </w:r>
      <w:r w:rsidRPr="004A7EF1">
        <w:t>Les régions du Québec</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Jean-Claude Marsan. </w:t>
      </w:r>
      <w:r w:rsidRPr="004A7EF1">
        <w:rPr>
          <w:i/>
          <w:iCs/>
        </w:rPr>
        <w:t>Montréal, une esquisse du futur.</w:t>
      </w:r>
      <w:r w:rsidRPr="004A7EF1">
        <w:rPr>
          <w:bCs/>
        </w:rPr>
        <w:t xml:space="preserve"> </w:t>
      </w:r>
      <w:r>
        <w:t>1983, 325 p</w:t>
      </w:r>
      <w:r>
        <w:t>a</w:t>
      </w:r>
      <w:r>
        <w:t>ges.</w:t>
      </w:r>
    </w:p>
    <w:p w:rsidR="00B7214C" w:rsidRPr="004A7EF1" w:rsidRDefault="00B7214C" w:rsidP="00B7214C">
      <w:pPr>
        <w:spacing w:before="120" w:after="120"/>
        <w:ind w:left="540" w:hanging="540"/>
        <w:jc w:val="both"/>
      </w:pPr>
      <w:r>
        <w:t>2.</w:t>
      </w:r>
      <w:r>
        <w:tab/>
      </w:r>
      <w:r w:rsidRPr="004A7EF1">
        <w:t xml:space="preserve">André Dionne. </w:t>
      </w:r>
      <w:r w:rsidRPr="004A7EF1">
        <w:rPr>
          <w:i/>
          <w:iCs/>
        </w:rPr>
        <w:t>Bibliographie de l'île Jésus.</w:t>
      </w:r>
      <w:r w:rsidRPr="004A7EF1">
        <w:rPr>
          <w:bCs/>
        </w:rPr>
        <w:t xml:space="preserve"> </w:t>
      </w:r>
      <w:r w:rsidRPr="004A7EF1">
        <w:t>Coll. « Documents de r</w:t>
      </w:r>
      <w:r w:rsidRPr="004A7EF1">
        <w:t>e</w:t>
      </w:r>
      <w:r w:rsidRPr="004A7EF1">
        <w:t>cherche »</w:t>
      </w:r>
      <w:r>
        <w:t>,</w:t>
      </w:r>
      <w:r w:rsidRPr="004A7EF1">
        <w:t xml:space="preserve"> n°</w:t>
      </w:r>
      <w:r>
        <w:t> </w:t>
      </w:r>
      <w:r w:rsidRPr="004A7EF1">
        <w:t>2,</w:t>
      </w:r>
      <w:r>
        <w:t xml:space="preserve"> </w:t>
      </w:r>
      <w:r w:rsidRPr="004A7EF1">
        <w:t>1</w:t>
      </w:r>
      <w:r>
        <w:t>983, 324 pages. ÉPUISÉ</w:t>
      </w:r>
    </w:p>
    <w:p w:rsidR="00B7214C" w:rsidRPr="004A7EF1" w:rsidRDefault="00B7214C" w:rsidP="00B7214C">
      <w:pPr>
        <w:spacing w:before="120" w:after="120"/>
        <w:ind w:left="540" w:hanging="540"/>
        <w:jc w:val="both"/>
      </w:pPr>
      <w:r>
        <w:t>3.</w:t>
      </w:r>
      <w:r>
        <w:tab/>
      </w:r>
      <w:r w:rsidRPr="004A7EF1">
        <w:t xml:space="preserve">Serge Gauthier et collaborateurs. </w:t>
      </w:r>
      <w:r w:rsidRPr="004A7EF1">
        <w:rPr>
          <w:i/>
          <w:iCs/>
        </w:rPr>
        <w:t>Bibliographie de Charlevoix.</w:t>
      </w:r>
      <w:r w:rsidRPr="004A7EF1">
        <w:rPr>
          <w:bCs/>
        </w:rPr>
        <w:t xml:space="preserve"> </w:t>
      </w:r>
      <w:r w:rsidRPr="004A7EF1">
        <w:t>Coll. « Documents de recherche »</w:t>
      </w:r>
      <w:r>
        <w:t>,</w:t>
      </w:r>
      <w:r w:rsidRPr="004A7EF1">
        <w:t xml:space="preserve"> n°</w:t>
      </w:r>
      <w:r>
        <w:t> </w:t>
      </w:r>
      <w:r w:rsidRPr="004A7EF1">
        <w:t>3,</w:t>
      </w:r>
      <w:r>
        <w:t xml:space="preserve"> 1984, 320 pages. ÉPU</w:t>
      </w:r>
      <w:r>
        <w:t>I</w:t>
      </w:r>
      <w:r>
        <w:t>SÉ</w:t>
      </w:r>
    </w:p>
    <w:p w:rsidR="00B7214C" w:rsidRPr="004A7EF1" w:rsidRDefault="00B7214C" w:rsidP="00B7214C">
      <w:pPr>
        <w:spacing w:before="120" w:after="120"/>
        <w:ind w:left="540" w:hanging="540"/>
        <w:jc w:val="both"/>
      </w:pPr>
      <w:r>
        <w:t>4.</w:t>
      </w:r>
      <w:r>
        <w:tab/>
      </w:r>
      <w:r w:rsidRPr="004A7EF1">
        <w:t xml:space="preserve">Serge Gauthier et collaborateurs. </w:t>
      </w:r>
      <w:r w:rsidRPr="004A7EF1">
        <w:rPr>
          <w:i/>
          <w:iCs/>
        </w:rPr>
        <w:t>Guide des archives de Charl</w:t>
      </w:r>
      <w:r w:rsidRPr="004A7EF1">
        <w:rPr>
          <w:i/>
          <w:iCs/>
        </w:rPr>
        <w:t>e</w:t>
      </w:r>
      <w:r w:rsidRPr="004A7EF1">
        <w:rPr>
          <w:i/>
          <w:iCs/>
        </w:rPr>
        <w:t>voix.</w:t>
      </w:r>
      <w:r w:rsidRPr="004A7EF1">
        <w:rPr>
          <w:bCs/>
        </w:rPr>
        <w:t xml:space="preserve"> </w:t>
      </w:r>
      <w:r>
        <w:t>1985, VHI-97 pages ÉPUISÉ</w:t>
      </w:r>
    </w:p>
    <w:p w:rsidR="00B7214C" w:rsidRPr="004A7EF1" w:rsidRDefault="00B7214C" w:rsidP="00B7214C">
      <w:pPr>
        <w:spacing w:before="120" w:after="120"/>
        <w:ind w:left="540" w:hanging="540"/>
        <w:jc w:val="both"/>
      </w:pPr>
      <w:r>
        <w:t>5.</w:t>
      </w:r>
      <w:r>
        <w:tab/>
      </w:r>
      <w:r w:rsidRPr="004A7EF1">
        <w:t xml:space="preserve">Serge Laurin et Richard Lagrange. </w:t>
      </w:r>
      <w:r w:rsidRPr="004A7EF1">
        <w:rPr>
          <w:i/>
          <w:iCs/>
        </w:rPr>
        <w:t>Bibliographie des Laurent</w:t>
      </w:r>
      <w:r w:rsidRPr="004A7EF1">
        <w:rPr>
          <w:i/>
          <w:iCs/>
        </w:rPr>
        <w:t>i</w:t>
      </w:r>
      <w:r w:rsidRPr="004A7EF1">
        <w:rPr>
          <w:i/>
          <w:iCs/>
        </w:rPr>
        <w:t>des.</w:t>
      </w:r>
      <w:r w:rsidRPr="004A7EF1">
        <w:rPr>
          <w:bCs/>
        </w:rPr>
        <w:t xml:space="preserve"> </w:t>
      </w:r>
      <w:r w:rsidRPr="004A7EF1">
        <w:t>Coll. « Documents de recherch</w:t>
      </w:r>
      <w:r>
        <w:t>e » n° 7, 1985, 370 pages.</w:t>
      </w:r>
    </w:p>
    <w:p w:rsidR="00B7214C" w:rsidRPr="004A7EF1" w:rsidRDefault="00B7214C" w:rsidP="00B7214C">
      <w:pPr>
        <w:spacing w:before="120" w:after="120"/>
        <w:ind w:left="540" w:hanging="540"/>
        <w:jc w:val="both"/>
      </w:pPr>
      <w:r>
        <w:t>6.</w:t>
      </w:r>
      <w:r>
        <w:tab/>
      </w:r>
      <w:r w:rsidRPr="004A7EF1">
        <w:t xml:space="preserve">Yves Hébert. </w:t>
      </w:r>
      <w:r w:rsidRPr="004A7EF1">
        <w:rPr>
          <w:i/>
          <w:iCs/>
        </w:rPr>
        <w:t>Bibliographie de la Côte-du-Sud.</w:t>
      </w:r>
      <w:r w:rsidRPr="004A7EF1">
        <w:rPr>
          <w:bCs/>
        </w:rPr>
        <w:t xml:space="preserve"> </w:t>
      </w:r>
      <w:r w:rsidRPr="004A7EF1">
        <w:t>Coll. « Documents de recherche »</w:t>
      </w:r>
      <w:r>
        <w:t>,</w:t>
      </w:r>
      <w:r w:rsidRPr="004A7EF1">
        <w:t xml:space="preserve"> n°</w:t>
      </w:r>
      <w:r>
        <w:t> </w:t>
      </w:r>
      <w:r w:rsidRPr="004A7EF1">
        <w:t>8,</w:t>
      </w:r>
      <w:r>
        <w:t xml:space="preserve"> </w:t>
      </w:r>
      <w:r w:rsidRPr="004A7EF1">
        <w:t>1986,</w:t>
      </w:r>
      <w:r>
        <w:t xml:space="preserve"> 339 pages.</w:t>
      </w:r>
    </w:p>
    <w:p w:rsidR="00B7214C" w:rsidRPr="00C976D2" w:rsidRDefault="00B7214C" w:rsidP="00B7214C">
      <w:pPr>
        <w:spacing w:before="120" w:after="120"/>
        <w:ind w:left="540" w:hanging="540"/>
        <w:jc w:val="both"/>
      </w:pPr>
      <w:r>
        <w:t>7.</w:t>
      </w:r>
      <w:r>
        <w:tab/>
      </w:r>
      <w:r w:rsidRPr="00C976D2">
        <w:rPr>
          <w:iCs/>
        </w:rPr>
        <w:t xml:space="preserve">Guy Gaudreau. </w:t>
      </w:r>
      <w:r w:rsidRPr="00C976D2">
        <w:rPr>
          <w:i/>
        </w:rPr>
        <w:t>L'exploitation des forêts publiques au Québec</w:t>
      </w:r>
      <w:r w:rsidRPr="00C976D2">
        <w:t>, 1842-1905.</w:t>
      </w:r>
      <w:r w:rsidRPr="00C976D2">
        <w:rPr>
          <w:bCs/>
          <w:iCs/>
        </w:rPr>
        <w:t xml:space="preserve"> </w:t>
      </w:r>
      <w:r w:rsidRPr="00C976D2">
        <w:rPr>
          <w:iCs/>
        </w:rPr>
        <w:t>19</w:t>
      </w:r>
      <w:r>
        <w:rPr>
          <w:iCs/>
        </w:rPr>
        <w:t>86, 2e tirage, 126 pages.</w:t>
      </w:r>
    </w:p>
    <w:p w:rsidR="00B7214C" w:rsidRPr="004A7EF1" w:rsidRDefault="00B7214C" w:rsidP="00B7214C">
      <w:pPr>
        <w:spacing w:before="120" w:after="120"/>
        <w:ind w:left="540" w:hanging="540"/>
        <w:jc w:val="both"/>
      </w:pPr>
      <w:r>
        <w:t>8.</w:t>
      </w:r>
      <w:r>
        <w:tab/>
      </w:r>
      <w:r w:rsidRPr="004A7EF1">
        <w:t xml:space="preserve">Yves Beauregard. </w:t>
      </w:r>
      <w:r>
        <w:rPr>
          <w:i/>
          <w:iCs/>
        </w:rPr>
        <w:t>Biblio</w:t>
      </w:r>
      <w:r w:rsidRPr="004A7EF1">
        <w:rPr>
          <w:i/>
          <w:iCs/>
        </w:rPr>
        <w:t>graphie du Centre du Québec et des Bois-Francs.</w:t>
      </w:r>
      <w:r w:rsidRPr="004A7EF1">
        <w:rPr>
          <w:bCs/>
        </w:rPr>
        <w:t xml:space="preserve"> </w:t>
      </w:r>
      <w:r w:rsidRPr="004A7EF1">
        <w:t>Coll. « Documents de recherche »</w:t>
      </w:r>
      <w:r>
        <w:t>,</w:t>
      </w:r>
      <w:r w:rsidRPr="004A7EF1">
        <w:t xml:space="preserve"> n°</w:t>
      </w:r>
      <w:r>
        <w:t> </w:t>
      </w:r>
      <w:r w:rsidRPr="004A7EF1">
        <w:t>9,</w:t>
      </w:r>
      <w:r>
        <w:t xml:space="preserve"> </w:t>
      </w:r>
      <w:r w:rsidRPr="004A7EF1">
        <w:t>1986, 495 p</w:t>
      </w:r>
      <w:r w:rsidRPr="004A7EF1">
        <w:t>a</w:t>
      </w:r>
      <w:r>
        <w:t>ges.</w:t>
      </w:r>
    </w:p>
    <w:p w:rsidR="00B7214C" w:rsidRPr="004A7EF1" w:rsidRDefault="00B7214C" w:rsidP="00B7214C">
      <w:pPr>
        <w:spacing w:before="120" w:after="120"/>
        <w:ind w:left="540" w:hanging="540"/>
        <w:jc w:val="both"/>
      </w:pPr>
      <w:r>
        <w:t>9.</w:t>
      </w:r>
      <w:r>
        <w:tab/>
      </w:r>
      <w:r w:rsidRPr="004A7EF1">
        <w:t xml:space="preserve">Marc Desjardins. </w:t>
      </w:r>
      <w:r w:rsidRPr="004A7EF1">
        <w:rPr>
          <w:i/>
          <w:iCs/>
        </w:rPr>
        <w:t xml:space="preserve">Bibliographie des </w:t>
      </w:r>
      <w:r>
        <w:rPr>
          <w:i/>
          <w:iCs/>
        </w:rPr>
        <w:t>Î</w:t>
      </w:r>
      <w:r w:rsidRPr="004A7EF1">
        <w:rPr>
          <w:i/>
          <w:iCs/>
        </w:rPr>
        <w:t>les-de-la-Madeleine.</w:t>
      </w:r>
      <w:r w:rsidRPr="004A7EF1">
        <w:rPr>
          <w:bCs/>
        </w:rPr>
        <w:t xml:space="preserve"> </w:t>
      </w:r>
      <w:r w:rsidRPr="004A7EF1">
        <w:t>Coll. « Documents de recherche »</w:t>
      </w:r>
      <w:r>
        <w:t>, n° 13, 1987, 281 pages.</w:t>
      </w:r>
    </w:p>
    <w:p w:rsidR="00B7214C" w:rsidRPr="004A7EF1" w:rsidRDefault="00B7214C" w:rsidP="00B7214C">
      <w:pPr>
        <w:spacing w:before="120" w:after="120"/>
        <w:ind w:left="540" w:hanging="540"/>
        <w:jc w:val="both"/>
      </w:pPr>
      <w:r>
        <w:t>10.</w:t>
      </w:r>
      <w:r>
        <w:tab/>
      </w:r>
      <w:r w:rsidRPr="004A7EF1">
        <w:t xml:space="preserve">Daniel Tessier </w:t>
      </w:r>
      <w:r w:rsidRPr="004A7EF1">
        <w:rPr>
          <w:i/>
          <w:iCs/>
        </w:rPr>
        <w:t>et al. Bibliographie de Lanaudière.</w:t>
      </w:r>
      <w:r w:rsidRPr="004A7EF1">
        <w:rPr>
          <w:bCs/>
        </w:rPr>
        <w:t xml:space="preserve"> </w:t>
      </w:r>
      <w:r w:rsidRPr="004A7EF1">
        <w:t>Coll. « Documents de recherche »</w:t>
      </w:r>
      <w:r>
        <w:t>,</w:t>
      </w:r>
      <w:r w:rsidRPr="004A7EF1">
        <w:t xml:space="preserve"> n°</w:t>
      </w:r>
      <w:r>
        <w:t> 14, 1987, 270 pages.</w:t>
      </w:r>
    </w:p>
    <w:p w:rsidR="00B7214C" w:rsidRDefault="00B7214C" w:rsidP="00B7214C">
      <w:pPr>
        <w:spacing w:before="120" w:after="120"/>
        <w:ind w:left="540" w:hanging="540"/>
        <w:jc w:val="both"/>
      </w:pPr>
      <w:r>
        <w:t>11.</w:t>
      </w:r>
      <w:r>
        <w:tab/>
      </w:r>
      <w:r w:rsidRPr="004A7EF1">
        <w:t xml:space="preserve">Antonio Lechasseur avec la collaboration de Jacques Lemay. </w:t>
      </w:r>
      <w:r w:rsidRPr="004A7EF1">
        <w:rPr>
          <w:i/>
          <w:iCs/>
        </w:rPr>
        <w:t>Munic</w:t>
      </w:r>
      <w:r w:rsidRPr="004A7EF1">
        <w:rPr>
          <w:i/>
          <w:iCs/>
        </w:rPr>
        <w:t>i</w:t>
      </w:r>
      <w:r w:rsidRPr="004A7EF1">
        <w:rPr>
          <w:i/>
          <w:iCs/>
        </w:rPr>
        <w:t>palités et paroisses du Bas-Saint-Laurent, de la Gaspésie et des Îles-de-la-Madeleine. Populations et limites territoriales 1851-1981.</w:t>
      </w:r>
      <w:r w:rsidRPr="004A7EF1">
        <w:rPr>
          <w:bCs/>
        </w:rPr>
        <w:t xml:space="preserve"> </w:t>
      </w:r>
      <w:r w:rsidRPr="004A7EF1">
        <w:t>1987, 51 pages, 5 microfiches (Bas-Saint-laurent, 563 p., Gaspésie et Iles-de</w:t>
      </w:r>
      <w:r>
        <w:t>-la-Madeleine, 304 p.).</w:t>
      </w:r>
    </w:p>
    <w:p w:rsidR="00B7214C" w:rsidRDefault="00B7214C" w:rsidP="00B7214C">
      <w:pPr>
        <w:spacing w:before="120" w:after="120"/>
        <w:ind w:left="540" w:hanging="540"/>
        <w:jc w:val="both"/>
      </w:pPr>
      <w:r>
        <w:t>[570]</w:t>
      </w:r>
    </w:p>
    <w:p w:rsidR="00B7214C" w:rsidRPr="004A7EF1" w:rsidRDefault="00B7214C" w:rsidP="00B7214C">
      <w:pPr>
        <w:spacing w:before="120" w:after="120"/>
        <w:ind w:left="540" w:hanging="540"/>
        <w:jc w:val="both"/>
      </w:pPr>
      <w:r>
        <w:t>12.</w:t>
      </w:r>
      <w:r>
        <w:tab/>
      </w:r>
      <w:r w:rsidRPr="004A7EF1">
        <w:t xml:space="preserve">Marc Desjardins. </w:t>
      </w:r>
      <w:r w:rsidRPr="004A7EF1">
        <w:rPr>
          <w:i/>
          <w:iCs/>
        </w:rPr>
        <w:t>Bibliographie de la Gaspésie.</w:t>
      </w:r>
      <w:r w:rsidRPr="004A7EF1">
        <w:rPr>
          <w:bCs/>
        </w:rPr>
        <w:t xml:space="preserve"> </w:t>
      </w:r>
      <w:r w:rsidRPr="004A7EF1">
        <w:t>Coll. « Documents de r</w:t>
      </w:r>
      <w:r w:rsidRPr="004A7EF1">
        <w:t>e</w:t>
      </w:r>
      <w:r w:rsidRPr="004A7EF1">
        <w:t>cherche »</w:t>
      </w:r>
      <w:r>
        <w:t>,</w:t>
      </w:r>
      <w:r w:rsidRPr="004A7EF1">
        <w:t xml:space="preserve"> n°</w:t>
      </w:r>
      <w:r>
        <w:t> 16, 1987, 436 pages.</w:t>
      </w:r>
    </w:p>
    <w:p w:rsidR="00B7214C" w:rsidRPr="004A7EF1" w:rsidRDefault="00B7214C" w:rsidP="00B7214C">
      <w:pPr>
        <w:spacing w:before="120" w:after="120"/>
        <w:ind w:left="540" w:hanging="540"/>
        <w:jc w:val="both"/>
      </w:pPr>
      <w:r>
        <w:t>13.</w:t>
      </w:r>
      <w:r>
        <w:tab/>
      </w:r>
      <w:r w:rsidRPr="004A7EF1">
        <w:t xml:space="preserve">Françoise de Montigny-Pelletier et Andrée Raiche-Dussault. </w:t>
      </w:r>
      <w:r w:rsidRPr="004A7EF1">
        <w:rPr>
          <w:i/>
          <w:iCs/>
        </w:rPr>
        <w:t>B</w:t>
      </w:r>
      <w:r w:rsidRPr="004A7EF1">
        <w:rPr>
          <w:i/>
          <w:iCs/>
        </w:rPr>
        <w:t>i</w:t>
      </w:r>
      <w:r w:rsidRPr="004A7EF1">
        <w:rPr>
          <w:i/>
          <w:iCs/>
        </w:rPr>
        <w:t>bli</w:t>
      </w:r>
      <w:r w:rsidRPr="004A7EF1">
        <w:rPr>
          <w:i/>
          <w:iCs/>
        </w:rPr>
        <w:t>o</w:t>
      </w:r>
      <w:r w:rsidRPr="004A7EF1">
        <w:rPr>
          <w:i/>
          <w:iCs/>
        </w:rPr>
        <w:t>graphie de la Rive-Sud de Québec (Lévis</w:t>
      </w:r>
      <w:r w:rsidRPr="004A7EF1">
        <w:t>—</w:t>
      </w:r>
      <w:r w:rsidRPr="004A7EF1">
        <w:rPr>
          <w:i/>
          <w:iCs/>
        </w:rPr>
        <w:t>Lotbinière).</w:t>
      </w:r>
      <w:r w:rsidRPr="004A7EF1">
        <w:rPr>
          <w:bCs/>
        </w:rPr>
        <w:t xml:space="preserve"> </w:t>
      </w:r>
      <w:r w:rsidRPr="004A7EF1">
        <w:t>Coll. « Documents de recherche »</w:t>
      </w:r>
      <w:r>
        <w:t>,</w:t>
      </w:r>
      <w:r w:rsidRPr="004A7EF1">
        <w:t xml:space="preserve"> n°</w:t>
      </w:r>
      <w:r>
        <w:t> </w:t>
      </w:r>
      <w:r w:rsidRPr="004A7EF1">
        <w:t>19,</w:t>
      </w:r>
      <w:r>
        <w:t xml:space="preserve"> 1989, 263 pages.</w:t>
      </w:r>
    </w:p>
    <w:p w:rsidR="00B7214C" w:rsidRPr="004A7EF1" w:rsidRDefault="00B7214C" w:rsidP="00B7214C">
      <w:pPr>
        <w:spacing w:before="120" w:after="120"/>
        <w:ind w:left="540" w:hanging="540"/>
        <w:jc w:val="both"/>
      </w:pPr>
      <w:r>
        <w:t>14.</w:t>
      </w:r>
      <w:r>
        <w:tab/>
      </w:r>
      <w:r w:rsidRPr="004A7EF1">
        <w:t xml:space="preserve">Diane Saint-Pierre et Yves Hébert. </w:t>
      </w:r>
      <w:r w:rsidRPr="004A7EF1">
        <w:rPr>
          <w:i/>
          <w:iCs/>
        </w:rPr>
        <w:t>Archives paroissiales de la C</w:t>
      </w:r>
      <w:r w:rsidRPr="004A7EF1">
        <w:rPr>
          <w:i/>
          <w:iCs/>
        </w:rPr>
        <w:t>ô</w:t>
      </w:r>
      <w:r w:rsidRPr="004A7EF1">
        <w:rPr>
          <w:i/>
          <w:iCs/>
        </w:rPr>
        <w:t>te-du-Sud. Inventaire sommaire.</w:t>
      </w:r>
      <w:r w:rsidRPr="004A7EF1">
        <w:rPr>
          <w:bCs/>
        </w:rPr>
        <w:t xml:space="preserve"> </w:t>
      </w:r>
      <w:r w:rsidRPr="004A7EF1">
        <w:t>1990,</w:t>
      </w:r>
      <w:r>
        <w:t xml:space="preserve"> </w:t>
      </w:r>
      <w:r w:rsidRPr="004A7EF1">
        <w:t>55 pages, 4 microfiches (XXV-581 p</w:t>
      </w:r>
      <w:r w:rsidRPr="004A7EF1">
        <w:t>a</w:t>
      </w:r>
      <w:r>
        <w:t>ges).</w:t>
      </w:r>
    </w:p>
    <w:p w:rsidR="00B7214C" w:rsidRPr="004A7EF1" w:rsidRDefault="00B7214C" w:rsidP="00B7214C">
      <w:pPr>
        <w:spacing w:before="120" w:after="120"/>
        <w:ind w:left="540" w:hanging="540"/>
        <w:jc w:val="both"/>
      </w:pPr>
      <w:r>
        <w:t>15.</w:t>
      </w:r>
      <w:r>
        <w:tab/>
      </w:r>
      <w:r w:rsidRPr="004A7EF1">
        <w:t>Monique Perron avec la collaboration de Luc Boisvert et R</w:t>
      </w:r>
      <w:r w:rsidRPr="004A7EF1">
        <w:t>o</w:t>
      </w:r>
      <w:r w:rsidRPr="004A7EF1">
        <w:t xml:space="preserve">land Viau. </w:t>
      </w:r>
      <w:r w:rsidRPr="004A7EF1">
        <w:rPr>
          <w:i/>
          <w:iCs/>
        </w:rPr>
        <w:t>Bibliographie du Haut-Saint-Laurent. Sud-ouest de la Montér</w:t>
      </w:r>
      <w:r w:rsidRPr="004A7EF1">
        <w:rPr>
          <w:i/>
          <w:iCs/>
        </w:rPr>
        <w:t>é</w:t>
      </w:r>
      <w:r w:rsidRPr="004A7EF1">
        <w:rPr>
          <w:i/>
          <w:iCs/>
        </w:rPr>
        <w:t>gie.</w:t>
      </w:r>
      <w:r w:rsidRPr="004A7EF1">
        <w:rPr>
          <w:bCs/>
        </w:rPr>
        <w:t xml:space="preserve"> </w:t>
      </w:r>
      <w:r w:rsidRPr="004A7EF1">
        <w:t>Coll. « Documents de recherche »</w:t>
      </w:r>
      <w:r>
        <w:t>,</w:t>
      </w:r>
      <w:r w:rsidRPr="004A7EF1">
        <w:t xml:space="preserve"> n°</w:t>
      </w:r>
      <w:r>
        <w:t> </w:t>
      </w:r>
      <w:r w:rsidRPr="004A7EF1">
        <w:t>24, 1990,</w:t>
      </w:r>
      <w:r>
        <w:t xml:space="preserve"> </w:t>
      </w:r>
      <w:r w:rsidRPr="004A7EF1">
        <w:t>318 p</w:t>
      </w:r>
      <w:r w:rsidRPr="004A7EF1">
        <w:t>a</w:t>
      </w:r>
      <w:r>
        <w:t>ges.</w:t>
      </w:r>
    </w:p>
    <w:p w:rsidR="00B7214C" w:rsidRPr="004A7EF1" w:rsidRDefault="00B7214C" w:rsidP="00B7214C">
      <w:pPr>
        <w:spacing w:before="120" w:after="120"/>
        <w:ind w:left="540" w:hanging="540"/>
        <w:jc w:val="both"/>
      </w:pPr>
      <w:r>
        <w:t>16.</w:t>
      </w:r>
      <w:r>
        <w:tab/>
      </w:r>
      <w:r w:rsidRPr="004A7EF1">
        <w:t xml:space="preserve">Gaston Saint-Hilaire avec la collaboration d'Andrée Raiche-Dussault. </w:t>
      </w:r>
      <w:r w:rsidRPr="004A7EF1">
        <w:rPr>
          <w:i/>
          <w:iCs/>
        </w:rPr>
        <w:t>Bibliographie de la Côte-Nord.</w:t>
      </w:r>
      <w:r w:rsidRPr="004A7EF1">
        <w:rPr>
          <w:bCs/>
        </w:rPr>
        <w:t xml:space="preserve"> </w:t>
      </w:r>
      <w:r w:rsidRPr="004A7EF1">
        <w:t>Coll. « Documents de reche</w:t>
      </w:r>
      <w:r w:rsidRPr="004A7EF1">
        <w:t>r</w:t>
      </w:r>
      <w:r w:rsidRPr="004A7EF1">
        <w:t>che »</w:t>
      </w:r>
      <w:r>
        <w:t>, n° 26, 1990, 340 pages.</w:t>
      </w:r>
    </w:p>
    <w:p w:rsidR="00B7214C" w:rsidRPr="004A7EF1" w:rsidRDefault="00B7214C" w:rsidP="00B7214C">
      <w:pPr>
        <w:spacing w:before="120" w:after="120"/>
        <w:ind w:left="540" w:hanging="540"/>
        <w:jc w:val="both"/>
      </w:pPr>
      <w:r>
        <w:t>17.</w:t>
      </w:r>
      <w:r>
        <w:tab/>
      </w:r>
      <w:r w:rsidRPr="004A7EF1">
        <w:t xml:space="preserve">René Hardy et Guy Trépanier. </w:t>
      </w:r>
      <w:r w:rsidRPr="004A7EF1">
        <w:rPr>
          <w:i/>
          <w:iCs/>
        </w:rPr>
        <w:t>Bibliographie</w:t>
      </w:r>
      <w:r>
        <w:rPr>
          <w:i/>
          <w:iCs/>
        </w:rPr>
        <w:t xml:space="preserve"> </w:t>
      </w:r>
      <w:r w:rsidRPr="004A7EF1">
        <w:rPr>
          <w:i/>
          <w:iCs/>
        </w:rPr>
        <w:t>de</w:t>
      </w:r>
      <w:r>
        <w:rPr>
          <w:i/>
          <w:iCs/>
        </w:rPr>
        <w:t xml:space="preserve"> </w:t>
      </w:r>
      <w:r w:rsidRPr="004A7EF1">
        <w:rPr>
          <w:i/>
          <w:iCs/>
        </w:rPr>
        <w:t>la</w:t>
      </w:r>
      <w:r>
        <w:rPr>
          <w:i/>
          <w:iCs/>
        </w:rPr>
        <w:t xml:space="preserve"> </w:t>
      </w:r>
      <w:r w:rsidRPr="004A7EF1">
        <w:rPr>
          <w:i/>
          <w:iCs/>
        </w:rPr>
        <w:t>Maur</w:t>
      </w:r>
      <w:r w:rsidRPr="004A7EF1">
        <w:rPr>
          <w:i/>
          <w:iCs/>
        </w:rPr>
        <w:t>i</w:t>
      </w:r>
      <w:r>
        <w:rPr>
          <w:i/>
          <w:iCs/>
        </w:rPr>
        <w:t>cie.</w:t>
      </w:r>
      <w:r>
        <w:rPr>
          <w:iCs/>
        </w:rPr>
        <w:t xml:space="preserve"> Coll.</w:t>
      </w:r>
      <w:r w:rsidRPr="004A7EF1">
        <w:rPr>
          <w:bCs/>
        </w:rPr>
        <w:t xml:space="preserve"> </w:t>
      </w:r>
      <w:r w:rsidRPr="004A7EF1">
        <w:t>« Documents de recherche »</w:t>
      </w:r>
      <w:r>
        <w:t>,</w:t>
      </w:r>
      <w:r w:rsidRPr="004A7EF1">
        <w:t xml:space="preserve"> n°</w:t>
      </w:r>
      <w:r>
        <w:t> </w:t>
      </w:r>
      <w:r w:rsidRPr="004A7EF1">
        <w:t>27,</w:t>
      </w:r>
      <w:r>
        <w:t xml:space="preserve"> </w:t>
      </w:r>
      <w:r w:rsidRPr="004A7EF1">
        <w:t>1991,</w:t>
      </w:r>
      <w:r>
        <w:t xml:space="preserve"> 294 pages.</w:t>
      </w:r>
    </w:p>
    <w:p w:rsidR="00B7214C" w:rsidRPr="00C976D2" w:rsidRDefault="00B7214C" w:rsidP="00B7214C">
      <w:pPr>
        <w:spacing w:before="120" w:after="120"/>
        <w:ind w:left="540" w:hanging="540"/>
        <w:jc w:val="both"/>
      </w:pPr>
      <w:r>
        <w:t>18.</w:t>
      </w:r>
      <w:r>
        <w:tab/>
      </w:r>
      <w:r w:rsidRPr="00C976D2">
        <w:rPr>
          <w:iCs/>
        </w:rPr>
        <w:t xml:space="preserve">Jules Lord. </w:t>
      </w:r>
      <w:r w:rsidRPr="00C976D2">
        <w:rPr>
          <w:i/>
        </w:rPr>
        <w:t>Bibliographie sur les grands domaines de la comm</w:t>
      </w:r>
      <w:r w:rsidRPr="00C976D2">
        <w:rPr>
          <w:i/>
        </w:rPr>
        <w:t>u</w:t>
      </w:r>
      <w:r w:rsidRPr="00C976D2">
        <w:rPr>
          <w:i/>
        </w:rPr>
        <w:t>nauté urbaine de</w:t>
      </w:r>
      <w:r w:rsidRPr="00C976D2">
        <w:t xml:space="preserve"> Québec. Villas, jardins et cimetières-jardins.</w:t>
      </w:r>
      <w:r w:rsidRPr="00C976D2">
        <w:rPr>
          <w:bCs/>
          <w:iCs/>
        </w:rPr>
        <w:t xml:space="preserve"> </w:t>
      </w:r>
      <w:r>
        <w:rPr>
          <w:iCs/>
        </w:rPr>
        <w:t>1992, 129 pages.</w:t>
      </w:r>
    </w:p>
    <w:p w:rsidR="00B7214C" w:rsidRPr="004A7EF1" w:rsidRDefault="00B7214C" w:rsidP="00B7214C">
      <w:pPr>
        <w:spacing w:before="120" w:after="120"/>
        <w:ind w:left="540" w:hanging="540"/>
        <w:jc w:val="both"/>
      </w:pPr>
      <w:r>
        <w:t>19.</w:t>
      </w:r>
      <w:r>
        <w:tab/>
      </w:r>
      <w:r w:rsidRPr="004A7EF1">
        <w:t xml:space="preserve">Jean-René Breton avec la collaboration d'Andrée Raiche-Dussault. </w:t>
      </w:r>
      <w:r w:rsidRPr="004A7EF1">
        <w:rPr>
          <w:i/>
          <w:iCs/>
        </w:rPr>
        <w:t>Bibliographie de Beauce-Etchemin.</w:t>
      </w:r>
      <w:r w:rsidRPr="004A7EF1">
        <w:rPr>
          <w:bCs/>
        </w:rPr>
        <w:t xml:space="preserve"> </w:t>
      </w:r>
      <w:r w:rsidRPr="004A7EF1">
        <w:t>Coll. « Documents de r</w:t>
      </w:r>
      <w:r w:rsidRPr="004A7EF1">
        <w:t>e</w:t>
      </w:r>
      <w:r w:rsidRPr="004A7EF1">
        <w:t>cherche »</w:t>
      </w:r>
      <w:r>
        <w:t>,</w:t>
      </w:r>
      <w:r w:rsidRPr="004A7EF1">
        <w:t xml:space="preserve"> n°</w:t>
      </w:r>
      <w:r>
        <w:t> </w:t>
      </w:r>
      <w:r w:rsidRPr="004A7EF1">
        <w:t>33,</w:t>
      </w:r>
      <w:r>
        <w:t xml:space="preserve"> </w:t>
      </w:r>
      <w:r w:rsidRPr="004A7EF1">
        <w:t>1993,</w:t>
      </w:r>
      <w:r>
        <w:t xml:space="preserve"> 198 pages.</w:t>
      </w:r>
    </w:p>
    <w:p w:rsidR="00B7214C" w:rsidRDefault="00B7214C" w:rsidP="00B7214C">
      <w:pPr>
        <w:spacing w:before="120" w:after="120"/>
        <w:ind w:left="540" w:hanging="540"/>
        <w:jc w:val="both"/>
      </w:pPr>
    </w:p>
    <w:p w:rsidR="00B7214C" w:rsidRPr="004A7EF1" w:rsidRDefault="00B7214C" w:rsidP="00B7214C">
      <w:pPr>
        <w:pStyle w:val="a"/>
      </w:pPr>
      <w:r>
        <w:t xml:space="preserve">VI. </w:t>
      </w:r>
      <w:r w:rsidRPr="004A7EF1">
        <w:t>Hors chantier</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Paul Aubin. </w:t>
      </w:r>
      <w:r w:rsidRPr="004A7EF1">
        <w:rPr>
          <w:i/>
          <w:iCs/>
        </w:rPr>
        <w:t xml:space="preserve">Bibliographie de l'histoire du Québec et du Canada </w:t>
      </w:r>
      <w:r w:rsidRPr="004A7EF1">
        <w:rPr>
          <w:bCs/>
          <w:i/>
          <w:iCs/>
        </w:rPr>
        <w:t>(</w:t>
      </w:r>
      <w:r w:rsidRPr="004A7EF1">
        <w:rPr>
          <w:i/>
          <w:iCs/>
        </w:rPr>
        <w:t>1966</w:t>
      </w:r>
      <w:r w:rsidRPr="004A7EF1">
        <w:rPr>
          <w:bCs/>
          <w:i/>
          <w:iCs/>
        </w:rPr>
        <w:t>-</w:t>
      </w:r>
      <w:r w:rsidRPr="004A7EF1">
        <w:rPr>
          <w:i/>
          <w:iCs/>
        </w:rPr>
        <w:t>1975</w:t>
      </w:r>
      <w:r w:rsidRPr="004A7EF1">
        <w:rPr>
          <w:bCs/>
          <w:i/>
          <w:iCs/>
        </w:rPr>
        <w:t xml:space="preserve">). </w:t>
      </w:r>
      <w:r w:rsidRPr="004A7EF1">
        <w:rPr>
          <w:i/>
          <w:iCs/>
        </w:rPr>
        <w:t>2</w:t>
      </w:r>
      <w:r w:rsidRPr="004A7EF1">
        <w:t xml:space="preserve"> tomes —1981, 1</w:t>
      </w:r>
      <w:r>
        <w:t>425 pages, 22 000 titres.</w:t>
      </w:r>
    </w:p>
    <w:p w:rsidR="00B7214C" w:rsidRPr="004A7EF1" w:rsidRDefault="00B7214C" w:rsidP="00B7214C">
      <w:pPr>
        <w:spacing w:before="120" w:after="120"/>
        <w:ind w:left="540" w:hanging="540"/>
        <w:jc w:val="both"/>
      </w:pPr>
      <w:r>
        <w:t>2.</w:t>
      </w:r>
      <w:r>
        <w:tab/>
        <w:t>G</w:t>
      </w:r>
      <w:r w:rsidRPr="004A7EF1">
        <w:t xml:space="preserve">abrielle Lachance. </w:t>
      </w:r>
      <w:r w:rsidRPr="004A7EF1">
        <w:rPr>
          <w:i/>
          <w:iCs/>
        </w:rPr>
        <w:t>La culture contemporaine face aux indu</w:t>
      </w:r>
      <w:r w:rsidRPr="004A7EF1">
        <w:rPr>
          <w:i/>
          <w:iCs/>
        </w:rPr>
        <w:t>s</w:t>
      </w:r>
      <w:r w:rsidRPr="004A7EF1">
        <w:rPr>
          <w:i/>
          <w:iCs/>
        </w:rPr>
        <w:t>tries culturelles et aux nouvelles technologies.</w:t>
      </w:r>
      <w:r w:rsidRPr="004A7EF1">
        <w:rPr>
          <w:bCs/>
        </w:rPr>
        <w:t xml:space="preserve"> </w:t>
      </w:r>
      <w:r w:rsidRPr="004A7EF1">
        <w:t>Rapport-synthèse, Re</w:t>
      </w:r>
      <w:r w:rsidRPr="004A7EF1">
        <w:t>n</w:t>
      </w:r>
      <w:r w:rsidRPr="004A7EF1">
        <w:t>contre franco-qué</w:t>
      </w:r>
      <w:r>
        <w:t>bécoise sur la culture, Québec-</w:t>
      </w:r>
      <w:r w:rsidRPr="004A7EF1">
        <w:t>Montréal, du 4</w:t>
      </w:r>
      <w:r>
        <w:t xml:space="preserve"> au 8 juin 1984, 145 pages.</w:t>
      </w:r>
    </w:p>
    <w:p w:rsidR="00B7214C" w:rsidRPr="00C976D2" w:rsidRDefault="00B7214C" w:rsidP="00B7214C">
      <w:pPr>
        <w:spacing w:before="120" w:after="120"/>
        <w:ind w:left="540" w:hanging="540"/>
        <w:jc w:val="both"/>
        <w:rPr>
          <w:i/>
        </w:rPr>
      </w:pPr>
      <w:r>
        <w:t>3.</w:t>
      </w:r>
      <w:r>
        <w:tab/>
      </w:r>
      <w:r w:rsidRPr="00C976D2">
        <w:rPr>
          <w:i/>
        </w:rPr>
        <w:t xml:space="preserve">Statistiques culturelles du Québec </w:t>
      </w:r>
      <w:r w:rsidRPr="00C976D2">
        <w:rPr>
          <w:bCs/>
          <w:i/>
        </w:rPr>
        <w:t>(</w:t>
      </w:r>
      <w:r w:rsidRPr="00C976D2">
        <w:rPr>
          <w:i/>
        </w:rPr>
        <w:t>1971</w:t>
      </w:r>
      <w:r w:rsidRPr="00C976D2">
        <w:rPr>
          <w:bCs/>
          <w:i/>
        </w:rPr>
        <w:t>-</w:t>
      </w:r>
      <w:r w:rsidRPr="00C976D2">
        <w:rPr>
          <w:i/>
        </w:rPr>
        <w:t>1982</w:t>
      </w:r>
      <w:r w:rsidRPr="00C976D2">
        <w:rPr>
          <w:bCs/>
          <w:i/>
        </w:rPr>
        <w:t>).</w:t>
      </w:r>
      <w:r w:rsidRPr="00C976D2">
        <w:rPr>
          <w:i/>
          <w:iCs/>
        </w:rPr>
        <w:t xml:space="preserve"> </w:t>
      </w:r>
      <w:r>
        <w:rPr>
          <w:iCs/>
        </w:rPr>
        <w:t>1985, XLII-932 p</w:t>
      </w:r>
      <w:r>
        <w:rPr>
          <w:iCs/>
        </w:rPr>
        <w:t>a</w:t>
      </w:r>
      <w:r>
        <w:rPr>
          <w:iCs/>
        </w:rPr>
        <w:t>ges.</w:t>
      </w:r>
    </w:p>
    <w:p w:rsidR="00B7214C" w:rsidRPr="00C976D2" w:rsidRDefault="00B7214C" w:rsidP="00B7214C">
      <w:pPr>
        <w:spacing w:before="120" w:after="120"/>
        <w:ind w:left="540" w:hanging="540"/>
        <w:jc w:val="both"/>
      </w:pPr>
      <w:r>
        <w:t>4.</w:t>
      </w:r>
      <w:r>
        <w:tab/>
      </w:r>
      <w:r w:rsidRPr="00C976D2">
        <w:rPr>
          <w:iCs/>
        </w:rPr>
        <w:t xml:space="preserve">Paul Aubin et Louis-Marie Côté. </w:t>
      </w:r>
      <w:r w:rsidRPr="00C976D2">
        <w:rPr>
          <w:i/>
        </w:rPr>
        <w:t>Bibliographie de l'histoire du Qu</w:t>
      </w:r>
      <w:r w:rsidRPr="00C976D2">
        <w:rPr>
          <w:i/>
        </w:rPr>
        <w:t>é</w:t>
      </w:r>
      <w:r w:rsidRPr="00C976D2">
        <w:rPr>
          <w:i/>
        </w:rPr>
        <w:t>bec et du Canada/Bibliography of the History of Quebec and C</w:t>
      </w:r>
      <w:r w:rsidRPr="00C976D2">
        <w:rPr>
          <w:i/>
        </w:rPr>
        <w:t>a</w:t>
      </w:r>
      <w:r w:rsidRPr="00C976D2">
        <w:rPr>
          <w:i/>
        </w:rPr>
        <w:t xml:space="preserve">nada </w:t>
      </w:r>
      <w:r w:rsidRPr="00C976D2">
        <w:rPr>
          <w:bCs/>
          <w:i/>
        </w:rPr>
        <w:t>(</w:t>
      </w:r>
      <w:r w:rsidRPr="00C976D2">
        <w:rPr>
          <w:i/>
        </w:rPr>
        <w:t>1976</w:t>
      </w:r>
      <w:r w:rsidRPr="00C976D2">
        <w:rPr>
          <w:bCs/>
          <w:i/>
        </w:rPr>
        <w:t>-</w:t>
      </w:r>
      <w:r w:rsidRPr="00C976D2">
        <w:rPr>
          <w:i/>
        </w:rPr>
        <w:t>1980</w:t>
      </w:r>
      <w:r w:rsidRPr="00C976D2">
        <w:rPr>
          <w:bCs/>
          <w:i/>
        </w:rPr>
        <w:t>).</w:t>
      </w:r>
      <w:r w:rsidRPr="00C976D2">
        <w:rPr>
          <w:bCs/>
        </w:rPr>
        <w:t xml:space="preserve"> </w:t>
      </w:r>
      <w:r w:rsidRPr="00C976D2">
        <w:t>2</w:t>
      </w:r>
      <w:r w:rsidRPr="00C976D2">
        <w:rPr>
          <w:iCs/>
        </w:rPr>
        <w:t xml:space="preserve"> tomes —1985, LXIV-1316 pages, 20 000 t</w:t>
      </w:r>
      <w:r w:rsidRPr="00C976D2">
        <w:rPr>
          <w:iCs/>
        </w:rPr>
        <w:t>i</w:t>
      </w:r>
      <w:r>
        <w:rPr>
          <w:iCs/>
        </w:rPr>
        <w:t>tres.</w:t>
      </w:r>
    </w:p>
    <w:p w:rsidR="00B7214C" w:rsidRPr="00C976D2" w:rsidRDefault="00B7214C" w:rsidP="00B7214C">
      <w:pPr>
        <w:spacing w:before="120" w:after="120"/>
        <w:ind w:left="540" w:hanging="540"/>
        <w:jc w:val="both"/>
      </w:pPr>
      <w:r>
        <w:t>5.</w:t>
      </w:r>
      <w:r>
        <w:tab/>
      </w:r>
      <w:r w:rsidRPr="00C976D2">
        <w:rPr>
          <w:iCs/>
        </w:rPr>
        <w:t xml:space="preserve">Jean-Paul Baillargeon, dir. </w:t>
      </w:r>
      <w:r w:rsidRPr="00C976D2">
        <w:rPr>
          <w:i/>
        </w:rPr>
        <w:t>Les pratiques culturelles des Québ</w:t>
      </w:r>
      <w:r w:rsidRPr="00C976D2">
        <w:rPr>
          <w:i/>
        </w:rPr>
        <w:t>é</w:t>
      </w:r>
      <w:r w:rsidRPr="00C976D2">
        <w:rPr>
          <w:i/>
        </w:rPr>
        <w:t>cois. Une autre image de nous-mêmes</w:t>
      </w:r>
      <w:r w:rsidRPr="00C976D2">
        <w:t>.</w:t>
      </w:r>
      <w:r w:rsidRPr="00C976D2">
        <w:rPr>
          <w:bCs/>
          <w:iCs/>
        </w:rPr>
        <w:t xml:space="preserve"> </w:t>
      </w:r>
      <w:r w:rsidRPr="00C976D2">
        <w:rPr>
          <w:iCs/>
        </w:rPr>
        <w:t>1986,</w:t>
      </w:r>
      <w:r>
        <w:rPr>
          <w:iCs/>
        </w:rPr>
        <w:t xml:space="preserve"> 394 pages.</w:t>
      </w:r>
    </w:p>
    <w:p w:rsidR="00B7214C" w:rsidRPr="00C976D2" w:rsidRDefault="00B7214C" w:rsidP="00B7214C">
      <w:pPr>
        <w:spacing w:before="120" w:after="120"/>
        <w:ind w:left="540" w:hanging="540"/>
        <w:jc w:val="both"/>
      </w:pPr>
      <w:r>
        <w:t>6.</w:t>
      </w:r>
      <w:r>
        <w:tab/>
      </w:r>
      <w:r w:rsidRPr="00C976D2">
        <w:rPr>
          <w:iCs/>
        </w:rPr>
        <w:t xml:space="preserve">Paul Aubin et Louis-Marie Côté. </w:t>
      </w:r>
      <w:r w:rsidRPr="00C976D2">
        <w:rPr>
          <w:i/>
        </w:rPr>
        <w:t>Bibliographie de l'histoire du Qu</w:t>
      </w:r>
      <w:r w:rsidRPr="00C976D2">
        <w:rPr>
          <w:i/>
        </w:rPr>
        <w:t>é</w:t>
      </w:r>
      <w:r w:rsidRPr="00C976D2">
        <w:rPr>
          <w:i/>
        </w:rPr>
        <w:t>bec et du Canada/Bibliographe of the History of Quebec and C</w:t>
      </w:r>
      <w:r w:rsidRPr="00C976D2">
        <w:rPr>
          <w:i/>
        </w:rPr>
        <w:t>a</w:t>
      </w:r>
      <w:r w:rsidRPr="00C976D2">
        <w:rPr>
          <w:i/>
        </w:rPr>
        <w:t xml:space="preserve">nada </w:t>
      </w:r>
      <w:r w:rsidRPr="00C976D2">
        <w:rPr>
          <w:bCs/>
          <w:i/>
        </w:rPr>
        <w:t>(</w:t>
      </w:r>
      <w:r w:rsidRPr="00C976D2">
        <w:rPr>
          <w:i/>
        </w:rPr>
        <w:t>1946</w:t>
      </w:r>
      <w:r w:rsidRPr="00C976D2">
        <w:rPr>
          <w:bCs/>
          <w:i/>
        </w:rPr>
        <w:t>-</w:t>
      </w:r>
      <w:r w:rsidRPr="00C976D2">
        <w:rPr>
          <w:i/>
        </w:rPr>
        <w:t>1965</w:t>
      </w:r>
      <w:r w:rsidRPr="00C976D2">
        <w:rPr>
          <w:bCs/>
          <w:i/>
        </w:rPr>
        <w:t>).</w:t>
      </w:r>
      <w:r w:rsidRPr="00C976D2">
        <w:rPr>
          <w:bCs/>
        </w:rPr>
        <w:t xml:space="preserve"> </w:t>
      </w:r>
      <w:r w:rsidRPr="00C976D2">
        <w:t>2</w:t>
      </w:r>
      <w:r w:rsidRPr="00C976D2">
        <w:rPr>
          <w:iCs/>
        </w:rPr>
        <w:t xml:space="preserve"> tomes —1987, LXXVII-1</w:t>
      </w:r>
      <w:r>
        <w:rPr>
          <w:iCs/>
        </w:rPr>
        <w:t>396 pages, 22 000 t</w:t>
      </w:r>
      <w:r>
        <w:rPr>
          <w:iCs/>
        </w:rPr>
        <w:t>i</w:t>
      </w:r>
      <w:r>
        <w:rPr>
          <w:iCs/>
        </w:rPr>
        <w:t>tres.</w:t>
      </w:r>
    </w:p>
    <w:p w:rsidR="00B7214C" w:rsidRPr="00C976D2" w:rsidRDefault="00B7214C" w:rsidP="00B7214C">
      <w:pPr>
        <w:spacing w:before="120" w:after="120"/>
        <w:ind w:left="540" w:hanging="540"/>
        <w:jc w:val="both"/>
      </w:pPr>
      <w:r>
        <w:t>7.</w:t>
      </w:r>
      <w:r>
        <w:tab/>
      </w:r>
      <w:r w:rsidRPr="00C976D2">
        <w:rPr>
          <w:iCs/>
        </w:rPr>
        <w:t xml:space="preserve">Paul Aubin et Louis-Marie Côté. </w:t>
      </w:r>
      <w:r w:rsidRPr="00C976D2">
        <w:rPr>
          <w:i/>
        </w:rPr>
        <w:t>Bibliographie de l'histoire du Qu</w:t>
      </w:r>
      <w:r w:rsidRPr="00C976D2">
        <w:rPr>
          <w:i/>
        </w:rPr>
        <w:t>é</w:t>
      </w:r>
      <w:r w:rsidRPr="00C976D2">
        <w:rPr>
          <w:i/>
        </w:rPr>
        <w:t xml:space="preserve">bec et du Canada/Bibliography of the History of Quebec and Canada </w:t>
      </w:r>
      <w:r w:rsidRPr="00C976D2">
        <w:rPr>
          <w:bCs/>
          <w:i/>
        </w:rPr>
        <w:t>(</w:t>
      </w:r>
      <w:r w:rsidRPr="00C976D2">
        <w:rPr>
          <w:i/>
        </w:rPr>
        <w:t>1981</w:t>
      </w:r>
      <w:r w:rsidRPr="00C976D2">
        <w:rPr>
          <w:bCs/>
          <w:i/>
        </w:rPr>
        <w:t>-</w:t>
      </w:r>
      <w:r w:rsidRPr="00C976D2">
        <w:rPr>
          <w:i/>
        </w:rPr>
        <w:t>1985</w:t>
      </w:r>
      <w:r w:rsidRPr="00C976D2">
        <w:rPr>
          <w:bCs/>
          <w:i/>
        </w:rPr>
        <w:t>).</w:t>
      </w:r>
      <w:r w:rsidRPr="00C976D2">
        <w:rPr>
          <w:bCs/>
        </w:rPr>
        <w:t xml:space="preserve"> </w:t>
      </w:r>
      <w:r w:rsidRPr="00C976D2">
        <w:t>2</w:t>
      </w:r>
      <w:r w:rsidRPr="00C976D2">
        <w:rPr>
          <w:iCs/>
        </w:rPr>
        <w:t xml:space="preserve"> tomes — 1990, C-2</w:t>
      </w:r>
      <w:r>
        <w:rPr>
          <w:iCs/>
        </w:rPr>
        <w:t>073 pages, 29 000 t</w:t>
      </w:r>
      <w:r>
        <w:rPr>
          <w:iCs/>
        </w:rPr>
        <w:t>i</w:t>
      </w:r>
      <w:r>
        <w:rPr>
          <w:iCs/>
        </w:rPr>
        <w:t>tres.</w:t>
      </w:r>
    </w:p>
    <w:p w:rsidR="00B7214C" w:rsidRDefault="00B7214C" w:rsidP="00B7214C">
      <w:pPr>
        <w:spacing w:before="120" w:after="120"/>
        <w:ind w:left="540" w:hanging="540"/>
        <w:jc w:val="both"/>
      </w:pPr>
    </w:p>
    <w:p w:rsidR="00B7214C" w:rsidRPr="004A7EF1" w:rsidRDefault="00B7214C" w:rsidP="00B7214C">
      <w:pPr>
        <w:pStyle w:val="a"/>
      </w:pPr>
      <w:r>
        <w:t xml:space="preserve">VII. </w:t>
      </w:r>
      <w:r w:rsidRPr="004A7EF1">
        <w:t>Collection Les régions du Québec</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Jules Bélanger, Marc Desjardins et Yves Frenette. </w:t>
      </w:r>
      <w:r w:rsidRPr="004A7EF1">
        <w:rPr>
          <w:i/>
          <w:iCs/>
        </w:rPr>
        <w:t>Histoire de la Gaspésie.</w:t>
      </w:r>
      <w:r w:rsidRPr="004A7EF1">
        <w:rPr>
          <w:bCs/>
        </w:rPr>
        <w:t xml:space="preserve"> </w:t>
      </w:r>
      <w:r w:rsidRPr="004A7EF1">
        <w:t>Coll. « Les régions du Québec »</w:t>
      </w:r>
      <w:r>
        <w:t>,</w:t>
      </w:r>
      <w:r w:rsidRPr="004A7EF1">
        <w:t xml:space="preserve"> n°</w:t>
      </w:r>
      <w:r>
        <w:t> </w:t>
      </w:r>
      <w:r w:rsidRPr="004A7EF1">
        <w:t>1, Montréal, B</w:t>
      </w:r>
      <w:r w:rsidRPr="004A7EF1">
        <w:t>o</w:t>
      </w:r>
      <w:r w:rsidRPr="004A7EF1">
        <w:t xml:space="preserve">réal Express, </w:t>
      </w:r>
      <w:r>
        <w:t>1981,807 pages. ÉPUISÉ</w:t>
      </w:r>
    </w:p>
    <w:p w:rsidR="00B7214C" w:rsidRPr="004A7EF1" w:rsidRDefault="00B7214C" w:rsidP="00B7214C">
      <w:pPr>
        <w:spacing w:before="120" w:after="120"/>
        <w:ind w:left="540" w:hanging="540"/>
        <w:jc w:val="both"/>
      </w:pPr>
      <w:r>
        <w:t>2.</w:t>
      </w:r>
      <w:r>
        <w:tab/>
      </w:r>
      <w:r w:rsidRPr="004A7EF1">
        <w:t xml:space="preserve">Camil Girard et Normand Perron. </w:t>
      </w:r>
      <w:r w:rsidRPr="004A7EF1">
        <w:rPr>
          <w:i/>
          <w:iCs/>
        </w:rPr>
        <w:t>Histoire du Saguenay-Lac-Saint-Jean.</w:t>
      </w:r>
      <w:r w:rsidRPr="004A7EF1">
        <w:rPr>
          <w:bCs/>
        </w:rPr>
        <w:t xml:space="preserve"> </w:t>
      </w:r>
      <w:r w:rsidRPr="004A7EF1">
        <w:t>1989,</w:t>
      </w:r>
      <w:r>
        <w:t xml:space="preserve"> 665 pages.</w:t>
      </w:r>
    </w:p>
    <w:p w:rsidR="00B7214C" w:rsidRPr="004A7EF1" w:rsidRDefault="00B7214C" w:rsidP="00B7214C">
      <w:pPr>
        <w:spacing w:before="120" w:after="120"/>
        <w:ind w:left="540" w:hanging="540"/>
        <w:jc w:val="both"/>
      </w:pPr>
      <w:r>
        <w:t>3.</w:t>
      </w:r>
      <w:r>
        <w:tab/>
      </w:r>
      <w:r w:rsidRPr="004A7EF1">
        <w:t xml:space="preserve">Serge Laurin. </w:t>
      </w:r>
      <w:r w:rsidRPr="004A7EF1">
        <w:rPr>
          <w:i/>
          <w:iCs/>
        </w:rPr>
        <w:t>Histoire des Laurentides.</w:t>
      </w:r>
      <w:r w:rsidRPr="004A7EF1">
        <w:rPr>
          <w:bCs/>
        </w:rPr>
        <w:t xml:space="preserve"> </w:t>
      </w:r>
      <w:r w:rsidRPr="004A7EF1">
        <w:t>1989,</w:t>
      </w:r>
      <w:r>
        <w:t xml:space="preserve"> 892 pages.</w:t>
      </w:r>
    </w:p>
    <w:p w:rsidR="00B7214C" w:rsidRPr="004A7EF1" w:rsidRDefault="00B7214C" w:rsidP="00B7214C">
      <w:pPr>
        <w:spacing w:before="120" w:after="120"/>
        <w:ind w:left="540" w:hanging="540"/>
        <w:jc w:val="both"/>
      </w:pPr>
      <w:r>
        <w:t>4.</w:t>
      </w:r>
      <w:r>
        <w:tab/>
      </w:r>
      <w:r w:rsidRPr="004A7EF1">
        <w:t>Alain Laberge (sous la direction de), Martine Côté, Dia</w:t>
      </w:r>
      <w:r>
        <w:t>ne Saint-Pierre, Jacques Saint-</w:t>
      </w:r>
      <w:r w:rsidRPr="004A7EF1">
        <w:t xml:space="preserve">Pierre et Yves Hébert. </w:t>
      </w:r>
      <w:r w:rsidRPr="004A7EF1">
        <w:rPr>
          <w:i/>
          <w:iCs/>
        </w:rPr>
        <w:t>Histoire de la Côte-du-Sud.</w:t>
      </w:r>
      <w:r w:rsidRPr="004A7EF1">
        <w:rPr>
          <w:bCs/>
        </w:rPr>
        <w:t xml:space="preserve"> </w:t>
      </w:r>
      <w:r>
        <w:t>1993, 644 pages.</w:t>
      </w:r>
    </w:p>
    <w:p w:rsidR="00B7214C" w:rsidRDefault="00B7214C" w:rsidP="00B7214C">
      <w:pPr>
        <w:spacing w:before="120" w:after="120"/>
        <w:ind w:left="540" w:hanging="540"/>
        <w:jc w:val="both"/>
      </w:pPr>
      <w:r>
        <w:t>5.</w:t>
      </w:r>
      <w:r>
        <w:tab/>
      </w:r>
      <w:r w:rsidRPr="004A7EF1">
        <w:t>Jean-Charles Fortin, Antonio Lechasseur, Yvan Morin, Fer</w:t>
      </w:r>
      <w:r>
        <w:t>nand Ha</w:t>
      </w:r>
      <w:r>
        <w:t>r</w:t>
      </w:r>
      <w:r>
        <w:t>vey, Jacques Le</w:t>
      </w:r>
      <w:r w:rsidRPr="004A7EF1">
        <w:t xml:space="preserve">may et Yves Tremblay. </w:t>
      </w:r>
      <w:r w:rsidRPr="004A7EF1">
        <w:rPr>
          <w:i/>
          <w:iCs/>
        </w:rPr>
        <w:t>Histoire du Bas-Saint-Laurent.</w:t>
      </w:r>
      <w:r w:rsidRPr="004A7EF1">
        <w:rPr>
          <w:bCs/>
        </w:rPr>
        <w:t xml:space="preserve"> </w:t>
      </w:r>
      <w:r>
        <w:t>1993, 860 pages.</w:t>
      </w:r>
    </w:p>
    <w:p w:rsidR="00B7214C" w:rsidRDefault="00B7214C" w:rsidP="00B7214C">
      <w:pPr>
        <w:spacing w:before="120" w:after="120"/>
        <w:ind w:left="540" w:hanging="540"/>
        <w:jc w:val="both"/>
      </w:pPr>
    </w:p>
    <w:p w:rsidR="00B7214C" w:rsidRDefault="00B7214C" w:rsidP="00B7214C">
      <w:pPr>
        <w:spacing w:before="120" w:after="120"/>
        <w:ind w:left="540" w:hanging="540"/>
        <w:jc w:val="both"/>
      </w:pPr>
      <w:r>
        <w:t>[571]</w:t>
      </w:r>
    </w:p>
    <w:p w:rsidR="00B7214C" w:rsidRDefault="00B7214C" w:rsidP="00B7214C">
      <w:pPr>
        <w:spacing w:before="120" w:after="120"/>
        <w:ind w:left="540" w:hanging="540"/>
        <w:jc w:val="both"/>
      </w:pPr>
    </w:p>
    <w:p w:rsidR="00B7214C" w:rsidRPr="004A7EF1" w:rsidRDefault="00B7214C" w:rsidP="00B7214C">
      <w:pPr>
        <w:pStyle w:val="a"/>
      </w:pPr>
      <w:r>
        <w:t xml:space="preserve">VIII. </w:t>
      </w:r>
      <w:r w:rsidRPr="004A7EF1">
        <w:t>Collection Questions de culture</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Fernand Dumont, dir. </w:t>
      </w:r>
      <w:hyperlink r:id="rId115" w:history="1">
        <w:r w:rsidRPr="00C976D2">
          <w:rPr>
            <w:rStyle w:val="Lienhypertexte"/>
            <w:i/>
            <w:iCs/>
          </w:rPr>
          <w:t>Cette culture que l'on appelle savante</w:t>
        </w:r>
      </w:hyperlink>
      <w:r w:rsidRPr="004A7EF1">
        <w:rPr>
          <w:i/>
          <w:iCs/>
        </w:rPr>
        <w:t>.</w:t>
      </w:r>
      <w:r w:rsidRPr="004A7EF1">
        <w:rPr>
          <w:bCs/>
        </w:rPr>
        <w:t xml:space="preserve"> </w:t>
      </w:r>
      <w:r>
        <w:t>1981, 190 pages.</w:t>
      </w:r>
    </w:p>
    <w:p w:rsidR="00B7214C" w:rsidRPr="004A7EF1" w:rsidRDefault="00B7214C" w:rsidP="00B7214C">
      <w:pPr>
        <w:spacing w:before="120" w:after="120"/>
        <w:ind w:left="540" w:hanging="540"/>
        <w:jc w:val="both"/>
      </w:pPr>
      <w:r>
        <w:t>2.</w:t>
      </w:r>
      <w:r>
        <w:tab/>
      </w:r>
      <w:r w:rsidRPr="004A7EF1">
        <w:t xml:space="preserve">Fernand Harvey et Gary Caldwell, dir. </w:t>
      </w:r>
      <w:hyperlink r:id="rId116" w:history="1">
        <w:r w:rsidRPr="004220C2">
          <w:rPr>
            <w:rStyle w:val="Lienhypertexte"/>
            <w:i/>
            <w:iCs/>
          </w:rPr>
          <w:t>Migrations et communa</w:t>
        </w:r>
        <w:r w:rsidRPr="004220C2">
          <w:rPr>
            <w:rStyle w:val="Lienhypertexte"/>
            <w:i/>
            <w:iCs/>
          </w:rPr>
          <w:t>u</w:t>
        </w:r>
        <w:r w:rsidRPr="004220C2">
          <w:rPr>
            <w:rStyle w:val="Lienhypertexte"/>
            <w:i/>
            <w:iCs/>
          </w:rPr>
          <w:t>tés culturelles</w:t>
        </w:r>
      </w:hyperlink>
      <w:r w:rsidRPr="004A7EF1">
        <w:rPr>
          <w:i/>
          <w:iCs/>
        </w:rPr>
        <w:t>.</w:t>
      </w:r>
      <w:r w:rsidRPr="004A7EF1">
        <w:rPr>
          <w:bCs/>
        </w:rPr>
        <w:t xml:space="preserve"> </w:t>
      </w:r>
      <w:r>
        <w:t>1982, 159 pages.</w:t>
      </w:r>
    </w:p>
    <w:p w:rsidR="00B7214C" w:rsidRPr="004A7EF1" w:rsidRDefault="00B7214C" w:rsidP="00B7214C">
      <w:pPr>
        <w:spacing w:before="120" w:after="120"/>
        <w:ind w:left="540" w:hanging="540"/>
        <w:jc w:val="both"/>
      </w:pPr>
      <w:r>
        <w:t>3.</w:t>
      </w:r>
      <w:r>
        <w:tab/>
      </w:r>
      <w:r w:rsidRPr="004A7EF1">
        <w:t xml:space="preserve">Fernand Dumont, dir. </w:t>
      </w:r>
      <w:hyperlink r:id="rId117" w:history="1">
        <w:r w:rsidRPr="004220C2">
          <w:rPr>
            <w:rStyle w:val="Lienhypertexte"/>
            <w:i/>
          </w:rPr>
          <w:t>Les</w:t>
        </w:r>
        <w:r w:rsidRPr="004220C2">
          <w:rPr>
            <w:rStyle w:val="Lienhypertexte"/>
          </w:rPr>
          <w:t xml:space="preserve"> </w:t>
        </w:r>
        <w:r w:rsidRPr="004220C2">
          <w:rPr>
            <w:rStyle w:val="Lienhypertexte"/>
            <w:i/>
            <w:iCs/>
          </w:rPr>
          <w:t>cultures parallèles</w:t>
        </w:r>
      </w:hyperlink>
      <w:r w:rsidRPr="004A7EF1">
        <w:rPr>
          <w:i/>
          <w:iCs/>
        </w:rPr>
        <w:t>.</w:t>
      </w:r>
      <w:r w:rsidRPr="004A7EF1">
        <w:rPr>
          <w:bCs/>
        </w:rPr>
        <w:t xml:space="preserve"> </w:t>
      </w:r>
      <w:r w:rsidRPr="004A7EF1">
        <w:t>1982,</w:t>
      </w:r>
      <w:r>
        <w:t xml:space="preserve"> 172 pages.</w:t>
      </w:r>
    </w:p>
    <w:p w:rsidR="00B7214C" w:rsidRPr="004A7EF1" w:rsidRDefault="00B7214C" w:rsidP="00B7214C">
      <w:pPr>
        <w:spacing w:before="120" w:after="120"/>
        <w:ind w:left="540" w:hanging="540"/>
        <w:jc w:val="both"/>
      </w:pPr>
      <w:r>
        <w:t>4.</w:t>
      </w:r>
      <w:r>
        <w:tab/>
      </w:r>
      <w:r w:rsidRPr="004A7EF1">
        <w:t xml:space="preserve">Jean-Charles Falardeau, dir. </w:t>
      </w:r>
      <w:hyperlink r:id="rId118" w:history="1">
        <w:r w:rsidRPr="004220C2">
          <w:rPr>
            <w:rStyle w:val="Lienhypertexte"/>
            <w:i/>
            <w:iCs/>
          </w:rPr>
          <w:t>Architectures : la culture dans l'e</w:t>
        </w:r>
        <w:r w:rsidRPr="004220C2">
          <w:rPr>
            <w:rStyle w:val="Lienhypertexte"/>
            <w:i/>
            <w:iCs/>
          </w:rPr>
          <w:t>s</w:t>
        </w:r>
        <w:r w:rsidRPr="004220C2">
          <w:rPr>
            <w:rStyle w:val="Lienhypertexte"/>
            <w:i/>
            <w:iCs/>
          </w:rPr>
          <w:t>pace</w:t>
        </w:r>
      </w:hyperlink>
      <w:r w:rsidRPr="004A7EF1">
        <w:rPr>
          <w:i/>
          <w:iCs/>
        </w:rPr>
        <w:t>.</w:t>
      </w:r>
      <w:r w:rsidRPr="004A7EF1">
        <w:rPr>
          <w:bCs/>
        </w:rPr>
        <w:t xml:space="preserve"> </w:t>
      </w:r>
      <w:r>
        <w:t>1983, 210 pages.</w:t>
      </w:r>
    </w:p>
    <w:p w:rsidR="00B7214C" w:rsidRPr="004A7EF1" w:rsidRDefault="00B7214C" w:rsidP="00B7214C">
      <w:pPr>
        <w:spacing w:before="120" w:after="120"/>
        <w:ind w:left="540" w:hanging="540"/>
        <w:jc w:val="both"/>
      </w:pPr>
      <w:r>
        <w:t>5.</w:t>
      </w:r>
      <w:r>
        <w:tab/>
      </w:r>
      <w:r w:rsidRPr="004A7EF1">
        <w:t xml:space="preserve">Yvan Lamonde, dir. </w:t>
      </w:r>
      <w:hyperlink r:id="rId119" w:history="1">
        <w:r w:rsidRPr="004220C2">
          <w:rPr>
            <w:rStyle w:val="Lienhypertexte"/>
            <w:i/>
            <w:iCs/>
          </w:rPr>
          <w:t>Les régions culturelles</w:t>
        </w:r>
      </w:hyperlink>
      <w:r w:rsidRPr="004A7EF1">
        <w:rPr>
          <w:i/>
          <w:iCs/>
        </w:rPr>
        <w:t>.</w:t>
      </w:r>
      <w:r w:rsidRPr="004A7EF1">
        <w:rPr>
          <w:bCs/>
        </w:rPr>
        <w:t xml:space="preserve"> </w:t>
      </w:r>
      <w:r>
        <w:t>1983, 189 pages.</w:t>
      </w:r>
    </w:p>
    <w:p w:rsidR="00B7214C" w:rsidRPr="004A7EF1" w:rsidRDefault="00B7214C" w:rsidP="00B7214C">
      <w:pPr>
        <w:spacing w:before="120" w:after="120"/>
        <w:ind w:left="540" w:hanging="540"/>
        <w:jc w:val="both"/>
      </w:pPr>
      <w:r>
        <w:t>6.</w:t>
      </w:r>
      <w:r>
        <w:tab/>
      </w:r>
      <w:r w:rsidRPr="004A7EF1">
        <w:t xml:space="preserve">Madeleine Préclaire, dir. </w:t>
      </w:r>
      <w:hyperlink r:id="rId120" w:history="1">
        <w:r w:rsidRPr="004220C2">
          <w:rPr>
            <w:rStyle w:val="Lienhypertexte"/>
            <w:i/>
            <w:iCs/>
          </w:rPr>
          <w:t>La culture et l’âge</w:t>
        </w:r>
      </w:hyperlink>
      <w:r w:rsidRPr="004A7EF1">
        <w:rPr>
          <w:i/>
          <w:iCs/>
        </w:rPr>
        <w:t>.</w:t>
      </w:r>
      <w:r w:rsidRPr="004A7EF1">
        <w:rPr>
          <w:bCs/>
        </w:rPr>
        <w:t xml:space="preserve"> </w:t>
      </w:r>
      <w:r>
        <w:t>1984, 198 pages.</w:t>
      </w:r>
    </w:p>
    <w:p w:rsidR="00B7214C" w:rsidRPr="004A7EF1" w:rsidRDefault="00B7214C" w:rsidP="00B7214C">
      <w:pPr>
        <w:spacing w:before="120" w:after="120"/>
        <w:ind w:left="540" w:hanging="540"/>
        <w:jc w:val="both"/>
      </w:pPr>
      <w:r>
        <w:t>7.</w:t>
      </w:r>
      <w:r>
        <w:tab/>
      </w:r>
      <w:r w:rsidRPr="004A7EF1">
        <w:t xml:space="preserve">Gabrielle Lachance, dir. </w:t>
      </w:r>
      <w:hyperlink r:id="rId121" w:history="1">
        <w:r w:rsidRPr="004220C2">
          <w:rPr>
            <w:rStyle w:val="Lienhypertexte"/>
            <w:i/>
            <w:iCs/>
          </w:rPr>
          <w:t>La culture : une industrie ?</w:t>
        </w:r>
      </w:hyperlink>
      <w:r w:rsidRPr="004A7EF1">
        <w:rPr>
          <w:bCs/>
        </w:rPr>
        <w:t xml:space="preserve"> </w:t>
      </w:r>
      <w:r w:rsidRPr="004A7EF1">
        <w:t>1984, 216 p</w:t>
      </w:r>
      <w:r w:rsidRPr="004A7EF1">
        <w:t>a</w:t>
      </w:r>
      <w:r>
        <w:t>ges.</w:t>
      </w:r>
    </w:p>
    <w:p w:rsidR="00B7214C" w:rsidRPr="004A7EF1" w:rsidRDefault="00B7214C" w:rsidP="00B7214C">
      <w:pPr>
        <w:spacing w:before="120" w:after="120"/>
        <w:ind w:left="540" w:hanging="540"/>
        <w:jc w:val="both"/>
      </w:pPr>
      <w:r>
        <w:t>8.</w:t>
      </w:r>
      <w:r>
        <w:tab/>
      </w:r>
      <w:r w:rsidRPr="004A7EF1">
        <w:t>Pierre Anctil, Léon Be</w:t>
      </w:r>
      <w:r>
        <w:t>rn</w:t>
      </w:r>
      <w:r w:rsidRPr="004A7EF1">
        <w:t xml:space="preserve">ier et Isabelle Perrault, dir. </w:t>
      </w:r>
      <w:hyperlink r:id="rId122" w:history="1">
        <w:r w:rsidRPr="004220C2">
          <w:rPr>
            <w:rStyle w:val="Lienhypertexte"/>
            <w:i/>
            <w:iCs/>
          </w:rPr>
          <w:t>Présences de je</w:t>
        </w:r>
        <w:r w:rsidRPr="004220C2">
          <w:rPr>
            <w:rStyle w:val="Lienhypertexte"/>
            <w:i/>
            <w:iCs/>
          </w:rPr>
          <w:t>u</w:t>
        </w:r>
        <w:r w:rsidRPr="004220C2">
          <w:rPr>
            <w:rStyle w:val="Lienhypertexte"/>
            <w:i/>
            <w:iCs/>
          </w:rPr>
          <w:t>nes artistes</w:t>
        </w:r>
      </w:hyperlink>
      <w:r w:rsidRPr="004A7EF1">
        <w:rPr>
          <w:i/>
          <w:iCs/>
        </w:rPr>
        <w:t>.</w:t>
      </w:r>
      <w:r w:rsidRPr="004A7EF1">
        <w:rPr>
          <w:bCs/>
        </w:rPr>
        <w:t xml:space="preserve"> </w:t>
      </w:r>
      <w:r>
        <w:t>1985, 190 pages.</w:t>
      </w:r>
    </w:p>
    <w:p w:rsidR="00B7214C" w:rsidRPr="004A7EF1" w:rsidRDefault="00B7214C" w:rsidP="00B7214C">
      <w:pPr>
        <w:spacing w:before="120" w:after="120"/>
        <w:ind w:left="540" w:hanging="540"/>
        <w:jc w:val="both"/>
      </w:pPr>
      <w:r>
        <w:t>9.</w:t>
      </w:r>
      <w:r>
        <w:tab/>
      </w:r>
      <w:r w:rsidRPr="004A7EF1">
        <w:t xml:space="preserve">Denise Lemieux, dir. </w:t>
      </w:r>
      <w:hyperlink r:id="rId123" w:history="1">
        <w:r w:rsidRPr="004220C2">
          <w:rPr>
            <w:rStyle w:val="Lienhypertexte"/>
            <w:i/>
            <w:iCs/>
          </w:rPr>
          <w:t>Identités féminines : mémoire et création</w:t>
        </w:r>
      </w:hyperlink>
      <w:r w:rsidRPr="004A7EF1">
        <w:rPr>
          <w:i/>
          <w:iCs/>
        </w:rPr>
        <w:t>.</w:t>
      </w:r>
      <w:r w:rsidRPr="004A7EF1">
        <w:rPr>
          <w:bCs/>
        </w:rPr>
        <w:t xml:space="preserve"> </w:t>
      </w:r>
      <w:r>
        <w:t>1986, 199 pages.</w:t>
      </w:r>
    </w:p>
    <w:p w:rsidR="00B7214C" w:rsidRPr="004A7EF1" w:rsidRDefault="00B7214C" w:rsidP="00B7214C">
      <w:pPr>
        <w:spacing w:before="120" w:after="120"/>
        <w:ind w:left="540" w:hanging="540"/>
        <w:jc w:val="both"/>
      </w:pPr>
      <w:r>
        <w:t>10.</w:t>
      </w:r>
      <w:r>
        <w:tab/>
      </w:r>
      <w:r w:rsidRPr="004A7EF1">
        <w:t xml:space="preserve">Gabriel Dussault, dir. </w:t>
      </w:r>
      <w:hyperlink r:id="rId124" w:history="1">
        <w:r w:rsidRPr="004220C2">
          <w:rPr>
            <w:rStyle w:val="Lienhypertexte"/>
            <w:i/>
            <w:iCs/>
          </w:rPr>
          <w:t>L'État et la culture</w:t>
        </w:r>
      </w:hyperlink>
      <w:r w:rsidRPr="004A7EF1">
        <w:rPr>
          <w:i/>
          <w:iCs/>
        </w:rPr>
        <w:t>.</w:t>
      </w:r>
      <w:r w:rsidRPr="004A7EF1">
        <w:rPr>
          <w:bCs/>
        </w:rPr>
        <w:t xml:space="preserve"> </w:t>
      </w:r>
      <w:r>
        <w:t>1986, 173 pages.</w:t>
      </w:r>
    </w:p>
    <w:p w:rsidR="00B7214C" w:rsidRPr="004A7EF1" w:rsidRDefault="00B7214C" w:rsidP="00B7214C">
      <w:pPr>
        <w:spacing w:before="120" w:after="120"/>
        <w:ind w:left="540" w:hanging="540"/>
        <w:jc w:val="both"/>
      </w:pPr>
      <w:r>
        <w:t>11.</w:t>
      </w:r>
      <w:r>
        <w:tab/>
      </w:r>
      <w:r w:rsidRPr="004A7EF1">
        <w:t xml:space="preserve">Thérèse Hamel et Pierre Poulin, dir. </w:t>
      </w:r>
      <w:hyperlink r:id="rId125" w:history="1">
        <w:r w:rsidRPr="004220C2">
          <w:rPr>
            <w:rStyle w:val="Lienhypertexte"/>
            <w:i/>
            <w:iCs/>
          </w:rPr>
          <w:t>Devenir chercheur-e : itin</w:t>
        </w:r>
        <w:r w:rsidRPr="004220C2">
          <w:rPr>
            <w:rStyle w:val="Lienhypertexte"/>
            <w:i/>
            <w:iCs/>
          </w:rPr>
          <w:t>é</w:t>
        </w:r>
        <w:r w:rsidRPr="004220C2">
          <w:rPr>
            <w:rStyle w:val="Lienhypertexte"/>
            <w:i/>
            <w:iCs/>
          </w:rPr>
          <w:t>raires et perspectives</w:t>
        </w:r>
      </w:hyperlink>
      <w:r w:rsidRPr="004A7EF1">
        <w:rPr>
          <w:i/>
          <w:iCs/>
        </w:rPr>
        <w:t>.</w:t>
      </w:r>
      <w:r w:rsidRPr="004A7EF1">
        <w:rPr>
          <w:bCs/>
        </w:rPr>
        <w:t xml:space="preserve"> </w:t>
      </w:r>
      <w:r>
        <w:t>1986, 185 pages.</w:t>
      </w:r>
    </w:p>
    <w:p w:rsidR="00B7214C" w:rsidRPr="004A7EF1" w:rsidRDefault="00B7214C" w:rsidP="00B7214C">
      <w:pPr>
        <w:spacing w:before="120" w:after="120"/>
        <w:ind w:left="540" w:hanging="540"/>
        <w:jc w:val="both"/>
      </w:pPr>
      <w:r>
        <w:t>12.</w:t>
      </w:r>
      <w:r>
        <w:tab/>
      </w:r>
      <w:r w:rsidRPr="004A7EF1">
        <w:t xml:space="preserve">Madeleine Gauthier, dir. </w:t>
      </w:r>
      <w:hyperlink r:id="rId126" w:history="1">
        <w:r w:rsidRPr="004220C2">
          <w:rPr>
            <w:rStyle w:val="Lienhypertexte"/>
            <w:i/>
            <w:iCs/>
          </w:rPr>
          <w:t>Les nouveaux visages de la pauvreté</w:t>
        </w:r>
      </w:hyperlink>
      <w:r w:rsidRPr="004A7EF1">
        <w:rPr>
          <w:i/>
          <w:iCs/>
        </w:rPr>
        <w:t>.</w:t>
      </w:r>
      <w:r w:rsidRPr="004A7EF1">
        <w:rPr>
          <w:bCs/>
        </w:rPr>
        <w:t xml:space="preserve"> </w:t>
      </w:r>
      <w:r w:rsidRPr="004A7EF1">
        <w:t>198</w:t>
      </w:r>
      <w:r>
        <w:t>7, 2e tirage, 258 pages.</w:t>
      </w:r>
    </w:p>
    <w:p w:rsidR="00B7214C" w:rsidRPr="004A7EF1" w:rsidRDefault="00B7214C" w:rsidP="00B7214C">
      <w:pPr>
        <w:spacing w:before="120" w:after="120"/>
        <w:ind w:left="540" w:hanging="540"/>
        <w:jc w:val="both"/>
      </w:pPr>
      <w:r>
        <w:t>13.</w:t>
      </w:r>
      <w:r>
        <w:tab/>
      </w:r>
      <w:r w:rsidRPr="004A7EF1">
        <w:t xml:space="preserve">Renée B.-Dandurand, dir. </w:t>
      </w:r>
      <w:hyperlink r:id="rId127" w:history="1">
        <w:r w:rsidRPr="004220C2">
          <w:rPr>
            <w:rStyle w:val="Lienhypertexte"/>
            <w:i/>
            <w:iCs/>
          </w:rPr>
          <w:t>Couples et parents des années quatre-vingt</w:t>
        </w:r>
      </w:hyperlink>
      <w:r w:rsidRPr="004A7EF1">
        <w:rPr>
          <w:i/>
          <w:iCs/>
        </w:rPr>
        <w:t>.</w:t>
      </w:r>
      <w:r w:rsidRPr="004A7EF1">
        <w:rPr>
          <w:bCs/>
        </w:rPr>
        <w:t xml:space="preserve"> </w:t>
      </w:r>
      <w:r w:rsidRPr="004A7EF1">
        <w:t>19</w:t>
      </w:r>
      <w:r>
        <w:t>87, 3e tirage, 284 pages.</w:t>
      </w:r>
    </w:p>
    <w:p w:rsidR="00B7214C" w:rsidRPr="004A7EF1" w:rsidRDefault="00B7214C" w:rsidP="00B7214C">
      <w:pPr>
        <w:spacing w:before="120" w:after="120"/>
        <w:ind w:left="540" w:hanging="540"/>
        <w:jc w:val="both"/>
      </w:pPr>
      <w:r>
        <w:t>14.</w:t>
      </w:r>
      <w:r>
        <w:tab/>
      </w:r>
      <w:r w:rsidRPr="004A7EF1">
        <w:t xml:space="preserve">Gladys L. Symons, dir. </w:t>
      </w:r>
      <w:hyperlink r:id="rId128" w:history="1">
        <w:r w:rsidRPr="004220C2">
          <w:rPr>
            <w:rStyle w:val="Lienhypertexte"/>
            <w:i/>
            <w:iCs/>
          </w:rPr>
          <w:t>La culture des organisations</w:t>
        </w:r>
      </w:hyperlink>
      <w:r w:rsidRPr="004A7EF1">
        <w:rPr>
          <w:i/>
          <w:iCs/>
        </w:rPr>
        <w:t>.</w:t>
      </w:r>
      <w:r w:rsidRPr="004A7EF1">
        <w:rPr>
          <w:bCs/>
        </w:rPr>
        <w:t xml:space="preserve"> </w:t>
      </w:r>
      <w:r w:rsidRPr="004A7EF1">
        <w:t>1988,</w:t>
      </w:r>
      <w:r>
        <w:t xml:space="preserve"> </w:t>
      </w:r>
      <w:r w:rsidRPr="004A7EF1">
        <w:t>220 pa</w:t>
      </w:r>
      <w:r>
        <w:t>ges.</w:t>
      </w:r>
    </w:p>
    <w:p w:rsidR="00B7214C" w:rsidRPr="004A7EF1" w:rsidRDefault="00B7214C" w:rsidP="00B7214C">
      <w:pPr>
        <w:spacing w:before="120" w:after="120"/>
        <w:ind w:left="540" w:hanging="540"/>
        <w:jc w:val="both"/>
      </w:pPr>
      <w:r>
        <w:t>15.</w:t>
      </w:r>
      <w:r>
        <w:tab/>
      </w:r>
      <w:r w:rsidRPr="004A7EF1">
        <w:t xml:space="preserve">Gilles Pronovost et Daniel Mercure, dir. </w:t>
      </w:r>
      <w:hyperlink r:id="rId129" w:history="1">
        <w:r w:rsidRPr="004220C2">
          <w:rPr>
            <w:rStyle w:val="Lienhypertexte"/>
            <w:i/>
            <w:iCs/>
          </w:rPr>
          <w:t>Temps et société</w:t>
        </w:r>
      </w:hyperlink>
      <w:r w:rsidRPr="004A7EF1">
        <w:rPr>
          <w:i/>
          <w:iCs/>
        </w:rPr>
        <w:t>.</w:t>
      </w:r>
      <w:r w:rsidRPr="004A7EF1">
        <w:rPr>
          <w:bCs/>
        </w:rPr>
        <w:t xml:space="preserve"> </w:t>
      </w:r>
      <w:r w:rsidRPr="004A7EF1">
        <w:t>1989,</w:t>
      </w:r>
      <w:r>
        <w:t xml:space="preserve"> </w:t>
      </w:r>
      <w:r w:rsidRPr="004A7EF1">
        <w:t>258 pages</w:t>
      </w:r>
      <w:r>
        <w:t>.</w:t>
      </w:r>
    </w:p>
    <w:p w:rsidR="00B7214C" w:rsidRPr="004A7EF1" w:rsidRDefault="00B7214C" w:rsidP="00B7214C">
      <w:pPr>
        <w:spacing w:before="120" w:after="120"/>
        <w:ind w:left="540" w:hanging="540"/>
        <w:jc w:val="both"/>
      </w:pPr>
      <w:r>
        <w:t>16.</w:t>
      </w:r>
      <w:r>
        <w:tab/>
      </w:r>
      <w:r w:rsidRPr="004A7EF1">
        <w:t xml:space="preserve">Marie-Marthe T. Brault et Lise Saint-Jean, dir. </w:t>
      </w:r>
      <w:hyperlink r:id="rId130" w:history="1">
        <w:r w:rsidRPr="004220C2">
          <w:rPr>
            <w:rStyle w:val="Lienhypertexte"/>
            <w:i/>
            <w:iCs/>
          </w:rPr>
          <w:t>Entraide et associ</w:t>
        </w:r>
        <w:r w:rsidRPr="004220C2">
          <w:rPr>
            <w:rStyle w:val="Lienhypertexte"/>
            <w:i/>
            <w:iCs/>
          </w:rPr>
          <w:t>a</w:t>
        </w:r>
        <w:r w:rsidRPr="004220C2">
          <w:rPr>
            <w:rStyle w:val="Lienhypertexte"/>
            <w:i/>
            <w:iCs/>
          </w:rPr>
          <w:t>tions</w:t>
        </w:r>
      </w:hyperlink>
      <w:r w:rsidRPr="004A7EF1">
        <w:rPr>
          <w:i/>
          <w:iCs/>
        </w:rPr>
        <w:t>.</w:t>
      </w:r>
      <w:r w:rsidRPr="004A7EF1">
        <w:rPr>
          <w:bCs/>
        </w:rPr>
        <w:t xml:space="preserve"> </w:t>
      </w:r>
      <w:r>
        <w:t>1990, 280 pages.</w:t>
      </w:r>
    </w:p>
    <w:p w:rsidR="00B7214C" w:rsidRPr="004220C2" w:rsidRDefault="00B7214C" w:rsidP="00B7214C">
      <w:pPr>
        <w:spacing w:before="120" w:after="120"/>
        <w:ind w:left="540" w:hanging="540"/>
        <w:jc w:val="both"/>
      </w:pPr>
      <w:r>
        <w:t>17.</w:t>
      </w:r>
      <w:r>
        <w:tab/>
      </w:r>
      <w:r w:rsidRPr="004220C2">
        <w:rPr>
          <w:iCs/>
        </w:rPr>
        <w:t xml:space="preserve">Jacques T. Godbout, dir. </w:t>
      </w:r>
      <w:r w:rsidRPr="004220C2">
        <w:t xml:space="preserve">La </w:t>
      </w:r>
      <w:hyperlink r:id="rId131" w:history="1">
        <w:r w:rsidRPr="004220C2">
          <w:rPr>
            <w:rStyle w:val="Lienhypertexte"/>
            <w:i/>
          </w:rPr>
          <w:t>participation politique. Leçons des de</w:t>
        </w:r>
        <w:r w:rsidRPr="004220C2">
          <w:rPr>
            <w:rStyle w:val="Lienhypertexte"/>
            <w:i/>
          </w:rPr>
          <w:t>r</w:t>
        </w:r>
        <w:r w:rsidRPr="004220C2">
          <w:rPr>
            <w:rStyle w:val="Lienhypertexte"/>
            <w:i/>
          </w:rPr>
          <w:t>nières décennies</w:t>
        </w:r>
      </w:hyperlink>
      <w:r w:rsidRPr="004220C2">
        <w:t>.</w:t>
      </w:r>
      <w:r w:rsidRPr="004220C2">
        <w:rPr>
          <w:bCs/>
          <w:iCs/>
        </w:rPr>
        <w:t xml:space="preserve"> </w:t>
      </w:r>
      <w:r>
        <w:rPr>
          <w:iCs/>
        </w:rPr>
        <w:t>1991, 301 pages.</w:t>
      </w:r>
    </w:p>
    <w:p w:rsidR="00B7214C" w:rsidRPr="004A7EF1" w:rsidRDefault="00B7214C" w:rsidP="00B7214C">
      <w:pPr>
        <w:spacing w:before="120" w:after="120"/>
        <w:ind w:left="540" w:hanging="540"/>
        <w:jc w:val="both"/>
      </w:pPr>
      <w:r>
        <w:t>18.</w:t>
      </w:r>
      <w:r>
        <w:tab/>
      </w:r>
      <w:r w:rsidRPr="004A7EF1">
        <w:t xml:space="preserve">Annick Germain, dir. </w:t>
      </w:r>
      <w:r w:rsidRPr="004A7EF1">
        <w:rPr>
          <w:i/>
          <w:iCs/>
        </w:rPr>
        <w:t>L'aménagement urbain : promesses et d</w:t>
      </w:r>
      <w:r w:rsidRPr="004A7EF1">
        <w:rPr>
          <w:i/>
          <w:iCs/>
        </w:rPr>
        <w:t>é</w:t>
      </w:r>
      <w:r w:rsidRPr="004A7EF1">
        <w:rPr>
          <w:i/>
          <w:iCs/>
        </w:rPr>
        <w:t>fis.</w:t>
      </w:r>
      <w:r w:rsidRPr="004A7EF1">
        <w:rPr>
          <w:bCs/>
        </w:rPr>
        <w:t xml:space="preserve"> </w:t>
      </w:r>
      <w:r>
        <w:t>1991, 267 pages.</w:t>
      </w:r>
    </w:p>
    <w:p w:rsidR="00B7214C" w:rsidRPr="004A7EF1" w:rsidRDefault="00B7214C" w:rsidP="00B7214C">
      <w:pPr>
        <w:spacing w:before="120" w:after="120"/>
        <w:ind w:left="540" w:hanging="540"/>
        <w:jc w:val="both"/>
      </w:pPr>
      <w:r>
        <w:t>19.</w:t>
      </w:r>
      <w:r>
        <w:tab/>
      </w:r>
      <w:r w:rsidRPr="004A7EF1">
        <w:t xml:space="preserve">Pierre Dandurand, dir. </w:t>
      </w:r>
      <w:r w:rsidRPr="004A7EF1">
        <w:rPr>
          <w:i/>
          <w:iCs/>
        </w:rPr>
        <w:t>Enjeux actuels de la formation profe</w:t>
      </w:r>
      <w:r w:rsidRPr="004A7EF1">
        <w:rPr>
          <w:i/>
          <w:iCs/>
        </w:rPr>
        <w:t>s</w:t>
      </w:r>
      <w:r w:rsidRPr="004A7EF1">
        <w:rPr>
          <w:i/>
          <w:iCs/>
        </w:rPr>
        <w:t>sionnelle.</w:t>
      </w:r>
      <w:r w:rsidRPr="004A7EF1">
        <w:rPr>
          <w:bCs/>
        </w:rPr>
        <w:t xml:space="preserve"> </w:t>
      </w:r>
      <w:r>
        <w:t>1993, 275 pages.</w:t>
      </w:r>
    </w:p>
    <w:p w:rsidR="00B7214C" w:rsidRDefault="00B7214C" w:rsidP="00B7214C">
      <w:pPr>
        <w:spacing w:before="120" w:after="120"/>
        <w:ind w:left="540" w:hanging="540"/>
        <w:jc w:val="both"/>
      </w:pPr>
    </w:p>
    <w:p w:rsidR="00B7214C" w:rsidRPr="004A7EF1" w:rsidRDefault="00B7214C" w:rsidP="00B7214C">
      <w:pPr>
        <w:pStyle w:val="a"/>
      </w:pPr>
      <w:r>
        <w:t xml:space="preserve">IX. </w:t>
      </w:r>
      <w:r w:rsidRPr="004A7EF1">
        <w:t>Collection Diagnostic</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Laurent Laplante. </w:t>
      </w:r>
      <w:r w:rsidRPr="004A7EF1">
        <w:rPr>
          <w:i/>
          <w:iCs/>
        </w:rPr>
        <w:t>Le suicide.</w:t>
      </w:r>
      <w:r w:rsidRPr="004A7EF1">
        <w:rPr>
          <w:bCs/>
        </w:rPr>
        <w:t xml:space="preserve"> </w:t>
      </w:r>
      <w:r>
        <w:t>1985, 126 pages.</w:t>
      </w:r>
    </w:p>
    <w:p w:rsidR="00B7214C" w:rsidRPr="004A7EF1" w:rsidRDefault="00B7214C" w:rsidP="00B7214C">
      <w:pPr>
        <w:spacing w:before="120" w:after="120"/>
        <w:ind w:left="540" w:hanging="540"/>
        <w:jc w:val="both"/>
      </w:pPr>
      <w:r>
        <w:t>2.</w:t>
      </w:r>
      <w:r>
        <w:tab/>
      </w:r>
      <w:r w:rsidRPr="004A7EF1">
        <w:t xml:space="preserve">Jacques Dufresne. </w:t>
      </w:r>
      <w:r w:rsidRPr="004A7EF1">
        <w:rPr>
          <w:i/>
          <w:iCs/>
        </w:rPr>
        <w:t>La reproduction humaine industrialisée.</w:t>
      </w:r>
      <w:r w:rsidRPr="004A7EF1">
        <w:rPr>
          <w:bCs/>
        </w:rPr>
        <w:t xml:space="preserve"> </w:t>
      </w:r>
      <w:r w:rsidRPr="004A7EF1">
        <w:t>1986,</w:t>
      </w:r>
      <w:r>
        <w:t xml:space="preserve"> 126 pages.</w:t>
      </w:r>
    </w:p>
    <w:p w:rsidR="00B7214C" w:rsidRPr="004A7EF1" w:rsidRDefault="00B7214C" w:rsidP="00B7214C">
      <w:pPr>
        <w:spacing w:before="120" w:after="120"/>
        <w:ind w:left="540" w:hanging="540"/>
        <w:jc w:val="both"/>
      </w:pPr>
      <w:r>
        <w:t>3.</w:t>
      </w:r>
      <w:r>
        <w:tab/>
      </w:r>
      <w:r w:rsidRPr="004A7EF1">
        <w:t xml:space="preserve">Gérald LeBlanc. </w:t>
      </w:r>
      <w:r w:rsidRPr="004A7EF1">
        <w:rPr>
          <w:i/>
          <w:iCs/>
        </w:rPr>
        <w:t>L'école, les écoles, mon école.</w:t>
      </w:r>
      <w:r w:rsidRPr="004A7EF1">
        <w:rPr>
          <w:bCs/>
        </w:rPr>
        <w:t xml:space="preserve"> </w:t>
      </w:r>
      <w:r>
        <w:t>1986, 110 pages.</w:t>
      </w:r>
    </w:p>
    <w:p w:rsidR="00B7214C" w:rsidRPr="004A7EF1" w:rsidRDefault="00B7214C" w:rsidP="00B7214C">
      <w:pPr>
        <w:spacing w:before="120" w:after="120"/>
        <w:ind w:left="540" w:hanging="540"/>
        <w:jc w:val="both"/>
      </w:pPr>
      <w:r>
        <w:t>4.</w:t>
      </w:r>
      <w:r>
        <w:tab/>
      </w:r>
      <w:r w:rsidRPr="004A7EF1">
        <w:t xml:space="preserve">Jean Blouin. </w:t>
      </w:r>
      <w:r w:rsidRPr="004A7EF1">
        <w:rPr>
          <w:i/>
          <w:iCs/>
        </w:rPr>
        <w:t>Le libre-échange vraiment libre ?</w:t>
      </w:r>
      <w:r w:rsidRPr="004A7EF1">
        <w:rPr>
          <w:bCs/>
        </w:rPr>
        <w:t xml:space="preserve"> </w:t>
      </w:r>
      <w:r>
        <w:t>1986, 135 pages.</w:t>
      </w:r>
    </w:p>
    <w:p w:rsidR="00B7214C" w:rsidRPr="004A7EF1" w:rsidRDefault="00B7214C" w:rsidP="00B7214C">
      <w:pPr>
        <w:spacing w:before="120" w:after="120"/>
        <w:ind w:left="540" w:hanging="540"/>
        <w:jc w:val="both"/>
      </w:pPr>
      <w:r>
        <w:t>5.</w:t>
      </w:r>
      <w:r>
        <w:tab/>
      </w:r>
      <w:r w:rsidRPr="004A7EF1">
        <w:t xml:space="preserve">Jacques Dufresne. </w:t>
      </w:r>
      <w:r w:rsidRPr="004A7EF1">
        <w:rPr>
          <w:i/>
          <w:iCs/>
        </w:rPr>
        <w:t>Le procès du droit.</w:t>
      </w:r>
      <w:r w:rsidRPr="004A7EF1">
        <w:rPr>
          <w:bCs/>
        </w:rPr>
        <w:t xml:space="preserve"> </w:t>
      </w:r>
      <w:r w:rsidRPr="004A7EF1">
        <w:t>1987,</w:t>
      </w:r>
      <w:r>
        <w:t xml:space="preserve"> </w:t>
      </w:r>
      <w:r w:rsidRPr="004A7EF1">
        <w:t>12</w:t>
      </w:r>
      <w:r>
        <w:t>7 pages.</w:t>
      </w:r>
    </w:p>
    <w:p w:rsidR="00B7214C" w:rsidRPr="00D37A0F" w:rsidRDefault="00B7214C" w:rsidP="00B7214C">
      <w:pPr>
        <w:spacing w:before="120" w:after="120"/>
        <w:ind w:left="540" w:hanging="540"/>
        <w:jc w:val="both"/>
      </w:pPr>
      <w:r>
        <w:t>6.</w:t>
      </w:r>
      <w:r>
        <w:tab/>
      </w:r>
      <w:r w:rsidRPr="004A7EF1">
        <w:t>Miche</w:t>
      </w:r>
      <w:r>
        <w:t>l P</w:t>
      </w:r>
      <w:r w:rsidRPr="004A7EF1">
        <w:t>lourde</w:t>
      </w:r>
      <w:r>
        <w:t xml:space="preserve">, </w:t>
      </w:r>
      <w:r w:rsidRPr="00D37A0F">
        <w:rPr>
          <w:i/>
        </w:rPr>
        <w:t>La politique linguistique du Québec (1977-1987).</w:t>
      </w:r>
      <w:r w:rsidRPr="004A7EF1">
        <w:rPr>
          <w:bCs/>
          <w:i/>
          <w:iCs/>
        </w:rPr>
        <w:t xml:space="preserve"> </w:t>
      </w:r>
      <w:r w:rsidRPr="00D37A0F">
        <w:rPr>
          <w:iCs/>
        </w:rPr>
        <w:t>1988,</w:t>
      </w:r>
      <w:r>
        <w:rPr>
          <w:iCs/>
        </w:rPr>
        <w:t xml:space="preserve"> 3e tirage, 143 pages.</w:t>
      </w:r>
    </w:p>
    <w:p w:rsidR="00B7214C" w:rsidRPr="004A7EF1" w:rsidRDefault="00B7214C" w:rsidP="00B7214C">
      <w:pPr>
        <w:spacing w:before="120" w:after="120"/>
        <w:ind w:left="540" w:hanging="540"/>
        <w:jc w:val="both"/>
      </w:pPr>
      <w:r>
        <w:t>7.</w:t>
      </w:r>
      <w:r>
        <w:tab/>
      </w:r>
      <w:r w:rsidRPr="004A7EF1">
        <w:t xml:space="preserve">Vincent Lemieux. </w:t>
      </w:r>
      <w:r w:rsidRPr="004A7EF1">
        <w:rPr>
          <w:i/>
          <w:iCs/>
        </w:rPr>
        <w:t xml:space="preserve">Les sondages et </w:t>
      </w:r>
      <w:r>
        <w:rPr>
          <w:i/>
          <w:iCs/>
        </w:rPr>
        <w:t>l</w:t>
      </w:r>
      <w:r w:rsidRPr="004A7EF1">
        <w:rPr>
          <w:i/>
          <w:iCs/>
        </w:rPr>
        <w:t>a démocratie.</w:t>
      </w:r>
      <w:r w:rsidRPr="004A7EF1">
        <w:rPr>
          <w:bCs/>
        </w:rPr>
        <w:t xml:space="preserve"> </w:t>
      </w:r>
      <w:r w:rsidRPr="004A7EF1">
        <w:t>1988,</w:t>
      </w:r>
      <w:r>
        <w:t xml:space="preserve"> </w:t>
      </w:r>
      <w:r w:rsidRPr="004A7EF1">
        <w:t>122 p</w:t>
      </w:r>
      <w:r w:rsidRPr="004A7EF1">
        <w:t>a</w:t>
      </w:r>
      <w:r>
        <w:t>ges.</w:t>
      </w:r>
    </w:p>
    <w:p w:rsidR="00B7214C" w:rsidRPr="004A7EF1" w:rsidRDefault="00B7214C" w:rsidP="00B7214C">
      <w:pPr>
        <w:spacing w:before="120" w:after="120"/>
        <w:ind w:left="540" w:hanging="540"/>
        <w:jc w:val="both"/>
      </w:pPr>
      <w:r>
        <w:t>8.</w:t>
      </w:r>
      <w:r>
        <w:tab/>
      </w:r>
      <w:r w:rsidRPr="004A7EF1">
        <w:t xml:space="preserve">Laurent Laplante. </w:t>
      </w:r>
      <w:r w:rsidRPr="004A7EF1">
        <w:rPr>
          <w:i/>
          <w:iCs/>
        </w:rPr>
        <w:t>L'université. Questions et défis.</w:t>
      </w:r>
      <w:r w:rsidRPr="004A7EF1">
        <w:rPr>
          <w:bCs/>
        </w:rPr>
        <w:t xml:space="preserve"> </w:t>
      </w:r>
      <w:r w:rsidRPr="004A7EF1">
        <w:t>1988,</w:t>
      </w:r>
      <w:r>
        <w:t xml:space="preserve"> </w:t>
      </w:r>
      <w:r w:rsidRPr="004A7EF1">
        <w:t>141 p</w:t>
      </w:r>
      <w:r w:rsidRPr="004A7EF1">
        <w:t>a</w:t>
      </w:r>
      <w:r w:rsidRPr="004A7EF1">
        <w:t>ges.</w:t>
      </w:r>
    </w:p>
    <w:p w:rsidR="00B7214C" w:rsidRPr="004A7EF1" w:rsidRDefault="00B7214C" w:rsidP="00B7214C">
      <w:pPr>
        <w:spacing w:before="120" w:after="120"/>
        <w:ind w:left="540" w:hanging="540"/>
        <w:jc w:val="both"/>
      </w:pPr>
      <w:r>
        <w:t>9.</w:t>
      </w:r>
      <w:r>
        <w:tab/>
      </w:r>
      <w:r w:rsidRPr="004A7EF1">
        <w:t xml:space="preserve">Jean-Pierre Rogel. </w:t>
      </w:r>
      <w:r w:rsidRPr="004A7EF1">
        <w:rPr>
          <w:i/>
          <w:iCs/>
        </w:rPr>
        <w:t>Le défi de l'immigration.</w:t>
      </w:r>
      <w:r w:rsidRPr="004A7EF1">
        <w:rPr>
          <w:bCs/>
        </w:rPr>
        <w:t xml:space="preserve"> </w:t>
      </w:r>
      <w:r>
        <w:t>1989, 2e tirage, 123 p</w:t>
      </w:r>
      <w:r>
        <w:t>a</w:t>
      </w:r>
      <w:r>
        <w:t>ges.</w:t>
      </w:r>
    </w:p>
    <w:p w:rsidR="00B7214C" w:rsidRPr="004A7EF1" w:rsidRDefault="00B7214C" w:rsidP="00B7214C">
      <w:pPr>
        <w:spacing w:before="120" w:after="120"/>
        <w:ind w:left="540" w:hanging="540"/>
        <w:jc w:val="both"/>
      </w:pPr>
      <w:r>
        <w:t>10.</w:t>
      </w:r>
      <w:r>
        <w:tab/>
      </w:r>
      <w:r w:rsidRPr="004A7EF1">
        <w:t xml:space="preserve">Jacques Henripin. </w:t>
      </w:r>
      <w:hyperlink r:id="rId132" w:history="1">
        <w:r w:rsidRPr="009405D5">
          <w:rPr>
            <w:rStyle w:val="Lienhypertexte"/>
            <w:i/>
            <w:iCs/>
          </w:rPr>
          <w:t>Naître ou ne pas être</w:t>
        </w:r>
      </w:hyperlink>
      <w:r w:rsidRPr="004A7EF1">
        <w:rPr>
          <w:i/>
          <w:iCs/>
        </w:rPr>
        <w:t>.</w:t>
      </w:r>
      <w:r w:rsidRPr="004A7EF1">
        <w:rPr>
          <w:bCs/>
        </w:rPr>
        <w:t xml:space="preserve"> </w:t>
      </w:r>
      <w:r w:rsidRPr="004A7EF1">
        <w:t>1989,</w:t>
      </w:r>
      <w:r>
        <w:t xml:space="preserve"> 141 pages.</w:t>
      </w:r>
    </w:p>
    <w:p w:rsidR="00B7214C" w:rsidRPr="004A7EF1" w:rsidRDefault="00B7214C" w:rsidP="00B7214C">
      <w:pPr>
        <w:spacing w:before="120" w:after="120"/>
        <w:ind w:left="540" w:hanging="540"/>
        <w:jc w:val="both"/>
      </w:pPr>
      <w:r>
        <w:t>11.</w:t>
      </w:r>
      <w:r>
        <w:tab/>
      </w:r>
      <w:r w:rsidRPr="004A7EF1">
        <w:t xml:space="preserve">Diane-Gabrielle Tremblay. </w:t>
      </w:r>
      <w:r w:rsidRPr="004A7EF1">
        <w:rPr>
          <w:i/>
          <w:iCs/>
        </w:rPr>
        <w:t>L'emploi en devenir.</w:t>
      </w:r>
      <w:r w:rsidRPr="004A7EF1">
        <w:rPr>
          <w:bCs/>
        </w:rPr>
        <w:t xml:space="preserve"> </w:t>
      </w:r>
      <w:r w:rsidRPr="004A7EF1">
        <w:t>1990,</w:t>
      </w:r>
      <w:r>
        <w:t xml:space="preserve"> </w:t>
      </w:r>
      <w:r w:rsidRPr="004A7EF1">
        <w:t>121 p</w:t>
      </w:r>
      <w:r w:rsidRPr="004A7EF1">
        <w:t>a</w:t>
      </w:r>
      <w:r>
        <w:t>ges.</w:t>
      </w:r>
    </w:p>
    <w:p w:rsidR="00B7214C" w:rsidRPr="004A7EF1" w:rsidRDefault="00B7214C" w:rsidP="00B7214C">
      <w:pPr>
        <w:spacing w:before="120" w:after="120"/>
        <w:ind w:left="540" w:hanging="540"/>
        <w:jc w:val="both"/>
      </w:pPr>
      <w:r>
        <w:t>12.</w:t>
      </w:r>
      <w:r>
        <w:tab/>
      </w:r>
      <w:r w:rsidRPr="004A7EF1">
        <w:t xml:space="preserve">Laurent Laplante. </w:t>
      </w:r>
      <w:r w:rsidRPr="004A7EF1">
        <w:rPr>
          <w:i/>
          <w:iCs/>
        </w:rPr>
        <w:t>La police et les valeurs démocratiques.</w:t>
      </w:r>
      <w:r w:rsidRPr="004A7EF1">
        <w:rPr>
          <w:bCs/>
        </w:rPr>
        <w:t xml:space="preserve"> </w:t>
      </w:r>
      <w:r w:rsidRPr="004A7EF1">
        <w:t>1991,125 p</w:t>
      </w:r>
      <w:r w:rsidRPr="004A7EF1">
        <w:t>a</w:t>
      </w:r>
      <w:r>
        <w:t>ges.</w:t>
      </w:r>
    </w:p>
    <w:p w:rsidR="00B7214C" w:rsidRPr="004A7EF1" w:rsidRDefault="00B7214C" w:rsidP="00B7214C">
      <w:pPr>
        <w:spacing w:before="120" w:after="120"/>
        <w:ind w:left="540" w:hanging="540"/>
        <w:jc w:val="both"/>
      </w:pPr>
      <w:r>
        <w:t>13.</w:t>
      </w:r>
      <w:r>
        <w:tab/>
      </w:r>
      <w:r w:rsidRPr="004A7EF1">
        <w:t xml:space="preserve">Louise Corriveau. </w:t>
      </w:r>
      <w:r w:rsidRPr="004A7EF1">
        <w:rPr>
          <w:i/>
          <w:iCs/>
        </w:rPr>
        <w:t>Les Cégeps, question d'avenir.</w:t>
      </w:r>
      <w:r w:rsidRPr="004A7EF1">
        <w:rPr>
          <w:bCs/>
        </w:rPr>
        <w:t xml:space="preserve"> </w:t>
      </w:r>
      <w:r w:rsidRPr="004A7EF1">
        <w:t>1991,</w:t>
      </w:r>
      <w:r>
        <w:t xml:space="preserve"> </w:t>
      </w:r>
      <w:r w:rsidRPr="004A7EF1">
        <w:t>133 p</w:t>
      </w:r>
      <w:r w:rsidRPr="004A7EF1">
        <w:t>a</w:t>
      </w:r>
      <w:r>
        <w:t>ges.</w:t>
      </w:r>
    </w:p>
    <w:p w:rsidR="00B7214C" w:rsidRPr="004A7EF1" w:rsidRDefault="00B7214C" w:rsidP="00B7214C">
      <w:pPr>
        <w:spacing w:before="120" w:after="120"/>
        <w:ind w:left="540" w:hanging="540"/>
        <w:jc w:val="both"/>
      </w:pPr>
      <w:r>
        <w:t>14.</w:t>
      </w:r>
      <w:r>
        <w:tab/>
      </w:r>
      <w:r w:rsidRPr="004A7EF1">
        <w:t xml:space="preserve">Laurent Laplante. </w:t>
      </w:r>
      <w:r w:rsidRPr="004A7EF1">
        <w:rPr>
          <w:i/>
          <w:iCs/>
        </w:rPr>
        <w:t>L'information, un produit comme les autres ?</w:t>
      </w:r>
      <w:r w:rsidRPr="004A7EF1">
        <w:rPr>
          <w:bCs/>
        </w:rPr>
        <w:t xml:space="preserve"> </w:t>
      </w:r>
      <w:r w:rsidRPr="004A7EF1">
        <w:t>1992,115 pages.</w:t>
      </w:r>
    </w:p>
    <w:p w:rsidR="00B7214C" w:rsidRDefault="00B7214C" w:rsidP="00B7214C">
      <w:pPr>
        <w:spacing w:before="120" w:after="120"/>
        <w:ind w:left="540" w:hanging="540"/>
        <w:jc w:val="both"/>
      </w:pPr>
      <w:r>
        <w:t>15.</w:t>
      </w:r>
      <w:r>
        <w:tab/>
      </w:r>
      <w:r w:rsidRPr="004A7EF1">
        <w:t xml:space="preserve">Michel Venne. </w:t>
      </w:r>
      <w:r w:rsidRPr="00D37A0F">
        <w:rPr>
          <w:i/>
        </w:rPr>
        <w:t>Vie privée et démocratie à l’ère de l'informat</w:t>
      </w:r>
      <w:r w:rsidRPr="00D37A0F">
        <w:rPr>
          <w:i/>
        </w:rPr>
        <w:t>i</w:t>
      </w:r>
      <w:r w:rsidRPr="00D37A0F">
        <w:rPr>
          <w:i/>
        </w:rPr>
        <w:t>que</w:t>
      </w:r>
      <w:r w:rsidRPr="004A7EF1">
        <w:t>.</w:t>
      </w:r>
      <w:r w:rsidRPr="004A7EF1">
        <w:rPr>
          <w:bCs/>
        </w:rPr>
        <w:t xml:space="preserve"> </w:t>
      </w:r>
      <w:r>
        <w:t>1994,122 pages.</w:t>
      </w:r>
    </w:p>
    <w:p w:rsidR="00B7214C" w:rsidRDefault="00B7214C" w:rsidP="00B7214C">
      <w:pPr>
        <w:spacing w:before="120" w:after="120"/>
        <w:ind w:left="540" w:hanging="540"/>
        <w:jc w:val="both"/>
      </w:pPr>
    </w:p>
    <w:p w:rsidR="00B7214C" w:rsidRDefault="00B7214C" w:rsidP="00B7214C">
      <w:pPr>
        <w:spacing w:before="120" w:after="120"/>
        <w:ind w:left="540" w:hanging="540"/>
        <w:jc w:val="both"/>
      </w:pPr>
      <w:r>
        <w:t>[572]</w:t>
      </w:r>
    </w:p>
    <w:p w:rsidR="00B7214C" w:rsidRDefault="00B7214C" w:rsidP="00B7214C">
      <w:pPr>
        <w:spacing w:before="120" w:after="120"/>
        <w:ind w:left="540" w:hanging="540"/>
        <w:jc w:val="both"/>
      </w:pPr>
    </w:p>
    <w:p w:rsidR="00B7214C" w:rsidRDefault="00B7214C" w:rsidP="00B7214C">
      <w:pPr>
        <w:pStyle w:val="a"/>
      </w:pPr>
      <w:r>
        <w:t xml:space="preserve">X. </w:t>
      </w:r>
      <w:r w:rsidRPr="004A7EF1">
        <w:t>Collection Edmond-de-Nevers</w:t>
      </w:r>
    </w:p>
    <w:p w:rsidR="00B7214C" w:rsidRPr="004A7EF1" w:rsidRDefault="00B7214C" w:rsidP="00B7214C">
      <w:pPr>
        <w:spacing w:before="120" w:after="120"/>
        <w:ind w:left="540" w:hanging="540"/>
        <w:jc w:val="both"/>
      </w:pPr>
    </w:p>
    <w:p w:rsidR="00B7214C" w:rsidRPr="00D37A0F" w:rsidRDefault="00B7214C" w:rsidP="00B7214C">
      <w:pPr>
        <w:spacing w:before="120" w:after="120"/>
        <w:ind w:left="540" w:hanging="540"/>
        <w:jc w:val="both"/>
      </w:pPr>
      <w:r>
        <w:t>1.</w:t>
      </w:r>
      <w:r>
        <w:tab/>
      </w:r>
      <w:r w:rsidRPr="00D37A0F">
        <w:rPr>
          <w:iCs/>
        </w:rPr>
        <w:t xml:space="preserve">Lucie Robert. </w:t>
      </w:r>
      <w:r w:rsidRPr="009405D5">
        <w:rPr>
          <w:i/>
        </w:rPr>
        <w:t>Le manuel d'histo</w:t>
      </w:r>
      <w:r w:rsidRPr="009405D5">
        <w:rPr>
          <w:i/>
        </w:rPr>
        <w:t>i</w:t>
      </w:r>
      <w:r w:rsidRPr="009405D5">
        <w:rPr>
          <w:i/>
        </w:rPr>
        <w:t>re de la littérature canadienne de Mgr Camille</w:t>
      </w:r>
      <w:r w:rsidRPr="009405D5">
        <w:rPr>
          <w:bCs/>
          <w:i/>
          <w:iCs/>
        </w:rPr>
        <w:t xml:space="preserve"> </w:t>
      </w:r>
      <w:r w:rsidRPr="009405D5">
        <w:rPr>
          <w:i/>
          <w:iCs/>
        </w:rPr>
        <w:t>Roy</w:t>
      </w:r>
      <w:r>
        <w:rPr>
          <w:iCs/>
        </w:rPr>
        <w:t>. 1982, 198 pages.</w:t>
      </w:r>
    </w:p>
    <w:p w:rsidR="00B7214C" w:rsidRPr="00D37A0F" w:rsidRDefault="00B7214C" w:rsidP="00B7214C">
      <w:pPr>
        <w:spacing w:before="120" w:after="120"/>
        <w:ind w:left="540" w:hanging="540"/>
        <w:jc w:val="both"/>
      </w:pPr>
      <w:r>
        <w:t>2.</w:t>
      </w:r>
      <w:r>
        <w:tab/>
      </w:r>
      <w:r w:rsidRPr="00D37A0F">
        <w:rPr>
          <w:iCs/>
        </w:rPr>
        <w:t xml:space="preserve">Réal Brisson. </w:t>
      </w:r>
      <w:r w:rsidRPr="009405D5">
        <w:rPr>
          <w:i/>
        </w:rPr>
        <w:t>La charpenterie navale à Québec sous le régime fra</w:t>
      </w:r>
      <w:r w:rsidRPr="009405D5">
        <w:rPr>
          <w:i/>
        </w:rPr>
        <w:t>n</w:t>
      </w:r>
      <w:r w:rsidRPr="009405D5">
        <w:rPr>
          <w:i/>
        </w:rPr>
        <w:t>çais</w:t>
      </w:r>
      <w:r w:rsidRPr="00D37A0F">
        <w:t>.</w:t>
      </w:r>
      <w:r w:rsidRPr="00D37A0F">
        <w:rPr>
          <w:bCs/>
          <w:iCs/>
        </w:rPr>
        <w:t xml:space="preserve"> </w:t>
      </w:r>
      <w:r>
        <w:rPr>
          <w:iCs/>
        </w:rPr>
        <w:t>1983, 320 pages.</w:t>
      </w:r>
    </w:p>
    <w:p w:rsidR="00B7214C" w:rsidRPr="00D37A0F" w:rsidRDefault="00B7214C" w:rsidP="00B7214C">
      <w:pPr>
        <w:spacing w:before="120" w:after="120"/>
        <w:ind w:left="540" w:hanging="540"/>
        <w:jc w:val="both"/>
      </w:pPr>
      <w:r>
        <w:t>3.</w:t>
      </w:r>
      <w:r>
        <w:tab/>
      </w:r>
      <w:r w:rsidRPr="00D37A0F">
        <w:rPr>
          <w:iCs/>
        </w:rPr>
        <w:t xml:space="preserve">Hélène Lafrance. </w:t>
      </w:r>
      <w:r w:rsidRPr="00D37A0F">
        <w:rPr>
          <w:i/>
        </w:rPr>
        <w:t>Yves Thériault et l'institution littéraire québ</w:t>
      </w:r>
      <w:r w:rsidRPr="00D37A0F">
        <w:rPr>
          <w:i/>
        </w:rPr>
        <w:t>é</w:t>
      </w:r>
      <w:r w:rsidRPr="00D37A0F">
        <w:rPr>
          <w:i/>
        </w:rPr>
        <w:t>co</w:t>
      </w:r>
      <w:r w:rsidRPr="00D37A0F">
        <w:rPr>
          <w:i/>
        </w:rPr>
        <w:t>i</w:t>
      </w:r>
      <w:r w:rsidRPr="00D37A0F">
        <w:rPr>
          <w:i/>
        </w:rPr>
        <w:t>se</w:t>
      </w:r>
      <w:r w:rsidRPr="00D37A0F">
        <w:t>.</w:t>
      </w:r>
      <w:r w:rsidRPr="00D37A0F">
        <w:rPr>
          <w:bCs/>
          <w:iCs/>
        </w:rPr>
        <w:t xml:space="preserve"> </w:t>
      </w:r>
      <w:r>
        <w:rPr>
          <w:iCs/>
        </w:rPr>
        <w:t>1984, 174 pages.</w:t>
      </w:r>
    </w:p>
    <w:p w:rsidR="00B7214C" w:rsidRPr="00D37A0F" w:rsidRDefault="00B7214C" w:rsidP="00B7214C">
      <w:pPr>
        <w:spacing w:before="120" w:after="120"/>
        <w:ind w:left="540" w:hanging="540"/>
        <w:jc w:val="both"/>
      </w:pPr>
      <w:r>
        <w:t>4.</w:t>
      </w:r>
      <w:r>
        <w:tab/>
      </w:r>
      <w:r w:rsidRPr="00D37A0F">
        <w:rPr>
          <w:iCs/>
        </w:rPr>
        <w:t xml:space="preserve">Hélène Laforce. </w:t>
      </w:r>
      <w:r w:rsidRPr="009405D5">
        <w:rPr>
          <w:i/>
        </w:rPr>
        <w:t>Histoire de la sage-femme dans la région de Qu</w:t>
      </w:r>
      <w:r w:rsidRPr="009405D5">
        <w:rPr>
          <w:i/>
        </w:rPr>
        <w:t>é</w:t>
      </w:r>
      <w:r w:rsidRPr="009405D5">
        <w:rPr>
          <w:i/>
        </w:rPr>
        <w:t>bec</w:t>
      </w:r>
      <w:r w:rsidRPr="00D37A0F">
        <w:t>.</w:t>
      </w:r>
      <w:r w:rsidRPr="00D37A0F">
        <w:rPr>
          <w:bCs/>
          <w:iCs/>
        </w:rPr>
        <w:t xml:space="preserve"> </w:t>
      </w:r>
      <w:r>
        <w:rPr>
          <w:iCs/>
        </w:rPr>
        <w:t>1985, 237 pages.</w:t>
      </w:r>
    </w:p>
    <w:p w:rsidR="00B7214C" w:rsidRPr="00D37A0F" w:rsidRDefault="00B7214C" w:rsidP="00B7214C">
      <w:pPr>
        <w:spacing w:before="120" w:after="120"/>
        <w:ind w:left="540" w:hanging="540"/>
        <w:jc w:val="both"/>
      </w:pPr>
      <w:r>
        <w:t>5.</w:t>
      </w:r>
      <w:r>
        <w:tab/>
      </w:r>
      <w:r w:rsidRPr="00D37A0F">
        <w:rPr>
          <w:iCs/>
        </w:rPr>
        <w:t>Michel Sarra-Bou</w:t>
      </w:r>
      <w:r>
        <w:rPr>
          <w:iCs/>
        </w:rPr>
        <w:t>rn</w:t>
      </w:r>
      <w:r w:rsidRPr="00D37A0F">
        <w:rPr>
          <w:iCs/>
        </w:rPr>
        <w:t xml:space="preserve">et. </w:t>
      </w:r>
      <w:r w:rsidRPr="009405D5">
        <w:rPr>
          <w:i/>
        </w:rPr>
        <w:t>L'Affaire Roncarelli. Duplessis contre les T</w:t>
      </w:r>
      <w:r w:rsidRPr="009405D5">
        <w:rPr>
          <w:i/>
        </w:rPr>
        <w:t>é</w:t>
      </w:r>
      <w:r w:rsidRPr="009405D5">
        <w:rPr>
          <w:i/>
        </w:rPr>
        <w:t>moins de Jéhovah</w:t>
      </w:r>
      <w:r w:rsidRPr="00D37A0F">
        <w:t>.</w:t>
      </w:r>
      <w:r w:rsidRPr="00D37A0F">
        <w:rPr>
          <w:bCs/>
          <w:iCs/>
        </w:rPr>
        <w:t xml:space="preserve"> </w:t>
      </w:r>
      <w:r>
        <w:rPr>
          <w:iCs/>
        </w:rPr>
        <w:t>1986, 196 pages.</w:t>
      </w:r>
    </w:p>
    <w:p w:rsidR="00B7214C" w:rsidRPr="00D37A0F" w:rsidRDefault="00B7214C" w:rsidP="00B7214C">
      <w:pPr>
        <w:spacing w:before="120" w:after="120"/>
        <w:ind w:left="540" w:hanging="540"/>
        <w:jc w:val="both"/>
      </w:pPr>
      <w:r>
        <w:t>6.</w:t>
      </w:r>
      <w:r>
        <w:tab/>
      </w:r>
      <w:r w:rsidRPr="00D37A0F">
        <w:rPr>
          <w:iCs/>
        </w:rPr>
        <w:t xml:space="preserve">Denis Goulet </w:t>
      </w:r>
      <w:r w:rsidRPr="009405D5">
        <w:rPr>
          <w:i/>
        </w:rPr>
        <w:t>Le commerce des maladies. La publicité des rem</w:t>
      </w:r>
      <w:r w:rsidRPr="009405D5">
        <w:rPr>
          <w:i/>
        </w:rPr>
        <w:t>è</w:t>
      </w:r>
      <w:r w:rsidRPr="009405D5">
        <w:rPr>
          <w:i/>
        </w:rPr>
        <w:t>des au début du siècle</w:t>
      </w:r>
      <w:r w:rsidRPr="00D37A0F">
        <w:t>.</w:t>
      </w:r>
      <w:r w:rsidRPr="00D37A0F">
        <w:rPr>
          <w:bCs/>
          <w:iCs/>
        </w:rPr>
        <w:t xml:space="preserve"> </w:t>
      </w:r>
      <w:r w:rsidRPr="00D37A0F">
        <w:rPr>
          <w:iCs/>
        </w:rPr>
        <w:t>1987, 139 pages. (20 $)</w:t>
      </w:r>
    </w:p>
    <w:p w:rsidR="00B7214C" w:rsidRPr="00D37A0F" w:rsidRDefault="00B7214C" w:rsidP="00B7214C">
      <w:pPr>
        <w:spacing w:before="120" w:after="120"/>
        <w:ind w:left="540" w:hanging="540"/>
        <w:jc w:val="both"/>
      </w:pPr>
      <w:r>
        <w:t>7.</w:t>
      </w:r>
      <w:r>
        <w:tab/>
      </w:r>
      <w:r w:rsidRPr="00D37A0F">
        <w:rPr>
          <w:iCs/>
        </w:rPr>
        <w:t xml:space="preserve">Hélène Bédard. </w:t>
      </w:r>
      <w:r w:rsidRPr="009405D5">
        <w:rPr>
          <w:i/>
        </w:rPr>
        <w:t>Les Montagnais et la réserve de Betsiamites (1850-1900).</w:t>
      </w:r>
      <w:r w:rsidRPr="00D37A0F">
        <w:rPr>
          <w:bCs/>
          <w:iCs/>
        </w:rPr>
        <w:t xml:space="preserve"> </w:t>
      </w:r>
      <w:r w:rsidRPr="00D37A0F">
        <w:rPr>
          <w:iCs/>
        </w:rPr>
        <w:t>1988,149 pages.</w:t>
      </w:r>
    </w:p>
    <w:p w:rsidR="00B7214C" w:rsidRPr="004A7EF1" w:rsidRDefault="00B7214C" w:rsidP="00B7214C">
      <w:pPr>
        <w:spacing w:before="120" w:after="120"/>
        <w:ind w:left="540" w:hanging="540"/>
        <w:jc w:val="both"/>
      </w:pPr>
      <w:r>
        <w:t>8.</w:t>
      </w:r>
      <w:r>
        <w:tab/>
      </w:r>
      <w:r w:rsidRPr="004A7EF1">
        <w:t xml:space="preserve">Robert Laliberté. </w:t>
      </w:r>
      <w:r w:rsidRPr="004A7EF1">
        <w:rPr>
          <w:i/>
          <w:iCs/>
        </w:rPr>
        <w:t>L'imaginaire politique de Victor Segalen.</w:t>
      </w:r>
      <w:r w:rsidRPr="004A7EF1">
        <w:rPr>
          <w:bCs/>
        </w:rPr>
        <w:t xml:space="preserve"> </w:t>
      </w:r>
      <w:r>
        <w:t>1989, 152 pages.</w:t>
      </w:r>
    </w:p>
    <w:p w:rsidR="00B7214C" w:rsidRPr="00D37A0F" w:rsidRDefault="00B7214C" w:rsidP="00B7214C">
      <w:pPr>
        <w:spacing w:before="120" w:after="120"/>
        <w:ind w:left="540" w:hanging="540"/>
        <w:jc w:val="both"/>
      </w:pPr>
      <w:r>
        <w:t>9.</w:t>
      </w:r>
      <w:r>
        <w:tab/>
      </w:r>
      <w:r w:rsidRPr="00D37A0F">
        <w:rPr>
          <w:iCs/>
        </w:rPr>
        <w:t xml:space="preserve">Aline Charles. </w:t>
      </w:r>
      <w:r w:rsidRPr="00D37A0F">
        <w:rPr>
          <w:i/>
        </w:rPr>
        <w:t>Travail d'ombre et de lumière. Le bénévolat fém</w:t>
      </w:r>
      <w:r w:rsidRPr="00D37A0F">
        <w:rPr>
          <w:i/>
        </w:rPr>
        <w:t>i</w:t>
      </w:r>
      <w:r w:rsidRPr="00D37A0F">
        <w:rPr>
          <w:i/>
        </w:rPr>
        <w:t>nin à l'Hôpital Sainte-Justine, 1907-1960</w:t>
      </w:r>
      <w:r w:rsidRPr="00D37A0F">
        <w:t>.</w:t>
      </w:r>
      <w:r>
        <w:t xml:space="preserve"> </w:t>
      </w:r>
      <w:r w:rsidRPr="00D37A0F">
        <w:rPr>
          <w:iCs/>
        </w:rPr>
        <w:t>1990,</w:t>
      </w:r>
      <w:r>
        <w:rPr>
          <w:iCs/>
        </w:rPr>
        <w:t xml:space="preserve"> 191 pages.</w:t>
      </w:r>
    </w:p>
    <w:p w:rsidR="00B7214C" w:rsidRPr="00D37A0F" w:rsidRDefault="00B7214C" w:rsidP="00B7214C">
      <w:pPr>
        <w:spacing w:before="120" w:after="120"/>
        <w:ind w:left="540" w:hanging="540"/>
        <w:jc w:val="both"/>
      </w:pPr>
      <w:r>
        <w:t>10.</w:t>
      </w:r>
      <w:r>
        <w:tab/>
      </w:r>
      <w:r w:rsidRPr="00D37A0F">
        <w:rPr>
          <w:iCs/>
        </w:rPr>
        <w:t xml:space="preserve">Hélène Bourque. </w:t>
      </w:r>
      <w:r w:rsidRPr="00D37A0F">
        <w:rPr>
          <w:i/>
        </w:rPr>
        <w:t>La maison de faubourg. L'architecture domest</w:t>
      </w:r>
      <w:r w:rsidRPr="00D37A0F">
        <w:rPr>
          <w:i/>
        </w:rPr>
        <w:t>i</w:t>
      </w:r>
      <w:r w:rsidRPr="00D37A0F">
        <w:rPr>
          <w:i/>
        </w:rPr>
        <w:t>que des faubourgs Saint-Jean et Saint-Roch avant 1845</w:t>
      </w:r>
      <w:r w:rsidRPr="00D37A0F">
        <w:t>.</w:t>
      </w:r>
      <w:r w:rsidRPr="00D37A0F">
        <w:rPr>
          <w:bCs/>
          <w:iCs/>
        </w:rPr>
        <w:t xml:space="preserve"> </w:t>
      </w:r>
      <w:r w:rsidRPr="00D37A0F">
        <w:rPr>
          <w:iCs/>
        </w:rPr>
        <w:t>1991,</w:t>
      </w:r>
      <w:r>
        <w:rPr>
          <w:iCs/>
        </w:rPr>
        <w:t xml:space="preserve"> </w:t>
      </w:r>
      <w:r w:rsidRPr="00D37A0F">
        <w:rPr>
          <w:iCs/>
        </w:rPr>
        <w:t>199 pages.</w:t>
      </w:r>
    </w:p>
    <w:p w:rsidR="00B7214C" w:rsidRDefault="00B7214C" w:rsidP="00B7214C">
      <w:pPr>
        <w:spacing w:before="120" w:after="120"/>
        <w:ind w:left="540" w:hanging="540"/>
        <w:jc w:val="both"/>
        <w:rPr>
          <w:iCs/>
        </w:rPr>
      </w:pPr>
      <w:r>
        <w:t>11.</w:t>
      </w:r>
      <w:r>
        <w:tab/>
      </w:r>
      <w:r w:rsidRPr="00D37A0F">
        <w:rPr>
          <w:iCs/>
        </w:rPr>
        <w:t xml:space="preserve">Louise Gagnon. </w:t>
      </w:r>
      <w:r w:rsidRPr="00D37A0F">
        <w:rPr>
          <w:i/>
        </w:rPr>
        <w:t>L’apparition des modes enfantines au Québec</w:t>
      </w:r>
      <w:r w:rsidRPr="00D37A0F">
        <w:t>.</w:t>
      </w:r>
      <w:r w:rsidRPr="00D37A0F">
        <w:rPr>
          <w:bCs/>
          <w:iCs/>
        </w:rPr>
        <w:t xml:space="preserve"> </w:t>
      </w:r>
      <w:r>
        <w:rPr>
          <w:iCs/>
        </w:rPr>
        <w:t>1992, 230 pages.</w:t>
      </w:r>
    </w:p>
    <w:p w:rsidR="00B7214C" w:rsidRPr="00D37A0F" w:rsidRDefault="00B7214C" w:rsidP="00B7214C">
      <w:pPr>
        <w:spacing w:before="120" w:after="120"/>
        <w:ind w:left="540" w:hanging="540"/>
        <w:jc w:val="both"/>
      </w:pPr>
      <w:r>
        <w:rPr>
          <w:iCs/>
        </w:rPr>
        <w:t>12.</w:t>
      </w:r>
      <w:r>
        <w:rPr>
          <w:iCs/>
        </w:rPr>
        <w:tab/>
        <w:t xml:space="preserve">Janusz Prychodzen, </w:t>
      </w:r>
      <w:r>
        <w:rPr>
          <w:i/>
          <w:iCs/>
        </w:rPr>
        <w:t xml:space="preserve">Un projet de liberté. L’essai littéraire au Québec, </w:t>
      </w:r>
      <w:r w:rsidRPr="00D37A0F">
        <w:rPr>
          <w:i/>
        </w:rPr>
        <w:t>1970-1990</w:t>
      </w:r>
      <w:r w:rsidRPr="00D37A0F">
        <w:t>.</w:t>
      </w:r>
      <w:r w:rsidRPr="00D37A0F">
        <w:rPr>
          <w:bCs/>
          <w:iCs/>
        </w:rPr>
        <w:t xml:space="preserve"> </w:t>
      </w:r>
      <w:r>
        <w:rPr>
          <w:iCs/>
        </w:rPr>
        <w:t>1993, 213 pages.</w:t>
      </w:r>
    </w:p>
    <w:p w:rsidR="00B7214C" w:rsidRDefault="00B7214C" w:rsidP="00B7214C">
      <w:pPr>
        <w:spacing w:before="120" w:after="120"/>
        <w:ind w:left="540" w:hanging="540"/>
        <w:jc w:val="both"/>
      </w:pPr>
    </w:p>
    <w:p w:rsidR="00B7214C" w:rsidRDefault="00B7214C" w:rsidP="00B7214C">
      <w:pPr>
        <w:pStyle w:val="a"/>
      </w:pPr>
      <w:r>
        <w:t xml:space="preserve">XI. </w:t>
      </w:r>
      <w:r w:rsidRPr="004A7EF1">
        <w:t>Rapports de recherche et manuscrits à diffusion limitée</w:t>
      </w:r>
      <w:r>
        <w:rPr>
          <w:b w:val="0"/>
          <w:i w:val="0"/>
        </w:rPr>
        <w:t> </w:t>
      </w:r>
      <w:r>
        <w:rPr>
          <w:rStyle w:val="Appelnotedebasdep"/>
          <w:b w:val="0"/>
          <w:i w:val="0"/>
        </w:rPr>
        <w:footnoteReference w:customMarkFollows="1" w:id="414"/>
        <w:t>*</w:t>
      </w:r>
    </w:p>
    <w:p w:rsidR="00B7214C" w:rsidRPr="004A7EF1" w:rsidRDefault="00B7214C" w:rsidP="00B7214C">
      <w:pPr>
        <w:spacing w:before="120" w:after="120"/>
        <w:ind w:left="540" w:hanging="540"/>
        <w:jc w:val="both"/>
      </w:pPr>
    </w:p>
    <w:p w:rsidR="00B7214C" w:rsidRPr="00D37A0F" w:rsidRDefault="00B7214C" w:rsidP="00B7214C">
      <w:pPr>
        <w:spacing w:before="120" w:after="120"/>
        <w:ind w:left="540" w:hanging="540"/>
        <w:jc w:val="both"/>
      </w:pPr>
      <w:r>
        <w:t>1.</w:t>
      </w:r>
      <w:r>
        <w:tab/>
      </w:r>
      <w:r w:rsidRPr="00D37A0F">
        <w:rPr>
          <w:iCs/>
        </w:rPr>
        <w:t xml:space="preserve">Louise Rondeau. </w:t>
      </w:r>
      <w:r w:rsidRPr="00D37A0F">
        <w:rPr>
          <w:i/>
        </w:rPr>
        <w:t>Le récit de fin du monde : orientations méth</w:t>
      </w:r>
      <w:r w:rsidRPr="00D37A0F">
        <w:rPr>
          <w:i/>
        </w:rPr>
        <w:t>o</w:t>
      </w:r>
      <w:r w:rsidRPr="00D37A0F">
        <w:rPr>
          <w:i/>
        </w:rPr>
        <w:t>dolog</w:t>
      </w:r>
      <w:r w:rsidRPr="00D37A0F">
        <w:rPr>
          <w:i/>
        </w:rPr>
        <w:t>i</w:t>
      </w:r>
      <w:r w:rsidRPr="00D37A0F">
        <w:rPr>
          <w:i/>
        </w:rPr>
        <w:t>ques de recherche</w:t>
      </w:r>
      <w:r w:rsidRPr="00D37A0F">
        <w:t>.</w:t>
      </w:r>
      <w:r w:rsidRPr="00D37A0F">
        <w:rPr>
          <w:bCs/>
          <w:iCs/>
        </w:rPr>
        <w:t xml:space="preserve"> </w:t>
      </w:r>
      <w:r w:rsidRPr="00D37A0F">
        <w:rPr>
          <w:iCs/>
        </w:rPr>
        <w:t>1982, 70 pages.</w:t>
      </w:r>
    </w:p>
    <w:p w:rsidR="00B7214C" w:rsidRPr="00D37A0F" w:rsidRDefault="00B7214C" w:rsidP="00B7214C">
      <w:pPr>
        <w:spacing w:before="120" w:after="120"/>
        <w:ind w:left="540" w:hanging="540"/>
        <w:jc w:val="both"/>
      </w:pPr>
      <w:r>
        <w:t>2.</w:t>
      </w:r>
      <w:r>
        <w:tab/>
      </w:r>
      <w:r w:rsidRPr="00D37A0F">
        <w:rPr>
          <w:iCs/>
        </w:rPr>
        <w:t xml:space="preserve">Michelle Trudel-Drouin. </w:t>
      </w:r>
      <w:r w:rsidRPr="00D37A0F">
        <w:rPr>
          <w:i/>
        </w:rPr>
        <w:t>Vie quotidienne en Nouvelle-France : un choix de textes</w:t>
      </w:r>
      <w:r w:rsidRPr="00D37A0F">
        <w:t>.</w:t>
      </w:r>
      <w:r w:rsidRPr="00D37A0F">
        <w:rPr>
          <w:bCs/>
          <w:iCs/>
        </w:rPr>
        <w:t xml:space="preserve"> </w:t>
      </w:r>
      <w:r w:rsidRPr="00D37A0F">
        <w:rPr>
          <w:iCs/>
        </w:rPr>
        <w:t>1982, 166 pages.</w:t>
      </w:r>
    </w:p>
    <w:p w:rsidR="00B7214C" w:rsidRPr="00D37A0F" w:rsidRDefault="00B7214C" w:rsidP="00B7214C">
      <w:pPr>
        <w:spacing w:before="120" w:after="120"/>
        <w:ind w:left="540" w:hanging="540"/>
        <w:jc w:val="both"/>
      </w:pPr>
      <w:r>
        <w:t>3.</w:t>
      </w:r>
      <w:r>
        <w:tab/>
      </w:r>
      <w:r w:rsidRPr="00D37A0F">
        <w:rPr>
          <w:iCs/>
        </w:rPr>
        <w:t xml:space="preserve">Paule Chouinard. </w:t>
      </w:r>
      <w:r w:rsidRPr="00D37A0F">
        <w:rPr>
          <w:i/>
        </w:rPr>
        <w:t>Anthologie de poèmes québécois sur les sa</w:t>
      </w:r>
      <w:r w:rsidRPr="00D37A0F">
        <w:rPr>
          <w:i/>
        </w:rPr>
        <w:t>i</w:t>
      </w:r>
      <w:r w:rsidRPr="00D37A0F">
        <w:rPr>
          <w:i/>
        </w:rPr>
        <w:t>sons</w:t>
      </w:r>
      <w:r w:rsidRPr="00D37A0F">
        <w:t>.</w:t>
      </w:r>
      <w:r w:rsidRPr="00D37A0F">
        <w:rPr>
          <w:bCs/>
          <w:iCs/>
        </w:rPr>
        <w:t xml:space="preserve"> </w:t>
      </w:r>
      <w:r w:rsidRPr="00D37A0F">
        <w:rPr>
          <w:iCs/>
        </w:rPr>
        <w:t>1983,</w:t>
      </w:r>
      <w:r>
        <w:rPr>
          <w:iCs/>
        </w:rPr>
        <w:t xml:space="preserve"> </w:t>
      </w:r>
      <w:r w:rsidRPr="00D37A0F">
        <w:rPr>
          <w:iCs/>
        </w:rPr>
        <w:t>1350 pages.</w:t>
      </w:r>
    </w:p>
    <w:p w:rsidR="00B7214C" w:rsidRPr="00D37A0F" w:rsidRDefault="00B7214C" w:rsidP="00B7214C">
      <w:pPr>
        <w:spacing w:before="120" w:after="120"/>
        <w:ind w:left="540" w:hanging="540"/>
        <w:jc w:val="both"/>
      </w:pPr>
      <w:r>
        <w:t>4.</w:t>
      </w:r>
      <w:r>
        <w:tab/>
      </w:r>
      <w:r w:rsidRPr="00D37A0F">
        <w:rPr>
          <w:iCs/>
        </w:rPr>
        <w:t xml:space="preserve">Mireille Perreault. </w:t>
      </w:r>
      <w:r w:rsidRPr="00D37A0F">
        <w:rPr>
          <w:i/>
        </w:rPr>
        <w:t>Marchandisation, industrialisation de la cult</w:t>
      </w:r>
      <w:r w:rsidRPr="00D37A0F">
        <w:rPr>
          <w:i/>
        </w:rPr>
        <w:t>u</w:t>
      </w:r>
      <w:r w:rsidRPr="00D37A0F">
        <w:rPr>
          <w:i/>
        </w:rPr>
        <w:t>re</w:t>
      </w:r>
      <w:r w:rsidRPr="00D37A0F">
        <w:t>,</w:t>
      </w:r>
      <w:r w:rsidRPr="00D37A0F">
        <w:rPr>
          <w:bCs/>
          <w:iCs/>
        </w:rPr>
        <w:t xml:space="preserve"> </w:t>
      </w:r>
      <w:r w:rsidRPr="00D37A0F">
        <w:rPr>
          <w:iCs/>
        </w:rPr>
        <w:t>1983,</w:t>
      </w:r>
      <w:r>
        <w:rPr>
          <w:iCs/>
        </w:rPr>
        <w:t xml:space="preserve"> </w:t>
      </w:r>
      <w:r w:rsidRPr="00D37A0F">
        <w:rPr>
          <w:iCs/>
        </w:rPr>
        <w:t>72 pages.</w:t>
      </w:r>
    </w:p>
    <w:p w:rsidR="00B7214C" w:rsidRPr="00D37A0F" w:rsidRDefault="00B7214C" w:rsidP="00B7214C">
      <w:pPr>
        <w:spacing w:before="120" w:after="120"/>
        <w:ind w:left="540" w:hanging="540"/>
        <w:jc w:val="both"/>
      </w:pPr>
      <w:r>
        <w:t>5.</w:t>
      </w:r>
      <w:r>
        <w:tab/>
      </w:r>
      <w:r w:rsidRPr="00D37A0F">
        <w:rPr>
          <w:iCs/>
        </w:rPr>
        <w:t xml:space="preserve">Carmen Quintin. </w:t>
      </w:r>
      <w:r w:rsidRPr="00D37A0F">
        <w:rPr>
          <w:i/>
        </w:rPr>
        <w:t>Les pratiques émancipatoires dans deux coopérat</w:t>
      </w:r>
      <w:r w:rsidRPr="00D37A0F">
        <w:rPr>
          <w:i/>
        </w:rPr>
        <w:t>i</w:t>
      </w:r>
      <w:r w:rsidRPr="00D37A0F">
        <w:rPr>
          <w:i/>
        </w:rPr>
        <w:t>ves d'habitation de la région montréalaise</w:t>
      </w:r>
      <w:r w:rsidRPr="00D37A0F">
        <w:t>.</w:t>
      </w:r>
      <w:r w:rsidRPr="00D37A0F">
        <w:rPr>
          <w:bCs/>
          <w:iCs/>
        </w:rPr>
        <w:t xml:space="preserve"> </w:t>
      </w:r>
      <w:r w:rsidRPr="00D37A0F">
        <w:rPr>
          <w:iCs/>
        </w:rPr>
        <w:t>1983,</w:t>
      </w:r>
      <w:r>
        <w:rPr>
          <w:iCs/>
        </w:rPr>
        <w:t xml:space="preserve"> </w:t>
      </w:r>
      <w:r w:rsidRPr="00D37A0F">
        <w:rPr>
          <w:iCs/>
        </w:rPr>
        <w:t>124 pages.</w:t>
      </w:r>
    </w:p>
    <w:p w:rsidR="00B7214C" w:rsidRPr="004A7EF1" w:rsidRDefault="00B7214C" w:rsidP="00B7214C">
      <w:pPr>
        <w:spacing w:before="120" w:after="120"/>
        <w:ind w:left="540" w:hanging="540"/>
        <w:jc w:val="both"/>
      </w:pPr>
      <w:r>
        <w:t>6.</w:t>
      </w:r>
      <w:r>
        <w:tab/>
      </w:r>
      <w:r w:rsidRPr="004A7EF1">
        <w:t xml:space="preserve">Gary Caldwell, Paule Obermeir </w:t>
      </w:r>
      <w:r w:rsidRPr="004A7EF1">
        <w:rPr>
          <w:i/>
          <w:iCs/>
        </w:rPr>
        <w:t>et al. Out-migration of</w:t>
      </w:r>
      <w:r>
        <w:rPr>
          <w:i/>
          <w:iCs/>
        </w:rPr>
        <w:t xml:space="preserve"> 1</w:t>
      </w:r>
      <w:r w:rsidRPr="004A7EF1">
        <w:rPr>
          <w:i/>
          <w:iCs/>
        </w:rPr>
        <w:t>971 E</w:t>
      </w:r>
      <w:r w:rsidRPr="004A7EF1">
        <w:rPr>
          <w:i/>
          <w:iCs/>
        </w:rPr>
        <w:t>n</w:t>
      </w:r>
      <w:r w:rsidRPr="004A7EF1">
        <w:rPr>
          <w:i/>
          <w:iCs/>
        </w:rPr>
        <w:t>glish M</w:t>
      </w:r>
      <w:r w:rsidRPr="004A7EF1">
        <w:rPr>
          <w:i/>
          <w:iCs/>
        </w:rPr>
        <w:t>o</w:t>
      </w:r>
      <w:r w:rsidRPr="004A7EF1">
        <w:rPr>
          <w:i/>
          <w:iCs/>
        </w:rPr>
        <w:t>ther-tongue High School Leavers from Quebec : eleven years after.</w:t>
      </w:r>
      <w:r w:rsidRPr="004A7EF1">
        <w:rPr>
          <w:bCs/>
        </w:rPr>
        <w:t xml:space="preserve"> </w:t>
      </w:r>
      <w:r w:rsidRPr="004A7EF1">
        <w:t>Lennoxville, IQRC et Anglo Quebec en Mutation Commi</w:t>
      </w:r>
      <w:r w:rsidRPr="004A7EF1">
        <w:t>t</w:t>
      </w:r>
      <w:r w:rsidRPr="004A7EF1">
        <w:t>tee, 1984,</w:t>
      </w:r>
      <w:r>
        <w:t xml:space="preserve"> </w:t>
      </w:r>
      <w:r w:rsidRPr="004A7EF1">
        <w:t>37 pages.</w:t>
      </w:r>
    </w:p>
    <w:p w:rsidR="00B7214C" w:rsidRPr="004A7EF1" w:rsidRDefault="00B7214C" w:rsidP="00B7214C">
      <w:pPr>
        <w:spacing w:before="120" w:after="120"/>
        <w:ind w:left="540" w:hanging="540"/>
        <w:jc w:val="both"/>
      </w:pPr>
      <w:r>
        <w:t>7.</w:t>
      </w:r>
      <w:r>
        <w:tab/>
      </w:r>
      <w:r w:rsidRPr="004A7EF1">
        <w:t xml:space="preserve">Gabrielle Lachance. </w:t>
      </w:r>
      <w:r w:rsidRPr="004A7EF1">
        <w:rPr>
          <w:i/>
          <w:iCs/>
        </w:rPr>
        <w:t>Le rapport industrie/culture.</w:t>
      </w:r>
      <w:r w:rsidRPr="004A7EF1">
        <w:rPr>
          <w:bCs/>
        </w:rPr>
        <w:t xml:space="preserve"> </w:t>
      </w:r>
      <w:r w:rsidRPr="004A7EF1">
        <w:t>1987, 5 c</w:t>
      </w:r>
      <w:r w:rsidRPr="004A7EF1">
        <w:t>a</w:t>
      </w:r>
      <w:r w:rsidRPr="004A7EF1">
        <w:t>hiers. I. L'artisanat et les métiers d'art, 38 p. II. Les arts d'inte</w:t>
      </w:r>
      <w:r w:rsidRPr="004A7EF1">
        <w:t>r</w:t>
      </w:r>
      <w:r w:rsidRPr="004A7EF1">
        <w:t>prétation, 38 p. 111. Le cinéma, 40 p. IV. Le livre, 40 p. V. Quelques ind</w:t>
      </w:r>
      <w:r w:rsidRPr="004A7EF1">
        <w:t>i</w:t>
      </w:r>
      <w:r w:rsidRPr="004A7EF1">
        <w:t>cations b</w:t>
      </w:r>
      <w:r w:rsidRPr="004A7EF1">
        <w:t>i</w:t>
      </w:r>
      <w:r w:rsidRPr="004A7EF1">
        <w:t>bliographiques, 38 p.</w:t>
      </w:r>
    </w:p>
    <w:p w:rsidR="00B7214C" w:rsidRPr="00D37A0F" w:rsidRDefault="00B7214C" w:rsidP="00B7214C">
      <w:pPr>
        <w:spacing w:before="120" w:after="120"/>
        <w:ind w:left="540" w:hanging="540"/>
        <w:jc w:val="both"/>
      </w:pPr>
      <w:r>
        <w:t>8.</w:t>
      </w:r>
      <w:r>
        <w:tab/>
      </w:r>
      <w:r w:rsidRPr="00D37A0F">
        <w:rPr>
          <w:iCs/>
        </w:rPr>
        <w:t xml:space="preserve">Johanne Bujold. </w:t>
      </w:r>
      <w:r w:rsidRPr="00D37A0F">
        <w:rPr>
          <w:i/>
        </w:rPr>
        <w:t>Utilisation des centres d'emploi du Canada par les étudiants</w:t>
      </w:r>
      <w:r w:rsidRPr="00D37A0F">
        <w:t>.</w:t>
      </w:r>
      <w:r w:rsidRPr="00D37A0F">
        <w:rPr>
          <w:bCs/>
          <w:iCs/>
        </w:rPr>
        <w:t xml:space="preserve"> </w:t>
      </w:r>
      <w:r>
        <w:rPr>
          <w:iCs/>
        </w:rPr>
        <w:t>1990, 67 pages.</w:t>
      </w:r>
    </w:p>
    <w:p w:rsidR="00B7214C" w:rsidRDefault="00B7214C" w:rsidP="00B7214C">
      <w:pPr>
        <w:spacing w:before="120" w:after="120"/>
        <w:ind w:left="540" w:hanging="540"/>
        <w:jc w:val="both"/>
        <w:rPr>
          <w:bCs/>
        </w:rPr>
      </w:pPr>
      <w:r>
        <w:t>9.</w:t>
      </w:r>
      <w:r>
        <w:tab/>
      </w:r>
      <w:r w:rsidRPr="004A7EF1">
        <w:t xml:space="preserve">Madeleine Gauthier et Jean-Pierre Simard. </w:t>
      </w:r>
      <w:r w:rsidRPr="004A7EF1">
        <w:rPr>
          <w:i/>
          <w:iCs/>
        </w:rPr>
        <w:t>L'intégration des je</w:t>
      </w:r>
      <w:r w:rsidRPr="004A7EF1">
        <w:rPr>
          <w:i/>
          <w:iCs/>
        </w:rPr>
        <w:t>u</w:t>
      </w:r>
      <w:r w:rsidRPr="004A7EF1">
        <w:rPr>
          <w:i/>
          <w:iCs/>
        </w:rPr>
        <w:t>nes en emploi au Québec en 1986.</w:t>
      </w:r>
      <w:r>
        <w:rPr>
          <w:i/>
          <w:iCs/>
        </w:rPr>
        <w:t xml:space="preserve"> </w:t>
      </w:r>
      <w:r>
        <w:t>1990, 22 pages.</w:t>
      </w:r>
    </w:p>
    <w:p w:rsidR="00B7214C" w:rsidRPr="004A7EF1" w:rsidRDefault="00B7214C" w:rsidP="00B7214C">
      <w:pPr>
        <w:spacing w:before="120" w:after="120"/>
        <w:ind w:left="540" w:hanging="540"/>
        <w:jc w:val="both"/>
      </w:pPr>
      <w:r>
        <w:t>[573]</w:t>
      </w:r>
    </w:p>
    <w:p w:rsidR="00B7214C" w:rsidRPr="004A7EF1" w:rsidRDefault="00B7214C" w:rsidP="00B7214C">
      <w:pPr>
        <w:spacing w:before="120" w:after="120"/>
        <w:ind w:left="540" w:hanging="540"/>
        <w:jc w:val="both"/>
      </w:pPr>
      <w:r>
        <w:t>10.</w:t>
      </w:r>
      <w:r>
        <w:tab/>
      </w:r>
      <w:r w:rsidRPr="004A7EF1">
        <w:t xml:space="preserve">Sophie-Laurence Lamontagne. </w:t>
      </w:r>
      <w:r w:rsidRPr="004A7EF1">
        <w:rPr>
          <w:i/>
          <w:iCs/>
        </w:rPr>
        <w:t>Problèmes actuels de la condition f</w:t>
      </w:r>
      <w:r w:rsidRPr="004A7EF1">
        <w:rPr>
          <w:i/>
          <w:iCs/>
        </w:rPr>
        <w:t>é</w:t>
      </w:r>
      <w:r w:rsidRPr="004A7EF1">
        <w:rPr>
          <w:i/>
          <w:iCs/>
        </w:rPr>
        <w:t>minine.</w:t>
      </w:r>
      <w:r w:rsidRPr="004A7EF1">
        <w:rPr>
          <w:bCs/>
        </w:rPr>
        <w:t xml:space="preserve"> </w:t>
      </w:r>
      <w:r w:rsidRPr="004A7EF1">
        <w:t>1990,</w:t>
      </w:r>
      <w:r>
        <w:t xml:space="preserve"> </w:t>
      </w:r>
      <w:r w:rsidRPr="004A7EF1">
        <w:t>59 pages.</w:t>
      </w:r>
    </w:p>
    <w:p w:rsidR="00B7214C" w:rsidRPr="00D37A0F" w:rsidRDefault="00B7214C" w:rsidP="00B7214C">
      <w:pPr>
        <w:spacing w:before="120" w:after="120"/>
        <w:ind w:left="540" w:hanging="540"/>
        <w:jc w:val="both"/>
      </w:pPr>
      <w:r>
        <w:t>11.</w:t>
      </w:r>
      <w:r>
        <w:tab/>
      </w:r>
      <w:r w:rsidRPr="00D37A0F">
        <w:rPr>
          <w:iCs/>
        </w:rPr>
        <w:t xml:space="preserve">Jean-Paul Baillargeon. </w:t>
      </w:r>
      <w:r w:rsidRPr="00D37A0F">
        <w:rPr>
          <w:i/>
        </w:rPr>
        <w:t>Vers un système de statistiques sur les industries culturelles de la francophonie. État général de la s</w:t>
      </w:r>
      <w:r w:rsidRPr="00D37A0F">
        <w:rPr>
          <w:i/>
        </w:rPr>
        <w:t>i</w:t>
      </w:r>
      <w:r w:rsidRPr="00D37A0F">
        <w:rPr>
          <w:i/>
        </w:rPr>
        <w:t>tuation et propositions d'une première étape de réalisation</w:t>
      </w:r>
      <w:r w:rsidRPr="00D37A0F">
        <w:t>. 1990,</w:t>
      </w:r>
      <w:r w:rsidRPr="00D37A0F">
        <w:rPr>
          <w:bCs/>
          <w:iCs/>
        </w:rPr>
        <w:t xml:space="preserve"> </w:t>
      </w:r>
      <w:r w:rsidRPr="00D37A0F">
        <w:rPr>
          <w:iCs/>
        </w:rPr>
        <w:t>51 p</w:t>
      </w:r>
      <w:r w:rsidRPr="00D37A0F">
        <w:rPr>
          <w:iCs/>
        </w:rPr>
        <w:t>a</w:t>
      </w:r>
      <w:r w:rsidRPr="00D37A0F">
        <w:rPr>
          <w:iCs/>
        </w:rPr>
        <w:t>ges</w:t>
      </w:r>
      <w:r>
        <w:rPr>
          <w:iCs/>
        </w:rPr>
        <w:t>.</w:t>
      </w:r>
    </w:p>
    <w:p w:rsidR="00B7214C" w:rsidRPr="00D37A0F" w:rsidRDefault="00B7214C" w:rsidP="00B7214C">
      <w:pPr>
        <w:spacing w:before="120" w:after="120"/>
        <w:ind w:left="540" w:hanging="540"/>
        <w:jc w:val="both"/>
      </w:pPr>
      <w:r>
        <w:t>12.</w:t>
      </w:r>
      <w:r>
        <w:tab/>
      </w:r>
      <w:r w:rsidRPr="00D37A0F">
        <w:rPr>
          <w:iCs/>
        </w:rPr>
        <w:t xml:space="preserve">Madeleine Gauthier. </w:t>
      </w:r>
      <w:r w:rsidRPr="00D37A0F">
        <w:rPr>
          <w:i/>
        </w:rPr>
        <w:t>L'insertion de la jeunesse québécoise en emploi</w:t>
      </w:r>
      <w:r w:rsidRPr="00D37A0F">
        <w:t>. 1990,</w:t>
      </w:r>
      <w:r>
        <w:t xml:space="preserve"> </w:t>
      </w:r>
      <w:r w:rsidRPr="00D37A0F">
        <w:t>119</w:t>
      </w:r>
      <w:r w:rsidRPr="00D37A0F">
        <w:rPr>
          <w:bCs/>
          <w:iCs/>
        </w:rPr>
        <w:t xml:space="preserve"> </w:t>
      </w:r>
      <w:r w:rsidRPr="00D37A0F">
        <w:rPr>
          <w:iCs/>
        </w:rPr>
        <w:t>pages</w:t>
      </w:r>
      <w:r>
        <w:rPr>
          <w:iCs/>
        </w:rPr>
        <w:t>.</w:t>
      </w:r>
    </w:p>
    <w:p w:rsidR="00B7214C" w:rsidRPr="00D37A0F" w:rsidRDefault="00B7214C" w:rsidP="00B7214C">
      <w:pPr>
        <w:spacing w:before="120" w:after="120"/>
        <w:ind w:left="540" w:hanging="540"/>
        <w:jc w:val="both"/>
      </w:pPr>
      <w:r>
        <w:t>13.</w:t>
      </w:r>
      <w:r>
        <w:tab/>
      </w:r>
      <w:r w:rsidRPr="00D37A0F">
        <w:rPr>
          <w:iCs/>
        </w:rPr>
        <w:t xml:space="preserve">Madeleine Gauthier. </w:t>
      </w:r>
      <w:r w:rsidRPr="00D37A0F">
        <w:rPr>
          <w:i/>
        </w:rPr>
        <w:t>L’insertion delà jeunesse canadienne en e</w:t>
      </w:r>
      <w:r w:rsidRPr="00D37A0F">
        <w:rPr>
          <w:i/>
        </w:rPr>
        <w:t>m</w:t>
      </w:r>
      <w:r w:rsidRPr="00D37A0F">
        <w:rPr>
          <w:i/>
        </w:rPr>
        <w:t>ploi</w:t>
      </w:r>
      <w:r w:rsidRPr="00D37A0F">
        <w:t>. 1991,</w:t>
      </w:r>
      <w:r>
        <w:t xml:space="preserve"> </w:t>
      </w:r>
      <w:r w:rsidRPr="00D37A0F">
        <w:rPr>
          <w:iCs/>
        </w:rPr>
        <w:t>106 pages</w:t>
      </w:r>
      <w:r>
        <w:rPr>
          <w:iCs/>
        </w:rPr>
        <w:t>.</w:t>
      </w:r>
    </w:p>
    <w:p w:rsidR="00B7214C" w:rsidRPr="00D37A0F" w:rsidRDefault="00B7214C" w:rsidP="00B7214C">
      <w:pPr>
        <w:spacing w:before="120" w:after="120"/>
        <w:ind w:left="540" w:hanging="540"/>
        <w:jc w:val="both"/>
      </w:pPr>
      <w:r>
        <w:t>14.</w:t>
      </w:r>
      <w:r>
        <w:tab/>
      </w:r>
      <w:r w:rsidRPr="00D37A0F">
        <w:rPr>
          <w:iCs/>
        </w:rPr>
        <w:t xml:space="preserve">Guy Fréchet et Michel Bernier. </w:t>
      </w:r>
      <w:r w:rsidRPr="00D37A0F">
        <w:rPr>
          <w:i/>
        </w:rPr>
        <w:t>Les perceptions des difficultés d'insertion sur le marché du travail, les raisons de quitter un e</w:t>
      </w:r>
      <w:r w:rsidRPr="00D37A0F">
        <w:rPr>
          <w:i/>
        </w:rPr>
        <w:t>m</w:t>
      </w:r>
      <w:r w:rsidRPr="00D37A0F">
        <w:rPr>
          <w:i/>
        </w:rPr>
        <w:t>ploi et l'inemployabilité dans l'Enquête sur l'activité</w:t>
      </w:r>
      <w:r w:rsidRPr="00D37A0F">
        <w:t xml:space="preserve">. 1991, </w:t>
      </w:r>
      <w:r w:rsidRPr="00D37A0F">
        <w:rPr>
          <w:iCs/>
        </w:rPr>
        <w:t>vii-47 pages</w:t>
      </w:r>
      <w:r>
        <w:rPr>
          <w:iCs/>
        </w:rPr>
        <w:t>.</w:t>
      </w:r>
    </w:p>
    <w:p w:rsidR="00B7214C" w:rsidRPr="00D37A0F" w:rsidRDefault="00B7214C" w:rsidP="00B7214C">
      <w:pPr>
        <w:spacing w:before="120" w:after="120"/>
        <w:ind w:left="540" w:hanging="540"/>
        <w:jc w:val="both"/>
      </w:pPr>
      <w:r>
        <w:t>15.</w:t>
      </w:r>
      <w:r>
        <w:tab/>
      </w:r>
      <w:r w:rsidRPr="00D37A0F">
        <w:rPr>
          <w:iCs/>
        </w:rPr>
        <w:t xml:space="preserve">Monique Frappier. </w:t>
      </w:r>
      <w:r w:rsidRPr="00D37A0F">
        <w:rPr>
          <w:i/>
        </w:rPr>
        <w:t>L'autonomie financière de nos aînés et ses enjeux pour la société québécoise : un point de vue</w:t>
      </w:r>
      <w:r w:rsidRPr="00D37A0F">
        <w:t>. 1991,</w:t>
      </w:r>
      <w:r>
        <w:t xml:space="preserve"> </w:t>
      </w:r>
      <w:r w:rsidRPr="00D37A0F">
        <w:rPr>
          <w:iCs/>
        </w:rPr>
        <w:t>54 p</w:t>
      </w:r>
      <w:r w:rsidRPr="00D37A0F">
        <w:rPr>
          <w:iCs/>
        </w:rPr>
        <w:t>a</w:t>
      </w:r>
      <w:r w:rsidRPr="00D37A0F">
        <w:rPr>
          <w:iCs/>
        </w:rPr>
        <w:t>ges</w:t>
      </w:r>
      <w:r>
        <w:rPr>
          <w:iCs/>
        </w:rPr>
        <w:t>.</w:t>
      </w:r>
    </w:p>
    <w:p w:rsidR="00B7214C" w:rsidRPr="00D37A0F" w:rsidRDefault="00B7214C" w:rsidP="00B7214C">
      <w:pPr>
        <w:spacing w:before="120" w:after="120"/>
        <w:ind w:left="540" w:hanging="540"/>
        <w:jc w:val="both"/>
      </w:pPr>
      <w:r>
        <w:t>16.</w:t>
      </w:r>
      <w:r>
        <w:tab/>
      </w:r>
      <w:r w:rsidRPr="00D37A0F">
        <w:rPr>
          <w:iCs/>
        </w:rPr>
        <w:t xml:space="preserve">Guy Fréchet et Michel Bernier. </w:t>
      </w:r>
      <w:r w:rsidRPr="00D37A0F">
        <w:rPr>
          <w:i/>
        </w:rPr>
        <w:t>Les personnes moyennement scolar</w:t>
      </w:r>
      <w:r w:rsidRPr="00D37A0F">
        <w:rPr>
          <w:i/>
        </w:rPr>
        <w:t>i</w:t>
      </w:r>
      <w:r w:rsidRPr="00D37A0F">
        <w:rPr>
          <w:i/>
        </w:rPr>
        <w:t>sées et la précarité de l'emploi : une analyse des données de l’Enquête sur l'activité</w:t>
      </w:r>
      <w:r w:rsidRPr="00D37A0F">
        <w:t>. 1991,</w:t>
      </w:r>
      <w:r w:rsidRPr="00D37A0F">
        <w:rPr>
          <w:bCs/>
          <w:iCs/>
        </w:rPr>
        <w:t xml:space="preserve"> </w:t>
      </w:r>
      <w:r w:rsidRPr="00D37A0F">
        <w:rPr>
          <w:iCs/>
        </w:rPr>
        <w:t>ix-59 pages</w:t>
      </w:r>
      <w:r>
        <w:rPr>
          <w:iCs/>
        </w:rPr>
        <w:t>.</w:t>
      </w:r>
    </w:p>
    <w:p w:rsidR="00B7214C" w:rsidRPr="004A7EF1" w:rsidRDefault="00B7214C" w:rsidP="00B7214C">
      <w:pPr>
        <w:spacing w:before="120" w:after="120"/>
        <w:ind w:left="540" w:hanging="540"/>
        <w:jc w:val="both"/>
      </w:pPr>
      <w:r>
        <w:t>17.</w:t>
      </w:r>
      <w:r>
        <w:tab/>
      </w:r>
      <w:r w:rsidRPr="004A7EF1">
        <w:t xml:space="preserve">Guy Fréchet et Johanne Bujold. </w:t>
      </w:r>
      <w:r w:rsidRPr="004A7EF1">
        <w:rPr>
          <w:i/>
          <w:iCs/>
        </w:rPr>
        <w:t>Les transitions sur le marché du tr</w:t>
      </w:r>
      <w:r w:rsidRPr="004A7EF1">
        <w:rPr>
          <w:i/>
          <w:iCs/>
        </w:rPr>
        <w:t>a</w:t>
      </w:r>
      <w:r w:rsidRPr="004A7EF1">
        <w:rPr>
          <w:i/>
          <w:iCs/>
        </w:rPr>
        <w:t>vail. 1992,</w:t>
      </w:r>
      <w:r w:rsidRPr="004A7EF1">
        <w:rPr>
          <w:bCs/>
        </w:rPr>
        <w:t xml:space="preserve"> </w:t>
      </w:r>
      <w:r w:rsidRPr="004A7EF1">
        <w:t>viii-32 pages.</w:t>
      </w:r>
    </w:p>
    <w:p w:rsidR="00B7214C" w:rsidRPr="00D37A0F" w:rsidRDefault="00B7214C" w:rsidP="00B7214C">
      <w:pPr>
        <w:spacing w:before="120" w:after="120"/>
        <w:ind w:left="540" w:hanging="540"/>
        <w:jc w:val="both"/>
      </w:pPr>
      <w:r>
        <w:t>18.</w:t>
      </w:r>
      <w:r>
        <w:tab/>
      </w:r>
      <w:r w:rsidRPr="00D37A0F">
        <w:rPr>
          <w:iCs/>
        </w:rPr>
        <w:t xml:space="preserve">Gary Caldwell, Guy Fréchet et Normand Thibault. </w:t>
      </w:r>
      <w:r w:rsidRPr="00D37A0F">
        <w:rPr>
          <w:i/>
        </w:rPr>
        <w:t>Les déterm</w:t>
      </w:r>
      <w:r w:rsidRPr="00D37A0F">
        <w:rPr>
          <w:i/>
        </w:rPr>
        <w:t>i</w:t>
      </w:r>
      <w:r w:rsidRPr="00D37A0F">
        <w:rPr>
          <w:i/>
        </w:rPr>
        <w:t>nants de l'évolution récente de la fécondité au Québec</w:t>
      </w:r>
      <w:r w:rsidRPr="00D37A0F">
        <w:t>. 1992,</w:t>
      </w:r>
      <w:r w:rsidRPr="00D37A0F">
        <w:rPr>
          <w:bCs/>
          <w:iCs/>
        </w:rPr>
        <w:t xml:space="preserve"> </w:t>
      </w:r>
      <w:r w:rsidRPr="00D37A0F">
        <w:rPr>
          <w:iCs/>
        </w:rPr>
        <w:t>vi-72 p</w:t>
      </w:r>
      <w:r w:rsidRPr="00D37A0F">
        <w:rPr>
          <w:iCs/>
        </w:rPr>
        <w:t>a</w:t>
      </w:r>
      <w:r w:rsidRPr="00D37A0F">
        <w:rPr>
          <w:iCs/>
        </w:rPr>
        <w:t>ges</w:t>
      </w:r>
      <w:r>
        <w:rPr>
          <w:iCs/>
        </w:rPr>
        <w:t>.</w:t>
      </w:r>
    </w:p>
    <w:p w:rsidR="00B7214C" w:rsidRPr="00D37A0F" w:rsidRDefault="00B7214C" w:rsidP="00B7214C">
      <w:pPr>
        <w:spacing w:before="120" w:after="120"/>
        <w:ind w:left="540" w:hanging="540"/>
        <w:jc w:val="both"/>
      </w:pPr>
      <w:r>
        <w:t>19.</w:t>
      </w:r>
      <w:r>
        <w:tab/>
      </w:r>
      <w:r w:rsidRPr="00D37A0F">
        <w:rPr>
          <w:iCs/>
        </w:rPr>
        <w:t xml:space="preserve">Renée B.-Dandurand et Françoise-Romaine Ouellette. </w:t>
      </w:r>
      <w:r w:rsidRPr="00D37A0F">
        <w:rPr>
          <w:i/>
        </w:rPr>
        <w:t>Entre a</w:t>
      </w:r>
      <w:r w:rsidRPr="00D37A0F">
        <w:rPr>
          <w:i/>
        </w:rPr>
        <w:t>u</w:t>
      </w:r>
      <w:r w:rsidRPr="00D37A0F">
        <w:rPr>
          <w:i/>
        </w:rPr>
        <w:t>tonomie et solidarité. Parenté et soutien dans la vie de jeunes familles montréala</w:t>
      </w:r>
      <w:r w:rsidRPr="00D37A0F">
        <w:rPr>
          <w:i/>
        </w:rPr>
        <w:t>i</w:t>
      </w:r>
      <w:r w:rsidRPr="00D37A0F">
        <w:rPr>
          <w:i/>
        </w:rPr>
        <w:t>ses</w:t>
      </w:r>
      <w:r w:rsidRPr="00D37A0F">
        <w:t>. 1992,</w:t>
      </w:r>
      <w:r w:rsidRPr="00D37A0F">
        <w:rPr>
          <w:bCs/>
          <w:iCs/>
        </w:rPr>
        <w:t xml:space="preserve"> </w:t>
      </w:r>
      <w:r w:rsidRPr="00D37A0F">
        <w:rPr>
          <w:iCs/>
        </w:rPr>
        <w:t>x-432 pages</w:t>
      </w:r>
      <w:r>
        <w:rPr>
          <w:iCs/>
        </w:rPr>
        <w:t>.</w:t>
      </w:r>
    </w:p>
    <w:p w:rsidR="00B7214C" w:rsidRPr="00D37A0F" w:rsidRDefault="00B7214C" w:rsidP="00B7214C">
      <w:pPr>
        <w:spacing w:before="120" w:after="120"/>
        <w:ind w:left="540" w:hanging="540"/>
        <w:jc w:val="both"/>
      </w:pPr>
      <w:r>
        <w:rPr>
          <w:iCs/>
        </w:rPr>
        <w:t>20.</w:t>
      </w:r>
      <w:r>
        <w:rPr>
          <w:iCs/>
        </w:rPr>
        <w:tab/>
      </w:r>
      <w:r w:rsidRPr="00D37A0F">
        <w:rPr>
          <w:iCs/>
        </w:rPr>
        <w:t xml:space="preserve">Jean-Pierre Charland. </w:t>
      </w:r>
      <w:r w:rsidRPr="00D37A0F">
        <w:rPr>
          <w:i/>
        </w:rPr>
        <w:t>Système technique et bonheur domestique. R</w:t>
      </w:r>
      <w:r w:rsidRPr="00D37A0F">
        <w:rPr>
          <w:i/>
        </w:rPr>
        <w:t>é</w:t>
      </w:r>
      <w:r w:rsidRPr="00D37A0F">
        <w:rPr>
          <w:i/>
        </w:rPr>
        <w:t>munération, consommation et pauvreté au Québec, 1920-1960</w:t>
      </w:r>
      <w:r w:rsidRPr="00D37A0F">
        <w:t>. Su</w:t>
      </w:r>
      <w:r w:rsidRPr="00D37A0F">
        <w:t>p</w:t>
      </w:r>
      <w:r w:rsidRPr="00D37A0F">
        <w:t>plément statistique. 1992,</w:t>
      </w:r>
      <w:r w:rsidRPr="00D37A0F">
        <w:rPr>
          <w:bCs/>
          <w:iCs/>
        </w:rPr>
        <w:t xml:space="preserve"> </w:t>
      </w:r>
      <w:r>
        <w:rPr>
          <w:iCs/>
        </w:rPr>
        <w:t>49 pages.</w:t>
      </w:r>
    </w:p>
    <w:p w:rsidR="00B7214C" w:rsidRPr="00D37A0F" w:rsidRDefault="00B7214C" w:rsidP="00B7214C">
      <w:pPr>
        <w:spacing w:before="120" w:after="120"/>
        <w:ind w:left="540" w:hanging="540"/>
        <w:jc w:val="both"/>
      </w:pPr>
      <w:r>
        <w:t>21.</w:t>
      </w:r>
      <w:r>
        <w:tab/>
      </w:r>
      <w:r w:rsidRPr="00D37A0F">
        <w:rPr>
          <w:iCs/>
        </w:rPr>
        <w:t xml:space="preserve">Simon Langlois. </w:t>
      </w:r>
      <w:r w:rsidRPr="00D37A0F">
        <w:rPr>
          <w:i/>
        </w:rPr>
        <w:t>Tendances du travail à temps partiel au Can</w:t>
      </w:r>
      <w:r w:rsidRPr="00D37A0F">
        <w:rPr>
          <w:i/>
        </w:rPr>
        <w:t>a</w:t>
      </w:r>
      <w:r w:rsidRPr="00D37A0F">
        <w:rPr>
          <w:i/>
        </w:rPr>
        <w:t>da : 1975-1991</w:t>
      </w:r>
      <w:r w:rsidRPr="00D37A0F">
        <w:t>.</w:t>
      </w:r>
      <w:r>
        <w:t xml:space="preserve"> </w:t>
      </w:r>
      <w:r w:rsidRPr="00D37A0F">
        <w:rPr>
          <w:iCs/>
        </w:rPr>
        <w:t>1993,</w:t>
      </w:r>
      <w:r>
        <w:rPr>
          <w:iCs/>
        </w:rPr>
        <w:t xml:space="preserve"> </w:t>
      </w:r>
      <w:r w:rsidRPr="00D37A0F">
        <w:rPr>
          <w:iCs/>
        </w:rPr>
        <w:t>44 pages.</w:t>
      </w:r>
    </w:p>
    <w:p w:rsidR="00B7214C" w:rsidRPr="00D37A0F" w:rsidRDefault="00B7214C" w:rsidP="00B7214C">
      <w:pPr>
        <w:spacing w:before="120" w:after="120"/>
        <w:ind w:left="540" w:hanging="540"/>
        <w:jc w:val="both"/>
      </w:pPr>
      <w:r>
        <w:t>22.</w:t>
      </w:r>
      <w:r>
        <w:tab/>
      </w:r>
      <w:r w:rsidRPr="00D37A0F">
        <w:rPr>
          <w:iCs/>
        </w:rPr>
        <w:t xml:space="preserve">Monique Frappier. </w:t>
      </w:r>
      <w:r w:rsidRPr="00D37A0F">
        <w:rPr>
          <w:i/>
        </w:rPr>
        <w:t>Revenus, chômage et insertion sociale des génér</w:t>
      </w:r>
      <w:r w:rsidRPr="00D37A0F">
        <w:rPr>
          <w:i/>
        </w:rPr>
        <w:t>a</w:t>
      </w:r>
      <w:r w:rsidRPr="00D37A0F">
        <w:rPr>
          <w:i/>
        </w:rPr>
        <w:t>tions du baby-boom, 1971-1986</w:t>
      </w:r>
      <w:r w:rsidRPr="00D37A0F">
        <w:t>.</w:t>
      </w:r>
      <w:r>
        <w:t xml:space="preserve"> </w:t>
      </w:r>
      <w:r w:rsidRPr="00D37A0F">
        <w:rPr>
          <w:iCs/>
        </w:rPr>
        <w:t>1993,</w:t>
      </w:r>
      <w:r>
        <w:rPr>
          <w:iCs/>
        </w:rPr>
        <w:t xml:space="preserve"> </w:t>
      </w:r>
      <w:r w:rsidRPr="00D37A0F">
        <w:rPr>
          <w:iCs/>
        </w:rPr>
        <w:t>139 pages</w:t>
      </w:r>
      <w:r>
        <w:rPr>
          <w:iCs/>
        </w:rPr>
        <w:t>.</w:t>
      </w:r>
    </w:p>
    <w:p w:rsidR="00B7214C" w:rsidRPr="00D37A0F" w:rsidRDefault="00B7214C" w:rsidP="00B7214C">
      <w:pPr>
        <w:spacing w:before="120" w:after="120"/>
        <w:ind w:left="540" w:hanging="540"/>
        <w:jc w:val="both"/>
      </w:pPr>
      <w:r>
        <w:rPr>
          <w:iCs/>
        </w:rPr>
        <w:t>23.</w:t>
      </w:r>
      <w:r>
        <w:rPr>
          <w:iCs/>
        </w:rPr>
        <w:tab/>
      </w:r>
      <w:r w:rsidRPr="00D37A0F">
        <w:rPr>
          <w:iCs/>
        </w:rPr>
        <w:t xml:space="preserve">Normand Perron. </w:t>
      </w:r>
      <w:r w:rsidRPr="00D37A0F">
        <w:rPr>
          <w:i/>
        </w:rPr>
        <w:t>Système de poids et mesures et conversion en syst</w:t>
      </w:r>
      <w:r w:rsidRPr="00D37A0F">
        <w:rPr>
          <w:i/>
        </w:rPr>
        <w:t>è</w:t>
      </w:r>
      <w:r w:rsidRPr="00D37A0F">
        <w:rPr>
          <w:i/>
        </w:rPr>
        <w:t>me international (SI).</w:t>
      </w:r>
      <w:r w:rsidRPr="00D37A0F">
        <w:t xml:space="preserve"> </w:t>
      </w:r>
      <w:r w:rsidRPr="00D37A0F">
        <w:rPr>
          <w:iCs/>
        </w:rPr>
        <w:t>1993,</w:t>
      </w:r>
      <w:r>
        <w:rPr>
          <w:iCs/>
        </w:rPr>
        <w:t xml:space="preserve"> </w:t>
      </w:r>
      <w:r w:rsidRPr="00D37A0F">
        <w:rPr>
          <w:iCs/>
        </w:rPr>
        <w:t>65 pages</w:t>
      </w:r>
      <w:r>
        <w:rPr>
          <w:iCs/>
        </w:rPr>
        <w:t>.</w:t>
      </w:r>
    </w:p>
    <w:p w:rsidR="00B7214C" w:rsidRDefault="00B7214C" w:rsidP="00B7214C">
      <w:pPr>
        <w:spacing w:before="120" w:after="120"/>
        <w:ind w:left="540" w:hanging="540"/>
        <w:jc w:val="both"/>
      </w:pPr>
      <w:r>
        <w:rPr>
          <w:bCs/>
          <w:iCs/>
        </w:rPr>
        <w:t>24.</w:t>
      </w:r>
      <w:r>
        <w:rPr>
          <w:bCs/>
          <w:iCs/>
        </w:rPr>
        <w:tab/>
      </w:r>
      <w:r w:rsidRPr="00D37A0F">
        <w:rPr>
          <w:bCs/>
          <w:iCs/>
        </w:rPr>
        <w:t xml:space="preserve">Anne Laperrière, dir. </w:t>
      </w:r>
      <w:r w:rsidRPr="00D37A0F">
        <w:rPr>
          <w:i/>
        </w:rPr>
        <w:t>La construction sociale des relations int</w:t>
      </w:r>
      <w:r w:rsidRPr="00D37A0F">
        <w:rPr>
          <w:i/>
        </w:rPr>
        <w:t>e</w:t>
      </w:r>
      <w:r w:rsidRPr="00D37A0F">
        <w:rPr>
          <w:i/>
        </w:rPr>
        <w:t>rethn</w:t>
      </w:r>
      <w:r w:rsidRPr="00D37A0F">
        <w:rPr>
          <w:i/>
        </w:rPr>
        <w:t>i</w:t>
      </w:r>
      <w:r w:rsidRPr="00D37A0F">
        <w:rPr>
          <w:i/>
        </w:rPr>
        <w:t>ques et interraciales chez des jeunes de deux quartiers montré</w:t>
      </w:r>
      <w:r w:rsidRPr="00D37A0F">
        <w:rPr>
          <w:i/>
        </w:rPr>
        <w:t>a</w:t>
      </w:r>
      <w:r w:rsidRPr="00D37A0F">
        <w:rPr>
          <w:i/>
        </w:rPr>
        <w:t>lais</w:t>
      </w:r>
      <w:r>
        <w:rPr>
          <w:i/>
        </w:rPr>
        <w:t>.</w:t>
      </w:r>
      <w:r>
        <w:t xml:space="preserve"> </w:t>
      </w:r>
    </w:p>
    <w:p w:rsidR="00B7214C" w:rsidRDefault="00B7214C" w:rsidP="00B7214C">
      <w:pPr>
        <w:spacing w:before="120" w:after="120"/>
        <w:ind w:left="1080" w:hanging="540"/>
        <w:jc w:val="both"/>
      </w:pPr>
    </w:p>
    <w:p w:rsidR="00B7214C" w:rsidRPr="00D61FD2" w:rsidRDefault="00B7214C" w:rsidP="00B7214C">
      <w:pPr>
        <w:spacing w:before="120" w:after="120"/>
        <w:ind w:left="1080" w:hanging="540"/>
        <w:jc w:val="both"/>
        <w:rPr>
          <w:i/>
          <w:color w:val="FF0000"/>
        </w:rPr>
      </w:pPr>
      <w:r>
        <w:rPr>
          <w:i/>
          <w:color w:val="FF0000"/>
        </w:rPr>
        <w:t>A.</w:t>
      </w:r>
      <w:r>
        <w:rPr>
          <w:i/>
          <w:color w:val="FF0000"/>
        </w:rPr>
        <w:tab/>
      </w:r>
      <w:r w:rsidRPr="00D61FD2">
        <w:rPr>
          <w:i/>
          <w:color w:val="FF0000"/>
        </w:rPr>
        <w:t>Rapports portant sur un quartier multiethnique à majorité franc</w:t>
      </w:r>
      <w:r w:rsidRPr="00D61FD2">
        <w:rPr>
          <w:i/>
          <w:color w:val="FF0000"/>
        </w:rPr>
        <w:t>o</w:t>
      </w:r>
      <w:r w:rsidRPr="00D61FD2">
        <w:rPr>
          <w:i/>
          <w:color w:val="FF0000"/>
        </w:rPr>
        <w:t>phone</w:t>
      </w:r>
    </w:p>
    <w:p w:rsidR="00B7214C" w:rsidRDefault="00B7214C" w:rsidP="00B7214C">
      <w:pPr>
        <w:spacing w:before="120" w:after="120"/>
        <w:ind w:left="1080" w:hanging="540"/>
        <w:jc w:val="both"/>
        <w:rPr>
          <w:iCs/>
        </w:rPr>
      </w:pPr>
    </w:p>
    <w:p w:rsidR="00B7214C" w:rsidRPr="00D37A0F" w:rsidRDefault="00B7214C" w:rsidP="00B7214C">
      <w:pPr>
        <w:spacing w:before="120" w:after="120"/>
        <w:ind w:left="1080" w:hanging="540"/>
        <w:jc w:val="both"/>
      </w:pPr>
      <w:r>
        <w:t>1.</w:t>
      </w:r>
      <w:r>
        <w:tab/>
      </w:r>
      <w:r w:rsidRPr="00D37A0F">
        <w:rPr>
          <w:iCs/>
        </w:rPr>
        <w:t xml:space="preserve">Lejacques Compère. </w:t>
      </w:r>
      <w:r w:rsidRPr="00D37A0F">
        <w:t>La sortie de l'enfance. Perceptions et strat</w:t>
      </w:r>
      <w:r w:rsidRPr="00D37A0F">
        <w:t>é</w:t>
      </w:r>
      <w:r w:rsidRPr="00D37A0F">
        <w:t>gies de jeunes Canadiens français, Italiens et Haïtiens de 1</w:t>
      </w:r>
      <w:r w:rsidRPr="00F017F2">
        <w:rPr>
          <w:vertAlign w:val="superscript"/>
        </w:rPr>
        <w:t>re</w:t>
      </w:r>
      <w:r>
        <w:t xml:space="preserve"> </w:t>
      </w:r>
      <w:r w:rsidRPr="00D37A0F">
        <w:t>seconda</w:t>
      </w:r>
      <w:r w:rsidRPr="00D37A0F">
        <w:t>i</w:t>
      </w:r>
      <w:r w:rsidRPr="00D37A0F">
        <w:t>re, dans un quartier à majorité francophone.</w:t>
      </w:r>
      <w:r w:rsidRPr="00D37A0F">
        <w:rPr>
          <w:bCs/>
          <w:iCs/>
        </w:rPr>
        <w:t xml:space="preserve"> </w:t>
      </w:r>
      <w:r w:rsidRPr="00D37A0F">
        <w:rPr>
          <w:iCs/>
        </w:rPr>
        <w:t>1993, 75 pages</w:t>
      </w:r>
      <w:r>
        <w:rPr>
          <w:iCs/>
        </w:rPr>
        <w:t>.</w:t>
      </w:r>
    </w:p>
    <w:p w:rsidR="00B7214C" w:rsidRPr="00D37A0F" w:rsidRDefault="00B7214C" w:rsidP="00B7214C">
      <w:pPr>
        <w:spacing w:before="120" w:after="120"/>
        <w:ind w:left="1080" w:hanging="540"/>
        <w:jc w:val="both"/>
      </w:pPr>
      <w:r>
        <w:t>2.</w:t>
      </w:r>
      <w:r>
        <w:tab/>
      </w:r>
      <w:r w:rsidRPr="00D37A0F">
        <w:rPr>
          <w:iCs/>
        </w:rPr>
        <w:t xml:space="preserve">Majid D'Khissy. L'âge de la gang. </w:t>
      </w:r>
      <w:r w:rsidRPr="00D37A0F">
        <w:t>Perceptions et stratégies de jeunes Québécois français, Italiens et Haïtiens de</w:t>
      </w:r>
      <w:r w:rsidRPr="00D37A0F">
        <w:rPr>
          <w:bCs/>
          <w:iCs/>
        </w:rPr>
        <w:t xml:space="preserve"> </w:t>
      </w:r>
      <w:r w:rsidRPr="00D37A0F">
        <w:rPr>
          <w:iCs/>
        </w:rPr>
        <w:t xml:space="preserve">3e </w:t>
      </w:r>
      <w:r w:rsidRPr="00D37A0F">
        <w:t>s</w:t>
      </w:r>
      <w:r w:rsidRPr="00D37A0F">
        <w:t>e</w:t>
      </w:r>
      <w:r w:rsidRPr="00D37A0F">
        <w:t>condaire, dans un qua</w:t>
      </w:r>
      <w:r w:rsidRPr="00D37A0F">
        <w:t>r</w:t>
      </w:r>
      <w:r w:rsidRPr="00D37A0F">
        <w:t>tier à majorité francophone.</w:t>
      </w:r>
      <w:r w:rsidRPr="00D37A0F">
        <w:rPr>
          <w:bCs/>
          <w:iCs/>
        </w:rPr>
        <w:t xml:space="preserve"> </w:t>
      </w:r>
      <w:r>
        <w:rPr>
          <w:iCs/>
        </w:rPr>
        <w:t>1993, 108 pages.</w:t>
      </w:r>
    </w:p>
    <w:p w:rsidR="00B7214C" w:rsidRPr="00D37A0F" w:rsidRDefault="00B7214C" w:rsidP="00B7214C">
      <w:pPr>
        <w:spacing w:before="120" w:after="120"/>
        <w:ind w:left="1080" w:hanging="540"/>
        <w:jc w:val="both"/>
      </w:pPr>
      <w:r>
        <w:t>3.</w:t>
      </w:r>
      <w:r>
        <w:tab/>
      </w:r>
      <w:r w:rsidRPr="00D37A0F">
        <w:rPr>
          <w:iCs/>
        </w:rPr>
        <w:t xml:space="preserve">Lejacques Compère. </w:t>
      </w:r>
      <w:r w:rsidRPr="00D37A0F">
        <w:t>Les jeux sont faits. Perceptions et str</w:t>
      </w:r>
      <w:r w:rsidRPr="00D37A0F">
        <w:t>a</w:t>
      </w:r>
      <w:r w:rsidRPr="00D37A0F">
        <w:t>tégies de jeunes Québécois français, Italiens et Haïtiens de 5e s</w:t>
      </w:r>
      <w:r w:rsidRPr="00D37A0F">
        <w:t>e</w:t>
      </w:r>
      <w:r w:rsidRPr="00D37A0F">
        <w:t>condaire, dans un quartier à majorité francophone.</w:t>
      </w:r>
      <w:r w:rsidRPr="00D37A0F">
        <w:rPr>
          <w:bCs/>
          <w:iCs/>
        </w:rPr>
        <w:t xml:space="preserve"> </w:t>
      </w:r>
      <w:r>
        <w:rPr>
          <w:iCs/>
        </w:rPr>
        <w:t>1993, 103 pages.</w:t>
      </w:r>
    </w:p>
    <w:p w:rsidR="00B7214C" w:rsidRPr="00D37A0F" w:rsidRDefault="00B7214C" w:rsidP="00B7214C">
      <w:pPr>
        <w:spacing w:before="120" w:after="120"/>
        <w:ind w:left="1080" w:hanging="540"/>
        <w:jc w:val="both"/>
      </w:pPr>
      <w:r>
        <w:t>4.</w:t>
      </w:r>
      <w:r>
        <w:tab/>
      </w:r>
      <w:r w:rsidRPr="00D37A0F">
        <w:rPr>
          <w:iCs/>
        </w:rPr>
        <w:t xml:space="preserve">Majid D'Khissy. </w:t>
      </w:r>
      <w:r w:rsidRPr="00D37A0F">
        <w:t>Éduquer ses enfants en milieu multiethn</w:t>
      </w:r>
      <w:r w:rsidRPr="00D37A0F">
        <w:t>i</w:t>
      </w:r>
      <w:r w:rsidRPr="00D37A0F">
        <w:t>que franc</w:t>
      </w:r>
      <w:r w:rsidRPr="00D37A0F">
        <w:t>o</w:t>
      </w:r>
      <w:r w:rsidRPr="00D37A0F">
        <w:t>phone. Perceptions de parents québécois-français, italiens et ha</w:t>
      </w:r>
      <w:r w:rsidRPr="00D37A0F">
        <w:t>ï</w:t>
      </w:r>
      <w:r w:rsidRPr="00D37A0F">
        <w:t>tiens, dans un quartier à majorité francophone.</w:t>
      </w:r>
      <w:r w:rsidRPr="00D37A0F">
        <w:rPr>
          <w:bCs/>
          <w:iCs/>
        </w:rPr>
        <w:t xml:space="preserve"> </w:t>
      </w:r>
      <w:r>
        <w:rPr>
          <w:iCs/>
        </w:rPr>
        <w:t>1993, 92 pages.</w:t>
      </w:r>
    </w:p>
    <w:p w:rsidR="00B7214C" w:rsidRDefault="00B7214C" w:rsidP="00B7214C">
      <w:pPr>
        <w:spacing w:before="120" w:after="120"/>
        <w:ind w:left="1080" w:hanging="540"/>
        <w:jc w:val="both"/>
      </w:pPr>
    </w:p>
    <w:p w:rsidR="00B7214C" w:rsidRPr="00D61FD2" w:rsidRDefault="00B7214C" w:rsidP="00B7214C">
      <w:pPr>
        <w:spacing w:before="120" w:after="120"/>
        <w:ind w:left="1080" w:hanging="540"/>
        <w:jc w:val="both"/>
        <w:rPr>
          <w:i/>
          <w:color w:val="FF0000"/>
        </w:rPr>
      </w:pPr>
      <w:r>
        <w:rPr>
          <w:i/>
          <w:color w:val="FF0000"/>
        </w:rPr>
        <w:t>B.</w:t>
      </w:r>
      <w:r>
        <w:rPr>
          <w:i/>
          <w:color w:val="FF0000"/>
        </w:rPr>
        <w:tab/>
      </w:r>
      <w:r w:rsidRPr="00D61FD2">
        <w:rPr>
          <w:i/>
          <w:color w:val="FF0000"/>
        </w:rPr>
        <w:t>Rapports portant sur un quartier cosmopolite à minorité francoph</w:t>
      </w:r>
      <w:r w:rsidRPr="00D61FD2">
        <w:rPr>
          <w:i/>
          <w:color w:val="FF0000"/>
        </w:rPr>
        <w:t>o</w:t>
      </w:r>
      <w:r w:rsidRPr="00D61FD2">
        <w:rPr>
          <w:i/>
          <w:color w:val="FF0000"/>
        </w:rPr>
        <w:t>ne</w:t>
      </w:r>
    </w:p>
    <w:p w:rsidR="00B7214C" w:rsidRDefault="00B7214C" w:rsidP="00B7214C">
      <w:pPr>
        <w:spacing w:before="120" w:after="120"/>
        <w:ind w:left="1080" w:hanging="540"/>
        <w:jc w:val="both"/>
      </w:pPr>
    </w:p>
    <w:p w:rsidR="00B7214C" w:rsidRDefault="00B7214C" w:rsidP="00B7214C">
      <w:pPr>
        <w:spacing w:before="120" w:after="120"/>
        <w:ind w:left="1080" w:hanging="540"/>
        <w:jc w:val="both"/>
        <w:rPr>
          <w:bCs/>
        </w:rPr>
      </w:pPr>
      <w:r>
        <w:t>5.</w:t>
      </w:r>
      <w:r>
        <w:tab/>
      </w:r>
      <w:r w:rsidRPr="004A7EF1">
        <w:t xml:space="preserve">Majid D'Khissy. </w:t>
      </w:r>
      <w:r w:rsidRPr="00D37A0F">
        <w:rPr>
          <w:i/>
        </w:rPr>
        <w:t>La mosaïque éclatée. Perceptions et strat</w:t>
      </w:r>
      <w:r w:rsidRPr="00D37A0F">
        <w:rPr>
          <w:i/>
        </w:rPr>
        <w:t>é</w:t>
      </w:r>
      <w:r w:rsidRPr="00D37A0F">
        <w:rPr>
          <w:i/>
        </w:rPr>
        <w:t>gies de jeu nés Québécois français, Vietnamiens et Italiens de</w:t>
      </w:r>
      <w:r w:rsidRPr="00D37A0F">
        <w:rPr>
          <w:bCs/>
          <w:i/>
        </w:rPr>
        <w:t xml:space="preserve"> </w:t>
      </w:r>
      <w:r>
        <w:rPr>
          <w:bCs/>
          <w:i/>
        </w:rPr>
        <w:t>1</w:t>
      </w:r>
      <w:r w:rsidRPr="00F017F2">
        <w:rPr>
          <w:bCs/>
          <w:i/>
          <w:vertAlign w:val="superscript"/>
        </w:rPr>
        <w:t>re</w:t>
      </w:r>
      <w:r>
        <w:rPr>
          <w:bCs/>
          <w:i/>
        </w:rPr>
        <w:t xml:space="preserve"> </w:t>
      </w:r>
      <w:r w:rsidRPr="00D37A0F">
        <w:rPr>
          <w:i/>
        </w:rPr>
        <w:t>seconda</w:t>
      </w:r>
      <w:r w:rsidRPr="00D37A0F">
        <w:rPr>
          <w:i/>
        </w:rPr>
        <w:t>i</w:t>
      </w:r>
      <w:r w:rsidRPr="00D37A0F">
        <w:rPr>
          <w:i/>
        </w:rPr>
        <w:t>re, dans un quartier multiethnique à minorité francophone</w:t>
      </w:r>
      <w:r w:rsidRPr="004A7EF1">
        <w:t>.</w:t>
      </w:r>
      <w:r w:rsidRPr="004A7EF1">
        <w:rPr>
          <w:bCs/>
        </w:rPr>
        <w:t xml:space="preserve"> </w:t>
      </w:r>
      <w:r w:rsidRPr="004A7EF1">
        <w:t>1993, 84 p</w:t>
      </w:r>
      <w:r w:rsidRPr="004A7EF1">
        <w:t>a</w:t>
      </w:r>
      <w:r>
        <w:t>ges.</w:t>
      </w:r>
    </w:p>
    <w:p w:rsidR="00B7214C" w:rsidRPr="004A7EF1" w:rsidRDefault="00B7214C" w:rsidP="00B7214C">
      <w:pPr>
        <w:pStyle w:val="p"/>
      </w:pPr>
      <w:r>
        <w:t>[</w:t>
      </w:r>
      <w:r w:rsidRPr="004A7EF1">
        <w:t>574</w:t>
      </w:r>
      <w:r>
        <w:t>]</w:t>
      </w:r>
    </w:p>
    <w:p w:rsidR="00B7214C" w:rsidRPr="00F017F2" w:rsidRDefault="00B7214C" w:rsidP="00B7214C">
      <w:pPr>
        <w:spacing w:before="120" w:after="120"/>
        <w:ind w:left="1080" w:hanging="540"/>
        <w:jc w:val="both"/>
      </w:pPr>
      <w:r w:rsidRPr="00F017F2">
        <w:rPr>
          <w:iCs/>
        </w:rPr>
        <w:t>6</w:t>
      </w:r>
      <w:r>
        <w:rPr>
          <w:iCs/>
        </w:rPr>
        <w:t>.</w:t>
      </w:r>
      <w:r>
        <w:rPr>
          <w:iCs/>
        </w:rPr>
        <w:tab/>
      </w:r>
      <w:r w:rsidRPr="00F017F2">
        <w:rPr>
          <w:iCs/>
        </w:rPr>
        <w:t xml:space="preserve">Majid D'Khissy. </w:t>
      </w:r>
      <w:r w:rsidRPr="00F017F2">
        <w:rPr>
          <w:i/>
        </w:rPr>
        <w:t>Entre l'ouverture et le repli : l'âge des choix. Perceptions et stratégies de jeunes Québécois fra</w:t>
      </w:r>
      <w:r w:rsidRPr="00F017F2">
        <w:rPr>
          <w:i/>
        </w:rPr>
        <w:t>n</w:t>
      </w:r>
      <w:r w:rsidRPr="00F017F2">
        <w:rPr>
          <w:i/>
        </w:rPr>
        <w:t>çais, Vietnamiens et Italiens de</w:t>
      </w:r>
      <w:r w:rsidRPr="00F017F2">
        <w:rPr>
          <w:bCs/>
          <w:i/>
          <w:iCs/>
        </w:rPr>
        <w:t xml:space="preserve"> </w:t>
      </w:r>
      <w:r w:rsidRPr="00F017F2">
        <w:rPr>
          <w:i/>
          <w:iCs/>
        </w:rPr>
        <w:t xml:space="preserve">3e </w:t>
      </w:r>
      <w:r w:rsidRPr="00F017F2">
        <w:rPr>
          <w:i/>
        </w:rPr>
        <w:t>secondaire, dans un qua</w:t>
      </w:r>
      <w:r w:rsidRPr="00F017F2">
        <w:rPr>
          <w:i/>
        </w:rPr>
        <w:t>r</w:t>
      </w:r>
      <w:r w:rsidRPr="00F017F2">
        <w:rPr>
          <w:i/>
        </w:rPr>
        <w:t xml:space="preserve">tier multiethnique </w:t>
      </w:r>
      <w:r w:rsidRPr="00F017F2">
        <w:rPr>
          <w:bCs/>
          <w:i/>
        </w:rPr>
        <w:t xml:space="preserve">à </w:t>
      </w:r>
      <w:r w:rsidRPr="00F017F2">
        <w:rPr>
          <w:i/>
        </w:rPr>
        <w:t>minor</w:t>
      </w:r>
      <w:r w:rsidRPr="00F017F2">
        <w:rPr>
          <w:i/>
        </w:rPr>
        <w:t>i</w:t>
      </w:r>
      <w:r w:rsidRPr="00F017F2">
        <w:rPr>
          <w:i/>
        </w:rPr>
        <w:t>té francophone</w:t>
      </w:r>
      <w:r w:rsidRPr="00F017F2">
        <w:t>.</w:t>
      </w:r>
      <w:r w:rsidRPr="00F017F2">
        <w:rPr>
          <w:bCs/>
          <w:iCs/>
        </w:rPr>
        <w:t xml:space="preserve"> </w:t>
      </w:r>
      <w:r w:rsidRPr="00F017F2">
        <w:rPr>
          <w:iCs/>
        </w:rPr>
        <w:t>1993,</w:t>
      </w:r>
      <w:r>
        <w:rPr>
          <w:iCs/>
        </w:rPr>
        <w:t xml:space="preserve"> 92 pages.</w:t>
      </w:r>
    </w:p>
    <w:p w:rsidR="00B7214C" w:rsidRPr="00F017F2" w:rsidRDefault="00B7214C" w:rsidP="00B7214C">
      <w:pPr>
        <w:spacing w:before="120" w:after="120"/>
        <w:ind w:left="1080" w:hanging="540"/>
        <w:jc w:val="both"/>
      </w:pPr>
      <w:r>
        <w:rPr>
          <w:iCs/>
        </w:rPr>
        <w:t>7.</w:t>
      </w:r>
      <w:r>
        <w:rPr>
          <w:iCs/>
        </w:rPr>
        <w:tab/>
      </w:r>
      <w:r w:rsidRPr="00F017F2">
        <w:rPr>
          <w:iCs/>
        </w:rPr>
        <w:t xml:space="preserve">Majid D'Khissy. </w:t>
      </w:r>
      <w:r w:rsidRPr="00F017F2">
        <w:t>La grande accalmie. Perceptions et strat</w:t>
      </w:r>
      <w:r w:rsidRPr="00F017F2">
        <w:t>é</w:t>
      </w:r>
      <w:r w:rsidRPr="00F017F2">
        <w:t>gies de je</w:t>
      </w:r>
      <w:r w:rsidRPr="00F017F2">
        <w:t>u</w:t>
      </w:r>
      <w:r w:rsidRPr="00F017F2">
        <w:t xml:space="preserve">nes Québécois </w:t>
      </w:r>
      <w:r w:rsidRPr="00F017F2">
        <w:rPr>
          <w:i/>
        </w:rPr>
        <w:t>français, Vietnamiens et Italiens de</w:t>
      </w:r>
      <w:r w:rsidRPr="00F017F2">
        <w:rPr>
          <w:bCs/>
          <w:i/>
          <w:iCs/>
        </w:rPr>
        <w:t xml:space="preserve"> </w:t>
      </w:r>
      <w:r w:rsidRPr="00F017F2">
        <w:rPr>
          <w:i/>
          <w:iCs/>
        </w:rPr>
        <w:t xml:space="preserve">5e </w:t>
      </w:r>
      <w:r w:rsidRPr="00F017F2">
        <w:rPr>
          <w:i/>
        </w:rPr>
        <w:t>s</w:t>
      </w:r>
      <w:r w:rsidRPr="00F017F2">
        <w:rPr>
          <w:i/>
        </w:rPr>
        <w:t>e</w:t>
      </w:r>
      <w:r w:rsidRPr="00F017F2">
        <w:rPr>
          <w:i/>
        </w:rPr>
        <w:t xml:space="preserve">condaire, dans un quartier multiethnique </w:t>
      </w:r>
      <w:r w:rsidRPr="00F017F2">
        <w:rPr>
          <w:bCs/>
          <w:i/>
        </w:rPr>
        <w:t xml:space="preserve">à </w:t>
      </w:r>
      <w:r w:rsidRPr="00F017F2">
        <w:rPr>
          <w:i/>
        </w:rPr>
        <w:t>minorité francophone</w:t>
      </w:r>
      <w:r w:rsidRPr="00F017F2">
        <w:t>.</w:t>
      </w:r>
      <w:r w:rsidRPr="00F017F2">
        <w:rPr>
          <w:bCs/>
          <w:iCs/>
        </w:rPr>
        <w:t xml:space="preserve"> </w:t>
      </w:r>
      <w:r w:rsidRPr="00F017F2">
        <w:rPr>
          <w:iCs/>
        </w:rPr>
        <w:t>1993,</w:t>
      </w:r>
      <w:r>
        <w:rPr>
          <w:iCs/>
        </w:rPr>
        <w:t xml:space="preserve"> </w:t>
      </w:r>
      <w:r w:rsidRPr="00F017F2">
        <w:rPr>
          <w:iCs/>
        </w:rPr>
        <w:t>102 p</w:t>
      </w:r>
      <w:r w:rsidRPr="00F017F2">
        <w:rPr>
          <w:iCs/>
        </w:rPr>
        <w:t>a</w:t>
      </w:r>
      <w:r w:rsidRPr="00F017F2">
        <w:rPr>
          <w:iCs/>
        </w:rPr>
        <w:t>ges.</w:t>
      </w:r>
    </w:p>
    <w:p w:rsidR="00B7214C" w:rsidRPr="00F017F2" w:rsidRDefault="00B7214C" w:rsidP="00B7214C">
      <w:pPr>
        <w:spacing w:before="120" w:after="120"/>
        <w:ind w:left="1080" w:hanging="540"/>
        <w:jc w:val="both"/>
      </w:pPr>
      <w:r>
        <w:rPr>
          <w:iCs/>
        </w:rPr>
        <w:t>8.</w:t>
      </w:r>
      <w:r>
        <w:rPr>
          <w:iCs/>
        </w:rPr>
        <w:tab/>
      </w:r>
      <w:r w:rsidRPr="00F017F2">
        <w:rPr>
          <w:iCs/>
        </w:rPr>
        <w:t xml:space="preserve">Lejacques Compère. </w:t>
      </w:r>
      <w:r w:rsidRPr="00D61FD2">
        <w:rPr>
          <w:i/>
        </w:rPr>
        <w:t>Entre la révolte et l'espoir. Perceptions et strat</w:t>
      </w:r>
      <w:r w:rsidRPr="00D61FD2">
        <w:rPr>
          <w:i/>
        </w:rPr>
        <w:t>é</w:t>
      </w:r>
      <w:r w:rsidRPr="00D61FD2">
        <w:rPr>
          <w:i/>
        </w:rPr>
        <w:t>gies de jeunes Haïtiens de 3</w:t>
      </w:r>
      <w:r w:rsidRPr="00D61FD2">
        <w:rPr>
          <w:i/>
          <w:vertAlign w:val="superscript"/>
        </w:rPr>
        <w:t>e</w:t>
      </w:r>
      <w:r w:rsidRPr="00D61FD2">
        <w:rPr>
          <w:i/>
        </w:rPr>
        <w:t xml:space="preserve"> </w:t>
      </w:r>
      <w:r w:rsidRPr="00D61FD2">
        <w:rPr>
          <w:i/>
          <w:iCs/>
        </w:rPr>
        <w:t>à 5</w:t>
      </w:r>
      <w:r w:rsidRPr="00D61FD2">
        <w:rPr>
          <w:i/>
          <w:iCs/>
          <w:vertAlign w:val="superscript"/>
        </w:rPr>
        <w:t>e</w:t>
      </w:r>
      <w:r w:rsidRPr="00D61FD2">
        <w:rPr>
          <w:i/>
          <w:iCs/>
        </w:rPr>
        <w:t xml:space="preserve"> </w:t>
      </w:r>
      <w:r w:rsidRPr="00D61FD2">
        <w:rPr>
          <w:i/>
        </w:rPr>
        <w:t>secondaire, dans un quartier multiethnique à minorité francophone</w:t>
      </w:r>
      <w:r w:rsidRPr="00F017F2">
        <w:t>.</w:t>
      </w:r>
      <w:r w:rsidRPr="00F017F2">
        <w:rPr>
          <w:bCs/>
          <w:iCs/>
        </w:rPr>
        <w:t xml:space="preserve"> </w:t>
      </w:r>
      <w:r w:rsidRPr="00F017F2">
        <w:rPr>
          <w:iCs/>
        </w:rPr>
        <w:t>1993,</w:t>
      </w:r>
      <w:r>
        <w:rPr>
          <w:iCs/>
        </w:rPr>
        <w:t xml:space="preserve"> </w:t>
      </w:r>
      <w:r w:rsidRPr="00F017F2">
        <w:rPr>
          <w:iCs/>
        </w:rPr>
        <w:t>63 p</w:t>
      </w:r>
      <w:r w:rsidRPr="00F017F2">
        <w:rPr>
          <w:iCs/>
        </w:rPr>
        <w:t>a</w:t>
      </w:r>
      <w:r w:rsidRPr="00F017F2">
        <w:rPr>
          <w:iCs/>
        </w:rPr>
        <w:t>ges</w:t>
      </w:r>
      <w:r>
        <w:rPr>
          <w:iCs/>
        </w:rPr>
        <w:t>.</w:t>
      </w:r>
    </w:p>
    <w:p w:rsidR="00B7214C" w:rsidRPr="00F017F2" w:rsidRDefault="00B7214C" w:rsidP="00B7214C">
      <w:pPr>
        <w:spacing w:before="120" w:after="120"/>
        <w:ind w:left="1080" w:hanging="540"/>
        <w:jc w:val="both"/>
      </w:pPr>
      <w:r>
        <w:rPr>
          <w:iCs/>
        </w:rPr>
        <w:t>9.</w:t>
      </w:r>
      <w:r>
        <w:rPr>
          <w:iCs/>
        </w:rPr>
        <w:tab/>
      </w:r>
      <w:r w:rsidRPr="00F017F2">
        <w:rPr>
          <w:iCs/>
        </w:rPr>
        <w:t xml:space="preserve">Nicole Fleurant. </w:t>
      </w:r>
      <w:r w:rsidRPr="00D61FD2">
        <w:rPr>
          <w:i/>
        </w:rPr>
        <w:t>S’ouvrir sans se perdre. Perceptions de membres du personnel scolaire d'une école montréalaise de quartier à minorité francophone</w:t>
      </w:r>
      <w:r w:rsidRPr="00F017F2">
        <w:t>.</w:t>
      </w:r>
      <w:r w:rsidRPr="00F017F2">
        <w:rPr>
          <w:bCs/>
          <w:iCs/>
        </w:rPr>
        <w:t xml:space="preserve"> </w:t>
      </w:r>
      <w:r w:rsidRPr="00F017F2">
        <w:rPr>
          <w:iCs/>
        </w:rPr>
        <w:t>1993,</w:t>
      </w:r>
      <w:r>
        <w:rPr>
          <w:iCs/>
        </w:rPr>
        <w:t xml:space="preserve"> </w:t>
      </w:r>
      <w:r w:rsidRPr="00F017F2">
        <w:rPr>
          <w:iCs/>
        </w:rPr>
        <w:t>42 pages</w:t>
      </w:r>
      <w:r>
        <w:rPr>
          <w:iCs/>
        </w:rPr>
        <w:t>.</w:t>
      </w:r>
    </w:p>
    <w:p w:rsidR="00B7214C" w:rsidRPr="00F017F2" w:rsidRDefault="00B7214C" w:rsidP="00B7214C">
      <w:pPr>
        <w:spacing w:before="120" w:after="120"/>
        <w:ind w:left="1080" w:hanging="540"/>
        <w:jc w:val="both"/>
      </w:pPr>
      <w:r>
        <w:rPr>
          <w:iCs/>
        </w:rPr>
        <w:t>10.</w:t>
      </w:r>
      <w:r>
        <w:rPr>
          <w:iCs/>
        </w:rPr>
        <w:tab/>
      </w:r>
      <w:r w:rsidRPr="00F017F2">
        <w:rPr>
          <w:iCs/>
        </w:rPr>
        <w:t xml:space="preserve">René Dolce. </w:t>
      </w:r>
      <w:r w:rsidRPr="00D61FD2">
        <w:rPr>
          <w:i/>
        </w:rPr>
        <w:t xml:space="preserve">Perceptions et stratégies de parents québécois-français, italiens, vietnamiens et haïtiens, dans un quartier montréalais </w:t>
      </w:r>
      <w:r w:rsidRPr="00D61FD2">
        <w:rPr>
          <w:bCs/>
          <w:i/>
        </w:rPr>
        <w:t xml:space="preserve">à </w:t>
      </w:r>
      <w:r w:rsidRPr="00D61FD2">
        <w:rPr>
          <w:i/>
        </w:rPr>
        <w:t>min</w:t>
      </w:r>
      <w:r w:rsidRPr="00D61FD2">
        <w:rPr>
          <w:i/>
        </w:rPr>
        <w:t>o</w:t>
      </w:r>
      <w:r w:rsidRPr="00D61FD2">
        <w:rPr>
          <w:i/>
        </w:rPr>
        <w:t>rité francophone</w:t>
      </w:r>
      <w:r w:rsidRPr="00F017F2">
        <w:t>.</w:t>
      </w:r>
      <w:r w:rsidRPr="00F017F2">
        <w:rPr>
          <w:bCs/>
          <w:iCs/>
        </w:rPr>
        <w:t xml:space="preserve"> </w:t>
      </w:r>
      <w:r w:rsidRPr="00F017F2">
        <w:rPr>
          <w:iCs/>
        </w:rPr>
        <w:t>1993,</w:t>
      </w:r>
      <w:r>
        <w:rPr>
          <w:iCs/>
        </w:rPr>
        <w:t xml:space="preserve"> </w:t>
      </w:r>
      <w:r w:rsidRPr="00F017F2">
        <w:rPr>
          <w:iCs/>
        </w:rPr>
        <w:t>112 pages</w:t>
      </w:r>
      <w:r>
        <w:rPr>
          <w:iCs/>
        </w:rPr>
        <w:t>.</w:t>
      </w:r>
    </w:p>
    <w:p w:rsidR="00B7214C" w:rsidRPr="00F017F2" w:rsidRDefault="00B7214C" w:rsidP="00B7214C">
      <w:pPr>
        <w:spacing w:before="120" w:after="120"/>
        <w:ind w:left="1080" w:hanging="540"/>
        <w:jc w:val="both"/>
      </w:pPr>
      <w:r>
        <w:rPr>
          <w:iCs/>
        </w:rPr>
        <w:t>11.</w:t>
      </w:r>
      <w:r>
        <w:rPr>
          <w:iCs/>
        </w:rPr>
        <w:tab/>
      </w:r>
      <w:r w:rsidRPr="00F017F2">
        <w:rPr>
          <w:iCs/>
        </w:rPr>
        <w:t xml:space="preserve">Madeleine Gauthier et Johanne Bujold. </w:t>
      </w:r>
      <w:r w:rsidRPr="00D61FD2">
        <w:rPr>
          <w:i/>
        </w:rPr>
        <w:t>Les antécédents et les cons</w:t>
      </w:r>
      <w:r w:rsidRPr="00D61FD2">
        <w:rPr>
          <w:i/>
        </w:rPr>
        <w:t>é</w:t>
      </w:r>
      <w:r w:rsidRPr="00D61FD2">
        <w:rPr>
          <w:i/>
        </w:rPr>
        <w:t>quents de la baisse de fécondité au Québec, 1960</w:t>
      </w:r>
      <w:r w:rsidRPr="00D61FD2">
        <w:rPr>
          <w:bCs/>
          <w:i/>
        </w:rPr>
        <w:t>-</w:t>
      </w:r>
      <w:r w:rsidRPr="00D61FD2">
        <w:rPr>
          <w:i/>
        </w:rPr>
        <w:t>1990</w:t>
      </w:r>
      <w:r w:rsidRPr="00D61FD2">
        <w:rPr>
          <w:bCs/>
          <w:i/>
        </w:rPr>
        <w:t xml:space="preserve">. </w:t>
      </w:r>
      <w:r w:rsidRPr="00D61FD2">
        <w:rPr>
          <w:i/>
        </w:rPr>
        <w:t>Une an</w:t>
      </w:r>
      <w:r w:rsidRPr="00D61FD2">
        <w:rPr>
          <w:i/>
        </w:rPr>
        <w:t>a</w:t>
      </w:r>
      <w:r w:rsidRPr="00D61FD2">
        <w:rPr>
          <w:i/>
        </w:rPr>
        <w:t>lyse des interdépendances</w:t>
      </w:r>
      <w:r w:rsidRPr="00F017F2">
        <w:t>.</w:t>
      </w:r>
      <w:r w:rsidRPr="00F017F2">
        <w:rPr>
          <w:bCs/>
          <w:iCs/>
        </w:rPr>
        <w:t xml:space="preserve"> </w:t>
      </w:r>
      <w:r w:rsidRPr="00F017F2">
        <w:rPr>
          <w:iCs/>
        </w:rPr>
        <w:t>1993, 56 pages</w:t>
      </w:r>
      <w:r>
        <w:rPr>
          <w:iCs/>
        </w:rPr>
        <w:t>.</w:t>
      </w:r>
    </w:p>
    <w:p w:rsidR="00B7214C" w:rsidRPr="00F017F2" w:rsidRDefault="00B7214C" w:rsidP="00B7214C">
      <w:pPr>
        <w:spacing w:before="120" w:after="120"/>
        <w:ind w:left="1080" w:hanging="540"/>
        <w:jc w:val="both"/>
      </w:pPr>
      <w:r>
        <w:rPr>
          <w:iCs/>
        </w:rPr>
        <w:t>12.</w:t>
      </w:r>
      <w:r>
        <w:rPr>
          <w:iCs/>
        </w:rPr>
        <w:tab/>
      </w:r>
      <w:r w:rsidRPr="00F017F2">
        <w:rPr>
          <w:iCs/>
        </w:rPr>
        <w:t xml:space="preserve">Gary Caldwell. </w:t>
      </w:r>
      <w:r w:rsidRPr="00F017F2">
        <w:rPr>
          <w:i/>
        </w:rPr>
        <w:t>Immigration Incorporation in Montreal in the Seve</w:t>
      </w:r>
      <w:r w:rsidRPr="00F017F2">
        <w:rPr>
          <w:i/>
        </w:rPr>
        <w:t>n</w:t>
      </w:r>
      <w:r w:rsidRPr="00F017F2">
        <w:rPr>
          <w:i/>
        </w:rPr>
        <w:t>ties</w:t>
      </w:r>
      <w:r w:rsidRPr="00F017F2">
        <w:t>.</w:t>
      </w:r>
      <w:r w:rsidRPr="00F017F2">
        <w:rPr>
          <w:bCs/>
          <w:iCs/>
        </w:rPr>
        <w:t xml:space="preserve"> </w:t>
      </w:r>
      <w:r w:rsidRPr="00F017F2">
        <w:rPr>
          <w:iCs/>
        </w:rPr>
        <w:t>1994, 190 pages.</w:t>
      </w:r>
    </w:p>
    <w:p w:rsidR="00B7214C" w:rsidRPr="00F017F2" w:rsidRDefault="00B7214C" w:rsidP="00B7214C">
      <w:pPr>
        <w:spacing w:before="120" w:after="120"/>
        <w:ind w:left="1080" w:hanging="540"/>
        <w:jc w:val="both"/>
      </w:pPr>
      <w:r>
        <w:rPr>
          <w:iCs/>
        </w:rPr>
        <w:t>13.</w:t>
      </w:r>
      <w:r>
        <w:rPr>
          <w:iCs/>
        </w:rPr>
        <w:tab/>
      </w:r>
      <w:r w:rsidRPr="00F017F2">
        <w:rPr>
          <w:iCs/>
        </w:rPr>
        <w:t xml:space="preserve">Françoise-Romaine Ouellette et Johanne Séguin. </w:t>
      </w:r>
      <w:r w:rsidRPr="00D61FD2">
        <w:rPr>
          <w:i/>
        </w:rPr>
        <w:t>Adoption et redéfin</w:t>
      </w:r>
      <w:r w:rsidRPr="00D61FD2">
        <w:rPr>
          <w:i/>
        </w:rPr>
        <w:t>i</w:t>
      </w:r>
      <w:r w:rsidRPr="00D61FD2">
        <w:rPr>
          <w:i/>
        </w:rPr>
        <w:t>tion contemporaine de l’enfant, de la famille et de la filiation</w:t>
      </w:r>
      <w:r w:rsidRPr="00F017F2">
        <w:t>.</w:t>
      </w:r>
      <w:r w:rsidRPr="00F017F2">
        <w:rPr>
          <w:bCs/>
          <w:iCs/>
        </w:rPr>
        <w:t xml:space="preserve"> </w:t>
      </w:r>
      <w:r w:rsidRPr="00F017F2">
        <w:rPr>
          <w:iCs/>
        </w:rPr>
        <w:t>1994, vi-178 pages</w:t>
      </w:r>
      <w:r>
        <w:rPr>
          <w:iCs/>
        </w:rPr>
        <w:t>.</w:t>
      </w:r>
    </w:p>
    <w:p w:rsidR="00B7214C" w:rsidRDefault="00B7214C" w:rsidP="00B7214C">
      <w:pPr>
        <w:spacing w:before="120" w:after="120"/>
        <w:ind w:left="540" w:hanging="540"/>
        <w:jc w:val="both"/>
      </w:pPr>
    </w:p>
    <w:p w:rsidR="00B7214C" w:rsidRPr="004A7EF1" w:rsidRDefault="00B7214C" w:rsidP="00B7214C">
      <w:pPr>
        <w:pStyle w:val="a"/>
      </w:pPr>
      <w:r>
        <w:t xml:space="preserve">XII. </w:t>
      </w:r>
      <w:r w:rsidRPr="004A7EF1">
        <w:t>Banques de données sur support informatique</w:t>
      </w:r>
    </w:p>
    <w:p w:rsidR="00B7214C" w:rsidRDefault="00B7214C" w:rsidP="00B7214C">
      <w:pPr>
        <w:spacing w:before="120" w:after="120"/>
        <w:ind w:left="540" w:hanging="540"/>
        <w:jc w:val="both"/>
      </w:pPr>
    </w:p>
    <w:p w:rsidR="00B7214C" w:rsidRPr="004A7EF1" w:rsidRDefault="00B7214C" w:rsidP="00B7214C">
      <w:pPr>
        <w:spacing w:before="120" w:after="120"/>
        <w:ind w:left="540" w:hanging="540"/>
        <w:jc w:val="both"/>
      </w:pPr>
      <w:r>
        <w:t>1.</w:t>
      </w:r>
      <w:r>
        <w:tab/>
      </w:r>
      <w:r w:rsidRPr="004A7EF1">
        <w:t xml:space="preserve">Jean-Pierre Chalifoux. </w:t>
      </w:r>
      <w:r w:rsidRPr="004A7EF1">
        <w:rPr>
          <w:i/>
          <w:iCs/>
        </w:rPr>
        <w:t xml:space="preserve">Le livre et la lecture </w:t>
      </w:r>
      <w:r w:rsidRPr="004A7EF1">
        <w:rPr>
          <w:bCs/>
          <w:i/>
          <w:iCs/>
        </w:rPr>
        <w:t>au Québec au XX</w:t>
      </w:r>
      <w:r w:rsidRPr="00F017F2">
        <w:rPr>
          <w:bCs/>
          <w:i/>
          <w:iCs/>
          <w:vertAlign w:val="superscript"/>
        </w:rPr>
        <w:t>e</w:t>
      </w:r>
      <w:r w:rsidRPr="004A7EF1">
        <w:rPr>
          <w:bCs/>
          <w:i/>
          <w:iCs/>
        </w:rPr>
        <w:t xml:space="preserve"> </w:t>
      </w:r>
      <w:r w:rsidRPr="004A7EF1">
        <w:rPr>
          <w:i/>
          <w:iCs/>
        </w:rPr>
        <w:t>si</w:t>
      </w:r>
      <w:r w:rsidRPr="004A7EF1">
        <w:rPr>
          <w:i/>
          <w:iCs/>
        </w:rPr>
        <w:t>è</w:t>
      </w:r>
      <w:r w:rsidRPr="004A7EF1">
        <w:rPr>
          <w:i/>
          <w:iCs/>
        </w:rPr>
        <w:t>cle.</w:t>
      </w:r>
      <w:r w:rsidRPr="004A7EF1">
        <w:rPr>
          <w:bCs/>
        </w:rPr>
        <w:t xml:space="preserve"> </w:t>
      </w:r>
      <w:r w:rsidRPr="004A7EF1">
        <w:t>Montréal, IQRC, 1982, (8 000 titres).</w:t>
      </w:r>
      <w:r>
        <w:t> </w:t>
      </w:r>
      <w:r>
        <w:rPr>
          <w:rStyle w:val="Appelnotedebasdep"/>
        </w:rPr>
        <w:footnoteReference w:customMarkFollows="1" w:id="415"/>
        <w:t>*</w:t>
      </w:r>
    </w:p>
    <w:p w:rsidR="00B7214C" w:rsidRPr="004A7EF1" w:rsidRDefault="00B7214C" w:rsidP="00B7214C">
      <w:pPr>
        <w:spacing w:before="120" w:after="120"/>
        <w:ind w:left="540" w:hanging="540"/>
        <w:jc w:val="both"/>
      </w:pPr>
      <w:r>
        <w:t>2.</w:t>
      </w:r>
      <w:r>
        <w:tab/>
      </w:r>
      <w:r w:rsidRPr="004A7EF1">
        <w:t xml:space="preserve">Paul Aubin et Louis-Marie Côté. </w:t>
      </w:r>
      <w:r w:rsidRPr="004A7EF1">
        <w:rPr>
          <w:i/>
          <w:iCs/>
        </w:rPr>
        <w:t>HISCABEQ. Bibliographie de l'hi</w:t>
      </w:r>
      <w:r w:rsidRPr="004A7EF1">
        <w:rPr>
          <w:i/>
          <w:iCs/>
        </w:rPr>
        <w:t>s</w:t>
      </w:r>
      <w:r w:rsidRPr="004A7EF1">
        <w:rPr>
          <w:i/>
          <w:iCs/>
        </w:rPr>
        <w:t xml:space="preserve">toire du Québec et du Canada </w:t>
      </w:r>
      <w:r w:rsidRPr="004A7EF1">
        <w:rPr>
          <w:bCs/>
          <w:i/>
          <w:iCs/>
        </w:rPr>
        <w:t>(</w:t>
      </w:r>
      <w:r w:rsidRPr="004A7EF1">
        <w:rPr>
          <w:i/>
          <w:iCs/>
        </w:rPr>
        <w:t>1946</w:t>
      </w:r>
      <w:r w:rsidRPr="004A7EF1">
        <w:rPr>
          <w:bCs/>
          <w:i/>
          <w:iCs/>
        </w:rPr>
        <w:t>-</w:t>
      </w:r>
      <w:r w:rsidRPr="004A7EF1">
        <w:rPr>
          <w:i/>
          <w:iCs/>
        </w:rPr>
        <w:t>1980</w:t>
      </w:r>
      <w:r w:rsidRPr="004A7EF1">
        <w:rPr>
          <w:bCs/>
          <w:i/>
          <w:iCs/>
        </w:rPr>
        <w:t>).</w:t>
      </w:r>
      <w:r w:rsidRPr="004A7EF1">
        <w:t xml:space="preserve"> Montréal, IQRC, 1981, (90 000 titres </w:t>
      </w:r>
      <w:r w:rsidRPr="004A7EF1">
        <w:rPr>
          <w:bCs/>
        </w:rPr>
        <w:t xml:space="preserve">— </w:t>
      </w:r>
      <w:r>
        <w:t>mise à jour trimestrielle)</w:t>
      </w:r>
      <w:r w:rsidRPr="004A7EF1">
        <w:t>.</w:t>
      </w:r>
      <w:r>
        <w:t> </w:t>
      </w:r>
      <w:r>
        <w:rPr>
          <w:rStyle w:val="Appelnotedebasdep"/>
        </w:rPr>
        <w:footnoteReference w:customMarkFollows="1" w:id="416"/>
        <w:t>**</w:t>
      </w:r>
    </w:p>
    <w:p w:rsidR="00B7214C" w:rsidRDefault="00B7214C" w:rsidP="00B7214C">
      <w:pPr>
        <w:spacing w:before="120" w:after="120"/>
        <w:ind w:left="540" w:hanging="540"/>
        <w:jc w:val="both"/>
      </w:pPr>
    </w:p>
    <w:p w:rsidR="00B7214C" w:rsidRPr="004A7EF1" w:rsidRDefault="00B7214C" w:rsidP="00B7214C">
      <w:pPr>
        <w:pStyle w:val="a"/>
      </w:pPr>
      <w:r>
        <w:t xml:space="preserve">XIII. </w:t>
      </w:r>
      <w:r w:rsidRPr="004A7EF1">
        <w:t>Documents audio-visuels</w:t>
      </w:r>
      <w:r>
        <w:rPr>
          <w:b w:val="0"/>
          <w:i w:val="0"/>
        </w:rPr>
        <w:t> </w:t>
      </w:r>
      <w:r>
        <w:rPr>
          <w:rStyle w:val="Appelnotedebasdep"/>
          <w:b w:val="0"/>
          <w:i w:val="0"/>
        </w:rPr>
        <w:footnoteReference w:customMarkFollows="1" w:id="417"/>
        <w:t>***</w:t>
      </w:r>
    </w:p>
    <w:p w:rsidR="00B7214C" w:rsidRDefault="00B7214C" w:rsidP="00B7214C">
      <w:pPr>
        <w:spacing w:before="120" w:after="120"/>
        <w:ind w:left="540" w:hanging="540"/>
        <w:jc w:val="both"/>
      </w:pPr>
    </w:p>
    <w:p w:rsidR="00B7214C" w:rsidRDefault="00B7214C" w:rsidP="00B7214C">
      <w:pPr>
        <w:spacing w:before="120" w:after="120"/>
        <w:ind w:left="540" w:hanging="540"/>
        <w:jc w:val="both"/>
      </w:pPr>
      <w:r w:rsidRPr="004A7EF1">
        <w:t>1.</w:t>
      </w:r>
      <w:r>
        <w:tab/>
      </w:r>
      <w:r w:rsidRPr="004A7EF1">
        <w:t>Arthur Lamothe. Culture amérindienne. Archives. (Vingt doc</w:t>
      </w:r>
      <w:r w:rsidRPr="004A7EF1">
        <w:t>u</w:t>
      </w:r>
      <w:r w:rsidRPr="004A7EF1">
        <w:t>ments produits par les Ateliers audio-visuels du Québec.)</w:t>
      </w:r>
    </w:p>
    <w:p w:rsidR="00B7214C" w:rsidRDefault="00B7214C" w:rsidP="00B7214C">
      <w:pPr>
        <w:pStyle w:val="p"/>
      </w:pPr>
      <w:r w:rsidRPr="004A7EF1">
        <w:br w:type="page"/>
      </w:r>
      <w:r>
        <w:t>[575]</w:t>
      </w: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Default="00B7214C" w:rsidP="00B7214C">
      <w:pPr>
        <w:spacing w:before="120" w:after="120"/>
        <w:jc w:val="both"/>
      </w:pPr>
    </w:p>
    <w:p w:rsidR="00B7214C" w:rsidRPr="005869B6" w:rsidRDefault="00B7214C" w:rsidP="00B7214C">
      <w:pPr>
        <w:spacing w:before="120" w:after="120"/>
        <w:jc w:val="both"/>
      </w:pPr>
    </w:p>
    <w:p w:rsidR="00B7214C" w:rsidRDefault="00B7214C" w:rsidP="00B7214C">
      <w:pPr>
        <w:spacing w:before="120" w:after="120"/>
        <w:ind w:firstLine="0"/>
        <w:jc w:val="center"/>
      </w:pPr>
      <w:r w:rsidRPr="005869B6">
        <w:t>Achevé d'imprimer à Montmagny</w:t>
      </w:r>
      <w:r w:rsidRPr="005869B6">
        <w:br/>
        <w:t>à l'Imprimerie d'édition Marquis ltée</w:t>
      </w:r>
      <w:r w:rsidRPr="005869B6">
        <w:br/>
        <w:t>en avril 1994</w:t>
      </w:r>
    </w:p>
    <w:p w:rsidR="00B7214C" w:rsidRPr="00A37731" w:rsidRDefault="00B7214C" w:rsidP="00B7214C">
      <w:pPr>
        <w:pStyle w:val="p"/>
      </w:pPr>
    </w:p>
    <w:sectPr w:rsidR="00B7214C" w:rsidRPr="00A37731" w:rsidSect="00B7214C">
      <w:headerReference w:type="default" r:id="rId13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3CF" w:rsidRDefault="004713CF">
      <w:r>
        <w:separator/>
      </w:r>
    </w:p>
  </w:endnote>
  <w:endnote w:type="continuationSeparator" w:id="0">
    <w:p w:rsidR="004713CF" w:rsidRDefault="0047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3CF" w:rsidRDefault="004713CF">
      <w:pPr>
        <w:ind w:firstLine="0"/>
      </w:pPr>
      <w:r>
        <w:separator/>
      </w:r>
    </w:p>
  </w:footnote>
  <w:footnote w:type="continuationSeparator" w:id="0">
    <w:p w:rsidR="004713CF" w:rsidRDefault="004713CF">
      <w:pPr>
        <w:ind w:firstLine="0"/>
      </w:pPr>
      <w:r>
        <w:separator/>
      </w:r>
    </w:p>
  </w:footnote>
  <w:footnote w:id="1">
    <w:p w:rsidR="00B7214C" w:rsidRDefault="00B7214C" w:rsidP="00B7214C">
      <w:pPr>
        <w:pStyle w:val="Notedebasdepage"/>
      </w:pPr>
      <w:r>
        <w:rPr>
          <w:rStyle w:val="Appelnotedebasdep"/>
        </w:rPr>
        <w:footnoteRef/>
      </w:r>
      <w:r>
        <w:t xml:space="preserve"> </w:t>
      </w:r>
      <w:r>
        <w:tab/>
      </w:r>
      <w:r w:rsidRPr="00BC632B">
        <w:t xml:space="preserve">On retrouvera ici largement le cadre d'analyse qui supporte la </w:t>
      </w:r>
      <w:r w:rsidRPr="00A07EC4">
        <w:t xml:space="preserve">recherche </w:t>
      </w:r>
      <w:r w:rsidRPr="00A07EC4">
        <w:rPr>
          <w:bCs/>
          <w:i/>
          <w:iCs/>
        </w:rPr>
        <w:t>Ethnicité et pluralisme. Le discours de leaders d'associ</w:t>
      </w:r>
      <w:r w:rsidRPr="00A07EC4">
        <w:rPr>
          <w:bCs/>
          <w:i/>
          <w:iCs/>
        </w:rPr>
        <w:t>a</w:t>
      </w:r>
      <w:r w:rsidRPr="00A07EC4">
        <w:rPr>
          <w:bCs/>
          <w:i/>
          <w:iCs/>
        </w:rPr>
        <w:t>tions à caractère ethnique de la région de Montréal,</w:t>
      </w:r>
      <w:r w:rsidRPr="00A07EC4">
        <w:t xml:space="preserve"> recherche su</w:t>
      </w:r>
      <w:r w:rsidRPr="00A07EC4">
        <w:t>b</w:t>
      </w:r>
      <w:r w:rsidRPr="00A07EC4">
        <w:t>ventionnée par l'Université du Québec à Montréal, le Conseil de r</w:t>
      </w:r>
      <w:r w:rsidRPr="00A07EC4">
        <w:t>e</w:t>
      </w:r>
      <w:r w:rsidRPr="00A07EC4">
        <w:t>cherche en sciences humaines, la fondation Thérèse-Casgrain, le Secrétariat d'Etat, direction du Multicultur</w:t>
      </w:r>
      <w:r w:rsidRPr="00A07EC4">
        <w:t>a</w:t>
      </w:r>
      <w:r w:rsidRPr="00A07EC4">
        <w:t>lisme et de la Citoyenneté. Nous remercions Francine Tardif pour les co</w:t>
      </w:r>
      <w:r w:rsidRPr="00A07EC4">
        <w:t>m</w:t>
      </w:r>
      <w:r w:rsidRPr="00A07EC4">
        <w:t>men</w:t>
      </w:r>
      <w:r w:rsidRPr="00BC632B">
        <w:t>taires critiques a</w:t>
      </w:r>
      <w:r w:rsidRPr="00BC632B">
        <w:t>p</w:t>
      </w:r>
      <w:r w:rsidRPr="00BC632B">
        <w:t>portés à ce texte.</w:t>
      </w:r>
    </w:p>
  </w:footnote>
  <w:footnote w:id="2">
    <w:p w:rsidR="00B7214C" w:rsidRDefault="00B7214C" w:rsidP="00B7214C">
      <w:pPr>
        <w:pStyle w:val="Notedebasdepage"/>
      </w:pPr>
      <w:r>
        <w:rPr>
          <w:rStyle w:val="Appelnotedebasdep"/>
        </w:rPr>
        <w:footnoteRef/>
      </w:r>
      <w:r>
        <w:t xml:space="preserve"> </w:t>
      </w:r>
      <w:r>
        <w:tab/>
      </w:r>
      <w:r w:rsidRPr="00BC632B">
        <w:t>Dans la suite de ses travaux, Gordon identifiera deux formes de pluralisme. La première est le « pluralisme libéral », où l'accent est placé sur les droits individuels dans des contextes où normes et valeurs culturelles peuvent d</w:t>
      </w:r>
      <w:r w:rsidRPr="00BC632B">
        <w:t>i</w:t>
      </w:r>
      <w:r w:rsidRPr="00BC632B">
        <w:t>verger. Ce pluralisme ne doit pas être affecté par l'identité ethnique ou raci</w:t>
      </w:r>
      <w:r w:rsidRPr="00BC632B">
        <w:t>a</w:t>
      </w:r>
      <w:r w:rsidRPr="00BC632B">
        <w:t>le, et n'implique ni ségrégation ni intégration. Par contre, la deuxième fo</w:t>
      </w:r>
      <w:r w:rsidRPr="00BC632B">
        <w:t>r</w:t>
      </w:r>
      <w:r w:rsidRPr="00BC632B">
        <w:t>me, le « corporate pluralism », reconnaît ouvertement que la distribution du pouvoir et des privilèges s'opèrent selon des clivages ethniques et raciaux ; en conséquence, les revendications se font ici autour de droits collectifs et d'une définition col</w:t>
      </w:r>
      <w:r>
        <w:t>lective de l'appartenance (Yin</w:t>
      </w:r>
      <w:r w:rsidRPr="00BC632B">
        <w:t>ger, 1988, p. 32). On r</w:t>
      </w:r>
      <w:r w:rsidRPr="00BC632B">
        <w:t>e</w:t>
      </w:r>
      <w:r w:rsidRPr="00BC632B">
        <w:t>joint ici les tenants du pluralisme politique.</w:t>
      </w:r>
    </w:p>
  </w:footnote>
  <w:footnote w:id="3">
    <w:p w:rsidR="00B7214C" w:rsidRDefault="00B7214C" w:rsidP="00B7214C">
      <w:pPr>
        <w:pStyle w:val="Notedebasdepage"/>
      </w:pPr>
      <w:r>
        <w:rPr>
          <w:rStyle w:val="Appelnotedebasdep"/>
        </w:rPr>
        <w:footnoteRef/>
      </w:r>
      <w:r>
        <w:t xml:space="preserve"> </w:t>
      </w:r>
      <w:r>
        <w:tab/>
      </w:r>
      <w:r w:rsidRPr="00BC632B">
        <w:t>On réfère ici aux préférences accordées aux colons ou aux immigrants br</w:t>
      </w:r>
      <w:r w:rsidRPr="00BC632B">
        <w:t>i</w:t>
      </w:r>
      <w:r w:rsidRPr="00BC632B">
        <w:t>tanniques et aux pratiques discriminatoires à l'égard des minorités asiatiques et antillaises anglophones ou noires de vieille so</w:t>
      </w:r>
      <w:r w:rsidRPr="00BC632B">
        <w:t>u</w:t>
      </w:r>
      <w:r w:rsidRPr="00BC632B">
        <w:t>che.</w:t>
      </w:r>
    </w:p>
  </w:footnote>
  <w:footnote w:id="4">
    <w:p w:rsidR="00B7214C" w:rsidRDefault="00B7214C" w:rsidP="00B7214C">
      <w:pPr>
        <w:pStyle w:val="Notedebasdepage"/>
      </w:pPr>
      <w:r>
        <w:rPr>
          <w:rStyle w:val="Appelnotedebasdep"/>
        </w:rPr>
        <w:footnoteRef/>
      </w:r>
      <w:r>
        <w:t xml:space="preserve"> </w:t>
      </w:r>
      <w:r>
        <w:tab/>
      </w:r>
      <w:r w:rsidRPr="00BC632B">
        <w:t>Bourque et Duchastel définissent ainsi la notion de bloc social : « Ainsi s</w:t>
      </w:r>
      <w:r w:rsidRPr="00BC632B">
        <w:t>e</w:t>
      </w:r>
      <w:r w:rsidRPr="00BC632B">
        <w:t>rons-nous amenés à définir un bloc social comme une a</w:t>
      </w:r>
      <w:r w:rsidRPr="00BC632B">
        <w:t>l</w:t>
      </w:r>
      <w:r w:rsidRPr="00BC632B">
        <w:t>liance-hégémonisation entre des classes et des forces sociales dom</w:t>
      </w:r>
      <w:r w:rsidRPr="00BC632B">
        <w:t>i</w:t>
      </w:r>
      <w:r w:rsidRPr="00BC632B">
        <w:t>nantes et des classes dominées qui produit une définition-représentation différentielle de l'espace et de la communauté, soit en produisant la nation dominante et son espace national, soit en produisant la nation dominée et son espace dit r</w:t>
      </w:r>
      <w:r w:rsidRPr="00BC632B">
        <w:t>é</w:t>
      </w:r>
      <w:r w:rsidRPr="00BC632B">
        <w:t>gional pour une nation dite minoritaire » (</w:t>
      </w:r>
      <w:r w:rsidRPr="003F6AC3">
        <w:rPr>
          <w:bCs/>
          <w:i/>
          <w:iCs/>
        </w:rPr>
        <w:t>op. cit.,</w:t>
      </w:r>
      <w:r w:rsidRPr="003F6AC3">
        <w:rPr>
          <w:b/>
          <w:bCs/>
          <w:i/>
          <w:iCs/>
        </w:rPr>
        <w:t xml:space="preserve"> </w:t>
      </w:r>
      <w:r w:rsidRPr="00BC632B">
        <w:t>p</w:t>
      </w:r>
      <w:r>
        <w:t>p</w:t>
      </w:r>
      <w:r w:rsidRPr="00BC632B">
        <w:t>. 133-134). Les auteurs admettent que les rapports entre bloc au pouvoir et blocs sociaux régionaux varient s</w:t>
      </w:r>
      <w:r w:rsidRPr="00BC632B">
        <w:t>e</w:t>
      </w:r>
      <w:r w:rsidRPr="00BC632B">
        <w:t>lon la période et la détermination structurelle de classe.</w:t>
      </w:r>
    </w:p>
  </w:footnote>
  <w:footnote w:id="5">
    <w:p w:rsidR="00B7214C" w:rsidRDefault="00B7214C" w:rsidP="00B7214C">
      <w:pPr>
        <w:pStyle w:val="Notedebasdepage"/>
      </w:pPr>
      <w:r>
        <w:rPr>
          <w:rStyle w:val="Appelnotedebasdep"/>
        </w:rPr>
        <w:footnoteRef/>
      </w:r>
      <w:r>
        <w:t xml:space="preserve"> </w:t>
      </w:r>
      <w:r>
        <w:tab/>
      </w:r>
      <w:r w:rsidRPr="00BC632B">
        <w:t>Cette partie du texte reprend intégralement des segments de l'a</w:t>
      </w:r>
      <w:r w:rsidRPr="00BC632B">
        <w:t>r</w:t>
      </w:r>
      <w:r w:rsidRPr="00BC632B">
        <w:t>ticle « La question nationale dans le discours des leaders d'associ</w:t>
      </w:r>
      <w:r w:rsidRPr="00BC632B">
        <w:t>a</w:t>
      </w:r>
      <w:r w:rsidRPr="00BC632B">
        <w:t xml:space="preserve">tions à caractère ethnique de la région de Montréal » (Labelle, </w:t>
      </w:r>
      <w:r w:rsidRPr="003F6AC3">
        <w:rPr>
          <w:bCs/>
          <w:i/>
          <w:iCs/>
        </w:rPr>
        <w:t>et al.,</w:t>
      </w:r>
      <w:r w:rsidRPr="00BC632B">
        <w:t xml:space="preserve"> 1993).</w:t>
      </w:r>
    </w:p>
  </w:footnote>
  <w:footnote w:id="6">
    <w:p w:rsidR="00B7214C" w:rsidRDefault="00B7214C" w:rsidP="00B7214C">
      <w:pPr>
        <w:pStyle w:val="Notedebasdepage"/>
      </w:pPr>
      <w:r>
        <w:rPr>
          <w:rStyle w:val="Appelnotedebasdep"/>
        </w:rPr>
        <w:footnoteRef/>
      </w:r>
      <w:r>
        <w:t xml:space="preserve"> </w:t>
      </w:r>
      <w:r>
        <w:tab/>
      </w:r>
      <w:r w:rsidRPr="00BC632B">
        <w:t>Cette sensibilité pourrait s'expliquer par les modalités de l'app</w:t>
      </w:r>
      <w:r w:rsidRPr="00BC632B">
        <w:t>a</w:t>
      </w:r>
      <w:r w:rsidRPr="00BC632B">
        <w:t>rition ou de la non-apparition de l'État-nation dans leur pays d'origine, par les luttes de libération nationale ou contre des régimes dictat</w:t>
      </w:r>
      <w:r w:rsidRPr="00BC632B">
        <w:t>o</w:t>
      </w:r>
      <w:r w:rsidRPr="00BC632B">
        <w:t>riaux, ou des fractions de classe et des idéologies politiques des réfugiés qui ont composé les migr</w:t>
      </w:r>
      <w:r w:rsidRPr="00BC632B">
        <w:t>a</w:t>
      </w:r>
      <w:r w:rsidRPr="00BC632B">
        <w:t>tions au Canada et au Québec.</w:t>
      </w:r>
    </w:p>
  </w:footnote>
  <w:footnote w:id="7">
    <w:p w:rsidR="00B7214C" w:rsidRDefault="00B7214C" w:rsidP="00B7214C">
      <w:pPr>
        <w:pStyle w:val="Notedebasdepage"/>
      </w:pPr>
      <w:r>
        <w:rPr>
          <w:rStyle w:val="Appelnotedebasdep"/>
        </w:rPr>
        <w:footnoteRef/>
      </w:r>
      <w:r>
        <w:t xml:space="preserve"> </w:t>
      </w:r>
      <w:r>
        <w:tab/>
      </w:r>
      <w:r w:rsidRPr="00B05531">
        <w:t>Louise Fontaine, Yuki Shiose. «</w:t>
      </w:r>
      <w:r>
        <w:t> </w:t>
      </w:r>
      <w:r w:rsidRPr="00B05531">
        <w:t>Ni Citoyens, ni Autres</w:t>
      </w:r>
      <w:r>
        <w:t> </w:t>
      </w:r>
      <w:r w:rsidRPr="00B05531">
        <w:t>: la catégorie polit</w:t>
      </w:r>
      <w:r w:rsidRPr="00B05531">
        <w:t>i</w:t>
      </w:r>
      <w:r>
        <w:t>que “communautés culturelles” </w:t>
      </w:r>
      <w:r w:rsidRPr="00B05531">
        <w:t xml:space="preserve">» dans D. Colas, C. Emeri et J. Zylberberg (dir.). </w:t>
      </w:r>
      <w:r w:rsidRPr="00B05531">
        <w:rPr>
          <w:i/>
        </w:rPr>
        <w:t>Citoyenneté et nationalité. Perspectives en France et au Québec</w:t>
      </w:r>
      <w:r w:rsidRPr="00B05531">
        <w:t>, P</w:t>
      </w:r>
      <w:r w:rsidRPr="00B05531">
        <w:t>a</w:t>
      </w:r>
      <w:r w:rsidRPr="00B05531">
        <w:t>ris, Presses universitaires de France, 1991, p. 435-443.</w:t>
      </w:r>
    </w:p>
  </w:footnote>
  <w:footnote w:id="8">
    <w:p w:rsidR="00B7214C" w:rsidRDefault="00B7214C" w:rsidP="00B7214C">
      <w:pPr>
        <w:pStyle w:val="Notedebasdepage"/>
      </w:pPr>
      <w:r>
        <w:rPr>
          <w:rStyle w:val="Appelnotedebasdep"/>
        </w:rPr>
        <w:footnoteRef/>
      </w:r>
      <w:r>
        <w:t xml:space="preserve"> </w:t>
      </w:r>
      <w:r>
        <w:tab/>
      </w:r>
      <w:r w:rsidRPr="00B05531">
        <w:t>Voir Micheline Labelle, «</w:t>
      </w:r>
      <w:r>
        <w:t> </w:t>
      </w:r>
      <w:r w:rsidRPr="00B05531">
        <w:t>Nation et ethnicité. Perspectives théoriques à pr</w:t>
      </w:r>
      <w:r w:rsidRPr="00B05531">
        <w:t>o</w:t>
      </w:r>
      <w:r w:rsidRPr="00B05531">
        <w:t>pos du Québec</w:t>
      </w:r>
      <w:r>
        <w:t> </w:t>
      </w:r>
      <w:r w:rsidRPr="00B05531">
        <w:t>», p. 50 du présent ouvrage.</w:t>
      </w:r>
    </w:p>
  </w:footnote>
  <w:footnote w:id="9">
    <w:p w:rsidR="00B7214C" w:rsidRDefault="00B7214C" w:rsidP="00B7214C">
      <w:pPr>
        <w:pStyle w:val="Notedebasdepage"/>
      </w:pPr>
      <w:r>
        <w:rPr>
          <w:rStyle w:val="Appelnotedebasdep"/>
        </w:rPr>
        <w:footnoteRef/>
      </w:r>
      <w:r>
        <w:t xml:space="preserve"> </w:t>
      </w:r>
      <w:r>
        <w:tab/>
      </w:r>
      <w:r w:rsidRPr="00BC632B">
        <w:t>Communication présentée au Congrès de l'ACFAS dans le cadre de l'A</w:t>
      </w:r>
      <w:r w:rsidRPr="00BC632B">
        <w:t>C</w:t>
      </w:r>
      <w:r w:rsidRPr="00BC632B">
        <w:t>SALF en mai 1993 à l'Université du Québec à Rimouski.</w:t>
      </w:r>
    </w:p>
  </w:footnote>
  <w:footnote w:id="10">
    <w:p w:rsidR="00B7214C" w:rsidRDefault="00B7214C" w:rsidP="00B7214C">
      <w:pPr>
        <w:pStyle w:val="Notedebasdepage"/>
      </w:pPr>
      <w:r>
        <w:rPr>
          <w:rStyle w:val="Appelnotedebasdep"/>
        </w:rPr>
        <w:footnoteRef/>
      </w:r>
      <w:r>
        <w:t xml:space="preserve"> </w:t>
      </w:r>
      <w:r>
        <w:tab/>
      </w:r>
      <w:r w:rsidRPr="00BC632B">
        <w:t>Talcott Parsons (1951, p. 58-67) a systématisé cette opposition entre trad</w:t>
      </w:r>
      <w:r w:rsidRPr="00BC632B">
        <w:t>i</w:t>
      </w:r>
      <w:r w:rsidRPr="00BC632B">
        <w:t xml:space="preserve">tion et modernité par les fameux dilemmes de l'orientation </w:t>
      </w:r>
      <w:r w:rsidRPr="00B4156A">
        <w:t xml:space="preserve">de l'action </w:t>
      </w:r>
      <w:r>
        <w:t>[</w:t>
      </w:r>
      <w:r w:rsidRPr="00B4156A">
        <w:t>les « </w:t>
      </w:r>
      <w:r w:rsidRPr="00B4156A">
        <w:rPr>
          <w:bCs/>
          <w:i/>
          <w:iCs/>
        </w:rPr>
        <w:t>Pattern-Alternatives of Value-Orientation</w:t>
      </w:r>
      <w:r w:rsidRPr="00B4156A">
        <w:t> » : parti</w:t>
      </w:r>
      <w:r w:rsidRPr="00BC632B">
        <w:t>c</w:t>
      </w:r>
      <w:r w:rsidRPr="00BC632B">
        <w:t>u</w:t>
      </w:r>
      <w:r w:rsidRPr="00BC632B">
        <w:t>larisme-universalisme, affectivité-neutralité affective, statut tran</w:t>
      </w:r>
      <w:r w:rsidRPr="00BC632B">
        <w:t>s</w:t>
      </w:r>
      <w:r w:rsidRPr="00BC632B">
        <w:t>mis-statut acquis (être-performance), diffusion-spéci</w:t>
      </w:r>
      <w:r>
        <w:t>ficité (expressif-instrumental)]</w:t>
      </w:r>
      <w:r w:rsidRPr="00BC632B">
        <w:t>.</w:t>
      </w:r>
    </w:p>
  </w:footnote>
  <w:footnote w:id="11">
    <w:p w:rsidR="00B7214C" w:rsidRDefault="00B7214C" w:rsidP="00B7214C">
      <w:pPr>
        <w:pStyle w:val="Notedebasdepage"/>
      </w:pPr>
      <w:r>
        <w:rPr>
          <w:rStyle w:val="Appelnotedebasdep"/>
        </w:rPr>
        <w:footnoteRef/>
      </w:r>
      <w:r>
        <w:t xml:space="preserve"> </w:t>
      </w:r>
      <w:r>
        <w:tab/>
      </w:r>
      <w:r w:rsidRPr="00BC632B">
        <w:t>Nous empruntons l'épithète de souverainiste à Bourque et Légaré qu'ils a</w:t>
      </w:r>
      <w:r w:rsidRPr="00BC632B">
        <w:t>t</w:t>
      </w:r>
      <w:r w:rsidRPr="00BC632B">
        <w:t>tribuent à la thèse de Brunet dans leur analyse de l'historiographie traditio</w:t>
      </w:r>
      <w:r w:rsidRPr="00BC632B">
        <w:t>n</w:t>
      </w:r>
      <w:r w:rsidRPr="00BC632B">
        <w:t>nelle. Brunet soutient qu'il existait une bourgeoisie en Nouvelle-France mais qu'elle a été décapitée par la Conquête et remplacée par une bourgeoisie a</w:t>
      </w:r>
      <w:r w:rsidRPr="00BC632B">
        <w:t>n</w:t>
      </w:r>
      <w:r w:rsidRPr="00BC632B">
        <w:t>glophone. La nation canadienne-française, dépourvue de bourgeoisie ne peut se donner les appareils nécessaires au développement du capitalisme et doit se replier sur l'agriculture. L'école libérale soutient qu'il n'y avait pas de bourgeoisie en Nouvelle-France, que l'absence de bourgeoisie explique l'i</w:t>
      </w:r>
      <w:r w:rsidRPr="00BC632B">
        <w:t>n</w:t>
      </w:r>
      <w:r w:rsidRPr="00BC632B">
        <w:t>férior</w:t>
      </w:r>
      <w:r w:rsidRPr="00BC632B">
        <w:t>i</w:t>
      </w:r>
      <w:r w:rsidRPr="00BC632B">
        <w:t xml:space="preserve">té, mais que cette absence résulte non pas de la Conquête mais du manque d'imagination et d'esprit du capitalisme. Bourque et Légaré, </w:t>
      </w:r>
      <w:hyperlink r:id="rId1" w:history="1">
        <w:r w:rsidRPr="0011353B">
          <w:rPr>
            <w:rStyle w:val="Lienhypertexte"/>
            <w:i/>
          </w:rPr>
          <w:t xml:space="preserve">Le </w:t>
        </w:r>
        <w:r w:rsidRPr="0011353B">
          <w:rPr>
            <w:rStyle w:val="Lienhypertexte"/>
            <w:bCs/>
            <w:i/>
            <w:iCs/>
          </w:rPr>
          <w:t>Québec. La question nationale</w:t>
        </w:r>
      </w:hyperlink>
      <w:r w:rsidRPr="00B4156A">
        <w:rPr>
          <w:bCs/>
          <w:i/>
          <w:iCs/>
        </w:rPr>
        <w:t>,</w:t>
      </w:r>
      <w:r w:rsidRPr="00B4156A">
        <w:t xml:space="preserve"> Paris Maspero, 1979, p</w:t>
      </w:r>
      <w:r>
        <w:t>p</w:t>
      </w:r>
      <w:r w:rsidRPr="00B4156A">
        <w:t>. 18-20.</w:t>
      </w:r>
    </w:p>
  </w:footnote>
  <w:footnote w:id="12">
    <w:p w:rsidR="00B7214C" w:rsidRDefault="00B7214C" w:rsidP="00B7214C">
      <w:pPr>
        <w:pStyle w:val="Notedebasdepage"/>
      </w:pPr>
      <w:r>
        <w:rPr>
          <w:rStyle w:val="Appelnotedebasdep"/>
        </w:rPr>
        <w:footnoteRef/>
      </w:r>
      <w:r>
        <w:t xml:space="preserve"> </w:t>
      </w:r>
      <w:r>
        <w:tab/>
      </w:r>
      <w:r w:rsidRPr="00BC632B">
        <w:t>Soulignons, pour mémoire, que dès le début des années 1970, un comité interministériel recommande une politique économique de mutation struct</w:t>
      </w:r>
      <w:r w:rsidRPr="00BC632B">
        <w:t>u</w:t>
      </w:r>
      <w:r w:rsidRPr="00BC632B">
        <w:t xml:space="preserve">relle axée sur l'aide à l'innovation technologique. Comité </w:t>
      </w:r>
      <w:r w:rsidRPr="00B4156A">
        <w:t xml:space="preserve">interministériel sur les investissements étrangers. </w:t>
      </w:r>
      <w:r w:rsidRPr="00B4156A">
        <w:rPr>
          <w:bCs/>
          <w:i/>
          <w:iCs/>
        </w:rPr>
        <w:t>Le cadre et les moyens d'une politique québ</w:t>
      </w:r>
      <w:r w:rsidRPr="00B4156A">
        <w:rPr>
          <w:bCs/>
          <w:i/>
          <w:iCs/>
        </w:rPr>
        <w:t>é</w:t>
      </w:r>
      <w:r w:rsidRPr="00B4156A">
        <w:rPr>
          <w:bCs/>
          <w:i/>
          <w:iCs/>
        </w:rPr>
        <w:t>coise concernant les investissements étrangers,</w:t>
      </w:r>
      <w:r w:rsidRPr="00B4156A">
        <w:t xml:space="preserve"> Gouvernement du Québec, 1974. Ces orientations stratégi</w:t>
      </w:r>
      <w:r w:rsidRPr="00BC632B">
        <w:t>ques seront confirmées par la politique éc</w:t>
      </w:r>
      <w:r w:rsidRPr="00BC632B">
        <w:t>o</w:t>
      </w:r>
      <w:r w:rsidRPr="00BC632B">
        <w:t>nomique du gouvernement du Parti québécois (Gouvernement du Québec, 1979).</w:t>
      </w:r>
    </w:p>
  </w:footnote>
  <w:footnote w:id="13">
    <w:p w:rsidR="00B7214C" w:rsidRDefault="00B7214C" w:rsidP="00B7214C">
      <w:pPr>
        <w:pStyle w:val="Notedebasdepage"/>
      </w:pPr>
      <w:r>
        <w:rPr>
          <w:rStyle w:val="Appelnotedebasdep"/>
        </w:rPr>
        <w:footnoteRef/>
      </w:r>
      <w:r>
        <w:t xml:space="preserve"> </w:t>
      </w:r>
      <w:r>
        <w:tab/>
      </w:r>
      <w:r w:rsidRPr="00CB4F2C">
        <w:t xml:space="preserve">Ce terme englobe une réalité des plus complexes. </w:t>
      </w:r>
      <w:r>
        <w:t>Il</w:t>
      </w:r>
      <w:r w:rsidRPr="00CB4F2C">
        <w:t xml:space="preserve"> est utilisé pa</w:t>
      </w:r>
      <w:r w:rsidRPr="00CB4F2C">
        <w:t>r</w:t>
      </w:r>
      <w:r w:rsidRPr="00CB4F2C">
        <w:t>ce qu'il n'en existe pas d'autres.</w:t>
      </w:r>
    </w:p>
  </w:footnote>
  <w:footnote w:id="14">
    <w:p w:rsidR="00B7214C" w:rsidRDefault="00B7214C" w:rsidP="00B7214C">
      <w:pPr>
        <w:pStyle w:val="Notedebasdepage"/>
      </w:pPr>
      <w:r>
        <w:rPr>
          <w:rStyle w:val="Appelnotedebasdep"/>
        </w:rPr>
        <w:footnoteRef/>
      </w:r>
      <w:r>
        <w:t xml:space="preserve"> </w:t>
      </w:r>
      <w:r>
        <w:tab/>
      </w:r>
      <w:r w:rsidRPr="00CB4F2C">
        <w:t>La position des autochtones en faveur du OUI découle de la reco</w:t>
      </w:r>
      <w:r w:rsidRPr="00CB4F2C">
        <w:t>n</w:t>
      </w:r>
      <w:r w:rsidRPr="00CB4F2C">
        <w:t>naissance de pouvoirs s'apparentant à ceux obtenus par le Québec en 1867, ce qui, pour Ovide Mercredi, const</w:t>
      </w:r>
      <w:r w:rsidRPr="00CB4F2C">
        <w:t>i</w:t>
      </w:r>
      <w:r w:rsidRPr="00CB4F2C">
        <w:t>tuait un gain même si les chefs des Premières Nations ne le voyaient pas ainsi.</w:t>
      </w:r>
    </w:p>
  </w:footnote>
  <w:footnote w:id="15">
    <w:p w:rsidR="00B7214C" w:rsidRDefault="00B7214C" w:rsidP="00B7214C">
      <w:pPr>
        <w:pStyle w:val="Notedebasdepage"/>
      </w:pPr>
      <w:r>
        <w:rPr>
          <w:rStyle w:val="Appelnotedebasdep"/>
        </w:rPr>
        <w:footnoteRef/>
      </w:r>
      <w:r>
        <w:t xml:space="preserve"> </w:t>
      </w:r>
      <w:r>
        <w:tab/>
      </w:r>
      <w:r w:rsidRPr="00CB4F2C">
        <w:t>Selon Vacher (1992), ce type de nationalisme est l'une des trois « sensibilités politiques » qui s'expriment chez les Québécois franc</w:t>
      </w:r>
      <w:r w:rsidRPr="00CB4F2C">
        <w:t>o</w:t>
      </w:r>
      <w:r w:rsidRPr="00CB4F2C">
        <w:t>phones de souche, les deux autres étant l'indépendantisme et le fédéralisme. Balth</w:t>
      </w:r>
      <w:r w:rsidRPr="00CB4F2C">
        <w:t>a</w:t>
      </w:r>
      <w:r w:rsidRPr="00CB4F2C">
        <w:t>zar (1992) partage cette vision sans pour autant qualifier de revendication la première des trois, voyant plutôt en elle l'expression de la thèse souveraini</w:t>
      </w:r>
      <w:r w:rsidRPr="00CB4F2C">
        <w:t>s</w:t>
      </w:r>
      <w:r w:rsidRPr="00CB4F2C">
        <w:t>te et celle du fédéralisme décentralisé.</w:t>
      </w:r>
    </w:p>
  </w:footnote>
  <w:footnote w:id="16">
    <w:p w:rsidR="00B7214C" w:rsidRDefault="00B7214C" w:rsidP="00B7214C">
      <w:pPr>
        <w:pStyle w:val="Notedebasdepage"/>
      </w:pPr>
      <w:r>
        <w:rPr>
          <w:rStyle w:val="Appelnotedebasdep"/>
        </w:rPr>
        <w:footnoteRef/>
      </w:r>
      <w:r>
        <w:t xml:space="preserve"> </w:t>
      </w:r>
      <w:r>
        <w:tab/>
      </w:r>
      <w:r w:rsidRPr="00CB4F2C">
        <w:t>Paquet (1992) a signé un article des plus intéressants sur le caractère struct</w:t>
      </w:r>
      <w:r w:rsidRPr="00CB4F2C">
        <w:t>u</w:t>
      </w:r>
      <w:r w:rsidRPr="00CB4F2C">
        <w:t>rant et constructif de l'identitaire par l'et</w:t>
      </w:r>
      <w:r w:rsidRPr="00CB4F2C">
        <w:t>h</w:t>
      </w:r>
      <w:r w:rsidRPr="00CB4F2C">
        <w:t>nicité mais aussi sur la nécessité d'une politique de la différence comme contrepoids à la logique communa</w:t>
      </w:r>
      <w:r w:rsidRPr="00CB4F2C">
        <w:t>u</w:t>
      </w:r>
      <w:r w:rsidRPr="00CB4F2C">
        <w:t>taire.</w:t>
      </w:r>
    </w:p>
  </w:footnote>
  <w:footnote w:id="17">
    <w:p w:rsidR="00B7214C" w:rsidRDefault="00B7214C" w:rsidP="00B7214C">
      <w:pPr>
        <w:pStyle w:val="Notedebasdepage"/>
      </w:pPr>
      <w:r>
        <w:rPr>
          <w:rStyle w:val="Appelnotedebasdep"/>
        </w:rPr>
        <w:footnoteRef/>
      </w:r>
      <w:r>
        <w:t xml:space="preserve"> </w:t>
      </w:r>
      <w:r>
        <w:tab/>
      </w:r>
      <w:r w:rsidRPr="00CB4F2C">
        <w:t>Handler est un anthropologue américain qui a analysé le nati</w:t>
      </w:r>
      <w:r w:rsidRPr="00CB4F2C">
        <w:t>o</w:t>
      </w:r>
      <w:r w:rsidRPr="00CB4F2C">
        <w:t>nalisme et les politiques culturelles du Québec en particulier sous le Gouvernement p</w:t>
      </w:r>
      <w:r w:rsidRPr="00CB4F2C">
        <w:t>é</w:t>
      </w:r>
      <w:r w:rsidRPr="00CB4F2C">
        <w:t>quiste.</w:t>
      </w:r>
    </w:p>
  </w:footnote>
  <w:footnote w:id="18">
    <w:p w:rsidR="00B7214C" w:rsidRDefault="00B7214C" w:rsidP="00B7214C">
      <w:pPr>
        <w:pStyle w:val="Notedebasdepage"/>
      </w:pPr>
      <w:r>
        <w:rPr>
          <w:rStyle w:val="Appelnotedebasdep"/>
        </w:rPr>
        <w:footnoteRef/>
      </w:r>
      <w:r>
        <w:t xml:space="preserve"> </w:t>
      </w:r>
      <w:r>
        <w:tab/>
      </w:r>
      <w:r w:rsidRPr="00CB4F2C">
        <w:t>Selon Handler, on retrouve cette approche mais sous d'autres formes chez les anglophones puisqu'ils ont aussi des doutes constants quant à leur exi</w:t>
      </w:r>
      <w:r w:rsidRPr="00CB4F2C">
        <w:t>s</w:t>
      </w:r>
      <w:r w:rsidRPr="00CB4F2C">
        <w:t>tence nationale.</w:t>
      </w:r>
    </w:p>
  </w:footnote>
  <w:footnote w:id="19">
    <w:p w:rsidR="00B7214C" w:rsidRDefault="00B7214C" w:rsidP="00B7214C">
      <w:pPr>
        <w:pStyle w:val="Notedebasdepage"/>
      </w:pPr>
      <w:r>
        <w:rPr>
          <w:rStyle w:val="Appelnotedebasdep"/>
        </w:rPr>
        <w:footnoteRef/>
      </w:r>
      <w:r>
        <w:t xml:space="preserve"> </w:t>
      </w:r>
      <w:r>
        <w:tab/>
      </w:r>
      <w:r w:rsidRPr="00CB4F2C">
        <w:t>Voir, entre autres, Boissel (1989), Cameron (1990) et Milne (1991).</w:t>
      </w:r>
    </w:p>
  </w:footnote>
  <w:footnote w:id="20">
    <w:p w:rsidR="00B7214C" w:rsidRDefault="00B7214C" w:rsidP="00B7214C">
      <w:pPr>
        <w:pStyle w:val="Notedebasdepage"/>
      </w:pPr>
      <w:r>
        <w:rPr>
          <w:rStyle w:val="Appelnotedebasdep"/>
        </w:rPr>
        <w:footnoteRef/>
      </w:r>
      <w:r>
        <w:t xml:space="preserve"> </w:t>
      </w:r>
      <w:r>
        <w:tab/>
      </w:r>
      <w:r w:rsidRPr="007579C6">
        <w:rPr>
          <w:iCs/>
        </w:rPr>
        <w:t xml:space="preserve">Laennec Hurbon, </w:t>
      </w:r>
      <w:hyperlink r:id="rId2" w:history="1">
        <w:r w:rsidRPr="00242696">
          <w:rPr>
            <w:rStyle w:val="Lienhypertexte"/>
            <w:i/>
          </w:rPr>
          <w:t>Culture et dictature en Haïti : l'imaginaire sous contrôle</w:t>
        </w:r>
      </w:hyperlink>
      <w:r w:rsidRPr="007579C6">
        <w:t>,</w:t>
      </w:r>
      <w:r w:rsidRPr="007579C6">
        <w:rPr>
          <w:iCs/>
        </w:rPr>
        <w:t xml:space="preserve"> Paris, L'Harmattan, 1979.</w:t>
      </w:r>
    </w:p>
  </w:footnote>
  <w:footnote w:id="21">
    <w:p w:rsidR="00B7214C" w:rsidRDefault="00B7214C" w:rsidP="00B7214C">
      <w:pPr>
        <w:pStyle w:val="Notedebasdepage"/>
      </w:pPr>
      <w:r>
        <w:rPr>
          <w:rStyle w:val="Appelnotedebasdep"/>
        </w:rPr>
        <w:footnoteRef/>
      </w:r>
      <w:r>
        <w:t xml:space="preserve"> </w:t>
      </w:r>
      <w:r>
        <w:tab/>
      </w:r>
      <w:r w:rsidRPr="00CB4F2C">
        <w:t>Franklin Midy, « Il faut que ça change ! L'imaginaire en libe</w:t>
      </w:r>
      <w:r w:rsidRPr="00CB4F2C">
        <w:t>r</w:t>
      </w:r>
      <w:r w:rsidRPr="00CB4F2C">
        <w:t xml:space="preserve">té » dans </w:t>
      </w:r>
      <w:r w:rsidRPr="007579C6">
        <w:rPr>
          <w:i/>
          <w:iCs/>
        </w:rPr>
        <w:t>Haïti et l’après-Duvalier : continuités et ruptures,</w:t>
      </w:r>
      <w:r w:rsidRPr="00CB4F2C">
        <w:t xml:space="preserve"> Montréal-Port-au-Prince, Éd</w:t>
      </w:r>
      <w:r w:rsidRPr="00CB4F2C">
        <w:t>i</w:t>
      </w:r>
      <w:r w:rsidRPr="00CB4F2C">
        <w:t>tions du CIDIHCA et Henri Deschamps, 1991.</w:t>
      </w:r>
    </w:p>
  </w:footnote>
  <w:footnote w:id="22">
    <w:p w:rsidR="00B7214C" w:rsidRDefault="00B7214C" w:rsidP="00B7214C">
      <w:pPr>
        <w:pStyle w:val="Notedebasdepage"/>
      </w:pPr>
      <w:r>
        <w:rPr>
          <w:rStyle w:val="Appelnotedebasdep"/>
        </w:rPr>
        <w:footnoteRef/>
      </w:r>
      <w:r>
        <w:t xml:space="preserve"> </w:t>
      </w:r>
      <w:r>
        <w:tab/>
      </w:r>
      <w:r w:rsidRPr="007579C6">
        <w:rPr>
          <w:i/>
          <w:iCs/>
        </w:rPr>
        <w:t>Le moniteur haïtien,</w:t>
      </w:r>
      <w:r w:rsidRPr="00CB4F2C">
        <w:t xml:space="preserve"> 8 décembre 1860,16</w:t>
      </w:r>
      <w:r w:rsidRPr="007579C6">
        <w:t>e</w:t>
      </w:r>
      <w:r w:rsidRPr="00CB4F2C">
        <w:t xml:space="preserve"> année, n° 1.</w:t>
      </w:r>
    </w:p>
  </w:footnote>
  <w:footnote w:id="23">
    <w:p w:rsidR="00B7214C" w:rsidRDefault="00B7214C" w:rsidP="00B7214C">
      <w:pPr>
        <w:pStyle w:val="Notedebasdepage"/>
      </w:pPr>
      <w:r>
        <w:rPr>
          <w:rStyle w:val="Appelnotedebasdep"/>
        </w:rPr>
        <w:footnoteRef/>
      </w:r>
      <w:r>
        <w:t xml:space="preserve"> </w:t>
      </w:r>
      <w:r>
        <w:tab/>
      </w:r>
      <w:r w:rsidRPr="00CB4F2C">
        <w:t xml:space="preserve">Alfred Métraux, </w:t>
      </w:r>
      <w:r w:rsidRPr="007579C6">
        <w:rPr>
          <w:i/>
          <w:iCs/>
        </w:rPr>
        <w:t>Le vaudou haïtien,</w:t>
      </w:r>
      <w:r w:rsidRPr="00CB4F2C">
        <w:t xml:space="preserve"> Paris, Gallimard, 1958, </w:t>
      </w:r>
      <w:r>
        <w:t>p</w:t>
      </w:r>
      <w:r w:rsidRPr="00CB4F2C">
        <w:t>p. 298-311.</w:t>
      </w:r>
    </w:p>
  </w:footnote>
  <w:footnote w:id="24">
    <w:p w:rsidR="00B7214C" w:rsidRDefault="00B7214C" w:rsidP="00B7214C">
      <w:pPr>
        <w:pStyle w:val="Notedebasdepage"/>
      </w:pPr>
      <w:r>
        <w:rPr>
          <w:rStyle w:val="Appelnotedebasdep"/>
        </w:rPr>
        <w:footnoteRef/>
      </w:r>
      <w:r>
        <w:t xml:space="preserve"> </w:t>
      </w:r>
      <w:r>
        <w:tab/>
      </w:r>
      <w:r w:rsidRPr="00CB4F2C">
        <w:t>Gerald F. Murray, « Bon-Dieu and the rites of passage in rural Haiti : stru</w:t>
      </w:r>
      <w:r w:rsidRPr="00CB4F2C">
        <w:t>c</w:t>
      </w:r>
      <w:r w:rsidRPr="00CB4F2C">
        <w:t xml:space="preserve">tural déterminants of postcolonial theology and ritual », dans T.C. Bruneau, C.E. Gabriel et M. Mooney, </w:t>
      </w:r>
      <w:r w:rsidRPr="007579C6">
        <w:rPr>
          <w:i/>
          <w:iCs/>
        </w:rPr>
        <w:t>The Catholic Church and Religions in Latin America,</w:t>
      </w:r>
      <w:r w:rsidRPr="00CB4F2C">
        <w:t xml:space="preserve"> Monograph S</w:t>
      </w:r>
      <w:r>
        <w:t>e</w:t>
      </w:r>
      <w:r w:rsidRPr="00CB4F2C">
        <w:t>ri</w:t>
      </w:r>
      <w:r>
        <w:t>e</w:t>
      </w:r>
      <w:r w:rsidRPr="00CB4F2C">
        <w:t>s, n°</w:t>
      </w:r>
      <w:r>
        <w:t> </w:t>
      </w:r>
      <w:r w:rsidRPr="00CB4F2C">
        <w:t>18, Montréal, Centre for dev</w:t>
      </w:r>
      <w:r w:rsidRPr="00CB4F2C">
        <w:t>e</w:t>
      </w:r>
      <w:r w:rsidRPr="00CB4F2C">
        <w:t>loping area studies, McGill University, 1984.</w:t>
      </w:r>
    </w:p>
  </w:footnote>
  <w:footnote w:id="25">
    <w:p w:rsidR="00B7214C" w:rsidRDefault="00B7214C" w:rsidP="00B7214C">
      <w:pPr>
        <w:pStyle w:val="Notedebasdepage"/>
      </w:pPr>
      <w:r>
        <w:rPr>
          <w:rStyle w:val="Appelnotedebasdep"/>
        </w:rPr>
        <w:footnoteRef/>
      </w:r>
      <w:r>
        <w:t xml:space="preserve"> </w:t>
      </w:r>
      <w:r>
        <w:tab/>
      </w:r>
      <w:r w:rsidRPr="00CB4F2C">
        <w:t>Cité par Charles Poisset-Romain dans « Le protestantisme dans la société haïtienne : contribution à l'étude sociologique d'une rel</w:t>
      </w:r>
      <w:r w:rsidRPr="00CB4F2C">
        <w:t>i</w:t>
      </w:r>
      <w:r w:rsidRPr="00CB4F2C">
        <w:t>gion », Port-au-Prince, Imprimerie Henri De</w:t>
      </w:r>
      <w:r w:rsidRPr="00CB4F2C">
        <w:t>s</w:t>
      </w:r>
      <w:r w:rsidRPr="00CB4F2C">
        <w:t>champs, 1985, p. 99.</w:t>
      </w:r>
    </w:p>
  </w:footnote>
  <w:footnote w:id="26">
    <w:p w:rsidR="00B7214C" w:rsidRDefault="00B7214C" w:rsidP="00B7214C">
      <w:pPr>
        <w:pStyle w:val="Notedebasdepage"/>
      </w:pPr>
      <w:r>
        <w:rPr>
          <w:rStyle w:val="Appelnotedebasdep"/>
        </w:rPr>
        <w:footnoteRef/>
      </w:r>
      <w:r>
        <w:t xml:space="preserve"> </w:t>
      </w:r>
      <w:r>
        <w:tab/>
      </w:r>
      <w:r w:rsidRPr="00CB4F2C">
        <w:t>La campagne des Rejetés fut la plus vigoureuse des campagnes a</w:t>
      </w:r>
      <w:r w:rsidRPr="00CB4F2C">
        <w:t>n</w:t>
      </w:r>
      <w:r w:rsidRPr="00CB4F2C">
        <w:t>tivodou menée en Haïti par l'Église catholique, de concert avec le gouvernement i</w:t>
      </w:r>
      <w:r w:rsidRPr="00CB4F2C">
        <w:t>m</w:t>
      </w:r>
      <w:r w:rsidRPr="00CB4F2C">
        <w:t>populaire de Lescot durant la Deuxième Guerre mondiale. Dans l'avant-propos de son livre Alfred Métraux décrit ainsi le premier contact qu'il eut avec le vodou : « À peine débarqué de Port-Au-Prince, j'entendis parler de la campagne que l'Église cathol</w:t>
      </w:r>
      <w:r w:rsidRPr="00CB4F2C">
        <w:t>i</w:t>
      </w:r>
      <w:r w:rsidRPr="00CB4F2C">
        <w:t xml:space="preserve">que conduisait avec beaucoup d'énergie et de violence contre </w:t>
      </w:r>
      <w:r>
        <w:t>“</w:t>
      </w:r>
      <w:r w:rsidRPr="00CB4F2C">
        <w:t>la superstition</w:t>
      </w:r>
      <w:r>
        <w:t>”</w:t>
      </w:r>
      <w:r w:rsidRPr="00CB4F2C">
        <w:t>. Ayant lu autrefois plusieurs traités sur l'e</w:t>
      </w:r>
      <w:r w:rsidRPr="00CB4F2C">
        <w:t>x</w:t>
      </w:r>
      <w:r w:rsidRPr="00CB4F2C">
        <w:t>tirpation de l'idolâtrie dans les colonies espagnoles, je pris quelque intérêt aux méth</w:t>
      </w:r>
      <w:r w:rsidRPr="00CB4F2C">
        <w:t>o</w:t>
      </w:r>
      <w:r w:rsidRPr="00CB4F2C">
        <w:t>des mises en œuvre par le clergé haïtien du XX</w:t>
      </w:r>
      <w:r w:rsidRPr="00CB4F2C">
        <w:rPr>
          <w:vertAlign w:val="superscript"/>
        </w:rPr>
        <w:t>e</w:t>
      </w:r>
      <w:r w:rsidRPr="00CB4F2C">
        <w:t xml:space="preserve"> siècle et dus m'avouer, avec une certaine surprise, que les Dominicains et les A</w:t>
      </w:r>
      <w:r w:rsidRPr="00CB4F2C">
        <w:t>u</w:t>
      </w:r>
      <w:r w:rsidRPr="00CB4F2C">
        <w:t>gustins qui, au Pérou, firent une si joyeuse chasse aux démons, n'auraient pas dés</w:t>
      </w:r>
      <w:r w:rsidRPr="00CB4F2C">
        <w:t>a</w:t>
      </w:r>
      <w:r w:rsidRPr="00CB4F2C">
        <w:t>voué leurs successeurs. C'est à la Croix-des-Bouquets, près de Port-au-Prince, que j'eus la révélation de la vigueur avec l</w:t>
      </w:r>
      <w:r w:rsidRPr="00CB4F2C">
        <w:t>a</w:t>
      </w:r>
      <w:r w:rsidRPr="00CB4F2C">
        <w:t>quelle les cultes africains avaient proliféré en Haïti : l'énorme pyramide de tambours et d'« objets s</w:t>
      </w:r>
      <w:r w:rsidRPr="00CB4F2C">
        <w:t>u</w:t>
      </w:r>
      <w:r w:rsidRPr="00CB4F2C">
        <w:t>perstitieux », qui se dressait dans la cour du presbytère, attendant le jour fixé pour un autodafé solennel, en était comme le symbole » (1955, p. 12). Sous l'impulsion de Ja</w:t>
      </w:r>
      <w:r w:rsidRPr="00CB4F2C">
        <w:t>c</w:t>
      </w:r>
      <w:r w:rsidRPr="00CB4F2C">
        <w:t>ques Roumain, fut créé, à la même époque, le Bureau d'ethnologie qui se donna d'abord pour tâche de sauver le souvenir du va</w:t>
      </w:r>
      <w:r w:rsidRPr="00CB4F2C">
        <w:t>u</w:t>
      </w:r>
      <w:r w:rsidRPr="00CB4F2C">
        <w:t>dou, si gravement menacé et dont les membres entrèrent dans une violente p</w:t>
      </w:r>
      <w:r w:rsidRPr="00CB4F2C">
        <w:t>o</w:t>
      </w:r>
      <w:r w:rsidRPr="00CB4F2C">
        <w:t>lémique avec les autorités religieuses du pays. François Duvalier fut l'un de ces membres.</w:t>
      </w:r>
    </w:p>
  </w:footnote>
  <w:footnote w:id="27">
    <w:p w:rsidR="00B7214C" w:rsidRDefault="00B7214C" w:rsidP="00B7214C">
      <w:pPr>
        <w:pStyle w:val="Notedebasdepage"/>
      </w:pPr>
      <w:r>
        <w:rPr>
          <w:rStyle w:val="Appelnotedebasdep"/>
        </w:rPr>
        <w:footnoteRef/>
      </w:r>
      <w:r>
        <w:t xml:space="preserve"> </w:t>
      </w:r>
      <w:r>
        <w:tab/>
      </w:r>
      <w:r w:rsidRPr="00CB4F2C">
        <w:t xml:space="preserve">Ch. Poisset-Romain, </w:t>
      </w:r>
      <w:r w:rsidRPr="007579C6">
        <w:rPr>
          <w:i/>
          <w:iCs/>
        </w:rPr>
        <w:t>ibidem,</w:t>
      </w:r>
      <w:r w:rsidRPr="00CB4F2C">
        <w:t xml:space="preserve"> p</w:t>
      </w:r>
      <w:r>
        <w:t>p</w:t>
      </w:r>
      <w:r w:rsidRPr="00CB4F2C">
        <w:t>. 102 et 310.</w:t>
      </w:r>
    </w:p>
  </w:footnote>
  <w:footnote w:id="28">
    <w:p w:rsidR="00B7214C" w:rsidRDefault="00B7214C" w:rsidP="00B7214C">
      <w:pPr>
        <w:pStyle w:val="Notedebasdepage"/>
      </w:pPr>
      <w:r>
        <w:rPr>
          <w:rStyle w:val="Appelnotedebasdep"/>
        </w:rPr>
        <w:footnoteRef/>
      </w:r>
      <w:r>
        <w:t xml:space="preserve"> </w:t>
      </w:r>
      <w:r>
        <w:tab/>
      </w:r>
      <w:r w:rsidRPr="00CB4F2C">
        <w:t>Clément Célestin, « Compilations pour l'histoire », tome 4, Port-au-Prince, lmp. N.A. Théodore, 1958.</w:t>
      </w:r>
    </w:p>
  </w:footnote>
  <w:footnote w:id="29">
    <w:p w:rsidR="00B7214C" w:rsidRDefault="00B7214C" w:rsidP="00B7214C">
      <w:pPr>
        <w:pStyle w:val="Notedebasdepage"/>
      </w:pPr>
      <w:r>
        <w:rPr>
          <w:rStyle w:val="Appelnotedebasdep"/>
        </w:rPr>
        <w:footnoteRef/>
      </w:r>
      <w:r>
        <w:t xml:space="preserve"> </w:t>
      </w:r>
      <w:r>
        <w:tab/>
      </w:r>
      <w:r w:rsidRPr="00CB4F2C">
        <w:t xml:space="preserve">Laennec Hurbon, </w:t>
      </w:r>
      <w:hyperlink r:id="rId3" w:history="1">
        <w:r w:rsidRPr="00242696">
          <w:rPr>
            <w:rStyle w:val="Lienhypertexte"/>
            <w:i/>
            <w:szCs w:val="19"/>
            <w:lang w:eastAsia="fr-FR" w:bidi="fr-FR"/>
          </w:rPr>
          <w:t>ibidem</w:t>
        </w:r>
      </w:hyperlink>
      <w:r w:rsidRPr="00CB4F2C">
        <w:rPr>
          <w:rStyle w:val="Corpsdutexte4Italique"/>
        </w:rPr>
        <w:t>,</w:t>
      </w:r>
      <w:r w:rsidRPr="00CB4F2C">
        <w:t xml:space="preserve"> p. 99.</w:t>
      </w:r>
    </w:p>
  </w:footnote>
  <w:footnote w:id="30">
    <w:p w:rsidR="00B7214C" w:rsidRDefault="00B7214C" w:rsidP="00B7214C">
      <w:pPr>
        <w:pStyle w:val="Notedebasdepage"/>
      </w:pPr>
      <w:r>
        <w:rPr>
          <w:rStyle w:val="Appelnotedebasdep"/>
        </w:rPr>
        <w:footnoteRef/>
      </w:r>
      <w:r>
        <w:t xml:space="preserve"> </w:t>
      </w:r>
      <w:r>
        <w:tab/>
      </w:r>
      <w:r w:rsidRPr="00CB4F2C">
        <w:t>Jean-Bertrand Aristide, « Tout moun sé moun : Tout homme est un ho</w:t>
      </w:r>
      <w:r w:rsidRPr="00CB4F2C">
        <w:t>m</w:t>
      </w:r>
      <w:r w:rsidRPr="00CB4F2C">
        <w:t>me », avec Christophe Wargny, Paris, Seuil, 1992, p. 58-60.</w:t>
      </w:r>
    </w:p>
  </w:footnote>
  <w:footnote w:id="31">
    <w:p w:rsidR="00B7214C" w:rsidRDefault="00B7214C" w:rsidP="00B7214C">
      <w:pPr>
        <w:pStyle w:val="Notedebasdepage"/>
      </w:pPr>
      <w:r>
        <w:rPr>
          <w:rStyle w:val="Appelnotedebasdep"/>
        </w:rPr>
        <w:footnoteRef/>
      </w:r>
      <w:r>
        <w:t xml:space="preserve"> </w:t>
      </w:r>
      <w:r>
        <w:tab/>
      </w:r>
      <w:r w:rsidRPr="00CB4F2C">
        <w:t xml:space="preserve">« Église en marche », </w:t>
      </w:r>
      <w:r w:rsidRPr="007579C6">
        <w:rPr>
          <w:i/>
          <w:iCs/>
        </w:rPr>
        <w:t>Pastorale et Vodou, Concile et Liturgie,</w:t>
      </w:r>
      <w:r w:rsidRPr="00CB4F2C">
        <w:t xml:space="preserve"> n°</w:t>
      </w:r>
      <w:r>
        <w:t> </w:t>
      </w:r>
      <w:r w:rsidRPr="00CB4F2C">
        <w:t>2, Port-au-Prince, décembre 1963.</w:t>
      </w:r>
    </w:p>
  </w:footnote>
  <w:footnote w:id="32">
    <w:p w:rsidR="00B7214C" w:rsidRDefault="00B7214C" w:rsidP="00B7214C">
      <w:pPr>
        <w:pStyle w:val="Notedebasdepage"/>
      </w:pPr>
      <w:r>
        <w:rPr>
          <w:rStyle w:val="Appelnotedebasdep"/>
        </w:rPr>
        <w:footnoteRef/>
      </w:r>
      <w:r>
        <w:t xml:space="preserve"> </w:t>
      </w:r>
      <w:r>
        <w:tab/>
      </w:r>
      <w:r w:rsidRPr="00CB4F2C">
        <w:t>Claude Moïse et Émile Ollivier, « Repenser Haïti : grandeur et m</w:t>
      </w:r>
      <w:r w:rsidRPr="00CB4F2C">
        <w:t>i</w:t>
      </w:r>
      <w:r w:rsidRPr="00CB4F2C">
        <w:t>sères d'un mouvement démocratique », Montréal, CIDIHCA, 1992, p. 75.</w:t>
      </w:r>
    </w:p>
  </w:footnote>
  <w:footnote w:id="33">
    <w:p w:rsidR="00B7214C" w:rsidRDefault="00B7214C" w:rsidP="00B7214C">
      <w:pPr>
        <w:pStyle w:val="Notedebasdepage"/>
      </w:pPr>
      <w:r>
        <w:rPr>
          <w:rStyle w:val="Appelnotedebasdep"/>
        </w:rPr>
        <w:footnoteRef/>
      </w:r>
      <w:r>
        <w:t xml:space="preserve"> </w:t>
      </w:r>
      <w:r>
        <w:tab/>
      </w:r>
      <w:r w:rsidRPr="00CB4F2C">
        <w:t xml:space="preserve">C. Moïse et Émile Ollivier, </w:t>
      </w:r>
      <w:r w:rsidRPr="007579C6">
        <w:rPr>
          <w:i/>
          <w:iCs/>
        </w:rPr>
        <w:t>ibidem,</w:t>
      </w:r>
      <w:r w:rsidRPr="00CB4F2C">
        <w:t xml:space="preserve"> p. 82.</w:t>
      </w:r>
    </w:p>
  </w:footnote>
  <w:footnote w:id="34">
    <w:p w:rsidR="00B7214C" w:rsidRDefault="00B7214C" w:rsidP="00B7214C">
      <w:pPr>
        <w:pStyle w:val="Notedebasdepage"/>
      </w:pPr>
      <w:r>
        <w:rPr>
          <w:rStyle w:val="Appelnotedebasdep"/>
        </w:rPr>
        <w:footnoteRef/>
      </w:r>
      <w:r>
        <w:t xml:space="preserve"> </w:t>
      </w:r>
      <w:r>
        <w:tab/>
      </w:r>
      <w:r w:rsidRPr="00CB4F2C">
        <w:t xml:space="preserve">Jean-Bertrand Aristide, </w:t>
      </w:r>
      <w:r w:rsidRPr="007579C6">
        <w:rPr>
          <w:i/>
          <w:iCs/>
        </w:rPr>
        <w:t>ibidem,</w:t>
      </w:r>
      <w:r w:rsidRPr="00CB4F2C">
        <w:t xml:space="preserve"> p. 83.</w:t>
      </w:r>
    </w:p>
  </w:footnote>
  <w:footnote w:id="35">
    <w:p w:rsidR="00B7214C" w:rsidRDefault="00B7214C" w:rsidP="00B7214C">
      <w:pPr>
        <w:pStyle w:val="Notedebasdepage"/>
      </w:pPr>
      <w:r>
        <w:rPr>
          <w:rStyle w:val="Appelnotedebasdep"/>
        </w:rPr>
        <w:footnoteRef/>
      </w:r>
      <w:r>
        <w:t xml:space="preserve"> </w:t>
      </w:r>
      <w:r>
        <w:tab/>
      </w:r>
      <w:r w:rsidRPr="00CB4F2C">
        <w:t>Marc Augé, « Théorie des pouvoirs et idéologie : étude de cas en Côte-d'Ivoire », Collection Savoir, Hermann, Paris, 1975.</w:t>
      </w:r>
    </w:p>
  </w:footnote>
  <w:footnote w:id="36">
    <w:p w:rsidR="00B7214C" w:rsidRDefault="00B7214C" w:rsidP="00B7214C">
      <w:pPr>
        <w:pStyle w:val="Notedebasdepage"/>
      </w:pPr>
      <w:r>
        <w:rPr>
          <w:rStyle w:val="Appelnotedebasdep"/>
        </w:rPr>
        <w:footnoteRef/>
      </w:r>
      <w:r>
        <w:t xml:space="preserve"> </w:t>
      </w:r>
      <w:r>
        <w:tab/>
      </w:r>
      <w:r w:rsidRPr="00CB4F2C">
        <w:t>Michel Laguerre, « </w:t>
      </w:r>
      <w:r w:rsidRPr="009327BA">
        <w:t>The black ghetto, as an internai col</w:t>
      </w:r>
      <w:r w:rsidRPr="009327BA">
        <w:t>o</w:t>
      </w:r>
      <w:r w:rsidRPr="009327BA">
        <w:t>ny : socio-economic adaptation of an haitian urban community </w:t>
      </w:r>
      <w:r w:rsidRPr="00CB4F2C">
        <w:t>», Mai 1976, Thèse de Ph.D, Un</w:t>
      </w:r>
      <w:r w:rsidRPr="00CB4F2C">
        <w:t>i</w:t>
      </w:r>
      <w:r w:rsidRPr="00CB4F2C">
        <w:t>versity of Illinois.</w:t>
      </w:r>
    </w:p>
  </w:footnote>
  <w:footnote w:id="37">
    <w:p w:rsidR="00B7214C" w:rsidRDefault="00B7214C" w:rsidP="00B7214C">
      <w:pPr>
        <w:pStyle w:val="Notedebasdepage"/>
      </w:pPr>
      <w:r>
        <w:rPr>
          <w:rStyle w:val="Appelnotedebasdep"/>
        </w:rPr>
        <w:footnoteRef/>
      </w:r>
      <w:r>
        <w:t xml:space="preserve"> </w:t>
      </w:r>
      <w:r>
        <w:tab/>
      </w:r>
      <w:r w:rsidRPr="00CB4F2C">
        <w:t xml:space="preserve">Gerald F. Murray, </w:t>
      </w:r>
      <w:r w:rsidRPr="007579C6">
        <w:rPr>
          <w:i/>
          <w:iCs/>
        </w:rPr>
        <w:t>ibidem,</w:t>
      </w:r>
      <w:r w:rsidRPr="00CB4F2C">
        <w:t xml:space="preserve"> p. 189.</w:t>
      </w:r>
    </w:p>
  </w:footnote>
  <w:footnote w:id="38">
    <w:p w:rsidR="00B7214C" w:rsidRDefault="00B7214C" w:rsidP="00B7214C">
      <w:pPr>
        <w:pStyle w:val="Notedebasdepage"/>
      </w:pPr>
      <w:r>
        <w:rPr>
          <w:rStyle w:val="Appelnotedebasdep"/>
        </w:rPr>
        <w:footnoteRef/>
      </w:r>
      <w:r>
        <w:t xml:space="preserve"> </w:t>
      </w:r>
      <w:r>
        <w:tab/>
      </w:r>
      <w:r w:rsidRPr="00CB4F2C">
        <w:t xml:space="preserve">Alfred Métraux, </w:t>
      </w:r>
      <w:r w:rsidRPr="007579C6">
        <w:rPr>
          <w:i/>
          <w:iCs/>
        </w:rPr>
        <w:t>ibidem,</w:t>
      </w:r>
      <w:r w:rsidRPr="00CB4F2C">
        <w:t xml:space="preserve"> p. 287.</w:t>
      </w:r>
    </w:p>
  </w:footnote>
  <w:footnote w:id="39">
    <w:p w:rsidR="00B7214C" w:rsidRDefault="00B7214C" w:rsidP="00B7214C">
      <w:pPr>
        <w:pStyle w:val="Notedebasdepage"/>
      </w:pPr>
      <w:r>
        <w:rPr>
          <w:rStyle w:val="Appelnotedebasdep"/>
        </w:rPr>
        <w:footnoteRef/>
      </w:r>
      <w:r>
        <w:t xml:space="preserve"> </w:t>
      </w:r>
      <w:r>
        <w:tab/>
      </w:r>
      <w:r w:rsidRPr="00CB4F2C">
        <w:t>L'expression « démembré » désigne l'héritage spirituel a</w:t>
      </w:r>
      <w:r w:rsidRPr="00CB4F2C">
        <w:t>s</w:t>
      </w:r>
      <w:r w:rsidRPr="00CB4F2C">
        <w:t>socié à un fonds de terre mis de côté pour le service des dieux de la famille, la famille étant d</w:t>
      </w:r>
      <w:r w:rsidRPr="00CB4F2C">
        <w:t>é</w:t>
      </w:r>
      <w:r w:rsidRPr="00CB4F2C">
        <w:t>finie, dans ce contexte, comme le groupe des de</w:t>
      </w:r>
      <w:r w:rsidRPr="00CB4F2C">
        <w:t>s</w:t>
      </w:r>
      <w:r w:rsidRPr="00CB4F2C">
        <w:t>cendants de celui ou celle qui en a fait l'acquisition et qui en a fixé la forme rituelle. Les expressions « lacou », « bitation lafanmi », « tèstaman » sont aussi utilisées. Noter ég</w:t>
      </w:r>
      <w:r w:rsidRPr="00CB4F2C">
        <w:t>a</w:t>
      </w:r>
      <w:r w:rsidRPr="00CB4F2C">
        <w:t>lement la distinction entre « lafanmi » et « fanmi » : le premier terme dés</w:t>
      </w:r>
      <w:r w:rsidRPr="00CB4F2C">
        <w:t>i</w:t>
      </w:r>
      <w:r w:rsidRPr="00CB4F2C">
        <w:t>gne un groupe de desce</w:t>
      </w:r>
      <w:r w:rsidRPr="00CB4F2C">
        <w:t>n</w:t>
      </w:r>
      <w:r w:rsidRPr="00CB4F2C">
        <w:t>dance ; le second une parentèle.</w:t>
      </w:r>
    </w:p>
  </w:footnote>
  <w:footnote w:id="40">
    <w:p w:rsidR="00B7214C" w:rsidRDefault="00B7214C" w:rsidP="00B7214C">
      <w:pPr>
        <w:pStyle w:val="Notedebasdepage"/>
      </w:pPr>
      <w:r>
        <w:rPr>
          <w:rStyle w:val="Appelnotedebasdep"/>
        </w:rPr>
        <w:footnoteRef/>
      </w:r>
      <w:r>
        <w:t xml:space="preserve"> </w:t>
      </w:r>
      <w:r>
        <w:tab/>
      </w:r>
      <w:r w:rsidRPr="00CB4F2C">
        <w:t>Si je fais le décompte de toutes les personnes que j'ai pu obse</w:t>
      </w:r>
      <w:r w:rsidRPr="00CB4F2C">
        <w:t>r</w:t>
      </w:r>
      <w:r w:rsidRPr="00CB4F2C">
        <w:t>ver en état de transe, dans la région où j'ai fait mon tr</w:t>
      </w:r>
      <w:r w:rsidRPr="00CB4F2C">
        <w:t>a</w:t>
      </w:r>
      <w:r w:rsidRPr="00CB4F2C">
        <w:t>vail de terrain, lors des cérémonies auxquelles j'ai assisté au début des années 1970, j'arr</w:t>
      </w:r>
      <w:r w:rsidRPr="00CB4F2C">
        <w:t>i</w:t>
      </w:r>
      <w:r w:rsidRPr="00CB4F2C">
        <w:t>ve à 212 femmes et 52 hommes.</w:t>
      </w:r>
    </w:p>
  </w:footnote>
  <w:footnote w:id="41">
    <w:p w:rsidR="00B7214C" w:rsidRDefault="00B7214C" w:rsidP="00B7214C">
      <w:pPr>
        <w:pStyle w:val="Notedebasdepage"/>
      </w:pPr>
      <w:r>
        <w:rPr>
          <w:rStyle w:val="Appelnotedebasdep"/>
        </w:rPr>
        <w:footnoteRef/>
      </w:r>
      <w:r>
        <w:t xml:space="preserve"> </w:t>
      </w:r>
      <w:r>
        <w:tab/>
      </w:r>
      <w:r w:rsidRPr="00CB4F2C">
        <w:t>On peut consulter à ce sujet l'ouvrage de I.M. Lewiss, « An a</w:t>
      </w:r>
      <w:r w:rsidRPr="00CB4F2C">
        <w:t>n</w:t>
      </w:r>
      <w:r w:rsidRPr="00CB4F2C">
        <w:t>thropological study of Spirit possession and shamanism », Penguin Books, Harmon</w:t>
      </w:r>
      <w:r w:rsidRPr="00CB4F2C">
        <w:t>d</w:t>
      </w:r>
      <w:r w:rsidRPr="00CB4F2C">
        <w:t>sworth Middlesex, 1971.</w:t>
      </w:r>
    </w:p>
  </w:footnote>
  <w:footnote w:id="42">
    <w:p w:rsidR="00B7214C" w:rsidRDefault="00B7214C" w:rsidP="00B7214C">
      <w:pPr>
        <w:pStyle w:val="Notedebasdepage"/>
      </w:pPr>
      <w:r>
        <w:rPr>
          <w:rStyle w:val="Appelnotedebasdep"/>
        </w:rPr>
        <w:footnoteRef/>
      </w:r>
      <w:r>
        <w:t xml:space="preserve"> </w:t>
      </w:r>
      <w:r>
        <w:tab/>
      </w:r>
      <w:r w:rsidRPr="00CB4F2C">
        <w:t>Catholicisme, protestantisme et vodou ne constituent pas, en Haïti des un</w:t>
      </w:r>
      <w:r w:rsidRPr="00CB4F2C">
        <w:t>i</w:t>
      </w:r>
      <w:r w:rsidRPr="00CB4F2C">
        <w:t>vers fermés l'un sur l'autre. Les fidèles passent relativ</w:t>
      </w:r>
      <w:r w:rsidRPr="00CB4F2C">
        <w:t>e</w:t>
      </w:r>
      <w:r w:rsidRPr="00CB4F2C">
        <w:t>ment aisément de l'un à l'autre. L'obsession des Églises instituées à réaffirmer leurs frontières re</w:t>
      </w:r>
      <w:r w:rsidRPr="00CB4F2C">
        <w:t>s</w:t>
      </w:r>
      <w:r w:rsidRPr="00CB4F2C">
        <w:t>pectives est ainsi le résultat de l'étonnante facilité avec laquelle leurs fid</w:t>
      </w:r>
      <w:r w:rsidRPr="00CB4F2C">
        <w:t>è</w:t>
      </w:r>
      <w:r w:rsidRPr="00CB4F2C">
        <w:t>les passent de l'une à l'autre. Dans l'une de ses expressions heureuses, le prés</w:t>
      </w:r>
      <w:r w:rsidRPr="00CB4F2C">
        <w:t>i</w:t>
      </w:r>
      <w:r w:rsidRPr="00CB4F2C">
        <w:t>dent Aristide les désigne comme les « trois roches du feu », celles sur le</w:t>
      </w:r>
      <w:r w:rsidRPr="00CB4F2C">
        <w:t>s</w:t>
      </w:r>
      <w:r w:rsidRPr="00CB4F2C">
        <w:t>quelles se trouve la marmite où chaque soir les femmes préparent le repas quotidien.</w:t>
      </w:r>
    </w:p>
  </w:footnote>
  <w:footnote w:id="43">
    <w:p w:rsidR="00B7214C" w:rsidRDefault="00B7214C" w:rsidP="00B7214C">
      <w:pPr>
        <w:pStyle w:val="Notedebasdepage"/>
      </w:pPr>
      <w:r>
        <w:rPr>
          <w:rStyle w:val="Appelnotedebasdep"/>
        </w:rPr>
        <w:footnoteRef/>
      </w:r>
      <w:r>
        <w:t xml:space="preserve"> </w:t>
      </w:r>
      <w:r>
        <w:tab/>
      </w:r>
      <w:r w:rsidRPr="00CB4F2C">
        <w:t>Aristide n'avait pas, à l'origine, l'intention de se présenter aux éle</w:t>
      </w:r>
      <w:r w:rsidRPr="00CB4F2C">
        <w:t>c</w:t>
      </w:r>
      <w:r w:rsidRPr="00CB4F2C">
        <w:t>tions. Plus près des organisations populaires, il en partageait la suspicion face aux pa</w:t>
      </w:r>
      <w:r w:rsidRPr="00CB4F2C">
        <w:t>r</w:t>
      </w:r>
      <w:r w:rsidRPr="00CB4F2C">
        <w:t>tis politiques traditionnels. Quant aux partis dont la plupart n'étaient que des coquilles vides, leurs leaders semblaient beaucoup plus préoccupés de s'a</w:t>
      </w:r>
      <w:r w:rsidRPr="00CB4F2C">
        <w:t>c</w:t>
      </w:r>
      <w:r w:rsidRPr="00CB4F2C">
        <w:t>commoder avec les forces de l'a</w:t>
      </w:r>
      <w:r w:rsidRPr="00CB4F2C">
        <w:t>n</w:t>
      </w:r>
      <w:r w:rsidRPr="00CB4F2C">
        <w:t>cien régime (l'armée, les Américains, la bou</w:t>
      </w:r>
      <w:r>
        <w:t>r</w:t>
      </w:r>
      <w:r w:rsidRPr="00CB4F2C">
        <w:t>geoisie duvaliériste) que de servir de voie de transmission aux aspir</w:t>
      </w:r>
      <w:r w:rsidRPr="00CB4F2C">
        <w:t>a</w:t>
      </w:r>
      <w:r w:rsidRPr="00CB4F2C">
        <w:t>tions populaires qu'avait soulevées le départ du dictateur. C'est ce vide qu'il a comblé.</w:t>
      </w:r>
    </w:p>
  </w:footnote>
  <w:footnote w:id="44">
    <w:p w:rsidR="00B7214C" w:rsidRDefault="00B7214C" w:rsidP="00B7214C">
      <w:pPr>
        <w:pStyle w:val="Notedebasdepage"/>
      </w:pPr>
      <w:r>
        <w:rPr>
          <w:rStyle w:val="Appelnotedebasdep"/>
        </w:rPr>
        <w:footnoteRef/>
      </w:r>
      <w:r>
        <w:t xml:space="preserve"> </w:t>
      </w:r>
      <w:r>
        <w:tab/>
      </w:r>
      <w:r w:rsidRPr="00CB4F2C">
        <w:t>Peter Worsley, « The trumpet shall sound ». Paladin, Lo</w:t>
      </w:r>
      <w:r w:rsidRPr="00CB4F2C">
        <w:t>n</w:t>
      </w:r>
      <w:r w:rsidRPr="00CB4F2C">
        <w:t>don, 1970.</w:t>
      </w:r>
    </w:p>
  </w:footnote>
  <w:footnote w:id="45">
    <w:p w:rsidR="00B7214C" w:rsidRDefault="00B7214C" w:rsidP="00B7214C">
      <w:pPr>
        <w:pStyle w:val="Notedebasdepage"/>
      </w:pPr>
      <w:r>
        <w:rPr>
          <w:rStyle w:val="Appelnotedebasdep"/>
        </w:rPr>
        <w:footnoteRef/>
      </w:r>
      <w:r>
        <w:t xml:space="preserve"> </w:t>
      </w:r>
      <w:r>
        <w:tab/>
      </w:r>
      <w:r w:rsidRPr="00CB4F2C">
        <w:t>Les deux principaux modèles de ce point de vue sont celui de l'universali</w:t>
      </w:r>
      <w:r w:rsidRPr="00CB4F2C">
        <w:t>s</w:t>
      </w:r>
      <w:r w:rsidRPr="00CB4F2C">
        <w:t>me rationaliste issu de la Révolution française et le mod</w:t>
      </w:r>
      <w:r w:rsidRPr="00CB4F2C">
        <w:t>è</w:t>
      </w:r>
      <w:r w:rsidRPr="00CB4F2C">
        <w:t xml:space="preserve">le américain du </w:t>
      </w:r>
      <w:r w:rsidRPr="006418C8">
        <w:rPr>
          <w:i/>
          <w:iCs/>
        </w:rPr>
        <w:t>melting pot.</w:t>
      </w:r>
    </w:p>
  </w:footnote>
  <w:footnote w:id="46">
    <w:p w:rsidR="00B7214C" w:rsidRDefault="00B7214C" w:rsidP="00B7214C">
      <w:pPr>
        <w:pStyle w:val="Notedebasdepage"/>
      </w:pPr>
      <w:r>
        <w:rPr>
          <w:rStyle w:val="Appelnotedebasdep"/>
        </w:rPr>
        <w:footnoteRef/>
      </w:r>
      <w:r>
        <w:t xml:space="preserve"> </w:t>
      </w:r>
      <w:r>
        <w:tab/>
      </w:r>
      <w:r w:rsidRPr="00CB4F2C">
        <w:t>Que l'on retrouve de façon exemplaire dans la fameuse universalité des pr</w:t>
      </w:r>
      <w:r w:rsidRPr="00CB4F2C">
        <w:t>o</w:t>
      </w:r>
      <w:r w:rsidRPr="00CB4F2C">
        <w:t>grammes sociaux que l'on remet en question aujourd'hui. Celle-ci ne s'expl</w:t>
      </w:r>
      <w:r w:rsidRPr="00CB4F2C">
        <w:t>i</w:t>
      </w:r>
      <w:r w:rsidRPr="00CB4F2C">
        <w:t>que que lorsqu'on la replace dans son contexte, caract</w:t>
      </w:r>
      <w:r w:rsidRPr="00CB4F2C">
        <w:t>é</w:t>
      </w:r>
      <w:r w:rsidRPr="00CB4F2C">
        <w:t>risé par l'exigence d'universalisation de toute mesure prise par l'Etat, corrélative de la conce</w:t>
      </w:r>
      <w:r w:rsidRPr="00CB4F2C">
        <w:t>p</w:t>
      </w:r>
      <w:r w:rsidRPr="00CB4F2C">
        <w:t>tion abstraite de la citoyenneté. Pour qui perd de vue ce contexte, l'idée d'a</w:t>
      </w:r>
      <w:r w:rsidRPr="00CB4F2C">
        <w:t>c</w:t>
      </w:r>
      <w:r w:rsidRPr="00CB4F2C">
        <w:t>corder par exemple à toutes les mères de famille un même montant d'alloc</w:t>
      </w:r>
      <w:r w:rsidRPr="00CB4F2C">
        <w:t>a</w:t>
      </w:r>
      <w:r w:rsidRPr="00CB4F2C">
        <w:t>tions familiales, quel que soit le r</w:t>
      </w:r>
      <w:r w:rsidRPr="00CB4F2C">
        <w:t>e</w:t>
      </w:r>
      <w:r w:rsidRPr="00CB4F2C">
        <w:t>venu familial, ne peut apparaître que comme une absurdité ou une i</w:t>
      </w:r>
      <w:r w:rsidRPr="00CB4F2C">
        <w:t>r</w:t>
      </w:r>
      <w:r w:rsidRPr="00CB4F2C">
        <w:t>rationalité bureaucratique.</w:t>
      </w:r>
    </w:p>
  </w:footnote>
  <w:footnote w:id="47">
    <w:p w:rsidR="00B7214C" w:rsidRDefault="00B7214C" w:rsidP="00B7214C">
      <w:pPr>
        <w:pStyle w:val="Notedebasdepage"/>
      </w:pPr>
      <w:r>
        <w:rPr>
          <w:rStyle w:val="Appelnotedebasdep"/>
        </w:rPr>
        <w:footnoteRef/>
      </w:r>
      <w:r>
        <w:t xml:space="preserve"> </w:t>
      </w:r>
      <w:r>
        <w:tab/>
      </w:r>
      <w:r w:rsidRPr="00CB4F2C">
        <w:t>L'un des symptômes d'une telle logique, c'est la multiplication des journées, semaines, mois, années et décades thématiques, où en arr</w:t>
      </w:r>
      <w:r w:rsidRPr="00CB4F2C">
        <w:t>i</w:t>
      </w:r>
      <w:r w:rsidRPr="00CB4F2C">
        <w:t>vent à se côtoyer dans la banalisation la Journée internationale des gauchers et la Journée des femmes, la Semaine du prisonnier et la Semaine de la planification fiscale et financière, le Mois de l'épilepsie, le Mois du rein, le Mois de la motoneige et le Mois de l'histoire des Noirs, l'Année internationale des populations a</w:t>
      </w:r>
      <w:r w:rsidRPr="00CB4F2C">
        <w:t>u</w:t>
      </w:r>
      <w:r w:rsidRPr="00CB4F2C">
        <w:t>tochtones et la D</w:t>
      </w:r>
      <w:r w:rsidRPr="00CB4F2C">
        <w:t>é</w:t>
      </w:r>
      <w:r w:rsidRPr="00CB4F2C">
        <w:t xml:space="preserve">cennie de la lutte contre l'abus des drogues, et j'en passe. Voir </w:t>
      </w:r>
      <w:r w:rsidRPr="00B955F1">
        <w:rPr>
          <w:i/>
          <w:iCs/>
          <w:color w:val="auto"/>
          <w:sz w:val="28"/>
        </w:rPr>
        <w:t>Le Devoir,</w:t>
      </w:r>
      <w:r w:rsidRPr="00CB4F2C">
        <w:t xml:space="preserve"> 24 mars 1993, p. Al.</w:t>
      </w:r>
    </w:p>
  </w:footnote>
  <w:footnote w:id="48">
    <w:p w:rsidR="00B7214C" w:rsidRDefault="00B7214C" w:rsidP="00B7214C">
      <w:pPr>
        <w:pStyle w:val="Notedebasdepage"/>
      </w:pPr>
      <w:r>
        <w:rPr>
          <w:rStyle w:val="Appelnotedebasdep"/>
        </w:rPr>
        <w:footnoteRef/>
      </w:r>
      <w:r>
        <w:t xml:space="preserve"> </w:t>
      </w:r>
      <w:r>
        <w:tab/>
      </w:r>
      <w:r w:rsidRPr="00CB4F2C">
        <w:t>Je reprends ici pour l'essentiel la discussion des thèses de Simard sur le rel</w:t>
      </w:r>
      <w:r w:rsidRPr="00CB4F2C">
        <w:t>a</w:t>
      </w:r>
      <w:r w:rsidRPr="00CB4F2C">
        <w:t>tivisme culturel que j'avais développée dans mon livre sur l'éducation inte</w:t>
      </w:r>
      <w:r w:rsidRPr="00CB4F2C">
        <w:t>r</w:t>
      </w:r>
      <w:r w:rsidRPr="00CB4F2C">
        <w:t xml:space="preserve">culturelle (Ouellet, 1991, </w:t>
      </w:r>
      <w:r>
        <w:t>p</w:t>
      </w:r>
      <w:r w:rsidRPr="00CB4F2C">
        <w:t>p. 49-54).</w:t>
      </w:r>
    </w:p>
  </w:footnote>
  <w:footnote w:id="49">
    <w:p w:rsidR="00B7214C" w:rsidRDefault="00B7214C" w:rsidP="00B7214C">
      <w:pPr>
        <w:pStyle w:val="Notedebasdepage"/>
      </w:pPr>
      <w:r>
        <w:rPr>
          <w:rStyle w:val="Appelnotedebasdep"/>
        </w:rPr>
        <w:footnoteRef/>
      </w:r>
      <w:r>
        <w:t xml:space="preserve"> </w:t>
      </w:r>
      <w:r>
        <w:tab/>
      </w:r>
      <w:r w:rsidRPr="00CB4F2C">
        <w:t xml:space="preserve">Celle qui est </w:t>
      </w:r>
      <w:r w:rsidRPr="00774B32">
        <w:rPr>
          <w:i/>
          <w:iCs/>
        </w:rPr>
        <w:t>en-demos,</w:t>
      </w:r>
      <w:r w:rsidRPr="00CB4F2C">
        <w:t xml:space="preserve"> « dans le peuple » et qui le distingue des autres pe</w:t>
      </w:r>
      <w:r w:rsidRPr="00CB4F2C">
        <w:t>u</w:t>
      </w:r>
      <w:r w:rsidRPr="00CB4F2C">
        <w:t>ples.</w:t>
      </w:r>
    </w:p>
  </w:footnote>
  <w:footnote w:id="50">
    <w:p w:rsidR="00B7214C" w:rsidRDefault="00B7214C" w:rsidP="00B7214C">
      <w:pPr>
        <w:pStyle w:val="Notedebasdepage"/>
      </w:pPr>
      <w:r>
        <w:rPr>
          <w:rStyle w:val="Appelnotedebasdep"/>
        </w:rPr>
        <w:footnoteRef/>
      </w:r>
      <w:r>
        <w:t xml:space="preserve"> </w:t>
      </w:r>
      <w:r>
        <w:tab/>
      </w:r>
      <w:r w:rsidRPr="00CB4F2C">
        <w:t>Elle se répand comme une « épidémie » sur toute la planète.</w:t>
      </w:r>
    </w:p>
  </w:footnote>
  <w:footnote w:id="51">
    <w:p w:rsidR="00B7214C" w:rsidRDefault="00B7214C" w:rsidP="00B7214C">
      <w:pPr>
        <w:pStyle w:val="Notedebasdepage"/>
      </w:pPr>
      <w:r>
        <w:rPr>
          <w:rStyle w:val="Appelnotedebasdep"/>
        </w:rPr>
        <w:footnoteRef/>
      </w:r>
      <w:r>
        <w:t xml:space="preserve"> </w:t>
      </w:r>
      <w:r>
        <w:tab/>
      </w:r>
      <w:r w:rsidRPr="00CB4F2C">
        <w:t>Il faut souligner l'étroite parenté entre l'approche de Touraine et l'argume</w:t>
      </w:r>
      <w:r w:rsidRPr="00CB4F2C">
        <w:t>n</w:t>
      </w:r>
      <w:r w:rsidRPr="00CB4F2C">
        <w:t xml:space="preserve">tation développée par Camilleri (1988/1990, </w:t>
      </w:r>
      <w:r>
        <w:t>p</w:t>
      </w:r>
      <w:r w:rsidRPr="00CB4F2C">
        <w:t>p. 582-583) pour écarter les interprétations du relativisme culturel qui conduisent à une sacralisation des cultures et produisent toutes sortes d'effets pe</w:t>
      </w:r>
      <w:r w:rsidRPr="00CB4F2C">
        <w:t>r</w:t>
      </w:r>
      <w:r w:rsidRPr="00CB4F2C">
        <w:t>vers en éducation. L'espace manque ici pour discuter la position de Camilleri sur ce sujet. Il serait int</w:t>
      </w:r>
      <w:r w:rsidRPr="00CB4F2C">
        <w:t>é</w:t>
      </w:r>
      <w:r w:rsidRPr="00CB4F2C">
        <w:t>ressant de l'analyser à la lumière de la théorie de Touraine sur la modernité.</w:t>
      </w:r>
    </w:p>
  </w:footnote>
  <w:footnote w:id="52">
    <w:p w:rsidR="00B7214C" w:rsidRDefault="00B7214C" w:rsidP="00B7214C">
      <w:pPr>
        <w:pStyle w:val="Notedebasdepage"/>
      </w:pPr>
      <w:r>
        <w:rPr>
          <w:rStyle w:val="Appelnotedebasdep"/>
        </w:rPr>
        <w:footnoteRef/>
      </w:r>
      <w:r>
        <w:t xml:space="preserve"> </w:t>
      </w:r>
      <w:r>
        <w:tab/>
      </w:r>
      <w:r w:rsidRPr="00CB4F2C">
        <w:t>Simard (1988/1990, p</w:t>
      </w:r>
      <w:r>
        <w:t>p</w:t>
      </w:r>
      <w:r w:rsidRPr="00CB4F2C">
        <w:t>. 42-47) explique essentiellement l'app</w:t>
      </w:r>
      <w:r w:rsidRPr="00CB4F2C">
        <w:t>a</w:t>
      </w:r>
      <w:r w:rsidRPr="00CB4F2C">
        <w:t>rition de la modernité en Occident par l'intensité et l'envergure exceptionnelle des bo</w:t>
      </w:r>
      <w:r w:rsidRPr="00CB4F2C">
        <w:t>u</w:t>
      </w:r>
      <w:r w:rsidRPr="00CB4F2C">
        <w:t>leversements sociaux qui ont ébranlé l'équilibre des cultures traditionnelles européennes depuis la fin du Moyen Âge. C'est à leur corps défendant que les sociétés européennes en sont venues progressivement à accepter les v</w:t>
      </w:r>
      <w:r w:rsidRPr="00CB4F2C">
        <w:t>a</w:t>
      </w:r>
      <w:r w:rsidRPr="00CB4F2C">
        <w:t>leurs de la modernité. Horton explique lui aussi le passage d'un idiome spir</w:t>
      </w:r>
      <w:r w:rsidRPr="00CB4F2C">
        <w:t>i</w:t>
      </w:r>
      <w:r w:rsidRPr="00CB4F2C">
        <w:t>tualiste à un idiome matérialiste dans la « théorie secondaire » par les cha</w:t>
      </w:r>
      <w:r w:rsidRPr="00CB4F2C">
        <w:t>n</w:t>
      </w:r>
      <w:r w:rsidRPr="00CB4F2C">
        <w:t>gements prolongés qui ont eu pour conséquence « un déclin marqué de la stabilité et du caractère prévisible des relations humaines et un développ</w:t>
      </w:r>
      <w:r w:rsidRPr="00CB4F2C">
        <w:t>e</w:t>
      </w:r>
      <w:r w:rsidRPr="00CB4F2C">
        <w:t>ment formidable du contrôle de l'environnement non humain par la techn</w:t>
      </w:r>
      <w:r w:rsidRPr="00CB4F2C">
        <w:t>o</w:t>
      </w:r>
      <w:r w:rsidRPr="00CB4F2C">
        <w:t>logie » (1982, p. 255).</w:t>
      </w:r>
    </w:p>
  </w:footnote>
  <w:footnote w:id="53">
    <w:p w:rsidR="00B7214C" w:rsidRDefault="00B7214C" w:rsidP="00B7214C">
      <w:pPr>
        <w:pStyle w:val="Notedebasdepage"/>
      </w:pPr>
      <w:r>
        <w:rPr>
          <w:rStyle w:val="Appelnotedebasdep"/>
        </w:rPr>
        <w:footnoteRef/>
      </w:r>
      <w:r>
        <w:t xml:space="preserve"> </w:t>
      </w:r>
      <w:r>
        <w:tab/>
      </w:r>
      <w:r w:rsidRPr="00CB4F2C">
        <w:t>Ces deux premiers « malaises de la modernité » renvoient à la di</w:t>
      </w:r>
      <w:r w:rsidRPr="00CB4F2C">
        <w:t>a</w:t>
      </w:r>
      <w:r w:rsidRPr="00CB4F2C">
        <w:t>lectique du Sujet et de la raison analysée par Touraine.</w:t>
      </w:r>
    </w:p>
  </w:footnote>
  <w:footnote w:id="54">
    <w:p w:rsidR="00B7214C" w:rsidRDefault="00B7214C" w:rsidP="00B7214C">
      <w:pPr>
        <w:pStyle w:val="Notedebasdepage"/>
      </w:pPr>
      <w:r>
        <w:rPr>
          <w:rStyle w:val="Appelnotedebasdep"/>
        </w:rPr>
        <w:footnoteRef/>
      </w:r>
      <w:r>
        <w:t xml:space="preserve"> </w:t>
      </w:r>
      <w:r>
        <w:tab/>
      </w:r>
      <w:r w:rsidRPr="00CB4F2C">
        <w:t>Le « relativisme doux » dont parlent Bloom et Taylor correspond au relat</w:t>
      </w:r>
      <w:r w:rsidRPr="00CB4F2C">
        <w:t>i</w:t>
      </w:r>
      <w:r w:rsidRPr="00CB4F2C">
        <w:t>visme moral tel que le définit Leca (1993) dans un petit article très sugge</w:t>
      </w:r>
      <w:r w:rsidRPr="00CB4F2C">
        <w:t>s</w:t>
      </w:r>
      <w:r w:rsidRPr="00CB4F2C">
        <w:t>tif : « Le relativisme moral est la position qui stipule que si l'on a des v</w:t>
      </w:r>
      <w:r w:rsidRPr="00CB4F2C">
        <w:t>a</w:t>
      </w:r>
      <w:r w:rsidRPr="00CB4F2C">
        <w:t>leurs, des hiérarchies, des normes, les autres, qui ont des valeurs, des hiéra</w:t>
      </w:r>
      <w:r w:rsidRPr="00CB4F2C">
        <w:t>r</w:t>
      </w:r>
      <w:r w:rsidRPr="00CB4F2C">
        <w:t>chies, des normes différentes constituées dans des conditions et par des hi</w:t>
      </w:r>
      <w:r w:rsidRPr="00CB4F2C">
        <w:t>s</w:t>
      </w:r>
      <w:r w:rsidRPr="00CB4F2C">
        <w:t>toires différentes, sont aussi fondés que soi à les faire prévaloir. Cette attit</w:t>
      </w:r>
      <w:r w:rsidRPr="00CB4F2C">
        <w:t>u</w:t>
      </w:r>
      <w:r w:rsidRPr="00CB4F2C">
        <w:t>de est le fondement d'une tol</w:t>
      </w:r>
      <w:r w:rsidRPr="00CB4F2C">
        <w:t>é</w:t>
      </w:r>
      <w:r w:rsidRPr="00CB4F2C">
        <w:t>rance sceptique qui est la négation même de la tolérance, dans la m</w:t>
      </w:r>
      <w:r w:rsidRPr="00CB4F2C">
        <w:t>e</w:t>
      </w:r>
      <w:r w:rsidRPr="00CB4F2C">
        <w:t>sure où la tolérance ne signifie plus rien dans un monde où tout se vaut. » (p.12).</w:t>
      </w:r>
    </w:p>
  </w:footnote>
  <w:footnote w:id="55">
    <w:p w:rsidR="00B7214C" w:rsidRDefault="00B7214C" w:rsidP="00B7214C">
      <w:pPr>
        <w:pStyle w:val="Notedebasdepage"/>
      </w:pPr>
      <w:r>
        <w:rPr>
          <w:rStyle w:val="Appelnotedebasdep"/>
        </w:rPr>
        <w:footnoteRef/>
      </w:r>
      <w:r>
        <w:t xml:space="preserve"> </w:t>
      </w:r>
      <w:r>
        <w:tab/>
      </w:r>
      <w:r w:rsidRPr="00CB4F2C">
        <w:t>Cette recherche a été commanditée par le ministère des Communautés cult</w:t>
      </w:r>
      <w:r w:rsidRPr="00CB4F2C">
        <w:t>u</w:t>
      </w:r>
      <w:r w:rsidRPr="00CB4F2C">
        <w:t xml:space="preserve">relles et de l'Immigration. Voir C. Veltman et S. Paré, </w:t>
      </w:r>
      <w:r w:rsidRPr="003349E2">
        <w:rPr>
          <w:i/>
          <w:iCs/>
        </w:rPr>
        <w:t>L'intégration lingui</w:t>
      </w:r>
      <w:r w:rsidRPr="003349E2">
        <w:rPr>
          <w:i/>
          <w:iCs/>
        </w:rPr>
        <w:t>s</w:t>
      </w:r>
      <w:r w:rsidRPr="003349E2">
        <w:rPr>
          <w:i/>
          <w:iCs/>
        </w:rPr>
        <w:t>tique des immigrants de la décennie 1980,</w:t>
      </w:r>
      <w:r w:rsidRPr="00CB4F2C">
        <w:t xml:space="preserve"> Mo</w:t>
      </w:r>
      <w:r w:rsidRPr="00CB4F2C">
        <w:t>n</w:t>
      </w:r>
      <w:r w:rsidRPr="00CB4F2C">
        <w:t>tréal, MCCI, 1993. Les fonds FCAR ont également contribué à la r</w:t>
      </w:r>
      <w:r w:rsidRPr="00CB4F2C">
        <w:t>é</w:t>
      </w:r>
      <w:r w:rsidRPr="00CB4F2C">
        <w:t>daction du présent document.</w:t>
      </w:r>
    </w:p>
  </w:footnote>
  <w:footnote w:id="56">
    <w:p w:rsidR="00B7214C" w:rsidRDefault="00B7214C" w:rsidP="00B7214C">
      <w:pPr>
        <w:pStyle w:val="Notedebasdepage"/>
      </w:pPr>
      <w:r>
        <w:rPr>
          <w:rStyle w:val="Appelnotedebasdep"/>
        </w:rPr>
        <w:footnoteRef/>
      </w:r>
      <w:r>
        <w:t xml:space="preserve"> </w:t>
      </w:r>
      <w:r>
        <w:tab/>
      </w:r>
      <w:r w:rsidRPr="00CB4F2C">
        <w:t>R. Lachapelle, « Les allophones choisissent le français plus souvent qu'a</w:t>
      </w:r>
      <w:r w:rsidRPr="00CB4F2C">
        <w:t>u</w:t>
      </w:r>
      <w:r w:rsidRPr="00CB4F2C">
        <w:t xml:space="preserve">paravant ». </w:t>
      </w:r>
      <w:r w:rsidRPr="003349E2">
        <w:rPr>
          <w:i/>
          <w:iCs/>
        </w:rPr>
        <w:t>Le Droit,</w:t>
      </w:r>
      <w:r w:rsidRPr="00CB4F2C">
        <w:t xml:space="preserve"> 11 février 1993, page 17. Rappelons que de toute f</w:t>
      </w:r>
      <w:r w:rsidRPr="00CB4F2C">
        <w:t>a</w:t>
      </w:r>
      <w:r w:rsidRPr="00CB4F2C">
        <w:t>çon, les données ne peuvent être comparées, étant do</w:t>
      </w:r>
      <w:r w:rsidRPr="00CB4F2C">
        <w:t>n</w:t>
      </w:r>
      <w:r w:rsidRPr="00CB4F2C">
        <w:t>né que notre analyse est limitée aux immigrants ayant 18 ans et plus au moment de l'arrivée.</w:t>
      </w:r>
    </w:p>
  </w:footnote>
  <w:footnote w:id="57">
    <w:p w:rsidR="00B7214C" w:rsidRDefault="00B7214C" w:rsidP="00B7214C">
      <w:pPr>
        <w:pStyle w:val="Notedebasdepage"/>
      </w:pPr>
      <w:r>
        <w:rPr>
          <w:rStyle w:val="Appelnotedebasdep"/>
        </w:rPr>
        <w:footnoteRef/>
      </w:r>
      <w:r>
        <w:t xml:space="preserve"> </w:t>
      </w:r>
      <w:r>
        <w:tab/>
      </w:r>
      <w:r w:rsidRPr="00CB4F2C">
        <w:t xml:space="preserve">Voir C. Veltman et S. Paré, </w:t>
      </w:r>
      <w:r w:rsidRPr="003349E2">
        <w:rPr>
          <w:i/>
          <w:iCs/>
        </w:rPr>
        <w:t>op. cit.,</w:t>
      </w:r>
      <w:r w:rsidRPr="00CB4F2C">
        <w:t xml:space="preserve"> chapitre 3, pour la définition exacte des questions pertinentes.</w:t>
      </w:r>
    </w:p>
  </w:footnote>
  <w:footnote w:id="58">
    <w:p w:rsidR="00B7214C" w:rsidRDefault="00B7214C" w:rsidP="00B7214C">
      <w:pPr>
        <w:pStyle w:val="Notedebasdepage"/>
      </w:pPr>
      <w:r>
        <w:rPr>
          <w:rStyle w:val="Appelnotedebasdep"/>
        </w:rPr>
        <w:footnoteRef/>
      </w:r>
      <w:r>
        <w:t xml:space="preserve"> </w:t>
      </w:r>
      <w:r>
        <w:tab/>
      </w:r>
      <w:r w:rsidRPr="005969F3">
        <w:rPr>
          <w:i/>
          <w:iCs/>
        </w:rPr>
        <w:t>Handbook of lndians of Canada</w:t>
      </w:r>
      <w:r w:rsidRPr="00CB4F2C">
        <w:t xml:space="preserve"> (1971,1974), Facsimile édition, Toro</w:t>
      </w:r>
      <w:r w:rsidRPr="00CB4F2C">
        <w:t>n</w:t>
      </w:r>
      <w:r w:rsidRPr="00CB4F2C">
        <w:t>to/Ottawa, Coles Publishing Company, Géographie Board C</w:t>
      </w:r>
      <w:r w:rsidRPr="00CB4F2C">
        <w:t>a</w:t>
      </w:r>
      <w:r w:rsidRPr="00CB4F2C">
        <w:t>nada, 1912, p. 48.</w:t>
      </w:r>
    </w:p>
  </w:footnote>
  <w:footnote w:id="59">
    <w:p w:rsidR="00B7214C" w:rsidRDefault="00B7214C" w:rsidP="00B7214C">
      <w:pPr>
        <w:pStyle w:val="Notedebasdepage"/>
      </w:pPr>
      <w:r>
        <w:rPr>
          <w:rStyle w:val="Appelnotedebasdep"/>
        </w:rPr>
        <w:footnoteRef/>
      </w:r>
      <w:r>
        <w:t xml:space="preserve"> </w:t>
      </w:r>
      <w:r>
        <w:tab/>
      </w:r>
      <w:r w:rsidRPr="00CB4F2C">
        <w:t xml:space="preserve">Hawthorn, H.B., C.S. Belshaw, S.M.Jamieson, </w:t>
      </w:r>
      <w:r w:rsidRPr="005969F3">
        <w:rPr>
          <w:i/>
          <w:iCs/>
        </w:rPr>
        <w:t>The Indians ofBritish C</w:t>
      </w:r>
      <w:r w:rsidRPr="005969F3">
        <w:rPr>
          <w:i/>
          <w:iCs/>
        </w:rPr>
        <w:t>o</w:t>
      </w:r>
      <w:r w:rsidRPr="005969F3">
        <w:rPr>
          <w:i/>
          <w:iCs/>
        </w:rPr>
        <w:t>lumbia,</w:t>
      </w:r>
      <w:r w:rsidRPr="00CB4F2C">
        <w:t xml:space="preserve"> Toronto, University of Toronto Press, 1958, p. 41.</w:t>
      </w:r>
    </w:p>
  </w:footnote>
  <w:footnote w:id="60">
    <w:p w:rsidR="00B7214C" w:rsidRDefault="00B7214C" w:rsidP="00B7214C">
      <w:pPr>
        <w:pStyle w:val="Notedebasdepage"/>
      </w:pPr>
      <w:r>
        <w:rPr>
          <w:rStyle w:val="Appelnotedebasdep"/>
        </w:rPr>
        <w:footnoteRef/>
      </w:r>
      <w:r>
        <w:t xml:space="preserve"> </w:t>
      </w:r>
      <w:r>
        <w:tab/>
      </w:r>
      <w:r w:rsidRPr="005969F3">
        <w:rPr>
          <w:iCs/>
        </w:rPr>
        <w:t xml:space="preserve">M. Ortiz, </w:t>
      </w:r>
      <w:r w:rsidRPr="008072CF">
        <w:t>Ethnohistoire et identité : les Miskitos du Nicaragua</w:t>
      </w:r>
      <w:r w:rsidRPr="005969F3">
        <w:t>,</w:t>
      </w:r>
      <w:r w:rsidRPr="005969F3">
        <w:rPr>
          <w:iCs/>
        </w:rPr>
        <w:t xml:space="preserve"> Thèse de maîtrise, 1992.</w:t>
      </w:r>
    </w:p>
  </w:footnote>
  <w:footnote w:id="61">
    <w:p w:rsidR="00B7214C" w:rsidRDefault="00B7214C" w:rsidP="00B7214C">
      <w:pPr>
        <w:pStyle w:val="Notedebasdepage"/>
      </w:pPr>
      <w:r>
        <w:rPr>
          <w:rStyle w:val="Appelnotedebasdep"/>
        </w:rPr>
        <w:footnoteRef/>
      </w:r>
      <w:r>
        <w:t xml:space="preserve"> </w:t>
      </w:r>
      <w:r>
        <w:tab/>
      </w:r>
      <w:r w:rsidRPr="005969F3">
        <w:rPr>
          <w:i/>
          <w:iCs/>
        </w:rPr>
        <w:t>Handbook oflndians of Canada</w:t>
      </w:r>
      <w:r w:rsidRPr="00CB4F2C">
        <w:t xml:space="preserve"> (1971,</w:t>
      </w:r>
      <w:r>
        <w:t xml:space="preserve"> </w:t>
      </w:r>
      <w:r w:rsidRPr="00CB4F2C">
        <w:t>1974), p. 49. Facsimile édition, T</w:t>
      </w:r>
      <w:r w:rsidRPr="00CB4F2C">
        <w:t>o</w:t>
      </w:r>
      <w:r w:rsidRPr="00CB4F2C">
        <w:t>ronto/Ottawa, Coles Publishing Company, Géographie Board Canada, 1912.</w:t>
      </w:r>
    </w:p>
  </w:footnote>
  <w:footnote w:id="62">
    <w:p w:rsidR="00B7214C" w:rsidRDefault="00B7214C" w:rsidP="00B7214C">
      <w:pPr>
        <w:pStyle w:val="Notedebasdepage"/>
      </w:pPr>
      <w:r>
        <w:rPr>
          <w:rStyle w:val="Appelnotedebasdep"/>
        </w:rPr>
        <w:footnoteRef/>
      </w:r>
      <w:r>
        <w:t xml:space="preserve"> </w:t>
      </w:r>
      <w:r>
        <w:tab/>
      </w:r>
      <w:r w:rsidRPr="00CB4F2C">
        <w:t xml:space="preserve">G. Joseph Jorgensen, </w:t>
      </w:r>
      <w:r w:rsidRPr="005969F3">
        <w:rPr>
          <w:i/>
          <w:iCs/>
        </w:rPr>
        <w:t>Western Indians,</w:t>
      </w:r>
      <w:r w:rsidRPr="00CB4F2C">
        <w:t xml:space="preserve"> San Francisco, W.H. Fre</w:t>
      </w:r>
      <w:r w:rsidRPr="00CB4F2C">
        <w:t>e</w:t>
      </w:r>
      <w:r w:rsidRPr="00CB4F2C">
        <w:t>man and Company, 1980, p. 73.</w:t>
      </w:r>
    </w:p>
  </w:footnote>
  <w:footnote w:id="63">
    <w:p w:rsidR="00B7214C" w:rsidRDefault="00B7214C" w:rsidP="00B7214C">
      <w:pPr>
        <w:pStyle w:val="Notedebasdepage"/>
      </w:pPr>
      <w:r>
        <w:rPr>
          <w:rStyle w:val="Appelnotedebasdep"/>
        </w:rPr>
        <w:footnoteRef/>
      </w:r>
      <w:r>
        <w:t xml:space="preserve"> </w:t>
      </w:r>
      <w:r>
        <w:tab/>
      </w:r>
      <w:r w:rsidRPr="00CB4F2C">
        <w:t>Native Friendship Center, Fort St. John.</w:t>
      </w:r>
    </w:p>
  </w:footnote>
  <w:footnote w:id="64">
    <w:p w:rsidR="00B7214C" w:rsidRDefault="00B7214C" w:rsidP="00B7214C">
      <w:pPr>
        <w:pStyle w:val="Notedebasdepage"/>
      </w:pPr>
      <w:r>
        <w:rPr>
          <w:rStyle w:val="Appelnotedebasdep"/>
        </w:rPr>
        <w:footnoteRef/>
      </w:r>
      <w:r>
        <w:t xml:space="preserve"> </w:t>
      </w:r>
      <w:r>
        <w:tab/>
      </w:r>
      <w:r w:rsidRPr="00CB4F2C">
        <w:t>James B. Waldram, « Ethnostatus Distinctions in the Western Canadian S</w:t>
      </w:r>
      <w:r w:rsidRPr="00CB4F2C">
        <w:t>u</w:t>
      </w:r>
      <w:r w:rsidRPr="00CB4F2C">
        <w:t>barctic : Implications for Inter-Ethni</w:t>
      </w:r>
      <w:r>
        <w:t>c</w:t>
      </w:r>
      <w:r w:rsidRPr="00CB4F2C">
        <w:t xml:space="preserve"> and Interpersonal Relations », </w:t>
      </w:r>
      <w:r w:rsidRPr="005969F3">
        <w:rPr>
          <w:i/>
          <w:iCs/>
        </w:rPr>
        <w:t>Cult</w:t>
      </w:r>
      <w:r w:rsidRPr="005969F3">
        <w:rPr>
          <w:i/>
          <w:iCs/>
        </w:rPr>
        <w:t>u</w:t>
      </w:r>
      <w:r w:rsidRPr="005969F3">
        <w:rPr>
          <w:i/>
          <w:iCs/>
        </w:rPr>
        <w:t>re,</w:t>
      </w:r>
      <w:r w:rsidRPr="00CB4F2C">
        <w:t xml:space="preserve"> 1987, vol.</w:t>
      </w:r>
      <w:r>
        <w:t> </w:t>
      </w:r>
      <w:r w:rsidRPr="00CB4F2C">
        <w:t>VII, n°</w:t>
      </w:r>
      <w:r>
        <w:t> </w:t>
      </w:r>
      <w:r w:rsidRPr="00CB4F2C">
        <w:t>1, p</w:t>
      </w:r>
      <w:r>
        <w:t>p</w:t>
      </w:r>
      <w:r w:rsidRPr="00CB4F2C">
        <w:t>. 29-37.</w:t>
      </w:r>
    </w:p>
  </w:footnote>
  <w:footnote w:id="65">
    <w:p w:rsidR="00B7214C" w:rsidRDefault="00B7214C" w:rsidP="00B7214C">
      <w:pPr>
        <w:pStyle w:val="Notedebasdepage"/>
      </w:pPr>
      <w:r>
        <w:rPr>
          <w:rStyle w:val="Appelnotedebasdep"/>
        </w:rPr>
        <w:footnoteRef/>
      </w:r>
      <w:r>
        <w:t xml:space="preserve"> </w:t>
      </w:r>
      <w:r>
        <w:tab/>
      </w:r>
      <w:r w:rsidRPr="00CB4F2C">
        <w:t xml:space="preserve">N. Gonzalez, « Introduction », dans </w:t>
      </w:r>
      <w:r w:rsidRPr="005969F3">
        <w:rPr>
          <w:i/>
          <w:iCs/>
        </w:rPr>
        <w:t>Sojourners of the Caribbean : ethnog</w:t>
      </w:r>
      <w:r w:rsidRPr="005969F3">
        <w:rPr>
          <w:i/>
          <w:iCs/>
        </w:rPr>
        <w:t>e</w:t>
      </w:r>
      <w:r w:rsidRPr="005969F3">
        <w:rPr>
          <w:i/>
          <w:iCs/>
        </w:rPr>
        <w:t>nesis and ethnohistory of the Garifuna,</w:t>
      </w:r>
      <w:r w:rsidRPr="00CB4F2C">
        <w:t xml:space="preserve"> Urbana, Un</w:t>
      </w:r>
      <w:r w:rsidRPr="00CB4F2C">
        <w:t>i</w:t>
      </w:r>
      <w:r w:rsidRPr="00CB4F2C">
        <w:t>versity of Illinois Press, 1988.</w:t>
      </w:r>
    </w:p>
  </w:footnote>
  <w:footnote w:id="66">
    <w:p w:rsidR="00B7214C" w:rsidRDefault="00B7214C" w:rsidP="00B7214C">
      <w:pPr>
        <w:pStyle w:val="Notedebasdepage"/>
      </w:pPr>
      <w:r>
        <w:rPr>
          <w:rStyle w:val="Appelnotedebasdep"/>
        </w:rPr>
        <w:footnoteRef/>
      </w:r>
      <w:r>
        <w:t xml:space="preserve"> </w:t>
      </w:r>
      <w:r>
        <w:tab/>
        <w:t>C.R. Hale, « La consciencia polí</w:t>
      </w:r>
      <w:r w:rsidRPr="00CB4F2C">
        <w:t>ica miskita : hacia un an</w:t>
      </w:r>
      <w:r>
        <w:t>á</w:t>
      </w:r>
      <w:r w:rsidRPr="00CB4F2C">
        <w:t xml:space="preserve">lisis coyuntural ». </w:t>
      </w:r>
      <w:r w:rsidRPr="005969F3">
        <w:rPr>
          <w:i/>
          <w:iCs/>
        </w:rPr>
        <w:t xml:space="preserve">Envío, </w:t>
      </w:r>
      <w:r w:rsidRPr="00CB4F2C">
        <w:t>1990, n°</w:t>
      </w:r>
      <w:r>
        <w:t> </w:t>
      </w:r>
      <w:r w:rsidRPr="00CB4F2C">
        <w:t>122, p</w:t>
      </w:r>
      <w:r>
        <w:t>p</w:t>
      </w:r>
      <w:r w:rsidRPr="00CB4F2C">
        <w:t>. 35-40.</w:t>
      </w:r>
    </w:p>
  </w:footnote>
  <w:footnote w:id="67">
    <w:p w:rsidR="00B7214C" w:rsidRDefault="00B7214C" w:rsidP="00B7214C">
      <w:pPr>
        <w:pStyle w:val="Notedebasdepage"/>
      </w:pPr>
      <w:r>
        <w:rPr>
          <w:rStyle w:val="Appelnotedebasdep"/>
        </w:rPr>
        <w:footnoteRef/>
      </w:r>
      <w:r>
        <w:t xml:space="preserve"> </w:t>
      </w:r>
      <w:r>
        <w:tab/>
      </w:r>
      <w:r w:rsidRPr="00CB4F2C">
        <w:t xml:space="preserve">Hawthorn, H.B., C.S. Belshaw, S.M. Jamieson, </w:t>
      </w:r>
      <w:r w:rsidRPr="005969F3">
        <w:rPr>
          <w:i/>
          <w:iCs/>
        </w:rPr>
        <w:t>The Indians of British C</w:t>
      </w:r>
      <w:r w:rsidRPr="005969F3">
        <w:rPr>
          <w:i/>
          <w:iCs/>
        </w:rPr>
        <w:t>o</w:t>
      </w:r>
      <w:r w:rsidRPr="005969F3">
        <w:rPr>
          <w:i/>
          <w:iCs/>
        </w:rPr>
        <w:t xml:space="preserve">lumbia, </w:t>
      </w:r>
      <w:r w:rsidRPr="00CB4F2C">
        <w:t>Toronto, University of Toronto Press, 1958.</w:t>
      </w:r>
    </w:p>
  </w:footnote>
  <w:footnote w:id="68">
    <w:p w:rsidR="00B7214C" w:rsidRDefault="00B7214C" w:rsidP="00B7214C">
      <w:pPr>
        <w:pStyle w:val="Notedebasdepage"/>
      </w:pPr>
      <w:r>
        <w:rPr>
          <w:rStyle w:val="Appelnotedebasdep"/>
        </w:rPr>
        <w:footnoteRef/>
      </w:r>
      <w:r>
        <w:t xml:space="preserve"> </w:t>
      </w:r>
      <w:r>
        <w:tab/>
      </w:r>
      <w:r w:rsidRPr="00CB4F2C">
        <w:t xml:space="preserve">R. Day, R., « Highlights of local history », </w:t>
      </w:r>
      <w:r w:rsidRPr="005969F3">
        <w:rPr>
          <w:i/>
          <w:iCs/>
        </w:rPr>
        <w:t>Blocks News,</w:t>
      </w:r>
      <w:r w:rsidRPr="00CB4F2C">
        <w:t xml:space="preserve"> juin, Da</w:t>
      </w:r>
      <w:r w:rsidRPr="00CB4F2C">
        <w:t>w</w:t>
      </w:r>
      <w:r w:rsidRPr="00CB4F2C">
        <w:t>son Creek, B.C, 1990.</w:t>
      </w:r>
    </w:p>
  </w:footnote>
  <w:footnote w:id="69">
    <w:p w:rsidR="00B7214C" w:rsidRDefault="00B7214C" w:rsidP="00B7214C">
      <w:pPr>
        <w:pStyle w:val="Notedebasdepage"/>
      </w:pPr>
      <w:r>
        <w:rPr>
          <w:rStyle w:val="Appelnotedebasdep"/>
        </w:rPr>
        <w:footnoteRef/>
      </w:r>
      <w:r>
        <w:t xml:space="preserve"> </w:t>
      </w:r>
      <w:r>
        <w:tab/>
      </w:r>
      <w:r w:rsidRPr="005969F3">
        <w:t xml:space="preserve">F. </w:t>
      </w:r>
      <w:r w:rsidRPr="00CB4F2C">
        <w:t xml:space="preserve">Douglas, H./B., L. Graham, </w:t>
      </w:r>
      <w:r w:rsidRPr="005969F3">
        <w:rPr>
          <w:i/>
          <w:iCs/>
        </w:rPr>
        <w:t>Canadiana Scrapbook. A Nation Beckons : Canada 1896- 1914,</w:t>
      </w:r>
      <w:r w:rsidRPr="00CB4F2C">
        <w:t xml:space="preserve"> Scarborough, Prentice-Hall of Canada, 1978, p. 2.</w:t>
      </w:r>
    </w:p>
  </w:footnote>
  <w:footnote w:id="70">
    <w:p w:rsidR="00B7214C" w:rsidRDefault="00B7214C" w:rsidP="00B7214C">
      <w:pPr>
        <w:pStyle w:val="Notedebasdepage"/>
      </w:pPr>
      <w:r>
        <w:rPr>
          <w:rStyle w:val="Appelnotedebasdep"/>
        </w:rPr>
        <w:footnoteRef/>
      </w:r>
      <w:r>
        <w:t xml:space="preserve"> </w:t>
      </w:r>
      <w:r>
        <w:tab/>
      </w:r>
      <w:r w:rsidRPr="005969F3">
        <w:rPr>
          <w:iCs/>
        </w:rPr>
        <w:t xml:space="preserve">M. Ortiz, </w:t>
      </w:r>
      <w:r w:rsidRPr="008072CF">
        <w:t>Ethnohistoire et identité : les Miskitos du Nicaragua</w:t>
      </w:r>
      <w:r w:rsidRPr="005969F3">
        <w:t>,</w:t>
      </w:r>
      <w:r w:rsidRPr="005969F3">
        <w:rPr>
          <w:iCs/>
        </w:rPr>
        <w:t xml:space="preserve"> Thèse de maîtrise, 1992.</w:t>
      </w:r>
    </w:p>
  </w:footnote>
  <w:footnote w:id="71">
    <w:p w:rsidR="00B7214C" w:rsidRDefault="00B7214C" w:rsidP="00B7214C">
      <w:pPr>
        <w:pStyle w:val="Notedebasdepage"/>
      </w:pPr>
      <w:r>
        <w:rPr>
          <w:rStyle w:val="Appelnotedebasdep"/>
        </w:rPr>
        <w:footnoteRef/>
      </w:r>
      <w:r>
        <w:t xml:space="preserve"> </w:t>
      </w:r>
      <w:r>
        <w:tab/>
      </w:r>
      <w:r w:rsidRPr="008072CF">
        <w:rPr>
          <w:i/>
        </w:rPr>
        <w:t>Idem</w:t>
      </w:r>
      <w:r w:rsidRPr="00CB4F2C">
        <w:t>.</w:t>
      </w:r>
    </w:p>
  </w:footnote>
  <w:footnote w:id="72">
    <w:p w:rsidR="00B7214C" w:rsidRDefault="00B7214C" w:rsidP="00B7214C">
      <w:pPr>
        <w:pStyle w:val="Notedebasdepage"/>
      </w:pPr>
      <w:r>
        <w:rPr>
          <w:rStyle w:val="Appelnotedebasdep"/>
        </w:rPr>
        <w:footnoteRef/>
      </w:r>
      <w:r>
        <w:t xml:space="preserve"> </w:t>
      </w:r>
      <w:r>
        <w:tab/>
      </w:r>
      <w:r w:rsidRPr="00CB4F2C">
        <w:t xml:space="preserve">P.A. Cuadra, </w:t>
      </w:r>
      <w:r w:rsidRPr="005969F3">
        <w:rPr>
          <w:i/>
          <w:iCs/>
        </w:rPr>
        <w:t>El Nicaragüense,</w:t>
      </w:r>
      <w:r w:rsidRPr="00CB4F2C">
        <w:t xml:space="preserve"> Costa Rica, EDUCA, 1978.</w:t>
      </w:r>
    </w:p>
  </w:footnote>
  <w:footnote w:id="73">
    <w:p w:rsidR="00B7214C" w:rsidRDefault="00B7214C" w:rsidP="00B7214C">
      <w:pPr>
        <w:pStyle w:val="Notedebasdepage"/>
      </w:pPr>
      <w:r>
        <w:rPr>
          <w:rStyle w:val="Appelnotedebasdep"/>
        </w:rPr>
        <w:footnoteRef/>
      </w:r>
      <w:r>
        <w:t xml:space="preserve"> </w:t>
      </w:r>
      <w:r>
        <w:tab/>
      </w:r>
      <w:r w:rsidRPr="00CB4F2C">
        <w:t xml:space="preserve">R. Darfo, </w:t>
      </w:r>
      <w:r w:rsidRPr="005969F3">
        <w:rPr>
          <w:i/>
          <w:iCs/>
        </w:rPr>
        <w:t>Poesia,</w:t>
      </w:r>
      <w:r w:rsidRPr="00CB4F2C">
        <w:t xml:space="preserve"> Managua, Editorial Nueva Managua, 1989.</w:t>
      </w:r>
    </w:p>
  </w:footnote>
  <w:footnote w:id="74">
    <w:p w:rsidR="00B7214C" w:rsidRDefault="00B7214C" w:rsidP="00B7214C">
      <w:pPr>
        <w:pStyle w:val="Notedebasdepage"/>
      </w:pPr>
      <w:r>
        <w:rPr>
          <w:rStyle w:val="Appelnotedebasdep"/>
        </w:rPr>
        <w:footnoteRef/>
      </w:r>
      <w:r>
        <w:t xml:space="preserve"> </w:t>
      </w:r>
      <w:r>
        <w:tab/>
      </w:r>
      <w:r w:rsidRPr="005969F3">
        <w:rPr>
          <w:iCs/>
        </w:rPr>
        <w:t xml:space="preserve">J. Wheelock, </w:t>
      </w:r>
      <w:r w:rsidRPr="005969F3">
        <w:t>Raices indigenas de la lucha anticolonialista,</w:t>
      </w:r>
      <w:r w:rsidRPr="005969F3">
        <w:rPr>
          <w:iCs/>
        </w:rPr>
        <w:t xml:space="preserve"> Mexico, Siglo de Oro, 1974.</w:t>
      </w:r>
    </w:p>
  </w:footnote>
  <w:footnote w:id="75">
    <w:p w:rsidR="00B7214C" w:rsidRDefault="00B7214C" w:rsidP="00B7214C">
      <w:pPr>
        <w:pStyle w:val="Notedebasdepage"/>
      </w:pPr>
      <w:r>
        <w:rPr>
          <w:rStyle w:val="Appelnotedebasdep"/>
        </w:rPr>
        <w:footnoteRef/>
      </w:r>
      <w:r>
        <w:t xml:space="preserve"> </w:t>
      </w:r>
      <w:r>
        <w:tab/>
      </w:r>
      <w:r w:rsidRPr="00CB4F2C">
        <w:t>M. Diskin, « Ethni</w:t>
      </w:r>
      <w:r>
        <w:t>c</w:t>
      </w:r>
      <w:r w:rsidRPr="00CB4F2C">
        <w:t xml:space="preserve"> discourse and the challenge to anthropology : The Nic</w:t>
      </w:r>
      <w:r w:rsidRPr="00CB4F2C">
        <w:t>a</w:t>
      </w:r>
      <w:r w:rsidRPr="00CB4F2C">
        <w:t xml:space="preserve">raguan Case », dans G. Urban et J. Sherzer, L. Austin, </w:t>
      </w:r>
      <w:r w:rsidRPr="005969F3">
        <w:rPr>
          <w:i/>
          <w:iCs/>
        </w:rPr>
        <w:t>Nation State and I</w:t>
      </w:r>
      <w:r w:rsidRPr="005969F3">
        <w:rPr>
          <w:i/>
          <w:iCs/>
        </w:rPr>
        <w:t>n</w:t>
      </w:r>
      <w:r w:rsidRPr="005969F3">
        <w:rPr>
          <w:i/>
          <w:iCs/>
        </w:rPr>
        <w:t>dians in Latin America,</w:t>
      </w:r>
      <w:r w:rsidRPr="00CB4F2C">
        <w:t xml:space="preserve"> University Press.</w:t>
      </w:r>
    </w:p>
  </w:footnote>
  <w:footnote w:id="76">
    <w:p w:rsidR="00B7214C" w:rsidRDefault="00B7214C" w:rsidP="00B7214C">
      <w:pPr>
        <w:pStyle w:val="Notedebasdepage"/>
      </w:pPr>
      <w:r>
        <w:rPr>
          <w:rStyle w:val="Appelnotedebasdep"/>
        </w:rPr>
        <w:footnoteRef/>
      </w:r>
      <w:r>
        <w:t xml:space="preserve"> </w:t>
      </w:r>
      <w:r>
        <w:tab/>
      </w:r>
      <w:r w:rsidRPr="00CB4F2C">
        <w:t>E. Conzemius, Estudio etnogr</w:t>
      </w:r>
      <w:r>
        <w:t>á</w:t>
      </w:r>
      <w:r w:rsidRPr="00CB4F2C">
        <w:t>fico sobre los Indios Miskitos y Sumus de Honduras y Nicaragua, (1932 première édition), San José, Libro libre, 1984.</w:t>
      </w:r>
    </w:p>
  </w:footnote>
  <w:footnote w:id="77">
    <w:p w:rsidR="00B7214C" w:rsidRDefault="00B7214C" w:rsidP="00B7214C">
      <w:pPr>
        <w:pStyle w:val="Notedebasdepage"/>
      </w:pPr>
      <w:r>
        <w:rPr>
          <w:rStyle w:val="Appelnotedebasdep"/>
        </w:rPr>
        <w:footnoteRef/>
      </w:r>
      <w:r>
        <w:t xml:space="preserve"> </w:t>
      </w:r>
      <w:r>
        <w:tab/>
      </w:r>
      <w:r w:rsidRPr="00CB4F2C">
        <w:t xml:space="preserve">K.R. Fladmark, « Early Fur-Trade Forts of the Peace River Area of British Columbia », dans </w:t>
      </w:r>
      <w:r w:rsidRPr="005969F3">
        <w:rPr>
          <w:i/>
          <w:iCs/>
        </w:rPr>
        <w:t>B.C. Studies,</w:t>
      </w:r>
      <w:r w:rsidRPr="00CB4F2C">
        <w:t xml:space="preserve"> 1985, n°</w:t>
      </w:r>
      <w:r>
        <w:t> </w:t>
      </w:r>
      <w:r w:rsidRPr="00CB4F2C">
        <w:t>65, p. 48.</w:t>
      </w:r>
    </w:p>
  </w:footnote>
  <w:footnote w:id="78">
    <w:p w:rsidR="00B7214C" w:rsidRDefault="00B7214C" w:rsidP="00B7214C">
      <w:pPr>
        <w:pStyle w:val="Notedebasdepage"/>
      </w:pPr>
      <w:r>
        <w:rPr>
          <w:rStyle w:val="Appelnotedebasdep"/>
        </w:rPr>
        <w:footnoteRef/>
      </w:r>
      <w:r>
        <w:t xml:space="preserve"> </w:t>
      </w:r>
      <w:r>
        <w:tab/>
      </w:r>
      <w:r w:rsidRPr="00CB4F2C">
        <w:t xml:space="preserve">H. Hertzberg, </w:t>
      </w:r>
      <w:r w:rsidRPr="005969F3">
        <w:rPr>
          <w:i/>
          <w:iCs/>
        </w:rPr>
        <w:t>The Search for an American Indian Identity,</w:t>
      </w:r>
      <w:r w:rsidRPr="00CB4F2C">
        <w:t xml:space="preserve"> Syracuse, Un</w:t>
      </w:r>
      <w:r w:rsidRPr="00CB4F2C">
        <w:t>i</w:t>
      </w:r>
      <w:r w:rsidRPr="00CB4F2C">
        <w:t>versity Press, 1971.</w:t>
      </w:r>
    </w:p>
  </w:footnote>
  <w:footnote w:id="79">
    <w:p w:rsidR="00B7214C" w:rsidRDefault="00B7214C" w:rsidP="00B7214C">
      <w:pPr>
        <w:pStyle w:val="Notedebasdepage"/>
      </w:pPr>
      <w:r>
        <w:rPr>
          <w:rStyle w:val="Appelnotedebasdep"/>
        </w:rPr>
        <w:footnoteRef/>
      </w:r>
      <w:r>
        <w:t xml:space="preserve"> </w:t>
      </w:r>
      <w:r>
        <w:tab/>
      </w:r>
      <w:r w:rsidRPr="00CB4F2C">
        <w:t xml:space="preserve">M. Asch, </w:t>
      </w:r>
      <w:r w:rsidRPr="005969F3">
        <w:rPr>
          <w:i/>
          <w:iCs/>
        </w:rPr>
        <w:t>Home and Native Land,</w:t>
      </w:r>
      <w:r w:rsidRPr="00CB4F2C">
        <w:t xml:space="preserve"> Ontario, Methuen, 1984, </w:t>
      </w:r>
      <w:r>
        <w:t>nos </w:t>
      </w:r>
      <w:r w:rsidRPr="00CB4F2C">
        <w:t>48-49.</w:t>
      </w:r>
    </w:p>
  </w:footnote>
  <w:footnote w:id="80">
    <w:p w:rsidR="00B7214C" w:rsidRDefault="00B7214C" w:rsidP="00B7214C">
      <w:pPr>
        <w:pStyle w:val="Notedebasdepage"/>
      </w:pPr>
      <w:r>
        <w:rPr>
          <w:rStyle w:val="Appelnotedebasdep"/>
        </w:rPr>
        <w:footnoteRef/>
      </w:r>
      <w:r>
        <w:t xml:space="preserve"> </w:t>
      </w:r>
      <w:r>
        <w:tab/>
      </w:r>
      <w:r w:rsidRPr="00CB4F2C">
        <w:t xml:space="preserve">H. Hertzberg, </w:t>
      </w:r>
      <w:r w:rsidRPr="005969F3">
        <w:rPr>
          <w:i/>
          <w:iCs/>
        </w:rPr>
        <w:t>The Search for an American Indian Identity,</w:t>
      </w:r>
      <w:r w:rsidRPr="00CB4F2C">
        <w:t xml:space="preserve"> Syracuse, Un</w:t>
      </w:r>
      <w:r w:rsidRPr="00CB4F2C">
        <w:t>i</w:t>
      </w:r>
      <w:r w:rsidRPr="00CB4F2C">
        <w:t>versity Press, 1971, p. 318.</w:t>
      </w:r>
    </w:p>
  </w:footnote>
  <w:footnote w:id="81">
    <w:p w:rsidR="00B7214C" w:rsidRDefault="00B7214C" w:rsidP="00B7214C">
      <w:pPr>
        <w:pStyle w:val="Notedebasdepage"/>
      </w:pPr>
      <w:r>
        <w:rPr>
          <w:rStyle w:val="Appelnotedebasdep"/>
        </w:rPr>
        <w:footnoteRef/>
      </w:r>
      <w:r>
        <w:t xml:space="preserve"> </w:t>
      </w:r>
      <w:r>
        <w:tab/>
      </w:r>
      <w:r w:rsidRPr="005969F3">
        <w:rPr>
          <w:i/>
          <w:iCs/>
        </w:rPr>
        <w:t>Idem,</w:t>
      </w:r>
      <w:r w:rsidRPr="00CB4F2C">
        <w:t xml:space="preserve"> p. 319.</w:t>
      </w:r>
    </w:p>
  </w:footnote>
  <w:footnote w:id="82">
    <w:p w:rsidR="00B7214C" w:rsidRDefault="00B7214C" w:rsidP="00B7214C">
      <w:pPr>
        <w:pStyle w:val="Notedebasdepage"/>
      </w:pPr>
      <w:r>
        <w:rPr>
          <w:rStyle w:val="Appelnotedebasdep"/>
        </w:rPr>
        <w:footnoteRef/>
      </w:r>
      <w:r>
        <w:t xml:space="preserve"> </w:t>
      </w:r>
      <w:r>
        <w:tab/>
      </w:r>
      <w:r w:rsidRPr="00CB4F2C">
        <w:t xml:space="preserve">J.L. Finlay, </w:t>
      </w:r>
      <w:r w:rsidRPr="005969F3">
        <w:rPr>
          <w:i/>
          <w:iCs/>
        </w:rPr>
        <w:t>Pre-Confederation Canada : The Structure of C</w:t>
      </w:r>
      <w:r w:rsidRPr="005969F3">
        <w:rPr>
          <w:i/>
          <w:iCs/>
        </w:rPr>
        <w:t>a</w:t>
      </w:r>
      <w:r w:rsidRPr="005969F3">
        <w:rPr>
          <w:i/>
          <w:iCs/>
        </w:rPr>
        <w:t xml:space="preserve">nadian History to 1867, </w:t>
      </w:r>
      <w:r w:rsidRPr="00CB4F2C">
        <w:t>Scarborough, Ontario, Prentice-Hall Canada Inc., 1990.</w:t>
      </w:r>
    </w:p>
  </w:footnote>
  <w:footnote w:id="83">
    <w:p w:rsidR="00B7214C" w:rsidRDefault="00B7214C" w:rsidP="00B7214C">
      <w:pPr>
        <w:pStyle w:val="Notedebasdepage"/>
      </w:pPr>
      <w:r>
        <w:rPr>
          <w:rStyle w:val="Appelnotedebasdep"/>
        </w:rPr>
        <w:footnoteRef/>
      </w:r>
      <w:r>
        <w:t xml:space="preserve"> </w:t>
      </w:r>
      <w:r>
        <w:tab/>
      </w:r>
      <w:r w:rsidRPr="005969F3">
        <w:rPr>
          <w:i/>
          <w:iCs/>
        </w:rPr>
        <w:t>British Columbia Report,</w:t>
      </w:r>
      <w:r w:rsidRPr="00CB4F2C">
        <w:t xml:space="preserve"> mensuel, avril 1993.</w:t>
      </w:r>
    </w:p>
  </w:footnote>
  <w:footnote w:id="84">
    <w:p w:rsidR="00B7214C" w:rsidRDefault="00B7214C" w:rsidP="00B7214C">
      <w:pPr>
        <w:pStyle w:val="Notedebasdepage"/>
      </w:pPr>
      <w:r>
        <w:rPr>
          <w:rStyle w:val="Appelnotedebasdep"/>
        </w:rPr>
        <w:footnoteRef/>
      </w:r>
      <w:r>
        <w:t xml:space="preserve"> </w:t>
      </w:r>
      <w:r>
        <w:tab/>
      </w:r>
      <w:r w:rsidRPr="005969F3">
        <w:rPr>
          <w:i/>
          <w:iCs/>
        </w:rPr>
        <w:t>Vancouver Sun,</w:t>
      </w:r>
      <w:r w:rsidRPr="00CB4F2C">
        <w:t xml:space="preserve"> 4 mars 1993.</w:t>
      </w:r>
    </w:p>
  </w:footnote>
  <w:footnote w:id="85">
    <w:p w:rsidR="00B7214C" w:rsidRDefault="00B7214C" w:rsidP="00B7214C">
      <w:pPr>
        <w:pStyle w:val="Notedebasdepage"/>
      </w:pPr>
      <w:r>
        <w:rPr>
          <w:rStyle w:val="Appelnotedebasdep"/>
        </w:rPr>
        <w:footnoteRef/>
      </w:r>
      <w:r>
        <w:t xml:space="preserve"> </w:t>
      </w:r>
      <w:r>
        <w:tab/>
      </w:r>
      <w:r w:rsidRPr="00CB4F2C">
        <w:t xml:space="preserve">H. Bodry, </w:t>
      </w:r>
      <w:r w:rsidRPr="005969F3">
        <w:rPr>
          <w:i/>
          <w:iCs/>
        </w:rPr>
        <w:t>Les Indiens dans le quartier interlope,</w:t>
      </w:r>
      <w:r w:rsidRPr="00CB4F2C">
        <w:t xml:space="preserve"> Ottawa, Bureau de reche</w:t>
      </w:r>
      <w:r w:rsidRPr="00CB4F2C">
        <w:t>r</w:t>
      </w:r>
      <w:r w:rsidRPr="00CB4F2C">
        <w:t>che scientifique sur le Nord, Ministère des Affaires indiennes et du Nord c</w:t>
      </w:r>
      <w:r w:rsidRPr="00CB4F2C">
        <w:t>a</w:t>
      </w:r>
      <w:r w:rsidRPr="00CB4F2C">
        <w:t>nadien, 1971.</w:t>
      </w:r>
    </w:p>
  </w:footnote>
  <w:footnote w:id="86">
    <w:p w:rsidR="00B7214C" w:rsidRDefault="00B7214C" w:rsidP="00B7214C">
      <w:pPr>
        <w:pStyle w:val="Notedebasdepage"/>
      </w:pPr>
      <w:r>
        <w:rPr>
          <w:rStyle w:val="Appelnotedebasdep"/>
        </w:rPr>
        <w:footnoteRef/>
      </w:r>
      <w:r>
        <w:t xml:space="preserve"> </w:t>
      </w:r>
      <w:r>
        <w:tab/>
      </w:r>
      <w:r w:rsidRPr="00CB4F2C">
        <w:t xml:space="preserve">Hawthorn, H.B., C.S. Belshaw, S.M. Jamieson, </w:t>
      </w:r>
      <w:r w:rsidRPr="005969F3">
        <w:rPr>
          <w:i/>
          <w:iCs/>
        </w:rPr>
        <w:t>The Indians of British C</w:t>
      </w:r>
      <w:r w:rsidRPr="005969F3">
        <w:rPr>
          <w:i/>
          <w:iCs/>
        </w:rPr>
        <w:t>o</w:t>
      </w:r>
      <w:r w:rsidRPr="005969F3">
        <w:rPr>
          <w:i/>
          <w:iCs/>
        </w:rPr>
        <w:t xml:space="preserve">lumbia, </w:t>
      </w:r>
      <w:r w:rsidRPr="00CB4F2C">
        <w:t>Toronto, University of Toronto Press, 1958.</w:t>
      </w:r>
    </w:p>
  </w:footnote>
  <w:footnote w:id="87">
    <w:p w:rsidR="00B7214C" w:rsidRDefault="00B7214C" w:rsidP="00B7214C">
      <w:pPr>
        <w:pStyle w:val="Notedebasdepage"/>
      </w:pPr>
      <w:r>
        <w:rPr>
          <w:rStyle w:val="Appelnotedebasdep"/>
        </w:rPr>
        <w:footnoteRef/>
      </w:r>
      <w:r>
        <w:t xml:space="preserve"> </w:t>
      </w:r>
      <w:r>
        <w:tab/>
      </w:r>
      <w:r w:rsidRPr="00CB4F2C">
        <w:t xml:space="preserve">I.A. Getty et D.B. Smith, </w:t>
      </w:r>
      <w:r w:rsidRPr="005969F3">
        <w:rPr>
          <w:i/>
          <w:iCs/>
        </w:rPr>
        <w:t>One Century Later,</w:t>
      </w:r>
      <w:r w:rsidRPr="00CB4F2C">
        <w:t xml:space="preserve"> Vancouver, University of Br</w:t>
      </w:r>
      <w:r w:rsidRPr="00CB4F2C">
        <w:t>i</w:t>
      </w:r>
      <w:r w:rsidRPr="00CB4F2C">
        <w:t>tish Columbia Press, 1977, p. 49.</w:t>
      </w:r>
    </w:p>
  </w:footnote>
  <w:footnote w:id="88">
    <w:p w:rsidR="00B7214C" w:rsidRDefault="00B7214C" w:rsidP="00B7214C">
      <w:pPr>
        <w:pStyle w:val="Notedebasdepage"/>
      </w:pPr>
      <w:r>
        <w:rPr>
          <w:rStyle w:val="Appelnotedebasdep"/>
        </w:rPr>
        <w:footnoteRef/>
      </w:r>
      <w:r>
        <w:t xml:space="preserve"> </w:t>
      </w:r>
      <w:r>
        <w:tab/>
      </w:r>
      <w:r w:rsidRPr="00CB4F2C">
        <w:t xml:space="preserve">P.A. Cumming et N.H. Mickenberg, </w:t>
      </w:r>
      <w:r w:rsidRPr="005969F3">
        <w:rPr>
          <w:i/>
          <w:iCs/>
        </w:rPr>
        <w:t>Natives Rights in Canada,</w:t>
      </w:r>
      <w:r w:rsidRPr="00CB4F2C">
        <w:t xml:space="preserve"> S</w:t>
      </w:r>
      <w:r w:rsidRPr="00CB4F2C">
        <w:t>e</w:t>
      </w:r>
      <w:r w:rsidRPr="00CB4F2C">
        <w:t>conde édition, Toronto, The Indian-Eskimo association of Canada in association with General Publishing Co. Limited, 1972.</w:t>
      </w:r>
    </w:p>
  </w:footnote>
  <w:footnote w:id="89">
    <w:p w:rsidR="00B7214C" w:rsidRDefault="00B7214C" w:rsidP="00B7214C">
      <w:pPr>
        <w:pStyle w:val="Notedebasdepage"/>
      </w:pPr>
      <w:r>
        <w:rPr>
          <w:rStyle w:val="Appelnotedebasdep"/>
        </w:rPr>
        <w:footnoteRef/>
      </w:r>
      <w:r>
        <w:t xml:space="preserve"> </w:t>
      </w:r>
      <w:r>
        <w:tab/>
      </w:r>
      <w:r w:rsidRPr="00CB4F2C">
        <w:t xml:space="preserve">« The Nature of Indian Claims », </w:t>
      </w:r>
      <w:r w:rsidRPr="005969F3">
        <w:rPr>
          <w:i/>
          <w:iCs/>
        </w:rPr>
        <w:t>Canadian Plains Studies,</w:t>
      </w:r>
      <w:r w:rsidRPr="00CB4F2C">
        <w:t xml:space="preserve"> n°</w:t>
      </w:r>
      <w:r>
        <w:t> </w:t>
      </w:r>
      <w:r w:rsidRPr="00CB4F2C">
        <w:t>8, Reg</w:t>
      </w:r>
      <w:r w:rsidRPr="00CB4F2C">
        <w:t>i</w:t>
      </w:r>
      <w:r w:rsidRPr="00CB4F2C">
        <w:t xml:space="preserve">na, Canadian Plains Research Center, 1978, </w:t>
      </w:r>
      <w:r>
        <w:t>p</w:t>
      </w:r>
      <w:r w:rsidRPr="00CB4F2C">
        <w:t>p. 5-15, congrès ln 1976.</w:t>
      </w:r>
    </w:p>
  </w:footnote>
  <w:footnote w:id="90">
    <w:p w:rsidR="00B7214C" w:rsidRDefault="00B7214C" w:rsidP="00B7214C">
      <w:pPr>
        <w:pStyle w:val="Notedebasdepage"/>
      </w:pPr>
      <w:r>
        <w:rPr>
          <w:rStyle w:val="Appelnotedebasdep"/>
        </w:rPr>
        <w:footnoteRef/>
      </w:r>
      <w:r>
        <w:t xml:space="preserve"> </w:t>
      </w:r>
      <w:r>
        <w:tab/>
      </w:r>
      <w:r w:rsidRPr="00A37731">
        <w:t xml:space="preserve">Voir son </w:t>
      </w:r>
      <w:r w:rsidRPr="008245FF">
        <w:rPr>
          <w:i/>
          <w:iCs/>
        </w:rPr>
        <w:t>Vérité et méthode : les grandes lignes d'une herméneutique phil</w:t>
      </w:r>
      <w:r w:rsidRPr="008245FF">
        <w:rPr>
          <w:i/>
          <w:iCs/>
        </w:rPr>
        <w:t>o</w:t>
      </w:r>
      <w:r w:rsidRPr="008245FF">
        <w:rPr>
          <w:i/>
          <w:iCs/>
        </w:rPr>
        <w:t>sophique,</w:t>
      </w:r>
      <w:r w:rsidRPr="00A37731">
        <w:t xml:space="preserve"> traduit de l'allemand par Étienne Sacre et révisé par Paul Ricoeur, Paris, Éditions du Seuil, 1976, p. 121. Je voudrais remercier Marie Cusson pour cette référence à Gadamer et pour l'attention qu'elle a bien voulu a</w:t>
      </w:r>
      <w:r w:rsidRPr="00A37731">
        <w:t>c</w:t>
      </w:r>
      <w:r w:rsidRPr="00A37731">
        <w:t>corder à ce texte.</w:t>
      </w:r>
    </w:p>
  </w:footnote>
  <w:footnote w:id="91">
    <w:p w:rsidR="00B7214C" w:rsidRDefault="00B7214C" w:rsidP="00B7214C">
      <w:pPr>
        <w:pStyle w:val="Notedebasdepage"/>
      </w:pPr>
      <w:r>
        <w:rPr>
          <w:rStyle w:val="Appelnotedebasdep"/>
        </w:rPr>
        <w:footnoteRef/>
      </w:r>
      <w:r>
        <w:t xml:space="preserve"> </w:t>
      </w:r>
      <w:r>
        <w:tab/>
      </w:r>
      <w:r w:rsidRPr="00A37731">
        <w:t xml:space="preserve">Sur cette histoire voir Jürgen Habermas, </w:t>
      </w:r>
      <w:r w:rsidRPr="008245FF">
        <w:rPr>
          <w:i/>
          <w:iCs/>
        </w:rPr>
        <w:t>La pensée postmétaphysique : E</w:t>
      </w:r>
      <w:r w:rsidRPr="008245FF">
        <w:rPr>
          <w:i/>
          <w:iCs/>
        </w:rPr>
        <w:t>s</w:t>
      </w:r>
      <w:r w:rsidRPr="008245FF">
        <w:rPr>
          <w:i/>
          <w:iCs/>
        </w:rPr>
        <w:t>sais philosophiques,</w:t>
      </w:r>
      <w:r w:rsidRPr="00A37731">
        <w:t xml:space="preserve"> traduit de l'allemand par Rainer Roschlitz, Paris, A</w:t>
      </w:r>
      <w:r w:rsidRPr="00A37731">
        <w:t>r</w:t>
      </w:r>
      <w:r w:rsidRPr="00A37731">
        <w:t>mand Colin, 1993,</w:t>
      </w:r>
      <w:r>
        <w:t xml:space="preserve"> </w:t>
      </w:r>
      <w:r w:rsidRPr="00A37731">
        <w:t>p</w:t>
      </w:r>
      <w:r>
        <w:t>p</w:t>
      </w:r>
      <w:r w:rsidRPr="00A37731">
        <w:t>. 11-61.</w:t>
      </w:r>
    </w:p>
  </w:footnote>
  <w:footnote w:id="92">
    <w:p w:rsidR="00B7214C" w:rsidRDefault="00B7214C" w:rsidP="00B7214C">
      <w:pPr>
        <w:pStyle w:val="Notedebasdepage"/>
      </w:pPr>
      <w:r>
        <w:rPr>
          <w:rStyle w:val="Appelnotedebasdep"/>
        </w:rPr>
        <w:footnoteRef/>
      </w:r>
      <w:r>
        <w:t xml:space="preserve"> </w:t>
      </w:r>
      <w:r>
        <w:tab/>
      </w:r>
      <w:r w:rsidRPr="00A37731">
        <w:t>Voir « Modernity, Postmodernity and Ethics : An Inte</w:t>
      </w:r>
      <w:r w:rsidRPr="00A37731">
        <w:t>r</w:t>
      </w:r>
      <w:r w:rsidRPr="00A37731">
        <w:t xml:space="preserve">view with Zygmut Bauman », </w:t>
      </w:r>
      <w:r w:rsidRPr="008245FF">
        <w:rPr>
          <w:i/>
          <w:iCs/>
        </w:rPr>
        <w:t>Telos,</w:t>
      </w:r>
      <w:r w:rsidRPr="00A37731">
        <w:t xml:space="preserve"> n°</w:t>
      </w:r>
      <w:r>
        <w:t> </w:t>
      </w:r>
      <w:r w:rsidRPr="00A37731">
        <w:t>93,</w:t>
      </w:r>
      <w:r>
        <w:t xml:space="preserve"> </w:t>
      </w:r>
      <w:r w:rsidRPr="00A37731">
        <w:t>1992, p. 134.</w:t>
      </w:r>
    </w:p>
  </w:footnote>
  <w:footnote w:id="93">
    <w:p w:rsidR="00B7214C" w:rsidRDefault="00B7214C" w:rsidP="00B7214C">
      <w:pPr>
        <w:pStyle w:val="Notedebasdepage"/>
      </w:pPr>
      <w:r>
        <w:rPr>
          <w:rStyle w:val="Appelnotedebasdep"/>
        </w:rPr>
        <w:footnoteRef/>
      </w:r>
      <w:r>
        <w:t xml:space="preserve"> </w:t>
      </w:r>
      <w:r>
        <w:tab/>
      </w:r>
      <w:r w:rsidRPr="00A37731">
        <w:t xml:space="preserve">Pour une introduction à ses récents travaux voir Jean-Marc Ferry, </w:t>
      </w:r>
      <w:r w:rsidRPr="008245FF">
        <w:rPr>
          <w:i/>
          <w:iCs/>
        </w:rPr>
        <w:t>Habe</w:t>
      </w:r>
      <w:r w:rsidRPr="008245FF">
        <w:rPr>
          <w:i/>
          <w:iCs/>
        </w:rPr>
        <w:t>r</w:t>
      </w:r>
      <w:r w:rsidRPr="008245FF">
        <w:rPr>
          <w:i/>
          <w:iCs/>
        </w:rPr>
        <w:t>mas, L’éthique de la communication,</w:t>
      </w:r>
      <w:r w:rsidRPr="00A37731">
        <w:t xml:space="preserve"> Paris, Presses univers</w:t>
      </w:r>
      <w:r w:rsidRPr="00A37731">
        <w:t>i</w:t>
      </w:r>
      <w:r w:rsidRPr="00A37731">
        <w:t xml:space="preserve">taires de France, 1987 ; David Rasmus- sen, </w:t>
      </w:r>
      <w:r w:rsidRPr="008245FF">
        <w:rPr>
          <w:i/>
          <w:iCs/>
        </w:rPr>
        <w:t>Reading Habermas,</w:t>
      </w:r>
      <w:r w:rsidRPr="00A37731">
        <w:t xml:space="preserve"> Lo</w:t>
      </w:r>
      <w:r w:rsidRPr="00A37731">
        <w:t>n</w:t>
      </w:r>
      <w:r w:rsidRPr="00A37731">
        <w:t xml:space="preserve">dres, Basil Blackwell, 1990 ; et Steven K. White, </w:t>
      </w:r>
      <w:r w:rsidRPr="008245FF">
        <w:rPr>
          <w:i/>
          <w:iCs/>
        </w:rPr>
        <w:t>The Recent Work of Jürgen Habermas,</w:t>
      </w:r>
      <w:r w:rsidRPr="00A37731">
        <w:t xml:space="preserve"> Cambri</w:t>
      </w:r>
      <w:r w:rsidRPr="00A37731">
        <w:t>d</w:t>
      </w:r>
      <w:r w:rsidRPr="00A37731">
        <w:t>ge, Cambridge University Press, 1987.</w:t>
      </w:r>
    </w:p>
  </w:footnote>
  <w:footnote w:id="94">
    <w:p w:rsidR="00B7214C" w:rsidRDefault="00B7214C" w:rsidP="00B7214C">
      <w:pPr>
        <w:pStyle w:val="Notedebasdepage"/>
      </w:pPr>
      <w:r>
        <w:rPr>
          <w:rStyle w:val="Appelnotedebasdep"/>
        </w:rPr>
        <w:footnoteRef/>
      </w:r>
      <w:r>
        <w:t xml:space="preserve"> </w:t>
      </w:r>
      <w:r>
        <w:tab/>
      </w:r>
      <w:r w:rsidRPr="00A37731">
        <w:t xml:space="preserve">Pour une introduction au travail du Bakhtine voir T. Todorov, </w:t>
      </w:r>
      <w:r w:rsidRPr="008245FF">
        <w:rPr>
          <w:i/>
          <w:iCs/>
        </w:rPr>
        <w:t>Mikhaïl Bak</w:t>
      </w:r>
      <w:r w:rsidRPr="008245FF">
        <w:rPr>
          <w:i/>
          <w:iCs/>
        </w:rPr>
        <w:t>h</w:t>
      </w:r>
      <w:r w:rsidRPr="008245FF">
        <w:rPr>
          <w:i/>
          <w:iCs/>
        </w:rPr>
        <w:t>tine, le principe dialogique, suivi des écrits du cercle de Bakhtine,</w:t>
      </w:r>
      <w:r w:rsidRPr="00A37731">
        <w:t xml:space="preserve"> Paris, Seuil, 1981 ; Katerina Clark et Michael Holquist, </w:t>
      </w:r>
      <w:r w:rsidRPr="008245FF">
        <w:rPr>
          <w:i/>
          <w:iCs/>
        </w:rPr>
        <w:t>Mikhaïl Bakhtine,</w:t>
      </w:r>
      <w:r w:rsidRPr="00A37731">
        <w:t xml:space="preserve"> Ca</w:t>
      </w:r>
      <w:r w:rsidRPr="00A37731">
        <w:t>m</w:t>
      </w:r>
      <w:r w:rsidRPr="00A37731">
        <w:t>bridge, Harvard University Press, 1984 ; Gary Saul Morson et Caryl Eme</w:t>
      </w:r>
      <w:r w:rsidRPr="00A37731">
        <w:t>r</w:t>
      </w:r>
      <w:r w:rsidRPr="00A37731">
        <w:t xml:space="preserve">son, </w:t>
      </w:r>
      <w:r w:rsidRPr="008245FF">
        <w:rPr>
          <w:i/>
          <w:iCs/>
        </w:rPr>
        <w:t xml:space="preserve">Mikhaïl Bakhtine : The Création of a Prosaics, </w:t>
      </w:r>
      <w:r w:rsidRPr="00A37731">
        <w:t>California, Standford University Press, 1990.</w:t>
      </w:r>
    </w:p>
  </w:footnote>
  <w:footnote w:id="95">
    <w:p w:rsidR="00B7214C" w:rsidRDefault="00B7214C" w:rsidP="00B7214C">
      <w:pPr>
        <w:pStyle w:val="Notedebasdepage"/>
      </w:pPr>
      <w:r>
        <w:rPr>
          <w:rStyle w:val="Appelnotedebasdep"/>
        </w:rPr>
        <w:footnoteRef/>
      </w:r>
      <w:r>
        <w:t xml:space="preserve"> </w:t>
      </w:r>
      <w:r>
        <w:tab/>
      </w:r>
      <w:r w:rsidRPr="00A37731">
        <w:t>L'un des premiers essais de Bakhtine sur ce thème écrit autour de 1920 s'a</w:t>
      </w:r>
      <w:r w:rsidRPr="00A37731">
        <w:t>p</w:t>
      </w:r>
      <w:r w:rsidRPr="00A37731">
        <w:t xml:space="preserve">pelle « Pour une philosophie de l'acte ». </w:t>
      </w:r>
      <w:r>
        <w:t>Il</w:t>
      </w:r>
      <w:r w:rsidRPr="00A37731">
        <w:t xml:space="preserve"> n'a pas été encore traduit du ru</w:t>
      </w:r>
      <w:r w:rsidRPr="00A37731">
        <w:t>s</w:t>
      </w:r>
      <w:r w:rsidRPr="00A37731">
        <w:t xml:space="preserve">se. Voir la version originale dans </w:t>
      </w:r>
      <w:r w:rsidRPr="008245FF">
        <w:rPr>
          <w:i/>
          <w:iCs/>
        </w:rPr>
        <w:t>Philosophy and Soci</w:t>
      </w:r>
      <w:r w:rsidRPr="008245FF">
        <w:rPr>
          <w:i/>
          <w:iCs/>
        </w:rPr>
        <w:t>o</w:t>
      </w:r>
      <w:r w:rsidRPr="008245FF">
        <w:rPr>
          <w:i/>
          <w:iCs/>
        </w:rPr>
        <w:t xml:space="preserve">logy of Science : Yearbook 1984-1985, </w:t>
      </w:r>
      <w:r w:rsidRPr="00A37731">
        <w:t>Moscow, Academy of Scie</w:t>
      </w:r>
      <w:r w:rsidRPr="00A37731">
        <w:t>n</w:t>
      </w:r>
      <w:r w:rsidRPr="00A37731">
        <w:t>ces of the USSR, p</w:t>
      </w:r>
      <w:r>
        <w:t>p</w:t>
      </w:r>
      <w:r w:rsidRPr="00A37731">
        <w:t>. 81-161.</w:t>
      </w:r>
    </w:p>
  </w:footnote>
  <w:footnote w:id="96">
    <w:p w:rsidR="00B7214C" w:rsidRDefault="00B7214C" w:rsidP="00B7214C">
      <w:pPr>
        <w:pStyle w:val="Notedebasdepage"/>
      </w:pPr>
      <w:r>
        <w:rPr>
          <w:rStyle w:val="Appelnotedebasdep"/>
        </w:rPr>
        <w:footnoteRef/>
      </w:r>
      <w:r>
        <w:t xml:space="preserve"> </w:t>
      </w:r>
      <w:r>
        <w:tab/>
      </w:r>
      <w:r w:rsidRPr="00A37731">
        <w:t xml:space="preserve">Voir M. Bakhtine, </w:t>
      </w:r>
      <w:r w:rsidRPr="008245FF">
        <w:rPr>
          <w:i/>
          <w:iCs/>
        </w:rPr>
        <w:t>L'œuvre de François Rabelais et la culture populaire au Moyen Age et sous la Renaissance,</w:t>
      </w:r>
      <w:r w:rsidRPr="00A37731">
        <w:t xml:space="preserve"> 1965, traduit du ru</w:t>
      </w:r>
      <w:r w:rsidRPr="00A37731">
        <w:t>s</w:t>
      </w:r>
      <w:r w:rsidRPr="00A37731">
        <w:t>se par Andrée Robel, Paris, Gallimard, 1970, 471 p.</w:t>
      </w:r>
    </w:p>
  </w:footnote>
  <w:footnote w:id="97">
    <w:p w:rsidR="00B7214C" w:rsidRDefault="00B7214C" w:rsidP="00B7214C">
      <w:pPr>
        <w:pStyle w:val="Notedebasdepage"/>
      </w:pPr>
      <w:r>
        <w:rPr>
          <w:rStyle w:val="Appelnotedebasdep"/>
        </w:rPr>
        <w:footnoteRef/>
      </w:r>
      <w:r>
        <w:t xml:space="preserve"> </w:t>
      </w:r>
      <w:r>
        <w:tab/>
      </w:r>
      <w:r w:rsidRPr="00A37731">
        <w:t xml:space="preserve">Voir Jürgen Habermas, </w:t>
      </w:r>
      <w:r w:rsidRPr="008245FF">
        <w:rPr>
          <w:i/>
          <w:iCs/>
        </w:rPr>
        <w:t>De l'éthique de la discussion,</w:t>
      </w:r>
      <w:r w:rsidRPr="00A37731">
        <w:t xml:space="preserve"> tr</w:t>
      </w:r>
      <w:r w:rsidRPr="00A37731">
        <w:t>a</w:t>
      </w:r>
      <w:r w:rsidRPr="00A37731">
        <w:t>duit de l'allemand par Mark Hunyadi, Paris, Éditions du Cerf, 1992, p. 30.</w:t>
      </w:r>
    </w:p>
  </w:footnote>
  <w:footnote w:id="98">
    <w:p w:rsidR="00B7214C" w:rsidRDefault="00B7214C" w:rsidP="00B7214C">
      <w:pPr>
        <w:pStyle w:val="Notedebasdepage"/>
      </w:pPr>
      <w:r>
        <w:rPr>
          <w:rStyle w:val="Appelnotedebasdep"/>
        </w:rPr>
        <w:footnoteRef/>
      </w:r>
      <w:r>
        <w:t xml:space="preserve"> </w:t>
      </w:r>
      <w:r>
        <w:tab/>
      </w:r>
      <w:r w:rsidRPr="00A37731">
        <w:t xml:space="preserve">M. Bakhtine, </w:t>
      </w:r>
      <w:r w:rsidRPr="008245FF">
        <w:rPr>
          <w:i/>
          <w:iCs/>
        </w:rPr>
        <w:t>Esthétique de la création verbale,</w:t>
      </w:r>
      <w:r w:rsidRPr="00A37731">
        <w:t xml:space="preserve"> traduit par A. Aucouturier, Paris, Gallimard, 1984, p. 363.</w:t>
      </w:r>
    </w:p>
  </w:footnote>
  <w:footnote w:id="99">
    <w:p w:rsidR="00B7214C" w:rsidRDefault="00B7214C" w:rsidP="00B7214C">
      <w:pPr>
        <w:pStyle w:val="Notedebasdepage"/>
      </w:pPr>
      <w:r>
        <w:rPr>
          <w:rStyle w:val="Appelnotedebasdep"/>
        </w:rPr>
        <w:footnoteRef/>
      </w:r>
      <w:r>
        <w:t xml:space="preserve"> </w:t>
      </w:r>
      <w:r>
        <w:tab/>
      </w:r>
      <w:r w:rsidRPr="00A37731">
        <w:t xml:space="preserve">Habermas, </w:t>
      </w:r>
      <w:r w:rsidRPr="008245FF">
        <w:rPr>
          <w:i/>
          <w:iCs/>
        </w:rPr>
        <w:t>Morale et communication : Conscience morale et activité co</w:t>
      </w:r>
      <w:r w:rsidRPr="008245FF">
        <w:rPr>
          <w:i/>
          <w:iCs/>
        </w:rPr>
        <w:t>m</w:t>
      </w:r>
      <w:r w:rsidRPr="008245FF">
        <w:rPr>
          <w:i/>
          <w:iCs/>
        </w:rPr>
        <w:t xml:space="preserve">municationnelle, </w:t>
      </w:r>
      <w:r w:rsidRPr="00A37731">
        <w:t>traduit de l'allemand par Christian Bo</w:t>
      </w:r>
      <w:r w:rsidRPr="00A37731">
        <w:t>u</w:t>
      </w:r>
      <w:r w:rsidRPr="00A37731">
        <w:t>chindhomme, Paris, Éditions du Cerf, 1986, p. 79.</w:t>
      </w:r>
    </w:p>
  </w:footnote>
  <w:footnote w:id="100">
    <w:p w:rsidR="00B7214C" w:rsidRDefault="00B7214C" w:rsidP="00B7214C">
      <w:pPr>
        <w:pStyle w:val="Notedebasdepage"/>
      </w:pPr>
      <w:r>
        <w:rPr>
          <w:rStyle w:val="Appelnotedebasdep"/>
        </w:rPr>
        <w:footnoteRef/>
      </w:r>
      <w:r>
        <w:t xml:space="preserve"> </w:t>
      </w:r>
      <w:r>
        <w:tab/>
      </w:r>
      <w:r w:rsidRPr="00A37731">
        <w:t xml:space="preserve">« Kant et Darwin, le projet d'Habermas », </w:t>
      </w:r>
      <w:r w:rsidRPr="008245FF">
        <w:rPr>
          <w:i/>
          <w:iCs/>
        </w:rPr>
        <w:t>Magazine littéraire,</w:t>
      </w:r>
      <w:r w:rsidRPr="00A37731">
        <w:t xml:space="preserve"> n° 309, avril 1993, p. 75.</w:t>
      </w:r>
    </w:p>
  </w:footnote>
  <w:footnote w:id="101">
    <w:p w:rsidR="00B7214C" w:rsidRDefault="00B7214C" w:rsidP="00B7214C">
      <w:pPr>
        <w:pStyle w:val="Notedebasdepage"/>
      </w:pPr>
      <w:r>
        <w:rPr>
          <w:rStyle w:val="Appelnotedebasdep"/>
        </w:rPr>
        <w:footnoteRef/>
      </w:r>
      <w:r>
        <w:t xml:space="preserve"> </w:t>
      </w:r>
      <w:r>
        <w:tab/>
      </w:r>
      <w:r w:rsidRPr="00A37731">
        <w:t xml:space="preserve">Habermas, </w:t>
      </w:r>
      <w:r w:rsidRPr="008245FF">
        <w:rPr>
          <w:i/>
          <w:iCs/>
        </w:rPr>
        <w:t>op. cit.,</w:t>
      </w:r>
      <w:r w:rsidRPr="00A37731">
        <w:t xml:space="preserve"> p. 79.</w:t>
      </w:r>
    </w:p>
  </w:footnote>
  <w:footnote w:id="102">
    <w:p w:rsidR="00B7214C" w:rsidRDefault="00B7214C" w:rsidP="00B7214C">
      <w:pPr>
        <w:pStyle w:val="Notedebasdepage"/>
      </w:pPr>
      <w:r>
        <w:rPr>
          <w:rStyle w:val="Appelnotedebasdep"/>
        </w:rPr>
        <w:footnoteRef/>
      </w:r>
      <w:r>
        <w:t xml:space="preserve"> </w:t>
      </w:r>
      <w:r>
        <w:tab/>
      </w:r>
      <w:r w:rsidRPr="00A37731">
        <w:t xml:space="preserve">Habermas, </w:t>
      </w:r>
      <w:r w:rsidRPr="008245FF">
        <w:rPr>
          <w:i/>
          <w:iCs/>
        </w:rPr>
        <w:t>op. cit.,</w:t>
      </w:r>
      <w:r w:rsidRPr="00A37731">
        <w:t xml:space="preserve"> p</w:t>
      </w:r>
      <w:r>
        <w:t>p</w:t>
      </w:r>
      <w:r w:rsidRPr="00A37731">
        <w:t>. 79-80.</w:t>
      </w:r>
    </w:p>
  </w:footnote>
  <w:footnote w:id="103">
    <w:p w:rsidR="00B7214C" w:rsidRDefault="00B7214C" w:rsidP="00B7214C">
      <w:pPr>
        <w:pStyle w:val="Notedebasdepage"/>
      </w:pPr>
      <w:r>
        <w:rPr>
          <w:rStyle w:val="Appelnotedebasdep"/>
        </w:rPr>
        <w:footnoteRef/>
      </w:r>
      <w:r>
        <w:t xml:space="preserve"> </w:t>
      </w:r>
      <w:r>
        <w:tab/>
      </w:r>
      <w:r w:rsidRPr="00A37731">
        <w:t xml:space="preserve">Jürgen Habermas, </w:t>
      </w:r>
      <w:r w:rsidRPr="008245FF">
        <w:rPr>
          <w:i/>
          <w:iCs/>
        </w:rPr>
        <w:t>Théorie de l'agir communicationnel,</w:t>
      </w:r>
      <w:r w:rsidRPr="00A37731">
        <w:t xml:space="preserve"> tome 1, traduit par Jean-Marc Ferry et Jean-Louis Schlegel, Paris, Fayard, 1987, p. 84.</w:t>
      </w:r>
    </w:p>
  </w:footnote>
  <w:footnote w:id="104">
    <w:p w:rsidR="00B7214C" w:rsidRDefault="00B7214C" w:rsidP="00B7214C">
      <w:pPr>
        <w:pStyle w:val="Notedebasdepage"/>
      </w:pPr>
      <w:r>
        <w:rPr>
          <w:rStyle w:val="Appelnotedebasdep"/>
        </w:rPr>
        <w:footnoteRef/>
      </w:r>
      <w:r>
        <w:t xml:space="preserve"> </w:t>
      </w:r>
      <w:r>
        <w:tab/>
      </w:r>
      <w:r w:rsidRPr="00A37731">
        <w:t xml:space="preserve">Jürgen Habermas, « Questions et contre questions », </w:t>
      </w:r>
      <w:r w:rsidRPr="008245FF">
        <w:rPr>
          <w:i/>
          <w:iCs/>
        </w:rPr>
        <w:t>Critique,</w:t>
      </w:r>
      <w:r w:rsidRPr="00A37731">
        <w:t xml:space="preserve"> n</w:t>
      </w:r>
      <w:r>
        <w:t>os </w:t>
      </w:r>
      <w:r w:rsidRPr="00A37731">
        <w:t>493-494, 1988, p. 480.</w:t>
      </w:r>
    </w:p>
  </w:footnote>
  <w:footnote w:id="105">
    <w:p w:rsidR="00B7214C" w:rsidRDefault="00B7214C" w:rsidP="00B7214C">
      <w:pPr>
        <w:pStyle w:val="Notedebasdepage"/>
      </w:pPr>
      <w:r>
        <w:rPr>
          <w:rStyle w:val="Appelnotedebasdep"/>
        </w:rPr>
        <w:footnoteRef/>
      </w:r>
      <w:r>
        <w:t xml:space="preserve"> </w:t>
      </w:r>
      <w:r>
        <w:tab/>
      </w:r>
      <w:r w:rsidRPr="00A37731">
        <w:t xml:space="preserve">J'ai traité cette question dans « The Frankfurt School » </w:t>
      </w:r>
      <w:r w:rsidRPr="008245FF">
        <w:rPr>
          <w:i/>
          <w:iCs/>
        </w:rPr>
        <w:t>Encyclop</w:t>
      </w:r>
      <w:r w:rsidRPr="008245FF">
        <w:rPr>
          <w:i/>
          <w:iCs/>
        </w:rPr>
        <w:t>e</w:t>
      </w:r>
      <w:r w:rsidRPr="008245FF">
        <w:rPr>
          <w:i/>
          <w:iCs/>
        </w:rPr>
        <w:t>dia of Contemporary Literary Theory : Approaches, Scholars, Ternis,</w:t>
      </w:r>
      <w:r w:rsidRPr="00A37731">
        <w:t xml:space="preserve"> Irena R. Makaryk</w:t>
      </w:r>
      <w:r>
        <w:t xml:space="preserve"> (dir.), Toronto, Uni</w:t>
      </w:r>
      <w:r w:rsidRPr="00A37731">
        <w:t>ve</w:t>
      </w:r>
      <w:r w:rsidRPr="00A37731">
        <w:t>r</w:t>
      </w:r>
      <w:r w:rsidRPr="00A37731">
        <w:t>sity of Toronto Press, 1993, p</w:t>
      </w:r>
      <w:r>
        <w:t>p</w:t>
      </w:r>
      <w:r w:rsidRPr="00A37731">
        <w:t>. 60-64 ; et dans « Communication et esthétique culturelle dans deux sociologies crit</w:t>
      </w:r>
      <w:r w:rsidRPr="00A37731">
        <w:t>i</w:t>
      </w:r>
      <w:r w:rsidRPr="00A37731">
        <w:t xml:space="preserve">ques : J. Habermas et M. Rioux », </w:t>
      </w:r>
      <w:r w:rsidRPr="008245FF">
        <w:rPr>
          <w:i/>
          <w:iCs/>
        </w:rPr>
        <w:t>Sociologie et soci</w:t>
      </w:r>
      <w:r w:rsidRPr="008245FF">
        <w:rPr>
          <w:i/>
          <w:iCs/>
        </w:rPr>
        <w:t>é</w:t>
      </w:r>
      <w:r w:rsidRPr="008245FF">
        <w:rPr>
          <w:i/>
          <w:iCs/>
        </w:rPr>
        <w:t>tés,</w:t>
      </w:r>
      <w:r w:rsidRPr="00A37731">
        <w:t xml:space="preserve"> 1985, vol. XVII, n°</w:t>
      </w:r>
      <w:r>
        <w:t> </w:t>
      </w:r>
      <w:r w:rsidRPr="00A37731">
        <w:t>2, p</w:t>
      </w:r>
      <w:r>
        <w:t>p</w:t>
      </w:r>
      <w:r w:rsidRPr="00A37731">
        <w:t>. 13-27.</w:t>
      </w:r>
    </w:p>
  </w:footnote>
  <w:footnote w:id="106">
    <w:p w:rsidR="00B7214C" w:rsidRDefault="00B7214C" w:rsidP="00B7214C">
      <w:pPr>
        <w:pStyle w:val="Notedebasdepage"/>
      </w:pPr>
      <w:r>
        <w:rPr>
          <w:rStyle w:val="Appelnotedebasdep"/>
        </w:rPr>
        <w:footnoteRef/>
      </w:r>
      <w:r>
        <w:t xml:space="preserve"> </w:t>
      </w:r>
      <w:r>
        <w:tab/>
      </w:r>
      <w:r w:rsidRPr="00A37731">
        <w:t xml:space="preserve">Jürgen Habermas, </w:t>
      </w:r>
      <w:r w:rsidRPr="008245FF">
        <w:rPr>
          <w:i/>
          <w:iCs/>
        </w:rPr>
        <w:t>Le discours philosophique de la modernité,</w:t>
      </w:r>
      <w:r w:rsidRPr="00A37731">
        <w:t xml:space="preserve"> traduit par Christian Bouchindhomme et Rainer Roschlitz, Paris, Ga</w:t>
      </w:r>
      <w:r w:rsidRPr="00A37731">
        <w:t>l</w:t>
      </w:r>
      <w:r w:rsidRPr="00A37731">
        <w:t>limard, 1988, p. 155.</w:t>
      </w:r>
    </w:p>
  </w:footnote>
  <w:footnote w:id="107">
    <w:p w:rsidR="00B7214C" w:rsidRDefault="00B7214C" w:rsidP="00B7214C">
      <w:pPr>
        <w:pStyle w:val="Notedebasdepage"/>
      </w:pPr>
      <w:r>
        <w:rPr>
          <w:rStyle w:val="Appelnotedebasdep"/>
        </w:rPr>
        <w:footnoteRef/>
      </w:r>
      <w:r>
        <w:t xml:space="preserve"> </w:t>
      </w:r>
      <w:r>
        <w:tab/>
      </w:r>
      <w:r w:rsidRPr="00A37731">
        <w:t>Comme Todorov a dit dans son résumé de la problémat</w:t>
      </w:r>
      <w:r w:rsidRPr="00A37731">
        <w:t>i</w:t>
      </w:r>
      <w:r w:rsidRPr="00A37731">
        <w:t>que de Bakhtine : « le langage et la pensée, constitutifs de l'homme, sont nécessairement inte</w:t>
      </w:r>
      <w:r w:rsidRPr="00A37731">
        <w:t>r</w:t>
      </w:r>
      <w:r w:rsidRPr="00A37731">
        <w:t xml:space="preserve">subjectifs », Tzvetan Todorov, « Préface », dans Mikhaïl Bakhtine, </w:t>
      </w:r>
      <w:r w:rsidRPr="008245FF">
        <w:rPr>
          <w:i/>
          <w:iCs/>
        </w:rPr>
        <w:t>Esthét</w:t>
      </w:r>
      <w:r w:rsidRPr="008245FF">
        <w:rPr>
          <w:i/>
          <w:iCs/>
        </w:rPr>
        <w:t>i</w:t>
      </w:r>
      <w:r w:rsidRPr="008245FF">
        <w:rPr>
          <w:i/>
          <w:iCs/>
        </w:rPr>
        <w:t xml:space="preserve">que de la création verbale, </w:t>
      </w:r>
      <w:r w:rsidRPr="00A37731">
        <w:t>traduit du russe par Alfreda Aucouturier, Paris, Gallimard, 1984, p. 18.</w:t>
      </w:r>
    </w:p>
  </w:footnote>
  <w:footnote w:id="108">
    <w:p w:rsidR="00B7214C" w:rsidRDefault="00B7214C" w:rsidP="00B7214C">
      <w:pPr>
        <w:pStyle w:val="Notedebasdepage"/>
      </w:pPr>
      <w:r>
        <w:rPr>
          <w:rStyle w:val="Appelnotedebasdep"/>
        </w:rPr>
        <w:footnoteRef/>
      </w:r>
      <w:r>
        <w:t xml:space="preserve"> </w:t>
      </w:r>
      <w:r>
        <w:tab/>
      </w:r>
      <w:r w:rsidRPr="00A37731">
        <w:t xml:space="preserve">Mikhaïl Bakhtine, </w:t>
      </w:r>
      <w:r w:rsidRPr="008245FF">
        <w:rPr>
          <w:i/>
          <w:iCs/>
        </w:rPr>
        <w:t>op. cit.,</w:t>
      </w:r>
      <w:r w:rsidRPr="00A37731">
        <w:t xml:space="preserve"> p. 38.</w:t>
      </w:r>
    </w:p>
  </w:footnote>
  <w:footnote w:id="109">
    <w:p w:rsidR="00B7214C" w:rsidRDefault="00B7214C" w:rsidP="00B7214C">
      <w:pPr>
        <w:pStyle w:val="Notedebasdepage"/>
      </w:pPr>
      <w:r>
        <w:rPr>
          <w:rStyle w:val="Appelnotedebasdep"/>
        </w:rPr>
        <w:footnoteRef/>
      </w:r>
      <w:r>
        <w:t xml:space="preserve"> </w:t>
      </w:r>
      <w:r>
        <w:tab/>
      </w:r>
      <w:r w:rsidRPr="00A37731">
        <w:t xml:space="preserve">Bakhtine, </w:t>
      </w:r>
      <w:r w:rsidRPr="008245FF">
        <w:rPr>
          <w:i/>
          <w:iCs/>
        </w:rPr>
        <w:t>op. cit.</w:t>
      </w:r>
    </w:p>
  </w:footnote>
  <w:footnote w:id="110">
    <w:p w:rsidR="00B7214C" w:rsidRDefault="00B7214C" w:rsidP="00B7214C">
      <w:pPr>
        <w:pStyle w:val="Notedebasdepage"/>
      </w:pPr>
      <w:r>
        <w:rPr>
          <w:rStyle w:val="Appelnotedebasdep"/>
        </w:rPr>
        <w:footnoteRef/>
      </w:r>
      <w:r>
        <w:t xml:space="preserve"> </w:t>
      </w:r>
      <w:r>
        <w:tab/>
      </w:r>
      <w:r w:rsidRPr="00A37731">
        <w:t xml:space="preserve">Gary Saul Morson et Caryl Emerson, </w:t>
      </w:r>
      <w:r w:rsidRPr="008245FF">
        <w:rPr>
          <w:i/>
          <w:iCs/>
        </w:rPr>
        <w:t>Mikhaïl Bakhtine : The Cr</w:t>
      </w:r>
      <w:r>
        <w:rPr>
          <w:i/>
          <w:iCs/>
        </w:rPr>
        <w:t>e</w:t>
      </w:r>
      <w:r w:rsidRPr="008245FF">
        <w:rPr>
          <w:i/>
          <w:iCs/>
        </w:rPr>
        <w:t>a</w:t>
      </w:r>
      <w:r w:rsidRPr="008245FF">
        <w:rPr>
          <w:i/>
          <w:iCs/>
        </w:rPr>
        <w:t xml:space="preserve">tion of a Prosaics, </w:t>
      </w:r>
      <w:r w:rsidRPr="00A37731">
        <w:t>California, Stanford University Press, 1990, p. 186.</w:t>
      </w:r>
    </w:p>
  </w:footnote>
  <w:footnote w:id="111">
    <w:p w:rsidR="00B7214C" w:rsidRDefault="00B7214C" w:rsidP="00B7214C">
      <w:pPr>
        <w:pStyle w:val="Notedebasdepage"/>
      </w:pPr>
      <w:r>
        <w:rPr>
          <w:rStyle w:val="Appelnotedebasdep"/>
        </w:rPr>
        <w:footnoteRef/>
      </w:r>
      <w:r>
        <w:t xml:space="preserve"> </w:t>
      </w:r>
      <w:r>
        <w:tab/>
      </w:r>
      <w:r w:rsidRPr="002A6843">
        <w:t>Esthétique de la création verbale,</w:t>
      </w:r>
      <w:r w:rsidRPr="002A6843">
        <w:rPr>
          <w:iCs/>
        </w:rPr>
        <w:t xml:space="preserve"> p. 35.</w:t>
      </w:r>
    </w:p>
  </w:footnote>
  <w:footnote w:id="112">
    <w:p w:rsidR="00B7214C" w:rsidRDefault="00B7214C" w:rsidP="00B7214C">
      <w:pPr>
        <w:pStyle w:val="Notedebasdepage"/>
      </w:pPr>
      <w:r>
        <w:rPr>
          <w:rStyle w:val="Appelnotedebasdep"/>
        </w:rPr>
        <w:footnoteRef/>
      </w:r>
      <w:r>
        <w:t xml:space="preserve"> </w:t>
      </w:r>
      <w:r>
        <w:tab/>
      </w:r>
      <w:r w:rsidRPr="00A37731">
        <w:t xml:space="preserve">Les traducteurs français de </w:t>
      </w:r>
      <w:r w:rsidRPr="008245FF">
        <w:rPr>
          <w:i/>
          <w:iCs/>
        </w:rPr>
        <w:t>Esthétique de la création verbale</w:t>
      </w:r>
      <w:r w:rsidRPr="00A37731">
        <w:t xml:space="preserve"> (p. 31) ont traduit le terme transgrédient par celui de transcendant. Todorov retient le terme « transgredient » dans sa préface à </w:t>
      </w:r>
      <w:r w:rsidRPr="008245FF">
        <w:rPr>
          <w:i/>
          <w:iCs/>
        </w:rPr>
        <w:t>l'Esthét</w:t>
      </w:r>
      <w:r w:rsidRPr="008245FF">
        <w:rPr>
          <w:i/>
          <w:iCs/>
        </w:rPr>
        <w:t>i</w:t>
      </w:r>
      <w:r w:rsidRPr="008245FF">
        <w:rPr>
          <w:i/>
          <w:iCs/>
        </w:rPr>
        <w:t>que de la création verbale</w:t>
      </w:r>
      <w:r w:rsidRPr="00A37731">
        <w:t xml:space="preserve"> (p. 12). Il le définit comme étant les él</w:t>
      </w:r>
      <w:r w:rsidRPr="00A37731">
        <w:t>é</w:t>
      </w:r>
      <w:r w:rsidRPr="00A37731">
        <w:t>ments à l'extérieur de la conscience « telle qu'elle se pense de l'int</w:t>
      </w:r>
      <w:r w:rsidRPr="00A37731">
        <w:t>é</w:t>
      </w:r>
      <w:r w:rsidRPr="00A37731">
        <w:t>rieur mais nécessaire à sa constitution comme un tout ». Le transgr</w:t>
      </w:r>
      <w:r w:rsidRPr="00A37731">
        <w:t>é</w:t>
      </w:r>
      <w:r w:rsidRPr="00A37731">
        <w:t>dient veut dire d'abord l'invers de l'immanence au sens philosophique du terme mais il n'est pas au-delà de l'expérience. J'ai choisi de garder le terme « transgrédient » puisqu'il me semble nier le sens ka</w:t>
      </w:r>
      <w:r w:rsidRPr="00A37731">
        <w:t>n</w:t>
      </w:r>
      <w:r w:rsidRPr="00A37731">
        <w:t>tien du terme transcendant qui veut dire au-delà de toute e</w:t>
      </w:r>
      <w:r w:rsidRPr="00A37731">
        <w:t>x</w:t>
      </w:r>
      <w:r w:rsidRPr="00A37731">
        <w:t>périence. Voir aussi les explications du terme par le traducteur Vadim Liapunov et l'éditeur M</w:t>
      </w:r>
      <w:r w:rsidRPr="00A37731">
        <w:t>i</w:t>
      </w:r>
      <w:r w:rsidRPr="00A37731">
        <w:t xml:space="preserve">chael Holquist dans </w:t>
      </w:r>
      <w:r>
        <w:t>Mikhtine</w:t>
      </w:r>
      <w:r w:rsidRPr="00A37731">
        <w:t xml:space="preserve"> </w:t>
      </w:r>
      <w:r w:rsidRPr="008245FF">
        <w:rPr>
          <w:i/>
          <w:iCs/>
        </w:rPr>
        <w:t>Bakhtine : Art and Answ</w:t>
      </w:r>
      <w:r w:rsidRPr="008245FF">
        <w:rPr>
          <w:i/>
          <w:iCs/>
        </w:rPr>
        <w:t>e</w:t>
      </w:r>
      <w:r w:rsidRPr="008245FF">
        <w:rPr>
          <w:i/>
          <w:iCs/>
        </w:rPr>
        <w:t>rability,</w:t>
      </w:r>
      <w:r w:rsidRPr="00A37731">
        <w:t xml:space="preserve"> Austin, University of Texas Press, 1990, p. 233. Pour une excellente discussion des différences entre les philosophies transcendentales et transgrédientes ou di</w:t>
      </w:r>
      <w:r w:rsidRPr="00A37731">
        <w:t>a</w:t>
      </w:r>
      <w:r w:rsidRPr="00A37731">
        <w:t xml:space="preserve">logiques voir le livre de Michael Theunissen, </w:t>
      </w:r>
      <w:r w:rsidRPr="008245FF">
        <w:rPr>
          <w:i/>
          <w:iCs/>
        </w:rPr>
        <w:t>The Other : Studies in the S</w:t>
      </w:r>
      <w:r w:rsidRPr="008245FF">
        <w:rPr>
          <w:i/>
          <w:iCs/>
        </w:rPr>
        <w:t>o</w:t>
      </w:r>
      <w:r w:rsidRPr="008245FF">
        <w:rPr>
          <w:i/>
          <w:iCs/>
        </w:rPr>
        <w:t>cial Ontology of Husserl, Heidegger, Sartre and Buber,</w:t>
      </w:r>
      <w:r w:rsidRPr="00A37731">
        <w:t xml:space="preserve"> traduit de l'allemand par Christopher M</w:t>
      </w:r>
      <w:r w:rsidRPr="00A37731">
        <w:t>a</w:t>
      </w:r>
      <w:r w:rsidRPr="00A37731">
        <w:t>caan, Cambridge, The MIT Press, 1984.</w:t>
      </w:r>
    </w:p>
  </w:footnote>
  <w:footnote w:id="113">
    <w:p w:rsidR="00B7214C" w:rsidRDefault="00B7214C" w:rsidP="00B7214C">
      <w:pPr>
        <w:pStyle w:val="Notedebasdepage"/>
      </w:pPr>
      <w:r>
        <w:rPr>
          <w:rStyle w:val="Appelnotedebasdep"/>
        </w:rPr>
        <w:footnoteRef/>
      </w:r>
      <w:r>
        <w:t xml:space="preserve"> </w:t>
      </w:r>
      <w:r>
        <w:tab/>
      </w:r>
      <w:r w:rsidRPr="002A6843">
        <w:t>Esthétique de la création verbale</w:t>
      </w:r>
      <w:r w:rsidRPr="00A37731">
        <w:t>,</w:t>
      </w:r>
      <w:r w:rsidRPr="008245FF">
        <w:rPr>
          <w:iCs/>
        </w:rPr>
        <w:t xml:space="preserve"> </w:t>
      </w:r>
      <w:r w:rsidRPr="002A6843">
        <w:rPr>
          <w:iCs/>
        </w:rPr>
        <w:t>p. 114.</w:t>
      </w:r>
    </w:p>
  </w:footnote>
  <w:footnote w:id="114">
    <w:p w:rsidR="00B7214C" w:rsidRDefault="00B7214C" w:rsidP="00B7214C">
      <w:pPr>
        <w:pStyle w:val="Notedebasdepage"/>
      </w:pPr>
      <w:r>
        <w:rPr>
          <w:rStyle w:val="Appelnotedebasdep"/>
        </w:rPr>
        <w:footnoteRef/>
      </w:r>
      <w:r>
        <w:t xml:space="preserve"> </w:t>
      </w:r>
      <w:r>
        <w:tab/>
        <w:t>E</w:t>
      </w:r>
      <w:r w:rsidRPr="002A6843">
        <w:t>sthétique de la création verbale</w:t>
      </w:r>
      <w:r w:rsidRPr="00A37731">
        <w:t>,</w:t>
      </w:r>
      <w:r w:rsidRPr="008245FF">
        <w:rPr>
          <w:iCs/>
        </w:rPr>
        <w:t xml:space="preserve"> </w:t>
      </w:r>
      <w:r w:rsidRPr="002A6843">
        <w:rPr>
          <w:iCs/>
        </w:rPr>
        <w:t>p. 52.</w:t>
      </w:r>
    </w:p>
  </w:footnote>
  <w:footnote w:id="115">
    <w:p w:rsidR="00B7214C" w:rsidRDefault="00B7214C" w:rsidP="00B7214C">
      <w:pPr>
        <w:pStyle w:val="Notedebasdepage"/>
      </w:pPr>
      <w:r>
        <w:rPr>
          <w:rStyle w:val="Appelnotedebasdep"/>
        </w:rPr>
        <w:footnoteRef/>
      </w:r>
      <w:r>
        <w:t xml:space="preserve"> </w:t>
      </w:r>
      <w:r>
        <w:tab/>
      </w:r>
      <w:r w:rsidRPr="008245FF">
        <w:rPr>
          <w:i/>
          <w:iCs/>
        </w:rPr>
        <w:t>Esthétique de la création verbale,</w:t>
      </w:r>
      <w:r w:rsidRPr="00A37731">
        <w:t xml:space="preserve"> 1984, p. 158. Voir la discussion de la te</w:t>
      </w:r>
      <w:r w:rsidRPr="00A37731">
        <w:t>n</w:t>
      </w:r>
      <w:r w:rsidRPr="00A37731">
        <w:t xml:space="preserve">dance hégélienne chez Bakhtine dans Jean-François Côté, </w:t>
      </w:r>
      <w:r>
        <w:rPr>
          <w:i/>
          <w:iCs/>
        </w:rPr>
        <w:t>T</w:t>
      </w:r>
      <w:r w:rsidRPr="008245FF">
        <w:rPr>
          <w:i/>
          <w:iCs/>
        </w:rPr>
        <w:t>radition, mode</w:t>
      </w:r>
      <w:r w:rsidRPr="008245FF">
        <w:rPr>
          <w:i/>
          <w:iCs/>
        </w:rPr>
        <w:t>r</w:t>
      </w:r>
      <w:r w:rsidRPr="008245FF">
        <w:rPr>
          <w:i/>
          <w:iCs/>
        </w:rPr>
        <w:t>nité et postmodernité dans la société américaine,</w:t>
      </w:r>
      <w:r w:rsidRPr="00A37731">
        <w:t xml:space="preserve"> Thèse de doctorat, Toro</w:t>
      </w:r>
      <w:r w:rsidRPr="00A37731">
        <w:t>n</w:t>
      </w:r>
      <w:r w:rsidRPr="00A37731">
        <w:t>to, Un</w:t>
      </w:r>
      <w:r w:rsidRPr="00A37731">
        <w:t>i</w:t>
      </w:r>
      <w:r w:rsidRPr="00A37731">
        <w:t>versité York, 1992, p</w:t>
      </w:r>
      <w:r>
        <w:t>p</w:t>
      </w:r>
      <w:r w:rsidRPr="00A37731">
        <w:t>. 150-156.</w:t>
      </w:r>
    </w:p>
  </w:footnote>
  <w:footnote w:id="116">
    <w:p w:rsidR="00B7214C" w:rsidRDefault="00B7214C" w:rsidP="00B7214C">
      <w:pPr>
        <w:pStyle w:val="Notedebasdepage"/>
      </w:pPr>
      <w:r>
        <w:rPr>
          <w:rStyle w:val="Appelnotedebasdep"/>
        </w:rPr>
        <w:footnoteRef/>
      </w:r>
      <w:r>
        <w:t xml:space="preserve"> </w:t>
      </w:r>
      <w:r>
        <w:tab/>
      </w:r>
      <w:r w:rsidRPr="00A37731">
        <w:t>La formation des intérêts discursifs, sociaux ou littéraires, nécess</w:t>
      </w:r>
      <w:r w:rsidRPr="00A37731">
        <w:t>i</w:t>
      </w:r>
      <w:r w:rsidRPr="00A37731">
        <w:t>te donc l'interaction de trois participants pour former ce cadre dialogique : « le loc</w:t>
      </w:r>
      <w:r w:rsidRPr="00A37731">
        <w:t>u</w:t>
      </w:r>
      <w:r w:rsidRPr="00A37731">
        <w:t>teur (ou auteur), l'auditeur (ou énonciataire) et celui (ou ce) dont on pa</w:t>
      </w:r>
      <w:r>
        <w:t>rle (ou héros) ». Voir V.N. Vo</w:t>
      </w:r>
      <w:r w:rsidRPr="00A37731">
        <w:t>losh</w:t>
      </w:r>
      <w:r w:rsidRPr="00A37731">
        <w:t>i</w:t>
      </w:r>
      <w:r w:rsidRPr="00A37731">
        <w:t xml:space="preserve">nov/Bakhtine. « Le discours dans la vie et le discours dans la poésie. » Dans T. Todorov, </w:t>
      </w:r>
      <w:r w:rsidRPr="008245FF">
        <w:rPr>
          <w:i/>
          <w:iCs/>
        </w:rPr>
        <w:t xml:space="preserve">Mikhaïl Bakhtine, le principe dialogique, suivi des écrits du cercle de Bakhtine, </w:t>
      </w:r>
      <w:r w:rsidRPr="00A37731">
        <w:t>Paris, Seuil, 1981, p</w:t>
      </w:r>
      <w:r>
        <w:t>p</w:t>
      </w:r>
      <w:r w:rsidRPr="00A37731">
        <w:t>. 81-215.</w:t>
      </w:r>
    </w:p>
  </w:footnote>
  <w:footnote w:id="117">
    <w:p w:rsidR="00B7214C" w:rsidRDefault="00B7214C" w:rsidP="00B7214C">
      <w:pPr>
        <w:pStyle w:val="Notedebasdepage"/>
      </w:pPr>
      <w:r>
        <w:rPr>
          <w:rStyle w:val="Appelnotedebasdep"/>
        </w:rPr>
        <w:footnoteRef/>
      </w:r>
      <w:r>
        <w:t xml:space="preserve"> </w:t>
      </w:r>
      <w:r>
        <w:tab/>
      </w:r>
      <w:r w:rsidRPr="002A6843">
        <w:rPr>
          <w:iCs/>
        </w:rPr>
        <w:t xml:space="preserve">M. Bakhtine, </w:t>
      </w:r>
      <w:r w:rsidRPr="002A6843">
        <w:t>L'esthétique de la création verbale,</w:t>
      </w:r>
      <w:r w:rsidRPr="002A6843">
        <w:rPr>
          <w:iCs/>
        </w:rPr>
        <w:t xml:space="preserve"> 1984, p. 393.</w:t>
      </w:r>
    </w:p>
  </w:footnote>
  <w:footnote w:id="118">
    <w:p w:rsidR="00B7214C" w:rsidRDefault="00B7214C" w:rsidP="00B7214C">
      <w:pPr>
        <w:pStyle w:val="Notedebasdepage"/>
      </w:pPr>
      <w:r>
        <w:rPr>
          <w:rStyle w:val="Appelnotedebasdep"/>
        </w:rPr>
        <w:footnoteRef/>
      </w:r>
      <w:r>
        <w:t xml:space="preserve"> </w:t>
      </w:r>
      <w:r>
        <w:tab/>
      </w:r>
      <w:r w:rsidRPr="00A37731">
        <w:t xml:space="preserve">M. Bakhtine, </w:t>
      </w:r>
      <w:r w:rsidRPr="008245FF">
        <w:rPr>
          <w:i/>
          <w:iCs/>
        </w:rPr>
        <w:t>La poétique de Dostoïevski,</w:t>
      </w:r>
      <w:r w:rsidRPr="00A37731">
        <w:t xml:space="preserve"> traduit du russe par Isabelle Koli</w:t>
      </w:r>
      <w:r w:rsidRPr="00A37731">
        <w:t>t</w:t>
      </w:r>
      <w:r w:rsidRPr="00A37731">
        <w:t>cheff, Paris, Éditions du Seuil, 1970, p. 263.</w:t>
      </w:r>
    </w:p>
  </w:footnote>
  <w:footnote w:id="119">
    <w:p w:rsidR="00B7214C" w:rsidRDefault="00B7214C" w:rsidP="00B7214C">
      <w:pPr>
        <w:pStyle w:val="Notedebasdepage"/>
      </w:pPr>
      <w:r>
        <w:rPr>
          <w:rStyle w:val="Appelnotedebasdep"/>
        </w:rPr>
        <w:footnoteRef/>
      </w:r>
      <w:r>
        <w:t xml:space="preserve"> </w:t>
      </w:r>
      <w:r>
        <w:tab/>
      </w:r>
      <w:r w:rsidRPr="00A37731">
        <w:t>Selon une graphie généralement admise, même si elle est disc</w:t>
      </w:r>
      <w:r w:rsidRPr="00A37731">
        <w:t>u</w:t>
      </w:r>
      <w:r w:rsidRPr="00A37731">
        <w:t>table, islam avec minuscule renvoie à la religion et avec majuscule à la civilisation. Quant à islamisme, ce terme est utilisé pour désigner « le mouvement contemporain qui pense l'islam comme idéologie polit</w:t>
      </w:r>
      <w:r w:rsidRPr="00A37731">
        <w:t>i</w:t>
      </w:r>
      <w:r w:rsidRPr="00A37731">
        <w:t xml:space="preserve">que » (O. Roy, </w:t>
      </w:r>
      <w:r w:rsidRPr="00576A74">
        <w:rPr>
          <w:i/>
          <w:iCs/>
        </w:rPr>
        <w:t>L'échec de l'islam politique,</w:t>
      </w:r>
      <w:r w:rsidRPr="00A37731">
        <w:t xml:space="preserve"> Paris, Seuil, 1992).</w:t>
      </w:r>
    </w:p>
  </w:footnote>
  <w:footnote w:id="120">
    <w:p w:rsidR="00B7214C" w:rsidRDefault="00B7214C" w:rsidP="00B7214C">
      <w:pPr>
        <w:pStyle w:val="Notedebasdepage"/>
      </w:pPr>
      <w:r>
        <w:rPr>
          <w:rStyle w:val="Appelnotedebasdep"/>
        </w:rPr>
        <w:footnoteRef/>
      </w:r>
      <w:r>
        <w:t xml:space="preserve"> </w:t>
      </w:r>
      <w:r>
        <w:tab/>
      </w:r>
      <w:r w:rsidRPr="00A37731">
        <w:t xml:space="preserve">Voir, parmi d'autres, A. Grosrichard, </w:t>
      </w:r>
      <w:r w:rsidRPr="00576A74">
        <w:rPr>
          <w:i/>
          <w:iCs/>
        </w:rPr>
        <w:t>Structure du sérail,</w:t>
      </w:r>
      <w:r w:rsidRPr="00A37731">
        <w:t xml:space="preserve"> Paris, Seuil, 1979 ; Th. Hentsch, </w:t>
      </w:r>
      <w:r w:rsidRPr="00576A74">
        <w:rPr>
          <w:i/>
          <w:iCs/>
        </w:rPr>
        <w:t>L'Orient imaginaire,</w:t>
      </w:r>
      <w:r w:rsidRPr="00A37731">
        <w:t xml:space="preserve"> Paris, Minuit, 1988 ; S. Naïr, </w:t>
      </w:r>
      <w:r w:rsidRPr="00576A74">
        <w:rPr>
          <w:i/>
          <w:iCs/>
        </w:rPr>
        <w:t xml:space="preserve">Le regard des vainqueurs, </w:t>
      </w:r>
      <w:r w:rsidRPr="00A37731">
        <w:t>Paris, Gra</w:t>
      </w:r>
      <w:r w:rsidRPr="00A37731">
        <w:t>s</w:t>
      </w:r>
      <w:r w:rsidRPr="00A37731">
        <w:t>set, 1992.</w:t>
      </w:r>
    </w:p>
  </w:footnote>
  <w:footnote w:id="121">
    <w:p w:rsidR="00B7214C" w:rsidRDefault="00B7214C" w:rsidP="00B7214C">
      <w:pPr>
        <w:pStyle w:val="Notedebasdepage"/>
      </w:pPr>
      <w:r>
        <w:rPr>
          <w:rStyle w:val="Appelnotedebasdep"/>
        </w:rPr>
        <w:footnoteRef/>
      </w:r>
      <w:r>
        <w:t xml:space="preserve"> </w:t>
      </w:r>
      <w:r>
        <w:tab/>
      </w:r>
      <w:r w:rsidRPr="00A37731">
        <w:t xml:space="preserve">Voir, par exemple, les articles de Michèle Ouimet </w:t>
      </w:r>
      <w:r w:rsidRPr="00576A74">
        <w:rPr>
          <w:i/>
          <w:iCs/>
        </w:rPr>
        <w:t>(La Presse,</w:t>
      </w:r>
      <w:r w:rsidRPr="00A37731">
        <w:t xml:space="preserve"> 7 et 8 mars 1992 et 2 janvier 1993) et de Martine T</w:t>
      </w:r>
      <w:r w:rsidRPr="00A37731">
        <w:t>u</w:t>
      </w:r>
      <w:r w:rsidRPr="00A37731">
        <w:t xml:space="preserve">renne </w:t>
      </w:r>
      <w:r w:rsidRPr="00576A74">
        <w:rPr>
          <w:i/>
          <w:iCs/>
        </w:rPr>
        <w:t>(Le Devoir,</w:t>
      </w:r>
      <w:r w:rsidRPr="00A37731">
        <w:t xml:space="preserve"> 6-7-8 janvier 1993).</w:t>
      </w:r>
    </w:p>
  </w:footnote>
  <w:footnote w:id="122">
    <w:p w:rsidR="00B7214C" w:rsidRDefault="00B7214C" w:rsidP="00B7214C">
      <w:pPr>
        <w:pStyle w:val="Notedebasdepage"/>
      </w:pPr>
      <w:r>
        <w:rPr>
          <w:rStyle w:val="Appelnotedebasdep"/>
        </w:rPr>
        <w:footnoteRef/>
      </w:r>
      <w:r>
        <w:t xml:space="preserve"> </w:t>
      </w:r>
      <w:r>
        <w:tab/>
      </w:r>
      <w:r w:rsidRPr="00A37731">
        <w:t xml:space="preserve">P. Legendre, </w:t>
      </w:r>
      <w:r w:rsidRPr="00576A74">
        <w:rPr>
          <w:i/>
          <w:iCs/>
        </w:rPr>
        <w:t>Les enfants du texte,</w:t>
      </w:r>
      <w:r w:rsidRPr="00A37731">
        <w:t xml:space="preserve"> Étude sur la fonction parent</w:t>
      </w:r>
      <w:r w:rsidRPr="00A37731">
        <w:t>a</w:t>
      </w:r>
      <w:r w:rsidRPr="00A37731">
        <w:t>le des États, Paris, Fayard, 1992, p. 130.</w:t>
      </w:r>
    </w:p>
  </w:footnote>
  <w:footnote w:id="123">
    <w:p w:rsidR="00B7214C" w:rsidRDefault="00B7214C" w:rsidP="00B7214C">
      <w:pPr>
        <w:pStyle w:val="Notedebasdepage"/>
      </w:pPr>
      <w:r>
        <w:rPr>
          <w:rStyle w:val="Appelnotedebasdep"/>
        </w:rPr>
        <w:footnoteRef/>
      </w:r>
      <w:r>
        <w:t xml:space="preserve"> </w:t>
      </w:r>
      <w:r>
        <w:tab/>
      </w:r>
      <w:r w:rsidRPr="00A37731">
        <w:t xml:space="preserve">Voir « L'indestructible question de l'Interdit », </w:t>
      </w:r>
      <w:r w:rsidRPr="00576A74">
        <w:rPr>
          <w:i/>
          <w:iCs/>
        </w:rPr>
        <w:t>op. cit.,</w:t>
      </w:r>
      <w:r w:rsidRPr="00A37731">
        <w:t xml:space="preserve"> </w:t>
      </w:r>
      <w:r>
        <w:t>p</w:t>
      </w:r>
      <w:r w:rsidRPr="00A37731">
        <w:t>p. 25-31.</w:t>
      </w:r>
    </w:p>
  </w:footnote>
  <w:footnote w:id="124">
    <w:p w:rsidR="00B7214C" w:rsidRDefault="00B7214C" w:rsidP="00B7214C">
      <w:pPr>
        <w:pStyle w:val="Notedebasdepage"/>
      </w:pPr>
      <w:r>
        <w:rPr>
          <w:rStyle w:val="Appelnotedebasdep"/>
        </w:rPr>
        <w:footnoteRef/>
      </w:r>
      <w:r>
        <w:t xml:space="preserve"> </w:t>
      </w:r>
      <w:r>
        <w:tab/>
      </w:r>
      <w:r w:rsidRPr="00A37731">
        <w:t>Je n'ai aucune compétence en théologie ; je tente de me s</w:t>
      </w:r>
      <w:r w:rsidRPr="00A37731">
        <w:t>i</w:t>
      </w:r>
      <w:r w:rsidRPr="00A37731">
        <w:t>tuer en sociologue.</w:t>
      </w:r>
    </w:p>
  </w:footnote>
  <w:footnote w:id="125">
    <w:p w:rsidR="00B7214C" w:rsidRDefault="00B7214C" w:rsidP="00B7214C">
      <w:pPr>
        <w:pStyle w:val="Notedebasdepage"/>
      </w:pPr>
      <w:r>
        <w:rPr>
          <w:rStyle w:val="Appelnotedebasdep"/>
        </w:rPr>
        <w:footnoteRef/>
      </w:r>
      <w:r>
        <w:t xml:space="preserve"> </w:t>
      </w:r>
      <w:r>
        <w:tab/>
      </w:r>
      <w:r w:rsidRPr="00A37731">
        <w:t xml:space="preserve">Voir M. Arkoun, « Islam, révélation et révolutions ». </w:t>
      </w:r>
      <w:r w:rsidRPr="00576A74">
        <w:rPr>
          <w:i/>
          <w:iCs/>
        </w:rPr>
        <w:t>Autrement,</w:t>
      </w:r>
      <w:r w:rsidRPr="00A37731">
        <w:t xml:space="preserve"> n°</w:t>
      </w:r>
      <w:r>
        <w:t> </w:t>
      </w:r>
      <w:r w:rsidRPr="00A37731">
        <w:t xml:space="preserve">127, février 1992 ; </w:t>
      </w:r>
      <w:r w:rsidRPr="00576A74">
        <w:rPr>
          <w:i/>
          <w:iCs/>
        </w:rPr>
        <w:t>Dieux en sociétés,</w:t>
      </w:r>
      <w:r w:rsidRPr="00A37731">
        <w:t xml:space="preserve"> Le religieux et le politique, </w:t>
      </w:r>
      <w:r>
        <w:t>p</w:t>
      </w:r>
      <w:r w:rsidRPr="00A37731">
        <w:t>p. 138-154.</w:t>
      </w:r>
    </w:p>
  </w:footnote>
  <w:footnote w:id="126">
    <w:p w:rsidR="00B7214C" w:rsidRDefault="00B7214C" w:rsidP="00B7214C">
      <w:pPr>
        <w:pStyle w:val="Notedebasdepage"/>
      </w:pPr>
      <w:r>
        <w:rPr>
          <w:rStyle w:val="Appelnotedebasdep"/>
        </w:rPr>
        <w:footnoteRef/>
      </w:r>
      <w:r>
        <w:t xml:space="preserve"> </w:t>
      </w:r>
      <w:r>
        <w:tab/>
      </w:r>
      <w:r w:rsidRPr="00A37731">
        <w:t>La plus stimulante est sans doute contenue dans le travail rema</w:t>
      </w:r>
      <w:r w:rsidRPr="00A37731">
        <w:t>r</w:t>
      </w:r>
      <w:r>
        <w:t>quable de L.-W. De</w:t>
      </w:r>
      <w:r w:rsidRPr="00A37731">
        <w:t xml:space="preserve">heuvels. </w:t>
      </w:r>
      <w:r w:rsidRPr="00576A74">
        <w:rPr>
          <w:i/>
          <w:iCs/>
        </w:rPr>
        <w:t>Islam et pensée contemporaine en Alg</w:t>
      </w:r>
      <w:r w:rsidRPr="00576A74">
        <w:rPr>
          <w:i/>
          <w:iCs/>
        </w:rPr>
        <w:t>é</w:t>
      </w:r>
      <w:r w:rsidRPr="00576A74">
        <w:rPr>
          <w:i/>
          <w:iCs/>
        </w:rPr>
        <w:t>rie,</w:t>
      </w:r>
      <w:r w:rsidRPr="00A37731">
        <w:t xml:space="preserve"> Paris, CNRS, 1991. Je m'autorise à fo</w:t>
      </w:r>
      <w:r w:rsidRPr="00A37731">
        <w:t>r</w:t>
      </w:r>
      <w:r w:rsidRPr="00A37731">
        <w:t xml:space="preserve">muler ma distanciation à la lecture de la « présentation » de H. Benkheira au numéro de </w:t>
      </w:r>
      <w:r w:rsidRPr="00576A74">
        <w:rPr>
          <w:i/>
          <w:iCs/>
        </w:rPr>
        <w:t>Peuples méditerranéens</w:t>
      </w:r>
      <w:r w:rsidRPr="00A37731">
        <w:t xml:space="preserve"> qu'il a coordonné : </w:t>
      </w:r>
      <w:r>
        <w:rPr>
          <w:i/>
          <w:iCs/>
        </w:rPr>
        <w:t>Algérie, vers l’</w:t>
      </w:r>
      <w:r w:rsidRPr="00576A74">
        <w:rPr>
          <w:i/>
          <w:iCs/>
        </w:rPr>
        <w:t xml:space="preserve">État islamique ?, </w:t>
      </w:r>
      <w:r w:rsidRPr="00A37731">
        <w:t>juil.-déc. 1990, n</w:t>
      </w:r>
      <w:r>
        <w:t>os </w:t>
      </w:r>
      <w:r w:rsidRPr="00A37731">
        <w:t>52-53, p</w:t>
      </w:r>
      <w:r>
        <w:t>p</w:t>
      </w:r>
      <w:r w:rsidRPr="00A37731">
        <w:t>. 3-6.</w:t>
      </w:r>
    </w:p>
  </w:footnote>
  <w:footnote w:id="127">
    <w:p w:rsidR="00B7214C" w:rsidRDefault="00B7214C" w:rsidP="00B7214C">
      <w:pPr>
        <w:pStyle w:val="Notedebasdepage"/>
      </w:pPr>
      <w:r>
        <w:rPr>
          <w:rStyle w:val="Appelnotedebasdep"/>
        </w:rPr>
        <w:footnoteRef/>
      </w:r>
      <w:r>
        <w:t xml:space="preserve"> </w:t>
      </w:r>
      <w:r>
        <w:tab/>
      </w:r>
      <w:r w:rsidRPr="00A37731">
        <w:t>J'utilise ce terme en un sens, disons, descriptif : l'exclusion comme l'inverse de l'inclusion. Ce qui manque incontestablement de nuances (voir le co</w:t>
      </w:r>
      <w:r w:rsidRPr="00A37731">
        <w:t>m</w:t>
      </w:r>
      <w:r w:rsidRPr="00A37731">
        <w:t xml:space="preserve">mentaire de R. Hadj-Moussa) mais n'implique pas </w:t>
      </w:r>
      <w:r w:rsidRPr="00576A74">
        <w:rPr>
          <w:i/>
          <w:iCs/>
        </w:rPr>
        <w:t>ipso facto</w:t>
      </w:r>
      <w:r w:rsidRPr="00A37731">
        <w:t xml:space="preserve"> de victimolog</w:t>
      </w:r>
      <w:r w:rsidRPr="00A37731">
        <w:t>i</w:t>
      </w:r>
      <w:r w:rsidRPr="00A37731">
        <w:t>ser « les femmes ». Je ne peux ici dév</w:t>
      </w:r>
      <w:r w:rsidRPr="00A37731">
        <w:t>e</w:t>
      </w:r>
      <w:r w:rsidRPr="00A37731">
        <w:t>lopper et soutenir que mon propos n'est pas sociologiste est insuffisant - je so</w:t>
      </w:r>
      <w:r w:rsidRPr="00A37731">
        <w:t>u</w:t>
      </w:r>
      <w:r w:rsidRPr="00A37731">
        <w:t>haiterais pourtant qu'il en fut pris acte.</w:t>
      </w:r>
    </w:p>
  </w:footnote>
  <w:footnote w:id="128">
    <w:p w:rsidR="00B7214C" w:rsidRDefault="00B7214C" w:rsidP="00B7214C">
      <w:pPr>
        <w:pStyle w:val="Notedebasdepage"/>
      </w:pPr>
      <w:r>
        <w:rPr>
          <w:rStyle w:val="Appelnotedebasdep"/>
        </w:rPr>
        <w:footnoteRef/>
      </w:r>
      <w:r>
        <w:t xml:space="preserve"> </w:t>
      </w:r>
      <w:r>
        <w:tab/>
      </w:r>
      <w:r w:rsidRPr="00841359">
        <w:rPr>
          <w:iCs/>
        </w:rPr>
        <w:t xml:space="preserve">Dans </w:t>
      </w:r>
      <w:r w:rsidRPr="00841359">
        <w:t xml:space="preserve">L'échec de l'islam politique, </w:t>
      </w:r>
      <w:r w:rsidRPr="00B011B6">
        <w:t>op. cit</w:t>
      </w:r>
      <w:r w:rsidRPr="00841359">
        <w:t>.,</w:t>
      </w:r>
      <w:r w:rsidRPr="00841359">
        <w:rPr>
          <w:iCs/>
        </w:rPr>
        <w:t xml:space="preserve"> </w:t>
      </w:r>
      <w:r>
        <w:rPr>
          <w:iCs/>
        </w:rPr>
        <w:t>p</w:t>
      </w:r>
      <w:r w:rsidRPr="00841359">
        <w:rPr>
          <w:iCs/>
        </w:rPr>
        <w:t>p. 97-98.</w:t>
      </w:r>
    </w:p>
  </w:footnote>
  <w:footnote w:id="129">
    <w:p w:rsidR="00B7214C" w:rsidRDefault="00B7214C" w:rsidP="00B7214C">
      <w:pPr>
        <w:pStyle w:val="Notedebasdepage"/>
      </w:pPr>
      <w:r>
        <w:rPr>
          <w:rStyle w:val="Appelnotedebasdep"/>
        </w:rPr>
        <w:footnoteRef/>
      </w:r>
      <w:r>
        <w:t xml:space="preserve"> </w:t>
      </w:r>
      <w:r>
        <w:tab/>
      </w:r>
      <w:r w:rsidRPr="00A37731">
        <w:t>Le frère de Sayyid Qotb, célèbre « frère musulman » égyptien pe</w:t>
      </w:r>
      <w:r w:rsidRPr="00A37731">
        <w:t>n</w:t>
      </w:r>
      <w:r w:rsidRPr="00A37731">
        <w:t>du en 1966.</w:t>
      </w:r>
    </w:p>
  </w:footnote>
  <w:footnote w:id="130">
    <w:p w:rsidR="00B7214C" w:rsidRDefault="00B7214C" w:rsidP="00B7214C">
      <w:pPr>
        <w:pStyle w:val="Notedebasdepage"/>
      </w:pPr>
      <w:r>
        <w:rPr>
          <w:rStyle w:val="Appelnotedebasdep"/>
        </w:rPr>
        <w:footnoteRef/>
      </w:r>
      <w:r>
        <w:t xml:space="preserve"> </w:t>
      </w:r>
      <w:r>
        <w:tab/>
      </w:r>
      <w:r w:rsidRPr="00A37731">
        <w:t>Un approfondissement de la question dans la chrétienté - sans pour autant prôner, faut-il le préciser, le recouvrement islam/christianisme - permettrait sans doute un questionnement plus acéré (et non nécessairement relativisé). En ce domaine chrétien, voir les considérations « viriles » (</w:t>
      </w:r>
      <w:r>
        <w:t> ?) de P. Lege</w:t>
      </w:r>
      <w:r>
        <w:t>n</w:t>
      </w:r>
      <w:r>
        <w:t>dre, « La Phalla</w:t>
      </w:r>
      <w:r w:rsidRPr="00A37731">
        <w:t>cieuse. Le roman du fém</w:t>
      </w:r>
      <w:r w:rsidRPr="00A37731">
        <w:t>i</w:t>
      </w:r>
      <w:r w:rsidRPr="00A37731">
        <w:t xml:space="preserve">nin dans le Texte occidental », dans A. Verdeglione (dir.), </w:t>
      </w:r>
      <w:r w:rsidRPr="00576A74">
        <w:rPr>
          <w:i/>
          <w:iCs/>
        </w:rPr>
        <w:t>La jouissance et le pouvoir,</w:t>
      </w:r>
      <w:r w:rsidRPr="00A37731">
        <w:t xml:space="preserve"> Paris, 10/18,</w:t>
      </w:r>
      <w:r>
        <w:t xml:space="preserve"> </w:t>
      </w:r>
      <w:r w:rsidRPr="00A37731">
        <w:t>1976, p</w:t>
      </w:r>
      <w:r>
        <w:t>p</w:t>
      </w:r>
      <w:r w:rsidRPr="00A37731">
        <w:t>. 9-31. L'a</w:t>
      </w:r>
      <w:r w:rsidRPr="00A37731">
        <w:t>p</w:t>
      </w:r>
      <w:r w:rsidRPr="00A37731">
        <w:t xml:space="preserve">port de N. Loraux à propos de la Grèce, en particulier dans </w:t>
      </w:r>
      <w:r w:rsidRPr="00576A74">
        <w:rPr>
          <w:i/>
          <w:iCs/>
        </w:rPr>
        <w:t>Les exp</w:t>
      </w:r>
      <w:r w:rsidRPr="00576A74">
        <w:rPr>
          <w:i/>
          <w:iCs/>
        </w:rPr>
        <w:t>é</w:t>
      </w:r>
      <w:r w:rsidRPr="00576A74">
        <w:rPr>
          <w:i/>
          <w:iCs/>
        </w:rPr>
        <w:t>riences de Tirésias,</w:t>
      </w:r>
      <w:r w:rsidRPr="00A37731">
        <w:t xml:space="preserve"> Paris, Gallimard, 1989, devrait aussi être versé à ce que</w:t>
      </w:r>
      <w:r w:rsidRPr="00A37731">
        <w:t>s</w:t>
      </w:r>
      <w:r w:rsidRPr="00A37731">
        <w:t>tionnement.</w:t>
      </w:r>
    </w:p>
  </w:footnote>
  <w:footnote w:id="131">
    <w:p w:rsidR="00B7214C" w:rsidRDefault="00B7214C" w:rsidP="00B7214C">
      <w:pPr>
        <w:pStyle w:val="Notedebasdepage"/>
      </w:pPr>
      <w:r>
        <w:rPr>
          <w:rStyle w:val="Appelnotedebasdep"/>
        </w:rPr>
        <w:footnoteRef/>
      </w:r>
      <w:r>
        <w:t xml:space="preserve"> </w:t>
      </w:r>
      <w:r>
        <w:tab/>
      </w:r>
      <w:r w:rsidRPr="00A37731">
        <w:t xml:space="preserve">Peu d'auteurs y sont attentifs. Voir pourtant </w:t>
      </w:r>
      <w:r w:rsidRPr="00576A74">
        <w:t xml:space="preserve">B. </w:t>
      </w:r>
      <w:r w:rsidRPr="00A37731">
        <w:t xml:space="preserve">Lewis dans </w:t>
      </w:r>
      <w:r w:rsidRPr="00576A74">
        <w:rPr>
          <w:i/>
          <w:iCs/>
        </w:rPr>
        <w:t>Le retour de l'islam,</w:t>
      </w:r>
      <w:r w:rsidRPr="00A37731">
        <w:t xml:space="preserve"> Paris, Gallimard, 1985. Pour expliciter que l'appar</w:t>
      </w:r>
      <w:r w:rsidRPr="00A37731">
        <w:t>i</w:t>
      </w:r>
      <w:r w:rsidRPr="00A37731">
        <w:t xml:space="preserve">tion de l'islam fut une révolution en soi, il note que « dans l'islam, il ne devait y avoir ni église, ni prêtre, ni orthodoxie, ni hiérarchie, ni royauté, ni aristocratie. </w:t>
      </w:r>
      <w:r>
        <w:t>Il</w:t>
      </w:r>
      <w:r w:rsidRPr="00A37731">
        <w:t xml:space="preserve"> ne d</w:t>
      </w:r>
      <w:r w:rsidRPr="00A37731">
        <w:t>e</w:t>
      </w:r>
      <w:r w:rsidRPr="00A37731">
        <w:t>vait y avoir ni castes, ni rangs pour</w:t>
      </w:r>
      <w:r>
        <w:t xml:space="preserve"> </w:t>
      </w:r>
      <w:r w:rsidRPr="00A37731">
        <w:t>troubler l'unité des croyants ; pas de privil</w:t>
      </w:r>
      <w:r w:rsidRPr="00A37731">
        <w:t>è</w:t>
      </w:r>
      <w:r w:rsidRPr="00A37731">
        <w:t>ges si ce n'est la supériorité évidente de ceux qui acceptent sur ceux qui r</w:t>
      </w:r>
      <w:r w:rsidRPr="00A37731">
        <w:t>e</w:t>
      </w:r>
      <w:r w:rsidRPr="00A37731">
        <w:t>jettent obst</w:t>
      </w:r>
      <w:r w:rsidRPr="00A37731">
        <w:t>i</w:t>
      </w:r>
      <w:r w:rsidRPr="00A37731">
        <w:t>nément la vraie foi - et, bien sûr, des faits naturels et sociaux aussi év</w:t>
      </w:r>
      <w:r w:rsidRPr="00A37731">
        <w:t>i</w:t>
      </w:r>
      <w:r w:rsidRPr="00A37731">
        <w:t>dents que la supériorité de l'homme sur la femme et du maître sur l'esclave. » (p. 33) ou S. Zéghidour qui, ayant pris acte de l'abolition de l'e</w:t>
      </w:r>
      <w:r w:rsidRPr="00A37731">
        <w:t>s</w:t>
      </w:r>
      <w:r w:rsidRPr="00A37731">
        <w:t xml:space="preserve">clavage, dans </w:t>
      </w:r>
      <w:r w:rsidRPr="00576A74">
        <w:rPr>
          <w:i/>
          <w:iCs/>
        </w:rPr>
        <w:t>Le voile et la bannière</w:t>
      </w:r>
      <w:r w:rsidRPr="00A37731">
        <w:t xml:space="preserve"> Paris, Hachette, 1990, écrit que « l'Oumma paraît loger à la même enseigne la femme et l'Infidèle, tous deux demeurant, en effet, inférieurs au croyant en droits et en devoirs. Exclus des grandes activités publiques, leur témo</w:t>
      </w:r>
      <w:r w:rsidRPr="00A37731">
        <w:t>i</w:t>
      </w:r>
      <w:r w:rsidRPr="00A37731">
        <w:t>gnage, à l'un comme à l'autre, vaut pour moitié celui de l'homme musulman. La différence consiste à afficher sa nature pour l'Infidèle et son sexe pour la femme, à occulter sa r</w:t>
      </w:r>
      <w:r w:rsidRPr="00A37731">
        <w:t>e</w:t>
      </w:r>
      <w:r w:rsidRPr="00A37731">
        <w:t>ligion pour celui-là, et les formes de son corps pour celle-ci. » (p. 34)</w:t>
      </w:r>
    </w:p>
  </w:footnote>
  <w:footnote w:id="132">
    <w:p w:rsidR="00B7214C" w:rsidRDefault="00B7214C" w:rsidP="00B7214C">
      <w:pPr>
        <w:pStyle w:val="Notedebasdepage"/>
      </w:pPr>
      <w:r>
        <w:rPr>
          <w:rStyle w:val="Appelnotedebasdep"/>
        </w:rPr>
        <w:footnoteRef/>
      </w:r>
      <w:r>
        <w:t xml:space="preserve"> </w:t>
      </w:r>
      <w:r>
        <w:tab/>
      </w:r>
      <w:r w:rsidRPr="00A37731">
        <w:t>Traduction française, C. Heim, Paris, Gallimard, 1986, p. 186.</w:t>
      </w:r>
    </w:p>
  </w:footnote>
  <w:footnote w:id="133">
    <w:p w:rsidR="00B7214C" w:rsidRDefault="00B7214C" w:rsidP="00B7214C">
      <w:pPr>
        <w:pStyle w:val="Notedebasdepage"/>
      </w:pPr>
      <w:r>
        <w:rPr>
          <w:rStyle w:val="Appelnotedebasdep"/>
        </w:rPr>
        <w:footnoteRef/>
      </w:r>
      <w:r>
        <w:t xml:space="preserve"> </w:t>
      </w:r>
      <w:r>
        <w:tab/>
      </w:r>
      <w:r w:rsidRPr="00A37731">
        <w:t xml:space="preserve">M. Arkoun, </w:t>
      </w:r>
      <w:r w:rsidRPr="00576A74">
        <w:rPr>
          <w:i/>
          <w:iCs/>
        </w:rPr>
        <w:t>Ouvertures sur l'islam,</w:t>
      </w:r>
      <w:r w:rsidRPr="00A37731">
        <w:t xml:space="preserve"> Paris, Jacques-Grancher éd</w:t>
      </w:r>
      <w:r w:rsidRPr="00A37731">
        <w:t>i</w:t>
      </w:r>
      <w:r w:rsidRPr="00A37731">
        <w:t>teur, 1989, p</w:t>
      </w:r>
      <w:r>
        <w:t>p</w:t>
      </w:r>
      <w:r w:rsidRPr="00A37731">
        <w:t>. 29-30.</w:t>
      </w:r>
    </w:p>
  </w:footnote>
  <w:footnote w:id="134">
    <w:p w:rsidR="00B7214C" w:rsidRDefault="00B7214C" w:rsidP="00B7214C">
      <w:pPr>
        <w:pStyle w:val="Notedebasdepage"/>
      </w:pPr>
      <w:r>
        <w:rPr>
          <w:rStyle w:val="Appelnotedebasdep"/>
        </w:rPr>
        <w:footnoteRef/>
      </w:r>
      <w:r>
        <w:t xml:space="preserve"> </w:t>
      </w:r>
      <w:r>
        <w:tab/>
      </w:r>
      <w:r w:rsidRPr="00A37731">
        <w:t xml:space="preserve">Y. Moubarac, </w:t>
      </w:r>
      <w:r w:rsidRPr="00576A74">
        <w:rPr>
          <w:i/>
          <w:iCs/>
        </w:rPr>
        <w:t>Abraham dans le Coran,</w:t>
      </w:r>
      <w:r w:rsidRPr="00A37731">
        <w:t xml:space="preserve"> Paris, Vrin, 1</w:t>
      </w:r>
      <w:r>
        <w:t>958, p. 55. Merci à Hocine Ben</w:t>
      </w:r>
      <w:r w:rsidRPr="00A37731">
        <w:t xml:space="preserve">kheira d'avoir attiré mon attention sur ce livre. Th. Hentsch </w:t>
      </w:r>
      <w:r w:rsidRPr="00576A74">
        <w:rPr>
          <w:i/>
          <w:iCs/>
        </w:rPr>
        <w:t>(op. cit.,</w:t>
      </w:r>
      <w:r w:rsidRPr="00A37731">
        <w:t xml:space="preserve"> p. 67) se montre circonspect à l'égard de cet auteur : « jésuite de form</w:t>
      </w:r>
      <w:r>
        <w:t>a</w:t>
      </w:r>
      <w:r>
        <w:t>tion, disciple de Louis Massi</w:t>
      </w:r>
      <w:r w:rsidRPr="00A37731">
        <w:t>gnon et ardent défe</w:t>
      </w:r>
      <w:r w:rsidRPr="00A37731">
        <w:t>n</w:t>
      </w:r>
      <w:r w:rsidRPr="00A37731">
        <w:t>seur d'un rapprochement islamo-chrétien, se montre tellement pro-islamique qu'il en vient à dire aux musulmans le vrai sens de leur pr</w:t>
      </w:r>
      <w:r w:rsidRPr="00A37731">
        <w:t>o</w:t>
      </w:r>
      <w:r w:rsidRPr="00A37731">
        <w:t>pre foi. Et, bien sûr, ce sens coïncide comme par miracle avec la vérité chrétienne ! » La lecture de ce seul livre ne me permet pas d'en juger.</w:t>
      </w:r>
    </w:p>
  </w:footnote>
  <w:footnote w:id="135">
    <w:p w:rsidR="00B7214C" w:rsidRDefault="00B7214C" w:rsidP="00B7214C">
      <w:pPr>
        <w:pStyle w:val="Notedebasdepage"/>
      </w:pPr>
      <w:r>
        <w:rPr>
          <w:rStyle w:val="Appelnotedebasdep"/>
        </w:rPr>
        <w:footnoteRef/>
      </w:r>
      <w:r>
        <w:t xml:space="preserve"> </w:t>
      </w:r>
      <w:r>
        <w:tab/>
      </w:r>
      <w:r w:rsidRPr="00841359">
        <w:rPr>
          <w:iCs/>
        </w:rPr>
        <w:t xml:space="preserve">D. Sibony, </w:t>
      </w:r>
      <w:r w:rsidRPr="00841359">
        <w:t>Les trois monothéismes, juifs, chrétiens, musulmans entre leurs sources et leurs origines,</w:t>
      </w:r>
      <w:r w:rsidRPr="00841359">
        <w:rPr>
          <w:iCs/>
        </w:rPr>
        <w:t xml:space="preserve"> Paris, Seuil, 1992, p. 20.</w:t>
      </w:r>
    </w:p>
  </w:footnote>
  <w:footnote w:id="136">
    <w:p w:rsidR="00B7214C" w:rsidRDefault="00B7214C" w:rsidP="00B7214C">
      <w:pPr>
        <w:pStyle w:val="Notedebasdepage"/>
      </w:pPr>
      <w:r>
        <w:rPr>
          <w:rStyle w:val="Appelnotedebasdep"/>
        </w:rPr>
        <w:footnoteRef/>
      </w:r>
      <w:r>
        <w:t xml:space="preserve"> </w:t>
      </w:r>
      <w:r>
        <w:tab/>
      </w:r>
      <w:r w:rsidRPr="00A37731">
        <w:t>Sibony ne fait pas référence à Arkoun, pas plus qu'à Mo</w:t>
      </w:r>
      <w:r w:rsidRPr="00A37731">
        <w:t>u</w:t>
      </w:r>
      <w:r w:rsidRPr="00A37731">
        <w:t xml:space="preserve">barac. Notons que M. Saïd Al-Ashmawy dans </w:t>
      </w:r>
      <w:r w:rsidRPr="00576A74">
        <w:rPr>
          <w:i/>
          <w:iCs/>
        </w:rPr>
        <w:t>L'islamisme contre l'islam</w:t>
      </w:r>
      <w:r w:rsidRPr="00A37731">
        <w:t xml:space="preserve"> (tr. fr., Paris, La D</w:t>
      </w:r>
      <w:r w:rsidRPr="00A37731">
        <w:t>é</w:t>
      </w:r>
      <w:r w:rsidRPr="00A37731">
        <w:t>couverte, 1989) soutient lui la thèse qu'il y a eu « une judaïcisation de l'islam, une déviation par rapport à la nature de la prophétie de Muha</w:t>
      </w:r>
      <w:r w:rsidRPr="00A37731">
        <w:t>m</w:t>
      </w:r>
      <w:r w:rsidRPr="00A37731">
        <w:t>mad » (p. 38) de la part de la « pensée islamique » qui a privilégié le jur</w:t>
      </w:r>
      <w:r w:rsidRPr="00A37731">
        <w:t>i</w:t>
      </w:r>
      <w:r w:rsidRPr="00A37731">
        <w:t>disme au dépens de la vertu morale.</w:t>
      </w:r>
    </w:p>
  </w:footnote>
  <w:footnote w:id="137">
    <w:p w:rsidR="00B7214C" w:rsidRDefault="00B7214C" w:rsidP="00B7214C">
      <w:pPr>
        <w:pStyle w:val="Notedebasdepage"/>
      </w:pPr>
      <w:r>
        <w:rPr>
          <w:rStyle w:val="Appelnotedebasdep"/>
        </w:rPr>
        <w:footnoteRef/>
      </w:r>
      <w:r>
        <w:t xml:space="preserve"> </w:t>
      </w:r>
      <w:r>
        <w:tab/>
      </w:r>
      <w:r w:rsidRPr="00BD1471">
        <w:rPr>
          <w:i/>
        </w:rPr>
        <w:t>Op. cit</w:t>
      </w:r>
      <w:r w:rsidRPr="00A37731">
        <w:t>., p. 72.</w:t>
      </w:r>
    </w:p>
  </w:footnote>
  <w:footnote w:id="138">
    <w:p w:rsidR="00B7214C" w:rsidRDefault="00B7214C" w:rsidP="00B7214C">
      <w:pPr>
        <w:pStyle w:val="Notedebasdepage"/>
      </w:pPr>
      <w:r>
        <w:rPr>
          <w:rStyle w:val="Appelnotedebasdep"/>
        </w:rPr>
        <w:footnoteRef/>
      </w:r>
      <w:r>
        <w:t xml:space="preserve"> </w:t>
      </w:r>
      <w:r>
        <w:tab/>
      </w:r>
      <w:r w:rsidRPr="00A37731">
        <w:t>Il faudrait certes aussi interroger « le sacrifié » même - dont le nom (Isaac ou Ismaël) n'est pas dit dans la version c</w:t>
      </w:r>
      <w:r w:rsidRPr="00A37731">
        <w:t>o</w:t>
      </w:r>
      <w:r w:rsidRPr="00A37731">
        <w:t>ranique. Quoi qu'il en soit, il est le fils à sacrifier par son père. C'est cette mort annoncée du fils que les musu</w:t>
      </w:r>
      <w:r w:rsidRPr="00A37731">
        <w:t>l</w:t>
      </w:r>
      <w:r w:rsidRPr="00A37731">
        <w:t>mans célèbrent lors du sacrifice comm</w:t>
      </w:r>
      <w:r w:rsidRPr="00A37731">
        <w:t>é</w:t>
      </w:r>
      <w:r w:rsidRPr="00A37731">
        <w:t>moratif de l'Aïd, en rendant gloire au Père des Croyants, au « sacrifice d'Abraham ». Celui-ci était sans doute to</w:t>
      </w:r>
      <w:r w:rsidRPr="00A37731">
        <w:t>u</w:t>
      </w:r>
      <w:r w:rsidRPr="00A37731">
        <w:t>ché dans son amour de père, mais pas dans sa vie.</w:t>
      </w:r>
    </w:p>
  </w:footnote>
  <w:footnote w:id="139">
    <w:p w:rsidR="00B7214C" w:rsidRDefault="00B7214C" w:rsidP="00B7214C">
      <w:pPr>
        <w:pStyle w:val="Notedebasdepage"/>
      </w:pPr>
      <w:r>
        <w:rPr>
          <w:rStyle w:val="Appelnotedebasdep"/>
        </w:rPr>
        <w:footnoteRef/>
      </w:r>
      <w:r>
        <w:t xml:space="preserve"> </w:t>
      </w:r>
      <w:r>
        <w:tab/>
      </w:r>
      <w:r w:rsidRPr="00A37731">
        <w:t xml:space="preserve">Voir G. David, « La stérilité masculine : le déni du mâle », </w:t>
      </w:r>
      <w:r w:rsidRPr="00576A74">
        <w:rPr>
          <w:i/>
          <w:iCs/>
        </w:rPr>
        <w:t>Le genre h</w:t>
      </w:r>
      <w:r w:rsidRPr="00576A74">
        <w:rPr>
          <w:i/>
          <w:iCs/>
        </w:rPr>
        <w:t>u</w:t>
      </w:r>
      <w:r w:rsidRPr="00576A74">
        <w:rPr>
          <w:i/>
          <w:iCs/>
        </w:rPr>
        <w:t>main,</w:t>
      </w:r>
      <w:r w:rsidRPr="00A37731">
        <w:t xml:space="preserve"> 1984, n°</w:t>
      </w:r>
      <w:r>
        <w:t> </w:t>
      </w:r>
      <w:r w:rsidRPr="00A37731">
        <w:t>10, p. 23-38. Il n'est pas peu troublant de ra</w:t>
      </w:r>
      <w:r w:rsidRPr="00A37731">
        <w:t>p</w:t>
      </w:r>
      <w:r w:rsidRPr="00A37731">
        <w:t>peler que Marie, la mère de Jésus, elle aussi, peut être regardée co</w:t>
      </w:r>
      <w:r w:rsidRPr="00A37731">
        <w:t>m</w:t>
      </w:r>
      <w:r w:rsidRPr="00A37731">
        <w:t>me une mère « artificielle », ce qui en dit long sur la représentation de la chair masculine, voir mon a</w:t>
      </w:r>
      <w:r w:rsidRPr="00A37731">
        <w:t>r</w:t>
      </w:r>
      <w:r w:rsidRPr="00A37731">
        <w:t xml:space="preserve">ticle « Du verbe et de la chair », </w:t>
      </w:r>
      <w:r w:rsidRPr="00576A74">
        <w:rPr>
          <w:i/>
          <w:iCs/>
        </w:rPr>
        <w:t>Conjonctures,</w:t>
      </w:r>
      <w:r w:rsidRPr="00A37731">
        <w:t xml:space="preserve"> 1991, n°</w:t>
      </w:r>
      <w:r>
        <w:t> </w:t>
      </w:r>
      <w:r w:rsidRPr="00A37731">
        <w:t>15, p</w:t>
      </w:r>
      <w:r>
        <w:t>p</w:t>
      </w:r>
      <w:r w:rsidRPr="00A37731">
        <w:t>. 33-50.</w:t>
      </w:r>
    </w:p>
  </w:footnote>
  <w:footnote w:id="140">
    <w:p w:rsidR="00B7214C" w:rsidRDefault="00B7214C" w:rsidP="00B7214C">
      <w:pPr>
        <w:pStyle w:val="Notedebasdepage"/>
      </w:pPr>
      <w:r>
        <w:rPr>
          <w:rStyle w:val="Appelnotedebasdep"/>
        </w:rPr>
        <w:footnoteRef/>
      </w:r>
      <w:r>
        <w:t xml:space="preserve"> </w:t>
      </w:r>
      <w:r>
        <w:tab/>
      </w:r>
      <w:r w:rsidRPr="00A37731">
        <w:t>Même aux yeux des analystes actuels. Voir Arkoun et Sibony, c</w:t>
      </w:r>
      <w:r w:rsidRPr="00A37731">
        <w:t>i</w:t>
      </w:r>
      <w:r w:rsidRPr="00A37731">
        <w:t xml:space="preserve">tés. Voir aussi Th. Hentsch, « Mutilation des peuples, mutilation des mythes ». </w:t>
      </w:r>
      <w:r w:rsidRPr="00576A74">
        <w:rPr>
          <w:i/>
          <w:iCs/>
        </w:rPr>
        <w:t>Conjonctures,</w:t>
      </w:r>
      <w:r w:rsidRPr="00A37731">
        <w:t xml:space="preserve"> n°</w:t>
      </w:r>
      <w:r>
        <w:t> </w:t>
      </w:r>
      <w:r w:rsidRPr="00A37731">
        <w:t>15, p</w:t>
      </w:r>
      <w:r>
        <w:t>p</w:t>
      </w:r>
      <w:r w:rsidRPr="00A37731">
        <w:t>. 59-76. De</w:t>
      </w:r>
      <w:r w:rsidRPr="00A37731">
        <w:t>r</w:t>
      </w:r>
      <w:r w:rsidRPr="00A37731">
        <w:t xml:space="preserve">rida, bien sûr, n'y est pas insensible dans « Donner la mort » (dans </w:t>
      </w:r>
      <w:r w:rsidRPr="00576A74">
        <w:rPr>
          <w:i/>
          <w:iCs/>
        </w:rPr>
        <w:t>L'éthique du don,</w:t>
      </w:r>
      <w:r w:rsidRPr="00A37731">
        <w:t xml:space="preserve"> Ja</w:t>
      </w:r>
      <w:r w:rsidRPr="00A37731">
        <w:t>c</w:t>
      </w:r>
      <w:r w:rsidRPr="00A37731">
        <w:t>ques Derrida et la pensée du don. Colloque de Royaumont, décembre 1990, Paris, Métaillé, 1992), et n</w:t>
      </w:r>
      <w:r w:rsidRPr="00A37731">
        <w:t>o</w:t>
      </w:r>
      <w:r w:rsidRPr="00A37731">
        <w:t>te « la femme, Sara, est celle à l</w:t>
      </w:r>
      <w:r w:rsidRPr="00A37731">
        <w:t>a</w:t>
      </w:r>
      <w:r w:rsidRPr="00A37731">
        <w:t>quelle rien n'est dit ; [...] Dans l'implacable universalité de la loi, de sa loi, la logique de la responsabilité sacrificielle s</w:t>
      </w:r>
      <w:r w:rsidRPr="00A37731">
        <w:t>e</w:t>
      </w:r>
      <w:r w:rsidRPr="00A37731">
        <w:t>rait-elle altérée, i</w:t>
      </w:r>
      <w:r w:rsidRPr="00A37731">
        <w:t>n</w:t>
      </w:r>
      <w:r w:rsidRPr="00A37731">
        <w:t>fléchie, atténuée, déplacée si une femme y intervenait de façon déterminante ? Le système de cette responsabilité sacr</w:t>
      </w:r>
      <w:r w:rsidRPr="00A37731">
        <w:t>i</w:t>
      </w:r>
      <w:r w:rsidRPr="00A37731">
        <w:t xml:space="preserve">ficielle et du double &lt;donner la mort&gt; est-il au plus profond de lui une exclusion ou un sacrifice de la femme ? </w:t>
      </w:r>
      <w:r w:rsidRPr="00576A74">
        <w:rPr>
          <w:i/>
          <w:iCs/>
        </w:rPr>
        <w:t>De</w:t>
      </w:r>
      <w:r w:rsidRPr="00A37731">
        <w:t xml:space="preserve"> la femme, selon tel ou tel génitif. Laissons ici la question su</w:t>
      </w:r>
      <w:r w:rsidRPr="00A37731">
        <w:t>s</w:t>
      </w:r>
      <w:r w:rsidRPr="00A37731">
        <w:t>pendue. » (Derrida, p. 75).</w:t>
      </w:r>
    </w:p>
  </w:footnote>
  <w:footnote w:id="141">
    <w:p w:rsidR="00B7214C" w:rsidRDefault="00B7214C" w:rsidP="00B7214C">
      <w:pPr>
        <w:pStyle w:val="Notedebasdepage"/>
      </w:pPr>
      <w:r>
        <w:rPr>
          <w:rStyle w:val="Appelnotedebasdep"/>
        </w:rPr>
        <w:footnoteRef/>
      </w:r>
      <w:r>
        <w:t xml:space="preserve"> </w:t>
      </w:r>
      <w:r>
        <w:tab/>
      </w:r>
      <w:r w:rsidRPr="00A37731">
        <w:t>La servante dans la version de l'Ancien Testament, mais Mo</w:t>
      </w:r>
      <w:r w:rsidRPr="00A37731">
        <w:t>u</w:t>
      </w:r>
      <w:r w:rsidRPr="00A37731">
        <w:t xml:space="preserve">barac nous invite en note </w:t>
      </w:r>
      <w:r>
        <w:rPr>
          <w:i/>
          <w:iCs/>
        </w:rPr>
        <w:t>(o</w:t>
      </w:r>
      <w:r w:rsidRPr="00576A74">
        <w:rPr>
          <w:i/>
          <w:iCs/>
        </w:rPr>
        <w:t>p. cit.,</w:t>
      </w:r>
      <w:r w:rsidRPr="00A37731">
        <w:t xml:space="preserve"> p. 69), à « remarquer qu'il n'est nu</w:t>
      </w:r>
      <w:r w:rsidRPr="00A37731">
        <w:t>l</w:t>
      </w:r>
      <w:r w:rsidRPr="00A37731">
        <w:t>le part question dans le Coran d'Ajar ».</w:t>
      </w:r>
    </w:p>
  </w:footnote>
  <w:footnote w:id="142">
    <w:p w:rsidR="00B7214C" w:rsidRDefault="00B7214C" w:rsidP="00B7214C">
      <w:pPr>
        <w:pStyle w:val="Notedebasdepage"/>
      </w:pPr>
      <w:r>
        <w:rPr>
          <w:rStyle w:val="Appelnotedebasdep"/>
        </w:rPr>
        <w:footnoteRef/>
      </w:r>
      <w:r>
        <w:t xml:space="preserve"> </w:t>
      </w:r>
      <w:r>
        <w:tab/>
      </w:r>
      <w:r w:rsidRPr="00A37731">
        <w:t xml:space="preserve">P. Bourdieu, « La croyance et le corps » dans </w:t>
      </w:r>
      <w:r w:rsidRPr="00576A74">
        <w:rPr>
          <w:i/>
          <w:iCs/>
        </w:rPr>
        <w:t>Le sens pratique,</w:t>
      </w:r>
      <w:r w:rsidRPr="00A37731">
        <w:t xml:space="preserve"> Paris, M</w:t>
      </w:r>
      <w:r w:rsidRPr="00A37731">
        <w:t>i</w:t>
      </w:r>
      <w:r w:rsidRPr="00A37731">
        <w:t>nuit, 1980, p. 123.</w:t>
      </w:r>
    </w:p>
  </w:footnote>
  <w:footnote w:id="143">
    <w:p w:rsidR="00B7214C" w:rsidRDefault="00B7214C" w:rsidP="00B7214C">
      <w:pPr>
        <w:pStyle w:val="Notedebasdepage"/>
      </w:pPr>
      <w:r>
        <w:rPr>
          <w:rStyle w:val="Appelnotedebasdep"/>
        </w:rPr>
        <w:footnoteRef/>
      </w:r>
      <w:r>
        <w:t xml:space="preserve"> </w:t>
      </w:r>
      <w:r>
        <w:tab/>
      </w:r>
      <w:r w:rsidRPr="00A37731">
        <w:t>Voir ma communication « L'affirmation politique des femmes et le postf</w:t>
      </w:r>
      <w:r w:rsidRPr="00A37731">
        <w:t>é</w:t>
      </w:r>
      <w:r w:rsidRPr="00A37731">
        <w:t>minisme », ACSALF, Rimouski, 1993.</w:t>
      </w:r>
    </w:p>
  </w:footnote>
  <w:footnote w:id="144">
    <w:p w:rsidR="00B7214C" w:rsidRDefault="00B7214C" w:rsidP="00B7214C">
      <w:pPr>
        <w:pStyle w:val="Notedebasdepage"/>
      </w:pPr>
      <w:r>
        <w:rPr>
          <w:rStyle w:val="Appelnotedebasdep"/>
        </w:rPr>
        <w:footnoteRef/>
      </w:r>
      <w:r>
        <w:t xml:space="preserve"> </w:t>
      </w:r>
      <w:r>
        <w:tab/>
      </w:r>
      <w:r w:rsidRPr="00A37731">
        <w:t>Voir sourate IV, verset 38 : « Les hommes sont supérieurs aux femmes à cause des qualités par lesquelles Dieu a élevé ceux-là au-dessus de celles-ci, et parce que les hommes e</w:t>
      </w:r>
      <w:r w:rsidRPr="00A37731">
        <w:t>m</w:t>
      </w:r>
      <w:r w:rsidRPr="00A37731">
        <w:t>ploient leurs biens pour doter les femmes. »</w:t>
      </w:r>
    </w:p>
  </w:footnote>
  <w:footnote w:id="145">
    <w:p w:rsidR="00B7214C" w:rsidRDefault="00B7214C" w:rsidP="00B7214C">
      <w:pPr>
        <w:pStyle w:val="Notedebasdepage"/>
      </w:pPr>
      <w:r>
        <w:rPr>
          <w:rStyle w:val="Appelnotedebasdep"/>
        </w:rPr>
        <w:footnoteRef/>
      </w:r>
      <w:r>
        <w:t xml:space="preserve"> </w:t>
      </w:r>
      <w:r>
        <w:tab/>
        <w:t>Cette question de la vir</w:t>
      </w:r>
      <w:r w:rsidRPr="00A37731">
        <w:t>ginité - de « la Femme inviolée » - devrait être appr</w:t>
      </w:r>
      <w:r w:rsidRPr="00A37731">
        <w:t>o</w:t>
      </w:r>
      <w:r w:rsidRPr="00A37731">
        <w:t>fondie. Elle doit renvoyer à une gestion de la castr</w:t>
      </w:r>
      <w:r w:rsidRPr="00A37731">
        <w:t>a</w:t>
      </w:r>
      <w:r w:rsidRPr="00A37731">
        <w:t>tion. Il y a sans doute lieu de se garder de transposer tels quels les e</w:t>
      </w:r>
      <w:r w:rsidRPr="00A37731">
        <w:t>n</w:t>
      </w:r>
      <w:r w:rsidRPr="00A37731">
        <w:t>seignements que nous fournit la religion c</w:t>
      </w:r>
      <w:r w:rsidRPr="00A37731">
        <w:t>a</w:t>
      </w:r>
      <w:r w:rsidRPr="00A37731">
        <w:t>tholique. La concernant, voir P. Legendre, « Le sexe de la loi. Remarques sur la division des sexes d'après le mythe chr</w:t>
      </w:r>
      <w:r w:rsidRPr="00A37731">
        <w:t>é</w:t>
      </w:r>
      <w:r w:rsidRPr="00A37731">
        <w:t xml:space="preserve">tien », dans A. Verdeglione (dir.), </w:t>
      </w:r>
      <w:r w:rsidRPr="00576A74">
        <w:rPr>
          <w:i/>
          <w:iCs/>
        </w:rPr>
        <w:t>La sexualité dans les institutions,</w:t>
      </w:r>
      <w:r w:rsidRPr="00A37731">
        <w:t xml:space="preserve"> Paris, Payot, 1978, </w:t>
      </w:r>
      <w:r>
        <w:t>p</w:t>
      </w:r>
      <w:r w:rsidRPr="00A37731">
        <w:t>p. 43-63.</w:t>
      </w:r>
    </w:p>
  </w:footnote>
  <w:footnote w:id="146">
    <w:p w:rsidR="00B7214C" w:rsidRDefault="00B7214C" w:rsidP="00B7214C">
      <w:pPr>
        <w:pStyle w:val="Notedebasdepage"/>
      </w:pPr>
      <w:r>
        <w:rPr>
          <w:rStyle w:val="Appelnotedebasdep"/>
        </w:rPr>
        <w:footnoteRef/>
      </w:r>
      <w:r>
        <w:t xml:space="preserve"> </w:t>
      </w:r>
      <w:r>
        <w:tab/>
      </w:r>
      <w:r w:rsidRPr="00A37731">
        <w:t xml:space="preserve">Sibony, </w:t>
      </w:r>
      <w:r w:rsidRPr="00576A74">
        <w:rPr>
          <w:i/>
          <w:iCs/>
        </w:rPr>
        <w:t>op. cit.,</w:t>
      </w:r>
      <w:r w:rsidRPr="00A37731">
        <w:t xml:space="preserve"> p. 86. Voir aussi</w:t>
      </w:r>
      <w:r>
        <w:t xml:space="preserve"> A. </w:t>
      </w:r>
      <w:r w:rsidRPr="00A37731">
        <w:t xml:space="preserve">Bouhdiba, </w:t>
      </w:r>
      <w:r w:rsidRPr="00576A74">
        <w:rPr>
          <w:i/>
          <w:iCs/>
        </w:rPr>
        <w:t>La sexualité en islam,</w:t>
      </w:r>
      <w:r w:rsidRPr="00A37731">
        <w:t xml:space="preserve"> Paris, Presses universitaires de France, 1975.</w:t>
      </w:r>
    </w:p>
  </w:footnote>
  <w:footnote w:id="147">
    <w:p w:rsidR="00B7214C" w:rsidRDefault="00B7214C" w:rsidP="00B7214C">
      <w:pPr>
        <w:pStyle w:val="Notedebasdepage"/>
      </w:pPr>
      <w:r>
        <w:rPr>
          <w:rStyle w:val="Appelnotedebasdep"/>
        </w:rPr>
        <w:footnoteRef/>
      </w:r>
      <w:r>
        <w:t xml:space="preserve"> </w:t>
      </w:r>
      <w:r>
        <w:tab/>
      </w:r>
      <w:r w:rsidRPr="00A37731">
        <w:t xml:space="preserve">Ch.-R. Ageron, </w:t>
      </w:r>
      <w:r w:rsidRPr="00576A74">
        <w:rPr>
          <w:i/>
          <w:iCs/>
        </w:rPr>
        <w:t>Histoire de l'Algérie,</w:t>
      </w:r>
      <w:r w:rsidRPr="00A37731">
        <w:t xml:space="preserve"> Paris, Presses universita</w:t>
      </w:r>
      <w:r w:rsidRPr="00A37731">
        <w:t>i</w:t>
      </w:r>
      <w:r w:rsidRPr="00A37731">
        <w:t>res de France, Que sais-je ?, 1974, p. 5.</w:t>
      </w:r>
    </w:p>
  </w:footnote>
  <w:footnote w:id="148">
    <w:p w:rsidR="00B7214C" w:rsidRDefault="00B7214C" w:rsidP="00B7214C">
      <w:pPr>
        <w:pStyle w:val="Notedebasdepage"/>
      </w:pPr>
      <w:r>
        <w:rPr>
          <w:rStyle w:val="Appelnotedebasdep"/>
        </w:rPr>
        <w:footnoteRef/>
      </w:r>
      <w:r>
        <w:t xml:space="preserve"> </w:t>
      </w:r>
      <w:r>
        <w:tab/>
      </w:r>
      <w:r w:rsidRPr="00A37731">
        <w:t>Je ne partage certes pas, au regard de l'Algérie, la dési</w:t>
      </w:r>
      <w:r w:rsidRPr="00A37731">
        <w:t>n</w:t>
      </w:r>
      <w:r w:rsidRPr="00A37731">
        <w:t xml:space="preserve">volture de Luc Ferry lorsqu'il écrit dans </w:t>
      </w:r>
      <w:r w:rsidRPr="00576A74">
        <w:rPr>
          <w:i/>
          <w:iCs/>
        </w:rPr>
        <w:t>Le nouvel ordre écologique</w:t>
      </w:r>
      <w:r w:rsidRPr="00A37731">
        <w:t xml:space="preserve"> (Paris, Grasset, 1992, p</w:t>
      </w:r>
      <w:r>
        <w:t>p</w:t>
      </w:r>
      <w:r w:rsidRPr="00A37731">
        <w:t>. 209-210) : « La conquête des peuples du tiers mo</w:t>
      </w:r>
      <w:r w:rsidRPr="00A37731">
        <w:t>n</w:t>
      </w:r>
      <w:r w:rsidRPr="00A37731">
        <w:t>de était-elle inscrite dans la logique de l'universalisme républicain ? Était-ce au contraire une trah</w:t>
      </w:r>
      <w:r w:rsidRPr="00A37731">
        <w:t>i</w:t>
      </w:r>
      <w:r w:rsidRPr="00A37731">
        <w:t>son de ses principes les plus nobles ? Tout bien pesé, la r</w:t>
      </w:r>
      <w:r w:rsidRPr="00A37731">
        <w:t>é</w:t>
      </w:r>
      <w:r w:rsidRPr="00A37731">
        <w:t>ponse importe assez peu au regard de l'histoire, même si elle reste essentielle sur un plan phil</w:t>
      </w:r>
      <w:r w:rsidRPr="00A37731">
        <w:t>o</w:t>
      </w:r>
      <w:r w:rsidRPr="00A37731">
        <w:t>sophique. » Il m'app</w:t>
      </w:r>
      <w:r w:rsidRPr="00A37731">
        <w:t>a</w:t>
      </w:r>
      <w:r w:rsidRPr="00A37731">
        <w:t>raît que cette question n'importe pas peu au regard de l'histoire, sans rien dire de l'histoire de la France, en tout cas de celle de l'A</w:t>
      </w:r>
      <w:r w:rsidRPr="00A37731">
        <w:t>l</w:t>
      </w:r>
      <w:r w:rsidRPr="00A37731">
        <w:t>gérie.</w:t>
      </w:r>
    </w:p>
  </w:footnote>
  <w:footnote w:id="149">
    <w:p w:rsidR="00B7214C" w:rsidRDefault="00B7214C" w:rsidP="00B7214C">
      <w:pPr>
        <w:pStyle w:val="Notedebasdepage"/>
      </w:pPr>
      <w:r>
        <w:rPr>
          <w:rStyle w:val="Appelnotedebasdep"/>
        </w:rPr>
        <w:footnoteRef/>
      </w:r>
      <w:r>
        <w:t xml:space="preserve"> </w:t>
      </w:r>
      <w:r>
        <w:tab/>
      </w:r>
      <w:r w:rsidRPr="00A37731">
        <w:t xml:space="preserve">Voir, par exemple, Ch.-R. Ageron, </w:t>
      </w:r>
      <w:r w:rsidRPr="00576A74">
        <w:rPr>
          <w:i/>
          <w:iCs/>
        </w:rPr>
        <w:t>Histoire de l'Algérie contemp</w:t>
      </w:r>
      <w:r w:rsidRPr="00576A74">
        <w:rPr>
          <w:i/>
          <w:iCs/>
        </w:rPr>
        <w:t>o</w:t>
      </w:r>
      <w:r w:rsidRPr="00576A74">
        <w:rPr>
          <w:i/>
          <w:iCs/>
        </w:rPr>
        <w:t>raine,</w:t>
      </w:r>
      <w:r w:rsidRPr="00A37731">
        <w:t xml:space="preserve"> 1871-1954, Paris, Presses universitaires de France, 1979.</w:t>
      </w:r>
    </w:p>
  </w:footnote>
  <w:footnote w:id="150">
    <w:p w:rsidR="00B7214C" w:rsidRDefault="00B7214C" w:rsidP="00B7214C">
      <w:pPr>
        <w:pStyle w:val="Notedebasdepage"/>
      </w:pPr>
      <w:r>
        <w:rPr>
          <w:rStyle w:val="Appelnotedebasdep"/>
        </w:rPr>
        <w:footnoteRef/>
      </w:r>
      <w:r>
        <w:t xml:space="preserve"> </w:t>
      </w:r>
      <w:r>
        <w:tab/>
      </w:r>
      <w:r w:rsidRPr="00576A74">
        <w:rPr>
          <w:i/>
          <w:iCs/>
        </w:rPr>
        <w:t>Ibid.</w:t>
      </w:r>
      <w:r w:rsidRPr="00A37731">
        <w:t xml:space="preserve"> p. 168.</w:t>
      </w:r>
    </w:p>
  </w:footnote>
  <w:footnote w:id="151">
    <w:p w:rsidR="00B7214C" w:rsidRDefault="00B7214C" w:rsidP="00B7214C">
      <w:pPr>
        <w:pStyle w:val="Notedebasdepage"/>
      </w:pPr>
      <w:r>
        <w:rPr>
          <w:rStyle w:val="Appelnotedebasdep"/>
        </w:rPr>
        <w:footnoteRef/>
      </w:r>
      <w:r>
        <w:t xml:space="preserve"> </w:t>
      </w:r>
      <w:r>
        <w:tab/>
      </w:r>
      <w:r w:rsidRPr="00A37731">
        <w:t>Elle réglementa quelque peu la répudiation en 1959, quand l'i</w:t>
      </w:r>
      <w:r w:rsidRPr="00A37731">
        <w:t>s</w:t>
      </w:r>
      <w:r w:rsidRPr="00A37731">
        <w:t>sue de la lutte pour l'indépendance était inéluctable.</w:t>
      </w:r>
    </w:p>
  </w:footnote>
  <w:footnote w:id="152">
    <w:p w:rsidR="00B7214C" w:rsidRDefault="00B7214C" w:rsidP="00B7214C">
      <w:pPr>
        <w:pStyle w:val="Notedebasdepage"/>
      </w:pPr>
      <w:r>
        <w:rPr>
          <w:rStyle w:val="Appelnotedebasdep"/>
        </w:rPr>
        <w:footnoteRef/>
      </w:r>
      <w:r>
        <w:t xml:space="preserve"> </w:t>
      </w:r>
      <w:r>
        <w:tab/>
      </w:r>
      <w:r w:rsidRPr="00A37731">
        <w:t xml:space="preserve">Voir J.P. Charnay, </w:t>
      </w:r>
      <w:r w:rsidRPr="00576A74">
        <w:rPr>
          <w:i/>
          <w:iCs/>
        </w:rPr>
        <w:t>La vie musulmane en Algérie,</w:t>
      </w:r>
      <w:r w:rsidRPr="00A37731">
        <w:t xml:space="preserve"> d'après la j</w:t>
      </w:r>
      <w:r w:rsidRPr="00A37731">
        <w:t>u</w:t>
      </w:r>
      <w:r w:rsidRPr="00A37731">
        <w:t>risprudence de la première moitié du XX</w:t>
      </w:r>
      <w:r w:rsidRPr="00442749">
        <w:rPr>
          <w:vertAlign w:val="superscript"/>
        </w:rPr>
        <w:t>e</w:t>
      </w:r>
      <w:r w:rsidRPr="00A37731">
        <w:t xml:space="preserve"> siècle, Paris, Presses univers</w:t>
      </w:r>
      <w:r w:rsidRPr="00A37731">
        <w:t>i</w:t>
      </w:r>
      <w:r w:rsidRPr="00A37731">
        <w:t>taires de France, 1965, rééd. 1991.</w:t>
      </w:r>
    </w:p>
  </w:footnote>
  <w:footnote w:id="153">
    <w:p w:rsidR="00B7214C" w:rsidRDefault="00B7214C" w:rsidP="00B7214C">
      <w:pPr>
        <w:pStyle w:val="Notedebasdepage"/>
      </w:pPr>
      <w:r>
        <w:rPr>
          <w:rStyle w:val="Appelnotedebasdep"/>
        </w:rPr>
        <w:footnoteRef/>
      </w:r>
      <w:r>
        <w:t xml:space="preserve"> </w:t>
      </w:r>
      <w:r>
        <w:tab/>
      </w:r>
      <w:r w:rsidRPr="00A37731">
        <w:t>Lorsqu'un conflit familial surgissait et qu'il n'était pas r</w:t>
      </w:r>
      <w:r w:rsidRPr="00A37731">
        <w:t>é</w:t>
      </w:r>
      <w:r w:rsidRPr="00A37731">
        <w:t>glé par le cadi (le juge musulman en matière de statut personnel), il pouvait venir devant le j</w:t>
      </w:r>
      <w:r w:rsidRPr="00A37731">
        <w:t>u</w:t>
      </w:r>
      <w:r w:rsidRPr="00A37731">
        <w:t>ge français. Charnay a répe</w:t>
      </w:r>
      <w:r w:rsidRPr="00A37731">
        <w:t>r</w:t>
      </w:r>
      <w:r w:rsidRPr="00A37731">
        <w:t>torié des cas où « au-delà du respect du droit musulman, le juge français soit, inconscie</w:t>
      </w:r>
      <w:r w:rsidRPr="00A37731">
        <w:t>m</w:t>
      </w:r>
      <w:r w:rsidRPr="00A37731">
        <w:t>ment sans doute, influencé par la supériorité masculine qui, partout encore, domine le Ma</w:t>
      </w:r>
      <w:r w:rsidRPr="00A37731">
        <w:t>g</w:t>
      </w:r>
      <w:r w:rsidRPr="00A37731">
        <w:t xml:space="preserve">hreb », comme il l'écrit benoîtement, </w:t>
      </w:r>
      <w:r w:rsidRPr="00576A74">
        <w:rPr>
          <w:i/>
          <w:iCs/>
        </w:rPr>
        <w:t>op. cit.,</w:t>
      </w:r>
      <w:r>
        <w:rPr>
          <w:iCs/>
        </w:rPr>
        <w:t xml:space="preserve"> </w:t>
      </w:r>
      <w:r w:rsidRPr="00A37731">
        <w:t>p. 26.</w:t>
      </w:r>
    </w:p>
  </w:footnote>
  <w:footnote w:id="154">
    <w:p w:rsidR="00B7214C" w:rsidRDefault="00B7214C" w:rsidP="00B7214C">
      <w:pPr>
        <w:pStyle w:val="Notedebasdepage"/>
      </w:pPr>
      <w:r>
        <w:rPr>
          <w:rStyle w:val="Appelnotedebasdep"/>
        </w:rPr>
        <w:footnoteRef/>
      </w:r>
      <w:r>
        <w:t xml:space="preserve"> </w:t>
      </w:r>
      <w:r>
        <w:tab/>
      </w:r>
      <w:r w:rsidRPr="00A37731">
        <w:t xml:space="preserve">Voir, par exemple, M. Harbi, </w:t>
      </w:r>
      <w:r w:rsidRPr="00576A74">
        <w:rPr>
          <w:i/>
          <w:iCs/>
        </w:rPr>
        <w:t>L'Algérie et son destin,</w:t>
      </w:r>
      <w:r w:rsidRPr="00A37731">
        <w:t xml:space="preserve"> Croyants ou citoyens, Paris, L'Arcantère, 1992.</w:t>
      </w:r>
    </w:p>
  </w:footnote>
  <w:footnote w:id="155">
    <w:p w:rsidR="00B7214C" w:rsidRDefault="00B7214C" w:rsidP="00B7214C">
      <w:pPr>
        <w:pStyle w:val="Notedebasdepage"/>
      </w:pPr>
      <w:r>
        <w:rPr>
          <w:rStyle w:val="Appelnotedebasdep"/>
        </w:rPr>
        <w:footnoteRef/>
      </w:r>
      <w:r>
        <w:t xml:space="preserve"> </w:t>
      </w:r>
      <w:r>
        <w:tab/>
      </w:r>
      <w:r w:rsidRPr="00A37731">
        <w:t>Pour mémoire, le cirque de la fraternisation, organisé par l'épouse du gén</w:t>
      </w:r>
      <w:r w:rsidRPr="00A37731">
        <w:t>é</w:t>
      </w:r>
      <w:r w:rsidRPr="00A37731">
        <w:t>ral Massu en mai 1958, s'est terminé sur l'immolation de que</w:t>
      </w:r>
      <w:r w:rsidRPr="00A37731">
        <w:t>l</w:t>
      </w:r>
      <w:r w:rsidRPr="00A37731">
        <w:t>ques voiles par le feu.</w:t>
      </w:r>
    </w:p>
  </w:footnote>
  <w:footnote w:id="156">
    <w:p w:rsidR="00B7214C" w:rsidRDefault="00B7214C" w:rsidP="00B7214C">
      <w:pPr>
        <w:pStyle w:val="Notedebasdepage"/>
      </w:pPr>
      <w:r>
        <w:rPr>
          <w:rStyle w:val="Appelnotedebasdep"/>
        </w:rPr>
        <w:footnoteRef/>
      </w:r>
      <w:r>
        <w:t xml:space="preserve"> </w:t>
      </w:r>
      <w:r>
        <w:tab/>
      </w:r>
      <w:r w:rsidRPr="00A37731">
        <w:t>Il n'est sans doute pas le seul mais sa figure est exemplaire.</w:t>
      </w:r>
    </w:p>
  </w:footnote>
  <w:footnote w:id="157">
    <w:p w:rsidR="00B7214C" w:rsidRDefault="00B7214C" w:rsidP="00B7214C">
      <w:pPr>
        <w:pStyle w:val="Notedebasdepage"/>
      </w:pPr>
      <w:r>
        <w:rPr>
          <w:rStyle w:val="Appelnotedebasdep"/>
        </w:rPr>
        <w:footnoteRef/>
      </w:r>
      <w:r>
        <w:t xml:space="preserve"> </w:t>
      </w:r>
      <w:r>
        <w:tab/>
      </w:r>
      <w:r w:rsidRPr="00DE703F">
        <w:rPr>
          <w:iCs/>
        </w:rPr>
        <w:t xml:space="preserve">Dans </w:t>
      </w:r>
      <w:r w:rsidRPr="00DE703F">
        <w:t>L'an V de la révolution algérienne,</w:t>
      </w:r>
      <w:r w:rsidRPr="00DE703F">
        <w:rPr>
          <w:iCs/>
        </w:rPr>
        <w:t xml:space="preserve"> Paris, Maspero, 1959.</w:t>
      </w:r>
    </w:p>
  </w:footnote>
  <w:footnote w:id="158">
    <w:p w:rsidR="00B7214C" w:rsidRDefault="00B7214C" w:rsidP="00B7214C">
      <w:pPr>
        <w:pStyle w:val="Notedebasdepage"/>
      </w:pPr>
      <w:r>
        <w:rPr>
          <w:rStyle w:val="Appelnotedebasdep"/>
        </w:rPr>
        <w:footnoteRef/>
      </w:r>
      <w:r>
        <w:t xml:space="preserve"> </w:t>
      </w:r>
      <w:r>
        <w:tab/>
      </w:r>
      <w:r w:rsidRPr="00A37731">
        <w:t>J'ai développé ce point dans « l'antihéroïne dans la révolution algé</w:t>
      </w:r>
      <w:r>
        <w:t>rienne », dans Yolande</w:t>
      </w:r>
      <w:r w:rsidRPr="00A37731">
        <w:t xml:space="preserve"> Cohen (dir.). </w:t>
      </w:r>
      <w:hyperlink r:id="rId4" w:history="1">
        <w:r w:rsidRPr="00DE703F">
          <w:rPr>
            <w:rStyle w:val="Lienhypertexte"/>
            <w:i/>
            <w:iCs/>
          </w:rPr>
          <w:t>Femmes et contre-pouvoirs</w:t>
        </w:r>
      </w:hyperlink>
      <w:r w:rsidRPr="00576A74">
        <w:rPr>
          <w:i/>
          <w:iCs/>
        </w:rPr>
        <w:t>,</w:t>
      </w:r>
      <w:r w:rsidRPr="00A37731">
        <w:t xml:space="preserve"> Mo</w:t>
      </w:r>
      <w:r w:rsidRPr="00A37731">
        <w:t>n</w:t>
      </w:r>
      <w:r w:rsidRPr="00A37731">
        <w:t>tréal, Boréal, 1987, p</w:t>
      </w:r>
      <w:r>
        <w:t>p</w:t>
      </w:r>
      <w:r w:rsidRPr="00A37731">
        <w:t>. 71-78.</w:t>
      </w:r>
    </w:p>
  </w:footnote>
  <w:footnote w:id="159">
    <w:p w:rsidR="00B7214C" w:rsidRDefault="00B7214C" w:rsidP="00B7214C">
      <w:pPr>
        <w:pStyle w:val="Notedebasdepage"/>
      </w:pPr>
      <w:r>
        <w:rPr>
          <w:rStyle w:val="Appelnotedebasdep"/>
        </w:rPr>
        <w:footnoteRef/>
      </w:r>
      <w:r>
        <w:t xml:space="preserve"> </w:t>
      </w:r>
      <w:r>
        <w:tab/>
      </w:r>
      <w:r w:rsidRPr="00A37731">
        <w:t>Ce slogan a couvert les murs d'Alger pour prévenir Ben Bella que ses jours étaient comptés ; il reste, me semble-t-il, le slogan qui condense le mieux les dits et les non-dits et de la lutte de libération nationale et des premières a</w:t>
      </w:r>
      <w:r w:rsidRPr="00A37731">
        <w:t>n</w:t>
      </w:r>
      <w:r w:rsidRPr="00A37731">
        <w:t>nées de l'indépendance (plus de la pr</w:t>
      </w:r>
      <w:r w:rsidRPr="00A37731">
        <w:t>e</w:t>
      </w:r>
      <w:r w:rsidRPr="00A37731">
        <w:t>mière décennie) ; il ne faudrait pas trop vite le réduire à l'expression du populisme.</w:t>
      </w:r>
    </w:p>
  </w:footnote>
  <w:footnote w:id="160">
    <w:p w:rsidR="00B7214C" w:rsidRDefault="00B7214C" w:rsidP="00B7214C">
      <w:pPr>
        <w:pStyle w:val="Notedebasdepage"/>
      </w:pPr>
      <w:r>
        <w:rPr>
          <w:rStyle w:val="Appelnotedebasdep"/>
        </w:rPr>
        <w:footnoteRef/>
      </w:r>
      <w:r>
        <w:t xml:space="preserve"> </w:t>
      </w:r>
      <w:r>
        <w:tab/>
      </w:r>
      <w:r w:rsidRPr="00DE703F">
        <w:rPr>
          <w:iCs/>
        </w:rPr>
        <w:t xml:space="preserve">Voir A. Merad, </w:t>
      </w:r>
      <w:r w:rsidRPr="00DE703F">
        <w:rPr>
          <w:i/>
        </w:rPr>
        <w:t>Le réformisme musulman en Algérie de 1925 à 1940</w:t>
      </w:r>
      <w:r w:rsidRPr="00DE703F">
        <w:t>,</w:t>
      </w:r>
      <w:r w:rsidRPr="00DE703F">
        <w:rPr>
          <w:iCs/>
        </w:rPr>
        <w:t xml:space="preserve"> Paris-La Haye, Mouton, 1967.</w:t>
      </w:r>
    </w:p>
  </w:footnote>
  <w:footnote w:id="161">
    <w:p w:rsidR="00B7214C" w:rsidRDefault="00B7214C" w:rsidP="00B7214C">
      <w:pPr>
        <w:pStyle w:val="Notedebasdepage"/>
      </w:pPr>
      <w:r>
        <w:rPr>
          <w:rStyle w:val="Appelnotedebasdep"/>
        </w:rPr>
        <w:footnoteRef/>
      </w:r>
      <w:r>
        <w:t xml:space="preserve"> </w:t>
      </w:r>
      <w:r>
        <w:tab/>
      </w:r>
      <w:r w:rsidRPr="00A37731">
        <w:t xml:space="preserve">Voir, par exemple, les diverses indications que fournit M. Arkoun dans </w:t>
      </w:r>
      <w:r w:rsidRPr="00576A74">
        <w:rPr>
          <w:i/>
          <w:iCs/>
        </w:rPr>
        <w:t>O</w:t>
      </w:r>
      <w:r w:rsidRPr="00576A74">
        <w:rPr>
          <w:i/>
          <w:iCs/>
        </w:rPr>
        <w:t>u</w:t>
      </w:r>
      <w:r w:rsidRPr="00576A74">
        <w:rPr>
          <w:i/>
          <w:iCs/>
        </w:rPr>
        <w:t>vertures sur l'islam, op. cit.</w:t>
      </w:r>
      <w:r w:rsidRPr="00A37731">
        <w:t xml:space="preserve"> Voir aussi S. Naïr, </w:t>
      </w:r>
      <w:r w:rsidRPr="00576A74">
        <w:rPr>
          <w:i/>
          <w:iCs/>
        </w:rPr>
        <w:t>Le diff</w:t>
      </w:r>
      <w:r w:rsidRPr="00576A74">
        <w:rPr>
          <w:i/>
          <w:iCs/>
        </w:rPr>
        <w:t>é</w:t>
      </w:r>
      <w:r w:rsidRPr="00576A74">
        <w:rPr>
          <w:i/>
          <w:iCs/>
        </w:rPr>
        <w:t>rend méditerranéen,</w:t>
      </w:r>
      <w:r w:rsidRPr="00A37731">
        <w:t xml:space="preserve"> Essais sur les limites de la démocratie au Ma</w:t>
      </w:r>
      <w:r w:rsidRPr="00A37731">
        <w:t>g</w:t>
      </w:r>
      <w:r w:rsidRPr="00A37731">
        <w:t>hreb et dans les pays du tiers-monde, P</w:t>
      </w:r>
      <w:r w:rsidRPr="00A37731">
        <w:t>a</w:t>
      </w:r>
      <w:r w:rsidRPr="00A37731">
        <w:t>ris, Kimé, 1992.</w:t>
      </w:r>
    </w:p>
  </w:footnote>
  <w:footnote w:id="162">
    <w:p w:rsidR="00B7214C" w:rsidRDefault="00B7214C" w:rsidP="00B7214C">
      <w:pPr>
        <w:pStyle w:val="Notedebasdepage"/>
      </w:pPr>
      <w:r>
        <w:rPr>
          <w:rStyle w:val="Appelnotedebasdep"/>
        </w:rPr>
        <w:footnoteRef/>
      </w:r>
      <w:r>
        <w:t xml:space="preserve"> </w:t>
      </w:r>
      <w:r>
        <w:tab/>
      </w:r>
      <w:r w:rsidRPr="00A37731">
        <w:t xml:space="preserve">Voir A. Corten et M.B. Tahon, </w:t>
      </w:r>
      <w:r w:rsidRPr="00576A74">
        <w:rPr>
          <w:iCs/>
        </w:rPr>
        <w:t>L'État nourricier,</w:t>
      </w:r>
      <w:r w:rsidRPr="00A37731">
        <w:t xml:space="preserve"> </w:t>
      </w:r>
      <w:r w:rsidRPr="00DE703F">
        <w:t>Prolétariat et p</w:t>
      </w:r>
      <w:r w:rsidRPr="00DE703F">
        <w:t>o</w:t>
      </w:r>
      <w:r w:rsidRPr="00DE703F">
        <w:t>pulation, Mexique/Algérie</w:t>
      </w:r>
      <w:r w:rsidRPr="00A37731">
        <w:t>, Paris, L'Harmattan, 1988. Voir aussi les travaux de J. L</w:t>
      </w:r>
      <w:r w:rsidRPr="00A37731">
        <w:t>e</w:t>
      </w:r>
      <w:r w:rsidRPr="00A37731">
        <w:t xml:space="preserve">ca et J.C. Vatin, notamment </w:t>
      </w:r>
      <w:hyperlink r:id="rId5" w:history="1">
        <w:r w:rsidRPr="00DE703F">
          <w:rPr>
            <w:rStyle w:val="Lienhypertexte"/>
            <w:i/>
            <w:iCs/>
          </w:rPr>
          <w:t>L'Algérie politique, institutions et régimes</w:t>
        </w:r>
      </w:hyperlink>
      <w:r w:rsidRPr="00576A74">
        <w:rPr>
          <w:iCs/>
        </w:rPr>
        <w:t>,</w:t>
      </w:r>
      <w:r w:rsidRPr="00A37731">
        <w:t xml:space="preserve"> P</w:t>
      </w:r>
      <w:r w:rsidRPr="00A37731">
        <w:t>a</w:t>
      </w:r>
      <w:r w:rsidRPr="00A37731">
        <w:t>ris, Presses de la fondation nationale des sciences politiques, 1975 et « Le sy</w:t>
      </w:r>
      <w:r>
        <w:t>s</w:t>
      </w:r>
      <w:r>
        <w:t>tème politique algérien (1976-</w:t>
      </w:r>
      <w:r w:rsidRPr="00A37731">
        <w:t xml:space="preserve">1978) », dans </w:t>
      </w:r>
      <w:r w:rsidRPr="00576A74">
        <w:rPr>
          <w:iCs/>
        </w:rPr>
        <w:t>Développements politiques au Maghreb,</w:t>
      </w:r>
      <w:r w:rsidRPr="00A37731">
        <w:t xml:space="preserve"> P</w:t>
      </w:r>
      <w:r>
        <w:t>aris, Ed. du CNRS, 1979, pp. 15-</w:t>
      </w:r>
      <w:r w:rsidRPr="00A37731">
        <w:t>80.</w:t>
      </w:r>
    </w:p>
  </w:footnote>
  <w:footnote w:id="163">
    <w:p w:rsidR="00B7214C" w:rsidRDefault="00B7214C" w:rsidP="00B7214C">
      <w:pPr>
        <w:pStyle w:val="Notedebasdepage"/>
      </w:pPr>
      <w:r>
        <w:rPr>
          <w:rStyle w:val="Appelnotedebasdep"/>
        </w:rPr>
        <w:footnoteRef/>
      </w:r>
      <w:r>
        <w:t xml:space="preserve"> </w:t>
      </w:r>
      <w:r>
        <w:tab/>
      </w:r>
      <w:r w:rsidRPr="00A37731">
        <w:t xml:space="preserve">H. Benkheira, « présentation ». </w:t>
      </w:r>
      <w:r w:rsidRPr="00576A74">
        <w:rPr>
          <w:i/>
          <w:iCs/>
        </w:rPr>
        <w:t>Peuples méditerranéens, op. cit.,</w:t>
      </w:r>
      <w:r w:rsidRPr="00A37731">
        <w:t xml:space="preserve"> p. 6.</w:t>
      </w:r>
    </w:p>
  </w:footnote>
  <w:footnote w:id="164">
    <w:p w:rsidR="00B7214C" w:rsidRDefault="00B7214C" w:rsidP="00B7214C">
      <w:pPr>
        <w:pStyle w:val="Notedebasdepage"/>
      </w:pPr>
      <w:r>
        <w:rPr>
          <w:rStyle w:val="Appelnotedebasdep"/>
        </w:rPr>
        <w:footnoteRef/>
      </w:r>
      <w:r>
        <w:t xml:space="preserve"> </w:t>
      </w:r>
      <w:r>
        <w:tab/>
      </w:r>
      <w:r w:rsidRPr="00A37731">
        <w:t xml:space="preserve">Voir Deheuvels, </w:t>
      </w:r>
      <w:r w:rsidRPr="00576A74">
        <w:rPr>
          <w:i/>
          <w:iCs/>
        </w:rPr>
        <w:t>op. cit..</w:t>
      </w:r>
    </w:p>
  </w:footnote>
  <w:footnote w:id="165">
    <w:p w:rsidR="00B7214C" w:rsidRDefault="00B7214C" w:rsidP="00B7214C">
      <w:pPr>
        <w:pStyle w:val="Notedebasdepage"/>
      </w:pPr>
      <w:r>
        <w:rPr>
          <w:rStyle w:val="Appelnotedebasdep"/>
        </w:rPr>
        <w:footnoteRef/>
      </w:r>
      <w:r>
        <w:t xml:space="preserve"> </w:t>
      </w:r>
      <w:r>
        <w:tab/>
      </w:r>
      <w:r w:rsidRPr="00A37731">
        <w:t>Il a été limogé en août 1993 et remplacé par R. Malek qui joua un rôle i</w:t>
      </w:r>
      <w:r w:rsidRPr="00A37731">
        <w:t>m</w:t>
      </w:r>
      <w:r w:rsidRPr="00A37731">
        <w:t>portant dans la libération des otages amér</w:t>
      </w:r>
      <w:r w:rsidRPr="00A37731">
        <w:t>i</w:t>
      </w:r>
      <w:r w:rsidRPr="00A37731">
        <w:t>cains en Iran.</w:t>
      </w:r>
    </w:p>
  </w:footnote>
  <w:footnote w:id="166">
    <w:p w:rsidR="00B7214C" w:rsidRDefault="00B7214C" w:rsidP="00B7214C">
      <w:pPr>
        <w:pStyle w:val="Notedebasdepage"/>
      </w:pPr>
      <w:r>
        <w:rPr>
          <w:rStyle w:val="Appelnotedebasdep"/>
        </w:rPr>
        <w:footnoteRef/>
      </w:r>
      <w:r>
        <w:t xml:space="preserve"> </w:t>
      </w:r>
      <w:r>
        <w:tab/>
      </w:r>
      <w:r w:rsidRPr="00A37731">
        <w:t>UGTA = Union générale des travailleurs algériens ; UNPA = Union nati</w:t>
      </w:r>
      <w:r w:rsidRPr="00A37731">
        <w:t>o</w:t>
      </w:r>
      <w:r w:rsidRPr="00A37731">
        <w:t>nale des paysans algériens ; UNJ A = Union nationale de la jeunesse alg</w:t>
      </w:r>
      <w:r w:rsidRPr="00A37731">
        <w:t>é</w:t>
      </w:r>
      <w:r w:rsidRPr="00A37731">
        <w:t>rienne. Existait aussi une organ</w:t>
      </w:r>
      <w:r w:rsidRPr="00A37731">
        <w:t>i</w:t>
      </w:r>
      <w:r w:rsidRPr="00A37731">
        <w:t>sation de masse de femmes : l'UNFA.</w:t>
      </w:r>
    </w:p>
  </w:footnote>
  <w:footnote w:id="167">
    <w:p w:rsidR="00B7214C" w:rsidRDefault="00B7214C" w:rsidP="00B7214C">
      <w:pPr>
        <w:pStyle w:val="Notedebasdepage"/>
      </w:pPr>
      <w:r>
        <w:rPr>
          <w:rStyle w:val="Appelnotedebasdep"/>
        </w:rPr>
        <w:footnoteRef/>
      </w:r>
      <w:r>
        <w:t xml:space="preserve"> </w:t>
      </w:r>
      <w:r>
        <w:tab/>
      </w:r>
      <w:r w:rsidRPr="00A37731">
        <w:t xml:space="preserve">J'ai développé cette analyse dans « En Algérie : des citoyennes </w:t>
      </w:r>
      <w:r>
        <w:t>“</w:t>
      </w:r>
      <w:r w:rsidRPr="00A37731">
        <w:t>à part enti</w:t>
      </w:r>
      <w:r w:rsidRPr="00A37731">
        <w:t>è</w:t>
      </w:r>
      <w:r w:rsidRPr="00A37731">
        <w:t>re</w:t>
      </w:r>
      <w:r>
        <w:t>”</w:t>
      </w:r>
      <w:r w:rsidRPr="00A37731">
        <w:t> », Actes des tables rondes intern</w:t>
      </w:r>
      <w:r w:rsidRPr="00A37731">
        <w:t>a</w:t>
      </w:r>
      <w:r w:rsidRPr="00A37731">
        <w:t xml:space="preserve">tionales, </w:t>
      </w:r>
      <w:r w:rsidRPr="00576A74">
        <w:rPr>
          <w:i/>
          <w:iCs/>
        </w:rPr>
        <w:t>Genèse de l'État moderne,</w:t>
      </w:r>
      <w:r w:rsidRPr="00A37731">
        <w:t xml:space="preserve"> Approches historique et anthropologique des pratiques et des représent</w:t>
      </w:r>
      <w:r w:rsidRPr="00A37731">
        <w:t>a</w:t>
      </w:r>
      <w:r w:rsidRPr="00A37731">
        <w:t>tions, Rome, Ecole française de Rome, 1993, p</w:t>
      </w:r>
      <w:r>
        <w:t>p</w:t>
      </w:r>
      <w:r w:rsidRPr="00A37731">
        <w:t>. 437-455.</w:t>
      </w:r>
    </w:p>
  </w:footnote>
  <w:footnote w:id="168">
    <w:p w:rsidR="00B7214C" w:rsidRDefault="00B7214C" w:rsidP="00B7214C">
      <w:pPr>
        <w:pStyle w:val="Notedebasdepage"/>
      </w:pPr>
      <w:r>
        <w:rPr>
          <w:rStyle w:val="Appelnotedebasdep"/>
        </w:rPr>
        <w:footnoteRef/>
      </w:r>
      <w:r>
        <w:t xml:space="preserve"> </w:t>
      </w:r>
      <w:r>
        <w:tab/>
      </w:r>
      <w:r w:rsidRPr="00A37731">
        <w:t>J'ai développé ce point dans « les mères ne sont pas des citoyennes », co</w:t>
      </w:r>
      <w:r w:rsidRPr="00A37731">
        <w:t>m</w:t>
      </w:r>
      <w:r w:rsidRPr="00A37731">
        <w:t>munication, UQAM, séminaire UNESCO, 6 mai 1992, à paraître.</w:t>
      </w:r>
    </w:p>
  </w:footnote>
  <w:footnote w:id="169">
    <w:p w:rsidR="00B7214C" w:rsidRDefault="00B7214C" w:rsidP="00B7214C">
      <w:pPr>
        <w:pStyle w:val="Notedebasdepage"/>
      </w:pPr>
      <w:r>
        <w:rPr>
          <w:rStyle w:val="Appelnotedebasdep"/>
        </w:rPr>
        <w:footnoteRef/>
      </w:r>
      <w:r>
        <w:t xml:space="preserve"> </w:t>
      </w:r>
      <w:r>
        <w:tab/>
      </w:r>
      <w:r w:rsidRPr="00A37731">
        <w:t>Voir, par exemple, H. Vandevelde, « Où en est le problème du c</w:t>
      </w:r>
      <w:r w:rsidRPr="00A37731">
        <w:t>o</w:t>
      </w:r>
      <w:r w:rsidRPr="00A37731">
        <w:t xml:space="preserve">de de la famille en Algérie ? », </w:t>
      </w:r>
      <w:r w:rsidRPr="00576A74">
        <w:rPr>
          <w:i/>
          <w:iCs/>
        </w:rPr>
        <w:t>Maghr</w:t>
      </w:r>
      <w:r>
        <w:rPr>
          <w:i/>
          <w:iCs/>
        </w:rPr>
        <w:t>e</w:t>
      </w:r>
      <w:r w:rsidRPr="00576A74">
        <w:rPr>
          <w:i/>
          <w:iCs/>
        </w:rPr>
        <w:t>b-Machrek,</w:t>
      </w:r>
      <w:r w:rsidRPr="00A37731">
        <w:t xml:space="preserve"> juil.-août-sept. 1982, n°</w:t>
      </w:r>
      <w:r>
        <w:t> </w:t>
      </w:r>
      <w:r w:rsidRPr="00A37731">
        <w:t>97, p</w:t>
      </w:r>
      <w:r>
        <w:t>p</w:t>
      </w:r>
      <w:r w:rsidRPr="00A37731">
        <w:t xml:space="preserve">. 39-54 et « Le code algérien de la famille », </w:t>
      </w:r>
      <w:r w:rsidRPr="00576A74">
        <w:rPr>
          <w:i/>
          <w:iCs/>
        </w:rPr>
        <w:t>Maghr</w:t>
      </w:r>
      <w:r>
        <w:rPr>
          <w:i/>
          <w:iCs/>
        </w:rPr>
        <w:t>e</w:t>
      </w:r>
      <w:r w:rsidRPr="00576A74">
        <w:rPr>
          <w:i/>
          <w:iCs/>
        </w:rPr>
        <w:t>b-Machrek,</w:t>
      </w:r>
      <w:r w:rsidRPr="00A37731">
        <w:t xml:space="preserve"> janv.-fév.-mars 1985, n°</w:t>
      </w:r>
      <w:r>
        <w:t> </w:t>
      </w:r>
      <w:r w:rsidRPr="00A37731">
        <w:t>107, p</w:t>
      </w:r>
      <w:r>
        <w:t>p</w:t>
      </w:r>
      <w:r w:rsidRPr="00A37731">
        <w:t xml:space="preserve">. 52-64. Voir aussi N. Saadi, </w:t>
      </w:r>
      <w:r w:rsidRPr="00576A74">
        <w:rPr>
          <w:i/>
          <w:iCs/>
        </w:rPr>
        <w:t>La femme et la loi en A</w:t>
      </w:r>
      <w:r w:rsidRPr="00576A74">
        <w:rPr>
          <w:i/>
          <w:iCs/>
        </w:rPr>
        <w:t>l</w:t>
      </w:r>
      <w:r w:rsidRPr="00576A74">
        <w:rPr>
          <w:i/>
          <w:iCs/>
        </w:rPr>
        <w:t>gérie,</w:t>
      </w:r>
      <w:r w:rsidRPr="00A37731">
        <w:t xml:space="preserve"> Casablanca, Éd. Le Fennec, 1991, en particulier « L'égalité différe</w:t>
      </w:r>
      <w:r w:rsidRPr="00A37731">
        <w:t>n</w:t>
      </w:r>
      <w:r w:rsidRPr="00A37731">
        <w:t>ciée ? », p</w:t>
      </w:r>
      <w:r>
        <w:t>p</w:t>
      </w:r>
      <w:r w:rsidRPr="00A37731">
        <w:t>. 43-79.</w:t>
      </w:r>
    </w:p>
  </w:footnote>
  <w:footnote w:id="170">
    <w:p w:rsidR="00B7214C" w:rsidRDefault="00B7214C" w:rsidP="00B7214C">
      <w:pPr>
        <w:pStyle w:val="Notedebasdepage"/>
      </w:pPr>
      <w:r>
        <w:rPr>
          <w:rStyle w:val="Appelnotedebasdep"/>
        </w:rPr>
        <w:footnoteRef/>
      </w:r>
      <w:r>
        <w:t xml:space="preserve"> </w:t>
      </w:r>
      <w:r>
        <w:tab/>
      </w:r>
      <w:r w:rsidRPr="00A37731">
        <w:t>Dans le projet de 1981 qui a été retiré suite à une mobilisation sans préc</w:t>
      </w:r>
      <w:r w:rsidRPr="00A37731">
        <w:t>é</w:t>
      </w:r>
      <w:r w:rsidRPr="00A37731">
        <w:t>dent, la possibilité de travailler à l'extérieur était évoquée mais soumise à conditions : « avoir travaillé avant le mariage ; avoir travaillé après le m</w:t>
      </w:r>
      <w:r w:rsidRPr="00A37731">
        <w:t>a</w:t>
      </w:r>
      <w:r w:rsidRPr="00A37731">
        <w:t>riage avec l'autorisation formelle ou tacite du m</w:t>
      </w:r>
      <w:r w:rsidRPr="00A37731">
        <w:t>a</w:t>
      </w:r>
      <w:r w:rsidRPr="00A37731">
        <w:t>ri ; avoir stipulé pour ce faire une clause dans le contrat de mariage. »</w:t>
      </w:r>
    </w:p>
  </w:footnote>
  <w:footnote w:id="171">
    <w:p w:rsidR="00B7214C" w:rsidRDefault="00B7214C" w:rsidP="00B7214C">
      <w:pPr>
        <w:pStyle w:val="Notedebasdepage"/>
      </w:pPr>
      <w:r>
        <w:rPr>
          <w:rStyle w:val="Appelnotedebasdep"/>
        </w:rPr>
        <w:footnoteRef/>
      </w:r>
      <w:r>
        <w:t xml:space="preserve"> </w:t>
      </w:r>
      <w:r>
        <w:tab/>
      </w:r>
      <w:r w:rsidRPr="00A37731">
        <w:t xml:space="preserve">Par la suite, en français, « fille vierge » a été rectifié par « jeune fille ». D'après Vandevelde, </w:t>
      </w:r>
      <w:r w:rsidRPr="00576A74">
        <w:rPr>
          <w:i/>
          <w:iCs/>
        </w:rPr>
        <w:t>art. cité,</w:t>
      </w:r>
      <w:r w:rsidRPr="00A37731">
        <w:t xml:space="preserve"> cette correction est sans cons</w:t>
      </w:r>
      <w:r w:rsidRPr="00A37731">
        <w:t>é</w:t>
      </w:r>
      <w:r w:rsidRPr="00A37731">
        <w:t>quence.</w:t>
      </w:r>
    </w:p>
  </w:footnote>
  <w:footnote w:id="172">
    <w:p w:rsidR="00B7214C" w:rsidRDefault="00B7214C" w:rsidP="00B7214C">
      <w:pPr>
        <w:pStyle w:val="Notedebasdepage"/>
      </w:pPr>
      <w:r>
        <w:rPr>
          <w:rStyle w:val="Appelnotedebasdep"/>
        </w:rPr>
        <w:footnoteRef/>
      </w:r>
      <w:r>
        <w:t xml:space="preserve"> </w:t>
      </w:r>
      <w:r>
        <w:tab/>
      </w:r>
      <w:r w:rsidRPr="00A37731">
        <w:t>« </w:t>
      </w:r>
      <w:r>
        <w:t>“</w:t>
      </w:r>
      <w:r w:rsidRPr="00A37731">
        <w:t>Machisme</w:t>
      </w:r>
      <w:r>
        <w:t>”</w:t>
      </w:r>
      <w:r w:rsidRPr="00A37731">
        <w:t xml:space="preserve">, nationalisme et religion ». </w:t>
      </w:r>
      <w:r w:rsidRPr="00576A74">
        <w:rPr>
          <w:i/>
          <w:iCs/>
        </w:rPr>
        <w:t>Peuples méditerr</w:t>
      </w:r>
      <w:r w:rsidRPr="00576A74">
        <w:rPr>
          <w:i/>
          <w:iCs/>
        </w:rPr>
        <w:t>a</w:t>
      </w:r>
      <w:r w:rsidRPr="00576A74">
        <w:rPr>
          <w:i/>
          <w:iCs/>
        </w:rPr>
        <w:t>néens,</w:t>
      </w:r>
      <w:r w:rsidRPr="00A37731">
        <w:t xml:space="preserve"> juil.-déc. 1990, n</w:t>
      </w:r>
      <w:r>
        <w:t>os </w:t>
      </w:r>
      <w:r w:rsidRPr="00A37731">
        <w:t>52-53, p</w:t>
      </w:r>
      <w:r>
        <w:t>p</w:t>
      </w:r>
      <w:r w:rsidRPr="00A37731">
        <w:t>. 127-143.</w:t>
      </w:r>
    </w:p>
  </w:footnote>
  <w:footnote w:id="173">
    <w:p w:rsidR="00B7214C" w:rsidRDefault="00B7214C" w:rsidP="00B7214C">
      <w:pPr>
        <w:pStyle w:val="Notedebasdepage"/>
      </w:pPr>
      <w:r>
        <w:rPr>
          <w:rStyle w:val="Appelnotedebasdep"/>
        </w:rPr>
        <w:footnoteRef/>
      </w:r>
      <w:r>
        <w:t xml:space="preserve"> </w:t>
      </w:r>
      <w:r>
        <w:tab/>
      </w:r>
      <w:r w:rsidRPr="00A37731">
        <w:t xml:space="preserve">Voir M. Al-Ahnaf, B. Botivcau, F. Frégosi, </w:t>
      </w:r>
      <w:r w:rsidRPr="00576A74">
        <w:rPr>
          <w:i/>
          <w:iCs/>
        </w:rPr>
        <w:t>L'Algérie par ses isl</w:t>
      </w:r>
      <w:r w:rsidRPr="00576A74">
        <w:rPr>
          <w:i/>
          <w:iCs/>
        </w:rPr>
        <w:t>a</w:t>
      </w:r>
      <w:r w:rsidRPr="00576A74">
        <w:rPr>
          <w:i/>
          <w:iCs/>
        </w:rPr>
        <w:t>mistes,</w:t>
      </w:r>
      <w:r w:rsidRPr="00A37731">
        <w:t xml:space="preserve"> Paris, Karthala, 1991, en particulier chap. 6, </w:t>
      </w:r>
      <w:r>
        <w:t>p</w:t>
      </w:r>
      <w:r w:rsidRPr="00A37731">
        <w:t>p. 239-265.</w:t>
      </w:r>
    </w:p>
  </w:footnote>
  <w:footnote w:id="174">
    <w:p w:rsidR="00B7214C" w:rsidRDefault="00B7214C" w:rsidP="00B7214C">
      <w:pPr>
        <w:pStyle w:val="Notedebasdepage"/>
      </w:pPr>
      <w:r>
        <w:rPr>
          <w:rStyle w:val="Appelnotedebasdep"/>
        </w:rPr>
        <w:footnoteRef/>
      </w:r>
      <w:r>
        <w:t xml:space="preserve"> </w:t>
      </w:r>
      <w:r>
        <w:tab/>
      </w:r>
      <w:r w:rsidRPr="00DE703F">
        <w:t>L’échec de l'Islam politique, op. cit.,</w:t>
      </w:r>
      <w:r w:rsidRPr="00DE703F">
        <w:rPr>
          <w:iCs/>
        </w:rPr>
        <w:t xml:space="preserve"> notamment p. 111.</w:t>
      </w:r>
    </w:p>
  </w:footnote>
  <w:footnote w:id="175">
    <w:p w:rsidR="00B7214C" w:rsidRDefault="00B7214C" w:rsidP="00B7214C">
      <w:pPr>
        <w:pStyle w:val="Notedebasdepage"/>
      </w:pPr>
      <w:r>
        <w:rPr>
          <w:rStyle w:val="Appelnotedebasdep"/>
        </w:rPr>
        <w:footnoteRef/>
      </w:r>
      <w:r>
        <w:t xml:space="preserve"> </w:t>
      </w:r>
      <w:r>
        <w:tab/>
      </w:r>
      <w:r w:rsidRPr="00A37731">
        <w:t>Voir, pour un point de vue extrêmement nuancé et donc instructif sur le st</w:t>
      </w:r>
      <w:r w:rsidRPr="00A37731">
        <w:t>a</w:t>
      </w:r>
      <w:r w:rsidRPr="00A37731">
        <w:t xml:space="preserve">tut des femmes, F. Abdelkhah, </w:t>
      </w:r>
      <w:r w:rsidRPr="00576A74">
        <w:rPr>
          <w:i/>
          <w:iCs/>
        </w:rPr>
        <w:t>La révolution sous le voile,</w:t>
      </w:r>
      <w:r w:rsidRPr="00A37731">
        <w:t xml:space="preserve"> Paris, Karthala, 1991.</w:t>
      </w:r>
    </w:p>
  </w:footnote>
  <w:footnote w:id="176">
    <w:p w:rsidR="00B7214C" w:rsidRDefault="00B7214C" w:rsidP="00B7214C">
      <w:pPr>
        <w:pStyle w:val="Notedebasdepage"/>
      </w:pPr>
      <w:r>
        <w:rPr>
          <w:rStyle w:val="Appelnotedebasdep"/>
        </w:rPr>
        <w:footnoteRef/>
      </w:r>
      <w:r>
        <w:t xml:space="preserve"> </w:t>
      </w:r>
      <w:r>
        <w:tab/>
      </w:r>
      <w:r w:rsidRPr="00A37731">
        <w:t>Voir M.-A. Hélie-Lucas, « Les stratégies des femmes à l'égard des fond</w:t>
      </w:r>
      <w:r w:rsidRPr="00A37731">
        <w:t>a</w:t>
      </w:r>
      <w:r w:rsidRPr="00A37731">
        <w:t xml:space="preserve">mentalismes dans le monde musulman », </w:t>
      </w:r>
      <w:r w:rsidRPr="00576A74">
        <w:rPr>
          <w:i/>
          <w:iCs/>
        </w:rPr>
        <w:t>Nouvelles que</w:t>
      </w:r>
      <w:r w:rsidRPr="00576A74">
        <w:rPr>
          <w:i/>
          <w:iCs/>
        </w:rPr>
        <w:t>s</w:t>
      </w:r>
      <w:r w:rsidRPr="00576A74">
        <w:rPr>
          <w:i/>
          <w:iCs/>
        </w:rPr>
        <w:t>tions féministes,</w:t>
      </w:r>
      <w:r w:rsidRPr="00A37731">
        <w:t xml:space="preserve"> 1991, n</w:t>
      </w:r>
      <w:r>
        <w:t>os </w:t>
      </w:r>
      <w:r w:rsidRPr="00A37731">
        <w:t xml:space="preserve">16-17-18, </w:t>
      </w:r>
      <w:r>
        <w:t>pp. 29-</w:t>
      </w:r>
      <w:r w:rsidRPr="00A37731">
        <w:t>62.</w:t>
      </w:r>
    </w:p>
  </w:footnote>
  <w:footnote w:id="177">
    <w:p w:rsidR="00B7214C" w:rsidRDefault="00B7214C" w:rsidP="00B7214C">
      <w:pPr>
        <w:pStyle w:val="Notedebasdepage"/>
      </w:pPr>
      <w:r>
        <w:rPr>
          <w:rStyle w:val="Appelnotedebasdep"/>
        </w:rPr>
        <w:footnoteRef/>
      </w:r>
      <w:r>
        <w:t xml:space="preserve"> </w:t>
      </w:r>
      <w:r>
        <w:tab/>
      </w:r>
      <w:r w:rsidRPr="00A37731">
        <w:t>Cinq d'entre elles ont bien voulu individuellement m'a</w:t>
      </w:r>
      <w:r w:rsidRPr="00A37731">
        <w:t>c</w:t>
      </w:r>
      <w:r w:rsidRPr="00A37731">
        <w:t>corder une longue entrevue à Montréal en mai et juin 1992. Huit autres jeunes femmes alg</w:t>
      </w:r>
      <w:r w:rsidRPr="00A37731">
        <w:t>é</w:t>
      </w:r>
      <w:r w:rsidRPr="00A37731">
        <w:t>riennes - non hijabisées - l'ont également fait. Je les en remercie ; toutes ont participé à bouleverser ma vision de la situ</w:t>
      </w:r>
      <w:r w:rsidRPr="00A37731">
        <w:t>a</w:t>
      </w:r>
      <w:r w:rsidRPr="00A37731">
        <w:t xml:space="preserve">tion des femmes en Algérie. Ce texte leur doit beaucoup. Voir aussi, S. Bessis, S. Belhassen, </w:t>
      </w:r>
      <w:r w:rsidRPr="00576A74">
        <w:rPr>
          <w:i/>
          <w:iCs/>
        </w:rPr>
        <w:t>Femmes du Maghreb : l'enjeu,</w:t>
      </w:r>
      <w:r w:rsidRPr="00A37731">
        <w:t xml:space="preserve"> Paris, J. C. La</w:t>
      </w:r>
      <w:r w:rsidRPr="00A37731">
        <w:t>t</w:t>
      </w:r>
      <w:r w:rsidRPr="00A37731">
        <w:t xml:space="preserve">tes, 1992 ; H. Taarji, </w:t>
      </w:r>
      <w:r w:rsidRPr="00576A74">
        <w:rPr>
          <w:i/>
          <w:iCs/>
        </w:rPr>
        <w:t>Les voilées de l'Islam,</w:t>
      </w:r>
      <w:r w:rsidRPr="00A37731">
        <w:t xml:space="preserve"> Paris, Balland, 1990.</w:t>
      </w:r>
    </w:p>
  </w:footnote>
  <w:footnote w:id="178">
    <w:p w:rsidR="00B7214C" w:rsidRDefault="00B7214C" w:rsidP="00B7214C">
      <w:pPr>
        <w:pStyle w:val="Notedebasdepage"/>
      </w:pPr>
      <w:r>
        <w:rPr>
          <w:rStyle w:val="Appelnotedebasdep"/>
        </w:rPr>
        <w:footnoteRef/>
      </w:r>
      <w:r>
        <w:t xml:space="preserve"> </w:t>
      </w:r>
      <w:r>
        <w:tab/>
      </w:r>
      <w:r w:rsidRPr="00A37731">
        <w:t xml:space="preserve">Voir par exemple, ce que dit le romancier « démocrate » - il a aussi publié un pamphlet : </w:t>
      </w:r>
      <w:r w:rsidRPr="00576A74">
        <w:rPr>
          <w:i/>
          <w:iCs/>
        </w:rPr>
        <w:t>De la barbarie en général et de l'intégri</w:t>
      </w:r>
      <w:r w:rsidRPr="00576A74">
        <w:rPr>
          <w:i/>
          <w:iCs/>
        </w:rPr>
        <w:t>s</w:t>
      </w:r>
      <w:r w:rsidRPr="00576A74">
        <w:rPr>
          <w:i/>
          <w:iCs/>
        </w:rPr>
        <w:t>me en particulier,</w:t>
      </w:r>
      <w:r w:rsidRPr="00A37731">
        <w:t xml:space="preserve"> Paris, Le pré aux clercs, 1992 -, Rachid Mimouni à la journaliste française D. Sigaud : « Je n'aime pas les femmes qui portent le hijab et je les regarde différemment, alors que j'éprouve du désir pour celles qui portent le voile traditionnel. Leur habit est austère et rebutant. Elles essaient de nier leurs a</w:t>
      </w:r>
      <w:r w:rsidRPr="00A37731">
        <w:t>t</w:t>
      </w:r>
      <w:r w:rsidRPr="00A37731">
        <w:t>tributs féminins ; ce ne sont pas des vraies femmes, elles ne sont pas désir</w:t>
      </w:r>
      <w:r w:rsidRPr="00A37731">
        <w:t>a</w:t>
      </w:r>
      <w:r w:rsidRPr="00A37731">
        <w:t xml:space="preserve">bles. » dans </w:t>
      </w:r>
      <w:r w:rsidRPr="00576A74">
        <w:rPr>
          <w:i/>
          <w:iCs/>
        </w:rPr>
        <w:t>La fracture algérienne,</w:t>
      </w:r>
      <w:r>
        <w:t xml:space="preserve"> Paris, Calmann-</w:t>
      </w:r>
      <w:r w:rsidRPr="00A37731">
        <w:t>Lévy, 1991, p. 198.</w:t>
      </w:r>
    </w:p>
  </w:footnote>
  <w:footnote w:id="179">
    <w:p w:rsidR="00B7214C" w:rsidRDefault="00B7214C" w:rsidP="00B7214C">
      <w:pPr>
        <w:pStyle w:val="Notedebasdepage"/>
      </w:pPr>
      <w:r>
        <w:rPr>
          <w:rStyle w:val="Appelnotedebasdep"/>
        </w:rPr>
        <w:footnoteRef/>
      </w:r>
      <w:r>
        <w:t xml:space="preserve"> </w:t>
      </w:r>
      <w:r>
        <w:tab/>
      </w:r>
      <w:r w:rsidRPr="00A37731">
        <w:t>P. Legendre, Paris, Fayard, 1988.</w:t>
      </w:r>
    </w:p>
  </w:footnote>
  <w:footnote w:id="180">
    <w:p w:rsidR="00B7214C" w:rsidRDefault="00B7214C" w:rsidP="00B7214C">
      <w:pPr>
        <w:pStyle w:val="Notedebasdepage"/>
      </w:pPr>
      <w:r>
        <w:rPr>
          <w:rStyle w:val="Appelnotedebasdep"/>
        </w:rPr>
        <w:footnoteRef/>
      </w:r>
      <w:r>
        <w:t xml:space="preserve"> </w:t>
      </w:r>
      <w:r>
        <w:tab/>
      </w:r>
      <w:r w:rsidRPr="00A37731">
        <w:t xml:space="preserve">N. Loraux, </w:t>
      </w:r>
      <w:r w:rsidRPr="00576A74">
        <w:rPr>
          <w:i/>
          <w:iCs/>
        </w:rPr>
        <w:t>Les enfants d'Athéna,</w:t>
      </w:r>
      <w:r w:rsidRPr="00A37731">
        <w:t xml:space="preserve"> Paris, Seuil, Points, 1990, p. 22.</w:t>
      </w:r>
    </w:p>
  </w:footnote>
  <w:footnote w:id="181">
    <w:p w:rsidR="00B7214C" w:rsidRDefault="00B7214C" w:rsidP="00B7214C">
      <w:pPr>
        <w:pStyle w:val="Notedebasdepage"/>
      </w:pPr>
      <w:r>
        <w:rPr>
          <w:rStyle w:val="Appelnotedebasdep"/>
        </w:rPr>
        <w:footnoteRef/>
      </w:r>
      <w:r>
        <w:t xml:space="preserve"> </w:t>
      </w:r>
      <w:r>
        <w:tab/>
      </w:r>
      <w:r w:rsidRPr="00A37731">
        <w:t xml:space="preserve">Notamment dans ma thèse, </w:t>
      </w:r>
      <w:r w:rsidRPr="00576A74">
        <w:rPr>
          <w:i/>
          <w:iCs/>
        </w:rPr>
        <w:t>Des Algériennes entre masque et voile,</w:t>
      </w:r>
      <w:r w:rsidRPr="00A37731">
        <w:t xml:space="preserve"> Paris VIII, 1979 et « Comme une chose attendue, e</w:t>
      </w:r>
      <w:r w:rsidRPr="00A37731">
        <w:t>n</w:t>
      </w:r>
      <w:r w:rsidRPr="00A37731">
        <w:t xml:space="preserve">tendue », dans A. Corten </w:t>
      </w:r>
      <w:r w:rsidRPr="00576A74">
        <w:rPr>
          <w:i/>
          <w:iCs/>
        </w:rPr>
        <w:t>et al., Les autres marxismes réels,</w:t>
      </w:r>
      <w:r w:rsidRPr="00A37731">
        <w:t xml:space="preserve"> Paris, Bourgois, 1985, p</w:t>
      </w:r>
      <w:r>
        <w:t>p</w:t>
      </w:r>
      <w:r w:rsidRPr="00A37731">
        <w:t>. 81-95.</w:t>
      </w:r>
    </w:p>
  </w:footnote>
  <w:footnote w:id="182">
    <w:p w:rsidR="00B7214C" w:rsidRDefault="00B7214C" w:rsidP="00B7214C">
      <w:pPr>
        <w:pStyle w:val="Notedebasdepage"/>
      </w:pPr>
      <w:r>
        <w:rPr>
          <w:rStyle w:val="Appelnotedebasdep"/>
        </w:rPr>
        <w:footnoteRef/>
      </w:r>
      <w:r>
        <w:t xml:space="preserve"> </w:t>
      </w:r>
      <w:r>
        <w:tab/>
      </w:r>
      <w:r w:rsidRPr="00A37731">
        <w:t xml:space="preserve">Dans </w:t>
      </w:r>
      <w:r w:rsidRPr="00576A74">
        <w:rPr>
          <w:i/>
          <w:iCs/>
        </w:rPr>
        <w:t>La volonté de savoir,</w:t>
      </w:r>
      <w:r w:rsidRPr="00A37731">
        <w:t xml:space="preserve"> Paris, Gallimard, 1976, relayé par Fr. Ewald, </w:t>
      </w:r>
      <w:r w:rsidRPr="00576A74">
        <w:rPr>
          <w:i/>
          <w:iCs/>
        </w:rPr>
        <w:t>L'État-providence,</w:t>
      </w:r>
      <w:r w:rsidRPr="00A37731">
        <w:t xml:space="preserve"> Paris, Fayard, 1986 ; voir « La mère sans ombre ? », </w:t>
      </w:r>
      <w:r w:rsidRPr="00576A74">
        <w:rPr>
          <w:i/>
          <w:iCs/>
        </w:rPr>
        <w:t>R</w:t>
      </w:r>
      <w:r w:rsidRPr="00576A74">
        <w:rPr>
          <w:i/>
          <w:iCs/>
        </w:rPr>
        <w:t>e</w:t>
      </w:r>
      <w:r w:rsidRPr="00576A74">
        <w:rPr>
          <w:i/>
          <w:iCs/>
        </w:rPr>
        <w:t>cherches féministes,</w:t>
      </w:r>
      <w:r w:rsidRPr="00A37731">
        <w:t xml:space="preserve"> 1990, vol.</w:t>
      </w:r>
      <w:r>
        <w:t> </w:t>
      </w:r>
      <w:r w:rsidRPr="00A37731">
        <w:t>3, n°</w:t>
      </w:r>
      <w:r>
        <w:t> </w:t>
      </w:r>
      <w:r w:rsidRPr="00A37731">
        <w:t>1, p</w:t>
      </w:r>
      <w:r>
        <w:t>p</w:t>
      </w:r>
      <w:r w:rsidRPr="00A37731">
        <w:t>. 97-107.</w:t>
      </w:r>
    </w:p>
  </w:footnote>
  <w:footnote w:id="183">
    <w:p w:rsidR="00B7214C" w:rsidRDefault="00B7214C" w:rsidP="00B7214C">
      <w:pPr>
        <w:pStyle w:val="Notedebasdepage"/>
      </w:pPr>
      <w:r>
        <w:rPr>
          <w:rStyle w:val="Appelnotedebasdep"/>
        </w:rPr>
        <w:footnoteRef/>
      </w:r>
      <w:r>
        <w:t xml:space="preserve"> </w:t>
      </w:r>
      <w:r>
        <w:tab/>
      </w:r>
      <w:r w:rsidRPr="00A37731">
        <w:t>En formulant cette expression, je ne veux évidemment pas sugg</w:t>
      </w:r>
      <w:r w:rsidRPr="00A37731">
        <w:t>é</w:t>
      </w:r>
      <w:r w:rsidRPr="00A37731">
        <w:t>rer que les femmes seraient placées en camps de concentration si c'était possible. Je pense aux pages que Nic</w:t>
      </w:r>
      <w:r w:rsidRPr="00A37731">
        <w:t>o</w:t>
      </w:r>
      <w:r w:rsidRPr="00A37731">
        <w:t xml:space="preserve">le Loraux consacre au repérage des femmes dans la guerre </w:t>
      </w:r>
      <w:r w:rsidRPr="00576A74">
        <w:rPr>
          <w:i/>
          <w:iCs/>
        </w:rPr>
        <w:t>civile</w:t>
      </w:r>
      <w:r w:rsidRPr="00A37731">
        <w:t xml:space="preserve"> (voir </w:t>
      </w:r>
      <w:r w:rsidRPr="00576A74">
        <w:rPr>
          <w:i/>
          <w:iCs/>
        </w:rPr>
        <w:t>Les expériences de Tirésias,</w:t>
      </w:r>
      <w:r w:rsidRPr="00A37731">
        <w:t xml:space="preserve"> Paris, Gallimard, 1989).</w:t>
      </w:r>
    </w:p>
  </w:footnote>
  <w:footnote w:id="184">
    <w:p w:rsidR="00B7214C" w:rsidRDefault="00B7214C" w:rsidP="00B7214C">
      <w:pPr>
        <w:pStyle w:val="Notedebasdepage"/>
      </w:pPr>
      <w:r>
        <w:rPr>
          <w:rStyle w:val="Appelnotedebasdep"/>
        </w:rPr>
        <w:footnoteRef/>
      </w:r>
      <w:r>
        <w:t xml:space="preserve"> </w:t>
      </w:r>
      <w:r>
        <w:tab/>
      </w:r>
      <w:r w:rsidRPr="00A37731">
        <w:t>Voir F. Héritier, « Le sang du guerrier et le sang des fe</w:t>
      </w:r>
      <w:r w:rsidRPr="00A37731">
        <w:t>m</w:t>
      </w:r>
      <w:r w:rsidRPr="00A37731">
        <w:t xml:space="preserve">mes ». </w:t>
      </w:r>
      <w:r w:rsidRPr="00576A74">
        <w:rPr>
          <w:i/>
          <w:iCs/>
        </w:rPr>
        <w:t xml:space="preserve">Les Cahiers du GRIF, </w:t>
      </w:r>
      <w:r w:rsidRPr="00A37731">
        <w:t>1984, n°</w:t>
      </w:r>
      <w:r>
        <w:t> </w:t>
      </w:r>
      <w:r w:rsidRPr="00A37731">
        <w:t>29, p</w:t>
      </w:r>
      <w:r>
        <w:t>p</w:t>
      </w:r>
      <w:r w:rsidRPr="00A37731">
        <w:t>. 7-21.</w:t>
      </w:r>
    </w:p>
  </w:footnote>
  <w:footnote w:id="185">
    <w:p w:rsidR="00B7214C" w:rsidRDefault="00B7214C" w:rsidP="00B7214C">
      <w:pPr>
        <w:pStyle w:val="Notedebasdepage"/>
      </w:pPr>
      <w:r>
        <w:rPr>
          <w:rStyle w:val="Appelnotedebasdep"/>
        </w:rPr>
        <w:footnoteRef/>
      </w:r>
      <w:r>
        <w:t xml:space="preserve"> </w:t>
      </w:r>
      <w:r>
        <w:tab/>
      </w:r>
      <w:r w:rsidRPr="00A37731">
        <w:t xml:space="preserve">Unité que je traduits par </w:t>
      </w:r>
      <w:r w:rsidRPr="00BD1471">
        <w:rPr>
          <w:i/>
          <w:iCs/>
        </w:rPr>
        <w:t>el Ouwhda</w:t>
      </w:r>
      <w:r w:rsidRPr="00A37731">
        <w:t xml:space="preserve"> qui réfère </w:t>
      </w:r>
      <w:r w:rsidRPr="00BD1471">
        <w:t xml:space="preserve">à </w:t>
      </w:r>
      <w:r w:rsidRPr="00A37731">
        <w:t>l'idée de l'un, à l'unique.</w:t>
      </w:r>
    </w:p>
  </w:footnote>
  <w:footnote w:id="186">
    <w:p w:rsidR="00B7214C" w:rsidRDefault="00B7214C" w:rsidP="00B7214C">
      <w:pPr>
        <w:pStyle w:val="Notedebasdepage"/>
      </w:pPr>
      <w:r>
        <w:rPr>
          <w:rStyle w:val="Appelnotedebasdep"/>
        </w:rPr>
        <w:footnoteRef/>
      </w:r>
      <w:r>
        <w:t xml:space="preserve"> </w:t>
      </w:r>
      <w:r>
        <w:tab/>
      </w:r>
      <w:r w:rsidRPr="00A37731">
        <w:t xml:space="preserve">Daniel Sibony remarque que </w:t>
      </w:r>
      <w:r w:rsidRPr="00BD1471">
        <w:rPr>
          <w:i/>
          <w:iCs/>
        </w:rPr>
        <w:t>Oumma</w:t>
      </w:r>
      <w:r w:rsidRPr="00A37731">
        <w:t xml:space="preserve"> est un mot sémite (de racine </w:t>
      </w:r>
      <w:r w:rsidRPr="00BD1471">
        <w:rPr>
          <w:i/>
          <w:iCs/>
        </w:rPr>
        <w:t>oum</w:t>
      </w:r>
      <w:r w:rsidRPr="00A37731">
        <w:t xml:space="preserve"> (m</w:t>
      </w:r>
      <w:r w:rsidRPr="00A37731">
        <w:t>è</w:t>
      </w:r>
      <w:r w:rsidRPr="00A37731">
        <w:t>re) qui désigne une nation, n'importe laquelle en princ</w:t>
      </w:r>
      <w:r w:rsidRPr="00A37731">
        <w:t>i</w:t>
      </w:r>
      <w:r w:rsidRPr="00A37731">
        <w:t xml:space="preserve">pe... » (p. 27, note </w:t>
      </w:r>
      <w:r w:rsidRPr="00BD1471">
        <w:t xml:space="preserve">1). Il </w:t>
      </w:r>
      <w:r w:rsidRPr="00A37731">
        <w:t xml:space="preserve">écrit aussi </w:t>
      </w:r>
      <w:r w:rsidRPr="00BD1471">
        <w:t xml:space="preserve">« Il </w:t>
      </w:r>
      <w:r w:rsidRPr="00A37731">
        <w:t xml:space="preserve">y a comme une identité entre la mère </w:t>
      </w:r>
      <w:r w:rsidRPr="00BD1471">
        <w:rPr>
          <w:i/>
          <w:iCs/>
        </w:rPr>
        <w:t>(oum),</w:t>
      </w:r>
      <w:r w:rsidRPr="00A37731">
        <w:t xml:space="preserve"> la langue m</w:t>
      </w:r>
      <w:r w:rsidRPr="00A37731">
        <w:t>è</w:t>
      </w:r>
      <w:r w:rsidRPr="00A37731">
        <w:t>re, la langue ou la parole divine (issue d'après le Coran, de la « Mère des l</w:t>
      </w:r>
      <w:r w:rsidRPr="00A37731">
        <w:t>i</w:t>
      </w:r>
      <w:r w:rsidRPr="00A37731">
        <w:t xml:space="preserve">vres »), l'ensemble des croyants </w:t>
      </w:r>
      <w:r w:rsidRPr="00BD1471">
        <w:rPr>
          <w:i/>
          <w:iCs/>
        </w:rPr>
        <w:t>(</w:t>
      </w:r>
      <w:r w:rsidRPr="00BD1471">
        <w:rPr>
          <w:iCs/>
        </w:rPr>
        <w:t>l’</w:t>
      </w:r>
      <w:r w:rsidRPr="00BD1471">
        <w:rPr>
          <w:i/>
          <w:iCs/>
        </w:rPr>
        <w:t>Oumma),</w:t>
      </w:r>
      <w:r w:rsidRPr="00A37731">
        <w:t xml:space="preserve"> l'incantation des fidèles... » (p. 27) dans </w:t>
      </w:r>
      <w:r w:rsidRPr="00BD1471">
        <w:rPr>
          <w:i/>
          <w:iCs/>
        </w:rPr>
        <w:t>Les trois mon</w:t>
      </w:r>
      <w:r w:rsidRPr="00BD1471">
        <w:rPr>
          <w:i/>
          <w:iCs/>
        </w:rPr>
        <w:t>o</w:t>
      </w:r>
      <w:r w:rsidRPr="00BD1471">
        <w:rPr>
          <w:i/>
          <w:iCs/>
        </w:rPr>
        <w:t>théismes.</w:t>
      </w:r>
    </w:p>
  </w:footnote>
  <w:footnote w:id="187">
    <w:p w:rsidR="00B7214C" w:rsidRDefault="00B7214C" w:rsidP="00B7214C">
      <w:pPr>
        <w:pStyle w:val="Notedebasdepage"/>
      </w:pPr>
      <w:r>
        <w:rPr>
          <w:rStyle w:val="Appelnotedebasdep"/>
        </w:rPr>
        <w:t>*</w:t>
      </w:r>
      <w:r>
        <w:t xml:space="preserve"> </w:t>
      </w:r>
      <w:r>
        <w:tab/>
      </w:r>
      <w:r w:rsidRPr="00A37731">
        <w:t>Une version remaniée de ce texte paraîtra dans un prochain n</w:t>
      </w:r>
      <w:r w:rsidRPr="00A37731">
        <w:t>u</w:t>
      </w:r>
      <w:r w:rsidRPr="00A37731">
        <w:t xml:space="preserve">méro de la </w:t>
      </w:r>
      <w:r w:rsidRPr="00DE68C2">
        <w:rPr>
          <w:i/>
          <w:iCs/>
        </w:rPr>
        <w:t>Revue internationale d'études canadiennes.</w:t>
      </w:r>
    </w:p>
  </w:footnote>
  <w:footnote w:id="188">
    <w:p w:rsidR="00B7214C" w:rsidRDefault="00B7214C" w:rsidP="00B7214C">
      <w:pPr>
        <w:pStyle w:val="Notedebasdepage"/>
      </w:pPr>
      <w:r>
        <w:rPr>
          <w:rStyle w:val="Appelnotedebasdep"/>
        </w:rPr>
        <w:footnoteRef/>
      </w:r>
      <w:r>
        <w:t xml:space="preserve"> </w:t>
      </w:r>
      <w:r>
        <w:tab/>
      </w:r>
      <w:r w:rsidRPr="00DE68C2">
        <w:t>Loi modifiant le Code civil,</w:t>
      </w:r>
      <w:r w:rsidRPr="00DE68C2">
        <w:rPr>
          <w:iCs/>
        </w:rPr>
        <w:t xml:space="preserve"> L.Q., 1977, c. 72.</w:t>
      </w:r>
    </w:p>
  </w:footnote>
  <w:footnote w:id="189">
    <w:p w:rsidR="00B7214C" w:rsidRDefault="00B7214C" w:rsidP="00B7214C">
      <w:pPr>
        <w:pStyle w:val="Notedebasdepage"/>
      </w:pPr>
      <w:r>
        <w:rPr>
          <w:rStyle w:val="Appelnotedebasdep"/>
        </w:rPr>
        <w:footnoteRef/>
      </w:r>
      <w:r>
        <w:t xml:space="preserve"> </w:t>
      </w:r>
      <w:r>
        <w:tab/>
      </w:r>
      <w:r w:rsidRPr="00DE68C2">
        <w:rPr>
          <w:i/>
          <w:iCs/>
        </w:rPr>
        <w:t>Loi sur la protection de la jeunesse,</w:t>
      </w:r>
      <w:r w:rsidRPr="00A37731">
        <w:t xml:space="preserve"> L.Q., 1977, c. 20. Ce</w:t>
      </w:r>
      <w:r w:rsidRPr="00A37731">
        <w:t>t</w:t>
      </w:r>
      <w:r w:rsidRPr="00A37731">
        <w:t>te loi n'est entrée en vigueur dans sa totalité que le 15 janvier 1979.</w:t>
      </w:r>
    </w:p>
  </w:footnote>
  <w:footnote w:id="190">
    <w:p w:rsidR="00B7214C" w:rsidRDefault="00B7214C" w:rsidP="00B7214C">
      <w:pPr>
        <w:pStyle w:val="Notedebasdepage"/>
      </w:pPr>
      <w:r>
        <w:rPr>
          <w:rStyle w:val="Appelnotedebasdep"/>
        </w:rPr>
        <w:footnoteRef/>
      </w:r>
      <w:r>
        <w:t xml:space="preserve"> </w:t>
      </w:r>
      <w:r>
        <w:tab/>
      </w:r>
      <w:r w:rsidRPr="00DE68C2">
        <w:t>Loi modifiant le Code civil,</w:t>
      </w:r>
      <w:r w:rsidRPr="00DE68C2">
        <w:rPr>
          <w:iCs/>
        </w:rPr>
        <w:t xml:space="preserve"> précitée, note 1.</w:t>
      </w:r>
    </w:p>
  </w:footnote>
  <w:footnote w:id="191">
    <w:p w:rsidR="00B7214C" w:rsidRDefault="00B7214C" w:rsidP="00B7214C">
      <w:pPr>
        <w:pStyle w:val="Notedebasdepage"/>
      </w:pPr>
      <w:r>
        <w:rPr>
          <w:rStyle w:val="Appelnotedebasdep"/>
        </w:rPr>
        <w:footnoteRef/>
      </w:r>
      <w:r>
        <w:t xml:space="preserve"> </w:t>
      </w:r>
      <w:r>
        <w:tab/>
      </w:r>
      <w:r w:rsidRPr="00DE68C2">
        <w:rPr>
          <w:iCs/>
        </w:rPr>
        <w:t xml:space="preserve">Voir, par exemple, en matière de vagabondage : </w:t>
      </w:r>
      <w:r w:rsidRPr="00DE68C2">
        <w:t>Acte pour r</w:t>
      </w:r>
      <w:r w:rsidRPr="00DE68C2">
        <w:t>e</w:t>
      </w:r>
      <w:r w:rsidRPr="00DE68C2">
        <w:t>médier plus efficacement à divers abus préjudiciables à l'amélioration de l’agriculture, et à l’industrie dans cette province, et pour d'autres objets,</w:t>
      </w:r>
      <w:r w:rsidRPr="00DE68C2">
        <w:rPr>
          <w:iCs/>
        </w:rPr>
        <w:t xml:space="preserve"> Statuts provi</w:t>
      </w:r>
      <w:r w:rsidRPr="00DE68C2">
        <w:rPr>
          <w:iCs/>
        </w:rPr>
        <w:t>n</w:t>
      </w:r>
      <w:r w:rsidRPr="00DE68C2">
        <w:rPr>
          <w:iCs/>
        </w:rPr>
        <w:t>ciaux du Bas-Canada, 1824, c. 33, art. 30 ; en matière de délinquance juv</w:t>
      </w:r>
      <w:r w:rsidRPr="00DE68C2">
        <w:rPr>
          <w:iCs/>
        </w:rPr>
        <w:t>é</w:t>
      </w:r>
      <w:r w:rsidRPr="00DE68C2">
        <w:rPr>
          <w:iCs/>
        </w:rPr>
        <w:t xml:space="preserve">nile : </w:t>
      </w:r>
      <w:r w:rsidRPr="00DE68C2">
        <w:t>Acte concernant les prisons pour les jeunes déli</w:t>
      </w:r>
      <w:r w:rsidRPr="00DE68C2">
        <w:t>n</w:t>
      </w:r>
      <w:r w:rsidRPr="00DE68C2">
        <w:t>quants,</w:t>
      </w:r>
      <w:r w:rsidRPr="00DE68C2">
        <w:rPr>
          <w:iCs/>
        </w:rPr>
        <w:t xml:space="preserve"> Statuts du Canada, 1858, c. 88.</w:t>
      </w:r>
    </w:p>
  </w:footnote>
  <w:footnote w:id="192">
    <w:p w:rsidR="00B7214C" w:rsidRDefault="00B7214C" w:rsidP="00B7214C">
      <w:pPr>
        <w:pStyle w:val="Notedebasdepage"/>
      </w:pPr>
      <w:r>
        <w:rPr>
          <w:rStyle w:val="Appelnotedebasdep"/>
        </w:rPr>
        <w:footnoteRef/>
      </w:r>
      <w:r>
        <w:t xml:space="preserve"> </w:t>
      </w:r>
      <w:r>
        <w:tab/>
      </w:r>
      <w:r w:rsidRPr="00DE68C2">
        <w:t>Acte concernant les écoles d'industrie,</w:t>
      </w:r>
      <w:r w:rsidRPr="00DE68C2">
        <w:rPr>
          <w:iCs/>
        </w:rPr>
        <w:t xml:space="preserve"> S.Q., 1869, c. 17.</w:t>
      </w:r>
    </w:p>
  </w:footnote>
  <w:footnote w:id="193">
    <w:p w:rsidR="00B7214C" w:rsidRDefault="00B7214C" w:rsidP="00B7214C">
      <w:pPr>
        <w:pStyle w:val="Notedebasdepage"/>
      </w:pPr>
      <w:r>
        <w:rPr>
          <w:rStyle w:val="Appelnotedebasdep"/>
        </w:rPr>
        <w:footnoteRef/>
      </w:r>
      <w:r>
        <w:t xml:space="preserve"> </w:t>
      </w:r>
      <w:r>
        <w:tab/>
      </w:r>
      <w:r w:rsidRPr="00A37731">
        <w:t>Précitée, note 5.</w:t>
      </w:r>
      <w:r>
        <w:t xml:space="preserve"> [Voir note précédente. JMT.]</w:t>
      </w:r>
    </w:p>
  </w:footnote>
  <w:footnote w:id="194">
    <w:p w:rsidR="00B7214C" w:rsidRDefault="00B7214C" w:rsidP="00B7214C">
      <w:pPr>
        <w:pStyle w:val="Notedebasdepage"/>
      </w:pPr>
      <w:r>
        <w:rPr>
          <w:rStyle w:val="Appelnotedebasdep"/>
        </w:rPr>
        <w:footnoteRef/>
      </w:r>
      <w:r>
        <w:t xml:space="preserve"> </w:t>
      </w:r>
      <w:r>
        <w:tab/>
      </w:r>
      <w:r w:rsidRPr="00DE68C2">
        <w:rPr>
          <w:i/>
          <w:iCs/>
        </w:rPr>
        <w:t>Débats de l'Assemblée législative,</w:t>
      </w:r>
      <w:r w:rsidRPr="00A37731">
        <w:t xml:space="preserve"> 1867-1870 (reconstit</w:t>
      </w:r>
      <w:r w:rsidRPr="00A37731">
        <w:t>u</w:t>
      </w:r>
      <w:r w:rsidRPr="00A37731">
        <w:t>tion), p</w:t>
      </w:r>
      <w:r>
        <w:t>p</w:t>
      </w:r>
      <w:r w:rsidRPr="00A37731">
        <w:t>. 171,</w:t>
      </w:r>
      <w:r>
        <w:t xml:space="preserve"> </w:t>
      </w:r>
      <w:r w:rsidRPr="00A37731">
        <w:t>192,</w:t>
      </w:r>
      <w:r>
        <w:t xml:space="preserve"> </w:t>
      </w:r>
      <w:r w:rsidRPr="00A37731">
        <w:t>204 et 211.</w:t>
      </w:r>
    </w:p>
  </w:footnote>
  <w:footnote w:id="195">
    <w:p w:rsidR="00B7214C" w:rsidRDefault="00B7214C" w:rsidP="00B7214C">
      <w:pPr>
        <w:pStyle w:val="Notedebasdepage"/>
      </w:pPr>
      <w:r>
        <w:rPr>
          <w:rStyle w:val="Appelnotedebasdep"/>
        </w:rPr>
        <w:footnoteRef/>
      </w:r>
      <w:r>
        <w:t xml:space="preserve"> </w:t>
      </w:r>
      <w:r>
        <w:tab/>
      </w:r>
      <w:r w:rsidRPr="00DE68C2">
        <w:rPr>
          <w:i/>
          <w:iCs/>
        </w:rPr>
        <w:t>Idem,</w:t>
      </w:r>
      <w:r w:rsidRPr="00A37731">
        <w:t xml:space="preserve"> p. 218.</w:t>
      </w:r>
    </w:p>
  </w:footnote>
  <w:footnote w:id="196">
    <w:p w:rsidR="00B7214C" w:rsidRDefault="00B7214C" w:rsidP="00B7214C">
      <w:pPr>
        <w:pStyle w:val="Notedebasdepage"/>
      </w:pPr>
      <w:r>
        <w:rPr>
          <w:rStyle w:val="Appelnotedebasdep"/>
        </w:rPr>
        <w:footnoteRef/>
      </w:r>
      <w:r>
        <w:t xml:space="preserve"> </w:t>
      </w:r>
      <w:r>
        <w:tab/>
      </w:r>
      <w:r w:rsidRPr="00DE68C2">
        <w:rPr>
          <w:i/>
          <w:iCs/>
        </w:rPr>
        <w:t>Idem,</w:t>
      </w:r>
      <w:r w:rsidRPr="00A37731">
        <w:t xml:space="preserve"> p. 176.</w:t>
      </w:r>
    </w:p>
  </w:footnote>
  <w:footnote w:id="197">
    <w:p w:rsidR="00B7214C" w:rsidRDefault="00B7214C" w:rsidP="00B7214C">
      <w:pPr>
        <w:pStyle w:val="Notedebasdepage"/>
      </w:pPr>
      <w:r>
        <w:rPr>
          <w:rStyle w:val="Appelnotedebasdep"/>
        </w:rPr>
        <w:footnoteRef/>
      </w:r>
      <w:r>
        <w:t xml:space="preserve"> </w:t>
      </w:r>
      <w:r>
        <w:tab/>
      </w:r>
      <w:r w:rsidRPr="00DE68C2">
        <w:rPr>
          <w:i/>
          <w:iCs/>
        </w:rPr>
        <w:t>Acte concernant les école</w:t>
      </w:r>
      <w:r>
        <w:rPr>
          <w:i/>
          <w:iCs/>
        </w:rPr>
        <w:t>s</w:t>
      </w:r>
      <w:r w:rsidRPr="00DE68C2">
        <w:rPr>
          <w:i/>
          <w:iCs/>
        </w:rPr>
        <w:t xml:space="preserve"> de réforme,</w:t>
      </w:r>
      <w:r w:rsidRPr="00A37731">
        <w:t xml:space="preserve"> S.Q., 1869, c. 18. L'Angl</w:t>
      </w:r>
      <w:r w:rsidRPr="00A37731">
        <w:t>e</w:t>
      </w:r>
      <w:r w:rsidRPr="00A37731">
        <w:t>terre s'était en effet dotée, durant les années 1850, d'un système d'éducation correctio</w:t>
      </w:r>
      <w:r w:rsidRPr="00A37731">
        <w:t>n</w:t>
      </w:r>
      <w:r w:rsidRPr="00A37731">
        <w:t>nelle pour les personnes mineures délinquantes ou sujettes à le devenir. Voir, à ce sujet, Mario Provost, « Le mauvais traitement de l'enfant : Per</w:t>
      </w:r>
      <w:r w:rsidRPr="00A37731">
        <w:t>s</w:t>
      </w:r>
      <w:r w:rsidRPr="00A37731">
        <w:t xml:space="preserve">pectives historiques et comparatives de la législation sur la protection de la jeunesse ». </w:t>
      </w:r>
      <w:r w:rsidRPr="00DE68C2">
        <w:rPr>
          <w:i/>
          <w:iCs/>
        </w:rPr>
        <w:t>Revue de Droit,</w:t>
      </w:r>
      <w:r w:rsidRPr="00A37731">
        <w:t xml:space="preserve"> 1991, 22, p. 1.</w:t>
      </w:r>
    </w:p>
  </w:footnote>
  <w:footnote w:id="198">
    <w:p w:rsidR="00B7214C" w:rsidRDefault="00B7214C" w:rsidP="00B7214C">
      <w:pPr>
        <w:pStyle w:val="Notedebasdepage"/>
      </w:pPr>
      <w:r>
        <w:rPr>
          <w:rStyle w:val="Appelnotedebasdep"/>
        </w:rPr>
        <w:footnoteRef/>
      </w:r>
      <w:r>
        <w:t xml:space="preserve"> </w:t>
      </w:r>
      <w:r>
        <w:tab/>
      </w:r>
      <w:r w:rsidRPr="00A37731">
        <w:t xml:space="preserve">Voir, </w:t>
      </w:r>
      <w:r w:rsidRPr="00DE68C2">
        <w:t xml:space="preserve">à </w:t>
      </w:r>
      <w:r w:rsidRPr="00A37731">
        <w:t xml:space="preserve">ce sujet, </w:t>
      </w:r>
      <w:r w:rsidRPr="00DE68C2">
        <w:rPr>
          <w:i/>
          <w:iCs/>
        </w:rPr>
        <w:t>l'Acte pour amender l'Acte 32 Victoria, c. 17, concernant les écoles d’industrie,</w:t>
      </w:r>
      <w:r w:rsidRPr="00A37731">
        <w:t xml:space="preserve"> S.Q., 1884, c. 23. Cette loi avait également pour objet d'abaisser l'âge des enfants v</w:t>
      </w:r>
      <w:r w:rsidRPr="00A37731">
        <w:t>i</w:t>
      </w:r>
      <w:r w:rsidRPr="00A37731">
        <w:t>sés de quatorze à douze ans. L'âge de quatorze ans a été rét</w:t>
      </w:r>
      <w:r w:rsidRPr="00A37731">
        <w:t>a</w:t>
      </w:r>
      <w:r w:rsidRPr="00A37731">
        <w:t>bli en 1894.</w:t>
      </w:r>
    </w:p>
  </w:footnote>
  <w:footnote w:id="199">
    <w:p w:rsidR="00B7214C" w:rsidRDefault="00B7214C" w:rsidP="00B7214C">
      <w:pPr>
        <w:pStyle w:val="Notedebasdepage"/>
      </w:pPr>
      <w:r>
        <w:rPr>
          <w:rStyle w:val="Appelnotedebasdep"/>
        </w:rPr>
        <w:footnoteRef/>
      </w:r>
      <w:r>
        <w:t xml:space="preserve"> </w:t>
      </w:r>
      <w:r>
        <w:tab/>
      </w:r>
      <w:r w:rsidRPr="00A37731">
        <w:t xml:space="preserve">Voir, </w:t>
      </w:r>
      <w:r w:rsidRPr="00DE68C2">
        <w:t xml:space="preserve">à </w:t>
      </w:r>
      <w:r w:rsidRPr="00A37731">
        <w:t xml:space="preserve">ce sujet. </w:t>
      </w:r>
      <w:r w:rsidRPr="00DE68C2">
        <w:rPr>
          <w:i/>
          <w:iCs/>
        </w:rPr>
        <w:t>Loi amendant les Statuts refondus, 1909, conce</w:t>
      </w:r>
      <w:r w:rsidRPr="00DE68C2">
        <w:rPr>
          <w:i/>
          <w:iCs/>
        </w:rPr>
        <w:t>r</w:t>
      </w:r>
      <w:r w:rsidRPr="00DE68C2">
        <w:rPr>
          <w:i/>
          <w:iCs/>
        </w:rPr>
        <w:t>nant les jeunes délinquants,</w:t>
      </w:r>
      <w:r w:rsidRPr="00A37731">
        <w:t xml:space="preserve"> S.Q., 1912, c. 39. Le titre de cette loi i</w:t>
      </w:r>
      <w:r w:rsidRPr="00A37731">
        <w:t>l</w:t>
      </w:r>
      <w:r w:rsidRPr="00A37731">
        <w:t xml:space="preserve">lustre une fois de plus l'association qui est encore faite </w:t>
      </w:r>
      <w:r w:rsidRPr="00DE68C2">
        <w:t xml:space="preserve">à </w:t>
      </w:r>
      <w:r w:rsidRPr="00A37731">
        <w:t>cette époque entre les jeunes déli</w:t>
      </w:r>
      <w:r w:rsidRPr="00A37731">
        <w:t>n</w:t>
      </w:r>
      <w:r w:rsidRPr="00A37731">
        <w:t>quants et les jeunes placés en école d'i</w:t>
      </w:r>
      <w:r w:rsidRPr="00A37731">
        <w:t>n</w:t>
      </w:r>
      <w:r w:rsidRPr="00A37731">
        <w:t>dustrie.</w:t>
      </w:r>
    </w:p>
  </w:footnote>
  <w:footnote w:id="200">
    <w:p w:rsidR="00B7214C" w:rsidRDefault="00B7214C" w:rsidP="00B7214C">
      <w:pPr>
        <w:pStyle w:val="Notedebasdepage"/>
      </w:pPr>
      <w:r>
        <w:rPr>
          <w:rStyle w:val="Appelnotedebasdep"/>
        </w:rPr>
        <w:footnoteRef/>
      </w:r>
      <w:r>
        <w:t xml:space="preserve"> </w:t>
      </w:r>
      <w:r>
        <w:tab/>
      </w:r>
      <w:r w:rsidRPr="00DE68C2">
        <w:t>Loi concernant la protection de l'enfance,</w:t>
      </w:r>
      <w:r w:rsidRPr="00DE68C2">
        <w:rPr>
          <w:iCs/>
        </w:rPr>
        <w:t xml:space="preserve"> S.Q., 1944, c. 33.</w:t>
      </w:r>
    </w:p>
  </w:footnote>
  <w:footnote w:id="201">
    <w:p w:rsidR="00B7214C" w:rsidRDefault="00B7214C" w:rsidP="00B7214C">
      <w:pPr>
        <w:pStyle w:val="Notedebasdepage"/>
      </w:pPr>
      <w:r>
        <w:rPr>
          <w:rStyle w:val="Appelnotedebasdep"/>
        </w:rPr>
        <w:footnoteRef/>
      </w:r>
      <w:r>
        <w:t xml:space="preserve"> </w:t>
      </w:r>
      <w:r>
        <w:tab/>
      </w:r>
      <w:r w:rsidRPr="00A37731">
        <w:t>Commission d'assurance-maladie de Québec, 1</w:t>
      </w:r>
      <w:r w:rsidRPr="00DE68C2">
        <w:t>er</w:t>
      </w:r>
      <w:r w:rsidRPr="00A37731">
        <w:t xml:space="preserve"> rapport. Cette commission est issue de la </w:t>
      </w:r>
      <w:r w:rsidRPr="00DE68C2">
        <w:rPr>
          <w:i/>
          <w:iCs/>
        </w:rPr>
        <w:t>Loi instituant une Commission d'assura</w:t>
      </w:r>
      <w:r w:rsidRPr="00DE68C2">
        <w:rPr>
          <w:i/>
          <w:iCs/>
        </w:rPr>
        <w:t>n</w:t>
      </w:r>
      <w:r w:rsidRPr="00DE68C2">
        <w:rPr>
          <w:i/>
          <w:iCs/>
        </w:rPr>
        <w:t>ce-maladie,</w:t>
      </w:r>
      <w:r w:rsidRPr="00A37731">
        <w:t xml:space="preserve"> S.Q., 1943, c. 32.</w:t>
      </w:r>
    </w:p>
  </w:footnote>
  <w:footnote w:id="202">
    <w:p w:rsidR="00B7214C" w:rsidRDefault="00B7214C" w:rsidP="00B7214C">
      <w:pPr>
        <w:pStyle w:val="Notedebasdepage"/>
      </w:pPr>
      <w:r>
        <w:rPr>
          <w:rStyle w:val="Appelnotedebasdep"/>
        </w:rPr>
        <w:footnoteRef/>
      </w:r>
      <w:r>
        <w:t xml:space="preserve"> </w:t>
      </w:r>
      <w:r>
        <w:tab/>
      </w:r>
      <w:r w:rsidRPr="00A37731">
        <w:t>Les commissaires reçoivent en outre les mémoires de dix-neuf autres pe</w:t>
      </w:r>
      <w:r w:rsidRPr="00A37731">
        <w:t>r</w:t>
      </w:r>
      <w:r w:rsidRPr="00A37731">
        <w:t>sonnes ou organismes qui préfèrent ne pas témoigner devant la Commi</w:t>
      </w:r>
      <w:r w:rsidRPr="00A37731">
        <w:t>s</w:t>
      </w:r>
      <w:r w:rsidRPr="00A37731">
        <w:t>sion : Commission d'assurance-maladie de Québec, 1</w:t>
      </w:r>
      <w:r w:rsidRPr="00DE68C2">
        <w:t>er</w:t>
      </w:r>
      <w:r w:rsidRPr="00A37731">
        <w:t xml:space="preserve"> ra</w:t>
      </w:r>
      <w:r w:rsidRPr="00A37731">
        <w:t>p</w:t>
      </w:r>
      <w:r w:rsidRPr="00A37731">
        <w:t>port, p. 3.</w:t>
      </w:r>
    </w:p>
  </w:footnote>
  <w:footnote w:id="203">
    <w:p w:rsidR="00B7214C" w:rsidRDefault="00B7214C" w:rsidP="00B7214C">
      <w:pPr>
        <w:pStyle w:val="Notedebasdepage"/>
      </w:pPr>
      <w:r>
        <w:rPr>
          <w:rStyle w:val="Appelnotedebasdep"/>
        </w:rPr>
        <w:footnoteRef/>
      </w:r>
      <w:r>
        <w:t xml:space="preserve"> </w:t>
      </w:r>
      <w:r>
        <w:tab/>
      </w:r>
      <w:r w:rsidRPr="00DE68C2">
        <w:t>Loi concernant les écoles d’industrie,</w:t>
      </w:r>
      <w:r w:rsidRPr="00DE68C2">
        <w:rPr>
          <w:iCs/>
        </w:rPr>
        <w:t xml:space="preserve"> S.R.Q., 1941, c. 39.</w:t>
      </w:r>
    </w:p>
  </w:footnote>
  <w:footnote w:id="204">
    <w:p w:rsidR="00B7214C" w:rsidRDefault="00B7214C" w:rsidP="00B7214C">
      <w:pPr>
        <w:pStyle w:val="Notedebasdepage"/>
      </w:pPr>
      <w:r>
        <w:rPr>
          <w:rStyle w:val="Appelnotedebasdep"/>
        </w:rPr>
        <w:footnoteRef/>
      </w:r>
      <w:r>
        <w:t xml:space="preserve"> </w:t>
      </w:r>
      <w:r>
        <w:tab/>
      </w:r>
      <w:r w:rsidRPr="00DE68C2">
        <w:t>Loi constituant le département de bien-être social et de la jeune</w:t>
      </w:r>
      <w:r w:rsidRPr="00DE68C2">
        <w:t>s</w:t>
      </w:r>
      <w:r w:rsidRPr="00DE68C2">
        <w:t>se,</w:t>
      </w:r>
      <w:r w:rsidRPr="00DE68C2">
        <w:rPr>
          <w:iCs/>
        </w:rPr>
        <w:t xml:space="preserve"> S.Q., 1946, c. 22.</w:t>
      </w:r>
    </w:p>
  </w:footnote>
  <w:footnote w:id="205">
    <w:p w:rsidR="00B7214C" w:rsidRDefault="00B7214C" w:rsidP="00B7214C">
      <w:pPr>
        <w:pStyle w:val="Notedebasdepage"/>
      </w:pPr>
      <w:r>
        <w:rPr>
          <w:rStyle w:val="Appelnotedebasdep"/>
        </w:rPr>
        <w:footnoteRef/>
      </w:r>
      <w:r>
        <w:t xml:space="preserve"> </w:t>
      </w:r>
      <w:r>
        <w:tab/>
      </w:r>
      <w:r w:rsidRPr="00DE68C2">
        <w:t>Loi relative aux écoles de protection de la jeunesse,</w:t>
      </w:r>
      <w:r w:rsidRPr="00DE68C2">
        <w:rPr>
          <w:iCs/>
        </w:rPr>
        <w:t xml:space="preserve"> S.Q., 1950, c. 11.</w:t>
      </w:r>
    </w:p>
  </w:footnote>
  <w:footnote w:id="206">
    <w:p w:rsidR="00B7214C" w:rsidRDefault="00B7214C" w:rsidP="00B7214C">
      <w:pPr>
        <w:pStyle w:val="Notedebasdepage"/>
      </w:pPr>
      <w:r>
        <w:rPr>
          <w:rStyle w:val="Appelnotedebasdep"/>
        </w:rPr>
        <w:footnoteRef/>
      </w:r>
      <w:r>
        <w:t xml:space="preserve"> </w:t>
      </w:r>
      <w:r>
        <w:tab/>
      </w:r>
      <w:r w:rsidRPr="00DE68C2">
        <w:t>Loi instituant la Cour de bien-être social,</w:t>
      </w:r>
      <w:r w:rsidRPr="00DE68C2">
        <w:rPr>
          <w:iCs/>
        </w:rPr>
        <w:t xml:space="preserve"> S.Q., 1950, c. 10.</w:t>
      </w:r>
    </w:p>
  </w:footnote>
  <w:footnote w:id="207">
    <w:p w:rsidR="00B7214C" w:rsidRDefault="00B7214C" w:rsidP="00B7214C">
      <w:pPr>
        <w:pStyle w:val="Notedebasdepage"/>
      </w:pPr>
      <w:r>
        <w:rPr>
          <w:rStyle w:val="Appelnotedebasdep"/>
        </w:rPr>
        <w:footnoteRef/>
      </w:r>
      <w:r>
        <w:t xml:space="preserve"> </w:t>
      </w:r>
      <w:r>
        <w:tab/>
      </w:r>
      <w:r w:rsidRPr="00DE68C2">
        <w:t>Loi modifiant la Loi des écoles de protection de la jeune</w:t>
      </w:r>
      <w:r w:rsidRPr="00DE68C2">
        <w:t>s</w:t>
      </w:r>
      <w:r w:rsidRPr="00DE68C2">
        <w:t>se,</w:t>
      </w:r>
      <w:r w:rsidRPr="00DE68C2">
        <w:rPr>
          <w:iCs/>
        </w:rPr>
        <w:t xml:space="preserve"> S.Q., 1950-1951, c. 56.</w:t>
      </w:r>
    </w:p>
  </w:footnote>
  <w:footnote w:id="208">
    <w:p w:rsidR="00B7214C" w:rsidRDefault="00B7214C" w:rsidP="00B7214C">
      <w:pPr>
        <w:pStyle w:val="Notedebasdepage"/>
      </w:pPr>
      <w:r>
        <w:rPr>
          <w:rStyle w:val="Appelnotedebasdep"/>
        </w:rPr>
        <w:footnoteRef/>
      </w:r>
      <w:r>
        <w:t xml:space="preserve"> </w:t>
      </w:r>
      <w:r>
        <w:tab/>
      </w:r>
      <w:r w:rsidRPr="00DE68C2">
        <w:t>Loi sur la capacité juridique de la femme mariée,</w:t>
      </w:r>
      <w:r w:rsidRPr="00DE68C2">
        <w:rPr>
          <w:iCs/>
        </w:rPr>
        <w:t xml:space="preserve"> L.Q., 1964, c. 66.</w:t>
      </w:r>
    </w:p>
  </w:footnote>
  <w:footnote w:id="209">
    <w:p w:rsidR="00B7214C" w:rsidRDefault="00B7214C" w:rsidP="00B7214C">
      <w:pPr>
        <w:pStyle w:val="Notedebasdepage"/>
      </w:pPr>
      <w:r>
        <w:rPr>
          <w:rStyle w:val="Appelnotedebasdep"/>
        </w:rPr>
        <w:footnoteRef/>
      </w:r>
      <w:r>
        <w:t xml:space="preserve"> </w:t>
      </w:r>
      <w:r>
        <w:tab/>
      </w:r>
      <w:r w:rsidRPr="00DE68C2">
        <w:t>Loi concernant les régimes matrimoniaux,</w:t>
      </w:r>
      <w:r w:rsidRPr="00DE68C2">
        <w:rPr>
          <w:iCs/>
        </w:rPr>
        <w:t xml:space="preserve"> L.Q., 1969, c. 77.</w:t>
      </w:r>
    </w:p>
  </w:footnote>
  <w:footnote w:id="210">
    <w:p w:rsidR="00B7214C" w:rsidRDefault="00B7214C" w:rsidP="00B7214C">
      <w:pPr>
        <w:pStyle w:val="Notedebasdepage"/>
      </w:pPr>
      <w:r>
        <w:rPr>
          <w:rStyle w:val="Appelnotedebasdep"/>
        </w:rPr>
        <w:footnoteRef/>
      </w:r>
      <w:r>
        <w:t xml:space="preserve"> </w:t>
      </w:r>
      <w:r>
        <w:tab/>
      </w:r>
      <w:r w:rsidRPr="00DE68C2">
        <w:t>Loi sur les services de santé et les services sociaux</w:t>
      </w:r>
      <w:r w:rsidRPr="00DE68C2">
        <w:rPr>
          <w:iCs/>
        </w:rPr>
        <w:t xml:space="preserve"> L.Q., 1971, c. 48.</w:t>
      </w:r>
    </w:p>
  </w:footnote>
  <w:footnote w:id="211">
    <w:p w:rsidR="00B7214C" w:rsidRDefault="00B7214C" w:rsidP="00B7214C">
      <w:pPr>
        <w:pStyle w:val="Notedebasdepage"/>
      </w:pPr>
      <w:r>
        <w:rPr>
          <w:rStyle w:val="Appelnotedebasdep"/>
        </w:rPr>
        <w:footnoteRef/>
      </w:r>
      <w:r>
        <w:t xml:space="preserve"> </w:t>
      </w:r>
      <w:r>
        <w:tab/>
      </w:r>
      <w:r w:rsidRPr="00DE68C2">
        <w:t>Loi concernant la protection des enfants soumis à des mauvais tra</w:t>
      </w:r>
      <w:r w:rsidRPr="00DE68C2">
        <w:t>i</w:t>
      </w:r>
      <w:r w:rsidRPr="00DE68C2">
        <w:t>tements,</w:t>
      </w:r>
      <w:r w:rsidRPr="00DE68C2">
        <w:rPr>
          <w:iCs/>
        </w:rPr>
        <w:t xml:space="preserve"> L.Q., 1974, c. 59.</w:t>
      </w:r>
    </w:p>
  </w:footnote>
  <w:footnote w:id="212">
    <w:p w:rsidR="00B7214C" w:rsidRDefault="00B7214C" w:rsidP="00B7214C">
      <w:pPr>
        <w:pStyle w:val="Notedebasdepage"/>
      </w:pPr>
      <w:r>
        <w:rPr>
          <w:rStyle w:val="Appelnotedebasdep"/>
        </w:rPr>
        <w:footnoteRef/>
      </w:r>
      <w:r>
        <w:t xml:space="preserve"> </w:t>
      </w:r>
      <w:r>
        <w:tab/>
      </w:r>
      <w:r w:rsidRPr="00DE68C2">
        <w:t>Loi sur la protection de la jeunesse,</w:t>
      </w:r>
      <w:r w:rsidRPr="00DE68C2">
        <w:rPr>
          <w:iCs/>
        </w:rPr>
        <w:t xml:space="preserve"> L.Q., 1979, c. 20.</w:t>
      </w:r>
    </w:p>
  </w:footnote>
  <w:footnote w:id="213">
    <w:p w:rsidR="00B7214C" w:rsidRDefault="00B7214C" w:rsidP="00B7214C">
      <w:pPr>
        <w:pStyle w:val="Notedebasdepage"/>
      </w:pPr>
      <w:r>
        <w:rPr>
          <w:rStyle w:val="Appelnotedebasdep"/>
        </w:rPr>
        <w:footnoteRef/>
      </w:r>
      <w:r>
        <w:t xml:space="preserve"> </w:t>
      </w:r>
      <w:r>
        <w:tab/>
      </w:r>
      <w:r w:rsidRPr="00A37731">
        <w:t>Depuis la récente réforme des services de santé et des services s</w:t>
      </w:r>
      <w:r w:rsidRPr="00A37731">
        <w:t>o</w:t>
      </w:r>
      <w:r w:rsidRPr="00A37731">
        <w:t>ciaux, ces centres n'existent plus. Une grande partie de leur mission est maintenant exercée par les Centres de pr</w:t>
      </w:r>
      <w:r w:rsidRPr="00A37731">
        <w:t>o</w:t>
      </w:r>
      <w:r w:rsidRPr="00A37731">
        <w:t>tection de l'enfance et de la jeunesse.</w:t>
      </w:r>
    </w:p>
  </w:footnote>
  <w:footnote w:id="214">
    <w:p w:rsidR="00B7214C" w:rsidRDefault="00B7214C" w:rsidP="00B7214C">
      <w:pPr>
        <w:pStyle w:val="Notedebasdepage"/>
      </w:pPr>
      <w:r>
        <w:rPr>
          <w:rStyle w:val="Appelnotedebasdep"/>
        </w:rPr>
        <w:footnoteRef/>
      </w:r>
      <w:r>
        <w:t xml:space="preserve"> </w:t>
      </w:r>
      <w:r>
        <w:tab/>
      </w:r>
      <w:r w:rsidRPr="00A37731">
        <w:t>Les articles 38 et 38.1 de la loi actuelle énumèrent de façon l</w:t>
      </w:r>
      <w:r w:rsidRPr="00A37731">
        <w:t>i</w:t>
      </w:r>
      <w:r w:rsidRPr="00A37731">
        <w:t>mitative les situations pouvant donner lieu à l'interve</w:t>
      </w:r>
      <w:r w:rsidRPr="00A37731">
        <w:t>n</w:t>
      </w:r>
      <w:r w:rsidRPr="00A37731">
        <w:t>tion publique.</w:t>
      </w:r>
    </w:p>
  </w:footnote>
  <w:footnote w:id="215">
    <w:p w:rsidR="00B7214C" w:rsidRDefault="00B7214C" w:rsidP="00B7214C">
      <w:pPr>
        <w:pStyle w:val="Notedebasdepage"/>
      </w:pPr>
      <w:r>
        <w:rPr>
          <w:rStyle w:val="Appelnotedebasdep"/>
        </w:rPr>
        <w:footnoteRef/>
      </w:r>
      <w:r>
        <w:t xml:space="preserve"> </w:t>
      </w:r>
      <w:r>
        <w:tab/>
      </w:r>
      <w:r w:rsidRPr="00A37731">
        <w:t>Le nom de cet organisme a été modifié en 1989 pour celui de Commission de protection des droits de la jeunesse.</w:t>
      </w:r>
    </w:p>
  </w:footnote>
  <w:footnote w:id="216">
    <w:p w:rsidR="00B7214C" w:rsidRDefault="00B7214C" w:rsidP="00B7214C">
      <w:pPr>
        <w:pStyle w:val="Notedebasdepage"/>
      </w:pPr>
      <w:r>
        <w:rPr>
          <w:rStyle w:val="Appelnotedebasdep"/>
        </w:rPr>
        <w:footnoteRef/>
      </w:r>
      <w:r>
        <w:t xml:space="preserve"> </w:t>
      </w:r>
      <w:r>
        <w:tab/>
      </w:r>
      <w:r w:rsidRPr="00DE68C2">
        <w:t>Loi modifiant le Code civil,</w:t>
      </w:r>
      <w:r w:rsidRPr="00DE68C2">
        <w:rPr>
          <w:iCs/>
        </w:rPr>
        <w:t xml:space="preserve"> L.Q., 1977, c. 72.</w:t>
      </w:r>
    </w:p>
  </w:footnote>
  <w:footnote w:id="217">
    <w:p w:rsidR="00B7214C" w:rsidRDefault="00B7214C" w:rsidP="00B7214C">
      <w:pPr>
        <w:pStyle w:val="Notedebasdepage"/>
      </w:pPr>
      <w:r>
        <w:rPr>
          <w:rStyle w:val="Appelnotedebasdep"/>
        </w:rPr>
        <w:t>*</w:t>
      </w:r>
      <w:r>
        <w:t xml:space="preserve"> </w:t>
      </w:r>
      <w:r>
        <w:tab/>
      </w:r>
      <w:r w:rsidRPr="00A37731">
        <w:t>Je remercie Chantal Collard, Renée B.-Dandurand, Agnès Pitrou et Jean-Claude Martin qui ont discuté avec moi ce texte et m'ont ind</w:t>
      </w:r>
      <w:r w:rsidRPr="00A37731">
        <w:t>i</w:t>
      </w:r>
      <w:r w:rsidRPr="00A37731">
        <w:t>qué certaines pistes de réflexion à pou</w:t>
      </w:r>
      <w:r w:rsidRPr="00A37731">
        <w:t>r</w:t>
      </w:r>
      <w:r w:rsidRPr="00A37731">
        <w:t>suivre.</w:t>
      </w:r>
    </w:p>
  </w:footnote>
  <w:footnote w:id="218">
    <w:p w:rsidR="00B7214C" w:rsidRDefault="00B7214C" w:rsidP="00B7214C">
      <w:pPr>
        <w:pStyle w:val="Notedebasdepage"/>
      </w:pPr>
      <w:r>
        <w:rPr>
          <w:rStyle w:val="Appelnotedebasdep"/>
        </w:rPr>
        <w:footnoteRef/>
      </w:r>
      <w:r>
        <w:t xml:space="preserve"> </w:t>
      </w:r>
      <w:r>
        <w:tab/>
      </w:r>
      <w:r w:rsidRPr="00A37731">
        <w:t>Cette recherche, subventionnée par le Conseil québécois de la recherche sociale, a été réalisée à l'Institut québécois de recherche sur la culture, dans le cadre de l'équipe « Familles, sexes, générations », avec la collaboration de Johanne Séguin.</w:t>
      </w:r>
    </w:p>
  </w:footnote>
  <w:footnote w:id="219">
    <w:p w:rsidR="00B7214C" w:rsidRDefault="00B7214C" w:rsidP="00B7214C">
      <w:pPr>
        <w:pStyle w:val="Notedebasdepage"/>
      </w:pPr>
      <w:r>
        <w:rPr>
          <w:rStyle w:val="Appelnotedebasdep"/>
        </w:rPr>
        <w:footnoteRef/>
      </w:r>
      <w:r>
        <w:t xml:space="preserve"> </w:t>
      </w:r>
      <w:r>
        <w:tab/>
      </w:r>
      <w:r w:rsidRPr="00A37731">
        <w:t>Bien sûr, dans d'autres sociétés et dans le contexte d'autres systèmes de p</w:t>
      </w:r>
      <w:r w:rsidRPr="00A37731">
        <w:t>a</w:t>
      </w:r>
      <w:r w:rsidRPr="00A37731">
        <w:t>renté, l'adoption se réalise souvent en renforcement des liens d'alliance pl</w:t>
      </w:r>
      <w:r w:rsidRPr="00A37731">
        <w:t>u</w:t>
      </w:r>
      <w:r w:rsidRPr="00A37731">
        <w:t>tôt que des liens de consanguinité. De plus, dans plusieurs sociétés, la rel</w:t>
      </w:r>
      <w:r w:rsidRPr="00A37731">
        <w:t>a</w:t>
      </w:r>
      <w:r w:rsidRPr="00A37731">
        <w:t xml:space="preserve">tion adoptive est reconnue comme telle dans sa spécificité. Sur le sujet, voir </w:t>
      </w:r>
      <w:r w:rsidRPr="00C94C96">
        <w:rPr>
          <w:i/>
          <w:iCs/>
        </w:rPr>
        <w:t xml:space="preserve">Anthropologie et sociétés, </w:t>
      </w:r>
      <w:r w:rsidRPr="00A37731">
        <w:t>1988.</w:t>
      </w:r>
    </w:p>
  </w:footnote>
  <w:footnote w:id="220">
    <w:p w:rsidR="00B7214C" w:rsidRDefault="00B7214C" w:rsidP="00B7214C">
      <w:pPr>
        <w:pStyle w:val="Notedebasdepage"/>
      </w:pPr>
      <w:r>
        <w:rPr>
          <w:rStyle w:val="Appelnotedebasdep"/>
        </w:rPr>
        <w:footnoteRef/>
      </w:r>
      <w:r>
        <w:t xml:space="preserve"> </w:t>
      </w:r>
      <w:r>
        <w:tab/>
      </w:r>
      <w:r w:rsidRPr="00A37731">
        <w:t>C'est d'ailleurs ce qui se dégage de certains discours éno</w:t>
      </w:r>
      <w:r w:rsidRPr="00A37731">
        <w:t>n</w:t>
      </w:r>
      <w:r w:rsidRPr="00A37731">
        <w:t>cés sur la politique familiale québécoise, en 1985. Voir l'analyse d'Hélène Belleau dans le pr</w:t>
      </w:r>
      <w:r w:rsidRPr="00A37731">
        <w:t>é</w:t>
      </w:r>
      <w:r w:rsidRPr="00A37731">
        <w:t>sent ouvrage.</w:t>
      </w:r>
    </w:p>
  </w:footnote>
  <w:footnote w:id="221">
    <w:p w:rsidR="00B7214C" w:rsidRDefault="00B7214C" w:rsidP="00B7214C">
      <w:pPr>
        <w:pStyle w:val="Notedebasdepage"/>
      </w:pPr>
      <w:r>
        <w:rPr>
          <w:rStyle w:val="Appelnotedebasdep"/>
        </w:rPr>
        <w:footnoteRef/>
      </w:r>
      <w:r>
        <w:t xml:space="preserve"> </w:t>
      </w:r>
      <w:r>
        <w:tab/>
      </w:r>
      <w:r w:rsidRPr="00A37731">
        <w:t>Des associations d'adoptants et de postulants à l'adoption (dont quelques-uns sont parfois déjà, il est vrai, parents adoptifs ou biolog</w:t>
      </w:r>
      <w:r w:rsidRPr="00A37731">
        <w:t>i</w:t>
      </w:r>
      <w:r w:rsidRPr="00A37731">
        <w:t>ques) se sont donnés les noms suivants : Fédération des parents ado</w:t>
      </w:r>
      <w:r w:rsidRPr="00A37731">
        <w:t>p</w:t>
      </w:r>
      <w:r w:rsidRPr="00A37731">
        <w:t>tants du Québec, Association des parents pour l'adoption internation</w:t>
      </w:r>
      <w:r w:rsidRPr="00A37731">
        <w:t>a</w:t>
      </w:r>
      <w:r w:rsidRPr="00A37731">
        <w:t>le. Dans les milieux de l'adoption, il est fréquent que l'on désigne les postulants à l'adoption en utilisant le mot « parents ».</w:t>
      </w:r>
    </w:p>
  </w:footnote>
  <w:footnote w:id="222">
    <w:p w:rsidR="00B7214C" w:rsidRDefault="00B7214C" w:rsidP="00B7214C">
      <w:pPr>
        <w:pStyle w:val="Notedebasdepage"/>
      </w:pPr>
      <w:r>
        <w:rPr>
          <w:rStyle w:val="Appelnotedebasdep"/>
        </w:rPr>
        <w:footnoteRef/>
      </w:r>
      <w:r>
        <w:t xml:space="preserve"> </w:t>
      </w:r>
      <w:r>
        <w:tab/>
      </w:r>
      <w:r w:rsidRPr="00A37731">
        <w:t xml:space="preserve">Cet article est tiré du mémoire de maîtrise de l'auteure : </w:t>
      </w:r>
      <w:r w:rsidRPr="0045553D">
        <w:rPr>
          <w:i/>
          <w:iCs/>
        </w:rPr>
        <w:t>Typologie des m</w:t>
      </w:r>
      <w:r w:rsidRPr="0045553D">
        <w:rPr>
          <w:i/>
          <w:iCs/>
        </w:rPr>
        <w:t>a</w:t>
      </w:r>
      <w:r w:rsidRPr="0045553D">
        <w:rPr>
          <w:i/>
          <w:iCs/>
        </w:rPr>
        <w:t>nières de problématiser la famille dans le cadre de la pol</w:t>
      </w:r>
      <w:r w:rsidRPr="0045553D">
        <w:rPr>
          <w:i/>
          <w:iCs/>
        </w:rPr>
        <w:t>i</w:t>
      </w:r>
      <w:r w:rsidRPr="0045553D">
        <w:rPr>
          <w:i/>
          <w:iCs/>
        </w:rPr>
        <w:t>tique familiale au Québec,</w:t>
      </w:r>
      <w:r w:rsidRPr="00A37731">
        <w:t xml:space="preserve"> Département de sociologie. Université de Montréal, 1992. Certains passages ont été repris ici intégralement.</w:t>
      </w:r>
    </w:p>
  </w:footnote>
  <w:footnote w:id="223">
    <w:p w:rsidR="00B7214C" w:rsidRDefault="00B7214C" w:rsidP="00B7214C">
      <w:pPr>
        <w:pStyle w:val="Notedebasdepage"/>
      </w:pPr>
      <w:r>
        <w:rPr>
          <w:rStyle w:val="Appelnotedebasdep"/>
        </w:rPr>
        <w:footnoteRef/>
      </w:r>
      <w:r>
        <w:t xml:space="preserve"> </w:t>
      </w:r>
      <w:r>
        <w:tab/>
      </w:r>
      <w:r w:rsidRPr="00A37731">
        <w:t>Cette recherche comportait une série de vingt-cinq entretiens s</w:t>
      </w:r>
      <w:r w:rsidRPr="00A37731">
        <w:t>o</w:t>
      </w:r>
      <w:r w:rsidRPr="00A37731">
        <w:t>ciologiques auprès de personnes aux profils familiaux diversifiés : couples mariés et concubins, avec ou sans enfant, monoparentalité matricentrique et patrice</w:t>
      </w:r>
      <w:r w:rsidRPr="00A37731">
        <w:t>n</w:t>
      </w:r>
      <w:r w:rsidRPr="00A37731">
        <w:t>trique, garde part</w:t>
      </w:r>
      <w:r w:rsidRPr="00A37731">
        <w:t>a</w:t>
      </w:r>
      <w:r w:rsidRPr="00A37731">
        <w:t>gée ou exclusive, etc.</w:t>
      </w:r>
    </w:p>
  </w:footnote>
  <w:footnote w:id="224">
    <w:p w:rsidR="00B7214C" w:rsidRDefault="00B7214C" w:rsidP="00B7214C">
      <w:pPr>
        <w:pStyle w:val="Notedebasdepage"/>
      </w:pPr>
      <w:r>
        <w:rPr>
          <w:rStyle w:val="Appelnotedebasdep"/>
        </w:rPr>
        <w:footnoteRef/>
      </w:r>
      <w:r>
        <w:t xml:space="preserve"> </w:t>
      </w:r>
      <w:r>
        <w:tab/>
      </w:r>
      <w:r w:rsidRPr="00A37731">
        <w:t>Est-il nécessaire de rappeler que la conjugalité a lon</w:t>
      </w:r>
      <w:r w:rsidRPr="00A37731">
        <w:t>g</w:t>
      </w:r>
      <w:r w:rsidRPr="00A37731">
        <w:t>temps été conçue comme la dimension sociologique fond</w:t>
      </w:r>
      <w:r w:rsidRPr="00A37731">
        <w:t>a</w:t>
      </w:r>
      <w:r w:rsidRPr="00A37731">
        <w:t>mentale de la famille, et ce dans les perspectives fonctionne</w:t>
      </w:r>
      <w:r w:rsidRPr="00A37731">
        <w:t>l</w:t>
      </w:r>
      <w:r w:rsidRPr="00A37731">
        <w:t>les tant de Durkheim que de Parsons. Un argument majeur en faveur de la conception conjugale de la famille consistait en la r</w:t>
      </w:r>
      <w:r w:rsidRPr="00A37731">
        <w:t>e</w:t>
      </w:r>
      <w:r w:rsidRPr="00A37731">
        <w:t>lative permanence de la relation conjugale par rapport à la relation parentale bien que dans des acceptions totalement opposées chez Durkheim et Pa</w:t>
      </w:r>
      <w:r w:rsidRPr="00A37731">
        <w:t>r</w:t>
      </w:r>
      <w:r w:rsidRPr="00A37731">
        <w:t>sons. En effet, pour Dur</w:t>
      </w:r>
      <w:r w:rsidRPr="00A37731">
        <w:t>k</w:t>
      </w:r>
      <w:r w:rsidRPr="00A37731">
        <w:t>heim, cette relative permanence de la conjugalité s'explique par le fait que les conjoints constituent les agents permanents de la famille, les e</w:t>
      </w:r>
      <w:r w:rsidRPr="00A37731">
        <w:t>n</w:t>
      </w:r>
      <w:r w:rsidRPr="00A37731">
        <w:t>fants étant appelés à la quitter un jour (Barrère-Maurisson, 1992, p. 119). Parsons adoptera une p</w:t>
      </w:r>
      <w:r w:rsidRPr="00A37731">
        <w:t>o</w:t>
      </w:r>
      <w:r w:rsidRPr="00A37731">
        <w:t>sition similaire bien que ses analyses se situent dans un contexte social très différent où le divorce est devenu très répandu. La permanence de la conjugalité demeure tout de m</w:t>
      </w:r>
      <w:r w:rsidRPr="00A37731">
        <w:t>ê</w:t>
      </w:r>
      <w:r w:rsidRPr="00A37731">
        <w:t>me reconnue dans son esprit du fait que les couples parentaux sont relativement peu to</w:t>
      </w:r>
      <w:r w:rsidRPr="00A37731">
        <w:t>u</w:t>
      </w:r>
      <w:r w:rsidRPr="00A37731">
        <w:t>chés par le divorce (Parsons, 1980, p. 179), que les taux de remariage sont élevés chez les pe</w:t>
      </w:r>
      <w:r w:rsidRPr="00A37731">
        <w:t>r</w:t>
      </w:r>
      <w:r w:rsidRPr="00A37731">
        <w:t>sonnes divorcées ainsi que de l'importance structurelle du mariage dans la constitution de la parenté dans les sociétés occ</w:t>
      </w:r>
      <w:r w:rsidRPr="00A37731">
        <w:t>i</w:t>
      </w:r>
      <w:r w:rsidRPr="00A37731">
        <w:t>dentales contemporaines. En fait, dans un tel contexte, le divorce s'apparente dava</w:t>
      </w:r>
      <w:r w:rsidRPr="00A37731">
        <w:t>n</w:t>
      </w:r>
      <w:r w:rsidRPr="00A37731">
        <w:t>tage à une transition famili</w:t>
      </w:r>
      <w:r w:rsidRPr="00A37731">
        <w:t>a</w:t>
      </w:r>
      <w:r w:rsidRPr="00A37731">
        <w:t>le qu'à la remise en question du fondement conjugal de la famille.</w:t>
      </w:r>
    </w:p>
  </w:footnote>
  <w:footnote w:id="225">
    <w:p w:rsidR="00B7214C" w:rsidRDefault="00B7214C" w:rsidP="00B7214C">
      <w:pPr>
        <w:pStyle w:val="Notedebasdepage"/>
      </w:pPr>
      <w:r>
        <w:rPr>
          <w:rStyle w:val="Appelnotedebasdep"/>
        </w:rPr>
        <w:footnoteRef/>
      </w:r>
      <w:r>
        <w:t xml:space="preserve"> </w:t>
      </w:r>
      <w:r>
        <w:tab/>
      </w:r>
      <w:r w:rsidRPr="00A37731">
        <w:t>Il nous apparaît intéressant de noter que, mis à part les sociol</w:t>
      </w:r>
      <w:r w:rsidRPr="00A37731">
        <w:t>o</w:t>
      </w:r>
      <w:r w:rsidRPr="00A37731">
        <w:t>gues de la famille s'inspirant de la démarche ethnologique qui conçoit la parenté co</w:t>
      </w:r>
      <w:r w:rsidRPr="00A37731">
        <w:t>m</w:t>
      </w:r>
      <w:r w:rsidRPr="00A37731">
        <w:t>me l'objet construit du phénomène social qu'est la famille, la plupart des s</w:t>
      </w:r>
      <w:r w:rsidRPr="00A37731">
        <w:t>o</w:t>
      </w:r>
      <w:r w:rsidRPr="00A37731">
        <w:t>ciologues n ét</w:t>
      </w:r>
      <w:r w:rsidRPr="00A37731">
        <w:t>a</w:t>
      </w:r>
      <w:r w:rsidRPr="00A37731">
        <w:t>blissent pas dans la terminologie cette distinction entre l'objet et le phénomène.</w:t>
      </w:r>
    </w:p>
  </w:footnote>
  <w:footnote w:id="226">
    <w:p w:rsidR="00B7214C" w:rsidRDefault="00B7214C" w:rsidP="00B7214C">
      <w:pPr>
        <w:pStyle w:val="Notedebasdepage"/>
      </w:pPr>
      <w:r>
        <w:rPr>
          <w:rStyle w:val="Appelnotedebasdep"/>
        </w:rPr>
        <w:footnoteRef/>
      </w:r>
      <w:r>
        <w:t xml:space="preserve"> </w:t>
      </w:r>
      <w:r>
        <w:tab/>
      </w:r>
      <w:r w:rsidRPr="00A37731">
        <w:t>En ce sens, cette perspective d'analyse permet de dépasser le discours hab</w:t>
      </w:r>
      <w:r w:rsidRPr="00A37731">
        <w:t>i</w:t>
      </w:r>
      <w:r w:rsidRPr="00A37731">
        <w:t>tuel qui continue d'opposer l'affectivité et la rationalité. Au sujet de cette question de la conception de la rationalité de l'affe</w:t>
      </w:r>
      <w:r w:rsidRPr="00A37731">
        <w:t>c</w:t>
      </w:r>
      <w:r w:rsidRPr="00A37731">
        <w:t>tivité, nous référons le lecteur à notre th</w:t>
      </w:r>
      <w:r w:rsidRPr="00A37731">
        <w:t>è</w:t>
      </w:r>
      <w:r w:rsidRPr="00A37731">
        <w:t xml:space="preserve">se de doctorat ou encore à un article paru en 1992 dans </w:t>
      </w:r>
      <w:r>
        <w:rPr>
          <w:i/>
          <w:iCs/>
        </w:rPr>
        <w:t>La revue internationale d’</w:t>
      </w:r>
      <w:r w:rsidRPr="00951035">
        <w:rPr>
          <w:i/>
          <w:iCs/>
        </w:rPr>
        <w:t>action comm</w:t>
      </w:r>
      <w:r w:rsidRPr="00951035">
        <w:rPr>
          <w:i/>
          <w:iCs/>
        </w:rPr>
        <w:t>u</w:t>
      </w:r>
      <w:r w:rsidRPr="00951035">
        <w:rPr>
          <w:i/>
          <w:iCs/>
        </w:rPr>
        <w:t>nautaire.</w:t>
      </w:r>
    </w:p>
  </w:footnote>
  <w:footnote w:id="227">
    <w:p w:rsidR="00B7214C" w:rsidRDefault="00B7214C" w:rsidP="00B7214C">
      <w:pPr>
        <w:pStyle w:val="Notedebasdepage"/>
      </w:pPr>
      <w:r>
        <w:rPr>
          <w:rStyle w:val="Appelnotedebasdep"/>
        </w:rPr>
        <w:footnoteRef/>
      </w:r>
      <w:r>
        <w:t xml:space="preserve"> </w:t>
      </w:r>
      <w:r>
        <w:tab/>
      </w:r>
      <w:r w:rsidRPr="00E64A4B">
        <w:t xml:space="preserve">Ce texte est fondé sur </w:t>
      </w:r>
      <w:hyperlink r:id="rId6" w:history="1">
        <w:r w:rsidRPr="00E64A4B">
          <w:rPr>
            <w:rStyle w:val="Lienhypertexte"/>
            <w:i/>
            <w:iCs/>
          </w:rPr>
          <w:t>L'esprit du don</w:t>
        </w:r>
      </w:hyperlink>
      <w:r w:rsidRPr="00E64A4B">
        <w:rPr>
          <w:i/>
          <w:iCs/>
        </w:rPr>
        <w:t>,</w:t>
      </w:r>
      <w:r w:rsidRPr="00E64A4B">
        <w:t xml:space="preserve"> 1992, et aussi sur une r</w:t>
      </w:r>
      <w:r w:rsidRPr="00E64A4B">
        <w:t>e</w:t>
      </w:r>
      <w:r w:rsidRPr="00E64A4B">
        <w:t>cherche en cours sur le don dans les réseaux familiaux.</w:t>
      </w:r>
    </w:p>
  </w:footnote>
  <w:footnote w:id="228">
    <w:p w:rsidR="00B7214C" w:rsidRDefault="00B7214C" w:rsidP="00B7214C">
      <w:pPr>
        <w:pStyle w:val="Notedebasdepage"/>
      </w:pPr>
      <w:r>
        <w:rPr>
          <w:rStyle w:val="Appelnotedebasdep"/>
        </w:rPr>
        <w:footnoteRef/>
      </w:r>
      <w:r>
        <w:t xml:space="preserve"> </w:t>
      </w:r>
      <w:r>
        <w:tab/>
      </w:r>
      <w:r w:rsidRPr="00E64A4B">
        <w:t>Autrement dit, il n'y a pas de sanction, dans le don du sang, pour ceux que les Américains appellent les « free riders ».</w:t>
      </w:r>
    </w:p>
  </w:footnote>
  <w:footnote w:id="229">
    <w:p w:rsidR="00B7214C" w:rsidRDefault="00B7214C" w:rsidP="00B7214C">
      <w:pPr>
        <w:pStyle w:val="Notedebasdepage"/>
      </w:pPr>
      <w:r>
        <w:rPr>
          <w:rStyle w:val="Appelnotedebasdep"/>
        </w:rPr>
        <w:footnoteRef/>
      </w:r>
      <w:r>
        <w:t xml:space="preserve"> </w:t>
      </w:r>
      <w:r>
        <w:tab/>
      </w:r>
      <w:r w:rsidRPr="00E64A4B">
        <w:t>C'est une des raisons pour lesquelles on a remplacé en partie le don par le marché, par ce qu'on appelait le « doux commerce ». (Hir</w:t>
      </w:r>
      <w:r w:rsidRPr="00E64A4B">
        <w:t>s</w:t>
      </w:r>
      <w:r w:rsidRPr="00E64A4B">
        <w:t>chman...)</w:t>
      </w:r>
    </w:p>
  </w:footnote>
  <w:footnote w:id="230">
    <w:p w:rsidR="00B7214C" w:rsidRDefault="00B7214C" w:rsidP="00B7214C">
      <w:pPr>
        <w:pStyle w:val="Notedebasdepage"/>
      </w:pPr>
      <w:r>
        <w:rPr>
          <w:rStyle w:val="Appelnotedebasdep"/>
        </w:rPr>
        <w:footnoteRef/>
      </w:r>
      <w:r>
        <w:t xml:space="preserve"> </w:t>
      </w:r>
      <w:r>
        <w:tab/>
      </w:r>
      <w:r w:rsidRPr="00E64A4B">
        <w:t xml:space="preserve">J. T. Godbout et A. Caillé, </w:t>
      </w:r>
      <w:hyperlink r:id="rId7" w:history="1">
        <w:r w:rsidRPr="00E64A4B">
          <w:rPr>
            <w:rStyle w:val="Lienhypertexte"/>
            <w:i/>
            <w:iCs/>
          </w:rPr>
          <w:t>L'esprit du don</w:t>
        </w:r>
      </w:hyperlink>
      <w:r w:rsidRPr="00E64A4B">
        <w:rPr>
          <w:i/>
          <w:iCs/>
        </w:rPr>
        <w:t>,</w:t>
      </w:r>
      <w:r w:rsidRPr="00E64A4B">
        <w:t xml:space="preserve"> Paris et Montréal, La Découverte et Boréal, 1992, p. 115.</w:t>
      </w:r>
    </w:p>
  </w:footnote>
  <w:footnote w:id="231">
    <w:p w:rsidR="00B7214C" w:rsidRDefault="00B7214C" w:rsidP="00B7214C">
      <w:pPr>
        <w:pStyle w:val="Notedebasdepage"/>
      </w:pPr>
      <w:r>
        <w:rPr>
          <w:rStyle w:val="Appelnotedebasdep"/>
        </w:rPr>
        <w:footnoteRef/>
      </w:r>
      <w:r>
        <w:t xml:space="preserve"> </w:t>
      </w:r>
      <w:r>
        <w:tab/>
      </w:r>
      <w:r w:rsidRPr="00E64A4B">
        <w:t>Les auteurs précisent que le don peut modifier à son tour les règles des un</w:t>
      </w:r>
      <w:r w:rsidRPr="00E64A4B">
        <w:t>i</w:t>
      </w:r>
      <w:r w:rsidRPr="00E64A4B">
        <w:t>vers avec lesquels il entre en contact et créer certains p</w:t>
      </w:r>
      <w:r w:rsidRPr="00E64A4B">
        <w:t>a</w:t>
      </w:r>
      <w:r w:rsidRPr="00E64A4B">
        <w:t>radoxes : même dans la sphère du marché, les cadeaux doivent être donnés avec sincérité puisqu'un mobile purement intéressé détruit l'efficacité des présents effe</w:t>
      </w:r>
      <w:r w:rsidRPr="00E64A4B">
        <w:t>c</w:t>
      </w:r>
      <w:r w:rsidRPr="00E64A4B">
        <w:t>tués.</w:t>
      </w:r>
    </w:p>
  </w:footnote>
  <w:footnote w:id="232">
    <w:p w:rsidR="00B7214C" w:rsidRDefault="00B7214C" w:rsidP="00B7214C">
      <w:pPr>
        <w:pStyle w:val="Notedebasdepage"/>
      </w:pPr>
      <w:r>
        <w:rPr>
          <w:rStyle w:val="Appelnotedebasdep"/>
        </w:rPr>
        <w:footnoteRef/>
      </w:r>
      <w:r>
        <w:t xml:space="preserve"> </w:t>
      </w:r>
      <w:r>
        <w:tab/>
      </w:r>
      <w:r w:rsidRPr="00E64A4B">
        <w:t xml:space="preserve">S.A. Ostrander et P.G. Schervish, « Giving and Getting » dans J. Van Tile </w:t>
      </w:r>
      <w:r w:rsidRPr="00E64A4B">
        <w:rPr>
          <w:i/>
          <w:iCs/>
        </w:rPr>
        <w:t>et al.</w:t>
      </w:r>
      <w:r w:rsidRPr="00E64A4B">
        <w:t xml:space="preserve"> (dir.), </w:t>
      </w:r>
      <w:r w:rsidRPr="00E64A4B">
        <w:rPr>
          <w:i/>
          <w:iCs/>
        </w:rPr>
        <w:t>Critical Issues in American Philanthropy,</w:t>
      </w:r>
      <w:r w:rsidRPr="00E64A4B">
        <w:t xml:space="preserve"> San Francisco, Jossey-Bass Publishers, 1990, p</w:t>
      </w:r>
      <w:r>
        <w:t>p</w:t>
      </w:r>
      <w:r w:rsidRPr="00E64A4B">
        <w:t>. 67-98.</w:t>
      </w:r>
    </w:p>
  </w:footnote>
  <w:footnote w:id="233">
    <w:p w:rsidR="00B7214C" w:rsidRDefault="00B7214C" w:rsidP="00B7214C">
      <w:pPr>
        <w:pStyle w:val="Notedebasdepage"/>
      </w:pPr>
      <w:r>
        <w:rPr>
          <w:rStyle w:val="Appelnotedebasdep"/>
        </w:rPr>
        <w:footnoteRef/>
      </w:r>
      <w:r>
        <w:t xml:space="preserve"> </w:t>
      </w:r>
      <w:r>
        <w:tab/>
      </w:r>
      <w:r w:rsidRPr="00E64A4B">
        <w:t>Cette définition de la gratuité pourrait d'ailleurs s'appliquer non seulement au bénévolat, mais aussi au travail domestique et au travail des religieux ou religieuses.</w:t>
      </w:r>
    </w:p>
  </w:footnote>
  <w:footnote w:id="234">
    <w:p w:rsidR="00B7214C" w:rsidRDefault="00B7214C" w:rsidP="00B7214C">
      <w:pPr>
        <w:pStyle w:val="Notedebasdepage"/>
      </w:pPr>
      <w:r>
        <w:rPr>
          <w:rStyle w:val="Appelnotedebasdep"/>
        </w:rPr>
        <w:footnoteRef/>
      </w:r>
      <w:r>
        <w:t xml:space="preserve"> </w:t>
      </w:r>
      <w:r>
        <w:tab/>
      </w:r>
      <w:r w:rsidRPr="00E64A4B">
        <w:rPr>
          <w:iCs/>
        </w:rPr>
        <w:t xml:space="preserve">S. Langlois (dir.), </w:t>
      </w:r>
      <w:r w:rsidRPr="00E64A4B">
        <w:t>La société québécoise en tendances, 1960-1990,</w:t>
      </w:r>
      <w:r w:rsidRPr="00E64A4B">
        <w:rPr>
          <w:iCs/>
        </w:rPr>
        <w:t xml:space="preserve"> Québec, Institut québécois de recherche sur la culture, 1990 ; M. Le Net et J. We</w:t>
      </w:r>
      <w:r w:rsidRPr="00E64A4B">
        <w:rPr>
          <w:iCs/>
        </w:rPr>
        <w:t>r</w:t>
      </w:r>
      <w:r w:rsidRPr="00E64A4B">
        <w:rPr>
          <w:iCs/>
        </w:rPr>
        <w:t xml:space="preserve">quin, </w:t>
      </w:r>
      <w:r w:rsidRPr="00E64A4B">
        <w:t>Le volontariat, aspects sociaux, économ</w:t>
      </w:r>
      <w:r w:rsidRPr="00E64A4B">
        <w:t>i</w:t>
      </w:r>
      <w:r w:rsidRPr="00E64A4B">
        <w:t>ques et politiques en France et dans le monde,</w:t>
      </w:r>
      <w:r w:rsidRPr="00E64A4B">
        <w:rPr>
          <w:iCs/>
        </w:rPr>
        <w:t xml:space="preserve"> Paris, La document</w:t>
      </w:r>
      <w:r w:rsidRPr="00E64A4B">
        <w:rPr>
          <w:iCs/>
        </w:rPr>
        <w:t>a</w:t>
      </w:r>
      <w:r w:rsidRPr="00E64A4B">
        <w:rPr>
          <w:iCs/>
        </w:rPr>
        <w:t xml:space="preserve">tion française, 1985 ; W. Kaminer, </w:t>
      </w:r>
      <w:r w:rsidRPr="00E64A4B">
        <w:t>Women Volunteering. The Pleasure, the Pains and Politics of Unpaid Wor</w:t>
      </w:r>
      <w:r w:rsidRPr="00E64A4B">
        <w:t>k</w:t>
      </w:r>
      <w:r w:rsidRPr="00E64A4B">
        <w:t>from 1830 to the Present,</w:t>
      </w:r>
      <w:r w:rsidRPr="00E64A4B">
        <w:rPr>
          <w:iCs/>
        </w:rPr>
        <w:t xml:space="preserve"> New York, Anchor Press, 1984.</w:t>
      </w:r>
    </w:p>
  </w:footnote>
  <w:footnote w:id="235">
    <w:p w:rsidR="00B7214C" w:rsidRDefault="00B7214C" w:rsidP="00B7214C">
      <w:pPr>
        <w:pStyle w:val="Notedebasdepage"/>
      </w:pPr>
      <w:r>
        <w:rPr>
          <w:rStyle w:val="Appelnotedebasdep"/>
        </w:rPr>
        <w:footnoteRef/>
      </w:r>
      <w:r>
        <w:t xml:space="preserve"> </w:t>
      </w:r>
      <w:r>
        <w:tab/>
      </w:r>
      <w:r w:rsidRPr="00E64A4B">
        <w:t xml:space="preserve">D. Ferrand-Bechmann, </w:t>
      </w:r>
      <w:r w:rsidRPr="00E64A4B">
        <w:rPr>
          <w:i/>
          <w:iCs/>
        </w:rPr>
        <w:t>Bénévolat et solidarité,</w:t>
      </w:r>
      <w:r w:rsidRPr="00E64A4B">
        <w:t xml:space="preserve"> Paris, Syros, 1992, p. 25.</w:t>
      </w:r>
    </w:p>
  </w:footnote>
  <w:footnote w:id="236">
    <w:p w:rsidR="00B7214C" w:rsidRDefault="00B7214C" w:rsidP="00B7214C">
      <w:pPr>
        <w:pStyle w:val="Notedebasdepage"/>
      </w:pPr>
      <w:r>
        <w:rPr>
          <w:rStyle w:val="Appelnotedebasdep"/>
        </w:rPr>
        <w:footnoteRef/>
      </w:r>
      <w:r>
        <w:t xml:space="preserve"> </w:t>
      </w:r>
      <w:r>
        <w:tab/>
      </w:r>
      <w:r w:rsidRPr="00E64A4B">
        <w:t>Le bénévolat n'est pas la seule forme d'activité que l'on se r</w:t>
      </w:r>
      <w:r w:rsidRPr="00E64A4B">
        <w:t>e</w:t>
      </w:r>
      <w:r w:rsidRPr="00E64A4B">
        <w:t>fuse souvent à considérer comme un travail : c'est aussi le cas de la produ</w:t>
      </w:r>
      <w:r w:rsidRPr="00E64A4B">
        <w:t>c</w:t>
      </w:r>
      <w:r w:rsidRPr="00E64A4B">
        <w:t>tion domestique, des tâches assumées par les « femmes collaboratr</w:t>
      </w:r>
      <w:r w:rsidRPr="00E64A4B">
        <w:t>i</w:t>
      </w:r>
      <w:r w:rsidRPr="00E64A4B">
        <w:t xml:space="preserve">ces » de leur mari, de la prise en charge familiale de dépendants ou encore, des actions entreprises par les membres des communautés religieuses. L. Vandelac (dir.), </w:t>
      </w:r>
      <w:r w:rsidRPr="00E64A4B">
        <w:rPr>
          <w:i/>
          <w:iCs/>
        </w:rPr>
        <w:t>Du tr</w:t>
      </w:r>
      <w:r w:rsidRPr="00E64A4B">
        <w:rPr>
          <w:i/>
          <w:iCs/>
        </w:rPr>
        <w:t>a</w:t>
      </w:r>
      <w:r w:rsidRPr="00E64A4B">
        <w:rPr>
          <w:i/>
          <w:iCs/>
        </w:rPr>
        <w:t>vail et de l'amour,</w:t>
      </w:r>
      <w:r w:rsidRPr="00E64A4B">
        <w:t xml:space="preserve"> Montréal, Éd. A. St-Martin, 1985 ; P. Maheu et N. G</w:t>
      </w:r>
      <w:r w:rsidRPr="00E64A4B">
        <w:t>u</w:t>
      </w:r>
      <w:r w:rsidRPr="00E64A4B">
        <w:t>berman, « Familles, personnes adultes dépendantes et “aide naturelle” : e</w:t>
      </w:r>
      <w:r w:rsidRPr="00E64A4B">
        <w:t>n</w:t>
      </w:r>
      <w:r w:rsidRPr="00E64A4B">
        <w:t xml:space="preserve">tre le mythe et la réalité ». </w:t>
      </w:r>
      <w:r w:rsidRPr="00E64A4B">
        <w:rPr>
          <w:i/>
          <w:iCs/>
        </w:rPr>
        <w:t>Revue internationale d'action communautaire,</w:t>
      </w:r>
      <w:r w:rsidRPr="00E64A4B">
        <w:t xml:space="preserve"> vol. 28, n° 68, automne 1992, p</w:t>
      </w:r>
      <w:r>
        <w:t>p</w:t>
      </w:r>
      <w:r w:rsidRPr="00E64A4B">
        <w:t>. 51-62 ; N. Laurin, D. Juteau et L. Duche</w:t>
      </w:r>
      <w:r w:rsidRPr="00E64A4B">
        <w:t>s</w:t>
      </w:r>
      <w:r w:rsidRPr="00E64A4B">
        <w:t xml:space="preserve">ne, </w:t>
      </w:r>
      <w:r w:rsidRPr="00E64A4B">
        <w:rPr>
          <w:i/>
          <w:iCs/>
        </w:rPr>
        <w:t>À la recherche d'un monde oublié. Les communautés religieuses de femmes au Qu</w:t>
      </w:r>
      <w:r w:rsidRPr="00E64A4B">
        <w:rPr>
          <w:i/>
          <w:iCs/>
        </w:rPr>
        <w:t>é</w:t>
      </w:r>
      <w:r w:rsidRPr="00E64A4B">
        <w:rPr>
          <w:i/>
          <w:iCs/>
        </w:rPr>
        <w:t>bec de 1920 à 1970,</w:t>
      </w:r>
      <w:r w:rsidRPr="00E64A4B">
        <w:t xml:space="preserve"> Montréal, Le Jour, 1991.</w:t>
      </w:r>
    </w:p>
  </w:footnote>
  <w:footnote w:id="237">
    <w:p w:rsidR="00B7214C" w:rsidRDefault="00B7214C" w:rsidP="00B7214C">
      <w:pPr>
        <w:pStyle w:val="Notedebasdepage"/>
      </w:pPr>
      <w:r>
        <w:rPr>
          <w:rStyle w:val="Appelnotedebasdep"/>
        </w:rPr>
        <w:footnoteRef/>
      </w:r>
      <w:r>
        <w:t xml:space="preserve"> </w:t>
      </w:r>
      <w:r>
        <w:tab/>
      </w:r>
      <w:r w:rsidRPr="00E64A4B">
        <w:t>Au Québec, les médecins ont développé la médecine hospitalière en travai</w:t>
      </w:r>
      <w:r w:rsidRPr="00E64A4B">
        <w:t>l</w:t>
      </w:r>
      <w:r w:rsidRPr="00E64A4B">
        <w:t>lant bénévolement dans les dispensaires des hôpitaux ju</w:t>
      </w:r>
      <w:r w:rsidRPr="00E64A4B">
        <w:t>s</w:t>
      </w:r>
      <w:r w:rsidRPr="00E64A4B">
        <w:t xml:space="preserve">qu'aux années 1930. Voir notamment : A. Petitat, </w:t>
      </w:r>
      <w:r w:rsidRPr="00E64A4B">
        <w:rPr>
          <w:i/>
          <w:iCs/>
        </w:rPr>
        <w:t>Les infirmières. De la vocation à la pr</w:t>
      </w:r>
      <w:r w:rsidRPr="00E64A4B">
        <w:rPr>
          <w:i/>
          <w:iCs/>
        </w:rPr>
        <w:t>o</w:t>
      </w:r>
      <w:r w:rsidRPr="00E64A4B">
        <w:rPr>
          <w:i/>
          <w:iCs/>
        </w:rPr>
        <w:t>fession,</w:t>
      </w:r>
      <w:r w:rsidRPr="00E64A4B">
        <w:t xml:space="preserve"> Montréal, Boréal, 1989.</w:t>
      </w:r>
    </w:p>
  </w:footnote>
  <w:footnote w:id="238">
    <w:p w:rsidR="00B7214C" w:rsidRDefault="00B7214C" w:rsidP="00B7214C">
      <w:pPr>
        <w:pStyle w:val="Notedebasdepage"/>
      </w:pPr>
      <w:r>
        <w:rPr>
          <w:rStyle w:val="Appelnotedebasdep"/>
        </w:rPr>
        <w:footnoteRef/>
      </w:r>
      <w:r>
        <w:t xml:space="preserve"> </w:t>
      </w:r>
      <w:r>
        <w:tab/>
      </w:r>
      <w:r w:rsidRPr="00E64A4B">
        <w:t xml:space="preserve">M-M.T. Brault, </w:t>
      </w:r>
      <w:r w:rsidRPr="00E64A4B">
        <w:rPr>
          <w:i/>
          <w:iCs/>
        </w:rPr>
        <w:t>Le travail bénévole à la retraite,</w:t>
      </w:r>
      <w:r w:rsidRPr="00E64A4B">
        <w:t xml:space="preserve"> Québec, Inst</w:t>
      </w:r>
      <w:r w:rsidRPr="00E64A4B">
        <w:t>i</w:t>
      </w:r>
      <w:r w:rsidRPr="00E64A4B">
        <w:t>tut québécois de recherche sur la culture, 1990.</w:t>
      </w:r>
    </w:p>
  </w:footnote>
  <w:footnote w:id="239">
    <w:p w:rsidR="00B7214C" w:rsidRDefault="00B7214C" w:rsidP="00B7214C">
      <w:pPr>
        <w:pStyle w:val="Notedebasdepage"/>
      </w:pPr>
      <w:r>
        <w:rPr>
          <w:rStyle w:val="Appelnotedebasdep"/>
        </w:rPr>
        <w:footnoteRef/>
      </w:r>
      <w:r>
        <w:t xml:space="preserve"> </w:t>
      </w:r>
      <w:r>
        <w:tab/>
      </w:r>
      <w:r w:rsidRPr="00E64A4B">
        <w:rPr>
          <w:iCs/>
        </w:rPr>
        <w:t xml:space="preserve">A. Valiquette, </w:t>
      </w:r>
      <w:r w:rsidRPr="00E64A4B">
        <w:t>L'essor du syndicalisme catholique chez les employés d'hôp</w:t>
      </w:r>
      <w:r w:rsidRPr="00E64A4B">
        <w:t>i</w:t>
      </w:r>
      <w:r w:rsidRPr="00E64A4B">
        <w:t>taux du Québec dans les années 1930 et 1940,</w:t>
      </w:r>
      <w:r w:rsidRPr="00E64A4B">
        <w:rPr>
          <w:iCs/>
        </w:rPr>
        <w:t xml:space="preserve"> Maîtrise, Histoire, UQAM, 1982 ; N. Perron, </w:t>
      </w:r>
      <w:r w:rsidRPr="00E64A4B">
        <w:t>Un siècle de vie hosp</w:t>
      </w:r>
      <w:r w:rsidRPr="00E64A4B">
        <w:t>i</w:t>
      </w:r>
      <w:r w:rsidRPr="00E64A4B">
        <w:t xml:space="preserve">talière au Québec. Les Augustines et l'Hôtel-Dieu de Chicoutimi, 1884-1984, </w:t>
      </w:r>
      <w:r w:rsidRPr="00E64A4B">
        <w:rPr>
          <w:iCs/>
        </w:rPr>
        <w:t>Presses de l'Université du Qu</w:t>
      </w:r>
      <w:r w:rsidRPr="00E64A4B">
        <w:rPr>
          <w:iCs/>
        </w:rPr>
        <w:t>é</w:t>
      </w:r>
      <w:r w:rsidRPr="00E64A4B">
        <w:rPr>
          <w:iCs/>
        </w:rPr>
        <w:t>bec/Augustines, Québec, 1984.</w:t>
      </w:r>
    </w:p>
  </w:footnote>
  <w:footnote w:id="240">
    <w:p w:rsidR="00B7214C" w:rsidRDefault="00B7214C" w:rsidP="00B7214C">
      <w:pPr>
        <w:pStyle w:val="Notedebasdepage"/>
      </w:pPr>
      <w:r>
        <w:rPr>
          <w:rStyle w:val="Appelnotedebasdep"/>
        </w:rPr>
        <w:footnoteRef/>
      </w:r>
      <w:r>
        <w:t xml:space="preserve"> </w:t>
      </w:r>
      <w:r>
        <w:tab/>
      </w:r>
      <w:r w:rsidRPr="00E64A4B">
        <w:t>Durant les trois armées de leur formation, les étudiantes-infirmières effe</w:t>
      </w:r>
      <w:r w:rsidRPr="00E64A4B">
        <w:t>c</w:t>
      </w:r>
      <w:r w:rsidRPr="00E64A4B">
        <w:t>tuaient une grande part du service aux malades avec, pour toute rémunér</w:t>
      </w:r>
      <w:r w:rsidRPr="00E64A4B">
        <w:t>a</w:t>
      </w:r>
      <w:r w:rsidRPr="00E64A4B">
        <w:t>tion, leur pension et un diplôme. Les hôpitaux utilisaient en fait les écoles d'infirmières</w:t>
      </w:r>
      <w:r>
        <w:t xml:space="preserve"> </w:t>
      </w:r>
      <w:r w:rsidRPr="00E64A4B">
        <w:t>comme un réservoir de main-d'oeuvre bon marché où les impér</w:t>
      </w:r>
      <w:r w:rsidRPr="00E64A4B">
        <w:t>a</w:t>
      </w:r>
      <w:r w:rsidRPr="00E64A4B">
        <w:t>tifs du service primaient souvent sur ceux de la formation. J. Daigle, « Devenir infirmière : modalités d'expression d'une cult</w:t>
      </w:r>
      <w:r w:rsidRPr="00E64A4B">
        <w:t>u</w:t>
      </w:r>
      <w:r w:rsidRPr="00E64A4B">
        <w:t>re soignante au XX</w:t>
      </w:r>
      <w:r w:rsidRPr="0040764B">
        <w:rPr>
          <w:vertAlign w:val="superscript"/>
        </w:rPr>
        <w:t>e</w:t>
      </w:r>
      <w:r w:rsidRPr="00E64A4B">
        <w:t xml:space="preserve"> siècle », </w:t>
      </w:r>
      <w:r w:rsidRPr="00E64A4B">
        <w:rPr>
          <w:i/>
          <w:iCs/>
        </w:rPr>
        <w:t>Recherches f</w:t>
      </w:r>
      <w:r w:rsidRPr="00E64A4B">
        <w:rPr>
          <w:i/>
          <w:iCs/>
        </w:rPr>
        <w:t>é</w:t>
      </w:r>
      <w:r w:rsidRPr="00E64A4B">
        <w:rPr>
          <w:i/>
          <w:iCs/>
        </w:rPr>
        <w:t xml:space="preserve">ministes, </w:t>
      </w:r>
      <w:r w:rsidRPr="00E64A4B">
        <w:t xml:space="preserve">vol. 4, n° 1, 1991, </w:t>
      </w:r>
      <w:r>
        <w:t>p</w:t>
      </w:r>
      <w:r w:rsidRPr="00E64A4B">
        <w:t>p. 67-86.</w:t>
      </w:r>
    </w:p>
  </w:footnote>
  <w:footnote w:id="241">
    <w:p w:rsidR="00B7214C" w:rsidRDefault="00B7214C" w:rsidP="00B7214C">
      <w:pPr>
        <w:pStyle w:val="Notedebasdepage"/>
      </w:pPr>
      <w:r>
        <w:rPr>
          <w:rStyle w:val="Appelnotedebasdep"/>
        </w:rPr>
        <w:footnoteRef/>
      </w:r>
      <w:r>
        <w:t xml:space="preserve"> </w:t>
      </w:r>
      <w:r>
        <w:tab/>
      </w:r>
      <w:r w:rsidRPr="00E64A4B">
        <w:rPr>
          <w:iCs/>
        </w:rPr>
        <w:t xml:space="preserve">A. Charles, </w:t>
      </w:r>
      <w:r w:rsidRPr="00E64A4B">
        <w:t>Travail d'ombre et de lumière. Le bénévolat fém</w:t>
      </w:r>
      <w:r w:rsidRPr="00E64A4B">
        <w:t>i</w:t>
      </w:r>
      <w:r w:rsidRPr="00E64A4B">
        <w:t>nin à l'Hôpital Ste-]ustine, 1907-1960,</w:t>
      </w:r>
      <w:r w:rsidRPr="00E64A4B">
        <w:rPr>
          <w:iCs/>
        </w:rPr>
        <w:t xml:space="preserve"> Québec, Institut québécois de recherche sur la cult</w:t>
      </w:r>
      <w:r w:rsidRPr="00E64A4B">
        <w:rPr>
          <w:iCs/>
        </w:rPr>
        <w:t>u</w:t>
      </w:r>
      <w:r w:rsidRPr="00E64A4B">
        <w:rPr>
          <w:iCs/>
        </w:rPr>
        <w:t>re, 1990.</w:t>
      </w:r>
    </w:p>
  </w:footnote>
  <w:footnote w:id="242">
    <w:p w:rsidR="00B7214C" w:rsidRDefault="00B7214C" w:rsidP="00B7214C">
      <w:pPr>
        <w:pStyle w:val="Notedebasdepage"/>
      </w:pPr>
      <w:r>
        <w:rPr>
          <w:rStyle w:val="Appelnotedebasdep"/>
        </w:rPr>
        <w:footnoteRef/>
      </w:r>
      <w:r>
        <w:t xml:space="preserve"> </w:t>
      </w:r>
      <w:r>
        <w:tab/>
      </w:r>
      <w:r w:rsidRPr="00E64A4B">
        <w:t>Au Canada, 30% des femmes et 24% des hommes sont eng</w:t>
      </w:r>
      <w:r w:rsidRPr="00E64A4B">
        <w:t>a</w:t>
      </w:r>
      <w:r w:rsidRPr="00E64A4B">
        <w:t>gés dans une activité bénévole en 1989. Au Québec cependant, femmes et hommes se r</w:t>
      </w:r>
      <w:r w:rsidRPr="00E64A4B">
        <w:t>e</w:t>
      </w:r>
      <w:r w:rsidRPr="00E64A4B">
        <w:t>trouvent nez à nez : 19,3% et 19,2%. D. D</w:t>
      </w:r>
      <w:r w:rsidRPr="00E64A4B">
        <w:t>u</w:t>
      </w:r>
      <w:r w:rsidRPr="00E64A4B">
        <w:t xml:space="preserve">chesne, </w:t>
      </w:r>
      <w:r w:rsidRPr="00E64A4B">
        <w:rPr>
          <w:i/>
          <w:iCs/>
        </w:rPr>
        <w:t xml:space="preserve">Donner sans compter : les bénévoles au Canada, </w:t>
      </w:r>
      <w:r w:rsidRPr="00E64A4B">
        <w:t>Division des enquêtes sur le travail et les mén</w:t>
      </w:r>
      <w:r w:rsidRPr="00E64A4B">
        <w:t>a</w:t>
      </w:r>
      <w:r w:rsidRPr="00E64A4B">
        <w:t>ges, Ottawa, Statist</w:t>
      </w:r>
      <w:r w:rsidRPr="00E64A4B">
        <w:t>i</w:t>
      </w:r>
      <w:r w:rsidRPr="00E64A4B">
        <w:t>ques Canada, 1989.</w:t>
      </w:r>
    </w:p>
  </w:footnote>
  <w:footnote w:id="243">
    <w:p w:rsidR="00B7214C" w:rsidRDefault="00B7214C" w:rsidP="00B7214C">
      <w:pPr>
        <w:pStyle w:val="Notedebasdepage"/>
      </w:pPr>
      <w:r>
        <w:rPr>
          <w:rStyle w:val="Appelnotedebasdep"/>
        </w:rPr>
        <w:footnoteRef/>
      </w:r>
      <w:r>
        <w:t xml:space="preserve"> </w:t>
      </w:r>
      <w:r>
        <w:tab/>
      </w:r>
      <w:r w:rsidRPr="00E64A4B">
        <w:t xml:space="preserve">J.T. Godbout et A. Caillé, </w:t>
      </w:r>
      <w:r w:rsidRPr="00E64A4B">
        <w:rPr>
          <w:i/>
          <w:iCs/>
        </w:rPr>
        <w:t>op. cit.,</w:t>
      </w:r>
      <w:r w:rsidRPr="00E64A4B">
        <w:t xml:space="preserve"> p. 196.</w:t>
      </w:r>
    </w:p>
  </w:footnote>
  <w:footnote w:id="244">
    <w:p w:rsidR="00B7214C" w:rsidRDefault="00B7214C" w:rsidP="00B7214C">
      <w:pPr>
        <w:pStyle w:val="Notedebasdepage"/>
      </w:pPr>
      <w:r>
        <w:rPr>
          <w:rStyle w:val="Appelnotedebasdep"/>
        </w:rPr>
        <w:footnoteRef/>
      </w:r>
      <w:r>
        <w:t xml:space="preserve"> </w:t>
      </w:r>
      <w:r>
        <w:tab/>
      </w:r>
      <w:r w:rsidRPr="00E64A4B">
        <w:rPr>
          <w:iCs/>
        </w:rPr>
        <w:t xml:space="preserve">Voir notamment : M. Danylewycz, </w:t>
      </w:r>
      <w:r w:rsidRPr="00E64A4B">
        <w:t>Profession religieuse : un choix pour les Québécoises, 1840-1920,</w:t>
      </w:r>
      <w:r w:rsidRPr="00E64A4B">
        <w:rPr>
          <w:iCs/>
        </w:rPr>
        <w:t xml:space="preserve"> Montréal, Boréal, 1988.</w:t>
      </w:r>
    </w:p>
  </w:footnote>
  <w:footnote w:id="245">
    <w:p w:rsidR="00B7214C" w:rsidRDefault="00B7214C" w:rsidP="00B7214C">
      <w:pPr>
        <w:pStyle w:val="Notedebasdepage"/>
      </w:pPr>
      <w:r>
        <w:rPr>
          <w:rStyle w:val="Appelnotedebasdep"/>
        </w:rPr>
        <w:footnoteRef/>
      </w:r>
      <w:r>
        <w:t xml:space="preserve"> </w:t>
      </w:r>
      <w:r>
        <w:tab/>
      </w:r>
      <w:r w:rsidRPr="00E64A4B">
        <w:t xml:space="preserve">N. Laurin, D. Juteau et L. Duchesne, </w:t>
      </w:r>
      <w:r w:rsidRPr="00E64A4B">
        <w:rPr>
          <w:i/>
          <w:iCs/>
        </w:rPr>
        <w:t>op. cit.,</w:t>
      </w:r>
      <w:r w:rsidRPr="00E64A4B">
        <w:t xml:space="preserve"> p. 19.</w:t>
      </w:r>
    </w:p>
  </w:footnote>
  <w:footnote w:id="246">
    <w:p w:rsidR="00B7214C" w:rsidRDefault="00B7214C" w:rsidP="00B7214C">
      <w:pPr>
        <w:pStyle w:val="Notedebasdepage"/>
      </w:pPr>
      <w:r>
        <w:rPr>
          <w:rStyle w:val="Appelnotedebasdep"/>
        </w:rPr>
        <w:footnoteRef/>
      </w:r>
      <w:r>
        <w:t xml:space="preserve"> </w:t>
      </w:r>
      <w:r>
        <w:tab/>
      </w:r>
      <w:r w:rsidRPr="00E64A4B">
        <w:t xml:space="preserve">Voir notamment : P. Armstrong et H. Armstrong, </w:t>
      </w:r>
      <w:r w:rsidRPr="00E64A4B">
        <w:rPr>
          <w:i/>
          <w:iCs/>
        </w:rPr>
        <w:t>Theorizing W</w:t>
      </w:r>
      <w:r w:rsidRPr="00E64A4B">
        <w:rPr>
          <w:i/>
          <w:iCs/>
        </w:rPr>
        <w:t>o</w:t>
      </w:r>
      <w:r w:rsidRPr="00E64A4B">
        <w:rPr>
          <w:i/>
          <w:iCs/>
        </w:rPr>
        <w:t>men's Work,</w:t>
      </w:r>
      <w:r w:rsidRPr="00E64A4B">
        <w:t xml:space="preserve"> Toronto, Garamond Press, 1990.</w:t>
      </w:r>
    </w:p>
  </w:footnote>
  <w:footnote w:id="247">
    <w:p w:rsidR="00B7214C" w:rsidRDefault="00B7214C" w:rsidP="00B7214C">
      <w:pPr>
        <w:pStyle w:val="Notedebasdepage"/>
      </w:pPr>
      <w:r>
        <w:rPr>
          <w:rStyle w:val="Appelnotedebasdep"/>
        </w:rPr>
        <w:footnoteRef/>
      </w:r>
      <w:r>
        <w:t xml:space="preserve"> </w:t>
      </w:r>
      <w:r>
        <w:tab/>
      </w:r>
      <w:r w:rsidRPr="00E64A4B">
        <w:t xml:space="preserve">E. Ross, « Hungry Children : Housewives and London Charity, 1870-1918 », </w:t>
      </w:r>
      <w:r w:rsidRPr="00E64A4B">
        <w:rPr>
          <w:i/>
          <w:iCs/>
        </w:rPr>
        <w:t>The Uses of Charity. The Poor on Relief in the Nin</w:t>
      </w:r>
      <w:r w:rsidRPr="00E64A4B">
        <w:rPr>
          <w:i/>
          <w:iCs/>
        </w:rPr>
        <w:t>e</w:t>
      </w:r>
      <w:r w:rsidRPr="00E64A4B">
        <w:rPr>
          <w:i/>
          <w:iCs/>
        </w:rPr>
        <w:t>teenth-Century Metropolis,</w:t>
      </w:r>
      <w:r w:rsidRPr="00E64A4B">
        <w:t xml:space="preserve"> Philadelphia, University of Pen</w:t>
      </w:r>
      <w:r w:rsidRPr="00E64A4B">
        <w:t>n</w:t>
      </w:r>
      <w:r w:rsidRPr="00E64A4B">
        <w:t>sylvania Press, 1990, p</w:t>
      </w:r>
      <w:r>
        <w:t>p</w:t>
      </w:r>
      <w:r w:rsidRPr="00E64A4B">
        <w:t>. 161-196.</w:t>
      </w:r>
    </w:p>
  </w:footnote>
  <w:footnote w:id="248">
    <w:p w:rsidR="00B7214C" w:rsidRDefault="00B7214C" w:rsidP="00B7214C">
      <w:pPr>
        <w:pStyle w:val="Notedebasdepage"/>
      </w:pPr>
      <w:r>
        <w:rPr>
          <w:rStyle w:val="Appelnotedebasdep"/>
        </w:rPr>
        <w:footnoteRef/>
      </w:r>
      <w:r>
        <w:t xml:space="preserve"> </w:t>
      </w:r>
      <w:r>
        <w:tab/>
      </w:r>
      <w:r w:rsidRPr="00E64A4B">
        <w:t>N.L. Green, « To Give and to Receive : Philanthropy and Collective Re</w:t>
      </w:r>
      <w:r w:rsidRPr="00E64A4B">
        <w:t>s</w:t>
      </w:r>
      <w:r w:rsidRPr="00E64A4B">
        <w:t xml:space="preserve">ponsability Among Jews in Paris, 1880-1914 », </w:t>
      </w:r>
      <w:r w:rsidRPr="00E64A4B">
        <w:rPr>
          <w:i/>
          <w:iCs/>
        </w:rPr>
        <w:t>Ibid.,</w:t>
      </w:r>
      <w:r w:rsidRPr="00E64A4B">
        <w:t xml:space="preserve"> </w:t>
      </w:r>
      <w:r>
        <w:t>p</w:t>
      </w:r>
      <w:r w:rsidRPr="00E64A4B">
        <w:t>p. 197-226.</w:t>
      </w:r>
    </w:p>
  </w:footnote>
  <w:footnote w:id="249">
    <w:p w:rsidR="00B7214C" w:rsidRDefault="00B7214C" w:rsidP="00B7214C">
      <w:pPr>
        <w:pStyle w:val="Notedebasdepage"/>
      </w:pPr>
      <w:r>
        <w:rPr>
          <w:rStyle w:val="Appelnotedebasdep"/>
        </w:rPr>
        <w:footnoteRef/>
      </w:r>
      <w:r>
        <w:t xml:space="preserve"> </w:t>
      </w:r>
      <w:r>
        <w:tab/>
      </w:r>
      <w:r w:rsidRPr="00E64A4B">
        <w:t xml:space="preserve">Jacques T. Godbout et André Caillé, </w:t>
      </w:r>
      <w:hyperlink r:id="rId8" w:history="1">
        <w:r w:rsidRPr="00E64A4B">
          <w:rPr>
            <w:rStyle w:val="Lienhypertexte"/>
            <w:i/>
            <w:iCs/>
          </w:rPr>
          <w:t>L'esprit du don</w:t>
        </w:r>
      </w:hyperlink>
      <w:r w:rsidRPr="00E64A4B">
        <w:rPr>
          <w:i/>
          <w:iCs/>
        </w:rPr>
        <w:t>,</w:t>
      </w:r>
      <w:r w:rsidRPr="00E64A4B">
        <w:t xml:space="preserve"> Paris et Mo</w:t>
      </w:r>
      <w:r w:rsidRPr="00E64A4B">
        <w:t>n</w:t>
      </w:r>
      <w:r w:rsidRPr="00E64A4B">
        <w:t>tréal, La Découverte et Boréal, 1992, ch. 6, p. 12.</w:t>
      </w:r>
    </w:p>
  </w:footnote>
  <w:footnote w:id="250">
    <w:p w:rsidR="00B7214C" w:rsidRDefault="00B7214C" w:rsidP="00B7214C">
      <w:pPr>
        <w:pStyle w:val="Notedebasdepage"/>
      </w:pPr>
      <w:r>
        <w:rPr>
          <w:rStyle w:val="Appelnotedebasdep"/>
        </w:rPr>
        <w:footnoteRef/>
      </w:r>
      <w:r>
        <w:t xml:space="preserve"> </w:t>
      </w:r>
      <w:r>
        <w:tab/>
      </w:r>
      <w:r w:rsidRPr="00E64A4B">
        <w:t>Voir C.S. Peirce, 1987, p. 27, paragraphe 553. Pour une application ethn</w:t>
      </w:r>
      <w:r w:rsidRPr="00E64A4B">
        <w:t>o</w:t>
      </w:r>
      <w:r w:rsidRPr="00E64A4B">
        <w:t>graphique de ce modèle, voir Schwimmer 1973, Str</w:t>
      </w:r>
      <w:r w:rsidRPr="00E64A4B">
        <w:t>a</w:t>
      </w:r>
      <w:r w:rsidRPr="00E64A4B">
        <w:t>thern 1988.</w:t>
      </w:r>
    </w:p>
  </w:footnote>
  <w:footnote w:id="251">
    <w:p w:rsidR="00B7214C" w:rsidRDefault="00B7214C" w:rsidP="00B7214C">
      <w:pPr>
        <w:pStyle w:val="Notedebasdepage"/>
      </w:pPr>
      <w:r>
        <w:rPr>
          <w:rStyle w:val="Appelnotedebasdep"/>
        </w:rPr>
        <w:footnoteRef/>
      </w:r>
      <w:r>
        <w:t xml:space="preserve"> </w:t>
      </w:r>
      <w:r>
        <w:tab/>
      </w:r>
      <w:r w:rsidRPr="00E64A4B">
        <w:t>Quand Barthes utilise le mot « code » - en parlant des systèmes vestimenta</w:t>
      </w:r>
      <w:r w:rsidRPr="00E64A4B">
        <w:t>i</w:t>
      </w:r>
      <w:r w:rsidRPr="00E64A4B">
        <w:t>res (1967) ou des lexies d'un texte (1970, p. 25-27) - et quand J. Lotman (1973) utilise le mot « langage » pour désigner tout système de communic</w:t>
      </w:r>
      <w:r w:rsidRPr="00E64A4B">
        <w:t>a</w:t>
      </w:r>
      <w:r w:rsidRPr="00E64A4B">
        <w:t>tions dont les signes s'ordonnent d'une manière particulière, ces termes dés</w:t>
      </w:r>
      <w:r w:rsidRPr="00E64A4B">
        <w:t>i</w:t>
      </w:r>
      <w:r w:rsidRPr="00E64A4B">
        <w:t>gnent ce que Peirce appelle un interpr</w:t>
      </w:r>
      <w:r w:rsidRPr="00E64A4B">
        <w:t>é</w:t>
      </w:r>
      <w:r w:rsidRPr="00E64A4B">
        <w:t>tant. Cependant, la sémiologie de Barthes insiste sur des règles préc</w:t>
      </w:r>
      <w:r w:rsidRPr="00E64A4B">
        <w:t>i</w:t>
      </w:r>
      <w:r w:rsidRPr="00E64A4B">
        <w:t>ses d'équivalence entre le signifiant et le signifié, tandis que la poétique de Lotman ne propose pas que l'équivale</w:t>
      </w:r>
      <w:r w:rsidRPr="00E64A4B">
        <w:t>n</w:t>
      </w:r>
      <w:r w:rsidRPr="00E64A4B">
        <w:t>ce puisse être précise. Elle laisse donc beaucoup plus de liberté à la créativité du sujet.</w:t>
      </w:r>
    </w:p>
  </w:footnote>
  <w:footnote w:id="252">
    <w:p w:rsidR="00B7214C" w:rsidRDefault="00B7214C" w:rsidP="00B7214C">
      <w:pPr>
        <w:pStyle w:val="Notedebasdepage"/>
      </w:pPr>
      <w:r>
        <w:rPr>
          <w:rStyle w:val="Appelnotedebasdep"/>
        </w:rPr>
        <w:footnoteRef/>
      </w:r>
      <w:r>
        <w:t xml:space="preserve"> </w:t>
      </w:r>
      <w:r>
        <w:tab/>
      </w:r>
      <w:r w:rsidRPr="00E64A4B">
        <w:t>J. T. Godbout (p</w:t>
      </w:r>
      <w:r>
        <w:t>p</w:t>
      </w:r>
      <w:r w:rsidRPr="00E64A4B">
        <w:t>. 172-173) s'oppose à l'idée que « l'économique en soi » soit « toujours présent » dans les sociétés « archaïques ». Il accepte pourtant volontiers que, dans ces sociétés, « tout le monde calcule » (p. 161), pourvu que « le but du procès d'ensemble » soit de « se retrouver en position de d</w:t>
      </w:r>
      <w:r w:rsidRPr="00E64A4B">
        <w:t>o</w:t>
      </w:r>
      <w:r w:rsidRPr="00E64A4B">
        <w:t xml:space="preserve">nateur » </w:t>
      </w:r>
      <w:r w:rsidRPr="00E64A4B">
        <w:rPr>
          <w:i/>
          <w:iCs/>
        </w:rPr>
        <w:t>(Ibid.).</w:t>
      </w:r>
      <w:r w:rsidRPr="00E64A4B">
        <w:t xml:space="preserve"> Dans le cas que je cite ici, je refuse de stipuler un </w:t>
      </w:r>
      <w:r w:rsidRPr="00E64A4B">
        <w:rPr>
          <w:i/>
          <w:iCs/>
        </w:rPr>
        <w:t>seul</w:t>
      </w:r>
      <w:r w:rsidRPr="00E64A4B">
        <w:t xml:space="preserve"> but d'ensemble, car la volonté de donner ne prime pas sur la volonté de prése</w:t>
      </w:r>
      <w:r w:rsidRPr="00E64A4B">
        <w:t>r</w:t>
      </w:r>
      <w:r w:rsidRPr="00E64A4B">
        <w:t>ver les gorets ; l'art de vivre c'est de faire les deux à la fois.</w:t>
      </w:r>
    </w:p>
  </w:footnote>
  <w:footnote w:id="253">
    <w:p w:rsidR="00B7214C" w:rsidRDefault="00B7214C" w:rsidP="00B7214C">
      <w:pPr>
        <w:pStyle w:val="Notedebasdepage"/>
      </w:pPr>
      <w:r>
        <w:rPr>
          <w:rStyle w:val="Appelnotedebasdep"/>
        </w:rPr>
        <w:footnoteRef/>
      </w:r>
      <w:r>
        <w:t xml:space="preserve"> </w:t>
      </w:r>
      <w:r>
        <w:tab/>
      </w:r>
      <w:r w:rsidRPr="00E64A4B">
        <w:t xml:space="preserve">Selon Iteanu (1989), le </w:t>
      </w:r>
      <w:r w:rsidRPr="00E64A4B">
        <w:rPr>
          <w:i/>
          <w:iCs/>
        </w:rPr>
        <w:t>hamo</w:t>
      </w:r>
      <w:r w:rsidRPr="00E64A4B">
        <w:t xml:space="preserve"> (en plus d'être la peau, l'appare</w:t>
      </w:r>
      <w:r w:rsidRPr="00E64A4B">
        <w:t>n</w:t>
      </w:r>
      <w:r w:rsidRPr="00E64A4B">
        <w:t>ce physique de l'homme) est aussi sa personne morale, marquée par sa position dans la s</w:t>
      </w:r>
      <w:r w:rsidRPr="00E64A4B">
        <w:t>o</w:t>
      </w:r>
      <w:r w:rsidRPr="00E64A4B">
        <w:t>ciété. Petite en enfance, elle s'élargit tout au long de la vie rituelle, sa gra</w:t>
      </w:r>
      <w:r w:rsidRPr="00E64A4B">
        <w:t>n</w:t>
      </w:r>
      <w:r w:rsidRPr="00E64A4B">
        <w:t>deur étant mesurable par le nombre et la qualité de ses relations sociales a</w:t>
      </w:r>
      <w:r w:rsidRPr="00E64A4B">
        <w:t>c</w:t>
      </w:r>
      <w:r w:rsidRPr="00E64A4B">
        <w:t>tuelles. En vieillesse, quand l'homme perd ses relations sociales et ne part</w:t>
      </w:r>
      <w:r w:rsidRPr="00E64A4B">
        <w:t>i</w:t>
      </w:r>
      <w:r w:rsidRPr="00E64A4B">
        <w:t xml:space="preserve">cipe plus aux échanges, le </w:t>
      </w:r>
      <w:r w:rsidRPr="00E64A4B">
        <w:rPr>
          <w:i/>
          <w:iCs/>
        </w:rPr>
        <w:t xml:space="preserve">hamo </w:t>
      </w:r>
      <w:r w:rsidRPr="00E64A4B">
        <w:t>se rabougrit. Ainsi, le soi n'est pas repr</w:t>
      </w:r>
      <w:r w:rsidRPr="00E64A4B">
        <w:t>é</w:t>
      </w:r>
      <w:r w:rsidRPr="00E64A4B">
        <w:t>senté comme ontologique mais comme « a conjunction of ritually cre</w:t>
      </w:r>
      <w:r w:rsidRPr="00E64A4B">
        <w:t>a</w:t>
      </w:r>
      <w:r w:rsidRPr="00E64A4B">
        <w:t xml:space="preserve">ted social relations ». Voir Iteanu, 1990, p. 38. Ce modèle de </w:t>
      </w:r>
      <w:r w:rsidRPr="00E64A4B">
        <w:rPr>
          <w:i/>
          <w:iCs/>
        </w:rPr>
        <w:t>hamo</w:t>
      </w:r>
      <w:r w:rsidRPr="00E64A4B">
        <w:t xml:space="preserve"> correspond au </w:t>
      </w:r>
      <w:r w:rsidRPr="00E64A4B">
        <w:rPr>
          <w:i/>
          <w:iCs/>
        </w:rPr>
        <w:t>homo donator.</w:t>
      </w:r>
    </w:p>
  </w:footnote>
  <w:footnote w:id="254">
    <w:p w:rsidR="00B7214C" w:rsidRDefault="00B7214C" w:rsidP="00B7214C">
      <w:pPr>
        <w:pStyle w:val="Notedebasdepage"/>
      </w:pPr>
      <w:r>
        <w:rPr>
          <w:rStyle w:val="Appelnotedebasdep"/>
        </w:rPr>
        <w:footnoteRef/>
      </w:r>
      <w:r>
        <w:t xml:space="preserve"> </w:t>
      </w:r>
      <w:r>
        <w:tab/>
      </w:r>
      <w:r w:rsidRPr="00E64A4B">
        <w:t xml:space="preserve">Iteanu précise que le retour du don </w:t>
      </w:r>
      <w:r w:rsidRPr="00E64A4B">
        <w:rPr>
          <w:i/>
          <w:iCs/>
        </w:rPr>
        <w:t>(mine)</w:t>
      </w:r>
      <w:r w:rsidRPr="00E64A4B">
        <w:t xml:space="preserve"> ne fait rien comme tel pour élargir le </w:t>
      </w:r>
      <w:r w:rsidRPr="00E64A4B">
        <w:rPr>
          <w:i/>
          <w:iCs/>
        </w:rPr>
        <w:t xml:space="preserve">hamo </w:t>
      </w:r>
      <w:r w:rsidRPr="00E64A4B">
        <w:t>du donneur orokaiva (1990, p. 45) « Once the two identical prest</w:t>
      </w:r>
      <w:r w:rsidRPr="00E64A4B">
        <w:t>a</w:t>
      </w:r>
      <w:r w:rsidRPr="00E64A4B">
        <w:t>tions hâve been exchanged, it may be fo</w:t>
      </w:r>
      <w:r w:rsidRPr="00E64A4B">
        <w:t>r</w:t>
      </w:r>
      <w:r w:rsidRPr="00E64A4B">
        <w:t xml:space="preserve">gotten » </w:t>
      </w:r>
      <w:r w:rsidRPr="00E64A4B">
        <w:rPr>
          <w:i/>
          <w:iCs/>
        </w:rPr>
        <w:t>(Ibid.).</w:t>
      </w:r>
    </w:p>
  </w:footnote>
  <w:footnote w:id="255">
    <w:p w:rsidR="00B7214C" w:rsidRDefault="00B7214C" w:rsidP="00B7214C">
      <w:pPr>
        <w:pStyle w:val="Notedebasdepage"/>
      </w:pPr>
      <w:r>
        <w:rPr>
          <w:rStyle w:val="Appelnotedebasdep"/>
        </w:rPr>
        <w:footnoteRef/>
      </w:r>
      <w:r>
        <w:t xml:space="preserve"> </w:t>
      </w:r>
      <w:r>
        <w:tab/>
      </w:r>
      <w:r w:rsidRPr="00E64A4B">
        <w:t>Lotman (1990) propose le modèle de la « sémiosphère », déf</w:t>
      </w:r>
      <w:r w:rsidRPr="00E64A4B">
        <w:t>i</w:t>
      </w:r>
      <w:r w:rsidRPr="00E64A4B">
        <w:t>nie comme « synchronie semiotic space which fills the borders of cult</w:t>
      </w:r>
      <w:r w:rsidRPr="00E64A4B">
        <w:t>u</w:t>
      </w:r>
      <w:r w:rsidRPr="00E64A4B">
        <w:t>re ». Cet espace s'étend en communiquant avec d'autres espaces, i</w:t>
      </w:r>
      <w:r w:rsidRPr="00E64A4B">
        <w:t>n</w:t>
      </w:r>
      <w:r w:rsidRPr="00E64A4B">
        <w:t>connus antérieurement, qui commencent à émettre des messages signifiants. L'anthropologue médi</w:t>
      </w:r>
      <w:r w:rsidRPr="00E64A4B">
        <w:t>a</w:t>
      </w:r>
      <w:r w:rsidRPr="00E64A4B">
        <w:t>tise souvent de tels messages provenant des sociétés « archaïques ». Ce fa</w:t>
      </w:r>
      <w:r w:rsidRPr="00E64A4B">
        <w:t>i</w:t>
      </w:r>
      <w:r w:rsidRPr="00E64A4B">
        <w:t>sant, l'a</w:t>
      </w:r>
      <w:r w:rsidRPr="00E64A4B">
        <w:t>n</w:t>
      </w:r>
      <w:r w:rsidRPr="00E64A4B">
        <w:t>thropologue ne quitte pourtant pas sa sémiosphère de naissance mais son travail établit des relations entre deux sémiosphères d'abord sép</w:t>
      </w:r>
      <w:r w:rsidRPr="00E64A4B">
        <w:t>a</w:t>
      </w:r>
      <w:r w:rsidRPr="00E64A4B">
        <w:t xml:space="preserve">rées. En notant leurs différences, il établit des « typologies ». Il distingue ainsi (Lotman, </w:t>
      </w:r>
      <w:r w:rsidRPr="00E64A4B">
        <w:rPr>
          <w:i/>
          <w:iCs/>
        </w:rPr>
        <w:t>ibid.,</w:t>
      </w:r>
      <w:r w:rsidRPr="00E64A4B">
        <w:t xml:space="preserve"> p. 265) entre un type de culture où le principe « contractuel » domine (comme au Québec) et un autre type où le principe « non contractuel » dom</w:t>
      </w:r>
      <w:r w:rsidRPr="00E64A4B">
        <w:t>i</w:t>
      </w:r>
      <w:r w:rsidRPr="00E64A4B">
        <w:t xml:space="preserve">ne. Ainsi, le modèle de l'Alliance est évidemment « contractuel », tandis que le modèle de </w:t>
      </w:r>
      <w:r w:rsidRPr="00E64A4B">
        <w:rPr>
          <w:i/>
          <w:iCs/>
        </w:rPr>
        <w:t>l'homo donator</w:t>
      </w:r>
      <w:r w:rsidRPr="00E64A4B">
        <w:t xml:space="preserve"> est « non contra</w:t>
      </w:r>
      <w:r w:rsidRPr="00E64A4B">
        <w:t>c</w:t>
      </w:r>
      <w:r w:rsidRPr="00E64A4B">
        <w:t>tuel ». En les confrontant, on apprend que les deux modèles coexistent pa</w:t>
      </w:r>
      <w:r w:rsidRPr="00E64A4B">
        <w:t>r</w:t>
      </w:r>
      <w:r w:rsidRPr="00E64A4B">
        <w:t>tout, peu importe lequel domine, et on comprend mieux les dangers de sous-estimer la valeur du deuxième.</w:t>
      </w:r>
    </w:p>
  </w:footnote>
  <w:footnote w:id="256">
    <w:p w:rsidR="00B7214C" w:rsidRDefault="00B7214C" w:rsidP="00B7214C">
      <w:pPr>
        <w:pStyle w:val="Notedebasdepage"/>
      </w:pPr>
      <w:r>
        <w:rPr>
          <w:rStyle w:val="Appelnotedebasdep"/>
        </w:rPr>
        <w:footnoteRef/>
      </w:r>
      <w:r>
        <w:t xml:space="preserve"> </w:t>
      </w:r>
      <w:r>
        <w:tab/>
      </w:r>
      <w:r w:rsidRPr="00E64A4B">
        <w:t>Le titre de la revue du MAUSS, qui semble à première vue t</w:t>
      </w:r>
      <w:r w:rsidRPr="00E64A4B">
        <w:t>i</w:t>
      </w:r>
      <w:r w:rsidRPr="00E64A4B">
        <w:t>rer son nom du célèbre Marcel Mauss, renvoie en réalité à l'acr</w:t>
      </w:r>
      <w:r w:rsidRPr="00E64A4B">
        <w:t>o</w:t>
      </w:r>
      <w:r w:rsidRPr="00E64A4B">
        <w:t>nyme suivant : « Mouvement anti-utilitariste dans les sciences sociales ». Alain Caillé, pr</w:t>
      </w:r>
      <w:r w:rsidRPr="00E64A4B">
        <w:t>o</w:t>
      </w:r>
      <w:r w:rsidRPr="00E64A4B">
        <w:t>fesseur à l'Université de Caen, en est le directeur ; Jacques-T. Codbout, pr</w:t>
      </w:r>
      <w:r w:rsidRPr="00E64A4B">
        <w:t>o</w:t>
      </w:r>
      <w:r w:rsidRPr="00E64A4B">
        <w:t>fesseur-chercheur à l'Institut national de la recherche scientifique de l'Un</w:t>
      </w:r>
      <w:r w:rsidRPr="00E64A4B">
        <w:t>i</w:t>
      </w:r>
      <w:r w:rsidRPr="00E64A4B">
        <w:t>versité du Québec, est de son côté membre du Conseil de publication de la revue. En lançant la nouvelle série de la revue du MAUSS en 1988, les re</w:t>
      </w:r>
      <w:r w:rsidRPr="00E64A4B">
        <w:t>s</w:t>
      </w:r>
      <w:r w:rsidRPr="00E64A4B">
        <w:t>ponsables écrivaient : « Bizarrement, peut-être, c'est en mettant en doute l'anthropologie ut</w:t>
      </w:r>
      <w:r w:rsidRPr="00E64A4B">
        <w:t>i</w:t>
      </w:r>
      <w:r w:rsidRPr="00E64A4B">
        <w:t>litariste sur laquelle elles s'étayent de façon privilégiée, et la préte</w:t>
      </w:r>
      <w:r w:rsidRPr="00E64A4B">
        <w:t>n</w:t>
      </w:r>
      <w:r w:rsidRPr="00E64A4B">
        <w:t>tion à l'utilité sociale sur laquelle elles fondent la légitimité de leur spécialisation, qu'il est possible de faire apparaître la question des f</w:t>
      </w:r>
      <w:r w:rsidRPr="00E64A4B">
        <w:t>i</w:t>
      </w:r>
      <w:r w:rsidRPr="00E64A4B">
        <w:t>nalités et de l'utilité effective de ces sciences. La soumission croissa</w:t>
      </w:r>
      <w:r w:rsidRPr="00E64A4B">
        <w:t>n</w:t>
      </w:r>
      <w:r w:rsidRPr="00E64A4B">
        <w:t>te de la vie et de la pensée à un principe d'utilité généralisée bloque, en effet, la pensée à la racine. Pourquoi s'interroger si tout ce qui exi</w:t>
      </w:r>
      <w:r w:rsidRPr="00E64A4B">
        <w:t>s</w:t>
      </w:r>
      <w:r w:rsidRPr="00E64A4B">
        <w:t>te, existe parce qu'utile ? » MAUSS, vol. 1, n° 1,</w:t>
      </w:r>
      <w:r>
        <w:t xml:space="preserve"> </w:t>
      </w:r>
      <w:r w:rsidRPr="00E64A4B">
        <w:t>1988, p. 3. Ce discours pragm</w:t>
      </w:r>
      <w:r w:rsidRPr="00E64A4B">
        <w:t>a</w:t>
      </w:r>
      <w:r w:rsidRPr="00E64A4B">
        <w:t>tique permet de mieux voir combien le livre de Godbout-Caillé s'enracine dans le projet d'une équ</w:t>
      </w:r>
      <w:r w:rsidRPr="00E64A4B">
        <w:t>i</w:t>
      </w:r>
      <w:r w:rsidRPr="00E64A4B">
        <w:t>pe de penseurs qui cherchent à renouveler le monde des sciences sociales en assignant à celles-ci un nouvel objet. Il n'est pas étonnant dans ce contexte que plusieurs des auteurs cités dans leur ouvrage et sur lesquels ils s'a</w:t>
      </w:r>
      <w:r w:rsidRPr="00E64A4B">
        <w:t>p</w:t>
      </w:r>
      <w:r w:rsidRPr="00E64A4B">
        <w:t>puient (parmi plusieurs autres : J.-L. Boilleau, J.- P. Dupuy, B. Latour, C. Lefort, P. Jorion, L. Scubla, P. Taiëb, A.-B. Weiner) soient des collabor</w:t>
      </w:r>
      <w:r w:rsidRPr="00E64A4B">
        <w:t>a</w:t>
      </w:r>
      <w:r w:rsidRPr="00E64A4B">
        <w:t>teurs de la revue du MAUSS.</w:t>
      </w:r>
    </w:p>
  </w:footnote>
  <w:footnote w:id="257">
    <w:p w:rsidR="00B7214C" w:rsidRDefault="00B7214C" w:rsidP="00B7214C">
      <w:pPr>
        <w:pStyle w:val="Notedebasdepage"/>
      </w:pPr>
      <w:r>
        <w:rPr>
          <w:rStyle w:val="Appelnotedebasdep"/>
        </w:rPr>
        <w:footnoteRef/>
      </w:r>
      <w:r>
        <w:t xml:space="preserve"> </w:t>
      </w:r>
      <w:r>
        <w:tab/>
      </w:r>
      <w:r w:rsidRPr="00E64A4B">
        <w:t xml:space="preserve">Une partie des réflexions qui suivent a été présentée oralement dans le cadre de la Table ronde sur </w:t>
      </w:r>
      <w:hyperlink r:id="rId9" w:history="1">
        <w:r w:rsidRPr="00E64A4B">
          <w:rPr>
            <w:rStyle w:val="Lienhypertexte"/>
            <w:i/>
            <w:iCs/>
          </w:rPr>
          <w:t>L'esprit du don</w:t>
        </w:r>
      </w:hyperlink>
      <w:r w:rsidRPr="00E64A4B">
        <w:rPr>
          <w:i/>
          <w:iCs/>
        </w:rPr>
        <w:t>,</w:t>
      </w:r>
      <w:r w:rsidRPr="00E64A4B">
        <w:t xml:space="preserve"> tenue à la Conf</w:t>
      </w:r>
      <w:r w:rsidRPr="00E64A4B">
        <w:t>é</w:t>
      </w:r>
      <w:r w:rsidRPr="00E64A4B">
        <w:t>rence de l'ACFAS à Rimouski (mai 1993) et organisée par F.-R. Oue</w:t>
      </w:r>
      <w:r w:rsidRPr="00E64A4B">
        <w:t>l</w:t>
      </w:r>
      <w:r w:rsidRPr="00E64A4B">
        <w:t>lette.</w:t>
      </w:r>
    </w:p>
  </w:footnote>
  <w:footnote w:id="258">
    <w:p w:rsidR="00B7214C" w:rsidRDefault="00B7214C" w:rsidP="00B7214C">
      <w:pPr>
        <w:pStyle w:val="Notedebasdepage"/>
      </w:pPr>
      <w:r>
        <w:rPr>
          <w:rStyle w:val="Appelnotedebasdep"/>
        </w:rPr>
        <w:footnoteRef/>
      </w:r>
      <w:r>
        <w:t xml:space="preserve"> </w:t>
      </w:r>
      <w:r>
        <w:tab/>
      </w:r>
      <w:hyperlink r:id="rId10" w:history="1">
        <w:r w:rsidRPr="00E64A4B">
          <w:rPr>
            <w:rStyle w:val="Lienhypertexte"/>
          </w:rPr>
          <w:t xml:space="preserve">Marcel Mauss, </w:t>
        </w:r>
        <w:r w:rsidRPr="00E64A4B">
          <w:rPr>
            <w:rStyle w:val="Lienhypertexte"/>
            <w:i/>
            <w:iCs/>
          </w:rPr>
          <w:t>Sociologie</w:t>
        </w:r>
      </w:hyperlink>
      <w:r w:rsidRPr="00E64A4B">
        <w:rPr>
          <w:i/>
          <w:iCs/>
        </w:rPr>
        <w:t xml:space="preserve"> et anthropologie,</w:t>
      </w:r>
      <w:r w:rsidRPr="00E64A4B">
        <w:t xml:space="preserve"> précédé d'une </w:t>
      </w:r>
      <w:hyperlink r:id="rId11" w:history="1">
        <w:r w:rsidRPr="00E64A4B">
          <w:rPr>
            <w:rStyle w:val="Lienhypertexte"/>
            <w:i/>
            <w:iCs/>
          </w:rPr>
          <w:t>Introduction à l'oeuvre de Marcel Mauss</w:t>
        </w:r>
      </w:hyperlink>
      <w:r w:rsidRPr="00E64A4B">
        <w:t xml:space="preserve"> par Claude Lévi-Strauss, Paris, Quadrige/Presses universitaires de France, 1950.</w:t>
      </w:r>
    </w:p>
  </w:footnote>
  <w:footnote w:id="259">
    <w:p w:rsidR="00B7214C" w:rsidRDefault="00B7214C" w:rsidP="00B7214C">
      <w:pPr>
        <w:pStyle w:val="Notedebasdepage"/>
      </w:pPr>
      <w:r>
        <w:rPr>
          <w:rStyle w:val="Appelnotedebasdep"/>
        </w:rPr>
        <w:footnoteRef/>
      </w:r>
      <w:r>
        <w:t xml:space="preserve"> </w:t>
      </w:r>
      <w:r>
        <w:tab/>
      </w:r>
      <w:r w:rsidRPr="00E64A4B">
        <w:t xml:space="preserve">Dans son avant-propos à </w:t>
      </w:r>
      <w:r w:rsidRPr="00E64A4B">
        <w:rPr>
          <w:i/>
          <w:iCs/>
        </w:rPr>
        <w:t>Le cru et le su,</w:t>
      </w:r>
      <w:r w:rsidRPr="00E64A4B">
        <w:t xml:space="preserve"> Paris, Seuil, 1993, Jean Pouillon exprime dans des termes clairs le dilemme des anthropologues qui travai</w:t>
      </w:r>
      <w:r w:rsidRPr="00E64A4B">
        <w:t>l</w:t>
      </w:r>
      <w:r w:rsidRPr="00E64A4B">
        <w:t>lent sur les systèmes religieux : « L'unité... de cet e</w:t>
      </w:r>
      <w:r w:rsidRPr="00E64A4B">
        <w:t>n</w:t>
      </w:r>
      <w:r w:rsidRPr="00E64A4B">
        <w:t>semble de textes... me semble tenir à une attitude somme toute norm</w:t>
      </w:r>
      <w:r w:rsidRPr="00E64A4B">
        <w:t>a</w:t>
      </w:r>
      <w:r w:rsidRPr="00E64A4B">
        <w:t>le pour un ethnologue et qu'en tout cas il ne peut gu</w:t>
      </w:r>
      <w:r w:rsidRPr="00E64A4B">
        <w:t>è</w:t>
      </w:r>
      <w:r w:rsidRPr="00E64A4B">
        <w:t>re éviter, celle qui consiste à s'intéresser, chez ceux qu'il s'efforce de comprendre, à ce dont il ne croit pas un mot : rel</w:t>
      </w:r>
      <w:r w:rsidRPr="00E64A4B">
        <w:t>i</w:t>
      </w:r>
      <w:r w:rsidRPr="00E64A4B">
        <w:t>gions, idéol</w:t>
      </w:r>
      <w:r w:rsidRPr="00E64A4B">
        <w:t>o</w:t>
      </w:r>
      <w:r w:rsidRPr="00E64A4B">
        <w:t>gies, mythologies... » C'est justement parce qu'il n'y croit pas qu'il lui faut avant tout essayer de savoir pourquoi et, d'abord, comment d'autres y croient. Il ne cherche donc pas à critiquer ou à di</w:t>
      </w:r>
      <w:r w:rsidRPr="00E64A4B">
        <w:t>s</w:t>
      </w:r>
      <w:r w:rsidRPr="00E64A4B">
        <w:t>siper</w:t>
      </w:r>
      <w:r>
        <w:t xml:space="preserve"> </w:t>
      </w:r>
      <w:r w:rsidRPr="00E64A4B">
        <w:t>leurs croyances, serait-ce au nom de sa possible adhésion à celles qui ont cours chez lui : il n'est pas un missionnaire. Comme l'a d'ailleurs noté Evans-Pritchard à propos de ses collègues br</w:t>
      </w:r>
      <w:r w:rsidRPr="00E64A4B">
        <w:t>i</w:t>
      </w:r>
      <w:r w:rsidRPr="00E64A4B">
        <w:t>tanniques (mais sa remarque vaut pour bien d'autres) : « [...] les anthropologues, dans leur majorité, sont indi</w:t>
      </w:r>
      <w:r w:rsidRPr="00E64A4B">
        <w:t>f</w:t>
      </w:r>
      <w:r w:rsidRPr="00E64A4B">
        <w:t>férents sinon host</w:t>
      </w:r>
      <w:r w:rsidRPr="00E64A4B">
        <w:t>i</w:t>
      </w:r>
      <w:r w:rsidRPr="00E64A4B">
        <w:t>les à la religion ». Néanmoins, cette indifférence ne leur fait pas considérer comme ins</w:t>
      </w:r>
      <w:r w:rsidRPr="00E64A4B">
        <w:t>a</w:t>
      </w:r>
      <w:r w:rsidRPr="00E64A4B">
        <w:t>nes les croyances religieuses ou autres, même si en tant qu'individus telle peut être leur opinion. Ils y voient plutôt des ill</w:t>
      </w:r>
      <w:r w:rsidRPr="00E64A4B">
        <w:t>u</w:t>
      </w:r>
      <w:r w:rsidRPr="00E64A4B">
        <w:t>sions sur lesquelles il convient de s'interroger, car - Freud l'a tristement r</w:t>
      </w:r>
      <w:r w:rsidRPr="00E64A4B">
        <w:t>e</w:t>
      </w:r>
      <w:r w:rsidRPr="00E64A4B">
        <w:t>connu et l'histoire l'a abonda</w:t>
      </w:r>
      <w:r w:rsidRPr="00E64A4B">
        <w:t>m</w:t>
      </w:r>
      <w:r w:rsidRPr="00E64A4B">
        <w:t>ment prouvé - elles ont toujours un avenir » (p. 9).</w:t>
      </w:r>
    </w:p>
  </w:footnote>
  <w:footnote w:id="260">
    <w:p w:rsidR="00B7214C" w:rsidRDefault="00B7214C" w:rsidP="00B7214C">
      <w:pPr>
        <w:pStyle w:val="Notedebasdepage"/>
      </w:pPr>
      <w:r>
        <w:rPr>
          <w:rStyle w:val="Appelnotedebasdep"/>
        </w:rPr>
        <w:footnoteRef/>
      </w:r>
      <w:r>
        <w:t xml:space="preserve"> </w:t>
      </w:r>
      <w:r>
        <w:tab/>
      </w:r>
      <w:r w:rsidRPr="00E64A4B">
        <w:t>Le travail le plus complet de synthèse sur les sacrifices dans les différentes religions peut être consulté dans les cinq Cahiers que l'URA 221 (École pr</w:t>
      </w:r>
      <w:r w:rsidRPr="00E64A4B">
        <w:t>a</w:t>
      </w:r>
      <w:r w:rsidRPr="00E64A4B">
        <w:t>tique des Hautes Etudes et CNRS) a publiés dans le cadre des séminaires o</w:t>
      </w:r>
      <w:r w:rsidRPr="00E64A4B">
        <w:t>r</w:t>
      </w:r>
      <w:r w:rsidRPr="00E64A4B">
        <w:t>ganisés par le groupe de chercheurs : « Systèmes de pensée en Afrique no</w:t>
      </w:r>
      <w:r w:rsidRPr="00E64A4B">
        <w:t>i</w:t>
      </w:r>
      <w:r w:rsidRPr="00E64A4B">
        <w:t>re ». Michel Catry a coordonné la publication des cinq Cahiers dédiés au s</w:t>
      </w:r>
      <w:r w:rsidRPr="00E64A4B">
        <w:t>a</w:t>
      </w:r>
      <w:r w:rsidRPr="00E64A4B">
        <w:t>crif</w:t>
      </w:r>
      <w:r w:rsidRPr="00E64A4B">
        <w:t>i</w:t>
      </w:r>
      <w:r w:rsidRPr="00E64A4B">
        <w:t>ce, lesquels peuvent être commandés auprès de l'École pratique des Hautes Études, à Paris.</w:t>
      </w:r>
    </w:p>
  </w:footnote>
  <w:footnote w:id="261">
    <w:p w:rsidR="00B7214C" w:rsidRDefault="00B7214C" w:rsidP="00B7214C">
      <w:pPr>
        <w:pStyle w:val="Notedebasdepage"/>
      </w:pPr>
      <w:r>
        <w:rPr>
          <w:rStyle w:val="Appelnotedebasdep"/>
        </w:rPr>
        <w:footnoteRef/>
      </w:r>
      <w:r>
        <w:t xml:space="preserve"> </w:t>
      </w:r>
      <w:r>
        <w:tab/>
      </w:r>
      <w:r w:rsidRPr="00E64A4B">
        <w:t xml:space="preserve">Pour une bonne discussion de la pensée de Derrida sur le don, on peut consulter : J.-M. Rabaté et M. Wetzel (dir.). </w:t>
      </w:r>
      <w:r w:rsidRPr="00AE420C">
        <w:rPr>
          <w:i/>
          <w:iCs/>
          <w:color w:val="auto"/>
        </w:rPr>
        <w:t>L'éthique du don. Jacques De</w:t>
      </w:r>
      <w:r w:rsidRPr="00AE420C">
        <w:rPr>
          <w:i/>
          <w:iCs/>
          <w:color w:val="auto"/>
        </w:rPr>
        <w:t>r</w:t>
      </w:r>
      <w:r w:rsidRPr="00AE420C">
        <w:rPr>
          <w:i/>
          <w:iCs/>
          <w:color w:val="auto"/>
        </w:rPr>
        <w:t xml:space="preserve">rida et la pensée du don, </w:t>
      </w:r>
      <w:r w:rsidRPr="00E64A4B">
        <w:t>Colloque de Royaumont, D</w:t>
      </w:r>
      <w:r w:rsidRPr="00E64A4B">
        <w:t>é</w:t>
      </w:r>
      <w:r w:rsidRPr="00E64A4B">
        <w:t>cembre 1990, Paris, Métailié-Transition, 1992.</w:t>
      </w:r>
    </w:p>
  </w:footnote>
  <w:footnote w:id="262">
    <w:p w:rsidR="00B7214C" w:rsidRDefault="00B7214C" w:rsidP="00B7214C">
      <w:pPr>
        <w:pStyle w:val="Notedebasdepage"/>
      </w:pPr>
      <w:r>
        <w:rPr>
          <w:rStyle w:val="Appelnotedebasdep"/>
        </w:rPr>
        <w:footnoteRef/>
      </w:r>
      <w:r>
        <w:t xml:space="preserve"> </w:t>
      </w:r>
      <w:r>
        <w:tab/>
      </w:r>
      <w:r w:rsidRPr="00E64A4B">
        <w:t>Le psychanalyste A. Vergote nous rappelle que « tout un chacun doit s'e</w:t>
      </w:r>
      <w:r w:rsidRPr="00E64A4B">
        <w:t>x</w:t>
      </w:r>
      <w:r w:rsidRPr="00E64A4B">
        <w:t>pliquer avec la dette, car, sous différentes formes, la culpabil</w:t>
      </w:r>
      <w:r w:rsidRPr="00E64A4B">
        <w:t>i</w:t>
      </w:r>
      <w:r w:rsidRPr="00E64A4B">
        <w:t xml:space="preserve">té en impose le régime » dans </w:t>
      </w:r>
      <w:r w:rsidRPr="00AE420C">
        <w:rPr>
          <w:i/>
          <w:iCs/>
          <w:color w:val="auto"/>
        </w:rPr>
        <w:t>Dette et désir. Deux axes chrétiens et la dérive pathologique,</w:t>
      </w:r>
      <w:r w:rsidRPr="00E64A4B">
        <w:t xml:space="preserve"> Paris, Seuil, 1978.</w:t>
      </w:r>
    </w:p>
  </w:footnote>
  <w:footnote w:id="263">
    <w:p w:rsidR="00B7214C" w:rsidRDefault="00B7214C" w:rsidP="00B7214C">
      <w:pPr>
        <w:pStyle w:val="Notedebasdepage"/>
      </w:pPr>
      <w:r>
        <w:rPr>
          <w:rStyle w:val="Appelnotedebasdep"/>
        </w:rPr>
        <w:footnoteRef/>
      </w:r>
      <w:r>
        <w:t xml:space="preserve"> </w:t>
      </w:r>
      <w:r>
        <w:tab/>
      </w:r>
      <w:r w:rsidRPr="00E64A4B">
        <w:t>Cet article a été produit dans le cadre d'une recherche financée en 1992-1995 par le Centre de recherche pour le développement inte</w:t>
      </w:r>
      <w:r w:rsidRPr="00E64A4B">
        <w:t>r</w:t>
      </w:r>
      <w:r w:rsidRPr="00E64A4B">
        <w:t xml:space="preserve">national (CRD1), intitulée : </w:t>
      </w:r>
      <w:r w:rsidRPr="00E64A4B">
        <w:rPr>
          <w:i/>
          <w:iCs/>
        </w:rPr>
        <w:t>Formation de la paysannerie et transformation des ra</w:t>
      </w:r>
      <w:r w:rsidRPr="00E64A4B">
        <w:rPr>
          <w:i/>
          <w:iCs/>
        </w:rPr>
        <w:t>p</w:t>
      </w:r>
      <w:r w:rsidRPr="00E64A4B">
        <w:rPr>
          <w:i/>
          <w:iCs/>
        </w:rPr>
        <w:t>ports hiérarchiques.</w:t>
      </w:r>
      <w:r w:rsidRPr="00E64A4B">
        <w:t xml:space="preserve"> Mes remerciements s'adressent ici à Stéphane Fiset, étudiant de 1er cycle en anthropologie, qui a effectué la revue de la littérat</w:t>
      </w:r>
      <w:r w:rsidRPr="00E64A4B">
        <w:t>u</w:t>
      </w:r>
      <w:r w:rsidRPr="00E64A4B">
        <w:t>re sur la recherche-action-participation dans le cadre d'un travail d'auxiliaire de recherche. Les idées contenues dans ce texte ont été exposées lors du co</w:t>
      </w:r>
      <w:r w:rsidRPr="00E64A4B">
        <w:t>l</w:t>
      </w:r>
      <w:r w:rsidRPr="00E64A4B">
        <w:t>loque de l'ACSALF à Rimouski en mai 1993 et ont bénéficié de commenta</w:t>
      </w:r>
      <w:r w:rsidRPr="00E64A4B">
        <w:t>i</w:t>
      </w:r>
      <w:r w:rsidRPr="00E64A4B">
        <w:t>res de l'assistance que j'ai, dans la mesure du possible et dans les limites de mon inte</w:t>
      </w:r>
      <w:r w:rsidRPr="00E64A4B">
        <w:t>r</w:t>
      </w:r>
      <w:r w:rsidRPr="00E64A4B">
        <w:t>prétation, intégrés dans la présente version. Par ailleurs, toutes les citations extraites de te</w:t>
      </w:r>
      <w:r w:rsidRPr="00E64A4B">
        <w:t>x</w:t>
      </w:r>
      <w:r w:rsidRPr="00E64A4B">
        <w:t>tes en anglais ont été traduites par moi.</w:t>
      </w:r>
    </w:p>
  </w:footnote>
  <w:footnote w:id="264">
    <w:p w:rsidR="00B7214C" w:rsidRDefault="00B7214C" w:rsidP="00B7214C">
      <w:pPr>
        <w:pStyle w:val="Notedebasdepage"/>
      </w:pPr>
      <w:r>
        <w:rPr>
          <w:rStyle w:val="Appelnotedebasdep"/>
        </w:rPr>
        <w:footnoteRef/>
      </w:r>
      <w:r>
        <w:t xml:space="preserve"> </w:t>
      </w:r>
      <w:r>
        <w:tab/>
      </w:r>
      <w:r w:rsidRPr="00E64A4B">
        <w:t>La méthode de Fais Borda, si elle agrée aux scientistes s</w:t>
      </w:r>
      <w:r w:rsidRPr="00E64A4B">
        <w:t>o</w:t>
      </w:r>
      <w:r w:rsidRPr="00E64A4B">
        <w:t>ciaux, ne fait pas l'unanimité chez les historiens. Voir à ce sujet Bergquist 1990.</w:t>
      </w:r>
    </w:p>
  </w:footnote>
  <w:footnote w:id="265">
    <w:p w:rsidR="00B7214C" w:rsidRDefault="00B7214C" w:rsidP="00B7214C">
      <w:pPr>
        <w:pStyle w:val="Notedebasdepage"/>
      </w:pPr>
      <w:r>
        <w:rPr>
          <w:rStyle w:val="Appelnotedebasdep"/>
        </w:rPr>
        <w:t>*</w:t>
      </w:r>
      <w:r>
        <w:t xml:space="preserve"> </w:t>
      </w:r>
      <w:r>
        <w:tab/>
      </w:r>
      <w:r w:rsidRPr="00E64A4B">
        <w:t xml:space="preserve">Assad, Talal (dir.), </w:t>
      </w:r>
      <w:r w:rsidRPr="00E64A4B">
        <w:rPr>
          <w:i/>
          <w:iCs/>
        </w:rPr>
        <w:t>Anthropology and the colonial Encounter,</w:t>
      </w:r>
      <w:r w:rsidRPr="00E64A4B">
        <w:t xml:space="preserve"> Londres, Ith</w:t>
      </w:r>
      <w:r w:rsidRPr="00E64A4B">
        <w:t>a</w:t>
      </w:r>
      <w:r w:rsidRPr="00E64A4B">
        <w:t xml:space="preserve">ca Press, 1973. Copans, Jean (dir.), </w:t>
      </w:r>
      <w:r w:rsidRPr="00E64A4B">
        <w:rPr>
          <w:i/>
          <w:iCs/>
        </w:rPr>
        <w:t>Anthropologie et c</w:t>
      </w:r>
      <w:r w:rsidRPr="00E64A4B">
        <w:rPr>
          <w:i/>
          <w:iCs/>
        </w:rPr>
        <w:t>o</w:t>
      </w:r>
      <w:r w:rsidRPr="00E64A4B">
        <w:rPr>
          <w:i/>
          <w:iCs/>
        </w:rPr>
        <w:t>lonialisme,</w:t>
      </w:r>
      <w:r w:rsidRPr="00E64A4B">
        <w:t xml:space="preserve"> Paris, Maspéro, 1975. Warman, A., M. Nolasco, G. Bonfil, M. Oliveira, E. Vale</w:t>
      </w:r>
      <w:r w:rsidRPr="00E64A4B">
        <w:t>n</w:t>
      </w:r>
      <w:r w:rsidRPr="00E64A4B">
        <w:t xml:space="preserve">cia, </w:t>
      </w:r>
      <w:r w:rsidRPr="00E64A4B">
        <w:rPr>
          <w:i/>
          <w:iCs/>
        </w:rPr>
        <w:t>De eso que llaman antropologia mexicana,</w:t>
      </w:r>
      <w:r w:rsidRPr="00E64A4B">
        <w:t xml:space="preserve"> Mexico, Nuestro Tiempo. Stavenhagen, Rodolfo, « Comment décoloniser les sciences sociales appl</w:t>
      </w:r>
      <w:r w:rsidRPr="00E64A4B">
        <w:t>i</w:t>
      </w:r>
      <w:r w:rsidRPr="00E64A4B">
        <w:t>quées », in C</w:t>
      </w:r>
      <w:r w:rsidRPr="00E64A4B">
        <w:t>o</w:t>
      </w:r>
      <w:r w:rsidRPr="00E64A4B">
        <w:t>pans (dir.) 1975 : 405-413.</w:t>
      </w:r>
    </w:p>
  </w:footnote>
  <w:footnote w:id="266">
    <w:p w:rsidR="00B7214C" w:rsidRDefault="00B7214C" w:rsidP="00B7214C">
      <w:pPr>
        <w:pStyle w:val="Notedebasdepage"/>
      </w:pPr>
      <w:r>
        <w:rPr>
          <w:rStyle w:val="Appelnotedebasdep"/>
        </w:rPr>
        <w:footnoteRef/>
      </w:r>
      <w:r>
        <w:t xml:space="preserve"> </w:t>
      </w:r>
      <w:r>
        <w:tab/>
      </w:r>
      <w:r w:rsidRPr="00E64A4B">
        <w:t>Les données qui ont servi de base à cette communication ont été recueillies au Mexique, entre 1979 et 1991, dans le cadre d'un projet de recherche à long terme financé par le Conseil de recherche en sciences humaines du C</w:t>
      </w:r>
      <w:r w:rsidRPr="00E64A4B">
        <w:t>a</w:t>
      </w:r>
      <w:r w:rsidRPr="00E64A4B">
        <w:t>nada (CRSH) et le Comité d'attr</w:t>
      </w:r>
      <w:r w:rsidRPr="00E64A4B">
        <w:t>i</w:t>
      </w:r>
      <w:r w:rsidRPr="00E64A4B">
        <w:t>bution des fonds internes de rattrapage (CAFIR) de l'Université de Montréal. Je tiens à remercier les membres de la Sociedad Coop</w:t>
      </w:r>
      <w:r w:rsidRPr="00E64A4B">
        <w:t>e</w:t>
      </w:r>
      <w:r w:rsidRPr="00E64A4B">
        <w:t>rativa Agropecua- ria Régional Tosepan Titataniske, de Cuetzlan, Puebla, et du Taller de Tradición Oral del CEPEC, de San Miguel Tzinacapan, Mun. de Cuetzalan, pour leur collaboration ; de m</w:t>
      </w:r>
      <w:r w:rsidRPr="00E64A4B">
        <w:t>ê</w:t>
      </w:r>
      <w:r w:rsidRPr="00E64A4B">
        <w:t>me que les professionnels du Plan Zacapoaxtla et les membres de PRADE A.C.</w:t>
      </w:r>
    </w:p>
  </w:footnote>
  <w:footnote w:id="267">
    <w:p w:rsidR="00B7214C" w:rsidRDefault="00B7214C" w:rsidP="00B7214C">
      <w:pPr>
        <w:pStyle w:val="Notedebasdepage"/>
      </w:pPr>
      <w:r>
        <w:rPr>
          <w:rStyle w:val="Appelnotedebasdep"/>
        </w:rPr>
        <w:footnoteRef/>
      </w:r>
      <w:r>
        <w:t xml:space="preserve"> </w:t>
      </w:r>
      <w:r>
        <w:tab/>
      </w:r>
      <w:r w:rsidRPr="00E64A4B">
        <w:t>Un ancien dirigeant de la coopérative régionale résumait ainsi cette évol</w:t>
      </w:r>
      <w:r w:rsidRPr="00E64A4B">
        <w:t>u</w:t>
      </w:r>
      <w:r w:rsidRPr="00E64A4B">
        <w:t>tion : « Au début, quand on faisait une réunion, je d</w:t>
      </w:r>
      <w:r w:rsidRPr="00E64A4B">
        <w:t>e</w:t>
      </w:r>
      <w:r w:rsidRPr="00E64A4B">
        <w:t>vais dire sans cesse : jXiuiki, tokniwan ! (« Approchez, frères ») car tout le monde restait à la po</w:t>
      </w:r>
      <w:r w:rsidRPr="00E64A4B">
        <w:t>r</w:t>
      </w:r>
      <w:r w:rsidRPr="00E64A4B">
        <w:t>te, personne n avançait. Ensuite, je leur disais : jXitajtokan, tokniwan ! (« Parlez, frères ! ») car ils ne faisaient qu'écouter ce que disaient les conseillers. Et maint</w:t>
      </w:r>
      <w:r w:rsidRPr="00E64A4B">
        <w:t>e</w:t>
      </w:r>
      <w:r w:rsidRPr="00E64A4B">
        <w:t>nant il faut dire : Por favor, orden ! (« À l'ordre, s'il vous plaît ! »), car tout le monde parle en même temps.</w:t>
      </w:r>
    </w:p>
  </w:footnote>
  <w:footnote w:id="268">
    <w:p w:rsidR="00B7214C" w:rsidRDefault="00B7214C" w:rsidP="00B7214C">
      <w:pPr>
        <w:pStyle w:val="Notedebasdepage"/>
      </w:pPr>
      <w:r>
        <w:rPr>
          <w:rStyle w:val="Appelnotedebasdep"/>
        </w:rPr>
        <w:footnoteRef/>
      </w:r>
      <w:r>
        <w:t xml:space="preserve"> </w:t>
      </w:r>
      <w:r>
        <w:tab/>
      </w:r>
      <w:r w:rsidRPr="00E64A4B">
        <w:t>Un dicton local en témoigne : « Quand quelqu'un « va a la Tos</w:t>
      </w:r>
      <w:r w:rsidRPr="00E64A4B">
        <w:t>e</w:t>
      </w:r>
      <w:r w:rsidRPr="00E64A4B">
        <w:t>pan » (c.-à-d. devient cadre), il se passe trois choses : un, il grossit, car il mange mieux et ne travaille plus aux champs ; deux, il prend une autre femme, car il ne r</w:t>
      </w:r>
      <w:r w:rsidRPr="00E64A4B">
        <w:t>e</w:t>
      </w:r>
      <w:r w:rsidRPr="00E64A4B">
        <w:t>tourne plus dormir au village ; trois, il se met à boire et alors, ça devient s</w:t>
      </w:r>
      <w:r w:rsidRPr="00E64A4B">
        <w:t>é</w:t>
      </w:r>
      <w:r w:rsidRPr="00E64A4B">
        <w:t>rieux ! »</w:t>
      </w:r>
    </w:p>
  </w:footnote>
  <w:footnote w:id="269">
    <w:p w:rsidR="00B7214C" w:rsidRDefault="00B7214C" w:rsidP="00B7214C">
      <w:pPr>
        <w:pStyle w:val="Notedebasdepage"/>
      </w:pPr>
      <w:r>
        <w:rPr>
          <w:rStyle w:val="Appelnotedebasdep"/>
        </w:rPr>
        <w:footnoteRef/>
      </w:r>
      <w:r>
        <w:t xml:space="preserve"> </w:t>
      </w:r>
      <w:r>
        <w:tab/>
      </w:r>
      <w:r w:rsidRPr="00E64A4B">
        <w:t>C'est cette pression paysanne qui fut responsable de la croissa</w:t>
      </w:r>
      <w:r w:rsidRPr="00E64A4B">
        <w:t>n</w:t>
      </w:r>
      <w:r w:rsidRPr="00E64A4B">
        <w:t>ce du secteur de l'approvisionnement en denrées de base, que l'État che</w:t>
      </w:r>
      <w:r w:rsidRPr="00E64A4B">
        <w:t>r</w:t>
      </w:r>
      <w:r w:rsidRPr="00E64A4B">
        <w:t>chait à restreindre tandis qu'il poussait l'expansion de l'agriculture d'exportation (particulièr</w:t>
      </w:r>
      <w:r w:rsidRPr="00E64A4B">
        <w:t>e</w:t>
      </w:r>
      <w:r w:rsidRPr="00E64A4B">
        <w:t>ment le café). La restriction systématique des livraisons de maïs soulevait la colère des paysans. L'un d'eux e</w:t>
      </w:r>
      <w:r w:rsidRPr="00E64A4B">
        <w:t>x</w:t>
      </w:r>
      <w:r w:rsidRPr="00E64A4B">
        <w:t xml:space="preserve">pliquait ainsi la participation intense aux réunions de la </w:t>
      </w:r>
      <w:r w:rsidRPr="00E64A4B">
        <w:rPr>
          <w:i/>
          <w:iCs/>
        </w:rPr>
        <w:t>junta de aba</w:t>
      </w:r>
      <w:r w:rsidRPr="00E64A4B">
        <w:rPr>
          <w:i/>
          <w:iCs/>
        </w:rPr>
        <w:t>s</w:t>
      </w:r>
      <w:r w:rsidRPr="00E64A4B">
        <w:rPr>
          <w:i/>
          <w:iCs/>
        </w:rPr>
        <w:t xml:space="preserve">to </w:t>
      </w:r>
      <w:r w:rsidRPr="00E64A4B">
        <w:t>(comité d'approvisionnement) : « Nous avons tous besoin de ma</w:t>
      </w:r>
      <w:r w:rsidRPr="00E64A4B">
        <w:t>n</w:t>
      </w:r>
      <w:r w:rsidRPr="00E64A4B">
        <w:t>ger, tandis que ce n'est pas tout le monde qui cultive du café. »</w:t>
      </w:r>
    </w:p>
  </w:footnote>
  <w:footnote w:id="270">
    <w:p w:rsidR="00B7214C" w:rsidRDefault="00B7214C" w:rsidP="00B7214C">
      <w:pPr>
        <w:pStyle w:val="Notedebasdepage"/>
      </w:pPr>
      <w:r>
        <w:rPr>
          <w:rStyle w:val="Appelnotedebasdep"/>
        </w:rPr>
        <w:footnoteRef/>
      </w:r>
      <w:r>
        <w:t xml:space="preserve"> </w:t>
      </w:r>
      <w:r>
        <w:tab/>
      </w:r>
      <w:r w:rsidRPr="00E64A4B">
        <w:t>Dans ces statuts, elle se définissait comme « une organisation de paysans et d'artisans pauvres, en majorité indigènes ». On ajo</w:t>
      </w:r>
      <w:r w:rsidRPr="00E64A4B">
        <w:t>u</w:t>
      </w:r>
      <w:r w:rsidRPr="00E64A4B">
        <w:t xml:space="preserve">tait qu'il n'y avait « pas de place en son sein ni pour les riches ni pour les </w:t>
      </w:r>
      <w:r w:rsidRPr="00E64A4B">
        <w:rPr>
          <w:i/>
          <w:iCs/>
        </w:rPr>
        <w:t>coyotes</w:t>
      </w:r>
      <w:r w:rsidRPr="00E64A4B">
        <w:t xml:space="preserve"> [intermédiaires] ni pour les professionnels ».</w:t>
      </w:r>
    </w:p>
  </w:footnote>
  <w:footnote w:id="271">
    <w:p w:rsidR="00B7214C" w:rsidRDefault="00B7214C" w:rsidP="00B7214C">
      <w:pPr>
        <w:pStyle w:val="Notedebasdepage"/>
      </w:pPr>
      <w:r>
        <w:rPr>
          <w:rStyle w:val="Appelnotedebasdep"/>
        </w:rPr>
        <w:footnoteRef/>
      </w:r>
      <w:r>
        <w:t xml:space="preserve"> </w:t>
      </w:r>
      <w:r>
        <w:tab/>
      </w:r>
      <w:r w:rsidRPr="00E64A4B">
        <w:t>Le Taller de Tradición Oral réclame la propriété de dix-neuf m</w:t>
      </w:r>
      <w:r w:rsidRPr="00E64A4B">
        <w:t>y</w:t>
      </w:r>
      <w:r w:rsidRPr="00E64A4B">
        <w:t>thes qui ont été appropriés, puis publiés à son nom par l'ethn</w:t>
      </w:r>
      <w:r w:rsidRPr="00E64A4B">
        <w:t>o</w:t>
      </w:r>
      <w:r w:rsidRPr="00E64A4B">
        <w:t>logue italien Enzo Segre, lequel avait demandé à « consulter » leur corpus. Voir à ce sujet mes art</w:t>
      </w:r>
      <w:r w:rsidRPr="00E64A4B">
        <w:t>i</w:t>
      </w:r>
      <w:r w:rsidRPr="00E64A4B">
        <w:t>cles : « </w:t>
      </w:r>
      <w:r>
        <w:t>À</w:t>
      </w:r>
      <w:r w:rsidRPr="00E64A4B">
        <w:t xml:space="preserve"> qui appartient le p</w:t>
      </w:r>
      <w:r w:rsidRPr="00E64A4B">
        <w:t>a</w:t>
      </w:r>
      <w:r w:rsidRPr="00E64A4B">
        <w:t xml:space="preserve">trimoine culturel autochtone ? » </w:t>
      </w:r>
      <w:r w:rsidRPr="00E64A4B">
        <w:rPr>
          <w:i/>
          <w:iCs/>
        </w:rPr>
        <w:t>Recherches amérindiennes au Québec,</w:t>
      </w:r>
      <w:r w:rsidRPr="00E64A4B">
        <w:t xml:space="preserve"> vol. 22, n° 1, 1992, p</w:t>
      </w:r>
      <w:r>
        <w:t>p</w:t>
      </w:r>
      <w:r w:rsidRPr="00E64A4B">
        <w:t>. 80-84 et « Ciencia y ét</w:t>
      </w:r>
      <w:r w:rsidRPr="00E64A4B">
        <w:t>i</w:t>
      </w:r>
      <w:r w:rsidRPr="00E64A4B">
        <w:t xml:space="preserve">ca », </w:t>
      </w:r>
      <w:r w:rsidRPr="00E64A4B">
        <w:rPr>
          <w:i/>
          <w:iCs/>
        </w:rPr>
        <w:t>Ojarasca,</w:t>
      </w:r>
      <w:r w:rsidRPr="00E64A4B">
        <w:t xml:space="preserve"> n° 6, marzo 1992, </w:t>
      </w:r>
      <w:r>
        <w:t>p</w:t>
      </w:r>
      <w:r w:rsidRPr="00E64A4B">
        <w:t>p. 85-87.</w:t>
      </w:r>
    </w:p>
  </w:footnote>
  <w:footnote w:id="272">
    <w:p w:rsidR="00B7214C" w:rsidRDefault="00B7214C" w:rsidP="00B7214C">
      <w:pPr>
        <w:pStyle w:val="Notedebasdepage"/>
      </w:pPr>
      <w:r>
        <w:rPr>
          <w:rStyle w:val="Appelnotedebasdep"/>
        </w:rPr>
        <w:footnoteRef/>
      </w:r>
      <w:r>
        <w:t xml:space="preserve"> </w:t>
      </w:r>
      <w:r>
        <w:tab/>
      </w:r>
      <w:r w:rsidRPr="00E64A4B">
        <w:t>Conformément au fonctionnement antérieur du groupe, les fonds disponibles étaient placés dans un compte d'épargne au nom du Taller. Chacun inscrivait ses heures de travail et touchait un salaire en fon</w:t>
      </w:r>
      <w:r w:rsidRPr="00E64A4B">
        <w:t>c</w:t>
      </w:r>
      <w:r w:rsidRPr="00E64A4B">
        <w:t>tion du taux horaire défini par le groupe (approximativement le double de celui des journaliers agric</w:t>
      </w:r>
      <w:r w:rsidRPr="00E64A4B">
        <w:t>o</w:t>
      </w:r>
      <w:r w:rsidRPr="00E64A4B">
        <w:t>les).</w:t>
      </w:r>
    </w:p>
  </w:footnote>
  <w:footnote w:id="273">
    <w:p w:rsidR="00B7214C" w:rsidRDefault="00B7214C" w:rsidP="00B7214C">
      <w:pPr>
        <w:pStyle w:val="Notedebasdepage"/>
      </w:pPr>
      <w:r>
        <w:rPr>
          <w:rStyle w:val="Appelnotedebasdep"/>
        </w:rPr>
        <w:footnoteRef/>
      </w:r>
      <w:r>
        <w:t xml:space="preserve"> </w:t>
      </w:r>
      <w:r>
        <w:tab/>
      </w:r>
      <w:r w:rsidRPr="00E64A4B">
        <w:t>Cette omniprésence de PRADE dans le village était vécue par les paysans avec un mélange d'acceptation résignée et d'agac</w:t>
      </w:r>
      <w:r w:rsidRPr="00E64A4B">
        <w:t>e</w:t>
      </w:r>
      <w:r w:rsidRPr="00E64A4B">
        <w:t>ment : « Eux, ils sont à toutes nos réunions, mais nous, ne so</w:t>
      </w:r>
      <w:r w:rsidRPr="00E64A4B">
        <w:t>m</w:t>
      </w:r>
      <w:r w:rsidRPr="00E64A4B">
        <w:t>mes jamais invités aux leurs », me disait un autochtone, pourtant favorable à PRADE.</w:t>
      </w:r>
    </w:p>
  </w:footnote>
  <w:footnote w:id="274">
    <w:p w:rsidR="00B7214C" w:rsidRDefault="00B7214C" w:rsidP="00B7214C">
      <w:pPr>
        <w:pStyle w:val="Notedebasdepage"/>
      </w:pPr>
      <w:r>
        <w:rPr>
          <w:rStyle w:val="Appelnotedebasdep"/>
        </w:rPr>
        <w:footnoteRef/>
      </w:r>
      <w:r>
        <w:t xml:space="preserve"> </w:t>
      </w:r>
      <w:r>
        <w:tab/>
      </w:r>
      <w:r w:rsidRPr="00E64A4B">
        <w:t>La question de la solidarité dans la différence s'est imposée avec force lors des Cinquante heures du féminisme, tenu à Mo</w:t>
      </w:r>
      <w:r w:rsidRPr="00E64A4B">
        <w:t>n</w:t>
      </w:r>
      <w:r w:rsidRPr="00E64A4B">
        <w:t>tréal en 1990. On y trouve d'ailleurs un appel à la solidarité (signé par 150 femmes) invitant les groupes féministes de « vieilles souches » à d</w:t>
      </w:r>
      <w:r w:rsidRPr="00E64A4B">
        <w:t>é</w:t>
      </w:r>
      <w:r w:rsidRPr="00E64A4B">
        <w:t>velopper une solidarité « véritable » entre toutes les femmes du Qu</w:t>
      </w:r>
      <w:r w:rsidRPr="00E64A4B">
        <w:t>é</w:t>
      </w:r>
      <w:r w:rsidRPr="00E64A4B">
        <w:t>bec (Femmes en tête, 1990, p. 20).</w:t>
      </w:r>
    </w:p>
  </w:footnote>
  <w:footnote w:id="275">
    <w:p w:rsidR="00B7214C" w:rsidRDefault="00B7214C" w:rsidP="00B7214C">
      <w:pPr>
        <w:pStyle w:val="Notedebasdepage"/>
      </w:pPr>
      <w:r>
        <w:rPr>
          <w:rStyle w:val="Appelnotedebasdep"/>
        </w:rPr>
        <w:footnoteRef/>
      </w:r>
      <w:r>
        <w:t xml:space="preserve"> </w:t>
      </w:r>
      <w:r>
        <w:tab/>
      </w:r>
      <w:r w:rsidRPr="00E64A4B">
        <w:t>Le colloque annuel de l'Institut canadien de recherche sur les fe</w:t>
      </w:r>
      <w:r w:rsidRPr="00E64A4B">
        <w:t>m</w:t>
      </w:r>
      <w:r w:rsidRPr="00E64A4B">
        <w:t>mes, tenu à Toronto en 1992, avait pour thème : « Making links ».</w:t>
      </w:r>
    </w:p>
  </w:footnote>
  <w:footnote w:id="276">
    <w:p w:rsidR="00B7214C" w:rsidRDefault="00B7214C" w:rsidP="00B7214C">
      <w:pPr>
        <w:pStyle w:val="Notedebasdepage"/>
      </w:pPr>
      <w:r>
        <w:rPr>
          <w:rStyle w:val="Appelnotedebasdep"/>
        </w:rPr>
        <w:footnoteRef/>
      </w:r>
      <w:r>
        <w:t xml:space="preserve"> </w:t>
      </w:r>
      <w:r>
        <w:tab/>
      </w:r>
      <w:r w:rsidRPr="00E64A4B">
        <w:t>Projet subventionné pour trois ans (1991-1993) par le Conseil de la reche</w:t>
      </w:r>
      <w:r w:rsidRPr="00E64A4B">
        <w:t>r</w:t>
      </w:r>
      <w:r w:rsidRPr="00E64A4B">
        <w:t>che en sciences humaines du Canada (subvention n</w:t>
      </w:r>
      <w:r w:rsidRPr="00E64A4B">
        <w:t>u</w:t>
      </w:r>
      <w:r w:rsidRPr="00E64A4B">
        <w:t>méro 410-90-0529).</w:t>
      </w:r>
    </w:p>
  </w:footnote>
  <w:footnote w:id="277">
    <w:p w:rsidR="00B7214C" w:rsidRDefault="00B7214C" w:rsidP="00B7214C">
      <w:pPr>
        <w:pStyle w:val="Notedebasdepage"/>
      </w:pPr>
      <w:r>
        <w:rPr>
          <w:rStyle w:val="Appelnotedebasdep"/>
        </w:rPr>
        <w:footnoteRef/>
      </w:r>
      <w:r>
        <w:t xml:space="preserve"> </w:t>
      </w:r>
      <w:r>
        <w:tab/>
      </w:r>
      <w:r w:rsidRPr="00E64A4B">
        <w:t>Subvention du programme Nouveaux chercheurs, pour trois ans (1992-1995).</w:t>
      </w:r>
    </w:p>
  </w:footnote>
  <w:footnote w:id="278">
    <w:p w:rsidR="00B7214C" w:rsidRDefault="00B7214C" w:rsidP="00B7214C">
      <w:pPr>
        <w:pStyle w:val="Notedebasdepage"/>
      </w:pPr>
      <w:r>
        <w:rPr>
          <w:rStyle w:val="Appelnotedebasdep"/>
        </w:rPr>
        <w:footnoteRef/>
      </w:r>
      <w:r>
        <w:t xml:space="preserve"> </w:t>
      </w:r>
      <w:r>
        <w:tab/>
      </w:r>
      <w:r w:rsidRPr="00E64A4B">
        <w:t xml:space="preserve">Ce sont des extraits </w:t>
      </w:r>
      <w:r w:rsidRPr="00E64A4B">
        <w:rPr>
          <w:bCs/>
          <w:i/>
          <w:iCs/>
        </w:rPr>
        <w:t>Verbatim</w:t>
      </w:r>
      <w:r w:rsidRPr="00E64A4B">
        <w:t xml:space="preserve"> de ces entrevues qui apparaissent dans le te</w:t>
      </w:r>
      <w:r w:rsidRPr="00E64A4B">
        <w:t>x</w:t>
      </w:r>
      <w:r w:rsidRPr="00E64A4B">
        <w:t>te. Les références sont codées afin de protéger l'anonymat des informatrices. Les points de suspension marquent les hésitations. En plus de Ginette Côté, quatre étudiantes en anthropologie ont participé à la réalisation des entr</w:t>
      </w:r>
      <w:r w:rsidRPr="00E64A4B">
        <w:t>e</w:t>
      </w:r>
      <w:r w:rsidRPr="00E64A4B">
        <w:t>vues. Il s'agit de Annie Morin, Chantal Ouellet, Magalie Savard et Monica Tremblay. Marie-Andrée Couillard s'implique activement dans l'obse</w:t>
      </w:r>
      <w:r w:rsidRPr="00E64A4B">
        <w:t>r</w:t>
      </w:r>
      <w:r w:rsidRPr="00E64A4B">
        <w:t>vation participante depuis 1990.</w:t>
      </w:r>
    </w:p>
  </w:footnote>
  <w:footnote w:id="279">
    <w:p w:rsidR="00B7214C" w:rsidRDefault="00B7214C" w:rsidP="00B7214C">
      <w:pPr>
        <w:pStyle w:val="Notedebasdepage"/>
      </w:pPr>
      <w:r>
        <w:rPr>
          <w:rStyle w:val="Appelnotedebasdep"/>
        </w:rPr>
        <w:footnoteRef/>
      </w:r>
      <w:r>
        <w:t xml:space="preserve"> </w:t>
      </w:r>
      <w:r>
        <w:tab/>
      </w:r>
      <w:r w:rsidRPr="00E64A4B">
        <w:t>Les groupes dans lesquels nous avons été impliquées ne sont pas identifiés ; c'est là le seul moyen de garantir l'anonymat des informatrices dans une r</w:t>
      </w:r>
      <w:r w:rsidRPr="00E64A4B">
        <w:t>é</w:t>
      </w:r>
      <w:r w:rsidRPr="00E64A4B">
        <w:t>gion comme celle où nous avons travai</w:t>
      </w:r>
      <w:r w:rsidRPr="00E64A4B">
        <w:t>l</w:t>
      </w:r>
      <w:r w:rsidRPr="00E64A4B">
        <w:t>lé.</w:t>
      </w:r>
    </w:p>
  </w:footnote>
  <w:footnote w:id="280">
    <w:p w:rsidR="00B7214C" w:rsidRDefault="00B7214C" w:rsidP="00B7214C">
      <w:pPr>
        <w:pStyle w:val="Notedebasdepage"/>
      </w:pPr>
      <w:r>
        <w:rPr>
          <w:rStyle w:val="Appelnotedebasdep"/>
        </w:rPr>
        <w:footnoteRef/>
      </w:r>
      <w:r>
        <w:t xml:space="preserve"> </w:t>
      </w:r>
      <w:r>
        <w:tab/>
      </w:r>
      <w:r w:rsidRPr="00E64A4B">
        <w:t xml:space="preserve">Alexis de Tocqueville, </w:t>
      </w:r>
      <w:hyperlink r:id="rId12" w:history="1">
        <w:r w:rsidRPr="00461CE5">
          <w:rPr>
            <w:rStyle w:val="Lienhypertexte"/>
            <w:i/>
            <w:iCs/>
          </w:rPr>
          <w:t>La démocratie en Amérique</w:t>
        </w:r>
      </w:hyperlink>
      <w:r w:rsidRPr="00E64A4B">
        <w:t>, Paris, U.G.E., 1963, p. 282. (Coll. « 10/18 »).</w:t>
      </w:r>
    </w:p>
  </w:footnote>
  <w:footnote w:id="281">
    <w:p w:rsidR="00B7214C" w:rsidRDefault="00B7214C" w:rsidP="00B7214C">
      <w:pPr>
        <w:pStyle w:val="Notedebasdepage"/>
      </w:pPr>
      <w:r>
        <w:rPr>
          <w:rStyle w:val="Appelnotedebasdep"/>
        </w:rPr>
        <w:footnoteRef/>
      </w:r>
      <w:r>
        <w:t xml:space="preserve"> </w:t>
      </w:r>
      <w:r>
        <w:tab/>
      </w:r>
      <w:r w:rsidRPr="00E64A4B">
        <w:t>Voir, par exemple, de Pierre Legendre : Le désir-politique de Dieu. Étude sur les montages de l'État et du Droit (Fayard, 1988) et Les enfants du texte. Étude sur la fonction parentale des États (Fayard, 1992). L'œuvre de Pierre Legendre est à lire en entier. Nous sommes conscients de sous-entendre dans ce texte que son œuvre est déjà bien connue. J'ai tenté dans un article de clarifier succinctement l'essentiel de la position de Legendre (« </w:t>
      </w:r>
      <w:hyperlink r:id="rId13" w:history="1">
        <w:r w:rsidRPr="00461CE5">
          <w:rPr>
            <w:rStyle w:val="Lienhypertexte"/>
          </w:rPr>
          <w:t>Note cr</w:t>
        </w:r>
        <w:r w:rsidRPr="00461CE5">
          <w:rPr>
            <w:rStyle w:val="Lienhypertexte"/>
          </w:rPr>
          <w:t>i</w:t>
        </w:r>
        <w:r w:rsidRPr="00461CE5">
          <w:rPr>
            <w:rStyle w:val="Lienhypertexte"/>
          </w:rPr>
          <w:t>tique sur le droit et la généalogie chez Pierre Legendre </w:t>
        </w:r>
      </w:hyperlink>
      <w:r w:rsidRPr="00E64A4B">
        <w:t>», Anthropologie et sociétés, 1989, vol. 13, n° 1, p</w:t>
      </w:r>
      <w:r>
        <w:t>p</w:t>
      </w:r>
      <w:r w:rsidRPr="00E64A4B">
        <w:t>. 53-60), j'ai essayé ensuite par le jeu des questions et des réponses de lui faire préciser quelques thèmes de son œ</w:t>
      </w:r>
      <w:r w:rsidRPr="00E64A4B">
        <w:t>u</w:t>
      </w:r>
      <w:r w:rsidRPr="00E64A4B">
        <w:t>vre, n</w:t>
      </w:r>
      <w:r w:rsidRPr="00E64A4B">
        <w:t>o</w:t>
      </w:r>
      <w:r w:rsidRPr="00E64A4B">
        <w:t>tamment celui des images (« L'image de ce qui ne peut pas être vu ». Anthropologie et sociétés, 1992, vol. 16, n° 1, p</w:t>
      </w:r>
      <w:r>
        <w:t>p</w:t>
      </w:r>
      <w:r w:rsidRPr="00E64A4B">
        <w:t>. 81-90) et plusieurs autres avec Mikhaël Elbaz (« </w:t>
      </w:r>
      <w:hyperlink r:id="rId14" w:history="1">
        <w:r w:rsidRPr="00461CE5">
          <w:rPr>
            <w:rStyle w:val="Lienhypertexte"/>
          </w:rPr>
          <w:t>Le ficelage institutionnel de l'humanité </w:t>
        </w:r>
      </w:hyperlink>
      <w:r w:rsidRPr="00E64A4B">
        <w:t>», Anthrop</w:t>
      </w:r>
      <w:r w:rsidRPr="00E64A4B">
        <w:t>o</w:t>
      </w:r>
      <w:r w:rsidRPr="00E64A4B">
        <w:t>logie et sociétés, 1989, vol. 13, n° 1, p</w:t>
      </w:r>
      <w:r>
        <w:t>p</w:t>
      </w:r>
      <w:r w:rsidRPr="00E64A4B">
        <w:t>. 61-76).</w:t>
      </w:r>
    </w:p>
  </w:footnote>
  <w:footnote w:id="282">
    <w:p w:rsidR="00B7214C" w:rsidRDefault="00B7214C" w:rsidP="00B7214C">
      <w:pPr>
        <w:pStyle w:val="Notedebasdepage"/>
      </w:pPr>
      <w:r>
        <w:rPr>
          <w:rStyle w:val="Appelnotedebasdep"/>
        </w:rPr>
        <w:footnoteRef/>
      </w:r>
      <w:r>
        <w:t xml:space="preserve"> </w:t>
      </w:r>
      <w:r>
        <w:tab/>
      </w:r>
      <w:r w:rsidRPr="00011A46">
        <w:rPr>
          <w:lang w:eastAsia="fr-FR" w:bidi="fr-FR"/>
        </w:rPr>
        <w:t>Cette communication est fondée sur les premiers résultats d'une étude en cours qui constitue l'un des volets d'un programme de reche</w:t>
      </w:r>
      <w:r w:rsidRPr="00011A46">
        <w:rPr>
          <w:lang w:eastAsia="fr-FR" w:bidi="fr-FR"/>
        </w:rPr>
        <w:t>r</w:t>
      </w:r>
      <w:r w:rsidRPr="00011A46">
        <w:rPr>
          <w:lang w:eastAsia="fr-FR" w:bidi="fr-FR"/>
        </w:rPr>
        <w:t>che réalisé en collaboration avec Mikhaël Elbaz (Département d'a</w:t>
      </w:r>
      <w:r w:rsidRPr="00011A46">
        <w:rPr>
          <w:lang w:eastAsia="fr-FR" w:bidi="fr-FR"/>
        </w:rPr>
        <w:t>n</w:t>
      </w:r>
      <w:r w:rsidRPr="00011A46">
        <w:rPr>
          <w:lang w:eastAsia="fr-FR" w:bidi="fr-FR"/>
        </w:rPr>
        <w:t>thropologie. Université Laval) sur les politiques de la différence, la demande de droits et les dile</w:t>
      </w:r>
      <w:r w:rsidRPr="00011A46">
        <w:rPr>
          <w:lang w:eastAsia="fr-FR" w:bidi="fr-FR"/>
        </w:rPr>
        <w:t>m</w:t>
      </w:r>
      <w:r w:rsidRPr="00011A46">
        <w:rPr>
          <w:lang w:eastAsia="fr-FR" w:bidi="fr-FR"/>
        </w:rPr>
        <w:t>mes posés par l'action positive, la propagande haineuse et le sida, au Can</w:t>
      </w:r>
      <w:r w:rsidRPr="00011A46">
        <w:rPr>
          <w:lang w:eastAsia="fr-FR" w:bidi="fr-FR"/>
        </w:rPr>
        <w:t>a</w:t>
      </w:r>
      <w:r w:rsidRPr="00011A46">
        <w:rPr>
          <w:lang w:eastAsia="fr-FR" w:bidi="fr-FR"/>
        </w:rPr>
        <w:t>da. Le programme de recherche est subventionné par le Conseil de reche</w:t>
      </w:r>
      <w:r w:rsidRPr="00011A46">
        <w:rPr>
          <w:lang w:eastAsia="fr-FR" w:bidi="fr-FR"/>
        </w:rPr>
        <w:t>r</w:t>
      </w:r>
      <w:r w:rsidRPr="00011A46">
        <w:rPr>
          <w:lang w:eastAsia="fr-FR" w:bidi="fr-FR"/>
        </w:rPr>
        <w:t>che en sci</w:t>
      </w:r>
      <w:r>
        <w:rPr>
          <w:lang w:eastAsia="fr-FR" w:bidi="fr-FR"/>
        </w:rPr>
        <w:t>ences humaines du Canada (1992-</w:t>
      </w:r>
      <w:r w:rsidRPr="00011A46">
        <w:rPr>
          <w:lang w:eastAsia="fr-FR" w:bidi="fr-FR"/>
        </w:rPr>
        <w:t>1993) et le Fonds FCAR (1992-1995) que nous tenons à remercier ici. Une version plus détaillée des que</w:t>
      </w:r>
      <w:r w:rsidRPr="00011A46">
        <w:rPr>
          <w:lang w:eastAsia="fr-FR" w:bidi="fr-FR"/>
        </w:rPr>
        <w:t>s</w:t>
      </w:r>
      <w:r w:rsidRPr="00011A46">
        <w:rPr>
          <w:lang w:eastAsia="fr-FR" w:bidi="fr-FR"/>
        </w:rPr>
        <w:t>tions abordées ici ainsi que de celles qui se posent en termes d'accès aux soins paraîtra sous peu dans un livre co</w:t>
      </w:r>
      <w:r w:rsidRPr="00011A46">
        <w:rPr>
          <w:lang w:eastAsia="fr-FR" w:bidi="fr-FR"/>
        </w:rPr>
        <w:t>l</w:t>
      </w:r>
      <w:r w:rsidRPr="00011A46">
        <w:rPr>
          <w:lang w:eastAsia="fr-FR" w:bidi="fr-FR"/>
        </w:rPr>
        <w:t>lectif du Réseau Droit et Société de l'Institut canadien de r</w:t>
      </w:r>
      <w:r w:rsidRPr="00011A46">
        <w:rPr>
          <w:lang w:eastAsia="fr-FR" w:bidi="fr-FR"/>
        </w:rPr>
        <w:t>e</w:t>
      </w:r>
      <w:r w:rsidRPr="00011A46">
        <w:rPr>
          <w:lang w:eastAsia="fr-FR" w:bidi="fr-FR"/>
        </w:rPr>
        <w:t>cherches avancées.</w:t>
      </w:r>
    </w:p>
  </w:footnote>
  <w:footnote w:id="283">
    <w:p w:rsidR="00B7214C" w:rsidRDefault="00B7214C" w:rsidP="00B7214C">
      <w:pPr>
        <w:pStyle w:val="Notedebasdepage"/>
      </w:pPr>
      <w:r>
        <w:rPr>
          <w:rStyle w:val="Appelnotedebasdep"/>
        </w:rPr>
        <w:footnoteRef/>
      </w:r>
      <w:r>
        <w:t xml:space="preserve"> </w:t>
      </w:r>
      <w:r>
        <w:tab/>
      </w:r>
      <w:r w:rsidRPr="00011A46">
        <w:rPr>
          <w:lang w:eastAsia="fr-FR" w:bidi="fr-FR"/>
        </w:rPr>
        <w:t>Dont notamment Shrader-Fréchette (1991) qui préfère une sorte de procéd</w:t>
      </w:r>
      <w:r w:rsidRPr="00011A46">
        <w:rPr>
          <w:lang w:eastAsia="fr-FR" w:bidi="fr-FR"/>
        </w:rPr>
        <w:t>u</w:t>
      </w:r>
      <w:r w:rsidRPr="00011A46">
        <w:rPr>
          <w:lang w:eastAsia="fr-FR" w:bidi="fr-FR"/>
        </w:rPr>
        <w:t>ralisme scientifique à ce qu'elle appelle le relativisme culturel des deux a</w:t>
      </w:r>
      <w:r w:rsidRPr="00011A46">
        <w:rPr>
          <w:lang w:eastAsia="fr-FR" w:bidi="fr-FR"/>
        </w:rPr>
        <w:t>u</w:t>
      </w:r>
      <w:r w:rsidRPr="00011A46">
        <w:rPr>
          <w:lang w:eastAsia="fr-FR" w:bidi="fr-FR"/>
        </w:rPr>
        <w:t>teurs.</w:t>
      </w:r>
    </w:p>
  </w:footnote>
  <w:footnote w:id="284">
    <w:p w:rsidR="00B7214C" w:rsidRDefault="00B7214C" w:rsidP="00B7214C">
      <w:pPr>
        <w:pStyle w:val="Notedebasdepage"/>
      </w:pPr>
      <w:r>
        <w:rPr>
          <w:rStyle w:val="Appelnotedebasdep"/>
        </w:rPr>
        <w:footnoteRef/>
      </w:r>
      <w:r>
        <w:t xml:space="preserve"> </w:t>
      </w:r>
      <w:r>
        <w:tab/>
      </w:r>
      <w:r w:rsidRPr="00011A46">
        <w:rPr>
          <w:lang w:eastAsia="fr-FR" w:bidi="fr-FR"/>
        </w:rPr>
        <w:t xml:space="preserve">Ces expressions étaient réservées auparavant à </w:t>
      </w:r>
      <w:r w:rsidRPr="00011A46">
        <w:t>« </w:t>
      </w:r>
      <w:r w:rsidRPr="00011A46">
        <w:rPr>
          <w:lang w:eastAsia="fr-FR" w:bidi="fr-FR"/>
        </w:rPr>
        <w:t>l'individu ou le groupe qui présente une possibilité de maladie, d'accident ou de mor</w:t>
      </w:r>
      <w:r w:rsidRPr="00011A46">
        <w:t>bidité statistiqu</w:t>
      </w:r>
      <w:r w:rsidRPr="00011A46">
        <w:t>e</w:t>
      </w:r>
      <w:r w:rsidRPr="00011A46">
        <w:t>ment plus élevée que pour la moyenne de la popul</w:t>
      </w:r>
      <w:r w:rsidRPr="00011A46">
        <w:t>a</w:t>
      </w:r>
      <w:r w:rsidRPr="00011A46">
        <w:t xml:space="preserve">tion, </w:t>
      </w:r>
      <w:r w:rsidRPr="00B82F12">
        <w:rPr>
          <w:i/>
          <w:iCs/>
        </w:rPr>
        <w:t>du fait de facteurs congénitaux ». Trésor de la langue française,</w:t>
      </w:r>
      <w:r w:rsidRPr="00011A46">
        <w:t xml:space="preserve"> Paris, CNRS, 1977, tome 5, p. 1171.</w:t>
      </w:r>
    </w:p>
  </w:footnote>
  <w:footnote w:id="285">
    <w:p w:rsidR="00B7214C" w:rsidRDefault="00B7214C" w:rsidP="00B7214C">
      <w:pPr>
        <w:pStyle w:val="Notedebasdepage"/>
      </w:pPr>
      <w:r>
        <w:rPr>
          <w:rStyle w:val="Appelnotedebasdep"/>
        </w:rPr>
        <w:footnoteRef/>
      </w:r>
      <w:r>
        <w:t xml:space="preserve"> </w:t>
      </w:r>
      <w:r>
        <w:tab/>
      </w:r>
      <w:r w:rsidRPr="00011A46">
        <w:t>Voir Shore et Vardy (1990) pour un historique de la situ</w:t>
      </w:r>
      <w:r w:rsidRPr="00011A46">
        <w:t>a</w:t>
      </w:r>
      <w:r w:rsidRPr="00011A46">
        <w:t>tion au Canada et un aperçu des régimes d'indemnisation dans d'autres pays. Ce n'est pas le lieu de reprendre les enjeux du débat et des procédures judiciaires en France qui ont r</w:t>
      </w:r>
      <w:r w:rsidRPr="00011A46">
        <w:t>é</w:t>
      </w:r>
      <w:r w:rsidRPr="00011A46">
        <w:t>alimenté celui au Canada.</w:t>
      </w:r>
    </w:p>
  </w:footnote>
  <w:footnote w:id="286">
    <w:p w:rsidR="00B7214C" w:rsidRDefault="00B7214C" w:rsidP="00B7214C">
      <w:pPr>
        <w:pStyle w:val="Notedebasdepage"/>
      </w:pPr>
      <w:r>
        <w:rPr>
          <w:rStyle w:val="Appelnotedebasdep"/>
        </w:rPr>
        <w:footnoteRef/>
      </w:r>
      <w:r>
        <w:t xml:space="preserve"> </w:t>
      </w:r>
      <w:r>
        <w:tab/>
      </w:r>
      <w:r w:rsidRPr="00011A46">
        <w:t>La situation législative et jurisprudentielle paraît toutefois amb</w:t>
      </w:r>
      <w:r w:rsidRPr="00011A46">
        <w:t>i</w:t>
      </w:r>
      <w:r w:rsidRPr="00011A46">
        <w:t>guë, selon les questions soulevées : la transmission du virus comme facteur aggravant dans la détermination de la sentence ; l'imposition d'un test de dépistage des anticorps au VIH à l'agresseur et la communication du résultat à la vict</w:t>
      </w:r>
      <w:r w:rsidRPr="00011A46">
        <w:t>i</w:t>
      </w:r>
      <w:r w:rsidRPr="00011A46">
        <w:t xml:space="preserve">me, voir Eisenstat (1991) ; </w:t>
      </w:r>
      <w:r w:rsidRPr="00B82F12">
        <w:rPr>
          <w:i/>
          <w:iCs/>
        </w:rPr>
        <w:t>People v. Thomas,</w:t>
      </w:r>
      <w:r w:rsidRPr="00011A46">
        <w:t xml:space="preserve"> 529 N.Y.S. 2d 429 (Co. Ct.1988).</w:t>
      </w:r>
    </w:p>
  </w:footnote>
  <w:footnote w:id="287">
    <w:p w:rsidR="00B7214C" w:rsidRDefault="00B7214C" w:rsidP="00B7214C">
      <w:pPr>
        <w:pStyle w:val="Notedebasdepage"/>
      </w:pPr>
      <w:r>
        <w:rPr>
          <w:rStyle w:val="Appelnotedebasdep"/>
        </w:rPr>
        <w:footnoteRef/>
      </w:r>
      <w:r>
        <w:t xml:space="preserve"> </w:t>
      </w:r>
      <w:r>
        <w:tab/>
      </w:r>
      <w:r w:rsidRPr="00011A46">
        <w:t>Selon le centre londonien de surveillance, il y aurait eu dans le monde e</w:t>
      </w:r>
      <w:r w:rsidRPr="00011A46">
        <w:t>n</w:t>
      </w:r>
      <w:r w:rsidRPr="00011A46">
        <w:t xml:space="preserve">tier, au mois de mai 1992, 59 professionnels de la santé connus, victimes d'une infection accidentelle. Voir </w:t>
      </w:r>
      <w:r w:rsidRPr="00B82F12">
        <w:rPr>
          <w:i/>
          <w:iCs/>
        </w:rPr>
        <w:t>Lancet,</w:t>
      </w:r>
      <w:r w:rsidRPr="00011A46">
        <w:t xml:space="preserve"> édition du 24 avril 1993, tel que citée dans </w:t>
      </w:r>
      <w:r w:rsidRPr="00B82F12">
        <w:rPr>
          <w:i/>
          <w:iCs/>
        </w:rPr>
        <w:t>Le Monde</w:t>
      </w:r>
      <w:r w:rsidRPr="00011A46">
        <w:t xml:space="preserve"> du 5 mai 1993.</w:t>
      </w:r>
    </w:p>
  </w:footnote>
  <w:footnote w:id="288">
    <w:p w:rsidR="00B7214C" w:rsidRDefault="00B7214C" w:rsidP="00B7214C">
      <w:pPr>
        <w:pStyle w:val="Notedebasdepage"/>
      </w:pPr>
      <w:r>
        <w:rPr>
          <w:rStyle w:val="Appelnotedebasdep"/>
        </w:rPr>
        <w:footnoteRef/>
      </w:r>
      <w:r>
        <w:t xml:space="preserve"> </w:t>
      </w:r>
      <w:r>
        <w:tab/>
      </w:r>
      <w:r w:rsidRPr="00011A46">
        <w:t>Voir Banks (1990), qui rappelle par ailleurs dans ce contexte la tristement célèbre « expérimentation » de Tuskegee, menée par le Public Health Serv</w:t>
      </w:r>
      <w:r w:rsidRPr="00011A46">
        <w:t>i</w:t>
      </w:r>
      <w:r w:rsidRPr="00011A46">
        <w:t>ce entre 1932 et 1972, dans laquelle des Noirs syph</w:t>
      </w:r>
      <w:r w:rsidRPr="00011A46">
        <w:t>i</w:t>
      </w:r>
      <w:r w:rsidRPr="00011A46">
        <w:t>litiques ne furent pas soignés afin d'étudier l'évolution de la maladie. Isaacman (1991 a et b) s'i</w:t>
      </w:r>
      <w:r w:rsidRPr="00011A46">
        <w:t>n</w:t>
      </w:r>
      <w:r w:rsidRPr="00011A46">
        <w:t>terroge plutôt sur l'application éventuelle aux femmes enceintes et séropos</w:t>
      </w:r>
      <w:r w:rsidRPr="00011A46">
        <w:t>i</w:t>
      </w:r>
      <w:r w:rsidRPr="00011A46">
        <w:t>tives des lois criminalisant la transmi</w:t>
      </w:r>
      <w:r w:rsidRPr="00011A46">
        <w:t>s</w:t>
      </w:r>
      <w:r w:rsidRPr="00011A46">
        <w:t>sion du virus, en particulier celle de l'Illinois. Sur le plan des torts, il discute de la notion de « wrongful birth » qui s'est implantée en droit américain, comme fondement d'actions en re</w:t>
      </w:r>
      <w:r w:rsidRPr="00011A46">
        <w:t>s</w:t>
      </w:r>
      <w:r w:rsidRPr="00011A46">
        <w:t>ponsabilité intentées par des personnes nées avec des déf</w:t>
      </w:r>
      <w:r w:rsidRPr="00011A46">
        <w:t>i</w:t>
      </w:r>
      <w:r w:rsidRPr="00011A46">
        <w:t>ciences alors que parents ou médecins étaient au courant de celles-ci.</w:t>
      </w:r>
    </w:p>
  </w:footnote>
  <w:footnote w:id="289">
    <w:p w:rsidR="00B7214C" w:rsidRDefault="00B7214C" w:rsidP="00B7214C">
      <w:pPr>
        <w:pStyle w:val="Notedebasdepage"/>
      </w:pPr>
      <w:r>
        <w:rPr>
          <w:rStyle w:val="Appelnotedebasdep"/>
        </w:rPr>
        <w:footnoteRef/>
      </w:r>
      <w:r>
        <w:t xml:space="preserve"> </w:t>
      </w:r>
      <w:r>
        <w:tab/>
      </w:r>
      <w:r w:rsidRPr="00011A46">
        <w:t>Je remercie Brigitte Butticaz pour la cueillette et le traitement des ces do</w:t>
      </w:r>
      <w:r w:rsidRPr="00011A46">
        <w:t>n</w:t>
      </w:r>
      <w:r w:rsidRPr="00011A46">
        <w:t>nées.</w:t>
      </w:r>
    </w:p>
  </w:footnote>
  <w:footnote w:id="290">
    <w:p w:rsidR="00B7214C" w:rsidRDefault="00B7214C" w:rsidP="00B7214C">
      <w:pPr>
        <w:pStyle w:val="Notedebasdepage"/>
      </w:pPr>
      <w:r>
        <w:rPr>
          <w:rStyle w:val="Appelnotedebasdep"/>
        </w:rPr>
        <w:footnoteRef/>
      </w:r>
      <w:r>
        <w:t xml:space="preserve"> </w:t>
      </w:r>
      <w:r>
        <w:tab/>
      </w:r>
      <w:r w:rsidRPr="00011A46">
        <w:t>Pour une analyse plus détaillée de l'interaction entre m</w:t>
      </w:r>
      <w:r w:rsidRPr="00011A46">
        <w:t>é</w:t>
      </w:r>
      <w:r w:rsidRPr="00011A46">
        <w:t>decins et patients atteints du sida/VIH, voir Murbach (1991).</w:t>
      </w:r>
    </w:p>
  </w:footnote>
  <w:footnote w:id="291">
    <w:p w:rsidR="00B7214C" w:rsidRDefault="00B7214C" w:rsidP="00B7214C">
      <w:pPr>
        <w:pStyle w:val="Notedebasdepage"/>
      </w:pPr>
      <w:r>
        <w:rPr>
          <w:rStyle w:val="Appelnotedebasdep"/>
        </w:rPr>
        <w:footnoteRef/>
      </w:r>
      <w:r>
        <w:t xml:space="preserve"> </w:t>
      </w:r>
      <w:r>
        <w:tab/>
      </w:r>
      <w:r w:rsidRPr="00011A46">
        <w:t>Même si le Tennessee et la Géorgie ont modifié récemment leurs lois ant</w:t>
      </w:r>
      <w:r w:rsidRPr="00011A46">
        <w:t>i</w:t>
      </w:r>
      <w:r w:rsidRPr="00011A46">
        <w:t>discriminatoires respectives pour en e</w:t>
      </w:r>
      <w:r w:rsidRPr="00011A46">
        <w:t>x</w:t>
      </w:r>
      <w:r w:rsidRPr="00011A46">
        <w:t>clure les maladies contagieuses. Le Vermont, par contre, a interdit aux employeurs, en 1987, d'exiger un test et la di</w:t>
      </w:r>
      <w:r w:rsidRPr="00011A46">
        <w:t>s</w:t>
      </w:r>
      <w:r w:rsidRPr="00011A46">
        <w:t>crimination fondée sur le résult</w:t>
      </w:r>
      <w:r>
        <w:t>at positif d'un test (21 V.S.A Å</w:t>
      </w:r>
      <w:r w:rsidRPr="00011A46">
        <w:t xml:space="preserve"> 495). Voir Smith (1989). Depuis, cependant, </w:t>
      </w:r>
      <w:r>
        <w:t>l’</w:t>
      </w:r>
      <w:r w:rsidRPr="00B82F12">
        <w:rPr>
          <w:i/>
          <w:iCs/>
        </w:rPr>
        <w:t>A</w:t>
      </w:r>
      <w:r w:rsidRPr="00B82F12">
        <w:rPr>
          <w:i/>
          <w:iCs/>
        </w:rPr>
        <w:t>mericans with Disabilities Act</w:t>
      </w:r>
      <w:r w:rsidRPr="00011A46">
        <w:t xml:space="preserve"> est entré en vigueur.</w:t>
      </w:r>
    </w:p>
  </w:footnote>
  <w:footnote w:id="292">
    <w:p w:rsidR="00B7214C" w:rsidRDefault="00B7214C" w:rsidP="00B7214C">
      <w:pPr>
        <w:pStyle w:val="Notedebasdepage"/>
      </w:pPr>
      <w:r>
        <w:rPr>
          <w:rStyle w:val="Appelnotedebasdep"/>
        </w:rPr>
        <w:footnoteRef/>
      </w:r>
      <w:r>
        <w:t xml:space="preserve"> </w:t>
      </w:r>
      <w:r>
        <w:tab/>
      </w:r>
      <w:r w:rsidRPr="00011A46">
        <w:t xml:space="preserve">Ainsi dans </w:t>
      </w:r>
      <w:r w:rsidRPr="00B82F12">
        <w:t>jasperson v.</w:t>
      </w:r>
      <w:r>
        <w:t xml:space="preserve"> </w:t>
      </w:r>
      <w:r w:rsidRPr="00B82F12">
        <w:t>Jessica's Nail Clinic,</w:t>
      </w:r>
      <w:r w:rsidRPr="00011A46">
        <w:t xml:space="preserve"> 265 Cal.Reptr. 301 (Cal.App. 2Dist. 1989) ; et dans </w:t>
      </w:r>
      <w:r w:rsidRPr="00B82F12">
        <w:t>Association of Relatives and Friends of</w:t>
      </w:r>
      <w:r>
        <w:t xml:space="preserve"> </w:t>
      </w:r>
      <w:r w:rsidRPr="00B82F12">
        <w:t>AlDS Patients (A.F.A.P.S.) v. R</w:t>
      </w:r>
      <w:r>
        <w:t>e</w:t>
      </w:r>
      <w:r w:rsidRPr="00B82F12">
        <w:t>gulations and Permits Administration,</w:t>
      </w:r>
      <w:r w:rsidRPr="00011A46">
        <w:t xml:space="preserve"> 740F.Supp. 95 (D. Puerto Rico 1990). Dans cette de</w:t>
      </w:r>
      <w:r w:rsidRPr="00011A46">
        <w:t>r</w:t>
      </w:r>
      <w:r w:rsidRPr="00011A46">
        <w:t>nière cause, la cour considère comme faits établis : « There is a clear r</w:t>
      </w:r>
      <w:r w:rsidRPr="00011A46">
        <w:t>e</w:t>
      </w:r>
      <w:r w:rsidRPr="00011A46">
        <w:t xml:space="preserve">lationship between discrimination against HIV-infected individuals and difficulties in controlling the AIDS </w:t>
      </w:r>
      <w:r>
        <w:t>e</w:t>
      </w:r>
      <w:r w:rsidRPr="00011A46">
        <w:t>pid</w:t>
      </w:r>
      <w:r>
        <w:t>e</w:t>
      </w:r>
      <w:r w:rsidRPr="00011A46">
        <w:t>mi</w:t>
      </w:r>
      <w:r>
        <w:t>c</w:t>
      </w:r>
      <w:r w:rsidRPr="00011A46">
        <w:t>. Many infected pe</w:t>
      </w:r>
      <w:r w:rsidRPr="00011A46">
        <w:t>o</w:t>
      </w:r>
      <w:r w:rsidRPr="00011A46">
        <w:t>ple will not corne forward to be tested for HIV antibodies, and ther</w:t>
      </w:r>
      <w:r w:rsidRPr="00011A46">
        <w:t>e</w:t>
      </w:r>
      <w:r w:rsidRPr="00011A46">
        <w:t>fore will not receive counselling and treatment, if they fear they will be denied housing, employment, and other basic needs due to their HIV-infected status. These undetected AIDS carriers are more likely to pass the v</w:t>
      </w:r>
      <w:r w:rsidRPr="00011A46">
        <w:t>i</w:t>
      </w:r>
      <w:r w:rsidRPr="00011A46">
        <w:t>rus on to others. Fighting discrimination against HIV-infected persons is a health priority. » (p. 101)</w:t>
      </w:r>
    </w:p>
  </w:footnote>
  <w:footnote w:id="293">
    <w:p w:rsidR="00B7214C" w:rsidRDefault="00B7214C" w:rsidP="00B7214C">
      <w:pPr>
        <w:pStyle w:val="Notedebasdepage"/>
      </w:pPr>
      <w:r>
        <w:rPr>
          <w:rStyle w:val="Appelnotedebasdep"/>
        </w:rPr>
        <w:footnoteRef/>
      </w:r>
      <w:r>
        <w:t xml:space="preserve"> </w:t>
      </w:r>
      <w:r>
        <w:tab/>
      </w:r>
      <w:r w:rsidRPr="00011A46">
        <w:t>Ce fut souvent l'occasion de « moderniser » les anciennes lois de quaranta</w:t>
      </w:r>
      <w:r w:rsidRPr="00011A46">
        <w:t>i</w:t>
      </w:r>
      <w:r w:rsidRPr="00011A46">
        <w:t>ne, de spécifier que l'internement doit constituer l'alternative la moins re</w:t>
      </w:r>
      <w:r w:rsidRPr="00011A46">
        <w:t>s</w:t>
      </w:r>
      <w:r w:rsidRPr="00011A46">
        <w:t>trictive et qu'une telle décision ne peut être prise que dans l'intérêt supérieur (</w:t>
      </w:r>
      <w:r w:rsidRPr="00B82F12">
        <w:rPr>
          <w:i/>
          <w:iCs/>
        </w:rPr>
        <w:t>compelling)</w:t>
      </w:r>
      <w:r w:rsidRPr="00011A46">
        <w:t xml:space="preserve"> de l'État. Voir Jonson et Stryker (1993, p. 35).</w:t>
      </w:r>
    </w:p>
  </w:footnote>
  <w:footnote w:id="294">
    <w:p w:rsidR="00B7214C" w:rsidRDefault="00B7214C" w:rsidP="00B7214C">
      <w:pPr>
        <w:pStyle w:val="Notedebasdepage"/>
      </w:pPr>
      <w:r>
        <w:rPr>
          <w:rStyle w:val="Appelnotedebasdep"/>
        </w:rPr>
        <w:footnoteRef/>
      </w:r>
      <w:r>
        <w:t xml:space="preserve"> </w:t>
      </w:r>
      <w:r>
        <w:tab/>
      </w:r>
      <w:r w:rsidRPr="00011A46">
        <w:t xml:space="preserve">Voir </w:t>
      </w:r>
      <w:r w:rsidRPr="00B82F12">
        <w:rPr>
          <w:i/>
          <w:iCs/>
        </w:rPr>
        <w:t>Thibodeau c. R.</w:t>
      </w:r>
      <w:r w:rsidRPr="00011A46">
        <w:t xml:space="preserve"> J.E. 91-201 (C.A.) ; </w:t>
      </w:r>
      <w:r w:rsidRPr="00B82F12">
        <w:rPr>
          <w:i/>
          <w:iCs/>
        </w:rPr>
        <w:t>R. v. Cormier,</w:t>
      </w:r>
      <w:r w:rsidRPr="00B82F12">
        <w:t xml:space="preserve"> </w:t>
      </w:r>
      <w:r w:rsidRPr="00011A46">
        <w:t xml:space="preserve">[1991] B.C.J. No. 438 (B.C. C.A.) ; </w:t>
      </w:r>
      <w:r w:rsidRPr="00B82F12">
        <w:rPr>
          <w:i/>
          <w:iCs/>
        </w:rPr>
        <w:t>R. c. Langlois,</w:t>
      </w:r>
      <w:r w:rsidRPr="00011A46">
        <w:t xml:space="preserve"> J.E. 91-954.</w:t>
      </w:r>
    </w:p>
  </w:footnote>
  <w:footnote w:id="295">
    <w:p w:rsidR="00B7214C" w:rsidRDefault="00B7214C" w:rsidP="00B7214C">
      <w:pPr>
        <w:pStyle w:val="Notedebasdepage"/>
      </w:pPr>
      <w:r>
        <w:rPr>
          <w:rStyle w:val="Appelnotedebasdep"/>
        </w:rPr>
        <w:footnoteRef/>
      </w:r>
      <w:r>
        <w:t xml:space="preserve"> </w:t>
      </w:r>
      <w:r>
        <w:tab/>
      </w:r>
      <w:r w:rsidRPr="00011A46">
        <w:t xml:space="preserve">Ainsi dans </w:t>
      </w:r>
      <w:r w:rsidRPr="00B82F12">
        <w:rPr>
          <w:i/>
          <w:iCs/>
        </w:rPr>
        <w:t>R. v. Downey,</w:t>
      </w:r>
      <w:r w:rsidRPr="00011A46">
        <w:t xml:space="preserve"> (1989) 42 C.R.R. 286 (Ont. Dist. Ct.) : « I, as well, h</w:t>
      </w:r>
      <w:r>
        <w:t>a</w:t>
      </w:r>
      <w:r w:rsidRPr="00011A46">
        <w:t>ve taken very much into account the weighty considération that he is clearly facing up to his very probable impe</w:t>
      </w:r>
      <w:r w:rsidRPr="00011A46">
        <w:t>n</w:t>
      </w:r>
      <w:r w:rsidRPr="00011A46">
        <w:t>ding mortality and that this would h</w:t>
      </w:r>
      <w:r>
        <w:t>a</w:t>
      </w:r>
      <w:r w:rsidRPr="00011A46">
        <w:t>ve a salutary effect on</w:t>
      </w:r>
      <w:r>
        <w:t xml:space="preserve"> </w:t>
      </w:r>
      <w:r w:rsidRPr="00011A46">
        <w:t>the likel</w:t>
      </w:r>
      <w:r w:rsidRPr="00011A46">
        <w:t>y</w:t>
      </w:r>
      <w:r w:rsidRPr="00011A46">
        <w:t>hood of committing further serious offenses</w:t>
      </w:r>
      <w:r w:rsidRPr="00011A46">
        <w:tab/>
        <w:t>In a nutshell : that the risk</w:t>
      </w:r>
      <w:r>
        <w:t xml:space="preserve"> </w:t>
      </w:r>
      <w:r w:rsidRPr="00011A46">
        <w:t>to society of continued criminal activity is lessened cons</w:t>
      </w:r>
      <w:r w:rsidRPr="00011A46">
        <w:t>i</w:t>
      </w:r>
      <w:r w:rsidRPr="00011A46">
        <w:t xml:space="preserve">derably » (p. 291-292). Dans le même sens : </w:t>
      </w:r>
      <w:r>
        <w:rPr>
          <w:i/>
          <w:iCs/>
        </w:rPr>
        <w:t>R. v. J</w:t>
      </w:r>
      <w:r w:rsidRPr="00B82F12">
        <w:rPr>
          <w:i/>
          <w:iCs/>
        </w:rPr>
        <w:t>ohnston,</w:t>
      </w:r>
      <w:r w:rsidRPr="00011A46">
        <w:t xml:space="preserve"> [1988] O .J. No. 1889.</w:t>
      </w:r>
    </w:p>
  </w:footnote>
  <w:footnote w:id="296">
    <w:p w:rsidR="00B7214C" w:rsidRDefault="00B7214C" w:rsidP="00B7214C">
      <w:pPr>
        <w:pStyle w:val="Notedebasdepage"/>
      </w:pPr>
      <w:r>
        <w:rPr>
          <w:rStyle w:val="Appelnotedebasdep"/>
        </w:rPr>
        <w:footnoteRef/>
      </w:r>
      <w:r>
        <w:t xml:space="preserve"> </w:t>
      </w:r>
      <w:r>
        <w:tab/>
      </w:r>
      <w:r w:rsidRPr="00011A46">
        <w:t xml:space="preserve">Dans le cas d'un donneur de sang séropositif, </w:t>
      </w:r>
      <w:r w:rsidRPr="00B82F12">
        <w:rPr>
          <w:i/>
          <w:iCs/>
        </w:rPr>
        <w:t>R. v. Thornton,</w:t>
      </w:r>
      <w:r w:rsidRPr="00011A46">
        <w:t xml:space="preserve"> (1991) 1 O.R. (3d) 480 (Ont. C.A.) : ...« quand le tort potentiel est grave, catastrophique en l'espèce, le public est mis en danger même si le risque que le tort survienne est fa</w:t>
      </w:r>
      <w:r w:rsidRPr="00011A46">
        <w:t>i</w:t>
      </w:r>
      <w:r w:rsidRPr="00011A46">
        <w:t>ble, et même s'il est minime », (p. 488). L'État de l'Ohio a directement criminalisé le don ou la vente de sang par celui qui se sait séropositif, en 1989. (Ohio Rev. Code Ann. P</w:t>
      </w:r>
      <w:r w:rsidRPr="00011A46">
        <w:t>a</w:t>
      </w:r>
      <w:r w:rsidRPr="00011A46">
        <w:t>ragr. 2927.13).</w:t>
      </w:r>
    </w:p>
  </w:footnote>
  <w:footnote w:id="297">
    <w:p w:rsidR="00B7214C" w:rsidRDefault="00B7214C" w:rsidP="00B7214C">
      <w:pPr>
        <w:pStyle w:val="Notedebasdepage"/>
      </w:pPr>
      <w:r>
        <w:rPr>
          <w:rStyle w:val="Appelnotedebasdep"/>
        </w:rPr>
        <w:footnoteRef/>
      </w:r>
      <w:r>
        <w:t xml:space="preserve"> </w:t>
      </w:r>
      <w:r>
        <w:tab/>
      </w:r>
      <w:r w:rsidRPr="00011A46">
        <w:t xml:space="preserve">Voir </w:t>
      </w:r>
      <w:r w:rsidRPr="00B82F12">
        <w:rPr>
          <w:i/>
          <w:iCs/>
        </w:rPr>
        <w:t>R. v. Summer,</w:t>
      </w:r>
      <w:r w:rsidRPr="00011A46">
        <w:t xml:space="preserve"> (1989) Alta. L.R. (2d) 303 (C.A.).</w:t>
      </w:r>
    </w:p>
  </w:footnote>
  <w:footnote w:id="298">
    <w:p w:rsidR="00B7214C" w:rsidRDefault="00B7214C" w:rsidP="00B7214C">
      <w:pPr>
        <w:pStyle w:val="Notedebasdepage"/>
      </w:pPr>
      <w:r>
        <w:rPr>
          <w:rStyle w:val="Appelnotedebasdep"/>
        </w:rPr>
        <w:footnoteRef/>
      </w:r>
      <w:r>
        <w:t xml:space="preserve"> </w:t>
      </w:r>
      <w:r>
        <w:tab/>
      </w:r>
      <w:r w:rsidRPr="00011A46">
        <w:t xml:space="preserve">Voir </w:t>
      </w:r>
      <w:r w:rsidRPr="00B82F12">
        <w:rPr>
          <w:i/>
          <w:iCs/>
        </w:rPr>
        <w:t>People v. Sherouse,</w:t>
      </w:r>
      <w:r w:rsidRPr="00011A46">
        <w:t xml:space="preserve"> Fia. Case No. OCSCO 87-185679 ; AU 2 :6 (March 1988) p. 2 ; </w:t>
      </w:r>
      <w:r w:rsidRPr="00B82F12">
        <w:rPr>
          <w:i/>
          <w:iCs/>
        </w:rPr>
        <w:t>Florida v. Dunn, Tippe cano</w:t>
      </w:r>
      <w:r>
        <w:rPr>
          <w:i/>
          <w:iCs/>
        </w:rPr>
        <w:t>e</w:t>
      </w:r>
      <w:r w:rsidRPr="00011A46">
        <w:t xml:space="preserve"> (Ind.) S</w:t>
      </w:r>
      <w:r w:rsidRPr="00011A46">
        <w:t>u</w:t>
      </w:r>
      <w:r w:rsidRPr="00011A46">
        <w:t>per. Ct., No. S-5585 ; APL 3 :2 (Feb. 10, 1988), p.4.</w:t>
      </w:r>
    </w:p>
  </w:footnote>
  <w:footnote w:id="299">
    <w:p w:rsidR="00B7214C" w:rsidRDefault="00B7214C" w:rsidP="00B7214C">
      <w:pPr>
        <w:pStyle w:val="Notedebasdepage"/>
      </w:pPr>
      <w:r>
        <w:rPr>
          <w:rStyle w:val="Appelnotedebasdep"/>
        </w:rPr>
        <w:footnoteRef/>
      </w:r>
      <w:r>
        <w:t xml:space="preserve"> </w:t>
      </w:r>
      <w:r>
        <w:tab/>
      </w:r>
      <w:r w:rsidRPr="00011A46">
        <w:t>Cité dans Jonsen et Stryker (1993).</w:t>
      </w:r>
    </w:p>
  </w:footnote>
  <w:footnote w:id="300">
    <w:p w:rsidR="00B7214C" w:rsidRDefault="00B7214C" w:rsidP="00B7214C">
      <w:pPr>
        <w:pStyle w:val="Notedebasdepage"/>
      </w:pPr>
      <w:r>
        <w:rPr>
          <w:rStyle w:val="Appelnotedebasdep"/>
        </w:rPr>
        <w:footnoteRef/>
      </w:r>
      <w:r>
        <w:t xml:space="preserve"> </w:t>
      </w:r>
      <w:r>
        <w:tab/>
      </w:r>
      <w:r w:rsidRPr="00B82F12">
        <w:rPr>
          <w:i/>
          <w:iCs/>
        </w:rPr>
        <w:t>State v. Kearns,</w:t>
      </w:r>
      <w:r w:rsidRPr="00011A46">
        <w:t xml:space="preserve"> Nev. Dist.Ct., Clark City, No 865848, March 9,1989.</w:t>
      </w:r>
    </w:p>
  </w:footnote>
  <w:footnote w:id="301">
    <w:p w:rsidR="00B7214C" w:rsidRDefault="00B7214C" w:rsidP="00B7214C">
      <w:pPr>
        <w:pStyle w:val="Notedebasdepage"/>
      </w:pPr>
      <w:r>
        <w:rPr>
          <w:rStyle w:val="Appelnotedebasdep"/>
        </w:rPr>
        <w:footnoteRef/>
      </w:r>
      <w:r>
        <w:t xml:space="preserve"> </w:t>
      </w:r>
      <w:r>
        <w:tab/>
      </w:r>
      <w:r w:rsidRPr="00011A46">
        <w:t>La déclaration suivante du sénateur Jesse Helms en donne le ton : « Members of this militant movement [the homosexual lobby] h</w:t>
      </w:r>
      <w:r>
        <w:t>a</w:t>
      </w:r>
      <w:r w:rsidRPr="00011A46">
        <w:t>ve maste</w:t>
      </w:r>
      <w:r w:rsidRPr="00011A46">
        <w:t>r</w:t>
      </w:r>
      <w:r w:rsidRPr="00011A46">
        <w:t>fully manipulated the American public into believing that they, the hom</w:t>
      </w:r>
      <w:r w:rsidRPr="00011A46">
        <w:t>o</w:t>
      </w:r>
      <w:r w:rsidRPr="00011A46">
        <w:t xml:space="preserve">sexuals, are innocent victims of the AIDS </w:t>
      </w:r>
      <w:r>
        <w:t>e</w:t>
      </w:r>
      <w:r w:rsidRPr="00011A46">
        <w:t>pid</w:t>
      </w:r>
      <w:r>
        <w:t>e</w:t>
      </w:r>
      <w:r w:rsidRPr="00011A46">
        <w:t>mi</w:t>
      </w:r>
      <w:r>
        <w:t>c</w:t>
      </w:r>
      <w:r w:rsidRPr="00011A46">
        <w:t xml:space="preserve"> rather than its perpetr</w:t>
      </w:r>
      <w:r w:rsidRPr="00011A46">
        <w:t>a</w:t>
      </w:r>
      <w:r w:rsidRPr="00011A46">
        <w:t>tors. By feeding on America's compassion, they h</w:t>
      </w:r>
      <w:r>
        <w:t>a</w:t>
      </w:r>
      <w:r w:rsidRPr="00011A46">
        <w:t>ve turned the AIDS ép</w:t>
      </w:r>
      <w:r w:rsidRPr="00011A46">
        <w:t>i</w:t>
      </w:r>
      <w:r w:rsidRPr="00011A46">
        <w:t>démie to their political advantage by using it to promote something they h</w:t>
      </w:r>
      <w:r>
        <w:t>a</w:t>
      </w:r>
      <w:r w:rsidRPr="00011A46">
        <w:t>ve never achieved before - homosexual rights... While some are using the AIDS issue to promote p</w:t>
      </w:r>
      <w:r w:rsidRPr="00011A46">
        <w:t>o</w:t>
      </w:r>
      <w:r w:rsidRPr="00011A46">
        <w:t>litical and sociétal acceptance of an Anti-Christian lifestyle, thousands of inn</w:t>
      </w:r>
      <w:r w:rsidRPr="00011A46">
        <w:t>o</w:t>
      </w:r>
      <w:r w:rsidRPr="00011A46">
        <w:t>cent Americans are dying. » 135 Cong. Rec. S396 (daily ed. Jan. 25,</w:t>
      </w:r>
      <w:r>
        <w:t xml:space="preserve"> </w:t>
      </w:r>
      <w:r w:rsidRPr="00011A46">
        <w:t xml:space="preserve">1989), cité par O'Brien (1990, </w:t>
      </w:r>
      <w:r>
        <w:t>p</w:t>
      </w:r>
      <w:r w:rsidRPr="00011A46">
        <w:t>p. 94-95).</w:t>
      </w:r>
    </w:p>
  </w:footnote>
  <w:footnote w:id="302">
    <w:p w:rsidR="00B7214C" w:rsidRDefault="00B7214C" w:rsidP="00B7214C">
      <w:pPr>
        <w:pStyle w:val="Notedebasdepage"/>
      </w:pPr>
      <w:r>
        <w:rPr>
          <w:rStyle w:val="Appelnotedebasdep"/>
        </w:rPr>
        <w:footnoteRef/>
      </w:r>
      <w:r>
        <w:t xml:space="preserve"> </w:t>
      </w:r>
      <w:r>
        <w:tab/>
      </w:r>
      <w:r w:rsidRPr="00011A46">
        <w:t>Voir aussi le bilan du panel réuni par le National Research Cou</w:t>
      </w:r>
      <w:r w:rsidRPr="00011A46">
        <w:t>n</w:t>
      </w:r>
      <w:r w:rsidRPr="00011A46">
        <w:t>cil, sous la direction de Jonson et Stryker (1993). En fait, les coûts médicaux directs du sida, aux États-Unis, ne constitueraient que 2</w:t>
      </w:r>
      <w:r>
        <w:t>%</w:t>
      </w:r>
      <w:r w:rsidRPr="00011A46">
        <w:t xml:space="preserve"> des dépenses nationales de santé (p. 69).</w:t>
      </w:r>
    </w:p>
  </w:footnote>
  <w:footnote w:id="303">
    <w:p w:rsidR="00B7214C" w:rsidRDefault="00B7214C" w:rsidP="00B7214C">
      <w:pPr>
        <w:pStyle w:val="Notedebasdepage"/>
      </w:pPr>
      <w:r>
        <w:rPr>
          <w:rStyle w:val="Appelnotedebasdep"/>
        </w:rPr>
        <w:footnoteRef/>
      </w:r>
      <w:r>
        <w:t xml:space="preserve"> </w:t>
      </w:r>
      <w:r>
        <w:tab/>
      </w:r>
      <w:r w:rsidRPr="00011A46">
        <w:t xml:space="preserve">Il s'agit soit de compagnies d'assurances, de la </w:t>
      </w:r>
      <w:r w:rsidRPr="00B82F12">
        <w:rPr>
          <w:i/>
          <w:iCs/>
        </w:rPr>
        <w:t>Blue Cross</w:t>
      </w:r>
      <w:r w:rsidRPr="00011A46">
        <w:t xml:space="preserve"> ou de la </w:t>
      </w:r>
      <w:r w:rsidRPr="00B82F12">
        <w:rPr>
          <w:i/>
          <w:iCs/>
        </w:rPr>
        <w:t>Blue Shield,</w:t>
      </w:r>
      <w:r w:rsidRPr="00011A46">
        <w:t xml:space="preserve"> de plans auto-assurés financés par l'employeur ou le syndicat ou e</w:t>
      </w:r>
      <w:r w:rsidRPr="00011A46">
        <w:t>n</w:t>
      </w:r>
      <w:r w:rsidRPr="00011A46">
        <w:t>core de HMO (Health Maint</w:t>
      </w:r>
      <w:r w:rsidRPr="00011A46">
        <w:t>e</w:t>
      </w:r>
      <w:r w:rsidRPr="00011A46">
        <w:t>nance Organizations).</w:t>
      </w:r>
    </w:p>
  </w:footnote>
  <w:footnote w:id="304">
    <w:p w:rsidR="00B7214C" w:rsidRDefault="00B7214C" w:rsidP="00B7214C">
      <w:pPr>
        <w:pStyle w:val="Notedebasdepage"/>
      </w:pPr>
      <w:r>
        <w:rPr>
          <w:rStyle w:val="Appelnotedebasdep"/>
        </w:rPr>
        <w:footnoteRef/>
      </w:r>
      <w:r>
        <w:t xml:space="preserve"> </w:t>
      </w:r>
      <w:r>
        <w:tab/>
      </w:r>
      <w:r w:rsidRPr="00011A46">
        <w:t>Ce programme s'adresse aux personnes qui ont plus de 65 ans, aux malades du rein et à ceux qui souffrent de certains handicaps, mais seulement après deux ans à partir de la d</w:t>
      </w:r>
      <w:r w:rsidRPr="00011A46">
        <w:t>é</w:t>
      </w:r>
      <w:r w:rsidRPr="00011A46">
        <w:t xml:space="preserve">claration du handicap. Ces deux critères expliquent pourquoi </w:t>
      </w:r>
      <w:r w:rsidRPr="00B82F12">
        <w:rPr>
          <w:i/>
          <w:iCs/>
        </w:rPr>
        <w:t>Medicare</w:t>
      </w:r>
      <w:r w:rsidRPr="00011A46">
        <w:t xml:space="preserve"> a joué un rôle négl</w:t>
      </w:r>
      <w:r w:rsidRPr="00011A46">
        <w:t>i</w:t>
      </w:r>
      <w:r w:rsidRPr="00011A46">
        <w:t>geable pour les patients atteints du sida ou séropositifs.</w:t>
      </w:r>
    </w:p>
  </w:footnote>
  <w:footnote w:id="305">
    <w:p w:rsidR="00B7214C" w:rsidRDefault="00B7214C" w:rsidP="00B7214C">
      <w:pPr>
        <w:pStyle w:val="Notedebasdepage"/>
      </w:pPr>
      <w:r>
        <w:rPr>
          <w:rStyle w:val="Appelnotedebasdep"/>
        </w:rPr>
        <w:footnoteRef/>
      </w:r>
      <w:r>
        <w:t xml:space="preserve"> </w:t>
      </w:r>
      <w:r>
        <w:tab/>
      </w:r>
      <w:r w:rsidRPr="00B82F12">
        <w:rPr>
          <w:i/>
          <w:iCs/>
        </w:rPr>
        <w:t>Medicaid</w:t>
      </w:r>
      <w:r w:rsidRPr="00011A46">
        <w:t xml:space="preserve"> est géré par chacun des États, avec la participation du gouvern</w:t>
      </w:r>
      <w:r w:rsidRPr="00011A46">
        <w:t>e</w:t>
      </w:r>
      <w:r w:rsidRPr="00011A46">
        <w:t>ment fédéral. Il s'adresse également aux pe</w:t>
      </w:r>
      <w:r w:rsidRPr="00011A46">
        <w:t>r</w:t>
      </w:r>
      <w:r w:rsidRPr="00011A46">
        <w:t xml:space="preserve">sonnes âgées et aux handicapés, mais n'entre en fonction que lorsque le revenu et le patrimoine du malade diminuent en dessous d'un certain seuil, fixé par chaque État. Contrairement au programme </w:t>
      </w:r>
      <w:r w:rsidRPr="00B82F12">
        <w:rPr>
          <w:i/>
          <w:iCs/>
        </w:rPr>
        <w:t>Medicare,</w:t>
      </w:r>
      <w:r w:rsidRPr="00011A46">
        <w:t xml:space="preserve"> la réglement</w:t>
      </w:r>
      <w:r w:rsidRPr="00011A46">
        <w:t>a</w:t>
      </w:r>
      <w:r w:rsidRPr="00011A46">
        <w:t>tion fédérale présume cependant que la personne atteinte du sida est ha</w:t>
      </w:r>
      <w:r w:rsidRPr="00011A46">
        <w:t>n</w:t>
      </w:r>
      <w:r w:rsidRPr="00011A46">
        <w:t>dicapée dès la date du diagnostic.</w:t>
      </w:r>
    </w:p>
  </w:footnote>
  <w:footnote w:id="306">
    <w:p w:rsidR="00B7214C" w:rsidRDefault="00B7214C" w:rsidP="00B7214C">
      <w:pPr>
        <w:pStyle w:val="Notedebasdepage"/>
      </w:pPr>
      <w:r>
        <w:rPr>
          <w:rStyle w:val="Appelnotedebasdep"/>
        </w:rPr>
        <w:footnoteRef/>
      </w:r>
      <w:r>
        <w:t xml:space="preserve"> </w:t>
      </w:r>
      <w:r>
        <w:tab/>
      </w:r>
      <w:r w:rsidRPr="00011A46">
        <w:t>En fait, plus de la moitié des employés dont l'assurance-maladie est liée à l'emploi travaillent pour des entreprises auto-assurées. Voir Jackson (1992).</w:t>
      </w:r>
    </w:p>
  </w:footnote>
  <w:footnote w:id="307">
    <w:p w:rsidR="00B7214C" w:rsidRDefault="00B7214C" w:rsidP="00B7214C">
      <w:pPr>
        <w:pStyle w:val="Notedebasdepage"/>
      </w:pPr>
      <w:r>
        <w:rPr>
          <w:rStyle w:val="Appelnotedebasdep"/>
        </w:rPr>
        <w:footnoteRef/>
      </w:r>
      <w:r>
        <w:t xml:space="preserve"> </w:t>
      </w:r>
      <w:r>
        <w:tab/>
      </w:r>
      <w:r w:rsidRPr="00011A46">
        <w:t xml:space="preserve">29 U.S.C.ÂA 1001-1461 (1988). Voir </w:t>
      </w:r>
      <w:r w:rsidRPr="00B82F12">
        <w:rPr>
          <w:i/>
          <w:iCs/>
        </w:rPr>
        <w:t>FMC Corp. v. Holliday,</w:t>
      </w:r>
      <w:r w:rsidRPr="00011A46">
        <w:t xml:space="preserve"> 111 S. Ct. 403 (1990).</w:t>
      </w:r>
    </w:p>
  </w:footnote>
  <w:footnote w:id="308">
    <w:p w:rsidR="00B7214C" w:rsidRDefault="00B7214C" w:rsidP="00B7214C">
      <w:pPr>
        <w:pStyle w:val="Notedebasdepage"/>
      </w:pPr>
      <w:r>
        <w:rPr>
          <w:rStyle w:val="Appelnotedebasdep"/>
        </w:rPr>
        <w:footnoteRef/>
      </w:r>
      <w:r>
        <w:t xml:space="preserve"> </w:t>
      </w:r>
      <w:r>
        <w:tab/>
      </w:r>
      <w:r w:rsidRPr="00011A46">
        <w:t>Dans ce sens, les décisions des Cours de première instance et d'a</w:t>
      </w:r>
      <w:r w:rsidRPr="00011A46">
        <w:t>p</w:t>
      </w:r>
      <w:r w:rsidRPr="00011A46">
        <w:t xml:space="preserve">pel dans l'affaire </w:t>
      </w:r>
      <w:r w:rsidRPr="00B82F12">
        <w:rPr>
          <w:i/>
          <w:iCs/>
        </w:rPr>
        <w:t>H &amp; HMusic Co. v. McGann,</w:t>
      </w:r>
      <w:r w:rsidRPr="00011A46">
        <w:t xml:space="preserve"> 742 F. Supp. 392 (S.D. Tex. 1990) confirmée par </w:t>
      </w:r>
      <w:r w:rsidRPr="00B82F12">
        <w:rPr>
          <w:i/>
          <w:iCs/>
        </w:rPr>
        <w:t>McGann v. H &amp; H Music Co.,</w:t>
      </w:r>
      <w:r w:rsidRPr="00011A46">
        <w:t xml:space="preserve"> CA 5, 946 F2d 401 (1991), 60 LW 2324 ; confirmée par la Cour suprême d</w:t>
      </w:r>
      <w:r w:rsidRPr="00011A46">
        <w:t>e</w:t>
      </w:r>
      <w:r w:rsidRPr="00011A46">
        <w:t xml:space="preserve">puis : </w:t>
      </w:r>
      <w:r w:rsidRPr="00B82F12">
        <w:rPr>
          <w:i/>
          <w:iCs/>
        </w:rPr>
        <w:t>Greenberg v. H &amp; H Music Co.,</w:t>
      </w:r>
      <w:r w:rsidRPr="00011A46">
        <w:t xml:space="preserve"> 60 LW 3638 (S.C.). Voir aussi Sohlgren (1991) pour une analyse détaillée. Dans le même sens </w:t>
      </w:r>
      <w:r w:rsidRPr="00B82F12">
        <w:rPr>
          <w:i/>
          <w:iCs/>
        </w:rPr>
        <w:t>Be</w:t>
      </w:r>
      <w:r w:rsidRPr="00B82F12">
        <w:rPr>
          <w:i/>
          <w:iCs/>
        </w:rPr>
        <w:t>a</w:t>
      </w:r>
      <w:r w:rsidRPr="00B82F12">
        <w:rPr>
          <w:i/>
          <w:iCs/>
        </w:rPr>
        <w:t>vers v. Storehouse Inc.,</w:t>
      </w:r>
      <w:r w:rsidRPr="00011A46">
        <w:t xml:space="preserve"> 773 F. Supp. 416 (N.D. Ga 1991).</w:t>
      </w:r>
    </w:p>
  </w:footnote>
  <w:footnote w:id="309">
    <w:p w:rsidR="00B7214C" w:rsidRDefault="00B7214C" w:rsidP="00B7214C">
      <w:pPr>
        <w:pStyle w:val="Notedebasdepage"/>
      </w:pPr>
      <w:r>
        <w:rPr>
          <w:rStyle w:val="Appelnotedebasdep"/>
        </w:rPr>
        <w:footnoteRef/>
      </w:r>
      <w:r>
        <w:t xml:space="preserve"> </w:t>
      </w:r>
      <w:r>
        <w:tab/>
      </w:r>
      <w:r w:rsidRPr="00011A46">
        <w:t>42 U.S.C. 1396n(e).</w:t>
      </w:r>
    </w:p>
  </w:footnote>
  <w:footnote w:id="310">
    <w:p w:rsidR="00B7214C" w:rsidRDefault="00B7214C" w:rsidP="00B7214C">
      <w:pPr>
        <w:pStyle w:val="Notedebasdepage"/>
      </w:pPr>
      <w:r>
        <w:rPr>
          <w:rStyle w:val="Appelnotedebasdep"/>
        </w:rPr>
        <w:footnoteRef/>
      </w:r>
      <w:r>
        <w:t xml:space="preserve"> </w:t>
      </w:r>
      <w:r>
        <w:tab/>
      </w:r>
      <w:r w:rsidRPr="00011A46">
        <w:t xml:space="preserve">Voir notamment les analyses de Simmons (1978) et Schwartz </w:t>
      </w:r>
      <w:r w:rsidRPr="00B82F12">
        <w:rPr>
          <w:i/>
          <w:iCs/>
        </w:rPr>
        <w:t>et al.</w:t>
      </w:r>
      <w:r w:rsidRPr="00011A46">
        <w:t xml:space="preserve"> (1978).</w:t>
      </w:r>
    </w:p>
  </w:footnote>
  <w:footnote w:id="311">
    <w:p w:rsidR="00B7214C" w:rsidRDefault="00B7214C" w:rsidP="00B7214C">
      <w:pPr>
        <w:pStyle w:val="Notedebasdepage"/>
      </w:pPr>
      <w:r>
        <w:rPr>
          <w:rStyle w:val="Appelnotedebasdep"/>
        </w:rPr>
        <w:footnoteRef/>
      </w:r>
      <w:r>
        <w:t xml:space="preserve"> </w:t>
      </w:r>
      <w:r>
        <w:tab/>
      </w:r>
      <w:r w:rsidRPr="00011A46">
        <w:t>Voir Jonson et Stryker, sur le programme de remboursement américain (1993, p. 70). Depuis, ce programme couvre aussi les traitements</w:t>
      </w:r>
      <w:r>
        <w:t xml:space="preserve"> à la pe</w:t>
      </w:r>
      <w:r>
        <w:t>n</w:t>
      </w:r>
      <w:r>
        <w:t>tamidine, au gancyclo</w:t>
      </w:r>
      <w:r w:rsidRPr="00011A46">
        <w:t>vir, etc. Nous nous limitons dans ce texte à la dime</w:t>
      </w:r>
      <w:r w:rsidRPr="00011A46">
        <w:t>n</w:t>
      </w:r>
      <w:r w:rsidRPr="00011A46">
        <w:t>sion du coût des soins. Les questions d'épistémologie scientifique et d'éth</w:t>
      </w:r>
      <w:r w:rsidRPr="00011A46">
        <w:t>i</w:t>
      </w:r>
      <w:r w:rsidRPr="00011A46">
        <w:t>que et la recherche clinique dépassent l'objet de cette communication et ont été traitées ailleurs. Voir notamment Epstein (1991), Plough (1981), Rot</w:t>
      </w:r>
      <w:r w:rsidRPr="00011A46">
        <w:t>h</w:t>
      </w:r>
      <w:r w:rsidRPr="00011A46">
        <w:t>man (1992), Dixon (1990), Mu</w:t>
      </w:r>
      <w:r w:rsidRPr="00011A46">
        <w:t>r</w:t>
      </w:r>
      <w:r w:rsidRPr="00011A46">
        <w:t>bach (1989).</w:t>
      </w:r>
    </w:p>
  </w:footnote>
  <w:footnote w:id="312">
    <w:p w:rsidR="00B7214C" w:rsidRDefault="00B7214C" w:rsidP="00B7214C">
      <w:pPr>
        <w:pStyle w:val="Notedebasdepage"/>
      </w:pPr>
      <w:r>
        <w:rPr>
          <w:rStyle w:val="Appelnotedebasdep"/>
        </w:rPr>
        <w:footnoteRef/>
      </w:r>
      <w:r>
        <w:t xml:space="preserve"> </w:t>
      </w:r>
      <w:r>
        <w:tab/>
      </w:r>
      <w:r w:rsidRPr="00011A46">
        <w:t>Voir à ce sujet l'analyse multivariée qu'offre Elster (1992) du choix local d'un principe distributif.</w:t>
      </w:r>
    </w:p>
  </w:footnote>
  <w:footnote w:id="313">
    <w:p w:rsidR="00B7214C" w:rsidRDefault="00B7214C" w:rsidP="00B7214C">
      <w:pPr>
        <w:pStyle w:val="Notedebasdepage"/>
      </w:pPr>
      <w:r>
        <w:rPr>
          <w:rStyle w:val="Appelnotedebasdep"/>
        </w:rPr>
        <w:footnoteRef/>
      </w:r>
      <w:r>
        <w:t xml:space="preserve"> </w:t>
      </w:r>
      <w:r>
        <w:tab/>
      </w:r>
      <w:r>
        <w:rPr>
          <w:lang w:eastAsia="fr-FR" w:bidi="fr-FR"/>
        </w:rPr>
        <w:t>Il</w:t>
      </w:r>
      <w:r w:rsidRPr="00011A46">
        <w:rPr>
          <w:lang w:eastAsia="fr-FR" w:bidi="fr-FR"/>
        </w:rPr>
        <w:t xml:space="preserve"> y a lieu d'être plus nuancé, y compris dans la perspective ado</w:t>
      </w:r>
      <w:r w:rsidRPr="00011A46">
        <w:rPr>
          <w:lang w:eastAsia="fr-FR" w:bidi="fr-FR"/>
        </w:rPr>
        <w:t>p</w:t>
      </w:r>
      <w:r w:rsidRPr="00011A46">
        <w:rPr>
          <w:lang w:eastAsia="fr-FR" w:bidi="fr-FR"/>
        </w:rPr>
        <w:t xml:space="preserve">tée ici. Par exemple, pour la France, L. Klejman et F. Rochefort montrent bien dans </w:t>
      </w:r>
      <w:r w:rsidRPr="00A77344">
        <w:rPr>
          <w:i/>
          <w:iCs/>
        </w:rPr>
        <w:t xml:space="preserve">L'égalité en marche </w:t>
      </w:r>
      <w:r w:rsidRPr="00011A46">
        <w:rPr>
          <w:lang w:eastAsia="fr-FR" w:bidi="fr-FR"/>
        </w:rPr>
        <w:t>(Paris, Presses de la Fondation nationale de science p</w:t>
      </w:r>
      <w:r w:rsidRPr="00011A46">
        <w:rPr>
          <w:lang w:eastAsia="fr-FR" w:bidi="fr-FR"/>
        </w:rPr>
        <w:t>o</w:t>
      </w:r>
      <w:r w:rsidRPr="00011A46">
        <w:rPr>
          <w:lang w:eastAsia="fr-FR" w:bidi="fr-FR"/>
        </w:rPr>
        <w:t>litique, Ed. des femmes, 1989) comment le féminisme sous la III</w:t>
      </w:r>
      <w:r w:rsidRPr="00A77344">
        <w:rPr>
          <w:lang w:eastAsia="fr-FR" w:bidi="fr-FR"/>
        </w:rPr>
        <w:t>e</w:t>
      </w:r>
      <w:r w:rsidRPr="00011A46">
        <w:rPr>
          <w:lang w:eastAsia="fr-FR" w:bidi="fr-FR"/>
        </w:rPr>
        <w:t xml:space="preserve"> Républ</w:t>
      </w:r>
      <w:r w:rsidRPr="00011A46">
        <w:rPr>
          <w:lang w:eastAsia="fr-FR" w:bidi="fr-FR"/>
        </w:rPr>
        <w:t>i</w:t>
      </w:r>
      <w:r w:rsidRPr="00011A46">
        <w:rPr>
          <w:lang w:eastAsia="fr-FR" w:bidi="fr-FR"/>
        </w:rPr>
        <w:t>que fit des va-et-vient constants entre la revendication pour la capacité civ</w:t>
      </w:r>
      <w:r w:rsidRPr="00011A46">
        <w:rPr>
          <w:lang w:eastAsia="fr-FR" w:bidi="fr-FR"/>
        </w:rPr>
        <w:t>i</w:t>
      </w:r>
      <w:r w:rsidRPr="00011A46">
        <w:rPr>
          <w:lang w:eastAsia="fr-FR" w:bidi="fr-FR"/>
        </w:rPr>
        <w:t>que (droit de vote) et pour la capacité civile (ex. revendications pour le d</w:t>
      </w:r>
      <w:r w:rsidRPr="00011A46">
        <w:rPr>
          <w:lang w:eastAsia="fr-FR" w:bidi="fr-FR"/>
        </w:rPr>
        <w:t>i</w:t>
      </w:r>
      <w:r w:rsidRPr="00011A46">
        <w:rPr>
          <w:lang w:eastAsia="fr-FR" w:bidi="fr-FR"/>
        </w:rPr>
        <w:t>vorce). On se souvient que George Sand s'opposa aux féministes de 1848 sur ce point : elle considérait que la revendication des droits politiques était prématurée tant que l'égalité des droits civils n'était pas proclamée. Elle n'avait sans doute pas fo</w:t>
      </w:r>
      <w:r w:rsidRPr="00011A46">
        <w:rPr>
          <w:lang w:eastAsia="fr-FR" w:bidi="fr-FR"/>
        </w:rPr>
        <w:t>r</w:t>
      </w:r>
      <w:r w:rsidRPr="00011A46">
        <w:rPr>
          <w:lang w:eastAsia="fr-FR" w:bidi="fr-FR"/>
        </w:rPr>
        <w:t>mellement tort, il n'empêche que les femmes eurent la pleine capacité civique avant d'avoir la pleine capacité civile. On y r</w:t>
      </w:r>
      <w:r w:rsidRPr="00011A46">
        <w:rPr>
          <w:lang w:eastAsia="fr-FR" w:bidi="fr-FR"/>
        </w:rPr>
        <w:t>e</w:t>
      </w:r>
      <w:r w:rsidRPr="00011A46">
        <w:rPr>
          <w:lang w:eastAsia="fr-FR" w:bidi="fr-FR"/>
        </w:rPr>
        <w:t>viendra.</w:t>
      </w:r>
    </w:p>
  </w:footnote>
  <w:footnote w:id="314">
    <w:p w:rsidR="00B7214C" w:rsidRDefault="00B7214C" w:rsidP="00B7214C">
      <w:pPr>
        <w:pStyle w:val="Notedebasdepage"/>
      </w:pPr>
      <w:r>
        <w:rPr>
          <w:rStyle w:val="Appelnotedebasdep"/>
        </w:rPr>
        <w:footnoteRef/>
      </w:r>
      <w:r>
        <w:t xml:space="preserve"> </w:t>
      </w:r>
      <w:r>
        <w:tab/>
      </w:r>
      <w:r w:rsidRPr="00011A46">
        <w:rPr>
          <w:lang w:eastAsia="fr-FR" w:bidi="fr-FR"/>
        </w:rPr>
        <w:t xml:space="preserve">Cela dit, je ne partage pas le point de vue à partir duquel Luc Ferry critique les écoféministes dans </w:t>
      </w:r>
      <w:r w:rsidRPr="00A77344">
        <w:rPr>
          <w:i/>
          <w:iCs/>
        </w:rPr>
        <w:t>Le nouvel ordre écologique,</w:t>
      </w:r>
      <w:r w:rsidRPr="00011A46">
        <w:rPr>
          <w:lang w:eastAsia="fr-FR" w:bidi="fr-FR"/>
        </w:rPr>
        <w:t xml:space="preserve"> P</w:t>
      </w:r>
      <w:r w:rsidRPr="00011A46">
        <w:rPr>
          <w:lang w:eastAsia="fr-FR" w:bidi="fr-FR"/>
        </w:rPr>
        <w:t>a</w:t>
      </w:r>
      <w:r w:rsidRPr="00011A46">
        <w:rPr>
          <w:lang w:eastAsia="fr-FR" w:bidi="fr-FR"/>
        </w:rPr>
        <w:t xml:space="preserve">ris, Grasset, 1992. Voir mon intervention à la table ronde. </w:t>
      </w:r>
      <w:r w:rsidRPr="00A77344">
        <w:rPr>
          <w:i/>
          <w:iCs/>
        </w:rPr>
        <w:t>L'écologie : un nouvel ordre ?</w:t>
      </w:r>
      <w:r w:rsidRPr="00011A46">
        <w:rPr>
          <w:lang w:eastAsia="fr-FR" w:bidi="fr-FR"/>
        </w:rPr>
        <w:t>, Un</w:t>
      </w:r>
      <w:r w:rsidRPr="00011A46">
        <w:rPr>
          <w:lang w:eastAsia="fr-FR" w:bidi="fr-FR"/>
        </w:rPr>
        <w:t>i</w:t>
      </w:r>
      <w:r w:rsidRPr="00011A46">
        <w:rPr>
          <w:lang w:eastAsia="fr-FR" w:bidi="fr-FR"/>
        </w:rPr>
        <w:t>versité d'Ottawa, Département de sociologie, 15 février 1993, « Le bon f</w:t>
      </w:r>
      <w:r w:rsidRPr="00011A46">
        <w:rPr>
          <w:lang w:eastAsia="fr-FR" w:bidi="fr-FR"/>
        </w:rPr>
        <w:t>é</w:t>
      </w:r>
      <w:r w:rsidRPr="00011A46">
        <w:rPr>
          <w:lang w:eastAsia="fr-FR" w:bidi="fr-FR"/>
        </w:rPr>
        <w:t>minisme républicain selon St-Luc »,</w:t>
      </w:r>
      <w:r>
        <w:rPr>
          <w:lang w:eastAsia="fr-FR" w:bidi="fr-FR"/>
        </w:rPr>
        <w:t xml:space="preserve"> </w:t>
      </w:r>
      <w:r w:rsidRPr="00011A46">
        <w:rPr>
          <w:lang w:eastAsia="fr-FR" w:bidi="fr-FR"/>
        </w:rPr>
        <w:t>8 p.</w:t>
      </w:r>
    </w:p>
  </w:footnote>
  <w:footnote w:id="315">
    <w:p w:rsidR="00B7214C" w:rsidRDefault="00B7214C" w:rsidP="00B7214C">
      <w:pPr>
        <w:pStyle w:val="Notedebasdepage"/>
      </w:pPr>
      <w:r>
        <w:rPr>
          <w:rStyle w:val="Appelnotedebasdep"/>
        </w:rPr>
        <w:footnoteRef/>
      </w:r>
      <w:r>
        <w:t xml:space="preserve"> </w:t>
      </w:r>
      <w:r>
        <w:tab/>
      </w:r>
      <w:r w:rsidRPr="00011A46">
        <w:rPr>
          <w:lang w:eastAsia="fr-FR" w:bidi="fr-FR"/>
        </w:rPr>
        <w:t>À l'œuvre, par exemple, dans la critique tous azimuts des nouvelles techn</w:t>
      </w:r>
      <w:r w:rsidRPr="00011A46">
        <w:rPr>
          <w:lang w:eastAsia="fr-FR" w:bidi="fr-FR"/>
        </w:rPr>
        <w:t>o</w:t>
      </w:r>
      <w:r w:rsidRPr="00011A46">
        <w:rPr>
          <w:lang w:eastAsia="fr-FR" w:bidi="fr-FR"/>
        </w:rPr>
        <w:t>logies de reproduction. A contrario, voir les divers articles de M.J. Dhave</w:t>
      </w:r>
      <w:r w:rsidRPr="00011A46">
        <w:rPr>
          <w:lang w:eastAsia="fr-FR" w:bidi="fr-FR"/>
        </w:rPr>
        <w:t>r</w:t>
      </w:r>
      <w:r w:rsidRPr="00011A46">
        <w:rPr>
          <w:lang w:eastAsia="fr-FR" w:bidi="fr-FR"/>
        </w:rPr>
        <w:t>nas. Aussi celui de F. Héritier-Augé, « Don et utilis</w:t>
      </w:r>
      <w:r w:rsidRPr="00011A46">
        <w:rPr>
          <w:lang w:eastAsia="fr-FR" w:bidi="fr-FR"/>
        </w:rPr>
        <w:t>a</w:t>
      </w:r>
      <w:r w:rsidRPr="00011A46">
        <w:rPr>
          <w:lang w:eastAsia="fr-FR" w:bidi="fr-FR"/>
        </w:rPr>
        <w:t>tion de sperme et d'ovocytes. Mères de substitution. Un point de vue fondé sur l'anthropologie soci</w:t>
      </w:r>
      <w:r w:rsidRPr="00011A46">
        <w:rPr>
          <w:lang w:eastAsia="fr-FR" w:bidi="fr-FR"/>
        </w:rPr>
        <w:t>a</w:t>
      </w:r>
      <w:r w:rsidRPr="00011A46">
        <w:rPr>
          <w:lang w:eastAsia="fr-FR" w:bidi="fr-FR"/>
        </w:rPr>
        <w:t xml:space="preserve">le », dans </w:t>
      </w:r>
      <w:r w:rsidRPr="00A77344">
        <w:rPr>
          <w:i/>
          <w:iCs/>
        </w:rPr>
        <w:t>Génétique, procréation et droit,</w:t>
      </w:r>
      <w:r w:rsidRPr="00011A46">
        <w:rPr>
          <w:lang w:eastAsia="fr-FR" w:bidi="fr-FR"/>
        </w:rPr>
        <w:t xml:space="preserve"> Arles, Actes Sud, 1985, 237-253, qui relativise la « nouveauté » du phénomène en le replaçant en son a</w:t>
      </w:r>
      <w:r w:rsidRPr="00011A46">
        <w:rPr>
          <w:lang w:eastAsia="fr-FR" w:bidi="fr-FR"/>
        </w:rPr>
        <w:t>s</w:t>
      </w:r>
      <w:r w:rsidRPr="00011A46">
        <w:rPr>
          <w:lang w:eastAsia="fr-FR" w:bidi="fr-FR"/>
        </w:rPr>
        <w:t>sise anthropologique. Voir e</w:t>
      </w:r>
      <w:r w:rsidRPr="00011A46">
        <w:rPr>
          <w:lang w:eastAsia="fr-FR" w:bidi="fr-FR"/>
        </w:rPr>
        <w:t>n</w:t>
      </w:r>
      <w:r w:rsidRPr="00011A46">
        <w:rPr>
          <w:lang w:eastAsia="fr-FR" w:bidi="fr-FR"/>
        </w:rPr>
        <w:t xml:space="preserve">core l'article de N. Fresco, « Pour échapper aux pères, évitons les fils », dans </w:t>
      </w:r>
      <w:r w:rsidRPr="00A77344">
        <w:rPr>
          <w:i/>
          <w:iCs/>
        </w:rPr>
        <w:t>Le Père,</w:t>
      </w:r>
      <w:r w:rsidRPr="00011A46">
        <w:rPr>
          <w:lang w:eastAsia="fr-FR" w:bidi="fr-FR"/>
        </w:rPr>
        <w:t xml:space="preserve"> Métaphore paternelle et fonctions du père : l'I</w:t>
      </w:r>
      <w:r w:rsidRPr="00011A46">
        <w:rPr>
          <w:lang w:eastAsia="fr-FR" w:bidi="fr-FR"/>
        </w:rPr>
        <w:t>n</w:t>
      </w:r>
      <w:r w:rsidRPr="00011A46">
        <w:rPr>
          <w:lang w:eastAsia="fr-FR" w:bidi="fr-FR"/>
        </w:rPr>
        <w:t>terdit, la Filiation, la Transmission, Paris, Denoël, 1989, 409-423.</w:t>
      </w:r>
    </w:p>
  </w:footnote>
  <w:footnote w:id="316">
    <w:p w:rsidR="00B7214C" w:rsidRDefault="00B7214C" w:rsidP="00B7214C">
      <w:pPr>
        <w:pStyle w:val="Notedebasdepage"/>
      </w:pPr>
      <w:r>
        <w:rPr>
          <w:rStyle w:val="Appelnotedebasdep"/>
        </w:rPr>
        <w:footnoteRef/>
      </w:r>
      <w:r>
        <w:t xml:space="preserve"> </w:t>
      </w:r>
      <w:r>
        <w:tab/>
      </w:r>
      <w:r w:rsidRPr="00011A46">
        <w:rPr>
          <w:lang w:eastAsia="fr-FR" w:bidi="fr-FR"/>
        </w:rPr>
        <w:t>Mais la belle préface que F. Collin a donnée au livre de D. Lamo</w:t>
      </w:r>
      <w:r w:rsidRPr="00011A46">
        <w:rPr>
          <w:lang w:eastAsia="fr-FR" w:bidi="fr-FR"/>
        </w:rPr>
        <w:t>u</w:t>
      </w:r>
      <w:r w:rsidRPr="00011A46">
        <w:rPr>
          <w:lang w:eastAsia="fr-FR" w:bidi="fr-FR"/>
        </w:rPr>
        <w:t xml:space="preserve">reux, </w:t>
      </w:r>
      <w:r w:rsidRPr="00A77344">
        <w:rPr>
          <w:i/>
          <w:iCs/>
        </w:rPr>
        <w:t>Fragments et collages,</w:t>
      </w:r>
      <w:r w:rsidRPr="00011A46">
        <w:rPr>
          <w:lang w:eastAsia="fr-FR" w:bidi="fr-FR"/>
        </w:rPr>
        <w:t xml:space="preserve"> Montréal, Remue-ménage, 1986 : « Le féminisme et la crise du moderne », p</w:t>
      </w:r>
      <w:r>
        <w:rPr>
          <w:lang w:eastAsia="fr-FR" w:bidi="fr-FR"/>
        </w:rPr>
        <w:t>p</w:t>
      </w:r>
      <w:r w:rsidRPr="00011A46">
        <w:rPr>
          <w:lang w:eastAsia="fr-FR" w:bidi="fr-FR"/>
        </w:rPr>
        <w:t>. 7-16, emporte en grande partie mon adhésion.</w:t>
      </w:r>
    </w:p>
  </w:footnote>
  <w:footnote w:id="317">
    <w:p w:rsidR="00B7214C" w:rsidRDefault="00B7214C" w:rsidP="00B7214C">
      <w:pPr>
        <w:pStyle w:val="Notedebasdepage"/>
      </w:pPr>
      <w:r>
        <w:rPr>
          <w:rStyle w:val="Appelnotedebasdep"/>
        </w:rPr>
        <w:footnoteRef/>
      </w:r>
      <w:r>
        <w:t xml:space="preserve"> </w:t>
      </w:r>
      <w:r>
        <w:tab/>
      </w:r>
      <w:r w:rsidRPr="00011A46">
        <w:rPr>
          <w:lang w:eastAsia="fr-FR" w:bidi="fr-FR"/>
        </w:rPr>
        <w:t>Voir « Une anomalie algérienne ? Femmes et islamisme », pages 215-236 du présent ouvrage.</w:t>
      </w:r>
    </w:p>
  </w:footnote>
  <w:footnote w:id="318">
    <w:p w:rsidR="00B7214C" w:rsidRDefault="00B7214C" w:rsidP="00B7214C">
      <w:pPr>
        <w:pStyle w:val="Notedebasdepage"/>
      </w:pPr>
      <w:r>
        <w:rPr>
          <w:rStyle w:val="Appelnotedebasdep"/>
        </w:rPr>
        <w:footnoteRef/>
      </w:r>
      <w:r>
        <w:t xml:space="preserve"> </w:t>
      </w:r>
      <w:r>
        <w:tab/>
      </w:r>
      <w:r w:rsidRPr="00011A46">
        <w:rPr>
          <w:lang w:eastAsia="fr-FR" w:bidi="fr-FR"/>
        </w:rPr>
        <w:t xml:space="preserve">Faire référence au corps n'implique pas </w:t>
      </w:r>
      <w:r w:rsidRPr="00A77344">
        <w:rPr>
          <w:i/>
          <w:iCs/>
        </w:rPr>
        <w:t>ipso facto</w:t>
      </w:r>
      <w:r w:rsidRPr="00011A46">
        <w:rPr>
          <w:lang w:eastAsia="fr-FR" w:bidi="fr-FR"/>
        </w:rPr>
        <w:t xml:space="preserve"> que l'on adhère à une v</w:t>
      </w:r>
      <w:r w:rsidRPr="00011A46">
        <w:rPr>
          <w:lang w:eastAsia="fr-FR" w:bidi="fr-FR"/>
        </w:rPr>
        <w:t>i</w:t>
      </w:r>
      <w:r w:rsidRPr="00011A46">
        <w:rPr>
          <w:lang w:eastAsia="fr-FR" w:bidi="fr-FR"/>
        </w:rPr>
        <w:t>sion naturaliste du social, cela va sans dire mais il est peut-être nécessaire de le rappeler. Voir P. Bou</w:t>
      </w:r>
      <w:r w:rsidRPr="00011A46">
        <w:rPr>
          <w:lang w:eastAsia="fr-FR" w:bidi="fr-FR"/>
        </w:rPr>
        <w:t>r</w:t>
      </w:r>
      <w:r w:rsidRPr="00011A46">
        <w:rPr>
          <w:lang w:eastAsia="fr-FR" w:bidi="fr-FR"/>
        </w:rPr>
        <w:t>dieu lorsqu'il écrit : « Le corps croit en ce qu'il joue [...]. Ce qui est appris par corps [...] est [...] que</w:t>
      </w:r>
      <w:r w:rsidRPr="00011A46">
        <w:rPr>
          <w:lang w:eastAsia="fr-FR" w:bidi="fr-FR"/>
        </w:rPr>
        <w:t>l</w:t>
      </w:r>
      <w:r w:rsidRPr="00011A46">
        <w:rPr>
          <w:lang w:eastAsia="fr-FR" w:bidi="fr-FR"/>
        </w:rPr>
        <w:t xml:space="preserve">que chose que l'on est. ». </w:t>
      </w:r>
      <w:r w:rsidRPr="00A77344">
        <w:rPr>
          <w:i/>
          <w:iCs/>
        </w:rPr>
        <w:t>Le sens pratique,</w:t>
      </w:r>
      <w:r w:rsidRPr="00011A46">
        <w:rPr>
          <w:lang w:eastAsia="fr-FR" w:bidi="fr-FR"/>
        </w:rPr>
        <w:t xml:space="preserve"> Paris, Minuit, 1980, p. 123.</w:t>
      </w:r>
    </w:p>
  </w:footnote>
  <w:footnote w:id="319">
    <w:p w:rsidR="00B7214C" w:rsidRDefault="00B7214C" w:rsidP="00B7214C">
      <w:pPr>
        <w:pStyle w:val="Notedebasdepage"/>
      </w:pPr>
      <w:r>
        <w:rPr>
          <w:rStyle w:val="Appelnotedebasdep"/>
        </w:rPr>
        <w:footnoteRef/>
      </w:r>
      <w:r>
        <w:t xml:space="preserve"> </w:t>
      </w:r>
      <w:r>
        <w:tab/>
      </w:r>
      <w:r w:rsidRPr="00011A46">
        <w:rPr>
          <w:lang w:eastAsia="fr-FR" w:bidi="fr-FR"/>
        </w:rPr>
        <w:t xml:space="preserve">P. Rosanvallon, </w:t>
      </w:r>
      <w:r w:rsidRPr="00A77344">
        <w:rPr>
          <w:i/>
          <w:iCs/>
        </w:rPr>
        <w:t>Le sacre du citoyen,</w:t>
      </w:r>
      <w:r w:rsidRPr="00011A46">
        <w:rPr>
          <w:lang w:eastAsia="fr-FR" w:bidi="fr-FR"/>
        </w:rPr>
        <w:t xml:space="preserve"> Paris, Gallimard, 1992, p. 140. Il écrit aussi à propos de la période de la Révolution : « La fe</w:t>
      </w:r>
      <w:r w:rsidRPr="00011A46">
        <w:rPr>
          <w:lang w:eastAsia="fr-FR" w:bidi="fr-FR"/>
        </w:rPr>
        <w:t>m</w:t>
      </w:r>
      <w:r w:rsidRPr="00011A46">
        <w:rPr>
          <w:lang w:eastAsia="fr-FR" w:bidi="fr-FR"/>
        </w:rPr>
        <w:t>me a été d'autant moins reconnue comme individu qu'elle était de plus en plus considérée comme une personne. » Cette proposition devrait être travaillée en se réf</w:t>
      </w:r>
      <w:r w:rsidRPr="00011A46">
        <w:rPr>
          <w:lang w:eastAsia="fr-FR" w:bidi="fr-FR"/>
        </w:rPr>
        <w:t>é</w:t>
      </w:r>
      <w:r w:rsidRPr="00011A46">
        <w:rPr>
          <w:lang w:eastAsia="fr-FR" w:bidi="fr-FR"/>
        </w:rPr>
        <w:t>rant, malgré - et à cause de - son mutisme et sur la femme et sur la mère et sur la relation mère-enfant, au travail</w:t>
      </w:r>
      <w:r>
        <w:rPr>
          <w:lang w:eastAsia="fr-FR" w:bidi="fr-FR"/>
        </w:rPr>
        <w:t xml:space="preserve"> </w:t>
      </w:r>
      <w:r w:rsidRPr="00011A46">
        <w:rPr>
          <w:lang w:eastAsia="fr-FR" w:bidi="fr-FR"/>
        </w:rPr>
        <w:t xml:space="preserve">extrêmement stimulant de J.-P. Baud, </w:t>
      </w:r>
      <w:r w:rsidRPr="00A77344">
        <w:rPr>
          <w:i/>
          <w:iCs/>
        </w:rPr>
        <w:t>L'affaire de la main volée,</w:t>
      </w:r>
      <w:r w:rsidRPr="00011A46">
        <w:rPr>
          <w:lang w:eastAsia="fr-FR" w:bidi="fr-FR"/>
        </w:rPr>
        <w:t xml:space="preserve"> Une histoire juridique du corps, Paris, Seuil, 1993.</w:t>
      </w:r>
    </w:p>
  </w:footnote>
  <w:footnote w:id="320">
    <w:p w:rsidR="00B7214C" w:rsidRDefault="00B7214C" w:rsidP="00B7214C">
      <w:pPr>
        <w:pStyle w:val="Notedebasdepage"/>
      </w:pPr>
      <w:r>
        <w:rPr>
          <w:rStyle w:val="Appelnotedebasdep"/>
        </w:rPr>
        <w:footnoteRef/>
      </w:r>
      <w:r>
        <w:t xml:space="preserve"> </w:t>
      </w:r>
      <w:r>
        <w:tab/>
      </w:r>
      <w:r w:rsidRPr="00011A46">
        <w:rPr>
          <w:lang w:eastAsia="fr-FR" w:bidi="fr-FR"/>
        </w:rPr>
        <w:t xml:space="preserve">Voir ma communication, à paraître, au colloque </w:t>
      </w:r>
      <w:r w:rsidRPr="00A77344">
        <w:rPr>
          <w:i/>
          <w:iCs/>
        </w:rPr>
        <w:t>Brésil-Québec, Mouvements sociaux et représentation politique,</w:t>
      </w:r>
      <w:r w:rsidRPr="00011A46">
        <w:rPr>
          <w:lang w:eastAsia="fr-FR" w:bidi="fr-FR"/>
        </w:rPr>
        <w:t xml:space="preserve"> UQAM, février 1991.</w:t>
      </w:r>
    </w:p>
  </w:footnote>
  <w:footnote w:id="321">
    <w:p w:rsidR="00B7214C" w:rsidRDefault="00B7214C" w:rsidP="00B7214C">
      <w:pPr>
        <w:pStyle w:val="Notedebasdepage"/>
      </w:pPr>
      <w:r>
        <w:rPr>
          <w:rStyle w:val="Appelnotedebasdep"/>
        </w:rPr>
        <w:footnoteRef/>
      </w:r>
      <w:r>
        <w:t xml:space="preserve"> </w:t>
      </w:r>
      <w:r>
        <w:tab/>
      </w:r>
      <w:r w:rsidRPr="00011A46">
        <w:rPr>
          <w:lang w:eastAsia="fr-FR" w:bidi="fr-FR"/>
        </w:rPr>
        <w:t>Voir « les mères ne sont pas des citoyennes », communication, UQAM, S</w:t>
      </w:r>
      <w:r w:rsidRPr="00011A46">
        <w:rPr>
          <w:lang w:eastAsia="fr-FR" w:bidi="fr-FR"/>
        </w:rPr>
        <w:t>é</w:t>
      </w:r>
      <w:r w:rsidRPr="00011A46">
        <w:rPr>
          <w:lang w:eastAsia="fr-FR" w:bidi="fr-FR"/>
        </w:rPr>
        <w:t>minaire UNESCO, 6 mai 1992,</w:t>
      </w:r>
      <w:r>
        <w:rPr>
          <w:lang w:eastAsia="fr-FR" w:bidi="fr-FR"/>
        </w:rPr>
        <w:t xml:space="preserve"> </w:t>
      </w:r>
      <w:r w:rsidRPr="00011A46">
        <w:rPr>
          <w:lang w:eastAsia="fr-FR" w:bidi="fr-FR"/>
        </w:rPr>
        <w:t>19 p.</w:t>
      </w:r>
    </w:p>
  </w:footnote>
  <w:footnote w:id="322">
    <w:p w:rsidR="00B7214C" w:rsidRDefault="00B7214C" w:rsidP="00B7214C">
      <w:pPr>
        <w:pStyle w:val="Notedebasdepage"/>
      </w:pPr>
      <w:r>
        <w:rPr>
          <w:rStyle w:val="Appelnotedebasdep"/>
        </w:rPr>
        <w:footnoteRef/>
      </w:r>
      <w:r>
        <w:t xml:space="preserve"> </w:t>
      </w:r>
      <w:r>
        <w:tab/>
      </w:r>
      <w:r w:rsidRPr="00011A46">
        <w:rPr>
          <w:lang w:eastAsia="fr-FR" w:bidi="fr-FR"/>
        </w:rPr>
        <w:t xml:space="preserve">Dans </w:t>
      </w:r>
      <w:r w:rsidRPr="00A77344">
        <w:rPr>
          <w:i/>
          <w:iCs/>
        </w:rPr>
        <w:t>L'inestimable objet de la transmission,</w:t>
      </w:r>
      <w:r w:rsidRPr="00011A46">
        <w:rPr>
          <w:lang w:eastAsia="fr-FR" w:bidi="fr-FR"/>
        </w:rPr>
        <w:t xml:space="preserve"> Paris, Fayard, 1985. C'est à cet auteur que ma réflexion est la plus redevable.</w:t>
      </w:r>
    </w:p>
  </w:footnote>
  <w:footnote w:id="323">
    <w:p w:rsidR="00B7214C" w:rsidRDefault="00B7214C" w:rsidP="00B7214C">
      <w:pPr>
        <w:pStyle w:val="Notedebasdepage"/>
      </w:pPr>
      <w:r>
        <w:rPr>
          <w:rStyle w:val="Appelnotedebasdep"/>
        </w:rPr>
        <w:footnoteRef/>
      </w:r>
      <w:r>
        <w:t xml:space="preserve"> </w:t>
      </w:r>
      <w:r>
        <w:tab/>
      </w:r>
      <w:r w:rsidRPr="00011A46">
        <w:rPr>
          <w:lang w:eastAsia="fr-FR" w:bidi="fr-FR"/>
        </w:rPr>
        <w:t>Ces deux ouvrages ne visent pas l'ère romano-chrétienne et même si je viens d'affirmer que les considérations prop</w:t>
      </w:r>
      <w:r w:rsidRPr="00011A46">
        <w:rPr>
          <w:lang w:eastAsia="fr-FR" w:bidi="fr-FR"/>
        </w:rPr>
        <w:t>o</w:t>
      </w:r>
      <w:r w:rsidRPr="00011A46">
        <w:rPr>
          <w:lang w:eastAsia="fr-FR" w:bidi="fr-FR"/>
        </w:rPr>
        <w:t>sées dans ce texte ne prennent place que dans ce que l'on appelle l'Occident, il me paraît pourtant légitime, à pr</w:t>
      </w:r>
      <w:r w:rsidRPr="00011A46">
        <w:rPr>
          <w:lang w:eastAsia="fr-FR" w:bidi="fr-FR"/>
        </w:rPr>
        <w:t>o</w:t>
      </w:r>
      <w:r w:rsidRPr="00011A46">
        <w:rPr>
          <w:lang w:eastAsia="fr-FR" w:bidi="fr-FR"/>
        </w:rPr>
        <w:t>pos de la Mère - et de son rapport au politique - d'universaliser le point d'a</w:t>
      </w:r>
      <w:r w:rsidRPr="00011A46">
        <w:rPr>
          <w:lang w:eastAsia="fr-FR" w:bidi="fr-FR"/>
        </w:rPr>
        <w:t>n</w:t>
      </w:r>
      <w:r w:rsidRPr="00011A46">
        <w:rPr>
          <w:lang w:eastAsia="fr-FR" w:bidi="fr-FR"/>
        </w:rPr>
        <w:t>crage.</w:t>
      </w:r>
    </w:p>
  </w:footnote>
  <w:footnote w:id="324">
    <w:p w:rsidR="00B7214C" w:rsidRDefault="00B7214C" w:rsidP="00B7214C">
      <w:pPr>
        <w:pStyle w:val="Notedebasdepage"/>
      </w:pPr>
      <w:r>
        <w:rPr>
          <w:rStyle w:val="Appelnotedebasdep"/>
        </w:rPr>
        <w:footnoteRef/>
      </w:r>
      <w:r>
        <w:t xml:space="preserve"> </w:t>
      </w:r>
      <w:r>
        <w:tab/>
      </w:r>
      <w:r w:rsidRPr="00011A46">
        <w:rPr>
          <w:lang w:eastAsia="fr-FR" w:bidi="fr-FR"/>
        </w:rPr>
        <w:t xml:space="preserve">A. Grosrichard, </w:t>
      </w:r>
      <w:r w:rsidRPr="00A77344">
        <w:rPr>
          <w:i/>
          <w:iCs/>
        </w:rPr>
        <w:t>Structure du sérail,</w:t>
      </w:r>
      <w:r w:rsidRPr="00011A46">
        <w:rPr>
          <w:lang w:eastAsia="fr-FR" w:bidi="fr-FR"/>
        </w:rPr>
        <w:t xml:space="preserve"> La fiction du despotisme asi</w:t>
      </w:r>
      <w:r w:rsidRPr="00011A46">
        <w:rPr>
          <w:lang w:eastAsia="fr-FR" w:bidi="fr-FR"/>
        </w:rPr>
        <w:t>a</w:t>
      </w:r>
      <w:r w:rsidRPr="00011A46">
        <w:rPr>
          <w:lang w:eastAsia="fr-FR" w:bidi="fr-FR"/>
        </w:rPr>
        <w:t>tique dans l'Occident classique, Paris, Seuil, 1979, p. 232.</w:t>
      </w:r>
    </w:p>
  </w:footnote>
  <w:footnote w:id="325">
    <w:p w:rsidR="00B7214C" w:rsidRDefault="00B7214C" w:rsidP="00B7214C">
      <w:pPr>
        <w:pStyle w:val="Notedebasdepage"/>
      </w:pPr>
      <w:r>
        <w:rPr>
          <w:rStyle w:val="Appelnotedebasdep"/>
        </w:rPr>
        <w:footnoteRef/>
      </w:r>
      <w:r>
        <w:t xml:space="preserve"> </w:t>
      </w:r>
      <w:r>
        <w:tab/>
      </w:r>
      <w:r w:rsidRPr="00011A46">
        <w:rPr>
          <w:lang w:eastAsia="fr-FR" w:bidi="fr-FR"/>
        </w:rPr>
        <w:t xml:space="preserve">N. Loraux, </w:t>
      </w:r>
      <w:r w:rsidRPr="00A77344">
        <w:rPr>
          <w:i/>
          <w:iCs/>
        </w:rPr>
        <w:t>Les mères en deuil,</w:t>
      </w:r>
      <w:r w:rsidRPr="00011A46">
        <w:rPr>
          <w:lang w:eastAsia="fr-FR" w:bidi="fr-FR"/>
        </w:rPr>
        <w:t xml:space="preserve"> Paris, Seuil, 1990, en partic</w:t>
      </w:r>
      <w:r w:rsidRPr="00011A46">
        <w:rPr>
          <w:lang w:eastAsia="fr-FR" w:bidi="fr-FR"/>
        </w:rPr>
        <w:t>u</w:t>
      </w:r>
      <w:r w:rsidRPr="00011A46">
        <w:rPr>
          <w:lang w:eastAsia="fr-FR" w:bidi="fr-FR"/>
        </w:rPr>
        <w:t>lier, « La Mère sur l'Agora », p</w:t>
      </w:r>
      <w:r>
        <w:rPr>
          <w:lang w:eastAsia="fr-FR" w:bidi="fr-FR"/>
        </w:rPr>
        <w:t>p</w:t>
      </w:r>
      <w:r w:rsidRPr="00011A46">
        <w:rPr>
          <w:lang w:eastAsia="fr-FR" w:bidi="fr-FR"/>
        </w:rPr>
        <w:t>. 101-119.</w:t>
      </w:r>
    </w:p>
  </w:footnote>
  <w:footnote w:id="326">
    <w:p w:rsidR="00B7214C" w:rsidRDefault="00B7214C" w:rsidP="00B7214C">
      <w:pPr>
        <w:pStyle w:val="Notedebasdepage"/>
      </w:pPr>
      <w:r>
        <w:rPr>
          <w:rStyle w:val="Appelnotedebasdep"/>
        </w:rPr>
        <w:footnoteRef/>
      </w:r>
      <w:r>
        <w:t xml:space="preserve"> </w:t>
      </w:r>
      <w:r>
        <w:tab/>
      </w:r>
      <w:r w:rsidRPr="00011A46">
        <w:rPr>
          <w:lang w:eastAsia="fr-FR" w:bidi="fr-FR"/>
        </w:rPr>
        <w:t xml:space="preserve">P. Legendre, </w:t>
      </w:r>
      <w:r w:rsidRPr="00A77344">
        <w:rPr>
          <w:i/>
          <w:iCs/>
        </w:rPr>
        <w:t>Les enfants du texte,</w:t>
      </w:r>
      <w:r w:rsidRPr="00011A46">
        <w:rPr>
          <w:lang w:eastAsia="fr-FR" w:bidi="fr-FR"/>
        </w:rPr>
        <w:t xml:space="preserve"> Paris, Fayard, 1992, p. 43.</w:t>
      </w:r>
    </w:p>
  </w:footnote>
  <w:footnote w:id="327">
    <w:p w:rsidR="00B7214C" w:rsidRDefault="00B7214C" w:rsidP="00B7214C">
      <w:pPr>
        <w:pStyle w:val="Notedebasdepage"/>
      </w:pPr>
      <w:r>
        <w:rPr>
          <w:rStyle w:val="Appelnotedebasdep"/>
        </w:rPr>
        <w:footnoteRef/>
      </w:r>
      <w:r>
        <w:t xml:space="preserve"> </w:t>
      </w:r>
      <w:r>
        <w:tab/>
      </w:r>
      <w:r w:rsidRPr="00011A46">
        <w:rPr>
          <w:lang w:eastAsia="fr-FR" w:bidi="fr-FR"/>
        </w:rPr>
        <w:t>La matrilinéarité est aussi une invention humaine par l</w:t>
      </w:r>
      <w:r w:rsidRPr="00011A46">
        <w:rPr>
          <w:lang w:eastAsia="fr-FR" w:bidi="fr-FR"/>
        </w:rPr>
        <w:t>a</w:t>
      </w:r>
      <w:r w:rsidRPr="00011A46">
        <w:rPr>
          <w:lang w:eastAsia="fr-FR" w:bidi="fr-FR"/>
        </w:rPr>
        <w:t>quelle l'humain est humain, mais moins simple, plus complexe, puisque la transmission trans</w:t>
      </w:r>
      <w:r w:rsidRPr="00011A46">
        <w:rPr>
          <w:lang w:eastAsia="fr-FR" w:bidi="fr-FR"/>
        </w:rPr>
        <w:t>i</w:t>
      </w:r>
      <w:r w:rsidRPr="00011A46">
        <w:rPr>
          <w:lang w:eastAsia="fr-FR" w:bidi="fr-FR"/>
        </w:rPr>
        <w:t>tant de l'oncle au neveu, la représentation trinaire est un repère moins i</w:t>
      </w:r>
      <w:r w:rsidRPr="00011A46">
        <w:rPr>
          <w:lang w:eastAsia="fr-FR" w:bidi="fr-FR"/>
        </w:rPr>
        <w:t>m</w:t>
      </w:r>
      <w:r w:rsidRPr="00011A46">
        <w:rPr>
          <w:lang w:eastAsia="fr-FR" w:bidi="fr-FR"/>
        </w:rPr>
        <w:t>médiatement accessible pour la pensée.</w:t>
      </w:r>
    </w:p>
  </w:footnote>
  <w:footnote w:id="328">
    <w:p w:rsidR="00B7214C" w:rsidRDefault="00B7214C" w:rsidP="00B7214C">
      <w:pPr>
        <w:pStyle w:val="Notedebasdepage"/>
      </w:pPr>
      <w:r>
        <w:rPr>
          <w:rStyle w:val="Appelnotedebasdep"/>
        </w:rPr>
        <w:footnoteRef/>
      </w:r>
      <w:r>
        <w:t xml:space="preserve"> </w:t>
      </w:r>
      <w:r>
        <w:tab/>
      </w:r>
      <w:r w:rsidRPr="00011A46">
        <w:rPr>
          <w:lang w:eastAsia="fr-FR" w:bidi="fr-FR"/>
        </w:rPr>
        <w:t xml:space="preserve">La question de la transmission au féminin a été posée par F. Collin dans « Héritage sans testament ». </w:t>
      </w:r>
      <w:r w:rsidRPr="00A77344">
        <w:rPr>
          <w:i/>
          <w:iCs/>
        </w:rPr>
        <w:t>Les Cahiers du GRIF,</w:t>
      </w:r>
      <w:r w:rsidRPr="00011A46">
        <w:rPr>
          <w:lang w:eastAsia="fr-FR" w:bidi="fr-FR"/>
        </w:rPr>
        <w:t xml:space="preserve"> n°</w:t>
      </w:r>
      <w:r>
        <w:rPr>
          <w:lang w:eastAsia="fr-FR" w:bidi="fr-FR"/>
        </w:rPr>
        <w:t> </w:t>
      </w:r>
      <w:r w:rsidRPr="00011A46">
        <w:rPr>
          <w:lang w:eastAsia="fr-FR" w:bidi="fr-FR"/>
        </w:rPr>
        <w:t>34,</w:t>
      </w:r>
      <w:r>
        <w:rPr>
          <w:lang w:eastAsia="fr-FR" w:bidi="fr-FR"/>
        </w:rPr>
        <w:t xml:space="preserve"> </w:t>
      </w:r>
      <w:r w:rsidRPr="00011A46">
        <w:rPr>
          <w:lang w:eastAsia="fr-FR" w:bidi="fr-FR"/>
        </w:rPr>
        <w:t xml:space="preserve">1986, </w:t>
      </w:r>
      <w:r w:rsidRPr="00A77344">
        <w:rPr>
          <w:i/>
          <w:iCs/>
        </w:rPr>
        <w:t>Les jeunes, la transmission,</w:t>
      </w:r>
      <w:r w:rsidRPr="00011A46">
        <w:rPr>
          <w:lang w:eastAsia="fr-FR" w:bidi="fr-FR"/>
        </w:rPr>
        <w:t xml:space="preserve"> 81-92. Voir aussi D. Sibony, </w:t>
      </w:r>
      <w:r w:rsidRPr="00A77344">
        <w:rPr>
          <w:i/>
          <w:iCs/>
        </w:rPr>
        <w:t>Entre-deux,</w:t>
      </w:r>
      <w:r w:rsidRPr="00011A46">
        <w:rPr>
          <w:lang w:eastAsia="fr-FR" w:bidi="fr-FR"/>
        </w:rPr>
        <w:t xml:space="preserve"> l'origine en part</w:t>
      </w:r>
      <w:r w:rsidRPr="00011A46">
        <w:rPr>
          <w:lang w:eastAsia="fr-FR" w:bidi="fr-FR"/>
        </w:rPr>
        <w:t>a</w:t>
      </w:r>
      <w:r w:rsidRPr="00011A46">
        <w:rPr>
          <w:lang w:eastAsia="fr-FR" w:bidi="fr-FR"/>
        </w:rPr>
        <w:t>ge, Paris, Seuil, 1991.</w:t>
      </w:r>
    </w:p>
  </w:footnote>
  <w:footnote w:id="329">
    <w:p w:rsidR="00B7214C" w:rsidRDefault="00B7214C" w:rsidP="00B7214C">
      <w:pPr>
        <w:pStyle w:val="Notedebasdepage"/>
      </w:pPr>
      <w:r>
        <w:rPr>
          <w:rStyle w:val="Appelnotedebasdep"/>
        </w:rPr>
        <w:footnoteRef/>
      </w:r>
      <w:r>
        <w:t xml:space="preserve"> </w:t>
      </w:r>
      <w:r>
        <w:tab/>
      </w:r>
      <w:r w:rsidRPr="00011A46">
        <w:rPr>
          <w:lang w:eastAsia="fr-FR" w:bidi="fr-FR"/>
        </w:rPr>
        <w:t>Voir des auteures, par ailleurs si différentes, comme Hélène Cixous, Fra</w:t>
      </w:r>
      <w:r w:rsidRPr="00011A46">
        <w:rPr>
          <w:lang w:eastAsia="fr-FR" w:bidi="fr-FR"/>
        </w:rPr>
        <w:t>n</w:t>
      </w:r>
      <w:r w:rsidRPr="00011A46">
        <w:rPr>
          <w:lang w:eastAsia="fr-FR" w:bidi="fr-FR"/>
        </w:rPr>
        <w:t>çoise Collin, Françoise Héritier, Luce Irig</w:t>
      </w:r>
      <w:r w:rsidRPr="00011A46">
        <w:rPr>
          <w:lang w:eastAsia="fr-FR" w:bidi="fr-FR"/>
        </w:rPr>
        <w:t>a</w:t>
      </w:r>
      <w:r w:rsidRPr="00011A46">
        <w:rPr>
          <w:lang w:eastAsia="fr-FR" w:bidi="fr-FR"/>
        </w:rPr>
        <w:t>ray, Nicole-Claude Mathieu.</w:t>
      </w:r>
    </w:p>
  </w:footnote>
  <w:footnote w:id="330">
    <w:p w:rsidR="00B7214C" w:rsidRDefault="00B7214C" w:rsidP="00B7214C">
      <w:pPr>
        <w:pStyle w:val="Notedebasdepage"/>
      </w:pPr>
      <w:r>
        <w:rPr>
          <w:rStyle w:val="Appelnotedebasdep"/>
        </w:rPr>
        <w:footnoteRef/>
      </w:r>
      <w:r>
        <w:t xml:space="preserve"> </w:t>
      </w:r>
      <w:r>
        <w:tab/>
      </w:r>
      <w:r w:rsidRPr="00011A46">
        <w:rPr>
          <w:lang w:eastAsia="fr-FR" w:bidi="fr-FR"/>
        </w:rPr>
        <w:t xml:space="preserve">Dans </w:t>
      </w:r>
      <w:r w:rsidRPr="00A77344">
        <w:rPr>
          <w:i/>
          <w:iCs/>
        </w:rPr>
        <w:t>L'un est l’autre,</w:t>
      </w:r>
      <w:r w:rsidRPr="00011A46">
        <w:rPr>
          <w:lang w:eastAsia="fr-FR" w:bidi="fr-FR"/>
        </w:rPr>
        <w:t xml:space="preserve"> Paris, Odile Jacob, 1985.</w:t>
      </w:r>
    </w:p>
  </w:footnote>
  <w:footnote w:id="331">
    <w:p w:rsidR="00B7214C" w:rsidRDefault="00B7214C" w:rsidP="00B7214C">
      <w:pPr>
        <w:pStyle w:val="Notedebasdepage"/>
      </w:pPr>
      <w:r>
        <w:rPr>
          <w:rStyle w:val="Appelnotedebasdep"/>
        </w:rPr>
        <w:footnoteRef/>
      </w:r>
      <w:r>
        <w:t xml:space="preserve"> </w:t>
      </w:r>
      <w:r>
        <w:tab/>
      </w:r>
      <w:r w:rsidRPr="00011A46">
        <w:rPr>
          <w:lang w:eastAsia="fr-FR" w:bidi="fr-FR"/>
        </w:rPr>
        <w:t xml:space="preserve">Dans « L'image de ce qui ne peut être vu ». </w:t>
      </w:r>
      <w:r w:rsidRPr="00A77344">
        <w:rPr>
          <w:i/>
          <w:iCs/>
        </w:rPr>
        <w:t>Anthropologie et soci</w:t>
      </w:r>
      <w:r w:rsidRPr="00A77344">
        <w:rPr>
          <w:i/>
          <w:iCs/>
        </w:rPr>
        <w:t>é</w:t>
      </w:r>
      <w:r w:rsidRPr="00A77344">
        <w:rPr>
          <w:i/>
          <w:iCs/>
        </w:rPr>
        <w:t>tés,</w:t>
      </w:r>
      <w:r w:rsidRPr="00011A46">
        <w:rPr>
          <w:lang w:eastAsia="fr-FR" w:bidi="fr-FR"/>
        </w:rPr>
        <w:t xml:space="preserve"> vol.</w:t>
      </w:r>
      <w:r>
        <w:rPr>
          <w:lang w:eastAsia="fr-FR" w:bidi="fr-FR"/>
        </w:rPr>
        <w:t> </w:t>
      </w:r>
      <w:r w:rsidRPr="00011A46">
        <w:rPr>
          <w:lang w:eastAsia="fr-FR" w:bidi="fr-FR"/>
        </w:rPr>
        <w:t>16, n°</w:t>
      </w:r>
      <w:r>
        <w:rPr>
          <w:lang w:eastAsia="fr-FR" w:bidi="fr-FR"/>
        </w:rPr>
        <w:t> </w:t>
      </w:r>
      <w:r w:rsidRPr="00011A46">
        <w:rPr>
          <w:lang w:eastAsia="fr-FR" w:bidi="fr-FR"/>
        </w:rPr>
        <w:t>1,1992, p</w:t>
      </w:r>
      <w:r>
        <w:rPr>
          <w:lang w:eastAsia="fr-FR" w:bidi="fr-FR"/>
        </w:rPr>
        <w:t>p</w:t>
      </w:r>
      <w:r w:rsidRPr="00011A46">
        <w:rPr>
          <w:lang w:eastAsia="fr-FR" w:bidi="fr-FR"/>
        </w:rPr>
        <w:t>. 81-90.</w:t>
      </w:r>
    </w:p>
  </w:footnote>
  <w:footnote w:id="332">
    <w:p w:rsidR="00B7214C" w:rsidRDefault="00B7214C" w:rsidP="00B7214C">
      <w:pPr>
        <w:pStyle w:val="Notedebasdepage"/>
      </w:pPr>
      <w:r>
        <w:rPr>
          <w:rStyle w:val="Appelnotedebasdep"/>
        </w:rPr>
        <w:footnoteRef/>
      </w:r>
      <w:r>
        <w:t xml:space="preserve"> </w:t>
      </w:r>
      <w:r>
        <w:tab/>
      </w:r>
      <w:r w:rsidRPr="00011A46">
        <w:rPr>
          <w:lang w:eastAsia="fr-FR" w:bidi="fr-FR"/>
        </w:rPr>
        <w:t xml:space="preserve">Comme le prétend C. Pateman dans « The Patriarcal Welfare State », dans A. Gutmann, </w:t>
      </w:r>
      <w:r w:rsidRPr="00A77344">
        <w:rPr>
          <w:i/>
          <w:iCs/>
        </w:rPr>
        <w:t>Democracy and the Welfare State,</w:t>
      </w:r>
      <w:r w:rsidRPr="00011A46">
        <w:rPr>
          <w:lang w:eastAsia="fr-FR" w:bidi="fr-FR"/>
        </w:rPr>
        <w:t xml:space="preserve"> Princ</w:t>
      </w:r>
      <w:r w:rsidRPr="00011A46">
        <w:rPr>
          <w:lang w:eastAsia="fr-FR" w:bidi="fr-FR"/>
        </w:rPr>
        <w:t>e</w:t>
      </w:r>
      <w:r w:rsidRPr="00011A46">
        <w:rPr>
          <w:lang w:eastAsia="fr-FR" w:bidi="fr-FR"/>
        </w:rPr>
        <w:t xml:space="preserve">ton UP, 1988, point de vue que reprend D. Lamoureux, dans </w:t>
      </w:r>
      <w:r w:rsidRPr="00A77344">
        <w:rPr>
          <w:i/>
          <w:iCs/>
        </w:rPr>
        <w:t>Citoye</w:t>
      </w:r>
      <w:r w:rsidRPr="00A77344">
        <w:rPr>
          <w:i/>
          <w:iCs/>
        </w:rPr>
        <w:t>n</w:t>
      </w:r>
      <w:r w:rsidRPr="00A77344">
        <w:rPr>
          <w:i/>
          <w:iCs/>
        </w:rPr>
        <w:t>nes ?,</w:t>
      </w:r>
      <w:r w:rsidRPr="00011A46">
        <w:rPr>
          <w:lang w:eastAsia="fr-FR" w:bidi="fr-FR"/>
        </w:rPr>
        <w:t xml:space="preserve"> Montréal, Remue-ménage, 1989.</w:t>
      </w:r>
    </w:p>
  </w:footnote>
  <w:footnote w:id="333">
    <w:p w:rsidR="00B7214C" w:rsidRDefault="00B7214C" w:rsidP="00B7214C">
      <w:pPr>
        <w:pStyle w:val="Notedebasdepage"/>
      </w:pPr>
      <w:r>
        <w:rPr>
          <w:rStyle w:val="Appelnotedebasdep"/>
        </w:rPr>
        <w:footnoteRef/>
      </w:r>
      <w:r>
        <w:t xml:space="preserve"> </w:t>
      </w:r>
      <w:r>
        <w:tab/>
      </w:r>
      <w:r w:rsidRPr="00011A46">
        <w:rPr>
          <w:lang w:eastAsia="fr-FR" w:bidi="fr-FR"/>
        </w:rPr>
        <w:t>Ce point devrait être développé en tenant compte de l'a</w:t>
      </w:r>
      <w:r w:rsidRPr="00011A46">
        <w:rPr>
          <w:lang w:eastAsia="fr-FR" w:bidi="fr-FR"/>
        </w:rPr>
        <w:t>p</w:t>
      </w:r>
      <w:r w:rsidRPr="00011A46">
        <w:rPr>
          <w:lang w:eastAsia="fr-FR" w:bidi="fr-FR"/>
        </w:rPr>
        <w:t>port de E. Balibar, « Droits de l'homme » et « droits du citoyen ». La dialect</w:t>
      </w:r>
      <w:r w:rsidRPr="00011A46">
        <w:rPr>
          <w:lang w:eastAsia="fr-FR" w:bidi="fr-FR"/>
        </w:rPr>
        <w:t>i</w:t>
      </w:r>
      <w:r w:rsidRPr="00011A46">
        <w:rPr>
          <w:lang w:eastAsia="fr-FR" w:bidi="fr-FR"/>
        </w:rPr>
        <w:t xml:space="preserve">que moderne de l'égalité et de la liberté », dans </w:t>
      </w:r>
      <w:r w:rsidRPr="00A77344">
        <w:rPr>
          <w:i/>
          <w:iCs/>
        </w:rPr>
        <w:t>Les frontières de la dém</w:t>
      </w:r>
      <w:r w:rsidRPr="00A77344">
        <w:rPr>
          <w:i/>
          <w:iCs/>
        </w:rPr>
        <w:t>o</w:t>
      </w:r>
      <w:r w:rsidRPr="00A77344">
        <w:rPr>
          <w:i/>
          <w:iCs/>
        </w:rPr>
        <w:t>cratie,</w:t>
      </w:r>
      <w:r w:rsidRPr="00011A46">
        <w:rPr>
          <w:lang w:eastAsia="fr-FR" w:bidi="fr-FR"/>
        </w:rPr>
        <w:t xml:space="preserve"> Paris, La Découverte, 1992, </w:t>
      </w:r>
      <w:r>
        <w:rPr>
          <w:lang w:eastAsia="fr-FR" w:bidi="fr-FR"/>
        </w:rPr>
        <w:t>p</w:t>
      </w:r>
      <w:r w:rsidRPr="00011A46">
        <w:rPr>
          <w:lang w:eastAsia="fr-FR" w:bidi="fr-FR"/>
        </w:rPr>
        <w:t>p. 124-150.</w:t>
      </w:r>
    </w:p>
  </w:footnote>
  <w:footnote w:id="334">
    <w:p w:rsidR="00B7214C" w:rsidRDefault="00B7214C" w:rsidP="00B7214C">
      <w:pPr>
        <w:pStyle w:val="Notedebasdepage"/>
      </w:pPr>
      <w:r>
        <w:rPr>
          <w:rStyle w:val="Appelnotedebasdep"/>
        </w:rPr>
        <w:footnoteRef/>
      </w:r>
      <w:r>
        <w:t xml:space="preserve"> </w:t>
      </w:r>
      <w:r>
        <w:tab/>
      </w:r>
      <w:r w:rsidRPr="00011A46">
        <w:rPr>
          <w:lang w:eastAsia="fr-FR" w:bidi="fr-FR"/>
        </w:rPr>
        <w:t xml:space="preserve">J. Derrida, « Donner la mort », p. 25, dans </w:t>
      </w:r>
      <w:r w:rsidRPr="00A77344">
        <w:rPr>
          <w:i/>
          <w:iCs/>
        </w:rPr>
        <w:t>L'éthique du don, Jacques Derr</w:t>
      </w:r>
      <w:r w:rsidRPr="00A77344">
        <w:rPr>
          <w:i/>
          <w:iCs/>
        </w:rPr>
        <w:t>i</w:t>
      </w:r>
      <w:r w:rsidRPr="00A77344">
        <w:rPr>
          <w:i/>
          <w:iCs/>
        </w:rPr>
        <w:t>da et la pensée du don,</w:t>
      </w:r>
      <w:r w:rsidRPr="00011A46">
        <w:rPr>
          <w:lang w:eastAsia="fr-FR" w:bidi="fr-FR"/>
        </w:rPr>
        <w:t xml:space="preserve"> Colloque de Royaumont, décembre 1990, Paris, M</w:t>
      </w:r>
      <w:r w:rsidRPr="00011A46">
        <w:rPr>
          <w:lang w:eastAsia="fr-FR" w:bidi="fr-FR"/>
        </w:rPr>
        <w:t>é</w:t>
      </w:r>
      <w:r w:rsidRPr="00011A46">
        <w:rPr>
          <w:lang w:eastAsia="fr-FR" w:bidi="fr-FR"/>
        </w:rPr>
        <w:t>tailié, 1992.</w:t>
      </w:r>
    </w:p>
  </w:footnote>
  <w:footnote w:id="335">
    <w:p w:rsidR="00B7214C" w:rsidRDefault="00B7214C" w:rsidP="00B7214C">
      <w:pPr>
        <w:pStyle w:val="Notedebasdepage"/>
      </w:pPr>
      <w:r>
        <w:rPr>
          <w:rStyle w:val="Appelnotedebasdep"/>
        </w:rPr>
        <w:footnoteRef/>
      </w:r>
      <w:r>
        <w:t xml:space="preserve"> </w:t>
      </w:r>
      <w:r>
        <w:tab/>
      </w:r>
      <w:r w:rsidRPr="00011A46">
        <w:rPr>
          <w:lang w:eastAsia="fr-FR" w:bidi="fr-FR"/>
        </w:rPr>
        <w:t xml:space="preserve">Voir M. Sineau, « Droit et démocratie », dans G. Duby, M. Perrot (dir.). </w:t>
      </w:r>
      <w:r w:rsidRPr="00A77344">
        <w:rPr>
          <w:i/>
          <w:iCs/>
        </w:rPr>
        <w:t>Histoire des femmes,</w:t>
      </w:r>
      <w:r w:rsidRPr="00011A46">
        <w:rPr>
          <w:lang w:eastAsia="fr-FR" w:bidi="fr-FR"/>
        </w:rPr>
        <w:t xml:space="preserve"> tome V, </w:t>
      </w:r>
      <w:r w:rsidRPr="00A77344">
        <w:rPr>
          <w:i/>
          <w:iCs/>
        </w:rPr>
        <w:t>Le XX</w:t>
      </w:r>
      <w:r w:rsidRPr="00A77344">
        <w:rPr>
          <w:i/>
          <w:iCs/>
          <w:vertAlign w:val="superscript"/>
        </w:rPr>
        <w:t>e</w:t>
      </w:r>
      <w:r w:rsidRPr="00011A46">
        <w:rPr>
          <w:lang w:eastAsia="fr-FR" w:bidi="fr-FR"/>
        </w:rPr>
        <w:t xml:space="preserve"> siècle, sous la d</w:t>
      </w:r>
      <w:r w:rsidRPr="00011A46">
        <w:rPr>
          <w:lang w:eastAsia="fr-FR" w:bidi="fr-FR"/>
        </w:rPr>
        <w:t>i</w:t>
      </w:r>
      <w:r w:rsidRPr="00011A46">
        <w:rPr>
          <w:lang w:eastAsia="fr-FR" w:bidi="fr-FR"/>
        </w:rPr>
        <w:t>rection de F</w:t>
      </w:r>
      <w:r>
        <w:rPr>
          <w:lang w:eastAsia="fr-FR" w:bidi="fr-FR"/>
        </w:rPr>
        <w:t>. Thébaud, Paris, Plon, pp. 471-</w:t>
      </w:r>
      <w:r w:rsidRPr="00011A46">
        <w:rPr>
          <w:lang w:eastAsia="fr-FR" w:bidi="fr-FR"/>
        </w:rPr>
        <w:t>497. Les revendications r</w:t>
      </w:r>
      <w:r w:rsidRPr="00011A46">
        <w:rPr>
          <w:lang w:eastAsia="fr-FR" w:bidi="fr-FR"/>
        </w:rPr>
        <w:t>e</w:t>
      </w:r>
      <w:r w:rsidRPr="00011A46">
        <w:rPr>
          <w:lang w:eastAsia="fr-FR" w:bidi="fr-FR"/>
        </w:rPr>
        <w:t>latives à la capacité civile des femmes ont bien été défendues par des fémini</w:t>
      </w:r>
      <w:r w:rsidRPr="00011A46">
        <w:rPr>
          <w:lang w:eastAsia="fr-FR" w:bidi="fr-FR"/>
        </w:rPr>
        <w:t>s</w:t>
      </w:r>
      <w:r w:rsidRPr="00011A46">
        <w:rPr>
          <w:lang w:eastAsia="fr-FR" w:bidi="fr-FR"/>
        </w:rPr>
        <w:t>tes mais, en dehors d'un mouvement social.</w:t>
      </w:r>
    </w:p>
  </w:footnote>
  <w:footnote w:id="336">
    <w:p w:rsidR="00B7214C" w:rsidRDefault="00B7214C" w:rsidP="00B7214C">
      <w:pPr>
        <w:pStyle w:val="Notedebasdepage"/>
      </w:pPr>
      <w:r>
        <w:rPr>
          <w:rStyle w:val="Appelnotedebasdep"/>
        </w:rPr>
        <w:footnoteRef/>
      </w:r>
      <w:r>
        <w:t xml:space="preserve"> </w:t>
      </w:r>
      <w:r>
        <w:tab/>
      </w:r>
      <w:r w:rsidRPr="00011A46">
        <w:rPr>
          <w:lang w:eastAsia="fr-FR" w:bidi="fr-FR"/>
        </w:rPr>
        <w:t>Voir J.-Y. Thériault, « De l'utilité de la distinction moderne pr</w:t>
      </w:r>
      <w:r w:rsidRPr="00011A46">
        <w:rPr>
          <w:lang w:eastAsia="fr-FR" w:bidi="fr-FR"/>
        </w:rPr>
        <w:t>i</w:t>
      </w:r>
      <w:r w:rsidRPr="00011A46">
        <w:rPr>
          <w:lang w:eastAsia="fr-FR" w:bidi="fr-FR"/>
        </w:rPr>
        <w:t xml:space="preserve">vé/public ». </w:t>
      </w:r>
      <w:r w:rsidRPr="00A77344">
        <w:rPr>
          <w:i/>
          <w:iCs/>
        </w:rPr>
        <w:t xml:space="preserve">Politique, </w:t>
      </w:r>
      <w:r w:rsidRPr="00011A46">
        <w:rPr>
          <w:lang w:eastAsia="fr-FR" w:bidi="fr-FR"/>
        </w:rPr>
        <w:t>1992, n°</w:t>
      </w:r>
      <w:r>
        <w:rPr>
          <w:lang w:eastAsia="fr-FR" w:bidi="fr-FR"/>
        </w:rPr>
        <w:t> </w:t>
      </w:r>
      <w:r w:rsidRPr="00011A46">
        <w:rPr>
          <w:lang w:eastAsia="fr-FR" w:bidi="fr-FR"/>
        </w:rPr>
        <w:t>21, p</w:t>
      </w:r>
      <w:r>
        <w:rPr>
          <w:lang w:eastAsia="fr-FR" w:bidi="fr-FR"/>
        </w:rPr>
        <w:t>p</w:t>
      </w:r>
      <w:r w:rsidRPr="00011A46">
        <w:rPr>
          <w:lang w:eastAsia="fr-FR" w:bidi="fr-FR"/>
        </w:rPr>
        <w:t>. 37-69.</w:t>
      </w:r>
    </w:p>
  </w:footnote>
  <w:footnote w:id="337">
    <w:p w:rsidR="00B7214C" w:rsidRDefault="00B7214C" w:rsidP="00B7214C">
      <w:pPr>
        <w:pStyle w:val="Notedebasdepage"/>
      </w:pPr>
      <w:r>
        <w:rPr>
          <w:rStyle w:val="Appelnotedebasdep"/>
        </w:rPr>
        <w:footnoteRef/>
      </w:r>
      <w:r>
        <w:t xml:space="preserve"> </w:t>
      </w:r>
      <w:r>
        <w:tab/>
      </w:r>
      <w:r w:rsidRPr="00011A46">
        <w:rPr>
          <w:lang w:eastAsia="fr-FR" w:bidi="fr-FR"/>
        </w:rPr>
        <w:t>Par exemple, A. Saint-Jean, « L'enterrement de la parole des fe</w:t>
      </w:r>
      <w:r w:rsidRPr="00011A46">
        <w:rPr>
          <w:lang w:eastAsia="fr-FR" w:bidi="fr-FR"/>
        </w:rPr>
        <w:t>m</w:t>
      </w:r>
      <w:r w:rsidRPr="00011A46">
        <w:rPr>
          <w:lang w:eastAsia="fr-FR" w:bidi="fr-FR"/>
        </w:rPr>
        <w:t xml:space="preserve">mes : une analyse de l'attitude des médias », dans L. Malette et M. Chalouh (dir.), </w:t>
      </w:r>
      <w:r w:rsidRPr="00A77344">
        <w:rPr>
          <w:i/>
          <w:iCs/>
        </w:rPr>
        <w:t>P</w:t>
      </w:r>
      <w:r w:rsidRPr="00A77344">
        <w:rPr>
          <w:i/>
          <w:iCs/>
        </w:rPr>
        <w:t>O</w:t>
      </w:r>
      <w:r w:rsidRPr="00A77344">
        <w:rPr>
          <w:i/>
          <w:iCs/>
        </w:rPr>
        <w:t>LYTECHNIQUE, 6 décembre,</w:t>
      </w:r>
      <w:r w:rsidRPr="00011A46">
        <w:rPr>
          <w:lang w:eastAsia="fr-FR" w:bidi="fr-FR"/>
        </w:rPr>
        <w:t xml:space="preserve"> Montréal, Remue-ménage, 1990, </w:t>
      </w:r>
      <w:r>
        <w:rPr>
          <w:lang w:eastAsia="fr-FR" w:bidi="fr-FR"/>
        </w:rPr>
        <w:t>p</w:t>
      </w:r>
      <w:r w:rsidRPr="00011A46">
        <w:rPr>
          <w:lang w:eastAsia="fr-FR" w:bidi="fr-FR"/>
        </w:rPr>
        <w:t>p. 57-62, en particulier p</w:t>
      </w:r>
      <w:r>
        <w:rPr>
          <w:lang w:eastAsia="fr-FR" w:bidi="fr-FR"/>
        </w:rPr>
        <w:t>p</w:t>
      </w:r>
      <w:r w:rsidRPr="00011A46">
        <w:rPr>
          <w:lang w:eastAsia="fr-FR" w:bidi="fr-FR"/>
        </w:rPr>
        <w:t>. 60 et p. 62.</w:t>
      </w:r>
    </w:p>
  </w:footnote>
  <w:footnote w:id="338">
    <w:p w:rsidR="00B7214C" w:rsidRDefault="00B7214C" w:rsidP="00B7214C">
      <w:pPr>
        <w:pStyle w:val="Notedebasdepage"/>
      </w:pPr>
      <w:r>
        <w:rPr>
          <w:rStyle w:val="Appelnotedebasdep"/>
        </w:rPr>
        <w:footnoteRef/>
      </w:r>
      <w:r>
        <w:t xml:space="preserve"> </w:t>
      </w:r>
      <w:r>
        <w:tab/>
      </w:r>
      <w:r w:rsidRPr="00011A46">
        <w:t>Cette communication est fondée sur un projet de reche</w:t>
      </w:r>
      <w:r w:rsidRPr="00011A46">
        <w:t>r</w:t>
      </w:r>
      <w:r w:rsidRPr="00011A46">
        <w:t>che en cours depuis 1988 que l'auteur mène avec Ruth Mu</w:t>
      </w:r>
      <w:r w:rsidRPr="00011A46">
        <w:t>r</w:t>
      </w:r>
      <w:r w:rsidRPr="00011A46">
        <w:t>bach (Sciences juridiques, UQAM), je tiens à remercier tant ma collègue pour l'inte</w:t>
      </w:r>
      <w:r w:rsidRPr="00011A46">
        <w:t>r</w:t>
      </w:r>
      <w:r w:rsidRPr="00011A46">
        <w:t>prétation des résultats qu'Ignace Ol</w:t>
      </w:r>
      <w:r w:rsidRPr="00011A46">
        <w:t>a</w:t>
      </w:r>
      <w:r w:rsidRPr="00011A46">
        <w:t>zabal pour sa collaboration à la collecte des données. Ce projet a eu, dans ses phases successives, l'appui de plusieurs organismes subve</w:t>
      </w:r>
      <w:r w:rsidRPr="00011A46">
        <w:t>n</w:t>
      </w:r>
      <w:r w:rsidRPr="00011A46">
        <w:t>tionnaires : le Conseil de reche</w:t>
      </w:r>
      <w:r w:rsidRPr="00011A46">
        <w:t>r</w:t>
      </w:r>
      <w:r w:rsidRPr="00011A46">
        <w:t>che en sciences humaines du Canada, le Conseil québécois de la r</w:t>
      </w:r>
      <w:r w:rsidRPr="00011A46">
        <w:t>e</w:t>
      </w:r>
      <w:r w:rsidRPr="00011A46">
        <w:t>cherche sociale, le Fonds FCAR, le Secrétariat d'État au Multiculturalisme et à la Citoyenneté. Une version élaborée des r</w:t>
      </w:r>
      <w:r w:rsidRPr="00011A46">
        <w:t>é</w:t>
      </w:r>
      <w:r w:rsidRPr="00011A46">
        <w:t>sultats empiriques et de l'argumentation théorique sera p</w:t>
      </w:r>
      <w:r w:rsidRPr="00011A46">
        <w:t>u</w:t>
      </w:r>
      <w:r w:rsidRPr="00011A46">
        <w:t>bliée par M. Elbaz et R. Murbach dans la Revue européenne des migrations internationales sous l'intitulé « Minorités vis</w:t>
      </w:r>
      <w:r w:rsidRPr="00011A46">
        <w:t>i</w:t>
      </w:r>
      <w:r w:rsidRPr="00011A46">
        <w:t>bles et action positive au Canada : une affaire de génér</w:t>
      </w:r>
      <w:r w:rsidRPr="00011A46">
        <w:t>a</w:t>
      </w:r>
      <w:r w:rsidRPr="00011A46">
        <w:t>tions ? »</w:t>
      </w:r>
    </w:p>
  </w:footnote>
  <w:footnote w:id="339">
    <w:p w:rsidR="00B7214C" w:rsidRDefault="00B7214C" w:rsidP="00B7214C">
      <w:pPr>
        <w:pStyle w:val="Notedebasdepage"/>
      </w:pPr>
      <w:r>
        <w:rPr>
          <w:rStyle w:val="Appelnotedebasdep"/>
        </w:rPr>
        <w:footnoteRef/>
      </w:r>
      <w:r>
        <w:t xml:space="preserve"> </w:t>
      </w:r>
      <w:r>
        <w:tab/>
      </w:r>
      <w:r w:rsidRPr="00011A46">
        <w:t>Pour une explication de ce terme emprunté à Legendre (1992, p. 363) voir les développements érudits qu'il y propose sur la « justice généalogique et le pouvoir d'en juger ».</w:t>
      </w:r>
    </w:p>
  </w:footnote>
  <w:footnote w:id="340">
    <w:p w:rsidR="00B7214C" w:rsidRDefault="00B7214C" w:rsidP="00B7214C">
      <w:pPr>
        <w:pStyle w:val="Notedebasdepage"/>
      </w:pPr>
      <w:r>
        <w:rPr>
          <w:rStyle w:val="Appelnotedebasdep"/>
        </w:rPr>
        <w:footnoteRef/>
      </w:r>
      <w:r>
        <w:t xml:space="preserve"> </w:t>
      </w:r>
      <w:r>
        <w:tab/>
      </w:r>
      <w:r w:rsidRPr="00011A46">
        <w:t xml:space="preserve">Ces articles furent publiés majoritairement dans </w:t>
      </w:r>
      <w:r w:rsidRPr="00BB7297">
        <w:rPr>
          <w:i/>
          <w:iCs/>
        </w:rPr>
        <w:t>The Gazette, La Presse, Le Devoir, le journal de Montréal ;</w:t>
      </w:r>
      <w:r w:rsidRPr="00011A46">
        <w:t xml:space="preserve"> relat</w:t>
      </w:r>
      <w:r w:rsidRPr="00011A46">
        <w:t>i</w:t>
      </w:r>
      <w:r w:rsidRPr="00011A46">
        <w:t xml:space="preserve">vement peu parurent dans </w:t>
      </w:r>
      <w:r w:rsidRPr="00BB7297">
        <w:rPr>
          <w:i/>
          <w:iCs/>
        </w:rPr>
        <w:t>Le Soleil, Le Droit,</w:t>
      </w:r>
      <w:r w:rsidRPr="00011A46">
        <w:t xml:space="preserve"> le </w:t>
      </w:r>
      <w:r w:rsidRPr="00BB7297">
        <w:rPr>
          <w:i/>
          <w:iCs/>
        </w:rPr>
        <w:t>Montréal Daily News.</w:t>
      </w:r>
      <w:r w:rsidRPr="00011A46">
        <w:t xml:space="preserve"> Nous complétions cet ensemble de publ</w:t>
      </w:r>
      <w:r w:rsidRPr="00011A46">
        <w:t>i</w:t>
      </w:r>
      <w:r w:rsidRPr="00011A46">
        <w:t>cations québécoises, pour des périodes déterminées, par des articles des qu</w:t>
      </w:r>
      <w:r w:rsidRPr="00011A46">
        <w:t>o</w:t>
      </w:r>
      <w:r w:rsidRPr="00011A46">
        <w:t xml:space="preserve">tidiens ontariens </w:t>
      </w:r>
      <w:r w:rsidRPr="00BB7297">
        <w:rPr>
          <w:i/>
          <w:iCs/>
        </w:rPr>
        <w:t>Globe and Mail</w:t>
      </w:r>
      <w:r w:rsidRPr="00011A46">
        <w:t xml:space="preserve"> et </w:t>
      </w:r>
      <w:r w:rsidRPr="00BB7297">
        <w:rPr>
          <w:i/>
          <w:iCs/>
        </w:rPr>
        <w:t>T</w:t>
      </w:r>
      <w:r w:rsidRPr="00BB7297">
        <w:rPr>
          <w:i/>
          <w:iCs/>
        </w:rPr>
        <w:t>o</w:t>
      </w:r>
      <w:r w:rsidRPr="00BB7297">
        <w:rPr>
          <w:i/>
          <w:iCs/>
        </w:rPr>
        <w:t>ronto Star et.</w:t>
      </w:r>
      <w:r w:rsidRPr="00011A46">
        <w:t xml:space="preserve"> de quelques périodiques généraux à grand tirage ou éd</w:t>
      </w:r>
      <w:r w:rsidRPr="00011A46">
        <w:t>i</w:t>
      </w:r>
      <w:r w:rsidRPr="00011A46">
        <w:t>tés par des groupes ethniques.</w:t>
      </w:r>
    </w:p>
  </w:footnote>
  <w:footnote w:id="341">
    <w:p w:rsidR="00B7214C" w:rsidRDefault="00B7214C" w:rsidP="00B7214C">
      <w:pPr>
        <w:pStyle w:val="Notedebasdepage"/>
      </w:pPr>
      <w:r>
        <w:rPr>
          <w:rStyle w:val="Appelnotedebasdep"/>
        </w:rPr>
        <w:footnoteRef/>
      </w:r>
      <w:r>
        <w:t xml:space="preserve"> </w:t>
      </w:r>
      <w:r>
        <w:tab/>
      </w:r>
      <w:r w:rsidRPr="00011A46">
        <w:t>Ce sont notamment (suivi du nombre d'articles) : les réa</w:t>
      </w:r>
      <w:r w:rsidRPr="00011A46">
        <w:t>c</w:t>
      </w:r>
      <w:r w:rsidRPr="00011A46">
        <w:t>tions aux rapports Daudlin et Abella (36) ; les Chartes canadienne et québécoise (22) ; l'évol</w:t>
      </w:r>
      <w:r w:rsidRPr="00011A46">
        <w:t>u</w:t>
      </w:r>
      <w:r w:rsidRPr="00011A46">
        <w:t>tion du Comité d'implantation d'un plan d'action à l'intention des Comm</w:t>
      </w:r>
      <w:r w:rsidRPr="00011A46">
        <w:t>u</w:t>
      </w:r>
      <w:r w:rsidRPr="00011A46">
        <w:t>nautés culturelles, CIPACC (23) et de l'org</w:t>
      </w:r>
      <w:r w:rsidRPr="00011A46">
        <w:t>a</w:t>
      </w:r>
      <w:r w:rsidRPr="00011A46">
        <w:t>nisme qui lui succéda en 1985, le Conseil des communautés culturelles et de l'imm</w:t>
      </w:r>
      <w:r w:rsidRPr="00011A46">
        <w:t>i</w:t>
      </w:r>
      <w:r w:rsidRPr="00011A46">
        <w:t>gration (12) ; les Noirs et l'action positive (23) ; les femmes et l'action positive (24) ; les positions patronale et syndicale (26) ; celle des Commissions des droits de la perso</w:t>
      </w:r>
      <w:r w:rsidRPr="00011A46">
        <w:t>n</w:t>
      </w:r>
      <w:r w:rsidRPr="00011A46">
        <w:t>ne, féd</w:t>
      </w:r>
      <w:r w:rsidRPr="00011A46">
        <w:t>é</w:t>
      </w:r>
      <w:r w:rsidRPr="00011A46">
        <w:t>rale et du Québec (21) ; les minorités visibles et les médias (14).</w:t>
      </w:r>
    </w:p>
  </w:footnote>
  <w:footnote w:id="342">
    <w:p w:rsidR="00B7214C" w:rsidRDefault="00B7214C" w:rsidP="00B7214C">
      <w:pPr>
        <w:pStyle w:val="Notedebasdepage"/>
      </w:pPr>
      <w:r>
        <w:rPr>
          <w:rStyle w:val="Appelnotedebasdep"/>
        </w:rPr>
        <w:footnoteRef/>
      </w:r>
      <w:r>
        <w:t xml:space="preserve"> </w:t>
      </w:r>
      <w:r>
        <w:tab/>
      </w:r>
      <w:r w:rsidRPr="00011A46">
        <w:t>Les chiffres rapportés dans la presse varient en effet de 25</w:t>
      </w:r>
      <w:r>
        <w:t>%</w:t>
      </w:r>
      <w:r w:rsidRPr="00011A46">
        <w:t xml:space="preserve"> à 47</w:t>
      </w:r>
      <w:r>
        <w:t>%</w:t>
      </w:r>
      <w:r w:rsidRPr="00011A46">
        <w:t xml:space="preserve"> (le chi</w:t>
      </w:r>
      <w:r w:rsidRPr="00011A46">
        <w:t>f</w:t>
      </w:r>
      <w:r w:rsidRPr="00011A46">
        <w:t>fre « réel » étant de 25</w:t>
      </w:r>
      <w:r>
        <w:t>%</w:t>
      </w:r>
      <w:r w:rsidRPr="00011A46">
        <w:t>), tout autant que leurs dénomin</w:t>
      </w:r>
      <w:r w:rsidRPr="00011A46">
        <w:t>a</w:t>
      </w:r>
      <w:r w:rsidRPr="00011A46">
        <w:t>tions. « Ils » sont tantôt ceux qui « ne font pas partie de la souche française », les « ethnies a</w:t>
      </w:r>
      <w:r w:rsidRPr="00011A46">
        <w:t>u</w:t>
      </w:r>
      <w:r w:rsidRPr="00011A46">
        <w:t>tres que française ou anglaise », tantôt les « communautés ethniques et m</w:t>
      </w:r>
      <w:r w:rsidRPr="00011A46">
        <w:t>i</w:t>
      </w:r>
      <w:r w:rsidRPr="00011A46">
        <w:t>norités visibles », les « membres de groupes minoritaires » sinon les « non-Blancs et non-francophones » ou simplement les « groupes ethniques ».</w:t>
      </w:r>
    </w:p>
  </w:footnote>
  <w:footnote w:id="343">
    <w:p w:rsidR="00B7214C" w:rsidRDefault="00B7214C" w:rsidP="00B7214C">
      <w:pPr>
        <w:pStyle w:val="Notedebasdepage"/>
      </w:pPr>
      <w:r>
        <w:rPr>
          <w:rStyle w:val="Appelnotedebasdep"/>
        </w:rPr>
        <w:footnoteRef/>
      </w:r>
      <w:r>
        <w:t xml:space="preserve"> </w:t>
      </w:r>
      <w:r>
        <w:tab/>
      </w:r>
      <w:r w:rsidRPr="00011A46">
        <w:t>Nous remercions tout ceux et celles qui ont bien voulu participer à cette enquête. Les entrevues, d'une durée moye</w:t>
      </w:r>
      <w:r w:rsidRPr="00011A46">
        <w:t>n</w:t>
      </w:r>
      <w:r w:rsidRPr="00011A46">
        <w:t>ne de 90 minutes, suivaient dans les deux métropoles le même questionnaire qui comportait 24 questions o</w:t>
      </w:r>
      <w:r w:rsidRPr="00011A46">
        <w:t>u</w:t>
      </w:r>
      <w:r w:rsidRPr="00011A46">
        <w:t>vertes. Pour une présentation d'autres dime</w:t>
      </w:r>
      <w:r w:rsidRPr="00011A46">
        <w:t>n</w:t>
      </w:r>
      <w:r w:rsidRPr="00011A46">
        <w:t>sions que celles analysées ici, voir Elbaz et Murbach (1991).</w:t>
      </w:r>
    </w:p>
  </w:footnote>
  <w:footnote w:id="344">
    <w:p w:rsidR="00B7214C" w:rsidRDefault="00B7214C" w:rsidP="00B7214C">
      <w:pPr>
        <w:pStyle w:val="Notedebasdepage"/>
      </w:pPr>
      <w:r>
        <w:rPr>
          <w:rStyle w:val="Appelnotedebasdep"/>
        </w:rPr>
        <w:footnoteRef/>
      </w:r>
      <w:r>
        <w:t xml:space="preserve"> </w:t>
      </w:r>
      <w:r>
        <w:tab/>
      </w:r>
      <w:r w:rsidRPr="00011A46">
        <w:t>Nous sommes conscients de l'auditoire immédiat, tel que perçu par les inte</w:t>
      </w:r>
      <w:r w:rsidRPr="00011A46">
        <w:t>r</w:t>
      </w:r>
      <w:r w:rsidRPr="00011A46">
        <w:t>viewés, c'est-à-dire l'assistant et les deux responsables de l'enquête dont les noms évoquent le statut d'immigrant pour les interlocuteurs québécois, ta</w:t>
      </w:r>
      <w:r w:rsidRPr="00011A46">
        <w:t>n</w:t>
      </w:r>
      <w:r w:rsidRPr="00011A46">
        <w:t>dis que leur affiliation à des universités québécoises fera en sorte qu'ils s</w:t>
      </w:r>
      <w:r w:rsidRPr="00011A46">
        <w:t>e</w:t>
      </w:r>
      <w:r w:rsidRPr="00011A46">
        <w:t>ront associés, à Toronto, au groupe franc</w:t>
      </w:r>
      <w:r w:rsidRPr="00011A46">
        <w:t>o</w:t>
      </w:r>
      <w:r w:rsidRPr="00011A46">
        <w:t>phone.</w:t>
      </w:r>
    </w:p>
  </w:footnote>
  <w:footnote w:id="345">
    <w:p w:rsidR="00B7214C" w:rsidRDefault="00B7214C" w:rsidP="00B7214C">
      <w:pPr>
        <w:pStyle w:val="Notedebasdepage"/>
        <w:rPr>
          <w:lang w:eastAsia="fr-FR" w:bidi="fr-FR"/>
        </w:rPr>
      </w:pPr>
      <w:r>
        <w:rPr>
          <w:rStyle w:val="Appelnotedebasdep"/>
        </w:rPr>
        <w:footnoteRef/>
      </w:r>
      <w:r>
        <w:t xml:space="preserve"> </w:t>
      </w:r>
      <w:r>
        <w:tab/>
      </w:r>
      <w:r w:rsidRPr="00011A46">
        <w:t>« </w:t>
      </w:r>
      <w:r w:rsidRPr="00011A46">
        <w:rPr>
          <w:lang w:eastAsia="fr-FR" w:bidi="fr-FR"/>
        </w:rPr>
        <w:t>Le facteur le plus percutant d'après moi, c'est la promi</w:t>
      </w:r>
      <w:r w:rsidRPr="00011A46">
        <w:rPr>
          <w:lang w:eastAsia="fr-FR" w:bidi="fr-FR"/>
        </w:rPr>
        <w:t>s</w:t>
      </w:r>
      <w:r w:rsidRPr="00011A46">
        <w:rPr>
          <w:lang w:eastAsia="fr-FR" w:bidi="fr-FR"/>
        </w:rPr>
        <w:t>cuité des artistes et initiés avec le public en général et les institutions diverses. Cette omnipr</w:t>
      </w:r>
      <w:r w:rsidRPr="00011A46">
        <w:rPr>
          <w:lang w:eastAsia="fr-FR" w:bidi="fr-FR"/>
        </w:rPr>
        <w:t>é</w:t>
      </w:r>
      <w:r w:rsidRPr="00011A46">
        <w:rPr>
          <w:lang w:eastAsia="fr-FR" w:bidi="fr-FR"/>
        </w:rPr>
        <w:t>sence des non-initiés pousse inévitablement les préoccupations des interv</w:t>
      </w:r>
      <w:r w:rsidRPr="00011A46">
        <w:rPr>
          <w:lang w:eastAsia="fr-FR" w:bidi="fr-FR"/>
        </w:rPr>
        <w:t>e</w:t>
      </w:r>
      <w:r w:rsidRPr="00011A46">
        <w:rPr>
          <w:lang w:eastAsia="fr-FR" w:bidi="fr-FR"/>
        </w:rPr>
        <w:t>nants culturels vers des réalités concrètes [...] Je précise que la relation p</w:t>
      </w:r>
      <w:r w:rsidRPr="00011A46">
        <w:rPr>
          <w:lang w:eastAsia="fr-FR" w:bidi="fr-FR"/>
        </w:rPr>
        <w:t>é</w:t>
      </w:r>
      <w:r w:rsidRPr="00011A46">
        <w:rPr>
          <w:lang w:eastAsia="fr-FR" w:bidi="fr-FR"/>
        </w:rPr>
        <w:t>dagogique que vous entretenez est fort importante car les gens veulent a</w:t>
      </w:r>
      <w:r w:rsidRPr="00011A46">
        <w:rPr>
          <w:lang w:eastAsia="fr-FR" w:bidi="fr-FR"/>
        </w:rPr>
        <w:t>p</w:t>
      </w:r>
      <w:r w:rsidRPr="00011A46">
        <w:rPr>
          <w:lang w:eastAsia="fr-FR" w:bidi="fr-FR"/>
        </w:rPr>
        <w:t xml:space="preserve">prendre en autant que le discours que vous utiliserez sera clair, conséquent et crédible. </w:t>
      </w:r>
      <w:r>
        <w:rPr>
          <w:lang w:eastAsia="fr-FR" w:bidi="fr-FR"/>
        </w:rPr>
        <w:t>Il</w:t>
      </w:r>
      <w:r w:rsidRPr="00011A46">
        <w:rPr>
          <w:lang w:eastAsia="fr-FR" w:bidi="fr-FR"/>
        </w:rPr>
        <w:t xml:space="preserve"> suffit de se pr</w:t>
      </w:r>
      <w:r w:rsidRPr="00011A46">
        <w:rPr>
          <w:lang w:eastAsia="fr-FR" w:bidi="fr-FR"/>
        </w:rPr>
        <w:t>o</w:t>
      </w:r>
      <w:r w:rsidRPr="00011A46">
        <w:rPr>
          <w:lang w:eastAsia="fr-FR" w:bidi="fr-FR"/>
        </w:rPr>
        <w:t>mener le soir dans les quartiers de Chicoutimi pour se rendre compte que les gens sont consommateurs d'art, même si l'on peut dire que ce qui se trouve sur les murs ne correspond pas toujours aux crit</w:t>
      </w:r>
      <w:r w:rsidRPr="00011A46">
        <w:rPr>
          <w:lang w:eastAsia="fr-FR" w:bidi="fr-FR"/>
        </w:rPr>
        <w:t>è</w:t>
      </w:r>
      <w:r w:rsidRPr="00011A46">
        <w:rPr>
          <w:lang w:eastAsia="fr-FR" w:bidi="fr-FR"/>
        </w:rPr>
        <w:t>res d'avant-garde.</w:t>
      </w:r>
    </w:p>
    <w:p w:rsidR="00B7214C" w:rsidRDefault="00B7214C" w:rsidP="00B7214C">
      <w:pPr>
        <w:pStyle w:val="Notedebasdepage"/>
        <w:rPr>
          <w:lang w:eastAsia="fr-FR" w:bidi="fr-FR"/>
        </w:rPr>
      </w:pPr>
      <w:r>
        <w:rPr>
          <w:lang w:eastAsia="fr-FR" w:bidi="fr-FR"/>
        </w:rPr>
        <w:tab/>
      </w:r>
      <w:r>
        <w:rPr>
          <w:lang w:eastAsia="fr-FR" w:bidi="fr-FR"/>
        </w:rPr>
        <w:tab/>
      </w:r>
      <w:r w:rsidRPr="00011A46">
        <w:rPr>
          <w:lang w:eastAsia="fr-FR" w:bidi="fr-FR"/>
        </w:rPr>
        <w:t>Cette omniprésence perpétuelle (que ce soit à la maison, au tr</w:t>
      </w:r>
      <w:r w:rsidRPr="00011A46">
        <w:rPr>
          <w:lang w:eastAsia="fr-FR" w:bidi="fr-FR"/>
        </w:rPr>
        <w:t>a</w:t>
      </w:r>
      <w:r w:rsidRPr="00011A46">
        <w:rPr>
          <w:lang w:eastAsia="fr-FR" w:bidi="fr-FR"/>
        </w:rPr>
        <w:t>vail, aux lieux de loisirs) donnera un caractère représe</w:t>
      </w:r>
      <w:r w:rsidRPr="00011A46">
        <w:rPr>
          <w:lang w:eastAsia="fr-FR" w:bidi="fr-FR"/>
        </w:rPr>
        <w:t>n</w:t>
      </w:r>
      <w:r w:rsidRPr="00011A46">
        <w:rPr>
          <w:lang w:eastAsia="fr-FR" w:bidi="fr-FR"/>
        </w:rPr>
        <w:t>tatif à votre option artistique et votre engagement, vous forcera par la nature m</w:t>
      </w:r>
      <w:r w:rsidRPr="00011A46">
        <w:rPr>
          <w:lang w:eastAsia="fr-FR" w:bidi="fr-FR"/>
        </w:rPr>
        <w:t>ê</w:t>
      </w:r>
      <w:r w:rsidRPr="00011A46">
        <w:rPr>
          <w:lang w:eastAsia="fr-FR" w:bidi="fr-FR"/>
        </w:rPr>
        <w:t>me des choses à une sorte de consensus avec tous les autres artistes de la communauté souvent fort di</w:t>
      </w:r>
      <w:r w:rsidRPr="00011A46">
        <w:rPr>
          <w:lang w:eastAsia="fr-FR" w:bidi="fr-FR"/>
        </w:rPr>
        <w:t>f</w:t>
      </w:r>
      <w:r w:rsidRPr="00011A46">
        <w:rPr>
          <w:lang w:eastAsia="fr-FR" w:bidi="fr-FR"/>
        </w:rPr>
        <w:t>férents, et les institutions régionales avec lesquelles vous ne partagez pas nécessairement les même buts. Votre sentiment d'appartenance au groupe d'artistes régionaux aura tendance à supplanter votre appartenance idéolog</w:t>
      </w:r>
      <w:r w:rsidRPr="00011A46">
        <w:rPr>
          <w:lang w:eastAsia="fr-FR" w:bidi="fr-FR"/>
        </w:rPr>
        <w:t>i</w:t>
      </w:r>
      <w:r w:rsidRPr="00011A46">
        <w:rPr>
          <w:lang w:eastAsia="fr-FR" w:bidi="fr-FR"/>
        </w:rPr>
        <w:t>que.</w:t>
      </w:r>
      <w:r w:rsidRPr="00011A46">
        <w:t> »</w:t>
      </w:r>
      <w:r w:rsidRPr="00011A46">
        <w:rPr>
          <w:lang w:eastAsia="fr-FR" w:bidi="fr-FR"/>
        </w:rPr>
        <w:t xml:space="preserve"> (p. 100)</w:t>
      </w:r>
    </w:p>
    <w:p w:rsidR="00B7214C" w:rsidRDefault="00B7214C" w:rsidP="00B7214C">
      <w:pPr>
        <w:pStyle w:val="Notedebasdepage"/>
      </w:pPr>
      <w:r>
        <w:rPr>
          <w:lang w:eastAsia="fr-FR" w:bidi="fr-FR"/>
        </w:rPr>
        <w:tab/>
      </w:r>
      <w:r>
        <w:rPr>
          <w:lang w:eastAsia="fr-FR" w:bidi="fr-FR"/>
        </w:rPr>
        <w:tab/>
      </w:r>
      <w:r w:rsidRPr="00011A46">
        <w:t>« </w:t>
      </w:r>
      <w:r w:rsidRPr="00011A46">
        <w:rPr>
          <w:lang w:eastAsia="fr-FR" w:bidi="fr-FR"/>
        </w:rPr>
        <w:t>La rareté des infrastructures artistiques et l'interrelation avec les autres seront une incitation à vous impliquer dans le développement culturel régi</w:t>
      </w:r>
      <w:r w:rsidRPr="00011A46">
        <w:rPr>
          <w:lang w:eastAsia="fr-FR" w:bidi="fr-FR"/>
        </w:rPr>
        <w:t>o</w:t>
      </w:r>
      <w:r w:rsidRPr="00011A46">
        <w:rPr>
          <w:lang w:eastAsia="fr-FR" w:bidi="fr-FR"/>
        </w:rPr>
        <w:t>nal en débordant souvent les cadres traditionnels de la pratique artistique.</w:t>
      </w:r>
      <w:r w:rsidRPr="00011A46">
        <w:t> »</w:t>
      </w:r>
      <w:r w:rsidRPr="00011A46">
        <w:rPr>
          <w:lang w:eastAsia="fr-FR" w:bidi="fr-FR"/>
        </w:rPr>
        <w:t xml:space="preserve"> (p. 101)</w:t>
      </w:r>
    </w:p>
  </w:footnote>
  <w:footnote w:id="346">
    <w:p w:rsidR="00B7214C" w:rsidRDefault="00B7214C" w:rsidP="00B7214C">
      <w:pPr>
        <w:pStyle w:val="Notedebasdepage"/>
      </w:pPr>
      <w:r>
        <w:rPr>
          <w:rStyle w:val="Appelnotedebasdep"/>
        </w:rPr>
        <w:footnoteRef/>
      </w:r>
      <w:r>
        <w:t xml:space="preserve"> </w:t>
      </w:r>
      <w:r>
        <w:tab/>
      </w:r>
      <w:r w:rsidRPr="00F50F4E">
        <w:rPr>
          <w:i/>
          <w:iCs/>
        </w:rPr>
        <w:t>Eventus,</w:t>
      </w:r>
      <w:r w:rsidRPr="00011A46">
        <w:rPr>
          <w:lang w:eastAsia="fr-FR" w:bidi="fr-FR"/>
        </w:rPr>
        <w:t xml:space="preserve"> logiciel d'aide à la gestion d'événements, conçu par Logiciels a</w:t>
      </w:r>
      <w:r w:rsidRPr="00011A46">
        <w:rPr>
          <w:lang w:eastAsia="fr-FR" w:bidi="fr-FR"/>
        </w:rPr>
        <w:t>c</w:t>
      </w:r>
      <w:r w:rsidRPr="00011A46">
        <w:rPr>
          <w:lang w:eastAsia="fr-FR" w:bidi="fr-FR"/>
        </w:rPr>
        <w:t>tion inc., permet de</w:t>
      </w:r>
      <w:r w:rsidRPr="00011A46">
        <w:t> :</w:t>
      </w:r>
      <w:r w:rsidRPr="00011A46">
        <w:rPr>
          <w:lang w:eastAsia="fr-FR" w:bidi="fr-FR"/>
        </w:rPr>
        <w:t xml:space="preserve"> </w:t>
      </w:r>
      <w:r w:rsidRPr="00011A46">
        <w:t>« </w:t>
      </w:r>
      <w:r w:rsidRPr="00011A46">
        <w:rPr>
          <w:lang w:eastAsia="fr-FR" w:bidi="fr-FR"/>
        </w:rPr>
        <w:t>gérer des banques de données (bénév</w:t>
      </w:r>
      <w:r w:rsidRPr="00011A46">
        <w:rPr>
          <w:lang w:eastAsia="fr-FR" w:bidi="fr-FR"/>
        </w:rPr>
        <w:t>o</w:t>
      </w:r>
      <w:r w:rsidRPr="00011A46">
        <w:rPr>
          <w:lang w:eastAsia="fr-FR" w:bidi="fr-FR"/>
        </w:rPr>
        <w:t>les, V.I.P., commanditaires, journalistes, etc.)</w:t>
      </w:r>
      <w:r w:rsidRPr="00011A46">
        <w:t> ;</w:t>
      </w:r>
      <w:r w:rsidRPr="00011A46">
        <w:rPr>
          <w:lang w:eastAsia="fr-FR" w:bidi="fr-FR"/>
        </w:rPr>
        <w:t xml:space="preserve"> faire la planification des tâches par act</w:t>
      </w:r>
      <w:r w:rsidRPr="00011A46">
        <w:rPr>
          <w:lang w:eastAsia="fr-FR" w:bidi="fr-FR"/>
        </w:rPr>
        <w:t>i</w:t>
      </w:r>
      <w:r w:rsidRPr="00011A46">
        <w:rPr>
          <w:lang w:eastAsia="fr-FR" w:bidi="fr-FR"/>
        </w:rPr>
        <w:t>vité et par comité</w:t>
      </w:r>
      <w:r w:rsidRPr="00011A46">
        <w:t> ;</w:t>
      </w:r>
      <w:r w:rsidRPr="00011A46">
        <w:rPr>
          <w:lang w:eastAsia="fr-FR" w:bidi="fr-FR"/>
        </w:rPr>
        <w:t xml:space="preserve"> budgétiser</w:t>
      </w:r>
      <w:r w:rsidRPr="00011A46">
        <w:t> ;</w:t>
      </w:r>
      <w:r w:rsidRPr="00011A46">
        <w:rPr>
          <w:lang w:eastAsia="fr-FR" w:bidi="fr-FR"/>
        </w:rPr>
        <w:t xml:space="preserve"> gérer les commun</w:t>
      </w:r>
      <w:r w:rsidRPr="00011A46">
        <w:rPr>
          <w:lang w:eastAsia="fr-FR" w:bidi="fr-FR"/>
        </w:rPr>
        <w:t>i</w:t>
      </w:r>
      <w:r w:rsidRPr="00011A46">
        <w:rPr>
          <w:lang w:eastAsia="fr-FR" w:bidi="fr-FR"/>
        </w:rPr>
        <w:t>cations écrites avec les partenaires de l'événement</w:t>
      </w:r>
      <w:r w:rsidRPr="00011A46">
        <w:t> ;</w:t>
      </w:r>
      <w:r w:rsidRPr="00011A46">
        <w:rPr>
          <w:lang w:eastAsia="fr-FR" w:bidi="fr-FR"/>
        </w:rPr>
        <w:t xml:space="preserve"> gérer les communications offertes aux bénév</w:t>
      </w:r>
      <w:r w:rsidRPr="00011A46">
        <w:rPr>
          <w:lang w:eastAsia="fr-FR" w:bidi="fr-FR"/>
        </w:rPr>
        <w:t>o</w:t>
      </w:r>
      <w:r w:rsidRPr="00011A46">
        <w:rPr>
          <w:lang w:eastAsia="fr-FR" w:bidi="fr-FR"/>
        </w:rPr>
        <w:t>les et autres partenaires</w:t>
      </w:r>
      <w:r w:rsidRPr="00011A46">
        <w:t> ;</w:t>
      </w:r>
      <w:r w:rsidRPr="00011A46">
        <w:rPr>
          <w:lang w:eastAsia="fr-FR" w:bidi="fr-FR"/>
        </w:rPr>
        <w:t xml:space="preserve"> archiver toutes les données relatives à l'organis</w:t>
      </w:r>
      <w:r w:rsidRPr="00011A46">
        <w:rPr>
          <w:lang w:eastAsia="fr-FR" w:bidi="fr-FR"/>
        </w:rPr>
        <w:t>a</w:t>
      </w:r>
      <w:r w:rsidRPr="00011A46">
        <w:rPr>
          <w:lang w:eastAsia="fr-FR" w:bidi="fr-FR"/>
        </w:rPr>
        <w:t>tion d'un événement avec poss</w:t>
      </w:r>
      <w:r w:rsidRPr="00011A46">
        <w:rPr>
          <w:lang w:eastAsia="fr-FR" w:bidi="fr-FR"/>
        </w:rPr>
        <w:t>i</w:t>
      </w:r>
      <w:r w:rsidRPr="00011A46">
        <w:rPr>
          <w:lang w:eastAsia="fr-FR" w:bidi="fr-FR"/>
        </w:rPr>
        <w:t>bilité de les récupérer et de les modifier pour l'édition suiva</w:t>
      </w:r>
      <w:r w:rsidRPr="00011A46">
        <w:rPr>
          <w:lang w:eastAsia="fr-FR" w:bidi="fr-FR"/>
        </w:rPr>
        <w:t>n</w:t>
      </w:r>
      <w:r w:rsidRPr="00011A46">
        <w:rPr>
          <w:lang w:eastAsia="fr-FR" w:bidi="fr-FR"/>
        </w:rPr>
        <w:t>te.</w:t>
      </w:r>
      <w:r w:rsidRPr="00011A46">
        <w:t> »</w:t>
      </w:r>
      <w:r w:rsidRPr="00011A46">
        <w:rPr>
          <w:lang w:eastAsia="fr-FR" w:bidi="fr-FR"/>
        </w:rPr>
        <w:t xml:space="preserve"> (Société des fêtes et festivals du Québec, 1993, p. 10)</w:t>
      </w:r>
    </w:p>
  </w:footnote>
  <w:footnote w:id="347">
    <w:p w:rsidR="00B7214C" w:rsidRDefault="00B7214C">
      <w:pPr>
        <w:pStyle w:val="Notedebasdepage"/>
      </w:pPr>
      <w:r>
        <w:rPr>
          <w:rStyle w:val="Appelnotedebasdep"/>
        </w:rPr>
        <w:footnoteRef/>
      </w:r>
      <w:r>
        <w:t xml:space="preserve"> </w:t>
      </w:r>
      <w:r>
        <w:tab/>
      </w:r>
      <w:r w:rsidRPr="00011A46">
        <w:rPr>
          <w:lang w:eastAsia="fr-FR" w:bidi="fr-FR"/>
        </w:rPr>
        <w:t>A- L'organisation (1- Institutions</w:t>
      </w:r>
      <w:r w:rsidRPr="00011A46">
        <w:t> ;</w:t>
      </w:r>
      <w:r w:rsidRPr="00011A46">
        <w:rPr>
          <w:lang w:eastAsia="fr-FR" w:bidi="fr-FR"/>
        </w:rPr>
        <w:t xml:space="preserve"> 2- Regroupements d'artistes</w:t>
      </w:r>
      <w:r w:rsidRPr="00011A46">
        <w:t> ;</w:t>
      </w:r>
      <w:r w:rsidRPr="00011A46">
        <w:rPr>
          <w:lang w:eastAsia="fr-FR" w:bidi="fr-FR"/>
        </w:rPr>
        <w:t xml:space="preserve"> 3- Subve</w:t>
      </w:r>
      <w:r w:rsidRPr="00011A46">
        <w:rPr>
          <w:lang w:eastAsia="fr-FR" w:bidi="fr-FR"/>
        </w:rPr>
        <w:t>n</w:t>
      </w:r>
      <w:r w:rsidRPr="00011A46">
        <w:rPr>
          <w:lang w:eastAsia="fr-FR" w:bidi="fr-FR"/>
        </w:rPr>
        <w:t>tions d'État</w:t>
      </w:r>
      <w:r w:rsidRPr="00011A46">
        <w:t> ;</w:t>
      </w:r>
      <w:r w:rsidRPr="00011A46">
        <w:rPr>
          <w:lang w:eastAsia="fr-FR" w:bidi="fr-FR"/>
        </w:rPr>
        <w:t xml:space="preserve"> 4- Commanditaires privés</w:t>
      </w:r>
      <w:r w:rsidRPr="00011A46">
        <w:t> ;</w:t>
      </w:r>
      <w:r w:rsidRPr="00011A46">
        <w:rPr>
          <w:lang w:eastAsia="fr-FR" w:bidi="fr-FR"/>
        </w:rPr>
        <w:t xml:space="preserve"> 5- Concours</w:t>
      </w:r>
      <w:r w:rsidRPr="00011A46">
        <w:t> ;</w:t>
      </w:r>
      <w:r w:rsidRPr="00011A46">
        <w:rPr>
          <w:lang w:eastAsia="fr-FR" w:bidi="fr-FR"/>
        </w:rPr>
        <w:t xml:space="preserve"> 6-Jury). B- Produ</w:t>
      </w:r>
      <w:r w:rsidRPr="00011A46">
        <w:rPr>
          <w:lang w:eastAsia="fr-FR" w:bidi="fr-FR"/>
        </w:rPr>
        <w:t>c</w:t>
      </w:r>
      <w:r w:rsidRPr="00011A46">
        <w:rPr>
          <w:lang w:eastAsia="fr-FR" w:bidi="fr-FR"/>
        </w:rPr>
        <w:t>tion (7- Existence d'une thématique</w:t>
      </w:r>
      <w:r w:rsidRPr="00011A46">
        <w:t> ;</w:t>
      </w:r>
      <w:r w:rsidRPr="00011A46">
        <w:rPr>
          <w:lang w:eastAsia="fr-FR" w:bidi="fr-FR"/>
        </w:rPr>
        <w:t xml:space="preserve"> 8- Exposition d'oeuvres</w:t>
      </w:r>
      <w:r w:rsidRPr="00011A46">
        <w:t> ;</w:t>
      </w:r>
      <w:r w:rsidRPr="00011A46">
        <w:rPr>
          <w:lang w:eastAsia="fr-FR" w:bidi="fr-FR"/>
        </w:rPr>
        <w:t xml:space="preserve"> 9- Création directe</w:t>
      </w:r>
      <w:r w:rsidRPr="00011A46">
        <w:t> ;</w:t>
      </w:r>
      <w:r w:rsidRPr="00011A46">
        <w:rPr>
          <w:lang w:eastAsia="fr-FR" w:bidi="fr-FR"/>
        </w:rPr>
        <w:t xml:space="preserve"> 10- Performance multimédia</w:t>
      </w:r>
      <w:r w:rsidRPr="00011A46">
        <w:t> ;</w:t>
      </w:r>
      <w:r w:rsidRPr="00011A46">
        <w:rPr>
          <w:lang w:eastAsia="fr-FR" w:bidi="fr-FR"/>
        </w:rPr>
        <w:t xml:space="preserve"> 11- Danse expérimentale</w:t>
      </w:r>
      <w:r w:rsidRPr="00011A46">
        <w:t> ;</w:t>
      </w:r>
      <w:r w:rsidRPr="00011A46">
        <w:rPr>
          <w:lang w:eastAsia="fr-FR" w:bidi="fr-FR"/>
        </w:rPr>
        <w:t xml:space="preserve"> 12- Thé</w:t>
      </w:r>
      <w:r w:rsidRPr="00011A46">
        <w:rPr>
          <w:lang w:eastAsia="fr-FR" w:bidi="fr-FR"/>
        </w:rPr>
        <w:t>â</w:t>
      </w:r>
      <w:r w:rsidRPr="00011A46">
        <w:rPr>
          <w:lang w:eastAsia="fr-FR" w:bidi="fr-FR"/>
        </w:rPr>
        <w:t>tre expérimental</w:t>
      </w:r>
      <w:r w:rsidRPr="00011A46">
        <w:t> ;</w:t>
      </w:r>
      <w:r w:rsidRPr="00011A46">
        <w:rPr>
          <w:lang w:eastAsia="fr-FR" w:bidi="fr-FR"/>
        </w:rPr>
        <w:t xml:space="preserve"> 13- Musique expérimentale</w:t>
      </w:r>
      <w:r w:rsidRPr="00011A46">
        <w:t> ;</w:t>
      </w:r>
      <w:r w:rsidRPr="00011A46">
        <w:rPr>
          <w:lang w:eastAsia="fr-FR" w:bidi="fr-FR"/>
        </w:rPr>
        <w:t xml:space="preserve"> 14- Installation</w:t>
      </w:r>
      <w:r w:rsidRPr="00011A46">
        <w:t> ;</w:t>
      </w:r>
      <w:r w:rsidRPr="00011A46">
        <w:rPr>
          <w:lang w:eastAsia="fr-FR" w:bidi="fr-FR"/>
        </w:rPr>
        <w:t xml:space="preserve"> 15- Scul</w:t>
      </w:r>
      <w:r w:rsidRPr="00011A46">
        <w:rPr>
          <w:lang w:eastAsia="fr-FR" w:bidi="fr-FR"/>
        </w:rPr>
        <w:t>p</w:t>
      </w:r>
      <w:r w:rsidRPr="00011A46">
        <w:rPr>
          <w:lang w:eastAsia="fr-FR" w:bidi="fr-FR"/>
        </w:rPr>
        <w:t>ture</w:t>
      </w:r>
      <w:r w:rsidRPr="00011A46">
        <w:t> ;</w:t>
      </w:r>
      <w:r w:rsidRPr="00011A46">
        <w:rPr>
          <w:lang w:eastAsia="fr-FR" w:bidi="fr-FR"/>
        </w:rPr>
        <w:t xml:space="preserve"> 16- Ateliers</w:t>
      </w:r>
      <w:r w:rsidRPr="00011A46">
        <w:t> ;</w:t>
      </w:r>
      <w:r w:rsidRPr="00011A46">
        <w:rPr>
          <w:lang w:eastAsia="fr-FR" w:bidi="fr-FR"/>
        </w:rPr>
        <w:t xml:space="preserve"> 17- Peint</w:t>
      </w:r>
      <w:r w:rsidRPr="00011A46">
        <w:rPr>
          <w:lang w:eastAsia="fr-FR" w:bidi="fr-FR"/>
        </w:rPr>
        <w:t>u</w:t>
      </w:r>
      <w:r w:rsidRPr="00011A46">
        <w:rPr>
          <w:lang w:eastAsia="fr-FR" w:bidi="fr-FR"/>
        </w:rPr>
        <w:t>re</w:t>
      </w:r>
      <w:r w:rsidRPr="00011A46">
        <w:t> ;</w:t>
      </w:r>
      <w:r w:rsidRPr="00011A46">
        <w:rPr>
          <w:lang w:eastAsia="fr-FR" w:bidi="fr-FR"/>
        </w:rPr>
        <w:t xml:space="preserve"> 18- Hologramme</w:t>
      </w:r>
      <w:r w:rsidRPr="00011A46">
        <w:t> ;</w:t>
      </w:r>
      <w:r w:rsidRPr="00011A46">
        <w:rPr>
          <w:lang w:eastAsia="fr-FR" w:bidi="fr-FR"/>
        </w:rPr>
        <w:t xml:space="preserve"> 19- Art par ordinateur</w:t>
      </w:r>
      <w:r w:rsidRPr="00011A46">
        <w:t> ;</w:t>
      </w:r>
      <w:r w:rsidRPr="00011A46">
        <w:rPr>
          <w:lang w:eastAsia="fr-FR" w:bidi="fr-FR"/>
        </w:rPr>
        <w:t xml:space="preserve"> 20- Vidéo d'art et c</w:t>
      </w:r>
      <w:r w:rsidRPr="00011A46">
        <w:rPr>
          <w:lang w:eastAsia="fr-FR" w:bidi="fr-FR"/>
        </w:rPr>
        <w:t>i</w:t>
      </w:r>
      <w:r w:rsidRPr="00011A46">
        <w:rPr>
          <w:lang w:eastAsia="fr-FR" w:bidi="fr-FR"/>
        </w:rPr>
        <w:t>néma). C- Diffusion (21- Affiche</w:t>
      </w:r>
      <w:r w:rsidRPr="00011A46">
        <w:t> ;</w:t>
      </w:r>
      <w:r w:rsidRPr="00011A46">
        <w:rPr>
          <w:lang w:eastAsia="fr-FR" w:bidi="fr-FR"/>
        </w:rPr>
        <w:t xml:space="preserve"> 22- Conférence</w:t>
      </w:r>
      <w:r w:rsidRPr="00011A46">
        <w:t> ;</w:t>
      </w:r>
      <w:r w:rsidRPr="00011A46">
        <w:rPr>
          <w:lang w:eastAsia="fr-FR" w:bidi="fr-FR"/>
        </w:rPr>
        <w:t xml:space="preserve"> 23- Colloque</w:t>
      </w:r>
      <w:r w:rsidRPr="00011A46">
        <w:t> ;</w:t>
      </w:r>
      <w:r w:rsidRPr="00011A46">
        <w:rPr>
          <w:lang w:eastAsia="fr-FR" w:bidi="fr-FR"/>
        </w:rPr>
        <w:t xml:space="preserve"> 24- Catalogue</w:t>
      </w:r>
      <w:r w:rsidRPr="00011A46">
        <w:t> ;</w:t>
      </w:r>
      <w:r w:rsidRPr="00011A46">
        <w:rPr>
          <w:lang w:eastAsia="fr-FR" w:bidi="fr-FR"/>
        </w:rPr>
        <w:t xml:space="preserve"> 25- Vidéo-documentaire</w:t>
      </w:r>
      <w:r w:rsidRPr="00011A46">
        <w:t> ;</w:t>
      </w:r>
      <w:r w:rsidRPr="00011A46">
        <w:rPr>
          <w:lang w:eastAsia="fr-FR" w:bidi="fr-FR"/>
        </w:rPr>
        <w:t xml:space="preserve"> 26- Couverture journ</w:t>
      </w:r>
      <w:r w:rsidRPr="00011A46">
        <w:rPr>
          <w:lang w:eastAsia="fr-FR" w:bidi="fr-FR"/>
        </w:rPr>
        <w:t>a</w:t>
      </w:r>
      <w:r w:rsidRPr="00011A46">
        <w:rPr>
          <w:lang w:eastAsia="fr-FR" w:bidi="fr-FR"/>
        </w:rPr>
        <w:t>list</w:t>
      </w:r>
      <w:r w:rsidRPr="00011A46">
        <w:rPr>
          <w:lang w:eastAsia="fr-FR" w:bidi="fr-FR"/>
        </w:rPr>
        <w:t>i</w:t>
      </w:r>
      <w:r w:rsidRPr="00011A46">
        <w:rPr>
          <w:lang w:eastAsia="fr-FR" w:bidi="fr-FR"/>
        </w:rPr>
        <w:t>que</w:t>
      </w:r>
      <w:r w:rsidRPr="00011A46">
        <w:t> ;</w:t>
      </w:r>
      <w:r w:rsidRPr="00011A46">
        <w:rPr>
          <w:lang w:eastAsia="fr-FR" w:bidi="fr-FR"/>
        </w:rPr>
        <w:t xml:space="preserve"> 27- Couverture par des périodiques culturels</w:t>
      </w:r>
      <w:r w:rsidRPr="00011A46">
        <w:t> ;</w:t>
      </w:r>
      <w:r w:rsidRPr="00011A46">
        <w:rPr>
          <w:lang w:eastAsia="fr-FR" w:bidi="fr-FR"/>
        </w:rPr>
        <w:t xml:space="preserve"> 28- Compte-rendu radio et télévision).</w:t>
      </w:r>
    </w:p>
  </w:footnote>
  <w:footnote w:id="348">
    <w:p w:rsidR="00B7214C" w:rsidRDefault="00B7214C">
      <w:pPr>
        <w:pStyle w:val="Notedebasdepage"/>
      </w:pPr>
      <w:r>
        <w:rPr>
          <w:rStyle w:val="Appelnotedebasdep"/>
        </w:rPr>
        <w:footnoteRef/>
      </w:r>
      <w:r>
        <w:t xml:space="preserve"> </w:t>
      </w:r>
      <w:r>
        <w:tab/>
      </w:r>
      <w:r w:rsidRPr="00011A46">
        <w:rPr>
          <w:lang w:eastAsia="fr-FR" w:bidi="fr-FR"/>
        </w:rPr>
        <w:t>Je remercie madame Françoise Labbé, messieurs Jean-Pierre Bourgault et Michel Perron d'avoir bien voulu relire le texte et me fa</w:t>
      </w:r>
      <w:r w:rsidRPr="00011A46">
        <w:rPr>
          <w:lang w:eastAsia="fr-FR" w:bidi="fr-FR"/>
        </w:rPr>
        <w:t>i</w:t>
      </w:r>
      <w:r w:rsidRPr="00011A46">
        <w:rPr>
          <w:lang w:eastAsia="fr-FR" w:bidi="fr-FR"/>
        </w:rPr>
        <w:t>re des commentaires appropriés.</w:t>
      </w:r>
    </w:p>
  </w:footnote>
  <w:footnote w:id="349">
    <w:p w:rsidR="00B7214C" w:rsidRDefault="00B7214C">
      <w:pPr>
        <w:pStyle w:val="Notedebasdepage"/>
      </w:pPr>
      <w:r>
        <w:rPr>
          <w:rStyle w:val="Appelnotedebasdep"/>
        </w:rPr>
        <w:footnoteRef/>
      </w:r>
      <w:r>
        <w:t xml:space="preserve"> </w:t>
      </w:r>
      <w:r>
        <w:tab/>
      </w:r>
      <w:r w:rsidRPr="00011A46">
        <w:rPr>
          <w:lang w:eastAsia="fr-FR" w:bidi="fr-FR"/>
        </w:rPr>
        <w:t>Les thèmes des symposiums tenus à Baie-Saint-Paul, d</w:t>
      </w:r>
      <w:r w:rsidRPr="00011A46">
        <w:rPr>
          <w:lang w:eastAsia="fr-FR" w:bidi="fr-FR"/>
        </w:rPr>
        <w:t>e</w:t>
      </w:r>
      <w:r w:rsidRPr="00011A46">
        <w:rPr>
          <w:lang w:eastAsia="fr-FR" w:bidi="fr-FR"/>
        </w:rPr>
        <w:t>puis 1982, sont les suivants</w:t>
      </w:r>
      <w:r w:rsidRPr="00011A46">
        <w:t> :</w:t>
      </w:r>
      <w:r w:rsidRPr="00011A46">
        <w:rPr>
          <w:lang w:eastAsia="fr-FR" w:bidi="fr-FR"/>
        </w:rPr>
        <w:t xml:space="preserve"> 1982, aucun thème</w:t>
      </w:r>
      <w:r w:rsidRPr="00011A46">
        <w:t> ;</w:t>
      </w:r>
      <w:r w:rsidRPr="00011A46">
        <w:rPr>
          <w:lang w:eastAsia="fr-FR" w:bidi="fr-FR"/>
        </w:rPr>
        <w:t xml:space="preserve"> 1983, Événement</w:t>
      </w:r>
      <w:r w:rsidRPr="00011A46">
        <w:t> ;</w:t>
      </w:r>
      <w:r w:rsidRPr="00011A46">
        <w:rPr>
          <w:lang w:eastAsia="fr-FR" w:bidi="fr-FR"/>
        </w:rPr>
        <w:t xml:space="preserve"> 1984, L'apogée de Ja</w:t>
      </w:r>
      <w:r w:rsidRPr="00011A46">
        <w:rPr>
          <w:lang w:eastAsia="fr-FR" w:bidi="fr-FR"/>
        </w:rPr>
        <w:t>c</w:t>
      </w:r>
      <w:r w:rsidRPr="00011A46">
        <w:rPr>
          <w:lang w:eastAsia="fr-FR" w:bidi="fr-FR"/>
        </w:rPr>
        <w:t>ques Cartier</w:t>
      </w:r>
      <w:r w:rsidRPr="00011A46">
        <w:t> ;</w:t>
      </w:r>
      <w:r w:rsidRPr="00011A46">
        <w:rPr>
          <w:lang w:eastAsia="fr-FR" w:bidi="fr-FR"/>
        </w:rPr>
        <w:t xml:space="preserve"> 1985, Osmose</w:t>
      </w:r>
      <w:r w:rsidRPr="00011A46">
        <w:t> ;</w:t>
      </w:r>
      <w:r w:rsidRPr="00011A46">
        <w:rPr>
          <w:lang w:eastAsia="fr-FR" w:bidi="fr-FR"/>
        </w:rPr>
        <w:t xml:space="preserve"> 1986, La paix</w:t>
      </w:r>
      <w:r w:rsidRPr="00011A46">
        <w:t> ;</w:t>
      </w:r>
      <w:r w:rsidRPr="00011A46">
        <w:rPr>
          <w:lang w:eastAsia="fr-FR" w:bidi="fr-FR"/>
        </w:rPr>
        <w:t xml:space="preserve"> 1987, Nunatak (endroit de paix réservé)</w:t>
      </w:r>
      <w:r w:rsidRPr="00011A46">
        <w:t> ;</w:t>
      </w:r>
      <w:r w:rsidRPr="00011A46">
        <w:rPr>
          <w:lang w:eastAsia="fr-FR" w:bidi="fr-FR"/>
        </w:rPr>
        <w:t xml:space="preserve"> 1988, Pays/âge (Land mark)</w:t>
      </w:r>
      <w:r w:rsidRPr="00011A46">
        <w:t> ;</w:t>
      </w:r>
      <w:r w:rsidRPr="00011A46">
        <w:rPr>
          <w:lang w:eastAsia="fr-FR" w:bidi="fr-FR"/>
        </w:rPr>
        <w:t xml:space="preserve"> 1989, Liberté</w:t>
      </w:r>
      <w:r w:rsidRPr="00011A46">
        <w:t> ;</w:t>
      </w:r>
      <w:r w:rsidRPr="00011A46">
        <w:rPr>
          <w:lang w:eastAsia="fr-FR" w:bidi="fr-FR"/>
        </w:rPr>
        <w:t xml:space="preserve"> 1990, Vous</w:t>
      </w:r>
      <w:r w:rsidRPr="00011A46">
        <w:t> ;</w:t>
      </w:r>
      <w:r w:rsidRPr="00011A46">
        <w:rPr>
          <w:lang w:eastAsia="fr-FR" w:bidi="fr-FR"/>
        </w:rPr>
        <w:t xml:space="preserve"> 1991, Traces</w:t>
      </w:r>
      <w:r w:rsidRPr="00011A46">
        <w:t> ;</w:t>
      </w:r>
      <w:r w:rsidRPr="00011A46">
        <w:rPr>
          <w:lang w:eastAsia="fr-FR" w:bidi="fr-FR"/>
        </w:rPr>
        <w:t xml:space="preserve"> 1992, Terre/terre</w:t>
      </w:r>
      <w:r w:rsidRPr="00011A46">
        <w:t> ;</w:t>
      </w:r>
      <w:r w:rsidRPr="00011A46">
        <w:rPr>
          <w:lang w:eastAsia="fr-FR" w:bidi="fr-FR"/>
        </w:rPr>
        <w:t xml:space="preserve"> 1993, Echo.</w:t>
      </w:r>
    </w:p>
  </w:footnote>
  <w:footnote w:id="350">
    <w:p w:rsidR="00B7214C" w:rsidRDefault="00B7214C">
      <w:pPr>
        <w:pStyle w:val="Notedebasdepage"/>
      </w:pPr>
      <w:r>
        <w:rPr>
          <w:rStyle w:val="Appelnotedebasdep"/>
        </w:rPr>
        <w:footnoteRef/>
      </w:r>
      <w:r>
        <w:t xml:space="preserve"> </w:t>
      </w:r>
      <w:r>
        <w:tab/>
      </w:r>
      <w:r w:rsidRPr="00574516">
        <w:t>J'ai présenté deux communications traitant de la théorie du don au colloque de l'ACSALF à Rimouski (1993) : « Le Fest</w:t>
      </w:r>
      <w:r w:rsidRPr="00574516">
        <w:t>i</w:t>
      </w:r>
      <w:r w:rsidRPr="00574516">
        <w:t xml:space="preserve">val western de Saint-Tite » dans le colloque </w:t>
      </w:r>
      <w:r w:rsidRPr="00574516">
        <w:rPr>
          <w:i/>
          <w:iCs/>
        </w:rPr>
        <w:t>Les événements culturels en région</w:t>
      </w:r>
      <w:r w:rsidRPr="00574516">
        <w:t xml:space="preserve"> et « Commentaires » dans la table ronde </w:t>
      </w:r>
      <w:r w:rsidRPr="00574516">
        <w:rPr>
          <w:i/>
          <w:iCs/>
        </w:rPr>
        <w:t>L'esprit du don.</w:t>
      </w:r>
      <w:r w:rsidRPr="00574516">
        <w:t xml:space="preserve"> Je remercie Mmes Françoise-Romaine Ouellette et Andrée Fortin pour leur coll</w:t>
      </w:r>
      <w:r w:rsidRPr="00574516">
        <w:t>a</w:t>
      </w:r>
      <w:r w:rsidRPr="00574516">
        <w:t>boration.</w:t>
      </w:r>
    </w:p>
    <w:p w:rsidR="00B7214C" w:rsidRDefault="00B7214C">
      <w:pPr>
        <w:pStyle w:val="Notedebasdepage"/>
      </w:pPr>
      <w:r>
        <w:tab/>
      </w:r>
      <w:r>
        <w:tab/>
      </w:r>
      <w:r w:rsidRPr="00574516">
        <w:t>Ce projet un peu grandiose n'est pas terminé, car il n'a pu obtenir de subventions après 1988. Avant de le redémarrer, nous publierons quelques résultats non négligeables déjà obtenus, surtout par six de nos collabor</w:t>
      </w:r>
      <w:r w:rsidRPr="00574516">
        <w:t>a</w:t>
      </w:r>
      <w:r w:rsidRPr="00574516">
        <w:t>teurs : Michelle Bouchard, Michel Chartier (1994), Be</w:t>
      </w:r>
      <w:r w:rsidRPr="00574516">
        <w:t>r</w:t>
      </w:r>
      <w:r w:rsidRPr="00574516">
        <w:t>nard Cherubini (1986, 1987), Brigitte Garneau, Danielle Savard (1987), Frédéric Sibomana (1987,</w:t>
      </w:r>
      <w:r>
        <w:t xml:space="preserve"> </w:t>
      </w:r>
      <w:r w:rsidRPr="00574516">
        <w:t>1988). Parmi les six volets énum</w:t>
      </w:r>
      <w:r w:rsidRPr="00574516">
        <w:t>é</w:t>
      </w:r>
      <w:r w:rsidRPr="00574516">
        <w:t>rés ici, cet article n'en présente que quatre en d</w:t>
      </w:r>
      <w:r w:rsidRPr="00574516">
        <w:t>é</w:t>
      </w:r>
      <w:r w:rsidRPr="00574516">
        <w:t>tails. L'article de Chartier résume nos données sur les séquences événementielles. Le matériel sur l'espace festif est tiré ici d'un seul exe</w:t>
      </w:r>
      <w:r w:rsidRPr="00574516">
        <w:t>m</w:t>
      </w:r>
      <w:r w:rsidRPr="00574516">
        <w:t>ple, pris dans le dossier très riche de Danielle Savard.</w:t>
      </w:r>
    </w:p>
  </w:footnote>
  <w:footnote w:id="351">
    <w:p w:rsidR="00B7214C" w:rsidRDefault="00B7214C">
      <w:pPr>
        <w:pStyle w:val="Notedebasdepage"/>
      </w:pPr>
      <w:r>
        <w:rPr>
          <w:rStyle w:val="Appelnotedebasdep"/>
        </w:rPr>
        <w:footnoteRef/>
      </w:r>
      <w:r>
        <w:t xml:space="preserve"> </w:t>
      </w:r>
      <w:r>
        <w:tab/>
      </w:r>
      <w:r w:rsidRPr="00574516">
        <w:t>Voir Michelle Bouchard, 1987 et Frédéric Sibomana, 1988 (surtout les p</w:t>
      </w:r>
      <w:r w:rsidRPr="00574516">
        <w:t>a</w:t>
      </w:r>
      <w:r w:rsidRPr="00574516">
        <w:t>ges 17-19).</w:t>
      </w:r>
    </w:p>
  </w:footnote>
  <w:footnote w:id="352">
    <w:p w:rsidR="00B7214C" w:rsidRDefault="00B7214C">
      <w:pPr>
        <w:pStyle w:val="Notedebasdepage"/>
      </w:pPr>
      <w:r>
        <w:rPr>
          <w:rStyle w:val="Appelnotedebasdep"/>
        </w:rPr>
        <w:footnoteRef/>
      </w:r>
      <w:r>
        <w:t xml:space="preserve"> </w:t>
      </w:r>
      <w:r>
        <w:tab/>
      </w:r>
      <w:r w:rsidRPr="00574516">
        <w:t>Voir Frédéric Sibomana, 1987.</w:t>
      </w:r>
    </w:p>
  </w:footnote>
  <w:footnote w:id="353">
    <w:p w:rsidR="00B7214C" w:rsidRDefault="00B7214C">
      <w:pPr>
        <w:pStyle w:val="Notedebasdepage"/>
      </w:pPr>
      <w:r>
        <w:rPr>
          <w:rStyle w:val="Appelnotedebasdep"/>
        </w:rPr>
        <w:footnoteRef/>
      </w:r>
      <w:r>
        <w:t xml:space="preserve"> </w:t>
      </w:r>
      <w:r>
        <w:tab/>
      </w:r>
      <w:r w:rsidRPr="00574516">
        <w:t>Voir Bernard Cherubini, 1987.</w:t>
      </w:r>
    </w:p>
  </w:footnote>
  <w:footnote w:id="354">
    <w:p w:rsidR="00B7214C" w:rsidRDefault="00B7214C">
      <w:pPr>
        <w:pStyle w:val="Notedebasdepage"/>
      </w:pPr>
      <w:r>
        <w:rPr>
          <w:rStyle w:val="Appelnotedebasdep"/>
        </w:rPr>
        <w:footnoteRef/>
      </w:r>
      <w:r>
        <w:t xml:space="preserve"> </w:t>
      </w:r>
      <w:r>
        <w:tab/>
      </w:r>
      <w:r w:rsidRPr="00574516">
        <w:t>Le festival western de Saint-Tite s'établit et survécut quand l'i</w:t>
      </w:r>
      <w:r w:rsidRPr="00574516">
        <w:t>n</w:t>
      </w:r>
      <w:r w:rsidRPr="00574516">
        <w:t>dustrie du cuir était déjà à son déclin. Voir le tableau dans Comité hi</w:t>
      </w:r>
      <w:r w:rsidRPr="00574516">
        <w:t>s</w:t>
      </w:r>
      <w:r w:rsidRPr="00574516">
        <w:t>torique 1984, p</w:t>
      </w:r>
      <w:r>
        <w:t>p</w:t>
      </w:r>
      <w:r w:rsidRPr="00574516">
        <w:t>. 224-226 dont il ressort que la p</w:t>
      </w:r>
      <w:r w:rsidRPr="00574516">
        <w:t>é</w:t>
      </w:r>
      <w:r w:rsidRPr="00574516">
        <w:t>riode de floraison a été celle de 1946-1955 et que les entreprises du cuir à Saint-Tite commençaient depuis 1966 à fe</w:t>
      </w:r>
      <w:r w:rsidRPr="00574516">
        <w:t>r</w:t>
      </w:r>
      <w:r w:rsidRPr="00574516">
        <w:t>mer leurs portes.</w:t>
      </w:r>
    </w:p>
  </w:footnote>
  <w:footnote w:id="355">
    <w:p w:rsidR="00B7214C" w:rsidRDefault="00B7214C">
      <w:pPr>
        <w:pStyle w:val="Notedebasdepage"/>
      </w:pPr>
      <w:r>
        <w:rPr>
          <w:rStyle w:val="Appelnotedebasdep"/>
        </w:rPr>
        <w:footnoteRef/>
      </w:r>
      <w:r>
        <w:t xml:space="preserve"> </w:t>
      </w:r>
      <w:r>
        <w:tab/>
      </w:r>
      <w:r w:rsidRPr="00574516">
        <w:t>Le festival de Sainte-Thècle ne fut établi qu'en 1989. Pour une an</w:t>
      </w:r>
      <w:r w:rsidRPr="00574516">
        <w:t>a</w:t>
      </w:r>
      <w:r w:rsidRPr="00574516">
        <w:t>lyse de la communauté, voir Brigitte Garneau, 1988. Le festival de Saint-Narcisse ne fut établi qu'en 1988. Pour le résumé de ce cas, voir Chartier, 1994.</w:t>
      </w:r>
    </w:p>
  </w:footnote>
  <w:footnote w:id="356">
    <w:p w:rsidR="00B7214C" w:rsidRDefault="00B7214C">
      <w:pPr>
        <w:pStyle w:val="Notedebasdepage"/>
      </w:pPr>
      <w:r>
        <w:rPr>
          <w:rStyle w:val="Appelnotedebasdep"/>
        </w:rPr>
        <w:footnoteRef/>
      </w:r>
      <w:r>
        <w:t xml:space="preserve"> </w:t>
      </w:r>
      <w:r>
        <w:tab/>
      </w:r>
      <w:r w:rsidRPr="00574516">
        <w:t>Voir Danielle Savard, 1987, au sujet des mannequins con</w:t>
      </w:r>
      <w:r w:rsidRPr="00574516">
        <w:t>s</w:t>
      </w:r>
      <w:r w:rsidRPr="00574516">
        <w:t xml:space="preserve">truits devant les maisons pour le « Festival de pêche </w:t>
      </w:r>
      <w:r w:rsidRPr="00574516">
        <w:rPr>
          <w:i/>
          <w:iCs/>
        </w:rPr>
        <w:t>Optimiste</w:t>
      </w:r>
      <w:r w:rsidRPr="00574516">
        <w:t xml:space="preserve"> de Saint-Jean-des-Piles ».</w:t>
      </w:r>
    </w:p>
  </w:footnote>
  <w:footnote w:id="357">
    <w:p w:rsidR="00B7214C" w:rsidRDefault="00B7214C">
      <w:pPr>
        <w:pStyle w:val="Notedebasdepage"/>
      </w:pPr>
      <w:r>
        <w:rPr>
          <w:rStyle w:val="Appelnotedebasdep"/>
        </w:rPr>
        <w:footnoteRef/>
      </w:r>
      <w:r>
        <w:t xml:space="preserve"> </w:t>
      </w:r>
      <w:r>
        <w:tab/>
      </w:r>
      <w:r w:rsidRPr="00574516">
        <w:t>Voir Frédéric Sibomana, 1987, p</w:t>
      </w:r>
      <w:r>
        <w:t>p</w:t>
      </w:r>
      <w:r w:rsidRPr="00574516">
        <w:t>. 8-10.</w:t>
      </w:r>
    </w:p>
  </w:footnote>
  <w:footnote w:id="358">
    <w:p w:rsidR="00B7214C" w:rsidRDefault="00B7214C">
      <w:pPr>
        <w:pStyle w:val="Notedebasdepage"/>
      </w:pPr>
      <w:r>
        <w:rPr>
          <w:rStyle w:val="Appelnotedebasdep"/>
        </w:rPr>
        <w:footnoteRef/>
      </w:r>
      <w:r>
        <w:t xml:space="preserve"> </w:t>
      </w:r>
      <w:r>
        <w:tab/>
      </w:r>
      <w:r w:rsidRPr="00574516">
        <w:t>Voir Danielle Savard, 1987.</w:t>
      </w:r>
    </w:p>
  </w:footnote>
  <w:footnote w:id="359">
    <w:p w:rsidR="00B7214C" w:rsidRDefault="00B7214C">
      <w:pPr>
        <w:pStyle w:val="Notedebasdepage"/>
      </w:pPr>
      <w:r>
        <w:rPr>
          <w:rStyle w:val="Appelnotedebasdep"/>
        </w:rPr>
        <w:t>*</w:t>
      </w:r>
      <w:r>
        <w:t xml:space="preserve"> </w:t>
      </w:r>
      <w:r>
        <w:tab/>
      </w:r>
      <w:r w:rsidRPr="00574516">
        <w:t>Plusieurs de ces sources sont des rapports de recherche manu</w:t>
      </w:r>
      <w:r w:rsidRPr="00574516">
        <w:t>s</w:t>
      </w:r>
      <w:r w:rsidRPr="00574516">
        <w:t>crits faits dans le cadre du projet « La fête populaire en Mauricie », 1987-1988, dont j'étais le responsable administr</w:t>
      </w:r>
      <w:r w:rsidRPr="00574516">
        <w:t>a</w:t>
      </w:r>
      <w:r w:rsidRPr="00574516">
        <w:t>tif. Le rapport final est en préparation. Ces papiers sont ident</w:t>
      </w:r>
      <w:r w:rsidRPr="00574516">
        <w:t>i</w:t>
      </w:r>
      <w:r w:rsidRPr="00574516">
        <w:t>fiés ici par le sigle FPM.</w:t>
      </w:r>
    </w:p>
  </w:footnote>
  <w:footnote w:id="360">
    <w:p w:rsidR="00B7214C" w:rsidRDefault="00B7214C">
      <w:pPr>
        <w:pStyle w:val="Notedebasdepage"/>
      </w:pPr>
      <w:r>
        <w:rPr>
          <w:rStyle w:val="Appelnotedebasdep"/>
        </w:rPr>
        <w:footnoteRef/>
      </w:r>
      <w:r>
        <w:t xml:space="preserve"> </w:t>
      </w:r>
      <w:r>
        <w:tab/>
      </w:r>
      <w:r w:rsidRPr="005869B6">
        <w:t xml:space="preserve">M. Shanks et C. Tilley, </w:t>
      </w:r>
      <w:r w:rsidRPr="00B84DC7">
        <w:rPr>
          <w:i/>
          <w:iCs/>
        </w:rPr>
        <w:t>Re-Constructing Archaeology : Theory and Pract</w:t>
      </w:r>
      <w:r w:rsidRPr="00B84DC7">
        <w:rPr>
          <w:i/>
          <w:iCs/>
        </w:rPr>
        <w:t>i</w:t>
      </w:r>
      <w:r w:rsidRPr="00B84DC7">
        <w:rPr>
          <w:i/>
          <w:iCs/>
        </w:rPr>
        <w:t>ce,</w:t>
      </w:r>
      <w:r w:rsidRPr="005869B6">
        <w:t xml:space="preserve"> Cambridge, Cambridge University Press, 1987.</w:t>
      </w:r>
    </w:p>
  </w:footnote>
  <w:footnote w:id="361">
    <w:p w:rsidR="00B7214C" w:rsidRDefault="00B7214C">
      <w:pPr>
        <w:pStyle w:val="Notedebasdepage"/>
      </w:pPr>
      <w:r>
        <w:rPr>
          <w:rStyle w:val="Appelnotedebasdep"/>
        </w:rPr>
        <w:footnoteRef/>
      </w:r>
      <w:r>
        <w:t xml:space="preserve"> </w:t>
      </w:r>
      <w:r>
        <w:tab/>
      </w:r>
      <w:r w:rsidRPr="005869B6">
        <w:t>David Crowther, « Archaeology, Material Culture and M</w:t>
      </w:r>
      <w:r w:rsidRPr="005869B6">
        <w:t>u</w:t>
      </w:r>
      <w:r w:rsidRPr="005869B6">
        <w:t xml:space="preserve">séums », </w:t>
      </w:r>
      <w:r w:rsidRPr="00B84DC7">
        <w:rPr>
          <w:i/>
          <w:iCs/>
        </w:rPr>
        <w:t>Museum Studies in Material Culture,</w:t>
      </w:r>
      <w:r w:rsidRPr="005869B6">
        <w:t xml:space="preserve"> Susan M. Pearce (dir.), Leicester, Leicester University Press, 1989, p. 44.</w:t>
      </w:r>
    </w:p>
  </w:footnote>
  <w:footnote w:id="362">
    <w:p w:rsidR="00B7214C" w:rsidRDefault="00B7214C">
      <w:pPr>
        <w:pStyle w:val="Notedebasdepage"/>
      </w:pPr>
      <w:r>
        <w:rPr>
          <w:rStyle w:val="Appelnotedebasdep"/>
        </w:rPr>
        <w:footnoteRef/>
      </w:r>
      <w:r>
        <w:t xml:space="preserve"> </w:t>
      </w:r>
      <w:r>
        <w:tab/>
      </w:r>
      <w:r w:rsidRPr="005869B6">
        <w:t xml:space="preserve">Susan M. Pearce, </w:t>
      </w:r>
      <w:r w:rsidRPr="00B84DC7">
        <w:rPr>
          <w:i/>
          <w:iCs/>
        </w:rPr>
        <w:t>Archaeological Curatorship,</w:t>
      </w:r>
      <w:r w:rsidRPr="005869B6">
        <w:t xml:space="preserve"> Washington, D.C, Smiths</w:t>
      </w:r>
      <w:r w:rsidRPr="005869B6">
        <w:t>o</w:t>
      </w:r>
      <w:r w:rsidRPr="005869B6">
        <w:t>nian Institution Press, 1990, p. 33.</w:t>
      </w:r>
    </w:p>
  </w:footnote>
  <w:footnote w:id="363">
    <w:p w:rsidR="00B7214C" w:rsidRDefault="00B7214C">
      <w:pPr>
        <w:pStyle w:val="Notedebasdepage"/>
      </w:pPr>
      <w:r>
        <w:rPr>
          <w:rStyle w:val="Appelnotedebasdep"/>
        </w:rPr>
        <w:footnoteRef/>
      </w:r>
      <w:r>
        <w:t xml:space="preserve"> </w:t>
      </w:r>
      <w:r>
        <w:tab/>
      </w:r>
      <w:r w:rsidRPr="005869B6">
        <w:t xml:space="preserve">Robert Layton (dir.), </w:t>
      </w:r>
      <w:r w:rsidRPr="00B84DC7">
        <w:rPr>
          <w:i/>
          <w:iCs/>
        </w:rPr>
        <w:t>Who needs the past,</w:t>
      </w:r>
      <w:r w:rsidRPr="005869B6">
        <w:t xml:space="preserve"> London, Unwyn H</w:t>
      </w:r>
      <w:r w:rsidRPr="005869B6">
        <w:t>y</w:t>
      </w:r>
      <w:r w:rsidRPr="005869B6">
        <w:t>man, One World Archaeology Sérié, Number 6,1989, p. 3.</w:t>
      </w:r>
    </w:p>
  </w:footnote>
  <w:footnote w:id="364">
    <w:p w:rsidR="00B7214C" w:rsidRDefault="00B7214C">
      <w:pPr>
        <w:pStyle w:val="Notedebasdepage"/>
      </w:pPr>
      <w:r>
        <w:rPr>
          <w:rStyle w:val="Appelnotedebasdep"/>
        </w:rPr>
        <w:footnoteRef/>
      </w:r>
      <w:r>
        <w:t xml:space="preserve"> </w:t>
      </w:r>
      <w:r>
        <w:tab/>
      </w:r>
      <w:r w:rsidRPr="005869B6">
        <w:t xml:space="preserve">David Lowenthal, </w:t>
      </w:r>
      <w:r w:rsidRPr="00B84DC7">
        <w:rPr>
          <w:i/>
          <w:iCs/>
        </w:rPr>
        <w:t>The past is a foreign country,</w:t>
      </w:r>
      <w:r w:rsidRPr="005869B6">
        <w:t xml:space="preserve"> Cambridge, Ca</w:t>
      </w:r>
      <w:r w:rsidRPr="005869B6">
        <w:t>m</w:t>
      </w:r>
      <w:r w:rsidRPr="005869B6">
        <w:t>bridge University Press, 1985, p. 193.</w:t>
      </w:r>
    </w:p>
  </w:footnote>
  <w:footnote w:id="365">
    <w:p w:rsidR="00B7214C" w:rsidRDefault="00B7214C">
      <w:pPr>
        <w:pStyle w:val="Notedebasdepage"/>
      </w:pPr>
      <w:r>
        <w:rPr>
          <w:rStyle w:val="Appelnotedebasdep"/>
        </w:rPr>
        <w:footnoteRef/>
      </w:r>
      <w:r>
        <w:t xml:space="preserve"> </w:t>
      </w:r>
      <w:r>
        <w:tab/>
      </w:r>
      <w:r w:rsidRPr="005869B6">
        <w:t xml:space="preserve">David Lowenthal, </w:t>
      </w:r>
      <w:r w:rsidRPr="00B84DC7">
        <w:rPr>
          <w:i/>
          <w:iCs/>
        </w:rPr>
        <w:t>op. cit.,</w:t>
      </w:r>
      <w:r w:rsidRPr="005869B6">
        <w:t xml:space="preserve"> p. 197.</w:t>
      </w:r>
    </w:p>
  </w:footnote>
  <w:footnote w:id="366">
    <w:p w:rsidR="00B7214C" w:rsidRDefault="00B7214C">
      <w:pPr>
        <w:pStyle w:val="Notedebasdepage"/>
      </w:pPr>
      <w:r>
        <w:rPr>
          <w:rStyle w:val="Appelnotedebasdep"/>
        </w:rPr>
        <w:footnoteRef/>
      </w:r>
      <w:r>
        <w:t xml:space="preserve"> </w:t>
      </w:r>
      <w:r>
        <w:tab/>
      </w:r>
      <w:r w:rsidRPr="005869B6">
        <w:t xml:space="preserve">David Lowenthal, </w:t>
      </w:r>
      <w:r w:rsidRPr="00B84DC7">
        <w:rPr>
          <w:i/>
          <w:iCs/>
        </w:rPr>
        <w:t>op. cit.,</w:t>
      </w:r>
      <w:r w:rsidRPr="005869B6">
        <w:t xml:space="preserve"> p. 234.</w:t>
      </w:r>
    </w:p>
  </w:footnote>
  <w:footnote w:id="367">
    <w:p w:rsidR="00B7214C" w:rsidRDefault="00B7214C">
      <w:pPr>
        <w:pStyle w:val="Notedebasdepage"/>
      </w:pPr>
      <w:r>
        <w:rPr>
          <w:rStyle w:val="Appelnotedebasdep"/>
        </w:rPr>
        <w:footnoteRef/>
      </w:r>
      <w:r>
        <w:t xml:space="preserve"> </w:t>
      </w:r>
      <w:r>
        <w:tab/>
      </w:r>
      <w:r w:rsidRPr="005869B6">
        <w:t xml:space="preserve">Susan M. Pearce, </w:t>
      </w:r>
      <w:r w:rsidRPr="00B84DC7">
        <w:rPr>
          <w:i/>
          <w:iCs/>
        </w:rPr>
        <w:t>loc. cit.</w:t>
      </w:r>
    </w:p>
  </w:footnote>
  <w:footnote w:id="368">
    <w:p w:rsidR="00B7214C" w:rsidRDefault="00B7214C">
      <w:pPr>
        <w:pStyle w:val="Notedebasdepage"/>
      </w:pPr>
      <w:r>
        <w:rPr>
          <w:rStyle w:val="Appelnotedebasdep"/>
        </w:rPr>
        <w:footnoteRef/>
      </w:r>
      <w:r>
        <w:t xml:space="preserve"> </w:t>
      </w:r>
      <w:r>
        <w:tab/>
      </w:r>
      <w:r w:rsidRPr="005869B6">
        <w:t xml:space="preserve">Susan M. Pearce, </w:t>
      </w:r>
      <w:r w:rsidRPr="00B84DC7">
        <w:rPr>
          <w:i/>
          <w:iCs/>
        </w:rPr>
        <w:t>loc. cit.</w:t>
      </w:r>
    </w:p>
  </w:footnote>
  <w:footnote w:id="369">
    <w:p w:rsidR="00B7214C" w:rsidRDefault="00B7214C">
      <w:pPr>
        <w:pStyle w:val="Notedebasdepage"/>
      </w:pPr>
      <w:r>
        <w:rPr>
          <w:rStyle w:val="Appelnotedebasdep"/>
        </w:rPr>
        <w:footnoteRef/>
      </w:r>
      <w:r>
        <w:t xml:space="preserve"> </w:t>
      </w:r>
      <w:r>
        <w:tab/>
      </w:r>
      <w:r w:rsidRPr="005869B6">
        <w:t>Le nom des auteurs apparaît par ordre alphabétique</w:t>
      </w:r>
    </w:p>
  </w:footnote>
  <w:footnote w:id="370">
    <w:p w:rsidR="00B7214C" w:rsidRDefault="00B7214C">
      <w:pPr>
        <w:pStyle w:val="Notedebasdepage"/>
      </w:pPr>
      <w:r>
        <w:rPr>
          <w:rStyle w:val="Appelnotedebasdep"/>
        </w:rPr>
        <w:footnoteRef/>
      </w:r>
      <w:r>
        <w:t xml:space="preserve"> </w:t>
      </w:r>
      <w:r>
        <w:tab/>
      </w:r>
      <w:r w:rsidRPr="005869B6">
        <w:t>Les travaux qui ont inspiré cette communication ont été réalisés par la Ville de Montréal, le Musée d'archéologie et d'histoire de Mo</w:t>
      </w:r>
      <w:r w:rsidRPr="005869B6">
        <w:t>n</w:t>
      </w:r>
      <w:r w:rsidRPr="005869B6">
        <w:t>tréal - Pointe-</w:t>
      </w:r>
      <w:r>
        <w:t>à</w:t>
      </w:r>
      <w:r w:rsidRPr="005869B6">
        <w:t>-Calli</w:t>
      </w:r>
      <w:r>
        <w:t>è</w:t>
      </w:r>
      <w:r w:rsidRPr="005869B6">
        <w:t>re, la Société du Vieux-Port de Montréal, le m</w:t>
      </w:r>
      <w:r w:rsidRPr="005869B6">
        <w:t>i</w:t>
      </w:r>
      <w:r w:rsidRPr="005869B6">
        <w:t>nistère delà Culture et la Ville de Mo</w:t>
      </w:r>
      <w:r w:rsidRPr="005869B6">
        <w:t>n</w:t>
      </w:r>
      <w:r w:rsidRPr="005869B6">
        <w:t>tréal dans le cadre de l'entente sur la mise en val</w:t>
      </w:r>
      <w:r>
        <w:t>eur du Vieux-Montréal et du patri</w:t>
      </w:r>
      <w:r w:rsidRPr="005869B6">
        <w:t>moine montréalais.</w:t>
      </w:r>
    </w:p>
  </w:footnote>
  <w:footnote w:id="371">
    <w:p w:rsidR="00B7214C" w:rsidRDefault="00B7214C">
      <w:pPr>
        <w:pStyle w:val="Notedebasdepage"/>
      </w:pPr>
      <w:r>
        <w:rPr>
          <w:rStyle w:val="Appelnotedebasdep"/>
        </w:rPr>
        <w:footnoteRef/>
      </w:r>
      <w:r>
        <w:t xml:space="preserve"> </w:t>
      </w:r>
      <w:r>
        <w:tab/>
      </w:r>
      <w:r w:rsidRPr="00760BBE">
        <w:t>C'est à cette fonction de représentation que fait référence, quoique de mani</w:t>
      </w:r>
      <w:r w:rsidRPr="00760BBE">
        <w:t>è</w:t>
      </w:r>
      <w:r w:rsidRPr="00760BBE">
        <w:t>re plus large, Krzysztof Pomian lorsqu'il parle de la transformation des art</w:t>
      </w:r>
      <w:r w:rsidRPr="00760BBE">
        <w:t>e</w:t>
      </w:r>
      <w:r w:rsidRPr="00760BBE">
        <w:t xml:space="preserve">facts en « sémiophores ». Voir K. Pomian, « Entre le visible et l'invisible : la collection ». </w:t>
      </w:r>
      <w:r w:rsidRPr="00760BBE">
        <w:rPr>
          <w:i/>
          <w:iCs/>
        </w:rPr>
        <w:t xml:space="preserve">Libre, </w:t>
      </w:r>
      <w:r w:rsidRPr="00760BBE">
        <w:t xml:space="preserve">1978, n° 3, </w:t>
      </w:r>
      <w:r>
        <w:t>p</w:t>
      </w:r>
      <w:r w:rsidRPr="00760BBE">
        <w:t>p. 3-56.</w:t>
      </w:r>
    </w:p>
  </w:footnote>
  <w:footnote w:id="372">
    <w:p w:rsidR="00B7214C" w:rsidRDefault="00B7214C">
      <w:pPr>
        <w:pStyle w:val="Notedebasdepage"/>
      </w:pPr>
      <w:r>
        <w:rPr>
          <w:rStyle w:val="Appelnotedebasdep"/>
        </w:rPr>
        <w:footnoteRef/>
      </w:r>
      <w:r>
        <w:t xml:space="preserve"> </w:t>
      </w:r>
      <w:r>
        <w:tab/>
      </w:r>
      <w:r w:rsidRPr="00760BBE">
        <w:t>Pour une analyse des relations de pouvoir à l'origine des découpages ident</w:t>
      </w:r>
      <w:r w:rsidRPr="00760BBE">
        <w:t>i</w:t>
      </w:r>
      <w:r w:rsidRPr="00760BBE">
        <w:t xml:space="preserve">taires, voir Pierre Bourdieu, « L'Identité et la représenta tion », </w:t>
      </w:r>
      <w:r w:rsidRPr="00760BBE">
        <w:rPr>
          <w:i/>
          <w:iCs/>
        </w:rPr>
        <w:t>Actes de la recherche en sciences sociales,</w:t>
      </w:r>
      <w:r w:rsidRPr="00760BBE">
        <w:t xml:space="preserve"> 1980, n° 35, p</w:t>
      </w:r>
      <w:r>
        <w:t>p</w:t>
      </w:r>
      <w:r w:rsidRPr="00760BBE">
        <w:t>. 63-72.</w:t>
      </w:r>
    </w:p>
  </w:footnote>
  <w:footnote w:id="373">
    <w:p w:rsidR="00B7214C" w:rsidRDefault="00B7214C">
      <w:pPr>
        <w:pStyle w:val="Notedebasdepage"/>
      </w:pPr>
      <w:r>
        <w:rPr>
          <w:rStyle w:val="Appelnotedebasdep"/>
        </w:rPr>
        <w:footnoteRef/>
      </w:r>
      <w:r>
        <w:t xml:space="preserve"> </w:t>
      </w:r>
      <w:r>
        <w:tab/>
      </w:r>
      <w:r w:rsidRPr="00760BBE">
        <w:t>L'expression est empruntée à Pierre Bourdieu qui définit les luttes identita</w:t>
      </w:r>
      <w:r w:rsidRPr="00760BBE">
        <w:t>i</w:t>
      </w:r>
      <w:r w:rsidRPr="00760BBE">
        <w:t>res comme des luttes qui ont « pour enjeu le pouvoir d'imp</w:t>
      </w:r>
      <w:r w:rsidRPr="00760BBE">
        <w:t>o</w:t>
      </w:r>
      <w:r w:rsidRPr="00760BBE">
        <w:t xml:space="preserve">ser une vision du monde social à travers des principes de division », P. Bourdieu, </w:t>
      </w:r>
      <w:r w:rsidRPr="00760BBE">
        <w:rPr>
          <w:i/>
          <w:iCs/>
        </w:rPr>
        <w:t>op. cit.,</w:t>
      </w:r>
      <w:r w:rsidRPr="00760BBE">
        <w:t xml:space="preserve"> p. 65.</w:t>
      </w:r>
    </w:p>
  </w:footnote>
  <w:footnote w:id="374">
    <w:p w:rsidR="00B7214C" w:rsidRDefault="00B7214C">
      <w:pPr>
        <w:pStyle w:val="Notedebasdepage"/>
      </w:pPr>
      <w:r>
        <w:rPr>
          <w:rStyle w:val="Appelnotedebasdep"/>
        </w:rPr>
        <w:footnoteRef/>
      </w:r>
      <w:r>
        <w:t xml:space="preserve"> </w:t>
      </w:r>
      <w:r>
        <w:tab/>
      </w:r>
      <w:r w:rsidRPr="00760BBE">
        <w:t xml:space="preserve">Pour un bon aperçu des pressions exercées par le public sur les musées, voir Iyan Karp, Christine M. Kreamer et Steven D. Lavine (dir.), </w:t>
      </w:r>
      <w:r w:rsidRPr="00760BBE">
        <w:rPr>
          <w:i/>
          <w:iCs/>
        </w:rPr>
        <w:t>Muséum and Communities. The Politics of Public Culture,</w:t>
      </w:r>
      <w:r w:rsidRPr="00760BBE">
        <w:t xml:space="preserve"> Washington and London, Smithsonian Institution Press.</w:t>
      </w:r>
    </w:p>
  </w:footnote>
  <w:footnote w:id="375">
    <w:p w:rsidR="00B7214C" w:rsidRDefault="00B7214C">
      <w:pPr>
        <w:pStyle w:val="Notedebasdepage"/>
      </w:pPr>
      <w:r>
        <w:rPr>
          <w:rStyle w:val="Appelnotedebasdep"/>
        </w:rPr>
        <w:footnoteRef/>
      </w:r>
      <w:r>
        <w:t xml:space="preserve"> </w:t>
      </w:r>
      <w:r>
        <w:tab/>
      </w:r>
      <w:r w:rsidRPr="00760BBE">
        <w:t>« La culture est un processus, un mode d'acculturation » avance également Régine Robin dans un excellent article : « Sortir de l'ethn</w:t>
      </w:r>
      <w:r w:rsidRPr="00760BBE">
        <w:t>i</w:t>
      </w:r>
      <w:r w:rsidRPr="00760BBE">
        <w:t xml:space="preserve">cité », dans J.-M. Lacroix et F. Caccia (dir.), </w:t>
      </w:r>
      <w:r w:rsidRPr="00760BBE">
        <w:rPr>
          <w:i/>
          <w:iCs/>
        </w:rPr>
        <w:t>Métamorphoses d'une utopie,</w:t>
      </w:r>
      <w:r w:rsidRPr="00760BBE">
        <w:t xml:space="preserve"> Paris, Presses de la Sorbonne Nouvelle, Editions Triptyque, 1992.</w:t>
      </w:r>
    </w:p>
  </w:footnote>
  <w:footnote w:id="376">
    <w:p w:rsidR="00B7214C" w:rsidRDefault="00B7214C">
      <w:pPr>
        <w:pStyle w:val="Notedebasdepage"/>
      </w:pPr>
      <w:r>
        <w:rPr>
          <w:rStyle w:val="Appelnotedebasdep"/>
        </w:rPr>
        <w:footnoteRef/>
      </w:r>
      <w:r>
        <w:t xml:space="preserve"> </w:t>
      </w:r>
      <w:r>
        <w:tab/>
      </w:r>
      <w:r w:rsidRPr="00760BBE">
        <w:t xml:space="preserve">À ce sujet, voir les articles présentés dans Bernard Lefort (dir.), </w:t>
      </w:r>
      <w:r w:rsidRPr="00760BBE">
        <w:rPr>
          <w:i/>
          <w:iCs/>
        </w:rPr>
        <w:t xml:space="preserve">De la fin de l'histoire, </w:t>
      </w:r>
      <w:r w:rsidRPr="00760BBE">
        <w:t>Paris, Editions du Félin, 1992, qui proposent une critique de cette idée qui, tout en ne datant pas d'aujourd'hui, fut énoncée à nouveau à la f</w:t>
      </w:r>
      <w:r w:rsidRPr="00760BBE">
        <w:t>a</w:t>
      </w:r>
      <w:r w:rsidRPr="00760BBE">
        <w:t>veur de la disparition du communisme par l'art</w:t>
      </w:r>
      <w:r w:rsidRPr="00760BBE">
        <w:t>i</w:t>
      </w:r>
      <w:r w:rsidRPr="00760BBE">
        <w:t xml:space="preserve">cle de Francis Fukuyama « La fin de l'histoire ? » paru dans la revue américaine </w:t>
      </w:r>
      <w:r w:rsidRPr="00760BBE">
        <w:rPr>
          <w:i/>
          <w:iCs/>
        </w:rPr>
        <w:t>National Interest.</w:t>
      </w:r>
    </w:p>
  </w:footnote>
  <w:footnote w:id="377">
    <w:p w:rsidR="00B7214C" w:rsidRDefault="00B7214C">
      <w:pPr>
        <w:pStyle w:val="Notedebasdepage"/>
      </w:pPr>
      <w:r>
        <w:rPr>
          <w:rStyle w:val="Appelnotedebasdep"/>
        </w:rPr>
        <w:footnoteRef/>
      </w:r>
      <w:r>
        <w:t xml:space="preserve"> </w:t>
      </w:r>
      <w:r>
        <w:tab/>
      </w:r>
      <w:r w:rsidRPr="00760BBE">
        <w:t xml:space="preserve">. J. Baudrillard, </w:t>
      </w:r>
      <w:r w:rsidRPr="00760BBE">
        <w:rPr>
          <w:i/>
          <w:iCs/>
        </w:rPr>
        <w:t>La Transparence du mal,</w:t>
      </w:r>
      <w:r w:rsidRPr="00760BBE">
        <w:t xml:space="preserve"> Paris, Galilée, 1990.</w:t>
      </w:r>
    </w:p>
  </w:footnote>
  <w:footnote w:id="378">
    <w:p w:rsidR="00B7214C" w:rsidRDefault="00B7214C">
      <w:pPr>
        <w:pStyle w:val="Notedebasdepage"/>
      </w:pPr>
      <w:r>
        <w:rPr>
          <w:rStyle w:val="Appelnotedebasdep"/>
        </w:rPr>
        <w:footnoteRef/>
      </w:r>
      <w:r>
        <w:t xml:space="preserve"> </w:t>
      </w:r>
      <w:r>
        <w:tab/>
      </w:r>
      <w:r w:rsidRPr="00760BBE">
        <w:t>Organisée par Mme Pascale Galipeau (conservatrice invitée), cette expos</w:t>
      </w:r>
      <w:r w:rsidRPr="00760BBE">
        <w:t>i</w:t>
      </w:r>
      <w:r w:rsidRPr="00760BBE">
        <w:t>tion est prévue pour l'été 1995.</w:t>
      </w:r>
    </w:p>
  </w:footnote>
  <w:footnote w:id="379">
    <w:p w:rsidR="00B7214C" w:rsidRDefault="00B7214C">
      <w:pPr>
        <w:pStyle w:val="Notedebasdepage"/>
      </w:pPr>
      <w:r>
        <w:rPr>
          <w:rStyle w:val="Appelnotedebasdep"/>
        </w:rPr>
        <w:footnoteRef/>
      </w:r>
      <w:r>
        <w:t xml:space="preserve"> </w:t>
      </w:r>
      <w:r>
        <w:tab/>
      </w:r>
      <w:r w:rsidRPr="00760BBE">
        <w:t>Voir à ce sujet l'excellent ouvrage de Ilya Prigogine et Is</w:t>
      </w:r>
      <w:r w:rsidRPr="00760BBE">
        <w:t>a</w:t>
      </w:r>
      <w:r w:rsidRPr="00760BBE">
        <w:t xml:space="preserve">belle Stengers, </w:t>
      </w:r>
      <w:r w:rsidRPr="00760BBE">
        <w:rPr>
          <w:i/>
          <w:iCs/>
        </w:rPr>
        <w:t>La Nouvelle alliance. Métamorphose de la science,</w:t>
      </w:r>
      <w:r w:rsidRPr="00760BBE">
        <w:t xml:space="preserve"> Paris, Gallimard, 1979 qui contient plusieurs éléments pertinents pour les sciences sociales.</w:t>
      </w:r>
    </w:p>
  </w:footnote>
  <w:footnote w:id="380">
    <w:p w:rsidR="00B7214C" w:rsidRDefault="00B7214C">
      <w:pPr>
        <w:pStyle w:val="Notedebasdepage"/>
      </w:pPr>
      <w:r>
        <w:rPr>
          <w:rStyle w:val="Appelnotedebasdep"/>
        </w:rPr>
        <w:footnoteRef/>
      </w:r>
      <w:r>
        <w:t xml:space="preserve"> </w:t>
      </w:r>
      <w:r>
        <w:tab/>
      </w:r>
      <w:r w:rsidRPr="00760BBE">
        <w:t>Voir les interventions de C. Castoriadis et d'E. Morin dans B. L</w:t>
      </w:r>
      <w:r w:rsidRPr="00760BBE">
        <w:t>e</w:t>
      </w:r>
      <w:r w:rsidRPr="00760BBE">
        <w:t xml:space="preserve">fort (dir.), </w:t>
      </w:r>
      <w:r w:rsidRPr="00760BBE">
        <w:rPr>
          <w:i/>
          <w:iCs/>
        </w:rPr>
        <w:t xml:space="preserve">op. cit., </w:t>
      </w:r>
      <w:r w:rsidRPr="00760BBE">
        <w:t>p</w:t>
      </w:r>
      <w:r>
        <w:t>p</w:t>
      </w:r>
      <w:r w:rsidRPr="00760BBE">
        <w:t>. 62-71, 72-79.</w:t>
      </w:r>
    </w:p>
  </w:footnote>
  <w:footnote w:id="381">
    <w:p w:rsidR="00B7214C" w:rsidRDefault="00B7214C">
      <w:pPr>
        <w:pStyle w:val="Notedebasdepage"/>
      </w:pPr>
      <w:r>
        <w:rPr>
          <w:rStyle w:val="Appelnotedebasdep"/>
        </w:rPr>
        <w:footnoteRef/>
      </w:r>
      <w:r>
        <w:t xml:space="preserve"> </w:t>
      </w:r>
      <w:r>
        <w:tab/>
      </w:r>
      <w:r w:rsidRPr="00760BBE">
        <w:t>Communication présentée aux « </w:t>
      </w:r>
      <w:r w:rsidRPr="00760BBE">
        <w:rPr>
          <w:i/>
        </w:rPr>
        <w:t>Rencontres européennes des musées d'et</w:t>
      </w:r>
      <w:r w:rsidRPr="00760BBE">
        <w:rPr>
          <w:i/>
        </w:rPr>
        <w:t>h</w:t>
      </w:r>
      <w:r w:rsidRPr="00760BBE">
        <w:rPr>
          <w:i/>
        </w:rPr>
        <w:t>nographie </w:t>
      </w:r>
      <w:r w:rsidRPr="00760BBE">
        <w:t>» à Paris, les 22 et 23 février 1993.</w:t>
      </w:r>
    </w:p>
  </w:footnote>
  <w:footnote w:id="382">
    <w:p w:rsidR="00B7214C" w:rsidRDefault="00B7214C">
      <w:pPr>
        <w:pStyle w:val="Notedebasdepage"/>
      </w:pPr>
      <w:r>
        <w:rPr>
          <w:rStyle w:val="Appelnotedebasdep"/>
        </w:rPr>
        <w:footnoteRef/>
      </w:r>
      <w:r>
        <w:t xml:space="preserve"> </w:t>
      </w:r>
      <w:r>
        <w:tab/>
      </w:r>
      <w:r w:rsidRPr="00760BBE">
        <w:t xml:space="preserve">Voir entre autres, M. de Certeau, </w:t>
      </w:r>
      <w:r w:rsidRPr="00760BBE">
        <w:rPr>
          <w:i/>
          <w:iCs/>
        </w:rPr>
        <w:t>L'Invention du quotidien,</w:t>
      </w:r>
      <w:r w:rsidRPr="00760BBE">
        <w:t xml:space="preserve"> P</w:t>
      </w:r>
      <w:r w:rsidRPr="00760BBE">
        <w:t>a</w:t>
      </w:r>
      <w:r w:rsidRPr="00760BBE">
        <w:t xml:space="preserve">ris, 10/18, 1980 et M. Maffesoli, </w:t>
      </w:r>
      <w:r w:rsidRPr="00760BBE">
        <w:rPr>
          <w:i/>
          <w:iCs/>
        </w:rPr>
        <w:t>Le Temps des tribus,</w:t>
      </w:r>
      <w:r w:rsidRPr="00760BBE">
        <w:t xml:space="preserve"> Paris, Mér</w:t>
      </w:r>
      <w:r w:rsidRPr="00760BBE">
        <w:t>i</w:t>
      </w:r>
      <w:r w:rsidRPr="00760BBE">
        <w:t>diens-Klincksieck, 1988.</w:t>
      </w:r>
    </w:p>
  </w:footnote>
  <w:footnote w:id="383">
    <w:p w:rsidR="00B7214C" w:rsidRDefault="00B7214C">
      <w:pPr>
        <w:pStyle w:val="Notedebasdepage"/>
      </w:pPr>
      <w:r>
        <w:rPr>
          <w:rStyle w:val="Appelnotedebasdep"/>
        </w:rPr>
        <w:footnoteRef/>
      </w:r>
      <w:r>
        <w:t xml:space="preserve"> </w:t>
      </w:r>
      <w:r>
        <w:tab/>
      </w:r>
      <w:r w:rsidRPr="00760BBE">
        <w:t xml:space="preserve">G. Deleuze et C. Parnet, </w:t>
      </w:r>
      <w:r w:rsidRPr="00760BBE">
        <w:rPr>
          <w:i/>
          <w:iCs/>
        </w:rPr>
        <w:t>Dialogues,</w:t>
      </w:r>
      <w:r w:rsidRPr="00760BBE">
        <w:t xml:space="preserve"> Paris, Flammarion, 1977, p. 8.</w:t>
      </w:r>
    </w:p>
  </w:footnote>
  <w:footnote w:id="384">
    <w:p w:rsidR="00B7214C" w:rsidRDefault="00B7214C">
      <w:pPr>
        <w:pStyle w:val="Notedebasdepage"/>
      </w:pPr>
      <w:r>
        <w:rPr>
          <w:rStyle w:val="Appelnotedebasdep"/>
        </w:rPr>
        <w:footnoteRef/>
      </w:r>
      <w:r>
        <w:t xml:space="preserve"> </w:t>
      </w:r>
      <w:r>
        <w:tab/>
      </w:r>
      <w:r w:rsidRPr="00C423A5">
        <w:rPr>
          <w:szCs w:val="18"/>
        </w:rPr>
        <w:t>Même dans certaines études récentes sur la cul ture, nous r</w:t>
      </w:r>
      <w:r w:rsidRPr="00C423A5">
        <w:rPr>
          <w:szCs w:val="18"/>
        </w:rPr>
        <w:t>e</w:t>
      </w:r>
      <w:r w:rsidRPr="00C423A5">
        <w:rPr>
          <w:szCs w:val="18"/>
        </w:rPr>
        <w:t>trouvons une tendance réductionniste: celle de consid</w:t>
      </w:r>
      <w:r w:rsidRPr="00C423A5">
        <w:rPr>
          <w:szCs w:val="18"/>
        </w:rPr>
        <w:t>é</w:t>
      </w:r>
      <w:r w:rsidRPr="00C423A5">
        <w:rPr>
          <w:szCs w:val="18"/>
        </w:rPr>
        <w:t>rer les musées comme des lieux de haute culture - un point c'est tout - et ensuite de tirer des conclusions sur la base de cette hypothèse. Il ne faut cependant pas trop insister sur les faible</w:t>
      </w:r>
      <w:r w:rsidRPr="00C423A5">
        <w:rPr>
          <w:szCs w:val="18"/>
        </w:rPr>
        <w:t>s</w:t>
      </w:r>
      <w:r w:rsidRPr="00C423A5">
        <w:rPr>
          <w:szCs w:val="18"/>
        </w:rPr>
        <w:t xml:space="preserve">ses des recherches en sociologie de la culture puisqu'il y a peu de consensus dans ce sous-champ. Voir par exemple, Blau, Judith. </w:t>
      </w:r>
      <w:r w:rsidRPr="00021DFC">
        <w:rPr>
          <w:i/>
          <w:szCs w:val="18"/>
        </w:rPr>
        <w:t>The Shape of Culture</w:t>
      </w:r>
      <w:r w:rsidRPr="00C423A5">
        <w:rPr>
          <w:szCs w:val="18"/>
        </w:rPr>
        <w:t xml:space="preserve">, Cambridge, Cambridge University Press, 1992, et Moulin, R. </w:t>
      </w:r>
      <w:r w:rsidRPr="00021DFC">
        <w:rPr>
          <w:i/>
          <w:szCs w:val="18"/>
        </w:rPr>
        <w:t>L'artiste, l'in</w:t>
      </w:r>
      <w:r w:rsidRPr="00021DFC">
        <w:rPr>
          <w:i/>
          <w:szCs w:val="18"/>
        </w:rPr>
        <w:t>s</w:t>
      </w:r>
      <w:r w:rsidRPr="00021DFC">
        <w:rPr>
          <w:i/>
          <w:szCs w:val="18"/>
        </w:rPr>
        <w:t>titution et le ma</w:t>
      </w:r>
      <w:r w:rsidRPr="00021DFC">
        <w:rPr>
          <w:i/>
          <w:szCs w:val="18"/>
        </w:rPr>
        <w:t>r</w:t>
      </w:r>
      <w:r w:rsidRPr="00021DFC">
        <w:rPr>
          <w:i/>
          <w:szCs w:val="18"/>
        </w:rPr>
        <w:t>ché</w:t>
      </w:r>
      <w:r w:rsidRPr="00C423A5">
        <w:rPr>
          <w:szCs w:val="18"/>
        </w:rPr>
        <w:t>, Paris, Flammarion, 1992.</w:t>
      </w:r>
    </w:p>
  </w:footnote>
  <w:footnote w:id="385">
    <w:p w:rsidR="00B7214C" w:rsidRDefault="00B7214C">
      <w:pPr>
        <w:pStyle w:val="Notedebasdepage"/>
      </w:pPr>
      <w:r>
        <w:rPr>
          <w:rStyle w:val="Appelnotedebasdep"/>
        </w:rPr>
        <w:footnoteRef/>
      </w:r>
      <w:r>
        <w:t xml:space="preserve"> </w:t>
      </w:r>
      <w:r>
        <w:tab/>
      </w:r>
      <w:r w:rsidRPr="00C423A5">
        <w:rPr>
          <w:szCs w:val="18"/>
        </w:rPr>
        <w:t>Michèle Lamont et Marcel Fournier, «</w:t>
      </w:r>
      <w:r>
        <w:rPr>
          <w:szCs w:val="18"/>
        </w:rPr>
        <w:t> </w:t>
      </w:r>
      <w:r w:rsidRPr="00C423A5">
        <w:rPr>
          <w:szCs w:val="18"/>
        </w:rPr>
        <w:t>Introduction</w:t>
      </w:r>
      <w:r>
        <w:rPr>
          <w:szCs w:val="18"/>
        </w:rPr>
        <w:t> </w:t>
      </w:r>
      <w:r w:rsidRPr="00C423A5">
        <w:rPr>
          <w:szCs w:val="18"/>
        </w:rPr>
        <w:t xml:space="preserve">», </w:t>
      </w:r>
      <w:r w:rsidRPr="00021DFC">
        <w:rPr>
          <w:i/>
          <w:szCs w:val="18"/>
        </w:rPr>
        <w:t>Cultivating différe</w:t>
      </w:r>
      <w:r w:rsidRPr="00021DFC">
        <w:rPr>
          <w:i/>
          <w:szCs w:val="18"/>
        </w:rPr>
        <w:t>n</w:t>
      </w:r>
      <w:r w:rsidRPr="00021DFC">
        <w:rPr>
          <w:i/>
          <w:szCs w:val="18"/>
        </w:rPr>
        <w:t>ces : Symbolic Boundaries and the Making of lnequalities</w:t>
      </w:r>
      <w:r w:rsidRPr="00C423A5">
        <w:rPr>
          <w:szCs w:val="18"/>
        </w:rPr>
        <w:t>, Chicago, Unive</w:t>
      </w:r>
      <w:r w:rsidRPr="00C423A5">
        <w:rPr>
          <w:szCs w:val="18"/>
        </w:rPr>
        <w:t>r</w:t>
      </w:r>
      <w:r w:rsidRPr="00C423A5">
        <w:rPr>
          <w:szCs w:val="18"/>
        </w:rPr>
        <w:t>sity of Chicago Press, 1992, p.</w:t>
      </w:r>
      <w:r>
        <w:rPr>
          <w:szCs w:val="18"/>
        </w:rPr>
        <w:t xml:space="preserve"> </w:t>
      </w:r>
      <w:r w:rsidRPr="00C423A5">
        <w:rPr>
          <w:szCs w:val="18"/>
        </w:rPr>
        <w:t>l.</w:t>
      </w:r>
    </w:p>
  </w:footnote>
  <w:footnote w:id="386">
    <w:p w:rsidR="00B7214C" w:rsidRDefault="00B7214C">
      <w:pPr>
        <w:pStyle w:val="Notedebasdepage"/>
      </w:pPr>
      <w:r>
        <w:rPr>
          <w:rStyle w:val="Appelnotedebasdep"/>
        </w:rPr>
        <w:footnoteRef/>
      </w:r>
      <w:r>
        <w:t xml:space="preserve"> </w:t>
      </w:r>
      <w:r>
        <w:tab/>
      </w:r>
      <w:r>
        <w:rPr>
          <w:i/>
          <w:szCs w:val="18"/>
        </w:rPr>
        <w:t>Ibid.</w:t>
      </w:r>
      <w:r w:rsidRPr="00C423A5">
        <w:rPr>
          <w:szCs w:val="18"/>
        </w:rPr>
        <w:t>, p. 3.</w:t>
      </w:r>
    </w:p>
  </w:footnote>
  <w:footnote w:id="387">
    <w:p w:rsidR="00B7214C" w:rsidRDefault="00B7214C">
      <w:pPr>
        <w:pStyle w:val="Notedebasdepage"/>
      </w:pPr>
      <w:r>
        <w:rPr>
          <w:rStyle w:val="Appelnotedebasdep"/>
        </w:rPr>
        <w:footnoteRef/>
      </w:r>
      <w:r>
        <w:t xml:space="preserve"> </w:t>
      </w:r>
      <w:r>
        <w:tab/>
      </w:r>
      <w:r w:rsidRPr="00021DFC">
        <w:rPr>
          <w:i/>
          <w:szCs w:val="18"/>
        </w:rPr>
        <w:t>Ibid</w:t>
      </w:r>
      <w:r w:rsidRPr="00C423A5">
        <w:rPr>
          <w:szCs w:val="18"/>
        </w:rPr>
        <w:t>.,</w:t>
      </w:r>
      <w:r>
        <w:rPr>
          <w:szCs w:val="18"/>
        </w:rPr>
        <w:t xml:space="preserve"> </w:t>
      </w:r>
      <w:r w:rsidRPr="00C423A5">
        <w:rPr>
          <w:szCs w:val="18"/>
        </w:rPr>
        <w:t>p</w:t>
      </w:r>
      <w:r>
        <w:rPr>
          <w:szCs w:val="18"/>
        </w:rPr>
        <w:t xml:space="preserve"> 4</w:t>
      </w:r>
      <w:r w:rsidRPr="00C423A5">
        <w:rPr>
          <w:szCs w:val="18"/>
        </w:rPr>
        <w:t>.</w:t>
      </w:r>
    </w:p>
  </w:footnote>
  <w:footnote w:id="388">
    <w:p w:rsidR="00B7214C" w:rsidRDefault="00B7214C">
      <w:pPr>
        <w:pStyle w:val="Notedebasdepage"/>
      </w:pPr>
      <w:r>
        <w:rPr>
          <w:rStyle w:val="Appelnotedebasdep"/>
        </w:rPr>
        <w:footnoteRef/>
      </w:r>
      <w:r>
        <w:t xml:space="preserve"> </w:t>
      </w:r>
      <w:r>
        <w:tab/>
      </w:r>
      <w:r w:rsidRPr="00C423A5">
        <w:rPr>
          <w:szCs w:val="18"/>
        </w:rPr>
        <w:t>Pour emprunter des mots de Marcel Mauss, jusqu'à un ce</w:t>
      </w:r>
      <w:r w:rsidRPr="00C423A5">
        <w:rPr>
          <w:szCs w:val="18"/>
        </w:rPr>
        <w:t>r</w:t>
      </w:r>
      <w:r w:rsidRPr="00C423A5">
        <w:rPr>
          <w:szCs w:val="18"/>
        </w:rPr>
        <w:t>tain point «toutes [les] oppositions d'écoles sont jeux futiles de l'esprit ou concurrence de cha</w:t>
      </w:r>
      <w:r w:rsidRPr="00C423A5">
        <w:rPr>
          <w:szCs w:val="18"/>
        </w:rPr>
        <w:t>i</w:t>
      </w:r>
      <w:r w:rsidRPr="00C423A5">
        <w:rPr>
          <w:szCs w:val="18"/>
        </w:rPr>
        <w:t>res, de philos</w:t>
      </w:r>
      <w:r w:rsidRPr="00C423A5">
        <w:rPr>
          <w:szCs w:val="18"/>
        </w:rPr>
        <w:t>o</w:t>
      </w:r>
      <w:r w:rsidRPr="00C423A5">
        <w:rPr>
          <w:szCs w:val="18"/>
        </w:rPr>
        <w:t>phies et de théologies. Les vraiment grands ethnologues ont été aussi éclectiques dans le choix des problèmes que dans celui des méth</w:t>
      </w:r>
      <w:r w:rsidRPr="00C423A5">
        <w:rPr>
          <w:szCs w:val="18"/>
        </w:rPr>
        <w:t>o</w:t>
      </w:r>
      <w:r w:rsidRPr="00C423A5">
        <w:rPr>
          <w:szCs w:val="18"/>
        </w:rPr>
        <w:t>des qui doivent varier par problème.» (Marcel Mauss, «</w:t>
      </w:r>
      <w:r>
        <w:rPr>
          <w:szCs w:val="18"/>
        </w:rPr>
        <w:t> </w:t>
      </w:r>
      <w:hyperlink r:id="rId15" w:history="1">
        <w:r w:rsidRPr="00021DFC">
          <w:rPr>
            <w:rStyle w:val="Lienhypertexte"/>
            <w:i/>
            <w:szCs w:val="18"/>
          </w:rPr>
          <w:t>La civilisation: él</w:t>
        </w:r>
        <w:r w:rsidRPr="00021DFC">
          <w:rPr>
            <w:rStyle w:val="Lienhypertexte"/>
            <w:i/>
            <w:szCs w:val="18"/>
          </w:rPr>
          <w:t>é</w:t>
        </w:r>
        <w:r w:rsidRPr="00021DFC">
          <w:rPr>
            <w:rStyle w:val="Lienhypertexte"/>
            <w:i/>
            <w:szCs w:val="18"/>
          </w:rPr>
          <w:t>ments et formes</w:t>
        </w:r>
      </w:hyperlink>
      <w:r>
        <w:rPr>
          <w:i/>
          <w:szCs w:val="18"/>
        </w:rPr>
        <w:t> </w:t>
      </w:r>
      <w:r w:rsidRPr="00C423A5">
        <w:rPr>
          <w:szCs w:val="18"/>
        </w:rPr>
        <w:t xml:space="preserve">», </w:t>
      </w:r>
      <w:hyperlink r:id="rId16" w:history="1">
        <w:r w:rsidRPr="00021DFC">
          <w:rPr>
            <w:rStyle w:val="Lienhypertexte"/>
            <w:i/>
            <w:szCs w:val="18"/>
          </w:rPr>
          <w:t>Essais de soci</w:t>
        </w:r>
        <w:r w:rsidRPr="00021DFC">
          <w:rPr>
            <w:rStyle w:val="Lienhypertexte"/>
            <w:i/>
            <w:szCs w:val="18"/>
          </w:rPr>
          <w:t>o</w:t>
        </w:r>
        <w:r w:rsidRPr="00021DFC">
          <w:rPr>
            <w:rStyle w:val="Lienhypertexte"/>
            <w:i/>
            <w:szCs w:val="18"/>
          </w:rPr>
          <w:t>logie</w:t>
        </w:r>
      </w:hyperlink>
      <w:r w:rsidRPr="00C423A5">
        <w:rPr>
          <w:szCs w:val="18"/>
        </w:rPr>
        <w:t>, Paris, Minuit, p. 232).</w:t>
      </w:r>
    </w:p>
  </w:footnote>
  <w:footnote w:id="389">
    <w:p w:rsidR="00B7214C" w:rsidRDefault="00B7214C">
      <w:pPr>
        <w:pStyle w:val="Notedebasdepage"/>
      </w:pPr>
      <w:r>
        <w:rPr>
          <w:rStyle w:val="Appelnotedebasdep"/>
        </w:rPr>
        <w:footnoteRef/>
      </w:r>
      <w:r>
        <w:t xml:space="preserve"> </w:t>
      </w:r>
      <w:r>
        <w:tab/>
      </w:r>
      <w:r w:rsidRPr="00C423A5">
        <w:rPr>
          <w:szCs w:val="18"/>
        </w:rPr>
        <w:t xml:space="preserve">Michèle Lamont et Marcel Fournier, </w:t>
      </w:r>
      <w:r w:rsidRPr="005412DA">
        <w:rPr>
          <w:i/>
          <w:szCs w:val="18"/>
        </w:rPr>
        <w:t>op. cit</w:t>
      </w:r>
      <w:r w:rsidRPr="00C423A5">
        <w:rPr>
          <w:szCs w:val="18"/>
        </w:rPr>
        <w:t>.</w:t>
      </w:r>
    </w:p>
  </w:footnote>
  <w:footnote w:id="390">
    <w:p w:rsidR="00B7214C" w:rsidRDefault="00B7214C">
      <w:pPr>
        <w:pStyle w:val="Notedebasdepage"/>
      </w:pPr>
      <w:r>
        <w:rPr>
          <w:rStyle w:val="Appelnotedebasdep"/>
        </w:rPr>
        <w:footnoteRef/>
      </w:r>
      <w:r>
        <w:t xml:space="preserve"> </w:t>
      </w:r>
      <w:r>
        <w:tab/>
      </w:r>
      <w:r w:rsidRPr="00C423A5">
        <w:rPr>
          <w:szCs w:val="18"/>
        </w:rPr>
        <w:t>Par exemple, les travaux d'Habermas, de Foucault, de l'École des études culturelles de Birmingham, de Pierre Bourdieu et de M</w:t>
      </w:r>
      <w:r w:rsidRPr="00C423A5">
        <w:rPr>
          <w:szCs w:val="18"/>
        </w:rPr>
        <w:t>i</w:t>
      </w:r>
      <w:r w:rsidRPr="00C423A5">
        <w:rPr>
          <w:szCs w:val="18"/>
        </w:rPr>
        <w:t>chel Foucault.</w:t>
      </w:r>
    </w:p>
  </w:footnote>
  <w:footnote w:id="391">
    <w:p w:rsidR="00B7214C" w:rsidRDefault="00B7214C">
      <w:pPr>
        <w:pStyle w:val="Notedebasdepage"/>
      </w:pPr>
      <w:r>
        <w:rPr>
          <w:rStyle w:val="Appelnotedebasdep"/>
        </w:rPr>
        <w:footnoteRef/>
      </w:r>
      <w:r>
        <w:t xml:space="preserve"> </w:t>
      </w:r>
      <w:r>
        <w:tab/>
      </w:r>
      <w:r w:rsidRPr="00C423A5">
        <w:rPr>
          <w:szCs w:val="18"/>
        </w:rPr>
        <w:t>Par exemple, les travaux de Bruno La tour et Karin Knorr-Cetina.</w:t>
      </w:r>
    </w:p>
  </w:footnote>
  <w:footnote w:id="392">
    <w:p w:rsidR="00B7214C" w:rsidRDefault="00B7214C">
      <w:pPr>
        <w:pStyle w:val="Notedebasdepage"/>
      </w:pPr>
      <w:r>
        <w:rPr>
          <w:rStyle w:val="Appelnotedebasdep"/>
        </w:rPr>
        <w:footnoteRef/>
      </w:r>
      <w:r>
        <w:t xml:space="preserve"> </w:t>
      </w:r>
      <w:r>
        <w:tab/>
      </w:r>
      <w:r w:rsidRPr="00C423A5">
        <w:rPr>
          <w:szCs w:val="18"/>
        </w:rPr>
        <w:t>À signaler: les contributions d'Ackrich, et, ici au Québec de R</w:t>
      </w:r>
      <w:r w:rsidRPr="00C423A5">
        <w:rPr>
          <w:szCs w:val="18"/>
        </w:rPr>
        <w:t>o</w:t>
      </w:r>
      <w:r w:rsidRPr="00C423A5">
        <w:rPr>
          <w:szCs w:val="18"/>
        </w:rPr>
        <w:t>se-Marie Arbour, de Francine Couture et d'A</w:t>
      </w:r>
      <w:r w:rsidRPr="00C423A5">
        <w:rPr>
          <w:szCs w:val="18"/>
        </w:rPr>
        <w:t>n</w:t>
      </w:r>
      <w:r w:rsidRPr="00C423A5">
        <w:rPr>
          <w:szCs w:val="18"/>
        </w:rPr>
        <w:t>drée Fortin, notamment par rapport à la sociologie de la réce</w:t>
      </w:r>
      <w:r w:rsidRPr="00C423A5">
        <w:rPr>
          <w:szCs w:val="18"/>
        </w:rPr>
        <w:t>p</w:t>
      </w:r>
      <w:r w:rsidRPr="00C423A5">
        <w:rPr>
          <w:szCs w:val="18"/>
        </w:rPr>
        <w:t>tion.</w:t>
      </w:r>
    </w:p>
  </w:footnote>
  <w:footnote w:id="393">
    <w:p w:rsidR="00B7214C" w:rsidRDefault="00B7214C">
      <w:pPr>
        <w:pStyle w:val="Notedebasdepage"/>
      </w:pPr>
      <w:r>
        <w:rPr>
          <w:rStyle w:val="Appelnotedebasdep"/>
        </w:rPr>
        <w:footnoteRef/>
      </w:r>
      <w:r>
        <w:t xml:space="preserve"> </w:t>
      </w:r>
      <w:r>
        <w:tab/>
      </w:r>
      <w:r w:rsidRPr="00C423A5">
        <w:rPr>
          <w:szCs w:val="18"/>
        </w:rPr>
        <w:t>Cette recherche sociohistorique porte sur les relations entre les a</w:t>
      </w:r>
      <w:r w:rsidRPr="00C423A5">
        <w:rPr>
          <w:szCs w:val="18"/>
        </w:rPr>
        <w:t>r</w:t>
      </w:r>
      <w:r>
        <w:rPr>
          <w:szCs w:val="18"/>
        </w:rPr>
        <w:t>tistes, les fabri</w:t>
      </w:r>
      <w:r w:rsidRPr="00C423A5">
        <w:rPr>
          <w:szCs w:val="18"/>
        </w:rPr>
        <w:t>cants de matériaux et l'industrie chimique dans u</w:t>
      </w:r>
      <w:r>
        <w:rPr>
          <w:szCs w:val="18"/>
        </w:rPr>
        <w:t>n cas historique - le développe</w:t>
      </w:r>
      <w:r w:rsidRPr="00C423A5">
        <w:rPr>
          <w:szCs w:val="18"/>
        </w:rPr>
        <w:t>ment et la diffusion des peintures aux m</w:t>
      </w:r>
      <w:r w:rsidRPr="00C423A5">
        <w:rPr>
          <w:szCs w:val="18"/>
        </w:rPr>
        <w:t>é</w:t>
      </w:r>
      <w:r w:rsidRPr="00C423A5">
        <w:rPr>
          <w:szCs w:val="18"/>
        </w:rPr>
        <w:t>diums synthétiques.</w:t>
      </w:r>
    </w:p>
  </w:footnote>
  <w:footnote w:id="394">
    <w:p w:rsidR="00B7214C" w:rsidRDefault="00B7214C">
      <w:pPr>
        <w:pStyle w:val="Notedebasdepage"/>
      </w:pPr>
      <w:r>
        <w:rPr>
          <w:rStyle w:val="Appelnotedebasdep"/>
        </w:rPr>
        <w:footnoteRef/>
      </w:r>
      <w:r>
        <w:t xml:space="preserve"> </w:t>
      </w:r>
      <w:r>
        <w:tab/>
      </w:r>
      <w:r w:rsidRPr="00C423A5">
        <w:rPr>
          <w:szCs w:val="18"/>
        </w:rPr>
        <w:t>Sylvie Mardi, «Les matériaux modernes au Musée de la civilisation à Qu</w:t>
      </w:r>
      <w:r w:rsidRPr="00C423A5">
        <w:rPr>
          <w:szCs w:val="18"/>
        </w:rPr>
        <w:t>é</w:t>
      </w:r>
      <w:r w:rsidRPr="00C423A5">
        <w:rPr>
          <w:szCs w:val="18"/>
        </w:rPr>
        <w:t>bec: un défi passé, présent et futur», Sauvegarder le XX</w:t>
      </w:r>
      <w:r w:rsidRPr="00C423A5">
        <w:rPr>
          <w:szCs w:val="18"/>
          <w:vertAlign w:val="superscript"/>
        </w:rPr>
        <w:t>e</w:t>
      </w:r>
      <w:r w:rsidRPr="00C423A5">
        <w:rPr>
          <w:szCs w:val="18"/>
        </w:rPr>
        <w:t xml:space="preserve"> siècle: la conserv</w:t>
      </w:r>
      <w:r w:rsidRPr="00C423A5">
        <w:rPr>
          <w:szCs w:val="18"/>
        </w:rPr>
        <w:t>a</w:t>
      </w:r>
      <w:r w:rsidRPr="00C423A5">
        <w:rPr>
          <w:szCs w:val="18"/>
        </w:rPr>
        <w:t>tion des matériaux modernes, Actes de la conférence «</w:t>
      </w:r>
      <w:r>
        <w:rPr>
          <w:szCs w:val="18"/>
        </w:rPr>
        <w:t> </w:t>
      </w:r>
      <w:r w:rsidRPr="00021DFC">
        <w:rPr>
          <w:i/>
          <w:szCs w:val="18"/>
        </w:rPr>
        <w:t>Symposium 91</w:t>
      </w:r>
      <w:r w:rsidRPr="00C423A5">
        <w:rPr>
          <w:szCs w:val="18"/>
        </w:rPr>
        <w:t xml:space="preserve"> - </w:t>
      </w:r>
      <w:r w:rsidRPr="00021DFC">
        <w:rPr>
          <w:i/>
          <w:szCs w:val="18"/>
        </w:rPr>
        <w:t>Sa</w:t>
      </w:r>
      <w:r w:rsidRPr="00021DFC">
        <w:rPr>
          <w:i/>
          <w:szCs w:val="18"/>
        </w:rPr>
        <w:t>u</w:t>
      </w:r>
      <w:r w:rsidRPr="00021DFC">
        <w:rPr>
          <w:i/>
          <w:szCs w:val="18"/>
        </w:rPr>
        <w:t>vegarder le XX</w:t>
      </w:r>
      <w:r w:rsidRPr="00021DFC">
        <w:rPr>
          <w:i/>
          <w:szCs w:val="18"/>
          <w:vertAlign w:val="superscript"/>
        </w:rPr>
        <w:t>e</w:t>
      </w:r>
      <w:r w:rsidRPr="00021DFC">
        <w:rPr>
          <w:i/>
          <w:szCs w:val="18"/>
        </w:rPr>
        <w:t xml:space="preserve"> siècle</w:t>
      </w:r>
      <w:r>
        <w:rPr>
          <w:i/>
          <w:szCs w:val="18"/>
        </w:rPr>
        <w:t> </w:t>
      </w:r>
      <w:r w:rsidRPr="00C423A5">
        <w:rPr>
          <w:szCs w:val="18"/>
        </w:rPr>
        <w:t>», Ottawa, Canada, septembre 1991. Ottawa, Institut canadien de conservation, 1993, p</w:t>
      </w:r>
      <w:r>
        <w:rPr>
          <w:szCs w:val="18"/>
        </w:rPr>
        <w:t>p</w:t>
      </w:r>
      <w:r w:rsidRPr="00C423A5">
        <w:rPr>
          <w:szCs w:val="18"/>
        </w:rPr>
        <w:t>. 3-11.</w:t>
      </w:r>
    </w:p>
  </w:footnote>
  <w:footnote w:id="395">
    <w:p w:rsidR="00B7214C" w:rsidRDefault="00B7214C">
      <w:pPr>
        <w:pStyle w:val="Notedebasdepage"/>
      </w:pPr>
      <w:r>
        <w:rPr>
          <w:rStyle w:val="Appelnotedebasdep"/>
        </w:rPr>
        <w:footnoteRef/>
      </w:r>
      <w:r>
        <w:t xml:space="preserve"> </w:t>
      </w:r>
      <w:r>
        <w:tab/>
      </w:r>
      <w:r w:rsidRPr="00C423A5">
        <w:rPr>
          <w:szCs w:val="18"/>
        </w:rPr>
        <w:t xml:space="preserve">Denise Leclerc (avec appendice technique de Marion Barclay), </w:t>
      </w:r>
      <w:r w:rsidRPr="00021DFC">
        <w:rPr>
          <w:i/>
          <w:szCs w:val="18"/>
        </w:rPr>
        <w:t>La crise de l'abstraction au Canada: les années cinquante</w:t>
      </w:r>
      <w:r w:rsidRPr="00C423A5">
        <w:rPr>
          <w:szCs w:val="18"/>
        </w:rPr>
        <w:t>, catal</w:t>
      </w:r>
      <w:r w:rsidRPr="00C423A5">
        <w:rPr>
          <w:szCs w:val="18"/>
        </w:rPr>
        <w:t>o</w:t>
      </w:r>
      <w:r w:rsidRPr="00C423A5">
        <w:rPr>
          <w:szCs w:val="18"/>
        </w:rPr>
        <w:t>gue, Ottawa, Musée des beaux-arts du C</w:t>
      </w:r>
      <w:r w:rsidRPr="00C423A5">
        <w:rPr>
          <w:szCs w:val="18"/>
        </w:rPr>
        <w:t>a</w:t>
      </w:r>
      <w:r>
        <w:rPr>
          <w:szCs w:val="18"/>
        </w:rPr>
        <w:t>na</w:t>
      </w:r>
      <w:r w:rsidRPr="00C423A5">
        <w:rPr>
          <w:szCs w:val="18"/>
        </w:rPr>
        <w:t>da, 1992.</w:t>
      </w:r>
    </w:p>
  </w:footnote>
  <w:footnote w:id="396">
    <w:p w:rsidR="00B7214C" w:rsidRDefault="00B7214C">
      <w:pPr>
        <w:pStyle w:val="Notedebasdepage"/>
      </w:pPr>
      <w:r>
        <w:rPr>
          <w:rStyle w:val="Appelnotedebasdep"/>
        </w:rPr>
        <w:footnoteRef/>
      </w:r>
      <w:r>
        <w:t xml:space="preserve"> </w:t>
      </w:r>
      <w:r>
        <w:tab/>
      </w:r>
      <w:r w:rsidRPr="00C423A5">
        <w:rPr>
          <w:szCs w:val="18"/>
        </w:rPr>
        <w:t>Loin d'une action neutre, le choix des objets à préserver et la présentation de ces «artefacts» au public constituent des moyens priv</w:t>
      </w:r>
      <w:r w:rsidRPr="00C423A5">
        <w:rPr>
          <w:szCs w:val="18"/>
        </w:rPr>
        <w:t>i</w:t>
      </w:r>
      <w:r w:rsidRPr="00C423A5">
        <w:rPr>
          <w:szCs w:val="18"/>
        </w:rPr>
        <w:t>légiés pour créer la croyance dans les biens à la fois matériels et symb</w:t>
      </w:r>
      <w:r w:rsidRPr="00C423A5">
        <w:rPr>
          <w:szCs w:val="18"/>
        </w:rPr>
        <w:t>o</w:t>
      </w:r>
      <w:r w:rsidRPr="00C423A5">
        <w:rPr>
          <w:szCs w:val="18"/>
        </w:rPr>
        <w:t>liques.</w:t>
      </w:r>
    </w:p>
  </w:footnote>
  <w:footnote w:id="397">
    <w:p w:rsidR="00B7214C" w:rsidRDefault="00B7214C">
      <w:pPr>
        <w:pStyle w:val="Notedebasdepage"/>
      </w:pPr>
      <w:r>
        <w:rPr>
          <w:rStyle w:val="Appelnotedebasdep"/>
        </w:rPr>
        <w:footnoteRef/>
      </w:r>
      <w:r>
        <w:t xml:space="preserve"> </w:t>
      </w:r>
      <w:r>
        <w:tab/>
      </w:r>
      <w:r w:rsidRPr="00CE057C">
        <w:rPr>
          <w:szCs w:val="18"/>
        </w:rPr>
        <w:t>Mary K. Baker et Ed McManus, « Spacesuits : NASA's Dream - conserv</w:t>
      </w:r>
      <w:r w:rsidRPr="00CE057C">
        <w:rPr>
          <w:szCs w:val="18"/>
        </w:rPr>
        <w:t>a</w:t>
      </w:r>
      <w:r w:rsidRPr="00CE057C">
        <w:rPr>
          <w:szCs w:val="18"/>
        </w:rPr>
        <w:t xml:space="preserve">tors' Nightmare », in (réd.) David W. Grattan, </w:t>
      </w:r>
      <w:r w:rsidRPr="00CE057C">
        <w:rPr>
          <w:i/>
          <w:iCs/>
          <w:szCs w:val="18"/>
        </w:rPr>
        <w:t>Sauvegarder le XXe</w:t>
      </w:r>
      <w:r w:rsidRPr="00CE057C">
        <w:rPr>
          <w:szCs w:val="18"/>
        </w:rPr>
        <w:t xml:space="preserve"> siècle : la conservation des matériaux modernes. Actes de la conf</w:t>
      </w:r>
      <w:r w:rsidRPr="00CE057C">
        <w:rPr>
          <w:szCs w:val="18"/>
        </w:rPr>
        <w:t>é</w:t>
      </w:r>
      <w:r w:rsidRPr="00CE057C">
        <w:rPr>
          <w:szCs w:val="18"/>
        </w:rPr>
        <w:t>rence « Symposium 91 - Sauvegarder le XX</w:t>
      </w:r>
      <w:r w:rsidRPr="005412DA">
        <w:rPr>
          <w:szCs w:val="18"/>
          <w:vertAlign w:val="superscript"/>
        </w:rPr>
        <w:t>e</w:t>
      </w:r>
      <w:r w:rsidRPr="00CE057C">
        <w:rPr>
          <w:szCs w:val="18"/>
        </w:rPr>
        <w:t xml:space="preserve"> siècle », Ottawa, Can</w:t>
      </w:r>
      <w:r w:rsidRPr="00CE057C">
        <w:rPr>
          <w:szCs w:val="18"/>
        </w:rPr>
        <w:t>a</w:t>
      </w:r>
      <w:r w:rsidRPr="00CE057C">
        <w:rPr>
          <w:szCs w:val="18"/>
        </w:rPr>
        <w:t>da, septembre 1991. Ottawa, Institut canadien de conservation, 1993, p</w:t>
      </w:r>
      <w:r>
        <w:rPr>
          <w:szCs w:val="18"/>
        </w:rPr>
        <w:t>p</w:t>
      </w:r>
      <w:r w:rsidRPr="00CE057C">
        <w:rPr>
          <w:szCs w:val="18"/>
        </w:rPr>
        <w:t>. 223-</w:t>
      </w:r>
      <w:r>
        <w:rPr>
          <w:szCs w:val="18"/>
        </w:rPr>
        <w:t>2</w:t>
      </w:r>
      <w:r w:rsidRPr="00CE057C">
        <w:rPr>
          <w:szCs w:val="18"/>
        </w:rPr>
        <w:t>28.</w:t>
      </w:r>
    </w:p>
  </w:footnote>
  <w:footnote w:id="398">
    <w:p w:rsidR="00B7214C" w:rsidRDefault="00B7214C">
      <w:pPr>
        <w:pStyle w:val="Notedebasdepage"/>
      </w:pPr>
      <w:r>
        <w:rPr>
          <w:rStyle w:val="Appelnotedebasdep"/>
        </w:rPr>
        <w:footnoteRef/>
      </w:r>
      <w:r>
        <w:t xml:space="preserve"> </w:t>
      </w:r>
      <w:r>
        <w:tab/>
      </w:r>
      <w:r w:rsidRPr="00CE057C">
        <w:rPr>
          <w:szCs w:val="18"/>
        </w:rPr>
        <w:t xml:space="preserve">Ackrich, Madeleine. « Le jugement dernier : Une sociologie de la beauté ». </w:t>
      </w:r>
      <w:r w:rsidRPr="00CE057C">
        <w:rPr>
          <w:i/>
          <w:iCs/>
          <w:szCs w:val="18"/>
        </w:rPr>
        <w:t>Année sociologique,</w:t>
      </w:r>
      <w:r w:rsidRPr="00CE057C">
        <w:rPr>
          <w:szCs w:val="18"/>
        </w:rPr>
        <w:t xml:space="preserve"> 1986, p. 277.</w:t>
      </w:r>
    </w:p>
  </w:footnote>
  <w:footnote w:id="399">
    <w:p w:rsidR="00B7214C" w:rsidRDefault="00B7214C">
      <w:pPr>
        <w:pStyle w:val="Notedebasdepage"/>
      </w:pPr>
      <w:r>
        <w:rPr>
          <w:rStyle w:val="Appelnotedebasdep"/>
        </w:rPr>
        <w:footnoteRef/>
      </w:r>
      <w:r>
        <w:t xml:space="preserve"> </w:t>
      </w:r>
      <w:r>
        <w:tab/>
      </w:r>
      <w:r w:rsidRPr="005412DA">
        <w:rPr>
          <w:i/>
          <w:szCs w:val="18"/>
        </w:rPr>
        <w:t>Ibid</w:t>
      </w:r>
      <w:r w:rsidRPr="00CE057C">
        <w:rPr>
          <w:szCs w:val="18"/>
        </w:rPr>
        <w:t>., p. 276.</w:t>
      </w:r>
    </w:p>
  </w:footnote>
  <w:footnote w:id="400">
    <w:p w:rsidR="00B7214C" w:rsidRDefault="00B7214C">
      <w:pPr>
        <w:pStyle w:val="Notedebasdepage"/>
      </w:pPr>
      <w:r>
        <w:rPr>
          <w:rStyle w:val="Appelnotedebasdep"/>
        </w:rPr>
        <w:footnoteRef/>
      </w:r>
      <w:r>
        <w:t xml:space="preserve"> </w:t>
      </w:r>
      <w:r>
        <w:tab/>
      </w:r>
      <w:r w:rsidRPr="00CE057C">
        <w:rPr>
          <w:szCs w:val="18"/>
        </w:rPr>
        <w:t>J. Alexander, « Modern, Anti, Post and Neo : How Social Theories have tried to understand the « New World » of « Our Time » », m</w:t>
      </w:r>
      <w:r w:rsidRPr="00CE057C">
        <w:rPr>
          <w:szCs w:val="18"/>
        </w:rPr>
        <w:t>a</w:t>
      </w:r>
      <w:r w:rsidRPr="00CE057C">
        <w:rPr>
          <w:szCs w:val="18"/>
        </w:rPr>
        <w:t>nuscrit inédit, conférence prononcée au Département de sociologie. Université de Mo</w:t>
      </w:r>
      <w:r w:rsidRPr="00CE057C">
        <w:rPr>
          <w:szCs w:val="18"/>
        </w:rPr>
        <w:t>n</w:t>
      </w:r>
      <w:r w:rsidRPr="00CE057C">
        <w:rPr>
          <w:szCs w:val="18"/>
        </w:rPr>
        <w:t>tréal, mars 1993.</w:t>
      </w:r>
    </w:p>
  </w:footnote>
  <w:footnote w:id="401">
    <w:p w:rsidR="00B7214C" w:rsidRDefault="00B7214C">
      <w:pPr>
        <w:pStyle w:val="Notedebasdepage"/>
      </w:pPr>
      <w:r>
        <w:rPr>
          <w:rStyle w:val="Appelnotedebasdep"/>
        </w:rPr>
        <w:footnoteRef/>
      </w:r>
      <w:r>
        <w:t xml:space="preserve"> </w:t>
      </w:r>
      <w:r>
        <w:tab/>
      </w:r>
      <w:r w:rsidRPr="00CE057C">
        <w:rPr>
          <w:szCs w:val="18"/>
        </w:rPr>
        <w:t>V. Zolberg, « Tensions of Mission in American Art M</w:t>
      </w:r>
      <w:r w:rsidRPr="00CE057C">
        <w:rPr>
          <w:szCs w:val="18"/>
        </w:rPr>
        <w:t>u</w:t>
      </w:r>
      <w:r w:rsidRPr="00CE057C">
        <w:rPr>
          <w:szCs w:val="18"/>
        </w:rPr>
        <w:t xml:space="preserve">séums », dans P. DiMaggio, </w:t>
      </w:r>
      <w:r w:rsidRPr="00CE057C">
        <w:rPr>
          <w:i/>
          <w:iCs/>
          <w:szCs w:val="18"/>
        </w:rPr>
        <w:t>Non-profit Enterprise in the Arts : Studies in Mission and con</w:t>
      </w:r>
      <w:r w:rsidRPr="00CE057C">
        <w:rPr>
          <w:i/>
          <w:iCs/>
          <w:szCs w:val="18"/>
        </w:rPr>
        <w:t>s</w:t>
      </w:r>
      <w:r w:rsidRPr="00CE057C">
        <w:rPr>
          <w:i/>
          <w:iCs/>
          <w:szCs w:val="18"/>
        </w:rPr>
        <w:t>traint,</w:t>
      </w:r>
      <w:r w:rsidRPr="00CE057C">
        <w:rPr>
          <w:szCs w:val="18"/>
        </w:rPr>
        <w:t xml:space="preserve"> New York, Oxford University Press, 1986, p. 187. Voir aussi V. Zo</w:t>
      </w:r>
      <w:r w:rsidRPr="00CE057C">
        <w:rPr>
          <w:szCs w:val="18"/>
        </w:rPr>
        <w:t>l</w:t>
      </w:r>
      <w:r w:rsidRPr="00CE057C">
        <w:rPr>
          <w:szCs w:val="18"/>
        </w:rPr>
        <w:t>berg, « Le Musée des Beaux-Arts, e</w:t>
      </w:r>
      <w:r w:rsidRPr="00CE057C">
        <w:rPr>
          <w:szCs w:val="18"/>
        </w:rPr>
        <w:t>n</w:t>
      </w:r>
      <w:r w:rsidRPr="00CE057C">
        <w:rPr>
          <w:szCs w:val="18"/>
        </w:rPr>
        <w:t xml:space="preserve">tre la culture et le public : Barrière ou facteur de nivellement ? ». </w:t>
      </w:r>
      <w:r w:rsidRPr="00CE057C">
        <w:rPr>
          <w:i/>
          <w:iCs/>
          <w:szCs w:val="18"/>
        </w:rPr>
        <w:t xml:space="preserve">Sociologie et sociétés </w:t>
      </w:r>
      <w:r w:rsidRPr="00CE057C">
        <w:rPr>
          <w:szCs w:val="18"/>
        </w:rPr>
        <w:t>(« La culture comme cap</w:t>
      </w:r>
      <w:r w:rsidRPr="00CE057C">
        <w:rPr>
          <w:szCs w:val="18"/>
        </w:rPr>
        <w:t>i</w:t>
      </w:r>
      <w:r w:rsidRPr="00CE057C">
        <w:rPr>
          <w:szCs w:val="18"/>
        </w:rPr>
        <w:t xml:space="preserve">tal »), octobre 1989, vol. XXI, n° 2, </w:t>
      </w:r>
      <w:r>
        <w:rPr>
          <w:szCs w:val="18"/>
        </w:rPr>
        <w:t>p</w:t>
      </w:r>
      <w:r w:rsidRPr="00CE057C">
        <w:rPr>
          <w:szCs w:val="18"/>
        </w:rPr>
        <w:t>p. 75-90.</w:t>
      </w:r>
    </w:p>
  </w:footnote>
  <w:footnote w:id="402">
    <w:p w:rsidR="00B7214C" w:rsidRDefault="00B7214C">
      <w:pPr>
        <w:pStyle w:val="Notedebasdepage"/>
      </w:pPr>
      <w:r>
        <w:rPr>
          <w:rStyle w:val="Appelnotedebasdep"/>
        </w:rPr>
        <w:footnoteRef/>
      </w:r>
      <w:r>
        <w:t xml:space="preserve"> </w:t>
      </w:r>
      <w:r>
        <w:tab/>
      </w:r>
      <w:r w:rsidRPr="00CE057C">
        <w:rPr>
          <w:szCs w:val="18"/>
        </w:rPr>
        <w:t xml:space="preserve">Voir Les consultants Cultur'inc Inc. et Décima Research, </w:t>
      </w:r>
      <w:r w:rsidRPr="00CE057C">
        <w:rPr>
          <w:i/>
          <w:iCs/>
          <w:szCs w:val="18"/>
        </w:rPr>
        <w:t>Le profil des c</w:t>
      </w:r>
      <w:r w:rsidRPr="00CE057C">
        <w:rPr>
          <w:i/>
          <w:iCs/>
          <w:szCs w:val="18"/>
        </w:rPr>
        <w:t>a</w:t>
      </w:r>
      <w:r w:rsidRPr="00CE057C">
        <w:rPr>
          <w:i/>
          <w:iCs/>
          <w:szCs w:val="18"/>
        </w:rPr>
        <w:t>nadiens consommateurs de l'art, 1990-1991. Constats.</w:t>
      </w:r>
      <w:r w:rsidRPr="00CE057C">
        <w:rPr>
          <w:szCs w:val="18"/>
        </w:rPr>
        <w:t xml:space="preserve"> Ottawa, Ministère des Communications, mai 1992.</w:t>
      </w:r>
    </w:p>
  </w:footnote>
  <w:footnote w:id="403">
    <w:p w:rsidR="00B7214C" w:rsidRDefault="00B7214C">
      <w:pPr>
        <w:pStyle w:val="Notedebasdepage"/>
      </w:pPr>
      <w:r>
        <w:rPr>
          <w:rStyle w:val="Appelnotedebasdep"/>
        </w:rPr>
        <w:footnoteRef/>
      </w:r>
      <w:r>
        <w:t xml:space="preserve"> </w:t>
      </w:r>
      <w:r>
        <w:tab/>
      </w:r>
      <w:r w:rsidRPr="00CE057C">
        <w:rPr>
          <w:szCs w:val="18"/>
        </w:rPr>
        <w:t xml:space="preserve">Il s'agit ici des opérations de collecte </w:t>
      </w:r>
      <w:r w:rsidRPr="00CE057C">
        <w:rPr>
          <w:i/>
          <w:iCs/>
          <w:szCs w:val="18"/>
        </w:rPr>
        <w:t>in situ</w:t>
      </w:r>
      <w:r w:rsidRPr="00CE057C">
        <w:rPr>
          <w:szCs w:val="18"/>
        </w:rPr>
        <w:t xml:space="preserve"> sur les visiteurs ainsi que les enquêtes diverses auprès du grand public menées par divers organismes, n</w:t>
      </w:r>
      <w:r w:rsidRPr="00CE057C">
        <w:rPr>
          <w:szCs w:val="18"/>
        </w:rPr>
        <w:t>o</w:t>
      </w:r>
      <w:r w:rsidRPr="00CE057C">
        <w:rPr>
          <w:szCs w:val="18"/>
        </w:rPr>
        <w:t>tamment le ministère des Affaires culturelles et le M</w:t>
      </w:r>
      <w:r w:rsidRPr="00CE057C">
        <w:rPr>
          <w:szCs w:val="18"/>
        </w:rPr>
        <w:t>u</w:t>
      </w:r>
      <w:r w:rsidRPr="00CE057C">
        <w:rPr>
          <w:szCs w:val="18"/>
        </w:rPr>
        <w:t xml:space="preserve">sée de la civilisation. Cf. à ce sujet par exemple André Allaire, « Profil des visiteurs du Musée de la civilisation : Quatre mois après l'ouverture », </w:t>
      </w:r>
      <w:r w:rsidRPr="00CE057C">
        <w:rPr>
          <w:i/>
          <w:iCs/>
          <w:szCs w:val="18"/>
        </w:rPr>
        <w:t>Cahiers de recherche du Musée de la civilisation,</w:t>
      </w:r>
      <w:r w:rsidRPr="00CE057C">
        <w:rPr>
          <w:szCs w:val="18"/>
        </w:rPr>
        <w:t xml:space="preserve"> n° 1, Québec, Musée de la civilisation, juin 1990 ; André Allaire, </w:t>
      </w:r>
      <w:r w:rsidRPr="00CE057C">
        <w:rPr>
          <w:i/>
          <w:iCs/>
          <w:szCs w:val="18"/>
        </w:rPr>
        <w:t>Étude comparative des publics du Musée de la civilisation,</w:t>
      </w:r>
      <w:r w:rsidRPr="00CE057C">
        <w:rPr>
          <w:szCs w:val="18"/>
        </w:rPr>
        <w:t xml:space="preserve"> Québec, Musée de la civilisation, janvier 1990 ; Camille Delude, </w:t>
      </w:r>
      <w:r w:rsidRPr="00CE057C">
        <w:rPr>
          <w:i/>
          <w:iCs/>
          <w:szCs w:val="18"/>
        </w:rPr>
        <w:t>Le co</w:t>
      </w:r>
      <w:r w:rsidRPr="00CE057C">
        <w:rPr>
          <w:i/>
          <w:iCs/>
          <w:szCs w:val="18"/>
        </w:rPr>
        <w:t>m</w:t>
      </w:r>
      <w:r w:rsidRPr="00CE057C">
        <w:rPr>
          <w:i/>
          <w:iCs/>
          <w:szCs w:val="18"/>
        </w:rPr>
        <w:t>portement des Québécois en matière d'activités culturelles de loisir,</w:t>
      </w:r>
      <w:r w:rsidRPr="00CE057C">
        <w:rPr>
          <w:szCs w:val="18"/>
        </w:rPr>
        <w:t xml:space="preserve"> Go</w:t>
      </w:r>
      <w:r w:rsidRPr="00CE057C">
        <w:rPr>
          <w:szCs w:val="18"/>
        </w:rPr>
        <w:t>u</w:t>
      </w:r>
      <w:r w:rsidRPr="00CE057C">
        <w:rPr>
          <w:szCs w:val="18"/>
        </w:rPr>
        <w:t>vernement du Québec (Ministère des Affaires culturelles), se</w:t>
      </w:r>
      <w:r w:rsidRPr="00CE057C">
        <w:rPr>
          <w:szCs w:val="18"/>
        </w:rPr>
        <w:t>p</w:t>
      </w:r>
      <w:r w:rsidRPr="00CE057C">
        <w:rPr>
          <w:szCs w:val="18"/>
        </w:rPr>
        <w:t xml:space="preserve">tembre 1979, et juillet 1983 ; Gilles Pronovost, </w:t>
      </w:r>
      <w:r w:rsidRPr="00CE057C">
        <w:rPr>
          <w:i/>
          <w:iCs/>
          <w:szCs w:val="18"/>
        </w:rPr>
        <w:t>Les comportements des Québécois en m</w:t>
      </w:r>
      <w:r w:rsidRPr="00CE057C">
        <w:rPr>
          <w:i/>
          <w:iCs/>
          <w:szCs w:val="18"/>
        </w:rPr>
        <w:t>a</w:t>
      </w:r>
      <w:r w:rsidRPr="00CE057C">
        <w:rPr>
          <w:i/>
          <w:iCs/>
          <w:szCs w:val="18"/>
        </w:rPr>
        <w:t>tière d'activités culturelles de loisir, 1989,</w:t>
      </w:r>
      <w:r w:rsidRPr="00CE057C">
        <w:rPr>
          <w:szCs w:val="18"/>
        </w:rPr>
        <w:t xml:space="preserve"> Gouvernement du Québec (M</w:t>
      </w:r>
      <w:r w:rsidRPr="00CE057C">
        <w:rPr>
          <w:szCs w:val="18"/>
        </w:rPr>
        <w:t>i</w:t>
      </w:r>
      <w:r w:rsidRPr="00CE057C">
        <w:rPr>
          <w:szCs w:val="18"/>
        </w:rPr>
        <w:t>nistère des Affaires culturelles), 1990.</w:t>
      </w:r>
    </w:p>
  </w:footnote>
  <w:footnote w:id="404">
    <w:p w:rsidR="00B7214C" w:rsidRDefault="00B7214C">
      <w:pPr>
        <w:pStyle w:val="Notedebasdepage"/>
      </w:pPr>
      <w:r>
        <w:rPr>
          <w:rStyle w:val="Appelnotedebasdep"/>
        </w:rPr>
        <w:footnoteRef/>
      </w:r>
      <w:r>
        <w:t xml:space="preserve"> </w:t>
      </w:r>
      <w:r>
        <w:tab/>
      </w:r>
      <w:r w:rsidRPr="005869B6">
        <w:t>Marcel Fournier et Jan Marontate, « Loin de Québec. Caractéristiques soci</w:t>
      </w:r>
      <w:r w:rsidRPr="005869B6">
        <w:t>a</w:t>
      </w:r>
      <w:r w:rsidRPr="005869B6">
        <w:t>les et pratiques culturelles du public montréalais des musées », rapport pr</w:t>
      </w:r>
      <w:r w:rsidRPr="005869B6">
        <w:t>é</w:t>
      </w:r>
      <w:r w:rsidRPr="005869B6">
        <w:t>senté au Musée de la civilisation, mai 1992.</w:t>
      </w:r>
    </w:p>
  </w:footnote>
  <w:footnote w:id="405">
    <w:p w:rsidR="00B7214C" w:rsidRDefault="00B7214C">
      <w:pPr>
        <w:pStyle w:val="Notedebasdepage"/>
      </w:pPr>
      <w:r>
        <w:rPr>
          <w:rStyle w:val="Appelnotedebasdep"/>
        </w:rPr>
        <w:footnoteRef/>
      </w:r>
      <w:r>
        <w:t xml:space="preserve"> </w:t>
      </w:r>
      <w:r>
        <w:tab/>
      </w:r>
      <w:r w:rsidRPr="005869B6">
        <w:t xml:space="preserve">Notamment, Lamont et Fournier, </w:t>
      </w:r>
      <w:r w:rsidRPr="00CE057C">
        <w:rPr>
          <w:i/>
          <w:iCs/>
        </w:rPr>
        <w:t>op. cit.</w:t>
      </w:r>
    </w:p>
  </w:footnote>
  <w:footnote w:id="406">
    <w:p w:rsidR="00B7214C" w:rsidRDefault="00B7214C">
      <w:pPr>
        <w:pStyle w:val="Notedebasdepage"/>
      </w:pPr>
      <w:r>
        <w:rPr>
          <w:rStyle w:val="Appelnotedebasdep"/>
        </w:rPr>
        <w:footnoteRef/>
      </w:r>
      <w:r>
        <w:t xml:space="preserve"> </w:t>
      </w:r>
      <w:r>
        <w:tab/>
      </w:r>
      <w:r w:rsidRPr="00CE057C">
        <w:rPr>
          <w:iCs/>
        </w:rPr>
        <w:t xml:space="preserve">Herbert Gans, </w:t>
      </w:r>
      <w:r w:rsidRPr="00CE057C">
        <w:t>Popular Culture and High Culture : An Analysis and Evalu</w:t>
      </w:r>
      <w:r w:rsidRPr="00CE057C">
        <w:t>a</w:t>
      </w:r>
      <w:r w:rsidRPr="00CE057C">
        <w:t xml:space="preserve">tion of Taste, </w:t>
      </w:r>
      <w:r w:rsidRPr="00CE057C">
        <w:rPr>
          <w:iCs/>
        </w:rPr>
        <w:t>New York, Basic, 1974 ; Blau</w:t>
      </w:r>
      <w:r>
        <w:rPr>
          <w:iCs/>
        </w:rPr>
        <w:t>,</w:t>
      </w:r>
      <w:r w:rsidRPr="00CE057C">
        <w:rPr>
          <w:iCs/>
        </w:rPr>
        <w:t xml:space="preserve"> </w:t>
      </w:r>
      <w:r w:rsidRPr="005412DA">
        <w:rPr>
          <w:i/>
        </w:rPr>
        <w:t>op. cit</w:t>
      </w:r>
      <w:r w:rsidRPr="00CE057C">
        <w:t>..</w:t>
      </w:r>
    </w:p>
  </w:footnote>
  <w:footnote w:id="407">
    <w:p w:rsidR="00B7214C" w:rsidRDefault="00B7214C">
      <w:pPr>
        <w:pStyle w:val="Notedebasdepage"/>
      </w:pPr>
      <w:r>
        <w:rPr>
          <w:rStyle w:val="Appelnotedebasdep"/>
        </w:rPr>
        <w:footnoteRef/>
      </w:r>
      <w:r>
        <w:t xml:space="preserve"> </w:t>
      </w:r>
      <w:r>
        <w:tab/>
      </w:r>
      <w:r w:rsidRPr="005869B6">
        <w:t>Par exemple les goûts du groupe d'amateurs de la musique pop et rock app</w:t>
      </w:r>
      <w:r w:rsidRPr="005869B6">
        <w:t>e</w:t>
      </w:r>
      <w:r w:rsidRPr="005869B6">
        <w:t xml:space="preserve">lés « pop-rocker insouciant » dans l'analyse « psychographique » des consommateurs de l'art de Cultur'inc Inc. et Décima Research </w:t>
      </w:r>
      <w:r w:rsidRPr="00CE057C">
        <w:rPr>
          <w:i/>
          <w:iCs/>
        </w:rPr>
        <w:t>(op. cit.).</w:t>
      </w:r>
      <w:r w:rsidRPr="005869B6">
        <w:t xml:space="preserve"> Voir aussi R.A. Peterson et Albert Simkus, « How Musical Tastes Mark Occup</w:t>
      </w:r>
      <w:r w:rsidRPr="005869B6">
        <w:t>a</w:t>
      </w:r>
      <w:r w:rsidRPr="005869B6">
        <w:t xml:space="preserve">tional Status Groups », dans Fournier et Lamont </w:t>
      </w:r>
      <w:r w:rsidRPr="00CE057C">
        <w:rPr>
          <w:i/>
          <w:iCs/>
        </w:rPr>
        <w:t>op. cit..</w:t>
      </w:r>
    </w:p>
  </w:footnote>
  <w:footnote w:id="408">
    <w:p w:rsidR="00B7214C" w:rsidRDefault="00B7214C">
      <w:pPr>
        <w:pStyle w:val="Notedebasdepage"/>
      </w:pPr>
      <w:r>
        <w:rPr>
          <w:rStyle w:val="Appelnotedebasdep"/>
        </w:rPr>
        <w:footnoteRef/>
      </w:r>
      <w:r>
        <w:t xml:space="preserve"> </w:t>
      </w:r>
      <w:r>
        <w:tab/>
      </w:r>
      <w:r w:rsidRPr="005869B6">
        <w:t xml:space="preserve">« Peu de scientifiques visitent des musées... Contrairement à l'art, la science détruit son passé ». Thomas Kuhn, « Comment on the relations of Science and Art », </w:t>
      </w:r>
      <w:r w:rsidRPr="00CE057C">
        <w:rPr>
          <w:i/>
          <w:iCs/>
        </w:rPr>
        <w:t>The Essential Tension : Selected St</w:t>
      </w:r>
      <w:r w:rsidRPr="00CE057C">
        <w:rPr>
          <w:i/>
          <w:iCs/>
        </w:rPr>
        <w:t>u</w:t>
      </w:r>
      <w:r w:rsidRPr="00CE057C">
        <w:rPr>
          <w:i/>
          <w:iCs/>
        </w:rPr>
        <w:t>dies in Scientific Tradition and Change,</w:t>
      </w:r>
      <w:r w:rsidRPr="005869B6">
        <w:t xml:space="preserve"> Chicago, University of Ch</w:t>
      </w:r>
      <w:r w:rsidRPr="005869B6">
        <w:t>i</w:t>
      </w:r>
      <w:r w:rsidRPr="005869B6">
        <w:t xml:space="preserve">cago Press, 1977, </w:t>
      </w:r>
      <w:r>
        <w:t>p</w:t>
      </w:r>
      <w:r w:rsidRPr="005869B6">
        <w:t>p. 345.</w:t>
      </w:r>
    </w:p>
  </w:footnote>
  <w:footnote w:id="409">
    <w:p w:rsidR="00B7214C" w:rsidRDefault="00B7214C">
      <w:pPr>
        <w:pStyle w:val="Notedebasdepage"/>
      </w:pPr>
      <w:r>
        <w:rPr>
          <w:rStyle w:val="Appelnotedebasdep"/>
        </w:rPr>
        <w:footnoteRef/>
      </w:r>
      <w:r>
        <w:t xml:space="preserve"> </w:t>
      </w:r>
      <w:r>
        <w:tab/>
      </w:r>
      <w:r w:rsidRPr="005869B6">
        <w:t xml:space="preserve">F. Jameson, « Postmodernism, or the Cultural Logic of Late Capitalism », </w:t>
      </w:r>
      <w:r w:rsidRPr="00CE057C">
        <w:rPr>
          <w:i/>
          <w:iCs/>
        </w:rPr>
        <w:t>The New Left Review,</w:t>
      </w:r>
      <w:r w:rsidRPr="005869B6">
        <w:t xml:space="preserve"> (July-August) 1984, n°</w:t>
      </w:r>
      <w:r>
        <w:t> </w:t>
      </w:r>
      <w:r w:rsidRPr="005869B6">
        <w:t>146, su</w:t>
      </w:r>
      <w:r w:rsidRPr="005869B6">
        <w:t>r</w:t>
      </w:r>
      <w:r w:rsidRPr="005869B6">
        <w:t>tout p</w:t>
      </w:r>
      <w:r>
        <w:t>p</w:t>
      </w:r>
      <w:r w:rsidRPr="005869B6">
        <w:t>. 87-89.</w:t>
      </w:r>
    </w:p>
  </w:footnote>
  <w:footnote w:id="410">
    <w:p w:rsidR="00B7214C" w:rsidRDefault="00B7214C">
      <w:pPr>
        <w:pStyle w:val="Notedebasdepage"/>
      </w:pPr>
      <w:r>
        <w:rPr>
          <w:rStyle w:val="Appelnotedebasdep"/>
        </w:rPr>
        <w:footnoteRef/>
      </w:r>
      <w:r>
        <w:t xml:space="preserve"> </w:t>
      </w:r>
      <w:r>
        <w:tab/>
      </w:r>
      <w:r w:rsidRPr="00144A85">
        <w:t>Dans le cas du musée du Château Ramezay, nous avons rencontré des repr</w:t>
      </w:r>
      <w:r w:rsidRPr="00144A85">
        <w:t>é</w:t>
      </w:r>
      <w:r w:rsidRPr="00144A85">
        <w:t>sentantes et des représentants de chaque secteur de l'organ</w:t>
      </w:r>
      <w:r w:rsidRPr="00144A85">
        <w:t>i</w:t>
      </w:r>
      <w:r w:rsidRPr="00144A85">
        <w:t xml:space="preserve">sation. Dans le cas de </w:t>
      </w:r>
      <w:r w:rsidRPr="00144A85">
        <w:rPr>
          <w:bCs/>
          <w:i/>
          <w:iCs/>
        </w:rPr>
        <w:t>Québec-Science,</w:t>
      </w:r>
      <w:r w:rsidRPr="00144A85">
        <w:t xml:space="preserve"> nous avons interviewé vingt-sept des actrices et des acteurs les plus marquants de son histo</w:t>
      </w:r>
      <w:r w:rsidRPr="00144A85">
        <w:t>i</w:t>
      </w:r>
      <w:r w:rsidRPr="00144A85">
        <w:t>re.</w:t>
      </w:r>
    </w:p>
  </w:footnote>
  <w:footnote w:id="411">
    <w:p w:rsidR="00B7214C" w:rsidRDefault="00B7214C">
      <w:pPr>
        <w:pStyle w:val="Notedebasdepage"/>
      </w:pPr>
      <w:r>
        <w:rPr>
          <w:rStyle w:val="Appelnotedebasdep"/>
        </w:rPr>
        <w:footnoteRef/>
      </w:r>
      <w:r>
        <w:t xml:space="preserve"> </w:t>
      </w:r>
      <w:r>
        <w:tab/>
      </w:r>
      <w:r w:rsidRPr="00144A85">
        <w:t>Quelques hommes se sont join</w:t>
      </w:r>
      <w:r>
        <w:t>ts aux groupes d'animatrices. L’</w:t>
      </w:r>
      <w:r w:rsidRPr="00144A85">
        <w:t>util</w:t>
      </w:r>
      <w:r w:rsidRPr="00144A85">
        <w:t>i</w:t>
      </w:r>
      <w:r w:rsidRPr="00144A85">
        <w:t>sation du genre féminin n'a pour but que d'alléger le texte et ne const</w:t>
      </w:r>
      <w:r w:rsidRPr="00144A85">
        <w:t>i</w:t>
      </w:r>
      <w:r w:rsidRPr="00144A85">
        <w:t>tue en aucune façon une mesure discriminatoire.</w:t>
      </w:r>
    </w:p>
  </w:footnote>
  <w:footnote w:id="412">
    <w:p w:rsidR="00B7214C" w:rsidRDefault="00B7214C">
      <w:pPr>
        <w:pStyle w:val="Notedebasdepage"/>
      </w:pPr>
      <w:r>
        <w:rPr>
          <w:rStyle w:val="Appelnotedebasdep"/>
        </w:rPr>
        <w:footnoteRef/>
      </w:r>
      <w:r>
        <w:t xml:space="preserve"> </w:t>
      </w:r>
      <w:r>
        <w:tab/>
      </w:r>
      <w:r w:rsidRPr="00144A85">
        <w:t>Tel qu'écrit dans le texte.</w:t>
      </w:r>
    </w:p>
  </w:footnote>
  <w:footnote w:id="413">
    <w:p w:rsidR="00B7214C" w:rsidRDefault="00B7214C">
      <w:pPr>
        <w:pStyle w:val="Notedebasdepage"/>
      </w:pPr>
      <w:r>
        <w:rPr>
          <w:rStyle w:val="Appelnotedebasdep"/>
        </w:rPr>
        <w:footnoteRef/>
      </w:r>
      <w:r>
        <w:t xml:space="preserve"> </w:t>
      </w:r>
      <w:r>
        <w:tab/>
      </w:r>
      <w:r w:rsidRPr="00144A85">
        <w:t xml:space="preserve">Sans signature, « Au Château des Ramezay, des écoliers visitent avec leurs yeux, leurs oreilles et leurs mains », dans </w:t>
      </w:r>
      <w:r w:rsidRPr="00144A85">
        <w:rPr>
          <w:i/>
          <w:iCs/>
        </w:rPr>
        <w:t>La Presse,</w:t>
      </w:r>
      <w:r w:rsidRPr="00144A85">
        <w:t xml:space="preserve"> Montréal, le 22 n</w:t>
      </w:r>
      <w:r w:rsidRPr="00144A85">
        <w:t>o</w:t>
      </w:r>
      <w:r w:rsidRPr="00144A85">
        <w:t>vembre 1980, Archives de la ville de Montréal.</w:t>
      </w:r>
    </w:p>
  </w:footnote>
  <w:footnote w:id="414">
    <w:p w:rsidR="00B7214C" w:rsidRDefault="00B7214C" w:rsidP="00B7214C">
      <w:pPr>
        <w:pStyle w:val="Notedebasdepage"/>
      </w:pPr>
      <w:r>
        <w:rPr>
          <w:rStyle w:val="Appelnotedebasdep"/>
        </w:rPr>
        <w:t>*</w:t>
      </w:r>
      <w:r>
        <w:t xml:space="preserve"> </w:t>
      </w:r>
      <w:r>
        <w:tab/>
        <w:t>Disponibles sur demande à l’IQRC, 14, rue Haldimand, Québec, G1R 4N4.</w:t>
      </w:r>
      <w:r>
        <w:br/>
        <w:t>Téléphone (418) 643-4695 * Télécopieur : (418) 646-3317</w:t>
      </w:r>
    </w:p>
  </w:footnote>
  <w:footnote w:id="415">
    <w:p w:rsidR="00B7214C" w:rsidRDefault="00B7214C" w:rsidP="00B7214C">
      <w:pPr>
        <w:pStyle w:val="Notedebasdepage"/>
      </w:pPr>
      <w:r>
        <w:rPr>
          <w:rStyle w:val="Appelnotedebasdep"/>
        </w:rPr>
        <w:t>*</w:t>
      </w:r>
      <w:r>
        <w:t xml:space="preserve"> </w:t>
      </w:r>
      <w:r>
        <w:tab/>
        <w:t>A</w:t>
      </w:r>
      <w:r w:rsidRPr="00F017F2">
        <w:t>ccessible sur demande aux Services documentaires Multimedia inc., 1685, rue Fleury Est, Montréal, H2C</w:t>
      </w:r>
      <w:r>
        <w:t xml:space="preserve"> </w:t>
      </w:r>
      <w:r w:rsidRPr="00F017F2">
        <w:t>1T1</w:t>
      </w:r>
      <w:r>
        <w:t>.</w:t>
      </w:r>
    </w:p>
  </w:footnote>
  <w:footnote w:id="416">
    <w:p w:rsidR="00B7214C" w:rsidRDefault="00B7214C" w:rsidP="00B7214C">
      <w:pPr>
        <w:pStyle w:val="Notedebasdepage"/>
      </w:pPr>
      <w:r>
        <w:rPr>
          <w:rStyle w:val="Appelnotedebasdep"/>
        </w:rPr>
        <w:t>**</w:t>
      </w:r>
      <w:r>
        <w:t xml:space="preserve"> </w:t>
      </w:r>
      <w:r>
        <w:tab/>
      </w:r>
      <w:r w:rsidRPr="00F017F2">
        <w:t>disponibles sur demande à l'IQRC, 14, rue Haldimand, Québec, GIR 4N4 Téléphone : (418) 643-4695 • Télécopieur : (418) 646-3317</w:t>
      </w:r>
      <w:r>
        <w:t>.</w:t>
      </w:r>
    </w:p>
  </w:footnote>
  <w:footnote w:id="417">
    <w:p w:rsidR="00B7214C" w:rsidRDefault="00B7214C" w:rsidP="00B7214C">
      <w:pPr>
        <w:pStyle w:val="Notedebasdepage"/>
      </w:pPr>
      <w:r>
        <w:rPr>
          <w:rStyle w:val="Appelnotedebasdep"/>
        </w:rPr>
        <w:t>***</w:t>
      </w:r>
      <w:r>
        <w:t xml:space="preserve"> </w:t>
      </w:r>
      <w:r>
        <w:tab/>
      </w:r>
      <w:r w:rsidRPr="00F017F2">
        <w:t>Téléphone : (514) 382-0895 • Télécopieur : (514) 384-9139 * pour rense</w:t>
      </w:r>
      <w:r w:rsidRPr="00F017F2">
        <w:t>i</w:t>
      </w:r>
      <w:r w:rsidRPr="00F017F2">
        <w:t>gnements, s'adresser à l'IQRC</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14C" w:rsidRDefault="00B7214C" w:rsidP="00B7214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Entre tradition et universalisme.</w:t>
    </w:r>
    <w:r w:rsidRPr="00C90835">
      <w:rPr>
        <w:rFonts w:ascii="Times New Roman" w:hAnsi="Times New Roman"/>
      </w:rPr>
      <w:t xml:space="preserve"> </w:t>
    </w:r>
    <w:r>
      <w:rPr>
        <w:rFonts w:ascii="Times New Roman" w:hAnsi="Times New Roman"/>
      </w:rPr>
      <w:t>(1994)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4713C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B7214C" w:rsidRDefault="00B7214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713CF"/>
    <w:rsid w:val="00481548"/>
    <w:rsid w:val="00B7214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DECF6320-C931-F245-A669-DC666C3C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91662E"/>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C0273B"/>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1752A"/>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5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91662E"/>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61752A"/>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paragraph" w:customStyle="1" w:styleId="b">
    <w:name w:val="b"/>
    <w:basedOn w:val="Normal"/>
    <w:autoRedefine/>
    <w:rsid w:val="001D0926"/>
    <w:pPr>
      <w:spacing w:before="120" w:after="120"/>
      <w:ind w:left="720" w:firstLine="0"/>
    </w:pPr>
    <w:rPr>
      <w:i/>
      <w:color w:val="0000FF"/>
    </w:rPr>
  </w:style>
  <w:style w:type="paragraph" w:customStyle="1" w:styleId="Citationliste">
    <w:name w:val="Citation liste"/>
    <w:basedOn w:val="Grillecouleur-Accent1"/>
    <w:autoRedefine/>
    <w:rsid w:val="0011353B"/>
    <w:pPr>
      <w:ind w:left="1080" w:hanging="360"/>
    </w:pPr>
  </w:style>
  <w:style w:type="paragraph" w:customStyle="1" w:styleId="aa">
    <w:name w:val="aa"/>
    <w:basedOn w:val="Normal"/>
    <w:autoRedefine/>
    <w:rsid w:val="00CB247E"/>
    <w:pPr>
      <w:spacing w:before="120" w:after="120"/>
      <w:ind w:firstLine="0"/>
    </w:pPr>
    <w:rPr>
      <w:b/>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classiques.uqac.ca/contemporains/dumont_fernand/Questions_de_culture/Questions_de_culture_no_03/QdeC_no_03.html" TargetMode="External"/><Relationship Id="rId21" Type="http://schemas.openxmlformats.org/officeDocument/2006/relationships/hyperlink" Target="mailto:marguerite.souliere@uOttawa.ca" TargetMode="External"/><Relationship Id="rId42" Type="http://schemas.openxmlformats.org/officeDocument/2006/relationships/hyperlink" Target="http://classiques.uqac.ca/classiques/hughes_everett_cherrington/rencontre_2_mondes/hugues_rencontre_2_mondes.doc" TargetMode="External"/><Relationship Id="rId63" Type="http://schemas.openxmlformats.org/officeDocument/2006/relationships/hyperlink" Target="https://www.erudit.org/fr/revues/socsoc/1987-v19-n1-socsoc99/001078ar/" TargetMode="External"/><Relationship Id="rId84" Type="http://schemas.openxmlformats.org/officeDocument/2006/relationships/hyperlink" Target="http://classiques.uqac.ca/classiques/mauss_marcel/socio_et_anthropo/0_introduction/intro_texte.html" TargetMode="External"/><Relationship Id="rId16" Type="http://schemas.openxmlformats.org/officeDocument/2006/relationships/hyperlink" Target="mailto:Claude.Bariteau@ant.ulaval.ca" TargetMode="External"/><Relationship Id="rId107" Type="http://schemas.openxmlformats.org/officeDocument/2006/relationships/hyperlink" Target="http://dx.doi.org/doi:10.1522/25048569" TargetMode="External"/><Relationship Id="rId11" Type="http://schemas.openxmlformats.org/officeDocument/2006/relationships/hyperlink" Target="http://bibliotheque.uqac.ca/" TargetMode="External"/><Relationship Id="rId32" Type="http://schemas.openxmlformats.org/officeDocument/2006/relationships/hyperlink" Target="http://classiques.uqac.ca/contemporains/labelle_micheline/histoires_immigrees/histoires_immigrees.html" TargetMode="External"/><Relationship Id="rId37" Type="http://schemas.openxmlformats.org/officeDocument/2006/relationships/hyperlink" Target="http://classiques.uqac.ca/contemporains/taylor_norman/taylor_norman.html" TargetMode="External"/><Relationship Id="rId53" Type="http://schemas.openxmlformats.org/officeDocument/2006/relationships/hyperlink" Target="http://dx.doi.org/doi:10.1522/030296063" TargetMode="External"/><Relationship Id="rId58" Type="http://schemas.openxmlformats.org/officeDocument/2006/relationships/hyperlink" Target="http://classiques.uqac.ca/classiques/fanon_franz/fanon_franz.html" TargetMode="External"/><Relationship Id="rId74" Type="http://schemas.openxmlformats.org/officeDocument/2006/relationships/hyperlink" Target="http://dx.doi.org/doi:10.1522/30010518" TargetMode="External"/><Relationship Id="rId79" Type="http://schemas.openxmlformats.org/officeDocument/2006/relationships/hyperlink" Target="http://dx.doi.org/doi:10.1522/cla.mam.ess3" TargetMode="External"/><Relationship Id="rId102" Type="http://schemas.openxmlformats.org/officeDocument/2006/relationships/hyperlink" Target="http://dx.doi.org/doi:10.1522/cla.foa.bra" TargetMode="External"/><Relationship Id="rId123" Type="http://schemas.openxmlformats.org/officeDocument/2006/relationships/hyperlink" Target="http://classiques.uqac.ca/contemporains/dumont_fernand/Questions_de_culture/Questions_de_culture_no_09/QdeC_no_09.html" TargetMode="External"/><Relationship Id="rId128" Type="http://schemas.openxmlformats.org/officeDocument/2006/relationships/hyperlink" Target="http://classiques.uqac.ca/contemporains/dumont_fernand/Questions_de_culture/Questions_de_culture_no_14/QdeC_no_14.html" TargetMode="External"/><Relationship Id="rId5" Type="http://schemas.openxmlformats.org/officeDocument/2006/relationships/footnotes" Target="footnotes.xml"/><Relationship Id="rId90" Type="http://schemas.openxmlformats.org/officeDocument/2006/relationships/hyperlink" Target="http://dx.doi.org/doi:10.1522/cla.mam.ess3" TargetMode="External"/><Relationship Id="rId95" Type="http://schemas.openxmlformats.org/officeDocument/2006/relationships/hyperlink" Target="http://classiques.uqac.ca/contemporains/dumont_fernand/Questions_de_culture/Questions_de_culture_no_16/QdeC_no_16.html" TargetMode="External"/><Relationship Id="rId22" Type="http://schemas.openxmlformats.org/officeDocument/2006/relationships/hyperlink" Target="http://dx.doi.org/doi:10.1522/30010518" TargetMode="External"/><Relationship Id="rId27" Type="http://schemas.openxmlformats.org/officeDocument/2006/relationships/hyperlink" Target="https://www.erudit.org/fr/revues/rs/1985-v26-n1-2-rs1566/056133ar/" TargetMode="External"/><Relationship Id="rId43" Type="http://schemas.openxmlformats.org/officeDocument/2006/relationships/hyperlink" Target="http://classiques.uqac.ca/contemporains/taylor_norman/industriel_can_fr_essor_econo_du_qc/industriel_can_fr.html" TargetMode="External"/><Relationship Id="rId48" Type="http://schemas.openxmlformats.org/officeDocument/2006/relationships/hyperlink" Target="http://dx.doi.org/doi:10.1522/cla.fop.aut" TargetMode="External"/><Relationship Id="rId64" Type="http://schemas.openxmlformats.org/officeDocument/2006/relationships/hyperlink" Target="http://dx.doi.org/doi:10.1522/cla.bdr.peu" TargetMode="External"/><Relationship Id="rId69" Type="http://schemas.openxmlformats.org/officeDocument/2006/relationships/hyperlink" Target="http://dx.doi.org/doi:10.1522/30010518" TargetMode="External"/><Relationship Id="rId113" Type="http://schemas.openxmlformats.org/officeDocument/2006/relationships/hyperlink" Target="http://classiques.uqac.ca/contemporains/martin_yves/Education_25_ans_plus_tard/Education_25_ans_plus_tard.html" TargetMode="External"/><Relationship Id="rId118" Type="http://schemas.openxmlformats.org/officeDocument/2006/relationships/hyperlink" Target="http://classiques.uqac.ca/contemporains/dumont_fernand/Questions_de_culture/Questions_de_culture_no_04/QdeC_no_04.html" TargetMode="External"/><Relationship Id="rId134" Type="http://schemas.openxmlformats.org/officeDocument/2006/relationships/fontTable" Target="fontTable.xml"/><Relationship Id="rId80" Type="http://schemas.openxmlformats.org/officeDocument/2006/relationships/hyperlink" Target="http://dx.doi.org/doi:10.1522/30010518" TargetMode="External"/><Relationship Id="rId85" Type="http://schemas.openxmlformats.org/officeDocument/2006/relationships/hyperlink" Target="http://classiques.uqac.ca/classiques/mauss_marcel/socio_et_anthropo/0_introduction/intro_texte.html" TargetMode="External"/><Relationship Id="rId12" Type="http://schemas.openxmlformats.org/officeDocument/2006/relationships/hyperlink" Target="mailto:classiques.sc.soc@gmail.com" TargetMode="External"/><Relationship Id="rId17" Type="http://schemas.openxmlformats.org/officeDocument/2006/relationships/hyperlink" Target="mailto:marguerite.souliere@uOttawa.ca" TargetMode="External"/><Relationship Id="rId33" Type="http://schemas.openxmlformats.org/officeDocument/2006/relationships/hyperlink" Target="http://classiques.uqac.ca/contemporains/labelle_micheline/emigration_et_immigration_Haitien_au_Quebec/emigration_et_immigration.html" TargetMode="External"/><Relationship Id="rId38" Type="http://schemas.openxmlformats.org/officeDocument/2006/relationships/hyperlink" Target="http://dx.doi.org/doi:10.1522/030137426" TargetMode="External"/><Relationship Id="rId59" Type="http://schemas.openxmlformats.org/officeDocument/2006/relationships/hyperlink" Target="https://www.erudit.org/fr/revues/as/1988-v12-n2-as779/015025ar/" TargetMode="External"/><Relationship Id="rId103" Type="http://schemas.openxmlformats.org/officeDocument/2006/relationships/hyperlink" Target="http://classiques.uqac.ca/contemporains/hamel_jacques/Hommage_a_Marcel_Rioux/Hommage_a_Marcel_Rioux.html" TargetMode="External"/><Relationship Id="rId108" Type="http://schemas.openxmlformats.org/officeDocument/2006/relationships/hyperlink" Target="http://classiques.uqac.ca/contemporains/helly_denise/chinois_a_montreal/chinois_a_montreal.html" TargetMode="External"/><Relationship Id="rId124" Type="http://schemas.openxmlformats.org/officeDocument/2006/relationships/hyperlink" Target="http://classiques.uqac.ca/contemporains/dumont_fernand/Questions_de_culture/Questions_de_culture_no_10/QdeC_no_10.html" TargetMode="External"/><Relationship Id="rId129" Type="http://schemas.openxmlformats.org/officeDocument/2006/relationships/hyperlink" Target="http://classiques.uqac.ca/contemporains/dumont_fernand/Questions_de_culture/Questions_de_culture_no_15/QdeC_no_15.html" TargetMode="External"/><Relationship Id="rId54" Type="http://schemas.openxmlformats.org/officeDocument/2006/relationships/hyperlink" Target="http://classiques.uqac.ca/contemporains/abou_selim/abou_selim.html" TargetMode="External"/><Relationship Id="rId70" Type="http://schemas.openxmlformats.org/officeDocument/2006/relationships/hyperlink" Target="http://dx.doi.org/doi:10.1522/30010518" TargetMode="External"/><Relationship Id="rId75" Type="http://schemas.openxmlformats.org/officeDocument/2006/relationships/hyperlink" Target="http://dx.doi.org/doi:10.1522/30010518" TargetMode="External"/><Relationship Id="rId91" Type="http://schemas.openxmlformats.org/officeDocument/2006/relationships/hyperlink" Target="http://dx.doi.org/doi:10.1522/30010518" TargetMode="External"/><Relationship Id="rId96" Type="http://schemas.openxmlformats.org/officeDocument/2006/relationships/hyperlink" Target="http://classiques.uqac.ca/contemporains/dumont_fernand/Questions_de_culture/Questions_de_culture_no_16/QdeC_no_16.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dx.doi.org/doi:10.1522/cla.due.del1" TargetMode="External"/><Relationship Id="rId28" Type="http://schemas.openxmlformats.org/officeDocument/2006/relationships/hyperlink" Target="http://dx.doi.org/doi:10.1522/030079509" TargetMode="External"/><Relationship Id="rId49" Type="http://schemas.openxmlformats.org/officeDocument/2006/relationships/hyperlink" Target="https://www.erudit.org/fr/revues/crs/1993-n20-crs1516885/1002192ar.pdf" TargetMode="External"/><Relationship Id="rId114" Type="http://schemas.openxmlformats.org/officeDocument/2006/relationships/hyperlink" Target="http://classiques.uqac.ca/contemporains/dumont_fernand/Societe_qc_apres_30_ans/Societe_qc_apres_30_ans.html" TargetMode="External"/><Relationship Id="rId119" Type="http://schemas.openxmlformats.org/officeDocument/2006/relationships/hyperlink" Target="http://classiques.uqac.ca/contemporains/dumont_fernand/Questions_de_culture/Questions_de_culture_no_05/QdeC_no_05.html" TargetMode="External"/><Relationship Id="rId44" Type="http://schemas.openxmlformats.org/officeDocument/2006/relationships/hyperlink" Target="http://dx.doi.org/doi:10.1522/cla.wem.eth" TargetMode="External"/><Relationship Id="rId60" Type="http://schemas.openxmlformats.org/officeDocument/2006/relationships/hyperlink" Target="http://dx.doi.org/doi:10.1522/cla.bdr.pol" TargetMode="External"/><Relationship Id="rId65" Type="http://schemas.openxmlformats.org/officeDocument/2006/relationships/hyperlink" Target="http://classiques.uqac.ca/contemporains/dumont_fernand/Societe_qc_apres_30_ans/Societe_qc_apres_30_ans.html" TargetMode="External"/><Relationship Id="rId81" Type="http://schemas.openxmlformats.org/officeDocument/2006/relationships/hyperlink" Target="http://dx.doi.org/doi:10.1522/30010518" TargetMode="External"/><Relationship Id="rId86" Type="http://schemas.openxmlformats.org/officeDocument/2006/relationships/hyperlink" Target="http://dx.doi.org/doi:10.1522/30010518" TargetMode="External"/><Relationship Id="rId130" Type="http://schemas.openxmlformats.org/officeDocument/2006/relationships/hyperlink" Target="http://classiques.uqac.ca/contemporains/dumont_fernand/Questions_de_culture/Questions_de_culture_no_16/QdeC_no_16.html" TargetMode="External"/><Relationship Id="rId135" Type="http://schemas.openxmlformats.org/officeDocument/2006/relationships/theme" Target="theme/theme1.xml"/><Relationship Id="rId13" Type="http://schemas.openxmlformats.org/officeDocument/2006/relationships/hyperlink" Target="http://jmt-sociologue.uqac.ca/" TargetMode="External"/><Relationship Id="rId18" Type="http://schemas.openxmlformats.org/officeDocument/2006/relationships/image" Target="media/image4.png"/><Relationship Id="rId39" Type="http://schemas.openxmlformats.org/officeDocument/2006/relationships/hyperlink" Target="http://dx.doi.org/doi:10.1522/cla.bep.the" TargetMode="External"/><Relationship Id="rId109" Type="http://schemas.openxmlformats.org/officeDocument/2006/relationships/hyperlink" Target="http://classiques.uqac.ca/contemporains/helly_denise/immigration_pour_quoi_faire/immigration_pour_quoi_faire.html" TargetMode="External"/><Relationship Id="rId34" Type="http://schemas.openxmlformats.org/officeDocument/2006/relationships/hyperlink" Target="http://classiques.uqac.ca/contemporains/rocher_guy/culture_qc_en_devenir/culture_qc_en_devenir.html" TargetMode="External"/><Relationship Id="rId50" Type="http://schemas.openxmlformats.org/officeDocument/2006/relationships/hyperlink" Target="https://books.openedition.org/pum/15297?lang=fr" TargetMode="External"/><Relationship Id="rId55" Type="http://schemas.openxmlformats.org/officeDocument/2006/relationships/hyperlink" Target="http://dx.doi.org/doi:10.1522/030615314" TargetMode="External"/><Relationship Id="rId76" Type="http://schemas.openxmlformats.org/officeDocument/2006/relationships/hyperlink" Target="http://dx.doi.org/doi:10.1522/30010518" TargetMode="External"/><Relationship Id="rId97" Type="http://schemas.openxmlformats.org/officeDocument/2006/relationships/hyperlink" Target="http://dx.doi.org/doi:10.1522/030296063" TargetMode="External"/><Relationship Id="rId104" Type="http://schemas.openxmlformats.org/officeDocument/2006/relationships/hyperlink" Target="http://dx.doi.org/doi:10.1522/30010518" TargetMode="External"/><Relationship Id="rId120" Type="http://schemas.openxmlformats.org/officeDocument/2006/relationships/hyperlink" Target="http://classiques.uqac.ca/contemporains/dumont_fernand/Questions_de_culture/Questions_de_culture_no_06/QdeC_no_06.html" TargetMode="External"/><Relationship Id="rId125" Type="http://schemas.openxmlformats.org/officeDocument/2006/relationships/hyperlink" Target="http://classiques.uqac.ca/contemporains/dumont_fernand/Questions_de_culture/Questions_de_culture_no_11/QdeC_no_11.html" TargetMode="External"/><Relationship Id="rId7" Type="http://schemas.openxmlformats.org/officeDocument/2006/relationships/hyperlink" Target="http://classiques.uqac.ca/" TargetMode="External"/><Relationship Id="rId71" Type="http://schemas.openxmlformats.org/officeDocument/2006/relationships/hyperlink" Target="http://dx.doi.org/doi:10.1522/30010518" TargetMode="External"/><Relationship Id="rId92" Type="http://schemas.openxmlformats.org/officeDocument/2006/relationships/image" Target="media/image7.jpeg"/><Relationship Id="rId2" Type="http://schemas.openxmlformats.org/officeDocument/2006/relationships/styles" Target="styles.xml"/><Relationship Id="rId29" Type="http://schemas.openxmlformats.org/officeDocument/2006/relationships/hyperlink" Target="http://dx.doi.org/doi:10.1522/24908195" TargetMode="External"/><Relationship Id="rId24" Type="http://schemas.openxmlformats.org/officeDocument/2006/relationships/hyperlink" Target="http://dx.doi.org/doi:10.1522/cla.due.for2" TargetMode="External"/><Relationship Id="rId40" Type="http://schemas.openxmlformats.org/officeDocument/2006/relationships/hyperlink" Target="http://dx.doi.org/doi:10.1522/cla.bog.que" TargetMode="External"/><Relationship Id="rId45" Type="http://schemas.openxmlformats.org/officeDocument/2006/relationships/hyperlink" Target="http://dx.doi.org/doi:10.1522/cla.bac.ala" TargetMode="External"/><Relationship Id="rId66" Type="http://schemas.openxmlformats.org/officeDocument/2006/relationships/hyperlink" Target="http://dx.doi.org/doi:10.1522/cla.due.fam" TargetMode="External"/><Relationship Id="rId87" Type="http://schemas.openxmlformats.org/officeDocument/2006/relationships/hyperlink" Target="http://dx.doi.org/doi:10.1522/cla.mam.ess3" TargetMode="External"/><Relationship Id="rId110" Type="http://schemas.openxmlformats.org/officeDocument/2006/relationships/hyperlink" Target="http://classiques.uqac.ca/contemporains/labrie_vivian/Precis_de_transcription_documents_oraux/Precis_de_transcription.html" TargetMode="External"/><Relationship Id="rId115" Type="http://schemas.openxmlformats.org/officeDocument/2006/relationships/hyperlink" Target="http://classiques.uqac.ca/contemporains/dumont_fernand/Questions_de_culture/Questions_de_culture_no_01/QdeC_no_01.html" TargetMode="External"/><Relationship Id="rId131" Type="http://schemas.openxmlformats.org/officeDocument/2006/relationships/hyperlink" Target="http://classiques.uqac.ca/contemporains/dumont_fernand/Questions_de_culture/Questions_de_culture_no_17/QdeC_no_17.html" TargetMode="External"/><Relationship Id="rId61" Type="http://schemas.openxmlformats.org/officeDocument/2006/relationships/hyperlink" Target="http://classiques.uqac.ca/contemporains/dumont_fernand/Questions_de_culture/Questions_de_culture_no_13/QdeC_no_13.html" TargetMode="External"/><Relationship Id="rId82" Type="http://schemas.openxmlformats.org/officeDocument/2006/relationships/hyperlink" Target="http://dx.doi.org/doi:10.1522/30010518" TargetMode="External"/><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hyperlink" Target="http://dx.doi.org/doi:10.1522/24908161" TargetMode="External"/><Relationship Id="rId35" Type="http://schemas.openxmlformats.org/officeDocument/2006/relationships/hyperlink" Target="http://classiques.uqac.ca/contemporains/simard_jean_jacques/droits_identites_minorites/droits.html" TargetMode="External"/><Relationship Id="rId56" Type="http://schemas.openxmlformats.org/officeDocument/2006/relationships/hyperlink" Target="https://www.erudit.org/fr/revues/as/1988-v12-n1-as778/015006ar/" TargetMode="External"/><Relationship Id="rId77" Type="http://schemas.openxmlformats.org/officeDocument/2006/relationships/hyperlink" Target="http://dx.doi.org/doi:10.1522/30010518" TargetMode="External"/><Relationship Id="rId100" Type="http://schemas.openxmlformats.org/officeDocument/2006/relationships/hyperlink" Target="https://www.erudit.org/fr/revues/as/1989-v13-n1-as781/015057ar/" TargetMode="External"/><Relationship Id="rId105" Type="http://schemas.openxmlformats.org/officeDocument/2006/relationships/hyperlink" Target="http://dx.doi.org/doi:10.1522/cla.mam.ess3" TargetMode="External"/><Relationship Id="rId126" Type="http://schemas.openxmlformats.org/officeDocument/2006/relationships/hyperlink" Target="http://classiques.uqac.ca/contemporains/dumont_fernand/Questions_de_culture/Questions_de_culture_no_12/QdeC_no_12.html" TargetMode="External"/><Relationship Id="rId8" Type="http://schemas.openxmlformats.org/officeDocument/2006/relationships/image" Target="media/image1.jpeg"/><Relationship Id="rId51" Type="http://schemas.openxmlformats.org/officeDocument/2006/relationships/hyperlink" Target="http://classiques.uqac.ca/telechargement_optionnel/telechargement_freitag.html" TargetMode="External"/><Relationship Id="rId72" Type="http://schemas.openxmlformats.org/officeDocument/2006/relationships/hyperlink" Target="http://dx.doi.org/doi:10.1522/cla.mam.ess3" TargetMode="External"/><Relationship Id="rId93" Type="http://schemas.openxmlformats.org/officeDocument/2006/relationships/hyperlink" Target="http://dx.doi.org/doi:10.1522/30010518" TargetMode="External"/><Relationship Id="rId98" Type="http://schemas.openxmlformats.org/officeDocument/2006/relationships/hyperlink" Target="http://dx.doi.org/doi:10.1522/030276245" TargetMode="External"/><Relationship Id="rId121" Type="http://schemas.openxmlformats.org/officeDocument/2006/relationships/hyperlink" Target="http://classiques.uqac.ca/contemporains/dumont_fernand/Questions_de_culture/Questions_de_culture_no_07/QdeC_no_07.html" TargetMode="External"/><Relationship Id="rId3" Type="http://schemas.openxmlformats.org/officeDocument/2006/relationships/settings" Target="settings.xml"/><Relationship Id="rId25" Type="http://schemas.openxmlformats.org/officeDocument/2006/relationships/hyperlink" Target="http://dx.doi.org/doi:10.1522/cla.bog.soc" TargetMode="External"/><Relationship Id="rId46" Type="http://schemas.openxmlformats.org/officeDocument/2006/relationships/hyperlink" Target="http://dx.doi.org/doi:10.1522/cla.bal.evo" TargetMode="External"/><Relationship Id="rId67" Type="http://schemas.openxmlformats.org/officeDocument/2006/relationships/hyperlink" Target="https://www.erudit.org/en/journals/rs/1991-v32-n3-rs1583/056639ar/abstract/" TargetMode="External"/><Relationship Id="rId116" Type="http://schemas.openxmlformats.org/officeDocument/2006/relationships/hyperlink" Target="http://classiques.uqac.ca/contemporains/dumont_fernand/Questions_de_culture/Questions_de_culture_no_02/QdeC_no_02.html" TargetMode="External"/><Relationship Id="rId20" Type="http://schemas.openxmlformats.org/officeDocument/2006/relationships/image" Target="media/image6.jpeg"/><Relationship Id="rId41" Type="http://schemas.openxmlformats.org/officeDocument/2006/relationships/hyperlink" Target="http://dx.doi.org/doi:10.1522/030274949" TargetMode="External"/><Relationship Id="rId62" Type="http://schemas.openxmlformats.org/officeDocument/2006/relationships/hyperlink" Target="https://www.erudit.org/fr/revues/rs/1987-v28-n2-3-rs1572/056289ar/" TargetMode="External"/><Relationship Id="rId83" Type="http://schemas.openxmlformats.org/officeDocument/2006/relationships/hyperlink" Target="http://dx.doi.org/doi:10.1522/cla.mam.ess3" TargetMode="External"/><Relationship Id="rId88" Type="http://schemas.openxmlformats.org/officeDocument/2006/relationships/hyperlink" Target="http://dx.doi.org/doi:10.1522/30010518" TargetMode="External"/><Relationship Id="rId111" Type="http://schemas.openxmlformats.org/officeDocument/2006/relationships/hyperlink" Target="http://classiques.uqac.ca/contemporains/dufresne_jacques/traite_anthropologie_medicale/traite_anthropo_medicale_tdm.html" TargetMode="External"/><Relationship Id="rId132" Type="http://schemas.openxmlformats.org/officeDocument/2006/relationships/hyperlink" Target="http://dx.doi.org/doi:10.1522/cla.hej.nai" TargetMode="External"/><Relationship Id="rId15" Type="http://schemas.openxmlformats.org/officeDocument/2006/relationships/hyperlink" Target="mailto:francoise-romaine.ouellette@ucs.inrs.ca" TargetMode="External"/><Relationship Id="rId36" Type="http://schemas.openxmlformats.org/officeDocument/2006/relationships/hyperlink" Target="http://classiques.uqac.ca/classiques/hughes_everett_cherrington/rencontre_2_mondes/hugues_rencontre_2_mondes.doc" TargetMode="External"/><Relationship Id="rId57" Type="http://schemas.openxmlformats.org/officeDocument/2006/relationships/hyperlink" Target="http://dx.doi.org/doi:10.1522/030296063" TargetMode="External"/><Relationship Id="rId106" Type="http://schemas.openxmlformats.org/officeDocument/2006/relationships/hyperlink" Target="http://classiques.uqac.ca/classiques/mauss_marcel/socio_et_anthropo/socio_et_anthropo_tdm.html" TargetMode="External"/><Relationship Id="rId127" Type="http://schemas.openxmlformats.org/officeDocument/2006/relationships/hyperlink" Target="http://classiques.uqac.ca/contemporains/dumont_fernand/Questions_de_culture/Questions_de_culture_no_13/QdeC_no_13.html" TargetMode="External"/><Relationship Id="rId10" Type="http://schemas.openxmlformats.org/officeDocument/2006/relationships/image" Target="media/image2.jpeg"/><Relationship Id="rId31" Type="http://schemas.openxmlformats.org/officeDocument/2006/relationships/hyperlink" Target="http://dx.doi.org/doi:10.1522/030165952" TargetMode="External"/><Relationship Id="rId52" Type="http://schemas.openxmlformats.org/officeDocument/2006/relationships/hyperlink" Target="http://dx.doi.org/doi:10.1522/cla.gag.eta" TargetMode="External"/><Relationship Id="rId73" Type="http://schemas.openxmlformats.org/officeDocument/2006/relationships/hyperlink" Target="http://dx.doi.org/doi:10.1522/30010518" TargetMode="External"/><Relationship Id="rId78" Type="http://schemas.openxmlformats.org/officeDocument/2006/relationships/hyperlink" Target="http://dx.doi.org/doi:10.1522/30010518" TargetMode="External"/><Relationship Id="rId94" Type="http://schemas.openxmlformats.org/officeDocument/2006/relationships/hyperlink" Target="http://dx.doi.org/doi:10.1522/30010518" TargetMode="External"/><Relationship Id="rId99" Type="http://schemas.openxmlformats.org/officeDocument/2006/relationships/hyperlink" Target="http://dx.doi.org/doi:10.1522/cla.toa.dem1" TargetMode="External"/><Relationship Id="rId101" Type="http://schemas.openxmlformats.org/officeDocument/2006/relationships/hyperlink" Target="http://dx.doi.org/doi:10.1522/cla.coc.des" TargetMode="External"/><Relationship Id="rId122" Type="http://schemas.openxmlformats.org/officeDocument/2006/relationships/hyperlink" Target="http://classiques.uqac.ca/contemporains/dumont_fernand/Questions_de_culture/Questions_de_culture_no_08/QdeC_no_08.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26" Type="http://schemas.openxmlformats.org/officeDocument/2006/relationships/hyperlink" Target="http://classiques.uqac.ca/contemporains/dejean_paul/Haitiens_au_Quebec/Haitiens_au_Quebec.html" TargetMode="External"/><Relationship Id="rId47" Type="http://schemas.openxmlformats.org/officeDocument/2006/relationships/hyperlink" Target="https://books.openedition.org/pum/15277" TargetMode="External"/><Relationship Id="rId68" Type="http://schemas.openxmlformats.org/officeDocument/2006/relationships/hyperlink" Target="http://dx.doi.org/doi:10.1522/cla.mam.ess3" TargetMode="External"/><Relationship Id="rId89" Type="http://schemas.openxmlformats.org/officeDocument/2006/relationships/hyperlink" Target="http://dx.doi.org/doi:10.1522/30010518" TargetMode="External"/><Relationship Id="rId112" Type="http://schemas.openxmlformats.org/officeDocument/2006/relationships/hyperlink" Target="http://dx.doi.org/doi:10.1522/030150549" TargetMode="External"/><Relationship Id="rId13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30010518" TargetMode="External"/><Relationship Id="rId13" Type="http://schemas.openxmlformats.org/officeDocument/2006/relationships/hyperlink" Target="https://www.erudit.org/fr/revues/as/1989-v13-n1-as781/015055ar/" TargetMode="External"/><Relationship Id="rId3" Type="http://schemas.openxmlformats.org/officeDocument/2006/relationships/hyperlink" Target="http://classiques.uqac.ca/contemporains/hurbon_laennec/culture_et_dictature_en_Haiti/culture_et_dictature_en_Haiti.html" TargetMode="External"/><Relationship Id="rId7" Type="http://schemas.openxmlformats.org/officeDocument/2006/relationships/hyperlink" Target="http://dx.doi.org/doi:10.1522/30010518" TargetMode="External"/><Relationship Id="rId12" Type="http://schemas.openxmlformats.org/officeDocument/2006/relationships/hyperlink" Target="http://dx.doi.org/doi:10.1522/cla.toa.dem1" TargetMode="External"/><Relationship Id="rId2" Type="http://schemas.openxmlformats.org/officeDocument/2006/relationships/hyperlink" Target="http://classiques.uqac.ca/contemporains/hurbon_laennec/culture_et_dictature_en_Haiti/culture_et_dictature_en_Haiti.html" TargetMode="External"/><Relationship Id="rId16" Type="http://schemas.openxmlformats.org/officeDocument/2006/relationships/hyperlink" Target="http://classiques.uqac.ca/classiques/mauss_marcel/essais_de_socio/essais_de_socio_tdm.html" TargetMode="External"/><Relationship Id="rId1" Type="http://schemas.openxmlformats.org/officeDocument/2006/relationships/hyperlink" Target="http://dx.doi.org/doi:10.1522/cla.bog.que" TargetMode="External"/><Relationship Id="rId6" Type="http://schemas.openxmlformats.org/officeDocument/2006/relationships/hyperlink" Target="http://dx.doi.org/doi:10.1522/30010518" TargetMode="External"/><Relationship Id="rId11" Type="http://schemas.openxmlformats.org/officeDocument/2006/relationships/hyperlink" Target="http://classiques.uqac.ca/classiques/mauss_marcel/socio_et_anthropo/0_introduction/intro_texte.html" TargetMode="External"/><Relationship Id="rId5" Type="http://schemas.openxmlformats.org/officeDocument/2006/relationships/hyperlink" Target="http://classiques.uqac.ca/contemporains/Leca_Jean/Algerie_politique/Algerie_politique.html" TargetMode="External"/><Relationship Id="rId15" Type="http://schemas.openxmlformats.org/officeDocument/2006/relationships/hyperlink" Target="http://classiques.uqac.ca/classiques/mauss_marcel/essais_de_socio/T8_les_civilisations/les_civilisations.html" TargetMode="External"/><Relationship Id="rId10" Type="http://schemas.openxmlformats.org/officeDocument/2006/relationships/hyperlink" Target="http://classiques.uqac.ca/classiques/mauss_marcel/socio_et_anthropo/socio_et_anthropo_tdm.html" TargetMode="External"/><Relationship Id="rId4" Type="http://schemas.openxmlformats.org/officeDocument/2006/relationships/hyperlink" Target="http://dx.doi.org/doi:10.1522/030023808" TargetMode="External"/><Relationship Id="rId9" Type="http://schemas.openxmlformats.org/officeDocument/2006/relationships/hyperlink" Target="http://dx.doi.org/doi:10.1522/30010518" TargetMode="External"/><Relationship Id="rId14" Type="http://schemas.openxmlformats.org/officeDocument/2006/relationships/hyperlink" Target="https://www.erudit.org/fr/revues/as/1989-v13-n1-as781/015056a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208868</Words>
  <Characters>1148777</Characters>
  <Application>Microsoft Office Word</Application>
  <DocSecurity>0</DocSecurity>
  <Lines>9573</Lines>
  <Paragraphs>2709</Paragraphs>
  <ScaleCrop>false</ScaleCrop>
  <HeadingPairs>
    <vt:vector size="2" baseType="variant">
      <vt:variant>
        <vt:lpstr>Title</vt:lpstr>
      </vt:variant>
      <vt:variant>
        <vt:i4>1</vt:i4>
      </vt:variant>
    </vt:vector>
  </HeadingPairs>
  <TitlesOfParts>
    <vt:vector size="1" baseType="lpstr">
      <vt:lpstr>L’actualité d’un archaïsme. La pensée d’extrême-droite et la crise de la modernité.</vt:lpstr>
    </vt:vector>
  </TitlesOfParts>
  <Manager>Jean marie Tremblay, sociologue, bénévole, 2015</Manager>
  <Company>Les Classiques des sciences sociales</Company>
  <LinksUpToDate>false</LinksUpToDate>
  <CharactersWithSpaces>1354936</CharactersWithSpaces>
  <SharedDoc>false</SharedDoc>
  <HyperlinkBase/>
  <HLinks>
    <vt:vector size="1554" baseType="variant">
      <vt:variant>
        <vt:i4>6029414</vt:i4>
      </vt:variant>
      <vt:variant>
        <vt:i4>702</vt:i4>
      </vt:variant>
      <vt:variant>
        <vt:i4>0</vt:i4>
      </vt:variant>
      <vt:variant>
        <vt:i4>5</vt:i4>
      </vt:variant>
      <vt:variant>
        <vt:lpwstr>http://dx.doi.org/doi:10.1522/cla.hej.nai</vt:lpwstr>
      </vt:variant>
      <vt:variant>
        <vt:lpwstr/>
      </vt:variant>
      <vt:variant>
        <vt:i4>6422554</vt:i4>
      </vt:variant>
      <vt:variant>
        <vt:i4>699</vt:i4>
      </vt:variant>
      <vt:variant>
        <vt:i4>0</vt:i4>
      </vt:variant>
      <vt:variant>
        <vt:i4>5</vt:i4>
      </vt:variant>
      <vt:variant>
        <vt:lpwstr>http://classiques.uqac.ca/contemporains/dumont_fernand/Questions_de_culture/Questions_de_culture_no_17/QdeC_no_17.html</vt:lpwstr>
      </vt:variant>
      <vt:variant>
        <vt:lpwstr/>
      </vt:variant>
      <vt:variant>
        <vt:i4>6488091</vt:i4>
      </vt:variant>
      <vt:variant>
        <vt:i4>696</vt:i4>
      </vt:variant>
      <vt:variant>
        <vt:i4>0</vt:i4>
      </vt:variant>
      <vt:variant>
        <vt:i4>5</vt:i4>
      </vt:variant>
      <vt:variant>
        <vt:lpwstr>http://classiques.uqac.ca/contemporains/dumont_fernand/Questions_de_culture/Questions_de_culture_no_16/QdeC_no_16.html</vt:lpwstr>
      </vt:variant>
      <vt:variant>
        <vt:lpwstr/>
      </vt:variant>
      <vt:variant>
        <vt:i4>6291480</vt:i4>
      </vt:variant>
      <vt:variant>
        <vt:i4>693</vt:i4>
      </vt:variant>
      <vt:variant>
        <vt:i4>0</vt:i4>
      </vt:variant>
      <vt:variant>
        <vt:i4>5</vt:i4>
      </vt:variant>
      <vt:variant>
        <vt:lpwstr>http://classiques.uqac.ca/contemporains/dumont_fernand/Questions_de_culture/Questions_de_culture_no_15/QdeC_no_15.html</vt:lpwstr>
      </vt:variant>
      <vt:variant>
        <vt:lpwstr/>
      </vt:variant>
      <vt:variant>
        <vt:i4>6357017</vt:i4>
      </vt:variant>
      <vt:variant>
        <vt:i4>690</vt:i4>
      </vt:variant>
      <vt:variant>
        <vt:i4>0</vt:i4>
      </vt:variant>
      <vt:variant>
        <vt:i4>5</vt:i4>
      </vt:variant>
      <vt:variant>
        <vt:lpwstr>http://classiques.uqac.ca/contemporains/dumont_fernand/Questions_de_culture/Questions_de_culture_no_14/QdeC_no_14.html</vt:lpwstr>
      </vt:variant>
      <vt:variant>
        <vt:lpwstr/>
      </vt:variant>
      <vt:variant>
        <vt:i4>6684702</vt:i4>
      </vt:variant>
      <vt:variant>
        <vt:i4>687</vt:i4>
      </vt:variant>
      <vt:variant>
        <vt:i4>0</vt:i4>
      </vt:variant>
      <vt:variant>
        <vt:i4>5</vt:i4>
      </vt:variant>
      <vt:variant>
        <vt:lpwstr>http://classiques.uqac.ca/contemporains/dumont_fernand/Questions_de_culture/Questions_de_culture_no_13/QdeC_no_13.html</vt:lpwstr>
      </vt:variant>
      <vt:variant>
        <vt:lpwstr/>
      </vt:variant>
      <vt:variant>
        <vt:i4>6750239</vt:i4>
      </vt:variant>
      <vt:variant>
        <vt:i4>684</vt:i4>
      </vt:variant>
      <vt:variant>
        <vt:i4>0</vt:i4>
      </vt:variant>
      <vt:variant>
        <vt:i4>5</vt:i4>
      </vt:variant>
      <vt:variant>
        <vt:lpwstr>http://classiques.uqac.ca/contemporains/dumont_fernand/Questions_de_culture/Questions_de_culture_no_12/QdeC_no_12.html</vt:lpwstr>
      </vt:variant>
      <vt:variant>
        <vt:lpwstr/>
      </vt:variant>
      <vt:variant>
        <vt:i4>6553628</vt:i4>
      </vt:variant>
      <vt:variant>
        <vt:i4>681</vt:i4>
      </vt:variant>
      <vt:variant>
        <vt:i4>0</vt:i4>
      </vt:variant>
      <vt:variant>
        <vt:i4>5</vt:i4>
      </vt:variant>
      <vt:variant>
        <vt:lpwstr>http://classiques.uqac.ca/contemporains/dumont_fernand/Questions_de_culture/Questions_de_culture_no_11/QdeC_no_11.html</vt:lpwstr>
      </vt:variant>
      <vt:variant>
        <vt:lpwstr/>
      </vt:variant>
      <vt:variant>
        <vt:i4>6619165</vt:i4>
      </vt:variant>
      <vt:variant>
        <vt:i4>678</vt:i4>
      </vt:variant>
      <vt:variant>
        <vt:i4>0</vt:i4>
      </vt:variant>
      <vt:variant>
        <vt:i4>5</vt:i4>
      </vt:variant>
      <vt:variant>
        <vt:lpwstr>http://classiques.uqac.ca/contemporains/dumont_fernand/Questions_de_culture/Questions_de_culture_no_10/QdeC_no_10.html</vt:lpwstr>
      </vt:variant>
      <vt:variant>
        <vt:lpwstr/>
      </vt:variant>
      <vt:variant>
        <vt:i4>7143445</vt:i4>
      </vt:variant>
      <vt:variant>
        <vt:i4>675</vt:i4>
      </vt:variant>
      <vt:variant>
        <vt:i4>0</vt:i4>
      </vt:variant>
      <vt:variant>
        <vt:i4>5</vt:i4>
      </vt:variant>
      <vt:variant>
        <vt:lpwstr>http://classiques.uqac.ca/contemporains/dumont_fernand/Questions_de_culture/Questions_de_culture_no_09/QdeC_no_09.html</vt:lpwstr>
      </vt:variant>
      <vt:variant>
        <vt:lpwstr/>
      </vt:variant>
      <vt:variant>
        <vt:i4>7077908</vt:i4>
      </vt:variant>
      <vt:variant>
        <vt:i4>672</vt:i4>
      </vt:variant>
      <vt:variant>
        <vt:i4>0</vt:i4>
      </vt:variant>
      <vt:variant>
        <vt:i4>5</vt:i4>
      </vt:variant>
      <vt:variant>
        <vt:lpwstr>http://classiques.uqac.ca/contemporains/dumont_fernand/Questions_de_culture/Questions_de_culture_no_08/QdeC_no_08.html</vt:lpwstr>
      </vt:variant>
      <vt:variant>
        <vt:lpwstr/>
      </vt:variant>
      <vt:variant>
        <vt:i4>6488091</vt:i4>
      </vt:variant>
      <vt:variant>
        <vt:i4>669</vt:i4>
      </vt:variant>
      <vt:variant>
        <vt:i4>0</vt:i4>
      </vt:variant>
      <vt:variant>
        <vt:i4>5</vt:i4>
      </vt:variant>
      <vt:variant>
        <vt:lpwstr>http://classiques.uqac.ca/contemporains/dumont_fernand/Questions_de_culture/Questions_de_culture_no_07/QdeC_no_07.html</vt:lpwstr>
      </vt:variant>
      <vt:variant>
        <vt:lpwstr/>
      </vt:variant>
      <vt:variant>
        <vt:i4>6422554</vt:i4>
      </vt:variant>
      <vt:variant>
        <vt:i4>666</vt:i4>
      </vt:variant>
      <vt:variant>
        <vt:i4>0</vt:i4>
      </vt:variant>
      <vt:variant>
        <vt:i4>5</vt:i4>
      </vt:variant>
      <vt:variant>
        <vt:lpwstr>http://classiques.uqac.ca/contemporains/dumont_fernand/Questions_de_culture/Questions_de_culture_no_06/QdeC_no_06.html</vt:lpwstr>
      </vt:variant>
      <vt:variant>
        <vt:lpwstr/>
      </vt:variant>
      <vt:variant>
        <vt:i4>6357017</vt:i4>
      </vt:variant>
      <vt:variant>
        <vt:i4>663</vt:i4>
      </vt:variant>
      <vt:variant>
        <vt:i4>0</vt:i4>
      </vt:variant>
      <vt:variant>
        <vt:i4>5</vt:i4>
      </vt:variant>
      <vt:variant>
        <vt:lpwstr>http://classiques.uqac.ca/contemporains/dumont_fernand/Questions_de_culture/Questions_de_culture_no_05/QdeC_no_05.html</vt:lpwstr>
      </vt:variant>
      <vt:variant>
        <vt:lpwstr/>
      </vt:variant>
      <vt:variant>
        <vt:i4>6291480</vt:i4>
      </vt:variant>
      <vt:variant>
        <vt:i4>660</vt:i4>
      </vt:variant>
      <vt:variant>
        <vt:i4>0</vt:i4>
      </vt:variant>
      <vt:variant>
        <vt:i4>5</vt:i4>
      </vt:variant>
      <vt:variant>
        <vt:lpwstr>http://classiques.uqac.ca/contemporains/dumont_fernand/Questions_de_culture/Questions_de_culture_no_04/QdeC_no_04.html</vt:lpwstr>
      </vt:variant>
      <vt:variant>
        <vt:lpwstr/>
      </vt:variant>
      <vt:variant>
        <vt:i4>6750239</vt:i4>
      </vt:variant>
      <vt:variant>
        <vt:i4>657</vt:i4>
      </vt:variant>
      <vt:variant>
        <vt:i4>0</vt:i4>
      </vt:variant>
      <vt:variant>
        <vt:i4>5</vt:i4>
      </vt:variant>
      <vt:variant>
        <vt:lpwstr>http://classiques.uqac.ca/contemporains/dumont_fernand/Questions_de_culture/Questions_de_culture_no_03/QdeC_no_03.html</vt:lpwstr>
      </vt:variant>
      <vt:variant>
        <vt:lpwstr/>
      </vt:variant>
      <vt:variant>
        <vt:i4>6684702</vt:i4>
      </vt:variant>
      <vt:variant>
        <vt:i4>654</vt:i4>
      </vt:variant>
      <vt:variant>
        <vt:i4>0</vt:i4>
      </vt:variant>
      <vt:variant>
        <vt:i4>5</vt:i4>
      </vt:variant>
      <vt:variant>
        <vt:lpwstr>http://classiques.uqac.ca/contemporains/dumont_fernand/Questions_de_culture/Questions_de_culture_no_02/QdeC_no_02.html</vt:lpwstr>
      </vt:variant>
      <vt:variant>
        <vt:lpwstr/>
      </vt:variant>
      <vt:variant>
        <vt:i4>6619165</vt:i4>
      </vt:variant>
      <vt:variant>
        <vt:i4>651</vt:i4>
      </vt:variant>
      <vt:variant>
        <vt:i4>0</vt:i4>
      </vt:variant>
      <vt:variant>
        <vt:i4>5</vt:i4>
      </vt:variant>
      <vt:variant>
        <vt:lpwstr>http://classiques.uqac.ca/contemporains/dumont_fernand/Questions_de_culture/Questions_de_culture_no_01/QdeC_no_01.html</vt:lpwstr>
      </vt:variant>
      <vt:variant>
        <vt:lpwstr/>
      </vt:variant>
      <vt:variant>
        <vt:i4>8192057</vt:i4>
      </vt:variant>
      <vt:variant>
        <vt:i4>648</vt:i4>
      </vt:variant>
      <vt:variant>
        <vt:i4>0</vt:i4>
      </vt:variant>
      <vt:variant>
        <vt:i4>5</vt:i4>
      </vt:variant>
      <vt:variant>
        <vt:lpwstr>http://classiques.uqac.ca/contemporains/dumont_fernand/Societe_qc_apres_30_ans/Societe_qc_apres_30_ans.html</vt:lpwstr>
      </vt:variant>
      <vt:variant>
        <vt:lpwstr/>
      </vt:variant>
      <vt:variant>
        <vt:i4>7405660</vt:i4>
      </vt:variant>
      <vt:variant>
        <vt:i4>645</vt:i4>
      </vt:variant>
      <vt:variant>
        <vt:i4>0</vt:i4>
      </vt:variant>
      <vt:variant>
        <vt:i4>5</vt:i4>
      </vt:variant>
      <vt:variant>
        <vt:lpwstr>http://classiques.uqac.ca/contemporains/martin_yves/Education_25_ans_plus_tard/Education_25_ans_plus_tard.html</vt:lpwstr>
      </vt:variant>
      <vt:variant>
        <vt:lpwstr/>
      </vt:variant>
      <vt:variant>
        <vt:i4>3276888</vt:i4>
      </vt:variant>
      <vt:variant>
        <vt:i4>642</vt:i4>
      </vt:variant>
      <vt:variant>
        <vt:i4>0</vt:i4>
      </vt:variant>
      <vt:variant>
        <vt:i4>5</vt:i4>
      </vt:variant>
      <vt:variant>
        <vt:lpwstr>http://dx.doi.org/doi:10.1522/030150549</vt:lpwstr>
      </vt:variant>
      <vt:variant>
        <vt:lpwstr/>
      </vt:variant>
      <vt:variant>
        <vt:i4>4390994</vt:i4>
      </vt:variant>
      <vt:variant>
        <vt:i4>639</vt:i4>
      </vt:variant>
      <vt:variant>
        <vt:i4>0</vt:i4>
      </vt:variant>
      <vt:variant>
        <vt:i4>5</vt:i4>
      </vt:variant>
      <vt:variant>
        <vt:lpwstr>http://classiques.uqac.ca/contemporains/dufresne_jacques/traite_anthropologie_medicale/traite_anthropo_medicale_tdm.html</vt:lpwstr>
      </vt:variant>
      <vt:variant>
        <vt:lpwstr/>
      </vt:variant>
      <vt:variant>
        <vt:i4>2752512</vt:i4>
      </vt:variant>
      <vt:variant>
        <vt:i4>636</vt:i4>
      </vt:variant>
      <vt:variant>
        <vt:i4>0</vt:i4>
      </vt:variant>
      <vt:variant>
        <vt:i4>5</vt:i4>
      </vt:variant>
      <vt:variant>
        <vt:lpwstr>http://classiques.uqac.ca/contemporains/labrie_vivian/Precis_de_transcription_documents_oraux/Precis_de_transcription.html</vt:lpwstr>
      </vt:variant>
      <vt:variant>
        <vt:lpwstr/>
      </vt:variant>
      <vt:variant>
        <vt:i4>3997792</vt:i4>
      </vt:variant>
      <vt:variant>
        <vt:i4>633</vt:i4>
      </vt:variant>
      <vt:variant>
        <vt:i4>0</vt:i4>
      </vt:variant>
      <vt:variant>
        <vt:i4>5</vt:i4>
      </vt:variant>
      <vt:variant>
        <vt:lpwstr>http://classiques.uqac.ca/contemporains/helly_denise/immigration_pour_quoi_faire/immigration_pour_quoi_faire.html</vt:lpwstr>
      </vt:variant>
      <vt:variant>
        <vt:lpwstr/>
      </vt:variant>
      <vt:variant>
        <vt:i4>524373</vt:i4>
      </vt:variant>
      <vt:variant>
        <vt:i4>630</vt:i4>
      </vt:variant>
      <vt:variant>
        <vt:i4>0</vt:i4>
      </vt:variant>
      <vt:variant>
        <vt:i4>5</vt:i4>
      </vt:variant>
      <vt:variant>
        <vt:lpwstr>http://classiques.uqac.ca/contemporains/helly_denise/chinois_a_montreal/chinois_a_montreal.html</vt:lpwstr>
      </vt:variant>
      <vt:variant>
        <vt:lpwstr/>
      </vt:variant>
      <vt:variant>
        <vt:i4>3735661</vt:i4>
      </vt:variant>
      <vt:variant>
        <vt:i4>627</vt:i4>
      </vt:variant>
      <vt:variant>
        <vt:i4>0</vt:i4>
      </vt:variant>
      <vt:variant>
        <vt:i4>5</vt:i4>
      </vt:variant>
      <vt:variant>
        <vt:lpwstr>http://dx.doi.org/doi:10.1522/25048569</vt:lpwstr>
      </vt:variant>
      <vt:variant>
        <vt:lpwstr/>
      </vt:variant>
      <vt:variant>
        <vt:i4>6553625</vt:i4>
      </vt:variant>
      <vt:variant>
        <vt:i4>624</vt:i4>
      </vt:variant>
      <vt:variant>
        <vt:i4>0</vt:i4>
      </vt:variant>
      <vt:variant>
        <vt:i4>5</vt:i4>
      </vt:variant>
      <vt:variant>
        <vt:lpwstr/>
      </vt:variant>
      <vt:variant>
        <vt:lpwstr>tdm</vt:lpwstr>
      </vt:variant>
      <vt:variant>
        <vt:i4>6553625</vt:i4>
      </vt:variant>
      <vt:variant>
        <vt:i4>621</vt:i4>
      </vt:variant>
      <vt:variant>
        <vt:i4>0</vt:i4>
      </vt:variant>
      <vt:variant>
        <vt:i4>5</vt:i4>
      </vt:variant>
      <vt:variant>
        <vt:lpwstr/>
      </vt:variant>
      <vt:variant>
        <vt:lpwstr>tdm</vt:lpwstr>
      </vt:variant>
      <vt:variant>
        <vt:i4>6553625</vt:i4>
      </vt:variant>
      <vt:variant>
        <vt:i4>618</vt:i4>
      </vt:variant>
      <vt:variant>
        <vt:i4>0</vt:i4>
      </vt:variant>
      <vt:variant>
        <vt:i4>5</vt:i4>
      </vt:variant>
      <vt:variant>
        <vt:lpwstr/>
      </vt:variant>
      <vt:variant>
        <vt:lpwstr>tdm</vt:lpwstr>
      </vt:variant>
      <vt:variant>
        <vt:i4>6553625</vt:i4>
      </vt:variant>
      <vt:variant>
        <vt:i4>615</vt:i4>
      </vt:variant>
      <vt:variant>
        <vt:i4>0</vt:i4>
      </vt:variant>
      <vt:variant>
        <vt:i4>5</vt:i4>
      </vt:variant>
      <vt:variant>
        <vt:lpwstr/>
      </vt:variant>
      <vt:variant>
        <vt:lpwstr>tdm</vt:lpwstr>
      </vt:variant>
      <vt:variant>
        <vt:i4>6553625</vt:i4>
      </vt:variant>
      <vt:variant>
        <vt:i4>612</vt:i4>
      </vt:variant>
      <vt:variant>
        <vt:i4>0</vt:i4>
      </vt:variant>
      <vt:variant>
        <vt:i4>5</vt:i4>
      </vt:variant>
      <vt:variant>
        <vt:lpwstr/>
      </vt:variant>
      <vt:variant>
        <vt:lpwstr>tdm</vt:lpwstr>
      </vt:variant>
      <vt:variant>
        <vt:i4>6553625</vt:i4>
      </vt:variant>
      <vt:variant>
        <vt:i4>609</vt:i4>
      </vt:variant>
      <vt:variant>
        <vt:i4>0</vt:i4>
      </vt:variant>
      <vt:variant>
        <vt:i4>5</vt:i4>
      </vt:variant>
      <vt:variant>
        <vt:lpwstr/>
      </vt:variant>
      <vt:variant>
        <vt:lpwstr>tdm</vt:lpwstr>
      </vt:variant>
      <vt:variant>
        <vt:i4>6553625</vt:i4>
      </vt:variant>
      <vt:variant>
        <vt:i4>606</vt:i4>
      </vt:variant>
      <vt:variant>
        <vt:i4>0</vt:i4>
      </vt:variant>
      <vt:variant>
        <vt:i4>5</vt:i4>
      </vt:variant>
      <vt:variant>
        <vt:lpwstr/>
      </vt:variant>
      <vt:variant>
        <vt:lpwstr>tdm</vt:lpwstr>
      </vt:variant>
      <vt:variant>
        <vt:i4>6553625</vt:i4>
      </vt:variant>
      <vt:variant>
        <vt:i4>603</vt:i4>
      </vt:variant>
      <vt:variant>
        <vt:i4>0</vt:i4>
      </vt:variant>
      <vt:variant>
        <vt:i4>5</vt:i4>
      </vt:variant>
      <vt:variant>
        <vt:lpwstr/>
      </vt:variant>
      <vt:variant>
        <vt:lpwstr>tdm</vt:lpwstr>
      </vt:variant>
      <vt:variant>
        <vt:i4>6553625</vt:i4>
      </vt:variant>
      <vt:variant>
        <vt:i4>600</vt:i4>
      </vt:variant>
      <vt:variant>
        <vt:i4>0</vt:i4>
      </vt:variant>
      <vt:variant>
        <vt:i4>5</vt:i4>
      </vt:variant>
      <vt:variant>
        <vt:lpwstr/>
      </vt:variant>
      <vt:variant>
        <vt:lpwstr>tdm</vt:lpwstr>
      </vt:variant>
      <vt:variant>
        <vt:i4>6553625</vt:i4>
      </vt:variant>
      <vt:variant>
        <vt:i4>597</vt:i4>
      </vt:variant>
      <vt:variant>
        <vt:i4>0</vt:i4>
      </vt:variant>
      <vt:variant>
        <vt:i4>5</vt:i4>
      </vt:variant>
      <vt:variant>
        <vt:lpwstr/>
      </vt:variant>
      <vt:variant>
        <vt:lpwstr>tdm</vt:lpwstr>
      </vt:variant>
      <vt:variant>
        <vt:i4>6553625</vt:i4>
      </vt:variant>
      <vt:variant>
        <vt:i4>594</vt:i4>
      </vt:variant>
      <vt:variant>
        <vt:i4>0</vt:i4>
      </vt:variant>
      <vt:variant>
        <vt:i4>5</vt:i4>
      </vt:variant>
      <vt:variant>
        <vt:lpwstr/>
      </vt:variant>
      <vt:variant>
        <vt:lpwstr>tdm</vt:lpwstr>
      </vt:variant>
      <vt:variant>
        <vt:i4>6553625</vt:i4>
      </vt:variant>
      <vt:variant>
        <vt:i4>591</vt:i4>
      </vt:variant>
      <vt:variant>
        <vt:i4>0</vt:i4>
      </vt:variant>
      <vt:variant>
        <vt:i4>5</vt:i4>
      </vt:variant>
      <vt:variant>
        <vt:lpwstr/>
      </vt:variant>
      <vt:variant>
        <vt:lpwstr>tdm</vt:lpwstr>
      </vt:variant>
      <vt:variant>
        <vt:i4>5374039</vt:i4>
      </vt:variant>
      <vt:variant>
        <vt:i4>588</vt:i4>
      </vt:variant>
      <vt:variant>
        <vt:i4>0</vt:i4>
      </vt:variant>
      <vt:variant>
        <vt:i4>5</vt:i4>
      </vt:variant>
      <vt:variant>
        <vt:lpwstr>http://classiques.uqac.ca/classiques/mauss_marcel/socio_et_anthropo/socio_et_anthropo_tdm.html</vt:lpwstr>
      </vt:variant>
      <vt:variant>
        <vt:lpwstr/>
      </vt:variant>
      <vt:variant>
        <vt:i4>7929973</vt:i4>
      </vt:variant>
      <vt:variant>
        <vt:i4>585</vt:i4>
      </vt:variant>
      <vt:variant>
        <vt:i4>0</vt:i4>
      </vt:variant>
      <vt:variant>
        <vt:i4>5</vt:i4>
      </vt:variant>
      <vt:variant>
        <vt:lpwstr>http://dx.doi.org/doi:10.1522/cla.mam.ess3</vt:lpwstr>
      </vt:variant>
      <vt:variant>
        <vt:lpwstr/>
      </vt:variant>
      <vt:variant>
        <vt:i4>3670115</vt:i4>
      </vt:variant>
      <vt:variant>
        <vt:i4>582</vt:i4>
      </vt:variant>
      <vt:variant>
        <vt:i4>0</vt:i4>
      </vt:variant>
      <vt:variant>
        <vt:i4>5</vt:i4>
      </vt:variant>
      <vt:variant>
        <vt:lpwstr>http://dx.doi.org/doi:10.1522/30010518</vt:lpwstr>
      </vt:variant>
      <vt:variant>
        <vt:lpwstr/>
      </vt:variant>
      <vt:variant>
        <vt:i4>6553625</vt:i4>
      </vt:variant>
      <vt:variant>
        <vt:i4>579</vt:i4>
      </vt:variant>
      <vt:variant>
        <vt:i4>0</vt:i4>
      </vt:variant>
      <vt:variant>
        <vt:i4>5</vt:i4>
      </vt:variant>
      <vt:variant>
        <vt:lpwstr/>
      </vt:variant>
      <vt:variant>
        <vt:lpwstr>tdm</vt:lpwstr>
      </vt:variant>
      <vt:variant>
        <vt:i4>6553625</vt:i4>
      </vt:variant>
      <vt:variant>
        <vt:i4>576</vt:i4>
      </vt:variant>
      <vt:variant>
        <vt:i4>0</vt:i4>
      </vt:variant>
      <vt:variant>
        <vt:i4>5</vt:i4>
      </vt:variant>
      <vt:variant>
        <vt:lpwstr/>
      </vt:variant>
      <vt:variant>
        <vt:lpwstr>tdm</vt:lpwstr>
      </vt:variant>
      <vt:variant>
        <vt:i4>458793</vt:i4>
      </vt:variant>
      <vt:variant>
        <vt:i4>573</vt:i4>
      </vt:variant>
      <vt:variant>
        <vt:i4>0</vt:i4>
      </vt:variant>
      <vt:variant>
        <vt:i4>5</vt:i4>
      </vt:variant>
      <vt:variant>
        <vt:lpwstr>http://classiques.uqac.ca/contemporains/hamel_jacques/Hommage_a_Marcel_Rioux/Hommage_a_Marcel_Rioux.html</vt:lpwstr>
      </vt:variant>
      <vt:variant>
        <vt:lpwstr/>
      </vt:variant>
      <vt:variant>
        <vt:i4>4522087</vt:i4>
      </vt:variant>
      <vt:variant>
        <vt:i4>570</vt:i4>
      </vt:variant>
      <vt:variant>
        <vt:i4>0</vt:i4>
      </vt:variant>
      <vt:variant>
        <vt:i4>5</vt:i4>
      </vt:variant>
      <vt:variant>
        <vt:lpwstr>http://dx.doi.org/doi:10.1522/cla.foa.bra</vt:lpwstr>
      </vt:variant>
      <vt:variant>
        <vt:lpwstr/>
      </vt:variant>
      <vt:variant>
        <vt:i4>5374068</vt:i4>
      </vt:variant>
      <vt:variant>
        <vt:i4>567</vt:i4>
      </vt:variant>
      <vt:variant>
        <vt:i4>0</vt:i4>
      </vt:variant>
      <vt:variant>
        <vt:i4>5</vt:i4>
      </vt:variant>
      <vt:variant>
        <vt:lpwstr>http://dx.doi.org/doi:10.1522/cla.coc.des</vt:lpwstr>
      </vt:variant>
      <vt:variant>
        <vt:lpwstr/>
      </vt:variant>
      <vt:variant>
        <vt:i4>6553625</vt:i4>
      </vt:variant>
      <vt:variant>
        <vt:i4>564</vt:i4>
      </vt:variant>
      <vt:variant>
        <vt:i4>0</vt:i4>
      </vt:variant>
      <vt:variant>
        <vt:i4>5</vt:i4>
      </vt:variant>
      <vt:variant>
        <vt:lpwstr/>
      </vt:variant>
      <vt:variant>
        <vt:lpwstr>tdm</vt:lpwstr>
      </vt:variant>
      <vt:variant>
        <vt:i4>6553625</vt:i4>
      </vt:variant>
      <vt:variant>
        <vt:i4>561</vt:i4>
      </vt:variant>
      <vt:variant>
        <vt:i4>0</vt:i4>
      </vt:variant>
      <vt:variant>
        <vt:i4>5</vt:i4>
      </vt:variant>
      <vt:variant>
        <vt:lpwstr/>
      </vt:variant>
      <vt:variant>
        <vt:lpwstr>tdm</vt:lpwstr>
      </vt:variant>
      <vt:variant>
        <vt:i4>6553625</vt:i4>
      </vt:variant>
      <vt:variant>
        <vt:i4>558</vt:i4>
      </vt:variant>
      <vt:variant>
        <vt:i4>0</vt:i4>
      </vt:variant>
      <vt:variant>
        <vt:i4>5</vt:i4>
      </vt:variant>
      <vt:variant>
        <vt:lpwstr/>
      </vt:variant>
      <vt:variant>
        <vt:lpwstr>tdm</vt:lpwstr>
      </vt:variant>
      <vt:variant>
        <vt:i4>6553625</vt:i4>
      </vt:variant>
      <vt:variant>
        <vt:i4>555</vt:i4>
      </vt:variant>
      <vt:variant>
        <vt:i4>0</vt:i4>
      </vt:variant>
      <vt:variant>
        <vt:i4>5</vt:i4>
      </vt:variant>
      <vt:variant>
        <vt:lpwstr/>
      </vt:variant>
      <vt:variant>
        <vt:lpwstr>tdm</vt:lpwstr>
      </vt:variant>
      <vt:variant>
        <vt:i4>6553625</vt:i4>
      </vt:variant>
      <vt:variant>
        <vt:i4>552</vt:i4>
      </vt:variant>
      <vt:variant>
        <vt:i4>0</vt:i4>
      </vt:variant>
      <vt:variant>
        <vt:i4>5</vt:i4>
      </vt:variant>
      <vt:variant>
        <vt:lpwstr/>
      </vt:variant>
      <vt:variant>
        <vt:lpwstr>tdm</vt:lpwstr>
      </vt:variant>
      <vt:variant>
        <vt:i4>6291477</vt:i4>
      </vt:variant>
      <vt:variant>
        <vt:i4>549</vt:i4>
      </vt:variant>
      <vt:variant>
        <vt:i4>0</vt:i4>
      </vt:variant>
      <vt:variant>
        <vt:i4>5</vt:i4>
      </vt:variant>
      <vt:variant>
        <vt:lpwstr>https://www.erudit.org/fr/revues/as/1989-v13-n1-as781/015057ar/</vt:lpwstr>
      </vt:variant>
      <vt:variant>
        <vt:lpwstr/>
      </vt:variant>
      <vt:variant>
        <vt:i4>6553625</vt:i4>
      </vt:variant>
      <vt:variant>
        <vt:i4>546</vt:i4>
      </vt:variant>
      <vt:variant>
        <vt:i4>0</vt:i4>
      </vt:variant>
      <vt:variant>
        <vt:i4>5</vt:i4>
      </vt:variant>
      <vt:variant>
        <vt:lpwstr/>
      </vt:variant>
      <vt:variant>
        <vt:lpwstr>tdm</vt:lpwstr>
      </vt:variant>
      <vt:variant>
        <vt:i4>6488191</vt:i4>
      </vt:variant>
      <vt:variant>
        <vt:i4>543</vt:i4>
      </vt:variant>
      <vt:variant>
        <vt:i4>0</vt:i4>
      </vt:variant>
      <vt:variant>
        <vt:i4>5</vt:i4>
      </vt:variant>
      <vt:variant>
        <vt:lpwstr>http://dx.doi.org/doi:10.1522/cla.toa.dem1</vt:lpwstr>
      </vt:variant>
      <vt:variant>
        <vt:lpwstr/>
      </vt:variant>
      <vt:variant>
        <vt:i4>6553625</vt:i4>
      </vt:variant>
      <vt:variant>
        <vt:i4>540</vt:i4>
      </vt:variant>
      <vt:variant>
        <vt:i4>0</vt:i4>
      </vt:variant>
      <vt:variant>
        <vt:i4>5</vt:i4>
      </vt:variant>
      <vt:variant>
        <vt:lpwstr/>
      </vt:variant>
      <vt:variant>
        <vt:lpwstr>tdm</vt:lpwstr>
      </vt:variant>
      <vt:variant>
        <vt:i4>6553625</vt:i4>
      </vt:variant>
      <vt:variant>
        <vt:i4>537</vt:i4>
      </vt:variant>
      <vt:variant>
        <vt:i4>0</vt:i4>
      </vt:variant>
      <vt:variant>
        <vt:i4>5</vt:i4>
      </vt:variant>
      <vt:variant>
        <vt:lpwstr/>
      </vt:variant>
      <vt:variant>
        <vt:lpwstr>tdm</vt:lpwstr>
      </vt:variant>
      <vt:variant>
        <vt:i4>6553625</vt:i4>
      </vt:variant>
      <vt:variant>
        <vt:i4>534</vt:i4>
      </vt:variant>
      <vt:variant>
        <vt:i4>0</vt:i4>
      </vt:variant>
      <vt:variant>
        <vt:i4>5</vt:i4>
      </vt:variant>
      <vt:variant>
        <vt:lpwstr/>
      </vt:variant>
      <vt:variant>
        <vt:lpwstr>tdm</vt:lpwstr>
      </vt:variant>
      <vt:variant>
        <vt:i4>3604561</vt:i4>
      </vt:variant>
      <vt:variant>
        <vt:i4>531</vt:i4>
      </vt:variant>
      <vt:variant>
        <vt:i4>0</vt:i4>
      </vt:variant>
      <vt:variant>
        <vt:i4>5</vt:i4>
      </vt:variant>
      <vt:variant>
        <vt:lpwstr>http://dx.doi.org/doi:10.1522/030276245</vt:lpwstr>
      </vt:variant>
      <vt:variant>
        <vt:lpwstr/>
      </vt:variant>
      <vt:variant>
        <vt:i4>3473499</vt:i4>
      </vt:variant>
      <vt:variant>
        <vt:i4>528</vt:i4>
      </vt:variant>
      <vt:variant>
        <vt:i4>0</vt:i4>
      </vt:variant>
      <vt:variant>
        <vt:i4>5</vt:i4>
      </vt:variant>
      <vt:variant>
        <vt:lpwstr>http://dx.doi.org/doi:10.1522/030296063</vt:lpwstr>
      </vt:variant>
      <vt:variant>
        <vt:lpwstr/>
      </vt:variant>
      <vt:variant>
        <vt:i4>6488091</vt:i4>
      </vt:variant>
      <vt:variant>
        <vt:i4>525</vt:i4>
      </vt:variant>
      <vt:variant>
        <vt:i4>0</vt:i4>
      </vt:variant>
      <vt:variant>
        <vt:i4>5</vt:i4>
      </vt:variant>
      <vt:variant>
        <vt:lpwstr>http://classiques.uqac.ca/contemporains/dumont_fernand/Questions_de_culture/Questions_de_culture_no_16/QdeC_no_16.html</vt:lpwstr>
      </vt:variant>
      <vt:variant>
        <vt:lpwstr/>
      </vt:variant>
      <vt:variant>
        <vt:i4>6488091</vt:i4>
      </vt:variant>
      <vt:variant>
        <vt:i4>522</vt:i4>
      </vt:variant>
      <vt:variant>
        <vt:i4>0</vt:i4>
      </vt:variant>
      <vt:variant>
        <vt:i4>5</vt:i4>
      </vt:variant>
      <vt:variant>
        <vt:lpwstr>http://classiques.uqac.ca/contemporains/dumont_fernand/Questions_de_culture/Questions_de_culture_no_16/QdeC_no_16.html</vt:lpwstr>
      </vt:variant>
      <vt:variant>
        <vt:lpwstr/>
      </vt:variant>
      <vt:variant>
        <vt:i4>3670115</vt:i4>
      </vt:variant>
      <vt:variant>
        <vt:i4>519</vt:i4>
      </vt:variant>
      <vt:variant>
        <vt:i4>0</vt:i4>
      </vt:variant>
      <vt:variant>
        <vt:i4>5</vt:i4>
      </vt:variant>
      <vt:variant>
        <vt:lpwstr>http://dx.doi.org/doi:10.1522/30010518</vt:lpwstr>
      </vt:variant>
      <vt:variant>
        <vt:lpwstr/>
      </vt:variant>
      <vt:variant>
        <vt:i4>6553625</vt:i4>
      </vt:variant>
      <vt:variant>
        <vt:i4>516</vt:i4>
      </vt:variant>
      <vt:variant>
        <vt:i4>0</vt:i4>
      </vt:variant>
      <vt:variant>
        <vt:i4>5</vt:i4>
      </vt:variant>
      <vt:variant>
        <vt:lpwstr/>
      </vt:variant>
      <vt:variant>
        <vt:lpwstr>tdm</vt:lpwstr>
      </vt:variant>
      <vt:variant>
        <vt:i4>6553625</vt:i4>
      </vt:variant>
      <vt:variant>
        <vt:i4>513</vt:i4>
      </vt:variant>
      <vt:variant>
        <vt:i4>0</vt:i4>
      </vt:variant>
      <vt:variant>
        <vt:i4>5</vt:i4>
      </vt:variant>
      <vt:variant>
        <vt:lpwstr/>
      </vt:variant>
      <vt:variant>
        <vt:lpwstr>tdm</vt:lpwstr>
      </vt:variant>
      <vt:variant>
        <vt:i4>6553625</vt:i4>
      </vt:variant>
      <vt:variant>
        <vt:i4>510</vt:i4>
      </vt:variant>
      <vt:variant>
        <vt:i4>0</vt:i4>
      </vt:variant>
      <vt:variant>
        <vt:i4>5</vt:i4>
      </vt:variant>
      <vt:variant>
        <vt:lpwstr/>
      </vt:variant>
      <vt:variant>
        <vt:lpwstr>tdm</vt:lpwstr>
      </vt:variant>
      <vt:variant>
        <vt:i4>6553625</vt:i4>
      </vt:variant>
      <vt:variant>
        <vt:i4>507</vt:i4>
      </vt:variant>
      <vt:variant>
        <vt:i4>0</vt:i4>
      </vt:variant>
      <vt:variant>
        <vt:i4>5</vt:i4>
      </vt:variant>
      <vt:variant>
        <vt:lpwstr/>
      </vt:variant>
      <vt:variant>
        <vt:lpwstr>tdm</vt:lpwstr>
      </vt:variant>
      <vt:variant>
        <vt:i4>3670115</vt:i4>
      </vt:variant>
      <vt:variant>
        <vt:i4>504</vt:i4>
      </vt:variant>
      <vt:variant>
        <vt:i4>0</vt:i4>
      </vt:variant>
      <vt:variant>
        <vt:i4>5</vt:i4>
      </vt:variant>
      <vt:variant>
        <vt:lpwstr>http://dx.doi.org/doi:10.1522/30010518</vt:lpwstr>
      </vt:variant>
      <vt:variant>
        <vt:lpwstr/>
      </vt:variant>
      <vt:variant>
        <vt:i4>3670115</vt:i4>
      </vt:variant>
      <vt:variant>
        <vt:i4>501</vt:i4>
      </vt:variant>
      <vt:variant>
        <vt:i4>0</vt:i4>
      </vt:variant>
      <vt:variant>
        <vt:i4>5</vt:i4>
      </vt:variant>
      <vt:variant>
        <vt:lpwstr>http://dx.doi.org/doi:10.1522/30010518</vt:lpwstr>
      </vt:variant>
      <vt:variant>
        <vt:lpwstr/>
      </vt:variant>
      <vt:variant>
        <vt:i4>7929973</vt:i4>
      </vt:variant>
      <vt:variant>
        <vt:i4>498</vt:i4>
      </vt:variant>
      <vt:variant>
        <vt:i4>0</vt:i4>
      </vt:variant>
      <vt:variant>
        <vt:i4>5</vt:i4>
      </vt:variant>
      <vt:variant>
        <vt:lpwstr>http://dx.doi.org/doi:10.1522/cla.mam.ess3</vt:lpwstr>
      </vt:variant>
      <vt:variant>
        <vt:lpwstr/>
      </vt:variant>
      <vt:variant>
        <vt:i4>3670115</vt:i4>
      </vt:variant>
      <vt:variant>
        <vt:i4>495</vt:i4>
      </vt:variant>
      <vt:variant>
        <vt:i4>0</vt:i4>
      </vt:variant>
      <vt:variant>
        <vt:i4>5</vt:i4>
      </vt:variant>
      <vt:variant>
        <vt:lpwstr>http://dx.doi.org/doi:10.1522/30010518</vt:lpwstr>
      </vt:variant>
      <vt:variant>
        <vt:lpwstr/>
      </vt:variant>
      <vt:variant>
        <vt:i4>3670115</vt:i4>
      </vt:variant>
      <vt:variant>
        <vt:i4>492</vt:i4>
      </vt:variant>
      <vt:variant>
        <vt:i4>0</vt:i4>
      </vt:variant>
      <vt:variant>
        <vt:i4>5</vt:i4>
      </vt:variant>
      <vt:variant>
        <vt:lpwstr>http://dx.doi.org/doi:10.1522/30010518</vt:lpwstr>
      </vt:variant>
      <vt:variant>
        <vt:lpwstr/>
      </vt:variant>
      <vt:variant>
        <vt:i4>7929973</vt:i4>
      </vt:variant>
      <vt:variant>
        <vt:i4>489</vt:i4>
      </vt:variant>
      <vt:variant>
        <vt:i4>0</vt:i4>
      </vt:variant>
      <vt:variant>
        <vt:i4>5</vt:i4>
      </vt:variant>
      <vt:variant>
        <vt:lpwstr>http://dx.doi.org/doi:10.1522/cla.mam.ess3</vt:lpwstr>
      </vt:variant>
      <vt:variant>
        <vt:lpwstr/>
      </vt:variant>
      <vt:variant>
        <vt:i4>3670115</vt:i4>
      </vt:variant>
      <vt:variant>
        <vt:i4>486</vt:i4>
      </vt:variant>
      <vt:variant>
        <vt:i4>0</vt:i4>
      </vt:variant>
      <vt:variant>
        <vt:i4>5</vt:i4>
      </vt:variant>
      <vt:variant>
        <vt:lpwstr>http://dx.doi.org/doi:10.1522/30010518</vt:lpwstr>
      </vt:variant>
      <vt:variant>
        <vt:lpwstr/>
      </vt:variant>
      <vt:variant>
        <vt:i4>7864358</vt:i4>
      </vt:variant>
      <vt:variant>
        <vt:i4>483</vt:i4>
      </vt:variant>
      <vt:variant>
        <vt:i4>0</vt:i4>
      </vt:variant>
      <vt:variant>
        <vt:i4>5</vt:i4>
      </vt:variant>
      <vt:variant>
        <vt:lpwstr>http://classiques.uqac.ca/classiques/mauss_marcel/socio_et_anthropo/0_introduction/intro_texte.html</vt:lpwstr>
      </vt:variant>
      <vt:variant>
        <vt:lpwstr>Anchor-11481</vt:lpwstr>
      </vt:variant>
      <vt:variant>
        <vt:i4>7864358</vt:i4>
      </vt:variant>
      <vt:variant>
        <vt:i4>480</vt:i4>
      </vt:variant>
      <vt:variant>
        <vt:i4>0</vt:i4>
      </vt:variant>
      <vt:variant>
        <vt:i4>5</vt:i4>
      </vt:variant>
      <vt:variant>
        <vt:lpwstr>http://classiques.uqac.ca/classiques/mauss_marcel/socio_et_anthropo/0_introduction/intro_texte.html</vt:lpwstr>
      </vt:variant>
      <vt:variant>
        <vt:lpwstr>Anchor-11481</vt:lpwstr>
      </vt:variant>
      <vt:variant>
        <vt:i4>7929973</vt:i4>
      </vt:variant>
      <vt:variant>
        <vt:i4>477</vt:i4>
      </vt:variant>
      <vt:variant>
        <vt:i4>0</vt:i4>
      </vt:variant>
      <vt:variant>
        <vt:i4>5</vt:i4>
      </vt:variant>
      <vt:variant>
        <vt:lpwstr>http://dx.doi.org/doi:10.1522/cla.mam.ess3</vt:lpwstr>
      </vt:variant>
      <vt:variant>
        <vt:lpwstr/>
      </vt:variant>
      <vt:variant>
        <vt:i4>3670115</vt:i4>
      </vt:variant>
      <vt:variant>
        <vt:i4>474</vt:i4>
      </vt:variant>
      <vt:variant>
        <vt:i4>0</vt:i4>
      </vt:variant>
      <vt:variant>
        <vt:i4>5</vt:i4>
      </vt:variant>
      <vt:variant>
        <vt:lpwstr>http://dx.doi.org/doi:10.1522/30010518</vt:lpwstr>
      </vt:variant>
      <vt:variant>
        <vt:lpwstr/>
      </vt:variant>
      <vt:variant>
        <vt:i4>3670115</vt:i4>
      </vt:variant>
      <vt:variant>
        <vt:i4>471</vt:i4>
      </vt:variant>
      <vt:variant>
        <vt:i4>0</vt:i4>
      </vt:variant>
      <vt:variant>
        <vt:i4>5</vt:i4>
      </vt:variant>
      <vt:variant>
        <vt:lpwstr>http://dx.doi.org/doi:10.1522/30010518</vt:lpwstr>
      </vt:variant>
      <vt:variant>
        <vt:lpwstr/>
      </vt:variant>
      <vt:variant>
        <vt:i4>3670115</vt:i4>
      </vt:variant>
      <vt:variant>
        <vt:i4>468</vt:i4>
      </vt:variant>
      <vt:variant>
        <vt:i4>0</vt:i4>
      </vt:variant>
      <vt:variant>
        <vt:i4>5</vt:i4>
      </vt:variant>
      <vt:variant>
        <vt:lpwstr>http://dx.doi.org/doi:10.1522/30010518</vt:lpwstr>
      </vt:variant>
      <vt:variant>
        <vt:lpwstr/>
      </vt:variant>
      <vt:variant>
        <vt:i4>6553625</vt:i4>
      </vt:variant>
      <vt:variant>
        <vt:i4>465</vt:i4>
      </vt:variant>
      <vt:variant>
        <vt:i4>0</vt:i4>
      </vt:variant>
      <vt:variant>
        <vt:i4>5</vt:i4>
      </vt:variant>
      <vt:variant>
        <vt:lpwstr/>
      </vt:variant>
      <vt:variant>
        <vt:lpwstr>tdm</vt:lpwstr>
      </vt:variant>
      <vt:variant>
        <vt:i4>7929973</vt:i4>
      </vt:variant>
      <vt:variant>
        <vt:i4>462</vt:i4>
      </vt:variant>
      <vt:variant>
        <vt:i4>0</vt:i4>
      </vt:variant>
      <vt:variant>
        <vt:i4>5</vt:i4>
      </vt:variant>
      <vt:variant>
        <vt:lpwstr>http://dx.doi.org/doi:10.1522/cla.mam.ess3</vt:lpwstr>
      </vt:variant>
      <vt:variant>
        <vt:lpwstr/>
      </vt:variant>
      <vt:variant>
        <vt:i4>3670115</vt:i4>
      </vt:variant>
      <vt:variant>
        <vt:i4>459</vt:i4>
      </vt:variant>
      <vt:variant>
        <vt:i4>0</vt:i4>
      </vt:variant>
      <vt:variant>
        <vt:i4>5</vt:i4>
      </vt:variant>
      <vt:variant>
        <vt:lpwstr>http://dx.doi.org/doi:10.1522/30010518</vt:lpwstr>
      </vt:variant>
      <vt:variant>
        <vt:lpwstr/>
      </vt:variant>
      <vt:variant>
        <vt:i4>6553625</vt:i4>
      </vt:variant>
      <vt:variant>
        <vt:i4>456</vt:i4>
      </vt:variant>
      <vt:variant>
        <vt:i4>0</vt:i4>
      </vt:variant>
      <vt:variant>
        <vt:i4>5</vt:i4>
      </vt:variant>
      <vt:variant>
        <vt:lpwstr/>
      </vt:variant>
      <vt:variant>
        <vt:lpwstr>tdm</vt:lpwstr>
      </vt:variant>
      <vt:variant>
        <vt:i4>3670115</vt:i4>
      </vt:variant>
      <vt:variant>
        <vt:i4>453</vt:i4>
      </vt:variant>
      <vt:variant>
        <vt:i4>0</vt:i4>
      </vt:variant>
      <vt:variant>
        <vt:i4>5</vt:i4>
      </vt:variant>
      <vt:variant>
        <vt:lpwstr>http://dx.doi.org/doi:10.1522/30010518</vt:lpwstr>
      </vt:variant>
      <vt:variant>
        <vt:lpwstr/>
      </vt:variant>
      <vt:variant>
        <vt:i4>3670115</vt:i4>
      </vt:variant>
      <vt:variant>
        <vt:i4>450</vt:i4>
      </vt:variant>
      <vt:variant>
        <vt:i4>0</vt:i4>
      </vt:variant>
      <vt:variant>
        <vt:i4>5</vt:i4>
      </vt:variant>
      <vt:variant>
        <vt:lpwstr>http://dx.doi.org/doi:10.1522/30010518</vt:lpwstr>
      </vt:variant>
      <vt:variant>
        <vt:lpwstr/>
      </vt:variant>
      <vt:variant>
        <vt:i4>3670115</vt:i4>
      </vt:variant>
      <vt:variant>
        <vt:i4>447</vt:i4>
      </vt:variant>
      <vt:variant>
        <vt:i4>0</vt:i4>
      </vt:variant>
      <vt:variant>
        <vt:i4>5</vt:i4>
      </vt:variant>
      <vt:variant>
        <vt:lpwstr>http://dx.doi.org/doi:10.1522/30010518</vt:lpwstr>
      </vt:variant>
      <vt:variant>
        <vt:lpwstr/>
      </vt:variant>
      <vt:variant>
        <vt:i4>3670115</vt:i4>
      </vt:variant>
      <vt:variant>
        <vt:i4>444</vt:i4>
      </vt:variant>
      <vt:variant>
        <vt:i4>0</vt:i4>
      </vt:variant>
      <vt:variant>
        <vt:i4>5</vt:i4>
      </vt:variant>
      <vt:variant>
        <vt:lpwstr>http://dx.doi.org/doi:10.1522/30010518</vt:lpwstr>
      </vt:variant>
      <vt:variant>
        <vt:lpwstr/>
      </vt:variant>
      <vt:variant>
        <vt:i4>3670115</vt:i4>
      </vt:variant>
      <vt:variant>
        <vt:i4>441</vt:i4>
      </vt:variant>
      <vt:variant>
        <vt:i4>0</vt:i4>
      </vt:variant>
      <vt:variant>
        <vt:i4>5</vt:i4>
      </vt:variant>
      <vt:variant>
        <vt:lpwstr>http://dx.doi.org/doi:10.1522/30010518</vt:lpwstr>
      </vt:variant>
      <vt:variant>
        <vt:lpwstr/>
      </vt:variant>
      <vt:variant>
        <vt:i4>6553625</vt:i4>
      </vt:variant>
      <vt:variant>
        <vt:i4>438</vt:i4>
      </vt:variant>
      <vt:variant>
        <vt:i4>0</vt:i4>
      </vt:variant>
      <vt:variant>
        <vt:i4>5</vt:i4>
      </vt:variant>
      <vt:variant>
        <vt:lpwstr/>
      </vt:variant>
      <vt:variant>
        <vt:lpwstr>tdm</vt:lpwstr>
      </vt:variant>
      <vt:variant>
        <vt:i4>7929973</vt:i4>
      </vt:variant>
      <vt:variant>
        <vt:i4>435</vt:i4>
      </vt:variant>
      <vt:variant>
        <vt:i4>0</vt:i4>
      </vt:variant>
      <vt:variant>
        <vt:i4>5</vt:i4>
      </vt:variant>
      <vt:variant>
        <vt:lpwstr>http://dx.doi.org/doi:10.1522/cla.mam.ess3</vt:lpwstr>
      </vt:variant>
      <vt:variant>
        <vt:lpwstr/>
      </vt:variant>
      <vt:variant>
        <vt:i4>3670115</vt:i4>
      </vt:variant>
      <vt:variant>
        <vt:i4>432</vt:i4>
      </vt:variant>
      <vt:variant>
        <vt:i4>0</vt:i4>
      </vt:variant>
      <vt:variant>
        <vt:i4>5</vt:i4>
      </vt:variant>
      <vt:variant>
        <vt:lpwstr>http://dx.doi.org/doi:10.1522/30010518</vt:lpwstr>
      </vt:variant>
      <vt:variant>
        <vt:lpwstr/>
      </vt:variant>
      <vt:variant>
        <vt:i4>3670115</vt:i4>
      </vt:variant>
      <vt:variant>
        <vt:i4>429</vt:i4>
      </vt:variant>
      <vt:variant>
        <vt:i4>0</vt:i4>
      </vt:variant>
      <vt:variant>
        <vt:i4>5</vt:i4>
      </vt:variant>
      <vt:variant>
        <vt:lpwstr>http://dx.doi.org/doi:10.1522/30010518</vt:lpwstr>
      </vt:variant>
      <vt:variant>
        <vt:lpwstr/>
      </vt:variant>
      <vt:variant>
        <vt:i4>3670115</vt:i4>
      </vt:variant>
      <vt:variant>
        <vt:i4>426</vt:i4>
      </vt:variant>
      <vt:variant>
        <vt:i4>0</vt:i4>
      </vt:variant>
      <vt:variant>
        <vt:i4>5</vt:i4>
      </vt:variant>
      <vt:variant>
        <vt:lpwstr>http://dx.doi.org/doi:10.1522/30010518</vt:lpwstr>
      </vt:variant>
      <vt:variant>
        <vt:lpwstr/>
      </vt:variant>
      <vt:variant>
        <vt:i4>7929973</vt:i4>
      </vt:variant>
      <vt:variant>
        <vt:i4>423</vt:i4>
      </vt:variant>
      <vt:variant>
        <vt:i4>0</vt:i4>
      </vt:variant>
      <vt:variant>
        <vt:i4>5</vt:i4>
      </vt:variant>
      <vt:variant>
        <vt:lpwstr>http://dx.doi.org/doi:10.1522/cla.mam.ess3</vt:lpwstr>
      </vt:variant>
      <vt:variant>
        <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3670109</vt:i4>
      </vt:variant>
      <vt:variant>
        <vt:i4>414</vt:i4>
      </vt:variant>
      <vt:variant>
        <vt:i4>0</vt:i4>
      </vt:variant>
      <vt:variant>
        <vt:i4>5</vt:i4>
      </vt:variant>
      <vt:variant>
        <vt:lpwstr>https://www.erudit.org/en/journals/rs/1991-v32-n3-rs1583/056639ar/abstract/</vt:lpwstr>
      </vt:variant>
      <vt:variant>
        <vt:lpwstr/>
      </vt:variant>
      <vt:variant>
        <vt:i4>4980841</vt:i4>
      </vt:variant>
      <vt:variant>
        <vt:i4>411</vt:i4>
      </vt:variant>
      <vt:variant>
        <vt:i4>0</vt:i4>
      </vt:variant>
      <vt:variant>
        <vt:i4>5</vt:i4>
      </vt:variant>
      <vt:variant>
        <vt:lpwstr>http://dx.doi.org/doi:10.1522/cla.due.fam</vt:lpwstr>
      </vt:variant>
      <vt:variant>
        <vt:lpwstr/>
      </vt:variant>
      <vt:variant>
        <vt:i4>8192057</vt:i4>
      </vt:variant>
      <vt:variant>
        <vt:i4>408</vt:i4>
      </vt:variant>
      <vt:variant>
        <vt:i4>0</vt:i4>
      </vt:variant>
      <vt:variant>
        <vt:i4>5</vt:i4>
      </vt:variant>
      <vt:variant>
        <vt:lpwstr>http://classiques.uqac.ca/contemporains/dumont_fernand/Societe_qc_apres_30_ans/Societe_qc_apres_30_ans.html</vt:lpwstr>
      </vt:variant>
      <vt:variant>
        <vt:lpwstr/>
      </vt:variant>
      <vt:variant>
        <vt:i4>5832822</vt:i4>
      </vt:variant>
      <vt:variant>
        <vt:i4>405</vt:i4>
      </vt:variant>
      <vt:variant>
        <vt:i4>0</vt:i4>
      </vt:variant>
      <vt:variant>
        <vt:i4>5</vt:i4>
      </vt:variant>
      <vt:variant>
        <vt:lpwstr>http://dx.doi.org/doi:10.1522/cla.bdr.peu</vt:lpwstr>
      </vt:variant>
      <vt:variant>
        <vt:lpwstr/>
      </vt:variant>
      <vt:variant>
        <vt:i4>6553635</vt:i4>
      </vt:variant>
      <vt:variant>
        <vt:i4>402</vt:i4>
      </vt:variant>
      <vt:variant>
        <vt:i4>0</vt:i4>
      </vt:variant>
      <vt:variant>
        <vt:i4>5</vt:i4>
      </vt:variant>
      <vt:variant>
        <vt:lpwstr>https://www.erudit.org/fr/revues/socsoc/1987-v19-n1-socsoc99/001078ar/</vt:lpwstr>
      </vt:variant>
      <vt:variant>
        <vt:lpwstr/>
      </vt:variant>
      <vt:variant>
        <vt:i4>8323112</vt:i4>
      </vt:variant>
      <vt:variant>
        <vt:i4>399</vt:i4>
      </vt:variant>
      <vt:variant>
        <vt:i4>0</vt:i4>
      </vt:variant>
      <vt:variant>
        <vt:i4>5</vt:i4>
      </vt:variant>
      <vt:variant>
        <vt:lpwstr>https://www.erudit.org/fr/revues/rs/1987-v28-n2-3-rs1572/056289ar/</vt:lpwstr>
      </vt:variant>
      <vt:variant>
        <vt:lpwstr/>
      </vt:variant>
      <vt:variant>
        <vt:i4>6553625</vt:i4>
      </vt:variant>
      <vt:variant>
        <vt:i4>396</vt:i4>
      </vt:variant>
      <vt:variant>
        <vt:i4>0</vt:i4>
      </vt:variant>
      <vt:variant>
        <vt:i4>5</vt:i4>
      </vt:variant>
      <vt:variant>
        <vt:lpwstr/>
      </vt:variant>
      <vt:variant>
        <vt:lpwstr>tdm</vt:lpwstr>
      </vt:variant>
      <vt:variant>
        <vt:i4>6684702</vt:i4>
      </vt:variant>
      <vt:variant>
        <vt:i4>393</vt:i4>
      </vt:variant>
      <vt:variant>
        <vt:i4>0</vt:i4>
      </vt:variant>
      <vt:variant>
        <vt:i4>5</vt:i4>
      </vt:variant>
      <vt:variant>
        <vt:lpwstr>http://classiques.uqac.ca/contemporains/dumont_fernand/Questions_de_culture/Questions_de_culture_no_13/QdeC_no_13.html</vt:lpwstr>
      </vt:variant>
      <vt:variant>
        <vt:lpwstr/>
      </vt:variant>
      <vt:variant>
        <vt:i4>5439599</vt:i4>
      </vt:variant>
      <vt:variant>
        <vt:i4>390</vt:i4>
      </vt:variant>
      <vt:variant>
        <vt:i4>0</vt:i4>
      </vt:variant>
      <vt:variant>
        <vt:i4>5</vt:i4>
      </vt:variant>
      <vt:variant>
        <vt:lpwstr>http://dx.doi.org/doi:10.1522/cla.bdr.pol</vt:lpwstr>
      </vt:variant>
      <vt:variant>
        <vt:lpwstr/>
      </vt:variant>
      <vt:variant>
        <vt:i4>6553625</vt:i4>
      </vt:variant>
      <vt:variant>
        <vt:i4>387</vt:i4>
      </vt:variant>
      <vt:variant>
        <vt:i4>0</vt:i4>
      </vt:variant>
      <vt:variant>
        <vt:i4>5</vt:i4>
      </vt:variant>
      <vt:variant>
        <vt:lpwstr/>
      </vt:variant>
      <vt:variant>
        <vt:lpwstr>tdm</vt:lpwstr>
      </vt:variant>
      <vt:variant>
        <vt:i4>7143449</vt:i4>
      </vt:variant>
      <vt:variant>
        <vt:i4>384</vt:i4>
      </vt:variant>
      <vt:variant>
        <vt:i4>0</vt:i4>
      </vt:variant>
      <vt:variant>
        <vt:i4>5</vt:i4>
      </vt:variant>
      <vt:variant>
        <vt:lpwstr>https://www.erudit.org/fr/revues/as/1988-v12-n2-as779/015025ar/</vt:lpwstr>
      </vt:variant>
      <vt:variant>
        <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4915313</vt:i4>
      </vt:variant>
      <vt:variant>
        <vt:i4>372</vt:i4>
      </vt:variant>
      <vt:variant>
        <vt:i4>0</vt:i4>
      </vt:variant>
      <vt:variant>
        <vt:i4>5</vt:i4>
      </vt:variant>
      <vt:variant>
        <vt:lpwstr>http://classiques.uqac.ca/classiques/fanon_franz/fanon_franz.html</vt:lpwstr>
      </vt:variant>
      <vt:variant>
        <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3473499</vt:i4>
      </vt:variant>
      <vt:variant>
        <vt:i4>348</vt:i4>
      </vt:variant>
      <vt:variant>
        <vt:i4>0</vt:i4>
      </vt:variant>
      <vt:variant>
        <vt:i4>5</vt:i4>
      </vt:variant>
      <vt:variant>
        <vt:lpwstr>http://dx.doi.org/doi:10.1522/030296063</vt:lpwstr>
      </vt:variant>
      <vt:variant>
        <vt:lpwstr/>
      </vt:variant>
      <vt:variant>
        <vt:i4>7208985</vt:i4>
      </vt:variant>
      <vt:variant>
        <vt:i4>345</vt:i4>
      </vt:variant>
      <vt:variant>
        <vt:i4>0</vt:i4>
      </vt:variant>
      <vt:variant>
        <vt:i4>5</vt:i4>
      </vt:variant>
      <vt:variant>
        <vt:lpwstr>https://www.erudit.org/fr/revues/as/1988-v12-n1-as778/015006ar/</vt:lpwstr>
      </vt:variant>
      <vt:variant>
        <vt:lpwstr/>
      </vt:variant>
      <vt:variant>
        <vt:i4>3473495</vt:i4>
      </vt:variant>
      <vt:variant>
        <vt:i4>342</vt:i4>
      </vt:variant>
      <vt:variant>
        <vt:i4>0</vt:i4>
      </vt:variant>
      <vt:variant>
        <vt:i4>5</vt:i4>
      </vt:variant>
      <vt:variant>
        <vt:lpwstr>http://dx.doi.org/doi:10.1522/030615314</vt:lpwstr>
      </vt:variant>
      <vt:variant>
        <vt:lpwstr/>
      </vt:variant>
      <vt:variant>
        <vt:i4>589888</vt:i4>
      </vt:variant>
      <vt:variant>
        <vt:i4>339</vt:i4>
      </vt:variant>
      <vt:variant>
        <vt:i4>0</vt:i4>
      </vt:variant>
      <vt:variant>
        <vt:i4>5</vt:i4>
      </vt:variant>
      <vt:variant>
        <vt:lpwstr>http://classiques.uqac.ca/contemporains/abou_selim/abou_selim.html</vt:lpwstr>
      </vt:variant>
      <vt:variant>
        <vt:lpwstr/>
      </vt:variant>
      <vt:variant>
        <vt:i4>6553625</vt:i4>
      </vt:variant>
      <vt:variant>
        <vt:i4>336</vt:i4>
      </vt:variant>
      <vt:variant>
        <vt:i4>0</vt:i4>
      </vt:variant>
      <vt:variant>
        <vt:i4>5</vt:i4>
      </vt:variant>
      <vt:variant>
        <vt:lpwstr/>
      </vt:variant>
      <vt:variant>
        <vt:lpwstr>tdm</vt:lpwstr>
      </vt:variant>
      <vt:variant>
        <vt:i4>3473499</vt:i4>
      </vt:variant>
      <vt:variant>
        <vt:i4>333</vt:i4>
      </vt:variant>
      <vt:variant>
        <vt:i4>0</vt:i4>
      </vt:variant>
      <vt:variant>
        <vt:i4>5</vt:i4>
      </vt:variant>
      <vt:variant>
        <vt:lpwstr>http://dx.doi.org/doi:10.1522/030296063</vt:lpwstr>
      </vt:variant>
      <vt:variant>
        <vt:lpwstr/>
      </vt:variant>
      <vt:variant>
        <vt:i4>5046375</vt:i4>
      </vt:variant>
      <vt:variant>
        <vt:i4>330</vt:i4>
      </vt:variant>
      <vt:variant>
        <vt:i4>0</vt:i4>
      </vt:variant>
      <vt:variant>
        <vt:i4>5</vt:i4>
      </vt:variant>
      <vt:variant>
        <vt:lpwstr>http://dx.doi.org/doi:10.1522/cla.gag.eta</vt:lpwstr>
      </vt:variant>
      <vt:variant>
        <vt:lpwstr/>
      </vt:variant>
      <vt:variant>
        <vt:i4>4915269</vt:i4>
      </vt:variant>
      <vt:variant>
        <vt:i4>327</vt:i4>
      </vt:variant>
      <vt:variant>
        <vt:i4>0</vt:i4>
      </vt:variant>
      <vt:variant>
        <vt:i4>5</vt:i4>
      </vt:variant>
      <vt:variant>
        <vt:lpwstr>http://classiques.uqac.ca/telechargement_optionnel/telechargement_freitag.html</vt:lpwstr>
      </vt:variant>
      <vt:variant>
        <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2097235</vt:i4>
      </vt:variant>
      <vt:variant>
        <vt:i4>312</vt:i4>
      </vt:variant>
      <vt:variant>
        <vt:i4>0</vt:i4>
      </vt:variant>
      <vt:variant>
        <vt:i4>5</vt:i4>
      </vt:variant>
      <vt:variant>
        <vt:lpwstr>https://books.openedition.org/pum/15297?lang=fr</vt:lpwstr>
      </vt:variant>
      <vt:variant>
        <vt:lpwstr/>
      </vt:variant>
      <vt:variant>
        <vt:i4>3866731</vt:i4>
      </vt:variant>
      <vt:variant>
        <vt:i4>309</vt:i4>
      </vt:variant>
      <vt:variant>
        <vt:i4>0</vt:i4>
      </vt:variant>
      <vt:variant>
        <vt:i4>5</vt:i4>
      </vt:variant>
      <vt:variant>
        <vt:lpwstr>https://www.erudit.org/fr/revues/crs/1993-n20-crs1516885/1002192ar.pdf</vt:lpwstr>
      </vt:variant>
      <vt:variant>
        <vt:lpwstr/>
      </vt:variant>
      <vt:variant>
        <vt:i4>4325472</vt:i4>
      </vt:variant>
      <vt:variant>
        <vt:i4>306</vt:i4>
      </vt:variant>
      <vt:variant>
        <vt:i4>0</vt:i4>
      </vt:variant>
      <vt:variant>
        <vt:i4>5</vt:i4>
      </vt:variant>
      <vt:variant>
        <vt:lpwstr>http://dx.doi.org/doi:10.1522/cla.fop.aut</vt:lpwstr>
      </vt:variant>
      <vt:variant>
        <vt:lpwstr/>
      </vt:variant>
      <vt:variant>
        <vt:i4>7405598</vt:i4>
      </vt:variant>
      <vt:variant>
        <vt:i4>303</vt:i4>
      </vt:variant>
      <vt:variant>
        <vt:i4>0</vt:i4>
      </vt:variant>
      <vt:variant>
        <vt:i4>5</vt:i4>
      </vt:variant>
      <vt:variant>
        <vt:lpwstr>https://books.openedition.org/pum/15277</vt:lpwstr>
      </vt:variant>
      <vt:variant>
        <vt:lpwstr/>
      </vt:variant>
      <vt:variant>
        <vt:i4>5177447</vt:i4>
      </vt:variant>
      <vt:variant>
        <vt:i4>300</vt:i4>
      </vt:variant>
      <vt:variant>
        <vt:i4>0</vt:i4>
      </vt:variant>
      <vt:variant>
        <vt:i4>5</vt:i4>
      </vt:variant>
      <vt:variant>
        <vt:lpwstr>http://dx.doi.org/doi:10.1522/cla.bal.evo</vt:lpwstr>
      </vt:variant>
      <vt:variant>
        <vt:lpwstr/>
      </vt:variant>
      <vt:variant>
        <vt:i4>5570658</vt:i4>
      </vt:variant>
      <vt:variant>
        <vt:i4>297</vt:i4>
      </vt:variant>
      <vt:variant>
        <vt:i4>0</vt:i4>
      </vt:variant>
      <vt:variant>
        <vt:i4>5</vt:i4>
      </vt:variant>
      <vt:variant>
        <vt:lpwstr>http://dx.doi.org/doi:10.1522/cla.bac.ala</vt:lpwstr>
      </vt:variant>
      <vt:variant>
        <vt:lpwstr/>
      </vt:variant>
      <vt:variant>
        <vt:i4>6553625</vt:i4>
      </vt:variant>
      <vt:variant>
        <vt:i4>294</vt:i4>
      </vt:variant>
      <vt:variant>
        <vt:i4>0</vt:i4>
      </vt:variant>
      <vt:variant>
        <vt:i4>5</vt:i4>
      </vt:variant>
      <vt:variant>
        <vt:lpwstr/>
      </vt:variant>
      <vt:variant>
        <vt:lpwstr>tdm</vt:lpwstr>
      </vt:variant>
      <vt:variant>
        <vt:i4>4784244</vt:i4>
      </vt:variant>
      <vt:variant>
        <vt:i4>291</vt:i4>
      </vt:variant>
      <vt:variant>
        <vt:i4>0</vt:i4>
      </vt:variant>
      <vt:variant>
        <vt:i4>5</vt:i4>
      </vt:variant>
      <vt:variant>
        <vt:lpwstr>http://dx.doi.org/doi:10.1522/cla.wem.eth</vt:lpwstr>
      </vt:variant>
      <vt:variant>
        <vt:lpwstr/>
      </vt:variant>
      <vt:variant>
        <vt:i4>7929951</vt:i4>
      </vt:variant>
      <vt:variant>
        <vt:i4>288</vt:i4>
      </vt:variant>
      <vt:variant>
        <vt:i4>0</vt:i4>
      </vt:variant>
      <vt:variant>
        <vt:i4>5</vt:i4>
      </vt:variant>
      <vt:variant>
        <vt:lpwstr>http://classiques.uqac.ca/contemporains/taylor_norman/industriel_can_fr_essor_econo_du_qc/industriel_can_fr.html</vt:lpwstr>
      </vt:variant>
      <vt:variant>
        <vt:lpwstr/>
      </vt:variant>
      <vt:variant>
        <vt:i4>3276810</vt:i4>
      </vt:variant>
      <vt:variant>
        <vt:i4>285</vt:i4>
      </vt:variant>
      <vt:variant>
        <vt:i4>0</vt:i4>
      </vt:variant>
      <vt:variant>
        <vt:i4>5</vt:i4>
      </vt:variant>
      <vt:variant>
        <vt:lpwstr>http://classiques.uqac.ca/classiques/hughes_everett_cherrington/rencontre_2_mondes/hugues_rencontre_2_mondes.doc</vt:lpwstr>
      </vt:variant>
      <vt:variant>
        <vt:lpwstr/>
      </vt:variant>
      <vt:variant>
        <vt:i4>3473494</vt:i4>
      </vt:variant>
      <vt:variant>
        <vt:i4>282</vt:i4>
      </vt:variant>
      <vt:variant>
        <vt:i4>0</vt:i4>
      </vt:variant>
      <vt:variant>
        <vt:i4>5</vt:i4>
      </vt:variant>
      <vt:variant>
        <vt:lpwstr>http://dx.doi.org/doi:10.1522/030274949</vt:lpwstr>
      </vt:variant>
      <vt:variant>
        <vt:lpwstr/>
      </vt:variant>
      <vt:variant>
        <vt:i4>4325490</vt:i4>
      </vt:variant>
      <vt:variant>
        <vt:i4>279</vt:i4>
      </vt:variant>
      <vt:variant>
        <vt:i4>0</vt:i4>
      </vt:variant>
      <vt:variant>
        <vt:i4>5</vt:i4>
      </vt:variant>
      <vt:variant>
        <vt:lpwstr>http://dx.doi.org/doi:10.1522/cla.bog.que</vt:lpwstr>
      </vt:variant>
      <vt:variant>
        <vt:lpwstr/>
      </vt:variant>
      <vt:variant>
        <vt:i4>5570656</vt:i4>
      </vt:variant>
      <vt:variant>
        <vt:i4>276</vt:i4>
      </vt:variant>
      <vt:variant>
        <vt:i4>0</vt:i4>
      </vt:variant>
      <vt:variant>
        <vt:i4>5</vt:i4>
      </vt:variant>
      <vt:variant>
        <vt:lpwstr>http://dx.doi.org/doi:10.1522/cla.bep.the</vt:lpwstr>
      </vt:variant>
      <vt:variant>
        <vt:lpwstr/>
      </vt:variant>
      <vt:variant>
        <vt:i4>3342416</vt:i4>
      </vt:variant>
      <vt:variant>
        <vt:i4>273</vt:i4>
      </vt:variant>
      <vt:variant>
        <vt:i4>0</vt:i4>
      </vt:variant>
      <vt:variant>
        <vt:i4>5</vt:i4>
      </vt:variant>
      <vt:variant>
        <vt:lpwstr>http://dx.doi.org/doi:10.1522/030137426</vt:lpwstr>
      </vt:variant>
      <vt:variant>
        <vt:lpwstr/>
      </vt:variant>
      <vt:variant>
        <vt:i4>1966167</vt:i4>
      </vt:variant>
      <vt:variant>
        <vt:i4>270</vt:i4>
      </vt:variant>
      <vt:variant>
        <vt:i4>0</vt:i4>
      </vt:variant>
      <vt:variant>
        <vt:i4>5</vt:i4>
      </vt:variant>
      <vt:variant>
        <vt:lpwstr>http://classiques.uqac.ca/contemporains/taylor_norman/taylor_norman.html</vt:lpwstr>
      </vt:variant>
      <vt:variant>
        <vt:lpwstr/>
      </vt:variant>
      <vt:variant>
        <vt:i4>3276810</vt:i4>
      </vt:variant>
      <vt:variant>
        <vt:i4>267</vt:i4>
      </vt:variant>
      <vt:variant>
        <vt:i4>0</vt:i4>
      </vt:variant>
      <vt:variant>
        <vt:i4>5</vt:i4>
      </vt:variant>
      <vt:variant>
        <vt:lpwstr>http://classiques.uqac.ca/classiques/hughes_everett_cherrington/rencontre_2_mondes/hugues_rencontre_2_mondes.doc</vt:lpwstr>
      </vt:variant>
      <vt:variant>
        <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5046356</vt:i4>
      </vt:variant>
      <vt:variant>
        <vt:i4>258</vt:i4>
      </vt:variant>
      <vt:variant>
        <vt:i4>0</vt:i4>
      </vt:variant>
      <vt:variant>
        <vt:i4>5</vt:i4>
      </vt:variant>
      <vt:variant>
        <vt:lpwstr>http://classiques.uqac.ca/contemporains/simard_jean_jacques/droits_identites_minorites/droits.html</vt:lpwstr>
      </vt:variant>
      <vt:variant>
        <vt:lpwstr/>
      </vt:variant>
      <vt:variant>
        <vt:i4>6881338</vt:i4>
      </vt:variant>
      <vt:variant>
        <vt:i4>255</vt:i4>
      </vt:variant>
      <vt:variant>
        <vt:i4>0</vt:i4>
      </vt:variant>
      <vt:variant>
        <vt:i4>5</vt:i4>
      </vt:variant>
      <vt:variant>
        <vt:lpwstr>http://classiques.uqac.ca/contemporains/rocher_guy/culture_qc_en_devenir/culture_qc_en_devenir.html</vt:lpwstr>
      </vt:variant>
      <vt:variant>
        <vt:lpwstr/>
      </vt:variant>
      <vt:variant>
        <vt:i4>7405691</vt:i4>
      </vt:variant>
      <vt:variant>
        <vt:i4>252</vt:i4>
      </vt:variant>
      <vt:variant>
        <vt:i4>0</vt:i4>
      </vt:variant>
      <vt:variant>
        <vt:i4>5</vt:i4>
      </vt:variant>
      <vt:variant>
        <vt:lpwstr>http://classiques.uqac.ca/contemporains/labelle_micheline/emigration_et_immigration_Haitien_au_Quebec/emigration_et_immigration.html</vt:lpwstr>
      </vt:variant>
      <vt:variant>
        <vt:lpwstr/>
      </vt:variant>
      <vt:variant>
        <vt:i4>327735</vt:i4>
      </vt:variant>
      <vt:variant>
        <vt:i4>249</vt:i4>
      </vt:variant>
      <vt:variant>
        <vt:i4>0</vt:i4>
      </vt:variant>
      <vt:variant>
        <vt:i4>5</vt:i4>
      </vt:variant>
      <vt:variant>
        <vt:lpwstr>http://classiques.uqac.ca/contemporains/labelle_micheline/histoires_immigrees/histoires_immigrees.html</vt:lpwstr>
      </vt:variant>
      <vt:variant>
        <vt:lpwstr/>
      </vt:variant>
      <vt:variant>
        <vt:i4>3539036</vt:i4>
      </vt:variant>
      <vt:variant>
        <vt:i4>246</vt:i4>
      </vt:variant>
      <vt:variant>
        <vt:i4>0</vt:i4>
      </vt:variant>
      <vt:variant>
        <vt:i4>5</vt:i4>
      </vt:variant>
      <vt:variant>
        <vt:lpwstr>http://dx.doi.org/doi:10.1522/030165952</vt:lpwstr>
      </vt:variant>
      <vt:variant>
        <vt:lpwstr/>
      </vt:variant>
      <vt:variant>
        <vt:i4>3145828</vt:i4>
      </vt:variant>
      <vt:variant>
        <vt:i4>243</vt:i4>
      </vt:variant>
      <vt:variant>
        <vt:i4>0</vt:i4>
      </vt:variant>
      <vt:variant>
        <vt:i4>5</vt:i4>
      </vt:variant>
      <vt:variant>
        <vt:lpwstr>http://dx.doi.org/doi:10.1522/24908161</vt:lpwstr>
      </vt:variant>
      <vt:variant>
        <vt:lpwstr/>
      </vt:variant>
      <vt:variant>
        <vt:i4>3407979</vt:i4>
      </vt:variant>
      <vt:variant>
        <vt:i4>240</vt:i4>
      </vt:variant>
      <vt:variant>
        <vt:i4>0</vt:i4>
      </vt:variant>
      <vt:variant>
        <vt:i4>5</vt:i4>
      </vt:variant>
      <vt:variant>
        <vt:lpwstr>http://dx.doi.org/doi:10.1522/24908195</vt:lpwstr>
      </vt:variant>
      <vt:variant>
        <vt:lpwstr/>
      </vt:variant>
      <vt:variant>
        <vt:i4>4063322</vt:i4>
      </vt:variant>
      <vt:variant>
        <vt:i4>237</vt:i4>
      </vt:variant>
      <vt:variant>
        <vt:i4>0</vt:i4>
      </vt:variant>
      <vt:variant>
        <vt:i4>5</vt:i4>
      </vt:variant>
      <vt:variant>
        <vt:lpwstr>http://dx.doi.org/doi:10.1522/030079509</vt:lpwstr>
      </vt:variant>
      <vt:variant>
        <vt:lpwstr/>
      </vt:variant>
      <vt:variant>
        <vt:i4>8126498</vt:i4>
      </vt:variant>
      <vt:variant>
        <vt:i4>234</vt:i4>
      </vt:variant>
      <vt:variant>
        <vt:i4>0</vt:i4>
      </vt:variant>
      <vt:variant>
        <vt:i4>5</vt:i4>
      </vt:variant>
      <vt:variant>
        <vt:lpwstr>https://www.erudit.org/fr/revues/rs/1985-v26-n1-2-rs1566/056133ar/</vt:lpwstr>
      </vt:variant>
      <vt:variant>
        <vt:lpwstr/>
      </vt:variant>
      <vt:variant>
        <vt:i4>6357073</vt:i4>
      </vt:variant>
      <vt:variant>
        <vt:i4>231</vt:i4>
      </vt:variant>
      <vt:variant>
        <vt:i4>0</vt:i4>
      </vt:variant>
      <vt:variant>
        <vt:i4>5</vt:i4>
      </vt:variant>
      <vt:variant>
        <vt:lpwstr>http://classiques.uqac.ca/contemporains/dejean_paul/Haitiens_au_Quebec/Haitiens_au_Quebec.html</vt:lpwstr>
      </vt:variant>
      <vt:variant>
        <vt:lpwstr/>
      </vt:variant>
      <vt:variant>
        <vt:i4>5767286</vt:i4>
      </vt:variant>
      <vt:variant>
        <vt:i4>228</vt:i4>
      </vt:variant>
      <vt:variant>
        <vt:i4>0</vt:i4>
      </vt:variant>
      <vt:variant>
        <vt:i4>5</vt:i4>
      </vt:variant>
      <vt:variant>
        <vt:lpwstr>http://dx.doi.org/doi:10.1522/cla.bog.soc</vt:lpwstr>
      </vt:variant>
      <vt:variant>
        <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7340150</vt:i4>
      </vt:variant>
      <vt:variant>
        <vt:i4>216</vt:i4>
      </vt:variant>
      <vt:variant>
        <vt:i4>0</vt:i4>
      </vt:variant>
      <vt:variant>
        <vt:i4>5</vt:i4>
      </vt:variant>
      <vt:variant>
        <vt:lpwstr>http://dx.doi.org/doi:10.1522/cla.due.for2</vt:lpwstr>
      </vt:variant>
      <vt:variant>
        <vt:lpwstr/>
      </vt:variant>
      <vt:variant>
        <vt:i4>7929962</vt:i4>
      </vt:variant>
      <vt:variant>
        <vt:i4>213</vt:i4>
      </vt:variant>
      <vt:variant>
        <vt:i4>0</vt:i4>
      </vt:variant>
      <vt:variant>
        <vt:i4>5</vt:i4>
      </vt:variant>
      <vt:variant>
        <vt:lpwstr>http://dx.doi.org/doi:10.1522/cla.due.del1</vt:lpwstr>
      </vt:variant>
      <vt:variant>
        <vt:lpwstr/>
      </vt:variant>
      <vt:variant>
        <vt:i4>6553625</vt:i4>
      </vt:variant>
      <vt:variant>
        <vt:i4>210</vt:i4>
      </vt:variant>
      <vt:variant>
        <vt:i4>0</vt:i4>
      </vt:variant>
      <vt:variant>
        <vt:i4>5</vt:i4>
      </vt:variant>
      <vt:variant>
        <vt:lpwstr/>
      </vt:variant>
      <vt:variant>
        <vt:lpwstr>tdm</vt:lpwstr>
      </vt:variant>
      <vt:variant>
        <vt:i4>3670115</vt:i4>
      </vt:variant>
      <vt:variant>
        <vt:i4>207</vt:i4>
      </vt:variant>
      <vt:variant>
        <vt:i4>0</vt:i4>
      </vt:variant>
      <vt:variant>
        <vt:i4>5</vt:i4>
      </vt:variant>
      <vt:variant>
        <vt:lpwstr>http://dx.doi.org/doi:10.1522/30010518</vt:lpwstr>
      </vt:variant>
      <vt:variant>
        <vt:lpwstr/>
      </vt:variant>
      <vt:variant>
        <vt:i4>6553625</vt:i4>
      </vt:variant>
      <vt:variant>
        <vt:i4>204</vt:i4>
      </vt:variant>
      <vt:variant>
        <vt:i4>0</vt:i4>
      </vt:variant>
      <vt:variant>
        <vt:i4>5</vt:i4>
      </vt:variant>
      <vt:variant>
        <vt:lpwstr/>
      </vt:variant>
      <vt:variant>
        <vt:lpwstr>tdm</vt:lpwstr>
      </vt:variant>
      <vt:variant>
        <vt:i4>1572959</vt:i4>
      </vt:variant>
      <vt:variant>
        <vt:i4>201</vt:i4>
      </vt:variant>
      <vt:variant>
        <vt:i4>0</vt:i4>
      </vt:variant>
      <vt:variant>
        <vt:i4>5</vt:i4>
      </vt:variant>
      <vt:variant>
        <vt:lpwstr/>
      </vt:variant>
      <vt:variant>
        <vt:lpwstr>Entre_tradition_publications_IQRC</vt:lpwstr>
      </vt:variant>
      <vt:variant>
        <vt:i4>7340152</vt:i4>
      </vt:variant>
      <vt:variant>
        <vt:i4>198</vt:i4>
      </vt:variant>
      <vt:variant>
        <vt:i4>0</vt:i4>
      </vt:variant>
      <vt:variant>
        <vt:i4>5</vt:i4>
      </vt:variant>
      <vt:variant>
        <vt:lpwstr/>
      </vt:variant>
      <vt:variant>
        <vt:lpwstr>Entre_tradition_collaborateurs</vt:lpwstr>
      </vt:variant>
      <vt:variant>
        <vt:i4>720896</vt:i4>
      </vt:variant>
      <vt:variant>
        <vt:i4>195</vt:i4>
      </vt:variant>
      <vt:variant>
        <vt:i4>0</vt:i4>
      </vt:variant>
      <vt:variant>
        <vt:i4>5</vt:i4>
      </vt:variant>
      <vt:variant>
        <vt:lpwstr/>
      </vt:variant>
      <vt:variant>
        <vt:lpwstr>Entre_tradition_pt_3_texte_41</vt:lpwstr>
      </vt:variant>
      <vt:variant>
        <vt:i4>720897</vt:i4>
      </vt:variant>
      <vt:variant>
        <vt:i4>192</vt:i4>
      </vt:variant>
      <vt:variant>
        <vt:i4>0</vt:i4>
      </vt:variant>
      <vt:variant>
        <vt:i4>5</vt:i4>
      </vt:variant>
      <vt:variant>
        <vt:lpwstr/>
      </vt:variant>
      <vt:variant>
        <vt:lpwstr>Entre_tradition_pt_3_texte_40</vt:lpwstr>
      </vt:variant>
      <vt:variant>
        <vt:i4>786440</vt:i4>
      </vt:variant>
      <vt:variant>
        <vt:i4>189</vt:i4>
      </vt:variant>
      <vt:variant>
        <vt:i4>0</vt:i4>
      </vt:variant>
      <vt:variant>
        <vt:i4>5</vt:i4>
      </vt:variant>
      <vt:variant>
        <vt:lpwstr/>
      </vt:variant>
      <vt:variant>
        <vt:lpwstr>Entre_tradition_pt_3_texte_39</vt:lpwstr>
      </vt:variant>
      <vt:variant>
        <vt:i4>786441</vt:i4>
      </vt:variant>
      <vt:variant>
        <vt:i4>186</vt:i4>
      </vt:variant>
      <vt:variant>
        <vt:i4>0</vt:i4>
      </vt:variant>
      <vt:variant>
        <vt:i4>5</vt:i4>
      </vt:variant>
      <vt:variant>
        <vt:lpwstr/>
      </vt:variant>
      <vt:variant>
        <vt:lpwstr>Entre_tradition_pt_3_texte_38</vt:lpwstr>
      </vt:variant>
      <vt:variant>
        <vt:i4>3473535</vt:i4>
      </vt:variant>
      <vt:variant>
        <vt:i4>183</vt:i4>
      </vt:variant>
      <vt:variant>
        <vt:i4>0</vt:i4>
      </vt:variant>
      <vt:variant>
        <vt:i4>5</vt:i4>
      </vt:variant>
      <vt:variant>
        <vt:lpwstr/>
      </vt:variant>
      <vt:variant>
        <vt:lpwstr>Entre_tradition_pt_3_C</vt:lpwstr>
      </vt:variant>
      <vt:variant>
        <vt:i4>786438</vt:i4>
      </vt:variant>
      <vt:variant>
        <vt:i4>180</vt:i4>
      </vt:variant>
      <vt:variant>
        <vt:i4>0</vt:i4>
      </vt:variant>
      <vt:variant>
        <vt:i4>5</vt:i4>
      </vt:variant>
      <vt:variant>
        <vt:lpwstr/>
      </vt:variant>
      <vt:variant>
        <vt:lpwstr>Entre_tradition_pt_3_texte_37</vt:lpwstr>
      </vt:variant>
      <vt:variant>
        <vt:i4>786439</vt:i4>
      </vt:variant>
      <vt:variant>
        <vt:i4>177</vt:i4>
      </vt:variant>
      <vt:variant>
        <vt:i4>0</vt:i4>
      </vt:variant>
      <vt:variant>
        <vt:i4>5</vt:i4>
      </vt:variant>
      <vt:variant>
        <vt:lpwstr/>
      </vt:variant>
      <vt:variant>
        <vt:lpwstr>Entre_tradition_pt_3_texte_36</vt:lpwstr>
      </vt:variant>
      <vt:variant>
        <vt:i4>786436</vt:i4>
      </vt:variant>
      <vt:variant>
        <vt:i4>174</vt:i4>
      </vt:variant>
      <vt:variant>
        <vt:i4>0</vt:i4>
      </vt:variant>
      <vt:variant>
        <vt:i4>5</vt:i4>
      </vt:variant>
      <vt:variant>
        <vt:lpwstr/>
      </vt:variant>
      <vt:variant>
        <vt:lpwstr>Entre_tradition_pt_3_texte_35</vt:lpwstr>
      </vt:variant>
      <vt:variant>
        <vt:i4>786437</vt:i4>
      </vt:variant>
      <vt:variant>
        <vt:i4>171</vt:i4>
      </vt:variant>
      <vt:variant>
        <vt:i4>0</vt:i4>
      </vt:variant>
      <vt:variant>
        <vt:i4>5</vt:i4>
      </vt:variant>
      <vt:variant>
        <vt:lpwstr/>
      </vt:variant>
      <vt:variant>
        <vt:lpwstr>Entre_tradition_pt_3_texte_34</vt:lpwstr>
      </vt:variant>
      <vt:variant>
        <vt:i4>3407999</vt:i4>
      </vt:variant>
      <vt:variant>
        <vt:i4>168</vt:i4>
      </vt:variant>
      <vt:variant>
        <vt:i4>0</vt:i4>
      </vt:variant>
      <vt:variant>
        <vt:i4>5</vt:i4>
      </vt:variant>
      <vt:variant>
        <vt:lpwstr/>
      </vt:variant>
      <vt:variant>
        <vt:lpwstr>Entre_tradition_pt_3_B</vt:lpwstr>
      </vt:variant>
      <vt:variant>
        <vt:i4>786434</vt:i4>
      </vt:variant>
      <vt:variant>
        <vt:i4>165</vt:i4>
      </vt:variant>
      <vt:variant>
        <vt:i4>0</vt:i4>
      </vt:variant>
      <vt:variant>
        <vt:i4>5</vt:i4>
      </vt:variant>
      <vt:variant>
        <vt:lpwstr/>
      </vt:variant>
      <vt:variant>
        <vt:lpwstr>Entre_tradition_pt_3_texte_33</vt:lpwstr>
      </vt:variant>
      <vt:variant>
        <vt:i4>786435</vt:i4>
      </vt:variant>
      <vt:variant>
        <vt:i4>162</vt:i4>
      </vt:variant>
      <vt:variant>
        <vt:i4>0</vt:i4>
      </vt:variant>
      <vt:variant>
        <vt:i4>5</vt:i4>
      </vt:variant>
      <vt:variant>
        <vt:lpwstr/>
      </vt:variant>
      <vt:variant>
        <vt:lpwstr>Entre_tradition_pt_3_texte_32</vt:lpwstr>
      </vt:variant>
      <vt:variant>
        <vt:i4>786432</vt:i4>
      </vt:variant>
      <vt:variant>
        <vt:i4>159</vt:i4>
      </vt:variant>
      <vt:variant>
        <vt:i4>0</vt:i4>
      </vt:variant>
      <vt:variant>
        <vt:i4>5</vt:i4>
      </vt:variant>
      <vt:variant>
        <vt:lpwstr/>
      </vt:variant>
      <vt:variant>
        <vt:lpwstr>Entre_tradition_pt_3_texte_31</vt:lpwstr>
      </vt:variant>
      <vt:variant>
        <vt:i4>3604607</vt:i4>
      </vt:variant>
      <vt:variant>
        <vt:i4>156</vt:i4>
      </vt:variant>
      <vt:variant>
        <vt:i4>0</vt:i4>
      </vt:variant>
      <vt:variant>
        <vt:i4>5</vt:i4>
      </vt:variant>
      <vt:variant>
        <vt:lpwstr/>
      </vt:variant>
      <vt:variant>
        <vt:lpwstr>Entre_tradition_pt_3_A</vt:lpwstr>
      </vt:variant>
      <vt:variant>
        <vt:i4>5636128</vt:i4>
      </vt:variant>
      <vt:variant>
        <vt:i4>153</vt:i4>
      </vt:variant>
      <vt:variant>
        <vt:i4>0</vt:i4>
      </vt:variant>
      <vt:variant>
        <vt:i4>5</vt:i4>
      </vt:variant>
      <vt:variant>
        <vt:lpwstr/>
      </vt:variant>
      <vt:variant>
        <vt:lpwstr>Entre_tradition_pt_3</vt:lpwstr>
      </vt:variant>
      <vt:variant>
        <vt:i4>851969</vt:i4>
      </vt:variant>
      <vt:variant>
        <vt:i4>150</vt:i4>
      </vt:variant>
      <vt:variant>
        <vt:i4>0</vt:i4>
      </vt:variant>
      <vt:variant>
        <vt:i4>5</vt:i4>
      </vt:variant>
      <vt:variant>
        <vt:lpwstr/>
      </vt:variant>
      <vt:variant>
        <vt:lpwstr>Entre_tradition_pt_2_texte_30</vt:lpwstr>
      </vt:variant>
      <vt:variant>
        <vt:i4>786440</vt:i4>
      </vt:variant>
      <vt:variant>
        <vt:i4>147</vt:i4>
      </vt:variant>
      <vt:variant>
        <vt:i4>0</vt:i4>
      </vt:variant>
      <vt:variant>
        <vt:i4>5</vt:i4>
      </vt:variant>
      <vt:variant>
        <vt:lpwstr/>
      </vt:variant>
      <vt:variant>
        <vt:lpwstr>Entre_tradition_pt_2_texte_29</vt:lpwstr>
      </vt:variant>
      <vt:variant>
        <vt:i4>786441</vt:i4>
      </vt:variant>
      <vt:variant>
        <vt:i4>144</vt:i4>
      </vt:variant>
      <vt:variant>
        <vt:i4>0</vt:i4>
      </vt:variant>
      <vt:variant>
        <vt:i4>5</vt:i4>
      </vt:variant>
      <vt:variant>
        <vt:lpwstr/>
      </vt:variant>
      <vt:variant>
        <vt:lpwstr>Entre_tradition_pt_2_texte_28</vt:lpwstr>
      </vt:variant>
      <vt:variant>
        <vt:i4>786438</vt:i4>
      </vt:variant>
      <vt:variant>
        <vt:i4>141</vt:i4>
      </vt:variant>
      <vt:variant>
        <vt:i4>0</vt:i4>
      </vt:variant>
      <vt:variant>
        <vt:i4>5</vt:i4>
      </vt:variant>
      <vt:variant>
        <vt:lpwstr/>
      </vt:variant>
      <vt:variant>
        <vt:lpwstr>Entre_tradition_pt_2_texte_27</vt:lpwstr>
      </vt:variant>
      <vt:variant>
        <vt:i4>786439</vt:i4>
      </vt:variant>
      <vt:variant>
        <vt:i4>138</vt:i4>
      </vt:variant>
      <vt:variant>
        <vt:i4>0</vt:i4>
      </vt:variant>
      <vt:variant>
        <vt:i4>5</vt:i4>
      </vt:variant>
      <vt:variant>
        <vt:lpwstr/>
      </vt:variant>
      <vt:variant>
        <vt:lpwstr>Entre_tradition_pt_2_texte_26</vt:lpwstr>
      </vt:variant>
      <vt:variant>
        <vt:i4>3342463</vt:i4>
      </vt:variant>
      <vt:variant>
        <vt:i4>135</vt:i4>
      </vt:variant>
      <vt:variant>
        <vt:i4>0</vt:i4>
      </vt:variant>
      <vt:variant>
        <vt:i4>5</vt:i4>
      </vt:variant>
      <vt:variant>
        <vt:lpwstr/>
      </vt:variant>
      <vt:variant>
        <vt:lpwstr>Entre_tradition_pt_2_D</vt:lpwstr>
      </vt:variant>
      <vt:variant>
        <vt:i4>786436</vt:i4>
      </vt:variant>
      <vt:variant>
        <vt:i4>132</vt:i4>
      </vt:variant>
      <vt:variant>
        <vt:i4>0</vt:i4>
      </vt:variant>
      <vt:variant>
        <vt:i4>5</vt:i4>
      </vt:variant>
      <vt:variant>
        <vt:lpwstr/>
      </vt:variant>
      <vt:variant>
        <vt:lpwstr>Entre_tradition_pt_2_texte_25</vt:lpwstr>
      </vt:variant>
      <vt:variant>
        <vt:i4>786437</vt:i4>
      </vt:variant>
      <vt:variant>
        <vt:i4>129</vt:i4>
      </vt:variant>
      <vt:variant>
        <vt:i4>0</vt:i4>
      </vt:variant>
      <vt:variant>
        <vt:i4>5</vt:i4>
      </vt:variant>
      <vt:variant>
        <vt:lpwstr/>
      </vt:variant>
      <vt:variant>
        <vt:lpwstr>Entre_tradition_pt_2_texte_24</vt:lpwstr>
      </vt:variant>
      <vt:variant>
        <vt:i4>786434</vt:i4>
      </vt:variant>
      <vt:variant>
        <vt:i4>126</vt:i4>
      </vt:variant>
      <vt:variant>
        <vt:i4>0</vt:i4>
      </vt:variant>
      <vt:variant>
        <vt:i4>5</vt:i4>
      </vt:variant>
      <vt:variant>
        <vt:lpwstr/>
      </vt:variant>
      <vt:variant>
        <vt:lpwstr>Entre_tradition_pt_2_texte_23</vt:lpwstr>
      </vt:variant>
      <vt:variant>
        <vt:i4>3407999</vt:i4>
      </vt:variant>
      <vt:variant>
        <vt:i4>123</vt:i4>
      </vt:variant>
      <vt:variant>
        <vt:i4>0</vt:i4>
      </vt:variant>
      <vt:variant>
        <vt:i4>5</vt:i4>
      </vt:variant>
      <vt:variant>
        <vt:lpwstr/>
      </vt:variant>
      <vt:variant>
        <vt:lpwstr>Entre_tradition_pt_2_C</vt:lpwstr>
      </vt:variant>
      <vt:variant>
        <vt:i4>786435</vt:i4>
      </vt:variant>
      <vt:variant>
        <vt:i4>120</vt:i4>
      </vt:variant>
      <vt:variant>
        <vt:i4>0</vt:i4>
      </vt:variant>
      <vt:variant>
        <vt:i4>5</vt:i4>
      </vt:variant>
      <vt:variant>
        <vt:lpwstr/>
      </vt:variant>
      <vt:variant>
        <vt:lpwstr>Entre_tradition_pt_2_texte_22</vt:lpwstr>
      </vt:variant>
      <vt:variant>
        <vt:i4>786432</vt:i4>
      </vt:variant>
      <vt:variant>
        <vt:i4>117</vt:i4>
      </vt:variant>
      <vt:variant>
        <vt:i4>0</vt:i4>
      </vt:variant>
      <vt:variant>
        <vt:i4>5</vt:i4>
      </vt:variant>
      <vt:variant>
        <vt:lpwstr/>
      </vt:variant>
      <vt:variant>
        <vt:lpwstr>Entre_tradition_pt_2_texte_21</vt:lpwstr>
      </vt:variant>
      <vt:variant>
        <vt:i4>786433</vt:i4>
      </vt:variant>
      <vt:variant>
        <vt:i4>114</vt:i4>
      </vt:variant>
      <vt:variant>
        <vt:i4>0</vt:i4>
      </vt:variant>
      <vt:variant>
        <vt:i4>5</vt:i4>
      </vt:variant>
      <vt:variant>
        <vt:lpwstr/>
      </vt:variant>
      <vt:variant>
        <vt:lpwstr>Entre_tradition_pt_2_texte_20</vt:lpwstr>
      </vt:variant>
      <vt:variant>
        <vt:i4>983048</vt:i4>
      </vt:variant>
      <vt:variant>
        <vt:i4>111</vt:i4>
      </vt:variant>
      <vt:variant>
        <vt:i4>0</vt:i4>
      </vt:variant>
      <vt:variant>
        <vt:i4>5</vt:i4>
      </vt:variant>
      <vt:variant>
        <vt:lpwstr/>
      </vt:variant>
      <vt:variant>
        <vt:lpwstr>Entre_tradition_pt_2_texte_19</vt:lpwstr>
      </vt:variant>
      <vt:variant>
        <vt:i4>3473535</vt:i4>
      </vt:variant>
      <vt:variant>
        <vt:i4>108</vt:i4>
      </vt:variant>
      <vt:variant>
        <vt:i4>0</vt:i4>
      </vt:variant>
      <vt:variant>
        <vt:i4>5</vt:i4>
      </vt:variant>
      <vt:variant>
        <vt:lpwstr/>
      </vt:variant>
      <vt:variant>
        <vt:lpwstr>Entre_tradition_pt_2_B</vt:lpwstr>
      </vt:variant>
      <vt:variant>
        <vt:i4>983049</vt:i4>
      </vt:variant>
      <vt:variant>
        <vt:i4>105</vt:i4>
      </vt:variant>
      <vt:variant>
        <vt:i4>0</vt:i4>
      </vt:variant>
      <vt:variant>
        <vt:i4>5</vt:i4>
      </vt:variant>
      <vt:variant>
        <vt:lpwstr/>
      </vt:variant>
      <vt:variant>
        <vt:lpwstr>Entre_tradition_pt_2_texte_18</vt:lpwstr>
      </vt:variant>
      <vt:variant>
        <vt:i4>983046</vt:i4>
      </vt:variant>
      <vt:variant>
        <vt:i4>102</vt:i4>
      </vt:variant>
      <vt:variant>
        <vt:i4>0</vt:i4>
      </vt:variant>
      <vt:variant>
        <vt:i4>5</vt:i4>
      </vt:variant>
      <vt:variant>
        <vt:lpwstr/>
      </vt:variant>
      <vt:variant>
        <vt:lpwstr>Entre_tradition_pt_2_texte_17</vt:lpwstr>
      </vt:variant>
      <vt:variant>
        <vt:i4>983047</vt:i4>
      </vt:variant>
      <vt:variant>
        <vt:i4>99</vt:i4>
      </vt:variant>
      <vt:variant>
        <vt:i4>0</vt:i4>
      </vt:variant>
      <vt:variant>
        <vt:i4>5</vt:i4>
      </vt:variant>
      <vt:variant>
        <vt:lpwstr/>
      </vt:variant>
      <vt:variant>
        <vt:lpwstr>Entre_tradition_pt_2_texte_16</vt:lpwstr>
      </vt:variant>
      <vt:variant>
        <vt:i4>983044</vt:i4>
      </vt:variant>
      <vt:variant>
        <vt:i4>96</vt:i4>
      </vt:variant>
      <vt:variant>
        <vt:i4>0</vt:i4>
      </vt:variant>
      <vt:variant>
        <vt:i4>5</vt:i4>
      </vt:variant>
      <vt:variant>
        <vt:lpwstr/>
      </vt:variant>
      <vt:variant>
        <vt:lpwstr>Entre_tradition_pt_2_texte_15</vt:lpwstr>
      </vt:variant>
      <vt:variant>
        <vt:i4>983045</vt:i4>
      </vt:variant>
      <vt:variant>
        <vt:i4>93</vt:i4>
      </vt:variant>
      <vt:variant>
        <vt:i4>0</vt:i4>
      </vt:variant>
      <vt:variant>
        <vt:i4>5</vt:i4>
      </vt:variant>
      <vt:variant>
        <vt:lpwstr/>
      </vt:variant>
      <vt:variant>
        <vt:lpwstr>Entre_tradition_pt_2_texte_14</vt:lpwstr>
      </vt:variant>
      <vt:variant>
        <vt:i4>983042</vt:i4>
      </vt:variant>
      <vt:variant>
        <vt:i4>90</vt:i4>
      </vt:variant>
      <vt:variant>
        <vt:i4>0</vt:i4>
      </vt:variant>
      <vt:variant>
        <vt:i4>5</vt:i4>
      </vt:variant>
      <vt:variant>
        <vt:lpwstr/>
      </vt:variant>
      <vt:variant>
        <vt:lpwstr>Entre_tradition_pt_2_texte_13</vt:lpwstr>
      </vt:variant>
      <vt:variant>
        <vt:i4>3539071</vt:i4>
      </vt:variant>
      <vt:variant>
        <vt:i4>87</vt:i4>
      </vt:variant>
      <vt:variant>
        <vt:i4>0</vt:i4>
      </vt:variant>
      <vt:variant>
        <vt:i4>5</vt:i4>
      </vt:variant>
      <vt:variant>
        <vt:lpwstr/>
      </vt:variant>
      <vt:variant>
        <vt:lpwstr>Entre_tradition_pt_2_A</vt:lpwstr>
      </vt:variant>
      <vt:variant>
        <vt:i4>786435</vt:i4>
      </vt:variant>
      <vt:variant>
        <vt:i4>84</vt:i4>
      </vt:variant>
      <vt:variant>
        <vt:i4>0</vt:i4>
      </vt:variant>
      <vt:variant>
        <vt:i4>5</vt:i4>
      </vt:variant>
      <vt:variant>
        <vt:lpwstr/>
      </vt:variant>
      <vt:variant>
        <vt:lpwstr>Entre_tradition_pt_1_texte_12</vt:lpwstr>
      </vt:variant>
      <vt:variant>
        <vt:i4>5701664</vt:i4>
      </vt:variant>
      <vt:variant>
        <vt:i4>81</vt:i4>
      </vt:variant>
      <vt:variant>
        <vt:i4>0</vt:i4>
      </vt:variant>
      <vt:variant>
        <vt:i4>5</vt:i4>
      </vt:variant>
      <vt:variant>
        <vt:lpwstr/>
      </vt:variant>
      <vt:variant>
        <vt:lpwstr>Entre_tradition_pt_2</vt:lpwstr>
      </vt:variant>
      <vt:variant>
        <vt:i4>786432</vt:i4>
      </vt:variant>
      <vt:variant>
        <vt:i4>78</vt:i4>
      </vt:variant>
      <vt:variant>
        <vt:i4>0</vt:i4>
      </vt:variant>
      <vt:variant>
        <vt:i4>5</vt:i4>
      </vt:variant>
      <vt:variant>
        <vt:lpwstr/>
      </vt:variant>
      <vt:variant>
        <vt:lpwstr>Entre_tradition_pt_1_texte_11</vt:lpwstr>
      </vt:variant>
      <vt:variant>
        <vt:i4>786433</vt:i4>
      </vt:variant>
      <vt:variant>
        <vt:i4>75</vt:i4>
      </vt:variant>
      <vt:variant>
        <vt:i4>0</vt:i4>
      </vt:variant>
      <vt:variant>
        <vt:i4>5</vt:i4>
      </vt:variant>
      <vt:variant>
        <vt:lpwstr/>
      </vt:variant>
      <vt:variant>
        <vt:lpwstr>Entre_tradition_pt_1_texte_10</vt:lpwstr>
      </vt:variant>
      <vt:variant>
        <vt:i4>851976</vt:i4>
      </vt:variant>
      <vt:variant>
        <vt:i4>72</vt:i4>
      </vt:variant>
      <vt:variant>
        <vt:i4>0</vt:i4>
      </vt:variant>
      <vt:variant>
        <vt:i4>5</vt:i4>
      </vt:variant>
      <vt:variant>
        <vt:lpwstr/>
      </vt:variant>
      <vt:variant>
        <vt:lpwstr>Entre_tradition_pt_1_texte_09</vt:lpwstr>
      </vt:variant>
      <vt:variant>
        <vt:i4>851977</vt:i4>
      </vt:variant>
      <vt:variant>
        <vt:i4>69</vt:i4>
      </vt:variant>
      <vt:variant>
        <vt:i4>0</vt:i4>
      </vt:variant>
      <vt:variant>
        <vt:i4>5</vt:i4>
      </vt:variant>
      <vt:variant>
        <vt:lpwstr/>
      </vt:variant>
      <vt:variant>
        <vt:lpwstr>Entre_tradition_pt_1_texte_08</vt:lpwstr>
      </vt:variant>
      <vt:variant>
        <vt:i4>851974</vt:i4>
      </vt:variant>
      <vt:variant>
        <vt:i4>66</vt:i4>
      </vt:variant>
      <vt:variant>
        <vt:i4>0</vt:i4>
      </vt:variant>
      <vt:variant>
        <vt:i4>5</vt:i4>
      </vt:variant>
      <vt:variant>
        <vt:lpwstr/>
      </vt:variant>
      <vt:variant>
        <vt:lpwstr>Entre_tradition_pt_1_texte_07</vt:lpwstr>
      </vt:variant>
      <vt:variant>
        <vt:i4>3539071</vt:i4>
      </vt:variant>
      <vt:variant>
        <vt:i4>63</vt:i4>
      </vt:variant>
      <vt:variant>
        <vt:i4>0</vt:i4>
      </vt:variant>
      <vt:variant>
        <vt:i4>5</vt:i4>
      </vt:variant>
      <vt:variant>
        <vt:lpwstr/>
      </vt:variant>
      <vt:variant>
        <vt:lpwstr>Entre_tradition_pt_1_B</vt:lpwstr>
      </vt:variant>
      <vt:variant>
        <vt:i4>851975</vt:i4>
      </vt:variant>
      <vt:variant>
        <vt:i4>60</vt:i4>
      </vt:variant>
      <vt:variant>
        <vt:i4>0</vt:i4>
      </vt:variant>
      <vt:variant>
        <vt:i4>5</vt:i4>
      </vt:variant>
      <vt:variant>
        <vt:lpwstr/>
      </vt:variant>
      <vt:variant>
        <vt:lpwstr>Entre_tradition_pt_1_texte_06</vt:lpwstr>
      </vt:variant>
      <vt:variant>
        <vt:i4>851972</vt:i4>
      </vt:variant>
      <vt:variant>
        <vt:i4>57</vt:i4>
      </vt:variant>
      <vt:variant>
        <vt:i4>0</vt:i4>
      </vt:variant>
      <vt:variant>
        <vt:i4>5</vt:i4>
      </vt:variant>
      <vt:variant>
        <vt:lpwstr/>
      </vt:variant>
      <vt:variant>
        <vt:lpwstr>Entre_tradition_pt_1_texte_05</vt:lpwstr>
      </vt:variant>
      <vt:variant>
        <vt:i4>851973</vt:i4>
      </vt:variant>
      <vt:variant>
        <vt:i4>54</vt:i4>
      </vt:variant>
      <vt:variant>
        <vt:i4>0</vt:i4>
      </vt:variant>
      <vt:variant>
        <vt:i4>5</vt:i4>
      </vt:variant>
      <vt:variant>
        <vt:lpwstr/>
      </vt:variant>
      <vt:variant>
        <vt:lpwstr>Entre_tradition_pt_1_texte_04</vt:lpwstr>
      </vt:variant>
      <vt:variant>
        <vt:i4>851970</vt:i4>
      </vt:variant>
      <vt:variant>
        <vt:i4>51</vt:i4>
      </vt:variant>
      <vt:variant>
        <vt:i4>0</vt:i4>
      </vt:variant>
      <vt:variant>
        <vt:i4>5</vt:i4>
      </vt:variant>
      <vt:variant>
        <vt:lpwstr/>
      </vt:variant>
      <vt:variant>
        <vt:lpwstr>Entre_tradition_pt_1_texte_03</vt:lpwstr>
      </vt:variant>
      <vt:variant>
        <vt:i4>851971</vt:i4>
      </vt:variant>
      <vt:variant>
        <vt:i4>48</vt:i4>
      </vt:variant>
      <vt:variant>
        <vt:i4>0</vt:i4>
      </vt:variant>
      <vt:variant>
        <vt:i4>5</vt:i4>
      </vt:variant>
      <vt:variant>
        <vt:lpwstr/>
      </vt:variant>
      <vt:variant>
        <vt:lpwstr>Entre_tradition_pt_1_texte_02</vt:lpwstr>
      </vt:variant>
      <vt:variant>
        <vt:i4>851968</vt:i4>
      </vt:variant>
      <vt:variant>
        <vt:i4>45</vt:i4>
      </vt:variant>
      <vt:variant>
        <vt:i4>0</vt:i4>
      </vt:variant>
      <vt:variant>
        <vt:i4>5</vt:i4>
      </vt:variant>
      <vt:variant>
        <vt:lpwstr/>
      </vt:variant>
      <vt:variant>
        <vt:lpwstr>Entre_tradition_pt_1_texte_01</vt:lpwstr>
      </vt:variant>
      <vt:variant>
        <vt:i4>3473535</vt:i4>
      </vt:variant>
      <vt:variant>
        <vt:i4>42</vt:i4>
      </vt:variant>
      <vt:variant>
        <vt:i4>0</vt:i4>
      </vt:variant>
      <vt:variant>
        <vt:i4>5</vt:i4>
      </vt:variant>
      <vt:variant>
        <vt:lpwstr/>
      </vt:variant>
      <vt:variant>
        <vt:lpwstr>Entre_tradition_pt_1_A</vt:lpwstr>
      </vt:variant>
      <vt:variant>
        <vt:i4>5505056</vt:i4>
      </vt:variant>
      <vt:variant>
        <vt:i4>39</vt:i4>
      </vt:variant>
      <vt:variant>
        <vt:i4>0</vt:i4>
      </vt:variant>
      <vt:variant>
        <vt:i4>5</vt:i4>
      </vt:variant>
      <vt:variant>
        <vt:lpwstr/>
      </vt:variant>
      <vt:variant>
        <vt:lpwstr>Entre_tradition_pt_1</vt:lpwstr>
      </vt:variant>
      <vt:variant>
        <vt:i4>852093</vt:i4>
      </vt:variant>
      <vt:variant>
        <vt:i4>36</vt:i4>
      </vt:variant>
      <vt:variant>
        <vt:i4>0</vt:i4>
      </vt:variant>
      <vt:variant>
        <vt:i4>5</vt:i4>
      </vt:variant>
      <vt:variant>
        <vt:lpwstr/>
      </vt:variant>
      <vt:variant>
        <vt:lpwstr>Entre_tradition_intro</vt:lpwstr>
      </vt:variant>
      <vt:variant>
        <vt:i4>1572880</vt:i4>
      </vt:variant>
      <vt:variant>
        <vt:i4>33</vt:i4>
      </vt:variant>
      <vt:variant>
        <vt:i4>0</vt:i4>
      </vt:variant>
      <vt:variant>
        <vt:i4>5</vt:i4>
      </vt:variant>
      <vt:variant>
        <vt:lpwstr/>
      </vt:variant>
      <vt:variant>
        <vt:lpwstr>Entre_tradition_presentation</vt:lpwstr>
      </vt:variant>
      <vt:variant>
        <vt:i4>6946938</vt:i4>
      </vt:variant>
      <vt:variant>
        <vt:i4>30</vt:i4>
      </vt:variant>
      <vt:variant>
        <vt:i4>0</vt:i4>
      </vt:variant>
      <vt:variant>
        <vt:i4>5</vt:i4>
      </vt:variant>
      <vt:variant>
        <vt:lpwstr/>
      </vt:variant>
      <vt:variant>
        <vt:lpwstr>Entre_tradition_couverture</vt:lpwstr>
      </vt:variant>
      <vt:variant>
        <vt:i4>6553625</vt:i4>
      </vt:variant>
      <vt:variant>
        <vt:i4>27</vt:i4>
      </vt:variant>
      <vt:variant>
        <vt:i4>0</vt:i4>
      </vt:variant>
      <vt:variant>
        <vt:i4>5</vt:i4>
      </vt:variant>
      <vt:variant>
        <vt:lpwstr/>
      </vt:variant>
      <vt:variant>
        <vt:lpwstr>tdm</vt:lpwstr>
      </vt:variant>
      <vt:variant>
        <vt:i4>4259931</vt:i4>
      </vt:variant>
      <vt:variant>
        <vt:i4>24</vt:i4>
      </vt:variant>
      <vt:variant>
        <vt:i4>0</vt:i4>
      </vt:variant>
      <vt:variant>
        <vt:i4>5</vt:i4>
      </vt:variant>
      <vt:variant>
        <vt:lpwstr>mailto:marguerite.souliere@uOttawa.ca</vt:lpwstr>
      </vt:variant>
      <vt:variant>
        <vt:lpwstr/>
      </vt:variant>
      <vt:variant>
        <vt:i4>4259931</vt:i4>
      </vt:variant>
      <vt:variant>
        <vt:i4>21</vt:i4>
      </vt:variant>
      <vt:variant>
        <vt:i4>0</vt:i4>
      </vt:variant>
      <vt:variant>
        <vt:i4>5</vt:i4>
      </vt:variant>
      <vt:variant>
        <vt:lpwstr>mailto:marguerite.souliere@uOttawa.ca</vt:lpwstr>
      </vt:variant>
      <vt:variant>
        <vt:lpwstr/>
      </vt:variant>
      <vt:variant>
        <vt:i4>1900582</vt:i4>
      </vt:variant>
      <vt:variant>
        <vt:i4>18</vt:i4>
      </vt:variant>
      <vt:variant>
        <vt:i4>0</vt:i4>
      </vt:variant>
      <vt:variant>
        <vt:i4>5</vt:i4>
      </vt:variant>
      <vt:variant>
        <vt:lpwstr>mailto:Claude.Bariteau@ant.ulaval.ca</vt:lpwstr>
      </vt:variant>
      <vt:variant>
        <vt:lpwstr/>
      </vt:variant>
      <vt:variant>
        <vt:i4>3932242</vt:i4>
      </vt:variant>
      <vt:variant>
        <vt:i4>15</vt:i4>
      </vt:variant>
      <vt:variant>
        <vt:i4>0</vt:i4>
      </vt:variant>
      <vt:variant>
        <vt:i4>5</vt:i4>
      </vt:variant>
      <vt:variant>
        <vt:lpwstr>mailto:francoise-romaine.ouellette@ucs.inrs.ca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5374039</vt:i4>
      </vt:variant>
      <vt:variant>
        <vt:i4>45</vt:i4>
      </vt:variant>
      <vt:variant>
        <vt:i4>0</vt:i4>
      </vt:variant>
      <vt:variant>
        <vt:i4>5</vt:i4>
      </vt:variant>
      <vt:variant>
        <vt:lpwstr>http://classiques.uqac.ca/classiques/mauss_marcel/essais_de_socio/essais_de_socio_tdm.html</vt:lpwstr>
      </vt:variant>
      <vt:variant>
        <vt:lpwstr/>
      </vt:variant>
      <vt:variant>
        <vt:i4>4063299</vt:i4>
      </vt:variant>
      <vt:variant>
        <vt:i4>42</vt:i4>
      </vt:variant>
      <vt:variant>
        <vt:i4>0</vt:i4>
      </vt:variant>
      <vt:variant>
        <vt:i4>5</vt:i4>
      </vt:variant>
      <vt:variant>
        <vt:lpwstr>http://classiques.uqac.ca/classiques/mauss_marcel/essais_de_socio/T8_les_civilisations/les_civilisations.html</vt:lpwstr>
      </vt:variant>
      <vt:variant>
        <vt:lpwstr/>
      </vt:variant>
      <vt:variant>
        <vt:i4>6357013</vt:i4>
      </vt:variant>
      <vt:variant>
        <vt:i4>39</vt:i4>
      </vt:variant>
      <vt:variant>
        <vt:i4>0</vt:i4>
      </vt:variant>
      <vt:variant>
        <vt:i4>5</vt:i4>
      </vt:variant>
      <vt:variant>
        <vt:lpwstr>https://www.erudit.org/fr/revues/as/1989-v13-n1-as781/015056ar/</vt:lpwstr>
      </vt:variant>
      <vt:variant>
        <vt:lpwstr/>
      </vt:variant>
      <vt:variant>
        <vt:i4>6422549</vt:i4>
      </vt:variant>
      <vt:variant>
        <vt:i4>36</vt:i4>
      </vt:variant>
      <vt:variant>
        <vt:i4>0</vt:i4>
      </vt:variant>
      <vt:variant>
        <vt:i4>5</vt:i4>
      </vt:variant>
      <vt:variant>
        <vt:lpwstr>https://www.erudit.org/fr/revues/as/1989-v13-n1-as781/015055ar/</vt:lpwstr>
      </vt:variant>
      <vt:variant>
        <vt:lpwstr/>
      </vt:variant>
      <vt:variant>
        <vt:i4>6488191</vt:i4>
      </vt:variant>
      <vt:variant>
        <vt:i4>33</vt:i4>
      </vt:variant>
      <vt:variant>
        <vt:i4>0</vt:i4>
      </vt:variant>
      <vt:variant>
        <vt:i4>5</vt:i4>
      </vt:variant>
      <vt:variant>
        <vt:lpwstr>http://dx.doi.org/doi:10.1522/cla.toa.dem1</vt:lpwstr>
      </vt:variant>
      <vt:variant>
        <vt:lpwstr/>
      </vt:variant>
      <vt:variant>
        <vt:i4>3670127</vt:i4>
      </vt:variant>
      <vt:variant>
        <vt:i4>30</vt:i4>
      </vt:variant>
      <vt:variant>
        <vt:i4>0</vt:i4>
      </vt:variant>
      <vt:variant>
        <vt:i4>5</vt:i4>
      </vt:variant>
      <vt:variant>
        <vt:lpwstr>http://classiques.uqac.ca/classiques/mauss_marcel/socio_et_anthropo/0_introduction/intro_texte.html</vt:lpwstr>
      </vt:variant>
      <vt:variant>
        <vt:lpwstr/>
      </vt:variant>
      <vt:variant>
        <vt:i4>5374039</vt:i4>
      </vt:variant>
      <vt:variant>
        <vt:i4>27</vt:i4>
      </vt:variant>
      <vt:variant>
        <vt:i4>0</vt:i4>
      </vt:variant>
      <vt:variant>
        <vt:i4>5</vt:i4>
      </vt:variant>
      <vt:variant>
        <vt:lpwstr>http://classiques.uqac.ca/classiques/mauss_marcel/socio_et_anthropo/socio_et_anthropo_tdm.html</vt:lpwstr>
      </vt:variant>
      <vt:variant>
        <vt:lpwstr/>
      </vt:variant>
      <vt:variant>
        <vt:i4>3670115</vt:i4>
      </vt:variant>
      <vt:variant>
        <vt:i4>24</vt:i4>
      </vt:variant>
      <vt:variant>
        <vt:i4>0</vt:i4>
      </vt:variant>
      <vt:variant>
        <vt:i4>5</vt:i4>
      </vt:variant>
      <vt:variant>
        <vt:lpwstr>http://dx.doi.org/doi:10.1522/30010518</vt:lpwstr>
      </vt:variant>
      <vt:variant>
        <vt:lpwstr/>
      </vt:variant>
      <vt:variant>
        <vt:i4>3670115</vt:i4>
      </vt:variant>
      <vt:variant>
        <vt:i4>21</vt:i4>
      </vt:variant>
      <vt:variant>
        <vt:i4>0</vt:i4>
      </vt:variant>
      <vt:variant>
        <vt:i4>5</vt:i4>
      </vt:variant>
      <vt:variant>
        <vt:lpwstr>http://dx.doi.org/doi:10.1522/30010518</vt:lpwstr>
      </vt:variant>
      <vt:variant>
        <vt:lpwstr/>
      </vt:variant>
      <vt:variant>
        <vt:i4>3670115</vt:i4>
      </vt:variant>
      <vt:variant>
        <vt:i4>18</vt:i4>
      </vt:variant>
      <vt:variant>
        <vt:i4>0</vt:i4>
      </vt:variant>
      <vt:variant>
        <vt:i4>5</vt:i4>
      </vt:variant>
      <vt:variant>
        <vt:lpwstr>http://dx.doi.org/doi:10.1522/30010518</vt:lpwstr>
      </vt:variant>
      <vt:variant>
        <vt:lpwstr/>
      </vt:variant>
      <vt:variant>
        <vt:i4>3670115</vt:i4>
      </vt:variant>
      <vt:variant>
        <vt:i4>15</vt:i4>
      </vt:variant>
      <vt:variant>
        <vt:i4>0</vt:i4>
      </vt:variant>
      <vt:variant>
        <vt:i4>5</vt:i4>
      </vt:variant>
      <vt:variant>
        <vt:lpwstr>http://dx.doi.org/doi:10.1522/30010518</vt:lpwstr>
      </vt:variant>
      <vt:variant>
        <vt:lpwstr/>
      </vt:variant>
      <vt:variant>
        <vt:i4>4063244</vt:i4>
      </vt:variant>
      <vt:variant>
        <vt:i4>12</vt:i4>
      </vt:variant>
      <vt:variant>
        <vt:i4>0</vt:i4>
      </vt:variant>
      <vt:variant>
        <vt:i4>5</vt:i4>
      </vt:variant>
      <vt:variant>
        <vt:lpwstr>http://classiques.uqac.ca/contemporains/Leca_Jean/Algerie_politique/Algerie_politique.html</vt:lpwstr>
      </vt:variant>
      <vt:variant>
        <vt:lpwstr/>
      </vt:variant>
      <vt:variant>
        <vt:i4>3407955</vt:i4>
      </vt:variant>
      <vt:variant>
        <vt:i4>9</vt:i4>
      </vt:variant>
      <vt:variant>
        <vt:i4>0</vt:i4>
      </vt:variant>
      <vt:variant>
        <vt:i4>5</vt:i4>
      </vt:variant>
      <vt:variant>
        <vt:lpwstr>http://dx.doi.org/doi:10.1522/030023808</vt:lpwstr>
      </vt:variant>
      <vt:variant>
        <vt:lpwstr/>
      </vt:variant>
      <vt:variant>
        <vt:i4>8323108</vt:i4>
      </vt:variant>
      <vt:variant>
        <vt:i4>6</vt:i4>
      </vt:variant>
      <vt:variant>
        <vt:i4>0</vt:i4>
      </vt:variant>
      <vt:variant>
        <vt:i4>5</vt:i4>
      </vt:variant>
      <vt:variant>
        <vt:lpwstr>http://classiques.uqac.ca/contemporains/hurbon_laennec/culture_et_dictature_en_Haiti/culture_et_dictature_en_Haiti.html</vt:lpwstr>
      </vt:variant>
      <vt:variant>
        <vt:lpwstr/>
      </vt:variant>
      <vt:variant>
        <vt:i4>8323108</vt:i4>
      </vt:variant>
      <vt:variant>
        <vt:i4>3</vt:i4>
      </vt:variant>
      <vt:variant>
        <vt:i4>0</vt:i4>
      </vt:variant>
      <vt:variant>
        <vt:i4>5</vt:i4>
      </vt:variant>
      <vt:variant>
        <vt:lpwstr>http://classiques.uqac.ca/contemporains/hurbon_laennec/culture_et_dictature_en_Haiti/culture_et_dictature_en_Haiti.html</vt:lpwstr>
      </vt:variant>
      <vt:variant>
        <vt:lpwstr/>
      </vt:variant>
      <vt:variant>
        <vt:i4>4325490</vt:i4>
      </vt:variant>
      <vt:variant>
        <vt:i4>0</vt:i4>
      </vt:variant>
      <vt:variant>
        <vt:i4>0</vt:i4>
      </vt:variant>
      <vt:variant>
        <vt:i4>5</vt:i4>
      </vt:variant>
      <vt:variant>
        <vt:lpwstr>http://dx.doi.org/doi:10.1522/cla.bog.que</vt:lpwstr>
      </vt:variant>
      <vt:variant>
        <vt:lpwstr/>
      </vt:variant>
      <vt:variant>
        <vt:i4>2228293</vt:i4>
      </vt:variant>
      <vt:variant>
        <vt:i4>2417</vt:i4>
      </vt:variant>
      <vt:variant>
        <vt:i4>1025</vt:i4>
      </vt:variant>
      <vt:variant>
        <vt:i4>1</vt:i4>
      </vt:variant>
      <vt:variant>
        <vt:lpwstr>css_logo_gris</vt:lpwstr>
      </vt:variant>
      <vt:variant>
        <vt:lpwstr/>
      </vt:variant>
      <vt:variant>
        <vt:i4>5111880</vt:i4>
      </vt:variant>
      <vt:variant>
        <vt:i4>2706</vt:i4>
      </vt:variant>
      <vt:variant>
        <vt:i4>1026</vt:i4>
      </vt:variant>
      <vt:variant>
        <vt:i4>1</vt:i4>
      </vt:variant>
      <vt:variant>
        <vt:lpwstr>UQAC_logo_2018</vt:lpwstr>
      </vt:variant>
      <vt:variant>
        <vt:lpwstr/>
      </vt:variant>
      <vt:variant>
        <vt:i4>4194334</vt:i4>
      </vt:variant>
      <vt:variant>
        <vt:i4>5087</vt:i4>
      </vt:variant>
      <vt:variant>
        <vt:i4>1027</vt:i4>
      </vt:variant>
      <vt:variant>
        <vt:i4>1</vt:i4>
      </vt:variant>
      <vt:variant>
        <vt:lpwstr>Boite_aux_lettres_clair</vt:lpwstr>
      </vt:variant>
      <vt:variant>
        <vt:lpwstr/>
      </vt:variant>
      <vt:variant>
        <vt:i4>1703963</vt:i4>
      </vt:variant>
      <vt:variant>
        <vt:i4>5899</vt:i4>
      </vt:variant>
      <vt:variant>
        <vt:i4>1028</vt:i4>
      </vt:variant>
      <vt:variant>
        <vt:i4>1</vt:i4>
      </vt:variant>
      <vt:variant>
        <vt:lpwstr>fait_sur_mac</vt:lpwstr>
      </vt:variant>
      <vt:variant>
        <vt:lpwstr/>
      </vt:variant>
      <vt:variant>
        <vt:i4>4849750</vt:i4>
      </vt:variant>
      <vt:variant>
        <vt:i4>6129</vt:i4>
      </vt:variant>
      <vt:variant>
        <vt:i4>1029</vt:i4>
      </vt:variant>
      <vt:variant>
        <vt:i4>1</vt:i4>
      </vt:variant>
      <vt:variant>
        <vt:lpwstr>Entre_tradition_et_universalisme_L33</vt:lpwstr>
      </vt:variant>
      <vt:variant>
        <vt:lpwstr/>
      </vt:variant>
      <vt:variant>
        <vt:i4>3670050</vt:i4>
      </vt:variant>
      <vt:variant>
        <vt:i4>6392</vt:i4>
      </vt:variant>
      <vt:variant>
        <vt:i4>1030</vt:i4>
      </vt:variant>
      <vt:variant>
        <vt:i4>1</vt:i4>
      </vt:variant>
      <vt:variant>
        <vt:lpwstr>ACSALF_logo_2018</vt:lpwstr>
      </vt:variant>
      <vt:variant>
        <vt:lpwstr/>
      </vt:variant>
      <vt:variant>
        <vt:i4>4194334</vt:i4>
      </vt:variant>
      <vt:variant>
        <vt:i4>6581</vt:i4>
      </vt:variant>
      <vt:variant>
        <vt:i4>1031</vt:i4>
      </vt:variant>
      <vt:variant>
        <vt:i4>1</vt:i4>
      </vt:variant>
      <vt:variant>
        <vt:lpwstr>Boite_aux_lettres_clair</vt:lpwstr>
      </vt:variant>
      <vt:variant>
        <vt:lpwstr/>
      </vt:variant>
      <vt:variant>
        <vt:i4>6094963</vt:i4>
      </vt:variant>
      <vt:variant>
        <vt:i4>825079</vt:i4>
      </vt:variant>
      <vt:variant>
        <vt:i4>1032</vt:i4>
      </vt:variant>
      <vt:variant>
        <vt:i4>1</vt:i4>
      </vt:variant>
      <vt:variant>
        <vt:lpwstr>fig_p_341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L’actualité d’un archaïsme. La pensée d’extrême-droite et la crise de la modernité.</dc:title>
  <dc:subject/>
  <dc:creator>alain Bihr, sociologue, 1999.</dc:creator>
  <cp:keywords>classiques.sc.soc@gmail.com</cp:keywords>
  <dc:description>http://classiques.uqac.ca/</dc:description>
  <cp:lastModifiedBy>Microsoft Office User</cp:lastModifiedBy>
  <cp:revision>2</cp:revision>
  <cp:lastPrinted>2001-08-26T19:33:00Z</cp:lastPrinted>
  <dcterms:created xsi:type="dcterms:W3CDTF">2019-04-14T13:13:00Z</dcterms:created>
  <dcterms:modified xsi:type="dcterms:W3CDTF">2019-04-14T13:13:00Z</dcterms:modified>
  <cp:category>jean-marie tremblay, sociologue, fondateur, 1993.</cp:category>
</cp:coreProperties>
</file>