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17918" w:rsidRPr="00E07116">
        <w:tblPrEx>
          <w:tblCellMar>
            <w:top w:w="0" w:type="dxa"/>
            <w:bottom w:w="0" w:type="dxa"/>
          </w:tblCellMar>
        </w:tblPrEx>
        <w:tc>
          <w:tcPr>
            <w:tcW w:w="9160" w:type="dxa"/>
            <w:shd w:val="clear" w:color="auto" w:fill="E1E0D4"/>
          </w:tcPr>
          <w:p w:rsidR="00717918" w:rsidRPr="00E07116" w:rsidRDefault="00717918" w:rsidP="00717918">
            <w:pPr>
              <w:pStyle w:val="En-tte"/>
              <w:tabs>
                <w:tab w:val="clear" w:pos="4320"/>
                <w:tab w:val="clear" w:pos="8640"/>
              </w:tabs>
              <w:rPr>
                <w:rFonts w:ascii="Times New Roman" w:hAnsi="Times New Roman"/>
                <w:sz w:val="28"/>
                <w:lang w:val="en-CA" w:bidi="ar-SA"/>
              </w:rPr>
            </w:pPr>
          </w:p>
          <w:p w:rsidR="00717918" w:rsidRPr="00E07116" w:rsidRDefault="00717918">
            <w:pPr>
              <w:ind w:firstLine="0"/>
              <w:jc w:val="center"/>
              <w:rPr>
                <w:b/>
                <w:lang w:bidi="ar-SA"/>
              </w:rPr>
            </w:pPr>
          </w:p>
          <w:p w:rsidR="00717918" w:rsidRPr="00E07116" w:rsidRDefault="00717918">
            <w:pPr>
              <w:ind w:firstLine="0"/>
              <w:jc w:val="center"/>
              <w:rPr>
                <w:b/>
                <w:lang w:bidi="ar-SA"/>
              </w:rPr>
            </w:pPr>
          </w:p>
          <w:p w:rsidR="00717918" w:rsidRDefault="00717918" w:rsidP="00717918">
            <w:pPr>
              <w:ind w:firstLine="0"/>
              <w:jc w:val="center"/>
              <w:rPr>
                <w:b/>
                <w:sz w:val="20"/>
                <w:lang w:bidi="ar-SA"/>
              </w:rPr>
            </w:pPr>
          </w:p>
          <w:p w:rsidR="00717918" w:rsidRDefault="00717918" w:rsidP="00717918">
            <w:pPr>
              <w:ind w:firstLine="0"/>
              <w:jc w:val="center"/>
              <w:rPr>
                <w:b/>
                <w:sz w:val="20"/>
                <w:lang w:bidi="ar-SA"/>
              </w:rPr>
            </w:pPr>
          </w:p>
          <w:p w:rsidR="00717918" w:rsidRDefault="00717918" w:rsidP="00717918">
            <w:pPr>
              <w:ind w:firstLine="0"/>
              <w:jc w:val="center"/>
              <w:rPr>
                <w:b/>
                <w:sz w:val="36"/>
              </w:rPr>
            </w:pPr>
            <w:r>
              <w:rPr>
                <w:sz w:val="36"/>
              </w:rPr>
              <w:t>Estelle CARDE</w:t>
            </w:r>
          </w:p>
          <w:p w:rsidR="00717918" w:rsidRDefault="00717918" w:rsidP="00717918">
            <w:pPr>
              <w:ind w:firstLine="0"/>
              <w:jc w:val="center"/>
              <w:rPr>
                <w:sz w:val="20"/>
                <w:lang w:bidi="ar-SA"/>
              </w:rPr>
            </w:pPr>
            <w:r>
              <w:rPr>
                <w:sz w:val="20"/>
                <w:lang w:bidi="ar-SA"/>
              </w:rPr>
              <w:t>Doctorat en médecine, spécialité “santé publique”</w:t>
            </w:r>
          </w:p>
          <w:p w:rsidR="00717918" w:rsidRDefault="00717918" w:rsidP="00717918">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717918" w:rsidRPr="00F3780C" w:rsidRDefault="00717918" w:rsidP="00717918">
            <w:pPr>
              <w:ind w:firstLine="0"/>
              <w:jc w:val="center"/>
              <w:rPr>
                <w:sz w:val="20"/>
                <w:lang w:bidi="ar-SA"/>
              </w:rPr>
            </w:pPr>
            <w:bookmarkStart w:id="0" w:name="_GoBack"/>
            <w:bookmarkEnd w:id="0"/>
          </w:p>
          <w:p w:rsidR="00717918" w:rsidRPr="00AA0F60" w:rsidRDefault="00717918" w:rsidP="00717918">
            <w:pPr>
              <w:pStyle w:val="Corpsdetexte"/>
              <w:widowControl w:val="0"/>
              <w:spacing w:before="0" w:after="0"/>
              <w:rPr>
                <w:sz w:val="44"/>
                <w:lang w:bidi="ar-SA"/>
              </w:rPr>
            </w:pPr>
            <w:r w:rsidRPr="00AA0F60">
              <w:rPr>
                <w:sz w:val="44"/>
                <w:lang w:bidi="ar-SA"/>
              </w:rPr>
              <w:t>(</w:t>
            </w:r>
            <w:r>
              <w:rPr>
                <w:sz w:val="44"/>
                <w:lang w:bidi="ar-SA"/>
              </w:rPr>
              <w:t>2010</w:t>
            </w:r>
            <w:r w:rsidRPr="00AA0F60">
              <w:rPr>
                <w:sz w:val="44"/>
                <w:lang w:bidi="ar-SA"/>
              </w:rPr>
              <w:t>)</w:t>
            </w:r>
          </w:p>
          <w:p w:rsidR="00717918" w:rsidRDefault="00717918" w:rsidP="00717918">
            <w:pPr>
              <w:pStyle w:val="Corpsdetexte"/>
              <w:widowControl w:val="0"/>
              <w:spacing w:before="0" w:after="0"/>
              <w:rPr>
                <w:color w:val="FF0000"/>
                <w:sz w:val="24"/>
                <w:lang w:bidi="ar-SA"/>
              </w:rPr>
            </w:pPr>
          </w:p>
          <w:p w:rsidR="00717918" w:rsidRDefault="00717918" w:rsidP="00717918">
            <w:pPr>
              <w:pStyle w:val="Corpsdetexte"/>
              <w:widowControl w:val="0"/>
              <w:spacing w:before="0" w:after="0"/>
              <w:rPr>
                <w:color w:val="FF0000"/>
                <w:sz w:val="24"/>
                <w:lang w:bidi="ar-SA"/>
              </w:rPr>
            </w:pPr>
          </w:p>
          <w:p w:rsidR="00717918" w:rsidRDefault="00717918" w:rsidP="00717918">
            <w:pPr>
              <w:pStyle w:val="Corpsdetexte"/>
              <w:widowControl w:val="0"/>
              <w:spacing w:before="0" w:after="0"/>
              <w:rPr>
                <w:color w:val="FF0000"/>
                <w:sz w:val="24"/>
                <w:lang w:bidi="ar-SA"/>
              </w:rPr>
            </w:pPr>
          </w:p>
          <w:p w:rsidR="00717918" w:rsidRPr="006939F3" w:rsidRDefault="00717918" w:rsidP="00717918">
            <w:pPr>
              <w:pStyle w:val="Titlest"/>
            </w:pPr>
            <w:r w:rsidRPr="006939F3">
              <w:t>“L’étranger.”</w:t>
            </w:r>
          </w:p>
          <w:p w:rsidR="00717918" w:rsidRDefault="00717918" w:rsidP="00717918">
            <w:pPr>
              <w:pStyle w:val="Titlest20"/>
            </w:pPr>
          </w:p>
          <w:p w:rsidR="00717918" w:rsidRPr="00F3780C" w:rsidRDefault="00717918" w:rsidP="00717918">
            <w:pPr>
              <w:pStyle w:val="Titlest20"/>
            </w:pPr>
          </w:p>
          <w:p w:rsidR="00717918" w:rsidRDefault="00717918" w:rsidP="00717918">
            <w:pPr>
              <w:widowControl w:val="0"/>
              <w:ind w:firstLine="0"/>
              <w:jc w:val="center"/>
              <w:rPr>
                <w:lang w:bidi="ar-SA"/>
              </w:rPr>
            </w:pPr>
          </w:p>
          <w:p w:rsidR="00717918" w:rsidRDefault="00717918" w:rsidP="00717918">
            <w:pPr>
              <w:widowControl w:val="0"/>
              <w:ind w:firstLine="0"/>
              <w:jc w:val="center"/>
              <w:rPr>
                <w:lang w:bidi="ar-SA"/>
              </w:rPr>
            </w:pPr>
          </w:p>
          <w:p w:rsidR="00717918" w:rsidRPr="00B07F81" w:rsidRDefault="00717918" w:rsidP="00717918">
            <w:pPr>
              <w:widowControl w:val="0"/>
              <w:ind w:firstLine="0"/>
              <w:jc w:val="center"/>
              <w:rPr>
                <w:sz w:val="24"/>
                <w:lang w:bidi="ar-SA"/>
              </w:rPr>
            </w:pPr>
            <w:r w:rsidRPr="00B07F81">
              <w:rPr>
                <w:sz w:val="24"/>
                <w:lang w:bidi="ar-SA"/>
              </w:rPr>
              <w:t>Collection “Anthropologie médicale“</w:t>
            </w:r>
          </w:p>
          <w:p w:rsidR="00717918" w:rsidRDefault="00717918" w:rsidP="00717918">
            <w:pPr>
              <w:widowControl w:val="0"/>
              <w:ind w:firstLine="0"/>
              <w:jc w:val="center"/>
              <w:rPr>
                <w:sz w:val="20"/>
                <w:lang w:bidi="ar-SA"/>
              </w:rPr>
            </w:pPr>
          </w:p>
          <w:p w:rsidR="00717918" w:rsidRPr="00384B20" w:rsidRDefault="00717918">
            <w:pPr>
              <w:widowControl w:val="0"/>
              <w:ind w:firstLine="0"/>
              <w:jc w:val="center"/>
              <w:rPr>
                <w:sz w:val="20"/>
                <w:lang w:bidi="ar-SA"/>
              </w:rPr>
            </w:pPr>
          </w:p>
          <w:p w:rsidR="00717918" w:rsidRPr="00384B20" w:rsidRDefault="0071791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17918" w:rsidRPr="00E07116" w:rsidRDefault="00717918">
            <w:pPr>
              <w:widowControl w:val="0"/>
              <w:ind w:firstLine="0"/>
              <w:jc w:val="both"/>
              <w:rPr>
                <w:lang w:bidi="ar-SA"/>
              </w:rPr>
            </w:pPr>
          </w:p>
          <w:p w:rsidR="00717918" w:rsidRPr="00E07116" w:rsidRDefault="00717918">
            <w:pPr>
              <w:widowControl w:val="0"/>
              <w:ind w:firstLine="0"/>
              <w:jc w:val="both"/>
              <w:rPr>
                <w:lang w:bidi="ar-SA"/>
              </w:rPr>
            </w:pPr>
          </w:p>
          <w:p w:rsidR="00717918" w:rsidRDefault="00717918">
            <w:pPr>
              <w:widowControl w:val="0"/>
              <w:ind w:firstLine="0"/>
              <w:jc w:val="both"/>
              <w:rPr>
                <w:lang w:bidi="ar-SA"/>
              </w:rPr>
            </w:pPr>
          </w:p>
          <w:p w:rsidR="00717918" w:rsidRDefault="00717918">
            <w:pPr>
              <w:widowControl w:val="0"/>
              <w:ind w:firstLine="0"/>
              <w:jc w:val="both"/>
              <w:rPr>
                <w:lang w:bidi="ar-SA"/>
              </w:rPr>
            </w:pPr>
          </w:p>
          <w:p w:rsidR="00717918" w:rsidRDefault="00717918">
            <w:pPr>
              <w:widowControl w:val="0"/>
              <w:ind w:firstLine="0"/>
              <w:jc w:val="both"/>
              <w:rPr>
                <w:lang w:bidi="ar-SA"/>
              </w:rPr>
            </w:pPr>
          </w:p>
          <w:p w:rsidR="00717918" w:rsidRPr="00E07116" w:rsidRDefault="00717918">
            <w:pPr>
              <w:widowControl w:val="0"/>
              <w:ind w:firstLine="0"/>
              <w:jc w:val="both"/>
              <w:rPr>
                <w:lang w:bidi="ar-SA"/>
              </w:rPr>
            </w:pPr>
          </w:p>
          <w:p w:rsidR="00717918" w:rsidRDefault="00717918">
            <w:pPr>
              <w:widowControl w:val="0"/>
              <w:ind w:firstLine="0"/>
              <w:jc w:val="both"/>
              <w:rPr>
                <w:lang w:bidi="ar-SA"/>
              </w:rPr>
            </w:pPr>
          </w:p>
          <w:p w:rsidR="00717918" w:rsidRPr="00E07116" w:rsidRDefault="00717918">
            <w:pPr>
              <w:widowControl w:val="0"/>
              <w:ind w:firstLine="0"/>
              <w:jc w:val="both"/>
              <w:rPr>
                <w:lang w:bidi="ar-SA"/>
              </w:rPr>
            </w:pPr>
          </w:p>
          <w:p w:rsidR="00717918" w:rsidRPr="00E07116" w:rsidRDefault="00717918">
            <w:pPr>
              <w:ind w:firstLine="0"/>
              <w:jc w:val="both"/>
              <w:rPr>
                <w:lang w:bidi="ar-SA"/>
              </w:rPr>
            </w:pPr>
          </w:p>
        </w:tc>
      </w:tr>
    </w:tbl>
    <w:p w:rsidR="00717918" w:rsidRDefault="00717918" w:rsidP="00717918">
      <w:pPr>
        <w:ind w:firstLine="0"/>
        <w:jc w:val="both"/>
      </w:pPr>
      <w:r w:rsidRPr="00E07116">
        <w:br w:type="page"/>
      </w:r>
    </w:p>
    <w:p w:rsidR="00717918" w:rsidRDefault="00717918" w:rsidP="00717918">
      <w:pPr>
        <w:ind w:firstLine="0"/>
        <w:jc w:val="both"/>
      </w:pPr>
    </w:p>
    <w:p w:rsidR="00717918" w:rsidRDefault="00717918" w:rsidP="00717918">
      <w:pPr>
        <w:ind w:firstLine="0"/>
        <w:jc w:val="both"/>
      </w:pPr>
    </w:p>
    <w:p w:rsidR="00717918" w:rsidRDefault="00717918" w:rsidP="00717918">
      <w:pPr>
        <w:ind w:firstLine="0"/>
        <w:jc w:val="both"/>
      </w:pPr>
    </w:p>
    <w:p w:rsidR="00717918" w:rsidRDefault="002C4C0E" w:rsidP="00717918">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17918" w:rsidRDefault="00717918" w:rsidP="00717918">
      <w:pPr>
        <w:ind w:firstLine="0"/>
        <w:jc w:val="right"/>
      </w:pPr>
      <w:hyperlink r:id="rId9" w:history="1">
        <w:r w:rsidRPr="00302466">
          <w:rPr>
            <w:rStyle w:val="Lienhypertexte"/>
          </w:rPr>
          <w:t>http://classiques.uqac.ca/</w:t>
        </w:r>
      </w:hyperlink>
      <w:r>
        <w:t xml:space="preserve"> </w:t>
      </w:r>
    </w:p>
    <w:p w:rsidR="00717918" w:rsidRDefault="00717918" w:rsidP="00717918">
      <w:pPr>
        <w:ind w:firstLine="0"/>
        <w:jc w:val="both"/>
      </w:pPr>
    </w:p>
    <w:p w:rsidR="00717918" w:rsidRDefault="00717918" w:rsidP="0071791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17918" w:rsidRDefault="00717918" w:rsidP="00717918">
      <w:pPr>
        <w:ind w:firstLine="0"/>
        <w:jc w:val="both"/>
      </w:pPr>
    </w:p>
    <w:p w:rsidR="00717918" w:rsidRDefault="00717918" w:rsidP="00717918">
      <w:pPr>
        <w:ind w:firstLine="0"/>
        <w:jc w:val="both"/>
      </w:pPr>
    </w:p>
    <w:p w:rsidR="00717918" w:rsidRDefault="002C4C0E" w:rsidP="00717918">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17918" w:rsidRDefault="00717918" w:rsidP="00717918">
      <w:pPr>
        <w:ind w:firstLine="0"/>
        <w:jc w:val="both"/>
      </w:pPr>
      <w:hyperlink r:id="rId11" w:history="1">
        <w:r w:rsidRPr="00302466">
          <w:rPr>
            <w:rStyle w:val="Lienhypertexte"/>
          </w:rPr>
          <w:t>http://bibliotheque.uqac.ca/</w:t>
        </w:r>
      </w:hyperlink>
      <w:r>
        <w:t xml:space="preserve"> </w:t>
      </w:r>
    </w:p>
    <w:p w:rsidR="00717918" w:rsidRDefault="00717918" w:rsidP="00717918">
      <w:pPr>
        <w:ind w:firstLine="0"/>
        <w:jc w:val="both"/>
      </w:pPr>
    </w:p>
    <w:p w:rsidR="00717918" w:rsidRDefault="00717918" w:rsidP="00717918">
      <w:pPr>
        <w:ind w:firstLine="0"/>
        <w:jc w:val="both"/>
      </w:pPr>
    </w:p>
    <w:p w:rsidR="00717918" w:rsidRDefault="00717918" w:rsidP="0071791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17918" w:rsidRPr="00E07116" w:rsidRDefault="00717918" w:rsidP="00717918">
      <w:pPr>
        <w:widowControl w:val="0"/>
        <w:autoSpaceDE w:val="0"/>
        <w:autoSpaceDN w:val="0"/>
        <w:adjustRightInd w:val="0"/>
        <w:rPr>
          <w:szCs w:val="32"/>
        </w:rPr>
      </w:pPr>
      <w:r w:rsidRPr="00E07116">
        <w:br w:type="page"/>
      </w:r>
    </w:p>
    <w:p w:rsidR="00717918" w:rsidRPr="005B6592" w:rsidRDefault="0071791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717918" w:rsidRPr="00E07116" w:rsidRDefault="00717918">
      <w:pPr>
        <w:widowControl w:val="0"/>
        <w:autoSpaceDE w:val="0"/>
        <w:autoSpaceDN w:val="0"/>
        <w:adjustRightInd w:val="0"/>
        <w:rPr>
          <w:szCs w:val="32"/>
        </w:rPr>
      </w:pPr>
    </w:p>
    <w:p w:rsidR="00717918" w:rsidRPr="00E07116" w:rsidRDefault="00717918">
      <w:pPr>
        <w:widowControl w:val="0"/>
        <w:autoSpaceDE w:val="0"/>
        <w:autoSpaceDN w:val="0"/>
        <w:adjustRightInd w:val="0"/>
        <w:jc w:val="both"/>
        <w:rPr>
          <w:color w:val="1C1C1C"/>
          <w:szCs w:val="26"/>
        </w:rPr>
      </w:pPr>
    </w:p>
    <w:p w:rsidR="00717918" w:rsidRPr="00E07116" w:rsidRDefault="00717918">
      <w:pPr>
        <w:widowControl w:val="0"/>
        <w:autoSpaceDE w:val="0"/>
        <w:autoSpaceDN w:val="0"/>
        <w:adjustRightInd w:val="0"/>
        <w:jc w:val="both"/>
        <w:rPr>
          <w:color w:val="1C1C1C"/>
          <w:szCs w:val="26"/>
        </w:rPr>
      </w:pPr>
    </w:p>
    <w:p w:rsidR="00717918" w:rsidRPr="00E07116" w:rsidRDefault="0071791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717918" w:rsidRPr="00E07116" w:rsidRDefault="00717918">
      <w:pPr>
        <w:widowControl w:val="0"/>
        <w:autoSpaceDE w:val="0"/>
        <w:autoSpaceDN w:val="0"/>
        <w:adjustRightInd w:val="0"/>
        <w:jc w:val="both"/>
        <w:rPr>
          <w:color w:val="1C1C1C"/>
          <w:szCs w:val="26"/>
        </w:rPr>
      </w:pPr>
    </w:p>
    <w:p w:rsidR="00717918" w:rsidRPr="00E07116" w:rsidRDefault="00717918" w:rsidP="0071791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717918" w:rsidRPr="00E07116" w:rsidRDefault="00717918" w:rsidP="00717918">
      <w:pPr>
        <w:widowControl w:val="0"/>
        <w:autoSpaceDE w:val="0"/>
        <w:autoSpaceDN w:val="0"/>
        <w:adjustRightInd w:val="0"/>
        <w:jc w:val="both"/>
        <w:rPr>
          <w:color w:val="1C1C1C"/>
          <w:szCs w:val="26"/>
        </w:rPr>
      </w:pPr>
    </w:p>
    <w:p w:rsidR="00717918" w:rsidRPr="00E07116" w:rsidRDefault="00717918" w:rsidP="0071791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717918" w:rsidRPr="00E07116" w:rsidRDefault="00717918" w:rsidP="0071791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717918" w:rsidRPr="00E07116" w:rsidRDefault="00717918" w:rsidP="00717918">
      <w:pPr>
        <w:widowControl w:val="0"/>
        <w:autoSpaceDE w:val="0"/>
        <w:autoSpaceDN w:val="0"/>
        <w:adjustRightInd w:val="0"/>
        <w:jc w:val="both"/>
        <w:rPr>
          <w:color w:val="1C1C1C"/>
          <w:szCs w:val="26"/>
        </w:rPr>
      </w:pPr>
    </w:p>
    <w:p w:rsidR="00717918" w:rsidRPr="00E07116" w:rsidRDefault="0071791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717918" w:rsidRPr="00E07116" w:rsidRDefault="00717918">
      <w:pPr>
        <w:widowControl w:val="0"/>
        <w:autoSpaceDE w:val="0"/>
        <w:autoSpaceDN w:val="0"/>
        <w:adjustRightInd w:val="0"/>
        <w:jc w:val="both"/>
        <w:rPr>
          <w:color w:val="1C1C1C"/>
          <w:szCs w:val="26"/>
        </w:rPr>
      </w:pPr>
    </w:p>
    <w:p w:rsidR="00717918" w:rsidRPr="00E07116" w:rsidRDefault="0071791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717918" w:rsidRPr="00E07116" w:rsidRDefault="00717918">
      <w:pPr>
        <w:rPr>
          <w:b/>
          <w:color w:val="1C1C1C"/>
          <w:szCs w:val="26"/>
        </w:rPr>
      </w:pPr>
    </w:p>
    <w:p w:rsidR="00717918" w:rsidRPr="00E07116" w:rsidRDefault="0071791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717918" w:rsidRPr="00E07116" w:rsidRDefault="00717918">
      <w:pPr>
        <w:rPr>
          <w:b/>
          <w:color w:val="1C1C1C"/>
          <w:szCs w:val="26"/>
        </w:rPr>
      </w:pPr>
    </w:p>
    <w:p w:rsidR="00717918" w:rsidRPr="00E07116" w:rsidRDefault="00717918">
      <w:pPr>
        <w:rPr>
          <w:color w:val="1C1C1C"/>
          <w:szCs w:val="26"/>
        </w:rPr>
      </w:pPr>
      <w:r w:rsidRPr="00E07116">
        <w:rPr>
          <w:color w:val="1C1C1C"/>
          <w:szCs w:val="26"/>
        </w:rPr>
        <w:t>Jean-Marie Tremblay, sociologue</w:t>
      </w:r>
    </w:p>
    <w:p w:rsidR="00717918" w:rsidRPr="00E07116" w:rsidRDefault="00717918">
      <w:pPr>
        <w:rPr>
          <w:color w:val="1C1C1C"/>
          <w:szCs w:val="26"/>
        </w:rPr>
      </w:pPr>
      <w:r w:rsidRPr="00E07116">
        <w:rPr>
          <w:color w:val="1C1C1C"/>
          <w:szCs w:val="26"/>
        </w:rPr>
        <w:t>Fondateur et Président-directeur général,</w:t>
      </w:r>
    </w:p>
    <w:p w:rsidR="00717918" w:rsidRPr="00E07116" w:rsidRDefault="00717918">
      <w:pPr>
        <w:rPr>
          <w:color w:val="000080"/>
        </w:rPr>
      </w:pPr>
      <w:r w:rsidRPr="00E07116">
        <w:rPr>
          <w:color w:val="000080"/>
          <w:szCs w:val="26"/>
        </w:rPr>
        <w:t>LES CLASSIQUES DES SCIENCES SOCIALES.</w:t>
      </w:r>
    </w:p>
    <w:p w:rsidR="00717918" w:rsidRPr="00CF4C8E" w:rsidRDefault="00717918" w:rsidP="0071791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717918" w:rsidRPr="00CF4C8E" w:rsidRDefault="00717918" w:rsidP="00717918">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717918" w:rsidRPr="00CF4C8E" w:rsidRDefault="00717918" w:rsidP="00717918">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717918" w:rsidRPr="00CF4C8E" w:rsidRDefault="00717918" w:rsidP="00717918">
      <w:pPr>
        <w:ind w:left="20" w:hanging="20"/>
        <w:jc w:val="both"/>
        <w:rPr>
          <w:sz w:val="24"/>
        </w:rPr>
      </w:pPr>
      <w:r w:rsidRPr="00CF4C8E">
        <w:rPr>
          <w:sz w:val="24"/>
        </w:rPr>
        <w:t>à partir du texte de :</w:t>
      </w:r>
    </w:p>
    <w:p w:rsidR="00717918" w:rsidRDefault="00717918" w:rsidP="00717918">
      <w:pPr>
        <w:ind w:firstLine="0"/>
        <w:jc w:val="both"/>
        <w:rPr>
          <w:sz w:val="24"/>
        </w:rPr>
      </w:pPr>
    </w:p>
    <w:p w:rsidR="00717918" w:rsidRPr="00384B20" w:rsidRDefault="00717918" w:rsidP="00717918">
      <w:pPr>
        <w:ind w:firstLine="0"/>
        <w:jc w:val="both"/>
        <w:rPr>
          <w:sz w:val="24"/>
        </w:rPr>
      </w:pPr>
    </w:p>
    <w:p w:rsidR="00717918" w:rsidRPr="00E07116" w:rsidRDefault="00717918" w:rsidP="00717918">
      <w:pPr>
        <w:ind w:left="20" w:firstLine="340"/>
        <w:jc w:val="both"/>
      </w:pPr>
      <w:r>
        <w:t>Estelle Carde</w:t>
      </w:r>
    </w:p>
    <w:p w:rsidR="00717918" w:rsidRPr="00E07116" w:rsidRDefault="00717918" w:rsidP="00717918">
      <w:pPr>
        <w:ind w:left="20" w:firstLine="340"/>
        <w:jc w:val="both"/>
      </w:pPr>
    </w:p>
    <w:p w:rsidR="00717918" w:rsidRPr="00B07F81" w:rsidRDefault="00717918" w:rsidP="00717918">
      <w:pPr>
        <w:jc w:val="both"/>
        <w:rPr>
          <w:b/>
          <w:color w:val="000080"/>
        </w:rPr>
      </w:pPr>
      <w:r w:rsidRPr="00B07F81">
        <w:rPr>
          <w:b/>
          <w:color w:val="000080"/>
        </w:rPr>
        <w:t>“</w:t>
      </w:r>
      <w:r>
        <w:rPr>
          <w:b/>
          <w:color w:val="000080"/>
        </w:rPr>
        <w:t>L’étranger</w:t>
      </w:r>
      <w:r w:rsidRPr="00B07F81">
        <w:rPr>
          <w:b/>
          <w:color w:val="000080"/>
        </w:rPr>
        <w:t>.”</w:t>
      </w:r>
    </w:p>
    <w:p w:rsidR="00717918" w:rsidRPr="00E07116" w:rsidRDefault="00717918" w:rsidP="00717918">
      <w:pPr>
        <w:jc w:val="both"/>
      </w:pPr>
    </w:p>
    <w:p w:rsidR="00717918" w:rsidRPr="00E07116" w:rsidRDefault="00717918" w:rsidP="00717918">
      <w:pPr>
        <w:jc w:val="both"/>
      </w:pPr>
    </w:p>
    <w:p w:rsidR="00717918" w:rsidRPr="00B07F81" w:rsidRDefault="00717918" w:rsidP="00717918">
      <w:pPr>
        <w:jc w:val="both"/>
      </w:pPr>
      <w:r w:rsidRPr="00B07F81">
        <w:t>Un article publié dans</w:t>
      </w:r>
      <w:r>
        <w:t xml:space="preserve"> la</w:t>
      </w:r>
      <w:r w:rsidRPr="00B07F81">
        <w:t xml:space="preserve"> </w:t>
      </w:r>
      <w:r w:rsidRPr="009A2F6B">
        <w:rPr>
          <w:b/>
          <w:i/>
        </w:rPr>
        <w:t>Revue du CREMIS</w:t>
      </w:r>
      <w:r w:rsidRPr="009A2F6B">
        <w:t>, printemps 2010, vol. 3, no 2, pp. 27-31.</w:t>
      </w:r>
    </w:p>
    <w:p w:rsidR="00717918" w:rsidRPr="00384B20" w:rsidRDefault="00717918" w:rsidP="00717918">
      <w:pPr>
        <w:jc w:val="both"/>
        <w:rPr>
          <w:sz w:val="24"/>
        </w:rPr>
      </w:pPr>
    </w:p>
    <w:p w:rsidR="00717918" w:rsidRPr="00384B20" w:rsidRDefault="00717918" w:rsidP="00717918">
      <w:pPr>
        <w:jc w:val="both"/>
        <w:rPr>
          <w:sz w:val="24"/>
        </w:rPr>
      </w:pPr>
    </w:p>
    <w:p w:rsidR="00717918" w:rsidRPr="00384B20" w:rsidRDefault="00717918" w:rsidP="00717918">
      <w:pPr>
        <w:ind w:left="20"/>
        <w:jc w:val="both"/>
        <w:rPr>
          <w:sz w:val="24"/>
        </w:rPr>
      </w:pPr>
      <w:r w:rsidRPr="00384B20">
        <w:rPr>
          <w:sz w:val="24"/>
        </w:rPr>
        <w:t>L’auteur</w:t>
      </w:r>
      <w:r>
        <w:rPr>
          <w:sz w:val="24"/>
        </w:rPr>
        <w:t>e nous a accordé</w:t>
      </w:r>
      <w:r w:rsidRPr="00384B20">
        <w:rPr>
          <w:sz w:val="24"/>
        </w:rPr>
        <w:t xml:space="preserve">, le </w:t>
      </w:r>
      <w:r>
        <w:rPr>
          <w:sz w:val="24"/>
        </w:rPr>
        <w:t>19 février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w:t>
      </w:r>
      <w:r>
        <w:rPr>
          <w:sz w:val="24"/>
        </w:rPr>
        <w:t>cet article</w:t>
      </w:r>
      <w:r w:rsidRPr="00384B20">
        <w:rPr>
          <w:sz w:val="24"/>
        </w:rPr>
        <w:t xml:space="preserve"> dans Les Classiques des sciences soci</w:t>
      </w:r>
      <w:r w:rsidRPr="00384B20">
        <w:rPr>
          <w:sz w:val="24"/>
        </w:rPr>
        <w:t>a</w:t>
      </w:r>
      <w:r w:rsidRPr="00384B20">
        <w:rPr>
          <w:sz w:val="24"/>
        </w:rPr>
        <w:t>les.</w:t>
      </w:r>
    </w:p>
    <w:p w:rsidR="00717918" w:rsidRPr="00384B20" w:rsidRDefault="00717918" w:rsidP="00717918">
      <w:pPr>
        <w:jc w:val="both"/>
        <w:rPr>
          <w:sz w:val="24"/>
        </w:rPr>
      </w:pPr>
    </w:p>
    <w:p w:rsidR="00717918" w:rsidRDefault="002C4C0E" w:rsidP="00717918">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17918">
        <w:rPr>
          <w:sz w:val="24"/>
        </w:rPr>
        <w:t xml:space="preserve"> Courriel</w:t>
      </w:r>
      <w:r w:rsidR="00717918" w:rsidRPr="00384B20">
        <w:rPr>
          <w:sz w:val="24"/>
        </w:rPr>
        <w:t xml:space="preserve"> : </w:t>
      </w:r>
      <w:r w:rsidR="00717918" w:rsidRPr="00B07F81">
        <w:rPr>
          <w:sz w:val="24"/>
        </w:rPr>
        <w:t>Estelle Ca</w:t>
      </w:r>
      <w:r w:rsidR="00717918">
        <w:rPr>
          <w:sz w:val="24"/>
        </w:rPr>
        <w:t xml:space="preserve">rde : </w:t>
      </w:r>
      <w:hyperlink r:id="rId15" w:history="1">
        <w:r w:rsidR="00717918" w:rsidRPr="00D74EAC">
          <w:rPr>
            <w:rStyle w:val="Lienhypertexte"/>
            <w:sz w:val="24"/>
          </w:rPr>
          <w:t>estelle.carde@umontreal.ca</w:t>
        </w:r>
      </w:hyperlink>
      <w:r w:rsidR="00717918">
        <w:rPr>
          <w:sz w:val="24"/>
        </w:rPr>
        <w:t xml:space="preserve"> </w:t>
      </w:r>
    </w:p>
    <w:p w:rsidR="00717918" w:rsidRPr="00384B20" w:rsidRDefault="00717918" w:rsidP="00717918">
      <w:pPr>
        <w:ind w:left="20"/>
        <w:jc w:val="both"/>
        <w:rPr>
          <w:sz w:val="24"/>
        </w:rPr>
      </w:pPr>
    </w:p>
    <w:p w:rsidR="00717918" w:rsidRPr="00384B20" w:rsidRDefault="0071791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717918" w:rsidRPr="00384B20" w:rsidRDefault="00717918">
      <w:pPr>
        <w:ind w:right="1800" w:firstLine="0"/>
        <w:jc w:val="both"/>
        <w:rPr>
          <w:sz w:val="24"/>
        </w:rPr>
      </w:pPr>
    </w:p>
    <w:p w:rsidR="00717918" w:rsidRPr="00384B20" w:rsidRDefault="00717918" w:rsidP="00717918">
      <w:pPr>
        <w:ind w:left="360" w:right="360" w:firstLine="0"/>
        <w:jc w:val="both"/>
        <w:rPr>
          <w:sz w:val="24"/>
        </w:rPr>
      </w:pPr>
      <w:r w:rsidRPr="00384B20">
        <w:rPr>
          <w:sz w:val="24"/>
        </w:rPr>
        <w:t>Pour le texte: Times New Roman, 14 points.</w:t>
      </w:r>
    </w:p>
    <w:p w:rsidR="00717918" w:rsidRPr="00384B20" w:rsidRDefault="00717918" w:rsidP="00717918">
      <w:pPr>
        <w:ind w:left="360" w:right="360" w:firstLine="0"/>
        <w:jc w:val="both"/>
        <w:rPr>
          <w:sz w:val="24"/>
        </w:rPr>
      </w:pPr>
      <w:r w:rsidRPr="00384B20">
        <w:rPr>
          <w:sz w:val="24"/>
        </w:rPr>
        <w:t>Pour les notes de bas de page : Times New Roman, 12 points.</w:t>
      </w:r>
    </w:p>
    <w:p w:rsidR="00717918" w:rsidRPr="00384B20" w:rsidRDefault="00717918">
      <w:pPr>
        <w:ind w:left="360" w:right="1800" w:firstLine="0"/>
        <w:jc w:val="both"/>
        <w:rPr>
          <w:sz w:val="24"/>
        </w:rPr>
      </w:pPr>
    </w:p>
    <w:p w:rsidR="00717918" w:rsidRPr="00384B20" w:rsidRDefault="00717918">
      <w:pPr>
        <w:ind w:right="360" w:firstLine="0"/>
        <w:jc w:val="both"/>
        <w:rPr>
          <w:sz w:val="24"/>
        </w:rPr>
      </w:pPr>
      <w:r w:rsidRPr="00384B20">
        <w:rPr>
          <w:sz w:val="24"/>
        </w:rPr>
        <w:t>Édition électronique réalisée avec le traitement de textes Microsoft Word 2008 pour Macintosh.</w:t>
      </w:r>
    </w:p>
    <w:p w:rsidR="00717918" w:rsidRPr="00384B20" w:rsidRDefault="00717918">
      <w:pPr>
        <w:ind w:right="1800" w:firstLine="0"/>
        <w:jc w:val="both"/>
        <w:rPr>
          <w:sz w:val="24"/>
        </w:rPr>
      </w:pPr>
    </w:p>
    <w:p w:rsidR="00717918" w:rsidRPr="00384B20" w:rsidRDefault="00717918" w:rsidP="00717918">
      <w:pPr>
        <w:ind w:right="540" w:firstLine="0"/>
        <w:jc w:val="both"/>
        <w:rPr>
          <w:sz w:val="24"/>
        </w:rPr>
      </w:pPr>
      <w:r w:rsidRPr="00384B20">
        <w:rPr>
          <w:sz w:val="24"/>
        </w:rPr>
        <w:t>Mise en page sur papier format : LETTRE US, 8.5’’ x 11’’.</w:t>
      </w:r>
    </w:p>
    <w:p w:rsidR="00717918" w:rsidRPr="00384B20" w:rsidRDefault="00717918">
      <w:pPr>
        <w:ind w:right="1800" w:firstLine="0"/>
        <w:jc w:val="both"/>
        <w:rPr>
          <w:sz w:val="24"/>
        </w:rPr>
      </w:pPr>
    </w:p>
    <w:p w:rsidR="00717918" w:rsidRPr="00384B20" w:rsidRDefault="00717918" w:rsidP="00717918">
      <w:pPr>
        <w:ind w:firstLine="0"/>
        <w:jc w:val="both"/>
        <w:rPr>
          <w:sz w:val="24"/>
        </w:rPr>
      </w:pPr>
      <w:r w:rsidRPr="00384B20">
        <w:rPr>
          <w:sz w:val="24"/>
        </w:rPr>
        <w:t xml:space="preserve">Édition numérique réalisée le </w:t>
      </w:r>
      <w:r>
        <w:rPr>
          <w:sz w:val="24"/>
        </w:rPr>
        <w:t>26 décembre 2020 à Chicoutimi</w:t>
      </w:r>
      <w:r w:rsidRPr="00384B20">
        <w:rPr>
          <w:sz w:val="24"/>
        </w:rPr>
        <w:t>, Qu</w:t>
      </w:r>
      <w:r w:rsidRPr="00384B20">
        <w:rPr>
          <w:sz w:val="24"/>
        </w:rPr>
        <w:t>é</w:t>
      </w:r>
      <w:r w:rsidRPr="00384B20">
        <w:rPr>
          <w:sz w:val="24"/>
        </w:rPr>
        <w:t>bec.</w:t>
      </w:r>
    </w:p>
    <w:p w:rsidR="00717918" w:rsidRPr="00384B20" w:rsidRDefault="00717918">
      <w:pPr>
        <w:ind w:right="1800" w:firstLine="0"/>
        <w:jc w:val="both"/>
        <w:rPr>
          <w:sz w:val="24"/>
        </w:rPr>
      </w:pPr>
    </w:p>
    <w:p w:rsidR="00717918" w:rsidRPr="00E07116" w:rsidRDefault="002C4C0E">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17918" w:rsidRDefault="00717918" w:rsidP="00717918">
      <w:pPr>
        <w:ind w:left="20"/>
        <w:jc w:val="both"/>
      </w:pPr>
      <w:r w:rsidRPr="00E07116">
        <w:br w:type="page"/>
      </w:r>
    </w:p>
    <w:p w:rsidR="00717918" w:rsidRPr="00E07116" w:rsidRDefault="00717918" w:rsidP="00717918">
      <w:pPr>
        <w:ind w:left="20"/>
        <w:jc w:val="both"/>
      </w:pPr>
    </w:p>
    <w:p w:rsidR="00717918" w:rsidRDefault="00717918" w:rsidP="00717918">
      <w:pPr>
        <w:ind w:firstLine="0"/>
        <w:jc w:val="center"/>
        <w:rPr>
          <w:b/>
          <w:sz w:val="36"/>
        </w:rPr>
      </w:pPr>
      <w:r>
        <w:rPr>
          <w:sz w:val="36"/>
        </w:rPr>
        <w:t>Estelle CARDE</w:t>
      </w:r>
    </w:p>
    <w:p w:rsidR="00717918" w:rsidRDefault="00717918" w:rsidP="00717918">
      <w:pPr>
        <w:ind w:firstLine="0"/>
        <w:jc w:val="center"/>
        <w:rPr>
          <w:sz w:val="20"/>
          <w:lang w:bidi="ar-SA"/>
        </w:rPr>
      </w:pPr>
      <w:r>
        <w:rPr>
          <w:sz w:val="20"/>
          <w:lang w:bidi="ar-SA"/>
        </w:rPr>
        <w:t>Doctorat en médecine, spécialité “santé publique”</w:t>
      </w:r>
    </w:p>
    <w:p w:rsidR="00717918" w:rsidRDefault="00717918" w:rsidP="00717918">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717918" w:rsidRPr="00E07116" w:rsidRDefault="00717918" w:rsidP="00717918">
      <w:pPr>
        <w:ind w:firstLine="0"/>
        <w:jc w:val="center"/>
      </w:pPr>
    </w:p>
    <w:p w:rsidR="00717918" w:rsidRPr="006939F3" w:rsidRDefault="00717918" w:rsidP="00717918">
      <w:pPr>
        <w:ind w:firstLine="0"/>
        <w:jc w:val="center"/>
        <w:rPr>
          <w:color w:val="000080"/>
          <w:sz w:val="36"/>
        </w:rPr>
      </w:pPr>
      <w:r w:rsidRPr="006939F3">
        <w:rPr>
          <w:color w:val="000080"/>
          <w:sz w:val="36"/>
        </w:rPr>
        <w:t>“L’étranger.”</w:t>
      </w:r>
    </w:p>
    <w:p w:rsidR="00717918" w:rsidRPr="00E07116" w:rsidRDefault="00717918" w:rsidP="00717918">
      <w:pPr>
        <w:ind w:firstLine="0"/>
        <w:jc w:val="center"/>
      </w:pPr>
    </w:p>
    <w:p w:rsidR="00717918" w:rsidRPr="00E07116" w:rsidRDefault="002C4C0E" w:rsidP="00717918">
      <w:pPr>
        <w:ind w:firstLine="0"/>
        <w:jc w:val="center"/>
      </w:pPr>
      <w:r>
        <w:rPr>
          <w:noProof/>
        </w:rPr>
        <w:drawing>
          <wp:inline distT="0" distB="0" distL="0" distR="0">
            <wp:extent cx="3530600" cy="4660900"/>
            <wp:effectExtent l="25400" t="25400" r="12700" b="12700"/>
            <wp:docPr id="5" name="Image 5" descr="Revue_du_CREMIS_3-2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vue_du_CREMIS_3-2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0600" cy="4660900"/>
                    </a:xfrm>
                    <a:prstGeom prst="rect">
                      <a:avLst/>
                    </a:prstGeom>
                    <a:noFill/>
                    <a:ln w="19050" cmpd="sng">
                      <a:solidFill>
                        <a:srgbClr val="000000"/>
                      </a:solidFill>
                      <a:miter lim="800000"/>
                      <a:headEnd/>
                      <a:tailEnd/>
                    </a:ln>
                    <a:effectLst/>
                  </pic:spPr>
                </pic:pic>
              </a:graphicData>
            </a:graphic>
          </wp:inline>
        </w:drawing>
      </w:r>
    </w:p>
    <w:p w:rsidR="00717918" w:rsidRPr="00E07116" w:rsidRDefault="00717918" w:rsidP="00717918">
      <w:pPr>
        <w:jc w:val="both"/>
      </w:pPr>
    </w:p>
    <w:p w:rsidR="00717918" w:rsidRPr="00384B20" w:rsidRDefault="00717918" w:rsidP="00717918">
      <w:pPr>
        <w:jc w:val="both"/>
        <w:rPr>
          <w:sz w:val="24"/>
        </w:rPr>
      </w:pPr>
      <w:r w:rsidRPr="00B07F81">
        <w:t>Un article publié dans</w:t>
      </w:r>
      <w:r>
        <w:t xml:space="preserve"> la</w:t>
      </w:r>
      <w:r w:rsidRPr="00B07F81">
        <w:t xml:space="preserve"> </w:t>
      </w:r>
      <w:r w:rsidRPr="009A2F6B">
        <w:rPr>
          <w:b/>
          <w:i/>
        </w:rPr>
        <w:t>Revue du CREMIS</w:t>
      </w:r>
      <w:r w:rsidRPr="009A2F6B">
        <w:t>, printemps 2010, vol. 3, no 2, pp. 27-31.</w:t>
      </w:r>
    </w:p>
    <w:p w:rsidR="00717918" w:rsidRPr="00E07116" w:rsidRDefault="00717918">
      <w:pPr>
        <w:jc w:val="both"/>
      </w:pPr>
      <w:r w:rsidRPr="00E07116">
        <w:br w:type="page"/>
      </w:r>
    </w:p>
    <w:p w:rsidR="00717918" w:rsidRPr="00E07116" w:rsidRDefault="00717918">
      <w:pPr>
        <w:jc w:val="both"/>
      </w:pPr>
    </w:p>
    <w:p w:rsidR="00717918" w:rsidRPr="00E07116" w:rsidRDefault="00717918" w:rsidP="0071791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17918" w:rsidRPr="00E07116" w:rsidRDefault="00717918" w:rsidP="00717918">
      <w:pPr>
        <w:pStyle w:val="NormalWeb"/>
        <w:spacing w:before="2" w:after="2"/>
        <w:jc w:val="both"/>
        <w:rPr>
          <w:rFonts w:ascii="Times New Roman" w:hAnsi="Times New Roman"/>
          <w:sz w:val="28"/>
        </w:rPr>
      </w:pPr>
    </w:p>
    <w:p w:rsidR="00717918" w:rsidRPr="00E07116" w:rsidRDefault="00717918" w:rsidP="0071791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17918" w:rsidRPr="00E07116" w:rsidRDefault="00717918" w:rsidP="00717918">
      <w:pPr>
        <w:jc w:val="both"/>
        <w:rPr>
          <w:szCs w:val="19"/>
        </w:rPr>
      </w:pPr>
    </w:p>
    <w:p w:rsidR="00717918" w:rsidRPr="00E07116" w:rsidRDefault="00717918">
      <w:pPr>
        <w:jc w:val="both"/>
        <w:rPr>
          <w:szCs w:val="19"/>
        </w:rPr>
      </w:pPr>
    </w:p>
    <w:p w:rsidR="00717918" w:rsidRPr="00E07116" w:rsidRDefault="00717918">
      <w:pPr>
        <w:jc w:val="both"/>
      </w:pPr>
      <w:r w:rsidRPr="00E07116">
        <w:br w:type="page"/>
      </w:r>
    </w:p>
    <w:p w:rsidR="00717918" w:rsidRPr="00E07116" w:rsidRDefault="00717918">
      <w:pPr>
        <w:jc w:val="both"/>
      </w:pPr>
    </w:p>
    <w:p w:rsidR="00717918" w:rsidRPr="00384B20" w:rsidRDefault="00717918" w:rsidP="00717918">
      <w:pPr>
        <w:pStyle w:val="planchest"/>
      </w:pPr>
      <w:bookmarkStart w:id="1" w:name="tdm"/>
      <w:r w:rsidRPr="00384B20">
        <w:t>Table des matières</w:t>
      </w:r>
      <w:bookmarkEnd w:id="1"/>
    </w:p>
    <w:p w:rsidR="00717918" w:rsidRPr="00E07116" w:rsidRDefault="00717918">
      <w:pPr>
        <w:ind w:firstLine="0"/>
      </w:pPr>
    </w:p>
    <w:p w:rsidR="00717918" w:rsidRDefault="00717918">
      <w:pPr>
        <w:ind w:firstLine="0"/>
      </w:pPr>
    </w:p>
    <w:p w:rsidR="00717918" w:rsidRDefault="00717918">
      <w:pPr>
        <w:ind w:firstLine="0"/>
      </w:pPr>
    </w:p>
    <w:p w:rsidR="00717918" w:rsidRPr="00E07116" w:rsidRDefault="00717918">
      <w:pPr>
        <w:ind w:firstLine="0"/>
      </w:pPr>
    </w:p>
    <w:p w:rsidR="00717918" w:rsidRPr="006939F3" w:rsidRDefault="00717918" w:rsidP="00717918">
      <w:pPr>
        <w:spacing w:after="120"/>
        <w:ind w:left="540" w:hanging="540"/>
      </w:pPr>
      <w:hyperlink w:anchor="Etranger_1" w:history="1">
        <w:r w:rsidRPr="00D1524A">
          <w:rPr>
            <w:rStyle w:val="Lienhypertexte"/>
            <w:i/>
            <w:iCs/>
            <w:szCs w:val="16"/>
          </w:rPr>
          <w:t>La discrimination selon l'origine</w:t>
        </w:r>
      </w:hyperlink>
      <w:r>
        <w:rPr>
          <w:iCs/>
          <w:szCs w:val="16"/>
        </w:rPr>
        <w:t xml:space="preserve"> [27]</w:t>
      </w:r>
    </w:p>
    <w:p w:rsidR="00717918" w:rsidRPr="006939F3" w:rsidRDefault="00717918" w:rsidP="00717918">
      <w:pPr>
        <w:pStyle w:val="p"/>
        <w:spacing w:after="120"/>
      </w:pPr>
      <w:hyperlink w:anchor="Etranger_2" w:history="1">
        <w:r w:rsidRPr="00D1524A">
          <w:rPr>
            <w:rStyle w:val="Lienhypertexte"/>
            <w:i/>
            <w:szCs w:val="16"/>
          </w:rPr>
          <w:t>Des</w:t>
        </w:r>
        <w:r w:rsidRPr="00D1524A">
          <w:rPr>
            <w:rStyle w:val="Lienhypertexte"/>
            <w:szCs w:val="16"/>
          </w:rPr>
          <w:t xml:space="preserve"> </w:t>
        </w:r>
        <w:r w:rsidRPr="00D1524A">
          <w:rPr>
            <w:rStyle w:val="Lienhypertexte"/>
            <w:i/>
            <w:iCs/>
            <w:szCs w:val="16"/>
          </w:rPr>
          <w:t>exigences illégales</w:t>
        </w:r>
      </w:hyperlink>
      <w:r>
        <w:rPr>
          <w:iCs/>
          <w:szCs w:val="16"/>
        </w:rPr>
        <w:t xml:space="preserve"> [28]</w:t>
      </w:r>
    </w:p>
    <w:p w:rsidR="00717918" w:rsidRPr="006939F3" w:rsidRDefault="00717918" w:rsidP="00717918">
      <w:pPr>
        <w:pStyle w:val="p"/>
        <w:spacing w:after="120"/>
      </w:pPr>
      <w:hyperlink w:anchor="Etranger_3" w:history="1">
        <w:r w:rsidRPr="00D1524A">
          <w:rPr>
            <w:rStyle w:val="Lienhypertexte"/>
            <w:i/>
            <w:iCs/>
            <w:szCs w:val="16"/>
          </w:rPr>
          <w:t>Différences perçues et discriminations</w:t>
        </w:r>
      </w:hyperlink>
      <w:r>
        <w:rPr>
          <w:iCs/>
          <w:szCs w:val="16"/>
        </w:rPr>
        <w:t xml:space="preserve"> [29]</w:t>
      </w:r>
    </w:p>
    <w:p w:rsidR="00717918" w:rsidRPr="006939F3" w:rsidRDefault="00717918" w:rsidP="00717918">
      <w:pPr>
        <w:pStyle w:val="p"/>
        <w:spacing w:after="120"/>
      </w:pPr>
      <w:hyperlink w:anchor="Etranger_4" w:history="1">
        <w:r w:rsidRPr="00D1524A">
          <w:rPr>
            <w:rStyle w:val="Lienhypertexte"/>
            <w:szCs w:val="16"/>
          </w:rPr>
          <w:t>« </w:t>
        </w:r>
        <w:r w:rsidRPr="00D1524A">
          <w:rPr>
            <w:rStyle w:val="Lienhypertexte"/>
            <w:i/>
            <w:iCs/>
            <w:szCs w:val="16"/>
          </w:rPr>
          <w:t xml:space="preserve">Eux « et </w:t>
        </w:r>
        <w:r w:rsidRPr="00D1524A">
          <w:rPr>
            <w:rStyle w:val="Lienhypertexte"/>
            <w:szCs w:val="16"/>
          </w:rPr>
          <w:t>« </w:t>
        </w:r>
        <w:r w:rsidRPr="00D1524A">
          <w:rPr>
            <w:rStyle w:val="Lienhypertexte"/>
            <w:i/>
            <w:iCs/>
            <w:szCs w:val="16"/>
          </w:rPr>
          <w:t>nous »</w:t>
        </w:r>
      </w:hyperlink>
      <w:r>
        <w:rPr>
          <w:iCs/>
          <w:szCs w:val="16"/>
        </w:rPr>
        <w:t xml:space="preserve"> [31]</w:t>
      </w:r>
    </w:p>
    <w:p w:rsidR="00717918" w:rsidRDefault="00717918" w:rsidP="00717918">
      <w:pPr>
        <w:pStyle w:val="p"/>
      </w:pPr>
    </w:p>
    <w:p w:rsidR="00717918" w:rsidRDefault="00717918" w:rsidP="00717918">
      <w:pPr>
        <w:pStyle w:val="p"/>
      </w:pPr>
    </w:p>
    <w:p w:rsidR="00717918" w:rsidRDefault="00717918" w:rsidP="00717918">
      <w:pPr>
        <w:pStyle w:val="p"/>
      </w:pPr>
    </w:p>
    <w:p w:rsidR="00717918" w:rsidRDefault="00717918" w:rsidP="00717918">
      <w:pPr>
        <w:pStyle w:val="p"/>
      </w:pPr>
    </w:p>
    <w:p w:rsidR="00717918" w:rsidRDefault="00717918" w:rsidP="00717918">
      <w:pPr>
        <w:pStyle w:val="p"/>
      </w:pPr>
      <w:r w:rsidRPr="00E07116">
        <w:br w:type="page"/>
      </w:r>
      <w:r w:rsidRPr="00E07116">
        <w:lastRenderedPageBreak/>
        <w:t>[</w:t>
      </w:r>
      <w:r>
        <w:t>27</w:t>
      </w:r>
      <w:r w:rsidRPr="00E07116">
        <w:t>]</w:t>
      </w:r>
    </w:p>
    <w:p w:rsidR="00717918" w:rsidRDefault="00717918" w:rsidP="00717918">
      <w:pPr>
        <w:pStyle w:val="p"/>
      </w:pPr>
    </w:p>
    <w:p w:rsidR="00717918" w:rsidRPr="00E07116" w:rsidRDefault="00717918" w:rsidP="00717918">
      <w:pPr>
        <w:pStyle w:val="p"/>
      </w:pPr>
    </w:p>
    <w:p w:rsidR="00717918" w:rsidRDefault="00717918" w:rsidP="00717918">
      <w:pPr>
        <w:ind w:firstLine="0"/>
        <w:jc w:val="center"/>
        <w:rPr>
          <w:b/>
          <w:sz w:val="36"/>
        </w:rPr>
      </w:pPr>
      <w:r>
        <w:rPr>
          <w:sz w:val="36"/>
        </w:rPr>
        <w:t>Estelle CARDE </w:t>
      </w:r>
      <w:r>
        <w:rPr>
          <w:rStyle w:val="Appelnotedebasdep"/>
        </w:rPr>
        <w:footnoteReference w:customMarkFollows="1" w:id="1"/>
        <w:t>*</w:t>
      </w:r>
    </w:p>
    <w:p w:rsidR="00717918" w:rsidRDefault="00717918" w:rsidP="00717918">
      <w:pPr>
        <w:ind w:firstLine="0"/>
        <w:jc w:val="center"/>
        <w:rPr>
          <w:sz w:val="20"/>
          <w:lang w:bidi="ar-SA"/>
        </w:rPr>
      </w:pPr>
      <w:r>
        <w:rPr>
          <w:sz w:val="20"/>
          <w:lang w:bidi="ar-SA"/>
        </w:rPr>
        <w:t>Doctorat en médecine, spécialité “santé publique”</w:t>
      </w:r>
    </w:p>
    <w:p w:rsidR="00717918" w:rsidRDefault="00717918" w:rsidP="00717918">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717918" w:rsidRPr="00E07116" w:rsidRDefault="00717918" w:rsidP="00717918">
      <w:pPr>
        <w:ind w:firstLine="0"/>
        <w:jc w:val="center"/>
      </w:pPr>
    </w:p>
    <w:p w:rsidR="00717918" w:rsidRPr="006939F3" w:rsidRDefault="00717918" w:rsidP="00717918">
      <w:pPr>
        <w:ind w:firstLine="0"/>
        <w:jc w:val="center"/>
        <w:rPr>
          <w:color w:val="000080"/>
          <w:sz w:val="36"/>
        </w:rPr>
      </w:pPr>
      <w:r w:rsidRPr="006939F3">
        <w:rPr>
          <w:color w:val="000080"/>
          <w:sz w:val="36"/>
        </w:rPr>
        <w:t>“L’étranger.”</w:t>
      </w:r>
    </w:p>
    <w:p w:rsidR="00717918" w:rsidRPr="00E07116" w:rsidRDefault="00717918" w:rsidP="00717918">
      <w:pPr>
        <w:ind w:firstLine="0"/>
        <w:jc w:val="center"/>
      </w:pPr>
    </w:p>
    <w:p w:rsidR="00717918" w:rsidRPr="00E07116" w:rsidRDefault="00717918" w:rsidP="00717918">
      <w:pPr>
        <w:jc w:val="both"/>
      </w:pPr>
    </w:p>
    <w:p w:rsidR="00717918" w:rsidRPr="00384B20" w:rsidRDefault="00717918" w:rsidP="00717918">
      <w:pPr>
        <w:jc w:val="both"/>
        <w:rPr>
          <w:sz w:val="24"/>
        </w:rPr>
      </w:pPr>
      <w:r w:rsidRPr="00B07F81">
        <w:t>Un article publié dans</w:t>
      </w:r>
      <w:r>
        <w:t xml:space="preserve"> la</w:t>
      </w:r>
      <w:r w:rsidRPr="00B07F81">
        <w:t xml:space="preserve"> </w:t>
      </w:r>
      <w:r w:rsidRPr="009A2F6B">
        <w:rPr>
          <w:b/>
          <w:i/>
        </w:rPr>
        <w:t>Revue du CREMIS</w:t>
      </w:r>
      <w:r w:rsidRPr="009A2F6B">
        <w:t>, printemps 2010, vol. 3, no 2, pp. 27-31.</w:t>
      </w:r>
    </w:p>
    <w:p w:rsidR="00717918" w:rsidRPr="00E07116" w:rsidRDefault="00717918" w:rsidP="00717918">
      <w:pPr>
        <w:jc w:val="both"/>
      </w:pPr>
    </w:p>
    <w:p w:rsidR="00717918" w:rsidRPr="00E07116" w:rsidRDefault="00717918">
      <w:pPr>
        <w:jc w:val="both"/>
      </w:pPr>
    </w:p>
    <w:p w:rsidR="00717918" w:rsidRDefault="00717918">
      <w:pPr>
        <w:jc w:val="both"/>
      </w:pPr>
    </w:p>
    <w:p w:rsidR="00717918" w:rsidRPr="00E07116" w:rsidRDefault="00717918">
      <w:pPr>
        <w:jc w:val="both"/>
      </w:pPr>
    </w:p>
    <w:p w:rsidR="00717918" w:rsidRDefault="00717918" w:rsidP="00717918">
      <w:pPr>
        <w:spacing w:before="120" w:after="120"/>
        <w:jc w:val="both"/>
        <w:rPr>
          <w:szCs w:val="16"/>
        </w:rPr>
      </w:pPr>
      <w:r w:rsidRPr="009A2F6B">
        <w:rPr>
          <w:szCs w:val="16"/>
        </w:rPr>
        <w:t>Si toute discrimination est une façon spécifique de traiter une p</w:t>
      </w:r>
      <w:r w:rsidRPr="009A2F6B">
        <w:rPr>
          <w:szCs w:val="16"/>
        </w:rPr>
        <w:t>o</w:t>
      </w:r>
      <w:r w:rsidRPr="009A2F6B">
        <w:rPr>
          <w:szCs w:val="16"/>
        </w:rPr>
        <w:t>pulation, tout traitement spécifique n'est pas discriminatoire. Quels sont les processus par lesquels le spécifique se mue en discriminato</w:t>
      </w:r>
      <w:r w:rsidRPr="009A2F6B">
        <w:rPr>
          <w:szCs w:val="16"/>
        </w:rPr>
        <w:t>i</w:t>
      </w:r>
      <w:r w:rsidRPr="009A2F6B">
        <w:rPr>
          <w:szCs w:val="16"/>
        </w:rPr>
        <w:t>re ? Cette réflexion s'appuie sur les principaux résultats de ma thèse en sociologie, qui portait sur les discriminations selon l'origine dans l'a</w:t>
      </w:r>
      <w:r w:rsidRPr="009A2F6B">
        <w:rPr>
          <w:szCs w:val="16"/>
        </w:rPr>
        <w:t>c</w:t>
      </w:r>
      <w:r w:rsidRPr="009A2F6B">
        <w:rPr>
          <w:szCs w:val="16"/>
        </w:rPr>
        <w:t>cès aux soins en France. </w:t>
      </w:r>
      <w:r w:rsidRPr="009A2F6B">
        <w:rPr>
          <w:rStyle w:val="Appelnotedebasdep"/>
          <w:szCs w:val="16"/>
        </w:rPr>
        <w:footnoteReference w:id="2"/>
      </w:r>
    </w:p>
    <w:p w:rsidR="00717918" w:rsidRPr="009A2F6B" w:rsidRDefault="00717918" w:rsidP="00717918">
      <w:pPr>
        <w:spacing w:before="120" w:after="120"/>
        <w:jc w:val="both"/>
      </w:pPr>
    </w:p>
    <w:p w:rsidR="00717918" w:rsidRPr="009A2F6B" w:rsidRDefault="00717918" w:rsidP="00717918">
      <w:pPr>
        <w:pStyle w:val="a"/>
      </w:pPr>
      <w:bookmarkStart w:id="2" w:name="Etranger_1"/>
      <w:r w:rsidRPr="009A2F6B">
        <w:t>La discrimination selon l'origine</w:t>
      </w:r>
    </w:p>
    <w:bookmarkEnd w:id="2"/>
    <w:p w:rsidR="00717918" w:rsidRDefault="00717918" w:rsidP="00717918">
      <w:pPr>
        <w:spacing w:before="120" w:after="120"/>
        <w:jc w:val="both"/>
        <w:rPr>
          <w:szCs w:val="16"/>
        </w:rPr>
      </w:pPr>
    </w:p>
    <w:p w:rsidR="00717918" w:rsidRPr="00384B20" w:rsidRDefault="00717918" w:rsidP="00717918">
      <w:pPr>
        <w:ind w:right="90" w:firstLine="0"/>
        <w:jc w:val="both"/>
        <w:rPr>
          <w:sz w:val="20"/>
        </w:rPr>
      </w:pPr>
      <w:hyperlink w:anchor="tdm" w:history="1">
        <w:r w:rsidRPr="00384B20">
          <w:rPr>
            <w:rStyle w:val="Lienhypertexte"/>
            <w:sz w:val="20"/>
          </w:rPr>
          <w:t>Retour à la table des matières</w:t>
        </w:r>
      </w:hyperlink>
    </w:p>
    <w:p w:rsidR="00717918" w:rsidRPr="009A2F6B" w:rsidRDefault="00717918" w:rsidP="00717918">
      <w:pPr>
        <w:spacing w:before="120" w:after="120"/>
        <w:jc w:val="both"/>
      </w:pPr>
      <w:r w:rsidRPr="009A2F6B">
        <w:rPr>
          <w:szCs w:val="16"/>
        </w:rPr>
        <w:t>Jusqu'à la fin des années 1990, la discrimination est restée, en France, le domaine quasi exclusif de la justice. C'est donc sur la déf</w:t>
      </w:r>
      <w:r w:rsidRPr="009A2F6B">
        <w:rPr>
          <w:szCs w:val="16"/>
        </w:rPr>
        <w:t>i</w:t>
      </w:r>
      <w:r w:rsidRPr="009A2F6B">
        <w:rPr>
          <w:szCs w:val="16"/>
        </w:rPr>
        <w:t>nition qu'en a donnée la juriste Danièle Lochak, que la problém</w:t>
      </w:r>
      <w:r w:rsidRPr="009A2F6B">
        <w:rPr>
          <w:szCs w:val="16"/>
        </w:rPr>
        <w:t>a</w:t>
      </w:r>
      <w:r w:rsidRPr="009A2F6B">
        <w:rPr>
          <w:szCs w:val="16"/>
        </w:rPr>
        <w:t>tique de cette recherche doctorale s'est appuyée : la discrimination est un traitement différentiel, entendu le plus souvent au sens de d</w:t>
      </w:r>
      <w:r w:rsidRPr="009A2F6B">
        <w:rPr>
          <w:szCs w:val="16"/>
        </w:rPr>
        <w:t>é</w:t>
      </w:r>
      <w:r w:rsidRPr="009A2F6B">
        <w:rPr>
          <w:szCs w:val="16"/>
        </w:rPr>
        <w:t>favorable, et illégitime (Lochak, 1987).</w:t>
      </w:r>
    </w:p>
    <w:p w:rsidR="00717918" w:rsidRDefault="00717918" w:rsidP="00717918">
      <w:pPr>
        <w:spacing w:before="120" w:after="120"/>
        <w:jc w:val="both"/>
        <w:rPr>
          <w:rFonts w:cs="Calibri Light"/>
        </w:rPr>
      </w:pPr>
    </w:p>
    <w:p w:rsidR="00717918" w:rsidRDefault="002C4C0E" w:rsidP="00717918">
      <w:pPr>
        <w:spacing w:before="120" w:after="120"/>
        <w:ind w:firstLine="0"/>
        <w:jc w:val="both"/>
      </w:pPr>
      <w:r>
        <w:rPr>
          <w:noProof/>
        </w:rPr>
        <w:drawing>
          <wp:inline distT="0" distB="0" distL="0" distR="0">
            <wp:extent cx="5029200" cy="3632200"/>
            <wp:effectExtent l="25400" t="25400" r="12700" b="12700"/>
            <wp:docPr id="6" name="Image 6" descr="fig_p_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2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3632200"/>
                    </a:xfrm>
                    <a:prstGeom prst="rect">
                      <a:avLst/>
                    </a:prstGeom>
                    <a:noFill/>
                    <a:ln w="19050" cmpd="sng">
                      <a:solidFill>
                        <a:srgbClr val="000000"/>
                      </a:solidFill>
                      <a:miter lim="800000"/>
                      <a:headEnd/>
                      <a:tailEnd/>
                    </a:ln>
                    <a:effectLst/>
                  </pic:spPr>
                </pic:pic>
              </a:graphicData>
            </a:graphic>
          </wp:inline>
        </w:drawing>
      </w:r>
    </w:p>
    <w:p w:rsidR="00717918" w:rsidRDefault="00717918" w:rsidP="00717918">
      <w:pPr>
        <w:spacing w:before="120" w:after="120"/>
        <w:ind w:firstLine="0"/>
        <w:jc w:val="both"/>
      </w:pPr>
    </w:p>
    <w:p w:rsidR="00717918" w:rsidRPr="009A2F6B" w:rsidRDefault="00717918" w:rsidP="00717918">
      <w:pPr>
        <w:spacing w:before="120" w:after="120"/>
        <w:jc w:val="both"/>
      </w:pPr>
      <w:r w:rsidRPr="009A2F6B">
        <w:t xml:space="preserve">Pour qualifier cet acte de discriminatoire, il n’est pas nécessaire que son auteur ait l’intention </w:t>
      </w:r>
      <w:r w:rsidRPr="009A2F6B">
        <w:rPr>
          <w:szCs w:val="16"/>
        </w:rPr>
        <w:t>qu'il soit défavorable ; il faut en reva</w:t>
      </w:r>
      <w:r w:rsidRPr="009A2F6B">
        <w:rPr>
          <w:szCs w:val="16"/>
        </w:rPr>
        <w:t>n</w:t>
      </w:r>
      <w:r w:rsidRPr="009A2F6B">
        <w:rPr>
          <w:szCs w:val="16"/>
        </w:rPr>
        <w:t>che qu'il soit illégitime. Mais comment identifier l'illégitimité ? Si les juristes assimilent cette dernière à une illégalité, les sociologues pe</w:t>
      </w:r>
      <w:r w:rsidRPr="009A2F6B">
        <w:rPr>
          <w:szCs w:val="16"/>
        </w:rPr>
        <w:t>u</w:t>
      </w:r>
      <w:r w:rsidRPr="009A2F6B">
        <w:rPr>
          <w:szCs w:val="16"/>
        </w:rPr>
        <w:t>vent diffic</w:t>
      </w:r>
      <w:r w:rsidRPr="009A2F6B">
        <w:rPr>
          <w:szCs w:val="16"/>
        </w:rPr>
        <w:t>i</w:t>
      </w:r>
      <w:r w:rsidRPr="009A2F6B">
        <w:rPr>
          <w:szCs w:val="16"/>
        </w:rPr>
        <w:t>lement se satisfaire de cette équivalence, ne serait-ce que parce qu'il leur faudrait alors renoncer à interroger la légitimité des différences de traitement instaurées par les lois. Pour ma part, travai</w:t>
      </w:r>
      <w:r w:rsidRPr="009A2F6B">
        <w:rPr>
          <w:szCs w:val="16"/>
        </w:rPr>
        <w:t>l</w:t>
      </w:r>
      <w:r w:rsidRPr="009A2F6B">
        <w:rPr>
          <w:szCs w:val="16"/>
        </w:rPr>
        <w:t>lant sur les discriminations opérées par des professionnels, j'ai décidé d'évaluer l'illégitimité au regard des « bonnes pratiques professionne</w:t>
      </w:r>
      <w:r w:rsidRPr="009A2F6B">
        <w:rPr>
          <w:szCs w:val="16"/>
        </w:rPr>
        <w:t>l</w:t>
      </w:r>
      <w:r w:rsidRPr="009A2F6B">
        <w:rPr>
          <w:szCs w:val="16"/>
        </w:rPr>
        <w:t>les », telles que définies par la loi, mais aussi par la déontologie et les connaissances mises à jour. Il y a donc discrimination quand une pr</w:t>
      </w:r>
      <w:r w:rsidRPr="009A2F6B">
        <w:rPr>
          <w:szCs w:val="16"/>
        </w:rPr>
        <w:t>a</w:t>
      </w:r>
      <w:r w:rsidRPr="009A2F6B">
        <w:rPr>
          <w:szCs w:val="16"/>
        </w:rPr>
        <w:t>tique est différenciée au nom d'un critère (en l'occurrence l'orig</w:t>
      </w:r>
      <w:r w:rsidRPr="009A2F6B">
        <w:rPr>
          <w:szCs w:val="16"/>
        </w:rPr>
        <w:t>i</w:t>
      </w:r>
      <w:r w:rsidRPr="009A2F6B">
        <w:rPr>
          <w:szCs w:val="16"/>
        </w:rPr>
        <w:t>ne) dont la prise en compte est inopportune du point de vue des bonnes pratiques profe</w:t>
      </w:r>
      <w:r w:rsidRPr="009A2F6B">
        <w:rPr>
          <w:szCs w:val="16"/>
        </w:rPr>
        <w:t>s</w:t>
      </w:r>
      <w:r w:rsidRPr="009A2F6B">
        <w:rPr>
          <w:szCs w:val="16"/>
        </w:rPr>
        <w:t>sionnelles.</w:t>
      </w:r>
    </w:p>
    <w:p w:rsidR="00717918" w:rsidRPr="009A2F6B" w:rsidRDefault="00717918" w:rsidP="00717918">
      <w:pPr>
        <w:spacing w:before="120" w:after="120"/>
        <w:jc w:val="both"/>
      </w:pPr>
      <w:r w:rsidRPr="009A2F6B">
        <w:br w:type="page"/>
      </w:r>
      <w:r>
        <w:rPr>
          <w:szCs w:val="16"/>
        </w:rPr>
        <w:lastRenderedPageBreak/>
        <w:t>[28]</w:t>
      </w:r>
    </w:p>
    <w:p w:rsidR="00717918" w:rsidRPr="009A2F6B" w:rsidRDefault="00717918" w:rsidP="00717918">
      <w:pPr>
        <w:spacing w:before="120" w:after="120"/>
        <w:jc w:val="both"/>
      </w:pPr>
      <w:r w:rsidRPr="009A2F6B">
        <w:rPr>
          <w:szCs w:val="16"/>
        </w:rPr>
        <w:t>De 2001 à 2003, 175 professionnels de l'accès aux soins ont été rencontrés en France : soignants, travailleurs sociaux et agents dans les administrations chargées de délivrer une couverture maladie. L'analyse qualitative du matériau ainsi recueilli lors d'entretiens et d'observations de terrain m'a permis de distinguer deux grands types de processus au cours desquels un traitement spécifique devient di</w:t>
      </w:r>
      <w:r w:rsidRPr="009A2F6B">
        <w:rPr>
          <w:szCs w:val="16"/>
        </w:rPr>
        <w:t>s</w:t>
      </w:r>
      <w:r w:rsidRPr="009A2F6B">
        <w:rPr>
          <w:szCs w:val="16"/>
        </w:rPr>
        <w:t>criminatoire.</w:t>
      </w:r>
    </w:p>
    <w:p w:rsidR="00717918" w:rsidRPr="009A2F6B" w:rsidRDefault="00717918" w:rsidP="00717918">
      <w:pPr>
        <w:spacing w:before="120" w:after="120"/>
        <w:jc w:val="both"/>
      </w:pPr>
    </w:p>
    <w:p w:rsidR="00717918" w:rsidRPr="009A2F6B" w:rsidRDefault="00717918" w:rsidP="00717918">
      <w:pPr>
        <w:pStyle w:val="a"/>
      </w:pPr>
      <w:bookmarkStart w:id="3" w:name="Etranger_2"/>
      <w:r w:rsidRPr="009A2F6B">
        <w:t>Des exigences illégales</w:t>
      </w:r>
    </w:p>
    <w:bookmarkEnd w:id="3"/>
    <w:p w:rsidR="00717918" w:rsidRDefault="00717918" w:rsidP="00717918">
      <w:pPr>
        <w:spacing w:before="120" w:after="120"/>
        <w:jc w:val="both"/>
        <w:rPr>
          <w:szCs w:val="16"/>
        </w:rPr>
      </w:pPr>
    </w:p>
    <w:p w:rsidR="00717918" w:rsidRPr="00384B20" w:rsidRDefault="00717918" w:rsidP="00717918">
      <w:pPr>
        <w:ind w:right="90" w:firstLine="0"/>
        <w:jc w:val="both"/>
        <w:rPr>
          <w:sz w:val="20"/>
        </w:rPr>
      </w:pPr>
      <w:hyperlink w:anchor="tdm" w:history="1">
        <w:r w:rsidRPr="00384B20">
          <w:rPr>
            <w:rStyle w:val="Lienhypertexte"/>
            <w:sz w:val="20"/>
          </w:rPr>
          <w:t>Retour à la table des matières</w:t>
        </w:r>
      </w:hyperlink>
    </w:p>
    <w:p w:rsidR="00717918" w:rsidRPr="009A2F6B" w:rsidRDefault="00717918" w:rsidP="00717918">
      <w:pPr>
        <w:spacing w:before="120" w:after="120"/>
        <w:jc w:val="both"/>
      </w:pPr>
      <w:r w:rsidRPr="009A2F6B">
        <w:rPr>
          <w:szCs w:val="16"/>
        </w:rPr>
        <w:t>La protection sociale française, au</w:t>
      </w:r>
      <w:r>
        <w:rPr>
          <w:szCs w:val="16"/>
        </w:rPr>
        <w:t xml:space="preserve"> </w:t>
      </w:r>
      <w:r w:rsidRPr="009A2F6B">
        <w:rPr>
          <w:szCs w:val="16"/>
        </w:rPr>
        <w:t>lendemain de la</w:t>
      </w:r>
      <w:r>
        <w:rPr>
          <w:szCs w:val="16"/>
        </w:rPr>
        <w:t xml:space="preserve"> </w:t>
      </w:r>
      <w:r w:rsidRPr="009A2F6B">
        <w:rPr>
          <w:szCs w:val="16"/>
        </w:rPr>
        <w:t>Seconde Guerre</w:t>
      </w:r>
      <w:r>
        <w:rPr>
          <w:szCs w:val="16"/>
        </w:rPr>
        <w:t xml:space="preserve"> </w:t>
      </w:r>
      <w:r w:rsidRPr="009A2F6B">
        <w:rPr>
          <w:szCs w:val="16"/>
        </w:rPr>
        <w:t>mondiale, associe</w:t>
      </w:r>
      <w:r>
        <w:rPr>
          <w:szCs w:val="16"/>
        </w:rPr>
        <w:t xml:space="preserve"> </w:t>
      </w:r>
      <w:r w:rsidRPr="009A2F6B">
        <w:rPr>
          <w:szCs w:val="16"/>
        </w:rPr>
        <w:t>deux systèmes : la</w:t>
      </w:r>
      <w:r>
        <w:rPr>
          <w:szCs w:val="16"/>
        </w:rPr>
        <w:t xml:space="preserve"> </w:t>
      </w:r>
      <w:r w:rsidRPr="009A2F6B">
        <w:rPr>
          <w:szCs w:val="16"/>
        </w:rPr>
        <w:t>sécurité sociale (à</w:t>
      </w:r>
      <w:r>
        <w:rPr>
          <w:szCs w:val="16"/>
        </w:rPr>
        <w:t xml:space="preserve"> </w:t>
      </w:r>
      <w:r w:rsidRPr="009A2F6B">
        <w:rPr>
          <w:szCs w:val="16"/>
        </w:rPr>
        <w:t>laquelle cot</w:t>
      </w:r>
      <w:r w:rsidRPr="009A2F6B">
        <w:rPr>
          <w:szCs w:val="16"/>
        </w:rPr>
        <w:t>i</w:t>
      </w:r>
      <w:r w:rsidRPr="009A2F6B">
        <w:rPr>
          <w:szCs w:val="16"/>
        </w:rPr>
        <w:t>sent</w:t>
      </w:r>
      <w:r>
        <w:rPr>
          <w:szCs w:val="16"/>
        </w:rPr>
        <w:t xml:space="preserve"> </w:t>
      </w:r>
      <w:r w:rsidRPr="009A2F6B">
        <w:rPr>
          <w:szCs w:val="16"/>
        </w:rPr>
        <w:t>les travailleurs) et</w:t>
      </w:r>
      <w:r>
        <w:rPr>
          <w:szCs w:val="16"/>
        </w:rPr>
        <w:t xml:space="preserve"> </w:t>
      </w:r>
      <w:r w:rsidRPr="009A2F6B">
        <w:rPr>
          <w:szCs w:val="16"/>
        </w:rPr>
        <w:t>l'aide</w:t>
      </w:r>
      <w:r>
        <w:rPr>
          <w:szCs w:val="16"/>
        </w:rPr>
        <w:t xml:space="preserve"> </w:t>
      </w:r>
      <w:r w:rsidRPr="009A2F6B">
        <w:rPr>
          <w:szCs w:val="16"/>
        </w:rPr>
        <w:t>sociale</w:t>
      </w:r>
      <w:r>
        <w:rPr>
          <w:szCs w:val="16"/>
        </w:rPr>
        <w:t xml:space="preserve"> </w:t>
      </w:r>
      <w:r w:rsidRPr="009A2F6B">
        <w:rPr>
          <w:szCs w:val="16"/>
        </w:rPr>
        <w:t>(accordée</w:t>
      </w:r>
      <w:r>
        <w:rPr>
          <w:szCs w:val="16"/>
        </w:rPr>
        <w:t xml:space="preserve"> </w:t>
      </w:r>
      <w:r w:rsidRPr="009A2F6B">
        <w:rPr>
          <w:szCs w:val="16"/>
        </w:rPr>
        <w:t>par</w:t>
      </w:r>
      <w:r>
        <w:rPr>
          <w:szCs w:val="16"/>
        </w:rPr>
        <w:t xml:space="preserve"> </w:t>
      </w:r>
      <w:r w:rsidRPr="009A2F6B">
        <w:rPr>
          <w:szCs w:val="16"/>
        </w:rPr>
        <w:t>solidarité aux « indigents »). Depuis une vingtaine d'années, ce</w:t>
      </w:r>
      <w:r w:rsidRPr="009A2F6B">
        <w:rPr>
          <w:szCs w:val="16"/>
        </w:rPr>
        <w:t>t</w:t>
      </w:r>
      <w:r w:rsidRPr="009A2F6B">
        <w:rPr>
          <w:szCs w:val="16"/>
        </w:rPr>
        <w:t>te ligne de partage s'est progressivement déplacée et aujourd'hui, plutôt que d'opposer travailleurs et indigents, elle tend à isoler les étrangers en situation irrégulière du reste de la population vivant en France.</w:t>
      </w:r>
    </w:p>
    <w:p w:rsidR="00717918" w:rsidRPr="009A2F6B" w:rsidRDefault="00717918" w:rsidP="00717918">
      <w:pPr>
        <w:spacing w:before="120" w:after="120"/>
        <w:jc w:val="both"/>
      </w:pPr>
      <w:r w:rsidRPr="009A2F6B">
        <w:rPr>
          <w:szCs w:val="16"/>
        </w:rPr>
        <w:t>Cette situation est patente en matière de couverture maladie. En 1993, une loi a imposé la régularité du séjour des étrangers pour bén</w:t>
      </w:r>
      <w:r w:rsidRPr="009A2F6B">
        <w:rPr>
          <w:szCs w:val="16"/>
        </w:rPr>
        <w:t>é</w:t>
      </w:r>
      <w:r w:rsidRPr="009A2F6B">
        <w:rPr>
          <w:szCs w:val="16"/>
        </w:rPr>
        <w:t>ficier de la sécurité sociale, y compris de l'assurance maladie. Ind</w:t>
      </w:r>
      <w:r w:rsidRPr="009A2F6B">
        <w:rPr>
          <w:szCs w:val="16"/>
        </w:rPr>
        <w:t>i</w:t>
      </w:r>
      <w:r w:rsidRPr="009A2F6B">
        <w:rPr>
          <w:szCs w:val="16"/>
        </w:rPr>
        <w:t>gents ou travailleurs, tous les étrangers sans-papiers n'ont alors plus eu d'autre possibilité de couverture maladie que l'aide médicale relevant de l'aide sociale. En 1999, la création de la Couverture Maladie Un</w:t>
      </w:r>
      <w:r w:rsidRPr="009A2F6B">
        <w:rPr>
          <w:szCs w:val="16"/>
        </w:rPr>
        <w:t>i</w:t>
      </w:r>
      <w:r w:rsidRPr="009A2F6B">
        <w:rPr>
          <w:szCs w:val="16"/>
        </w:rPr>
        <w:t>verselle (CMU) a permis à toutes les personnes résidantes en France d'accéder à l'assurance maladie, quel que soit leur niveau de ressou</w:t>
      </w:r>
      <w:r w:rsidRPr="009A2F6B">
        <w:rPr>
          <w:szCs w:val="16"/>
        </w:rPr>
        <w:t>r</w:t>
      </w:r>
      <w:r w:rsidRPr="009A2F6B">
        <w:rPr>
          <w:szCs w:val="16"/>
        </w:rPr>
        <w:t>ces... toutes, sauf les étrangers sans-papiers (la CMU étant une prest</w:t>
      </w:r>
      <w:r w:rsidRPr="009A2F6B">
        <w:rPr>
          <w:szCs w:val="16"/>
        </w:rPr>
        <w:t>a</w:t>
      </w:r>
      <w:r w:rsidRPr="009A2F6B">
        <w:rPr>
          <w:szCs w:val="16"/>
        </w:rPr>
        <w:t>tion de l'assurance maladie, il faut un titre de séjour pour y prétendre). Les sans-papiers sont donc désormais les seuls bénéf</w:t>
      </w:r>
      <w:r w:rsidRPr="009A2F6B">
        <w:rPr>
          <w:szCs w:val="16"/>
        </w:rPr>
        <w:t>i</w:t>
      </w:r>
      <w:r w:rsidRPr="009A2F6B">
        <w:rPr>
          <w:szCs w:val="16"/>
        </w:rPr>
        <w:t>ciaires de l'aide médicale, tous les autres indigents ayant basculé dans la couverture   universelle. L'évolution de leurs</w:t>
      </w:r>
      <w:r>
        <w:rPr>
          <w:szCs w:val="16"/>
        </w:rPr>
        <w:t xml:space="preserve"> </w:t>
      </w:r>
      <w:r w:rsidRPr="009A2F6B">
        <w:rPr>
          <w:szCs w:val="16"/>
        </w:rPr>
        <w:t>droits s'est ainsi</w:t>
      </w:r>
      <w:r>
        <w:rPr>
          <w:szCs w:val="16"/>
        </w:rPr>
        <w:t xml:space="preserve"> </w:t>
      </w:r>
      <w:r w:rsidRPr="009A2F6B">
        <w:rPr>
          <w:szCs w:val="16"/>
        </w:rPr>
        <w:t>déroulée en deux</w:t>
      </w:r>
      <w:r>
        <w:rPr>
          <w:szCs w:val="16"/>
        </w:rPr>
        <w:t xml:space="preserve"> </w:t>
      </w:r>
      <w:r w:rsidRPr="009A2F6B">
        <w:rPr>
          <w:szCs w:val="16"/>
        </w:rPr>
        <w:t>temps : exclusion</w:t>
      </w:r>
      <w:r>
        <w:rPr>
          <w:szCs w:val="16"/>
        </w:rPr>
        <w:t xml:space="preserve"> </w:t>
      </w:r>
      <w:r w:rsidRPr="009A2F6B">
        <w:rPr>
          <w:szCs w:val="16"/>
        </w:rPr>
        <w:t>de l'assurance</w:t>
      </w:r>
      <w:r>
        <w:rPr>
          <w:szCs w:val="16"/>
        </w:rPr>
        <w:t xml:space="preserve"> </w:t>
      </w:r>
      <w:r w:rsidRPr="009A2F6B">
        <w:rPr>
          <w:szCs w:val="16"/>
        </w:rPr>
        <w:t>maladie,</w:t>
      </w:r>
      <w:r>
        <w:rPr>
          <w:szCs w:val="16"/>
        </w:rPr>
        <w:t xml:space="preserve"> </w:t>
      </w:r>
      <w:r w:rsidRPr="009A2F6B">
        <w:rPr>
          <w:szCs w:val="16"/>
        </w:rPr>
        <w:t>puis</w:t>
      </w:r>
      <w:r>
        <w:rPr>
          <w:szCs w:val="16"/>
        </w:rPr>
        <w:t xml:space="preserve"> </w:t>
      </w:r>
      <w:r w:rsidRPr="009A2F6B">
        <w:rPr>
          <w:szCs w:val="16"/>
        </w:rPr>
        <w:t>isolement au sein de l'aide médicale.</w:t>
      </w:r>
    </w:p>
    <w:p w:rsidR="00717918" w:rsidRDefault="00717918" w:rsidP="00717918">
      <w:pPr>
        <w:spacing w:before="120" w:after="120"/>
        <w:ind w:firstLine="0"/>
        <w:jc w:val="both"/>
        <w:rPr>
          <w:szCs w:val="16"/>
        </w:rPr>
      </w:pPr>
      <w:r>
        <w:rPr>
          <w:szCs w:val="16"/>
        </w:rPr>
        <w:br w:type="page"/>
      </w:r>
    </w:p>
    <w:p w:rsidR="00717918" w:rsidRDefault="002C4C0E" w:rsidP="00717918">
      <w:pPr>
        <w:spacing w:before="120" w:after="120"/>
        <w:ind w:firstLine="0"/>
        <w:jc w:val="both"/>
        <w:rPr>
          <w:szCs w:val="16"/>
        </w:rPr>
      </w:pPr>
      <w:r w:rsidRPr="00D1524A">
        <w:rPr>
          <w:noProof/>
          <w:szCs w:val="16"/>
        </w:rPr>
        <w:drawing>
          <wp:inline distT="0" distB="0" distL="0" distR="0">
            <wp:extent cx="5029200" cy="3517900"/>
            <wp:effectExtent l="25400" t="25400" r="12700" b="12700"/>
            <wp:docPr id="7" name="Image 7" descr="fig_p_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p_2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3517900"/>
                    </a:xfrm>
                    <a:prstGeom prst="rect">
                      <a:avLst/>
                    </a:prstGeom>
                    <a:noFill/>
                    <a:ln w="19050" cmpd="sng">
                      <a:solidFill>
                        <a:srgbClr val="000000"/>
                      </a:solidFill>
                      <a:miter lim="800000"/>
                      <a:headEnd/>
                      <a:tailEnd/>
                    </a:ln>
                    <a:effectLst/>
                  </pic:spPr>
                </pic:pic>
              </a:graphicData>
            </a:graphic>
          </wp:inline>
        </w:drawing>
      </w:r>
    </w:p>
    <w:p w:rsidR="00717918" w:rsidRDefault="00717918" w:rsidP="00717918">
      <w:pPr>
        <w:spacing w:before="120" w:after="120"/>
        <w:jc w:val="both"/>
        <w:rPr>
          <w:szCs w:val="16"/>
        </w:rPr>
      </w:pPr>
    </w:p>
    <w:p w:rsidR="00717918" w:rsidRPr="009A2F6B" w:rsidRDefault="00717918" w:rsidP="00717918">
      <w:pPr>
        <w:spacing w:before="120" w:after="120"/>
        <w:jc w:val="both"/>
      </w:pPr>
      <w:r w:rsidRPr="009A2F6B">
        <w:rPr>
          <w:szCs w:val="16"/>
        </w:rPr>
        <w:t>Les associations de défense de droits des étrangers ont salué le progrès que le vote de la loi CMU représentait pour l'accès aux soins pour le plus grand nombre. Certaines y ont cependant également déc</w:t>
      </w:r>
      <w:r w:rsidRPr="009A2F6B">
        <w:rPr>
          <w:szCs w:val="16"/>
        </w:rPr>
        <w:t>e</w:t>
      </w:r>
      <w:r w:rsidRPr="009A2F6B">
        <w:rPr>
          <w:szCs w:val="16"/>
        </w:rPr>
        <w:t>lé les germes d'un danger, à savoir que l'isolement des sans-papiers au sein d'une catégorie de droit qui leur était désormais spécifiquement réservée ne favorise la restriction de ces droits.</w:t>
      </w:r>
    </w:p>
    <w:p w:rsidR="00717918" w:rsidRPr="009A2F6B" w:rsidRDefault="00717918" w:rsidP="00717918">
      <w:pPr>
        <w:spacing w:before="120" w:after="120"/>
        <w:jc w:val="both"/>
      </w:pPr>
      <w:r w:rsidRPr="009A2F6B">
        <w:rPr>
          <w:szCs w:val="16"/>
        </w:rPr>
        <w:t>La suite des événements leur a donné raison. À la fin de l'année 2003 était votée une loi qui réduisait l'accès à l'aide médicale, interd</w:t>
      </w:r>
      <w:r w:rsidRPr="009A2F6B">
        <w:rPr>
          <w:szCs w:val="16"/>
        </w:rPr>
        <w:t>i</w:t>
      </w:r>
      <w:r w:rsidRPr="009A2F6B">
        <w:rPr>
          <w:szCs w:val="16"/>
        </w:rPr>
        <w:t>sant désormais à une partie de la population sans-papiers tout a</w:t>
      </w:r>
      <w:r w:rsidRPr="009A2F6B">
        <w:rPr>
          <w:szCs w:val="16"/>
        </w:rPr>
        <w:t>c</w:t>
      </w:r>
      <w:r w:rsidRPr="009A2F6B">
        <w:rPr>
          <w:szCs w:val="16"/>
        </w:rPr>
        <w:t>cès à une couverture maladie (Carde, 2009a). En outre, cette restri</w:t>
      </w:r>
      <w:r w:rsidRPr="009A2F6B">
        <w:rPr>
          <w:szCs w:val="16"/>
        </w:rPr>
        <w:t>c</w:t>
      </w:r>
      <w:r w:rsidRPr="009A2F6B">
        <w:rPr>
          <w:szCs w:val="16"/>
        </w:rPr>
        <w:t>tion a débordé le terrain du droit pour affecter celui des pratiques : certains professionnels restreignent les droits des étrangers sans-papiers en leur imposant des conditions d'accès à une couverture maladie plus sévères encore que ne le prévoient les textes de loi. Par exemple, des agents des Caisses d'Assurance Maladie exigent des sans-papiers dés</w:t>
      </w:r>
      <w:r w:rsidRPr="009A2F6B">
        <w:rPr>
          <w:szCs w:val="16"/>
        </w:rPr>
        <w:t>i</w:t>
      </w:r>
      <w:r w:rsidRPr="009A2F6B">
        <w:rPr>
          <w:szCs w:val="16"/>
        </w:rPr>
        <w:t>reux de demander une aide médicale des justific</w:t>
      </w:r>
      <w:r w:rsidRPr="009A2F6B">
        <w:rPr>
          <w:szCs w:val="16"/>
        </w:rPr>
        <w:t>a</w:t>
      </w:r>
      <w:r w:rsidRPr="009A2F6B">
        <w:rPr>
          <w:szCs w:val="16"/>
        </w:rPr>
        <w:t>tifs non prévus par la loi.</w:t>
      </w:r>
    </w:p>
    <w:p w:rsidR="00717918" w:rsidRPr="009A2F6B" w:rsidRDefault="00717918" w:rsidP="00717918">
      <w:pPr>
        <w:spacing w:before="120" w:after="120"/>
        <w:jc w:val="both"/>
      </w:pPr>
      <w:r>
        <w:rPr>
          <w:szCs w:val="16"/>
        </w:rPr>
        <w:lastRenderedPageBreak/>
        <w:t>[29]</w:t>
      </w:r>
    </w:p>
    <w:p w:rsidR="00717918" w:rsidRPr="009A2F6B" w:rsidRDefault="00717918" w:rsidP="00717918">
      <w:pPr>
        <w:spacing w:before="120" w:after="120"/>
        <w:jc w:val="both"/>
      </w:pPr>
      <w:r w:rsidRPr="009A2F6B">
        <w:rPr>
          <w:szCs w:val="16"/>
        </w:rPr>
        <w:t>Ces restrictions, dans la loi et sa mise en œuvre, peuvent être ex</w:t>
      </w:r>
      <w:r w:rsidRPr="009A2F6B">
        <w:rPr>
          <w:szCs w:val="16"/>
        </w:rPr>
        <w:t>a</w:t>
      </w:r>
      <w:r w:rsidRPr="009A2F6B">
        <w:rPr>
          <w:szCs w:val="16"/>
        </w:rPr>
        <w:t>minées au prisme de la définition que l'on a donnée des discrimin</w:t>
      </w:r>
      <w:r w:rsidRPr="009A2F6B">
        <w:rPr>
          <w:szCs w:val="16"/>
        </w:rPr>
        <w:t>a</w:t>
      </w:r>
      <w:r w:rsidRPr="009A2F6B">
        <w:rPr>
          <w:szCs w:val="16"/>
        </w:rPr>
        <w:t>tions. Sur le plan de la loi, des associations ont dénoncé ces réformes, en considérant qu'il est illégitime et donc discriminatoire de différe</w:t>
      </w:r>
      <w:r w:rsidRPr="009A2F6B">
        <w:rPr>
          <w:szCs w:val="16"/>
        </w:rPr>
        <w:t>n</w:t>
      </w:r>
      <w:r w:rsidRPr="009A2F6B">
        <w:rPr>
          <w:szCs w:val="16"/>
        </w:rPr>
        <w:t>cier le droit aux soins en fonction de la régularité du séjour et ce, d'a</w:t>
      </w:r>
      <w:r w:rsidRPr="009A2F6B">
        <w:rPr>
          <w:szCs w:val="16"/>
        </w:rPr>
        <w:t>u</w:t>
      </w:r>
      <w:r w:rsidRPr="009A2F6B">
        <w:rPr>
          <w:szCs w:val="16"/>
        </w:rPr>
        <w:t>tant plus que la France a ratifié des textes internati</w:t>
      </w:r>
      <w:r w:rsidRPr="009A2F6B">
        <w:rPr>
          <w:szCs w:val="16"/>
        </w:rPr>
        <w:t>o</w:t>
      </w:r>
      <w:r w:rsidRPr="009A2F6B">
        <w:rPr>
          <w:szCs w:val="16"/>
        </w:rPr>
        <w:t>naux et nationaux qui stipulent le droit de tous aux soins médicaux sans référence à la régularité du séjour.</w:t>
      </w:r>
      <w:r>
        <w:rPr>
          <w:szCs w:val="16"/>
        </w:rPr>
        <w:t> </w:t>
      </w:r>
      <w:r>
        <w:rPr>
          <w:rStyle w:val="Appelnotedebasdep"/>
          <w:szCs w:val="16"/>
        </w:rPr>
        <w:footnoteReference w:id="3"/>
      </w:r>
      <w:r w:rsidRPr="009A2F6B">
        <w:rPr>
          <w:szCs w:val="16"/>
        </w:rPr>
        <w:t xml:space="preserve"> Le Conseil Constitutionnel a toutefois justifié ces différenciations dans la mesure où elles sont nécessaires à l'intérêt générais</w:t>
      </w:r>
      <w:r>
        <w:rPr>
          <w:szCs w:val="16"/>
        </w:rPr>
        <w:t> </w:t>
      </w:r>
      <w:r>
        <w:rPr>
          <w:rStyle w:val="Appelnotedebasdep"/>
          <w:szCs w:val="16"/>
        </w:rPr>
        <w:footnoteReference w:id="4"/>
      </w:r>
      <w:r w:rsidRPr="009A2F6B">
        <w:rPr>
          <w:szCs w:val="16"/>
        </w:rPr>
        <w:t xml:space="preserve"> qu'elles ne portent pas atteinte aux droits dits fondame</w:t>
      </w:r>
      <w:r w:rsidRPr="009A2F6B">
        <w:rPr>
          <w:szCs w:val="16"/>
        </w:rPr>
        <w:t>n</w:t>
      </w:r>
      <w:r w:rsidRPr="009A2F6B">
        <w:rPr>
          <w:szCs w:val="16"/>
        </w:rPr>
        <w:t>taux.</w:t>
      </w:r>
    </w:p>
    <w:p w:rsidR="00717918" w:rsidRPr="009A2F6B" w:rsidRDefault="00717918" w:rsidP="00717918">
      <w:pPr>
        <w:spacing w:before="120" w:after="120"/>
        <w:jc w:val="both"/>
      </w:pPr>
      <w:r w:rsidRPr="009A2F6B">
        <w:rPr>
          <w:szCs w:val="16"/>
        </w:rPr>
        <w:t>On peut cependant s'interroger sur le déplacement du point d'équ</w:t>
      </w:r>
      <w:r w:rsidRPr="009A2F6B">
        <w:rPr>
          <w:szCs w:val="16"/>
        </w:rPr>
        <w:t>i</w:t>
      </w:r>
      <w:r w:rsidRPr="009A2F6B">
        <w:rPr>
          <w:szCs w:val="16"/>
        </w:rPr>
        <w:t>libre entre cet intérêt général et les droits fondamentaux. Ces dernières années, chacune des lois qui a réformé le droit aux soins des étrangers sans-papiers a en effet fait reculer les droits au nom de l'intérêt, pour en arriver à une situation inédite dans la France de l'après-guerre, à savoir l'absence de tout droit à une couverture m</w:t>
      </w:r>
      <w:r w:rsidRPr="009A2F6B">
        <w:rPr>
          <w:szCs w:val="16"/>
        </w:rPr>
        <w:t>a</w:t>
      </w:r>
      <w:r w:rsidRPr="009A2F6B">
        <w:rPr>
          <w:szCs w:val="16"/>
        </w:rPr>
        <w:t xml:space="preserve">ladie pour une partie de la population résidante en </w:t>
      </w:r>
      <w:r>
        <w:rPr>
          <w:szCs w:val="16"/>
        </w:rPr>
        <w:t>France </w:t>
      </w:r>
      <w:r>
        <w:rPr>
          <w:rStyle w:val="Appelnotedebasdep"/>
          <w:szCs w:val="16"/>
        </w:rPr>
        <w:footnoteReference w:id="5"/>
      </w:r>
      <w:r w:rsidRPr="009A2F6B">
        <w:rPr>
          <w:szCs w:val="16"/>
        </w:rPr>
        <w:t xml:space="preserve"> (Carde, 2009b).</w:t>
      </w:r>
    </w:p>
    <w:p w:rsidR="00717918" w:rsidRPr="009A2F6B" w:rsidRDefault="00717918" w:rsidP="00717918">
      <w:pPr>
        <w:spacing w:before="120" w:after="120"/>
        <w:jc w:val="both"/>
      </w:pPr>
      <w:r w:rsidRPr="009A2F6B">
        <w:rPr>
          <w:szCs w:val="16"/>
        </w:rPr>
        <w:t>Sur le plan des pratiques, leur caractère discriminatoire est man</w:t>
      </w:r>
      <w:r w:rsidRPr="009A2F6B">
        <w:rPr>
          <w:szCs w:val="16"/>
        </w:rPr>
        <w:t>i</w:t>
      </w:r>
      <w:r w:rsidRPr="009A2F6B">
        <w:rPr>
          <w:szCs w:val="16"/>
        </w:rPr>
        <w:t>feste puisqu'elles consistent à traiter défavorablement des individus repérés par leur origine (leur nationalité étrangère, assortie d'une a</w:t>
      </w:r>
      <w:r w:rsidRPr="009A2F6B">
        <w:rPr>
          <w:szCs w:val="16"/>
        </w:rPr>
        <w:t>b</w:t>
      </w:r>
      <w:r w:rsidRPr="009A2F6B">
        <w:rPr>
          <w:szCs w:val="16"/>
        </w:rPr>
        <w:t>sence de titre de séjour), en leur imposant des exigences illégales qui freinent leur accès aux</w:t>
      </w:r>
      <w:r>
        <w:rPr>
          <w:szCs w:val="16"/>
        </w:rPr>
        <w:t xml:space="preserve"> </w:t>
      </w:r>
      <w:r w:rsidRPr="009A2F6B">
        <w:rPr>
          <w:szCs w:val="16"/>
        </w:rPr>
        <w:t>soins.</w:t>
      </w:r>
    </w:p>
    <w:p w:rsidR="00717918" w:rsidRPr="009A2F6B" w:rsidRDefault="00717918" w:rsidP="00717918">
      <w:pPr>
        <w:spacing w:before="120" w:after="120"/>
        <w:jc w:val="both"/>
      </w:pPr>
      <w:r w:rsidRPr="009A2F6B">
        <w:rPr>
          <w:szCs w:val="16"/>
        </w:rPr>
        <w:t>Comment expliquer que des professionnels appliquent, de façon plus restrictive encore que ne le prévoient ces textes, des lois plus d</w:t>
      </w:r>
      <w:r w:rsidRPr="009A2F6B">
        <w:rPr>
          <w:szCs w:val="16"/>
        </w:rPr>
        <w:t>u</w:t>
      </w:r>
      <w:r w:rsidRPr="009A2F6B">
        <w:rPr>
          <w:szCs w:val="16"/>
        </w:rPr>
        <w:t>res que celles qui les précédaient ? Les entretiens semi-directifs menés auprès de ces professionnels permettent d'explorer la façon dont ils justifient ces pratiques.</w:t>
      </w:r>
    </w:p>
    <w:p w:rsidR="00717918" w:rsidRPr="009A2F6B" w:rsidRDefault="00717918" w:rsidP="00717918">
      <w:pPr>
        <w:spacing w:before="120" w:after="120"/>
        <w:jc w:val="both"/>
      </w:pPr>
      <w:r w:rsidRPr="009A2F6B">
        <w:rPr>
          <w:szCs w:val="16"/>
        </w:rPr>
        <w:lastRenderedPageBreak/>
        <w:t>Deux griefs sont généralement exprimés à rencontre des étra</w:t>
      </w:r>
      <w:r w:rsidRPr="009A2F6B">
        <w:rPr>
          <w:szCs w:val="16"/>
        </w:rPr>
        <w:t>n</w:t>
      </w:r>
      <w:r w:rsidRPr="009A2F6B">
        <w:rPr>
          <w:szCs w:val="16"/>
        </w:rPr>
        <w:t>gers sans-papiers bénéficiaires de l'aide médicale. D'une part, ces étrangers seraient venus en France dans le seul but de profiter d'un système de protection sociale plus généreux que celui qui leur est accessible dans</w:t>
      </w:r>
      <w:r>
        <w:rPr>
          <w:szCs w:val="16"/>
        </w:rPr>
        <w:t xml:space="preserve"> </w:t>
      </w:r>
      <w:r w:rsidRPr="009A2F6B">
        <w:rPr>
          <w:szCs w:val="16"/>
        </w:rPr>
        <w:t>leur pays d'origine. D'autre part, leurs soins coûteraient excessiv</w:t>
      </w:r>
      <w:r w:rsidRPr="009A2F6B">
        <w:rPr>
          <w:szCs w:val="16"/>
        </w:rPr>
        <w:t>e</w:t>
      </w:r>
      <w:r w:rsidRPr="009A2F6B">
        <w:rPr>
          <w:szCs w:val="16"/>
        </w:rPr>
        <w:t>ment cher à la protection sociale française. Limiter l'accès des sans-papiers à l'aide médicale permettrait par conséquent de ralentir les flux d'i</w:t>
      </w:r>
      <w:r w:rsidRPr="009A2F6B">
        <w:rPr>
          <w:szCs w:val="16"/>
        </w:rPr>
        <w:t>m</w:t>
      </w:r>
      <w:r w:rsidRPr="009A2F6B">
        <w:rPr>
          <w:szCs w:val="16"/>
        </w:rPr>
        <w:t>migration et de sauvegarder l'équilibre budgétaire de la protection s</w:t>
      </w:r>
      <w:r w:rsidRPr="009A2F6B">
        <w:rPr>
          <w:szCs w:val="16"/>
        </w:rPr>
        <w:t>o</w:t>
      </w:r>
      <w:r w:rsidRPr="009A2F6B">
        <w:rPr>
          <w:szCs w:val="16"/>
        </w:rPr>
        <w:t>ciale. On retrouve ainsi mêlés des commentaires péj</w:t>
      </w:r>
      <w:r w:rsidRPr="009A2F6B">
        <w:rPr>
          <w:szCs w:val="16"/>
        </w:rPr>
        <w:t>o</w:t>
      </w:r>
      <w:r w:rsidRPr="009A2F6B">
        <w:rPr>
          <w:szCs w:val="16"/>
        </w:rPr>
        <w:t>ratifs à l'égard tant des étrangers sans-papiers (indésirables au regard du droit au s</w:t>
      </w:r>
      <w:r w:rsidRPr="009A2F6B">
        <w:rPr>
          <w:szCs w:val="16"/>
        </w:rPr>
        <w:t>é</w:t>
      </w:r>
      <w:r w:rsidRPr="009A2F6B">
        <w:rPr>
          <w:szCs w:val="16"/>
        </w:rPr>
        <w:t>jour) que des bénéficiaires de l'assistance sociale (auxquels est repr</w:t>
      </w:r>
      <w:r w:rsidRPr="009A2F6B">
        <w:rPr>
          <w:szCs w:val="16"/>
        </w:rPr>
        <w:t>o</w:t>
      </w:r>
      <w:r w:rsidRPr="009A2F6B">
        <w:rPr>
          <w:szCs w:val="16"/>
        </w:rPr>
        <w:t>chée leur absence de participation active à la bonne marche du syst</w:t>
      </w:r>
      <w:r w:rsidRPr="009A2F6B">
        <w:rPr>
          <w:szCs w:val="16"/>
        </w:rPr>
        <w:t>è</w:t>
      </w:r>
      <w:r w:rsidRPr="009A2F6B">
        <w:rPr>
          <w:szCs w:val="16"/>
        </w:rPr>
        <w:t>me parce qu'ils ne cotisent pas). Ces arg</w:t>
      </w:r>
      <w:r w:rsidRPr="009A2F6B">
        <w:rPr>
          <w:szCs w:val="16"/>
        </w:rPr>
        <w:t>u</w:t>
      </w:r>
      <w:r w:rsidRPr="009A2F6B">
        <w:rPr>
          <w:szCs w:val="16"/>
        </w:rPr>
        <w:t>ments font également écho à ceux avancés par les décideurs polit</w:t>
      </w:r>
      <w:r w:rsidRPr="009A2F6B">
        <w:rPr>
          <w:szCs w:val="16"/>
        </w:rPr>
        <w:t>i</w:t>
      </w:r>
      <w:r w:rsidRPr="009A2F6B">
        <w:rPr>
          <w:szCs w:val="16"/>
        </w:rPr>
        <w:t>ques pour justifier chacune de ces réformes, qui portent sur la n</w:t>
      </w:r>
      <w:r w:rsidRPr="009A2F6B">
        <w:rPr>
          <w:szCs w:val="16"/>
        </w:rPr>
        <w:t>é</w:t>
      </w:r>
      <w:r w:rsidRPr="009A2F6B">
        <w:rPr>
          <w:szCs w:val="16"/>
        </w:rPr>
        <w:t>cessité de maîtriser les flux migratoires et le budget de la protection sociale : la restriction des droits sociaux des étrangers sans-papiers serait censée réduire l'attractivité de la France et les sans-papiers feraient une consommation irresponsable, voire frauduleuse, des prestations sociales.</w:t>
      </w:r>
    </w:p>
    <w:p w:rsidR="00717918" w:rsidRDefault="00717918" w:rsidP="00717918">
      <w:pPr>
        <w:spacing w:before="120" w:after="120"/>
        <w:jc w:val="both"/>
        <w:rPr>
          <w:szCs w:val="16"/>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570"/>
      </w:tblGrid>
      <w:tr w:rsidR="00717918" w:rsidRPr="00717918">
        <w:tc>
          <w:tcPr>
            <w:tcW w:w="6570" w:type="dxa"/>
            <w:shd w:val="clear" w:color="auto" w:fill="EEECE1"/>
          </w:tcPr>
          <w:p w:rsidR="00717918" w:rsidRPr="00717918" w:rsidRDefault="00717918" w:rsidP="00717918">
            <w:pPr>
              <w:spacing w:before="120" w:after="120"/>
              <w:jc w:val="both"/>
              <w:rPr>
                <w:i/>
                <w:iCs/>
              </w:rPr>
            </w:pPr>
          </w:p>
          <w:p w:rsidR="00717918" w:rsidRPr="009A2F6B" w:rsidRDefault="00717918" w:rsidP="00717918">
            <w:pPr>
              <w:spacing w:before="120" w:after="120"/>
              <w:jc w:val="both"/>
            </w:pPr>
            <w:r w:rsidRPr="00717918">
              <w:rPr>
                <w:i/>
                <w:iCs/>
              </w:rPr>
              <w:t>« Sur le plan des pratiques, leur caractère discrim</w:t>
            </w:r>
            <w:r w:rsidRPr="00717918">
              <w:rPr>
                <w:i/>
                <w:iCs/>
              </w:rPr>
              <w:t>i</w:t>
            </w:r>
            <w:r w:rsidRPr="00717918">
              <w:rPr>
                <w:i/>
                <w:iCs/>
              </w:rPr>
              <w:t>natoire est m</w:t>
            </w:r>
            <w:r w:rsidRPr="00717918">
              <w:rPr>
                <w:i/>
                <w:iCs/>
              </w:rPr>
              <w:t>a</w:t>
            </w:r>
            <w:r w:rsidRPr="00717918">
              <w:rPr>
                <w:i/>
                <w:iCs/>
              </w:rPr>
              <w:t>nifeste puis qu'elles consistent à traiter défavorablement des individus repérés par leur orig</w:t>
            </w:r>
            <w:r w:rsidRPr="00717918">
              <w:rPr>
                <w:i/>
                <w:iCs/>
              </w:rPr>
              <w:t>i</w:t>
            </w:r>
            <w:r w:rsidRPr="00717918">
              <w:rPr>
                <w:i/>
                <w:iCs/>
              </w:rPr>
              <w:t>ne »</w:t>
            </w:r>
          </w:p>
          <w:p w:rsidR="00717918" w:rsidRPr="00717918" w:rsidRDefault="00717918" w:rsidP="00717918">
            <w:pPr>
              <w:spacing w:before="120" w:after="120"/>
              <w:ind w:firstLine="0"/>
              <w:jc w:val="both"/>
              <w:rPr>
                <w:szCs w:val="16"/>
              </w:rPr>
            </w:pPr>
          </w:p>
        </w:tc>
      </w:tr>
    </w:tbl>
    <w:p w:rsidR="00717918" w:rsidRDefault="00717918" w:rsidP="00717918">
      <w:pPr>
        <w:spacing w:before="120" w:after="120"/>
        <w:jc w:val="both"/>
        <w:rPr>
          <w:szCs w:val="16"/>
        </w:rPr>
      </w:pPr>
    </w:p>
    <w:p w:rsidR="00717918" w:rsidRDefault="00717918" w:rsidP="00717918">
      <w:pPr>
        <w:spacing w:before="120" w:after="120"/>
        <w:jc w:val="both"/>
        <w:rPr>
          <w:szCs w:val="16"/>
        </w:rPr>
      </w:pPr>
      <w:r w:rsidRPr="009A2F6B">
        <w:rPr>
          <w:szCs w:val="16"/>
        </w:rPr>
        <w:t>Les représentations des professionnels s'avèrent ainsi nourries par le découpage juridique, qui concentre sur une même catégorie les connotations péjoratives associées tant à l'immigration irréguli</w:t>
      </w:r>
      <w:r w:rsidRPr="009A2F6B">
        <w:rPr>
          <w:szCs w:val="16"/>
        </w:rPr>
        <w:t>è</w:t>
      </w:r>
      <w:r w:rsidRPr="009A2F6B">
        <w:rPr>
          <w:szCs w:val="16"/>
        </w:rPr>
        <w:t>re qu'à l'assistance sociale, et par les justifications que lui apportent les déc</w:t>
      </w:r>
      <w:r w:rsidRPr="009A2F6B">
        <w:rPr>
          <w:szCs w:val="16"/>
        </w:rPr>
        <w:t>i</w:t>
      </w:r>
      <w:r w:rsidRPr="009A2F6B">
        <w:rPr>
          <w:szCs w:val="16"/>
        </w:rPr>
        <w:t>deurs politiques. Aussi, même quand leurs pratiques sont plus restri</w:t>
      </w:r>
      <w:r w:rsidRPr="009A2F6B">
        <w:rPr>
          <w:szCs w:val="16"/>
        </w:rPr>
        <w:t>c</w:t>
      </w:r>
      <w:r w:rsidRPr="009A2F6B">
        <w:rPr>
          <w:szCs w:val="16"/>
        </w:rPr>
        <w:t>tives encore que ne le prévoient les textes, elles restent conformes à l'esprit des politiques. Elles n'ont d'ailleurs souvent qu'un « temps d'avance » sur une loi qui finira par les entériner à l'occasion d'une réforme future (Carde, 2006 ; 2007).</w:t>
      </w:r>
    </w:p>
    <w:p w:rsidR="00717918" w:rsidRPr="009A2F6B" w:rsidRDefault="00717918" w:rsidP="00717918">
      <w:pPr>
        <w:spacing w:before="120" w:after="120"/>
        <w:jc w:val="both"/>
      </w:pPr>
    </w:p>
    <w:p w:rsidR="00717918" w:rsidRPr="009A2F6B" w:rsidRDefault="00717918" w:rsidP="00717918">
      <w:pPr>
        <w:pStyle w:val="a"/>
      </w:pPr>
      <w:bookmarkStart w:id="4" w:name="Etranger_3"/>
      <w:r w:rsidRPr="009A2F6B">
        <w:t>Différences perçues et discriminations</w:t>
      </w:r>
    </w:p>
    <w:bookmarkEnd w:id="4"/>
    <w:p w:rsidR="00717918" w:rsidRDefault="00717918" w:rsidP="00717918">
      <w:pPr>
        <w:spacing w:before="120" w:after="120"/>
        <w:jc w:val="both"/>
        <w:rPr>
          <w:szCs w:val="16"/>
        </w:rPr>
      </w:pPr>
    </w:p>
    <w:p w:rsidR="00717918" w:rsidRPr="00384B20" w:rsidRDefault="00717918" w:rsidP="00717918">
      <w:pPr>
        <w:ind w:right="90" w:firstLine="0"/>
        <w:jc w:val="both"/>
        <w:rPr>
          <w:sz w:val="20"/>
        </w:rPr>
      </w:pPr>
      <w:hyperlink w:anchor="tdm" w:history="1">
        <w:r w:rsidRPr="00384B20">
          <w:rPr>
            <w:rStyle w:val="Lienhypertexte"/>
            <w:sz w:val="20"/>
          </w:rPr>
          <w:t>Retour à la table des matières</w:t>
        </w:r>
      </w:hyperlink>
    </w:p>
    <w:p w:rsidR="00717918" w:rsidRPr="009A2F6B" w:rsidRDefault="00717918" w:rsidP="00717918">
      <w:pPr>
        <w:spacing w:before="120" w:after="120"/>
        <w:jc w:val="both"/>
      </w:pPr>
      <w:r w:rsidRPr="009A2F6B">
        <w:rPr>
          <w:szCs w:val="16"/>
        </w:rPr>
        <w:t>Les discriminations envisagées jusqu'à présent dans les reche</w:t>
      </w:r>
      <w:r w:rsidRPr="009A2F6B">
        <w:rPr>
          <w:szCs w:val="16"/>
        </w:rPr>
        <w:t>r</w:t>
      </w:r>
      <w:r w:rsidRPr="009A2F6B">
        <w:rPr>
          <w:szCs w:val="16"/>
        </w:rPr>
        <w:t>ches avaient pour critère l'origine telle que définie par la nationalité et non l'origine dite « raciale ». Ce terme ne renvoie pas à des catégories n</w:t>
      </w:r>
      <w:r w:rsidRPr="009A2F6B">
        <w:rPr>
          <w:szCs w:val="16"/>
        </w:rPr>
        <w:t>a</w:t>
      </w:r>
      <w:r w:rsidRPr="009A2F6B">
        <w:rPr>
          <w:szCs w:val="16"/>
        </w:rPr>
        <w:t>turelles, mais à des catégories sociales, naturalisées, déf</w:t>
      </w:r>
      <w:r w:rsidRPr="009A2F6B">
        <w:rPr>
          <w:szCs w:val="16"/>
        </w:rPr>
        <w:t>i</w:t>
      </w:r>
      <w:r w:rsidRPr="009A2F6B">
        <w:rPr>
          <w:szCs w:val="16"/>
        </w:rPr>
        <w:t>nies à partir d'indices physiques (tels que la couleur de peau ou le faciès) et s</w:t>
      </w:r>
      <w:r w:rsidRPr="009A2F6B">
        <w:rPr>
          <w:szCs w:val="16"/>
        </w:rPr>
        <w:t>o</w:t>
      </w:r>
      <w:r w:rsidRPr="009A2F6B">
        <w:rPr>
          <w:szCs w:val="16"/>
        </w:rPr>
        <w:t>ciaux (tels que la religion ou le patronyme) qui sont s</w:t>
      </w:r>
      <w:r w:rsidRPr="009A2F6B">
        <w:rPr>
          <w:szCs w:val="16"/>
        </w:rPr>
        <w:t>i</w:t>
      </w:r>
      <w:r w:rsidRPr="009A2F6B">
        <w:rPr>
          <w:szCs w:val="16"/>
        </w:rPr>
        <w:t>gnifiants dans une société et une époque données.</w:t>
      </w:r>
    </w:p>
    <w:p w:rsidR="00717918" w:rsidRDefault="00717918" w:rsidP="00717918">
      <w:pPr>
        <w:spacing w:before="120" w:after="120"/>
        <w:jc w:val="both"/>
        <w:rPr>
          <w:szCs w:val="16"/>
        </w:rPr>
      </w:pPr>
      <w:r>
        <w:rPr>
          <w:szCs w:val="16"/>
        </w:rPr>
        <w:t>[30]</w:t>
      </w:r>
    </w:p>
    <w:p w:rsidR="00717918" w:rsidRPr="009A2F6B" w:rsidRDefault="00717918" w:rsidP="00717918">
      <w:pPr>
        <w:spacing w:before="120" w:after="120"/>
        <w:jc w:val="both"/>
      </w:pPr>
      <w:r w:rsidRPr="009A2F6B">
        <w:rPr>
          <w:szCs w:val="16"/>
        </w:rPr>
        <w:t>Selon Colette Guillaumin (1972), ces discriminations découlent d'un rapport de domination et de la perception d'une différence esse</w:t>
      </w:r>
      <w:r w:rsidRPr="009A2F6B">
        <w:rPr>
          <w:szCs w:val="16"/>
        </w:rPr>
        <w:t>n</w:t>
      </w:r>
      <w:r w:rsidRPr="009A2F6B">
        <w:rPr>
          <w:szCs w:val="16"/>
        </w:rPr>
        <w:t>tielle chez un autre, placé en situation de dominé. C'est en se fondant sur cette perception de l'altérité qu'on lui applique un traitement diff</w:t>
      </w:r>
      <w:r w:rsidRPr="009A2F6B">
        <w:rPr>
          <w:szCs w:val="16"/>
        </w:rPr>
        <w:t>é</w:t>
      </w:r>
      <w:r w:rsidRPr="009A2F6B">
        <w:rPr>
          <w:szCs w:val="16"/>
        </w:rPr>
        <w:t>rentiel et défavorable. Les professionnels ont donc été interrogés sur les représentations qu'ils ont des origines de leurs usagers et sur les traitements différentiels qu'ils réservent éventue</w:t>
      </w:r>
      <w:r w:rsidRPr="009A2F6B">
        <w:rPr>
          <w:szCs w:val="16"/>
        </w:rPr>
        <w:t>l</w:t>
      </w:r>
      <w:r w:rsidRPr="009A2F6B">
        <w:rPr>
          <w:szCs w:val="16"/>
        </w:rPr>
        <w:t>lement à certains d'entre eux au nom de ces représentations.</w:t>
      </w:r>
    </w:p>
    <w:p w:rsidR="00717918" w:rsidRDefault="00717918" w:rsidP="00717918">
      <w:pPr>
        <w:spacing w:before="120" w:after="120"/>
        <w:jc w:val="both"/>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570"/>
      </w:tblGrid>
      <w:tr w:rsidR="00717918">
        <w:tc>
          <w:tcPr>
            <w:tcW w:w="6570" w:type="dxa"/>
            <w:shd w:val="clear" w:color="auto" w:fill="EEECE1"/>
          </w:tcPr>
          <w:p w:rsidR="00717918" w:rsidRPr="00E31287" w:rsidRDefault="00717918" w:rsidP="00717918">
            <w:pPr>
              <w:spacing w:before="120" w:after="120"/>
              <w:ind w:firstLine="0"/>
              <w:jc w:val="both"/>
              <w:rPr>
                <w:i/>
                <w:iCs/>
              </w:rPr>
            </w:pPr>
          </w:p>
          <w:p w:rsidR="00717918" w:rsidRPr="00E31287" w:rsidRDefault="00717918" w:rsidP="00717918">
            <w:pPr>
              <w:spacing w:before="120" w:after="120"/>
              <w:ind w:firstLine="0"/>
              <w:jc w:val="both"/>
              <w:rPr>
                <w:i/>
                <w:iCs/>
              </w:rPr>
            </w:pPr>
            <w:r w:rsidRPr="00E31287">
              <w:rPr>
                <w:i/>
                <w:iCs/>
              </w:rPr>
              <w:t>« Ces représentations témoignent d'une réification de l'origine culturelle, devenue critère d'orientation syst</w:t>
            </w:r>
            <w:r w:rsidRPr="00E31287">
              <w:rPr>
                <w:i/>
                <w:iCs/>
              </w:rPr>
              <w:t>é</w:t>
            </w:r>
            <w:r w:rsidRPr="00E31287">
              <w:rPr>
                <w:i/>
                <w:iCs/>
              </w:rPr>
              <w:t>matique vers un dispositif dérogatoire au droit co</w:t>
            </w:r>
            <w:r w:rsidRPr="00E31287">
              <w:rPr>
                <w:i/>
                <w:iCs/>
              </w:rPr>
              <w:t>m</w:t>
            </w:r>
            <w:r w:rsidRPr="00E31287">
              <w:rPr>
                <w:i/>
                <w:iCs/>
              </w:rPr>
              <w:t>mun »</w:t>
            </w:r>
          </w:p>
          <w:p w:rsidR="00717918" w:rsidRDefault="00717918" w:rsidP="00717918">
            <w:pPr>
              <w:spacing w:before="120" w:after="120"/>
              <w:ind w:firstLine="0"/>
              <w:jc w:val="both"/>
            </w:pPr>
          </w:p>
        </w:tc>
      </w:tr>
    </w:tbl>
    <w:p w:rsidR="00717918" w:rsidRDefault="00717918" w:rsidP="00717918">
      <w:pPr>
        <w:spacing w:before="120" w:after="120"/>
        <w:jc w:val="both"/>
        <w:rPr>
          <w:szCs w:val="16"/>
        </w:rPr>
      </w:pPr>
    </w:p>
    <w:p w:rsidR="00717918" w:rsidRPr="009A2F6B" w:rsidRDefault="00717918" w:rsidP="00717918">
      <w:pPr>
        <w:spacing w:before="120" w:after="120"/>
        <w:jc w:val="both"/>
      </w:pPr>
      <w:r w:rsidRPr="009A2F6B">
        <w:rPr>
          <w:szCs w:val="16"/>
        </w:rPr>
        <w:t>La plupart des professionnels qui ont déclaré percevoir une diff</w:t>
      </w:r>
      <w:r w:rsidRPr="009A2F6B">
        <w:rPr>
          <w:szCs w:val="16"/>
        </w:rPr>
        <w:t>é</w:t>
      </w:r>
      <w:r w:rsidRPr="009A2F6B">
        <w:rPr>
          <w:szCs w:val="16"/>
        </w:rPr>
        <w:t>rence chez certains de leurs usagers la qualifiaient de culturelle en se référant, par exemple, à une façon dite « particulière » de s'e</w:t>
      </w:r>
      <w:r w:rsidRPr="009A2F6B">
        <w:rPr>
          <w:szCs w:val="16"/>
        </w:rPr>
        <w:t>x</w:t>
      </w:r>
      <w:r w:rsidRPr="009A2F6B">
        <w:rPr>
          <w:szCs w:val="16"/>
        </w:rPr>
        <w:t>primer, de manifester les symptômes d'une maladie ou d'adhérer à une offre de soins. Les professionnels en déduisaient que ces us</w:t>
      </w:r>
      <w:r w:rsidRPr="009A2F6B">
        <w:rPr>
          <w:szCs w:val="16"/>
        </w:rPr>
        <w:t>a</w:t>
      </w:r>
      <w:r w:rsidRPr="009A2F6B">
        <w:rPr>
          <w:szCs w:val="16"/>
        </w:rPr>
        <w:t>gers avaient des besoins spécifiques et leur proposaient, par cons</w:t>
      </w:r>
      <w:r w:rsidRPr="009A2F6B">
        <w:rPr>
          <w:szCs w:val="16"/>
        </w:rPr>
        <w:t>é</w:t>
      </w:r>
      <w:r w:rsidRPr="009A2F6B">
        <w:rPr>
          <w:szCs w:val="16"/>
        </w:rPr>
        <w:t xml:space="preserve">quent, des soins </w:t>
      </w:r>
      <w:r w:rsidRPr="009A2F6B">
        <w:rPr>
          <w:szCs w:val="16"/>
        </w:rPr>
        <w:lastRenderedPageBreak/>
        <w:t>différents, supposément adaptés à ces différences. L'exemple de l'orientation vers une consultation d'ethnopsychiatrie, culturellement différenciée et réalisée au sein d'une association, o</w:t>
      </w:r>
      <w:r w:rsidRPr="009A2F6B">
        <w:rPr>
          <w:szCs w:val="16"/>
        </w:rPr>
        <w:t>f</w:t>
      </w:r>
      <w:r w:rsidRPr="009A2F6B">
        <w:rPr>
          <w:szCs w:val="16"/>
        </w:rPr>
        <w:t>fre une illustration de traitements spécifiques pouvant conduire à des discriminations.</w:t>
      </w:r>
    </w:p>
    <w:p w:rsidR="00717918" w:rsidRPr="009A2F6B" w:rsidRDefault="00717918" w:rsidP="00717918">
      <w:pPr>
        <w:spacing w:before="120" w:after="120"/>
        <w:jc w:val="both"/>
      </w:pPr>
      <w:r w:rsidRPr="009A2F6B">
        <w:rPr>
          <w:szCs w:val="16"/>
        </w:rPr>
        <w:t>Selon une ethnopsychiatre intervenant dans cette association, la prise en charge est indiquée uniquement quand le suivi démarré dans une consultation de psychiatrie « ordinaire » a échoué. Elle est mise en œuvre ponctuellement, pour passer un cap, sans inte</w:t>
      </w:r>
      <w:r w:rsidRPr="009A2F6B">
        <w:rPr>
          <w:szCs w:val="16"/>
        </w:rPr>
        <w:t>r</w:t>
      </w:r>
      <w:r w:rsidRPr="009A2F6B">
        <w:rPr>
          <w:szCs w:val="16"/>
        </w:rPr>
        <w:t>ruption de la prise en charge « ordinaire ». Interrogée sur les ra</w:t>
      </w:r>
      <w:r w:rsidRPr="009A2F6B">
        <w:rPr>
          <w:szCs w:val="16"/>
        </w:rPr>
        <w:t>i</w:t>
      </w:r>
      <w:r w:rsidRPr="009A2F6B">
        <w:rPr>
          <w:szCs w:val="16"/>
        </w:rPr>
        <w:t>sons de l'échec de cette dernière, l'ethnopsychiatre évoque les caractérist</w:t>
      </w:r>
      <w:r w:rsidRPr="009A2F6B">
        <w:rPr>
          <w:szCs w:val="16"/>
        </w:rPr>
        <w:t>i</w:t>
      </w:r>
      <w:r w:rsidRPr="009A2F6B">
        <w:rPr>
          <w:szCs w:val="16"/>
        </w:rPr>
        <w:t>ques dites « culturelles » du patient. Selon elle, ces caractéri</w:t>
      </w:r>
      <w:r w:rsidRPr="009A2F6B">
        <w:rPr>
          <w:szCs w:val="16"/>
        </w:rPr>
        <w:t>s</w:t>
      </w:r>
      <w:r w:rsidRPr="009A2F6B">
        <w:rPr>
          <w:szCs w:val="16"/>
        </w:rPr>
        <w:t>tiques ne posent problème que parce qu'elles rencontrent des dysfonctio</w:t>
      </w:r>
      <w:r w:rsidRPr="009A2F6B">
        <w:rPr>
          <w:szCs w:val="16"/>
        </w:rPr>
        <w:t>n</w:t>
      </w:r>
      <w:r w:rsidRPr="009A2F6B">
        <w:rPr>
          <w:szCs w:val="16"/>
        </w:rPr>
        <w:t>nements dans l'offre de soins, tels que le manque de temps des pr</w:t>
      </w:r>
      <w:r w:rsidRPr="009A2F6B">
        <w:rPr>
          <w:szCs w:val="16"/>
        </w:rPr>
        <w:t>o</w:t>
      </w:r>
      <w:r w:rsidRPr="009A2F6B">
        <w:rPr>
          <w:szCs w:val="16"/>
        </w:rPr>
        <w:t>fessionnels ou leurs préjugés racistes.</w:t>
      </w:r>
    </w:p>
    <w:p w:rsidR="00717918" w:rsidRPr="009A2F6B" w:rsidRDefault="00717918" w:rsidP="00717918">
      <w:pPr>
        <w:spacing w:before="120" w:after="120"/>
        <w:jc w:val="both"/>
      </w:pPr>
      <w:r w:rsidRPr="009A2F6B">
        <w:rPr>
          <w:szCs w:val="16"/>
        </w:rPr>
        <w:t>La plupart des professionnels interrogés en-dehors de cette associ</w:t>
      </w:r>
      <w:r w:rsidRPr="009A2F6B">
        <w:rPr>
          <w:szCs w:val="16"/>
        </w:rPr>
        <w:t>a</w:t>
      </w:r>
      <w:r w:rsidRPr="009A2F6B">
        <w:rPr>
          <w:szCs w:val="16"/>
        </w:rPr>
        <w:t>tion estiment que cette prise en charge ethnopsychiatrique est une e</w:t>
      </w:r>
      <w:r w:rsidRPr="009A2F6B">
        <w:rPr>
          <w:szCs w:val="16"/>
        </w:rPr>
        <w:t>x</w:t>
      </w:r>
      <w:r w:rsidRPr="009A2F6B">
        <w:rPr>
          <w:szCs w:val="16"/>
        </w:rPr>
        <w:t>cellente idée. Pour justifier son bien-fondé, ils insistent   longu</w:t>
      </w:r>
      <w:r w:rsidRPr="009A2F6B">
        <w:rPr>
          <w:szCs w:val="16"/>
        </w:rPr>
        <w:t>e</w:t>
      </w:r>
      <w:r w:rsidRPr="009A2F6B">
        <w:rPr>
          <w:szCs w:val="16"/>
        </w:rPr>
        <w:t>men</w:t>
      </w:r>
      <w:r>
        <w:rPr>
          <w:szCs w:val="16"/>
        </w:rPr>
        <w:t>t  sur   la   « culture   diffé</w:t>
      </w:r>
      <w:r w:rsidRPr="009A2F6B">
        <w:rPr>
          <w:szCs w:val="16"/>
        </w:rPr>
        <w:t>rente » des patients concernés, qu'ils jugent incompatible avec l'offre sanitaire « ordinaire ». Ils n'évoquent en r</w:t>
      </w:r>
      <w:r w:rsidRPr="009A2F6B">
        <w:rPr>
          <w:szCs w:val="16"/>
        </w:rPr>
        <w:t>e</w:t>
      </w:r>
      <w:r w:rsidRPr="009A2F6B">
        <w:rPr>
          <w:szCs w:val="16"/>
        </w:rPr>
        <w:t>vanche aucun des dy</w:t>
      </w:r>
      <w:r w:rsidRPr="009A2F6B">
        <w:rPr>
          <w:szCs w:val="16"/>
        </w:rPr>
        <w:t>s</w:t>
      </w:r>
      <w:r w:rsidRPr="009A2F6B">
        <w:rPr>
          <w:szCs w:val="16"/>
        </w:rPr>
        <w:t>fonctionnements de cette dernière. Par la suite, ils considèrent que tout patient devrait être orienté vers la consultation d'ethnops</w:t>
      </w:r>
      <w:r w:rsidRPr="009A2F6B">
        <w:rPr>
          <w:szCs w:val="16"/>
        </w:rPr>
        <w:t>y</w:t>
      </w:r>
      <w:r w:rsidRPr="009A2F6B">
        <w:rPr>
          <w:szCs w:val="16"/>
        </w:rPr>
        <w:t>chiatrie dès lors qu'il est « d'origine africaine », français ou non, et sans orient</w:t>
      </w:r>
      <w:r w:rsidRPr="009A2F6B">
        <w:rPr>
          <w:szCs w:val="16"/>
        </w:rPr>
        <w:t>a</w:t>
      </w:r>
      <w:r w:rsidRPr="009A2F6B">
        <w:rPr>
          <w:szCs w:val="16"/>
        </w:rPr>
        <w:t>tion préalable dans les services courants.</w:t>
      </w:r>
    </w:p>
    <w:p w:rsidR="00717918" w:rsidRPr="009A2F6B" w:rsidRDefault="00717918" w:rsidP="00717918">
      <w:pPr>
        <w:spacing w:before="120" w:after="120"/>
        <w:jc w:val="both"/>
      </w:pPr>
      <w:r w:rsidRPr="009A2F6B">
        <w:rPr>
          <w:szCs w:val="16"/>
        </w:rPr>
        <w:t>Ces représentations témoignent d'une réification de l'origine cult</w:t>
      </w:r>
      <w:r w:rsidRPr="009A2F6B">
        <w:rPr>
          <w:szCs w:val="16"/>
        </w:rPr>
        <w:t>u</w:t>
      </w:r>
      <w:r w:rsidRPr="009A2F6B">
        <w:rPr>
          <w:szCs w:val="16"/>
        </w:rPr>
        <w:t>relle, devenue critère d'orientation systématique vers un dispositif d</w:t>
      </w:r>
      <w:r w:rsidRPr="009A2F6B">
        <w:rPr>
          <w:szCs w:val="16"/>
        </w:rPr>
        <w:t>é</w:t>
      </w:r>
      <w:r w:rsidRPr="009A2F6B">
        <w:rPr>
          <w:szCs w:val="16"/>
        </w:rPr>
        <w:t>rogatoire au droit commun. Au lieu d'être une option su</w:t>
      </w:r>
      <w:r w:rsidRPr="009A2F6B">
        <w:rPr>
          <w:szCs w:val="16"/>
        </w:rPr>
        <w:t>p</w:t>
      </w:r>
      <w:r w:rsidRPr="009A2F6B">
        <w:rPr>
          <w:szCs w:val="16"/>
        </w:rPr>
        <w:t>plémentaire proposée pour s'adapter au mieux à chaque situation, la consultation d'ethnopsychiatrie réduit l'offre de soins puisque l'accès au droit commun n'est plus proposé. Elle peut en outre ne pas être adaptée aux besoins du patient, voire l'exposer à un risque de stigmatisation. Diff</w:t>
      </w:r>
      <w:r w:rsidRPr="009A2F6B">
        <w:rPr>
          <w:szCs w:val="16"/>
        </w:rPr>
        <w:t>é</w:t>
      </w:r>
      <w:r w:rsidRPr="009A2F6B">
        <w:rPr>
          <w:szCs w:val="16"/>
        </w:rPr>
        <w:t>rentielle, défavorable et fondée sur une différence d'origine perçue, cette pratique constitue bien une discrimination au sens négatif du terme.</w:t>
      </w:r>
    </w:p>
    <w:p w:rsidR="00717918" w:rsidRPr="009A2F6B" w:rsidRDefault="00717918" w:rsidP="00717918">
      <w:pPr>
        <w:spacing w:before="120" w:after="120"/>
        <w:jc w:val="both"/>
      </w:pPr>
      <w:r w:rsidRPr="009A2F6B">
        <w:rPr>
          <w:szCs w:val="16"/>
        </w:rPr>
        <w:t>Les discriminations raciales sont plus difficiles</w:t>
      </w:r>
      <w:r>
        <w:rPr>
          <w:szCs w:val="16"/>
        </w:rPr>
        <w:t xml:space="preserve"> </w:t>
      </w:r>
      <w:r w:rsidRPr="009A2F6B">
        <w:rPr>
          <w:szCs w:val="16"/>
        </w:rPr>
        <w:t>à étudier que celles dont sont victimes des</w:t>
      </w:r>
      <w:r>
        <w:rPr>
          <w:szCs w:val="16"/>
        </w:rPr>
        <w:t xml:space="preserve"> </w:t>
      </w:r>
      <w:r w:rsidRPr="009A2F6B">
        <w:rPr>
          <w:szCs w:val="16"/>
        </w:rPr>
        <w:t>étrangers, car l'usage (écrit et oral) des catég</w:t>
      </w:r>
      <w:r w:rsidRPr="009A2F6B">
        <w:rPr>
          <w:szCs w:val="16"/>
        </w:rPr>
        <w:t>o</w:t>
      </w:r>
      <w:r w:rsidRPr="009A2F6B">
        <w:rPr>
          <w:szCs w:val="16"/>
        </w:rPr>
        <w:t>ries raciales est relativement censuré par la</w:t>
      </w:r>
      <w:r>
        <w:rPr>
          <w:szCs w:val="16"/>
        </w:rPr>
        <w:t xml:space="preserve"> </w:t>
      </w:r>
      <w:r w:rsidRPr="009A2F6B">
        <w:rPr>
          <w:szCs w:val="16"/>
        </w:rPr>
        <w:t>rhétor</w:t>
      </w:r>
      <w:r w:rsidRPr="009A2F6B">
        <w:rPr>
          <w:szCs w:val="16"/>
        </w:rPr>
        <w:t>i</w:t>
      </w:r>
      <w:r w:rsidRPr="009A2F6B">
        <w:rPr>
          <w:szCs w:val="16"/>
        </w:rPr>
        <w:t>que républicaine de l'égalité. Ainsi, il faut</w:t>
      </w:r>
      <w:r>
        <w:rPr>
          <w:szCs w:val="16"/>
        </w:rPr>
        <w:t xml:space="preserve"> </w:t>
      </w:r>
      <w:r w:rsidRPr="009A2F6B">
        <w:rPr>
          <w:szCs w:val="16"/>
        </w:rPr>
        <w:t>en réalité entendre « noir » quand les profe</w:t>
      </w:r>
      <w:r w:rsidRPr="009A2F6B">
        <w:rPr>
          <w:szCs w:val="16"/>
        </w:rPr>
        <w:t>s</w:t>
      </w:r>
      <w:r w:rsidRPr="009A2F6B">
        <w:rPr>
          <w:szCs w:val="16"/>
        </w:rPr>
        <w:lastRenderedPageBreak/>
        <w:t>sionnels cités précéde</w:t>
      </w:r>
      <w:r w:rsidRPr="009A2F6B">
        <w:rPr>
          <w:szCs w:val="16"/>
        </w:rPr>
        <w:t>m</w:t>
      </w:r>
      <w:r w:rsidRPr="009A2F6B">
        <w:rPr>
          <w:szCs w:val="16"/>
        </w:rPr>
        <w:t>ment mentionnent</w:t>
      </w:r>
      <w:r>
        <w:rPr>
          <w:szCs w:val="16"/>
        </w:rPr>
        <w:t xml:space="preserve"> </w:t>
      </w:r>
      <w:r w:rsidRPr="009A2F6B">
        <w:rPr>
          <w:szCs w:val="16"/>
        </w:rPr>
        <w:t>« d'origine africaine »</w:t>
      </w:r>
      <w:r>
        <w:rPr>
          <w:szCs w:val="16"/>
        </w:rPr>
        <w:t>. </w:t>
      </w:r>
      <w:r>
        <w:rPr>
          <w:rStyle w:val="Appelnotedebasdep"/>
          <w:szCs w:val="16"/>
        </w:rPr>
        <w:footnoteReference w:id="6"/>
      </w:r>
      <w:r w:rsidRPr="009A2F6B">
        <w:rPr>
          <w:szCs w:val="16"/>
        </w:rPr>
        <w:t xml:space="preserve"> De plus, les discours qui</w:t>
      </w:r>
      <w:r>
        <w:rPr>
          <w:szCs w:val="16"/>
        </w:rPr>
        <w:t xml:space="preserve"> </w:t>
      </w:r>
      <w:r w:rsidRPr="009A2F6B">
        <w:rPr>
          <w:szCs w:val="16"/>
        </w:rPr>
        <w:t>accompagnent</w:t>
      </w:r>
      <w:r>
        <w:rPr>
          <w:szCs w:val="16"/>
        </w:rPr>
        <w:t xml:space="preserve"> </w:t>
      </w:r>
      <w:r w:rsidRPr="009A2F6B">
        <w:rPr>
          <w:szCs w:val="16"/>
        </w:rPr>
        <w:t>ces</w:t>
      </w:r>
      <w:r>
        <w:rPr>
          <w:szCs w:val="16"/>
        </w:rPr>
        <w:t xml:space="preserve"> </w:t>
      </w:r>
      <w:r w:rsidRPr="009A2F6B">
        <w:rPr>
          <w:szCs w:val="16"/>
        </w:rPr>
        <w:t>discrimin</w:t>
      </w:r>
      <w:r w:rsidRPr="009A2F6B">
        <w:rPr>
          <w:szCs w:val="16"/>
        </w:rPr>
        <w:t>a</w:t>
      </w:r>
      <w:r w:rsidRPr="009A2F6B">
        <w:rPr>
          <w:szCs w:val="16"/>
        </w:rPr>
        <w:t>tions</w:t>
      </w:r>
      <w:r>
        <w:rPr>
          <w:szCs w:val="16"/>
        </w:rPr>
        <w:t xml:space="preserve"> </w:t>
      </w:r>
      <w:r w:rsidRPr="009A2F6B">
        <w:rPr>
          <w:szCs w:val="16"/>
        </w:rPr>
        <w:t>« n'alertent » pas le sociologue comme le font les discours t</w:t>
      </w:r>
      <w:r w:rsidRPr="009A2F6B">
        <w:rPr>
          <w:szCs w:val="16"/>
        </w:rPr>
        <w:t>e</w:t>
      </w:r>
      <w:r w:rsidRPr="009A2F6B">
        <w:rPr>
          <w:szCs w:val="16"/>
        </w:rPr>
        <w:t>nus à l'encontre des sans-papiers : la « différence » perçue n'est pas présentée comme fo</w:t>
      </w:r>
      <w:r w:rsidRPr="009A2F6B">
        <w:rPr>
          <w:szCs w:val="16"/>
        </w:rPr>
        <w:t>n</w:t>
      </w:r>
      <w:r w:rsidRPr="009A2F6B">
        <w:rPr>
          <w:szCs w:val="16"/>
        </w:rPr>
        <w:t>cièrement illégitime et le traitement différe</w:t>
      </w:r>
      <w:r w:rsidRPr="009A2F6B">
        <w:rPr>
          <w:szCs w:val="16"/>
        </w:rPr>
        <w:t>n</w:t>
      </w:r>
      <w:r w:rsidRPr="009A2F6B">
        <w:rPr>
          <w:szCs w:val="16"/>
        </w:rPr>
        <w:t>tiel peut être pensé, par son auteur, dans l'intérêt de l'usager.</w:t>
      </w:r>
    </w:p>
    <w:p w:rsidR="00717918" w:rsidRDefault="00717918" w:rsidP="00717918">
      <w:pPr>
        <w:spacing w:before="120" w:after="120"/>
        <w:jc w:val="both"/>
        <w:rPr>
          <w:szCs w:val="16"/>
        </w:rPr>
      </w:pPr>
      <w:r w:rsidRPr="009A2F6B">
        <w:rPr>
          <w:szCs w:val="16"/>
        </w:rPr>
        <w:t>Enfin, ces discriminations sont moins aisément objectivables que celles dont sont victimes des individus que la loi elle-même qualifie d'« autres » par leur nationalité étrangère et leur absence de titre de séjour. Pour ces dernières, la loi « offre » en effet au discriminateur un support avec ces catégories de droit différenciées sur lesquelles s'a</w:t>
      </w:r>
      <w:r w:rsidRPr="009A2F6B">
        <w:rPr>
          <w:szCs w:val="16"/>
        </w:rPr>
        <w:t>c</w:t>
      </w:r>
      <w:r w:rsidRPr="009A2F6B">
        <w:rPr>
          <w:szCs w:val="16"/>
        </w:rPr>
        <w:t>crocheront les pratiques discriminatoires, par exemple, sur si</w:t>
      </w:r>
      <w:r w:rsidRPr="009A2F6B">
        <w:rPr>
          <w:szCs w:val="16"/>
        </w:rPr>
        <w:t>m</w:t>
      </w:r>
      <w:r w:rsidRPr="009A2F6B">
        <w:rPr>
          <w:szCs w:val="16"/>
        </w:rPr>
        <w:t>ple examen d'un dossier administratif. À l'inverse,</w:t>
      </w:r>
      <w:r>
        <w:rPr>
          <w:szCs w:val="16"/>
        </w:rPr>
        <w:t xml:space="preserve"> [31] </w:t>
      </w:r>
      <w:r w:rsidRPr="009A2F6B">
        <w:rPr>
          <w:szCs w:val="16"/>
        </w:rPr>
        <w:t>la reconnaissance de l'altérité raciale et les discriminations qui peuvent en découler se réalisent dans l'interaction sociale, indépe</w:t>
      </w:r>
      <w:r w:rsidRPr="009A2F6B">
        <w:rPr>
          <w:szCs w:val="16"/>
        </w:rPr>
        <w:t>n</w:t>
      </w:r>
      <w:r w:rsidRPr="009A2F6B">
        <w:rPr>
          <w:szCs w:val="16"/>
        </w:rPr>
        <w:t>damment du cadre jurid</w:t>
      </w:r>
      <w:r w:rsidRPr="009A2F6B">
        <w:rPr>
          <w:szCs w:val="16"/>
        </w:rPr>
        <w:t>i</w:t>
      </w:r>
      <w:r w:rsidRPr="009A2F6B">
        <w:rPr>
          <w:szCs w:val="16"/>
        </w:rPr>
        <w:t>que. C'est donc par un examen soigneux au prisme des « bonnes prat</w:t>
      </w:r>
      <w:r w:rsidRPr="009A2F6B">
        <w:rPr>
          <w:szCs w:val="16"/>
        </w:rPr>
        <w:t>i</w:t>
      </w:r>
      <w:r w:rsidRPr="009A2F6B">
        <w:rPr>
          <w:szCs w:val="16"/>
        </w:rPr>
        <w:t>ques professionnelles » que l'on peut les identifier et non simplement par le constat d'un écart entre le droit et son application.</w:t>
      </w:r>
    </w:p>
    <w:p w:rsidR="00717918" w:rsidRPr="009A2F6B" w:rsidRDefault="00717918" w:rsidP="00717918">
      <w:pPr>
        <w:spacing w:before="120" w:after="120"/>
        <w:jc w:val="both"/>
      </w:pPr>
    </w:p>
    <w:p w:rsidR="00717918" w:rsidRPr="009A2F6B" w:rsidRDefault="00717918" w:rsidP="00717918">
      <w:pPr>
        <w:pStyle w:val="a"/>
      </w:pPr>
      <w:bookmarkStart w:id="5" w:name="Etranger_4"/>
      <w:r w:rsidRPr="009A2F6B">
        <w:t>« Eux « et « nous »</w:t>
      </w:r>
    </w:p>
    <w:bookmarkEnd w:id="5"/>
    <w:p w:rsidR="00717918" w:rsidRDefault="00717918" w:rsidP="00717918">
      <w:pPr>
        <w:spacing w:before="120" w:after="120"/>
        <w:jc w:val="both"/>
        <w:rPr>
          <w:szCs w:val="16"/>
        </w:rPr>
      </w:pPr>
    </w:p>
    <w:p w:rsidR="00717918" w:rsidRPr="00384B20" w:rsidRDefault="00717918" w:rsidP="00717918">
      <w:pPr>
        <w:ind w:right="90" w:firstLine="0"/>
        <w:jc w:val="both"/>
        <w:rPr>
          <w:sz w:val="20"/>
        </w:rPr>
      </w:pPr>
      <w:hyperlink w:anchor="tdm" w:history="1">
        <w:r w:rsidRPr="00384B20">
          <w:rPr>
            <w:rStyle w:val="Lienhypertexte"/>
            <w:sz w:val="20"/>
          </w:rPr>
          <w:t>Retour à la table des matières</w:t>
        </w:r>
      </w:hyperlink>
    </w:p>
    <w:p w:rsidR="00717918" w:rsidRPr="009A2F6B" w:rsidRDefault="00717918" w:rsidP="00717918">
      <w:pPr>
        <w:spacing w:before="120" w:after="120"/>
        <w:jc w:val="both"/>
      </w:pPr>
      <w:r w:rsidRPr="009A2F6B">
        <w:rPr>
          <w:szCs w:val="16"/>
        </w:rPr>
        <w:t>La distinction entre deux grands types de discrimination, selon qu'elles soient fondées sur des catégories juridiques ou raciales, ne doit pas pour autant occulter l'étroite articulation des processus ident</w:t>
      </w:r>
      <w:r w:rsidRPr="009A2F6B">
        <w:rPr>
          <w:szCs w:val="16"/>
        </w:rPr>
        <w:t>i</w:t>
      </w:r>
      <w:r w:rsidRPr="009A2F6B">
        <w:rPr>
          <w:szCs w:val="16"/>
        </w:rPr>
        <w:t>fiés.</w:t>
      </w:r>
    </w:p>
    <w:p w:rsidR="00717918" w:rsidRPr="009A2F6B" w:rsidRDefault="00717918" w:rsidP="00717918">
      <w:pPr>
        <w:spacing w:before="120" w:after="120"/>
        <w:jc w:val="both"/>
      </w:pPr>
      <w:r w:rsidRPr="009A2F6B">
        <w:rPr>
          <w:szCs w:val="16"/>
        </w:rPr>
        <w:t>Pour illustrer ce dernier point, on peut repartir de l'exemple des discriminations posées à rencontre des étrangers sans-papiers, bénéf</w:t>
      </w:r>
      <w:r w:rsidRPr="009A2F6B">
        <w:rPr>
          <w:szCs w:val="16"/>
        </w:rPr>
        <w:t>i</w:t>
      </w:r>
      <w:r w:rsidRPr="009A2F6B">
        <w:rPr>
          <w:szCs w:val="16"/>
        </w:rPr>
        <w:t>ciaires potentiels de l'aide médicale. La stricte adéquation entre une catégorie du droit au séjour (l'irrégularité du séjour) et une cat</w:t>
      </w:r>
      <w:r w:rsidRPr="009A2F6B">
        <w:rPr>
          <w:szCs w:val="16"/>
        </w:rPr>
        <w:t>é</w:t>
      </w:r>
      <w:r w:rsidRPr="009A2F6B">
        <w:rPr>
          <w:szCs w:val="16"/>
        </w:rPr>
        <w:t>gorie du droit social (l'aide médicale) favorise le développement d'une log</w:t>
      </w:r>
      <w:r w:rsidRPr="009A2F6B">
        <w:rPr>
          <w:szCs w:val="16"/>
        </w:rPr>
        <w:t>i</w:t>
      </w:r>
      <w:r w:rsidRPr="009A2F6B">
        <w:rPr>
          <w:szCs w:val="16"/>
        </w:rPr>
        <w:t xml:space="preserve">que de suspicion et de vérification. Les professionnels sont en effet </w:t>
      </w:r>
      <w:r w:rsidRPr="009A2F6B">
        <w:rPr>
          <w:szCs w:val="16"/>
        </w:rPr>
        <w:lastRenderedPageBreak/>
        <w:t>tenus de vérifier la situation au regard du séjour de l'ensemble des étrangers afin de déterminer lesquels d'entre eux sont exclus de l'ass</w:t>
      </w:r>
      <w:r w:rsidRPr="009A2F6B">
        <w:rPr>
          <w:szCs w:val="16"/>
        </w:rPr>
        <w:t>u</w:t>
      </w:r>
      <w:r w:rsidRPr="009A2F6B">
        <w:rPr>
          <w:szCs w:val="16"/>
        </w:rPr>
        <w:t>rance maladie et relèvent de l'aide médicale. Peuvent alors s'accrocher à ces pratiques légalement prescrites d'autres prat</w:t>
      </w:r>
      <w:r w:rsidRPr="009A2F6B">
        <w:rPr>
          <w:szCs w:val="16"/>
        </w:rPr>
        <w:t>i</w:t>
      </w:r>
      <w:r w:rsidRPr="009A2F6B">
        <w:rPr>
          <w:szCs w:val="16"/>
        </w:rPr>
        <w:t>ques, racialement différenciées. C'est le cas lorsque ce ne sont plus les étrangers mais les individus qui « ont l'air » étrangers qui sont soumis aux vérifications du titre de séjour ou aux commentaires péjoratifs qui les accomp</w:t>
      </w:r>
      <w:r w:rsidRPr="009A2F6B">
        <w:rPr>
          <w:szCs w:val="16"/>
        </w:rPr>
        <w:t>a</w:t>
      </w:r>
      <w:r w:rsidRPr="009A2F6B">
        <w:rPr>
          <w:szCs w:val="16"/>
        </w:rPr>
        <w:t>gnent à l'occasion. Enfin, la loi elle-même, en niant aux étrangers sans-papiers le caractère inaliénable de leurs droits fondamentaux, reconnaît implicitement cette différence rad</w:t>
      </w:r>
      <w:r w:rsidRPr="009A2F6B">
        <w:rPr>
          <w:szCs w:val="16"/>
        </w:rPr>
        <w:t>i</w:t>
      </w:r>
      <w:r w:rsidRPr="009A2F6B">
        <w:rPr>
          <w:szCs w:val="16"/>
        </w:rPr>
        <w:t>cale entre « eux » et « nous » qui fonde la discrimination raciale.</w:t>
      </w:r>
    </w:p>
    <w:p w:rsidR="00717918" w:rsidRDefault="00717918" w:rsidP="00717918">
      <w:pPr>
        <w:spacing w:before="120" w:after="120"/>
        <w:jc w:val="both"/>
        <w:rPr>
          <w:szCs w:val="16"/>
        </w:rPr>
      </w:pPr>
    </w:p>
    <w:p w:rsidR="00717918" w:rsidRDefault="00717918" w:rsidP="00717918">
      <w:pPr>
        <w:spacing w:before="120" w:after="120"/>
        <w:jc w:val="both"/>
        <w:rPr>
          <w:szCs w:val="16"/>
        </w:rPr>
      </w:pPr>
    </w:p>
    <w:p w:rsidR="00717918" w:rsidRPr="009A2F6B" w:rsidRDefault="00717918" w:rsidP="00717918">
      <w:pPr>
        <w:spacing w:before="120" w:after="120"/>
        <w:jc w:val="both"/>
      </w:pPr>
      <w:r w:rsidRPr="009A2F6B">
        <w:rPr>
          <w:szCs w:val="16"/>
        </w:rPr>
        <w:t>Carde, E. (2009a). « Quinze ans de réforme de l'accès à une co</w:t>
      </w:r>
      <w:r w:rsidRPr="009A2F6B">
        <w:rPr>
          <w:szCs w:val="16"/>
        </w:rPr>
        <w:t>u</w:t>
      </w:r>
      <w:r w:rsidRPr="009A2F6B">
        <w:rPr>
          <w:szCs w:val="16"/>
        </w:rPr>
        <w:t>verture maladie des sans-papiers : de l'Aide sociale aux politiques d'imm</w:t>
      </w:r>
      <w:r w:rsidRPr="009A2F6B">
        <w:rPr>
          <w:szCs w:val="16"/>
        </w:rPr>
        <w:t>i</w:t>
      </w:r>
      <w:r w:rsidRPr="009A2F6B">
        <w:rPr>
          <w:szCs w:val="16"/>
        </w:rPr>
        <w:t>gration », Mouvements, 59 : 144-156.</w:t>
      </w:r>
    </w:p>
    <w:p w:rsidR="00717918" w:rsidRPr="009A2F6B" w:rsidRDefault="00717918" w:rsidP="00717918">
      <w:pPr>
        <w:spacing w:before="120" w:after="120"/>
        <w:jc w:val="both"/>
      </w:pPr>
      <w:r w:rsidRPr="009A2F6B">
        <w:rPr>
          <w:szCs w:val="16"/>
        </w:rPr>
        <w:t>Carde, E. (2009b). » Les restrictions apportées au droit aux soins des étrangers sont-elles discriminatoires ? La loi et l'illégitime », Sa</w:t>
      </w:r>
      <w:r w:rsidRPr="009A2F6B">
        <w:rPr>
          <w:szCs w:val="16"/>
        </w:rPr>
        <w:t>n</w:t>
      </w:r>
      <w:r w:rsidRPr="009A2F6B">
        <w:rPr>
          <w:szCs w:val="16"/>
        </w:rPr>
        <w:t xml:space="preserve">té </w:t>
      </w:r>
      <w:r w:rsidRPr="009A2F6B">
        <w:rPr>
          <w:i/>
          <w:iCs/>
          <w:szCs w:val="16"/>
        </w:rPr>
        <w:t xml:space="preserve">Publique, </w:t>
      </w:r>
      <w:r w:rsidRPr="009A2F6B">
        <w:rPr>
          <w:szCs w:val="16"/>
        </w:rPr>
        <w:t>3 : 331-338.</w:t>
      </w:r>
    </w:p>
    <w:p w:rsidR="00717918" w:rsidRPr="009A2F6B" w:rsidRDefault="00717918" w:rsidP="00717918">
      <w:pPr>
        <w:spacing w:before="120" w:after="120"/>
        <w:jc w:val="both"/>
      </w:pPr>
      <w:r w:rsidRPr="009A2F6B">
        <w:rPr>
          <w:szCs w:val="16"/>
        </w:rPr>
        <w:t>Carde, E. (2007). « Les discriminations selon l'origine dans l'a</w:t>
      </w:r>
      <w:r w:rsidRPr="009A2F6B">
        <w:rPr>
          <w:szCs w:val="16"/>
        </w:rPr>
        <w:t>c</w:t>
      </w:r>
      <w:r w:rsidRPr="009A2F6B">
        <w:rPr>
          <w:szCs w:val="16"/>
        </w:rPr>
        <w:t xml:space="preserve">cès aux soins », Santé </w:t>
      </w:r>
      <w:r w:rsidRPr="009A2F6B">
        <w:rPr>
          <w:i/>
          <w:iCs/>
          <w:szCs w:val="16"/>
        </w:rPr>
        <w:t xml:space="preserve">Publique, </w:t>
      </w:r>
      <w:r w:rsidRPr="009A2F6B">
        <w:rPr>
          <w:szCs w:val="16"/>
        </w:rPr>
        <w:t>2 : 99-110.</w:t>
      </w:r>
    </w:p>
    <w:p w:rsidR="00717918" w:rsidRPr="009A2F6B" w:rsidRDefault="00717918" w:rsidP="00717918">
      <w:pPr>
        <w:spacing w:before="120" w:after="120"/>
        <w:jc w:val="both"/>
      </w:pPr>
      <w:r w:rsidRPr="009A2F6B">
        <w:rPr>
          <w:szCs w:val="16"/>
        </w:rPr>
        <w:t>Carde, E. (2006). » "On ne laisse mourir personne". Les discrim</w:t>
      </w:r>
      <w:r w:rsidRPr="009A2F6B">
        <w:rPr>
          <w:szCs w:val="16"/>
        </w:rPr>
        <w:t>i</w:t>
      </w:r>
      <w:r w:rsidRPr="009A2F6B">
        <w:rPr>
          <w:szCs w:val="16"/>
        </w:rPr>
        <w:t xml:space="preserve">nations dans l'accès aux soins », </w:t>
      </w:r>
      <w:r w:rsidRPr="009A2F6B">
        <w:rPr>
          <w:i/>
          <w:iCs/>
          <w:szCs w:val="16"/>
        </w:rPr>
        <w:t xml:space="preserve">Travailler, </w:t>
      </w:r>
      <w:r w:rsidRPr="009A2F6B">
        <w:rPr>
          <w:szCs w:val="16"/>
        </w:rPr>
        <w:t>16 : 57-80.</w:t>
      </w:r>
    </w:p>
    <w:p w:rsidR="00717918" w:rsidRPr="009A2F6B" w:rsidRDefault="00717918" w:rsidP="00717918">
      <w:pPr>
        <w:spacing w:before="120" w:after="120"/>
        <w:jc w:val="both"/>
      </w:pPr>
      <w:r w:rsidRPr="009A2F6B">
        <w:rPr>
          <w:szCs w:val="16"/>
        </w:rPr>
        <w:t xml:space="preserve">Fassin, D. (2002). « L'invention française de la discrimination », </w:t>
      </w:r>
      <w:r w:rsidRPr="009A2F6B">
        <w:rPr>
          <w:i/>
          <w:iCs/>
          <w:szCs w:val="16"/>
        </w:rPr>
        <w:t>R</w:t>
      </w:r>
      <w:r w:rsidRPr="009A2F6B">
        <w:rPr>
          <w:i/>
          <w:iCs/>
          <w:szCs w:val="16"/>
        </w:rPr>
        <w:t>e</w:t>
      </w:r>
      <w:r w:rsidRPr="009A2F6B">
        <w:rPr>
          <w:i/>
          <w:iCs/>
          <w:szCs w:val="16"/>
        </w:rPr>
        <w:t xml:space="preserve">vue française de </w:t>
      </w:r>
      <w:r>
        <w:rPr>
          <w:i/>
          <w:iCs/>
          <w:szCs w:val="16"/>
        </w:rPr>
        <w:t>science</w:t>
      </w:r>
      <w:r w:rsidRPr="009A2F6B">
        <w:rPr>
          <w:i/>
          <w:iCs/>
          <w:szCs w:val="16"/>
        </w:rPr>
        <w:t xml:space="preserve"> politique, </w:t>
      </w:r>
      <w:r w:rsidRPr="009A2F6B">
        <w:rPr>
          <w:szCs w:val="16"/>
        </w:rPr>
        <w:t>52(4) : 403-423.</w:t>
      </w:r>
    </w:p>
    <w:p w:rsidR="00717918" w:rsidRPr="009A2F6B" w:rsidRDefault="00717918" w:rsidP="00717918">
      <w:pPr>
        <w:spacing w:before="120" w:after="120"/>
        <w:jc w:val="both"/>
      </w:pPr>
      <w:r w:rsidRPr="009A2F6B">
        <w:rPr>
          <w:szCs w:val="16"/>
        </w:rPr>
        <w:t xml:space="preserve">Guillaumin, C. (1972). </w:t>
      </w:r>
      <w:r>
        <w:rPr>
          <w:i/>
          <w:iCs/>
          <w:szCs w:val="16"/>
        </w:rPr>
        <w:t>L'idéologie raci</w:t>
      </w:r>
      <w:r w:rsidRPr="009A2F6B">
        <w:rPr>
          <w:i/>
          <w:iCs/>
          <w:szCs w:val="16"/>
        </w:rPr>
        <w:t>ste. Genèse et langage a</w:t>
      </w:r>
      <w:r w:rsidRPr="009A2F6B">
        <w:rPr>
          <w:i/>
          <w:iCs/>
          <w:szCs w:val="16"/>
        </w:rPr>
        <w:t>c</w:t>
      </w:r>
      <w:r w:rsidRPr="009A2F6B">
        <w:rPr>
          <w:i/>
          <w:iCs/>
          <w:szCs w:val="16"/>
        </w:rPr>
        <w:t xml:space="preserve">tuel, </w:t>
      </w:r>
      <w:r w:rsidRPr="009A2F6B">
        <w:rPr>
          <w:szCs w:val="16"/>
        </w:rPr>
        <w:t>Paris, Éditions Mouton (réédition, 2002, Éditions Gallimard).</w:t>
      </w:r>
    </w:p>
    <w:p w:rsidR="00717918" w:rsidRDefault="00717918" w:rsidP="00717918">
      <w:pPr>
        <w:spacing w:before="120" w:after="120"/>
        <w:jc w:val="both"/>
        <w:rPr>
          <w:szCs w:val="16"/>
        </w:rPr>
      </w:pPr>
      <w:r w:rsidRPr="009A2F6B">
        <w:rPr>
          <w:szCs w:val="16"/>
        </w:rPr>
        <w:t>Lochak, D. (1987). « Réflexions sur la notion de discrimin</w:t>
      </w:r>
      <w:r w:rsidRPr="009A2F6B">
        <w:rPr>
          <w:szCs w:val="16"/>
        </w:rPr>
        <w:t>a</w:t>
      </w:r>
      <w:r w:rsidRPr="009A2F6B">
        <w:rPr>
          <w:szCs w:val="16"/>
        </w:rPr>
        <w:t xml:space="preserve">tion », </w:t>
      </w:r>
      <w:r w:rsidRPr="009A2F6B">
        <w:rPr>
          <w:i/>
          <w:iCs/>
          <w:szCs w:val="16"/>
        </w:rPr>
        <w:t xml:space="preserve">Droit Social, </w:t>
      </w:r>
      <w:r w:rsidRPr="009A2F6B">
        <w:rPr>
          <w:szCs w:val="16"/>
        </w:rPr>
        <w:t>11 : 778-790.</w:t>
      </w:r>
    </w:p>
    <w:p w:rsidR="00717918" w:rsidRDefault="00717918" w:rsidP="00717918">
      <w:pPr>
        <w:spacing w:before="120" w:after="120"/>
        <w:jc w:val="both"/>
        <w:rPr>
          <w:szCs w:val="16"/>
        </w:rPr>
      </w:pPr>
      <w:r>
        <w:rPr>
          <w:szCs w:val="16"/>
        </w:rPr>
        <w:br w:type="page"/>
      </w:r>
    </w:p>
    <w:p w:rsidR="00717918" w:rsidRPr="009A2F6B" w:rsidRDefault="002C4C0E" w:rsidP="00717918">
      <w:pPr>
        <w:pStyle w:val="fig"/>
      </w:pPr>
      <w:r w:rsidRPr="00E31287">
        <w:rPr>
          <w:noProof/>
        </w:rPr>
        <w:drawing>
          <wp:inline distT="0" distB="0" distL="0" distR="0">
            <wp:extent cx="4229100" cy="5359400"/>
            <wp:effectExtent l="25400" t="25400" r="12700" b="12700"/>
            <wp:docPr id="8" name="Image 8" descr="fig_p_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_p_3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9100" cy="5359400"/>
                    </a:xfrm>
                    <a:prstGeom prst="rect">
                      <a:avLst/>
                    </a:prstGeom>
                    <a:noFill/>
                    <a:ln w="19050" cmpd="sng">
                      <a:solidFill>
                        <a:srgbClr val="000000"/>
                      </a:solidFill>
                      <a:miter lim="800000"/>
                      <a:headEnd/>
                      <a:tailEnd/>
                    </a:ln>
                    <a:effectLst/>
                  </pic:spPr>
                </pic:pic>
              </a:graphicData>
            </a:graphic>
          </wp:inline>
        </w:drawing>
      </w:r>
    </w:p>
    <w:p w:rsidR="00717918" w:rsidRDefault="00717918" w:rsidP="00717918">
      <w:pPr>
        <w:spacing w:before="120" w:after="120"/>
        <w:jc w:val="both"/>
        <w:rPr>
          <w:szCs w:val="16"/>
        </w:rPr>
      </w:pPr>
    </w:p>
    <w:p w:rsidR="00717918" w:rsidRPr="00E07116" w:rsidRDefault="00717918">
      <w:pPr>
        <w:jc w:val="both"/>
      </w:pPr>
    </w:p>
    <w:sectPr w:rsidR="00717918" w:rsidRPr="00E07116" w:rsidSect="00717918">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0BF" w:rsidRDefault="00A100BF">
      <w:r>
        <w:separator/>
      </w:r>
    </w:p>
  </w:endnote>
  <w:endnote w:type="continuationSeparator" w:id="0">
    <w:p w:rsidR="00A100BF" w:rsidRDefault="00A1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0BF" w:rsidRDefault="00A100BF">
      <w:pPr>
        <w:ind w:firstLine="0"/>
      </w:pPr>
      <w:r>
        <w:separator/>
      </w:r>
    </w:p>
  </w:footnote>
  <w:footnote w:type="continuationSeparator" w:id="0">
    <w:p w:rsidR="00A100BF" w:rsidRDefault="00A100BF">
      <w:pPr>
        <w:ind w:firstLine="0"/>
      </w:pPr>
      <w:r>
        <w:separator/>
      </w:r>
    </w:p>
  </w:footnote>
  <w:footnote w:id="1">
    <w:p w:rsidR="00717918" w:rsidRDefault="00717918" w:rsidP="00717918">
      <w:pPr>
        <w:pStyle w:val="Notedebasdepage"/>
      </w:pPr>
      <w:r>
        <w:rPr>
          <w:rStyle w:val="Appelnotedebasdep"/>
        </w:rPr>
        <w:t>*</w:t>
      </w:r>
      <w:r>
        <w:t xml:space="preserve"> </w:t>
      </w:r>
      <w:r>
        <w:tab/>
        <w:t>Chercheure post-doctorale au CREMIS</w:t>
      </w:r>
    </w:p>
  </w:footnote>
  <w:footnote w:id="2">
    <w:p w:rsidR="00717918" w:rsidRDefault="00717918" w:rsidP="00717918">
      <w:pPr>
        <w:pStyle w:val="Notedebasdepage"/>
      </w:pPr>
      <w:r>
        <w:rPr>
          <w:rStyle w:val="Appelnotedebasdep"/>
        </w:rPr>
        <w:footnoteRef/>
      </w:r>
      <w:r>
        <w:t xml:space="preserve"> </w:t>
      </w:r>
      <w:r>
        <w:tab/>
      </w:r>
      <w:r w:rsidRPr="009A2F6B">
        <w:t xml:space="preserve">Carde, E. (2006). </w:t>
      </w:r>
      <w:hyperlink r:id="rId1" w:history="1">
        <w:r w:rsidRPr="00D1524A">
          <w:rPr>
            <w:rStyle w:val="Lienhypertexte"/>
            <w:i/>
            <w:szCs w:val="16"/>
          </w:rPr>
          <w:t>Les</w:t>
        </w:r>
        <w:r w:rsidRPr="00D1524A">
          <w:rPr>
            <w:rStyle w:val="Lienhypertexte"/>
            <w:szCs w:val="16"/>
          </w:rPr>
          <w:t xml:space="preserve"> </w:t>
        </w:r>
        <w:r w:rsidRPr="00D1524A">
          <w:rPr>
            <w:rStyle w:val="Lienhypertexte"/>
            <w:i/>
            <w:iCs/>
            <w:szCs w:val="16"/>
          </w:rPr>
          <w:t>discriminations selon l'origine dans l'accès aux soins. Études en France métropolitaine et en Guyane</w:t>
        </w:r>
      </w:hyperlink>
      <w:r w:rsidRPr="009A2F6B">
        <w:rPr>
          <w:iCs/>
        </w:rPr>
        <w:t xml:space="preserve">, </w:t>
      </w:r>
      <w:r w:rsidRPr="009A2F6B">
        <w:t>Doctorat de sociol</w:t>
      </w:r>
      <w:r w:rsidRPr="009A2F6B">
        <w:t>o</w:t>
      </w:r>
      <w:r w:rsidRPr="009A2F6B">
        <w:t>g</w:t>
      </w:r>
      <w:r>
        <w:t>i</w:t>
      </w:r>
      <w:r w:rsidRPr="009A2F6B">
        <w:t>e/Santé publique, Paris</w:t>
      </w:r>
      <w:r>
        <w:t> </w:t>
      </w:r>
      <w:r w:rsidRPr="009A2F6B">
        <w:t>XI.</w:t>
      </w:r>
    </w:p>
  </w:footnote>
  <w:footnote w:id="3">
    <w:p w:rsidR="00717918" w:rsidRDefault="00717918" w:rsidP="00717918">
      <w:pPr>
        <w:pStyle w:val="Notedebasdepage"/>
      </w:pPr>
      <w:r>
        <w:rPr>
          <w:rStyle w:val="Appelnotedebasdep"/>
        </w:rPr>
        <w:footnoteRef/>
      </w:r>
      <w:r>
        <w:t xml:space="preserve"> </w:t>
      </w:r>
      <w:r>
        <w:tab/>
      </w:r>
      <w:r w:rsidRPr="009A2F6B">
        <w:t>Déclaration universelle des Droits de l'Homme de l'ONU, Conve</w:t>
      </w:r>
      <w:r w:rsidRPr="009A2F6B">
        <w:t>n</w:t>
      </w:r>
      <w:r w:rsidRPr="009A2F6B">
        <w:t>tion n°</w:t>
      </w:r>
      <w:r>
        <w:t> </w:t>
      </w:r>
      <w:r w:rsidRPr="009A2F6B">
        <w:t>118 de l'OIT, Charte sociale du Conseil de l'Europe, Constitution frança</w:t>
      </w:r>
      <w:r w:rsidRPr="009A2F6B">
        <w:t>i</w:t>
      </w:r>
      <w:r w:rsidRPr="009A2F6B">
        <w:t>se.</w:t>
      </w:r>
    </w:p>
  </w:footnote>
  <w:footnote w:id="4">
    <w:p w:rsidR="00717918" w:rsidRDefault="00717918" w:rsidP="00717918">
      <w:pPr>
        <w:pStyle w:val="Notedebasdepage"/>
      </w:pPr>
      <w:r>
        <w:rPr>
          <w:rStyle w:val="Appelnotedebasdep"/>
        </w:rPr>
        <w:footnoteRef/>
      </w:r>
      <w:r>
        <w:t xml:space="preserve"> </w:t>
      </w:r>
      <w:r>
        <w:tab/>
      </w:r>
      <w:r w:rsidRPr="009A2F6B">
        <w:t>En considérant que cet intérêt général requiert de limiter l'appel d'air migrato</w:t>
      </w:r>
      <w:r w:rsidRPr="009A2F6B">
        <w:t>i</w:t>
      </w:r>
      <w:r w:rsidRPr="009A2F6B">
        <w:t>re censé être induit par une protection sociale trop génére</w:t>
      </w:r>
      <w:r w:rsidRPr="009A2F6B">
        <w:t>u</w:t>
      </w:r>
      <w:r w:rsidRPr="009A2F6B">
        <w:t>se.</w:t>
      </w:r>
    </w:p>
  </w:footnote>
  <w:footnote w:id="5">
    <w:p w:rsidR="00717918" w:rsidRDefault="00717918" w:rsidP="00717918">
      <w:pPr>
        <w:pStyle w:val="Notedebasdepage"/>
      </w:pPr>
      <w:r>
        <w:rPr>
          <w:rStyle w:val="Appelnotedebasdep"/>
        </w:rPr>
        <w:footnoteRef/>
      </w:r>
      <w:r>
        <w:t xml:space="preserve"> </w:t>
      </w:r>
      <w:r>
        <w:tab/>
      </w:r>
      <w:r w:rsidRPr="009A2F6B">
        <w:t>Pour ces exclus de toute couverture maladie</w:t>
      </w:r>
      <w:r>
        <w:t xml:space="preserve"> </w:t>
      </w:r>
      <w:r w:rsidRPr="009A2F6B">
        <w:t>(notamment des sans-papiers ne pouvant prouver</w:t>
      </w:r>
      <w:r>
        <w:t xml:space="preserve"> </w:t>
      </w:r>
      <w:r w:rsidRPr="009A2F6B">
        <w:t>qu'ils résident en France depuis plus de trois mois</w:t>
      </w:r>
      <w:r>
        <w:t xml:space="preserve"> </w:t>
      </w:r>
      <w:r w:rsidRPr="009A2F6B">
        <w:t>conséc</w:t>
      </w:r>
      <w:r w:rsidRPr="009A2F6B">
        <w:t>u</w:t>
      </w:r>
      <w:r w:rsidRPr="009A2F6B">
        <w:t>tifs), un fond spécifique permet, ponctuellement, la prise en charge des soins hospitaliers urgents et vitaux.</w:t>
      </w:r>
    </w:p>
  </w:footnote>
  <w:footnote w:id="6">
    <w:p w:rsidR="00717918" w:rsidRDefault="00717918" w:rsidP="00717918">
      <w:pPr>
        <w:pStyle w:val="Notedebasdepage"/>
      </w:pPr>
      <w:r>
        <w:rPr>
          <w:rStyle w:val="Appelnotedebasdep"/>
        </w:rPr>
        <w:footnoteRef/>
      </w:r>
      <w:r>
        <w:t xml:space="preserve"> </w:t>
      </w:r>
      <w:r>
        <w:tab/>
      </w:r>
      <w:r w:rsidRPr="009A2F6B">
        <w:t>Et ce, même si les catégories raciales ont quelque</w:t>
      </w:r>
      <w:r>
        <w:t xml:space="preserve"> </w:t>
      </w:r>
      <w:r w:rsidRPr="009A2F6B">
        <w:t>peu émergé dans les di</w:t>
      </w:r>
      <w:r w:rsidRPr="009A2F6B">
        <w:t>s</w:t>
      </w:r>
      <w:r w:rsidRPr="009A2F6B">
        <w:t>cours officiels, à partir de la</w:t>
      </w:r>
      <w:r>
        <w:t xml:space="preserve"> </w:t>
      </w:r>
      <w:r w:rsidRPr="009A2F6B">
        <w:t>fin des années 1990, appar</w:t>
      </w:r>
      <w:r w:rsidRPr="009A2F6B">
        <w:t>i</w:t>
      </w:r>
      <w:r w:rsidRPr="009A2F6B">
        <w:t>tion qui a d'ailleurs rendu possible la di</w:t>
      </w:r>
      <w:r>
        <w:t xml:space="preserve">ffusion de la discrimination en </w:t>
      </w:r>
      <w:r w:rsidRPr="009A2F6B">
        <w:t>dehors du milieu jurid</w:t>
      </w:r>
      <w:r w:rsidRPr="009A2F6B">
        <w:t>i</w:t>
      </w:r>
      <w:r w:rsidRPr="009A2F6B">
        <w:t>que et son « invention » comme</w:t>
      </w:r>
      <w:r>
        <w:t xml:space="preserve"> </w:t>
      </w:r>
      <w:r w:rsidRPr="009A2F6B">
        <w:t>problème s</w:t>
      </w:r>
      <w:r w:rsidRPr="009A2F6B">
        <w:t>o</w:t>
      </w:r>
      <w:r w:rsidRPr="009A2F6B">
        <w:t>cial (Fassin,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918" w:rsidRDefault="00717918" w:rsidP="0071791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Estelle Carde, “L’étranger</w:t>
    </w:r>
    <w:r w:rsidRPr="00CF7F5D">
      <w:rPr>
        <w:rFonts w:ascii="Times New Roman" w:hAnsi="Times New Roman"/>
      </w:rPr>
      <w:t>.”</w:t>
    </w:r>
    <w:r w:rsidRPr="00C90835">
      <w:rPr>
        <w:rFonts w:ascii="Times New Roman" w:hAnsi="Times New Roman"/>
      </w:rPr>
      <w:t xml:space="preserve"> </w:t>
    </w:r>
    <w:r>
      <w:rPr>
        <w:rFonts w:ascii="Times New Roman" w:hAnsi="Times New Roman"/>
      </w:rPr>
      <w:t>(2010)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100B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rsidR="00717918" w:rsidRDefault="0071791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E145E9"/>
    <w:multiLevelType w:val="singleLevel"/>
    <w:tmpl w:val="86A6F952"/>
    <w:lvl w:ilvl="0">
      <w:start w:val="1"/>
      <w:numFmt w:val="decimal"/>
      <w:lvlText w:val="%1."/>
      <w:legacy w:legacy="1" w:legacySpace="0" w:legacyIndent="187"/>
      <w:lvlJc w:val="left"/>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9746C"/>
    <w:rsid w:val="002C4C0E"/>
    <w:rsid w:val="00717918"/>
    <w:rsid w:val="00A100B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A676140"/>
  <w15:chartTrackingRefBased/>
  <w15:docId w15:val="{67A3BD1D-FD87-7447-B333-5E8EBF39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1524A"/>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939F3"/>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D1524A"/>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B07F81"/>
    <w:rPr>
      <w:sz w:val="36"/>
    </w:rPr>
  </w:style>
  <w:style w:type="paragraph" w:customStyle="1" w:styleId="aa">
    <w:name w:val="aa"/>
    <w:basedOn w:val="Normal"/>
    <w:autoRedefine/>
    <w:rsid w:val="006939F3"/>
    <w:pPr>
      <w:spacing w:before="120" w:after="120"/>
      <w:jc w:val="both"/>
    </w:pPr>
    <w:rPr>
      <w:b/>
      <w:i/>
      <w:color w:val="FF0000"/>
      <w:sz w:val="32"/>
      <w:lang w:bidi="fr-FR"/>
    </w:rPr>
  </w:style>
  <w:style w:type="paragraph" w:customStyle="1" w:styleId="b">
    <w:name w:val="b"/>
    <w:basedOn w:val="Normal"/>
    <w:autoRedefine/>
    <w:rsid w:val="006939F3"/>
    <w:pPr>
      <w:spacing w:before="120" w:after="120"/>
      <w:ind w:left="720"/>
    </w:pPr>
    <w:rPr>
      <w:i/>
      <w:color w:val="0000FF"/>
      <w:lang w:bidi="fr-FR"/>
    </w:rPr>
  </w:style>
  <w:style w:type="paragraph" w:customStyle="1" w:styleId="bb">
    <w:name w:val="bb"/>
    <w:basedOn w:val="Normal"/>
    <w:rsid w:val="006939F3"/>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6939F3"/>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6939F3"/>
    <w:rPr>
      <w:rFonts w:ascii="Times New Roman" w:eastAsia="Times New Roman" w:hAnsi="Times New Roman"/>
      <w:sz w:val="72"/>
      <w:lang w:val="fr-CA" w:eastAsia="en-US"/>
    </w:rPr>
  </w:style>
  <w:style w:type="paragraph" w:styleId="Corpsdetexte2">
    <w:name w:val="Body Text 2"/>
    <w:basedOn w:val="Normal"/>
    <w:link w:val="Corpsdetexte2Car"/>
    <w:rsid w:val="006939F3"/>
    <w:pPr>
      <w:jc w:val="both"/>
    </w:pPr>
    <w:rPr>
      <w:rFonts w:ascii="Arial" w:hAnsi="Arial"/>
    </w:rPr>
  </w:style>
  <w:style w:type="character" w:customStyle="1" w:styleId="Corpsdetexte2Car">
    <w:name w:val="Corps de texte 2 Car"/>
    <w:basedOn w:val="Policepardfaut"/>
    <w:link w:val="Corpsdetexte2"/>
    <w:rsid w:val="006939F3"/>
    <w:rPr>
      <w:rFonts w:ascii="Arial" w:eastAsia="Times New Roman" w:hAnsi="Arial"/>
      <w:sz w:val="28"/>
      <w:lang w:val="fr-CA" w:eastAsia="en-US"/>
    </w:rPr>
  </w:style>
  <w:style w:type="paragraph" w:styleId="Corpsdetexte3">
    <w:name w:val="Body Text 3"/>
    <w:basedOn w:val="Normal"/>
    <w:link w:val="Corpsdetexte3Car"/>
    <w:rsid w:val="006939F3"/>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6939F3"/>
    <w:rPr>
      <w:rFonts w:ascii="Arial" w:eastAsia="Times New Roman" w:hAnsi="Arial"/>
      <w:sz w:val="28"/>
      <w:lang w:val="fr-CA" w:eastAsia="en-US"/>
    </w:rPr>
  </w:style>
  <w:style w:type="paragraph" w:customStyle="1" w:styleId="dd">
    <w:name w:val="dd"/>
    <w:basedOn w:val="Normal"/>
    <w:autoRedefine/>
    <w:rsid w:val="006939F3"/>
    <w:pPr>
      <w:spacing w:before="120" w:after="120"/>
      <w:ind w:left="1080"/>
    </w:pPr>
    <w:rPr>
      <w:i/>
      <w:color w:val="008000"/>
      <w:lang w:bidi="fr-FR"/>
    </w:rPr>
  </w:style>
  <w:style w:type="character" w:customStyle="1" w:styleId="En-tteCar">
    <w:name w:val="En-tête Car"/>
    <w:basedOn w:val="Policepardfaut"/>
    <w:link w:val="En-tte"/>
    <w:uiPriority w:val="99"/>
    <w:rsid w:val="006939F3"/>
    <w:rPr>
      <w:rFonts w:ascii="GillSans" w:eastAsia="Times New Roman" w:hAnsi="GillSans"/>
      <w:lang w:val="fr-CA" w:eastAsia="en-US"/>
    </w:rPr>
  </w:style>
  <w:style w:type="paragraph" w:customStyle="1" w:styleId="figlgende">
    <w:name w:val="fig légende"/>
    <w:basedOn w:val="Normal0"/>
    <w:rsid w:val="006939F3"/>
    <w:rPr>
      <w:color w:val="000090"/>
      <w:sz w:val="24"/>
      <w:szCs w:val="16"/>
      <w:lang w:eastAsia="fr-FR"/>
    </w:rPr>
  </w:style>
  <w:style w:type="paragraph" w:customStyle="1" w:styleId="figst">
    <w:name w:val="fig st"/>
    <w:basedOn w:val="Normal"/>
    <w:autoRedefine/>
    <w:rsid w:val="006939F3"/>
    <w:pPr>
      <w:spacing w:before="120" w:after="120"/>
      <w:jc w:val="center"/>
    </w:pPr>
    <w:rPr>
      <w:rFonts w:cs="Arial"/>
      <w:color w:val="000090"/>
      <w:sz w:val="24"/>
      <w:szCs w:val="16"/>
    </w:rPr>
  </w:style>
  <w:style w:type="paragraph" w:customStyle="1" w:styleId="figtitre">
    <w:name w:val="fig titre"/>
    <w:basedOn w:val="Normal"/>
    <w:autoRedefine/>
    <w:rsid w:val="006939F3"/>
    <w:pPr>
      <w:spacing w:before="120" w:after="120"/>
      <w:jc w:val="center"/>
    </w:pPr>
    <w:rPr>
      <w:rFonts w:cs="Arial"/>
      <w:b/>
      <w:bCs/>
      <w:color w:val="000000"/>
      <w:sz w:val="24"/>
      <w:szCs w:val="12"/>
    </w:rPr>
  </w:style>
  <w:style w:type="character" w:customStyle="1" w:styleId="NotedebasdepageCar">
    <w:name w:val="Note de bas de page Car"/>
    <w:basedOn w:val="Policepardfaut"/>
    <w:link w:val="Notedebasdepage"/>
    <w:rsid w:val="00D1524A"/>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6939F3"/>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6939F3"/>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6939F3"/>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6939F3"/>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6939F3"/>
    <w:rPr>
      <w:rFonts w:ascii="Arial" w:eastAsia="Times New Roman" w:hAnsi="Arial"/>
      <w:sz w:val="28"/>
      <w:lang w:val="fr-CA" w:eastAsia="en-US"/>
    </w:rPr>
  </w:style>
  <w:style w:type="character" w:customStyle="1" w:styleId="TitreCar">
    <w:name w:val="Titre Car"/>
    <w:basedOn w:val="Policepardfaut"/>
    <w:link w:val="Titre"/>
    <w:rsid w:val="006939F3"/>
    <w:rPr>
      <w:rFonts w:ascii="Times New Roman" w:eastAsia="Times New Roman" w:hAnsi="Times New Roman"/>
      <w:b/>
      <w:sz w:val="48"/>
      <w:lang w:val="fr-CA" w:eastAsia="en-US"/>
    </w:rPr>
  </w:style>
  <w:style w:type="character" w:customStyle="1" w:styleId="Titre1Car">
    <w:name w:val="Titre 1 Car"/>
    <w:basedOn w:val="Policepardfaut"/>
    <w:link w:val="Titre1"/>
    <w:rsid w:val="006939F3"/>
    <w:rPr>
      <w:rFonts w:eastAsia="Times New Roman"/>
      <w:noProof/>
      <w:lang w:val="fr-CA" w:eastAsia="en-US" w:bidi="ar-SA"/>
    </w:rPr>
  </w:style>
  <w:style w:type="character" w:customStyle="1" w:styleId="Titre2Car">
    <w:name w:val="Titre 2 Car"/>
    <w:basedOn w:val="Policepardfaut"/>
    <w:link w:val="Titre2"/>
    <w:rsid w:val="006939F3"/>
    <w:rPr>
      <w:rFonts w:eastAsia="Times New Roman"/>
      <w:noProof/>
      <w:lang w:val="fr-CA" w:eastAsia="en-US" w:bidi="ar-SA"/>
    </w:rPr>
  </w:style>
  <w:style w:type="character" w:customStyle="1" w:styleId="Titre3Car">
    <w:name w:val="Titre 3 Car"/>
    <w:basedOn w:val="Policepardfaut"/>
    <w:link w:val="Titre3"/>
    <w:rsid w:val="006939F3"/>
    <w:rPr>
      <w:rFonts w:eastAsia="Times New Roman"/>
      <w:noProof/>
      <w:lang w:val="fr-CA" w:eastAsia="en-US" w:bidi="ar-SA"/>
    </w:rPr>
  </w:style>
  <w:style w:type="character" w:customStyle="1" w:styleId="Titre4Car">
    <w:name w:val="Titre 4 Car"/>
    <w:basedOn w:val="Policepardfaut"/>
    <w:link w:val="Titre4"/>
    <w:rsid w:val="006939F3"/>
    <w:rPr>
      <w:rFonts w:eastAsia="Times New Roman"/>
      <w:noProof/>
      <w:lang w:val="fr-CA" w:eastAsia="en-US" w:bidi="ar-SA"/>
    </w:rPr>
  </w:style>
  <w:style w:type="character" w:customStyle="1" w:styleId="Titre5Car">
    <w:name w:val="Titre 5 Car"/>
    <w:basedOn w:val="Policepardfaut"/>
    <w:link w:val="Titre5"/>
    <w:rsid w:val="006939F3"/>
    <w:rPr>
      <w:rFonts w:eastAsia="Times New Roman"/>
      <w:noProof/>
      <w:lang w:val="fr-CA" w:eastAsia="en-US" w:bidi="ar-SA"/>
    </w:rPr>
  </w:style>
  <w:style w:type="character" w:customStyle="1" w:styleId="Titre6Car">
    <w:name w:val="Titre 6 Car"/>
    <w:basedOn w:val="Policepardfaut"/>
    <w:link w:val="Titre6"/>
    <w:rsid w:val="006939F3"/>
    <w:rPr>
      <w:rFonts w:eastAsia="Times New Roman"/>
      <w:noProof/>
      <w:lang w:val="fr-CA" w:eastAsia="en-US" w:bidi="ar-SA"/>
    </w:rPr>
  </w:style>
  <w:style w:type="character" w:customStyle="1" w:styleId="Titre7Car">
    <w:name w:val="Titre 7 Car"/>
    <w:basedOn w:val="Policepardfaut"/>
    <w:link w:val="Titre7"/>
    <w:rsid w:val="006939F3"/>
    <w:rPr>
      <w:rFonts w:eastAsia="Times New Roman"/>
      <w:noProof/>
      <w:lang w:val="fr-CA" w:eastAsia="en-US" w:bidi="ar-SA"/>
    </w:rPr>
  </w:style>
  <w:style w:type="character" w:customStyle="1" w:styleId="Titre8Car">
    <w:name w:val="Titre 8 Car"/>
    <w:basedOn w:val="Policepardfaut"/>
    <w:link w:val="Titre8"/>
    <w:rsid w:val="006939F3"/>
    <w:rPr>
      <w:rFonts w:eastAsia="Times New Roman"/>
      <w:noProof/>
      <w:lang w:val="fr-CA" w:eastAsia="en-US" w:bidi="ar-SA"/>
    </w:rPr>
  </w:style>
  <w:style w:type="character" w:customStyle="1" w:styleId="Titre9Car">
    <w:name w:val="Titre 9 Car"/>
    <w:basedOn w:val="Policepardfaut"/>
    <w:link w:val="Titre9"/>
    <w:rsid w:val="006939F3"/>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estelle.carde@umontreal.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Carde_Estelle/Discriminations_selon_origine_These_PhD/Discriminations_selon_origine_These_PhD.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3203</Words>
  <Characters>17617</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“L'étranger.”</vt:lpstr>
      <vt:lpstr>“L'étranger.”</vt:lpstr>
    </vt:vector>
  </TitlesOfParts>
  <Manager>Jean marie Tremblay, sociologue, bénévole, 2020</Manager>
  <Company>Les Classiques des sciences sociales</Company>
  <LinksUpToDate>false</LinksUpToDate>
  <CharactersWithSpaces>20779</CharactersWithSpaces>
  <SharedDoc>false</SharedDoc>
  <HyperlinkBase/>
  <HLinks>
    <vt:vector size="90" baseType="variant">
      <vt:variant>
        <vt:i4>6553716</vt:i4>
      </vt:variant>
      <vt:variant>
        <vt:i4>39</vt:i4>
      </vt:variant>
      <vt:variant>
        <vt:i4>0</vt:i4>
      </vt:variant>
      <vt:variant>
        <vt:i4>5</vt:i4>
      </vt:variant>
      <vt:variant>
        <vt:lpwstr/>
      </vt:variant>
      <vt:variant>
        <vt:lpwstr>tdm</vt:lpwstr>
      </vt:variant>
      <vt:variant>
        <vt:i4>6553716</vt:i4>
      </vt:variant>
      <vt:variant>
        <vt:i4>36</vt:i4>
      </vt:variant>
      <vt:variant>
        <vt:i4>0</vt:i4>
      </vt:variant>
      <vt:variant>
        <vt:i4>5</vt:i4>
      </vt:variant>
      <vt:variant>
        <vt:lpwstr/>
      </vt:variant>
      <vt:variant>
        <vt:lpwstr>tdm</vt:lpwstr>
      </vt:variant>
      <vt:variant>
        <vt:i4>6553716</vt:i4>
      </vt:variant>
      <vt:variant>
        <vt:i4>33</vt:i4>
      </vt:variant>
      <vt:variant>
        <vt:i4>0</vt:i4>
      </vt:variant>
      <vt:variant>
        <vt:i4>5</vt:i4>
      </vt:variant>
      <vt:variant>
        <vt:lpwstr/>
      </vt:variant>
      <vt:variant>
        <vt:lpwstr>tdm</vt:lpwstr>
      </vt:variant>
      <vt:variant>
        <vt:i4>6553716</vt:i4>
      </vt:variant>
      <vt:variant>
        <vt:i4>30</vt:i4>
      </vt:variant>
      <vt:variant>
        <vt:i4>0</vt:i4>
      </vt:variant>
      <vt:variant>
        <vt:i4>5</vt:i4>
      </vt:variant>
      <vt:variant>
        <vt:lpwstr/>
      </vt:variant>
      <vt:variant>
        <vt:lpwstr>tdm</vt:lpwstr>
      </vt:variant>
      <vt:variant>
        <vt:i4>3407939</vt:i4>
      </vt:variant>
      <vt:variant>
        <vt:i4>27</vt:i4>
      </vt:variant>
      <vt:variant>
        <vt:i4>0</vt:i4>
      </vt:variant>
      <vt:variant>
        <vt:i4>5</vt:i4>
      </vt:variant>
      <vt:variant>
        <vt:lpwstr/>
      </vt:variant>
      <vt:variant>
        <vt:lpwstr>Etranger_4</vt:lpwstr>
      </vt:variant>
      <vt:variant>
        <vt:i4>3342403</vt:i4>
      </vt:variant>
      <vt:variant>
        <vt:i4>24</vt:i4>
      </vt:variant>
      <vt:variant>
        <vt:i4>0</vt:i4>
      </vt:variant>
      <vt:variant>
        <vt:i4>5</vt:i4>
      </vt:variant>
      <vt:variant>
        <vt:lpwstr/>
      </vt:variant>
      <vt:variant>
        <vt:lpwstr>Etranger_3</vt:lpwstr>
      </vt:variant>
      <vt:variant>
        <vt:i4>3276867</vt:i4>
      </vt:variant>
      <vt:variant>
        <vt:i4>21</vt:i4>
      </vt:variant>
      <vt:variant>
        <vt:i4>0</vt:i4>
      </vt:variant>
      <vt:variant>
        <vt:i4>5</vt:i4>
      </vt:variant>
      <vt:variant>
        <vt:lpwstr/>
      </vt:variant>
      <vt:variant>
        <vt:lpwstr>Etranger_2</vt:lpwstr>
      </vt:variant>
      <vt:variant>
        <vt:i4>3211331</vt:i4>
      </vt:variant>
      <vt:variant>
        <vt:i4>18</vt:i4>
      </vt:variant>
      <vt:variant>
        <vt:i4>0</vt:i4>
      </vt:variant>
      <vt:variant>
        <vt:i4>5</vt:i4>
      </vt:variant>
      <vt:variant>
        <vt:lpwstr/>
      </vt:variant>
      <vt:variant>
        <vt:lpwstr>Etranger_1</vt:lpwstr>
      </vt:variant>
      <vt:variant>
        <vt:i4>655461</vt:i4>
      </vt:variant>
      <vt:variant>
        <vt:i4>15</vt:i4>
      </vt:variant>
      <vt:variant>
        <vt:i4>0</vt:i4>
      </vt:variant>
      <vt:variant>
        <vt:i4>5</vt:i4>
      </vt:variant>
      <vt:variant>
        <vt:lpwstr>mailto:estelle.carde@umontreal.ca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1114171</vt:i4>
      </vt:variant>
      <vt:variant>
        <vt:i4>0</vt:i4>
      </vt:variant>
      <vt:variant>
        <vt:i4>0</vt:i4>
      </vt:variant>
      <vt:variant>
        <vt:i4>5</vt:i4>
      </vt:variant>
      <vt:variant>
        <vt:lpwstr>http://classiques.uqac.ca/contemporains/Carde_Estelle/Discriminations_selon_origine_These_PhD/Discriminations_selon_origine_These_PhD.html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“L'étranger.”</dc:title>
  <dc:subject/>
  <dc:creator>Estelle Carde, sociologue, 2010</dc:creator>
  <cp:keywords>classiques.sc.soc@gmail.com</cp:keywords>
  <dc:description>http://classiques.uqac.ca/</dc:description>
  <cp:lastModifiedBy>Microsoft Office User</cp:lastModifiedBy>
  <cp:revision>2</cp:revision>
  <cp:lastPrinted>2001-08-26T19:33:00Z</cp:lastPrinted>
  <dcterms:created xsi:type="dcterms:W3CDTF">2020-12-29T23:46:00Z</dcterms:created>
  <dcterms:modified xsi:type="dcterms:W3CDTF">2020-12-29T23:46:00Z</dcterms:modified>
  <cp:category>jean-marie tremblay, sociologue, fondateur, 1993.</cp:category>
</cp:coreProperties>
</file>