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2F4063" w:rsidRPr="004B2498" w14:paraId="2E0E2086" w14:textId="77777777">
        <w:tblPrEx>
          <w:tblCellMar>
            <w:top w:w="0" w:type="dxa"/>
            <w:bottom w:w="0" w:type="dxa"/>
          </w:tblCellMar>
        </w:tblPrEx>
        <w:tc>
          <w:tcPr>
            <w:tcW w:w="9160" w:type="dxa"/>
            <w:shd w:val="clear" w:color="auto" w:fill="E1E0D4"/>
          </w:tcPr>
          <w:p w14:paraId="3D404239" w14:textId="77777777" w:rsidR="002F4063" w:rsidRPr="004B2498" w:rsidRDefault="002F4063" w:rsidP="002F4063">
            <w:pPr>
              <w:pStyle w:val="En-tte"/>
              <w:tabs>
                <w:tab w:val="clear" w:pos="4320"/>
                <w:tab w:val="clear" w:pos="8640"/>
              </w:tabs>
              <w:rPr>
                <w:rFonts w:ascii="Times New Roman" w:hAnsi="Times New Roman"/>
                <w:sz w:val="28"/>
                <w:lang w:val="en-CA" w:bidi="ar-SA"/>
              </w:rPr>
            </w:pPr>
          </w:p>
          <w:p w14:paraId="65394B70" w14:textId="77777777" w:rsidR="002F4063" w:rsidRPr="004B2498" w:rsidRDefault="002F4063">
            <w:pPr>
              <w:ind w:firstLine="0"/>
              <w:jc w:val="center"/>
              <w:rPr>
                <w:lang w:bidi="ar-SA"/>
              </w:rPr>
            </w:pPr>
          </w:p>
          <w:p w14:paraId="620FF382" w14:textId="77777777" w:rsidR="002F4063" w:rsidRPr="004B2498" w:rsidRDefault="002F4063">
            <w:pPr>
              <w:ind w:firstLine="0"/>
              <w:jc w:val="center"/>
              <w:rPr>
                <w:lang w:bidi="ar-SA"/>
              </w:rPr>
            </w:pPr>
          </w:p>
          <w:p w14:paraId="18FDAAAE" w14:textId="77777777" w:rsidR="002F4063" w:rsidRPr="002C57DA" w:rsidRDefault="002F4063" w:rsidP="002F4063">
            <w:pPr>
              <w:spacing w:after="60"/>
              <w:ind w:firstLine="0"/>
              <w:jc w:val="center"/>
              <w:rPr>
                <w:sz w:val="20"/>
                <w:lang w:bidi="ar-SA"/>
              </w:rPr>
            </w:pPr>
            <w:r w:rsidRPr="002C57DA">
              <w:rPr>
                <w:sz w:val="20"/>
                <w:lang w:bidi="ar-SA"/>
              </w:rPr>
              <w:t>SOUS LA DIRECTION DE</w:t>
            </w:r>
          </w:p>
          <w:p w14:paraId="568990A1" w14:textId="77777777" w:rsidR="002F4063" w:rsidRPr="002C57DA" w:rsidRDefault="002F4063" w:rsidP="002F4063">
            <w:pPr>
              <w:ind w:firstLine="0"/>
              <w:jc w:val="center"/>
              <w:rPr>
                <w:b/>
                <w:sz w:val="32"/>
              </w:rPr>
            </w:pPr>
            <w:r w:rsidRPr="002C57DA">
              <w:rPr>
                <w:b/>
                <w:sz w:val="32"/>
              </w:rPr>
              <w:t>Bernard CASTELLI et Bernard  HOURS</w:t>
            </w:r>
          </w:p>
          <w:p w14:paraId="767E4BE6" w14:textId="77777777" w:rsidR="002F4063" w:rsidRPr="002C57DA" w:rsidRDefault="002F4063" w:rsidP="002F4063">
            <w:pPr>
              <w:ind w:firstLine="0"/>
              <w:jc w:val="center"/>
              <w:rPr>
                <w:sz w:val="20"/>
              </w:rPr>
            </w:pPr>
            <w:r w:rsidRPr="002C57DA">
              <w:rPr>
                <w:sz w:val="20"/>
              </w:rPr>
              <w:t>Respectivement, économiste, chargé de recherche, d’une part,</w:t>
            </w:r>
            <w:r w:rsidRPr="002C57DA">
              <w:rPr>
                <w:sz w:val="20"/>
              </w:rPr>
              <w:br/>
              <w:t>et anthropologue, d’autre part, Institut de Recherche pour le développ</w:t>
            </w:r>
            <w:r w:rsidRPr="002C57DA">
              <w:rPr>
                <w:sz w:val="20"/>
              </w:rPr>
              <w:t>e</w:t>
            </w:r>
            <w:r w:rsidRPr="002C57DA">
              <w:rPr>
                <w:sz w:val="20"/>
              </w:rPr>
              <w:t>ment (IRD)</w:t>
            </w:r>
          </w:p>
          <w:p w14:paraId="6632A778" w14:textId="369CE8C0" w:rsidR="002F4063" w:rsidRPr="004B2498" w:rsidRDefault="002F4063" w:rsidP="002F4063">
            <w:pPr>
              <w:ind w:firstLine="0"/>
              <w:jc w:val="center"/>
              <w:rPr>
                <w:lang w:bidi="ar-SA"/>
              </w:rPr>
            </w:pPr>
          </w:p>
          <w:p w14:paraId="404F9C9B" w14:textId="77777777" w:rsidR="002F4063" w:rsidRPr="004B2498" w:rsidRDefault="002F4063" w:rsidP="002F4063">
            <w:pPr>
              <w:pStyle w:val="Corpsdetexte"/>
              <w:widowControl w:val="0"/>
              <w:spacing w:before="0" w:after="0"/>
              <w:rPr>
                <w:sz w:val="28"/>
                <w:lang w:bidi="ar-SA"/>
              </w:rPr>
            </w:pPr>
            <w:r w:rsidRPr="004B2498">
              <w:rPr>
                <w:sz w:val="28"/>
                <w:lang w:bidi="ar-SA"/>
              </w:rPr>
              <w:t>(2011)</w:t>
            </w:r>
          </w:p>
          <w:p w14:paraId="4937C35F" w14:textId="77777777" w:rsidR="002F4063" w:rsidRPr="004B2498" w:rsidRDefault="002F4063" w:rsidP="002F4063">
            <w:pPr>
              <w:pStyle w:val="Corpsdetexte"/>
              <w:widowControl w:val="0"/>
              <w:spacing w:before="0" w:after="0"/>
              <w:rPr>
                <w:sz w:val="28"/>
                <w:lang w:bidi="ar-SA"/>
              </w:rPr>
            </w:pPr>
          </w:p>
          <w:p w14:paraId="7B4EDDEA" w14:textId="77777777" w:rsidR="002F4063" w:rsidRPr="004B2498" w:rsidRDefault="002F4063" w:rsidP="002F4063">
            <w:pPr>
              <w:pStyle w:val="Corpsdetexte"/>
              <w:widowControl w:val="0"/>
              <w:spacing w:before="0" w:after="0"/>
              <w:rPr>
                <w:sz w:val="28"/>
                <w:lang w:bidi="ar-SA"/>
              </w:rPr>
            </w:pPr>
          </w:p>
          <w:p w14:paraId="1BA44203" w14:textId="77777777" w:rsidR="002F4063" w:rsidRPr="004B2498" w:rsidRDefault="002F4063" w:rsidP="002F4063">
            <w:pPr>
              <w:pStyle w:val="Corpsdetexte"/>
              <w:widowControl w:val="0"/>
              <w:spacing w:before="0" w:after="0"/>
              <w:rPr>
                <w:sz w:val="28"/>
                <w:lang w:bidi="ar-SA"/>
              </w:rPr>
            </w:pPr>
          </w:p>
          <w:p w14:paraId="07852511" w14:textId="77777777" w:rsidR="002F4063" w:rsidRPr="002C57DA" w:rsidRDefault="002F4063" w:rsidP="002F4063">
            <w:pPr>
              <w:pStyle w:val="Titlest"/>
            </w:pPr>
            <w:r w:rsidRPr="002C57DA">
              <w:t>Enjeux épistémologiques</w:t>
            </w:r>
            <w:r w:rsidRPr="002C57DA">
              <w:br/>
              <w:t>et idéologiques</w:t>
            </w:r>
            <w:r w:rsidRPr="002C57DA">
              <w:br/>
              <w:t>de la globalis</w:t>
            </w:r>
            <w:r w:rsidRPr="002C57DA">
              <w:t>a</w:t>
            </w:r>
            <w:r w:rsidRPr="002C57DA">
              <w:t>tion pour</w:t>
            </w:r>
            <w:r w:rsidRPr="002C57DA">
              <w:br/>
              <w:t>les sciences sociales</w:t>
            </w:r>
          </w:p>
          <w:p w14:paraId="19EBA497" w14:textId="77777777" w:rsidR="002F4063" w:rsidRPr="004B2498" w:rsidRDefault="002F4063" w:rsidP="002F4063">
            <w:pPr>
              <w:widowControl w:val="0"/>
              <w:ind w:firstLine="0"/>
              <w:jc w:val="center"/>
              <w:rPr>
                <w:lang w:bidi="ar-SA"/>
              </w:rPr>
            </w:pPr>
          </w:p>
          <w:p w14:paraId="0015FD2A" w14:textId="77777777" w:rsidR="002F4063" w:rsidRPr="004B2498" w:rsidRDefault="002F4063" w:rsidP="002F4063">
            <w:pPr>
              <w:widowControl w:val="0"/>
              <w:ind w:firstLine="0"/>
              <w:jc w:val="center"/>
              <w:rPr>
                <w:lang w:bidi="ar-SA"/>
              </w:rPr>
            </w:pPr>
          </w:p>
          <w:p w14:paraId="669DF299" w14:textId="77777777" w:rsidR="002F4063" w:rsidRPr="004B2498" w:rsidRDefault="002F4063" w:rsidP="002F4063">
            <w:pPr>
              <w:widowControl w:val="0"/>
              <w:ind w:firstLine="0"/>
              <w:jc w:val="center"/>
              <w:rPr>
                <w:lang w:bidi="ar-SA"/>
              </w:rPr>
            </w:pPr>
          </w:p>
          <w:p w14:paraId="5470B638" w14:textId="77777777" w:rsidR="002F4063" w:rsidRPr="004B2498" w:rsidRDefault="002F4063">
            <w:pPr>
              <w:widowControl w:val="0"/>
              <w:ind w:firstLine="0"/>
              <w:jc w:val="center"/>
              <w:rPr>
                <w:lang w:bidi="ar-SA"/>
              </w:rPr>
            </w:pPr>
          </w:p>
          <w:p w14:paraId="030B5345" w14:textId="77777777" w:rsidR="002F4063" w:rsidRPr="004B2498" w:rsidRDefault="002F4063">
            <w:pPr>
              <w:ind w:firstLine="0"/>
              <w:jc w:val="center"/>
              <w:rPr>
                <w:lang w:bidi="ar-SA"/>
              </w:rPr>
            </w:pPr>
            <w:r w:rsidRPr="004B2498">
              <w:rPr>
                <w:lang w:bidi="ar-SA"/>
              </w:rPr>
              <w:t>LES CLASSIQUES DES SCIENCES SOCIALES</w:t>
            </w:r>
            <w:r w:rsidRPr="004B2498">
              <w:rPr>
                <w:lang w:bidi="ar-SA"/>
              </w:rPr>
              <w:br/>
              <w:t>CHICOUTIMI, QUÉBEC</w:t>
            </w:r>
            <w:r w:rsidRPr="004B2498">
              <w:rPr>
                <w:lang w:bidi="ar-SA"/>
              </w:rPr>
              <w:br/>
            </w:r>
            <w:hyperlink r:id="rId7" w:history="1">
              <w:r w:rsidRPr="005566C2">
                <w:rPr>
                  <w:rStyle w:val="Hyperlien"/>
                  <w:lang w:bidi="ar-SA"/>
                </w:rPr>
                <w:t>http://classiques.uqac.ca</w:t>
              </w:r>
            </w:hyperlink>
            <w:r w:rsidRPr="002C57DA">
              <w:rPr>
                <w:lang w:bidi="ar-SA"/>
              </w:rPr>
              <w:t>/</w:t>
            </w:r>
          </w:p>
          <w:p w14:paraId="64863822" w14:textId="77777777" w:rsidR="002F4063" w:rsidRPr="004B2498" w:rsidRDefault="002F4063">
            <w:pPr>
              <w:widowControl w:val="0"/>
              <w:ind w:firstLine="0"/>
              <w:jc w:val="both"/>
              <w:rPr>
                <w:lang w:bidi="ar-SA"/>
              </w:rPr>
            </w:pPr>
          </w:p>
          <w:p w14:paraId="0C2467CB" w14:textId="77777777" w:rsidR="002F4063" w:rsidRPr="004B2498" w:rsidRDefault="002F4063">
            <w:pPr>
              <w:widowControl w:val="0"/>
              <w:ind w:firstLine="0"/>
              <w:jc w:val="both"/>
              <w:rPr>
                <w:lang w:bidi="ar-SA"/>
              </w:rPr>
            </w:pPr>
          </w:p>
          <w:p w14:paraId="6BAE8F64" w14:textId="77777777" w:rsidR="002F4063" w:rsidRPr="004B2498" w:rsidRDefault="002F4063">
            <w:pPr>
              <w:widowControl w:val="0"/>
              <w:ind w:firstLine="0"/>
              <w:jc w:val="both"/>
              <w:rPr>
                <w:lang w:bidi="ar-SA"/>
              </w:rPr>
            </w:pPr>
          </w:p>
          <w:p w14:paraId="22BFD575" w14:textId="77777777" w:rsidR="002F4063" w:rsidRPr="004B2498" w:rsidRDefault="002F4063">
            <w:pPr>
              <w:widowControl w:val="0"/>
              <w:ind w:firstLine="0"/>
              <w:jc w:val="both"/>
              <w:rPr>
                <w:lang w:bidi="ar-SA"/>
              </w:rPr>
            </w:pPr>
          </w:p>
          <w:p w14:paraId="346CB329" w14:textId="77777777" w:rsidR="002F4063" w:rsidRPr="004B2498" w:rsidRDefault="002F4063">
            <w:pPr>
              <w:widowControl w:val="0"/>
              <w:ind w:firstLine="0"/>
              <w:jc w:val="both"/>
              <w:rPr>
                <w:lang w:bidi="ar-SA"/>
              </w:rPr>
            </w:pPr>
          </w:p>
          <w:p w14:paraId="4921F493" w14:textId="77777777" w:rsidR="002F4063" w:rsidRPr="004B2498" w:rsidRDefault="002F4063">
            <w:pPr>
              <w:widowControl w:val="0"/>
              <w:ind w:firstLine="0"/>
              <w:jc w:val="both"/>
              <w:rPr>
                <w:lang w:bidi="ar-SA"/>
              </w:rPr>
            </w:pPr>
          </w:p>
          <w:p w14:paraId="36B08C96" w14:textId="77777777" w:rsidR="002F4063" w:rsidRPr="004B2498" w:rsidRDefault="002F4063">
            <w:pPr>
              <w:ind w:firstLine="0"/>
              <w:jc w:val="both"/>
              <w:rPr>
                <w:lang w:bidi="ar-SA"/>
              </w:rPr>
            </w:pPr>
          </w:p>
        </w:tc>
      </w:tr>
    </w:tbl>
    <w:p w14:paraId="6F0279D6" w14:textId="77777777" w:rsidR="002F4063" w:rsidRPr="004B2498" w:rsidRDefault="002F4063" w:rsidP="002F4063">
      <w:pPr>
        <w:ind w:firstLine="0"/>
        <w:jc w:val="both"/>
      </w:pPr>
      <w:r w:rsidRPr="004B2498">
        <w:br w:type="page"/>
      </w:r>
    </w:p>
    <w:p w14:paraId="4D08F9AF" w14:textId="77777777" w:rsidR="002F4063" w:rsidRPr="004B2498" w:rsidRDefault="002F4063" w:rsidP="002F4063">
      <w:pPr>
        <w:ind w:firstLine="0"/>
        <w:jc w:val="both"/>
      </w:pPr>
    </w:p>
    <w:p w14:paraId="6C5F7AA0" w14:textId="77777777" w:rsidR="002F4063" w:rsidRPr="004B2498" w:rsidRDefault="002F4063" w:rsidP="002F4063">
      <w:pPr>
        <w:ind w:firstLine="0"/>
        <w:jc w:val="both"/>
      </w:pPr>
    </w:p>
    <w:p w14:paraId="25F033FA" w14:textId="77777777" w:rsidR="002F4063" w:rsidRPr="004B2498" w:rsidRDefault="002F4063" w:rsidP="002F4063">
      <w:pPr>
        <w:ind w:firstLine="0"/>
        <w:jc w:val="both"/>
      </w:pPr>
    </w:p>
    <w:p w14:paraId="0B06CE5F" w14:textId="77777777" w:rsidR="002F4063" w:rsidRPr="004B2498" w:rsidRDefault="003D1285" w:rsidP="002F4063">
      <w:pPr>
        <w:ind w:firstLine="0"/>
        <w:jc w:val="right"/>
      </w:pPr>
      <w:r w:rsidRPr="004B2498">
        <w:rPr>
          <w:noProof/>
        </w:rPr>
        <w:drawing>
          <wp:inline distT="0" distB="0" distL="0" distR="0" wp14:anchorId="27638071" wp14:editId="2F433B67">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F27D01B" w14:textId="77777777" w:rsidR="002F4063" w:rsidRPr="004B2498" w:rsidRDefault="002F4063" w:rsidP="002F4063">
      <w:pPr>
        <w:ind w:firstLine="0"/>
        <w:jc w:val="right"/>
      </w:pPr>
      <w:hyperlink r:id="rId9" w:history="1">
        <w:r w:rsidRPr="004B2498">
          <w:rPr>
            <w:rStyle w:val="Hyperlien"/>
            <w:color w:val="auto"/>
            <w:u w:val="none"/>
          </w:rPr>
          <w:t>http://classiques.uqac.ca/</w:t>
        </w:r>
      </w:hyperlink>
      <w:r w:rsidRPr="004B2498">
        <w:t xml:space="preserve"> </w:t>
      </w:r>
    </w:p>
    <w:p w14:paraId="55675B1F" w14:textId="77777777" w:rsidR="002F4063" w:rsidRPr="004B2498" w:rsidRDefault="002F4063" w:rsidP="002F4063">
      <w:pPr>
        <w:ind w:firstLine="0"/>
        <w:jc w:val="both"/>
      </w:pPr>
    </w:p>
    <w:p w14:paraId="791FA0C1" w14:textId="77777777" w:rsidR="002F4063" w:rsidRPr="004B2498" w:rsidRDefault="002F4063" w:rsidP="002F4063">
      <w:pPr>
        <w:ind w:firstLine="0"/>
        <w:jc w:val="both"/>
      </w:pPr>
      <w:r w:rsidRPr="004B2498">
        <w:t>Les Classiques des sciences sociales est une bibliothèque numérique en libre accès, fondée au Cégep de Chicoutimi en 1993 et développée en partenariat avec l’Université du Québec à Chicoutimi (UQÀC) d</w:t>
      </w:r>
      <w:r w:rsidRPr="004B2498">
        <w:t>e</w:t>
      </w:r>
      <w:r w:rsidRPr="004B2498">
        <w:t>puis 2000.</w:t>
      </w:r>
    </w:p>
    <w:p w14:paraId="4D670CEA" w14:textId="77777777" w:rsidR="002F4063" w:rsidRPr="004B2498" w:rsidRDefault="002F4063" w:rsidP="002F4063">
      <w:pPr>
        <w:ind w:firstLine="0"/>
        <w:jc w:val="both"/>
      </w:pPr>
    </w:p>
    <w:p w14:paraId="05675024" w14:textId="77777777" w:rsidR="002F4063" w:rsidRPr="004B2498" w:rsidRDefault="002F4063" w:rsidP="002F4063">
      <w:pPr>
        <w:ind w:firstLine="0"/>
        <w:jc w:val="both"/>
      </w:pPr>
    </w:p>
    <w:p w14:paraId="677A3477" w14:textId="77777777" w:rsidR="002F4063" w:rsidRPr="004B2498" w:rsidRDefault="003D1285" w:rsidP="002F4063">
      <w:pPr>
        <w:ind w:firstLine="0"/>
        <w:jc w:val="both"/>
      </w:pPr>
      <w:r w:rsidRPr="004B2498">
        <w:rPr>
          <w:noProof/>
        </w:rPr>
        <w:drawing>
          <wp:inline distT="0" distB="0" distL="0" distR="0" wp14:anchorId="414ABBC7" wp14:editId="6B12A791">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563BACB2" w14:textId="77777777" w:rsidR="002F4063" w:rsidRPr="004B2498" w:rsidRDefault="002F4063" w:rsidP="002F4063">
      <w:pPr>
        <w:ind w:firstLine="0"/>
        <w:jc w:val="both"/>
      </w:pPr>
      <w:hyperlink r:id="rId11" w:history="1">
        <w:r w:rsidRPr="004B2498">
          <w:rPr>
            <w:rStyle w:val="Hyperlien"/>
            <w:color w:val="auto"/>
            <w:u w:val="none"/>
          </w:rPr>
          <w:t>http://bibliotheque.uqac.ca/</w:t>
        </w:r>
      </w:hyperlink>
      <w:r w:rsidRPr="004B2498">
        <w:t xml:space="preserve"> </w:t>
      </w:r>
    </w:p>
    <w:p w14:paraId="4A5CFEFB" w14:textId="77777777" w:rsidR="002F4063" w:rsidRPr="004B2498" w:rsidRDefault="002F4063" w:rsidP="002F4063">
      <w:pPr>
        <w:ind w:firstLine="0"/>
        <w:jc w:val="both"/>
      </w:pPr>
    </w:p>
    <w:p w14:paraId="6CAEC69C" w14:textId="77777777" w:rsidR="002F4063" w:rsidRPr="004B2498" w:rsidRDefault="002F4063" w:rsidP="002F4063">
      <w:pPr>
        <w:ind w:firstLine="0"/>
        <w:jc w:val="both"/>
      </w:pPr>
    </w:p>
    <w:p w14:paraId="0806504D" w14:textId="77777777" w:rsidR="002F4063" w:rsidRPr="004B2498" w:rsidRDefault="002F4063" w:rsidP="002F4063">
      <w:pPr>
        <w:ind w:firstLine="0"/>
        <w:jc w:val="both"/>
      </w:pPr>
      <w:r w:rsidRPr="004B2498">
        <w:t>En 2018, Les Classiques des sciences sociales fêteront leur 25e ann</w:t>
      </w:r>
      <w:r w:rsidRPr="004B2498">
        <w:t>i</w:t>
      </w:r>
      <w:r w:rsidRPr="004B2498">
        <w:t>versaire de fondation. Une belle initiative citoyenne.</w:t>
      </w:r>
    </w:p>
    <w:p w14:paraId="754356BD" w14:textId="77777777" w:rsidR="002F4063" w:rsidRPr="004B2498" w:rsidRDefault="002F4063" w:rsidP="002F4063">
      <w:pPr>
        <w:widowControl w:val="0"/>
        <w:autoSpaceDE w:val="0"/>
        <w:autoSpaceDN w:val="0"/>
        <w:adjustRightInd w:val="0"/>
        <w:rPr>
          <w:szCs w:val="32"/>
        </w:rPr>
      </w:pPr>
      <w:r w:rsidRPr="004B2498">
        <w:br w:type="page"/>
      </w:r>
    </w:p>
    <w:p w14:paraId="3363766A" w14:textId="77777777" w:rsidR="002F4063" w:rsidRPr="002C57DA" w:rsidRDefault="002F4063">
      <w:pPr>
        <w:widowControl w:val="0"/>
        <w:autoSpaceDE w:val="0"/>
        <w:autoSpaceDN w:val="0"/>
        <w:adjustRightInd w:val="0"/>
        <w:jc w:val="center"/>
        <w:rPr>
          <w:sz w:val="48"/>
          <w:szCs w:val="36"/>
        </w:rPr>
      </w:pPr>
      <w:r w:rsidRPr="002C57DA">
        <w:rPr>
          <w:sz w:val="48"/>
          <w:szCs w:val="36"/>
        </w:rPr>
        <w:t>Politique d'utilisation</w:t>
      </w:r>
      <w:r w:rsidRPr="002C57DA">
        <w:rPr>
          <w:sz w:val="48"/>
          <w:szCs w:val="36"/>
        </w:rPr>
        <w:br/>
        <w:t>de la bibliothèque des Classiques</w:t>
      </w:r>
    </w:p>
    <w:p w14:paraId="09C28DC3" w14:textId="77777777" w:rsidR="002F4063" w:rsidRPr="004B2498" w:rsidRDefault="002F4063">
      <w:pPr>
        <w:widowControl w:val="0"/>
        <w:autoSpaceDE w:val="0"/>
        <w:autoSpaceDN w:val="0"/>
        <w:adjustRightInd w:val="0"/>
        <w:rPr>
          <w:szCs w:val="32"/>
        </w:rPr>
      </w:pPr>
    </w:p>
    <w:p w14:paraId="07C52FBC" w14:textId="77777777" w:rsidR="002F4063" w:rsidRPr="004B2498" w:rsidRDefault="002F4063">
      <w:pPr>
        <w:widowControl w:val="0"/>
        <w:autoSpaceDE w:val="0"/>
        <w:autoSpaceDN w:val="0"/>
        <w:adjustRightInd w:val="0"/>
        <w:jc w:val="both"/>
        <w:rPr>
          <w:szCs w:val="26"/>
        </w:rPr>
      </w:pPr>
    </w:p>
    <w:p w14:paraId="32C4F41F" w14:textId="77777777" w:rsidR="002F4063" w:rsidRPr="004B2498" w:rsidRDefault="002F4063">
      <w:pPr>
        <w:widowControl w:val="0"/>
        <w:autoSpaceDE w:val="0"/>
        <w:autoSpaceDN w:val="0"/>
        <w:adjustRightInd w:val="0"/>
        <w:jc w:val="both"/>
        <w:rPr>
          <w:szCs w:val="26"/>
        </w:rPr>
      </w:pPr>
    </w:p>
    <w:p w14:paraId="48D62546" w14:textId="77777777" w:rsidR="002F4063" w:rsidRPr="004B2498" w:rsidRDefault="002F4063">
      <w:pPr>
        <w:widowControl w:val="0"/>
        <w:autoSpaceDE w:val="0"/>
        <w:autoSpaceDN w:val="0"/>
        <w:adjustRightInd w:val="0"/>
        <w:jc w:val="both"/>
        <w:rPr>
          <w:szCs w:val="26"/>
        </w:rPr>
      </w:pPr>
      <w:r w:rsidRPr="004B2498">
        <w:rPr>
          <w:szCs w:val="26"/>
        </w:rPr>
        <w:t>Toute reproduction et rediffusion de nos fichiers est inte</w:t>
      </w:r>
      <w:r w:rsidRPr="004B2498">
        <w:rPr>
          <w:szCs w:val="26"/>
        </w:rPr>
        <w:t>r</w:t>
      </w:r>
      <w:r w:rsidRPr="004B2498">
        <w:rPr>
          <w:szCs w:val="26"/>
        </w:rPr>
        <w:t>dite, m</w:t>
      </w:r>
      <w:r w:rsidRPr="004B2498">
        <w:rPr>
          <w:szCs w:val="26"/>
        </w:rPr>
        <w:t>ê</w:t>
      </w:r>
      <w:r w:rsidRPr="004B2498">
        <w:rPr>
          <w:szCs w:val="26"/>
        </w:rPr>
        <w:t>me avec la mention de leur provenance, sans l’autorisation fo</w:t>
      </w:r>
      <w:r w:rsidRPr="004B2498">
        <w:rPr>
          <w:szCs w:val="26"/>
        </w:rPr>
        <w:t>r</w:t>
      </w:r>
      <w:r w:rsidRPr="004B2498">
        <w:rPr>
          <w:szCs w:val="26"/>
        </w:rPr>
        <w:t>melle, écrite, du fondateur des Classiques des sciences s</w:t>
      </w:r>
      <w:r w:rsidRPr="004B2498">
        <w:rPr>
          <w:szCs w:val="26"/>
        </w:rPr>
        <w:t>o</w:t>
      </w:r>
      <w:r w:rsidRPr="004B2498">
        <w:rPr>
          <w:szCs w:val="26"/>
        </w:rPr>
        <w:t>ciales, Jean-Marie Tremblay, sociologue.</w:t>
      </w:r>
    </w:p>
    <w:p w14:paraId="5A60CA5E" w14:textId="77777777" w:rsidR="002F4063" w:rsidRPr="004B2498" w:rsidRDefault="002F4063">
      <w:pPr>
        <w:widowControl w:val="0"/>
        <w:autoSpaceDE w:val="0"/>
        <w:autoSpaceDN w:val="0"/>
        <w:adjustRightInd w:val="0"/>
        <w:jc w:val="both"/>
        <w:rPr>
          <w:szCs w:val="26"/>
        </w:rPr>
      </w:pPr>
    </w:p>
    <w:p w14:paraId="4E404D1E" w14:textId="77777777" w:rsidR="002F4063" w:rsidRPr="004B2498" w:rsidRDefault="002F4063" w:rsidP="002F4063">
      <w:pPr>
        <w:widowControl w:val="0"/>
        <w:autoSpaceDE w:val="0"/>
        <w:autoSpaceDN w:val="0"/>
        <w:adjustRightInd w:val="0"/>
        <w:jc w:val="both"/>
        <w:rPr>
          <w:szCs w:val="26"/>
        </w:rPr>
      </w:pPr>
      <w:r w:rsidRPr="004B2498">
        <w:rPr>
          <w:szCs w:val="26"/>
        </w:rPr>
        <w:t>Les fichiers des Classiques des sciences sociales ne pe</w:t>
      </w:r>
      <w:r w:rsidRPr="004B2498">
        <w:rPr>
          <w:szCs w:val="26"/>
        </w:rPr>
        <w:t>u</w:t>
      </w:r>
      <w:r w:rsidRPr="004B2498">
        <w:rPr>
          <w:szCs w:val="26"/>
        </w:rPr>
        <w:t>vent sans autorisation formelle:</w:t>
      </w:r>
    </w:p>
    <w:p w14:paraId="13DB50FE" w14:textId="77777777" w:rsidR="002F4063" w:rsidRPr="004B2498" w:rsidRDefault="002F4063" w:rsidP="002F4063">
      <w:pPr>
        <w:widowControl w:val="0"/>
        <w:autoSpaceDE w:val="0"/>
        <w:autoSpaceDN w:val="0"/>
        <w:adjustRightInd w:val="0"/>
        <w:jc w:val="both"/>
        <w:rPr>
          <w:szCs w:val="26"/>
        </w:rPr>
      </w:pPr>
    </w:p>
    <w:p w14:paraId="5FBED2A0" w14:textId="77777777" w:rsidR="002F4063" w:rsidRPr="004B2498" w:rsidRDefault="002F4063" w:rsidP="002F4063">
      <w:pPr>
        <w:widowControl w:val="0"/>
        <w:autoSpaceDE w:val="0"/>
        <w:autoSpaceDN w:val="0"/>
        <w:adjustRightInd w:val="0"/>
        <w:jc w:val="both"/>
        <w:rPr>
          <w:szCs w:val="26"/>
        </w:rPr>
      </w:pPr>
      <w:r w:rsidRPr="004B2498">
        <w:rPr>
          <w:szCs w:val="26"/>
        </w:rPr>
        <w:t>- être hébergés (en fichier ou page web, en totalité ou en partie) sur un serveur autre que celui des Classiques.</w:t>
      </w:r>
    </w:p>
    <w:p w14:paraId="36A3205D" w14:textId="77777777" w:rsidR="002F4063" w:rsidRPr="004B2498" w:rsidRDefault="002F4063" w:rsidP="002F4063">
      <w:pPr>
        <w:widowControl w:val="0"/>
        <w:autoSpaceDE w:val="0"/>
        <w:autoSpaceDN w:val="0"/>
        <w:adjustRightInd w:val="0"/>
        <w:jc w:val="both"/>
        <w:rPr>
          <w:szCs w:val="26"/>
        </w:rPr>
      </w:pPr>
      <w:r w:rsidRPr="004B2498">
        <w:rPr>
          <w:szCs w:val="26"/>
        </w:rPr>
        <w:t>- servir de base de travail à un autre fichier modifié ensuite par tout autre moyen (couleur, police, mise en page, extraits, support, etc...),</w:t>
      </w:r>
    </w:p>
    <w:p w14:paraId="2B1D5A44" w14:textId="77777777" w:rsidR="002F4063" w:rsidRPr="004B2498" w:rsidRDefault="002F4063" w:rsidP="002F4063">
      <w:pPr>
        <w:widowControl w:val="0"/>
        <w:autoSpaceDE w:val="0"/>
        <w:autoSpaceDN w:val="0"/>
        <w:adjustRightInd w:val="0"/>
        <w:jc w:val="both"/>
        <w:rPr>
          <w:szCs w:val="26"/>
        </w:rPr>
      </w:pPr>
    </w:p>
    <w:p w14:paraId="201CAB50" w14:textId="77777777" w:rsidR="002F4063" w:rsidRPr="004B2498" w:rsidRDefault="002F4063">
      <w:pPr>
        <w:widowControl w:val="0"/>
        <w:autoSpaceDE w:val="0"/>
        <w:autoSpaceDN w:val="0"/>
        <w:adjustRightInd w:val="0"/>
        <w:jc w:val="both"/>
        <w:rPr>
          <w:szCs w:val="26"/>
        </w:rPr>
      </w:pPr>
      <w:r w:rsidRPr="004B2498">
        <w:rPr>
          <w:szCs w:val="26"/>
        </w:rPr>
        <w:t>Les fichiers (.html, .doc, .pdf, .rtf, .jpg, .gif) disponibles sur le site Les Classiques des sciences sociales sont la propriété des Class</w:t>
      </w:r>
      <w:r w:rsidRPr="004B2498">
        <w:rPr>
          <w:szCs w:val="26"/>
        </w:rPr>
        <w:t>i</w:t>
      </w:r>
      <w:r w:rsidRPr="004B2498">
        <w:rPr>
          <w:szCs w:val="26"/>
        </w:rPr>
        <w:t>ques des sciences sociales, un organisme à but non lucratif composé excl</w:t>
      </w:r>
      <w:r w:rsidRPr="004B2498">
        <w:rPr>
          <w:szCs w:val="26"/>
        </w:rPr>
        <w:t>u</w:t>
      </w:r>
      <w:r w:rsidRPr="004B2498">
        <w:rPr>
          <w:szCs w:val="26"/>
        </w:rPr>
        <w:t>sivement de bénévoles.</w:t>
      </w:r>
    </w:p>
    <w:p w14:paraId="06E4CFEB" w14:textId="77777777" w:rsidR="002F4063" w:rsidRPr="004B2498" w:rsidRDefault="002F4063">
      <w:pPr>
        <w:widowControl w:val="0"/>
        <w:autoSpaceDE w:val="0"/>
        <w:autoSpaceDN w:val="0"/>
        <w:adjustRightInd w:val="0"/>
        <w:jc w:val="both"/>
        <w:rPr>
          <w:szCs w:val="26"/>
        </w:rPr>
      </w:pPr>
    </w:p>
    <w:p w14:paraId="13091229" w14:textId="77777777" w:rsidR="002F4063" w:rsidRPr="004B2498" w:rsidRDefault="002F4063">
      <w:pPr>
        <w:rPr>
          <w:szCs w:val="26"/>
        </w:rPr>
      </w:pPr>
      <w:r w:rsidRPr="004B2498">
        <w:rPr>
          <w:szCs w:val="26"/>
        </w:rPr>
        <w:t>Ils sont disponibles pour une utilisation intellectuelle et perso</w:t>
      </w:r>
      <w:r w:rsidRPr="004B2498">
        <w:rPr>
          <w:szCs w:val="26"/>
        </w:rPr>
        <w:t>n</w:t>
      </w:r>
      <w:r w:rsidRPr="004B2498">
        <w:rPr>
          <w:szCs w:val="26"/>
        </w:rPr>
        <w:t>ne</w:t>
      </w:r>
      <w:r w:rsidRPr="004B2498">
        <w:rPr>
          <w:szCs w:val="26"/>
        </w:rPr>
        <w:t>l</w:t>
      </w:r>
      <w:r w:rsidRPr="004B2498">
        <w:rPr>
          <w:szCs w:val="26"/>
        </w:rPr>
        <w:t>le et, en aucun cas, commerciale. Toute utilisation à des fins commerci</w:t>
      </w:r>
      <w:r w:rsidRPr="004B2498">
        <w:rPr>
          <w:szCs w:val="26"/>
        </w:rPr>
        <w:t>a</w:t>
      </w:r>
      <w:r w:rsidRPr="004B2498">
        <w:rPr>
          <w:szCs w:val="26"/>
        </w:rPr>
        <w:t>les des fichiers sur ce site est strictement inte</w:t>
      </w:r>
      <w:r w:rsidRPr="004B2498">
        <w:rPr>
          <w:szCs w:val="26"/>
        </w:rPr>
        <w:t>r</w:t>
      </w:r>
      <w:r w:rsidRPr="004B2498">
        <w:rPr>
          <w:szCs w:val="26"/>
        </w:rPr>
        <w:t>dite et toute rediffusion est également strictement interdite.</w:t>
      </w:r>
    </w:p>
    <w:p w14:paraId="5E0A73AD" w14:textId="77777777" w:rsidR="002F4063" w:rsidRPr="004B2498" w:rsidRDefault="002F4063">
      <w:pPr>
        <w:rPr>
          <w:szCs w:val="26"/>
        </w:rPr>
      </w:pPr>
    </w:p>
    <w:p w14:paraId="5204AA4F" w14:textId="77777777" w:rsidR="002F4063" w:rsidRPr="004B2498" w:rsidRDefault="002F4063">
      <w:pPr>
        <w:rPr>
          <w:szCs w:val="26"/>
        </w:rPr>
      </w:pPr>
      <w:r w:rsidRPr="004B2498">
        <w:rPr>
          <w:szCs w:val="26"/>
        </w:rPr>
        <w:t>L'accès à notre travail est libre et gratuit à tous les utilis</w:t>
      </w:r>
      <w:r w:rsidRPr="004B2498">
        <w:rPr>
          <w:szCs w:val="26"/>
        </w:rPr>
        <w:t>a</w:t>
      </w:r>
      <w:r w:rsidRPr="004B2498">
        <w:rPr>
          <w:szCs w:val="26"/>
        </w:rPr>
        <w:t>teurs. C'est notre mission.</w:t>
      </w:r>
    </w:p>
    <w:p w14:paraId="18067936" w14:textId="77777777" w:rsidR="002F4063" w:rsidRPr="004B2498" w:rsidRDefault="002F4063">
      <w:pPr>
        <w:rPr>
          <w:szCs w:val="26"/>
        </w:rPr>
      </w:pPr>
    </w:p>
    <w:p w14:paraId="4B64BE4B" w14:textId="77777777" w:rsidR="002F4063" w:rsidRPr="004B2498" w:rsidRDefault="002F4063">
      <w:pPr>
        <w:rPr>
          <w:szCs w:val="26"/>
        </w:rPr>
      </w:pPr>
      <w:r w:rsidRPr="004B2498">
        <w:rPr>
          <w:szCs w:val="26"/>
        </w:rPr>
        <w:t>Jean-Marie Tremblay, sociologue</w:t>
      </w:r>
    </w:p>
    <w:p w14:paraId="72E52D7E" w14:textId="77777777" w:rsidR="002F4063" w:rsidRPr="004B2498" w:rsidRDefault="002F4063">
      <w:pPr>
        <w:rPr>
          <w:szCs w:val="26"/>
        </w:rPr>
      </w:pPr>
      <w:r w:rsidRPr="004B2498">
        <w:rPr>
          <w:szCs w:val="26"/>
        </w:rPr>
        <w:t>Fondateur et Président-directeur général,</w:t>
      </w:r>
    </w:p>
    <w:p w14:paraId="5D0F2A57" w14:textId="77777777" w:rsidR="002F4063" w:rsidRPr="004B2498" w:rsidRDefault="002F4063">
      <w:r w:rsidRPr="004B2498">
        <w:rPr>
          <w:szCs w:val="26"/>
        </w:rPr>
        <w:t>LES CLASSIQUES DES SCIENCES SOCIALES.</w:t>
      </w:r>
    </w:p>
    <w:p w14:paraId="29D83747" w14:textId="77777777" w:rsidR="002F4063" w:rsidRPr="002C57DA" w:rsidRDefault="002F4063" w:rsidP="002F4063">
      <w:pPr>
        <w:ind w:firstLine="0"/>
        <w:jc w:val="both"/>
        <w:rPr>
          <w:sz w:val="24"/>
          <w:lang w:bidi="ar-SA"/>
        </w:rPr>
      </w:pPr>
      <w:r w:rsidRPr="004B2498">
        <w:br w:type="page"/>
      </w:r>
      <w:r w:rsidRPr="002C57DA">
        <w:rPr>
          <w:sz w:val="24"/>
          <w:lang w:bidi="ar-SA"/>
        </w:rPr>
        <w:lastRenderedPageBreak/>
        <w:t>Un document produit en version numérique par Jean-Marie Tremblay, bénévole, professeur associé, Université du Québec à Chicoutimi</w:t>
      </w:r>
    </w:p>
    <w:p w14:paraId="66CD794E" w14:textId="77777777" w:rsidR="002F4063" w:rsidRPr="002C57DA" w:rsidRDefault="002F4063" w:rsidP="002F4063">
      <w:pPr>
        <w:ind w:firstLine="0"/>
        <w:jc w:val="both"/>
        <w:rPr>
          <w:sz w:val="24"/>
          <w:lang w:bidi="ar-SA"/>
        </w:rPr>
      </w:pPr>
      <w:r w:rsidRPr="002C57DA">
        <w:rPr>
          <w:sz w:val="24"/>
          <w:lang w:bidi="ar-SA"/>
        </w:rPr>
        <w:t xml:space="preserve">Courriel: </w:t>
      </w:r>
      <w:hyperlink r:id="rId12" w:history="1">
        <w:r w:rsidRPr="005566C2">
          <w:rPr>
            <w:rStyle w:val="Hyperlien"/>
            <w:sz w:val="24"/>
            <w:lang w:bidi="ar-SA"/>
          </w:rPr>
          <w:t>classiques.sc.soc@gmail.com</w:t>
        </w:r>
      </w:hyperlink>
      <w:r>
        <w:rPr>
          <w:sz w:val="24"/>
          <w:lang w:bidi="ar-SA"/>
        </w:rPr>
        <w:t xml:space="preserve"> </w:t>
      </w:r>
    </w:p>
    <w:p w14:paraId="73B38F5B" w14:textId="77777777" w:rsidR="002F4063" w:rsidRDefault="002F4063" w:rsidP="002F4063">
      <w:pPr>
        <w:ind w:left="20" w:hanging="20"/>
        <w:jc w:val="both"/>
        <w:rPr>
          <w:sz w:val="24"/>
          <w:lang w:bidi="ar-SA"/>
        </w:rPr>
      </w:pPr>
      <w:r w:rsidRPr="002C57DA">
        <w:rPr>
          <w:sz w:val="24"/>
          <w:lang w:bidi="ar-SA"/>
        </w:rPr>
        <w:t xml:space="preserve">Site web pédagogique : </w:t>
      </w:r>
      <w:hyperlink r:id="rId13" w:history="1">
        <w:r w:rsidRPr="005566C2">
          <w:rPr>
            <w:rStyle w:val="Hyperlien"/>
            <w:sz w:val="24"/>
            <w:lang w:bidi="ar-SA"/>
          </w:rPr>
          <w:t>http://jmt-sociologue.uqac.ca/</w:t>
        </w:r>
      </w:hyperlink>
    </w:p>
    <w:p w14:paraId="4A8F9716" w14:textId="77777777" w:rsidR="002F4063" w:rsidRPr="002C57DA" w:rsidRDefault="002F4063" w:rsidP="002F4063">
      <w:pPr>
        <w:ind w:left="20" w:hanging="20"/>
        <w:jc w:val="both"/>
        <w:rPr>
          <w:sz w:val="24"/>
        </w:rPr>
      </w:pPr>
      <w:r w:rsidRPr="002C57DA">
        <w:rPr>
          <w:sz w:val="24"/>
        </w:rPr>
        <w:t>à partir du texte de :</w:t>
      </w:r>
    </w:p>
    <w:p w14:paraId="01A3F8BE" w14:textId="77777777" w:rsidR="002F4063" w:rsidRPr="004B2498" w:rsidRDefault="002F4063" w:rsidP="002F4063">
      <w:pPr>
        <w:ind w:firstLine="0"/>
        <w:jc w:val="both"/>
      </w:pPr>
    </w:p>
    <w:p w14:paraId="0A8A4B06" w14:textId="77777777" w:rsidR="002F4063" w:rsidRPr="004B2498" w:rsidRDefault="002F4063" w:rsidP="002F4063">
      <w:pPr>
        <w:ind w:left="20" w:firstLine="340"/>
        <w:jc w:val="both"/>
      </w:pPr>
      <w:r w:rsidRPr="004B2498">
        <w:t>SOUS LA DIRECTION DE</w:t>
      </w:r>
      <w:r w:rsidRPr="004B2498">
        <w:br/>
        <w:t>Bernard CASTELLI et Bernard HOURS</w:t>
      </w:r>
    </w:p>
    <w:p w14:paraId="766CC8EB" w14:textId="77777777" w:rsidR="002F4063" w:rsidRPr="004B2498" w:rsidRDefault="002F4063" w:rsidP="002F4063">
      <w:pPr>
        <w:ind w:left="20" w:firstLine="340"/>
        <w:jc w:val="both"/>
      </w:pPr>
    </w:p>
    <w:p w14:paraId="4664DD5D" w14:textId="77777777" w:rsidR="002F4063" w:rsidRPr="002C57DA" w:rsidRDefault="002F4063" w:rsidP="002F4063">
      <w:pPr>
        <w:rPr>
          <w:b/>
          <w:i/>
          <w:color w:val="000090"/>
        </w:rPr>
      </w:pPr>
      <w:r w:rsidRPr="002C57DA">
        <w:rPr>
          <w:b/>
          <w:i/>
          <w:color w:val="000090"/>
        </w:rPr>
        <w:t>Enjeux épistémologiques et idéologiques de la globalisation pour les sciences sociales.</w:t>
      </w:r>
    </w:p>
    <w:p w14:paraId="268D0FEE" w14:textId="77777777" w:rsidR="002F4063" w:rsidRPr="004B2498" w:rsidRDefault="002F4063" w:rsidP="002F4063">
      <w:pPr>
        <w:jc w:val="both"/>
      </w:pPr>
    </w:p>
    <w:p w14:paraId="0CA8DA75" w14:textId="77777777" w:rsidR="002F4063" w:rsidRPr="004B2498" w:rsidRDefault="002F4063" w:rsidP="002F4063">
      <w:pPr>
        <w:jc w:val="both"/>
      </w:pPr>
      <w:r w:rsidRPr="004B2498">
        <w:t>Paris : Les Éditions L’Harmattan, 2011, 298 pp. Collection “Que</w:t>
      </w:r>
      <w:r w:rsidRPr="004B2498">
        <w:t>s</w:t>
      </w:r>
      <w:r w:rsidRPr="004B2498">
        <w:t>tions contemporaines.”</w:t>
      </w:r>
    </w:p>
    <w:p w14:paraId="44D1686F" w14:textId="77777777" w:rsidR="002F4063" w:rsidRPr="004B2498" w:rsidRDefault="002F4063" w:rsidP="002F4063">
      <w:pPr>
        <w:jc w:val="both"/>
      </w:pPr>
    </w:p>
    <w:p w14:paraId="30A0516D" w14:textId="77777777" w:rsidR="002F4063" w:rsidRPr="004B2498" w:rsidRDefault="002F4063" w:rsidP="002F4063">
      <w:pPr>
        <w:jc w:val="both"/>
      </w:pPr>
    </w:p>
    <w:p w14:paraId="11609A0B" w14:textId="77777777" w:rsidR="002F4063" w:rsidRPr="002C57DA" w:rsidRDefault="002F4063" w:rsidP="002F4063">
      <w:pPr>
        <w:ind w:left="20"/>
        <w:jc w:val="both"/>
        <w:rPr>
          <w:sz w:val="24"/>
        </w:rPr>
      </w:pPr>
      <w:r w:rsidRPr="002C57DA">
        <w:rPr>
          <w:sz w:val="24"/>
        </w:rPr>
        <w:t>Bernard Hours nous a accordé, le 15 avril 2022, l’autoris</w:t>
      </w:r>
      <w:r w:rsidRPr="002C57DA">
        <w:rPr>
          <w:sz w:val="24"/>
        </w:rPr>
        <w:t>a</w:t>
      </w:r>
      <w:r w:rsidRPr="002C57DA">
        <w:rPr>
          <w:sz w:val="24"/>
        </w:rPr>
        <w:t>tion de diffuser en libre accès à tous ce livre dans Les Classiques des sciences soci</w:t>
      </w:r>
      <w:r w:rsidRPr="002C57DA">
        <w:rPr>
          <w:sz w:val="24"/>
        </w:rPr>
        <w:t>a</w:t>
      </w:r>
      <w:r w:rsidRPr="002C57DA">
        <w:rPr>
          <w:sz w:val="24"/>
        </w:rPr>
        <w:t>les.</w:t>
      </w:r>
    </w:p>
    <w:p w14:paraId="42024A7F" w14:textId="77777777" w:rsidR="002F4063" w:rsidRPr="002C57DA" w:rsidRDefault="002F4063" w:rsidP="002F4063">
      <w:pPr>
        <w:jc w:val="both"/>
        <w:rPr>
          <w:sz w:val="24"/>
        </w:rPr>
      </w:pPr>
    </w:p>
    <w:p w14:paraId="6CF0D44F" w14:textId="77777777" w:rsidR="002F4063" w:rsidRPr="003D1285" w:rsidRDefault="003D1285" w:rsidP="002F4063">
      <w:pPr>
        <w:ind w:left="20"/>
        <w:jc w:val="both"/>
        <w:rPr>
          <w:sz w:val="24"/>
          <w:lang w:val="en-US"/>
        </w:rPr>
      </w:pPr>
      <w:r w:rsidRPr="002C57DA">
        <w:rPr>
          <w:noProof/>
          <w:sz w:val="24"/>
        </w:rPr>
        <w:drawing>
          <wp:inline distT="0" distB="0" distL="0" distR="0" wp14:anchorId="45B3638E" wp14:editId="0DFF1E6C">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2F4063" w:rsidRPr="003D1285">
        <w:rPr>
          <w:sz w:val="24"/>
          <w:lang w:val="en-US"/>
        </w:rPr>
        <w:t xml:space="preserve"> Courriel : Bernard Hours : </w:t>
      </w:r>
      <w:hyperlink r:id="rId15" w:history="1">
        <w:r w:rsidR="002F4063" w:rsidRPr="003D1285">
          <w:rPr>
            <w:rStyle w:val="Hyperlien"/>
            <w:sz w:val="24"/>
            <w:lang w:val="en-US"/>
          </w:rPr>
          <w:t>bernard.hours@ird.fr</w:t>
        </w:r>
      </w:hyperlink>
      <w:r w:rsidR="002F4063" w:rsidRPr="003D1285">
        <w:rPr>
          <w:sz w:val="24"/>
          <w:lang w:val="en-US"/>
        </w:rPr>
        <w:t xml:space="preserve"> </w:t>
      </w:r>
    </w:p>
    <w:p w14:paraId="6E0DC34C" w14:textId="77777777" w:rsidR="002F4063" w:rsidRPr="003D1285" w:rsidRDefault="002F4063" w:rsidP="002F4063">
      <w:pPr>
        <w:ind w:left="20"/>
        <w:jc w:val="both"/>
        <w:rPr>
          <w:sz w:val="24"/>
          <w:lang w:val="en-US"/>
        </w:rPr>
      </w:pPr>
    </w:p>
    <w:p w14:paraId="210A2A54" w14:textId="77777777" w:rsidR="002F4063" w:rsidRPr="003D1285" w:rsidRDefault="002F4063" w:rsidP="002F4063">
      <w:pPr>
        <w:ind w:left="20"/>
        <w:jc w:val="both"/>
        <w:rPr>
          <w:sz w:val="24"/>
          <w:lang w:val="en-US"/>
        </w:rPr>
      </w:pPr>
    </w:p>
    <w:p w14:paraId="1E06ABC3" w14:textId="77777777" w:rsidR="002F4063" w:rsidRPr="002C57DA" w:rsidRDefault="002F4063">
      <w:pPr>
        <w:ind w:right="1800" w:firstLine="0"/>
        <w:jc w:val="both"/>
        <w:rPr>
          <w:sz w:val="24"/>
        </w:rPr>
      </w:pPr>
      <w:r w:rsidRPr="002C57DA">
        <w:rPr>
          <w:sz w:val="24"/>
        </w:rPr>
        <w:t>Police de caractères utilisés :</w:t>
      </w:r>
    </w:p>
    <w:p w14:paraId="00F82A1E" w14:textId="77777777" w:rsidR="002F4063" w:rsidRPr="002C57DA" w:rsidRDefault="002F4063">
      <w:pPr>
        <w:ind w:right="1800" w:firstLine="0"/>
        <w:jc w:val="both"/>
        <w:rPr>
          <w:sz w:val="24"/>
        </w:rPr>
      </w:pPr>
    </w:p>
    <w:p w14:paraId="4B745EF2" w14:textId="77777777" w:rsidR="002F4063" w:rsidRPr="002C57DA" w:rsidRDefault="002F4063" w:rsidP="002F4063">
      <w:pPr>
        <w:ind w:left="360" w:right="360" w:firstLine="0"/>
        <w:jc w:val="both"/>
        <w:rPr>
          <w:sz w:val="24"/>
        </w:rPr>
      </w:pPr>
      <w:r w:rsidRPr="002C57DA">
        <w:rPr>
          <w:sz w:val="24"/>
        </w:rPr>
        <w:t>Pour le texte: Times New Roman, 14 points.</w:t>
      </w:r>
    </w:p>
    <w:p w14:paraId="4A6B3D89" w14:textId="77777777" w:rsidR="002F4063" w:rsidRPr="002C57DA" w:rsidRDefault="002F4063" w:rsidP="002F4063">
      <w:pPr>
        <w:ind w:left="360" w:right="360" w:firstLine="0"/>
        <w:jc w:val="both"/>
        <w:rPr>
          <w:sz w:val="24"/>
        </w:rPr>
      </w:pPr>
      <w:r w:rsidRPr="002C57DA">
        <w:rPr>
          <w:sz w:val="24"/>
        </w:rPr>
        <w:t>Pour les notes de bas de page : Times New Roman, 12 points.</w:t>
      </w:r>
    </w:p>
    <w:p w14:paraId="0F248AFD" w14:textId="77777777" w:rsidR="002F4063" w:rsidRPr="002C57DA" w:rsidRDefault="002F4063">
      <w:pPr>
        <w:ind w:left="360" w:right="1800" w:firstLine="0"/>
        <w:jc w:val="both"/>
        <w:rPr>
          <w:sz w:val="24"/>
        </w:rPr>
      </w:pPr>
    </w:p>
    <w:p w14:paraId="07F4B3B3" w14:textId="77777777" w:rsidR="002F4063" w:rsidRPr="002C57DA" w:rsidRDefault="002F4063">
      <w:pPr>
        <w:ind w:right="360" w:firstLine="0"/>
        <w:jc w:val="both"/>
        <w:rPr>
          <w:sz w:val="24"/>
        </w:rPr>
      </w:pPr>
      <w:r w:rsidRPr="002C57DA">
        <w:rPr>
          <w:sz w:val="24"/>
        </w:rPr>
        <w:t>Édition électronique réalisée avec le traitement de textes Microsoft Word 2008 pour Macintosh.</w:t>
      </w:r>
    </w:p>
    <w:p w14:paraId="519E9ED0" w14:textId="77777777" w:rsidR="002F4063" w:rsidRPr="002C57DA" w:rsidRDefault="002F4063">
      <w:pPr>
        <w:ind w:right="1800" w:firstLine="0"/>
        <w:jc w:val="both"/>
        <w:rPr>
          <w:sz w:val="24"/>
        </w:rPr>
      </w:pPr>
    </w:p>
    <w:p w14:paraId="4D3F61A9" w14:textId="77777777" w:rsidR="002F4063" w:rsidRPr="002C57DA" w:rsidRDefault="002F4063" w:rsidP="002F4063">
      <w:pPr>
        <w:ind w:right="540" w:firstLine="0"/>
        <w:jc w:val="both"/>
        <w:rPr>
          <w:sz w:val="24"/>
        </w:rPr>
      </w:pPr>
      <w:r w:rsidRPr="002C57DA">
        <w:rPr>
          <w:sz w:val="24"/>
        </w:rPr>
        <w:t>Mise en page sur papier format : LETTRE US, 8.5’’ x 11’’.</w:t>
      </w:r>
    </w:p>
    <w:p w14:paraId="139270E8" w14:textId="77777777" w:rsidR="002F4063" w:rsidRPr="002C57DA" w:rsidRDefault="002F4063">
      <w:pPr>
        <w:ind w:right="1800" w:firstLine="0"/>
        <w:jc w:val="both"/>
        <w:rPr>
          <w:sz w:val="24"/>
        </w:rPr>
      </w:pPr>
    </w:p>
    <w:p w14:paraId="740225F5" w14:textId="77777777" w:rsidR="002F4063" w:rsidRPr="002C57DA" w:rsidRDefault="002F4063" w:rsidP="002F4063">
      <w:pPr>
        <w:ind w:firstLine="0"/>
        <w:jc w:val="both"/>
        <w:rPr>
          <w:sz w:val="24"/>
        </w:rPr>
      </w:pPr>
      <w:r w:rsidRPr="002C57DA">
        <w:rPr>
          <w:sz w:val="24"/>
        </w:rPr>
        <w:t>Édition numérique réalisée le 1</w:t>
      </w:r>
      <w:r>
        <w:rPr>
          <w:sz w:val="24"/>
        </w:rPr>
        <w:t>1</w:t>
      </w:r>
      <w:r w:rsidRPr="002C57DA">
        <w:rPr>
          <w:sz w:val="24"/>
        </w:rPr>
        <w:t xml:space="preserve"> mai 2022 à Chicoutimi, Qu</w:t>
      </w:r>
      <w:r w:rsidRPr="002C57DA">
        <w:rPr>
          <w:sz w:val="24"/>
        </w:rPr>
        <w:t>é</w:t>
      </w:r>
      <w:r w:rsidRPr="002C57DA">
        <w:rPr>
          <w:sz w:val="24"/>
        </w:rPr>
        <w:t>bec.</w:t>
      </w:r>
    </w:p>
    <w:p w14:paraId="11771241" w14:textId="77777777" w:rsidR="002F4063" w:rsidRPr="004B2498" w:rsidRDefault="002F4063">
      <w:pPr>
        <w:ind w:right="1800" w:firstLine="0"/>
        <w:jc w:val="both"/>
      </w:pPr>
    </w:p>
    <w:p w14:paraId="200410F8" w14:textId="77777777" w:rsidR="002F4063" w:rsidRPr="004B2498" w:rsidRDefault="003D1285">
      <w:pPr>
        <w:ind w:right="1800" w:firstLine="0"/>
        <w:jc w:val="both"/>
      </w:pPr>
      <w:r w:rsidRPr="004B2498">
        <w:rPr>
          <w:noProof/>
        </w:rPr>
        <w:drawing>
          <wp:inline distT="0" distB="0" distL="0" distR="0" wp14:anchorId="0F3ED4ED" wp14:editId="787B4AB5">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570BCD43" w14:textId="77777777" w:rsidR="002F4063" w:rsidRPr="004B2498" w:rsidRDefault="002F4063" w:rsidP="002F4063">
      <w:pPr>
        <w:ind w:left="20"/>
        <w:jc w:val="both"/>
      </w:pPr>
      <w:r w:rsidRPr="004B2498">
        <w:br w:type="page"/>
      </w:r>
    </w:p>
    <w:p w14:paraId="7ACE7501" w14:textId="77777777" w:rsidR="002F4063" w:rsidRPr="002C57DA" w:rsidRDefault="002F4063" w:rsidP="002F4063">
      <w:pPr>
        <w:spacing w:after="60"/>
        <w:ind w:firstLine="0"/>
        <w:jc w:val="center"/>
        <w:rPr>
          <w:sz w:val="20"/>
          <w:lang w:bidi="ar-SA"/>
        </w:rPr>
      </w:pPr>
      <w:r w:rsidRPr="002C57DA">
        <w:rPr>
          <w:sz w:val="20"/>
          <w:lang w:bidi="ar-SA"/>
        </w:rPr>
        <w:t>SOUS LA DIRECTION DE</w:t>
      </w:r>
    </w:p>
    <w:p w14:paraId="5D6B9641" w14:textId="77777777" w:rsidR="002F4063" w:rsidRPr="002C57DA" w:rsidRDefault="002F4063" w:rsidP="002F4063">
      <w:pPr>
        <w:ind w:firstLine="0"/>
        <w:jc w:val="center"/>
        <w:rPr>
          <w:b/>
          <w:sz w:val="32"/>
        </w:rPr>
      </w:pPr>
      <w:r w:rsidRPr="002C57DA">
        <w:rPr>
          <w:b/>
          <w:sz w:val="32"/>
        </w:rPr>
        <w:t>Bernard CASTELLI et Bernard  HOURS</w:t>
      </w:r>
    </w:p>
    <w:p w14:paraId="0370353A" w14:textId="77777777" w:rsidR="002F4063" w:rsidRDefault="002F4063" w:rsidP="002F4063">
      <w:pPr>
        <w:ind w:firstLine="0"/>
        <w:jc w:val="center"/>
        <w:rPr>
          <w:sz w:val="20"/>
        </w:rPr>
      </w:pPr>
      <w:r w:rsidRPr="002C57DA">
        <w:rPr>
          <w:sz w:val="20"/>
        </w:rPr>
        <w:t>Respectivement, économiste, chargé de recherche, d’une part,</w:t>
      </w:r>
      <w:r w:rsidRPr="002C57DA">
        <w:rPr>
          <w:sz w:val="20"/>
        </w:rPr>
        <w:br/>
        <w:t>et anthropologue, d’autre part, Institut de Recherche pour le développ</w:t>
      </w:r>
      <w:r w:rsidRPr="002C57DA">
        <w:rPr>
          <w:sz w:val="20"/>
        </w:rPr>
        <w:t>e</w:t>
      </w:r>
      <w:r w:rsidRPr="002C57DA">
        <w:rPr>
          <w:sz w:val="20"/>
        </w:rPr>
        <w:t>ment (IRD)</w:t>
      </w:r>
    </w:p>
    <w:p w14:paraId="02B69DFB" w14:textId="77777777" w:rsidR="002F4063" w:rsidRPr="004B2498" w:rsidRDefault="002F4063" w:rsidP="002F4063">
      <w:pPr>
        <w:ind w:firstLine="0"/>
        <w:jc w:val="center"/>
      </w:pPr>
    </w:p>
    <w:p w14:paraId="32D76A98" w14:textId="77777777" w:rsidR="002F4063" w:rsidRPr="002C57DA" w:rsidRDefault="002F4063" w:rsidP="002F4063">
      <w:pPr>
        <w:ind w:firstLine="0"/>
        <w:jc w:val="center"/>
        <w:rPr>
          <w:color w:val="000090"/>
          <w:sz w:val="36"/>
        </w:rPr>
      </w:pPr>
      <w:r w:rsidRPr="002C57DA">
        <w:rPr>
          <w:color w:val="000090"/>
          <w:sz w:val="36"/>
        </w:rPr>
        <w:t>Enjeux épistémologiques et idéologiques</w:t>
      </w:r>
      <w:r w:rsidRPr="002C57DA">
        <w:rPr>
          <w:color w:val="000090"/>
          <w:sz w:val="36"/>
        </w:rPr>
        <w:br/>
        <w:t>de la globalisation pour les sciences sociales.</w:t>
      </w:r>
    </w:p>
    <w:p w14:paraId="0D211CD8" w14:textId="77777777" w:rsidR="002F4063" w:rsidRPr="004B2498" w:rsidRDefault="002F4063" w:rsidP="002F4063">
      <w:pPr>
        <w:ind w:firstLine="0"/>
        <w:jc w:val="center"/>
      </w:pPr>
    </w:p>
    <w:p w14:paraId="4A5C49DC" w14:textId="77777777" w:rsidR="002F4063" w:rsidRPr="004B2498" w:rsidRDefault="003D1285" w:rsidP="002F4063">
      <w:pPr>
        <w:ind w:firstLine="0"/>
        <w:jc w:val="center"/>
      </w:pPr>
      <w:r w:rsidRPr="004B2498">
        <w:rPr>
          <w:noProof/>
        </w:rPr>
        <w:drawing>
          <wp:inline distT="0" distB="0" distL="0" distR="0" wp14:anchorId="2CEDEDF4" wp14:editId="3ECE6835">
            <wp:extent cx="2768600" cy="42926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8600" cy="4292600"/>
                    </a:xfrm>
                    <a:prstGeom prst="rect">
                      <a:avLst/>
                    </a:prstGeom>
                    <a:noFill/>
                    <a:ln w="19050" cmpd="sng">
                      <a:solidFill>
                        <a:srgbClr val="000000"/>
                      </a:solidFill>
                      <a:miter lim="800000"/>
                      <a:headEnd/>
                      <a:tailEnd/>
                    </a:ln>
                    <a:effectLst/>
                  </pic:spPr>
                </pic:pic>
              </a:graphicData>
            </a:graphic>
          </wp:inline>
        </w:drawing>
      </w:r>
    </w:p>
    <w:p w14:paraId="518A4A06" w14:textId="77777777" w:rsidR="002F4063" w:rsidRPr="004B2498" w:rsidRDefault="002F4063" w:rsidP="002F4063">
      <w:pPr>
        <w:jc w:val="both"/>
      </w:pPr>
    </w:p>
    <w:p w14:paraId="41469E7F" w14:textId="77777777" w:rsidR="002F4063" w:rsidRPr="004B2498" w:rsidRDefault="002F4063" w:rsidP="002F4063">
      <w:pPr>
        <w:jc w:val="both"/>
      </w:pPr>
      <w:r w:rsidRPr="004B2498">
        <w:t>Paris : Les Éditions L’Harmattan, 2011, 298 pp. Collection “Que</w:t>
      </w:r>
      <w:r w:rsidRPr="004B2498">
        <w:t>s</w:t>
      </w:r>
      <w:r w:rsidRPr="004B2498">
        <w:t>tions contemporaines.”</w:t>
      </w:r>
    </w:p>
    <w:p w14:paraId="4D3B5191" w14:textId="77777777" w:rsidR="002F4063" w:rsidRPr="004B2498" w:rsidRDefault="002F4063" w:rsidP="002F4063">
      <w:pPr>
        <w:jc w:val="both"/>
      </w:pPr>
      <w:r w:rsidRPr="004B2498">
        <w:br w:type="page"/>
      </w:r>
    </w:p>
    <w:p w14:paraId="77B502EF" w14:textId="77777777" w:rsidR="002F4063" w:rsidRPr="004B2498" w:rsidRDefault="002F4063" w:rsidP="002F4063">
      <w:pPr>
        <w:jc w:val="both"/>
      </w:pPr>
    </w:p>
    <w:p w14:paraId="763E942A" w14:textId="77777777" w:rsidR="002F4063" w:rsidRPr="004B2498" w:rsidRDefault="002F4063" w:rsidP="002F4063">
      <w:pPr>
        <w:jc w:val="both"/>
      </w:pPr>
    </w:p>
    <w:p w14:paraId="59C70D83" w14:textId="77777777" w:rsidR="002F4063" w:rsidRPr="002C57DA" w:rsidRDefault="002F4063" w:rsidP="002F4063">
      <w:pPr>
        <w:spacing w:after="120"/>
        <w:ind w:firstLine="0"/>
        <w:jc w:val="center"/>
        <w:rPr>
          <w:b/>
          <w:sz w:val="24"/>
        </w:rPr>
      </w:pPr>
      <w:bookmarkStart w:id="0" w:name="Enjeux_sc_soc_couverture"/>
      <w:r w:rsidRPr="002C57DA">
        <w:rPr>
          <w:b/>
          <w:sz w:val="24"/>
        </w:rPr>
        <w:t>Enjeux épistémologiques et idéologiques</w:t>
      </w:r>
      <w:r w:rsidRPr="002C57DA">
        <w:rPr>
          <w:b/>
          <w:sz w:val="24"/>
        </w:rPr>
        <w:br/>
        <w:t>de la globalisation pour les sciences sociales.</w:t>
      </w:r>
    </w:p>
    <w:p w14:paraId="445E36FA" w14:textId="77777777" w:rsidR="002F4063" w:rsidRPr="002C57DA" w:rsidRDefault="002F4063" w:rsidP="002F4063">
      <w:pPr>
        <w:pStyle w:val="planchest"/>
      </w:pPr>
      <w:r w:rsidRPr="002C57DA">
        <w:t>Quatrième de couverture</w:t>
      </w:r>
    </w:p>
    <w:bookmarkEnd w:id="0"/>
    <w:p w14:paraId="6D6FED3C" w14:textId="77777777" w:rsidR="002F4063" w:rsidRPr="004B2498" w:rsidRDefault="002F4063" w:rsidP="002F4063">
      <w:pPr>
        <w:jc w:val="both"/>
      </w:pPr>
    </w:p>
    <w:p w14:paraId="79ECFD85" w14:textId="77777777" w:rsidR="002F4063" w:rsidRPr="004B2498" w:rsidRDefault="002F4063" w:rsidP="002F4063">
      <w:pPr>
        <w:jc w:val="both"/>
      </w:pPr>
    </w:p>
    <w:p w14:paraId="13C6D8B8" w14:textId="77777777" w:rsidR="002F4063" w:rsidRPr="004B2498" w:rsidRDefault="002F4063" w:rsidP="002F4063">
      <w:pPr>
        <w:jc w:val="both"/>
      </w:pPr>
    </w:p>
    <w:p w14:paraId="4E74D8FE" w14:textId="77777777" w:rsidR="002F4063" w:rsidRPr="004B2498" w:rsidRDefault="002F4063" w:rsidP="002F4063">
      <w:pPr>
        <w:jc w:val="both"/>
      </w:pPr>
    </w:p>
    <w:p w14:paraId="73B5736B" w14:textId="77777777" w:rsidR="002F4063" w:rsidRPr="004B2498" w:rsidRDefault="002F4063" w:rsidP="002F4063">
      <w:pPr>
        <w:jc w:val="both"/>
      </w:pPr>
    </w:p>
    <w:p w14:paraId="1319C656" w14:textId="77777777" w:rsidR="002F4063" w:rsidRPr="002C57DA" w:rsidRDefault="002F4063" w:rsidP="002F4063">
      <w:pPr>
        <w:ind w:right="90" w:firstLine="0"/>
        <w:jc w:val="both"/>
        <w:rPr>
          <w:sz w:val="24"/>
        </w:rPr>
      </w:pPr>
      <w:hyperlink w:anchor="sommaire" w:history="1">
        <w:r w:rsidRPr="002C57DA">
          <w:rPr>
            <w:rStyle w:val="Hyperlien"/>
            <w:sz w:val="24"/>
          </w:rPr>
          <w:t>Retour au sommaire</w:t>
        </w:r>
      </w:hyperlink>
    </w:p>
    <w:p w14:paraId="5EDA8B76" w14:textId="77777777" w:rsidR="002F4063" w:rsidRPr="004B2498" w:rsidRDefault="002F4063" w:rsidP="002F4063">
      <w:pPr>
        <w:spacing w:before="120" w:after="120"/>
        <w:jc w:val="both"/>
      </w:pPr>
      <w:r w:rsidRPr="004B2498">
        <w:t>Cet ouvrage s’interroge sur les défis posés aujourd’hui par la gl</w:t>
      </w:r>
      <w:r w:rsidRPr="004B2498">
        <w:t>o</w:t>
      </w:r>
      <w:r w:rsidRPr="004B2498">
        <w:t>balisation aux sciences sociales. Des phénomènes en partie inédits, des processus complexes se développent que les anciens outils ne pa</w:t>
      </w:r>
      <w:r w:rsidRPr="004B2498">
        <w:t>r</w:t>
      </w:r>
      <w:r w:rsidRPr="004B2498">
        <w:t>viennent pas à maîtriser. Leur perception s’en trouve non seulement bouleversée mais aussi la totalité des champs de production des connaissances. Des objets et des acteurs nouveaux apparaissent dans ces mutations tandis que d’anciens s’effacent, révélant des enjeux épistémologiques et idéologiques importants autour de la lecture des rapports sociaux contemporains par les diverses disciplines.</w:t>
      </w:r>
    </w:p>
    <w:p w14:paraId="01250CE1" w14:textId="77777777" w:rsidR="002F4063" w:rsidRPr="004B2498" w:rsidRDefault="002F4063" w:rsidP="002F4063">
      <w:pPr>
        <w:spacing w:before="120" w:after="120"/>
        <w:jc w:val="both"/>
      </w:pPr>
      <w:r w:rsidRPr="004B2498">
        <w:t>Loin de constituer un compendium convenu de diagnostics conse</w:t>
      </w:r>
      <w:r w:rsidRPr="004B2498">
        <w:t>n</w:t>
      </w:r>
      <w:r w:rsidRPr="004B2498">
        <w:t>suels ou de critiques radicales de la globalisation, les analyses prése</w:t>
      </w:r>
      <w:r w:rsidRPr="004B2498">
        <w:t>n</w:t>
      </w:r>
      <w:r w:rsidRPr="004B2498">
        <w:t>tées ici invitent à réfléchir sur la pertinence des outils et des savoirs accumulés dans quatre topiques de recherche au cœur même des év</w:t>
      </w:r>
      <w:r w:rsidRPr="004B2498">
        <w:t>o</w:t>
      </w:r>
      <w:r w:rsidRPr="004B2498">
        <w:t>lutions globales contemporaines : crise, gouvernance, acteur et genre.</w:t>
      </w:r>
    </w:p>
    <w:p w14:paraId="056BD382" w14:textId="77777777" w:rsidR="002F4063" w:rsidRPr="004B2498" w:rsidRDefault="002F4063" w:rsidP="002F4063">
      <w:pPr>
        <w:spacing w:before="120" w:after="120"/>
        <w:jc w:val="both"/>
      </w:pPr>
    </w:p>
    <w:p w14:paraId="149DC572" w14:textId="77777777" w:rsidR="002F4063" w:rsidRPr="004B2498" w:rsidRDefault="002F4063" w:rsidP="002F4063">
      <w:pPr>
        <w:spacing w:before="120" w:after="120"/>
        <w:jc w:val="both"/>
      </w:pPr>
      <w:r w:rsidRPr="004B2498">
        <w:rPr>
          <w:iCs/>
        </w:rPr>
        <w:t>Ont participé à cet ouvrage :</w:t>
      </w:r>
    </w:p>
    <w:p w14:paraId="03AC73A1" w14:textId="77777777" w:rsidR="002F4063" w:rsidRPr="004B2498" w:rsidRDefault="002F4063" w:rsidP="002F4063">
      <w:pPr>
        <w:spacing w:before="120" w:after="120"/>
        <w:jc w:val="both"/>
      </w:pPr>
      <w:r w:rsidRPr="004B2498">
        <w:rPr>
          <w:iCs/>
        </w:rPr>
        <w:t>Mathieu Caulier, Isabelle Guérin, Wenjing Guo, Rosinha Mach</w:t>
      </w:r>
      <w:r w:rsidRPr="004B2498">
        <w:rPr>
          <w:iCs/>
        </w:rPr>
        <w:t>a</w:t>
      </w:r>
      <w:r w:rsidRPr="004B2498">
        <w:rPr>
          <w:iCs/>
        </w:rPr>
        <w:t>do Carrion, Pépita Ould-Ahmed, Franck Poupeau, Pia Rius, Mon</w:t>
      </w:r>
      <w:r w:rsidRPr="004B2498">
        <w:rPr>
          <w:iCs/>
        </w:rPr>
        <w:t>i</w:t>
      </w:r>
      <w:r w:rsidRPr="004B2498">
        <w:rPr>
          <w:iCs/>
        </w:rPr>
        <w:t>que Selim, Jean-Michel Servet, Angelica L. L. Wehrli.</w:t>
      </w:r>
    </w:p>
    <w:p w14:paraId="09DC8718" w14:textId="77777777" w:rsidR="002F4063" w:rsidRPr="004B2498" w:rsidRDefault="002F4063" w:rsidP="002F4063">
      <w:pPr>
        <w:spacing w:before="120" w:after="120"/>
        <w:jc w:val="both"/>
      </w:pPr>
      <w:r w:rsidRPr="002C57DA">
        <w:rPr>
          <w:b/>
          <w:i/>
          <w:iCs/>
        </w:rPr>
        <w:t>Bernard Castelli</w:t>
      </w:r>
      <w:r w:rsidRPr="004B2498">
        <w:rPr>
          <w:iCs/>
        </w:rPr>
        <w:t xml:space="preserve"> est économiste, chercheur à l'UMR Développ</w:t>
      </w:r>
      <w:r w:rsidRPr="004B2498">
        <w:rPr>
          <w:iCs/>
        </w:rPr>
        <w:t>e</w:t>
      </w:r>
      <w:r w:rsidRPr="004B2498">
        <w:rPr>
          <w:iCs/>
        </w:rPr>
        <w:t>ment et sociétés IRD/Paris 1. Il a travaillé en Argentine, en Colombie, en Equateur. La globalisation et ses dérives économiques et financi</w:t>
      </w:r>
      <w:r w:rsidRPr="004B2498">
        <w:rPr>
          <w:iCs/>
        </w:rPr>
        <w:t>è</w:t>
      </w:r>
      <w:r w:rsidRPr="004B2498">
        <w:rPr>
          <w:iCs/>
        </w:rPr>
        <w:t>res sont au centre de son travail actuel.</w:t>
      </w:r>
    </w:p>
    <w:p w14:paraId="6C3751B4" w14:textId="77777777" w:rsidR="002F4063" w:rsidRPr="004B2498" w:rsidRDefault="002F4063" w:rsidP="002F4063">
      <w:pPr>
        <w:spacing w:before="120" w:after="120"/>
        <w:jc w:val="both"/>
      </w:pPr>
      <w:r w:rsidRPr="002C57DA">
        <w:rPr>
          <w:b/>
          <w:i/>
          <w:iCs/>
        </w:rPr>
        <w:lastRenderedPageBreak/>
        <w:t>Bernard Hours</w:t>
      </w:r>
      <w:r w:rsidRPr="004B2498">
        <w:rPr>
          <w:iCs/>
        </w:rPr>
        <w:t xml:space="preserve"> est anthropologue, chercheur associé a l'UMR D</w:t>
      </w:r>
      <w:r w:rsidRPr="004B2498">
        <w:rPr>
          <w:iCs/>
        </w:rPr>
        <w:t>é</w:t>
      </w:r>
      <w:r w:rsidRPr="004B2498">
        <w:rPr>
          <w:iCs/>
        </w:rPr>
        <w:t>veloppement et sociétés IRD/Paris 1. Il a travaillé au Vanuatu, au Cameroun, au Bangladesh, au Laos, au Vietnam, en Ouzbékistan et maintenant en Chine. La globalisation, les ONG, l'humanitaire sont au centre de son travail actuel.</w:t>
      </w:r>
    </w:p>
    <w:p w14:paraId="21465C50" w14:textId="77777777" w:rsidR="002F4063" w:rsidRPr="004B2498" w:rsidRDefault="002F4063" w:rsidP="002F4063">
      <w:pPr>
        <w:jc w:val="both"/>
      </w:pPr>
    </w:p>
    <w:p w14:paraId="235020BC" w14:textId="77777777" w:rsidR="002F4063" w:rsidRPr="004B2498" w:rsidRDefault="002F4063" w:rsidP="002F4063">
      <w:pPr>
        <w:jc w:val="both"/>
      </w:pPr>
      <w:r w:rsidRPr="004B2498">
        <w:br w:type="page"/>
      </w:r>
    </w:p>
    <w:p w14:paraId="5404A490" w14:textId="77777777" w:rsidR="002F4063" w:rsidRPr="004B2498" w:rsidRDefault="002F4063">
      <w:pPr>
        <w:jc w:val="both"/>
      </w:pPr>
    </w:p>
    <w:p w14:paraId="512A011A" w14:textId="77777777" w:rsidR="002F4063" w:rsidRPr="004B2498" w:rsidRDefault="002F4063">
      <w:pPr>
        <w:jc w:val="both"/>
      </w:pPr>
    </w:p>
    <w:p w14:paraId="537925A6" w14:textId="77777777" w:rsidR="002F4063" w:rsidRPr="004B2498" w:rsidRDefault="002F4063">
      <w:pPr>
        <w:jc w:val="both"/>
      </w:pPr>
    </w:p>
    <w:p w14:paraId="69A63E06" w14:textId="77777777" w:rsidR="002F4063" w:rsidRPr="004B2498" w:rsidRDefault="002F4063" w:rsidP="002F4063">
      <w:pPr>
        <w:pStyle w:val="NormalWeb"/>
        <w:spacing w:before="2" w:after="2"/>
        <w:jc w:val="both"/>
        <w:rPr>
          <w:rFonts w:ascii="Times New Roman" w:hAnsi="Times New Roman"/>
          <w:sz w:val="28"/>
        </w:rPr>
      </w:pPr>
      <w:r w:rsidRPr="004B2498">
        <w:rPr>
          <w:rFonts w:ascii="Times New Roman" w:hAnsi="Times New Roman"/>
          <w:sz w:val="28"/>
          <w:szCs w:val="19"/>
        </w:rPr>
        <w:t xml:space="preserve">Note pour la version numérique : </w:t>
      </w:r>
      <w:r w:rsidRPr="004B2498">
        <w:rPr>
          <w:rFonts w:ascii="Times New Roman" w:hAnsi="Times New Roman"/>
          <w:sz w:val="28"/>
        </w:rPr>
        <w:t>La numérotation entre crochets [] correspond à la pagination, en début de page, de l'édition d'origine numérisée. JMT.</w:t>
      </w:r>
    </w:p>
    <w:p w14:paraId="29A65B86" w14:textId="77777777" w:rsidR="002F4063" w:rsidRPr="004B2498" w:rsidRDefault="002F4063" w:rsidP="002F4063">
      <w:pPr>
        <w:pStyle w:val="NormalWeb"/>
        <w:spacing w:before="2" w:after="2"/>
        <w:jc w:val="both"/>
        <w:rPr>
          <w:rFonts w:ascii="Times New Roman" w:hAnsi="Times New Roman"/>
          <w:sz w:val="28"/>
        </w:rPr>
      </w:pPr>
    </w:p>
    <w:p w14:paraId="6E11FA5F" w14:textId="77777777" w:rsidR="002F4063" w:rsidRPr="004B2498" w:rsidRDefault="002F4063" w:rsidP="002F4063">
      <w:pPr>
        <w:pStyle w:val="NormalWeb"/>
        <w:spacing w:before="2" w:after="2"/>
        <w:rPr>
          <w:rFonts w:ascii="Times New Roman" w:hAnsi="Times New Roman"/>
          <w:sz w:val="28"/>
        </w:rPr>
      </w:pPr>
      <w:r w:rsidRPr="004B2498">
        <w:rPr>
          <w:rFonts w:ascii="Times New Roman" w:hAnsi="Times New Roman"/>
          <w:sz w:val="28"/>
        </w:rPr>
        <w:t>Par exemple, [1] correspond au début de la page 1 de l’édition papier numérisée.</w:t>
      </w:r>
    </w:p>
    <w:p w14:paraId="42BEEE6C" w14:textId="77777777" w:rsidR="002F4063" w:rsidRPr="004B2498" w:rsidRDefault="002F4063" w:rsidP="002F4063">
      <w:pPr>
        <w:jc w:val="both"/>
        <w:rPr>
          <w:szCs w:val="19"/>
        </w:rPr>
      </w:pPr>
    </w:p>
    <w:p w14:paraId="31CD6BE5" w14:textId="77777777" w:rsidR="002F4063" w:rsidRPr="004B2498" w:rsidRDefault="002F4063">
      <w:pPr>
        <w:jc w:val="both"/>
        <w:rPr>
          <w:szCs w:val="19"/>
        </w:rPr>
      </w:pPr>
    </w:p>
    <w:p w14:paraId="30B0EEAF" w14:textId="77777777" w:rsidR="002F4063" w:rsidRPr="004B2498" w:rsidRDefault="002F4063" w:rsidP="002F4063">
      <w:pPr>
        <w:spacing w:before="120" w:after="120"/>
        <w:ind w:firstLine="0"/>
        <w:jc w:val="both"/>
      </w:pPr>
      <w:r w:rsidRPr="004B2498">
        <w:br w:type="page"/>
      </w:r>
      <w:r w:rsidRPr="004B2498">
        <w:lastRenderedPageBreak/>
        <w:t>[3]</w:t>
      </w:r>
    </w:p>
    <w:p w14:paraId="0EC175C9" w14:textId="77777777" w:rsidR="002F4063" w:rsidRPr="004B2498" w:rsidRDefault="002F4063" w:rsidP="002F4063">
      <w:pPr>
        <w:spacing w:before="120" w:after="120"/>
        <w:ind w:firstLine="0"/>
        <w:jc w:val="both"/>
      </w:pPr>
    </w:p>
    <w:p w14:paraId="2ED05B10" w14:textId="77777777" w:rsidR="002F4063" w:rsidRPr="004B2498" w:rsidRDefault="002F4063" w:rsidP="002F4063">
      <w:pPr>
        <w:spacing w:before="120" w:after="120"/>
        <w:ind w:firstLine="0"/>
        <w:jc w:val="both"/>
      </w:pPr>
    </w:p>
    <w:p w14:paraId="0A4253C0" w14:textId="77777777" w:rsidR="002F4063" w:rsidRPr="002C57DA" w:rsidRDefault="002F4063" w:rsidP="002F4063">
      <w:pPr>
        <w:spacing w:before="120" w:after="120"/>
        <w:ind w:firstLine="0"/>
        <w:jc w:val="center"/>
        <w:rPr>
          <w:sz w:val="56"/>
        </w:rPr>
      </w:pPr>
      <w:r w:rsidRPr="002C57DA">
        <w:rPr>
          <w:sz w:val="56"/>
          <w:lang w:eastAsia="fr-FR" w:bidi="fr-FR"/>
        </w:rPr>
        <w:t>Enjeux épistémologiques</w:t>
      </w:r>
      <w:r>
        <w:rPr>
          <w:sz w:val="56"/>
          <w:lang w:eastAsia="fr-FR" w:bidi="fr-FR"/>
        </w:rPr>
        <w:t xml:space="preserve"> et</w:t>
      </w:r>
      <w:r w:rsidRPr="002C57DA">
        <w:rPr>
          <w:sz w:val="56"/>
          <w:lang w:eastAsia="fr-FR" w:bidi="fr-FR"/>
        </w:rPr>
        <w:br/>
        <w:t>idéologiques de la global</w:t>
      </w:r>
      <w:r w:rsidRPr="002C57DA">
        <w:rPr>
          <w:sz w:val="56"/>
          <w:lang w:eastAsia="fr-FR" w:bidi="fr-FR"/>
        </w:rPr>
        <w:t>i</w:t>
      </w:r>
      <w:r w:rsidRPr="002C57DA">
        <w:rPr>
          <w:sz w:val="56"/>
          <w:lang w:eastAsia="fr-FR" w:bidi="fr-FR"/>
        </w:rPr>
        <w:t>sation</w:t>
      </w:r>
      <w:r w:rsidRPr="002C57DA">
        <w:rPr>
          <w:sz w:val="56"/>
          <w:lang w:eastAsia="fr-FR" w:bidi="fr-FR"/>
        </w:rPr>
        <w:br/>
        <w:t>pour les sciences sociales</w:t>
      </w:r>
    </w:p>
    <w:p w14:paraId="2D93A58C" w14:textId="77777777" w:rsidR="002F4063" w:rsidRPr="004B2498" w:rsidRDefault="002F4063" w:rsidP="002F4063">
      <w:pPr>
        <w:spacing w:before="120" w:after="120"/>
        <w:ind w:firstLine="0"/>
        <w:jc w:val="both"/>
      </w:pPr>
    </w:p>
    <w:p w14:paraId="1442B990" w14:textId="77777777" w:rsidR="002F4063" w:rsidRPr="004B2498" w:rsidRDefault="002F4063" w:rsidP="002F4063">
      <w:pPr>
        <w:spacing w:before="120" w:after="120"/>
        <w:ind w:firstLine="0"/>
        <w:jc w:val="both"/>
      </w:pPr>
    </w:p>
    <w:p w14:paraId="5ED58AA6" w14:textId="77777777" w:rsidR="002F4063" w:rsidRPr="004B2498" w:rsidRDefault="002F4063" w:rsidP="002F4063">
      <w:pPr>
        <w:spacing w:before="120" w:after="120"/>
        <w:ind w:firstLine="0"/>
        <w:jc w:val="both"/>
      </w:pPr>
    </w:p>
    <w:p w14:paraId="4134EB21" w14:textId="77777777" w:rsidR="002F4063" w:rsidRPr="004B2498" w:rsidRDefault="002F4063" w:rsidP="002F4063">
      <w:pPr>
        <w:spacing w:before="120" w:after="120"/>
        <w:ind w:firstLine="0"/>
        <w:jc w:val="both"/>
      </w:pPr>
    </w:p>
    <w:p w14:paraId="262D2F40" w14:textId="77777777" w:rsidR="002F4063" w:rsidRPr="004B2498" w:rsidRDefault="002F4063" w:rsidP="002F4063">
      <w:pPr>
        <w:spacing w:before="120" w:after="120"/>
        <w:ind w:firstLine="0"/>
        <w:jc w:val="both"/>
      </w:pPr>
      <w:r w:rsidRPr="004B2498">
        <w:br w:type="page"/>
      </w:r>
      <w:r w:rsidRPr="004B2498">
        <w:lastRenderedPageBreak/>
        <w:t>[4]</w:t>
      </w:r>
    </w:p>
    <w:p w14:paraId="2E7A710F" w14:textId="77777777" w:rsidR="002F4063" w:rsidRPr="004B2498" w:rsidRDefault="002F4063" w:rsidP="002F4063">
      <w:pPr>
        <w:spacing w:before="120" w:after="120"/>
        <w:ind w:firstLine="0"/>
        <w:jc w:val="both"/>
      </w:pPr>
    </w:p>
    <w:p w14:paraId="2A5018E1" w14:textId="77777777" w:rsidR="002F4063" w:rsidRPr="002C57DA" w:rsidRDefault="002F4063" w:rsidP="002F4063">
      <w:pPr>
        <w:spacing w:before="120" w:after="120"/>
        <w:ind w:firstLine="0"/>
        <w:jc w:val="center"/>
        <w:rPr>
          <w:sz w:val="36"/>
        </w:rPr>
      </w:pPr>
      <w:r w:rsidRPr="002C57DA">
        <w:rPr>
          <w:sz w:val="36"/>
          <w:lang w:eastAsia="fr-FR" w:bidi="fr-FR"/>
        </w:rPr>
        <w:t>Questions contemporaines</w:t>
      </w:r>
    </w:p>
    <w:p w14:paraId="5DD72DB4" w14:textId="77777777" w:rsidR="002F4063" w:rsidRPr="004B2498" w:rsidRDefault="002F4063" w:rsidP="002F4063">
      <w:pPr>
        <w:spacing w:before="120" w:after="120"/>
        <w:ind w:firstLine="0"/>
        <w:jc w:val="center"/>
      </w:pPr>
      <w:r w:rsidRPr="004B2498">
        <w:rPr>
          <w:lang w:eastAsia="fr-FR" w:bidi="fr-FR"/>
        </w:rPr>
        <w:t>Collection dirigée par J.P. Chagnollaud, B. Péquignot et D. Ro</w:t>
      </w:r>
      <w:r w:rsidRPr="004B2498">
        <w:rPr>
          <w:lang w:eastAsia="fr-FR" w:bidi="fr-FR"/>
        </w:rPr>
        <w:t>l</w:t>
      </w:r>
      <w:r w:rsidRPr="004B2498">
        <w:rPr>
          <w:lang w:eastAsia="fr-FR" w:bidi="fr-FR"/>
        </w:rPr>
        <w:t>land</w:t>
      </w:r>
      <w:r w:rsidRPr="004B2498">
        <w:rPr>
          <w:lang w:eastAsia="fr-FR" w:bidi="fr-FR"/>
        </w:rPr>
        <w:br/>
        <w:t>Série « Globalisation et sciences sociales »</w:t>
      </w:r>
      <w:r w:rsidRPr="004B2498">
        <w:rPr>
          <w:lang w:eastAsia="fr-FR" w:bidi="fr-FR"/>
        </w:rPr>
        <w:br/>
        <w:t>dirigée par Bernard Hours</w:t>
      </w:r>
    </w:p>
    <w:p w14:paraId="2301348C" w14:textId="77777777" w:rsidR="002F4063" w:rsidRPr="004B2498" w:rsidRDefault="002F4063" w:rsidP="002F4063">
      <w:pPr>
        <w:spacing w:before="120" w:after="120"/>
        <w:ind w:firstLine="0"/>
        <w:jc w:val="both"/>
        <w:rPr>
          <w:lang w:eastAsia="fr-FR" w:bidi="fr-FR"/>
        </w:rPr>
      </w:pPr>
    </w:p>
    <w:p w14:paraId="0049B6C1" w14:textId="77777777" w:rsidR="002F4063" w:rsidRPr="004B2498" w:rsidRDefault="002F4063" w:rsidP="002F4063">
      <w:pPr>
        <w:spacing w:before="120" w:after="120"/>
        <w:jc w:val="both"/>
      </w:pPr>
      <w:r w:rsidRPr="004B2498">
        <w:rPr>
          <w:lang w:eastAsia="fr-FR" w:bidi="fr-FR"/>
        </w:rPr>
        <w:t>La série « Globalisation et sciences sociales » a pour objectif d’aborder les phénomènes désignés sous le nom de globalisation en postulant de leur spécificité et de leur nouveauté relatives. Elle s’adresse aux auteurs, dans toutes les disciplines des sciences huma</w:t>
      </w:r>
      <w:r w:rsidRPr="004B2498">
        <w:rPr>
          <w:lang w:eastAsia="fr-FR" w:bidi="fr-FR"/>
        </w:rPr>
        <w:t>i</w:t>
      </w:r>
      <w:r w:rsidRPr="004B2498">
        <w:rPr>
          <w:lang w:eastAsia="fr-FR" w:bidi="fr-FR"/>
        </w:rPr>
        <w:t>nes et sociales, susceptibles d’éclairer ces mutations ou évolutions à travers des enquêtes et des objets originaux alimentant les avancées théoriques à réaliser et les reconfigurations disciplinaires consécut</w:t>
      </w:r>
      <w:r w:rsidRPr="004B2498">
        <w:rPr>
          <w:lang w:eastAsia="fr-FR" w:bidi="fr-FR"/>
        </w:rPr>
        <w:t>i</w:t>
      </w:r>
      <w:r w:rsidRPr="004B2498">
        <w:rPr>
          <w:lang w:eastAsia="fr-FR" w:bidi="fr-FR"/>
        </w:rPr>
        <w:t>ves.</w:t>
      </w:r>
    </w:p>
    <w:p w14:paraId="26F4C010" w14:textId="77777777" w:rsidR="002F4063" w:rsidRPr="004B2498" w:rsidRDefault="002F4063" w:rsidP="002F4063">
      <w:pPr>
        <w:spacing w:before="120" w:after="120"/>
        <w:ind w:firstLine="0"/>
        <w:jc w:val="both"/>
        <w:rPr>
          <w:bCs/>
        </w:rPr>
      </w:pPr>
    </w:p>
    <w:p w14:paraId="1678F744" w14:textId="77777777" w:rsidR="002F4063" w:rsidRPr="004B2498" w:rsidRDefault="002F4063" w:rsidP="002F4063">
      <w:pPr>
        <w:spacing w:before="120" w:after="120"/>
        <w:ind w:firstLine="0"/>
        <w:jc w:val="center"/>
      </w:pPr>
      <w:r w:rsidRPr="004B2498">
        <w:rPr>
          <w:bCs/>
        </w:rPr>
        <w:t>Ouvrages parus dans la série :</w:t>
      </w:r>
    </w:p>
    <w:p w14:paraId="39B29836" w14:textId="77777777" w:rsidR="002F4063" w:rsidRPr="004B2498" w:rsidRDefault="002F4063" w:rsidP="002F4063">
      <w:pPr>
        <w:ind w:firstLine="0"/>
        <w:jc w:val="both"/>
        <w:rPr>
          <w:lang w:eastAsia="fr-FR" w:bidi="fr-FR"/>
        </w:rPr>
      </w:pPr>
    </w:p>
    <w:p w14:paraId="1386256A" w14:textId="77777777" w:rsidR="002F4063" w:rsidRPr="004B2498" w:rsidRDefault="002F4063" w:rsidP="002F4063">
      <w:pPr>
        <w:ind w:firstLine="0"/>
        <w:jc w:val="both"/>
      </w:pPr>
      <w:r w:rsidRPr="004B2498">
        <w:rPr>
          <w:lang w:eastAsia="fr-FR" w:bidi="fr-FR"/>
        </w:rPr>
        <w:t>Mouhamedoune Abdoulaye FALL</w:t>
      </w:r>
    </w:p>
    <w:p w14:paraId="1C560629" w14:textId="77777777" w:rsidR="002F4063" w:rsidRPr="004B2498" w:rsidRDefault="002F4063" w:rsidP="002F4063">
      <w:pPr>
        <w:ind w:firstLine="0"/>
        <w:jc w:val="both"/>
      </w:pPr>
      <w:r w:rsidRPr="002C57DA">
        <w:rPr>
          <w:i/>
          <w:lang w:eastAsia="fr-FR" w:bidi="fr-FR"/>
        </w:rPr>
        <w:t>Saint-Louis du Sénégal : et si le développement n'était qu'une chim</w:t>
      </w:r>
      <w:r w:rsidRPr="002C57DA">
        <w:rPr>
          <w:i/>
          <w:lang w:eastAsia="fr-FR" w:bidi="fr-FR"/>
        </w:rPr>
        <w:t>è</w:t>
      </w:r>
      <w:r w:rsidRPr="002C57DA">
        <w:rPr>
          <w:i/>
          <w:lang w:eastAsia="fr-FR" w:bidi="fr-FR"/>
        </w:rPr>
        <w:t>re ?</w:t>
      </w:r>
      <w:r w:rsidRPr="004B2498">
        <w:rPr>
          <w:lang w:eastAsia="fr-FR" w:bidi="fr-FR"/>
        </w:rPr>
        <w:t xml:space="preserve"> 2011</w:t>
      </w:r>
      <w:r w:rsidRPr="004B2498">
        <w:rPr>
          <w:rStyle w:val="Corpsdutexte14Arial10pt"/>
          <w:rFonts w:ascii="Times New Roman" w:hAnsi="Times New Roman"/>
          <w:color w:val="auto"/>
          <w:sz w:val="28"/>
        </w:rPr>
        <w:t>.</w:t>
      </w:r>
    </w:p>
    <w:p w14:paraId="2B3724A5" w14:textId="77777777" w:rsidR="002F4063" w:rsidRPr="004B2498" w:rsidRDefault="002F4063" w:rsidP="002F4063">
      <w:pPr>
        <w:ind w:firstLine="0"/>
        <w:jc w:val="both"/>
        <w:rPr>
          <w:lang w:eastAsia="fr-FR" w:bidi="fr-FR"/>
        </w:rPr>
      </w:pPr>
    </w:p>
    <w:p w14:paraId="7D8587EF" w14:textId="77777777" w:rsidR="002F4063" w:rsidRPr="004B2498" w:rsidRDefault="002F4063" w:rsidP="002F4063">
      <w:pPr>
        <w:ind w:firstLine="0"/>
        <w:jc w:val="both"/>
      </w:pPr>
      <w:r w:rsidRPr="004B2498">
        <w:rPr>
          <w:lang w:eastAsia="fr-FR" w:bidi="fr-FR"/>
        </w:rPr>
        <w:t>Levent ÜNSALDI :</w:t>
      </w:r>
    </w:p>
    <w:p w14:paraId="06BCCC4C" w14:textId="77777777" w:rsidR="002F4063" w:rsidRPr="004B2498" w:rsidRDefault="002F4063" w:rsidP="002F4063">
      <w:pPr>
        <w:ind w:firstLine="0"/>
        <w:jc w:val="both"/>
      </w:pPr>
      <w:r w:rsidRPr="002C57DA">
        <w:rPr>
          <w:i/>
          <w:lang w:eastAsia="fr-FR" w:bidi="fr-FR"/>
        </w:rPr>
        <w:t>Le Développement vu de Turquie</w:t>
      </w:r>
      <w:r w:rsidRPr="004B2498">
        <w:rPr>
          <w:rStyle w:val="Corpsdutexte13GrasNonItalique"/>
          <w:b w:val="0"/>
          <w:i w:val="0"/>
          <w:iCs w:val="0"/>
          <w:color w:val="auto"/>
          <w:sz w:val="28"/>
        </w:rPr>
        <w:t>, 2011.</w:t>
      </w:r>
    </w:p>
    <w:p w14:paraId="13F62574" w14:textId="77777777" w:rsidR="002F4063" w:rsidRPr="004B2498" w:rsidRDefault="002F4063" w:rsidP="002F4063">
      <w:pPr>
        <w:ind w:firstLine="0"/>
        <w:jc w:val="both"/>
        <w:rPr>
          <w:lang w:eastAsia="fr-FR" w:bidi="fr-FR"/>
        </w:rPr>
      </w:pPr>
    </w:p>
    <w:p w14:paraId="65077C33" w14:textId="77777777" w:rsidR="002F4063" w:rsidRPr="004B2498" w:rsidRDefault="002F4063" w:rsidP="002F4063">
      <w:pPr>
        <w:ind w:firstLine="0"/>
        <w:jc w:val="both"/>
      </w:pPr>
      <w:r w:rsidRPr="004B2498">
        <w:rPr>
          <w:lang w:eastAsia="fr-FR" w:bidi="fr-FR"/>
        </w:rPr>
        <w:t>Jean PAPAIL, Jesus ARROYO ALEJANDRE</w:t>
      </w:r>
    </w:p>
    <w:p w14:paraId="6B349F0B" w14:textId="77777777" w:rsidR="002F4063" w:rsidRPr="004B2498" w:rsidRDefault="002F4063" w:rsidP="002F4063">
      <w:pPr>
        <w:ind w:firstLine="0"/>
        <w:jc w:val="both"/>
      </w:pPr>
      <w:r w:rsidRPr="002C57DA">
        <w:rPr>
          <w:i/>
          <w:lang w:eastAsia="fr-FR" w:bidi="fr-FR"/>
        </w:rPr>
        <w:t>Les migrants mexicains créateurs d'entreprises</w:t>
      </w:r>
      <w:r w:rsidRPr="004B2498">
        <w:rPr>
          <w:rStyle w:val="Corpsdutexte13GrasNonItalique"/>
          <w:b w:val="0"/>
          <w:i w:val="0"/>
          <w:iCs w:val="0"/>
          <w:color w:val="auto"/>
          <w:sz w:val="28"/>
        </w:rPr>
        <w:t>, 2010.</w:t>
      </w:r>
    </w:p>
    <w:p w14:paraId="5CC66620" w14:textId="77777777" w:rsidR="002F4063" w:rsidRPr="004B2498" w:rsidRDefault="002F4063" w:rsidP="002F4063">
      <w:pPr>
        <w:ind w:firstLine="0"/>
        <w:jc w:val="both"/>
        <w:rPr>
          <w:lang w:eastAsia="fr-FR" w:bidi="fr-FR"/>
        </w:rPr>
      </w:pPr>
    </w:p>
    <w:p w14:paraId="4248C0A7" w14:textId="77777777" w:rsidR="002F4063" w:rsidRPr="004B2498" w:rsidRDefault="002F4063" w:rsidP="002F4063">
      <w:pPr>
        <w:ind w:firstLine="0"/>
        <w:jc w:val="both"/>
      </w:pPr>
      <w:r w:rsidRPr="004B2498">
        <w:rPr>
          <w:lang w:eastAsia="fr-FR" w:bidi="fr-FR"/>
        </w:rPr>
        <w:t>Jean RUFFIER</w:t>
      </w:r>
    </w:p>
    <w:p w14:paraId="7C139723" w14:textId="77777777" w:rsidR="002F4063" w:rsidRPr="004B2498" w:rsidRDefault="002F4063" w:rsidP="002F4063">
      <w:pPr>
        <w:ind w:firstLine="0"/>
        <w:jc w:val="both"/>
      </w:pPr>
      <w:r w:rsidRPr="002C57DA">
        <w:rPr>
          <w:i/>
          <w:lang w:eastAsia="fr-FR" w:bidi="fr-FR"/>
        </w:rPr>
        <w:t>Faut-il avoir peur des usines chinoises ?</w:t>
      </w:r>
      <w:r w:rsidRPr="004B2498">
        <w:rPr>
          <w:rStyle w:val="Corpsdutexte13GrasNonItalique"/>
          <w:b w:val="0"/>
          <w:i w:val="0"/>
          <w:iCs w:val="0"/>
          <w:color w:val="auto"/>
          <w:sz w:val="28"/>
        </w:rPr>
        <w:t xml:space="preserve"> 2006.</w:t>
      </w:r>
    </w:p>
    <w:p w14:paraId="169A1D11" w14:textId="77777777" w:rsidR="002F4063" w:rsidRPr="004B2498" w:rsidRDefault="002F4063" w:rsidP="002F4063">
      <w:pPr>
        <w:ind w:firstLine="0"/>
        <w:jc w:val="both"/>
        <w:rPr>
          <w:lang w:eastAsia="fr-FR" w:bidi="fr-FR"/>
        </w:rPr>
      </w:pPr>
    </w:p>
    <w:p w14:paraId="3159D8B0" w14:textId="77777777" w:rsidR="002F4063" w:rsidRPr="004B2498" w:rsidRDefault="002F4063" w:rsidP="002F4063">
      <w:pPr>
        <w:ind w:firstLine="0"/>
        <w:jc w:val="both"/>
      </w:pPr>
      <w:r w:rsidRPr="004B2498">
        <w:rPr>
          <w:lang w:eastAsia="fr-FR" w:bidi="fr-FR"/>
        </w:rPr>
        <w:t>Jean PAPAIL, Jesus ARROYO ALEJANDRE</w:t>
      </w:r>
    </w:p>
    <w:p w14:paraId="5EDAA4AA" w14:textId="77777777" w:rsidR="002F4063" w:rsidRPr="004B2498" w:rsidRDefault="002F4063" w:rsidP="002F4063">
      <w:pPr>
        <w:ind w:firstLine="0"/>
        <w:jc w:val="both"/>
      </w:pPr>
      <w:r w:rsidRPr="002C57DA">
        <w:rPr>
          <w:i/>
          <w:lang w:eastAsia="fr-FR" w:bidi="fr-FR"/>
        </w:rPr>
        <w:t>Les dollars de la migration mexicaine</w:t>
      </w:r>
      <w:r w:rsidRPr="004B2498">
        <w:rPr>
          <w:rStyle w:val="Corpsdutexte13GrasNonItalique"/>
          <w:b w:val="0"/>
          <w:i w:val="0"/>
          <w:iCs w:val="0"/>
          <w:color w:val="auto"/>
          <w:sz w:val="28"/>
        </w:rPr>
        <w:t>, 2004.</w:t>
      </w:r>
      <w:r w:rsidRPr="004B2498">
        <w:t xml:space="preserve"> </w:t>
      </w:r>
    </w:p>
    <w:p w14:paraId="04EBE79A" w14:textId="77777777" w:rsidR="002F4063" w:rsidRPr="004B2498" w:rsidRDefault="002F4063" w:rsidP="002F4063">
      <w:pPr>
        <w:spacing w:before="120" w:after="120"/>
        <w:ind w:firstLine="0"/>
        <w:jc w:val="both"/>
      </w:pPr>
      <w:r w:rsidRPr="004B2498">
        <w:br w:type="page"/>
      </w:r>
      <w:r w:rsidRPr="004B2498">
        <w:lastRenderedPageBreak/>
        <w:t>[5]</w:t>
      </w:r>
    </w:p>
    <w:p w14:paraId="6920AA40" w14:textId="77777777" w:rsidR="002F4063" w:rsidRPr="004B2498" w:rsidRDefault="002F4063" w:rsidP="002F4063">
      <w:pPr>
        <w:spacing w:before="120" w:after="120"/>
        <w:ind w:firstLine="0"/>
        <w:jc w:val="both"/>
      </w:pPr>
    </w:p>
    <w:p w14:paraId="25305901" w14:textId="77777777" w:rsidR="002F4063" w:rsidRPr="002C57DA" w:rsidRDefault="002F4063" w:rsidP="002F4063">
      <w:pPr>
        <w:spacing w:before="120" w:after="120"/>
        <w:ind w:firstLine="0"/>
        <w:jc w:val="center"/>
        <w:rPr>
          <w:sz w:val="36"/>
        </w:rPr>
      </w:pPr>
      <w:r w:rsidRPr="002C57DA">
        <w:rPr>
          <w:sz w:val="36"/>
          <w:lang w:eastAsia="fr-FR" w:bidi="fr-FR"/>
        </w:rPr>
        <w:t>Sous la direction de</w:t>
      </w:r>
      <w:r>
        <w:rPr>
          <w:sz w:val="36"/>
          <w:lang w:eastAsia="fr-FR" w:bidi="fr-FR"/>
        </w:rPr>
        <w:br/>
      </w:r>
      <w:r w:rsidRPr="002C57DA">
        <w:rPr>
          <w:sz w:val="36"/>
        </w:rPr>
        <w:t>Bernard Castelli</w:t>
      </w:r>
      <w:r w:rsidRPr="002C57DA">
        <w:rPr>
          <w:sz w:val="36"/>
          <w:lang w:eastAsia="fr-FR" w:bidi="fr-FR"/>
        </w:rPr>
        <w:t xml:space="preserve"> et </w:t>
      </w:r>
      <w:r w:rsidRPr="002C57DA">
        <w:rPr>
          <w:sz w:val="36"/>
        </w:rPr>
        <w:t>Bernard Hours</w:t>
      </w:r>
    </w:p>
    <w:p w14:paraId="4AD34997" w14:textId="77777777" w:rsidR="002F4063" w:rsidRPr="004B2498" w:rsidRDefault="002F4063" w:rsidP="002F4063">
      <w:pPr>
        <w:spacing w:before="120" w:after="120"/>
        <w:ind w:firstLine="0"/>
        <w:jc w:val="center"/>
        <w:rPr>
          <w:bCs/>
        </w:rPr>
      </w:pPr>
    </w:p>
    <w:p w14:paraId="26BAF19C" w14:textId="77777777" w:rsidR="002F4063" w:rsidRPr="004B2498" w:rsidRDefault="002F4063" w:rsidP="002F4063">
      <w:pPr>
        <w:spacing w:before="120" w:after="120"/>
        <w:ind w:firstLine="0"/>
        <w:jc w:val="center"/>
        <w:rPr>
          <w:bCs/>
        </w:rPr>
      </w:pPr>
    </w:p>
    <w:p w14:paraId="6CD3B9A6" w14:textId="77777777" w:rsidR="002F4063" w:rsidRPr="004B2498" w:rsidRDefault="002F4063" w:rsidP="002F4063">
      <w:pPr>
        <w:spacing w:before="120" w:after="120"/>
        <w:ind w:firstLine="0"/>
        <w:jc w:val="center"/>
        <w:rPr>
          <w:bCs/>
        </w:rPr>
      </w:pPr>
    </w:p>
    <w:p w14:paraId="1185F631" w14:textId="77777777" w:rsidR="002F4063" w:rsidRPr="002C57DA" w:rsidRDefault="002F4063" w:rsidP="002F4063">
      <w:pPr>
        <w:spacing w:before="120" w:after="120"/>
        <w:ind w:firstLine="0"/>
        <w:jc w:val="center"/>
        <w:rPr>
          <w:sz w:val="48"/>
        </w:rPr>
      </w:pPr>
      <w:r w:rsidRPr="002C57DA">
        <w:rPr>
          <w:bCs/>
          <w:sz w:val="48"/>
        </w:rPr>
        <w:t>Enjeux épistémologiques</w:t>
      </w:r>
      <w:r w:rsidRPr="002C57DA">
        <w:rPr>
          <w:bCs/>
          <w:sz w:val="48"/>
        </w:rPr>
        <w:br/>
      </w:r>
      <w:r w:rsidRPr="002C57DA">
        <w:rPr>
          <w:sz w:val="48"/>
          <w:lang w:eastAsia="fr-FR" w:bidi="fr-FR"/>
        </w:rPr>
        <w:t>et idéologiques de la global</w:t>
      </w:r>
      <w:r w:rsidRPr="002C57DA">
        <w:rPr>
          <w:sz w:val="48"/>
          <w:lang w:eastAsia="fr-FR" w:bidi="fr-FR"/>
        </w:rPr>
        <w:t>i</w:t>
      </w:r>
      <w:r w:rsidRPr="002C57DA">
        <w:rPr>
          <w:sz w:val="48"/>
          <w:lang w:eastAsia="fr-FR" w:bidi="fr-FR"/>
        </w:rPr>
        <w:t>sation</w:t>
      </w:r>
      <w:r w:rsidRPr="002C57DA">
        <w:rPr>
          <w:sz w:val="48"/>
          <w:lang w:eastAsia="fr-FR" w:bidi="fr-FR"/>
        </w:rPr>
        <w:br/>
        <w:t>pour les sciences sociales</w:t>
      </w:r>
    </w:p>
    <w:p w14:paraId="5B426408" w14:textId="77777777" w:rsidR="002F4063" w:rsidRPr="004B2498" w:rsidRDefault="002F4063" w:rsidP="002F4063">
      <w:pPr>
        <w:spacing w:before="120" w:after="120"/>
        <w:ind w:firstLine="0"/>
        <w:jc w:val="center"/>
      </w:pPr>
    </w:p>
    <w:p w14:paraId="1D046385" w14:textId="77777777" w:rsidR="002F4063" w:rsidRPr="004B2498" w:rsidRDefault="002F4063" w:rsidP="002F4063">
      <w:pPr>
        <w:spacing w:before="120" w:after="120"/>
        <w:ind w:firstLine="0"/>
        <w:jc w:val="center"/>
      </w:pPr>
    </w:p>
    <w:p w14:paraId="4C6AAC46" w14:textId="77777777" w:rsidR="002F4063" w:rsidRPr="004B2498" w:rsidRDefault="002F4063" w:rsidP="002F4063">
      <w:pPr>
        <w:spacing w:before="120" w:after="120"/>
        <w:ind w:firstLine="0"/>
        <w:jc w:val="center"/>
      </w:pPr>
    </w:p>
    <w:p w14:paraId="335FD3CB" w14:textId="77777777" w:rsidR="002F4063" w:rsidRPr="004B2498" w:rsidRDefault="002F4063" w:rsidP="002F4063">
      <w:pPr>
        <w:spacing w:before="120" w:after="120"/>
        <w:ind w:firstLine="0"/>
        <w:jc w:val="center"/>
      </w:pPr>
    </w:p>
    <w:p w14:paraId="7E4CEED4" w14:textId="77777777" w:rsidR="002F4063" w:rsidRPr="004B2498" w:rsidRDefault="002F4063" w:rsidP="002F4063">
      <w:pPr>
        <w:spacing w:before="120" w:after="120"/>
        <w:ind w:firstLine="0"/>
        <w:jc w:val="center"/>
      </w:pPr>
    </w:p>
    <w:p w14:paraId="68734448" w14:textId="77777777" w:rsidR="002F4063" w:rsidRPr="004B2498" w:rsidRDefault="002F4063" w:rsidP="002F4063">
      <w:pPr>
        <w:spacing w:before="120" w:after="120"/>
        <w:ind w:firstLine="0"/>
        <w:jc w:val="center"/>
      </w:pPr>
    </w:p>
    <w:p w14:paraId="290F755E" w14:textId="77777777" w:rsidR="002F4063" w:rsidRPr="004B2498" w:rsidRDefault="002F4063" w:rsidP="002F4063">
      <w:pPr>
        <w:spacing w:before="120" w:after="120"/>
        <w:ind w:firstLine="0"/>
        <w:jc w:val="center"/>
      </w:pPr>
    </w:p>
    <w:p w14:paraId="5116709D" w14:textId="77777777" w:rsidR="002F4063" w:rsidRPr="004B2498" w:rsidRDefault="002F4063" w:rsidP="002F4063">
      <w:pPr>
        <w:spacing w:before="120" w:after="120"/>
        <w:ind w:firstLine="0"/>
        <w:jc w:val="center"/>
      </w:pPr>
    </w:p>
    <w:p w14:paraId="64EB0C3A" w14:textId="77777777" w:rsidR="002F4063" w:rsidRPr="004B2498" w:rsidRDefault="002F4063" w:rsidP="002F4063">
      <w:pPr>
        <w:spacing w:before="120" w:after="120"/>
        <w:ind w:firstLine="0"/>
        <w:jc w:val="center"/>
      </w:pPr>
    </w:p>
    <w:p w14:paraId="2840FB11" w14:textId="77777777" w:rsidR="002F4063" w:rsidRPr="004B2498" w:rsidRDefault="002F4063" w:rsidP="002F4063">
      <w:pPr>
        <w:spacing w:before="120" w:after="120"/>
        <w:ind w:firstLine="0"/>
        <w:jc w:val="center"/>
      </w:pPr>
    </w:p>
    <w:p w14:paraId="5FEC8787" w14:textId="77777777" w:rsidR="002F4063" w:rsidRPr="004B2498" w:rsidRDefault="002F4063" w:rsidP="002F4063">
      <w:pPr>
        <w:spacing w:before="120" w:after="120"/>
        <w:ind w:firstLine="0"/>
        <w:jc w:val="center"/>
      </w:pPr>
    </w:p>
    <w:p w14:paraId="10182368" w14:textId="77777777" w:rsidR="002F4063" w:rsidRPr="004B2498" w:rsidRDefault="002F4063" w:rsidP="002F4063">
      <w:pPr>
        <w:spacing w:before="120" w:after="120"/>
        <w:ind w:firstLine="0"/>
        <w:jc w:val="center"/>
      </w:pPr>
    </w:p>
    <w:p w14:paraId="09130CB3" w14:textId="77777777" w:rsidR="002F4063" w:rsidRPr="002C57DA" w:rsidRDefault="002F4063" w:rsidP="002F4063">
      <w:pPr>
        <w:spacing w:before="120" w:after="120"/>
        <w:ind w:firstLine="0"/>
        <w:jc w:val="center"/>
        <w:rPr>
          <w:sz w:val="36"/>
          <w:szCs w:val="2"/>
        </w:rPr>
      </w:pPr>
      <w:r w:rsidRPr="002C57DA">
        <w:rPr>
          <w:sz w:val="36"/>
        </w:rPr>
        <w:t>L’Harmattan</w:t>
      </w:r>
    </w:p>
    <w:p w14:paraId="3ADAE02E" w14:textId="77777777" w:rsidR="002F4063" w:rsidRPr="004B2498" w:rsidRDefault="002F4063" w:rsidP="002F4063">
      <w:pPr>
        <w:spacing w:before="120" w:after="120"/>
        <w:ind w:firstLine="0"/>
        <w:jc w:val="both"/>
      </w:pPr>
      <w:r w:rsidRPr="004B2498">
        <w:br w:type="page"/>
      </w:r>
      <w:r w:rsidRPr="004B2498">
        <w:lastRenderedPageBreak/>
        <w:t>[6]</w:t>
      </w:r>
    </w:p>
    <w:p w14:paraId="79D7248B" w14:textId="77777777" w:rsidR="002F4063" w:rsidRPr="004B2498" w:rsidRDefault="002F4063" w:rsidP="002F4063">
      <w:pPr>
        <w:spacing w:before="120" w:after="120"/>
        <w:ind w:firstLine="0"/>
        <w:jc w:val="both"/>
      </w:pPr>
    </w:p>
    <w:p w14:paraId="4DA1CE8C" w14:textId="77777777" w:rsidR="002F4063" w:rsidRPr="004B2498" w:rsidRDefault="002F4063" w:rsidP="002F4063">
      <w:pPr>
        <w:spacing w:before="120" w:after="120"/>
        <w:ind w:firstLine="0"/>
        <w:jc w:val="both"/>
      </w:pPr>
    </w:p>
    <w:p w14:paraId="537DB9FC" w14:textId="77777777" w:rsidR="002F4063" w:rsidRPr="004B2498" w:rsidRDefault="002F4063" w:rsidP="002F4063">
      <w:pPr>
        <w:spacing w:before="120" w:after="120"/>
        <w:ind w:firstLine="0"/>
        <w:jc w:val="both"/>
        <w:rPr>
          <w:szCs w:val="2"/>
        </w:rPr>
      </w:pPr>
    </w:p>
    <w:p w14:paraId="1954CC52" w14:textId="77777777" w:rsidR="002F4063" w:rsidRPr="004B2498" w:rsidRDefault="002F4063" w:rsidP="002F4063">
      <w:pPr>
        <w:spacing w:before="120" w:after="120"/>
        <w:ind w:firstLine="0"/>
        <w:jc w:val="both"/>
        <w:rPr>
          <w:szCs w:val="2"/>
        </w:rPr>
      </w:pPr>
    </w:p>
    <w:p w14:paraId="652F1C1C" w14:textId="77777777" w:rsidR="002F4063" w:rsidRPr="004B2498" w:rsidRDefault="002F4063" w:rsidP="002F4063">
      <w:pPr>
        <w:spacing w:before="120" w:after="120"/>
        <w:ind w:firstLine="0"/>
        <w:jc w:val="both"/>
        <w:rPr>
          <w:szCs w:val="2"/>
        </w:rPr>
      </w:pPr>
    </w:p>
    <w:p w14:paraId="5B565276" w14:textId="77777777" w:rsidR="002F4063" w:rsidRPr="004B2498" w:rsidRDefault="002F4063" w:rsidP="002F4063">
      <w:pPr>
        <w:spacing w:before="120" w:after="120"/>
        <w:ind w:firstLine="0"/>
        <w:jc w:val="both"/>
        <w:rPr>
          <w:szCs w:val="2"/>
        </w:rPr>
      </w:pPr>
    </w:p>
    <w:p w14:paraId="19A64F1D" w14:textId="77777777" w:rsidR="002F4063" w:rsidRPr="004B2498" w:rsidRDefault="002F4063" w:rsidP="002F4063">
      <w:pPr>
        <w:spacing w:before="120" w:after="120"/>
        <w:ind w:firstLine="0"/>
        <w:jc w:val="both"/>
        <w:rPr>
          <w:szCs w:val="2"/>
        </w:rPr>
      </w:pPr>
    </w:p>
    <w:p w14:paraId="1C35C1A3" w14:textId="77777777" w:rsidR="002F4063" w:rsidRPr="004B2498" w:rsidRDefault="002F4063" w:rsidP="002F4063">
      <w:pPr>
        <w:spacing w:before="120" w:after="120"/>
        <w:ind w:firstLine="0"/>
        <w:jc w:val="both"/>
        <w:rPr>
          <w:szCs w:val="2"/>
        </w:rPr>
      </w:pPr>
    </w:p>
    <w:p w14:paraId="5552433C" w14:textId="77777777" w:rsidR="002F4063" w:rsidRPr="004B2498" w:rsidRDefault="002F4063" w:rsidP="002F4063">
      <w:pPr>
        <w:spacing w:before="120" w:after="120"/>
        <w:ind w:firstLine="0"/>
        <w:jc w:val="both"/>
        <w:rPr>
          <w:szCs w:val="2"/>
        </w:rPr>
      </w:pPr>
    </w:p>
    <w:p w14:paraId="4FEA3767" w14:textId="77777777" w:rsidR="002F4063" w:rsidRPr="004B2498" w:rsidRDefault="002F4063" w:rsidP="002F4063">
      <w:pPr>
        <w:spacing w:before="120" w:after="120"/>
        <w:ind w:firstLine="0"/>
        <w:jc w:val="both"/>
        <w:rPr>
          <w:szCs w:val="2"/>
        </w:rPr>
      </w:pPr>
    </w:p>
    <w:p w14:paraId="675C45C1" w14:textId="77777777" w:rsidR="002F4063" w:rsidRPr="004B2498" w:rsidRDefault="002F4063" w:rsidP="002F4063">
      <w:pPr>
        <w:spacing w:before="120" w:after="120"/>
        <w:ind w:firstLine="0"/>
        <w:jc w:val="both"/>
        <w:rPr>
          <w:szCs w:val="2"/>
        </w:rPr>
      </w:pPr>
    </w:p>
    <w:p w14:paraId="59ECE710" w14:textId="77777777" w:rsidR="002F4063" w:rsidRPr="004B2498" w:rsidRDefault="002F4063" w:rsidP="002F4063">
      <w:pPr>
        <w:spacing w:before="120" w:after="120"/>
        <w:ind w:firstLine="0"/>
        <w:jc w:val="both"/>
        <w:rPr>
          <w:szCs w:val="2"/>
        </w:rPr>
      </w:pPr>
    </w:p>
    <w:p w14:paraId="70692481" w14:textId="77777777" w:rsidR="002F4063" w:rsidRPr="004B2498" w:rsidRDefault="002F4063" w:rsidP="002F4063">
      <w:pPr>
        <w:spacing w:before="120" w:after="120"/>
        <w:ind w:firstLine="0"/>
        <w:jc w:val="both"/>
        <w:rPr>
          <w:szCs w:val="2"/>
        </w:rPr>
      </w:pPr>
    </w:p>
    <w:p w14:paraId="0CAA64F3" w14:textId="77777777" w:rsidR="002F4063" w:rsidRPr="004B2498" w:rsidRDefault="002F4063" w:rsidP="002F4063">
      <w:pPr>
        <w:spacing w:before="120" w:after="120"/>
        <w:ind w:firstLine="0"/>
        <w:jc w:val="both"/>
        <w:rPr>
          <w:szCs w:val="2"/>
        </w:rPr>
      </w:pPr>
    </w:p>
    <w:p w14:paraId="7FEF69F5" w14:textId="77777777" w:rsidR="002F4063" w:rsidRPr="004B2498" w:rsidRDefault="002F4063" w:rsidP="002F4063">
      <w:pPr>
        <w:spacing w:before="120" w:after="120"/>
        <w:ind w:firstLine="0"/>
        <w:jc w:val="both"/>
        <w:rPr>
          <w:szCs w:val="2"/>
        </w:rPr>
      </w:pPr>
    </w:p>
    <w:p w14:paraId="1EC0D83D" w14:textId="77777777" w:rsidR="002F4063" w:rsidRPr="004B2498" w:rsidRDefault="002F4063" w:rsidP="002F4063">
      <w:pPr>
        <w:spacing w:before="120" w:after="120"/>
        <w:ind w:firstLine="0"/>
        <w:jc w:val="center"/>
      </w:pPr>
      <w:r w:rsidRPr="004B2498">
        <w:rPr>
          <w:lang w:eastAsia="fr-FR" w:bidi="fr-FR"/>
        </w:rPr>
        <w:t>© L’Harmattan, 2011,</w:t>
      </w:r>
      <w:r w:rsidRPr="004B2498">
        <w:rPr>
          <w:lang w:eastAsia="fr-FR" w:bidi="fr-FR"/>
        </w:rPr>
        <w:br/>
        <w:t>rue de l’École-Polytechnique ; 75005 Paris</w:t>
      </w:r>
    </w:p>
    <w:p w14:paraId="673455EE" w14:textId="77777777" w:rsidR="002F4063" w:rsidRPr="004B2498" w:rsidRDefault="002F4063" w:rsidP="002F4063">
      <w:pPr>
        <w:spacing w:before="120" w:after="120"/>
        <w:ind w:firstLine="0"/>
        <w:jc w:val="center"/>
      </w:pPr>
      <w:hyperlink r:id="rId18" w:history="1">
        <w:r w:rsidRPr="004B2498">
          <w:rPr>
            <w:rStyle w:val="Hyperlien"/>
            <w:color w:val="auto"/>
            <w:u w:val="none"/>
            <w:lang w:bidi="en-US"/>
          </w:rPr>
          <w:t>http://www.librairieharmattan.com</w:t>
        </w:r>
      </w:hyperlink>
      <w:r w:rsidRPr="004B2498">
        <w:rPr>
          <w:lang w:bidi="en-US"/>
        </w:rPr>
        <w:br/>
      </w:r>
      <w:hyperlink r:id="rId19" w:history="1">
        <w:r w:rsidRPr="004B2498">
          <w:rPr>
            <w:rStyle w:val="Hyperlien"/>
            <w:color w:val="auto"/>
            <w:u w:val="none"/>
            <w:lang w:bidi="en-US"/>
          </w:rPr>
          <w:t>diffusion.harmattan@wanadoo.fr</w:t>
        </w:r>
      </w:hyperlink>
      <w:r w:rsidRPr="004B2498">
        <w:rPr>
          <w:lang w:bidi="en-US"/>
        </w:rPr>
        <w:br/>
      </w:r>
      <w:r w:rsidRPr="004B2498">
        <w:rPr>
          <w:lang w:eastAsia="fr-FR" w:bidi="fr-FR"/>
        </w:rPr>
        <w:t>harmattan1@wanadoo.fr</w:t>
      </w:r>
    </w:p>
    <w:p w14:paraId="5DD16706" w14:textId="77777777" w:rsidR="002F4063" w:rsidRPr="004B2498" w:rsidRDefault="002F4063" w:rsidP="002F4063">
      <w:pPr>
        <w:spacing w:before="120" w:after="120"/>
        <w:ind w:firstLine="0"/>
        <w:jc w:val="center"/>
      </w:pPr>
      <w:r w:rsidRPr="004B2498">
        <w:rPr>
          <w:lang w:eastAsia="fr-FR" w:bidi="fr-FR"/>
        </w:rPr>
        <w:t>ISBN : 978-2-296-56312-4</w:t>
      </w:r>
      <w:r w:rsidRPr="004B2498">
        <w:rPr>
          <w:lang w:eastAsia="fr-FR" w:bidi="fr-FR"/>
        </w:rPr>
        <w:br/>
        <w:t>EAN : 9782296563124</w:t>
      </w:r>
    </w:p>
    <w:p w14:paraId="456A29AC" w14:textId="77777777" w:rsidR="002F4063" w:rsidRPr="004B2498" w:rsidRDefault="002F4063" w:rsidP="002F4063">
      <w:pPr>
        <w:spacing w:before="120" w:after="120"/>
        <w:ind w:firstLine="0"/>
        <w:jc w:val="both"/>
      </w:pPr>
    </w:p>
    <w:p w14:paraId="14CD72D2" w14:textId="77777777" w:rsidR="002F4063" w:rsidRPr="004B2498" w:rsidRDefault="002F4063" w:rsidP="002F4063">
      <w:pPr>
        <w:pStyle w:val="p"/>
      </w:pPr>
      <w:r w:rsidRPr="004B2498">
        <w:br w:type="page"/>
      </w:r>
      <w:r w:rsidRPr="004B2498">
        <w:lastRenderedPageBreak/>
        <w:t>[7]</w:t>
      </w:r>
    </w:p>
    <w:p w14:paraId="28BA92C5" w14:textId="77777777" w:rsidR="002F4063" w:rsidRPr="004B2498" w:rsidRDefault="002F4063">
      <w:pPr>
        <w:jc w:val="both"/>
      </w:pPr>
    </w:p>
    <w:p w14:paraId="189D570D" w14:textId="77777777" w:rsidR="002F4063" w:rsidRPr="004B2498" w:rsidRDefault="002F4063">
      <w:pPr>
        <w:jc w:val="both"/>
      </w:pPr>
    </w:p>
    <w:p w14:paraId="67214C23" w14:textId="77777777" w:rsidR="002F4063" w:rsidRPr="004B2498" w:rsidRDefault="002F4063" w:rsidP="002F4063">
      <w:pPr>
        <w:spacing w:after="120"/>
        <w:ind w:firstLine="0"/>
        <w:jc w:val="center"/>
      </w:pPr>
      <w:bookmarkStart w:id="1" w:name="sommaire"/>
      <w:r w:rsidRPr="004B2498">
        <w:t>Enjeux épistémologiques et idéologiques</w:t>
      </w:r>
      <w:r w:rsidRPr="004B2498">
        <w:br/>
        <w:t>de la globalisation pour les sciences sociales.</w:t>
      </w:r>
    </w:p>
    <w:p w14:paraId="0372C052" w14:textId="77777777" w:rsidR="002F4063" w:rsidRPr="004B2498" w:rsidRDefault="002F4063" w:rsidP="002F4063">
      <w:pPr>
        <w:pStyle w:val="planchest"/>
      </w:pPr>
      <w:r w:rsidRPr="004B2498">
        <w:t>SOMMAIRE</w:t>
      </w:r>
    </w:p>
    <w:bookmarkEnd w:id="1"/>
    <w:p w14:paraId="6448C8F4" w14:textId="77777777" w:rsidR="002F4063" w:rsidRPr="004B2498" w:rsidRDefault="002F4063">
      <w:pPr>
        <w:ind w:firstLine="0"/>
      </w:pPr>
    </w:p>
    <w:p w14:paraId="57521733" w14:textId="77777777" w:rsidR="002F4063" w:rsidRPr="004B2498" w:rsidRDefault="002F4063">
      <w:pPr>
        <w:ind w:firstLine="0"/>
      </w:pPr>
    </w:p>
    <w:p w14:paraId="0350E236" w14:textId="77777777" w:rsidR="002F4063" w:rsidRPr="004B2498" w:rsidRDefault="002F4063" w:rsidP="002F4063">
      <w:pPr>
        <w:spacing w:before="120" w:after="120"/>
        <w:ind w:firstLine="0"/>
      </w:pPr>
      <w:hyperlink w:anchor="Enjeux_sc_soc_couverture" w:history="1">
        <w:r w:rsidRPr="00D62996">
          <w:rPr>
            <w:rStyle w:val="Hyperlien"/>
          </w:rPr>
          <w:t>Quatrième de couverture</w:t>
        </w:r>
      </w:hyperlink>
    </w:p>
    <w:p w14:paraId="5102ED8F" w14:textId="77777777" w:rsidR="002F4063" w:rsidRPr="004B2498" w:rsidRDefault="002F4063" w:rsidP="002F4063">
      <w:pPr>
        <w:spacing w:before="120" w:after="120"/>
        <w:ind w:firstLine="0"/>
      </w:pPr>
      <w:r w:rsidRPr="004B2498">
        <w:t>Bernard CASTELLI et Bernard HOURS, “</w:t>
      </w:r>
      <w:hyperlink w:anchor="Enjeux_sc_soc_intro" w:history="1">
        <w:r w:rsidRPr="003F697E">
          <w:rPr>
            <w:rStyle w:val="Hyperlien"/>
          </w:rPr>
          <w:t>Les sciences sociales d</w:t>
        </w:r>
        <w:r w:rsidRPr="003F697E">
          <w:rPr>
            <w:rStyle w:val="Hyperlien"/>
          </w:rPr>
          <w:t>e</w:t>
        </w:r>
        <w:r w:rsidRPr="003F697E">
          <w:rPr>
            <w:rStyle w:val="Hyperlien"/>
          </w:rPr>
          <w:t>vant la globalisation</w:t>
        </w:r>
      </w:hyperlink>
      <w:r w:rsidRPr="004B2498">
        <w:t>.” [9]</w:t>
      </w:r>
    </w:p>
    <w:p w14:paraId="78606CC7" w14:textId="77777777" w:rsidR="002F4063" w:rsidRPr="004B2498" w:rsidRDefault="002F4063" w:rsidP="002F4063">
      <w:pPr>
        <w:spacing w:before="120" w:after="120"/>
        <w:ind w:firstLine="0"/>
      </w:pPr>
    </w:p>
    <w:p w14:paraId="2639F95E" w14:textId="77777777" w:rsidR="002F4063" w:rsidRPr="003F697E" w:rsidRDefault="002F4063" w:rsidP="002F4063">
      <w:pPr>
        <w:spacing w:before="120" w:after="120"/>
        <w:ind w:firstLine="0"/>
        <w:jc w:val="center"/>
        <w:rPr>
          <w:b/>
        </w:rPr>
      </w:pPr>
      <w:hyperlink w:anchor="Enjeux_sc_soc_pt_1" w:history="1">
        <w:r w:rsidRPr="003F697E">
          <w:rPr>
            <w:rStyle w:val="Hyperlien"/>
            <w:b/>
          </w:rPr>
          <w:t>CRISES ET GOUVERNANCE</w:t>
        </w:r>
      </w:hyperlink>
    </w:p>
    <w:p w14:paraId="1920545B" w14:textId="77777777" w:rsidR="002F4063" w:rsidRPr="004B2498" w:rsidRDefault="002F4063" w:rsidP="002F4063">
      <w:pPr>
        <w:spacing w:before="120" w:after="120"/>
        <w:ind w:firstLine="0"/>
      </w:pPr>
    </w:p>
    <w:p w14:paraId="0850EC4C" w14:textId="77777777" w:rsidR="002F4063" w:rsidRPr="004B2498" w:rsidRDefault="002F4063" w:rsidP="002F4063">
      <w:pPr>
        <w:spacing w:before="120" w:after="120"/>
        <w:ind w:left="547" w:hanging="547"/>
      </w:pPr>
      <w:r w:rsidRPr="004B2498">
        <w:t>Bernard CASTELLI, “</w:t>
      </w:r>
      <w:hyperlink w:anchor="Enjeux_sc_soc_pt_1_texte_1" w:history="1">
        <w:r w:rsidRPr="003F697E">
          <w:rPr>
            <w:rStyle w:val="Hyperlien"/>
          </w:rPr>
          <w:t>Globalisation et crises financières</w:t>
        </w:r>
      </w:hyperlink>
      <w:r w:rsidRPr="004B2498">
        <w:t>.” [13]</w:t>
      </w:r>
    </w:p>
    <w:p w14:paraId="2385CCCB" w14:textId="77777777" w:rsidR="002F4063" w:rsidRPr="004B2498" w:rsidRDefault="002F4063" w:rsidP="002F4063">
      <w:pPr>
        <w:spacing w:before="120" w:after="120"/>
        <w:ind w:left="547" w:hanging="547"/>
      </w:pPr>
      <w:r w:rsidRPr="004B2498">
        <w:t>Jean-Michel SERVET, “</w:t>
      </w:r>
      <w:hyperlink w:anchor="Enjeux_sc_soc_pt_1_texte_2" w:history="1">
        <w:r w:rsidRPr="003F697E">
          <w:rPr>
            <w:rStyle w:val="Hyperlien"/>
          </w:rPr>
          <w:t>Penser au-delà de la crise globale ?</w:t>
        </w:r>
      </w:hyperlink>
      <w:r w:rsidRPr="004B2498">
        <w:t>” [45]</w:t>
      </w:r>
    </w:p>
    <w:p w14:paraId="5F0E4F87" w14:textId="77777777" w:rsidR="002F4063" w:rsidRPr="004B2498" w:rsidRDefault="002F4063" w:rsidP="002F4063">
      <w:pPr>
        <w:spacing w:before="120" w:after="120"/>
        <w:ind w:left="547" w:hanging="547"/>
      </w:pPr>
      <w:r w:rsidRPr="004B2498">
        <w:t>Pépita Ould Ahmed, “</w:t>
      </w:r>
      <w:hyperlink w:anchor="Enjeux_sc_soc_pt_1_texte_3" w:history="1">
        <w:r w:rsidRPr="003F697E">
          <w:rPr>
            <w:rStyle w:val="Hyperlien"/>
          </w:rPr>
          <w:t>L'économie sociale et solidaire comme altern</w:t>
        </w:r>
        <w:r w:rsidRPr="003F697E">
          <w:rPr>
            <w:rStyle w:val="Hyperlien"/>
          </w:rPr>
          <w:t>a</w:t>
        </w:r>
        <w:r w:rsidRPr="003F697E">
          <w:rPr>
            <w:rStyle w:val="Hyperlien"/>
          </w:rPr>
          <w:t>tive à la crise ?</w:t>
        </w:r>
      </w:hyperlink>
      <w:r w:rsidRPr="004B2498">
        <w:t>” [61]</w:t>
      </w:r>
    </w:p>
    <w:p w14:paraId="430DC855" w14:textId="77777777" w:rsidR="002F4063" w:rsidRPr="004B2498" w:rsidRDefault="002F4063" w:rsidP="002F4063">
      <w:pPr>
        <w:spacing w:before="120" w:after="120"/>
        <w:ind w:left="547" w:hanging="547"/>
      </w:pPr>
      <w:r w:rsidRPr="004B2498">
        <w:t>Bernard HOURS, “</w:t>
      </w:r>
      <w:hyperlink w:anchor="Enjeux_sc_soc_pt_1_texte_4" w:history="1">
        <w:r w:rsidRPr="003F697E">
          <w:rPr>
            <w:rStyle w:val="Hyperlien"/>
          </w:rPr>
          <w:t>La gouvernance : levier normatif de la globalis</w:t>
        </w:r>
        <w:r w:rsidRPr="003F697E">
          <w:rPr>
            <w:rStyle w:val="Hyperlien"/>
          </w:rPr>
          <w:t>a</w:t>
        </w:r>
        <w:r w:rsidRPr="003F697E">
          <w:rPr>
            <w:rStyle w:val="Hyperlien"/>
          </w:rPr>
          <w:t>tion</w:t>
        </w:r>
      </w:hyperlink>
      <w:r w:rsidRPr="004B2498">
        <w:t>.” [81]</w:t>
      </w:r>
    </w:p>
    <w:p w14:paraId="02CB3A00" w14:textId="77777777" w:rsidR="002F4063" w:rsidRPr="004B2498" w:rsidRDefault="002F4063" w:rsidP="002F4063">
      <w:pPr>
        <w:spacing w:before="120" w:after="120"/>
        <w:ind w:left="547" w:hanging="547"/>
      </w:pPr>
      <w:r w:rsidRPr="004B2498">
        <w:t>Franck POUPEAU, “</w:t>
      </w:r>
      <w:hyperlink w:anchor="Enjeux_sc_soc_pt_1_texte_6" w:history="1">
        <w:r w:rsidRPr="003F697E">
          <w:rPr>
            <w:rStyle w:val="Hyperlien"/>
          </w:rPr>
          <w:t>La régulation multiniveaux des conflits socio-environnementaux : réflexion sur les outils des sciences sociales face à des objets « globalisés »</w:t>
        </w:r>
      </w:hyperlink>
      <w:r w:rsidRPr="004B2498">
        <w:t>.” [97]</w:t>
      </w:r>
    </w:p>
    <w:p w14:paraId="497CD2AA" w14:textId="77777777" w:rsidR="002F4063" w:rsidRPr="004B2498" w:rsidRDefault="002F4063" w:rsidP="002F4063">
      <w:pPr>
        <w:spacing w:before="120" w:after="120"/>
        <w:ind w:left="547" w:hanging="547"/>
      </w:pPr>
      <w:r w:rsidRPr="004B2498">
        <w:t>Isabelle GUÉRIN, “</w:t>
      </w:r>
      <w:hyperlink w:anchor="Enjeux_sc_soc_pt_1_texte_6" w:history="1">
        <w:r w:rsidRPr="003F697E">
          <w:rPr>
            <w:rStyle w:val="Hyperlien"/>
          </w:rPr>
          <w:t>Usages et subversions de la micro finance</w:t>
        </w:r>
      </w:hyperlink>
      <w:r w:rsidRPr="004B2498">
        <w:t>.” [107]</w:t>
      </w:r>
    </w:p>
    <w:p w14:paraId="54AA943B" w14:textId="77777777" w:rsidR="002F4063" w:rsidRPr="004B2498" w:rsidRDefault="002F4063" w:rsidP="002F4063">
      <w:pPr>
        <w:spacing w:before="120" w:after="120"/>
        <w:ind w:firstLine="0"/>
      </w:pPr>
    </w:p>
    <w:p w14:paraId="2F058F6D" w14:textId="77777777" w:rsidR="002F4063" w:rsidRPr="003F697E" w:rsidRDefault="002F4063" w:rsidP="002F4063">
      <w:pPr>
        <w:spacing w:before="120" w:after="120"/>
        <w:ind w:firstLine="0"/>
        <w:jc w:val="center"/>
        <w:rPr>
          <w:b/>
        </w:rPr>
      </w:pPr>
      <w:hyperlink w:anchor="Enjeux_sc_soc_pt_2" w:history="1">
        <w:r w:rsidRPr="003F697E">
          <w:rPr>
            <w:rStyle w:val="Hyperlien"/>
            <w:b/>
          </w:rPr>
          <w:t>ACTEURS ET ACTRICES</w:t>
        </w:r>
      </w:hyperlink>
    </w:p>
    <w:p w14:paraId="035C02F9" w14:textId="77777777" w:rsidR="002F4063" w:rsidRPr="004B2498" w:rsidRDefault="002F4063" w:rsidP="002F4063">
      <w:pPr>
        <w:spacing w:before="120" w:after="120"/>
        <w:ind w:firstLine="0"/>
      </w:pPr>
    </w:p>
    <w:p w14:paraId="7BEAAAAC" w14:textId="77777777" w:rsidR="002F4063" w:rsidRPr="004B2498" w:rsidRDefault="002F4063" w:rsidP="002F4063">
      <w:pPr>
        <w:spacing w:before="120" w:after="120"/>
        <w:ind w:left="547" w:hanging="547"/>
      </w:pPr>
      <w:r w:rsidRPr="004B2498">
        <w:t>Rosinha MACHADO CARRION, “</w:t>
      </w:r>
      <w:hyperlink w:anchor="Enjeux_sc_soc_pt_2_texte_1" w:history="1">
        <w:r w:rsidRPr="003F697E">
          <w:rPr>
            <w:rStyle w:val="Hyperlien"/>
          </w:rPr>
          <w:t>Globalisation et idéologie partic</w:t>
        </w:r>
        <w:r w:rsidRPr="003F697E">
          <w:rPr>
            <w:rStyle w:val="Hyperlien"/>
          </w:rPr>
          <w:t>i</w:t>
        </w:r>
        <w:r w:rsidRPr="003F697E">
          <w:rPr>
            <w:rStyle w:val="Hyperlien"/>
          </w:rPr>
          <w:t>pative : Quel avenir pour le projet démocratique au Cap-Vert ?</w:t>
        </w:r>
      </w:hyperlink>
      <w:r w:rsidRPr="004B2498">
        <w:t>.” [139]</w:t>
      </w:r>
    </w:p>
    <w:p w14:paraId="74A28CBB" w14:textId="77777777" w:rsidR="002F4063" w:rsidRPr="004B2498" w:rsidRDefault="002F4063" w:rsidP="002F4063">
      <w:pPr>
        <w:spacing w:before="120" w:after="120"/>
        <w:ind w:left="547" w:hanging="547"/>
      </w:pPr>
      <w:r w:rsidRPr="004B2498">
        <w:t>Pia V. Rius, “</w:t>
      </w:r>
      <w:hyperlink w:anchor="Enjeux_sc_soc_pt_2_texte_2" w:history="1">
        <w:r w:rsidRPr="003F697E">
          <w:rPr>
            <w:rStyle w:val="Hyperlien"/>
          </w:rPr>
          <w:t>Rendre compte des engagements, interroger la sociol</w:t>
        </w:r>
        <w:r w:rsidRPr="003F697E">
          <w:rPr>
            <w:rStyle w:val="Hyperlien"/>
          </w:rPr>
          <w:t>o</w:t>
        </w:r>
        <w:r w:rsidRPr="003F697E">
          <w:rPr>
            <w:rStyle w:val="Hyperlien"/>
          </w:rPr>
          <w:t>gie de l'action collective</w:t>
        </w:r>
      </w:hyperlink>
      <w:r w:rsidRPr="004B2498">
        <w:t>.” [161]</w:t>
      </w:r>
    </w:p>
    <w:p w14:paraId="1AFDD2B4" w14:textId="77777777" w:rsidR="002F4063" w:rsidRPr="004B2498" w:rsidRDefault="002F4063" w:rsidP="002F4063">
      <w:pPr>
        <w:spacing w:before="120" w:after="120"/>
        <w:ind w:left="547" w:hanging="547"/>
      </w:pPr>
      <w:r w:rsidRPr="004B2498">
        <w:lastRenderedPageBreak/>
        <w:t>Wenjing Guo, “</w:t>
      </w:r>
      <w:hyperlink w:anchor="Enjeux_sc_soc_pt_2_texte_3" w:history="1">
        <w:r w:rsidRPr="003F697E">
          <w:rPr>
            <w:rStyle w:val="Hyperlien"/>
          </w:rPr>
          <w:t>Internet : un outil de légitimation pour les hom</w:t>
        </w:r>
        <w:r w:rsidRPr="003F697E">
          <w:rPr>
            <w:rStyle w:val="Hyperlien"/>
          </w:rPr>
          <w:t>o</w:t>
        </w:r>
        <w:r w:rsidRPr="003F697E">
          <w:rPr>
            <w:rStyle w:val="Hyperlien"/>
          </w:rPr>
          <w:t>sexuels cantonais</w:t>
        </w:r>
      </w:hyperlink>
      <w:r w:rsidRPr="004B2498">
        <w:t>.” [185]</w:t>
      </w:r>
    </w:p>
    <w:p w14:paraId="1689051B" w14:textId="77777777" w:rsidR="002F4063" w:rsidRPr="004B2498" w:rsidRDefault="002F4063" w:rsidP="002F4063">
      <w:pPr>
        <w:spacing w:before="120" w:after="120"/>
        <w:ind w:firstLine="0"/>
      </w:pPr>
    </w:p>
    <w:p w14:paraId="21959BC0" w14:textId="77777777" w:rsidR="002F4063" w:rsidRPr="004B2498" w:rsidRDefault="002F4063" w:rsidP="002F4063">
      <w:pPr>
        <w:spacing w:before="120" w:after="120"/>
        <w:ind w:firstLine="0"/>
      </w:pPr>
      <w:r w:rsidRPr="004B2498">
        <w:t>[8]</w:t>
      </w:r>
    </w:p>
    <w:p w14:paraId="0384DE69" w14:textId="77777777" w:rsidR="002F4063" w:rsidRPr="004B2498" w:rsidRDefault="002F4063" w:rsidP="002F4063">
      <w:pPr>
        <w:spacing w:before="120" w:after="120"/>
        <w:ind w:firstLine="0"/>
      </w:pPr>
    </w:p>
    <w:p w14:paraId="1B550477" w14:textId="77777777" w:rsidR="002F4063" w:rsidRPr="004B2498" w:rsidRDefault="002F4063" w:rsidP="002F4063">
      <w:pPr>
        <w:spacing w:before="120" w:after="120"/>
        <w:ind w:left="547" w:hanging="547"/>
      </w:pPr>
      <w:r w:rsidRPr="004B2498">
        <w:t>Monique SELIM, “</w:t>
      </w:r>
      <w:hyperlink w:anchor="Enjeux_sc_soc_pt_2_texte_4" w:history="1">
        <w:r w:rsidRPr="003F697E">
          <w:rPr>
            <w:rStyle w:val="Hyperlien"/>
          </w:rPr>
          <w:t xml:space="preserve">L'importation des </w:t>
        </w:r>
        <w:r w:rsidRPr="003F697E">
          <w:rPr>
            <w:rStyle w:val="Hyperlien"/>
            <w:iCs/>
          </w:rPr>
          <w:t xml:space="preserve">gender studies </w:t>
        </w:r>
        <w:r w:rsidRPr="003F697E">
          <w:rPr>
            <w:rStyle w:val="Hyperlien"/>
          </w:rPr>
          <w:t>à Canton (Ch</w:t>
        </w:r>
        <w:r w:rsidRPr="003F697E">
          <w:rPr>
            <w:rStyle w:val="Hyperlien"/>
          </w:rPr>
          <w:t>i</w:t>
        </w:r>
        <w:r w:rsidRPr="003F697E">
          <w:rPr>
            <w:rStyle w:val="Hyperlien"/>
          </w:rPr>
          <w:t>ne) : usages personnels, collectifs et politiques</w:t>
        </w:r>
      </w:hyperlink>
      <w:r w:rsidRPr="004B2498">
        <w:t>.” [213]</w:t>
      </w:r>
    </w:p>
    <w:p w14:paraId="2799040D" w14:textId="77777777" w:rsidR="002F4063" w:rsidRPr="004B2498" w:rsidRDefault="002F4063" w:rsidP="002F4063">
      <w:pPr>
        <w:spacing w:before="120" w:after="120"/>
        <w:ind w:left="547" w:hanging="547"/>
      </w:pPr>
      <w:r w:rsidRPr="004B2498">
        <w:t>Angelica L. L. WEHRLI, “</w:t>
      </w:r>
      <w:hyperlink w:anchor="Enjeux_sc_soc_pt_2_texte_5" w:history="1">
        <w:r w:rsidRPr="003F697E">
          <w:rPr>
            <w:rStyle w:val="Hyperlien"/>
          </w:rPr>
          <w:t>Filles à éliminer au Vietnam ?</w:t>
        </w:r>
      </w:hyperlink>
      <w:r w:rsidRPr="004B2498">
        <w:t>.” [239]</w:t>
      </w:r>
    </w:p>
    <w:p w14:paraId="343D30C1" w14:textId="77777777" w:rsidR="002F4063" w:rsidRPr="004B2498" w:rsidRDefault="002F4063" w:rsidP="002F4063">
      <w:pPr>
        <w:spacing w:before="120" w:after="120"/>
        <w:ind w:left="547" w:hanging="547"/>
      </w:pPr>
      <w:r w:rsidRPr="004B2498">
        <w:t>Mathieu CAULIER, “</w:t>
      </w:r>
      <w:hyperlink w:anchor="Enjeux_sc_soc_pt_2_texte_6" w:history="1">
        <w:r w:rsidRPr="003F697E">
          <w:rPr>
            <w:rStyle w:val="Hyperlien"/>
          </w:rPr>
          <w:t>Du genre globalisé à la micropolitique : régimes de savoirs, normes et stratégies locales au Mexique</w:t>
        </w:r>
      </w:hyperlink>
      <w:r w:rsidRPr="004B2498">
        <w:t>.” [267]</w:t>
      </w:r>
    </w:p>
    <w:p w14:paraId="2A842146" w14:textId="77777777" w:rsidR="002F4063" w:rsidRPr="004B2498" w:rsidRDefault="002F4063" w:rsidP="002F4063">
      <w:pPr>
        <w:spacing w:before="120" w:after="120"/>
        <w:ind w:left="547" w:hanging="547"/>
      </w:pPr>
      <w:r w:rsidRPr="004B2498">
        <w:t>Monique SELIM, “</w:t>
      </w:r>
      <w:hyperlink w:anchor="Enjeux_sc_soc_pt_2_texte_7" w:history="1">
        <w:r w:rsidRPr="003F697E">
          <w:rPr>
            <w:rStyle w:val="Hyperlien"/>
          </w:rPr>
          <w:t>Une globalisation sexuée</w:t>
        </w:r>
      </w:hyperlink>
      <w:r w:rsidRPr="004B2498">
        <w:t>.” [293]</w:t>
      </w:r>
    </w:p>
    <w:p w14:paraId="29FD4702" w14:textId="77777777" w:rsidR="002F4063" w:rsidRPr="004B2498" w:rsidRDefault="002F4063" w:rsidP="002F4063">
      <w:pPr>
        <w:spacing w:before="120" w:after="120"/>
        <w:ind w:firstLine="0"/>
      </w:pPr>
    </w:p>
    <w:p w14:paraId="7499E3A0" w14:textId="77777777" w:rsidR="002F4063" w:rsidRPr="004B2498" w:rsidRDefault="002F4063" w:rsidP="002F4063">
      <w:pPr>
        <w:spacing w:before="120" w:after="120"/>
        <w:ind w:firstLine="0"/>
      </w:pPr>
      <w:hyperlink w:anchor="Enjeux_sc_soc_auteurs" w:history="1">
        <w:r w:rsidRPr="003F697E">
          <w:rPr>
            <w:rStyle w:val="Hyperlien"/>
          </w:rPr>
          <w:t>Les auteurs</w:t>
        </w:r>
      </w:hyperlink>
      <w:r w:rsidRPr="004B2498">
        <w:t xml:space="preserve"> [297]</w:t>
      </w:r>
    </w:p>
    <w:p w14:paraId="4EBE7167" w14:textId="77777777" w:rsidR="002F4063" w:rsidRPr="004B2498" w:rsidRDefault="002F4063" w:rsidP="002F4063">
      <w:pPr>
        <w:pStyle w:val="p"/>
      </w:pPr>
      <w:r w:rsidRPr="004B2498">
        <w:br w:type="page"/>
      </w:r>
      <w:r w:rsidRPr="004B2498">
        <w:lastRenderedPageBreak/>
        <w:t>[9]</w:t>
      </w:r>
    </w:p>
    <w:p w14:paraId="7B11550E" w14:textId="77777777" w:rsidR="002F4063" w:rsidRPr="004B2498" w:rsidRDefault="002F4063">
      <w:pPr>
        <w:jc w:val="both"/>
      </w:pPr>
    </w:p>
    <w:p w14:paraId="62F8F5B7" w14:textId="77777777" w:rsidR="002F4063" w:rsidRPr="004B2498" w:rsidRDefault="002F4063" w:rsidP="002F4063">
      <w:pPr>
        <w:jc w:val="both"/>
      </w:pPr>
    </w:p>
    <w:p w14:paraId="03F76299" w14:textId="77777777" w:rsidR="002F4063" w:rsidRPr="004B2498" w:rsidRDefault="002F4063" w:rsidP="002F4063">
      <w:pPr>
        <w:jc w:val="both"/>
      </w:pPr>
    </w:p>
    <w:p w14:paraId="448E3763" w14:textId="77777777" w:rsidR="002F4063" w:rsidRPr="002C57DA" w:rsidRDefault="002F4063" w:rsidP="002F4063">
      <w:pPr>
        <w:spacing w:after="120"/>
        <w:ind w:firstLine="0"/>
        <w:jc w:val="center"/>
        <w:rPr>
          <w:b/>
          <w:sz w:val="24"/>
        </w:rPr>
      </w:pPr>
      <w:bookmarkStart w:id="2" w:name="Enjeux_sc_soc_intro"/>
      <w:r w:rsidRPr="002C57DA">
        <w:rPr>
          <w:b/>
          <w:sz w:val="24"/>
        </w:rPr>
        <w:t>Enjeux épistémologiques et idéologiques</w:t>
      </w:r>
      <w:r w:rsidRPr="002C57DA">
        <w:rPr>
          <w:b/>
          <w:sz w:val="24"/>
        </w:rPr>
        <w:br/>
        <w:t>de la globalisation pour les sciences sociales.</w:t>
      </w:r>
    </w:p>
    <w:p w14:paraId="1EEFA676" w14:textId="77777777" w:rsidR="002F4063" w:rsidRPr="004B2498" w:rsidRDefault="002F4063" w:rsidP="002F4063">
      <w:pPr>
        <w:pStyle w:val="titretexte"/>
      </w:pPr>
      <w:r w:rsidRPr="004B2498">
        <w:t>“LES SCIENCES SOCIALES</w:t>
      </w:r>
      <w:r w:rsidRPr="004B2498">
        <w:br/>
        <w:t>DEVANT LA GLOBALISATION.”</w:t>
      </w:r>
    </w:p>
    <w:bookmarkEnd w:id="2"/>
    <w:p w14:paraId="6AD1BA02" w14:textId="77777777" w:rsidR="002F4063" w:rsidRPr="004B2498" w:rsidRDefault="002F4063" w:rsidP="002F4063">
      <w:pPr>
        <w:jc w:val="both"/>
        <w:rPr>
          <w:szCs w:val="36"/>
        </w:rPr>
      </w:pPr>
    </w:p>
    <w:p w14:paraId="0AD9C0F6" w14:textId="77777777" w:rsidR="002F4063" w:rsidRPr="002C57DA" w:rsidRDefault="002F4063" w:rsidP="002F4063">
      <w:pPr>
        <w:pStyle w:val="suite"/>
      </w:pPr>
      <w:r w:rsidRPr="002C57DA">
        <w:t>Bernard CASTELLI, Bernard HOURS</w:t>
      </w:r>
    </w:p>
    <w:p w14:paraId="5ECC55F0" w14:textId="77777777" w:rsidR="002F4063" w:rsidRPr="004B2498" w:rsidRDefault="002F4063" w:rsidP="002F4063">
      <w:pPr>
        <w:jc w:val="both"/>
      </w:pPr>
    </w:p>
    <w:p w14:paraId="6009B758" w14:textId="77777777" w:rsidR="002F4063" w:rsidRPr="004B2498" w:rsidRDefault="002F4063" w:rsidP="002F4063">
      <w:pPr>
        <w:jc w:val="both"/>
      </w:pPr>
    </w:p>
    <w:p w14:paraId="6FCB9F08" w14:textId="77777777" w:rsidR="002F4063" w:rsidRPr="004B2498" w:rsidRDefault="002F4063" w:rsidP="002F4063">
      <w:pPr>
        <w:jc w:val="both"/>
      </w:pPr>
    </w:p>
    <w:p w14:paraId="71A0DD9B" w14:textId="77777777" w:rsidR="002F4063" w:rsidRPr="004B2498" w:rsidRDefault="002F4063" w:rsidP="002F4063">
      <w:pPr>
        <w:jc w:val="both"/>
      </w:pPr>
    </w:p>
    <w:p w14:paraId="43626C22" w14:textId="77777777" w:rsidR="002F4063" w:rsidRPr="002C57DA" w:rsidRDefault="002F4063" w:rsidP="002F4063">
      <w:pPr>
        <w:ind w:right="90" w:firstLine="0"/>
        <w:jc w:val="both"/>
        <w:rPr>
          <w:sz w:val="24"/>
        </w:rPr>
      </w:pPr>
      <w:hyperlink w:anchor="sommaire" w:history="1">
        <w:r w:rsidRPr="002C57DA">
          <w:rPr>
            <w:rStyle w:val="Hyperlien"/>
            <w:sz w:val="24"/>
          </w:rPr>
          <w:t>Retour au sommaire</w:t>
        </w:r>
      </w:hyperlink>
    </w:p>
    <w:p w14:paraId="31DB32B0" w14:textId="77777777" w:rsidR="002F4063" w:rsidRPr="004B2498" w:rsidRDefault="002F4063" w:rsidP="002F4063">
      <w:pPr>
        <w:spacing w:before="120" w:after="120"/>
        <w:jc w:val="both"/>
      </w:pPr>
      <w:r w:rsidRPr="004B2498">
        <w:rPr>
          <w:lang w:eastAsia="fr-FR" w:bidi="fr-FR"/>
        </w:rPr>
        <w:t>Lorsqu’on parle de globalisation, on observe une circulation accrue des marchandises grâce à la suppression des barrières commerciales, la transmission accélérée des informations (y compris des connaissa</w:t>
      </w:r>
      <w:r w:rsidRPr="004B2498">
        <w:rPr>
          <w:lang w:eastAsia="fr-FR" w:bidi="fr-FR"/>
        </w:rPr>
        <w:t>n</w:t>
      </w:r>
      <w:r w:rsidRPr="004B2498">
        <w:rPr>
          <w:lang w:eastAsia="fr-FR" w:bidi="fr-FR"/>
        </w:rPr>
        <w:t>ces scientifiques), la convertibilité internationale des monnaies, la g</w:t>
      </w:r>
      <w:r w:rsidRPr="004B2498">
        <w:rPr>
          <w:lang w:eastAsia="fr-FR" w:bidi="fr-FR"/>
        </w:rPr>
        <w:t>é</w:t>
      </w:r>
      <w:r w:rsidRPr="004B2498">
        <w:rPr>
          <w:lang w:eastAsia="fr-FR" w:bidi="fr-FR"/>
        </w:rPr>
        <w:t>néralisation des échanges permanents d’actions et d’obligations entre les principales places financières et l’accroissement considérable des mobilités humaines au sein du capitalisme globalisé : travailleurs non qualifiés, salariés porteurs de savoir-faire managériaux ou techniques, réfugiés civils, victimes de conflits, etc.</w:t>
      </w:r>
    </w:p>
    <w:p w14:paraId="413457B7" w14:textId="77777777" w:rsidR="002F4063" w:rsidRPr="004B2498" w:rsidRDefault="002F4063" w:rsidP="002F4063">
      <w:pPr>
        <w:spacing w:before="120" w:after="120"/>
        <w:jc w:val="both"/>
      </w:pPr>
      <w:r w:rsidRPr="004B2498">
        <w:rPr>
          <w:lang w:eastAsia="fr-FR" w:bidi="fr-FR"/>
        </w:rPr>
        <w:t>Ces mutations majeures de l’économie mondiale ont pu prendre forme, se développer pleinement dans le contexte d’un néolibéralisme prépondérant où les croyances économicistes en la supériorité de l’autorégulation marchande et en la perfection avérée des institutions du marché présentaient toutes les caractéristiques d’une véritable idé</w:t>
      </w:r>
      <w:r w:rsidRPr="004B2498">
        <w:rPr>
          <w:lang w:eastAsia="fr-FR" w:bidi="fr-FR"/>
        </w:rPr>
        <w:t>o</w:t>
      </w:r>
      <w:r w:rsidRPr="004B2498">
        <w:rPr>
          <w:lang w:eastAsia="fr-FR" w:bidi="fr-FR"/>
        </w:rPr>
        <w:t xml:space="preserve">logie, exempte de toute considération, politique ou sociale. Avec la croissance continue des échanges « libérés », l’espace géographique s’est </w:t>
      </w:r>
      <w:r w:rsidRPr="00CE14D1">
        <w:rPr>
          <w:i/>
        </w:rPr>
        <w:t>a contrario</w:t>
      </w:r>
      <w:r w:rsidRPr="004B2498">
        <w:rPr>
          <w:lang w:eastAsia="fr-FR" w:bidi="fr-FR"/>
        </w:rPr>
        <w:t xml:space="preserve"> contracté sous l’influence d’évènements économ</w:t>
      </w:r>
      <w:r w:rsidRPr="004B2498">
        <w:rPr>
          <w:lang w:eastAsia="fr-FR" w:bidi="fr-FR"/>
        </w:rPr>
        <w:t>i</w:t>
      </w:r>
      <w:r w:rsidRPr="004B2498">
        <w:rPr>
          <w:lang w:eastAsia="fr-FR" w:bidi="fr-FR"/>
        </w:rPr>
        <w:t>ques et politiques majeurs : disparition du bloc soviétique, conversion de la Chine aux vertus de l’économie de marché, réintégration des pays un temps surendettés de l’Amérique latine, convoitise renouvelée pour les matières premières de l’Afrique, dynamisme conquérant des éc</w:t>
      </w:r>
      <w:r w:rsidRPr="004B2498">
        <w:rPr>
          <w:lang w:eastAsia="fr-FR" w:bidi="fr-FR"/>
        </w:rPr>
        <w:t>o</w:t>
      </w:r>
      <w:r w:rsidRPr="004B2498">
        <w:rPr>
          <w:lang w:eastAsia="fr-FR" w:bidi="fr-FR"/>
        </w:rPr>
        <w:t>nomies « émergentes... »</w:t>
      </w:r>
    </w:p>
    <w:p w14:paraId="1015CFCA" w14:textId="77777777" w:rsidR="002F4063" w:rsidRPr="004B2498" w:rsidRDefault="002F4063" w:rsidP="002F4063">
      <w:pPr>
        <w:spacing w:before="120" w:after="120"/>
        <w:jc w:val="both"/>
      </w:pPr>
      <w:r w:rsidRPr="004B2498">
        <w:rPr>
          <w:lang w:eastAsia="fr-FR" w:bidi="fr-FR"/>
        </w:rPr>
        <w:lastRenderedPageBreak/>
        <w:t>La saturation de la planète par la généralisation des échanges a été facilitée par l’amélioration continue des outils technologiques liés à l’information et à la communication (bases de données, Internet, r</w:t>
      </w:r>
      <w:r w:rsidRPr="004B2498">
        <w:rPr>
          <w:lang w:eastAsia="fr-FR" w:bidi="fr-FR"/>
        </w:rPr>
        <w:t>é</w:t>
      </w:r>
      <w:r w:rsidRPr="004B2498">
        <w:rPr>
          <w:lang w:eastAsia="fr-FR" w:bidi="fr-FR"/>
        </w:rPr>
        <w:t>seaux sociaux...) lesquels promeuvent sans cesse, en tant que vecteurs efficaces d’accès illimité à des données hétérogènes, la diffusion éla</w:t>
      </w:r>
      <w:r w:rsidRPr="004B2498">
        <w:rPr>
          <w:lang w:eastAsia="fr-FR" w:bidi="fr-FR"/>
        </w:rPr>
        <w:t>r</w:t>
      </w:r>
      <w:r w:rsidRPr="004B2498">
        <w:rPr>
          <w:lang w:eastAsia="fr-FR" w:bidi="fr-FR"/>
        </w:rPr>
        <w:t>gie des</w:t>
      </w:r>
      <w:r w:rsidRPr="004B2498">
        <w:t xml:space="preserve"> [10]</w:t>
      </w:r>
      <w:r>
        <w:t xml:space="preserve"> </w:t>
      </w:r>
      <w:r w:rsidRPr="004B2498">
        <w:rPr>
          <w:lang w:eastAsia="fr-FR" w:bidi="fr-FR"/>
        </w:rPr>
        <w:t>connaissances. À un point tel que leur immatérialité i</w:t>
      </w:r>
      <w:r w:rsidRPr="004B2498">
        <w:rPr>
          <w:lang w:eastAsia="fr-FR" w:bidi="fr-FR"/>
        </w:rPr>
        <w:t>n</w:t>
      </w:r>
      <w:r w:rsidRPr="004B2498">
        <w:rPr>
          <w:lang w:eastAsia="fr-FR" w:bidi="fr-FR"/>
        </w:rPr>
        <w:t>trinsèque ne représente plus désormais un obstacle rédhibitoire les empêchant d’être considérées voire même assimilées à n’importe quel facteur de production. Attribuer toutefois l’ensemble des changements survenus récemment dans le champ des savoirs à la seule montée en puissance d’un capitalisme cognitif serait trop réducteur dans la mes</w:t>
      </w:r>
      <w:r w:rsidRPr="004B2498">
        <w:rPr>
          <w:lang w:eastAsia="fr-FR" w:bidi="fr-FR"/>
        </w:rPr>
        <w:t>u</w:t>
      </w:r>
      <w:r w:rsidRPr="004B2498">
        <w:rPr>
          <w:lang w:eastAsia="fr-FR" w:bidi="fr-FR"/>
        </w:rPr>
        <w:t>re où la globalisation contemporaine constitue un processus culturel, politique et social aux conséquences difficiles à appréhender. Phén</w:t>
      </w:r>
      <w:r w:rsidRPr="004B2498">
        <w:rPr>
          <w:lang w:eastAsia="fr-FR" w:bidi="fr-FR"/>
        </w:rPr>
        <w:t>o</w:t>
      </w:r>
      <w:r w:rsidRPr="004B2498">
        <w:rPr>
          <w:lang w:eastAsia="fr-FR" w:bidi="fr-FR"/>
        </w:rPr>
        <w:t>mène complexe en mouvement, elle interpelle aujourd’hui les scie</w:t>
      </w:r>
      <w:r w:rsidRPr="004B2498">
        <w:rPr>
          <w:lang w:eastAsia="fr-FR" w:bidi="fr-FR"/>
        </w:rPr>
        <w:t>n</w:t>
      </w:r>
      <w:r w:rsidRPr="004B2498">
        <w:rPr>
          <w:lang w:eastAsia="fr-FR" w:bidi="fr-FR"/>
        </w:rPr>
        <w:t>ces sociales tout en les interrogeant sur un renouvellement des connaissances qui inclut la critique des savoirs figés en paradigmes dominants, mais a</w:t>
      </w:r>
      <w:r w:rsidRPr="004B2498">
        <w:rPr>
          <w:lang w:eastAsia="fr-FR" w:bidi="fr-FR"/>
        </w:rPr>
        <w:t>l</w:t>
      </w:r>
      <w:r w:rsidRPr="004B2498">
        <w:rPr>
          <w:lang w:eastAsia="fr-FR" w:bidi="fr-FR"/>
        </w:rPr>
        <w:t>lant nécessairement au-delà.</w:t>
      </w:r>
    </w:p>
    <w:p w14:paraId="2FD136B9" w14:textId="77777777" w:rsidR="002F4063" w:rsidRPr="004B2498" w:rsidRDefault="002F4063" w:rsidP="002F4063">
      <w:pPr>
        <w:spacing w:before="120" w:after="120"/>
        <w:jc w:val="both"/>
      </w:pPr>
      <w:r w:rsidRPr="004B2498">
        <w:rPr>
          <w:lang w:eastAsia="fr-FR" w:bidi="fr-FR"/>
        </w:rPr>
        <w:t>Si les critiques adressées aux dérives du libéralisme radical sont pertinentes autant qu’abondantes, si des propositions alternatives sont ici et là avancées, un vide relatif demeure concernant la nature et le sens des processus de globalisation. La mondialisation de l’économie de marché capitaliste est bien documentée, tout comme l’émergence d’entités nouvelles provoquées par l’usage des relations sociales n</w:t>
      </w:r>
      <w:r w:rsidRPr="004B2498">
        <w:rPr>
          <w:lang w:eastAsia="fr-FR" w:bidi="fr-FR"/>
        </w:rPr>
        <w:t>u</w:t>
      </w:r>
      <w:r w:rsidRPr="004B2498">
        <w:rPr>
          <w:lang w:eastAsia="fr-FR" w:bidi="fr-FR"/>
        </w:rPr>
        <w:t>mériques.</w:t>
      </w:r>
    </w:p>
    <w:p w14:paraId="082D35D8" w14:textId="77777777" w:rsidR="002F4063" w:rsidRPr="004B2498" w:rsidRDefault="002F4063" w:rsidP="002F4063">
      <w:pPr>
        <w:spacing w:before="120" w:after="120"/>
        <w:jc w:val="both"/>
      </w:pPr>
      <w:r w:rsidRPr="004B2498">
        <w:rPr>
          <w:lang w:eastAsia="fr-FR" w:bidi="fr-FR"/>
        </w:rPr>
        <w:t>Il y a bien en outre compression du temps et de l’espace. Ainsi, changer d’échelle provoque-t-il des modifications du sens des phén</w:t>
      </w:r>
      <w:r w:rsidRPr="004B2498">
        <w:rPr>
          <w:lang w:eastAsia="fr-FR" w:bidi="fr-FR"/>
        </w:rPr>
        <w:t>o</w:t>
      </w:r>
      <w:r w:rsidRPr="004B2498">
        <w:rPr>
          <w:lang w:eastAsia="fr-FR" w:bidi="fr-FR"/>
        </w:rPr>
        <w:t>mènes, de la nature des sujets sociaux sur lesquelles se penchent les sciences sociales, de l’</w:t>
      </w:r>
      <w:r w:rsidRPr="004B2498">
        <w:t>homo œconomicus</w:t>
      </w:r>
      <w:r w:rsidRPr="004B2498">
        <w:rPr>
          <w:lang w:eastAsia="fr-FR" w:bidi="fr-FR"/>
        </w:rPr>
        <w:t xml:space="preserve"> au citoyen, au réseau de t</w:t>
      </w:r>
      <w:r w:rsidRPr="004B2498">
        <w:rPr>
          <w:lang w:eastAsia="fr-FR" w:bidi="fr-FR"/>
        </w:rPr>
        <w:t>y</w:t>
      </w:r>
      <w:r w:rsidRPr="004B2498">
        <w:rPr>
          <w:lang w:eastAsia="fr-FR" w:bidi="fr-FR"/>
        </w:rPr>
        <w:t>pe Facebook, à l’inquiétude environnementale planétaire ? Quels liens sociaux sont porteurs de sens, quelles formes de solidarité éme</w:t>
      </w:r>
      <w:r w:rsidRPr="004B2498">
        <w:rPr>
          <w:lang w:eastAsia="fr-FR" w:bidi="fr-FR"/>
        </w:rPr>
        <w:t>r</w:t>
      </w:r>
      <w:r w:rsidRPr="004B2498">
        <w:rPr>
          <w:lang w:eastAsia="fr-FR" w:bidi="fr-FR"/>
        </w:rPr>
        <w:t>gent dans cet univers global fait de normes sectorielles et de gestion des risques généralisée ? Parmi les nombreux concepts produits par les sciences sociales depuis la fin du XIX</w:t>
      </w:r>
      <w:r w:rsidRPr="009C6707">
        <w:rPr>
          <w:vertAlign w:val="superscript"/>
          <w:lang w:eastAsia="fr-FR" w:bidi="fr-FR"/>
        </w:rPr>
        <w:t>e</w:t>
      </w:r>
      <w:r w:rsidRPr="004B2498">
        <w:rPr>
          <w:lang w:eastAsia="fr-FR" w:bidi="fr-FR"/>
        </w:rPr>
        <w:t xml:space="preserve"> siècle, les phénomènes contemporains qualifiés de globalisation amènent à s’interroger sur la pertinence et la validité des outils à disposition dans les différentes disciplines.</w:t>
      </w:r>
    </w:p>
    <w:p w14:paraId="497762C1" w14:textId="77777777" w:rsidR="002F4063" w:rsidRPr="004B2498" w:rsidRDefault="002F4063" w:rsidP="002F4063">
      <w:pPr>
        <w:spacing w:before="120" w:after="120"/>
        <w:jc w:val="both"/>
      </w:pPr>
      <w:r w:rsidRPr="004B2498">
        <w:rPr>
          <w:lang w:eastAsia="fr-FR" w:bidi="fr-FR"/>
        </w:rPr>
        <w:t>Cet ouvrage n’entend pas apporter des réponses à toutes ces que</w:t>
      </w:r>
      <w:r w:rsidRPr="004B2498">
        <w:rPr>
          <w:lang w:eastAsia="fr-FR" w:bidi="fr-FR"/>
        </w:rPr>
        <w:t>s</w:t>
      </w:r>
      <w:r w:rsidRPr="004B2498">
        <w:rPr>
          <w:lang w:eastAsia="fr-FR" w:bidi="fr-FR"/>
        </w:rPr>
        <w:t>tions mais tente d’analyser les enjeux épistémologiques et idéolo</w:t>
      </w:r>
      <w:r w:rsidRPr="004B2498">
        <w:rPr>
          <w:lang w:eastAsia="fr-FR" w:bidi="fr-FR"/>
        </w:rPr>
        <w:lastRenderedPageBreak/>
        <w:t>g</w:t>
      </w:r>
      <w:r w:rsidRPr="004B2498">
        <w:rPr>
          <w:lang w:eastAsia="fr-FR" w:bidi="fr-FR"/>
        </w:rPr>
        <w:t>i</w:t>
      </w:r>
      <w:r w:rsidRPr="004B2498">
        <w:rPr>
          <w:lang w:eastAsia="fr-FR" w:bidi="fr-FR"/>
        </w:rPr>
        <w:t>ques auxquels sont confrontées les sciences sociales dès lors qu’elles ont enfin cessé de nier l’existence de phénomènes globaux, de normes globalisantes comme elles le faisaient à la fin du XX</w:t>
      </w:r>
      <w:r w:rsidRPr="009C6707">
        <w:rPr>
          <w:vertAlign w:val="superscript"/>
          <w:lang w:eastAsia="fr-FR" w:bidi="fr-FR"/>
        </w:rPr>
        <w:t>e</w:t>
      </w:r>
      <w:r w:rsidRPr="004B2498">
        <w:rPr>
          <w:lang w:eastAsia="fr-FR" w:bidi="fr-FR"/>
        </w:rPr>
        <w:t xml:space="preserve"> siècle. Les an</w:t>
      </w:r>
      <w:r w:rsidRPr="004B2498">
        <w:rPr>
          <w:lang w:eastAsia="fr-FR" w:bidi="fr-FR"/>
        </w:rPr>
        <w:t>a</w:t>
      </w:r>
      <w:r w:rsidRPr="004B2498">
        <w:rPr>
          <w:lang w:eastAsia="fr-FR" w:bidi="fr-FR"/>
        </w:rPr>
        <w:t>lyses originales et éclairantes sur la globalisation ne sont pas légion et témoignent d’un embarras manifeste. On ne cherche pas ici à repr</w:t>
      </w:r>
      <w:r w:rsidRPr="004B2498">
        <w:rPr>
          <w:lang w:eastAsia="fr-FR" w:bidi="fr-FR"/>
        </w:rPr>
        <w:t>o</w:t>
      </w:r>
      <w:r w:rsidRPr="004B2498">
        <w:rPr>
          <w:lang w:eastAsia="fr-FR" w:bidi="fr-FR"/>
        </w:rPr>
        <w:t>duire la pluralité des lectures formulées, mais à interroger la globalis</w:t>
      </w:r>
      <w:r w:rsidRPr="004B2498">
        <w:rPr>
          <w:lang w:eastAsia="fr-FR" w:bidi="fr-FR"/>
        </w:rPr>
        <w:t>a</w:t>
      </w:r>
      <w:r w:rsidRPr="004B2498">
        <w:rPr>
          <w:lang w:eastAsia="fr-FR" w:bidi="fr-FR"/>
        </w:rPr>
        <w:t>tion et les outils des sciences sociales dans des champs à la fois a</w:t>
      </w:r>
      <w:r w:rsidRPr="004B2498">
        <w:rPr>
          <w:lang w:eastAsia="fr-FR" w:bidi="fr-FR"/>
        </w:rPr>
        <w:t>c</w:t>
      </w:r>
      <w:r w:rsidRPr="004B2498">
        <w:rPr>
          <w:lang w:eastAsia="fr-FR" w:bidi="fr-FR"/>
        </w:rPr>
        <w:t>tuels, globaux et riches en sciences sociales, à partir de quatre top</w:t>
      </w:r>
      <w:r w:rsidRPr="004B2498">
        <w:rPr>
          <w:lang w:eastAsia="fr-FR" w:bidi="fr-FR"/>
        </w:rPr>
        <w:t>i</w:t>
      </w:r>
      <w:r w:rsidRPr="004B2498">
        <w:rPr>
          <w:lang w:eastAsia="fr-FR" w:bidi="fr-FR"/>
        </w:rPr>
        <w:t>ques de recherche qui sont respectivement les notions de crise, de gouvernance, d’acteur, de genre qui semblent au cœur des évolutions globales aujourd’hui.</w:t>
      </w:r>
    </w:p>
    <w:p w14:paraId="0414644D" w14:textId="77777777" w:rsidR="002F4063" w:rsidRPr="004B2498" w:rsidRDefault="002F4063" w:rsidP="002F4063">
      <w:pPr>
        <w:spacing w:before="120" w:after="120"/>
        <w:jc w:val="both"/>
      </w:pPr>
      <w:r w:rsidRPr="004B2498">
        <w:rPr>
          <w:lang w:eastAsia="fr-FR" w:bidi="fr-FR"/>
        </w:rPr>
        <w:t>La globalisation provoque un certain nombre de crises par les ru</w:t>
      </w:r>
      <w:r w:rsidRPr="004B2498">
        <w:rPr>
          <w:lang w:eastAsia="fr-FR" w:bidi="fr-FR"/>
        </w:rPr>
        <w:t>p</w:t>
      </w:r>
      <w:r w:rsidRPr="004B2498">
        <w:rPr>
          <w:lang w:eastAsia="fr-FR" w:bidi="fr-FR"/>
        </w:rPr>
        <w:t>tures diverses qu’elle introduit. Plusieurs contributions dans cet o</w:t>
      </w:r>
      <w:r w:rsidRPr="004B2498">
        <w:rPr>
          <w:lang w:eastAsia="fr-FR" w:bidi="fr-FR"/>
        </w:rPr>
        <w:t>u</w:t>
      </w:r>
      <w:r w:rsidRPr="004B2498">
        <w:rPr>
          <w:lang w:eastAsia="fr-FR" w:bidi="fr-FR"/>
        </w:rPr>
        <w:t>vrage amènent</w:t>
      </w:r>
      <w:r>
        <w:rPr>
          <w:lang w:eastAsia="fr-FR" w:bidi="fr-FR"/>
        </w:rPr>
        <w:t xml:space="preserve"> </w:t>
      </w:r>
      <w:r w:rsidRPr="004B2498">
        <w:t>[11]</w:t>
      </w:r>
      <w:r>
        <w:t xml:space="preserve"> </w:t>
      </w:r>
      <w:r w:rsidRPr="004B2498">
        <w:rPr>
          <w:lang w:eastAsia="fr-FR" w:bidi="fr-FR"/>
        </w:rPr>
        <w:t>à penser que la crise tend à apparaître comme un cadre permanent et prégnant auquel on ne peut échapper qu’en cha</w:t>
      </w:r>
      <w:r w:rsidRPr="004B2498">
        <w:rPr>
          <w:lang w:eastAsia="fr-FR" w:bidi="fr-FR"/>
        </w:rPr>
        <w:t>n</w:t>
      </w:r>
      <w:r w:rsidRPr="004B2498">
        <w:rPr>
          <w:lang w:eastAsia="fr-FR" w:bidi="fr-FR"/>
        </w:rPr>
        <w:t>geant de paradi</w:t>
      </w:r>
      <w:r w:rsidRPr="004B2498">
        <w:rPr>
          <w:lang w:eastAsia="fr-FR" w:bidi="fr-FR"/>
        </w:rPr>
        <w:t>g</w:t>
      </w:r>
      <w:r w:rsidRPr="004B2498">
        <w:rPr>
          <w:lang w:eastAsia="fr-FR" w:bidi="fr-FR"/>
        </w:rPr>
        <w:t>me. Bernard Castelli à travers son analyse de la crise financière, hér</w:t>
      </w:r>
      <w:r w:rsidRPr="004B2498">
        <w:rPr>
          <w:lang w:eastAsia="fr-FR" w:bidi="fr-FR"/>
        </w:rPr>
        <w:t>i</w:t>
      </w:r>
      <w:r w:rsidRPr="004B2498">
        <w:rPr>
          <w:lang w:eastAsia="fr-FR" w:bidi="fr-FR"/>
        </w:rPr>
        <w:t>tage du capitalisme globalisé, nous met en présence d’une pathologie de l’excès de fluidité, sorte d’hémophilie financière spécifique et chronique. De son côté, Jean-Michel Servet évoque un au-delà de la crise à travers la production de connaissances transdisc</w:t>
      </w:r>
      <w:r w:rsidRPr="004B2498">
        <w:rPr>
          <w:lang w:eastAsia="fr-FR" w:bidi="fr-FR"/>
        </w:rPr>
        <w:t>i</w:t>
      </w:r>
      <w:r w:rsidRPr="004B2498">
        <w:rPr>
          <w:lang w:eastAsia="fr-FR" w:bidi="fr-FR"/>
        </w:rPr>
        <w:t>plinaires no</w:t>
      </w:r>
      <w:r w:rsidRPr="004B2498">
        <w:rPr>
          <w:lang w:eastAsia="fr-FR" w:bidi="fr-FR"/>
        </w:rPr>
        <w:t>u</w:t>
      </w:r>
      <w:r w:rsidRPr="004B2498">
        <w:rPr>
          <w:lang w:eastAsia="fr-FR" w:bidi="fr-FR"/>
        </w:rPr>
        <w:t>velles, fondées sur de nouveaux paradigmes. Pépita Ould Ahmed aborde l’économie sociale et solidaire comme alternative à la crise et souligne l’impact idéologique profond de cette notion d’alternative qui renvoie explicitement à la politique et à la démocr</w:t>
      </w:r>
      <w:r w:rsidRPr="004B2498">
        <w:rPr>
          <w:lang w:eastAsia="fr-FR" w:bidi="fr-FR"/>
        </w:rPr>
        <w:t>a</w:t>
      </w:r>
      <w:r w:rsidRPr="004B2498">
        <w:rPr>
          <w:lang w:eastAsia="fr-FR" w:bidi="fr-FR"/>
        </w:rPr>
        <w:t>tie comme s</w:t>
      </w:r>
      <w:r w:rsidRPr="004B2498">
        <w:rPr>
          <w:lang w:eastAsia="fr-FR" w:bidi="fr-FR"/>
        </w:rPr>
        <w:t>o</w:t>
      </w:r>
      <w:r w:rsidRPr="004B2498">
        <w:rPr>
          <w:lang w:eastAsia="fr-FR" w:bidi="fr-FR"/>
        </w:rPr>
        <w:t>lution de « la crise ». Ces trois contributions, qu’elles évoquent une crise financière historique, les instruments disciplinaires disponibles ou les alternatives pensables, incitent à voir dans « la cr</w:t>
      </w:r>
      <w:r w:rsidRPr="004B2498">
        <w:rPr>
          <w:lang w:eastAsia="fr-FR" w:bidi="fr-FR"/>
        </w:rPr>
        <w:t>i</w:t>
      </w:r>
      <w:r w:rsidRPr="004B2498">
        <w:rPr>
          <w:lang w:eastAsia="fr-FR" w:bidi="fr-FR"/>
        </w:rPr>
        <w:t>se », faite de microcrises multiples, un avatar majeur de la globalis</w:t>
      </w:r>
      <w:r w:rsidRPr="004B2498">
        <w:rPr>
          <w:lang w:eastAsia="fr-FR" w:bidi="fr-FR"/>
        </w:rPr>
        <w:t>a</w:t>
      </w:r>
      <w:r w:rsidRPr="004B2498">
        <w:rPr>
          <w:lang w:eastAsia="fr-FR" w:bidi="fr-FR"/>
        </w:rPr>
        <w:t>tion, non plus une rupture, mais un état permanent et durable dont la maîtrise et la régulation deviennent l’enjeu principal sous le nom de gouvernance.</w:t>
      </w:r>
    </w:p>
    <w:p w14:paraId="1D589DD0" w14:textId="77777777" w:rsidR="002F4063" w:rsidRPr="004B2498" w:rsidRDefault="002F4063" w:rsidP="002F4063">
      <w:pPr>
        <w:spacing w:before="120" w:after="120"/>
        <w:jc w:val="both"/>
      </w:pPr>
      <w:r w:rsidRPr="004B2498">
        <w:rPr>
          <w:lang w:eastAsia="fr-FR" w:bidi="fr-FR"/>
        </w:rPr>
        <w:t xml:space="preserve">Cette nécessaire bonne gouvernance fait l’objet de la contribution de Bernard Hours qui y voit le levier principal de la globalisation, </w:t>
      </w:r>
      <w:r w:rsidRPr="004B2498">
        <w:t>via</w:t>
      </w:r>
      <w:r w:rsidRPr="004B2498">
        <w:rPr>
          <w:lang w:eastAsia="fr-FR" w:bidi="fr-FR"/>
        </w:rPr>
        <w:t xml:space="preserve"> la production de normes morales et la mise en place d’une société n</w:t>
      </w:r>
      <w:r w:rsidRPr="004B2498">
        <w:rPr>
          <w:lang w:eastAsia="fr-FR" w:bidi="fr-FR"/>
        </w:rPr>
        <w:t>a</w:t>
      </w:r>
      <w:r w:rsidRPr="004B2498">
        <w:rPr>
          <w:lang w:eastAsia="fr-FR" w:bidi="fr-FR"/>
        </w:rPr>
        <w:t xml:space="preserve">turalisée. Le texte de Franck Poupeau s’inscrit dans une réflexion sur la gouvernance mondiale des ressources naturelles. La gestion des problèmes environnementaux illustre avec clarté l’articulation des normes internationales, des politiques nationales, des administrations </w:t>
      </w:r>
      <w:r w:rsidRPr="004B2498">
        <w:rPr>
          <w:lang w:eastAsia="fr-FR" w:bidi="fr-FR"/>
        </w:rPr>
        <w:lastRenderedPageBreak/>
        <w:t>locales, des espaces urbains jusqu’aux mouvements sociaux, phén</w:t>
      </w:r>
      <w:r w:rsidRPr="004B2498">
        <w:rPr>
          <w:lang w:eastAsia="fr-FR" w:bidi="fr-FR"/>
        </w:rPr>
        <w:t>o</w:t>
      </w:r>
      <w:r w:rsidRPr="004B2498">
        <w:rPr>
          <w:lang w:eastAsia="fr-FR" w:bidi="fr-FR"/>
        </w:rPr>
        <w:t>mène global s’il en est. La microfinance abordée, en Inde, par Isabelle Guérin est probablement un produit de la lutte contre la pauvreté, sl</w:t>
      </w:r>
      <w:r w:rsidRPr="004B2498">
        <w:rPr>
          <w:lang w:eastAsia="fr-FR" w:bidi="fr-FR"/>
        </w:rPr>
        <w:t>o</w:t>
      </w:r>
      <w:r w:rsidRPr="004B2498">
        <w:rPr>
          <w:lang w:eastAsia="fr-FR" w:bidi="fr-FR"/>
        </w:rPr>
        <w:t>gan global et multilatéral type. Les dérives caractérisées par un ende</w:t>
      </w:r>
      <w:r w:rsidRPr="004B2498">
        <w:rPr>
          <w:lang w:eastAsia="fr-FR" w:bidi="fr-FR"/>
        </w:rPr>
        <w:t>t</w:t>
      </w:r>
      <w:r w:rsidRPr="004B2498">
        <w:rPr>
          <w:lang w:eastAsia="fr-FR" w:bidi="fr-FR"/>
        </w:rPr>
        <w:t>tement excessif obligent à interroger ces instruments alternatifs qui ont, en partie, perdu ce caractère car les contraintes sociales statutaires demeurent et la dette continue d’être une affaire sociale totale et non exclusivement financière.</w:t>
      </w:r>
    </w:p>
    <w:p w14:paraId="6BAB051C" w14:textId="77777777" w:rsidR="002F4063" w:rsidRPr="004B2498" w:rsidRDefault="002F4063" w:rsidP="002F4063">
      <w:pPr>
        <w:spacing w:before="120" w:after="120"/>
        <w:jc w:val="both"/>
      </w:pPr>
      <w:r w:rsidRPr="004B2498">
        <w:rPr>
          <w:lang w:eastAsia="fr-FR" w:bidi="fr-FR"/>
        </w:rPr>
        <w:t>Les mouvements sociaux et leurs acteurs font l’objet de plusieurs contributions qui montrent des configurations et reconfigurations nouvelles. En effet, la figure de l’acteur social et politique a connu des mutations profondes. Les mouvements dits alternatifs ont remplacé le messianisme prolétarien et la société civile fait l’objet d’une incant</w:t>
      </w:r>
      <w:r w:rsidRPr="004B2498">
        <w:rPr>
          <w:lang w:eastAsia="fr-FR" w:bidi="fr-FR"/>
        </w:rPr>
        <w:t>a</w:t>
      </w:r>
      <w:r w:rsidRPr="004B2498">
        <w:rPr>
          <w:lang w:eastAsia="fr-FR" w:bidi="fr-FR"/>
        </w:rPr>
        <w:t>tion permanente, en particulier à travers les ONG dont la place est d</w:t>
      </w:r>
      <w:r w:rsidRPr="004B2498">
        <w:rPr>
          <w:lang w:eastAsia="fr-FR" w:bidi="fr-FR"/>
        </w:rPr>
        <w:t>e</w:t>
      </w:r>
      <w:r w:rsidRPr="004B2498">
        <w:rPr>
          <w:lang w:eastAsia="fr-FR" w:bidi="fr-FR"/>
        </w:rPr>
        <w:t>venue essentielle dans la globalisation au cours de deux décennies. Rosinha Machado Carrion évoque au Cap-Vert la place des ONG et les pièges tendus par les institutions à une participation réelle de la société civile. Pia Rius, pour sa part, analyse les engagements des p</w:t>
      </w:r>
      <w:r w:rsidRPr="004B2498">
        <w:rPr>
          <w:lang w:eastAsia="fr-FR" w:bidi="fr-FR"/>
        </w:rPr>
        <w:t>i</w:t>
      </w:r>
      <w:r w:rsidRPr="004B2498">
        <w:rPr>
          <w:lang w:eastAsia="fr-FR" w:bidi="fr-FR"/>
        </w:rPr>
        <w:t>queteros argentins à mi-chemin entre des héros émancipateurs et les arrangements prosaïques et quotidiens qu’impose une vie précaire. Wenjing Guo, outre ses matériaux sur les réseaux homosexuels,</w:t>
      </w:r>
      <w:r>
        <w:rPr>
          <w:lang w:eastAsia="fr-FR" w:bidi="fr-FR"/>
        </w:rPr>
        <w:t xml:space="preserve"> </w:t>
      </w:r>
      <w:r w:rsidRPr="004B2498">
        <w:t>[12]</w:t>
      </w:r>
      <w:r>
        <w:t xml:space="preserve"> </w:t>
      </w:r>
      <w:r w:rsidRPr="004B2498">
        <w:rPr>
          <w:lang w:eastAsia="fr-FR" w:bidi="fr-FR"/>
        </w:rPr>
        <w:t>nous met en présence d’acteurs sociaux nés des réseaux internet en Chine. Ceux-ci transforment des sujets individuels en citoyens pote</w:t>
      </w:r>
      <w:r w:rsidRPr="004B2498">
        <w:rPr>
          <w:lang w:eastAsia="fr-FR" w:bidi="fr-FR"/>
        </w:rPr>
        <w:t>n</w:t>
      </w:r>
      <w:r w:rsidRPr="004B2498">
        <w:rPr>
          <w:lang w:eastAsia="fr-FR" w:bidi="fr-FR"/>
        </w:rPr>
        <w:t>tiels d’une société civile virtuelle, constituée de réseaux bien réels. On peut y voir un champ politique postmoderne original et annonciateur de modes d’expression politique et sociale à explorer par les sciences sociales.</w:t>
      </w:r>
    </w:p>
    <w:p w14:paraId="1AEFE721" w14:textId="77777777" w:rsidR="002F4063" w:rsidRPr="004B2498" w:rsidRDefault="002F4063" w:rsidP="002F4063">
      <w:pPr>
        <w:spacing w:before="120" w:after="120"/>
        <w:jc w:val="both"/>
      </w:pPr>
      <w:r w:rsidRPr="004B2498">
        <w:rPr>
          <w:lang w:eastAsia="fr-FR" w:bidi="fr-FR"/>
        </w:rPr>
        <w:t xml:space="preserve">Parmi tous les acteurs sociaux, les actrices-femmes ont acquis une puissance symbolique extrême. Elles représentent un symbole fort et global de figures contemporaines de l’émancipation. À ce titre, elles sont exposées à de multiples manipulations idéologiques. Monique Selim analyse l’importation des </w:t>
      </w:r>
      <w:r w:rsidRPr="00CE14D1">
        <w:rPr>
          <w:i/>
        </w:rPr>
        <w:t>gender studies</w:t>
      </w:r>
      <w:r w:rsidRPr="004B2498">
        <w:rPr>
          <w:lang w:eastAsia="fr-FR" w:bidi="fr-FR"/>
        </w:rPr>
        <w:t xml:space="preserve"> en Chine et les usages qui en sont faits. Angelica Wehrli traite des avortements de filles au Vietnam, préférence masculine s’il en est. Mathieu Caulier présente la genèse et le développement des ONG féministes au Mexique, entre santé reproductive et revendication genrée. Monique Selim souligne enfin que les normes de genre, globales par excellence, véhiculent d’énormes ambiguïtés et contradictions dont l’examen et la connai</w:t>
      </w:r>
      <w:r w:rsidRPr="004B2498">
        <w:rPr>
          <w:lang w:eastAsia="fr-FR" w:bidi="fr-FR"/>
        </w:rPr>
        <w:t>s</w:t>
      </w:r>
      <w:r w:rsidRPr="004B2498">
        <w:rPr>
          <w:lang w:eastAsia="fr-FR" w:bidi="fr-FR"/>
        </w:rPr>
        <w:lastRenderedPageBreak/>
        <w:t>sance ouvrent des pistes de recherche fécondes pour les sciences s</w:t>
      </w:r>
      <w:r w:rsidRPr="004B2498">
        <w:rPr>
          <w:lang w:eastAsia="fr-FR" w:bidi="fr-FR"/>
        </w:rPr>
        <w:t>o</w:t>
      </w:r>
      <w:r w:rsidRPr="004B2498">
        <w:rPr>
          <w:lang w:eastAsia="fr-FR" w:bidi="fr-FR"/>
        </w:rPr>
        <w:t>ciales.</w:t>
      </w:r>
    </w:p>
    <w:p w14:paraId="00829C75" w14:textId="77777777" w:rsidR="002F4063" w:rsidRPr="004B2498" w:rsidRDefault="002F4063" w:rsidP="002F4063">
      <w:pPr>
        <w:spacing w:before="120" w:after="120"/>
        <w:jc w:val="both"/>
      </w:pPr>
      <w:r w:rsidRPr="004B2498">
        <w:rPr>
          <w:lang w:eastAsia="fr-FR" w:bidi="fr-FR"/>
        </w:rPr>
        <w:t>La globalisation tend à offrir aux sciences sociales un objet total</w:t>
      </w:r>
      <w:r w:rsidRPr="004B2498">
        <w:rPr>
          <w:lang w:eastAsia="fr-FR" w:bidi="fr-FR"/>
        </w:rPr>
        <w:t>i</w:t>
      </w:r>
      <w:r w:rsidRPr="004B2498">
        <w:rPr>
          <w:lang w:eastAsia="fr-FR" w:bidi="fr-FR"/>
        </w:rPr>
        <w:t>sant appelé marché, au singulier, au lieu et place des sociétés, objets naguère des sciences sociales. Mais les rapports marchands ne sont pas des rapports sociaux tant que les hommes et les femmes ne se v</w:t>
      </w:r>
      <w:r w:rsidRPr="004B2498">
        <w:rPr>
          <w:lang w:eastAsia="fr-FR" w:bidi="fr-FR"/>
        </w:rPr>
        <w:t>i</w:t>
      </w:r>
      <w:r w:rsidRPr="004B2498">
        <w:rPr>
          <w:lang w:eastAsia="fr-FR" w:bidi="fr-FR"/>
        </w:rPr>
        <w:t>vent pas exclusivement comme des consommateurs et des producteurs mais comme des sujets, exposés autant à la concurrence qu’à la sol</w:t>
      </w:r>
      <w:r w:rsidRPr="004B2498">
        <w:rPr>
          <w:lang w:eastAsia="fr-FR" w:bidi="fr-FR"/>
        </w:rPr>
        <w:t>i</w:t>
      </w:r>
      <w:r w:rsidRPr="004B2498">
        <w:rPr>
          <w:lang w:eastAsia="fr-FR" w:bidi="fr-FR"/>
        </w:rPr>
        <w:t>darité, producteurs de liens insérés dans des rapports que les sciences sociales scrutent depuis plus d’un siècle. Si ceux-ci évoluent et se m</w:t>
      </w:r>
      <w:r w:rsidRPr="004B2498">
        <w:rPr>
          <w:lang w:eastAsia="fr-FR" w:bidi="fr-FR"/>
        </w:rPr>
        <w:t>o</w:t>
      </w:r>
      <w:r w:rsidRPr="004B2498">
        <w:rPr>
          <w:lang w:eastAsia="fr-FR" w:bidi="fr-FR"/>
        </w:rPr>
        <w:t>difient, ils demeurent et il appartient aux sciences sociales de les an</w:t>
      </w:r>
      <w:r w:rsidRPr="004B2498">
        <w:rPr>
          <w:lang w:eastAsia="fr-FR" w:bidi="fr-FR"/>
        </w:rPr>
        <w:t>a</w:t>
      </w:r>
      <w:r w:rsidRPr="004B2498">
        <w:rPr>
          <w:lang w:eastAsia="fr-FR" w:bidi="fr-FR"/>
        </w:rPr>
        <w:t>lyser.</w:t>
      </w:r>
      <w:r w:rsidRPr="004B2498">
        <w:t xml:space="preserve"> </w:t>
      </w:r>
    </w:p>
    <w:p w14:paraId="2DB8E236" w14:textId="77777777" w:rsidR="002F4063" w:rsidRPr="004B2498" w:rsidRDefault="002F4063" w:rsidP="002F4063">
      <w:pPr>
        <w:pStyle w:val="p"/>
      </w:pPr>
      <w:r w:rsidRPr="004B2498">
        <w:br w:type="page"/>
      </w:r>
    </w:p>
    <w:p w14:paraId="28CB03D1" w14:textId="77777777" w:rsidR="002F4063" w:rsidRPr="004B2498" w:rsidRDefault="002F4063" w:rsidP="002F4063">
      <w:pPr>
        <w:jc w:val="both"/>
      </w:pPr>
    </w:p>
    <w:p w14:paraId="0F5E31DF" w14:textId="77777777" w:rsidR="002F4063" w:rsidRPr="004B2498" w:rsidRDefault="002F4063" w:rsidP="002F4063"/>
    <w:p w14:paraId="2BABF80A" w14:textId="77777777" w:rsidR="002F4063" w:rsidRPr="004B2498" w:rsidRDefault="002F4063" w:rsidP="002F4063">
      <w:pPr>
        <w:jc w:val="both"/>
      </w:pPr>
    </w:p>
    <w:p w14:paraId="7F57666B" w14:textId="77777777" w:rsidR="002F4063" w:rsidRPr="004B2498" w:rsidRDefault="002F4063" w:rsidP="002F4063">
      <w:pPr>
        <w:jc w:val="both"/>
      </w:pPr>
    </w:p>
    <w:p w14:paraId="570103B4" w14:textId="77777777" w:rsidR="002F4063" w:rsidRPr="002C57DA" w:rsidRDefault="002F4063" w:rsidP="002F4063">
      <w:pPr>
        <w:spacing w:after="120"/>
        <w:ind w:firstLine="0"/>
        <w:jc w:val="center"/>
        <w:rPr>
          <w:b/>
          <w:sz w:val="24"/>
        </w:rPr>
      </w:pPr>
      <w:bookmarkStart w:id="3" w:name="Enjeux_sc_soc_pt_1"/>
      <w:r w:rsidRPr="002C57DA">
        <w:rPr>
          <w:b/>
          <w:sz w:val="24"/>
        </w:rPr>
        <w:t>Enjeux épistémologiques et idéologiques</w:t>
      </w:r>
      <w:r w:rsidRPr="002C57DA">
        <w:rPr>
          <w:b/>
          <w:sz w:val="24"/>
        </w:rPr>
        <w:br/>
        <w:t>de la globalisation pour les sciences sociales.</w:t>
      </w:r>
    </w:p>
    <w:p w14:paraId="5CF7F71E" w14:textId="77777777" w:rsidR="002F4063" w:rsidRPr="004B2498" w:rsidRDefault="002F4063" w:rsidP="002F4063">
      <w:pPr>
        <w:jc w:val="both"/>
      </w:pPr>
    </w:p>
    <w:p w14:paraId="2FD014DD" w14:textId="77777777" w:rsidR="002F4063" w:rsidRPr="002C57DA" w:rsidRDefault="002F4063" w:rsidP="002F4063">
      <w:pPr>
        <w:pStyle w:val="partie"/>
      </w:pPr>
      <w:r w:rsidRPr="002C57DA">
        <w:t>Première partie</w:t>
      </w:r>
    </w:p>
    <w:p w14:paraId="5CBD2964" w14:textId="77777777" w:rsidR="002F4063" w:rsidRPr="004B2498" w:rsidRDefault="002F4063" w:rsidP="002F4063">
      <w:pPr>
        <w:jc w:val="both"/>
      </w:pPr>
    </w:p>
    <w:p w14:paraId="5FE9C9A0" w14:textId="77777777" w:rsidR="002F4063" w:rsidRPr="00C20224" w:rsidRDefault="002F4063" w:rsidP="002F4063">
      <w:pPr>
        <w:pStyle w:val="partiest"/>
      </w:pPr>
      <w:r w:rsidRPr="00C20224">
        <w:t>CRISES</w:t>
      </w:r>
      <w:r w:rsidRPr="00C20224">
        <w:br/>
        <w:t>ET GOUVERNANCE</w:t>
      </w:r>
    </w:p>
    <w:bookmarkEnd w:id="3"/>
    <w:p w14:paraId="26E8F956" w14:textId="77777777" w:rsidR="002F4063" w:rsidRPr="004B2498" w:rsidRDefault="002F4063" w:rsidP="002F4063">
      <w:pPr>
        <w:jc w:val="both"/>
      </w:pPr>
    </w:p>
    <w:p w14:paraId="52B21588" w14:textId="77777777" w:rsidR="002F4063" w:rsidRPr="004B2498" w:rsidRDefault="002F4063" w:rsidP="002F4063">
      <w:pPr>
        <w:jc w:val="both"/>
      </w:pPr>
    </w:p>
    <w:p w14:paraId="14F0F294" w14:textId="77777777" w:rsidR="002F4063" w:rsidRPr="004B2498" w:rsidRDefault="002F4063" w:rsidP="002F4063">
      <w:pPr>
        <w:jc w:val="both"/>
      </w:pPr>
    </w:p>
    <w:p w14:paraId="7A96C804" w14:textId="77777777" w:rsidR="002F4063" w:rsidRPr="004B2498" w:rsidRDefault="002F4063" w:rsidP="002F4063">
      <w:pPr>
        <w:jc w:val="both"/>
      </w:pPr>
    </w:p>
    <w:p w14:paraId="058440C3" w14:textId="77777777" w:rsidR="002F4063" w:rsidRPr="004B2498" w:rsidRDefault="002F4063" w:rsidP="002F4063">
      <w:pPr>
        <w:jc w:val="both"/>
      </w:pPr>
    </w:p>
    <w:p w14:paraId="3DB51D55" w14:textId="77777777" w:rsidR="002F4063" w:rsidRPr="004B2498" w:rsidRDefault="002F4063" w:rsidP="002F4063">
      <w:pPr>
        <w:jc w:val="both"/>
      </w:pPr>
    </w:p>
    <w:p w14:paraId="68330AF6" w14:textId="77777777" w:rsidR="002F4063" w:rsidRPr="004B2498" w:rsidRDefault="002F4063" w:rsidP="002F4063">
      <w:pPr>
        <w:jc w:val="both"/>
      </w:pPr>
    </w:p>
    <w:p w14:paraId="09386B58" w14:textId="77777777" w:rsidR="002F4063" w:rsidRPr="004B2498" w:rsidRDefault="002F4063" w:rsidP="002F4063">
      <w:pPr>
        <w:jc w:val="both"/>
      </w:pPr>
    </w:p>
    <w:p w14:paraId="547AB8A1" w14:textId="77777777" w:rsidR="002F4063" w:rsidRPr="002C57DA" w:rsidRDefault="002F4063" w:rsidP="002F4063">
      <w:pPr>
        <w:ind w:right="90" w:firstLine="0"/>
        <w:jc w:val="both"/>
        <w:rPr>
          <w:sz w:val="24"/>
        </w:rPr>
      </w:pPr>
      <w:hyperlink w:anchor="sommaire" w:history="1">
        <w:r w:rsidRPr="002C57DA">
          <w:rPr>
            <w:rStyle w:val="Hyperlien"/>
            <w:sz w:val="24"/>
          </w:rPr>
          <w:t>Retour au sommaire</w:t>
        </w:r>
      </w:hyperlink>
    </w:p>
    <w:p w14:paraId="0309D208" w14:textId="77777777" w:rsidR="002F4063" w:rsidRPr="004B2498" w:rsidRDefault="002F4063" w:rsidP="002F4063">
      <w:pPr>
        <w:jc w:val="both"/>
      </w:pPr>
    </w:p>
    <w:p w14:paraId="2ACB32B5" w14:textId="77777777" w:rsidR="002F4063" w:rsidRPr="004B2498" w:rsidRDefault="002F4063" w:rsidP="002F4063">
      <w:pPr>
        <w:pStyle w:val="p"/>
      </w:pPr>
      <w:r w:rsidRPr="004B2498">
        <w:br w:type="page"/>
      </w:r>
      <w:r w:rsidRPr="004B2498">
        <w:lastRenderedPageBreak/>
        <w:t>[13]</w:t>
      </w:r>
    </w:p>
    <w:p w14:paraId="50650D44" w14:textId="77777777" w:rsidR="002F4063" w:rsidRPr="004B2498" w:rsidRDefault="002F4063">
      <w:pPr>
        <w:jc w:val="both"/>
      </w:pPr>
    </w:p>
    <w:p w14:paraId="4FBACD6F" w14:textId="77777777" w:rsidR="002F4063" w:rsidRPr="004B2498" w:rsidRDefault="002F4063">
      <w:pPr>
        <w:jc w:val="both"/>
      </w:pPr>
    </w:p>
    <w:p w14:paraId="4C67EC19" w14:textId="77777777" w:rsidR="002F4063" w:rsidRPr="002C57DA" w:rsidRDefault="002F4063" w:rsidP="002F4063">
      <w:pPr>
        <w:spacing w:after="120"/>
        <w:ind w:firstLine="0"/>
        <w:jc w:val="center"/>
        <w:rPr>
          <w:b/>
          <w:sz w:val="24"/>
        </w:rPr>
      </w:pPr>
      <w:bookmarkStart w:id="4" w:name="Enjeux_sc_soc_pt_1_texte_1"/>
      <w:r w:rsidRPr="002C57DA">
        <w:rPr>
          <w:b/>
          <w:sz w:val="24"/>
        </w:rPr>
        <w:t>Enjeux épistémologiques et idéologiques</w:t>
      </w:r>
      <w:r w:rsidRPr="002C57DA">
        <w:rPr>
          <w:b/>
          <w:sz w:val="24"/>
        </w:rPr>
        <w:br/>
        <w:t>de la globalisation pour les sciences sociales.</w:t>
      </w:r>
    </w:p>
    <w:p w14:paraId="49D94D94" w14:textId="77777777" w:rsidR="002F4063" w:rsidRPr="00386FE1" w:rsidRDefault="002F4063" w:rsidP="002F4063">
      <w:pPr>
        <w:spacing w:after="120"/>
        <w:ind w:firstLine="0"/>
        <w:jc w:val="center"/>
        <w:rPr>
          <w:sz w:val="24"/>
        </w:rPr>
      </w:pPr>
      <w:r w:rsidRPr="00386FE1">
        <w:rPr>
          <w:sz w:val="24"/>
        </w:rPr>
        <w:t>Première partie : Crises et gouvernance</w:t>
      </w:r>
    </w:p>
    <w:p w14:paraId="30820015" w14:textId="77777777" w:rsidR="002F4063" w:rsidRPr="00386FE1" w:rsidRDefault="002F4063" w:rsidP="002F4063">
      <w:pPr>
        <w:pStyle w:val="Titreniveau1"/>
      </w:pPr>
      <w:r w:rsidRPr="00386FE1">
        <w:t>1</w:t>
      </w:r>
    </w:p>
    <w:p w14:paraId="0649ECE4" w14:textId="77777777" w:rsidR="002F4063" w:rsidRPr="004B2498" w:rsidRDefault="002F4063" w:rsidP="002F4063">
      <w:pPr>
        <w:pStyle w:val="Titreniveau2"/>
      </w:pPr>
      <w:r w:rsidRPr="004B2498">
        <w:t>“GLOBALISATION</w:t>
      </w:r>
      <w:r w:rsidRPr="004B2498">
        <w:br/>
        <w:t>ET CRISES F</w:t>
      </w:r>
      <w:r w:rsidRPr="004B2498">
        <w:t>I</w:t>
      </w:r>
      <w:r w:rsidRPr="004B2498">
        <w:t>NANCIÈRES.”</w:t>
      </w:r>
    </w:p>
    <w:bookmarkEnd w:id="4"/>
    <w:p w14:paraId="5D119056" w14:textId="77777777" w:rsidR="002F4063" w:rsidRPr="004B2498" w:rsidRDefault="002F4063" w:rsidP="002F4063">
      <w:pPr>
        <w:jc w:val="both"/>
        <w:rPr>
          <w:szCs w:val="36"/>
        </w:rPr>
      </w:pPr>
    </w:p>
    <w:p w14:paraId="05DB2536" w14:textId="77777777" w:rsidR="002F4063" w:rsidRPr="004B2498" w:rsidRDefault="002F4063" w:rsidP="002F4063">
      <w:pPr>
        <w:pStyle w:val="suite"/>
      </w:pPr>
      <w:r w:rsidRPr="004B2498">
        <w:t>Bernard CASTELLI</w:t>
      </w:r>
    </w:p>
    <w:p w14:paraId="432F46A8" w14:textId="77777777" w:rsidR="002F4063" w:rsidRPr="004B2498" w:rsidRDefault="002F4063">
      <w:pPr>
        <w:jc w:val="both"/>
      </w:pPr>
    </w:p>
    <w:p w14:paraId="07B68429" w14:textId="77777777" w:rsidR="002F4063" w:rsidRPr="004B2498" w:rsidRDefault="002F4063">
      <w:pPr>
        <w:jc w:val="both"/>
      </w:pPr>
    </w:p>
    <w:p w14:paraId="7FF8C64C" w14:textId="77777777" w:rsidR="002F4063" w:rsidRPr="004B2498" w:rsidRDefault="002F4063">
      <w:pPr>
        <w:jc w:val="both"/>
      </w:pPr>
    </w:p>
    <w:p w14:paraId="05DC54AA" w14:textId="77777777" w:rsidR="002F4063" w:rsidRPr="002C57DA" w:rsidRDefault="002F4063" w:rsidP="002F4063">
      <w:pPr>
        <w:ind w:right="90" w:firstLine="0"/>
        <w:jc w:val="both"/>
        <w:rPr>
          <w:sz w:val="24"/>
        </w:rPr>
      </w:pPr>
      <w:hyperlink w:anchor="sommaire" w:history="1">
        <w:r w:rsidRPr="002C57DA">
          <w:rPr>
            <w:rStyle w:val="Hyperlien"/>
            <w:sz w:val="24"/>
          </w:rPr>
          <w:t>Retour au sommaire</w:t>
        </w:r>
      </w:hyperlink>
    </w:p>
    <w:p w14:paraId="70A8A564" w14:textId="77777777" w:rsidR="002F4063" w:rsidRPr="004B2498" w:rsidRDefault="002F4063" w:rsidP="002F4063">
      <w:pPr>
        <w:spacing w:before="120" w:after="120"/>
        <w:jc w:val="both"/>
      </w:pPr>
      <w:r w:rsidRPr="004B2498">
        <w:rPr>
          <w:lang w:eastAsia="fr-FR" w:bidi="fr-FR"/>
        </w:rPr>
        <w:t>La définition du concept de crise financière, et de son lien plus ou moins ténu avec l’évolution contemporaine du capitalisme globalisé, constitue sans nul doute un exercice complexe puisque consistant à « réduire » des réalités foisonnantes, souvent même contradictoires, à une seule catégorie analytique inclusive. Par exemple, une approche conceptuelle, assez largement répandue au sein de la littérature éc</w:t>
      </w:r>
      <w:r w:rsidRPr="004B2498">
        <w:rPr>
          <w:lang w:eastAsia="fr-FR" w:bidi="fr-FR"/>
        </w:rPr>
        <w:t>o</w:t>
      </w:r>
      <w:r w:rsidRPr="004B2498">
        <w:rPr>
          <w:lang w:eastAsia="fr-FR" w:bidi="fr-FR"/>
        </w:rPr>
        <w:t>nomique, conjuguera en général la spécificité du champ concerné avec les effets du déclenchement ou du déroulement de la crise financière. En somme, ce que l’on constate empiriquement :</w:t>
      </w:r>
    </w:p>
    <w:p w14:paraId="10DDF0E8" w14:textId="77777777" w:rsidR="002F4063" w:rsidRPr="004B2498" w:rsidRDefault="002F4063" w:rsidP="002F4063">
      <w:pPr>
        <w:spacing w:before="120" w:after="120"/>
        <w:jc w:val="both"/>
      </w:pPr>
      <w:r w:rsidRPr="004B2498">
        <w:rPr>
          <w:lang w:eastAsia="fr-FR" w:bidi="fr-FR"/>
        </w:rPr>
        <w:t>Ce sont d’abord des faits suffisamment révélateurs de désordres passés ou présents. Plus précisément, ces faits représentatifs de rupt</w:t>
      </w:r>
      <w:r w:rsidRPr="004B2498">
        <w:rPr>
          <w:lang w:eastAsia="fr-FR" w:bidi="fr-FR"/>
        </w:rPr>
        <w:t>u</w:t>
      </w:r>
      <w:r w:rsidRPr="004B2498">
        <w:rPr>
          <w:lang w:eastAsia="fr-FR" w:bidi="fr-FR"/>
        </w:rPr>
        <w:t>res, de dysfonctionnements graves, de mutations profondes ou de r</w:t>
      </w:r>
      <w:r w:rsidRPr="004B2498">
        <w:rPr>
          <w:lang w:eastAsia="fr-FR" w:bidi="fr-FR"/>
        </w:rPr>
        <w:t>é</w:t>
      </w:r>
      <w:r w:rsidRPr="004B2498">
        <w:rPr>
          <w:lang w:eastAsia="fr-FR" w:bidi="fr-FR"/>
        </w:rPr>
        <w:t>gressions radicales affectent soit un espace économique primordial (économie nationale, structure de l’État, marché international) soit une activité ou un secteur particulier (gestion bancaire, crédit à l’immobilier, finance de marché...) qui caractérisent avec netteté l’accumulation heurtée du capitalisme actuel.</w:t>
      </w:r>
    </w:p>
    <w:p w14:paraId="2D6FA643" w14:textId="77777777" w:rsidR="002F4063" w:rsidRPr="004B2498" w:rsidRDefault="002F4063" w:rsidP="002F4063">
      <w:pPr>
        <w:spacing w:before="120" w:after="120"/>
        <w:jc w:val="both"/>
      </w:pPr>
      <w:r w:rsidRPr="004B2498">
        <w:rPr>
          <w:lang w:eastAsia="fr-FR" w:bidi="fr-FR"/>
        </w:rPr>
        <w:t>Les différents phénomènes constatés reflètent par ailleurs les conflits, ou plutôt les difficultés objectives à respecter, à chaque in</w:t>
      </w:r>
      <w:r w:rsidRPr="004B2498">
        <w:rPr>
          <w:lang w:eastAsia="fr-FR" w:bidi="fr-FR"/>
        </w:rPr>
        <w:t>s</w:t>
      </w:r>
      <w:r w:rsidRPr="004B2498">
        <w:rPr>
          <w:lang w:eastAsia="fr-FR" w:bidi="fr-FR"/>
        </w:rPr>
        <w:t xml:space="preserve">tant, les équilibres économiques et financiers permettant la formation et la </w:t>
      </w:r>
      <w:r w:rsidRPr="004B2498">
        <w:rPr>
          <w:lang w:eastAsia="fr-FR" w:bidi="fr-FR"/>
        </w:rPr>
        <w:lastRenderedPageBreak/>
        <w:t>reproduction du capital, lesquels ne sont bien entendu pas vierges d’expériences historiques et sociales antérieures. « Enchâssés » dans le social, les faits ne doivent pas</w:t>
      </w:r>
      <w:r>
        <w:rPr>
          <w:lang w:eastAsia="fr-FR" w:bidi="fr-FR"/>
        </w:rPr>
        <w:t xml:space="preserve"> </w:t>
      </w:r>
      <w:r w:rsidRPr="004B2498">
        <w:t>[14]</w:t>
      </w:r>
      <w:r>
        <w:t xml:space="preserve"> </w:t>
      </w:r>
      <w:r w:rsidRPr="004B2498">
        <w:rPr>
          <w:lang w:eastAsia="fr-FR" w:bidi="fr-FR"/>
        </w:rPr>
        <w:t>être seulement contextualisés dans la mesure où ils sont également le produit de plusieurs influences extérieures.</w:t>
      </w:r>
      <w:r>
        <w:rPr>
          <w:lang w:eastAsia="fr-FR" w:bidi="fr-FR"/>
        </w:rPr>
        <w:t> </w:t>
      </w:r>
      <w:r>
        <w:rPr>
          <w:rStyle w:val="Appelnotedebasdep"/>
          <w:lang w:eastAsia="fr-FR" w:bidi="fr-FR"/>
        </w:rPr>
        <w:footnoteReference w:id="1"/>
      </w:r>
    </w:p>
    <w:p w14:paraId="2F4A11BC" w14:textId="77777777" w:rsidR="002F4063" w:rsidRPr="004B2498" w:rsidRDefault="002F4063" w:rsidP="002F4063">
      <w:pPr>
        <w:spacing w:before="120" w:after="120"/>
        <w:jc w:val="both"/>
      </w:pPr>
      <w:r w:rsidRPr="004B2498">
        <w:rPr>
          <w:lang w:eastAsia="fr-FR" w:bidi="fr-FR"/>
        </w:rPr>
        <w:t>- La pertinence plus ou moins grande de la définition retenue conditionne ensuite l’efficacité à restituer la polysémie empirique et théorique de la crise financière. En fin de compte, toute notion s’inscrit par nécessité dans une interprétation plus globale dont la v</w:t>
      </w:r>
      <w:r w:rsidRPr="004B2498">
        <w:rPr>
          <w:lang w:eastAsia="fr-FR" w:bidi="fr-FR"/>
        </w:rPr>
        <w:t>o</w:t>
      </w:r>
      <w:r w:rsidRPr="004B2498">
        <w:rPr>
          <w:lang w:eastAsia="fr-FR" w:bidi="fr-FR"/>
        </w:rPr>
        <w:t>cation ultime serait de mieux « expliquer l’imprévisible » (Taleb Na</w:t>
      </w:r>
      <w:r w:rsidRPr="004B2498">
        <w:rPr>
          <w:lang w:eastAsia="fr-FR" w:bidi="fr-FR"/>
        </w:rPr>
        <w:t>s</w:t>
      </w:r>
      <w:r w:rsidRPr="004B2498">
        <w:rPr>
          <w:lang w:eastAsia="fr-FR" w:bidi="fr-FR"/>
        </w:rPr>
        <w:t>sim, 2008).</w:t>
      </w:r>
    </w:p>
    <w:p w14:paraId="47973861" w14:textId="77777777" w:rsidR="002F4063" w:rsidRPr="004B2498" w:rsidRDefault="002F4063" w:rsidP="002F4063">
      <w:pPr>
        <w:spacing w:before="120" w:after="120"/>
        <w:jc w:val="both"/>
      </w:pPr>
      <w:r w:rsidRPr="004B2498">
        <w:rPr>
          <w:lang w:eastAsia="fr-FR" w:bidi="fr-FR"/>
        </w:rPr>
        <w:t>C’est la raison pour laquelle un concept large susceptible d’englober un ensemble varié de singularités</w:t>
      </w:r>
      <w:r>
        <w:rPr>
          <w:lang w:eastAsia="fr-FR" w:bidi="fr-FR"/>
        </w:rPr>
        <w:t> </w:t>
      </w:r>
      <w:r>
        <w:rPr>
          <w:rStyle w:val="Appelnotedebasdep"/>
          <w:lang w:eastAsia="fr-FR" w:bidi="fr-FR"/>
        </w:rPr>
        <w:footnoteReference w:id="2"/>
      </w:r>
      <w:r w:rsidRPr="004B2498">
        <w:rPr>
          <w:lang w:eastAsia="fr-FR" w:bidi="fr-FR"/>
        </w:rPr>
        <w:t xml:space="preserve"> s’avère parfois plus approprié qu'une acception restrictive décrivant une facette, certes i</w:t>
      </w:r>
      <w:r w:rsidRPr="004B2498">
        <w:rPr>
          <w:lang w:eastAsia="fr-FR" w:bidi="fr-FR"/>
        </w:rPr>
        <w:t>n</w:t>
      </w:r>
      <w:r w:rsidRPr="004B2498">
        <w:rPr>
          <w:lang w:eastAsia="fr-FR" w:bidi="fr-FR"/>
        </w:rPr>
        <w:t>téressante mais ponctuelle, de la problématique des crises</w:t>
      </w:r>
      <w:r>
        <w:rPr>
          <w:lang w:eastAsia="fr-FR" w:bidi="fr-FR"/>
        </w:rPr>
        <w:t> </w:t>
      </w:r>
      <w:r>
        <w:rPr>
          <w:rStyle w:val="Appelnotedebasdep"/>
          <w:lang w:eastAsia="fr-FR" w:bidi="fr-FR"/>
        </w:rPr>
        <w:footnoteReference w:id="3"/>
      </w:r>
      <w:r w:rsidRPr="004B2498">
        <w:rPr>
          <w:lang w:eastAsia="fr-FR" w:bidi="fr-FR"/>
        </w:rPr>
        <w:t>. Nous voudrions en effet aller au-delà de la description courante des méc</w:t>
      </w:r>
      <w:r w:rsidRPr="004B2498">
        <w:rPr>
          <w:lang w:eastAsia="fr-FR" w:bidi="fr-FR"/>
        </w:rPr>
        <w:t>a</w:t>
      </w:r>
      <w:r w:rsidRPr="004B2498">
        <w:rPr>
          <w:lang w:eastAsia="fr-FR" w:bidi="fr-FR"/>
        </w:rPr>
        <w:t>nismes et des ressorts explicatifs de leur accomplissement - origines, causes, conséquences, remèdes... (De la Dehesa, 2009) -, pour nous centrer plus particulièrement sur les interrogations épistémologiques nées a</w:t>
      </w:r>
      <w:r w:rsidRPr="004B2498">
        <w:rPr>
          <w:lang w:eastAsia="fr-FR" w:bidi="fr-FR"/>
        </w:rPr>
        <w:t>u</w:t>
      </w:r>
      <w:r w:rsidRPr="004B2498">
        <w:rPr>
          <w:lang w:eastAsia="fr-FR" w:bidi="fr-FR"/>
        </w:rPr>
        <w:t>tour de la responsabilité de l’économie financière dans leur émerge</w:t>
      </w:r>
      <w:r w:rsidRPr="004B2498">
        <w:rPr>
          <w:lang w:eastAsia="fr-FR" w:bidi="fr-FR"/>
        </w:rPr>
        <w:t>n</w:t>
      </w:r>
      <w:r w:rsidRPr="004B2498">
        <w:rPr>
          <w:lang w:eastAsia="fr-FR" w:bidi="fr-FR"/>
        </w:rPr>
        <w:t>ce, en prenant toutefois un certain recul dans l’appréhension des réal</w:t>
      </w:r>
      <w:r w:rsidRPr="004B2498">
        <w:rPr>
          <w:lang w:eastAsia="fr-FR" w:bidi="fr-FR"/>
        </w:rPr>
        <w:t>i</w:t>
      </w:r>
      <w:r w:rsidRPr="004B2498">
        <w:rPr>
          <w:lang w:eastAsia="fr-FR" w:bidi="fr-FR"/>
        </w:rPr>
        <w:t>tés concrètes, par rapport aux manifestations paroxystiques des crises.</w:t>
      </w:r>
    </w:p>
    <w:p w14:paraId="0F5ACE56" w14:textId="77777777" w:rsidR="002F4063" w:rsidRPr="004B2498" w:rsidRDefault="002F4063" w:rsidP="002F4063">
      <w:pPr>
        <w:spacing w:before="120" w:after="120"/>
        <w:jc w:val="both"/>
      </w:pPr>
      <w:r w:rsidRPr="004B2498">
        <w:rPr>
          <w:lang w:eastAsia="fr-FR" w:bidi="fr-FR"/>
        </w:rPr>
        <w:t>D’une manière plus détaillée, le plan de ce chapitre tente de rest</w:t>
      </w:r>
      <w:r w:rsidRPr="004B2498">
        <w:rPr>
          <w:lang w:eastAsia="fr-FR" w:bidi="fr-FR"/>
        </w:rPr>
        <w:t>i</w:t>
      </w:r>
      <w:r w:rsidRPr="004B2498">
        <w:rPr>
          <w:lang w:eastAsia="fr-FR" w:bidi="fr-FR"/>
        </w:rPr>
        <w:t>tuer par décompositions successives le contenu de l’idée générale pr</w:t>
      </w:r>
      <w:r w:rsidRPr="004B2498">
        <w:rPr>
          <w:lang w:eastAsia="fr-FR" w:bidi="fr-FR"/>
        </w:rPr>
        <w:t>é</w:t>
      </w:r>
      <w:r w:rsidRPr="004B2498">
        <w:rPr>
          <w:lang w:eastAsia="fr-FR" w:bidi="fr-FR"/>
        </w:rPr>
        <w:t xml:space="preserve">cédente : nous examinerons dans une première partie les relations complexes que nourrit la théorie standard de la finance avec l’éclosion récurrente de crises financières en montrant non seulement qu’elle </w:t>
      </w:r>
      <w:r w:rsidRPr="004B2498">
        <w:rPr>
          <w:lang w:eastAsia="fr-FR" w:bidi="fr-FR"/>
        </w:rPr>
        <w:lastRenderedPageBreak/>
        <w:t>s’avère défaillante sur le plan analytique et prévisionnel mais que ce</w:t>
      </w:r>
      <w:r w:rsidRPr="004B2498">
        <w:rPr>
          <w:lang w:eastAsia="fr-FR" w:bidi="fr-FR"/>
        </w:rPr>
        <w:t>l</w:t>
      </w:r>
      <w:r w:rsidRPr="004B2498">
        <w:rPr>
          <w:lang w:eastAsia="fr-FR" w:bidi="fr-FR"/>
        </w:rPr>
        <w:t>le-ci institue en outre un silence délibéré, général sur les processus d’instabilité financière. La question incontournable de la responsabil</w:t>
      </w:r>
      <w:r w:rsidRPr="004B2498">
        <w:rPr>
          <w:lang w:eastAsia="fr-FR" w:bidi="fr-FR"/>
        </w:rPr>
        <w:t>i</w:t>
      </w:r>
      <w:r w:rsidRPr="004B2498">
        <w:rPr>
          <w:lang w:eastAsia="fr-FR" w:bidi="fr-FR"/>
        </w:rPr>
        <w:t>té de certains économistes face aux désastres passés et présents de la finance globale de marché ne pouvant décemment être éludée, elle sera en fait abordée au travers de la non prise en compte par ces pr</w:t>
      </w:r>
      <w:r w:rsidRPr="004B2498">
        <w:rPr>
          <w:lang w:eastAsia="fr-FR" w:bidi="fr-FR"/>
        </w:rPr>
        <w:t>o</w:t>
      </w:r>
      <w:r w:rsidRPr="004B2498">
        <w:rPr>
          <w:lang w:eastAsia="fr-FR" w:bidi="fr-FR"/>
        </w:rPr>
        <w:t>fessionnels de dérives bien visibles et de leur carence intempestive à formuler des diagnostics indépendants des intérêts économiques de la communauté financière (Jorion, 2008).</w:t>
      </w:r>
    </w:p>
    <w:p w14:paraId="29AA7EB4" w14:textId="77777777" w:rsidR="002F4063" w:rsidRPr="004B2498" w:rsidRDefault="002F4063" w:rsidP="002F4063">
      <w:pPr>
        <w:spacing w:before="120" w:after="120"/>
        <w:jc w:val="both"/>
      </w:pPr>
      <w:r w:rsidRPr="004B2498">
        <w:rPr>
          <w:lang w:eastAsia="fr-FR" w:bidi="fr-FR"/>
        </w:rPr>
        <w:t>Le rôle du risque comme l’un des éléments explicatifs communs dans l’apparition des crises financières fera ensuite l’objet de dév</w:t>
      </w:r>
      <w:r w:rsidRPr="004B2498">
        <w:rPr>
          <w:lang w:eastAsia="fr-FR" w:bidi="fr-FR"/>
        </w:rPr>
        <w:t>e</w:t>
      </w:r>
      <w:r w:rsidRPr="004B2498">
        <w:rPr>
          <w:lang w:eastAsia="fr-FR" w:bidi="fr-FR"/>
        </w:rPr>
        <w:t>loppements dans la deuxième partie de ce chapitre. Force est de r</w:t>
      </w:r>
      <w:r w:rsidRPr="004B2498">
        <w:rPr>
          <w:lang w:eastAsia="fr-FR" w:bidi="fr-FR"/>
        </w:rPr>
        <w:t>e</w:t>
      </w:r>
      <w:r w:rsidRPr="004B2498">
        <w:rPr>
          <w:lang w:eastAsia="fr-FR" w:bidi="fr-FR"/>
        </w:rPr>
        <w:t>connaître toutefois que</w:t>
      </w:r>
      <w:r>
        <w:t xml:space="preserve"> </w:t>
      </w:r>
      <w:r w:rsidRPr="004B2498">
        <w:t>[15]</w:t>
      </w:r>
      <w:r>
        <w:t xml:space="preserve"> </w:t>
      </w:r>
      <w:r w:rsidRPr="004B2498">
        <w:rPr>
          <w:lang w:eastAsia="fr-FR" w:bidi="fr-FR"/>
        </w:rPr>
        <w:t>ceux-ci s’écarteront des analyses usuelles présentes dans les thé</w:t>
      </w:r>
      <w:r w:rsidRPr="004B2498">
        <w:rPr>
          <w:lang w:eastAsia="fr-FR" w:bidi="fr-FR"/>
        </w:rPr>
        <w:t>o</w:t>
      </w:r>
      <w:r w:rsidRPr="004B2498">
        <w:rPr>
          <w:lang w:eastAsia="fr-FR" w:bidi="fr-FR"/>
        </w:rPr>
        <w:t>ries orthodoxes du risque où la maximisation de la rentabilité du patrimoine prend souvent l’ascendant sur la prote</w:t>
      </w:r>
      <w:r w:rsidRPr="004B2498">
        <w:rPr>
          <w:lang w:eastAsia="fr-FR" w:bidi="fr-FR"/>
        </w:rPr>
        <w:t>c</w:t>
      </w:r>
      <w:r w:rsidRPr="004B2498">
        <w:rPr>
          <w:lang w:eastAsia="fr-FR" w:bidi="fr-FR"/>
        </w:rPr>
        <w:t>tion du capital en fe</w:t>
      </w:r>
      <w:r w:rsidRPr="004B2498">
        <w:rPr>
          <w:lang w:eastAsia="fr-FR" w:bidi="fr-FR"/>
        </w:rPr>
        <w:t>i</w:t>
      </w:r>
      <w:r w:rsidRPr="004B2498">
        <w:rPr>
          <w:lang w:eastAsia="fr-FR" w:bidi="fr-FR"/>
        </w:rPr>
        <w:t>gnant d’ignorer les effets sous-jacents, les excès occultes associés à une telle stratégie d’investissement financier (O</w:t>
      </w:r>
      <w:r w:rsidRPr="004B2498">
        <w:rPr>
          <w:lang w:eastAsia="fr-FR" w:bidi="fr-FR"/>
        </w:rPr>
        <w:t>r</w:t>
      </w:r>
      <w:r w:rsidRPr="004B2498">
        <w:rPr>
          <w:lang w:eastAsia="fr-FR" w:bidi="fr-FR"/>
        </w:rPr>
        <w:t>léan, 2010). Une des conséquences néfastes de la sous-estimation sy</w:t>
      </w:r>
      <w:r w:rsidRPr="004B2498">
        <w:rPr>
          <w:lang w:eastAsia="fr-FR" w:bidi="fr-FR"/>
        </w:rPr>
        <w:t>s</w:t>
      </w:r>
      <w:r w:rsidRPr="004B2498">
        <w:rPr>
          <w:lang w:eastAsia="fr-FR" w:bidi="fr-FR"/>
        </w:rPr>
        <w:t>tématique du risque étant d’accentuer en permanence la charge de l’endettement (public ou privé) à l’intérieur des structures de l’économie réelle, nous insisterons sur le fait que la croissance exp</w:t>
      </w:r>
      <w:r w:rsidRPr="004B2498">
        <w:rPr>
          <w:lang w:eastAsia="fr-FR" w:bidi="fr-FR"/>
        </w:rPr>
        <w:t>o</w:t>
      </w:r>
      <w:r w:rsidRPr="004B2498">
        <w:rPr>
          <w:lang w:eastAsia="fr-FR" w:bidi="fr-FR"/>
        </w:rPr>
        <w:t>nentielle des dettes au niveau national ou international constitue une des principales sources de cr</w:t>
      </w:r>
      <w:r w:rsidRPr="004B2498">
        <w:rPr>
          <w:lang w:eastAsia="fr-FR" w:bidi="fr-FR"/>
        </w:rPr>
        <w:t>i</w:t>
      </w:r>
      <w:r w:rsidRPr="004B2498">
        <w:rPr>
          <w:lang w:eastAsia="fr-FR" w:bidi="fr-FR"/>
        </w:rPr>
        <w:t>ses futures en l’absence d’une réforme financière internationale capable de se substituer à la déficiente go</w:t>
      </w:r>
      <w:r w:rsidRPr="004B2498">
        <w:rPr>
          <w:lang w:eastAsia="fr-FR" w:bidi="fr-FR"/>
        </w:rPr>
        <w:t>u</w:t>
      </w:r>
      <w:r w:rsidRPr="004B2498">
        <w:rPr>
          <w:lang w:eastAsia="fr-FR" w:bidi="fr-FR"/>
        </w:rPr>
        <w:t>vernance actuelle.</w:t>
      </w:r>
    </w:p>
    <w:p w14:paraId="0CCB817B" w14:textId="77777777" w:rsidR="002F4063" w:rsidRPr="004B2498" w:rsidRDefault="002F4063" w:rsidP="002F4063">
      <w:pPr>
        <w:spacing w:before="120" w:after="120"/>
        <w:jc w:val="both"/>
      </w:pPr>
      <w:r w:rsidRPr="004B2498">
        <w:rPr>
          <w:lang w:eastAsia="fr-FR" w:bidi="fr-FR"/>
        </w:rPr>
        <w:t>Ce dernier angle d’analyse nous permettra enfin de faire le lien avec la dernière partie où l’on prend acte de l’épuisement du paradi</w:t>
      </w:r>
      <w:r w:rsidRPr="004B2498">
        <w:rPr>
          <w:lang w:eastAsia="fr-FR" w:bidi="fr-FR"/>
        </w:rPr>
        <w:t>g</w:t>
      </w:r>
      <w:r w:rsidRPr="004B2498">
        <w:rPr>
          <w:lang w:eastAsia="fr-FR" w:bidi="fr-FR"/>
        </w:rPr>
        <w:t>me néolibéral dans le domaine de la finance : ce dernier serait rempl</w:t>
      </w:r>
      <w:r w:rsidRPr="004B2498">
        <w:rPr>
          <w:lang w:eastAsia="fr-FR" w:bidi="fr-FR"/>
        </w:rPr>
        <w:t>a</w:t>
      </w:r>
      <w:r w:rsidRPr="004B2498">
        <w:rPr>
          <w:lang w:eastAsia="fr-FR" w:bidi="fr-FR"/>
        </w:rPr>
        <w:t>cé aujourd’hui par la domination sans partage du concept fluctuant d’hyperliquidité comme variable d’ajustement nécessaire au bon fon</w:t>
      </w:r>
      <w:r w:rsidRPr="004B2498">
        <w:rPr>
          <w:lang w:eastAsia="fr-FR" w:bidi="fr-FR"/>
        </w:rPr>
        <w:t>c</w:t>
      </w:r>
      <w:r w:rsidRPr="004B2498">
        <w:rPr>
          <w:lang w:eastAsia="fr-FR" w:bidi="fr-FR"/>
        </w:rPr>
        <w:t>tionnement du capitalisme globalisé (Artus, Virard, 2010). Rien ne devant en effet interrompre la fourniture en flux continus de liquidités, la valeur flottante des marchés de la planète - nouvelle norme d’organisation de l’activité financière -, représente alors une des c</w:t>
      </w:r>
      <w:r w:rsidRPr="004B2498">
        <w:rPr>
          <w:lang w:eastAsia="fr-FR" w:bidi="fr-FR"/>
        </w:rPr>
        <w:t>a</w:t>
      </w:r>
      <w:r w:rsidRPr="004B2498">
        <w:rPr>
          <w:lang w:eastAsia="fr-FR" w:bidi="fr-FR"/>
        </w:rPr>
        <w:t>ractéristiques fondamentales, une sorte de reflet incomplet de l’incertitude économique actuelle qui déplace les autres facteurs de création des richesses : le travail, les savoirs, les technologies... Ce sont les traits essentiels de ce paradigme de la liquidité que nous tent</w:t>
      </w:r>
      <w:r w:rsidRPr="004B2498">
        <w:rPr>
          <w:lang w:eastAsia="fr-FR" w:bidi="fr-FR"/>
        </w:rPr>
        <w:t>e</w:t>
      </w:r>
      <w:r w:rsidRPr="004B2498">
        <w:rPr>
          <w:lang w:eastAsia="fr-FR" w:bidi="fr-FR"/>
        </w:rPr>
        <w:lastRenderedPageBreak/>
        <w:t>rons d’analyser ici. Une conclusion ouverte sur les perspectives éc</w:t>
      </w:r>
      <w:r w:rsidRPr="004B2498">
        <w:rPr>
          <w:lang w:eastAsia="fr-FR" w:bidi="fr-FR"/>
        </w:rPr>
        <w:t>o</w:t>
      </w:r>
      <w:r w:rsidRPr="004B2498">
        <w:rPr>
          <w:lang w:eastAsia="fr-FR" w:bidi="fr-FR"/>
        </w:rPr>
        <w:t>nomiques et politiques induites par cette configuration théorique achèvera provisoirement ce chapitre.</w:t>
      </w:r>
    </w:p>
    <w:p w14:paraId="76330719" w14:textId="77777777" w:rsidR="002F4063" w:rsidRPr="004B2498" w:rsidRDefault="002F4063" w:rsidP="002F4063">
      <w:pPr>
        <w:spacing w:before="120" w:after="120"/>
        <w:jc w:val="both"/>
        <w:rPr>
          <w:szCs w:val="24"/>
          <w:lang w:eastAsia="fr-FR" w:bidi="fr-FR"/>
        </w:rPr>
      </w:pPr>
    </w:p>
    <w:p w14:paraId="1EA44BDC" w14:textId="77777777" w:rsidR="002F4063" w:rsidRPr="004B2498" w:rsidRDefault="002F4063" w:rsidP="002F4063">
      <w:pPr>
        <w:pStyle w:val="planche"/>
      </w:pPr>
      <w:r w:rsidRPr="004B2498">
        <w:rPr>
          <w:lang w:eastAsia="fr-FR" w:bidi="fr-FR"/>
        </w:rPr>
        <w:t>LA THÉORIE FACE AU RÉEL</w:t>
      </w:r>
    </w:p>
    <w:p w14:paraId="1FFF017A" w14:textId="77777777" w:rsidR="002F4063" w:rsidRPr="004B2498" w:rsidRDefault="002F4063" w:rsidP="002F4063">
      <w:pPr>
        <w:spacing w:before="120" w:after="120"/>
        <w:jc w:val="both"/>
        <w:rPr>
          <w:lang w:eastAsia="fr-FR" w:bidi="fr-FR"/>
        </w:rPr>
      </w:pPr>
    </w:p>
    <w:p w14:paraId="14E874E6" w14:textId="77777777" w:rsidR="002F4063" w:rsidRPr="004B2498" w:rsidRDefault="002F4063" w:rsidP="002F4063">
      <w:pPr>
        <w:spacing w:before="120" w:after="120"/>
        <w:jc w:val="both"/>
      </w:pPr>
      <w:r w:rsidRPr="004B2498">
        <w:rPr>
          <w:lang w:eastAsia="fr-FR" w:bidi="fr-FR"/>
        </w:rPr>
        <w:t>Parmi les trois sujets majeurs</w:t>
      </w:r>
      <w:r>
        <w:rPr>
          <w:lang w:eastAsia="fr-FR" w:bidi="fr-FR"/>
        </w:rPr>
        <w:t> </w:t>
      </w:r>
      <w:r>
        <w:rPr>
          <w:rStyle w:val="Appelnotedebasdep"/>
          <w:lang w:eastAsia="fr-FR" w:bidi="fr-FR"/>
        </w:rPr>
        <w:footnoteReference w:id="4"/>
      </w:r>
      <w:r w:rsidRPr="004B2498">
        <w:rPr>
          <w:lang w:eastAsia="fr-FR" w:bidi="fr-FR"/>
        </w:rPr>
        <w:t xml:space="preserve"> de la finance contemporaine fa</w:t>
      </w:r>
      <w:r w:rsidRPr="004B2498">
        <w:rPr>
          <w:lang w:eastAsia="fr-FR" w:bidi="fr-FR"/>
        </w:rPr>
        <w:t>i</w:t>
      </w:r>
      <w:r w:rsidRPr="004B2498">
        <w:rPr>
          <w:lang w:eastAsia="fr-FR" w:bidi="fr-FR"/>
        </w:rPr>
        <w:t>sant encore débat (Rainelli-Le Montagner, 2003), le problème co</w:t>
      </w:r>
      <w:r w:rsidRPr="004B2498">
        <w:rPr>
          <w:lang w:eastAsia="fr-FR" w:bidi="fr-FR"/>
        </w:rPr>
        <w:t>m</w:t>
      </w:r>
      <w:r w:rsidRPr="004B2498">
        <w:rPr>
          <w:lang w:eastAsia="fr-FR" w:bidi="fr-FR"/>
        </w:rPr>
        <w:t>plexe des crises financières concentre l’essentiel des critiques autour de la validité prédictive de la théorie financière dominante et de l’expertise des économistes supposée en rendre compte. Or, réduire la problém</w:t>
      </w:r>
      <w:r w:rsidRPr="004B2498">
        <w:rPr>
          <w:lang w:eastAsia="fr-FR" w:bidi="fr-FR"/>
        </w:rPr>
        <w:t>a</w:t>
      </w:r>
      <w:r w:rsidRPr="004B2498">
        <w:rPr>
          <w:lang w:eastAsia="fr-FR" w:bidi="fr-FR"/>
        </w:rPr>
        <w:t>tique aux seules défaillances théoriques ou professionnelles de la science économique ne suffit évidemment pas dès lors que l’imprévisibilité de tels cataclysmes financiers démontre concrètement une irréductibilité irritante à tout schéma théorique ou à des comp</w:t>
      </w:r>
      <w:r w:rsidRPr="004B2498">
        <w:rPr>
          <w:lang w:eastAsia="fr-FR" w:bidi="fr-FR"/>
        </w:rPr>
        <w:t>é</w:t>
      </w:r>
      <w:r w:rsidRPr="004B2498">
        <w:rPr>
          <w:lang w:eastAsia="fr-FR" w:bidi="fr-FR"/>
        </w:rPr>
        <w:t>tences techniques (Cohen, 2010). En d’autres termes, la spécificité intrinsèque des crises financières de la globalisation</w:t>
      </w:r>
      <w:r>
        <w:t xml:space="preserve"> </w:t>
      </w:r>
      <w:r w:rsidRPr="004B2498">
        <w:t>[16]</w:t>
      </w:r>
      <w:r>
        <w:t xml:space="preserve"> </w:t>
      </w:r>
      <w:r w:rsidRPr="004B2498">
        <w:rPr>
          <w:lang w:eastAsia="fr-FR" w:bidi="fr-FR"/>
        </w:rPr>
        <w:t>renvoie à un contexte historique indispensable à une meilleure compréhension de la genèse et des mécanismes de leur apparition (J</w:t>
      </w:r>
      <w:r w:rsidRPr="004B2498">
        <w:rPr>
          <w:lang w:eastAsia="fr-FR" w:bidi="fr-FR"/>
        </w:rPr>
        <w:t>o</w:t>
      </w:r>
      <w:r w:rsidRPr="004B2498">
        <w:rPr>
          <w:lang w:eastAsia="fr-FR" w:bidi="fr-FR"/>
        </w:rPr>
        <w:t>rion, 2008). Aucune des crises étudiées jusqu’à présent par les économistes ou les hist</w:t>
      </w:r>
      <w:r w:rsidRPr="004B2498">
        <w:rPr>
          <w:lang w:eastAsia="fr-FR" w:bidi="fr-FR"/>
        </w:rPr>
        <w:t>o</w:t>
      </w:r>
      <w:r w:rsidRPr="004B2498">
        <w:rPr>
          <w:lang w:eastAsia="fr-FR" w:bidi="fr-FR"/>
        </w:rPr>
        <w:t>riens n’a en effet surgi, comme par enchantement, du ciel bleu irén</w:t>
      </w:r>
      <w:r w:rsidRPr="004B2498">
        <w:rPr>
          <w:lang w:eastAsia="fr-FR" w:bidi="fr-FR"/>
        </w:rPr>
        <w:t>i</w:t>
      </w:r>
      <w:r w:rsidRPr="004B2498">
        <w:rPr>
          <w:lang w:eastAsia="fr-FR" w:bidi="fr-FR"/>
        </w:rPr>
        <w:t>que d’une économie financière internationale ne connaissant que des phases de prospérité durable, vierge de pr</w:t>
      </w:r>
      <w:r w:rsidRPr="004B2498">
        <w:rPr>
          <w:lang w:eastAsia="fr-FR" w:bidi="fr-FR"/>
        </w:rPr>
        <w:t>o</w:t>
      </w:r>
      <w:r w:rsidRPr="004B2498">
        <w:rPr>
          <w:lang w:eastAsia="fr-FR" w:bidi="fr-FR"/>
        </w:rPr>
        <w:t>blèmes, réels ou latents, inhérents au développement du capitalisme (Roubini, Mihm, 2010).</w:t>
      </w:r>
    </w:p>
    <w:p w14:paraId="34D94B49" w14:textId="77777777" w:rsidR="002F4063" w:rsidRPr="004B2498" w:rsidRDefault="002F4063" w:rsidP="002F4063">
      <w:pPr>
        <w:spacing w:before="120" w:after="120"/>
        <w:jc w:val="both"/>
      </w:pPr>
      <w:r w:rsidRPr="004B2498">
        <w:rPr>
          <w:lang w:eastAsia="fr-FR" w:bidi="fr-FR"/>
        </w:rPr>
        <w:t>Le préambule antérieur justifie la structuration de cette première partie restituant en filigrane la démarche employée ici : après avoir introduit la notion de dimension historique associée à l’apparition et au déroulement des crises financières, nous procéderons ensuite à une révision critique de la théorie financière orthodoxe qui, depuis les a</w:t>
      </w:r>
      <w:r w:rsidRPr="004B2498">
        <w:rPr>
          <w:lang w:eastAsia="fr-FR" w:bidi="fr-FR"/>
        </w:rPr>
        <w:t>n</w:t>
      </w:r>
      <w:r w:rsidRPr="004B2498">
        <w:rPr>
          <w:lang w:eastAsia="fr-FR" w:bidi="fr-FR"/>
        </w:rPr>
        <w:t>nées 1980, a accompagné simultanément l’essor exceptionnel de la finance de marché et ses dérives les plus spectaculaires. À l’évidence, le succès rencontré ne s’est pas circonscrit aux seuls attraits intelle</w:t>
      </w:r>
      <w:r w:rsidRPr="004B2498">
        <w:rPr>
          <w:lang w:eastAsia="fr-FR" w:bidi="fr-FR"/>
        </w:rPr>
        <w:t>c</w:t>
      </w:r>
      <w:r w:rsidRPr="004B2498">
        <w:rPr>
          <w:lang w:eastAsia="fr-FR" w:bidi="fr-FR"/>
        </w:rPr>
        <w:t>tuels d’une pertinence théorique puisque cette séduction a en fin de compte exercé une influence grandissante sur la plupart des écono</w:t>
      </w:r>
      <w:r w:rsidRPr="004B2498">
        <w:rPr>
          <w:lang w:eastAsia="fr-FR" w:bidi="fr-FR"/>
        </w:rPr>
        <w:lastRenderedPageBreak/>
        <w:t>mi</w:t>
      </w:r>
      <w:r w:rsidRPr="004B2498">
        <w:rPr>
          <w:lang w:eastAsia="fr-FR" w:bidi="fr-FR"/>
        </w:rPr>
        <w:t>s</w:t>
      </w:r>
      <w:r w:rsidRPr="004B2498">
        <w:rPr>
          <w:lang w:eastAsia="fr-FR" w:bidi="fr-FR"/>
        </w:rPr>
        <w:t>tes, les responsabilisant par ailleurs pour leur absence flagrante d’anticipation en la matière (Roubin, Mihm, 2010).</w:t>
      </w:r>
    </w:p>
    <w:p w14:paraId="0F29FE0C" w14:textId="77777777" w:rsidR="002F4063" w:rsidRPr="004B2498" w:rsidRDefault="002F4063" w:rsidP="002F4063">
      <w:pPr>
        <w:spacing w:before="120" w:after="120"/>
        <w:jc w:val="both"/>
        <w:rPr>
          <w:szCs w:val="24"/>
          <w:lang w:eastAsia="fr-FR" w:bidi="fr-FR"/>
        </w:rPr>
      </w:pPr>
    </w:p>
    <w:p w14:paraId="5903D39F" w14:textId="77777777" w:rsidR="002F4063" w:rsidRPr="004B2498" w:rsidRDefault="002F4063" w:rsidP="002F4063">
      <w:pPr>
        <w:pStyle w:val="a"/>
      </w:pPr>
      <w:r w:rsidRPr="004B2498">
        <w:t xml:space="preserve">Passé, </w:t>
      </w:r>
      <w:r w:rsidRPr="004B2498">
        <w:rPr>
          <w:szCs w:val="24"/>
        </w:rPr>
        <w:t>présent</w:t>
      </w:r>
      <w:r w:rsidRPr="004B2498">
        <w:t xml:space="preserve"> des crises financières</w:t>
      </w:r>
    </w:p>
    <w:p w14:paraId="02DA5C9F" w14:textId="77777777" w:rsidR="002F4063" w:rsidRPr="004B2498" w:rsidRDefault="002F4063" w:rsidP="002F4063">
      <w:pPr>
        <w:spacing w:before="120" w:after="120"/>
        <w:jc w:val="both"/>
        <w:rPr>
          <w:lang w:eastAsia="fr-FR" w:bidi="fr-FR"/>
        </w:rPr>
      </w:pPr>
    </w:p>
    <w:p w14:paraId="0E1FFBC8" w14:textId="77777777" w:rsidR="002F4063" w:rsidRPr="004B2498" w:rsidRDefault="002F4063" w:rsidP="002F4063">
      <w:pPr>
        <w:spacing w:before="120" w:after="120"/>
        <w:jc w:val="both"/>
      </w:pPr>
      <w:r w:rsidRPr="004B2498">
        <w:rPr>
          <w:lang w:eastAsia="fr-FR" w:bidi="fr-FR"/>
        </w:rPr>
        <w:t xml:space="preserve">Sans trop approfondir l’histoire féconde des ruptures financières du capitalisme, on peut néanmoins affirmer qu’il existerait, au cours du temps, un mode de fonctionnement caractéristique, avec des périodes euphoriques de </w:t>
      </w:r>
      <w:r w:rsidRPr="004B2498">
        <w:t>booms</w:t>
      </w:r>
      <w:r w:rsidRPr="004B2498">
        <w:rPr>
          <w:lang w:eastAsia="fr-FR" w:bidi="fr-FR"/>
        </w:rPr>
        <w:t xml:space="preserve"> et de bulles, cédant soudainement la place à des phases de peur relatives aux retournements de tendances et aux </w:t>
      </w:r>
      <w:r w:rsidRPr="00F93343">
        <w:rPr>
          <w:i/>
        </w:rPr>
        <w:t>krachs</w:t>
      </w:r>
      <w:r w:rsidRPr="004B2498">
        <w:t>.</w:t>
      </w:r>
      <w:r w:rsidRPr="004B2498">
        <w:rPr>
          <w:lang w:eastAsia="fr-FR" w:bidi="fr-FR"/>
        </w:rPr>
        <w:t xml:space="preserve"> En ce sens, la période de globalisation actuelle n’offre aucune originalité particulière si l’on se réfère aux crises majeures (1873, 1929 par exemple) ayant régulièrement jalonné la consolidation pr</w:t>
      </w:r>
      <w:r w:rsidRPr="004B2498">
        <w:rPr>
          <w:lang w:eastAsia="fr-FR" w:bidi="fr-FR"/>
        </w:rPr>
        <w:t>o</w:t>
      </w:r>
      <w:r w:rsidRPr="004B2498">
        <w:rPr>
          <w:lang w:eastAsia="fr-FR" w:bidi="fr-FR"/>
        </w:rPr>
        <w:t>gressive du système capitaliste à l’échelle mondiale (Orléan, 2010 ; Marichal, 2010). Ces deux périodes ont aussi en commun d’avoir vu naître les principaux instruments financiers et monétaires dont la f</w:t>
      </w:r>
      <w:r w:rsidRPr="004B2498">
        <w:rPr>
          <w:lang w:eastAsia="fr-FR" w:bidi="fr-FR"/>
        </w:rPr>
        <w:t>a</w:t>
      </w:r>
      <w:r w:rsidRPr="004B2498">
        <w:rPr>
          <w:lang w:eastAsia="fr-FR" w:bidi="fr-FR"/>
        </w:rPr>
        <w:t>miliarité ne nous surprend plus guère aujourd’hui : banques intern</w:t>
      </w:r>
      <w:r w:rsidRPr="004B2498">
        <w:rPr>
          <w:lang w:eastAsia="fr-FR" w:bidi="fr-FR"/>
        </w:rPr>
        <w:t>a</w:t>
      </w:r>
      <w:r w:rsidRPr="004B2498">
        <w:rPr>
          <w:lang w:eastAsia="fr-FR" w:bidi="fr-FR"/>
        </w:rPr>
        <w:t>tionales, places financières hégémoniques (Berlin, Londres, New York, Paris...), flux de capitaux et de devises planétaires, innovations financières, etc.</w:t>
      </w:r>
    </w:p>
    <w:p w14:paraId="7C0AEE16" w14:textId="77777777" w:rsidR="002F4063" w:rsidRPr="004B2498" w:rsidRDefault="002F4063" w:rsidP="002F4063">
      <w:pPr>
        <w:spacing w:before="120" w:after="120"/>
        <w:jc w:val="both"/>
      </w:pPr>
      <w:r w:rsidRPr="004B2498">
        <w:rPr>
          <w:lang w:eastAsia="fr-FR" w:bidi="fr-FR"/>
        </w:rPr>
        <w:t>Si la globalisation ne constitue nullement une nouveauté histor</w:t>
      </w:r>
      <w:r w:rsidRPr="004B2498">
        <w:rPr>
          <w:lang w:eastAsia="fr-FR" w:bidi="fr-FR"/>
        </w:rPr>
        <w:t>i</w:t>
      </w:r>
      <w:r w:rsidRPr="004B2498">
        <w:rPr>
          <w:lang w:eastAsia="fr-FR" w:bidi="fr-FR"/>
        </w:rPr>
        <w:t xml:space="preserve">que, invoquer l’existence d’une crise de la globalisation ou dans la globalisation revêtirait en revanche une signification digne d’intérêt pour le présent. À l’heure où d’aucuns s’interrogent avec sérieux sur la possible émergence d’un </w:t>
      </w:r>
      <w:r w:rsidRPr="00F93343">
        <w:rPr>
          <w:i/>
        </w:rPr>
        <w:t>Nouvel Âge de la Globalisation</w:t>
      </w:r>
      <w:r w:rsidRPr="004B2498">
        <w:rPr>
          <w:lang w:eastAsia="fr-FR" w:bidi="fr-FR"/>
        </w:rPr>
        <w:t>, fort élo</w:t>
      </w:r>
      <w:r w:rsidRPr="004B2498">
        <w:rPr>
          <w:lang w:eastAsia="fr-FR" w:bidi="fr-FR"/>
        </w:rPr>
        <w:t>i</w:t>
      </w:r>
      <w:r w:rsidRPr="004B2498">
        <w:rPr>
          <w:lang w:eastAsia="fr-FR" w:bidi="fr-FR"/>
        </w:rPr>
        <w:t>gné des prédictions optimistes de la mondialisation « heureuse » des années 1990, l’hypothèse d’une évolution historique saccadée des formes de la globalisation, comme produit de ruptures successives dans le fonctio</w:t>
      </w:r>
      <w:r>
        <w:rPr>
          <w:lang w:eastAsia="fr-FR" w:bidi="fr-FR"/>
        </w:rPr>
        <w:t xml:space="preserve">nnement de la finance de marché, </w:t>
      </w:r>
      <w:r w:rsidRPr="004B2498">
        <w:t>[17]</w:t>
      </w:r>
      <w:r>
        <w:t xml:space="preserve"> </w:t>
      </w:r>
      <w:r w:rsidRPr="004B2498">
        <w:rPr>
          <w:lang w:eastAsia="fr-FR" w:bidi="fr-FR"/>
        </w:rPr>
        <w:t>prendrait alors force interprétative à la lumière des évènements r</w:t>
      </w:r>
      <w:r w:rsidRPr="004B2498">
        <w:rPr>
          <w:lang w:eastAsia="fr-FR" w:bidi="fr-FR"/>
        </w:rPr>
        <w:t>é</w:t>
      </w:r>
      <w:r w:rsidRPr="004B2498">
        <w:rPr>
          <w:lang w:eastAsia="fr-FR" w:bidi="fr-FR"/>
        </w:rPr>
        <w:t xml:space="preserve">cents : n’assisterait-on pas d’ores et déjà à un véritable </w:t>
      </w:r>
      <w:r w:rsidRPr="00F93343">
        <w:rPr>
          <w:i/>
        </w:rPr>
        <w:t>aggiornamiento</w:t>
      </w:r>
      <w:r w:rsidRPr="004B2498">
        <w:rPr>
          <w:lang w:eastAsia="fr-FR" w:bidi="fr-FR"/>
        </w:rPr>
        <w:t xml:space="preserve"> intellectuel et p</w:t>
      </w:r>
      <w:r w:rsidRPr="004B2498">
        <w:rPr>
          <w:lang w:eastAsia="fr-FR" w:bidi="fr-FR"/>
        </w:rPr>
        <w:t>o</w:t>
      </w:r>
      <w:r w:rsidRPr="004B2498">
        <w:rPr>
          <w:lang w:eastAsia="fr-FR" w:bidi="fr-FR"/>
        </w:rPr>
        <w:t xml:space="preserve">litique de portée mondiale dans la mesure où le </w:t>
      </w:r>
      <w:r w:rsidRPr="00F93343">
        <w:rPr>
          <w:i/>
        </w:rPr>
        <w:t>Consensus de Pékin</w:t>
      </w:r>
      <w:r w:rsidRPr="004B2498">
        <w:t xml:space="preserve"> </w:t>
      </w:r>
      <w:r w:rsidRPr="004B2498">
        <w:rPr>
          <w:lang w:eastAsia="fr-FR" w:bidi="fr-FR"/>
        </w:rPr>
        <w:t xml:space="preserve">pourrait remplacer, à plus ou moins brève échéance (si ce n’est déjà fait...) celui tant décrié du malheureux </w:t>
      </w:r>
      <w:r w:rsidRPr="00F93343">
        <w:rPr>
          <w:i/>
        </w:rPr>
        <w:t>Consensus de Washington</w:t>
      </w:r>
      <w:r w:rsidRPr="004B2498">
        <w:rPr>
          <w:lang w:eastAsia="fr-FR" w:bidi="fr-FR"/>
        </w:rPr>
        <w:t xml:space="preserve"> (Ben Hammouda, Oulmane, Sadni Jallab, 2010) ?</w:t>
      </w:r>
    </w:p>
    <w:p w14:paraId="4A5CCF4F" w14:textId="77777777" w:rsidR="002F4063" w:rsidRPr="004B2498" w:rsidRDefault="002F4063" w:rsidP="002F4063">
      <w:pPr>
        <w:spacing w:before="120" w:after="120"/>
        <w:jc w:val="both"/>
      </w:pPr>
      <w:r w:rsidRPr="004B2498">
        <w:rPr>
          <w:lang w:eastAsia="fr-FR" w:bidi="fr-FR"/>
        </w:rPr>
        <w:lastRenderedPageBreak/>
        <w:t>La crise actuelle n’ayant d’ailleurs épargné aucune des principales nations insérées dans la division internationale du travail, celles d</w:t>
      </w:r>
      <w:r w:rsidRPr="004B2498">
        <w:rPr>
          <w:lang w:eastAsia="fr-FR" w:bidi="fr-FR"/>
        </w:rPr>
        <w:t>é</w:t>
      </w:r>
      <w:r w:rsidRPr="004B2498">
        <w:rPr>
          <w:lang w:eastAsia="fr-FR" w:bidi="fr-FR"/>
        </w:rPr>
        <w:t>pendant de la dynamique de la globalisation, la sortie de crise, lor</w:t>
      </w:r>
      <w:r w:rsidRPr="004B2498">
        <w:rPr>
          <w:lang w:eastAsia="fr-FR" w:bidi="fr-FR"/>
        </w:rPr>
        <w:t>s</w:t>
      </w:r>
      <w:r w:rsidRPr="004B2498">
        <w:rPr>
          <w:lang w:eastAsia="fr-FR" w:bidi="fr-FR"/>
        </w:rPr>
        <w:t>qu’elle s’est manifestée, a dû également emprunter des modalités et des moyens différenciés selon l’intensité de l’impact subi. Car si les pays dits « émergents » se sont provisoirement tirés d’affaire, ce n’est qu’au prix d’un plébiscite franc et massif en faveur de la logique de la mondialisation, en s’y immergeant pleinement de l’intérieur, à seule fin d’en mieux contrôler les éventuelles dérives. Nous sommes donc très éloignés d’un discours critique stigmatisant les afflux et les reflux de capitaux internationaux spéculatifs comme boucs émissaires co</w:t>
      </w:r>
      <w:r w:rsidRPr="004B2498">
        <w:rPr>
          <w:lang w:eastAsia="fr-FR" w:bidi="fr-FR"/>
        </w:rPr>
        <w:t>u</w:t>
      </w:r>
      <w:r w:rsidRPr="004B2498">
        <w:rPr>
          <w:lang w:eastAsia="fr-FR" w:bidi="fr-FR"/>
        </w:rPr>
        <w:t>pables des faillites bancaires ou de la désindustrialisation tendancielle de pays situés au cœur même du capitalisme globalisé. Retournement étrange de l’histoire économique présente : après avoir été un temps les bénéficiaires des ressources du monde occidental. Chinois et Jap</w:t>
      </w:r>
      <w:r w:rsidRPr="004B2498">
        <w:rPr>
          <w:lang w:eastAsia="fr-FR" w:bidi="fr-FR"/>
        </w:rPr>
        <w:t>o</w:t>
      </w:r>
      <w:r w:rsidRPr="004B2498">
        <w:rPr>
          <w:lang w:eastAsia="fr-FR" w:bidi="fr-FR"/>
        </w:rPr>
        <w:t>nais fournissent maintenant une masse substantielle de liquidités à ceux qui en manquent cruellement (Europe, USA).</w:t>
      </w:r>
    </w:p>
    <w:p w14:paraId="6589D35A" w14:textId="77777777" w:rsidR="002F4063" w:rsidRPr="004B2498" w:rsidRDefault="002F4063" w:rsidP="002F4063">
      <w:pPr>
        <w:spacing w:before="120" w:after="120"/>
        <w:jc w:val="both"/>
      </w:pPr>
      <w:r w:rsidRPr="004B2498">
        <w:rPr>
          <w:lang w:eastAsia="fr-FR" w:bidi="fr-FR"/>
        </w:rPr>
        <w:t>On propose de distinguer ici des périodes transitoires, superposées ou successives qui s’entremêleraient selon les différentes séquences de l’intervention économique publique. À titre d’illustration, les i</w:t>
      </w:r>
      <w:r w:rsidRPr="004B2498">
        <w:rPr>
          <w:lang w:eastAsia="fr-FR" w:bidi="fr-FR"/>
        </w:rPr>
        <w:t>m</w:t>
      </w:r>
      <w:r w:rsidRPr="004B2498">
        <w:rPr>
          <w:lang w:eastAsia="fr-FR" w:bidi="fr-FR"/>
        </w:rPr>
        <w:t>brications temporelles de réponse à la crise pourraient être les suiva</w:t>
      </w:r>
      <w:r w:rsidRPr="004B2498">
        <w:rPr>
          <w:lang w:eastAsia="fr-FR" w:bidi="fr-FR"/>
        </w:rPr>
        <w:t>n</w:t>
      </w:r>
      <w:r w:rsidRPr="004B2498">
        <w:rPr>
          <w:lang w:eastAsia="fr-FR" w:bidi="fr-FR"/>
        </w:rPr>
        <w:t>tes :</w:t>
      </w:r>
    </w:p>
    <w:p w14:paraId="737E12BC" w14:textId="77777777" w:rsidR="002F4063" w:rsidRPr="004B2498" w:rsidRDefault="002F4063" w:rsidP="002F4063">
      <w:pPr>
        <w:spacing w:before="120" w:after="120"/>
        <w:jc w:val="both"/>
        <w:rPr>
          <w:lang w:eastAsia="fr-FR" w:bidi="fr-FR"/>
        </w:rPr>
      </w:pPr>
    </w:p>
    <w:p w14:paraId="46A1BDD8" w14:textId="77777777" w:rsidR="002F4063" w:rsidRPr="004B2498" w:rsidRDefault="002F4063" w:rsidP="002F4063">
      <w:pPr>
        <w:spacing w:before="120" w:after="120"/>
        <w:ind w:left="720" w:hanging="360"/>
        <w:jc w:val="both"/>
      </w:pPr>
      <w:r w:rsidRPr="004B2498">
        <w:rPr>
          <w:lang w:eastAsia="fr-FR" w:bidi="fr-FR"/>
        </w:rPr>
        <w:t>-</w:t>
      </w:r>
      <w:r w:rsidRPr="004B2498">
        <w:rPr>
          <w:lang w:eastAsia="fr-FR" w:bidi="fr-FR"/>
        </w:rPr>
        <w:tab/>
        <w:t>L’horizon de court terme qui correspond à l’action de l’État pe</w:t>
      </w:r>
      <w:r w:rsidRPr="004B2498">
        <w:rPr>
          <w:lang w:eastAsia="fr-FR" w:bidi="fr-FR"/>
        </w:rPr>
        <w:t>r</w:t>
      </w:r>
      <w:r w:rsidRPr="004B2498">
        <w:rPr>
          <w:lang w:eastAsia="fr-FR" w:bidi="fr-FR"/>
        </w:rPr>
        <w:t>mettant d’éviter la propagation éventuelle de la crise ;</w:t>
      </w:r>
    </w:p>
    <w:p w14:paraId="45FCD193" w14:textId="77777777" w:rsidR="002F4063" w:rsidRPr="004B2498" w:rsidRDefault="002F4063" w:rsidP="002F4063">
      <w:pPr>
        <w:spacing w:before="120" w:after="120"/>
        <w:ind w:left="720" w:hanging="360"/>
        <w:jc w:val="both"/>
      </w:pPr>
      <w:r w:rsidRPr="004B2498">
        <w:rPr>
          <w:lang w:eastAsia="fr-FR" w:bidi="fr-FR"/>
        </w:rPr>
        <w:t>-</w:t>
      </w:r>
      <w:r w:rsidRPr="004B2498">
        <w:rPr>
          <w:lang w:eastAsia="fr-FR" w:bidi="fr-FR"/>
        </w:rPr>
        <w:tab/>
        <w:t>L’horizon de moyen terme où l’intervention publique tente de conjurer l’installation définitive dans la récession ;</w:t>
      </w:r>
    </w:p>
    <w:p w14:paraId="0F00C088" w14:textId="77777777" w:rsidR="002F4063" w:rsidRPr="004B2498" w:rsidRDefault="002F4063" w:rsidP="002F4063">
      <w:pPr>
        <w:spacing w:before="120" w:after="120"/>
        <w:ind w:left="720" w:hanging="360"/>
        <w:jc w:val="both"/>
      </w:pPr>
      <w:r w:rsidRPr="004B2498">
        <w:rPr>
          <w:lang w:eastAsia="fr-FR" w:bidi="fr-FR"/>
        </w:rPr>
        <w:t>-</w:t>
      </w:r>
      <w:r w:rsidRPr="004B2498">
        <w:rPr>
          <w:lang w:eastAsia="fr-FR" w:bidi="fr-FR"/>
        </w:rPr>
        <w:tab/>
        <w:t>L’horizon de long terme qui offre une dimension politique et normative sous la forme de lois et règles (supervision, régul</w:t>
      </w:r>
      <w:r w:rsidRPr="004B2498">
        <w:rPr>
          <w:lang w:eastAsia="fr-FR" w:bidi="fr-FR"/>
        </w:rPr>
        <w:t>a</w:t>
      </w:r>
      <w:r w:rsidRPr="004B2498">
        <w:rPr>
          <w:lang w:eastAsia="fr-FR" w:bidi="fr-FR"/>
        </w:rPr>
        <w:t>tion) v</w:t>
      </w:r>
      <w:r w:rsidRPr="004B2498">
        <w:rPr>
          <w:lang w:eastAsia="fr-FR" w:bidi="fr-FR"/>
        </w:rPr>
        <w:t>i</w:t>
      </w:r>
      <w:r w:rsidRPr="004B2498">
        <w:rPr>
          <w:lang w:eastAsia="fr-FR" w:bidi="fr-FR"/>
        </w:rPr>
        <w:t>sant à prévenir le retour des excès passés de l’autorégulation du cap</w:t>
      </w:r>
      <w:r w:rsidRPr="004B2498">
        <w:rPr>
          <w:lang w:eastAsia="fr-FR" w:bidi="fr-FR"/>
        </w:rPr>
        <w:t>i</w:t>
      </w:r>
      <w:r w:rsidRPr="004B2498">
        <w:rPr>
          <w:lang w:eastAsia="fr-FR" w:bidi="fr-FR"/>
        </w:rPr>
        <w:t>talisme globalisé.</w:t>
      </w:r>
    </w:p>
    <w:p w14:paraId="2AE6E9DD" w14:textId="77777777" w:rsidR="002F4063" w:rsidRPr="004B2498" w:rsidRDefault="002F4063" w:rsidP="002F4063">
      <w:pPr>
        <w:spacing w:before="120" w:after="120"/>
        <w:jc w:val="both"/>
        <w:rPr>
          <w:lang w:eastAsia="fr-FR" w:bidi="fr-FR"/>
        </w:rPr>
      </w:pPr>
    </w:p>
    <w:p w14:paraId="77A68F8F" w14:textId="77777777" w:rsidR="002F4063" w:rsidRPr="004B2498" w:rsidRDefault="002F4063" w:rsidP="002F4063">
      <w:pPr>
        <w:spacing w:before="120" w:after="120"/>
        <w:jc w:val="both"/>
      </w:pPr>
      <w:r w:rsidRPr="004B2498">
        <w:rPr>
          <w:lang w:eastAsia="fr-FR" w:bidi="fr-FR"/>
        </w:rPr>
        <w:t>Enfin, si la variabilité des temps de réponse conditionne la flexib</w:t>
      </w:r>
      <w:r w:rsidRPr="004B2498">
        <w:rPr>
          <w:lang w:eastAsia="fr-FR" w:bidi="fr-FR"/>
        </w:rPr>
        <w:t>i</w:t>
      </w:r>
      <w:r w:rsidRPr="004B2498">
        <w:rPr>
          <w:lang w:eastAsia="fr-FR" w:bidi="fr-FR"/>
        </w:rPr>
        <w:t>lité et l’efficacité des mesures anticrise, elle n’estompe pas pour a</w:t>
      </w:r>
      <w:r w:rsidRPr="004B2498">
        <w:rPr>
          <w:lang w:eastAsia="fr-FR" w:bidi="fr-FR"/>
        </w:rPr>
        <w:t>u</w:t>
      </w:r>
      <w:r w:rsidRPr="004B2498">
        <w:rPr>
          <w:lang w:eastAsia="fr-FR" w:bidi="fr-FR"/>
        </w:rPr>
        <w:t xml:space="preserve">tant la nécessité de tirer les enseignements les plus importants pouvant servir à diminuer la fréquence d’apparition de crises futures. L’utilité </w:t>
      </w:r>
      <w:r w:rsidRPr="004B2498">
        <w:rPr>
          <w:lang w:eastAsia="fr-FR" w:bidi="fr-FR"/>
        </w:rPr>
        <w:lastRenderedPageBreak/>
        <w:t>de la contextualisation historique représenterait alors un avantage a</w:t>
      </w:r>
      <w:r w:rsidRPr="004B2498">
        <w:rPr>
          <w:lang w:eastAsia="fr-FR" w:bidi="fr-FR"/>
        </w:rPr>
        <w:t>p</w:t>
      </w:r>
      <w:r w:rsidRPr="004B2498">
        <w:rPr>
          <w:lang w:eastAsia="fr-FR" w:bidi="fr-FR"/>
        </w:rPr>
        <w:t>préciable sous la forme d’un puissant effet d’annonce susceptible de dévoiler la pérennité des contradictions financières de la globalisation.</w:t>
      </w:r>
    </w:p>
    <w:p w14:paraId="4BDE5DB4" w14:textId="77777777" w:rsidR="002F4063" w:rsidRPr="004B2498" w:rsidRDefault="002F4063" w:rsidP="002F4063">
      <w:pPr>
        <w:spacing w:before="120" w:after="120"/>
        <w:jc w:val="both"/>
      </w:pPr>
      <w:r w:rsidRPr="004B2498">
        <w:t>[18]</w:t>
      </w:r>
    </w:p>
    <w:p w14:paraId="2CBDACDD" w14:textId="77777777" w:rsidR="002F4063" w:rsidRPr="004B2498" w:rsidRDefault="002F4063" w:rsidP="002F4063">
      <w:pPr>
        <w:spacing w:before="120" w:after="120"/>
        <w:jc w:val="both"/>
      </w:pPr>
    </w:p>
    <w:p w14:paraId="039D7866" w14:textId="77777777" w:rsidR="002F4063" w:rsidRPr="004B2498" w:rsidRDefault="002F4063" w:rsidP="002F4063">
      <w:pPr>
        <w:pStyle w:val="a"/>
      </w:pPr>
      <w:r w:rsidRPr="004B2498">
        <w:t>Les défaillances de la théorie financière</w:t>
      </w:r>
    </w:p>
    <w:p w14:paraId="4B2099ED" w14:textId="77777777" w:rsidR="002F4063" w:rsidRPr="004B2498" w:rsidRDefault="002F4063" w:rsidP="002F4063">
      <w:pPr>
        <w:spacing w:before="120" w:after="120"/>
        <w:jc w:val="both"/>
        <w:rPr>
          <w:lang w:eastAsia="fr-FR" w:bidi="fr-FR"/>
        </w:rPr>
      </w:pPr>
    </w:p>
    <w:p w14:paraId="3CBDEDC4" w14:textId="77777777" w:rsidR="002F4063" w:rsidRPr="004B2498" w:rsidRDefault="002F4063" w:rsidP="002F4063">
      <w:pPr>
        <w:spacing w:before="120" w:after="120"/>
        <w:jc w:val="both"/>
      </w:pPr>
      <w:r w:rsidRPr="004B2498">
        <w:rPr>
          <w:lang w:eastAsia="fr-FR" w:bidi="fr-FR"/>
        </w:rPr>
        <w:t>Par théorie financière, il faudrait entendre : « Un ensemble intégré poursuivant le double objectif de proposer un discours à la fois coh</w:t>
      </w:r>
      <w:r w:rsidRPr="004B2498">
        <w:rPr>
          <w:lang w:eastAsia="fr-FR" w:bidi="fr-FR"/>
        </w:rPr>
        <w:t>é</w:t>
      </w:r>
      <w:r w:rsidRPr="004B2498">
        <w:rPr>
          <w:lang w:eastAsia="fr-FR" w:bidi="fr-FR"/>
        </w:rPr>
        <w:t>rent et opératoire pour les investisseurs ou les décideurs qui dans l’entreprise ont en charge la politique financière » (Rainelli-Le Mo</w:t>
      </w:r>
      <w:r w:rsidRPr="004B2498">
        <w:rPr>
          <w:lang w:eastAsia="fr-FR" w:bidi="fr-FR"/>
        </w:rPr>
        <w:t>n</w:t>
      </w:r>
      <w:r w:rsidRPr="004B2498">
        <w:rPr>
          <w:lang w:eastAsia="fr-FR" w:bidi="fr-FR"/>
        </w:rPr>
        <w:t>tagner, 2003, p. 172). Cette définition restrictive circonscrit en réalité le champ de l’orthodoxie de la finance de marché qui, depuis maint</w:t>
      </w:r>
      <w:r w:rsidRPr="004B2498">
        <w:rPr>
          <w:lang w:eastAsia="fr-FR" w:bidi="fr-FR"/>
        </w:rPr>
        <w:t>e</w:t>
      </w:r>
      <w:r w:rsidRPr="004B2498">
        <w:rPr>
          <w:lang w:eastAsia="fr-FR" w:bidi="fr-FR"/>
        </w:rPr>
        <w:t>nant quatre décennies, domine l’analyse des mouvements boursiers et financiers au niveau international. D’une manière générale, et comme nous le préciserons ultérieurement, en raison des postulats fondateurs d’une telle construction intellectuelle, la théorie orthodoxe s’avère impuissante à concevoir non seulement la moindre possibilité d’existence de crise financière mais aussi d’y trouver un éventuel int</w:t>
      </w:r>
      <w:r w:rsidRPr="004B2498">
        <w:rPr>
          <w:lang w:eastAsia="fr-FR" w:bidi="fr-FR"/>
        </w:rPr>
        <w:t>é</w:t>
      </w:r>
      <w:r w:rsidRPr="004B2498">
        <w:rPr>
          <w:lang w:eastAsia="fr-FR" w:bidi="fr-FR"/>
        </w:rPr>
        <w:t>rêt heuristique sous la forme d’une étude approfondie (Rainelli-Le Montagner, 2003, Cohen, 2010). Lorsqu’elle est parfois envisagée, toujours de manière isolée, la crise est appréhendée comme un simple déséquilibre temporaire, facilement résorbé avec célérité par les a</w:t>
      </w:r>
      <w:r w:rsidRPr="004B2498">
        <w:rPr>
          <w:lang w:eastAsia="fr-FR" w:bidi="fr-FR"/>
        </w:rPr>
        <w:t>u</w:t>
      </w:r>
      <w:r w:rsidRPr="004B2498">
        <w:rPr>
          <w:lang w:eastAsia="fr-FR" w:bidi="fr-FR"/>
        </w:rPr>
        <w:t>tomatismes du marché.</w:t>
      </w:r>
    </w:p>
    <w:p w14:paraId="5D575BC8" w14:textId="77777777" w:rsidR="002F4063" w:rsidRPr="004B2498" w:rsidRDefault="002F4063" w:rsidP="002F4063">
      <w:pPr>
        <w:spacing w:before="120" w:after="120"/>
        <w:jc w:val="both"/>
      </w:pPr>
      <w:r w:rsidRPr="004B2498">
        <w:rPr>
          <w:lang w:eastAsia="fr-FR" w:bidi="fr-FR"/>
        </w:rPr>
        <w:t>Sur un plan pratique, cette conceptualisation réductrice implique paradoxalement un mutisme délibéré sur les origines, les causes et les conséquences de l’apparition régulière de ruptures dans l’ordre inst</w:t>
      </w:r>
      <w:r w:rsidRPr="004B2498">
        <w:rPr>
          <w:lang w:eastAsia="fr-FR" w:bidi="fr-FR"/>
        </w:rPr>
        <w:t>i</w:t>
      </w:r>
      <w:r w:rsidRPr="004B2498">
        <w:rPr>
          <w:lang w:eastAsia="fr-FR" w:bidi="fr-FR"/>
        </w:rPr>
        <w:t xml:space="preserve">tué du fonctionnement de la finance globalisée. </w:t>
      </w:r>
      <w:r w:rsidRPr="00F93343">
        <w:rPr>
          <w:i/>
        </w:rPr>
        <w:t>A fortiori</w:t>
      </w:r>
      <w:r w:rsidRPr="004B2498">
        <w:rPr>
          <w:lang w:eastAsia="fr-FR" w:bidi="fr-FR"/>
        </w:rPr>
        <w:t>, essayer de prévoir les crises ne représente pas pour cette théorie un thème de r</w:t>
      </w:r>
      <w:r w:rsidRPr="004B2498">
        <w:rPr>
          <w:lang w:eastAsia="fr-FR" w:bidi="fr-FR"/>
        </w:rPr>
        <w:t>e</w:t>
      </w:r>
      <w:r w:rsidRPr="004B2498">
        <w:rPr>
          <w:lang w:eastAsia="fr-FR" w:bidi="fr-FR"/>
        </w:rPr>
        <w:t>cherche intéressant et encore moins pertinent. À peine s’autorise-t-elle à proposer avec parcimonie quelques outils opératoires dont la finalité exclusive vise à éviter des pertes considérables aux parties prenantes capitalistes qu’une utilisation inadéquate des produits dérivés en croissance exponentielle, par exemple, pourrait susciter. Ne pas y me</w:t>
      </w:r>
      <w:r w:rsidRPr="004B2498">
        <w:rPr>
          <w:lang w:eastAsia="fr-FR" w:bidi="fr-FR"/>
        </w:rPr>
        <w:t>t</w:t>
      </w:r>
      <w:r w:rsidRPr="004B2498">
        <w:rPr>
          <w:lang w:eastAsia="fr-FR" w:bidi="fr-FR"/>
        </w:rPr>
        <w:t>tre un terme serait courir le risque inimaginable que ces difficultés boursières, non maîtrisées à temps, affectent par conséquent une inst</w:t>
      </w:r>
      <w:r w:rsidRPr="004B2498">
        <w:rPr>
          <w:lang w:eastAsia="fr-FR" w:bidi="fr-FR"/>
        </w:rPr>
        <w:t>i</w:t>
      </w:r>
      <w:r w:rsidRPr="004B2498">
        <w:rPr>
          <w:lang w:eastAsia="fr-FR" w:bidi="fr-FR"/>
        </w:rPr>
        <w:lastRenderedPageBreak/>
        <w:t>tution financière importante et, par un classique effet de contagion, mettent en danger l’ensemble du système.</w:t>
      </w:r>
    </w:p>
    <w:p w14:paraId="7B68F0DA" w14:textId="77777777" w:rsidR="002F4063" w:rsidRPr="004B2498" w:rsidRDefault="002F4063" w:rsidP="002F4063">
      <w:pPr>
        <w:spacing w:before="120" w:after="120"/>
        <w:jc w:val="both"/>
      </w:pPr>
      <w:r w:rsidRPr="004B2498">
        <w:rPr>
          <w:lang w:eastAsia="fr-FR" w:bidi="fr-FR"/>
        </w:rPr>
        <w:t>Bien entendu, ce silence autour des crises n’est pas le fruit du h</w:t>
      </w:r>
      <w:r w:rsidRPr="004B2498">
        <w:rPr>
          <w:lang w:eastAsia="fr-FR" w:bidi="fr-FR"/>
        </w:rPr>
        <w:t>a</w:t>
      </w:r>
      <w:r w:rsidRPr="004B2498">
        <w:rPr>
          <w:lang w:eastAsia="fr-FR" w:bidi="fr-FR"/>
        </w:rPr>
        <w:t>sard. Il est la conséquence directe des hypothèses fondatrices cont</w:t>
      </w:r>
      <w:r w:rsidRPr="004B2498">
        <w:rPr>
          <w:lang w:eastAsia="fr-FR" w:bidi="fr-FR"/>
        </w:rPr>
        <w:t>e</w:t>
      </w:r>
      <w:r w:rsidRPr="004B2498">
        <w:rPr>
          <w:lang w:eastAsia="fr-FR" w:bidi="fr-FR"/>
        </w:rPr>
        <w:t>nues dans les modèles standards lesquels sont en permanence améli</w:t>
      </w:r>
      <w:r w:rsidRPr="004B2498">
        <w:rPr>
          <w:lang w:eastAsia="fr-FR" w:bidi="fr-FR"/>
        </w:rPr>
        <w:t>o</w:t>
      </w:r>
      <w:r w:rsidRPr="004B2498">
        <w:rPr>
          <w:lang w:eastAsia="fr-FR" w:bidi="fr-FR"/>
        </w:rPr>
        <w:t>rés, développés comme autant de variations autour de quelques pri</w:t>
      </w:r>
      <w:r w:rsidRPr="004B2498">
        <w:rPr>
          <w:lang w:eastAsia="fr-FR" w:bidi="fr-FR"/>
        </w:rPr>
        <w:t>n</w:t>
      </w:r>
      <w:r w:rsidRPr="004B2498">
        <w:rPr>
          <w:lang w:eastAsia="fr-FR" w:bidi="fr-FR"/>
        </w:rPr>
        <w:t>cipes intangibles (Rainelli-Le Montagner, 2003) : les fondements microéconomiques de la théorie néoclassique financière (individu</w:t>
      </w:r>
      <w:r w:rsidRPr="004B2498">
        <w:rPr>
          <w:lang w:eastAsia="fr-FR" w:bidi="fr-FR"/>
        </w:rPr>
        <w:t>a</w:t>
      </w:r>
      <w:r w:rsidRPr="004B2498">
        <w:rPr>
          <w:lang w:eastAsia="fr-FR" w:bidi="fr-FR"/>
        </w:rPr>
        <w:t>lisme méthodologique, rationalité instrumentale, marchés à l’équilibre) favorisent ainsi la construction d’un consensus idéolog</w:t>
      </w:r>
      <w:r w:rsidRPr="004B2498">
        <w:rPr>
          <w:lang w:eastAsia="fr-FR" w:bidi="fr-FR"/>
        </w:rPr>
        <w:t>i</w:t>
      </w:r>
      <w:r w:rsidRPr="004B2498">
        <w:rPr>
          <w:lang w:eastAsia="fr-FR" w:bidi="fr-FR"/>
        </w:rPr>
        <w:t>que entre les analystes financiers, un préjugé opératoire selon lequel il serait possible de connaître à tout moment la valeur fondamentale des titres financiers puisqu’incluse automatiquement dans les prix. L’évaluation permanente des actions et des obligations émises sur les</w:t>
      </w:r>
      <w:r w:rsidRPr="004B2498">
        <w:t xml:space="preserve"> </w:t>
      </w:r>
      <w:r>
        <w:t xml:space="preserve"> </w:t>
      </w:r>
      <w:r w:rsidRPr="004B2498">
        <w:t>[19]</w:t>
      </w:r>
      <w:r>
        <w:t xml:space="preserve"> </w:t>
      </w:r>
      <w:r w:rsidRPr="004B2498">
        <w:rPr>
          <w:lang w:eastAsia="fr-FR" w:bidi="fr-FR"/>
        </w:rPr>
        <w:t>différents marchés reposerait en outre sur la disponibilité d’une i</w:t>
      </w:r>
      <w:r w:rsidRPr="004B2498">
        <w:rPr>
          <w:lang w:eastAsia="fr-FR" w:bidi="fr-FR"/>
        </w:rPr>
        <w:t>n</w:t>
      </w:r>
      <w:r w:rsidRPr="004B2498">
        <w:rPr>
          <w:lang w:eastAsia="fr-FR" w:bidi="fr-FR"/>
        </w:rPr>
        <w:t>formation suffisante « en temps réel » pour les investisseurs.</w:t>
      </w:r>
    </w:p>
    <w:p w14:paraId="03ECDC4D" w14:textId="77777777" w:rsidR="002F4063" w:rsidRPr="004B2498" w:rsidRDefault="002F4063" w:rsidP="002F4063">
      <w:pPr>
        <w:spacing w:before="120" w:after="120"/>
        <w:jc w:val="both"/>
      </w:pPr>
      <w:r w:rsidRPr="004B2498">
        <w:rPr>
          <w:lang w:eastAsia="fr-FR" w:bidi="fr-FR"/>
        </w:rPr>
        <w:t>En défendant la thèse de la rationalité des agents et de l’efficience des marchés, les théoriciens néoclassiques introduisent par ailleurs une hypothèse implicite sans laquelle leur discours normatif serait tout à la fois inopérant et incohérent : ils présupposent qu’il est plutôt pr</w:t>
      </w:r>
      <w:r w:rsidRPr="004B2498">
        <w:rPr>
          <w:lang w:eastAsia="fr-FR" w:bidi="fr-FR"/>
        </w:rPr>
        <w:t>é</w:t>
      </w:r>
      <w:r w:rsidRPr="004B2498">
        <w:rPr>
          <w:lang w:eastAsia="fr-FR" w:bidi="fr-FR"/>
        </w:rPr>
        <w:t>férable de disposer d’un marché liquide qu’illiquide en raison de la réduction des coûts de sortie (délais d’attente raccourcis, possibilités accrues de vente à bas prix, formalités simplifiées pour des transa</w:t>
      </w:r>
      <w:r w:rsidRPr="004B2498">
        <w:rPr>
          <w:lang w:eastAsia="fr-FR" w:bidi="fr-FR"/>
        </w:rPr>
        <w:t>c</w:t>
      </w:r>
      <w:r w:rsidRPr="004B2498">
        <w:rPr>
          <w:lang w:eastAsia="fr-FR" w:bidi="fr-FR"/>
        </w:rPr>
        <w:t>tions multiples...) associés à cette qualité supplémentaire. La logique interne de la théorie financière standard exclut de toutes les manières que soit remise en cause la liquidité des marchés puisque dépendant étroitement d’un autre principe fondateur, celui de la maximisation des profits des investisseurs. Nous reviendrons par la suite sur le th</w:t>
      </w:r>
      <w:r w:rsidRPr="004B2498">
        <w:rPr>
          <w:lang w:eastAsia="fr-FR" w:bidi="fr-FR"/>
        </w:rPr>
        <w:t>è</w:t>
      </w:r>
      <w:r w:rsidRPr="004B2498">
        <w:rPr>
          <w:lang w:eastAsia="fr-FR" w:bidi="fr-FR"/>
        </w:rPr>
        <w:t>me incontournable de la liquidité dans le processus de globalisation. En résumé : toute velléité critique vis-à-vis des postulats unificateurs néoclassiques est dès lors évacuée comme illégitime car relevant d’un problème de norme, de caractère non scientifique donc irrecevable pour le corpus théorique dominant.</w:t>
      </w:r>
    </w:p>
    <w:p w14:paraId="30CC2840" w14:textId="77777777" w:rsidR="002F4063" w:rsidRPr="004B2498" w:rsidRDefault="002F4063" w:rsidP="002F4063">
      <w:pPr>
        <w:spacing w:before="120" w:after="120"/>
        <w:jc w:val="both"/>
      </w:pPr>
      <w:r w:rsidRPr="004B2498">
        <w:rPr>
          <w:lang w:eastAsia="fr-FR" w:bidi="fr-FR"/>
        </w:rPr>
        <w:t>Avec l’éclatement de la dernière crise surgie à l’été 2007, la rupt</w:t>
      </w:r>
      <w:r w:rsidRPr="004B2498">
        <w:rPr>
          <w:lang w:eastAsia="fr-FR" w:bidi="fr-FR"/>
        </w:rPr>
        <w:t>u</w:t>
      </w:r>
      <w:r w:rsidRPr="004B2498">
        <w:rPr>
          <w:lang w:eastAsia="fr-FR" w:bidi="fr-FR"/>
        </w:rPr>
        <w:t>re du paradigme néoclassique à la base des diverses théories de la f</w:t>
      </w:r>
      <w:r w:rsidRPr="004B2498">
        <w:rPr>
          <w:lang w:eastAsia="fr-FR" w:bidi="fr-FR"/>
        </w:rPr>
        <w:t>i</w:t>
      </w:r>
      <w:r w:rsidRPr="004B2498">
        <w:rPr>
          <w:lang w:eastAsia="fr-FR" w:bidi="fr-FR"/>
        </w:rPr>
        <w:t>nance de marché semble être consommée, sans qu’il soit trop besoin de s’appesantir sur la critique courante de l’irrationalité des pratiques financières à l’origine des débordements observés (Cohen, 2010  ; O</w:t>
      </w:r>
      <w:r w:rsidRPr="004B2498">
        <w:rPr>
          <w:lang w:eastAsia="fr-FR" w:bidi="fr-FR"/>
        </w:rPr>
        <w:t>r</w:t>
      </w:r>
      <w:r w:rsidRPr="004B2498">
        <w:rPr>
          <w:lang w:eastAsia="fr-FR" w:bidi="fr-FR"/>
        </w:rPr>
        <w:lastRenderedPageBreak/>
        <w:t>léan, 2010) : la formation de bulles spéculatives, les comportements irresponsables voire imprudents des prêteurs, la généralisation abusive des effets de levier, la sophistication ésotérique des innovations fina</w:t>
      </w:r>
      <w:r w:rsidRPr="004B2498">
        <w:rPr>
          <w:lang w:eastAsia="fr-FR" w:bidi="fr-FR"/>
        </w:rPr>
        <w:t>n</w:t>
      </w:r>
      <w:r w:rsidRPr="004B2498">
        <w:rPr>
          <w:lang w:eastAsia="fr-FR" w:bidi="fr-FR"/>
        </w:rPr>
        <w:t>cières, l’empilement inconsidéré des risques, la carence de supervision et de contrôle indépendants des marchés, etc. Toutes ces anomalies, ces déviations par rapport à une théorie supposée de la rationalité des marchés peinent à occulter le fait que celle-ci a pu être édifiée grâce à l’aide inestimable de mathématiques financières sophistiquées : une modélisation élégante au contenu formel, dédiée somme toute à la démonstration abstraite de la rationalité des agents du milieu de la f</w:t>
      </w:r>
      <w:r w:rsidRPr="004B2498">
        <w:rPr>
          <w:lang w:eastAsia="fr-FR" w:bidi="fr-FR"/>
        </w:rPr>
        <w:t>i</w:t>
      </w:r>
      <w:r w:rsidRPr="004B2498">
        <w:rPr>
          <w:lang w:eastAsia="fr-FR" w:bidi="fr-FR"/>
        </w:rPr>
        <w:t>nance internationale. De manière plus concrète, les paris boursiers ou financiers les plus risqués furent finalement adossés à une mathémat</w:t>
      </w:r>
      <w:r w:rsidRPr="004B2498">
        <w:rPr>
          <w:lang w:eastAsia="fr-FR" w:bidi="fr-FR"/>
        </w:rPr>
        <w:t>i</w:t>
      </w:r>
      <w:r w:rsidRPr="004B2498">
        <w:rPr>
          <w:lang w:eastAsia="fr-FR" w:bidi="fr-FR"/>
        </w:rPr>
        <w:t>sation parfois outrancière, excessive, validant des décisions de plac</w:t>
      </w:r>
      <w:r w:rsidRPr="004B2498">
        <w:rPr>
          <w:lang w:eastAsia="fr-FR" w:bidi="fr-FR"/>
        </w:rPr>
        <w:t>e</w:t>
      </w:r>
      <w:r w:rsidRPr="004B2498">
        <w:rPr>
          <w:lang w:eastAsia="fr-FR" w:bidi="fr-FR"/>
        </w:rPr>
        <w:t>ment en tant que sièges de la plus stricte rationalité opératoire, instr</w:t>
      </w:r>
      <w:r w:rsidRPr="004B2498">
        <w:rPr>
          <w:lang w:eastAsia="fr-FR" w:bidi="fr-FR"/>
        </w:rPr>
        <w:t>u</w:t>
      </w:r>
      <w:r w:rsidRPr="004B2498">
        <w:rPr>
          <w:lang w:eastAsia="fr-FR" w:bidi="fr-FR"/>
        </w:rPr>
        <w:t>mentale.</w:t>
      </w:r>
    </w:p>
    <w:p w14:paraId="2330F485" w14:textId="77777777" w:rsidR="002F4063" w:rsidRPr="004B2498" w:rsidRDefault="002F4063" w:rsidP="002F4063">
      <w:pPr>
        <w:spacing w:before="120" w:after="120"/>
        <w:jc w:val="both"/>
      </w:pPr>
      <w:r w:rsidRPr="004B2498">
        <w:rPr>
          <w:lang w:eastAsia="fr-FR" w:bidi="fr-FR"/>
        </w:rPr>
        <w:t>Que la gravité de la crise récente ait démontré l’inanité d’une telle ambition théorique ne prémunit nullement contre l’oubli d’un éléme</w:t>
      </w:r>
      <w:r w:rsidRPr="004B2498">
        <w:rPr>
          <w:lang w:eastAsia="fr-FR" w:bidi="fr-FR"/>
        </w:rPr>
        <w:t>n</w:t>
      </w:r>
      <w:r w:rsidRPr="004B2498">
        <w:rPr>
          <w:lang w:eastAsia="fr-FR" w:bidi="fr-FR"/>
        </w:rPr>
        <w:t>taire bon sens économique : plus que l’irrationalité de marchés re</w:t>
      </w:r>
      <w:r w:rsidRPr="004B2498">
        <w:rPr>
          <w:lang w:eastAsia="fr-FR" w:bidi="fr-FR"/>
        </w:rPr>
        <w:t>s</w:t>
      </w:r>
      <w:r w:rsidRPr="004B2498">
        <w:rPr>
          <w:lang w:eastAsia="fr-FR" w:bidi="fr-FR"/>
        </w:rPr>
        <w:t>ponsables des</w:t>
      </w:r>
      <w:r w:rsidRPr="004B2498">
        <w:t xml:space="preserve"> catastrophes financières actuelles, il s’agit plutôt de souligner que la rationalité instrumentale  n’empêche nullement un certain « aveuglement au désastre » (Orléan) d’acteurs au professio</w:t>
      </w:r>
      <w:r w:rsidRPr="004B2498">
        <w:t>n</w:t>
      </w:r>
      <w:r w:rsidRPr="004B2498">
        <w:t>nalisme en son temps vanté, voire</w:t>
      </w:r>
      <w:r>
        <w:t xml:space="preserve"> </w:t>
      </w:r>
      <w:r w:rsidRPr="004B2498">
        <w:t>[20]</w:t>
      </w:r>
      <w:r>
        <w:t xml:space="preserve"> </w:t>
      </w:r>
      <w:r w:rsidRPr="004B2498">
        <w:rPr>
          <w:lang w:eastAsia="fr-FR" w:bidi="fr-FR"/>
        </w:rPr>
        <w:t>encensé en matière de gestion des risques et d’anticipations ratio</w:t>
      </w:r>
      <w:r w:rsidRPr="004B2498">
        <w:rPr>
          <w:lang w:eastAsia="fr-FR" w:bidi="fr-FR"/>
        </w:rPr>
        <w:t>n</w:t>
      </w:r>
      <w:r w:rsidRPr="004B2498">
        <w:rPr>
          <w:lang w:eastAsia="fr-FR" w:bidi="fr-FR"/>
        </w:rPr>
        <w:t>nelles qui finirent par triompher des pronostics pessimistes des éte</w:t>
      </w:r>
      <w:r w:rsidRPr="004B2498">
        <w:rPr>
          <w:lang w:eastAsia="fr-FR" w:bidi="fr-FR"/>
        </w:rPr>
        <w:t>r</w:t>
      </w:r>
      <w:r w:rsidRPr="004B2498">
        <w:rPr>
          <w:lang w:eastAsia="fr-FR" w:bidi="fr-FR"/>
        </w:rPr>
        <w:t>nels Cassandre du capitalisme à l’agonie interminable. En définitive, nombre de zones d'ombre n’ont finalement pas été abordées par les économistes : les normes compt</w:t>
      </w:r>
      <w:r w:rsidRPr="004B2498">
        <w:rPr>
          <w:lang w:eastAsia="fr-FR" w:bidi="fr-FR"/>
        </w:rPr>
        <w:t>a</w:t>
      </w:r>
      <w:r w:rsidRPr="004B2498">
        <w:rPr>
          <w:lang w:eastAsia="fr-FR" w:bidi="fr-FR"/>
        </w:rPr>
        <w:t>bles, les techniques de détection des bulles, la question cruciale des liquidités, les limites du keynésianisme face à l’instabilité financière de la globalisation...</w:t>
      </w:r>
    </w:p>
    <w:p w14:paraId="282160EB" w14:textId="77777777" w:rsidR="002F4063" w:rsidRPr="004B2498" w:rsidRDefault="002F4063" w:rsidP="002F4063">
      <w:pPr>
        <w:spacing w:before="120" w:after="120"/>
        <w:jc w:val="both"/>
        <w:rPr>
          <w:szCs w:val="24"/>
          <w:lang w:eastAsia="fr-FR" w:bidi="fr-FR"/>
        </w:rPr>
      </w:pPr>
    </w:p>
    <w:p w14:paraId="238FDF9B" w14:textId="77777777" w:rsidR="002F4063" w:rsidRPr="004B2498" w:rsidRDefault="002F4063" w:rsidP="002F4063">
      <w:pPr>
        <w:pStyle w:val="a"/>
      </w:pPr>
      <w:r w:rsidRPr="004B2498">
        <w:t>De la responsabilité des économistes</w:t>
      </w:r>
    </w:p>
    <w:p w14:paraId="6181F4AE" w14:textId="77777777" w:rsidR="002F4063" w:rsidRPr="004B2498" w:rsidRDefault="002F4063" w:rsidP="002F4063">
      <w:pPr>
        <w:spacing w:before="120" w:after="120"/>
        <w:jc w:val="both"/>
        <w:rPr>
          <w:lang w:eastAsia="fr-FR" w:bidi="fr-FR"/>
        </w:rPr>
      </w:pPr>
    </w:p>
    <w:p w14:paraId="519499F7" w14:textId="77777777" w:rsidR="002F4063" w:rsidRPr="004B2498" w:rsidRDefault="002F4063" w:rsidP="002F4063">
      <w:pPr>
        <w:spacing w:before="120" w:after="120"/>
        <w:jc w:val="both"/>
      </w:pPr>
      <w:r w:rsidRPr="004B2498">
        <w:rPr>
          <w:lang w:eastAsia="fr-FR" w:bidi="fr-FR"/>
        </w:rPr>
        <w:t>Comme nous venons de le rappeler, la non prise en considération de plusieurs thèmes financiers par certains économistes a tissé un vo</w:t>
      </w:r>
      <w:r w:rsidRPr="004B2498">
        <w:rPr>
          <w:lang w:eastAsia="fr-FR" w:bidi="fr-FR"/>
        </w:rPr>
        <w:t>i</w:t>
      </w:r>
      <w:r w:rsidRPr="004B2498">
        <w:rPr>
          <w:lang w:eastAsia="fr-FR" w:bidi="fr-FR"/>
        </w:rPr>
        <w:t xml:space="preserve">le de suspicion sur leurs réelles compétences à élaborer des analyses pertinentes dans le domaine de la finance globalisée. Avec l’effondrement déclenché par les </w:t>
      </w:r>
      <w:r w:rsidRPr="00F93343">
        <w:rPr>
          <w:i/>
        </w:rPr>
        <w:t>subprimes mortgage</w:t>
      </w:r>
      <w:r w:rsidRPr="004B2498">
        <w:rPr>
          <w:lang w:eastAsia="fr-FR" w:bidi="fr-FR"/>
        </w:rPr>
        <w:t xml:space="preserve"> (crédits hyp</w:t>
      </w:r>
      <w:r w:rsidRPr="004B2498">
        <w:rPr>
          <w:lang w:eastAsia="fr-FR" w:bidi="fr-FR"/>
        </w:rPr>
        <w:t>o</w:t>
      </w:r>
      <w:r w:rsidRPr="004B2498">
        <w:rPr>
          <w:lang w:eastAsia="fr-FR" w:bidi="fr-FR"/>
        </w:rPr>
        <w:lastRenderedPageBreak/>
        <w:t>thécaires risqués) en août 2007, la critique a pris une tournure bea</w:t>
      </w:r>
      <w:r w:rsidRPr="004B2498">
        <w:rPr>
          <w:lang w:eastAsia="fr-FR" w:bidi="fr-FR"/>
        </w:rPr>
        <w:t>u</w:t>
      </w:r>
      <w:r w:rsidRPr="004B2498">
        <w:rPr>
          <w:lang w:eastAsia="fr-FR" w:bidi="fr-FR"/>
        </w:rPr>
        <w:t>coup plus virulente en soulevant abruptement la question de leur re</w:t>
      </w:r>
      <w:r w:rsidRPr="004B2498">
        <w:rPr>
          <w:lang w:eastAsia="fr-FR" w:bidi="fr-FR"/>
        </w:rPr>
        <w:t>s</w:t>
      </w:r>
      <w:r w:rsidRPr="004B2498">
        <w:rPr>
          <w:lang w:eastAsia="fr-FR" w:bidi="fr-FR"/>
        </w:rPr>
        <w:t>ponsabilité du fait de la carence flagrante d’anticipation et de la cécité intellectuelle à interpréter, comme autant de signaux d’alerte, l’accumulation continue d’évidences empiriques qui précédèrent les chutes vertigineuses des actifs boursiers et financiers. La liste non e</w:t>
      </w:r>
      <w:r w:rsidRPr="004B2498">
        <w:rPr>
          <w:lang w:eastAsia="fr-FR" w:bidi="fr-FR"/>
        </w:rPr>
        <w:t>x</w:t>
      </w:r>
      <w:r w:rsidRPr="004B2498">
        <w:rPr>
          <w:lang w:eastAsia="fr-FR" w:bidi="fr-FR"/>
        </w:rPr>
        <w:t xml:space="preserve">haustive des manques de discernement des professionnels de l’économie dessine en réalité une sorte de « parangon de l’aveuglement » face au désastre annoncé : ignorance des mécanismes spéculatifs de fonctionnement des marchés de </w:t>
      </w:r>
      <w:r w:rsidRPr="00F93343">
        <w:rPr>
          <w:i/>
        </w:rPr>
        <w:t>gré à gré</w:t>
      </w:r>
      <w:r w:rsidRPr="004B2498">
        <w:t>,</w:t>
      </w:r>
      <w:r w:rsidRPr="004B2498">
        <w:rPr>
          <w:lang w:eastAsia="fr-FR" w:bidi="fr-FR"/>
        </w:rPr>
        <w:t xml:space="preserve"> faillite tec</w:t>
      </w:r>
      <w:r w:rsidRPr="004B2498">
        <w:rPr>
          <w:lang w:eastAsia="fr-FR" w:bidi="fr-FR"/>
        </w:rPr>
        <w:t>h</w:t>
      </w:r>
      <w:r w:rsidRPr="004B2498">
        <w:rPr>
          <w:lang w:eastAsia="fr-FR" w:bidi="fr-FR"/>
        </w:rPr>
        <w:t>nique et politique dans l’application de la réglementation « prudentielle », mépris généralisé vis-à-vis des contributions origin</w:t>
      </w:r>
      <w:r w:rsidRPr="004B2498">
        <w:rPr>
          <w:lang w:eastAsia="fr-FR" w:bidi="fr-FR"/>
        </w:rPr>
        <w:t>a</w:t>
      </w:r>
      <w:r w:rsidRPr="004B2498">
        <w:rPr>
          <w:lang w:eastAsia="fr-FR" w:bidi="fr-FR"/>
        </w:rPr>
        <w:t>les et critiques de la recherche économique, incapacité congénitale à stimuler la diffusion élargie des connaissances en économie financi</w:t>
      </w:r>
      <w:r w:rsidRPr="004B2498">
        <w:rPr>
          <w:lang w:eastAsia="fr-FR" w:bidi="fr-FR"/>
        </w:rPr>
        <w:t>è</w:t>
      </w:r>
      <w:r w:rsidRPr="004B2498">
        <w:rPr>
          <w:lang w:eastAsia="fr-FR" w:bidi="fr-FR"/>
        </w:rPr>
        <w:t>re, primauté de l’abstraction sophistiquée sur l’analyse concrète, etc.</w:t>
      </w:r>
    </w:p>
    <w:p w14:paraId="4CE38201" w14:textId="77777777" w:rsidR="002F4063" w:rsidRPr="004B2498" w:rsidRDefault="002F4063" w:rsidP="002F4063">
      <w:pPr>
        <w:spacing w:before="120" w:after="120"/>
        <w:jc w:val="both"/>
      </w:pPr>
      <w:r w:rsidRPr="004B2498">
        <w:rPr>
          <w:lang w:eastAsia="fr-FR" w:bidi="fr-FR"/>
        </w:rPr>
        <w:t>Au-delà de la mise en accusation parfois injuste des agissements d’un corps de métier particulier, le bien fondé des critiques oblige en revanche à s’interroger sur les causes tangibles, les possibles éléments explicatifs fondant la contestation du rôle des économistes face aux crises. À notre sens, il y aurait essentiellement deux grandes catég</w:t>
      </w:r>
      <w:r w:rsidRPr="004B2498">
        <w:rPr>
          <w:lang w:eastAsia="fr-FR" w:bidi="fr-FR"/>
        </w:rPr>
        <w:t>o</w:t>
      </w:r>
      <w:r w:rsidRPr="004B2498">
        <w:rPr>
          <w:lang w:eastAsia="fr-FR" w:bidi="fr-FR"/>
        </w:rPr>
        <w:t>ries de facteurs susceptibles de justifier les errements de discernement et d’analyse observés : une conception partiale de l’exposition aux risques et une impossibilité d’établir des prévisions sur l’occurrence des crises.</w:t>
      </w:r>
    </w:p>
    <w:p w14:paraId="4EFF4212" w14:textId="77777777" w:rsidR="002F4063" w:rsidRPr="004B2498" w:rsidRDefault="002F4063" w:rsidP="002F4063">
      <w:pPr>
        <w:spacing w:before="120" w:after="120"/>
        <w:jc w:val="both"/>
      </w:pPr>
      <w:r w:rsidRPr="004B2498">
        <w:rPr>
          <w:lang w:eastAsia="fr-FR" w:bidi="fr-FR"/>
        </w:rPr>
        <w:t>Une des principales déficiences, parmi d’autres d’ailleurs, de l’abondante littérature économique consacrée à l’analyse du risque est d’être d’abord essentiellement destinée aux besoins des décideurs (banquiers, entrepreneurs, investisseurs...) avec la finalité cardinale de valoriser leurs actifs financiers en fonction du moindre risque indiv</w:t>
      </w:r>
      <w:r w:rsidRPr="004B2498">
        <w:rPr>
          <w:lang w:eastAsia="fr-FR" w:bidi="fr-FR"/>
        </w:rPr>
        <w:t>i</w:t>
      </w:r>
      <w:r w:rsidRPr="004B2498">
        <w:rPr>
          <w:lang w:eastAsia="fr-FR" w:bidi="fr-FR"/>
        </w:rPr>
        <w:t>duel ou global. Convenablement appliqué ce principe général ne r</w:t>
      </w:r>
      <w:r w:rsidRPr="004B2498">
        <w:rPr>
          <w:lang w:eastAsia="fr-FR" w:bidi="fr-FR"/>
        </w:rPr>
        <w:t>e</w:t>
      </w:r>
      <w:r w:rsidRPr="004B2498">
        <w:rPr>
          <w:lang w:eastAsia="fr-FR" w:bidi="fr-FR"/>
        </w:rPr>
        <w:t>présente nullement une</w:t>
      </w:r>
      <w:r>
        <w:t xml:space="preserve"> </w:t>
      </w:r>
      <w:r w:rsidRPr="004B2498">
        <w:t>[21]</w:t>
      </w:r>
      <w:r>
        <w:t xml:space="preserve"> </w:t>
      </w:r>
      <w:r w:rsidRPr="004B2498">
        <w:rPr>
          <w:lang w:eastAsia="fr-FR" w:bidi="fr-FR"/>
        </w:rPr>
        <w:t>surprise inédite pour un observateur de la finance de marché qui admet, sans aucun état d’âme, l’objectif légit</w:t>
      </w:r>
      <w:r w:rsidRPr="004B2498">
        <w:rPr>
          <w:lang w:eastAsia="fr-FR" w:bidi="fr-FR"/>
        </w:rPr>
        <w:t>i</w:t>
      </w:r>
      <w:r w:rsidRPr="004B2498">
        <w:rPr>
          <w:lang w:eastAsia="fr-FR" w:bidi="fr-FR"/>
        </w:rPr>
        <w:t>me de maximisation des richesses comme moteur du capitalisme gl</w:t>
      </w:r>
      <w:r w:rsidRPr="004B2498">
        <w:rPr>
          <w:lang w:eastAsia="fr-FR" w:bidi="fr-FR"/>
        </w:rPr>
        <w:t>o</w:t>
      </w:r>
      <w:r w:rsidRPr="004B2498">
        <w:rPr>
          <w:lang w:eastAsia="fr-FR" w:bidi="fr-FR"/>
        </w:rPr>
        <w:t>balisé. Or, nous aurons l’occasion de le montrer plus loin, ce n’est pas tant le contenu général du principe qui pose problème que les libertés effectivement prises au moment de son application ; et là le bât ble</w:t>
      </w:r>
      <w:r w:rsidRPr="004B2498">
        <w:rPr>
          <w:lang w:eastAsia="fr-FR" w:bidi="fr-FR"/>
        </w:rPr>
        <w:t>s</w:t>
      </w:r>
      <w:r w:rsidRPr="004B2498">
        <w:rPr>
          <w:lang w:eastAsia="fr-FR" w:bidi="fr-FR"/>
        </w:rPr>
        <w:t>se : car les « écarts » par rapport à cette norme ne pouvaient bien e</w:t>
      </w:r>
      <w:r w:rsidRPr="004B2498">
        <w:rPr>
          <w:lang w:eastAsia="fr-FR" w:bidi="fr-FR"/>
        </w:rPr>
        <w:t>n</w:t>
      </w:r>
      <w:r w:rsidRPr="004B2498">
        <w:rPr>
          <w:lang w:eastAsia="fr-FR" w:bidi="fr-FR"/>
        </w:rPr>
        <w:t>tendu être ignorés par des professionnels un peu avisés ou simple</w:t>
      </w:r>
      <w:r w:rsidRPr="004B2498">
        <w:rPr>
          <w:lang w:eastAsia="fr-FR" w:bidi="fr-FR"/>
        </w:rPr>
        <w:lastRenderedPageBreak/>
        <w:t>ment honnêtes sur le plan intellectuel. En honneur à la plus élémentaire v</w:t>
      </w:r>
      <w:r w:rsidRPr="004B2498">
        <w:rPr>
          <w:lang w:eastAsia="fr-FR" w:bidi="fr-FR"/>
        </w:rPr>
        <w:t>é</w:t>
      </w:r>
      <w:r w:rsidRPr="004B2498">
        <w:rPr>
          <w:lang w:eastAsia="fr-FR" w:bidi="fr-FR"/>
        </w:rPr>
        <w:t>rité, on doit d’ailleurs r</w:t>
      </w:r>
      <w:r w:rsidRPr="004B2498">
        <w:rPr>
          <w:lang w:eastAsia="fr-FR" w:bidi="fr-FR"/>
        </w:rPr>
        <w:t>e</w:t>
      </w:r>
      <w:r w:rsidRPr="004B2498">
        <w:rPr>
          <w:lang w:eastAsia="fr-FR" w:bidi="fr-FR"/>
        </w:rPr>
        <w:t>connaître que seuls quelques économistes</w:t>
      </w:r>
      <w:r>
        <w:rPr>
          <w:lang w:eastAsia="fr-FR" w:bidi="fr-FR"/>
        </w:rPr>
        <w:t> </w:t>
      </w:r>
      <w:r>
        <w:rPr>
          <w:rStyle w:val="Appelnotedebasdep"/>
          <w:lang w:eastAsia="fr-FR" w:bidi="fr-FR"/>
        </w:rPr>
        <w:footnoteReference w:id="5"/>
      </w:r>
      <w:r w:rsidRPr="004B2498">
        <w:rPr>
          <w:lang w:eastAsia="fr-FR" w:bidi="fr-FR"/>
        </w:rPr>
        <w:t xml:space="preserve"> avaient auparavant dénoncé le fol empilement des risques et les dér</w:t>
      </w:r>
      <w:r w:rsidRPr="004B2498">
        <w:rPr>
          <w:lang w:eastAsia="fr-FR" w:bidi="fr-FR"/>
        </w:rPr>
        <w:t>i</w:t>
      </w:r>
      <w:r w:rsidRPr="004B2498">
        <w:rPr>
          <w:lang w:eastAsia="fr-FR" w:bidi="fr-FR"/>
        </w:rPr>
        <w:t>ves financières induites par son opacité intrinsèque :</w:t>
      </w:r>
    </w:p>
    <w:p w14:paraId="319680FC" w14:textId="77777777" w:rsidR="002F4063" w:rsidRPr="004B2498" w:rsidRDefault="002F4063" w:rsidP="002F4063">
      <w:pPr>
        <w:spacing w:before="120" w:after="120"/>
        <w:jc w:val="both"/>
        <w:rPr>
          <w:lang w:eastAsia="fr-FR" w:bidi="fr-FR"/>
        </w:rPr>
      </w:pPr>
    </w:p>
    <w:p w14:paraId="75DF1238" w14:textId="77777777" w:rsidR="002F4063" w:rsidRPr="004B2498" w:rsidRDefault="002F4063" w:rsidP="002F4063">
      <w:pPr>
        <w:spacing w:before="120" w:after="120"/>
        <w:ind w:left="720" w:hanging="360"/>
        <w:jc w:val="both"/>
      </w:pPr>
      <w:r w:rsidRPr="004B2498">
        <w:rPr>
          <w:lang w:eastAsia="fr-FR" w:bidi="fr-FR"/>
        </w:rPr>
        <w:t>-</w:t>
      </w:r>
      <w:r w:rsidRPr="004B2498">
        <w:rPr>
          <w:lang w:eastAsia="fr-FR" w:bidi="fr-FR"/>
        </w:rPr>
        <w:tab/>
        <w:t>Carence généralisée de « murailles de Chine » entre les banques commerciales et celles d’affaires ;</w:t>
      </w:r>
    </w:p>
    <w:p w14:paraId="09CAE3E9" w14:textId="77777777" w:rsidR="002F4063" w:rsidRPr="004B2498" w:rsidRDefault="002F4063" w:rsidP="002F4063">
      <w:pPr>
        <w:spacing w:before="120" w:after="120"/>
        <w:ind w:left="720" w:hanging="360"/>
        <w:jc w:val="both"/>
      </w:pPr>
      <w:r w:rsidRPr="004B2498">
        <w:rPr>
          <w:lang w:eastAsia="fr-FR" w:bidi="fr-FR"/>
        </w:rPr>
        <w:t>-</w:t>
      </w:r>
      <w:r w:rsidRPr="004B2498">
        <w:rPr>
          <w:lang w:eastAsia="fr-FR" w:bidi="fr-FR"/>
        </w:rPr>
        <w:tab/>
        <w:t>Recours excessif à l’effet de levier pour collecter des capitaux sur les grandes places financières internationales ;</w:t>
      </w:r>
    </w:p>
    <w:p w14:paraId="479614F8" w14:textId="77777777" w:rsidR="002F4063" w:rsidRPr="004B2498" w:rsidRDefault="002F4063" w:rsidP="002F4063">
      <w:pPr>
        <w:spacing w:before="120" w:after="120"/>
        <w:ind w:left="720" w:hanging="360"/>
        <w:jc w:val="both"/>
        <w:rPr>
          <w:lang w:eastAsia="fr-FR" w:bidi="fr-FR"/>
        </w:rPr>
      </w:pPr>
      <w:r w:rsidRPr="004B2498">
        <w:rPr>
          <w:lang w:eastAsia="fr-FR" w:bidi="fr-FR"/>
        </w:rPr>
        <w:t>-</w:t>
      </w:r>
      <w:r w:rsidRPr="004B2498">
        <w:rPr>
          <w:lang w:eastAsia="fr-FR" w:bidi="fr-FR"/>
        </w:rPr>
        <w:tab/>
        <w:t>Évaluation des performances et des comptabilités d’entreprise ca</w:t>
      </w:r>
      <w:r w:rsidRPr="004B2498">
        <w:rPr>
          <w:lang w:eastAsia="fr-FR" w:bidi="fr-FR"/>
        </w:rPr>
        <w:t>l</w:t>
      </w:r>
      <w:r w:rsidRPr="004B2498">
        <w:rPr>
          <w:lang w:eastAsia="fr-FR" w:bidi="fr-FR"/>
        </w:rPr>
        <w:t>quée sur les fluctuations erratiques des marchés financiers (</w:t>
      </w:r>
      <w:r w:rsidRPr="00F93343">
        <w:rPr>
          <w:i/>
          <w:iCs/>
        </w:rPr>
        <w:t xml:space="preserve">mark </w:t>
      </w:r>
      <w:r w:rsidRPr="00F93343">
        <w:rPr>
          <w:i/>
          <w:lang w:eastAsia="fr-FR" w:bidi="fr-FR"/>
        </w:rPr>
        <w:t xml:space="preserve">to </w:t>
      </w:r>
      <w:r w:rsidRPr="00F93343">
        <w:rPr>
          <w:i/>
          <w:iCs/>
        </w:rPr>
        <w:t>market</w:t>
      </w:r>
      <w:r w:rsidRPr="004B2498">
        <w:rPr>
          <w:lang w:eastAsia="fr-FR" w:bidi="fr-FR"/>
        </w:rPr>
        <w:t>) ;</w:t>
      </w:r>
    </w:p>
    <w:p w14:paraId="63AF5831" w14:textId="77777777" w:rsidR="002F4063" w:rsidRPr="004B2498" w:rsidRDefault="002F4063" w:rsidP="002F4063">
      <w:pPr>
        <w:spacing w:before="120" w:after="120"/>
        <w:ind w:left="720" w:hanging="360"/>
        <w:jc w:val="both"/>
      </w:pPr>
      <w:r w:rsidRPr="004B2498">
        <w:rPr>
          <w:lang w:eastAsia="fr-FR" w:bidi="fr-FR"/>
        </w:rPr>
        <w:t>-</w:t>
      </w:r>
      <w:r w:rsidRPr="004B2498">
        <w:rPr>
          <w:lang w:eastAsia="fr-FR" w:bidi="fr-FR"/>
        </w:rPr>
        <w:tab/>
        <w:t>Manque de transparence des opérations financières étendu à l’ensemble des marchés, organisés ou non ;</w:t>
      </w:r>
    </w:p>
    <w:p w14:paraId="58D7316E" w14:textId="77777777" w:rsidR="002F4063" w:rsidRPr="004B2498" w:rsidRDefault="002F4063" w:rsidP="002F4063">
      <w:pPr>
        <w:spacing w:before="120" w:after="120"/>
        <w:ind w:left="720" w:hanging="360"/>
        <w:jc w:val="both"/>
      </w:pPr>
      <w:r w:rsidRPr="004B2498">
        <w:rPr>
          <w:lang w:eastAsia="fr-FR" w:bidi="fr-FR"/>
        </w:rPr>
        <w:t>-</w:t>
      </w:r>
      <w:r w:rsidRPr="004B2498">
        <w:rPr>
          <w:lang w:eastAsia="fr-FR" w:bidi="fr-FR"/>
        </w:rPr>
        <w:tab/>
        <w:t>Existence structurelle d’asymétries d’informations entre les emprunteurs et les prêteurs ;</w:t>
      </w:r>
    </w:p>
    <w:p w14:paraId="52903CCD" w14:textId="77777777" w:rsidR="002F4063" w:rsidRPr="004B2498" w:rsidRDefault="002F4063" w:rsidP="002F4063">
      <w:pPr>
        <w:spacing w:before="120" w:after="120"/>
        <w:jc w:val="both"/>
        <w:rPr>
          <w:lang w:eastAsia="fr-FR" w:bidi="fr-FR"/>
        </w:rPr>
      </w:pPr>
    </w:p>
    <w:p w14:paraId="02795746" w14:textId="77777777" w:rsidR="002F4063" w:rsidRPr="004B2498" w:rsidRDefault="002F4063" w:rsidP="002F4063">
      <w:pPr>
        <w:spacing w:before="120" w:after="120"/>
        <w:jc w:val="both"/>
      </w:pPr>
      <w:r w:rsidRPr="004B2498">
        <w:rPr>
          <w:lang w:eastAsia="fr-FR" w:bidi="fr-FR"/>
        </w:rPr>
        <w:t xml:space="preserve">Omniprésence des centres financiers </w:t>
      </w:r>
      <w:r w:rsidRPr="00F93343">
        <w:rPr>
          <w:i/>
          <w:iCs/>
        </w:rPr>
        <w:t>offshore</w:t>
      </w:r>
      <w:r w:rsidRPr="004B2498">
        <w:rPr>
          <w:bCs/>
        </w:rPr>
        <w:t xml:space="preserve"> </w:t>
      </w:r>
      <w:r w:rsidRPr="004B2498">
        <w:rPr>
          <w:lang w:eastAsia="fr-FR" w:bidi="fr-FR"/>
        </w:rPr>
        <w:t>et paradis fiscaux, etc. À part les travaux peu lus, peu pris au sérieux où l’hypothèse du risque systémique</w:t>
      </w:r>
      <w:r>
        <w:rPr>
          <w:lang w:eastAsia="fr-FR" w:bidi="fr-FR"/>
        </w:rPr>
        <w:t> </w:t>
      </w:r>
      <w:r>
        <w:rPr>
          <w:rStyle w:val="Appelnotedebasdep"/>
          <w:lang w:eastAsia="fr-FR" w:bidi="fr-FR"/>
        </w:rPr>
        <w:footnoteReference w:id="6"/>
      </w:r>
      <w:r w:rsidRPr="004B2498">
        <w:rPr>
          <w:lang w:eastAsia="fr-FR" w:bidi="fr-FR"/>
        </w:rPr>
        <w:t xml:space="preserve"> et des emballements spéculatifs de la finance de marché étaient au contraire pris en compte, la majorité des économi</w:t>
      </w:r>
      <w:r w:rsidRPr="004B2498">
        <w:rPr>
          <w:lang w:eastAsia="fr-FR" w:bidi="fr-FR"/>
        </w:rPr>
        <w:t>s</w:t>
      </w:r>
      <w:r w:rsidRPr="004B2498">
        <w:rPr>
          <w:lang w:eastAsia="fr-FR" w:bidi="fr-FR"/>
        </w:rPr>
        <w:t>tes n’a rien dit, rien su et encore moins vu des dangers induits par les fragilités financières notoires de la globalisation. Comment dès lors expliquer l’inexplicable (Ben Hammouda, Oulmane, Sadni Jallab, 2010 ; Cohen, 2010) ?</w:t>
      </w:r>
    </w:p>
    <w:p w14:paraId="0415C0E5" w14:textId="77777777" w:rsidR="002F4063" w:rsidRPr="004B2498" w:rsidRDefault="002F4063" w:rsidP="002F4063">
      <w:pPr>
        <w:spacing w:before="120" w:after="120"/>
        <w:jc w:val="both"/>
      </w:pPr>
      <w:r w:rsidRPr="004B2498">
        <w:rPr>
          <w:lang w:eastAsia="fr-FR" w:bidi="fr-FR"/>
        </w:rPr>
        <w:t xml:space="preserve">Plusieurs hypothèses relatives au comportement surprenant de ces professionnels peuvent désormais être avancées comme autant de </w:t>
      </w:r>
      <w:r w:rsidRPr="004B2498">
        <w:rPr>
          <w:lang w:eastAsia="fr-FR" w:bidi="fr-FR"/>
        </w:rPr>
        <w:lastRenderedPageBreak/>
        <w:t>pi</w:t>
      </w:r>
      <w:r w:rsidRPr="004B2498">
        <w:rPr>
          <w:lang w:eastAsia="fr-FR" w:bidi="fr-FR"/>
        </w:rPr>
        <w:t>s</w:t>
      </w:r>
      <w:r w:rsidRPr="004B2498">
        <w:rPr>
          <w:lang w:eastAsia="fr-FR" w:bidi="fr-FR"/>
        </w:rPr>
        <w:t>tes de recherches, de réflexions à approfondir ultérieurement : en premier lieu, la divergence méthodologique entre les pratiques micr</w:t>
      </w:r>
      <w:r w:rsidRPr="004B2498">
        <w:rPr>
          <w:lang w:eastAsia="fr-FR" w:bidi="fr-FR"/>
        </w:rPr>
        <w:t>o</w:t>
      </w:r>
      <w:r w:rsidRPr="004B2498">
        <w:rPr>
          <w:lang w:eastAsia="fr-FR" w:bidi="fr-FR"/>
        </w:rPr>
        <w:t>économiques des économistes du secteur privé et les travaux macr</w:t>
      </w:r>
      <w:r w:rsidRPr="004B2498">
        <w:rPr>
          <w:lang w:eastAsia="fr-FR" w:bidi="fr-FR"/>
        </w:rPr>
        <w:t>o</w:t>
      </w:r>
      <w:r w:rsidRPr="004B2498">
        <w:rPr>
          <w:lang w:eastAsia="fr-FR" w:bidi="fr-FR"/>
        </w:rPr>
        <w:t>économiques des appareils institutionnels académiques aboutit dans les faits à une sorte de schizophrénie intellectuelle entre les deux m</w:t>
      </w:r>
      <w:r w:rsidRPr="004B2498">
        <w:rPr>
          <w:lang w:eastAsia="fr-FR" w:bidi="fr-FR"/>
        </w:rPr>
        <w:t>i</w:t>
      </w:r>
      <w:r w:rsidRPr="004B2498">
        <w:rPr>
          <w:lang w:eastAsia="fr-FR" w:bidi="fr-FR"/>
        </w:rPr>
        <w:t>lieux, à une réelle impossibilité</w:t>
      </w:r>
      <w:r>
        <w:t xml:space="preserve"> </w:t>
      </w:r>
      <w:r w:rsidRPr="004B2498">
        <w:t>[22]</w:t>
      </w:r>
      <w:r>
        <w:t xml:space="preserve"> </w:t>
      </w:r>
      <w:r w:rsidRPr="004B2498">
        <w:rPr>
          <w:lang w:eastAsia="fr-FR" w:bidi="fr-FR"/>
        </w:rPr>
        <w:t xml:space="preserve">à échanger des analyses et des diagnostics non formatés par la </w:t>
      </w:r>
      <w:r w:rsidRPr="00F93343">
        <w:rPr>
          <w:i/>
        </w:rPr>
        <w:t>vu</w:t>
      </w:r>
      <w:r w:rsidRPr="00F93343">
        <w:rPr>
          <w:i/>
        </w:rPr>
        <w:t>l</w:t>
      </w:r>
      <w:r w:rsidRPr="00F93343">
        <w:rPr>
          <w:i/>
        </w:rPr>
        <w:t>gate</w:t>
      </w:r>
      <w:r w:rsidRPr="004B2498">
        <w:t xml:space="preserve"> </w:t>
      </w:r>
      <w:r w:rsidRPr="004B2498">
        <w:rPr>
          <w:lang w:eastAsia="fr-FR" w:bidi="fr-FR"/>
        </w:rPr>
        <w:t>dominante. En plus du clivage des lieux de travail entre analystes privés et universitaires, l’existence d’un degré de complaisance voire de complicité de certains praticiens de l’économie vis-à-vis des int</w:t>
      </w:r>
      <w:r w:rsidRPr="004B2498">
        <w:rPr>
          <w:lang w:eastAsia="fr-FR" w:bidi="fr-FR"/>
        </w:rPr>
        <w:t>é</w:t>
      </w:r>
      <w:r w:rsidRPr="004B2498">
        <w:rPr>
          <w:lang w:eastAsia="fr-FR" w:bidi="fr-FR"/>
        </w:rPr>
        <w:t>rêts économiques et financiers mérite en deuxième lieu d’être relevé. D’un point de vue spécifique, la que</w:t>
      </w:r>
      <w:r w:rsidRPr="004B2498">
        <w:rPr>
          <w:lang w:eastAsia="fr-FR" w:bidi="fr-FR"/>
        </w:rPr>
        <w:t>s</w:t>
      </w:r>
      <w:r w:rsidRPr="004B2498">
        <w:rPr>
          <w:lang w:eastAsia="fr-FR" w:bidi="fr-FR"/>
        </w:rPr>
        <w:t>tion des expertises (contenu des prestations, séparation de l’audit et de l’analyse, montant des rémun</w:t>
      </w:r>
      <w:r w:rsidRPr="004B2498">
        <w:rPr>
          <w:lang w:eastAsia="fr-FR" w:bidi="fr-FR"/>
        </w:rPr>
        <w:t>é</w:t>
      </w:r>
      <w:r w:rsidRPr="004B2498">
        <w:rPr>
          <w:lang w:eastAsia="fr-FR" w:bidi="fr-FR"/>
        </w:rPr>
        <w:t>rations...) devient récurrente au sein de l’opinion publique laquelle exige, de plus en plus souvent, des répo</w:t>
      </w:r>
      <w:r w:rsidRPr="004B2498">
        <w:rPr>
          <w:lang w:eastAsia="fr-FR" w:bidi="fr-FR"/>
        </w:rPr>
        <w:t>n</w:t>
      </w:r>
      <w:r w:rsidRPr="004B2498">
        <w:rPr>
          <w:lang w:eastAsia="fr-FR" w:bidi="fr-FR"/>
        </w:rPr>
        <w:t>ses claires, impartiales lorsque le patrimoine et l’épargne sont en pe</w:t>
      </w:r>
      <w:r w:rsidRPr="004B2498">
        <w:rPr>
          <w:lang w:eastAsia="fr-FR" w:bidi="fr-FR"/>
        </w:rPr>
        <w:t>r</w:t>
      </w:r>
      <w:r w:rsidRPr="004B2498">
        <w:rPr>
          <w:lang w:eastAsia="fr-FR" w:bidi="fr-FR"/>
        </w:rPr>
        <w:t>manence mobilisés pour la</w:t>
      </w:r>
      <w:r w:rsidRPr="004B2498">
        <w:rPr>
          <w:lang w:eastAsia="fr-FR" w:bidi="fr-FR"/>
        </w:rPr>
        <w:t>n</w:t>
      </w:r>
      <w:r w:rsidRPr="004B2498">
        <w:rPr>
          <w:lang w:eastAsia="fr-FR" w:bidi="fr-FR"/>
        </w:rPr>
        <w:t>cer des projets d’investissement à hauts risques. Dans la production de connaissances pratiques ou théoriques de l’économie financière, l’imbrication des relations politiques et éc</w:t>
      </w:r>
      <w:r w:rsidRPr="004B2498">
        <w:rPr>
          <w:lang w:eastAsia="fr-FR" w:bidi="fr-FR"/>
        </w:rPr>
        <w:t>o</w:t>
      </w:r>
      <w:r w:rsidRPr="004B2498">
        <w:rPr>
          <w:lang w:eastAsia="fr-FR" w:bidi="fr-FR"/>
        </w:rPr>
        <w:t>nomiques occupe une pl</w:t>
      </w:r>
      <w:r w:rsidRPr="004B2498">
        <w:rPr>
          <w:lang w:eastAsia="fr-FR" w:bidi="fr-FR"/>
        </w:rPr>
        <w:t>a</w:t>
      </w:r>
      <w:r w:rsidRPr="004B2498">
        <w:rPr>
          <w:lang w:eastAsia="fr-FR" w:bidi="fr-FR"/>
        </w:rPr>
        <w:t>ce prépondérante, une réalité dérangeante qui devrait nous inciter à élargir la réflexion critique au positionn</w:t>
      </w:r>
      <w:r w:rsidRPr="004B2498">
        <w:rPr>
          <w:lang w:eastAsia="fr-FR" w:bidi="fr-FR"/>
        </w:rPr>
        <w:t>e</w:t>
      </w:r>
      <w:r w:rsidRPr="004B2498">
        <w:rPr>
          <w:lang w:eastAsia="fr-FR" w:bidi="fr-FR"/>
        </w:rPr>
        <w:t>ment ambigu de certains chercheurs en économie dans les rapports de domination.</w:t>
      </w:r>
    </w:p>
    <w:p w14:paraId="5195C7F7" w14:textId="77777777" w:rsidR="002F4063" w:rsidRPr="004B2498" w:rsidRDefault="002F4063" w:rsidP="002F4063">
      <w:pPr>
        <w:spacing w:before="120" w:after="120"/>
        <w:jc w:val="both"/>
      </w:pPr>
      <w:r w:rsidRPr="004B2498">
        <w:rPr>
          <w:lang w:eastAsia="fr-FR" w:bidi="fr-FR"/>
        </w:rPr>
        <w:t>Une des critiques supplémentaires adressées aux économistes consiste par ailleurs à leur attribuer une incapacité cognitive à prévoir l’apparition des crises financières malgré la multiplicité des expérie</w:t>
      </w:r>
      <w:r w:rsidRPr="004B2498">
        <w:rPr>
          <w:lang w:eastAsia="fr-FR" w:bidi="fr-FR"/>
        </w:rPr>
        <w:t>n</w:t>
      </w:r>
      <w:r w:rsidRPr="004B2498">
        <w:rPr>
          <w:lang w:eastAsia="fr-FR" w:bidi="fr-FR"/>
        </w:rPr>
        <w:t>ces historiques remarquables du capitalisme en ce domaine (Grav</w:t>
      </w:r>
      <w:r w:rsidRPr="004B2498">
        <w:rPr>
          <w:lang w:eastAsia="fr-FR" w:bidi="fr-FR"/>
        </w:rPr>
        <w:t>e</w:t>
      </w:r>
      <w:r w:rsidRPr="004B2498">
        <w:rPr>
          <w:lang w:eastAsia="fr-FR" w:bidi="fr-FR"/>
        </w:rPr>
        <w:t>reau, Trauman, 2001 ; Marichal, 2010). Ce qu’on leur reproche plus précisément, c’est de ne fournir aucune date de fréquence d’occurrence de rupture (s) majeure (s) au sein du système financier mondial. L’avantage de disposer d’une probabilité de réalisation d’un évènement non reproductible tel qu’une crise permettrait bien entendu non seulement de s’y préparer à l’avance mais aussi peut-être, comble de bonheur, de l’éviter en prenant les mesures politiques, économ</w:t>
      </w:r>
      <w:r w:rsidRPr="004B2498">
        <w:rPr>
          <w:lang w:eastAsia="fr-FR" w:bidi="fr-FR"/>
        </w:rPr>
        <w:t>i</w:t>
      </w:r>
      <w:r w:rsidRPr="004B2498">
        <w:rPr>
          <w:lang w:eastAsia="fr-FR" w:bidi="fr-FR"/>
        </w:rPr>
        <w:t>ques et financières appropriées. Cette vision ingénue de la prévision en économie ne correspond pas à ce que l’on pourrait attendre raiso</w:t>
      </w:r>
      <w:r w:rsidRPr="004B2498">
        <w:rPr>
          <w:lang w:eastAsia="fr-FR" w:bidi="fr-FR"/>
        </w:rPr>
        <w:t>n</w:t>
      </w:r>
      <w:r w:rsidRPr="004B2498">
        <w:rPr>
          <w:lang w:eastAsia="fr-FR" w:bidi="fr-FR"/>
        </w:rPr>
        <w:t>nablement de cette discipline en matière d’anticipation anticrise : d’une part, parce que mathématisation de l’économie financière sign</w:t>
      </w:r>
      <w:r w:rsidRPr="004B2498">
        <w:rPr>
          <w:lang w:eastAsia="fr-FR" w:bidi="fr-FR"/>
        </w:rPr>
        <w:t>i</w:t>
      </w:r>
      <w:r w:rsidRPr="004B2498">
        <w:rPr>
          <w:lang w:eastAsia="fr-FR" w:bidi="fr-FR"/>
        </w:rPr>
        <w:t xml:space="preserve">fie rarement datation de situations exceptionnelles, reléguées dans les </w:t>
      </w:r>
      <w:r w:rsidRPr="004B2498">
        <w:rPr>
          <w:lang w:eastAsia="fr-FR" w:bidi="fr-FR"/>
        </w:rPr>
        <w:lastRenderedPageBreak/>
        <w:t>queues des courbes normales de la statistique des valeurs boursières, peu prises en compte lors de la construction de modèles formels (T</w:t>
      </w:r>
      <w:r w:rsidRPr="004B2498">
        <w:rPr>
          <w:lang w:eastAsia="fr-FR" w:bidi="fr-FR"/>
        </w:rPr>
        <w:t>a</w:t>
      </w:r>
      <w:r w:rsidRPr="004B2498">
        <w:rPr>
          <w:lang w:eastAsia="fr-FR" w:bidi="fr-FR"/>
        </w:rPr>
        <w:t>leb Nassim, 2008). Les périodes de fortes turbulences financières sont d’autre part matériellement peu propices aux prévisions économiques exactes, très éloignées de toutes les façons du besoin utopique de pr</w:t>
      </w:r>
      <w:r w:rsidRPr="004B2498">
        <w:rPr>
          <w:lang w:eastAsia="fr-FR" w:bidi="fr-FR"/>
        </w:rPr>
        <w:t>é</w:t>
      </w:r>
      <w:r w:rsidRPr="004B2498">
        <w:rPr>
          <w:lang w:eastAsia="fr-FR" w:bidi="fr-FR"/>
        </w:rPr>
        <w:t>cision (une date) exprimé par l’opinion publique. Des obstacles no</w:t>
      </w:r>
      <w:r w:rsidRPr="004B2498">
        <w:rPr>
          <w:lang w:eastAsia="fr-FR" w:bidi="fr-FR"/>
        </w:rPr>
        <w:t>m</w:t>
      </w:r>
      <w:r w:rsidRPr="004B2498">
        <w:rPr>
          <w:lang w:eastAsia="fr-FR" w:bidi="fr-FR"/>
        </w:rPr>
        <w:t>breux de type informationnel empêchent en effet la réalisation de tr</w:t>
      </w:r>
      <w:r w:rsidRPr="004B2498">
        <w:rPr>
          <w:lang w:eastAsia="fr-FR" w:bidi="fr-FR"/>
        </w:rPr>
        <w:t>a</w:t>
      </w:r>
      <w:r w:rsidRPr="004B2498">
        <w:rPr>
          <w:lang w:eastAsia="fr-FR" w:bidi="fr-FR"/>
        </w:rPr>
        <w:t>vaux sérieux qui tenteraient d’anticiper la formation de signaux pr</w:t>
      </w:r>
      <w:r w:rsidRPr="004B2498">
        <w:rPr>
          <w:lang w:eastAsia="fr-FR" w:bidi="fr-FR"/>
        </w:rPr>
        <w:t>é</w:t>
      </w:r>
      <w:r w:rsidRPr="004B2498">
        <w:rPr>
          <w:lang w:eastAsia="fr-FR" w:bidi="fr-FR"/>
        </w:rPr>
        <w:t>curseurs de crises. Si l’on ajoute l’absence de données fiables et de séries temporelles de chiffres complètes, il est aisé d’en inférer une difficulté insoluble à répondre actuellement aux attentes sociales a</w:t>
      </w:r>
      <w:r w:rsidRPr="004B2498">
        <w:rPr>
          <w:lang w:eastAsia="fr-FR" w:bidi="fr-FR"/>
        </w:rPr>
        <w:t>u</w:t>
      </w:r>
      <w:r w:rsidRPr="004B2498">
        <w:rPr>
          <w:lang w:eastAsia="fr-FR" w:bidi="fr-FR"/>
        </w:rPr>
        <w:t>tour de leur prévision.</w:t>
      </w:r>
    </w:p>
    <w:p w14:paraId="7A253718" w14:textId="77777777" w:rsidR="002F4063" w:rsidRPr="004B2498" w:rsidRDefault="002F4063" w:rsidP="002F4063">
      <w:pPr>
        <w:spacing w:before="120" w:after="120"/>
        <w:jc w:val="both"/>
      </w:pPr>
      <w:r w:rsidRPr="004B2498">
        <w:t>[23]</w:t>
      </w:r>
    </w:p>
    <w:p w14:paraId="00BF859D" w14:textId="77777777" w:rsidR="002F4063" w:rsidRPr="004B2498" w:rsidRDefault="002F4063" w:rsidP="002F4063">
      <w:pPr>
        <w:spacing w:before="120" w:after="120"/>
        <w:jc w:val="both"/>
      </w:pPr>
    </w:p>
    <w:p w14:paraId="4E758F1B" w14:textId="77777777" w:rsidR="002F4063" w:rsidRPr="004B2498" w:rsidRDefault="002F4063" w:rsidP="002F4063">
      <w:pPr>
        <w:pStyle w:val="planche"/>
      </w:pPr>
      <w:r w:rsidRPr="004B2498">
        <w:rPr>
          <w:lang w:eastAsia="fr-FR" w:bidi="fr-FR"/>
        </w:rPr>
        <w:t>RISQUE ET CRISES FINANCIÈRES :</w:t>
      </w:r>
      <w:r w:rsidRPr="004B2498">
        <w:rPr>
          <w:lang w:eastAsia="fr-FR" w:bidi="fr-FR"/>
        </w:rPr>
        <w:br/>
        <w:t>UN COUPLE PARADOXAL</w:t>
      </w:r>
    </w:p>
    <w:p w14:paraId="0EFFEC0F" w14:textId="77777777" w:rsidR="002F4063" w:rsidRPr="004B2498" w:rsidRDefault="002F4063" w:rsidP="002F4063">
      <w:pPr>
        <w:spacing w:before="120" w:after="120"/>
        <w:jc w:val="both"/>
        <w:rPr>
          <w:lang w:eastAsia="fr-FR" w:bidi="fr-FR"/>
        </w:rPr>
      </w:pPr>
    </w:p>
    <w:p w14:paraId="0B0FB3F3" w14:textId="77777777" w:rsidR="002F4063" w:rsidRPr="004B2498" w:rsidRDefault="002F4063" w:rsidP="002F4063">
      <w:pPr>
        <w:spacing w:before="120" w:after="120"/>
        <w:jc w:val="both"/>
      </w:pPr>
      <w:r w:rsidRPr="004B2498">
        <w:rPr>
          <w:lang w:eastAsia="fr-FR" w:bidi="fr-FR"/>
        </w:rPr>
        <w:t>L’observation attentive de plusieurs expériences historiques de cr</w:t>
      </w:r>
      <w:r w:rsidRPr="004B2498">
        <w:rPr>
          <w:lang w:eastAsia="fr-FR" w:bidi="fr-FR"/>
        </w:rPr>
        <w:t>i</w:t>
      </w:r>
      <w:r w:rsidRPr="004B2498">
        <w:rPr>
          <w:lang w:eastAsia="fr-FR" w:bidi="fr-FR"/>
        </w:rPr>
        <w:t xml:space="preserve">ses capitalistes fait ressortir avec une régularité quasi métronomique le risque comme une constante de pratiques spéculatives, une sorte d’invariant de comportements excessifs d’acteurs recélant une part élevée de responsabilité dans la formation de bulles et de </w:t>
      </w:r>
      <w:r w:rsidRPr="00F93343">
        <w:rPr>
          <w:i/>
        </w:rPr>
        <w:t>krachs</w:t>
      </w:r>
      <w:r w:rsidRPr="004B2498">
        <w:rPr>
          <w:lang w:eastAsia="fr-FR" w:bidi="fr-FR"/>
        </w:rPr>
        <w:t xml:space="preserve"> f</w:t>
      </w:r>
      <w:r w:rsidRPr="004B2498">
        <w:rPr>
          <w:lang w:eastAsia="fr-FR" w:bidi="fr-FR"/>
        </w:rPr>
        <w:t>i</w:t>
      </w:r>
      <w:r w:rsidRPr="004B2498">
        <w:rPr>
          <w:lang w:eastAsia="fr-FR" w:bidi="fr-FR"/>
        </w:rPr>
        <w:t>nanciers (Gravereau, Trauman, 2001 ; Marichal, 2010). La fréquence d’occurrences du risque de même que sa labilité surprenante incitent à penser qu’il ne s’agit pas seulement d’un fait contingent diffus mais plutôt d’un point important d’analyse pouvant être étendu, généralisé à seule fin de mieux comprendre les situations passées ou présentes.</w:t>
      </w:r>
    </w:p>
    <w:p w14:paraId="7477231A" w14:textId="77777777" w:rsidR="002F4063" w:rsidRPr="004B2498" w:rsidRDefault="002F4063" w:rsidP="002F4063">
      <w:pPr>
        <w:spacing w:before="120" w:after="120"/>
        <w:jc w:val="both"/>
      </w:pPr>
      <w:r w:rsidRPr="004B2498">
        <w:rPr>
          <w:lang w:eastAsia="fr-FR" w:bidi="fr-FR"/>
        </w:rPr>
        <w:t>Couple paradoxal dans la mesure où, malgré des pans entiers de la recherche en finance consacrés aux techniques supposées le gérer, l’utilisation arbitraire du risque s’est toujours accompagnée d’effets non désirés, voire pervers éliminant d’un trait les avantages et les gains produits par des décisions avisées d’investissement. Avec co</w:t>
      </w:r>
      <w:r w:rsidRPr="004B2498">
        <w:rPr>
          <w:lang w:eastAsia="fr-FR" w:bidi="fr-FR"/>
        </w:rPr>
        <w:t>m</w:t>
      </w:r>
      <w:r w:rsidRPr="004B2498">
        <w:rPr>
          <w:lang w:eastAsia="fr-FR" w:bidi="fr-FR"/>
        </w:rPr>
        <w:t xml:space="preserve">me </w:t>
      </w:r>
      <w:r w:rsidRPr="00F93343">
        <w:rPr>
          <w:i/>
        </w:rPr>
        <w:t>leitmotiv</w:t>
      </w:r>
      <w:r w:rsidRPr="004B2498">
        <w:rPr>
          <w:lang w:eastAsia="fr-FR" w:bidi="fr-FR"/>
        </w:rPr>
        <w:t xml:space="preserve"> usité « Maintenant, c’est différent ! » les actes risqués ont historiquement engendré les pires catastrophes financières sans que la mémoire collective des erreurs ait eu la moindre vertu </w:t>
      </w:r>
      <w:r w:rsidRPr="004B2498">
        <w:rPr>
          <w:lang w:eastAsia="fr-FR" w:bidi="fr-FR"/>
        </w:rPr>
        <w:lastRenderedPageBreak/>
        <w:t>d’apprentissage pouvant se matérialiser sous la forme d’attitudes « prudentielles ».</w:t>
      </w:r>
    </w:p>
    <w:p w14:paraId="198A94A2" w14:textId="77777777" w:rsidR="002F4063" w:rsidRPr="004B2498" w:rsidRDefault="002F4063" w:rsidP="002F4063">
      <w:pPr>
        <w:spacing w:before="120" w:after="120"/>
        <w:jc w:val="both"/>
      </w:pPr>
      <w:r w:rsidRPr="004B2498">
        <w:rPr>
          <w:lang w:eastAsia="fr-FR" w:bidi="fr-FR"/>
        </w:rPr>
        <w:t>D’une première approche intuitive, on remarque que les crises d</w:t>
      </w:r>
      <w:r w:rsidRPr="004B2498">
        <w:rPr>
          <w:lang w:eastAsia="fr-FR" w:bidi="fr-FR"/>
        </w:rPr>
        <w:t>é</w:t>
      </w:r>
      <w:r w:rsidRPr="004B2498">
        <w:rPr>
          <w:lang w:eastAsia="fr-FR" w:bidi="fr-FR"/>
        </w:rPr>
        <w:t>voilent en réalité le substrat fondamental sur lequel reposent nombre de dérives financières. Prendre des risques tout en évitant les cons</w:t>
      </w:r>
      <w:r w:rsidRPr="004B2498">
        <w:rPr>
          <w:lang w:eastAsia="fr-FR" w:bidi="fr-FR"/>
        </w:rPr>
        <w:t>é</w:t>
      </w:r>
      <w:r w:rsidRPr="004B2498">
        <w:rPr>
          <w:lang w:eastAsia="fr-FR" w:bidi="fr-FR"/>
        </w:rPr>
        <w:t>quences néfastes représente sans conteste une illusion collective du capitalisme oscillant constamment entre la crainte de pertes substa</w:t>
      </w:r>
      <w:r w:rsidRPr="004B2498">
        <w:rPr>
          <w:lang w:eastAsia="fr-FR" w:bidi="fr-FR"/>
        </w:rPr>
        <w:t>n</w:t>
      </w:r>
      <w:r w:rsidRPr="004B2498">
        <w:rPr>
          <w:lang w:eastAsia="fr-FR" w:bidi="fr-FR"/>
        </w:rPr>
        <w:t>tielles et les espérances illimitées d’un rêve d’enrichissement atte</w:t>
      </w:r>
      <w:r w:rsidRPr="004B2498">
        <w:rPr>
          <w:lang w:eastAsia="fr-FR" w:bidi="fr-FR"/>
        </w:rPr>
        <w:t>i</w:t>
      </w:r>
      <w:r w:rsidRPr="004B2498">
        <w:rPr>
          <w:lang w:eastAsia="fr-FR" w:bidi="fr-FR"/>
        </w:rPr>
        <w:t>gnable à brève échéance. Cette volonté irénique « du risque sans ri</w:t>
      </w:r>
      <w:r w:rsidRPr="004B2498">
        <w:rPr>
          <w:lang w:eastAsia="fr-FR" w:bidi="fr-FR"/>
        </w:rPr>
        <w:t>s</w:t>
      </w:r>
      <w:r w:rsidRPr="004B2498">
        <w:rPr>
          <w:lang w:eastAsia="fr-FR" w:bidi="fr-FR"/>
        </w:rPr>
        <w:t>que » en relation avec les crises constituera la trame principale de ce</w:t>
      </w:r>
      <w:r w:rsidRPr="004B2498">
        <w:rPr>
          <w:lang w:eastAsia="fr-FR" w:bidi="fr-FR"/>
        </w:rPr>
        <w:t>t</w:t>
      </w:r>
      <w:r w:rsidRPr="004B2498">
        <w:rPr>
          <w:lang w:eastAsia="fr-FR" w:bidi="fr-FR"/>
        </w:rPr>
        <w:t>te deuxième partie où ce couple paradoxal sera examiné sous une tr</w:t>
      </w:r>
      <w:r w:rsidRPr="004B2498">
        <w:rPr>
          <w:lang w:eastAsia="fr-FR" w:bidi="fr-FR"/>
        </w:rPr>
        <w:t>i</w:t>
      </w:r>
      <w:r w:rsidRPr="004B2498">
        <w:rPr>
          <w:lang w:eastAsia="fr-FR" w:bidi="fr-FR"/>
        </w:rPr>
        <w:t>ple dimension : nous nous servirons tout d’abord du risque comme facteur explicatif de l’apparition des crises puis tenterons d’approcher sa dimension occulte pour questionner finalement la pertinence de la théorie de la gouvernance en matière de gestion cyndinique.</w:t>
      </w:r>
    </w:p>
    <w:p w14:paraId="7474CBD0" w14:textId="77777777" w:rsidR="002F4063" w:rsidRPr="004B2498" w:rsidRDefault="002F4063" w:rsidP="002F4063">
      <w:pPr>
        <w:spacing w:before="120" w:after="120"/>
        <w:jc w:val="both"/>
        <w:rPr>
          <w:szCs w:val="24"/>
          <w:lang w:eastAsia="fr-FR" w:bidi="fr-FR"/>
        </w:rPr>
      </w:pPr>
    </w:p>
    <w:p w14:paraId="3FBBD6E9" w14:textId="77777777" w:rsidR="002F4063" w:rsidRPr="004B2498" w:rsidRDefault="002F4063" w:rsidP="002F4063">
      <w:pPr>
        <w:pStyle w:val="a"/>
      </w:pPr>
      <w:r w:rsidRPr="004B2498">
        <w:t>Le risque élément explicatif des crises</w:t>
      </w:r>
    </w:p>
    <w:p w14:paraId="2430754C" w14:textId="77777777" w:rsidR="002F4063" w:rsidRPr="004B2498" w:rsidRDefault="002F4063" w:rsidP="002F4063">
      <w:pPr>
        <w:spacing w:before="120" w:after="120"/>
        <w:jc w:val="both"/>
        <w:rPr>
          <w:lang w:eastAsia="fr-FR" w:bidi="fr-FR"/>
        </w:rPr>
      </w:pPr>
    </w:p>
    <w:p w14:paraId="7210B77A" w14:textId="77777777" w:rsidR="002F4063" w:rsidRPr="004B2498" w:rsidRDefault="002F4063" w:rsidP="002F4063">
      <w:pPr>
        <w:spacing w:before="120" w:after="120"/>
        <w:jc w:val="both"/>
      </w:pPr>
      <w:r w:rsidRPr="004B2498">
        <w:rPr>
          <w:lang w:eastAsia="fr-FR" w:bidi="fr-FR"/>
        </w:rPr>
        <w:t>Les phases euphoriques de prospérité tout au long de l’histoire du capitalisme mondial furent en partie marquées par un appétit immod</w:t>
      </w:r>
      <w:r w:rsidRPr="004B2498">
        <w:rPr>
          <w:lang w:eastAsia="fr-FR" w:bidi="fr-FR"/>
        </w:rPr>
        <w:t>é</w:t>
      </w:r>
      <w:r w:rsidRPr="004B2498">
        <w:rPr>
          <w:lang w:eastAsia="fr-FR" w:bidi="fr-FR"/>
        </w:rPr>
        <w:t>ré pour le risque. À l'instar des expansions sectorielles financées par un recours croissant aux marchés du crédit, de plus en plus libérés d’ailleurs des contraintes formelles de la régulation étatique, le prêt facile d’argent, en organisant la confrontation permanente des risques, recèle en lui-même les</w:t>
      </w:r>
      <w:r>
        <w:t xml:space="preserve"> </w:t>
      </w:r>
      <w:r w:rsidRPr="004B2498">
        <w:t>[24]</w:t>
      </w:r>
      <w:r>
        <w:t xml:space="preserve"> </w:t>
      </w:r>
      <w:r w:rsidRPr="004B2498">
        <w:rPr>
          <w:lang w:eastAsia="fr-FR" w:bidi="fr-FR"/>
        </w:rPr>
        <w:t>prémices futures d’instabilités monétaires et de désordres fina</w:t>
      </w:r>
      <w:r w:rsidRPr="004B2498">
        <w:rPr>
          <w:lang w:eastAsia="fr-FR" w:bidi="fr-FR"/>
        </w:rPr>
        <w:t>n</w:t>
      </w:r>
      <w:r w:rsidRPr="004B2498">
        <w:rPr>
          <w:lang w:eastAsia="fr-FR" w:bidi="fr-FR"/>
        </w:rPr>
        <w:t>ciers. Certes, les stratégies risquées sous contrôle offrent bien entendu des avantages dont peuvent encore bénéficier quelques opérateurs financiers : des opportunités supérieures de rent</w:t>
      </w:r>
      <w:r w:rsidRPr="004B2498">
        <w:rPr>
          <w:lang w:eastAsia="fr-FR" w:bidi="fr-FR"/>
        </w:rPr>
        <w:t>a</w:t>
      </w:r>
      <w:r w:rsidRPr="004B2498">
        <w:rPr>
          <w:lang w:eastAsia="fr-FR" w:bidi="fr-FR"/>
        </w:rPr>
        <w:t>bilité, l’exploration de nouveaux domaines d’investissement jusque-là méconnus, des poss</w:t>
      </w:r>
      <w:r w:rsidRPr="004B2498">
        <w:rPr>
          <w:lang w:eastAsia="fr-FR" w:bidi="fr-FR"/>
        </w:rPr>
        <w:t>i</w:t>
      </w:r>
      <w:r w:rsidRPr="004B2498">
        <w:rPr>
          <w:lang w:eastAsia="fr-FR" w:bidi="fr-FR"/>
        </w:rPr>
        <w:t>bilités accrues de développement de l’innovation financière, un ra</w:t>
      </w:r>
      <w:r w:rsidRPr="004B2498">
        <w:rPr>
          <w:lang w:eastAsia="fr-FR" w:bidi="fr-FR"/>
        </w:rPr>
        <w:t>c</w:t>
      </w:r>
      <w:r w:rsidRPr="004B2498">
        <w:rPr>
          <w:lang w:eastAsia="fr-FR" w:bidi="fr-FR"/>
        </w:rPr>
        <w:t>courcissement des périodes de maturation des projets de financement, etc. Mais à la longue, la conjonction non maîtrisée de ces multiples bénéfices accentuerait d’autant plus les volatilités late</w:t>
      </w:r>
      <w:r w:rsidRPr="004B2498">
        <w:rPr>
          <w:lang w:eastAsia="fr-FR" w:bidi="fr-FR"/>
        </w:rPr>
        <w:t>n</w:t>
      </w:r>
      <w:r w:rsidRPr="004B2498">
        <w:rPr>
          <w:lang w:eastAsia="fr-FR" w:bidi="fr-FR"/>
        </w:rPr>
        <w:t>tes par simple perte du sens des besoins réels de l’économie tout en privilégiant la logique du profit financier.</w:t>
      </w:r>
    </w:p>
    <w:p w14:paraId="065BBF7B" w14:textId="77777777" w:rsidR="002F4063" w:rsidRPr="004B2498" w:rsidRDefault="002F4063" w:rsidP="002F4063">
      <w:pPr>
        <w:spacing w:before="120" w:after="120"/>
        <w:jc w:val="both"/>
      </w:pPr>
      <w:r w:rsidRPr="004B2498">
        <w:rPr>
          <w:lang w:eastAsia="fr-FR" w:bidi="fr-FR"/>
        </w:rPr>
        <w:lastRenderedPageBreak/>
        <w:t>Or, les considérations précédentes donnent à réfléchir dans la m</w:t>
      </w:r>
      <w:r w:rsidRPr="004B2498">
        <w:rPr>
          <w:lang w:eastAsia="fr-FR" w:bidi="fr-FR"/>
        </w:rPr>
        <w:t>e</w:t>
      </w:r>
      <w:r w:rsidRPr="004B2498">
        <w:rPr>
          <w:lang w:eastAsia="fr-FR" w:bidi="fr-FR"/>
        </w:rPr>
        <w:t>sure où elles soulèvent plusieurs questions en liaison avec la nature du risque, son mode de fonctionnement. Pourquoi le risque est-il souvent responsable de l’instabilité financière du système global ? Quelles l</w:t>
      </w:r>
      <w:r w:rsidRPr="004B2498">
        <w:rPr>
          <w:lang w:eastAsia="fr-FR" w:bidi="fr-FR"/>
        </w:rPr>
        <w:t>o</w:t>
      </w:r>
      <w:r w:rsidRPr="004B2498">
        <w:rPr>
          <w:lang w:eastAsia="fr-FR" w:bidi="fr-FR"/>
        </w:rPr>
        <w:t>giques sont à l’œuvre sachant que leur connaissance empêche rar</w:t>
      </w:r>
      <w:r w:rsidRPr="004B2498">
        <w:rPr>
          <w:lang w:eastAsia="fr-FR" w:bidi="fr-FR"/>
        </w:rPr>
        <w:t>e</w:t>
      </w:r>
      <w:r w:rsidRPr="004B2498">
        <w:rPr>
          <w:lang w:eastAsia="fr-FR" w:bidi="fr-FR"/>
        </w:rPr>
        <w:t>ment la reproduction des crises ? L’interrogation essentielle sur les moyens de contrôle du risque abordée par le biais de la critique de la gouvernance financière complétera en outre le questionnaire préc</w:t>
      </w:r>
      <w:r w:rsidRPr="004B2498">
        <w:rPr>
          <w:lang w:eastAsia="fr-FR" w:bidi="fr-FR"/>
        </w:rPr>
        <w:t>é</w:t>
      </w:r>
      <w:r w:rsidRPr="004B2498">
        <w:rPr>
          <w:lang w:eastAsia="fr-FR" w:bidi="fr-FR"/>
        </w:rPr>
        <w:t>dent.</w:t>
      </w:r>
    </w:p>
    <w:p w14:paraId="08CD846A" w14:textId="77777777" w:rsidR="002F4063" w:rsidRPr="004B2498" w:rsidRDefault="002F4063" w:rsidP="002F4063">
      <w:pPr>
        <w:spacing w:before="120" w:after="120"/>
        <w:jc w:val="both"/>
      </w:pPr>
      <w:r w:rsidRPr="004B2498">
        <w:rPr>
          <w:lang w:eastAsia="fr-FR" w:bidi="fr-FR"/>
        </w:rPr>
        <w:t>D’ores et déjà des éléments de réponse peuvent être apportés aux deux questions précédentes : rappelons que le risque financier est conçu en général comme un calcul probabiliste sur une espérance de gains susceptible d’influencer les décisions d’investissement génér</w:t>
      </w:r>
      <w:r w:rsidRPr="004B2498">
        <w:rPr>
          <w:lang w:eastAsia="fr-FR" w:bidi="fr-FR"/>
        </w:rPr>
        <w:t>a</w:t>
      </w:r>
      <w:r w:rsidRPr="004B2498">
        <w:rPr>
          <w:lang w:eastAsia="fr-FR" w:bidi="fr-FR"/>
        </w:rPr>
        <w:t>trices de profits futurs. Depuis plus d’un siècle, avec la globalisation progressive du capitalisme, la non-maîtrise des risques par les acteurs financiers de l’accumulation conduit à des crises financières aux fo</w:t>
      </w:r>
      <w:r w:rsidRPr="004B2498">
        <w:rPr>
          <w:lang w:eastAsia="fr-FR" w:bidi="fr-FR"/>
        </w:rPr>
        <w:t>r</w:t>
      </w:r>
      <w:r w:rsidRPr="004B2498">
        <w:rPr>
          <w:lang w:eastAsia="fr-FR" w:bidi="fr-FR"/>
        </w:rPr>
        <w:t>mes les plus diverses, imprévisibles et aux coûteuses conséquences sociales (Marichal, 2010 ; Roubini, Mihm, 2010). Cette gestion contrariée des risques résulte en effet d’anticipations irréalistes sur les gains futurs à très court terme, lesquelles dépassent largement les ex</w:t>
      </w:r>
      <w:r w:rsidRPr="004B2498">
        <w:rPr>
          <w:lang w:eastAsia="fr-FR" w:bidi="fr-FR"/>
        </w:rPr>
        <w:t>i</w:t>
      </w:r>
      <w:r w:rsidRPr="004B2498">
        <w:rPr>
          <w:lang w:eastAsia="fr-FR" w:bidi="fr-FR"/>
        </w:rPr>
        <w:t>gences « raisonnables » d’un retour sur investissement à moyen terme. Au cours de la première décennie du XXI</w:t>
      </w:r>
      <w:r w:rsidRPr="00F93343">
        <w:rPr>
          <w:vertAlign w:val="superscript"/>
          <w:lang w:eastAsia="fr-FR" w:bidi="fr-FR"/>
        </w:rPr>
        <w:t>e</w:t>
      </w:r>
      <w:r w:rsidRPr="004B2498">
        <w:rPr>
          <w:lang w:eastAsia="fr-FR" w:bidi="fr-FR"/>
        </w:rPr>
        <w:t xml:space="preserve"> siècle, malgré les avis r</w:t>
      </w:r>
      <w:r w:rsidRPr="004B2498">
        <w:rPr>
          <w:lang w:eastAsia="fr-FR" w:bidi="fr-FR"/>
        </w:rPr>
        <w:t>é</w:t>
      </w:r>
      <w:r w:rsidRPr="004B2498">
        <w:rPr>
          <w:lang w:eastAsia="fr-FR" w:bidi="fr-FR"/>
        </w:rPr>
        <w:t>servés d’experts sérieux, il était admis comme normal un taux de re</w:t>
      </w:r>
      <w:r w:rsidRPr="004B2498">
        <w:rPr>
          <w:lang w:eastAsia="fr-FR" w:bidi="fr-FR"/>
        </w:rPr>
        <w:t>n</w:t>
      </w:r>
      <w:r w:rsidRPr="004B2498">
        <w:rPr>
          <w:lang w:eastAsia="fr-FR" w:bidi="fr-FR"/>
        </w:rPr>
        <w:t>dement financier sur fonds propres de 15% alors qu'auparavant un pourcentage de 8% passait pour être un excellent résultat financier !</w:t>
      </w:r>
    </w:p>
    <w:p w14:paraId="4F5D88DC" w14:textId="77777777" w:rsidR="002F4063" w:rsidRPr="004B2498" w:rsidRDefault="002F4063" w:rsidP="002F4063">
      <w:pPr>
        <w:spacing w:before="120" w:after="120"/>
        <w:jc w:val="both"/>
      </w:pPr>
      <w:r w:rsidRPr="004B2498">
        <w:rPr>
          <w:lang w:eastAsia="fr-FR" w:bidi="fr-FR"/>
        </w:rPr>
        <w:t>La recherche obsessionnelle de la performance à tout prix implique de s’affranchir allègrement des points de repère objectifs, des critères nuancés de jugement que confère une connaissance fine sur l’état réel des marchés à un moment particulier. Avant l’effondrement financier de 2007, anticiper des rentabilités annuelles à deux chiffres ou des hausses exponentielles des actions en bourse participait de stratégies réalistes puisque « l’assurance tous risques » de la titrisation général</w:t>
      </w:r>
      <w:r w:rsidRPr="004B2498">
        <w:rPr>
          <w:lang w:eastAsia="fr-FR" w:bidi="fr-FR"/>
        </w:rPr>
        <w:t>i</w:t>
      </w:r>
      <w:r w:rsidRPr="004B2498">
        <w:rPr>
          <w:lang w:eastAsia="fr-FR" w:bidi="fr-FR"/>
        </w:rPr>
        <w:t>sée garantissait en théorie une valorisation sûre des titres émis. Le d</w:t>
      </w:r>
      <w:r w:rsidRPr="004B2498">
        <w:rPr>
          <w:lang w:eastAsia="fr-FR" w:bidi="fr-FR"/>
        </w:rPr>
        <w:t>é</w:t>
      </w:r>
      <w:r w:rsidRPr="004B2498">
        <w:rPr>
          <w:lang w:eastAsia="fr-FR" w:bidi="fr-FR"/>
        </w:rPr>
        <w:t>gonflement ultérieur des bulles immobilières et financières révéla au contraire que les opérations audacieuses les plus</w:t>
      </w:r>
    </w:p>
    <w:p w14:paraId="52583C28" w14:textId="77777777" w:rsidR="002F4063" w:rsidRPr="004B2498" w:rsidRDefault="002F4063" w:rsidP="002F4063">
      <w:pPr>
        <w:spacing w:before="120" w:after="120"/>
        <w:jc w:val="both"/>
      </w:pPr>
      <w:r w:rsidRPr="004B2498">
        <w:br w:type="page"/>
        <w:t>[25]</w:t>
      </w:r>
    </w:p>
    <w:p w14:paraId="1E08BB60" w14:textId="77777777" w:rsidR="002F4063" w:rsidRPr="004B2498" w:rsidRDefault="002F4063" w:rsidP="002F4063">
      <w:pPr>
        <w:spacing w:before="120" w:after="120"/>
        <w:jc w:val="both"/>
      </w:pPr>
      <w:r w:rsidRPr="004B2498">
        <w:rPr>
          <w:lang w:eastAsia="fr-FR" w:bidi="fr-FR"/>
        </w:rPr>
        <w:t xml:space="preserve">lucratives ne devaient en fait leur </w:t>
      </w:r>
      <w:r w:rsidRPr="00F93343">
        <w:rPr>
          <w:i/>
          <w:lang w:eastAsia="fr-FR" w:bidi="fr-FR"/>
        </w:rPr>
        <w:t>pseudo</w:t>
      </w:r>
      <w:r w:rsidRPr="004B2498">
        <w:rPr>
          <w:lang w:eastAsia="fr-FR" w:bidi="fr-FR"/>
        </w:rPr>
        <w:t>-performance exceptio</w:t>
      </w:r>
      <w:r w:rsidRPr="004B2498">
        <w:rPr>
          <w:lang w:eastAsia="fr-FR" w:bidi="fr-FR"/>
        </w:rPr>
        <w:t>n</w:t>
      </w:r>
      <w:r w:rsidRPr="004B2498">
        <w:rPr>
          <w:lang w:eastAsia="fr-FR" w:bidi="fr-FR"/>
        </w:rPr>
        <w:t>nelle qu’à une absence systématique d’audits comptables, d’application de normes rigoureuses de gestion et de réalisation de contrôles fiscaux réguliers, toutes procédures censées encadrer une gouvernance financière responsable (Kellens, 2005). En d’autres te</w:t>
      </w:r>
      <w:r w:rsidRPr="004B2498">
        <w:rPr>
          <w:lang w:eastAsia="fr-FR" w:bidi="fr-FR"/>
        </w:rPr>
        <w:t>r</w:t>
      </w:r>
      <w:r w:rsidRPr="004B2498">
        <w:rPr>
          <w:lang w:eastAsia="fr-FR" w:bidi="fr-FR"/>
        </w:rPr>
        <w:t>mes, la conception hasardeuse du risque basée au départ sur un calcul probabiliste de gains futurs - que l’on préfère sous la forme d’une e</w:t>
      </w:r>
      <w:r w:rsidRPr="004B2498">
        <w:rPr>
          <w:lang w:eastAsia="fr-FR" w:bidi="fr-FR"/>
        </w:rPr>
        <w:t>x</w:t>
      </w:r>
      <w:r w:rsidRPr="004B2498">
        <w:rPr>
          <w:lang w:eastAsia="fr-FR" w:bidi="fr-FR"/>
        </w:rPr>
        <w:t xml:space="preserve">pansion exponentielle -, en cours de trajectoire perd paradoxalement de vue la notion même de risque, pire encore entrave tout contrôle </w:t>
      </w:r>
      <w:r w:rsidRPr="00F93343">
        <w:rPr>
          <w:i/>
        </w:rPr>
        <w:t>a posteriori</w:t>
      </w:r>
      <w:r w:rsidRPr="004B2498">
        <w:t>.</w:t>
      </w:r>
    </w:p>
    <w:p w14:paraId="50091A7B" w14:textId="77777777" w:rsidR="002F4063" w:rsidRPr="004B2498" w:rsidRDefault="002F4063" w:rsidP="002F4063">
      <w:pPr>
        <w:spacing w:before="120" w:after="120"/>
        <w:jc w:val="both"/>
      </w:pPr>
      <w:r w:rsidRPr="004B2498">
        <w:rPr>
          <w:lang w:eastAsia="fr-FR" w:bidi="fr-FR"/>
        </w:rPr>
        <w:t>L’existence de risques non maîtrisés ne suffit pas bien entendu à expliquer en totalité l’occurrence des crises, lesquelles présentent des origines et des causes variées : s’il fallait retenir toutefois un seul e</w:t>
      </w:r>
      <w:r w:rsidRPr="004B2498">
        <w:rPr>
          <w:lang w:eastAsia="fr-FR" w:bidi="fr-FR"/>
        </w:rPr>
        <w:t>n</w:t>
      </w:r>
      <w:r w:rsidRPr="004B2498">
        <w:rPr>
          <w:lang w:eastAsia="fr-FR" w:bidi="fr-FR"/>
        </w:rPr>
        <w:t>seignement essentiel de la dernière crise, le caractère contre-productif de la couverture généralisée des opérations économiques et financi</w:t>
      </w:r>
      <w:r w:rsidRPr="004B2498">
        <w:rPr>
          <w:lang w:eastAsia="fr-FR" w:bidi="fr-FR"/>
        </w:rPr>
        <w:t>è</w:t>
      </w:r>
      <w:r w:rsidRPr="004B2498">
        <w:rPr>
          <w:lang w:eastAsia="fr-FR" w:bidi="fr-FR"/>
        </w:rPr>
        <w:t>res ressortirait avec netteté en raison de ses effets contradictoires par rapport aux objectifs de performance et de sécurité officiellement r</w:t>
      </w:r>
      <w:r w:rsidRPr="004B2498">
        <w:rPr>
          <w:lang w:eastAsia="fr-FR" w:bidi="fr-FR"/>
        </w:rPr>
        <w:t>e</w:t>
      </w:r>
      <w:r w:rsidRPr="004B2498">
        <w:rPr>
          <w:lang w:eastAsia="fr-FR" w:bidi="fr-FR"/>
        </w:rPr>
        <w:t>cherchés par la finance de marché. Les exemples abondent en effet de gestion défaillante du risque qu’illustrent la multiplication des faillites bancaires et la création débridée de produits financiers dits « toxiques » (Roubini, Mihm, 2010).</w:t>
      </w:r>
    </w:p>
    <w:p w14:paraId="0849BAE7" w14:textId="77777777" w:rsidR="002F4063" w:rsidRPr="004B2498" w:rsidRDefault="002F4063" w:rsidP="002F4063">
      <w:pPr>
        <w:spacing w:before="120" w:after="120"/>
        <w:jc w:val="both"/>
      </w:pPr>
      <w:r w:rsidRPr="004B2498">
        <w:rPr>
          <w:lang w:eastAsia="fr-FR" w:bidi="fr-FR"/>
        </w:rPr>
        <w:t xml:space="preserve">Plus prosaïquement, l’abus des transferts de risques a été aussi une source supplémentaire de profits légaux pour l’ensemble de la filière professionnelle (banques d’affaires, </w:t>
      </w:r>
      <w:r w:rsidRPr="00F93343">
        <w:rPr>
          <w:i/>
        </w:rPr>
        <w:t>hedge funds</w:t>
      </w:r>
      <w:r w:rsidRPr="004B2498">
        <w:t>,</w:t>
      </w:r>
      <w:r w:rsidRPr="004B2498">
        <w:rPr>
          <w:lang w:eastAsia="fr-FR" w:bidi="fr-FR"/>
        </w:rPr>
        <w:t xml:space="preserve"> agences de notation, cabinets d’audit, etc.) grâce aux commissions prélevées à chaque tra</w:t>
      </w:r>
      <w:r w:rsidRPr="004B2498">
        <w:rPr>
          <w:lang w:eastAsia="fr-FR" w:bidi="fr-FR"/>
        </w:rPr>
        <w:t>n</w:t>
      </w:r>
      <w:r w:rsidRPr="004B2498">
        <w:rPr>
          <w:lang w:eastAsia="fr-FR" w:bidi="fr-FR"/>
        </w:rPr>
        <w:t>saction réalisée. D’autant plus que ces contrats techniquement très élaborés de transferts de risques, adossés de façon formelle à des titres de créances sous forme électronique ou papier, reposaient sur une opacité informationnelle qui devait occasionner plus tard une perte de confiance de l’opinion publique envers la communauté financière i</w:t>
      </w:r>
      <w:r w:rsidRPr="004B2498">
        <w:rPr>
          <w:lang w:eastAsia="fr-FR" w:bidi="fr-FR"/>
        </w:rPr>
        <w:t>n</w:t>
      </w:r>
      <w:r w:rsidRPr="004B2498">
        <w:rPr>
          <w:lang w:eastAsia="fr-FR" w:bidi="fr-FR"/>
        </w:rPr>
        <w:t>ternationale. Opacité qui n’a pas été sans poser de sérieux problèmes de sincérité de l’information postcrise lorsqu’il s’est agi d'évaluer l’ampleur approximative des pertes financières accumulées et le mo</w:t>
      </w:r>
      <w:r w:rsidRPr="004B2498">
        <w:rPr>
          <w:lang w:eastAsia="fr-FR" w:bidi="fr-FR"/>
        </w:rPr>
        <w:t>n</w:t>
      </w:r>
      <w:r w:rsidRPr="004B2498">
        <w:rPr>
          <w:lang w:eastAsia="fr-FR" w:bidi="fr-FR"/>
        </w:rPr>
        <w:t>tant des fonds propres (encore) disponibles, entraînant par là même le dénouement précipité des contrats de risques les plus importants par les autorités économiques et financières.</w:t>
      </w:r>
    </w:p>
    <w:p w14:paraId="0F93D7B5" w14:textId="77777777" w:rsidR="002F4063" w:rsidRPr="004B2498" w:rsidRDefault="002F4063" w:rsidP="002F4063">
      <w:pPr>
        <w:spacing w:before="120" w:after="120"/>
        <w:jc w:val="both"/>
      </w:pPr>
      <w:r w:rsidRPr="004B2498">
        <w:rPr>
          <w:lang w:eastAsia="fr-FR" w:bidi="fr-FR"/>
        </w:rPr>
        <w:t>Plus le risque est mutualisé au moyen d’innovations financières, plus les exigences d’informations fiables se font pressantes dans deux domaines d’intervention des pouvoirs publics : d’une part, pour pr</w:t>
      </w:r>
      <w:r w:rsidRPr="004B2498">
        <w:rPr>
          <w:lang w:eastAsia="fr-FR" w:bidi="fr-FR"/>
        </w:rPr>
        <w:t>é</w:t>
      </w:r>
      <w:r w:rsidRPr="004B2498">
        <w:rPr>
          <w:lang w:eastAsia="fr-FR" w:bidi="fr-FR"/>
        </w:rPr>
        <w:t>venir tout contournement organisé des normes de gestion des instit</w:t>
      </w:r>
      <w:r w:rsidRPr="004B2498">
        <w:rPr>
          <w:lang w:eastAsia="fr-FR" w:bidi="fr-FR"/>
        </w:rPr>
        <w:t>u</w:t>
      </w:r>
      <w:r w:rsidRPr="004B2498">
        <w:rPr>
          <w:lang w:eastAsia="fr-FR" w:bidi="fr-FR"/>
        </w:rPr>
        <w:t>tions et des principes de fonctionnement des marchés financiers, la régulation doit au départ disposer d’une information actualisée et cr</w:t>
      </w:r>
      <w:r w:rsidRPr="004B2498">
        <w:rPr>
          <w:lang w:eastAsia="fr-FR" w:bidi="fr-FR"/>
        </w:rPr>
        <w:t>é</w:t>
      </w:r>
      <w:r w:rsidRPr="004B2498">
        <w:rPr>
          <w:lang w:eastAsia="fr-FR" w:bidi="fr-FR"/>
        </w:rPr>
        <w:t>dible favorisant l’analyse en continu des risques potentiels produits par le système global. D’autre part, l’appétence pour le risque se d</w:t>
      </w:r>
      <w:r w:rsidRPr="004B2498">
        <w:rPr>
          <w:lang w:eastAsia="fr-FR" w:bidi="fr-FR"/>
        </w:rPr>
        <w:t>é</w:t>
      </w:r>
      <w:r w:rsidRPr="004B2498">
        <w:rPr>
          <w:lang w:eastAsia="fr-FR" w:bidi="fr-FR"/>
        </w:rPr>
        <w:t>plaçant très vite, la titrisation effrénée a également suscité la propag</w:t>
      </w:r>
      <w:r w:rsidRPr="004B2498">
        <w:rPr>
          <w:lang w:eastAsia="fr-FR" w:bidi="fr-FR"/>
        </w:rPr>
        <w:t>a</w:t>
      </w:r>
      <w:r w:rsidRPr="004B2498">
        <w:rPr>
          <w:lang w:eastAsia="fr-FR" w:bidi="fr-FR"/>
        </w:rPr>
        <w:t>tion simultanée de nouveaux aléas (risques de</w:t>
      </w:r>
      <w:r>
        <w:t xml:space="preserve"> </w:t>
      </w:r>
      <w:r w:rsidRPr="004B2498">
        <w:t>[26]</w:t>
      </w:r>
      <w:r>
        <w:t xml:space="preserve"> </w:t>
      </w:r>
      <w:r w:rsidRPr="004B2498">
        <w:rPr>
          <w:lang w:eastAsia="fr-FR" w:bidi="fr-FR"/>
        </w:rPr>
        <w:t>contrepartie, op</w:t>
      </w:r>
      <w:r w:rsidRPr="004B2498">
        <w:rPr>
          <w:lang w:eastAsia="fr-FR" w:bidi="fr-FR"/>
        </w:rPr>
        <w:t>é</w:t>
      </w:r>
      <w:r w:rsidRPr="004B2498">
        <w:rPr>
          <w:lang w:eastAsia="fr-FR" w:bidi="fr-FR"/>
        </w:rPr>
        <w:t>rationnel, technologique...) avec pour conséquence gênante une pr</w:t>
      </w:r>
      <w:r w:rsidRPr="004B2498">
        <w:rPr>
          <w:lang w:eastAsia="fr-FR" w:bidi="fr-FR"/>
        </w:rPr>
        <w:t>o</w:t>
      </w:r>
      <w:r w:rsidRPr="004B2498">
        <w:rPr>
          <w:lang w:eastAsia="fr-FR" w:bidi="fr-FR"/>
        </w:rPr>
        <w:t>fonde altération du contenu de la demande inform</w:t>
      </w:r>
      <w:r w:rsidRPr="004B2498">
        <w:rPr>
          <w:lang w:eastAsia="fr-FR" w:bidi="fr-FR"/>
        </w:rPr>
        <w:t>a</w:t>
      </w:r>
      <w:r w:rsidRPr="004B2498">
        <w:rPr>
          <w:lang w:eastAsia="fr-FR" w:bidi="fr-FR"/>
        </w:rPr>
        <w:t>tionnelle. Un réel danger d’obsolescence « destructrice » de l’information utile aux a</w:t>
      </w:r>
      <w:r w:rsidRPr="004B2498">
        <w:rPr>
          <w:lang w:eastAsia="fr-FR" w:bidi="fr-FR"/>
        </w:rPr>
        <w:t>u</w:t>
      </w:r>
      <w:r w:rsidRPr="004B2498">
        <w:rPr>
          <w:lang w:eastAsia="fr-FR" w:bidi="fr-FR"/>
        </w:rPr>
        <w:t>torités de supervision perdure, que l’influence déterminante de l’innovation technologique et financière amplifie en vidant la norme de toute efficacité en termes de préve</w:t>
      </w:r>
      <w:r w:rsidRPr="004B2498">
        <w:rPr>
          <w:lang w:eastAsia="fr-FR" w:bidi="fr-FR"/>
        </w:rPr>
        <w:t>n</w:t>
      </w:r>
      <w:r w:rsidRPr="004B2498">
        <w:rPr>
          <w:lang w:eastAsia="fr-FR" w:bidi="fr-FR"/>
        </w:rPr>
        <w:t>tion et de solutions susceptibles de différer le déploiement des crises.</w:t>
      </w:r>
    </w:p>
    <w:p w14:paraId="35C6FF8A" w14:textId="77777777" w:rsidR="002F4063" w:rsidRPr="004B2498" w:rsidRDefault="002F4063" w:rsidP="002F4063">
      <w:pPr>
        <w:spacing w:before="120" w:after="120"/>
        <w:jc w:val="both"/>
      </w:pPr>
      <w:r w:rsidRPr="004B2498">
        <w:rPr>
          <w:lang w:eastAsia="fr-FR" w:bidi="fr-FR"/>
        </w:rPr>
        <w:t>Dans les deux cas, le rôle des transferts métamorphose alors le ri</w:t>
      </w:r>
      <w:r w:rsidRPr="004B2498">
        <w:rPr>
          <w:lang w:eastAsia="fr-FR" w:bidi="fr-FR"/>
        </w:rPr>
        <w:t>s</w:t>
      </w:r>
      <w:r w:rsidRPr="004B2498">
        <w:rPr>
          <w:lang w:eastAsia="fr-FR" w:bidi="fr-FR"/>
        </w:rPr>
        <w:t>que en objet invisible, imperceptible pour la plupart des acteurs fina</w:t>
      </w:r>
      <w:r w:rsidRPr="004B2498">
        <w:rPr>
          <w:lang w:eastAsia="fr-FR" w:bidi="fr-FR"/>
        </w:rPr>
        <w:t>n</w:t>
      </w:r>
      <w:r w:rsidRPr="004B2498">
        <w:rPr>
          <w:lang w:eastAsia="fr-FR" w:bidi="fr-FR"/>
        </w:rPr>
        <w:t>ciers, et plus encore pour l’opinion publique non initiée, avec à la clé le renforcement de la diffusion consensuelle de comportements i</w:t>
      </w:r>
      <w:r w:rsidRPr="004B2498">
        <w:rPr>
          <w:lang w:eastAsia="fr-FR" w:bidi="fr-FR"/>
        </w:rPr>
        <w:t>m</w:t>
      </w:r>
      <w:r w:rsidRPr="004B2498">
        <w:rPr>
          <w:lang w:eastAsia="fr-FR" w:bidi="fr-FR"/>
        </w:rPr>
        <w:t>prudents et le succès de l’utopie du « risque sans risque ». Que celle-ci puisse être le chaînon manquant reflétant les fragilités financières de la globalisation actuelle, qui susciterait un effondrement du système et sa contagion à la sphère économique sous la forme de « risque syst</w:t>
      </w:r>
      <w:r w:rsidRPr="004B2498">
        <w:rPr>
          <w:lang w:eastAsia="fr-FR" w:bidi="fr-FR"/>
        </w:rPr>
        <w:t>é</w:t>
      </w:r>
      <w:r w:rsidRPr="004B2498">
        <w:rPr>
          <w:lang w:eastAsia="fr-FR" w:bidi="fr-FR"/>
        </w:rPr>
        <w:t>mique », trouve sans conteste un certain fondement dans l’histoire présente (Brender, Pisani, 2009).</w:t>
      </w:r>
    </w:p>
    <w:p w14:paraId="2E46213C" w14:textId="77777777" w:rsidR="002F4063" w:rsidRPr="004B2498" w:rsidRDefault="002F4063" w:rsidP="002F4063">
      <w:pPr>
        <w:spacing w:before="120" w:after="120"/>
        <w:jc w:val="both"/>
        <w:rPr>
          <w:szCs w:val="24"/>
          <w:lang w:eastAsia="fr-FR" w:bidi="fr-FR"/>
        </w:rPr>
      </w:pPr>
    </w:p>
    <w:p w14:paraId="5375B4F1" w14:textId="77777777" w:rsidR="002F4063" w:rsidRPr="004B2498" w:rsidRDefault="002F4063" w:rsidP="002F4063">
      <w:pPr>
        <w:pStyle w:val="a"/>
      </w:pPr>
      <w:r w:rsidRPr="004B2498">
        <w:t>La dimension cachée du risque</w:t>
      </w:r>
    </w:p>
    <w:p w14:paraId="65AB5997" w14:textId="77777777" w:rsidR="002F4063" w:rsidRPr="004B2498" w:rsidRDefault="002F4063" w:rsidP="002F4063">
      <w:pPr>
        <w:spacing w:before="120" w:after="120"/>
        <w:jc w:val="both"/>
        <w:rPr>
          <w:lang w:eastAsia="fr-FR" w:bidi="fr-FR"/>
        </w:rPr>
      </w:pPr>
    </w:p>
    <w:p w14:paraId="7998E01A" w14:textId="77777777" w:rsidR="002F4063" w:rsidRPr="004B2498" w:rsidRDefault="002F4063" w:rsidP="002F4063">
      <w:pPr>
        <w:spacing w:before="120" w:after="120"/>
        <w:jc w:val="both"/>
      </w:pPr>
      <w:r w:rsidRPr="004B2498">
        <w:rPr>
          <w:lang w:eastAsia="fr-FR" w:bidi="fr-FR"/>
        </w:rPr>
        <w:t>Si du risque, sous ses formes variées, l’on connaît assez bien les mérites et les excès, il est en revanche une composante complémenta</w:t>
      </w:r>
      <w:r w:rsidRPr="004B2498">
        <w:rPr>
          <w:lang w:eastAsia="fr-FR" w:bidi="fr-FR"/>
        </w:rPr>
        <w:t>i</w:t>
      </w:r>
      <w:r w:rsidRPr="004B2498">
        <w:rPr>
          <w:lang w:eastAsia="fr-FR" w:bidi="fr-FR"/>
        </w:rPr>
        <w:t>re, un élément sous-jacent intimement lié à son expansion dont on semble ignorer l’importance parmi les multiples facteurs de décle</w:t>
      </w:r>
      <w:r w:rsidRPr="004B2498">
        <w:rPr>
          <w:lang w:eastAsia="fr-FR" w:bidi="fr-FR"/>
        </w:rPr>
        <w:t>n</w:t>
      </w:r>
      <w:r w:rsidRPr="004B2498">
        <w:rPr>
          <w:lang w:eastAsia="fr-FR" w:bidi="fr-FR"/>
        </w:rPr>
        <w:t>chement des crises financières. Ne jouissant pas de la même attractiv</w:t>
      </w:r>
      <w:r w:rsidRPr="004B2498">
        <w:rPr>
          <w:lang w:eastAsia="fr-FR" w:bidi="fr-FR"/>
        </w:rPr>
        <w:t>i</w:t>
      </w:r>
      <w:r w:rsidRPr="004B2498">
        <w:rPr>
          <w:lang w:eastAsia="fr-FR" w:bidi="fr-FR"/>
        </w:rPr>
        <w:t>té intellectuelle auprès des économistes que le concept de risque, la question globale de l’endettement, du fait peut-être de son aridité i</w:t>
      </w:r>
      <w:r w:rsidRPr="004B2498">
        <w:rPr>
          <w:lang w:eastAsia="fr-FR" w:bidi="fr-FR"/>
        </w:rPr>
        <w:t>n</w:t>
      </w:r>
      <w:r w:rsidRPr="004B2498">
        <w:rPr>
          <w:lang w:eastAsia="fr-FR" w:bidi="fr-FR"/>
        </w:rPr>
        <w:t>trinsèque, bénéficie la plupart du temps d’un traitement réduit au seul intérêt persistant des historiens économistes ou aux discours de répr</w:t>
      </w:r>
      <w:r w:rsidRPr="004B2498">
        <w:rPr>
          <w:lang w:eastAsia="fr-FR" w:bidi="fr-FR"/>
        </w:rPr>
        <w:t>o</w:t>
      </w:r>
      <w:r w:rsidRPr="004B2498">
        <w:rPr>
          <w:lang w:eastAsia="fr-FR" w:bidi="fr-FR"/>
        </w:rPr>
        <w:t>bation de la classe politique. Et pourtant rien n’est plus injustifié que le moindre rôle assigné au processus d’endettement dans la mesure où il se situe au cœur - du départ jusqu’à la fin, si terme il y a -, de n’importe quelle prise financière de risque privé : sauf disponibilité exceptionnelle de fonds propres en quantité suffisante, la majorité des investissements financiers, immobiliers ou patrimoniaux en voie de réalisation recourt de manière systématique à la formule canonique du crédit, que l’on ventile en différentes options selon les besoins spéc</w:t>
      </w:r>
      <w:r w:rsidRPr="004B2498">
        <w:rPr>
          <w:lang w:eastAsia="fr-FR" w:bidi="fr-FR"/>
        </w:rPr>
        <w:t>i</w:t>
      </w:r>
      <w:r w:rsidRPr="004B2498">
        <w:rPr>
          <w:lang w:eastAsia="fr-FR" w:bidi="fr-FR"/>
        </w:rPr>
        <w:t>fiques de financement.</w:t>
      </w:r>
    </w:p>
    <w:p w14:paraId="78DA3503" w14:textId="77777777" w:rsidR="002F4063" w:rsidRPr="004B2498" w:rsidRDefault="002F4063" w:rsidP="002F4063">
      <w:pPr>
        <w:spacing w:before="120" w:after="120"/>
        <w:jc w:val="both"/>
      </w:pPr>
      <w:r w:rsidRPr="004B2498">
        <w:rPr>
          <w:lang w:eastAsia="fr-FR" w:bidi="fr-FR"/>
        </w:rPr>
        <w:t>Depuis l’époque des banques vénitiennes, l’acte de contracter des dettes vis-à-vis de particuliers ou dans le cadre d’opérations comme</w:t>
      </w:r>
      <w:r w:rsidRPr="004B2498">
        <w:rPr>
          <w:lang w:eastAsia="fr-FR" w:bidi="fr-FR"/>
        </w:rPr>
        <w:t>r</w:t>
      </w:r>
      <w:r w:rsidRPr="004B2498">
        <w:rPr>
          <w:lang w:eastAsia="fr-FR" w:bidi="fr-FR"/>
        </w:rPr>
        <w:t>ciales et industrielles est devenue un levier puissant d’expansion du capitalisme au niveau mondial. Et aussi une source de déboires ind</w:t>
      </w:r>
      <w:r w:rsidRPr="004B2498">
        <w:rPr>
          <w:lang w:eastAsia="fr-FR" w:bidi="fr-FR"/>
        </w:rPr>
        <w:t>i</w:t>
      </w:r>
      <w:r w:rsidRPr="004B2498">
        <w:rPr>
          <w:lang w:eastAsia="fr-FR" w:bidi="fr-FR"/>
        </w:rPr>
        <w:t>viduels et collectifs dès lors que les remboursements d’emprunt n’ont pas été honorés aux conditions et délais accordés au moment de l’engagement contractuel. Même les opérations spéculatives les plus audacieuses ont eu maintes fois recours à</w:t>
      </w:r>
      <w:r>
        <w:t xml:space="preserve"> </w:t>
      </w:r>
      <w:r w:rsidRPr="004B2498">
        <w:t>[27]</w:t>
      </w:r>
      <w:r>
        <w:t xml:space="preserve"> </w:t>
      </w:r>
      <w:r w:rsidRPr="004B2498">
        <w:rPr>
          <w:lang w:eastAsia="fr-FR" w:bidi="fr-FR"/>
        </w:rPr>
        <w:t>l’endettement cumulatif grâce à des procédés d’une intégrité pa</w:t>
      </w:r>
      <w:r w:rsidRPr="004B2498">
        <w:rPr>
          <w:lang w:eastAsia="fr-FR" w:bidi="fr-FR"/>
        </w:rPr>
        <w:t>r</w:t>
      </w:r>
      <w:r w:rsidRPr="004B2498">
        <w:rPr>
          <w:lang w:eastAsia="fr-FR" w:bidi="fr-FR"/>
        </w:rPr>
        <w:t>fois douteuse mais où l’empilement exponentiel des risques visait en fait à dissimuler l’absence de collatéraux physiques ou financiers.</w:t>
      </w:r>
    </w:p>
    <w:p w14:paraId="66309FC3" w14:textId="77777777" w:rsidR="002F4063" w:rsidRPr="004B2498" w:rsidRDefault="002F4063" w:rsidP="002F4063">
      <w:pPr>
        <w:spacing w:before="120" w:after="120"/>
        <w:jc w:val="both"/>
      </w:pPr>
      <w:r w:rsidRPr="004B2498">
        <w:rPr>
          <w:lang w:eastAsia="fr-FR" w:bidi="fr-FR"/>
        </w:rPr>
        <w:t>Bien entendu, la puissance publique n’est point épargnée par le charme discret de l’endettement collectif aux effets macroéconom</w:t>
      </w:r>
      <w:r w:rsidRPr="004B2498">
        <w:rPr>
          <w:lang w:eastAsia="fr-FR" w:bidi="fr-FR"/>
        </w:rPr>
        <w:t>i</w:t>
      </w:r>
      <w:r w:rsidRPr="004B2498">
        <w:rPr>
          <w:lang w:eastAsia="fr-FR" w:bidi="fr-FR"/>
        </w:rPr>
        <w:t>ques si souvent analysés : en premier lieu, la croissance de la dette interne de l’État poursuit sa trajectoire ascendante via une politique budgétaire dynamique aux incidences potentiellement inflationnistes et monétaires, surtout en période d’expansion économique. La dette souveraine, dans l’hypothèse où les besoins de financement des po</w:t>
      </w:r>
      <w:r w:rsidRPr="004B2498">
        <w:rPr>
          <w:lang w:eastAsia="fr-FR" w:bidi="fr-FR"/>
        </w:rPr>
        <w:t>u</w:t>
      </w:r>
      <w:r w:rsidRPr="004B2498">
        <w:rPr>
          <w:lang w:eastAsia="fr-FR" w:bidi="fr-FR"/>
        </w:rPr>
        <w:t>voirs publics dépasseraient le montant de l’épargne domestique disp</w:t>
      </w:r>
      <w:r w:rsidRPr="004B2498">
        <w:rPr>
          <w:lang w:eastAsia="fr-FR" w:bidi="fr-FR"/>
        </w:rPr>
        <w:t>o</w:t>
      </w:r>
      <w:r w:rsidRPr="004B2498">
        <w:rPr>
          <w:lang w:eastAsia="fr-FR" w:bidi="fr-FR"/>
        </w:rPr>
        <w:t>nible, enfle constamment au gré des émissions massives d’obligations rémunérées à un taux d’intérêt, de niveau plus ou moins élevé, selon la solvabilité du débiteur public estimée par le marché international.</w:t>
      </w:r>
    </w:p>
    <w:p w14:paraId="726DD66D" w14:textId="77777777" w:rsidR="002F4063" w:rsidRPr="004B2498" w:rsidRDefault="002F4063" w:rsidP="002F4063">
      <w:pPr>
        <w:spacing w:before="120" w:after="120"/>
        <w:jc w:val="both"/>
      </w:pPr>
      <w:r w:rsidRPr="004B2498">
        <w:rPr>
          <w:lang w:eastAsia="fr-FR" w:bidi="fr-FR"/>
        </w:rPr>
        <w:t>Deux nouveautés majeures relatives à l’approfondissement du sy</w:t>
      </w:r>
      <w:r w:rsidRPr="004B2498">
        <w:rPr>
          <w:lang w:eastAsia="fr-FR" w:bidi="fr-FR"/>
        </w:rPr>
        <w:t>s</w:t>
      </w:r>
      <w:r w:rsidRPr="004B2498">
        <w:rPr>
          <w:lang w:eastAsia="fr-FR" w:bidi="fr-FR"/>
        </w:rPr>
        <w:t>tème financier globalisé (libéralisé, ouvert, mondialisé, informatisé) viennent en deuxième lieu transformer le contenu de la problématique de l’endettement public : signalons au préalable que, depuis la premi</w:t>
      </w:r>
      <w:r w:rsidRPr="004B2498">
        <w:rPr>
          <w:lang w:eastAsia="fr-FR" w:bidi="fr-FR"/>
        </w:rPr>
        <w:t>è</w:t>
      </w:r>
      <w:r w:rsidRPr="004B2498">
        <w:rPr>
          <w:lang w:eastAsia="fr-FR" w:bidi="fr-FR"/>
        </w:rPr>
        <w:t>re phase de globalisation (1873-1914) jusqu’aux années 1960, la dette publique externe trouvait massivement à se financer auprès des gra</w:t>
      </w:r>
      <w:r w:rsidRPr="004B2498">
        <w:rPr>
          <w:lang w:eastAsia="fr-FR" w:bidi="fr-FR"/>
        </w:rPr>
        <w:t>n</w:t>
      </w:r>
      <w:r w:rsidRPr="004B2498">
        <w:rPr>
          <w:lang w:eastAsia="fr-FR" w:bidi="fr-FR"/>
        </w:rPr>
        <w:t>des banques internationales avec cependant la caution politique et/ou la conditionnalité financière des États bailleurs. Cela ne signifiait pas pour autant une absence de moratoires de liquidation - à l’instar des célèbres crises de la dette des nations latino-américaines de la derni</w:t>
      </w:r>
      <w:r w:rsidRPr="004B2498">
        <w:rPr>
          <w:lang w:eastAsia="fr-FR" w:bidi="fr-FR"/>
        </w:rPr>
        <w:t>è</w:t>
      </w:r>
      <w:r w:rsidRPr="004B2498">
        <w:rPr>
          <w:lang w:eastAsia="fr-FR" w:bidi="fr-FR"/>
        </w:rPr>
        <w:t>re décennie du XIXe siècle (Marichal, 2010) - Argentine, Chili, P</w:t>
      </w:r>
      <w:r w:rsidRPr="004B2498">
        <w:rPr>
          <w:lang w:eastAsia="fr-FR" w:bidi="fr-FR"/>
        </w:rPr>
        <w:t>é</w:t>
      </w:r>
      <w:r w:rsidRPr="004B2498">
        <w:rPr>
          <w:lang w:eastAsia="fr-FR" w:bidi="fr-FR"/>
        </w:rPr>
        <w:t>rou... - comme résultats d’une impossibilité conjoncturelle ou struct</w:t>
      </w:r>
      <w:r w:rsidRPr="004B2498">
        <w:rPr>
          <w:lang w:eastAsia="fr-FR" w:bidi="fr-FR"/>
        </w:rPr>
        <w:t>u</w:t>
      </w:r>
      <w:r w:rsidRPr="004B2498">
        <w:rPr>
          <w:lang w:eastAsia="fr-FR" w:bidi="fr-FR"/>
        </w:rPr>
        <w:t>relle à s’acquitter du principal et des intérêts de la dette. Les fonds octroyés aux emprunteurs nationaux étaient en fait intermédiés par des instit</w:t>
      </w:r>
      <w:r w:rsidRPr="004B2498">
        <w:rPr>
          <w:lang w:eastAsia="fr-FR" w:bidi="fr-FR"/>
        </w:rPr>
        <w:t>u</w:t>
      </w:r>
      <w:r w:rsidRPr="004B2498">
        <w:rPr>
          <w:lang w:eastAsia="fr-FR" w:bidi="fr-FR"/>
        </w:rPr>
        <w:t>tions financières dont le fonctionnement classique pouvait être assim</w:t>
      </w:r>
      <w:r w:rsidRPr="004B2498">
        <w:rPr>
          <w:lang w:eastAsia="fr-FR" w:bidi="fr-FR"/>
        </w:rPr>
        <w:t>i</w:t>
      </w:r>
      <w:r w:rsidRPr="004B2498">
        <w:rPr>
          <w:lang w:eastAsia="fr-FR" w:bidi="fr-FR"/>
        </w:rPr>
        <w:t>lé aux habituelles relations asymétriques entre un banquier et son client.</w:t>
      </w:r>
    </w:p>
    <w:p w14:paraId="7AC80496" w14:textId="77777777" w:rsidR="002F4063" w:rsidRPr="004B2498" w:rsidRDefault="002F4063" w:rsidP="002F4063">
      <w:pPr>
        <w:spacing w:before="120" w:after="120"/>
        <w:jc w:val="both"/>
      </w:pPr>
      <w:r w:rsidRPr="004B2498">
        <w:rPr>
          <w:lang w:eastAsia="fr-FR" w:bidi="fr-FR"/>
        </w:rPr>
        <w:t xml:space="preserve">À partir des </w:t>
      </w:r>
      <w:r w:rsidRPr="00F93343">
        <w:rPr>
          <w:i/>
        </w:rPr>
        <w:t>roaring sixties</w:t>
      </w:r>
      <w:r w:rsidRPr="004B2498">
        <w:t>,</w:t>
      </w:r>
      <w:r w:rsidRPr="004B2498">
        <w:rPr>
          <w:lang w:eastAsia="fr-FR" w:bidi="fr-FR"/>
        </w:rPr>
        <w:t xml:space="preserve"> et avec une inflexion plus rapide au cours des années 1980, les États, aux besoins grandissants de fina</w:t>
      </w:r>
      <w:r w:rsidRPr="004B2498">
        <w:rPr>
          <w:lang w:eastAsia="fr-FR" w:bidi="fr-FR"/>
        </w:rPr>
        <w:t>n</w:t>
      </w:r>
      <w:r w:rsidRPr="004B2498">
        <w:rPr>
          <w:lang w:eastAsia="fr-FR" w:bidi="fr-FR"/>
        </w:rPr>
        <w:t>cement, font de plus en plus appel à des apporteurs de capitaux privés (banques d’affaires, fonds d’investissement...) qui captent l’essentiel des fonds attribués auprès des différents marchés financiers ou mon</w:t>
      </w:r>
      <w:r w:rsidRPr="004B2498">
        <w:rPr>
          <w:lang w:eastAsia="fr-FR" w:bidi="fr-FR"/>
        </w:rPr>
        <w:t>é</w:t>
      </w:r>
      <w:r w:rsidRPr="004B2498">
        <w:rPr>
          <w:lang w:eastAsia="fr-FR" w:bidi="fr-FR"/>
        </w:rPr>
        <w:t>taires. Cette première innovation fondamentale signe pratiquement la disparition de l’intermédiation historique de la dette publique en l’alignant, à peu de choses près, sur les dispositifs et les règles en v</w:t>
      </w:r>
      <w:r w:rsidRPr="004B2498">
        <w:rPr>
          <w:lang w:eastAsia="fr-FR" w:bidi="fr-FR"/>
        </w:rPr>
        <w:t>i</w:t>
      </w:r>
      <w:r w:rsidRPr="004B2498">
        <w:rPr>
          <w:lang w:eastAsia="fr-FR" w:bidi="fr-FR"/>
        </w:rPr>
        <w:t>gueur au sein de la finance globalisée : titrisation, notation financière, transfert des risques, mesure du risque pays, suivi des indicateurs macroéconomiques de performance, etc.</w:t>
      </w:r>
    </w:p>
    <w:p w14:paraId="6664EB65" w14:textId="77777777" w:rsidR="002F4063" w:rsidRPr="004B2498" w:rsidRDefault="002F4063" w:rsidP="002F4063">
      <w:pPr>
        <w:spacing w:before="120" w:after="120"/>
        <w:jc w:val="both"/>
      </w:pPr>
      <w:r w:rsidRPr="004B2498">
        <w:rPr>
          <w:lang w:eastAsia="fr-FR" w:bidi="fr-FR"/>
        </w:rPr>
        <w:t>Avec en prime, la même incertitude radicale sur la situation fina</w:t>
      </w:r>
      <w:r w:rsidRPr="004B2498">
        <w:rPr>
          <w:lang w:eastAsia="fr-FR" w:bidi="fr-FR"/>
        </w:rPr>
        <w:t>n</w:t>
      </w:r>
      <w:r w:rsidRPr="004B2498">
        <w:rPr>
          <w:lang w:eastAsia="fr-FR" w:bidi="fr-FR"/>
        </w:rPr>
        <w:t>cière réelle du pays débiteur lorsque les autorités politiques et écon</w:t>
      </w:r>
      <w:r w:rsidRPr="004B2498">
        <w:rPr>
          <w:lang w:eastAsia="fr-FR" w:bidi="fr-FR"/>
        </w:rPr>
        <w:t>o</w:t>
      </w:r>
      <w:r w:rsidRPr="004B2498">
        <w:rPr>
          <w:lang w:eastAsia="fr-FR" w:bidi="fr-FR"/>
        </w:rPr>
        <w:t>miques</w:t>
      </w:r>
      <w:r>
        <w:t xml:space="preserve"> </w:t>
      </w:r>
      <w:r w:rsidRPr="004B2498">
        <w:t>[28]</w:t>
      </w:r>
      <w:r>
        <w:t xml:space="preserve"> </w:t>
      </w:r>
      <w:r w:rsidRPr="004B2498">
        <w:rPr>
          <w:lang w:eastAsia="fr-FR" w:bidi="fr-FR"/>
        </w:rPr>
        <w:t>mettent en œuvre une « comptabilité créative » nationale dans le but d’embellir les fondamentaux (dette/PIB, agrégats du co</w:t>
      </w:r>
      <w:r w:rsidRPr="004B2498">
        <w:rPr>
          <w:lang w:eastAsia="fr-FR" w:bidi="fr-FR"/>
        </w:rPr>
        <w:t>m</w:t>
      </w:r>
      <w:r w:rsidRPr="004B2498">
        <w:rPr>
          <w:lang w:eastAsia="fr-FR" w:bidi="fr-FR"/>
        </w:rPr>
        <w:t>merce extérieur, taux de croissance, indice des prix...) pris comme supports « objectifs » du renouvellement des crédits extérieurs. Le récent exemple emblématique de la Grèce demeure présent dans to</w:t>
      </w:r>
      <w:r w:rsidRPr="004B2498">
        <w:rPr>
          <w:lang w:eastAsia="fr-FR" w:bidi="fr-FR"/>
        </w:rPr>
        <w:t>u</w:t>
      </w:r>
      <w:r w:rsidRPr="004B2498">
        <w:rPr>
          <w:lang w:eastAsia="fr-FR" w:bidi="fr-FR"/>
        </w:rPr>
        <w:t>tes les mémoires comme nation bénéficiaire, plusieurs années de suite, de nombreuses facilités d’accès aux emprunts internationaux malgré la situation calamiteuse de ses finances et l’atonie durable de son éc</w:t>
      </w:r>
      <w:r w:rsidRPr="004B2498">
        <w:rPr>
          <w:lang w:eastAsia="fr-FR" w:bidi="fr-FR"/>
        </w:rPr>
        <w:t>o</w:t>
      </w:r>
      <w:r w:rsidRPr="004B2498">
        <w:rPr>
          <w:lang w:eastAsia="fr-FR" w:bidi="fr-FR"/>
        </w:rPr>
        <w:t>nomie. Jusqu’à la menace finale d’un scénario virtuel de banqueroute de l’État.</w:t>
      </w:r>
    </w:p>
    <w:p w14:paraId="48A77A1A" w14:textId="77777777" w:rsidR="002F4063" w:rsidRPr="004B2498" w:rsidRDefault="002F4063" w:rsidP="002F4063">
      <w:pPr>
        <w:spacing w:before="120" w:after="120"/>
        <w:jc w:val="both"/>
      </w:pPr>
      <w:r w:rsidRPr="004B2498">
        <w:rPr>
          <w:lang w:eastAsia="fr-FR" w:bidi="fr-FR"/>
        </w:rPr>
        <w:t>Dans une situation d’attrition durable des marchés financiers par absence de liquidités, la deuxième innovation consiste à dépasser le problème de la liquidation et du recouvrement ultérieur des dettes p</w:t>
      </w:r>
      <w:r w:rsidRPr="004B2498">
        <w:rPr>
          <w:lang w:eastAsia="fr-FR" w:bidi="fr-FR"/>
        </w:rPr>
        <w:t>u</w:t>
      </w:r>
      <w:r w:rsidRPr="004B2498">
        <w:rPr>
          <w:lang w:eastAsia="fr-FR" w:bidi="fr-FR"/>
        </w:rPr>
        <w:t>bliques. Si l’alternative marchande (cf. supra) n’a pas les ressources suffisantes pour y parvenir, l’action isolée de l’État ne pouvant être logiquement envisagée dans la mesure où ce dernier se trouve aussi en délicatesse avec les bailleurs de fonds privés, les banques centrales nationales ou surpranationales (la Réserve fédérale, la Banque centr</w:t>
      </w:r>
      <w:r w:rsidRPr="004B2498">
        <w:rPr>
          <w:lang w:eastAsia="fr-FR" w:bidi="fr-FR"/>
        </w:rPr>
        <w:t>a</w:t>
      </w:r>
      <w:r w:rsidRPr="004B2498">
        <w:rPr>
          <w:lang w:eastAsia="fr-FR" w:bidi="fr-FR"/>
        </w:rPr>
        <w:t>le européenne p. ex.) ont toujours la faculté discrétionnaire de prendre le relais via la création de la liquidité nécessaire ou d’en appeler au capital international public/privé (fonds de solidarité interétatique ou bancaire). Cette solution extrême signifie la fin définitive du compa</w:t>
      </w:r>
      <w:r w:rsidRPr="004B2498">
        <w:rPr>
          <w:lang w:eastAsia="fr-FR" w:bidi="fr-FR"/>
        </w:rPr>
        <w:t>r</w:t>
      </w:r>
      <w:r w:rsidRPr="004B2498">
        <w:rPr>
          <w:lang w:eastAsia="fr-FR" w:bidi="fr-FR"/>
        </w:rPr>
        <w:t>timentage entre les sphères de la finance marchande ou publique  ; la séparation technique entre dettes publiques et privées n’a en effet plus lieu d’être, bien que laissant en suspens une interrogation fondament</w:t>
      </w:r>
      <w:r w:rsidRPr="004B2498">
        <w:rPr>
          <w:lang w:eastAsia="fr-FR" w:bidi="fr-FR"/>
        </w:rPr>
        <w:t>a</w:t>
      </w:r>
      <w:r w:rsidRPr="004B2498">
        <w:rPr>
          <w:lang w:eastAsia="fr-FR" w:bidi="fr-FR"/>
        </w:rPr>
        <w:t>le : qui sauvera qui si les marchés et les appareils d’État démantelés font en même temps faillite, sachant que le dernier rempart formé des ménages contribuables est lui aussi surendetté ?</w:t>
      </w:r>
    </w:p>
    <w:p w14:paraId="5C040D50" w14:textId="77777777" w:rsidR="002F4063" w:rsidRPr="004B2498" w:rsidRDefault="002F4063" w:rsidP="002F4063">
      <w:pPr>
        <w:spacing w:before="120" w:after="120"/>
        <w:jc w:val="both"/>
      </w:pPr>
      <w:r w:rsidRPr="004B2498">
        <w:rPr>
          <w:lang w:eastAsia="fr-FR" w:bidi="fr-FR"/>
        </w:rPr>
        <w:t>La question complexe, lancinante de l’endettement généralisé d</w:t>
      </w:r>
      <w:r w:rsidRPr="004B2498">
        <w:rPr>
          <w:lang w:eastAsia="fr-FR" w:bidi="fr-FR"/>
        </w:rPr>
        <w:t>e</w:t>
      </w:r>
      <w:r w:rsidRPr="004B2498">
        <w:rPr>
          <w:lang w:eastAsia="fr-FR" w:bidi="fr-FR"/>
        </w:rPr>
        <w:t>meure finalement au centre des cataclysmes financiers présents et pa</w:t>
      </w:r>
      <w:r w:rsidRPr="004B2498">
        <w:rPr>
          <w:lang w:eastAsia="fr-FR" w:bidi="fr-FR"/>
        </w:rPr>
        <w:t>s</w:t>
      </w:r>
      <w:r w:rsidRPr="004B2498">
        <w:rPr>
          <w:lang w:eastAsia="fr-FR" w:bidi="fr-FR"/>
        </w:rPr>
        <w:t>sés. Elle surgit comme un invariant presque historique circonscrit, pour un temps encore indéterminé, dans des espaces géographiques à la souveraineté politique de plus en plus contestée par la logique ma</w:t>
      </w:r>
      <w:r w:rsidRPr="004B2498">
        <w:rPr>
          <w:lang w:eastAsia="fr-FR" w:bidi="fr-FR"/>
        </w:rPr>
        <w:t>r</w:t>
      </w:r>
      <w:r w:rsidRPr="004B2498">
        <w:rPr>
          <w:lang w:eastAsia="fr-FR" w:bidi="fr-FR"/>
        </w:rPr>
        <w:t>chande. Aucune période ni pays ne semble d’ailleurs épargné par l’accumulation inexorable de dettes publiques et privées à l’origine de manifestations aussi essentielles que l’apparition ou la formation de crises financières. À la différence notable de la prise de risque sans protection sûre, le processus d’endettement renvoie toutefois indire</w:t>
      </w:r>
      <w:r w:rsidRPr="004B2498">
        <w:rPr>
          <w:lang w:eastAsia="fr-FR" w:bidi="fr-FR"/>
        </w:rPr>
        <w:t>c</w:t>
      </w:r>
      <w:r w:rsidRPr="004B2498">
        <w:rPr>
          <w:lang w:eastAsia="fr-FR" w:bidi="fr-FR"/>
        </w:rPr>
        <w:t>tement à une contrepartie économique, à une production matérielle moins fictive que le risque financier illusoire d’enrichissement ino</w:t>
      </w:r>
      <w:r w:rsidRPr="004B2498">
        <w:rPr>
          <w:lang w:eastAsia="fr-FR" w:bidi="fr-FR"/>
        </w:rPr>
        <w:t>f</w:t>
      </w:r>
      <w:r w:rsidRPr="004B2498">
        <w:rPr>
          <w:lang w:eastAsia="fr-FR" w:bidi="fr-FR"/>
        </w:rPr>
        <w:t>fensif. De plus, celui-là s’inquiète peu ou prou de l’avenir puisque les conséquences morales, politiques et sociales des emprunts imprudents seront en réalité assumées par les générations futures. Les excès du risque et la généralité de la dette conjugués conduisent ainsi à une pe</w:t>
      </w:r>
      <w:r w:rsidRPr="004B2498">
        <w:rPr>
          <w:lang w:eastAsia="fr-FR" w:bidi="fr-FR"/>
        </w:rPr>
        <w:t>r</w:t>
      </w:r>
      <w:r w:rsidRPr="004B2498">
        <w:rPr>
          <w:lang w:eastAsia="fr-FR" w:bidi="fr-FR"/>
        </w:rPr>
        <w:t>te du sens de la</w:t>
      </w:r>
      <w:r>
        <w:t xml:space="preserve"> </w:t>
      </w:r>
      <w:r w:rsidRPr="004B2498">
        <w:t>[290</w:t>
      </w:r>
      <w:r>
        <w:t xml:space="preserve"> </w:t>
      </w:r>
      <w:r w:rsidRPr="004B2498">
        <w:rPr>
          <w:lang w:eastAsia="fr-FR" w:bidi="fr-FR"/>
        </w:rPr>
        <w:t>mesure les rendant littéralement insaisissables ou pour le moins i</w:t>
      </w:r>
      <w:r w:rsidRPr="004B2498">
        <w:rPr>
          <w:lang w:eastAsia="fr-FR" w:bidi="fr-FR"/>
        </w:rPr>
        <w:t>n</w:t>
      </w:r>
      <w:r w:rsidRPr="004B2498">
        <w:rPr>
          <w:lang w:eastAsia="fr-FR" w:bidi="fr-FR"/>
        </w:rPr>
        <w:t>commensurables.</w:t>
      </w:r>
    </w:p>
    <w:p w14:paraId="227F960C" w14:textId="77777777" w:rsidR="002F4063" w:rsidRPr="004B2498" w:rsidRDefault="002F4063" w:rsidP="002F4063">
      <w:pPr>
        <w:spacing w:before="120" w:after="120"/>
        <w:jc w:val="both"/>
        <w:rPr>
          <w:szCs w:val="24"/>
          <w:lang w:eastAsia="fr-FR" w:bidi="fr-FR"/>
        </w:rPr>
      </w:pPr>
      <w:r>
        <w:rPr>
          <w:szCs w:val="24"/>
          <w:lang w:eastAsia="fr-FR" w:bidi="fr-FR"/>
        </w:rPr>
        <w:br w:type="page"/>
      </w:r>
    </w:p>
    <w:p w14:paraId="13AC17FD" w14:textId="77777777" w:rsidR="002F4063" w:rsidRPr="004B2498" w:rsidRDefault="002F4063" w:rsidP="002F4063">
      <w:pPr>
        <w:pStyle w:val="a"/>
      </w:pPr>
      <w:r w:rsidRPr="004B2498">
        <w:t>Une gouvernance financière à repenser ?</w:t>
      </w:r>
    </w:p>
    <w:p w14:paraId="4C20FF47" w14:textId="77777777" w:rsidR="002F4063" w:rsidRPr="004B2498" w:rsidRDefault="002F4063" w:rsidP="002F4063">
      <w:pPr>
        <w:spacing w:before="120" w:after="120"/>
        <w:jc w:val="both"/>
        <w:rPr>
          <w:lang w:eastAsia="fr-FR" w:bidi="fr-FR"/>
        </w:rPr>
      </w:pPr>
    </w:p>
    <w:p w14:paraId="28EE33BE" w14:textId="77777777" w:rsidR="002F4063" w:rsidRPr="004B2498" w:rsidRDefault="002F4063" w:rsidP="002F4063">
      <w:pPr>
        <w:spacing w:before="120" w:after="120"/>
        <w:jc w:val="both"/>
      </w:pPr>
      <w:r w:rsidRPr="004B2498">
        <w:rPr>
          <w:lang w:eastAsia="fr-FR" w:bidi="fr-FR"/>
        </w:rPr>
        <w:t>Devant l’ampleur croissante des mouvements de capitaux sur les différents marchés de la planète, avec les conséquences afférentes en termes de difficultés économiques pour les entreprises ou les pays a</w:t>
      </w:r>
      <w:r w:rsidRPr="004B2498">
        <w:rPr>
          <w:lang w:eastAsia="fr-FR" w:bidi="fr-FR"/>
        </w:rPr>
        <w:t>f</w:t>
      </w:r>
      <w:r w:rsidRPr="004B2498">
        <w:rPr>
          <w:lang w:eastAsia="fr-FR" w:bidi="fr-FR"/>
        </w:rPr>
        <w:t>fectés, une critique convenue du processus de globalisation s’est par</w:t>
      </w:r>
      <w:r w:rsidRPr="004B2498">
        <w:rPr>
          <w:lang w:eastAsia="fr-FR" w:bidi="fr-FR"/>
        </w:rPr>
        <w:t>a</w:t>
      </w:r>
      <w:r w:rsidRPr="004B2498">
        <w:rPr>
          <w:lang w:eastAsia="fr-FR" w:bidi="fr-FR"/>
        </w:rPr>
        <w:t>doxalement développée, pendant près de vingt ans, sous la forme d’un débat politique autour de la construction et de la nature d’un nouveau système financier mondial. Mais la crise récente - comme échec p</w:t>
      </w:r>
      <w:r w:rsidRPr="004B2498">
        <w:rPr>
          <w:lang w:eastAsia="fr-FR" w:bidi="fr-FR"/>
        </w:rPr>
        <w:t>a</w:t>
      </w:r>
      <w:r w:rsidRPr="004B2498">
        <w:rPr>
          <w:lang w:eastAsia="fr-FR" w:bidi="fr-FR"/>
        </w:rPr>
        <w:t>tent du modèle de croissance ayant succédé au compromis fordiste du capitalisme d’après guerre -, semble avoir relégué dans un oubli p</w:t>
      </w:r>
      <w:r w:rsidRPr="004B2498">
        <w:rPr>
          <w:lang w:eastAsia="fr-FR" w:bidi="fr-FR"/>
        </w:rPr>
        <w:t>é</w:t>
      </w:r>
      <w:r w:rsidRPr="004B2498">
        <w:rPr>
          <w:lang w:eastAsia="fr-FR" w:bidi="fr-FR"/>
        </w:rPr>
        <w:t>renne le souhait des États d’instaurer une régulation internationale des marchés et des institutions financières. Une interprétation plus orig</w:t>
      </w:r>
      <w:r w:rsidRPr="004B2498">
        <w:rPr>
          <w:lang w:eastAsia="fr-FR" w:bidi="fr-FR"/>
        </w:rPr>
        <w:t>i</w:t>
      </w:r>
      <w:r w:rsidRPr="004B2498">
        <w:rPr>
          <w:lang w:eastAsia="fr-FR" w:bidi="fr-FR"/>
        </w:rPr>
        <w:t>nale, partant de la critique du concept de gouvernance, ferait en r</w:t>
      </w:r>
      <w:r w:rsidRPr="004B2498">
        <w:rPr>
          <w:lang w:eastAsia="fr-FR" w:bidi="fr-FR"/>
        </w:rPr>
        <w:t>e</w:t>
      </w:r>
      <w:r w:rsidRPr="004B2498">
        <w:rPr>
          <w:lang w:eastAsia="fr-FR" w:bidi="fr-FR"/>
        </w:rPr>
        <w:t>vanche de l’apparition de crises financières le produit d’une redistr</w:t>
      </w:r>
      <w:r w:rsidRPr="004B2498">
        <w:rPr>
          <w:lang w:eastAsia="fr-FR" w:bidi="fr-FR"/>
        </w:rPr>
        <w:t>i</w:t>
      </w:r>
      <w:r w:rsidRPr="004B2498">
        <w:rPr>
          <w:lang w:eastAsia="fr-FR" w:bidi="fr-FR"/>
        </w:rPr>
        <w:t>bution des pouvoirs économiques entre salariés, actionnaires et dir</w:t>
      </w:r>
      <w:r w:rsidRPr="004B2498">
        <w:rPr>
          <w:lang w:eastAsia="fr-FR" w:bidi="fr-FR"/>
        </w:rPr>
        <w:t>i</w:t>
      </w:r>
      <w:r w:rsidRPr="004B2498">
        <w:rPr>
          <w:lang w:eastAsia="fr-FR" w:bidi="fr-FR"/>
        </w:rPr>
        <w:t>geants au sein même de l’entreprise globalisée. Cette analyse offre l’avantage indéniable d’étoffer les critiques surgies autour de l’inefficacité des normes et des règles ayant vocation formelle à contrôler tant les afflux que les reflux de capital, sources supposées d’instabilités financières récurrentes.</w:t>
      </w:r>
    </w:p>
    <w:p w14:paraId="5543B78B" w14:textId="77777777" w:rsidR="002F4063" w:rsidRPr="004B2498" w:rsidRDefault="002F4063" w:rsidP="002F4063">
      <w:pPr>
        <w:spacing w:before="120" w:after="120"/>
        <w:jc w:val="both"/>
      </w:pPr>
      <w:r w:rsidRPr="004B2498">
        <w:rPr>
          <w:lang w:eastAsia="fr-FR" w:bidi="fr-FR"/>
        </w:rPr>
        <w:t>Ainsi l’approche de l’école de la régulation privilégie l’idée que la sortie du modèle fordiste ne se réduirait pas aux seules modifications substantielles dans l’organisation du travail mais qu’elle signifierait également une transformation radicale des rapports de force entre les investisseurs, les entreprises et les salariés (Aglietta, Berrebi, 2007). Comme nous l’avons signalé, dès lors que l’objectif final, prioritaire, de la production des entreprises planétaires consiste avant tout à a</w:t>
      </w:r>
      <w:r w:rsidRPr="004B2498">
        <w:rPr>
          <w:lang w:eastAsia="fr-FR" w:bidi="fr-FR"/>
        </w:rPr>
        <w:t>t</w:t>
      </w:r>
      <w:r w:rsidRPr="004B2498">
        <w:rPr>
          <w:lang w:eastAsia="fr-FR" w:bidi="fr-FR"/>
        </w:rPr>
        <w:t>teindre des taux de rentabilité de 15%, il n’est pas étonnant que ce but ait sérieusement contribué à une détérioration continue des compromis sociaux établis auparavant. Avec la primauté absolue du pouvoir des actionnaires, les déséquilibres internes de l’échelle des salaires au sein de l’entreprise s’exacerbèrent d’autant plus que l’action sociale co</w:t>
      </w:r>
      <w:r w:rsidRPr="004B2498">
        <w:rPr>
          <w:lang w:eastAsia="fr-FR" w:bidi="fr-FR"/>
        </w:rPr>
        <w:t>m</w:t>
      </w:r>
      <w:r w:rsidRPr="004B2498">
        <w:rPr>
          <w:lang w:eastAsia="fr-FR" w:bidi="fr-FR"/>
        </w:rPr>
        <w:t>pensatrice de l’État se fit parallèlement discrète en moyens et en eff</w:t>
      </w:r>
      <w:r w:rsidRPr="004B2498">
        <w:rPr>
          <w:lang w:eastAsia="fr-FR" w:bidi="fr-FR"/>
        </w:rPr>
        <w:t>i</w:t>
      </w:r>
      <w:r w:rsidRPr="004B2498">
        <w:rPr>
          <w:lang w:eastAsia="fr-FR" w:bidi="fr-FR"/>
        </w:rPr>
        <w:t>cacité. C’est en partie pour pallier cette rupture sociale majeure que le modèle de croissance des principaux pays capitalistes avancés a eu souvent recours au fort endettement des ménages</w:t>
      </w:r>
      <w:r>
        <w:rPr>
          <w:lang w:eastAsia="fr-FR" w:bidi="fr-FR"/>
        </w:rPr>
        <w:t> </w:t>
      </w:r>
      <w:r>
        <w:rPr>
          <w:rStyle w:val="Appelnotedebasdep"/>
          <w:lang w:eastAsia="fr-FR" w:bidi="fr-FR"/>
        </w:rPr>
        <w:footnoteReference w:id="7"/>
      </w:r>
      <w:r w:rsidRPr="004B2498">
        <w:rPr>
          <w:lang w:eastAsia="fr-FR" w:bidi="fr-FR"/>
        </w:rPr>
        <w:t>. De manière</w:t>
      </w:r>
      <w:r>
        <w:t xml:space="preserve"> </w:t>
      </w:r>
      <w:r w:rsidRPr="004B2498">
        <w:t>[30]</w:t>
      </w:r>
      <w:r>
        <w:t xml:space="preserve"> </w:t>
      </w:r>
      <w:r w:rsidRPr="004B2498">
        <w:rPr>
          <w:lang w:eastAsia="fr-FR" w:bidi="fr-FR"/>
        </w:rPr>
        <w:t>assez paradoxale, l’accumulation de fragilités flagrantes ne suffit pas toutefois à déclencher l'imminence d’une crise financière (Aglie</w:t>
      </w:r>
      <w:r w:rsidRPr="004B2498">
        <w:rPr>
          <w:lang w:eastAsia="fr-FR" w:bidi="fr-FR"/>
        </w:rPr>
        <w:t>t</w:t>
      </w:r>
      <w:r w:rsidRPr="004B2498">
        <w:rPr>
          <w:lang w:eastAsia="fr-FR" w:bidi="fr-FR"/>
        </w:rPr>
        <w:t>ta, Rigot, 2009) : les années ayant précédé la crise des subprimes, la cré</w:t>
      </w:r>
      <w:r w:rsidRPr="004B2498">
        <w:rPr>
          <w:lang w:eastAsia="fr-FR" w:bidi="fr-FR"/>
        </w:rPr>
        <w:t>a</w:t>
      </w:r>
      <w:r w:rsidRPr="004B2498">
        <w:rPr>
          <w:lang w:eastAsia="fr-FR" w:bidi="fr-FR"/>
        </w:rPr>
        <w:t>tion continue de liquidités, la multiplication des stratégies d’acquisition et de fusion, et, enfin, l’approfondissement d’un espace financier global se poursuivirent à un rythme soutenu jusqu’à ce que les contradictions internes du système devinssent insurmontables. Grâce aux différentes contributions de l’approche régulationniste, on comprend que les règles prudentielles devant accompagner la mise en œuvre de la gouvernance financière d’entreprise étaient vouées à un échec programmé.</w:t>
      </w:r>
    </w:p>
    <w:p w14:paraId="21E54031" w14:textId="77777777" w:rsidR="002F4063" w:rsidRPr="004B2498" w:rsidRDefault="002F4063" w:rsidP="002F4063">
      <w:pPr>
        <w:spacing w:before="120" w:after="120"/>
        <w:jc w:val="both"/>
      </w:pPr>
      <w:r w:rsidRPr="004B2498">
        <w:rPr>
          <w:lang w:eastAsia="fr-FR" w:bidi="fr-FR"/>
        </w:rPr>
        <w:t xml:space="preserve">Par ailleurs, l’élaboration d’un </w:t>
      </w:r>
      <w:r w:rsidRPr="00F93343">
        <w:rPr>
          <w:i/>
        </w:rPr>
        <w:t>ratio</w:t>
      </w:r>
      <w:r w:rsidRPr="004B2498">
        <w:rPr>
          <w:lang w:eastAsia="fr-FR" w:bidi="fr-FR"/>
        </w:rPr>
        <w:t xml:space="preserve"> international de solvabilité </w:t>
      </w:r>
      <w:r w:rsidRPr="004B2498">
        <w:t>(</w:t>
      </w:r>
      <w:r w:rsidRPr="00F93343">
        <w:rPr>
          <w:i/>
        </w:rPr>
        <w:t>Bâle II</w:t>
      </w:r>
      <w:r w:rsidRPr="004B2498">
        <w:t xml:space="preserve">) </w:t>
      </w:r>
      <w:r w:rsidRPr="004B2498">
        <w:rPr>
          <w:lang w:eastAsia="fr-FR" w:bidi="fr-FR"/>
        </w:rPr>
        <w:t>justifiait de façon routinière le recours à des modèles internes susceptibles de déterminer les règles d’adéquation des fonds propres aux risques du marché. La complexité du marché des innovations f</w:t>
      </w:r>
      <w:r w:rsidRPr="004B2498">
        <w:rPr>
          <w:lang w:eastAsia="fr-FR" w:bidi="fr-FR"/>
        </w:rPr>
        <w:t>i</w:t>
      </w:r>
      <w:r w:rsidRPr="004B2498">
        <w:rPr>
          <w:lang w:eastAsia="fr-FR" w:bidi="fr-FR"/>
        </w:rPr>
        <w:t>nancières (produits dérivés) ainsi que la difficulté rédhibitoire à est</w:t>
      </w:r>
      <w:r w:rsidRPr="004B2498">
        <w:rPr>
          <w:lang w:eastAsia="fr-FR" w:bidi="fr-FR"/>
        </w:rPr>
        <w:t>i</w:t>
      </w:r>
      <w:r w:rsidRPr="004B2498">
        <w:rPr>
          <w:lang w:eastAsia="fr-FR" w:bidi="fr-FR"/>
        </w:rPr>
        <w:t>mer les risques occultes ont malheureusement rendu inopérante la te</w:t>
      </w:r>
      <w:r w:rsidRPr="004B2498">
        <w:rPr>
          <w:lang w:eastAsia="fr-FR" w:bidi="fr-FR"/>
        </w:rPr>
        <w:t>n</w:t>
      </w:r>
      <w:r w:rsidRPr="004B2498">
        <w:rPr>
          <w:lang w:eastAsia="fr-FR" w:bidi="fr-FR"/>
        </w:rPr>
        <w:t>tative de créer une norme universelle sous la forme d’un calcul simple voire simpliste. Car si l’on présuppose que les marchés sont parfaits et ne recèlent par définition aucune asymétrie d’information, l’inexistence de conflits d’agence entre les différentes parties prena</w:t>
      </w:r>
      <w:r w:rsidRPr="004B2498">
        <w:rPr>
          <w:lang w:eastAsia="fr-FR" w:bidi="fr-FR"/>
        </w:rPr>
        <w:t>n</w:t>
      </w:r>
      <w:r w:rsidRPr="004B2498">
        <w:rPr>
          <w:lang w:eastAsia="fr-FR" w:bidi="fr-FR"/>
        </w:rPr>
        <w:t>tes autorise une allocation optimale des ressources au sein de l’entreprise, et donc des signaux ou une norme idoines. La dernière décennie du XX</w:t>
      </w:r>
      <w:r w:rsidRPr="00F93343">
        <w:rPr>
          <w:vertAlign w:val="superscript"/>
          <w:lang w:eastAsia="fr-FR" w:bidi="fr-FR"/>
        </w:rPr>
        <w:t>e</w:t>
      </w:r>
      <w:r w:rsidRPr="004B2498">
        <w:rPr>
          <w:lang w:eastAsia="fr-FR" w:bidi="fr-FR"/>
        </w:rPr>
        <w:t xml:space="preserve"> et la première du XXI</w:t>
      </w:r>
      <w:r w:rsidRPr="00F93343">
        <w:rPr>
          <w:vertAlign w:val="superscript"/>
          <w:lang w:eastAsia="fr-FR" w:bidi="fr-FR"/>
        </w:rPr>
        <w:t>e</w:t>
      </w:r>
      <w:r w:rsidRPr="004B2498">
        <w:rPr>
          <w:lang w:eastAsia="fr-FR" w:bidi="fr-FR"/>
        </w:rPr>
        <w:t xml:space="preserve"> siècle ont en fin de compte révélé, avec moult exemples de management opportuniste, que le conformisme des tableaux de bord ou des indicateurs officiels de pe</w:t>
      </w:r>
      <w:r w:rsidRPr="004B2498">
        <w:rPr>
          <w:lang w:eastAsia="fr-FR" w:bidi="fr-FR"/>
        </w:rPr>
        <w:t>r</w:t>
      </w:r>
      <w:r w:rsidRPr="004B2498">
        <w:rPr>
          <w:lang w:eastAsia="fr-FR" w:bidi="fr-FR"/>
        </w:rPr>
        <w:t>formance n’était pas une garantie suffisante de restitution de l’état réel des comptes mais qu’il avait été au contraire un des instruments priv</w:t>
      </w:r>
      <w:r w:rsidRPr="004B2498">
        <w:rPr>
          <w:lang w:eastAsia="fr-FR" w:bidi="fr-FR"/>
        </w:rPr>
        <w:t>i</w:t>
      </w:r>
      <w:r w:rsidRPr="004B2498">
        <w:rPr>
          <w:lang w:eastAsia="fr-FR" w:bidi="fr-FR"/>
        </w:rPr>
        <w:t>légiés de formation et de dissimulation de profits d’initiés au travers de l'inflation fictive des actifs financiers marchands (Attali, 2009).</w:t>
      </w:r>
    </w:p>
    <w:p w14:paraId="72DC5278" w14:textId="77777777" w:rsidR="002F4063" w:rsidRPr="004B2498" w:rsidRDefault="002F4063" w:rsidP="002F4063">
      <w:pPr>
        <w:spacing w:before="120" w:after="120"/>
        <w:jc w:val="both"/>
        <w:rPr>
          <w:szCs w:val="24"/>
          <w:lang w:eastAsia="fr-FR" w:bidi="fr-FR"/>
        </w:rPr>
      </w:pPr>
      <w:r>
        <w:rPr>
          <w:szCs w:val="24"/>
          <w:lang w:eastAsia="fr-FR" w:bidi="fr-FR"/>
        </w:rPr>
        <w:br w:type="page"/>
      </w:r>
    </w:p>
    <w:p w14:paraId="0954A80E" w14:textId="77777777" w:rsidR="002F4063" w:rsidRPr="004B2498" w:rsidRDefault="002F4063" w:rsidP="002F4063">
      <w:pPr>
        <w:pStyle w:val="planche"/>
      </w:pPr>
      <w:r>
        <w:rPr>
          <w:lang w:eastAsia="fr-FR" w:bidi="fr-FR"/>
        </w:rPr>
        <w:t>UNE LECTURE ÉPISTÉMOLOGIQUE</w:t>
      </w:r>
      <w:r>
        <w:rPr>
          <w:lang w:eastAsia="fr-FR" w:bidi="fr-FR"/>
        </w:rPr>
        <w:br/>
      </w:r>
      <w:r w:rsidRPr="004B2498">
        <w:rPr>
          <w:lang w:eastAsia="fr-FR" w:bidi="fr-FR"/>
        </w:rPr>
        <w:t>DES CRISES FINA</w:t>
      </w:r>
      <w:r w:rsidRPr="004B2498">
        <w:rPr>
          <w:lang w:eastAsia="fr-FR" w:bidi="fr-FR"/>
        </w:rPr>
        <w:t>N</w:t>
      </w:r>
      <w:r w:rsidRPr="004B2498">
        <w:rPr>
          <w:lang w:eastAsia="fr-FR" w:bidi="fr-FR"/>
        </w:rPr>
        <w:t>CIÈRES</w:t>
      </w:r>
    </w:p>
    <w:p w14:paraId="0FBFC847" w14:textId="77777777" w:rsidR="002F4063" w:rsidRPr="004B2498" w:rsidRDefault="002F4063" w:rsidP="002F4063">
      <w:pPr>
        <w:spacing w:before="120" w:after="120"/>
        <w:jc w:val="both"/>
        <w:rPr>
          <w:lang w:eastAsia="fr-FR" w:bidi="fr-FR"/>
        </w:rPr>
      </w:pPr>
    </w:p>
    <w:p w14:paraId="4B72FF32" w14:textId="77777777" w:rsidR="002F4063" w:rsidRPr="004B2498" w:rsidRDefault="002F4063" w:rsidP="002F4063">
      <w:pPr>
        <w:spacing w:before="120" w:after="120"/>
        <w:jc w:val="both"/>
      </w:pPr>
      <w:r w:rsidRPr="004B2498">
        <w:rPr>
          <w:lang w:eastAsia="fr-FR" w:bidi="fr-FR"/>
        </w:rPr>
        <w:t>De ce qui précède, ressort la nécessité de proposer une analyse des crises financières prenant un certain recul par rapport aux réalités, aux manifestations les plus caractéristiques des ruptures majeures surv</w:t>
      </w:r>
      <w:r w:rsidRPr="004B2498">
        <w:rPr>
          <w:lang w:eastAsia="fr-FR" w:bidi="fr-FR"/>
        </w:rPr>
        <w:t>e</w:t>
      </w:r>
      <w:r w:rsidRPr="004B2498">
        <w:rPr>
          <w:lang w:eastAsia="fr-FR" w:bidi="fr-FR"/>
        </w:rPr>
        <w:t>nues dernièrement au sein de la finance globalisée. Appréhender les principaux emballements spéculatifs induits par le développement i</w:t>
      </w:r>
      <w:r w:rsidRPr="004B2498">
        <w:rPr>
          <w:lang w:eastAsia="fr-FR" w:bidi="fr-FR"/>
        </w:rPr>
        <w:t>n</w:t>
      </w:r>
      <w:r w:rsidRPr="004B2498">
        <w:rPr>
          <w:lang w:eastAsia="fr-FR" w:bidi="fr-FR"/>
        </w:rPr>
        <w:t>tense de la sphère financière trouve en effet une explication partielle, nous l’avons vu, dans la présence constante d’anticipations risquées des acteurs dont il faut cependant tenir compte pour interpréter les « prophéties autoréalisatrices » ou bien encore les « comportements mimétiques » en émanant. C’est pourquoi une grille de lecture pert</w:t>
      </w:r>
      <w:r w:rsidRPr="004B2498">
        <w:rPr>
          <w:lang w:eastAsia="fr-FR" w:bidi="fr-FR"/>
        </w:rPr>
        <w:t>i</w:t>
      </w:r>
      <w:r w:rsidRPr="004B2498">
        <w:rPr>
          <w:lang w:eastAsia="fr-FR" w:bidi="fr-FR"/>
        </w:rPr>
        <w:t>nente devrait donner une place prépondérante à une interprétation or</w:t>
      </w:r>
      <w:r w:rsidRPr="004B2498">
        <w:rPr>
          <w:lang w:eastAsia="fr-FR" w:bidi="fr-FR"/>
        </w:rPr>
        <w:t>i</w:t>
      </w:r>
      <w:r w:rsidRPr="004B2498">
        <w:rPr>
          <w:lang w:eastAsia="fr-FR" w:bidi="fr-FR"/>
        </w:rPr>
        <w:t>ginale où un changement radical de paradigme, centré sur le</w:t>
      </w:r>
      <w:r>
        <w:t xml:space="preserve"> </w:t>
      </w:r>
      <w:r w:rsidRPr="004B2498">
        <w:t>[31]</w:t>
      </w:r>
      <w:r>
        <w:t xml:space="preserve"> </w:t>
      </w:r>
      <w:r w:rsidRPr="004B2498">
        <w:rPr>
          <w:lang w:eastAsia="fr-FR" w:bidi="fr-FR"/>
        </w:rPr>
        <w:t>concept général de liquidité, permettrait d’analyser les ruptures fo</w:t>
      </w:r>
      <w:r w:rsidRPr="004B2498">
        <w:rPr>
          <w:lang w:eastAsia="fr-FR" w:bidi="fr-FR"/>
        </w:rPr>
        <w:t>n</w:t>
      </w:r>
      <w:r w:rsidRPr="004B2498">
        <w:rPr>
          <w:lang w:eastAsia="fr-FR" w:bidi="fr-FR"/>
        </w:rPr>
        <w:t>damentales inhérentes au fonctionnement dérégulé des marchés fina</w:t>
      </w:r>
      <w:r w:rsidRPr="004B2498">
        <w:rPr>
          <w:lang w:eastAsia="fr-FR" w:bidi="fr-FR"/>
        </w:rPr>
        <w:t>n</w:t>
      </w:r>
      <w:r w:rsidRPr="004B2498">
        <w:rPr>
          <w:lang w:eastAsia="fr-FR" w:bidi="fr-FR"/>
        </w:rPr>
        <w:t>ciers contemporains.</w:t>
      </w:r>
    </w:p>
    <w:p w14:paraId="15B4EBDF" w14:textId="77777777" w:rsidR="002F4063" w:rsidRPr="004B2498" w:rsidRDefault="002F4063" w:rsidP="002F4063">
      <w:pPr>
        <w:spacing w:before="120" w:after="120"/>
        <w:jc w:val="both"/>
      </w:pPr>
      <w:r w:rsidRPr="004B2498">
        <w:rPr>
          <w:lang w:eastAsia="fr-FR" w:bidi="fr-FR"/>
        </w:rPr>
        <w:t>Pour ce faire, nous examinerons dans cette dernière partie plusieurs questions transversales susceptibles de nous aider à atteindre l’objectif fixé antérieurement : nous commencerons par clarifier trois sujets de controverse qui tendent à dénaturer l’observation et l’analyse écon</w:t>
      </w:r>
      <w:r w:rsidRPr="004B2498">
        <w:rPr>
          <w:lang w:eastAsia="fr-FR" w:bidi="fr-FR"/>
        </w:rPr>
        <w:t>o</w:t>
      </w:r>
      <w:r w:rsidRPr="004B2498">
        <w:rPr>
          <w:lang w:eastAsia="fr-FR" w:bidi="fr-FR"/>
        </w:rPr>
        <w:t>mique des crises financières : l’opposition caricaturale entre économie réelle et économie financière, le rôle de l’État libéral en période de crises, et enfin la dichotomie entre une finance de marché sophist</w:t>
      </w:r>
      <w:r w:rsidRPr="004B2498">
        <w:rPr>
          <w:lang w:eastAsia="fr-FR" w:bidi="fr-FR"/>
        </w:rPr>
        <w:t>i</w:t>
      </w:r>
      <w:r w:rsidRPr="004B2498">
        <w:rPr>
          <w:lang w:eastAsia="fr-FR" w:bidi="fr-FR"/>
        </w:rPr>
        <w:t>quée, performante et une intermédiation bancaire jugée comme a</w:t>
      </w:r>
      <w:r w:rsidRPr="004B2498">
        <w:rPr>
          <w:lang w:eastAsia="fr-FR" w:bidi="fr-FR"/>
        </w:rPr>
        <w:t>r</w:t>
      </w:r>
      <w:r w:rsidRPr="004B2498">
        <w:rPr>
          <w:lang w:eastAsia="fr-FR" w:bidi="fr-FR"/>
        </w:rPr>
        <w:t>chaïque et inefficace. La fragile récupération actuelle des systèmes financiers sur le plan international laisse à penser que l’on assisterait peut-être à la fin de l’époque de la globalisation « heureuse », d’un paradigme où la finance de marché libérée, la croissance des pays c</w:t>
      </w:r>
      <w:r w:rsidRPr="004B2498">
        <w:rPr>
          <w:lang w:eastAsia="fr-FR" w:bidi="fr-FR"/>
        </w:rPr>
        <w:t>a</w:t>
      </w:r>
      <w:r w:rsidRPr="004B2498">
        <w:rPr>
          <w:lang w:eastAsia="fr-FR" w:bidi="fr-FR"/>
        </w:rPr>
        <w:t>pitalistes avancés financée par les pays émergents, les fondements de la théorie financière orthodoxe et la marchandisation de l’État... co</w:t>
      </w:r>
      <w:r w:rsidRPr="004B2498">
        <w:rPr>
          <w:lang w:eastAsia="fr-FR" w:bidi="fr-FR"/>
        </w:rPr>
        <w:t>m</w:t>
      </w:r>
      <w:r w:rsidRPr="004B2498">
        <w:rPr>
          <w:lang w:eastAsia="fr-FR" w:bidi="fr-FR"/>
        </w:rPr>
        <w:t>mandaient en totalité l’économie politique du monde avec une inso</w:t>
      </w:r>
      <w:r w:rsidRPr="004B2498">
        <w:rPr>
          <w:lang w:eastAsia="fr-FR" w:bidi="fr-FR"/>
        </w:rPr>
        <w:t>u</w:t>
      </w:r>
      <w:r w:rsidRPr="004B2498">
        <w:rPr>
          <w:lang w:eastAsia="fr-FR" w:bidi="fr-FR"/>
        </w:rPr>
        <w:t>ciance naïve ou cynique devant la montée inexorable des périls futurs, des catastrophes financières à venir. Après ces questions, il sera temps de proposer une lecture des crises financières contemporaines élo</w:t>
      </w:r>
      <w:r w:rsidRPr="004B2498">
        <w:rPr>
          <w:lang w:eastAsia="fr-FR" w:bidi="fr-FR"/>
        </w:rPr>
        <w:t>i</w:t>
      </w:r>
      <w:r w:rsidRPr="004B2498">
        <w:rPr>
          <w:lang w:eastAsia="fr-FR" w:bidi="fr-FR"/>
        </w:rPr>
        <w:t>gnée des conceptions objectives de la valeur.</w:t>
      </w:r>
    </w:p>
    <w:p w14:paraId="58C98128" w14:textId="77777777" w:rsidR="002F4063" w:rsidRPr="004B2498" w:rsidRDefault="002F4063" w:rsidP="002F4063">
      <w:pPr>
        <w:spacing w:before="120" w:after="120"/>
        <w:jc w:val="both"/>
        <w:rPr>
          <w:szCs w:val="24"/>
          <w:lang w:eastAsia="fr-FR" w:bidi="fr-FR"/>
        </w:rPr>
      </w:pPr>
    </w:p>
    <w:p w14:paraId="456CCFBF" w14:textId="77777777" w:rsidR="002F4063" w:rsidRPr="004B2498" w:rsidRDefault="002F4063" w:rsidP="002F4063">
      <w:pPr>
        <w:pStyle w:val="a"/>
      </w:pPr>
      <w:r w:rsidRPr="004B2498">
        <w:t>Un triple faux débat économique</w:t>
      </w:r>
    </w:p>
    <w:p w14:paraId="7A6AA1A8" w14:textId="77777777" w:rsidR="002F4063" w:rsidRPr="004B2498" w:rsidRDefault="002F4063" w:rsidP="002F4063">
      <w:pPr>
        <w:spacing w:before="120" w:after="120"/>
        <w:jc w:val="both"/>
        <w:rPr>
          <w:lang w:eastAsia="fr-FR" w:bidi="fr-FR"/>
        </w:rPr>
      </w:pPr>
    </w:p>
    <w:p w14:paraId="67C8B0FA" w14:textId="77777777" w:rsidR="002F4063" w:rsidRPr="004B2498" w:rsidRDefault="002F4063" w:rsidP="002F4063">
      <w:pPr>
        <w:spacing w:before="120" w:after="120"/>
        <w:jc w:val="both"/>
      </w:pPr>
      <w:r w:rsidRPr="004B2498">
        <w:rPr>
          <w:lang w:eastAsia="fr-FR" w:bidi="fr-FR"/>
        </w:rPr>
        <w:t>D’un point de vue non analytique, il est aisé de recourir parfois à des simplifications abusives qui tendent à biaiser l’orientation des r</w:t>
      </w:r>
      <w:r w:rsidRPr="004B2498">
        <w:rPr>
          <w:lang w:eastAsia="fr-FR" w:bidi="fr-FR"/>
        </w:rPr>
        <w:t>e</w:t>
      </w:r>
      <w:r w:rsidRPr="004B2498">
        <w:rPr>
          <w:lang w:eastAsia="fr-FR" w:bidi="fr-FR"/>
        </w:rPr>
        <w:t>cherches vers des a priori idéologiques, des visions manichéennes. La thématique complexe des crises financières n’échappe nullement à ce travers qui culmine sous la forme de faux débats économiques ; pour notre part, nous en avons repéré trois dont la récurrence conduit à une interprétation restrictive, réductrice des ruptures majeures de la fina</w:t>
      </w:r>
      <w:r w:rsidRPr="004B2498">
        <w:rPr>
          <w:lang w:eastAsia="fr-FR" w:bidi="fr-FR"/>
        </w:rPr>
        <w:t>n</w:t>
      </w:r>
      <w:r w:rsidRPr="004B2498">
        <w:rPr>
          <w:lang w:eastAsia="fr-FR" w:bidi="fr-FR"/>
        </w:rPr>
        <w:t>ce globalisée :</w:t>
      </w:r>
    </w:p>
    <w:p w14:paraId="193A45E8" w14:textId="77777777" w:rsidR="002F4063" w:rsidRPr="004B2498" w:rsidRDefault="002F4063" w:rsidP="002F4063">
      <w:pPr>
        <w:spacing w:before="120" w:after="120"/>
        <w:jc w:val="both"/>
        <w:rPr>
          <w:lang w:eastAsia="fr-FR" w:bidi="fr-FR"/>
        </w:rPr>
      </w:pPr>
      <w:r w:rsidRPr="004B2498">
        <w:rPr>
          <w:lang w:eastAsia="fr-FR" w:bidi="fr-FR"/>
        </w:rPr>
        <w:t>À cet égard, une première image ou représentation simplificatrice, ayant néanmoins force de causalité secondaire dans le vaste champ explicatif des crises financières, renvoie à l’opposition binaire entre la « mauvaise » finance spéculative et la « vertueuse » économie réelle ou productive. Trois présupposés sous-jacents donnent une apparence de pseudo-scientificité à cette perception moralisante :</w:t>
      </w:r>
    </w:p>
    <w:p w14:paraId="6B989C03" w14:textId="77777777" w:rsidR="002F4063" w:rsidRPr="004B2498" w:rsidRDefault="002F4063" w:rsidP="002F4063">
      <w:pPr>
        <w:spacing w:before="120" w:after="120"/>
        <w:jc w:val="both"/>
      </w:pPr>
    </w:p>
    <w:p w14:paraId="58A60AE9" w14:textId="77777777" w:rsidR="002F4063" w:rsidRPr="004B2498" w:rsidRDefault="002F4063" w:rsidP="002F4063">
      <w:pPr>
        <w:spacing w:before="120" w:after="120"/>
        <w:ind w:left="720" w:hanging="360"/>
        <w:jc w:val="both"/>
      </w:pPr>
      <w:r w:rsidRPr="004B2498">
        <w:rPr>
          <w:lang w:eastAsia="fr-FR" w:bidi="fr-FR"/>
        </w:rPr>
        <w:t>-</w:t>
      </w:r>
      <w:r w:rsidRPr="004B2498">
        <w:rPr>
          <w:lang w:eastAsia="fr-FR" w:bidi="fr-FR"/>
        </w:rPr>
        <w:tab/>
        <w:t>Qu’il existerait une possibilité de reconnecter la finance de ma</w:t>
      </w:r>
      <w:r w:rsidRPr="004B2498">
        <w:rPr>
          <w:lang w:eastAsia="fr-FR" w:bidi="fr-FR"/>
        </w:rPr>
        <w:t>r</w:t>
      </w:r>
      <w:r w:rsidRPr="004B2498">
        <w:rPr>
          <w:lang w:eastAsia="fr-FR" w:bidi="fr-FR"/>
        </w:rPr>
        <w:t>ché à la sphère de la production mondiale (Tchang, 2008) ;</w:t>
      </w:r>
    </w:p>
    <w:p w14:paraId="74FD752B" w14:textId="77777777" w:rsidR="002F4063" w:rsidRPr="004B2498" w:rsidRDefault="002F4063" w:rsidP="002F4063">
      <w:pPr>
        <w:spacing w:before="120" w:after="120"/>
        <w:ind w:left="720" w:hanging="360"/>
        <w:jc w:val="both"/>
      </w:pPr>
      <w:r w:rsidRPr="004B2498">
        <w:rPr>
          <w:lang w:eastAsia="fr-FR" w:bidi="fr-FR"/>
        </w:rPr>
        <w:t>-</w:t>
      </w:r>
      <w:r w:rsidRPr="004B2498">
        <w:rPr>
          <w:lang w:eastAsia="fr-FR" w:bidi="fr-FR"/>
        </w:rPr>
        <w:tab/>
        <w:t>Que l’éventuelle déconnexion de la finance de l’économie rée</w:t>
      </w:r>
      <w:r w:rsidRPr="004B2498">
        <w:rPr>
          <w:lang w:eastAsia="fr-FR" w:bidi="fr-FR"/>
        </w:rPr>
        <w:t>l</w:t>
      </w:r>
      <w:r w:rsidRPr="004B2498">
        <w:rPr>
          <w:lang w:eastAsia="fr-FR" w:bidi="fr-FR"/>
        </w:rPr>
        <w:t>le serait validée par les faits ;</w:t>
      </w:r>
    </w:p>
    <w:p w14:paraId="3A84DB5F" w14:textId="77777777" w:rsidR="002F4063" w:rsidRPr="004B2498" w:rsidRDefault="002F4063" w:rsidP="002F4063">
      <w:pPr>
        <w:spacing w:before="120" w:after="120"/>
        <w:ind w:left="720" w:hanging="360"/>
        <w:jc w:val="both"/>
      </w:pPr>
      <w:r w:rsidRPr="004B2498">
        <w:rPr>
          <w:lang w:eastAsia="fr-FR" w:bidi="fr-FR"/>
        </w:rPr>
        <w:t>-</w:t>
      </w:r>
      <w:r w:rsidRPr="004B2498">
        <w:rPr>
          <w:lang w:eastAsia="fr-FR" w:bidi="fr-FR"/>
        </w:rPr>
        <w:tab/>
        <w:t>Que cette supposée dichotomie correspondrait aujourd’hui à un puissant mécanisme explicatif des situations paroxystiques de la finance de</w:t>
      </w:r>
      <w:r w:rsidRPr="004B2498">
        <w:t xml:space="preserve"> [32]</w:t>
      </w:r>
      <w:r>
        <w:t xml:space="preserve"> </w:t>
      </w:r>
      <w:r w:rsidRPr="004B2498">
        <w:rPr>
          <w:lang w:eastAsia="fr-FR" w:bidi="fr-FR"/>
        </w:rPr>
        <w:t>marché. En définitive, ce que l’on peut subst</w:t>
      </w:r>
      <w:r w:rsidRPr="004B2498">
        <w:rPr>
          <w:lang w:eastAsia="fr-FR" w:bidi="fr-FR"/>
        </w:rPr>
        <w:t>i</w:t>
      </w:r>
      <w:r w:rsidRPr="004B2498">
        <w:rPr>
          <w:lang w:eastAsia="fr-FR" w:bidi="fr-FR"/>
        </w:rPr>
        <w:t>tuer à cette interprét</w:t>
      </w:r>
      <w:r w:rsidRPr="004B2498">
        <w:rPr>
          <w:lang w:eastAsia="fr-FR" w:bidi="fr-FR"/>
        </w:rPr>
        <w:t>a</w:t>
      </w:r>
      <w:r w:rsidRPr="004B2498">
        <w:rPr>
          <w:lang w:eastAsia="fr-FR" w:bidi="fr-FR"/>
        </w:rPr>
        <w:t>tion partiale, bien diffusée auprès de l’opinion publique, prend la fo</w:t>
      </w:r>
      <w:r w:rsidRPr="004B2498">
        <w:rPr>
          <w:lang w:eastAsia="fr-FR" w:bidi="fr-FR"/>
        </w:rPr>
        <w:t>r</w:t>
      </w:r>
      <w:r w:rsidRPr="004B2498">
        <w:rPr>
          <w:lang w:eastAsia="fr-FR" w:bidi="fr-FR"/>
        </w:rPr>
        <w:t>me d’une réponse de bon sens économique basée sur l’observation attentive des réalités de la globalisation. Car il est erroné de louer le déroulement en app</w:t>
      </w:r>
      <w:r w:rsidRPr="004B2498">
        <w:rPr>
          <w:lang w:eastAsia="fr-FR" w:bidi="fr-FR"/>
        </w:rPr>
        <w:t>a</w:t>
      </w:r>
      <w:r w:rsidRPr="004B2498">
        <w:rPr>
          <w:lang w:eastAsia="fr-FR" w:bidi="fr-FR"/>
        </w:rPr>
        <w:t>rence harmonieux de l’économie réelle tout en critiquant de manière systématique les dérives incontestables de la finance globalisée, étant donné que les deux catégories d’économie sont dialectiquement liées. La finance de marché n’est en fait jamais totalement coupée, déconnectée du capitalisme réel dans la m</w:t>
      </w:r>
      <w:r w:rsidRPr="004B2498">
        <w:rPr>
          <w:lang w:eastAsia="fr-FR" w:bidi="fr-FR"/>
        </w:rPr>
        <w:t>e</w:t>
      </w:r>
      <w:r w:rsidRPr="004B2498">
        <w:rPr>
          <w:lang w:eastAsia="fr-FR" w:bidi="fr-FR"/>
        </w:rPr>
        <w:t>sure où elle aborde - quand bien même de façon incomplète sur le plan théor</w:t>
      </w:r>
      <w:r w:rsidRPr="004B2498">
        <w:rPr>
          <w:lang w:eastAsia="fr-FR" w:bidi="fr-FR"/>
        </w:rPr>
        <w:t>i</w:t>
      </w:r>
      <w:r w:rsidRPr="004B2498">
        <w:rPr>
          <w:lang w:eastAsia="fr-FR" w:bidi="fr-FR"/>
        </w:rPr>
        <w:t>que et avec les dérives consubstantielles que nous avons soulignées -, la question cruciale de la maîtrise des ri</w:t>
      </w:r>
      <w:r w:rsidRPr="004B2498">
        <w:rPr>
          <w:lang w:eastAsia="fr-FR" w:bidi="fr-FR"/>
        </w:rPr>
        <w:t>s</w:t>
      </w:r>
      <w:r w:rsidRPr="004B2498">
        <w:rPr>
          <w:lang w:eastAsia="fr-FR" w:bidi="fr-FR"/>
        </w:rPr>
        <w:t>ques.</w:t>
      </w:r>
    </w:p>
    <w:p w14:paraId="15E0A2F5" w14:textId="77777777" w:rsidR="002F4063" w:rsidRDefault="002F4063" w:rsidP="002F4063">
      <w:pPr>
        <w:spacing w:before="120" w:after="120"/>
        <w:jc w:val="both"/>
        <w:rPr>
          <w:lang w:eastAsia="fr-FR" w:bidi="fr-FR"/>
        </w:rPr>
      </w:pPr>
    </w:p>
    <w:p w14:paraId="65D84381" w14:textId="77777777" w:rsidR="002F4063" w:rsidRPr="004B2498" w:rsidRDefault="002F4063" w:rsidP="002F4063">
      <w:pPr>
        <w:spacing w:before="120" w:after="120"/>
        <w:jc w:val="both"/>
      </w:pPr>
      <w:r w:rsidRPr="004B2498">
        <w:rPr>
          <w:lang w:eastAsia="fr-FR" w:bidi="fr-FR"/>
        </w:rPr>
        <w:t>Au quotidien, convenablement appliquée et sans dévoiement sp</w:t>
      </w:r>
      <w:r w:rsidRPr="004B2498">
        <w:rPr>
          <w:lang w:eastAsia="fr-FR" w:bidi="fr-FR"/>
        </w:rPr>
        <w:t>é</w:t>
      </w:r>
      <w:r w:rsidRPr="004B2498">
        <w:rPr>
          <w:lang w:eastAsia="fr-FR" w:bidi="fr-FR"/>
        </w:rPr>
        <w:t>culatif, la couverture des prêts concédés aux chefs d’entreprise et aux ménages, afin qu’ils réalisent leurs différentes activités économiques et opérations financières, représente une fonction indispensable, un avantage appréciable en mettant en relation les apporteurs et les d</w:t>
      </w:r>
      <w:r w:rsidRPr="004B2498">
        <w:rPr>
          <w:lang w:eastAsia="fr-FR" w:bidi="fr-FR"/>
        </w:rPr>
        <w:t>e</w:t>
      </w:r>
      <w:r w:rsidRPr="004B2498">
        <w:rPr>
          <w:lang w:eastAsia="fr-FR" w:bidi="fr-FR"/>
        </w:rPr>
        <w:t>mandeurs de capitaux (Tchang, 2008). Sans le crédit, l’économie de production et de consommation demeurerait à un stade embryonnaire incompatible avec les besoins supérieurs d’accumulation du système global en vigueur. Par cette interdépendance avérée des sphères fina</w:t>
      </w:r>
      <w:r w:rsidRPr="004B2498">
        <w:rPr>
          <w:lang w:eastAsia="fr-FR" w:bidi="fr-FR"/>
        </w:rPr>
        <w:t>n</w:t>
      </w:r>
      <w:r w:rsidRPr="004B2498">
        <w:rPr>
          <w:lang w:eastAsia="fr-FR" w:bidi="fr-FR"/>
        </w:rPr>
        <w:t>cière et productive, se fait jour toutefois une des plus sérieuses inqui</w:t>
      </w:r>
      <w:r w:rsidRPr="004B2498">
        <w:rPr>
          <w:lang w:eastAsia="fr-FR" w:bidi="fr-FR"/>
        </w:rPr>
        <w:t>é</w:t>
      </w:r>
      <w:r w:rsidRPr="004B2498">
        <w:rPr>
          <w:lang w:eastAsia="fr-FR" w:bidi="fr-FR"/>
        </w:rPr>
        <w:t>tudes des pouvoirs publics actuels sous la forme concrète d’un scén</w:t>
      </w:r>
      <w:r w:rsidRPr="004B2498">
        <w:rPr>
          <w:lang w:eastAsia="fr-FR" w:bidi="fr-FR"/>
        </w:rPr>
        <w:t>a</w:t>
      </w:r>
      <w:r w:rsidRPr="004B2498">
        <w:rPr>
          <w:lang w:eastAsia="fr-FR" w:bidi="fr-FR"/>
        </w:rPr>
        <w:t>rio possible de contagion de la crise des marchés au reste des struct</w:t>
      </w:r>
      <w:r w:rsidRPr="004B2498">
        <w:rPr>
          <w:lang w:eastAsia="fr-FR" w:bidi="fr-FR"/>
        </w:rPr>
        <w:t>u</w:t>
      </w:r>
      <w:r w:rsidRPr="004B2498">
        <w:rPr>
          <w:lang w:eastAsia="fr-FR" w:bidi="fr-FR"/>
        </w:rPr>
        <w:t>res capitalistes. Que ce risque systémique ou généralisé soit exacerbé par la carence d’autonomie des agents de l’économie réelle par ra</w:t>
      </w:r>
      <w:r w:rsidRPr="004B2498">
        <w:rPr>
          <w:lang w:eastAsia="fr-FR" w:bidi="fr-FR"/>
        </w:rPr>
        <w:t>p</w:t>
      </w:r>
      <w:r w:rsidRPr="004B2498">
        <w:rPr>
          <w:lang w:eastAsia="fr-FR" w:bidi="fr-FR"/>
        </w:rPr>
        <w:t>port au « pouvoir de la finance » participe désormais d’une des hyp</w:t>
      </w:r>
      <w:r w:rsidRPr="004B2498">
        <w:rPr>
          <w:lang w:eastAsia="fr-FR" w:bidi="fr-FR"/>
        </w:rPr>
        <w:t>o</w:t>
      </w:r>
      <w:r w:rsidRPr="004B2498">
        <w:rPr>
          <w:lang w:eastAsia="fr-FR" w:bidi="fr-FR"/>
        </w:rPr>
        <w:t xml:space="preserve">thèses les plus fécondes de la recherche fondamentale (cf. </w:t>
      </w:r>
      <w:r w:rsidRPr="00EF121F">
        <w:rPr>
          <w:i/>
        </w:rPr>
        <w:t>supra</w:t>
      </w:r>
      <w:r w:rsidRPr="004B2498">
        <w:t>).</w:t>
      </w:r>
    </w:p>
    <w:p w14:paraId="34A2960A" w14:textId="77777777" w:rsidR="002F4063" w:rsidRPr="004B2498" w:rsidRDefault="002F4063" w:rsidP="002F4063">
      <w:pPr>
        <w:spacing w:before="120" w:after="120"/>
        <w:jc w:val="both"/>
      </w:pPr>
      <w:r w:rsidRPr="004B2498">
        <w:rPr>
          <w:lang w:eastAsia="fr-FR" w:bidi="fr-FR"/>
        </w:rPr>
        <w:t>La référence aux pouvoirs publics nous invite ensuite à réfléchir au contenu intrinsèque de l’action de l’État laquelle consiste en priorité à réduire, autant que faire se peut, les effets les plus néfastes des crises. Sous le prétexte d’une critique conformiste du néolibéralisme, existe le réel danger d’en présenter une image caricaturale. Pour cela, il est nécessaire de préciser au préalable que cette doctrine ne doit être en aucun cas assimilée à un système sans règles (Padis, 2008) : elle conçoit en effet l’État comme une organisation économique qui gara</w:t>
      </w:r>
      <w:r w:rsidRPr="004B2498">
        <w:rPr>
          <w:lang w:eastAsia="fr-FR" w:bidi="fr-FR"/>
        </w:rPr>
        <w:t>n</w:t>
      </w:r>
      <w:r w:rsidRPr="004B2498">
        <w:rPr>
          <w:lang w:eastAsia="fr-FR" w:bidi="fr-FR"/>
        </w:rPr>
        <w:t>tirait le fonctionnement permanent du marché grâce à la plus pure concurrence imaginable. Depuis moins d’un demi-siècle, au plan i</w:t>
      </w:r>
      <w:r w:rsidRPr="004B2498">
        <w:rPr>
          <w:lang w:eastAsia="fr-FR" w:bidi="fr-FR"/>
        </w:rPr>
        <w:t>n</w:t>
      </w:r>
      <w:r w:rsidRPr="004B2498">
        <w:rPr>
          <w:lang w:eastAsia="fr-FR" w:bidi="fr-FR"/>
        </w:rPr>
        <w:t>ternational, les vertus supposées du modèle néolibéral exercent en fait une influence croissante sur les différents outils de management et sur les stratégies de gouvernement de la fonction publique.</w:t>
      </w:r>
    </w:p>
    <w:p w14:paraId="5C62BFDE" w14:textId="77777777" w:rsidR="002F4063" w:rsidRPr="004B2498" w:rsidRDefault="002F4063" w:rsidP="002F4063">
      <w:pPr>
        <w:spacing w:before="120" w:after="120"/>
        <w:jc w:val="both"/>
      </w:pPr>
      <w:r w:rsidRPr="004B2498">
        <w:rPr>
          <w:lang w:eastAsia="fr-FR" w:bidi="fr-FR"/>
        </w:rPr>
        <w:t>Contrairement à une idée fausse mais consensuellement répandue, le néolibéralisme signifie encore moins une doctrine du retrait de l’État, de l’absence d’intervention des pouvoirs publics dans la mesure où il admet</w:t>
      </w:r>
      <w:r>
        <w:t xml:space="preserve"> </w:t>
      </w:r>
      <w:r w:rsidRPr="004B2498">
        <w:t>[33]</w:t>
      </w:r>
      <w:r>
        <w:t xml:space="preserve"> </w:t>
      </w:r>
      <w:r w:rsidRPr="004B2498">
        <w:rPr>
          <w:lang w:eastAsia="fr-FR" w:bidi="fr-FR"/>
        </w:rPr>
        <w:t>l’existence d’une gouvernance étatique, de décisions politiques corsetées par la logique marchande (Padis, 2008). Plus e</w:t>
      </w:r>
      <w:r w:rsidRPr="004B2498">
        <w:rPr>
          <w:lang w:eastAsia="fr-FR" w:bidi="fr-FR"/>
        </w:rPr>
        <w:t>n</w:t>
      </w:r>
      <w:r w:rsidRPr="004B2498">
        <w:rPr>
          <w:lang w:eastAsia="fr-FR" w:bidi="fr-FR"/>
        </w:rPr>
        <w:t>core, lorsque la violence des catastrophes financières et monétaires risque de mettre en danger la pérennité du système capitaliste, l’interventionnisme l</w:t>
      </w:r>
      <w:r w:rsidRPr="004B2498">
        <w:rPr>
          <w:lang w:eastAsia="fr-FR" w:bidi="fr-FR"/>
        </w:rPr>
        <w:t>i</w:t>
      </w:r>
      <w:r w:rsidRPr="004B2498">
        <w:rPr>
          <w:lang w:eastAsia="fr-FR" w:bidi="fr-FR"/>
        </w:rPr>
        <w:t>béral démontre historiquement une résilience efficace face aux graves problèmes de crédit crunch, de volatilité des monnaies, de récession ou de stagnation des économies affectées en recourant à des mesures volontaristes. Comme nous l’avons constaté il y a peu de temps encore, l’éventail des décisions économiques anticr</w:t>
      </w:r>
      <w:r w:rsidRPr="004B2498">
        <w:rPr>
          <w:lang w:eastAsia="fr-FR" w:bidi="fr-FR"/>
        </w:rPr>
        <w:t>i</w:t>
      </w:r>
      <w:r w:rsidRPr="004B2498">
        <w:rPr>
          <w:lang w:eastAsia="fr-FR" w:bidi="fr-FR"/>
        </w:rPr>
        <w:t>se prises par la major</w:t>
      </w:r>
      <w:r w:rsidRPr="004B2498">
        <w:rPr>
          <w:lang w:eastAsia="fr-FR" w:bidi="fr-FR"/>
        </w:rPr>
        <w:t>i</w:t>
      </w:r>
      <w:r w:rsidRPr="004B2498">
        <w:rPr>
          <w:lang w:eastAsia="fr-FR" w:bidi="fr-FR"/>
        </w:rPr>
        <w:t>té des gouvernements acquis au néolibéralisme balaie dès lors un large spectre d’actions depuis les procédures de r</w:t>
      </w:r>
      <w:r w:rsidRPr="004B2498">
        <w:rPr>
          <w:lang w:eastAsia="fr-FR" w:bidi="fr-FR"/>
        </w:rPr>
        <w:t>e</w:t>
      </w:r>
      <w:r w:rsidRPr="004B2498">
        <w:rPr>
          <w:lang w:eastAsia="fr-FR" w:bidi="fr-FR"/>
        </w:rPr>
        <w:t>capitalisation des banques en passant par les formes possibles d’une nouvelle régulation</w:t>
      </w:r>
      <w:r>
        <w:rPr>
          <w:lang w:eastAsia="fr-FR" w:bidi="fr-FR"/>
        </w:rPr>
        <w:t> </w:t>
      </w:r>
      <w:r>
        <w:rPr>
          <w:rStyle w:val="Appelnotedebasdep"/>
          <w:lang w:eastAsia="fr-FR" w:bidi="fr-FR"/>
        </w:rPr>
        <w:footnoteReference w:id="8"/>
      </w:r>
      <w:r w:rsidRPr="004B2498">
        <w:rPr>
          <w:lang w:eastAsia="fr-FR" w:bidi="fr-FR"/>
        </w:rPr>
        <w:t xml:space="preserve"> jusqu’à la nationalisation des institutions en d</w:t>
      </w:r>
      <w:r w:rsidRPr="004B2498">
        <w:rPr>
          <w:lang w:eastAsia="fr-FR" w:bidi="fr-FR"/>
        </w:rPr>
        <w:t>é</w:t>
      </w:r>
      <w:r w:rsidRPr="004B2498">
        <w:rPr>
          <w:lang w:eastAsia="fr-FR" w:bidi="fr-FR"/>
        </w:rPr>
        <w:t>confiture.</w:t>
      </w:r>
    </w:p>
    <w:p w14:paraId="5367975E" w14:textId="77777777" w:rsidR="002F4063" w:rsidRPr="004B2498" w:rsidRDefault="002F4063" w:rsidP="002F4063">
      <w:pPr>
        <w:spacing w:before="120" w:after="120"/>
        <w:jc w:val="both"/>
      </w:pPr>
      <w:r w:rsidRPr="004B2498">
        <w:rPr>
          <w:lang w:eastAsia="fr-FR" w:bidi="fr-FR"/>
        </w:rPr>
        <w:t>Depuis la Grande Dépression de 1929, référence repoussoir de l’échec du laisser-faire en matière de sortie de crises, celles-ci n’ont pu être évitées mais circonscrites aux seules manifestations les plus extrêmes, aux chocs les plus importants (Lenglet, 2008). Avec moins d’un siècle d’actions anticrise, cet enseignement historique offre par</w:t>
      </w:r>
      <w:r w:rsidRPr="004B2498">
        <w:rPr>
          <w:lang w:eastAsia="fr-FR" w:bidi="fr-FR"/>
        </w:rPr>
        <w:t>a</w:t>
      </w:r>
      <w:r w:rsidRPr="004B2498">
        <w:rPr>
          <w:lang w:eastAsia="fr-FR" w:bidi="fr-FR"/>
        </w:rPr>
        <w:t>doxalement une nouvelle jeunesse à la thèse de l’aléa moral : car si, à chaque rupture majeure, les agents financiers sont assurés de pouvoir bénéficier du soutien inconditionnel et massif des gouvernements né</w:t>
      </w:r>
      <w:r w:rsidRPr="004B2498">
        <w:rPr>
          <w:lang w:eastAsia="fr-FR" w:bidi="fr-FR"/>
        </w:rPr>
        <w:t>o</w:t>
      </w:r>
      <w:r w:rsidRPr="004B2498">
        <w:rPr>
          <w:lang w:eastAsia="fr-FR" w:bidi="fr-FR"/>
        </w:rPr>
        <w:t>libéraux, espérer une diminution de la fréquence des comportements imprudents serait alors comme prononcer un vœu pieux : une crainte amplement justifiée par la mutation postcrise en cours dans les pays industrialisés où l’on assiste aujourd’hui au retour d’un fort processus de concentration bancaire : business as usual.</w:t>
      </w:r>
    </w:p>
    <w:p w14:paraId="4826C452" w14:textId="77777777" w:rsidR="002F4063" w:rsidRPr="004B2498" w:rsidRDefault="002F4063" w:rsidP="002F4063">
      <w:pPr>
        <w:spacing w:before="120" w:after="120"/>
        <w:jc w:val="both"/>
      </w:pPr>
      <w:r w:rsidRPr="004B2498">
        <w:rPr>
          <w:lang w:eastAsia="fr-FR" w:bidi="fr-FR"/>
        </w:rPr>
        <w:t>Le troisième faux débat économique altérant la discussion scient</w:t>
      </w:r>
      <w:r w:rsidRPr="004B2498">
        <w:rPr>
          <w:lang w:eastAsia="fr-FR" w:bidi="fr-FR"/>
        </w:rPr>
        <w:t>i</w:t>
      </w:r>
      <w:r w:rsidRPr="004B2498">
        <w:rPr>
          <w:lang w:eastAsia="fr-FR" w:bidi="fr-FR"/>
        </w:rPr>
        <w:t>fique autour des crises financières concerne enfin la critique de l’intermédiation bancaire classique et l’éloge appuyé de la finance de marché (Tchang, 2008). Pour la clarté de l’exposé, il est utile de ra</w:t>
      </w:r>
      <w:r w:rsidRPr="004B2498">
        <w:rPr>
          <w:lang w:eastAsia="fr-FR" w:bidi="fr-FR"/>
        </w:rPr>
        <w:t>p</w:t>
      </w:r>
      <w:r w:rsidRPr="004B2498">
        <w:rPr>
          <w:lang w:eastAsia="fr-FR" w:bidi="fr-FR"/>
        </w:rPr>
        <w:t>peler brièvement les deux avantages principaux que l’on a longtemps imputés à l’essor rapide de marchés parfaits et dépourvus d’asymétries d’information dans un contexte porteur de globalisation généralisée :</w:t>
      </w:r>
    </w:p>
    <w:p w14:paraId="12464918" w14:textId="77777777" w:rsidR="002F4063" w:rsidRDefault="002F4063" w:rsidP="002F4063">
      <w:pPr>
        <w:spacing w:before="120" w:after="120"/>
        <w:jc w:val="both"/>
        <w:rPr>
          <w:lang w:eastAsia="fr-FR" w:bidi="fr-FR"/>
        </w:rPr>
      </w:pPr>
    </w:p>
    <w:p w14:paraId="2D6EE640" w14:textId="77777777" w:rsidR="002F4063" w:rsidRPr="004B2498" w:rsidRDefault="002F4063" w:rsidP="002F4063">
      <w:pPr>
        <w:spacing w:before="120" w:after="120"/>
        <w:ind w:left="720" w:hanging="360"/>
        <w:jc w:val="both"/>
      </w:pPr>
      <w:r>
        <w:rPr>
          <w:lang w:eastAsia="fr-FR" w:bidi="fr-FR"/>
        </w:rPr>
        <w:t>1.</w:t>
      </w:r>
      <w:r>
        <w:rPr>
          <w:lang w:eastAsia="fr-FR" w:bidi="fr-FR"/>
        </w:rPr>
        <w:tab/>
      </w:r>
      <w:r w:rsidRPr="004B2498">
        <w:rPr>
          <w:lang w:eastAsia="fr-FR" w:bidi="fr-FR"/>
        </w:rPr>
        <w:t>Une concurrence plus vive entre les multiples apporteurs de c</w:t>
      </w:r>
      <w:r w:rsidRPr="004B2498">
        <w:rPr>
          <w:lang w:eastAsia="fr-FR" w:bidi="fr-FR"/>
        </w:rPr>
        <w:t>a</w:t>
      </w:r>
      <w:r w:rsidRPr="004B2498">
        <w:rPr>
          <w:lang w:eastAsia="fr-FR" w:bidi="fr-FR"/>
        </w:rPr>
        <w:t>p</w:t>
      </w:r>
      <w:r w:rsidRPr="004B2498">
        <w:rPr>
          <w:lang w:eastAsia="fr-FR" w:bidi="fr-FR"/>
        </w:rPr>
        <w:t>i</w:t>
      </w:r>
      <w:r w:rsidRPr="004B2498">
        <w:rPr>
          <w:lang w:eastAsia="fr-FR" w:bidi="fr-FR"/>
        </w:rPr>
        <w:t>taux impliquerait un financement à moindre coût ;</w:t>
      </w:r>
    </w:p>
    <w:p w14:paraId="1283F880" w14:textId="77777777" w:rsidR="002F4063" w:rsidRPr="004B2498" w:rsidRDefault="002F4063" w:rsidP="002F4063">
      <w:pPr>
        <w:spacing w:before="120" w:after="120"/>
        <w:ind w:left="720" w:hanging="360"/>
        <w:jc w:val="both"/>
      </w:pPr>
      <w:r>
        <w:rPr>
          <w:lang w:eastAsia="fr-FR" w:bidi="fr-FR"/>
        </w:rPr>
        <w:t>2.</w:t>
      </w:r>
      <w:r>
        <w:rPr>
          <w:lang w:eastAsia="fr-FR" w:bidi="fr-FR"/>
        </w:rPr>
        <w:tab/>
      </w:r>
      <w:r w:rsidRPr="004B2498">
        <w:rPr>
          <w:lang w:eastAsia="fr-FR" w:bidi="fr-FR"/>
        </w:rPr>
        <w:t>De même, une concurrence renforcée éliminerait l’existence d’ententes tacites au sein de la finance intermédiée (banques) en ra</w:t>
      </w:r>
      <w:r w:rsidRPr="004B2498">
        <w:rPr>
          <w:lang w:eastAsia="fr-FR" w:bidi="fr-FR"/>
        </w:rPr>
        <w:t>i</w:t>
      </w:r>
      <w:r w:rsidRPr="004B2498">
        <w:rPr>
          <w:lang w:eastAsia="fr-FR" w:bidi="fr-FR"/>
        </w:rPr>
        <w:t>son de son opacité avérée.</w:t>
      </w:r>
    </w:p>
    <w:p w14:paraId="6BE0F268" w14:textId="77777777" w:rsidR="002F4063" w:rsidRPr="004B2498" w:rsidRDefault="002F4063" w:rsidP="002F4063">
      <w:pPr>
        <w:spacing w:before="120" w:after="120"/>
        <w:jc w:val="both"/>
      </w:pPr>
    </w:p>
    <w:p w14:paraId="2FC06A8E" w14:textId="77777777" w:rsidR="002F4063" w:rsidRPr="004B2498" w:rsidRDefault="002F4063" w:rsidP="002F4063">
      <w:pPr>
        <w:spacing w:before="120" w:after="120"/>
        <w:jc w:val="both"/>
      </w:pPr>
      <w:r w:rsidRPr="004B2498">
        <w:t>[34]</w:t>
      </w:r>
    </w:p>
    <w:p w14:paraId="03C49D49" w14:textId="77777777" w:rsidR="002F4063" w:rsidRPr="004B2498" w:rsidRDefault="002F4063" w:rsidP="002F4063">
      <w:pPr>
        <w:spacing w:before="120" w:after="120"/>
        <w:jc w:val="both"/>
      </w:pPr>
      <w:r w:rsidRPr="004B2498">
        <w:rPr>
          <w:lang w:eastAsia="fr-FR" w:bidi="fr-FR"/>
        </w:rPr>
        <w:t>Les discours dithyrambiques louant les performances spectacula</w:t>
      </w:r>
      <w:r w:rsidRPr="004B2498">
        <w:rPr>
          <w:lang w:eastAsia="fr-FR" w:bidi="fr-FR"/>
        </w:rPr>
        <w:t>i</w:t>
      </w:r>
      <w:r w:rsidRPr="004B2498">
        <w:rPr>
          <w:lang w:eastAsia="fr-FR" w:bidi="fr-FR"/>
        </w:rPr>
        <w:t>res de la finance de marché ont été malheureusement contredits par une succession de dérives et de scandales financiers révélés pendant le long déroulement de la crise de 2007-2008. Cette fin tragique s’avérait prévisible dans la mesure où les termes de la problématique étaient dès le départ biaisés par le simple fait de considérer sépar</w:t>
      </w:r>
      <w:r w:rsidRPr="004B2498">
        <w:rPr>
          <w:lang w:eastAsia="fr-FR" w:bidi="fr-FR"/>
        </w:rPr>
        <w:t>é</w:t>
      </w:r>
      <w:r w:rsidRPr="004B2498">
        <w:rPr>
          <w:lang w:eastAsia="fr-FR" w:bidi="fr-FR"/>
        </w:rPr>
        <w:t>ment les deux formes de financement. Un tel cloisonnement formel a été infirmé par la pratique même des banques qui ont investi, aidé à placer des actions et des obligations risquées sur les marchés (Tchang, 2008). Bien évidemment en étant juges et parties afin d’intervenir p</w:t>
      </w:r>
      <w:r w:rsidRPr="004B2498">
        <w:rPr>
          <w:lang w:eastAsia="fr-FR" w:bidi="fr-FR"/>
        </w:rPr>
        <w:t>é</w:t>
      </w:r>
      <w:r w:rsidRPr="004B2498">
        <w:rPr>
          <w:lang w:eastAsia="fr-FR" w:bidi="fr-FR"/>
        </w:rPr>
        <w:t>cuniairement (commissions) dans les modes d’évaluation des actifs financiers engagés. En d’autres termes, ce que la crise récente a dévo</w:t>
      </w:r>
      <w:r w:rsidRPr="004B2498">
        <w:rPr>
          <w:lang w:eastAsia="fr-FR" w:bidi="fr-FR"/>
        </w:rPr>
        <w:t>i</w:t>
      </w:r>
      <w:r w:rsidRPr="004B2498">
        <w:rPr>
          <w:lang w:eastAsia="fr-FR" w:bidi="fr-FR"/>
        </w:rPr>
        <w:t>lé avec netteté, c’est au contraire une imbrication constante des ma</w:t>
      </w:r>
      <w:r w:rsidRPr="004B2498">
        <w:rPr>
          <w:lang w:eastAsia="fr-FR" w:bidi="fr-FR"/>
        </w:rPr>
        <w:t>r</w:t>
      </w:r>
      <w:r w:rsidRPr="004B2498">
        <w:rPr>
          <w:lang w:eastAsia="fr-FR" w:bidi="fr-FR"/>
        </w:rPr>
        <w:t>chés et des banques dont les comportements imprudents reposaient en définitive sur des profits d’initiés (Attali, 2009) : les agents financiers étaient en effet les dépositaires de données nombreuses et, en théorie confidentielles</w:t>
      </w:r>
      <w:r>
        <w:rPr>
          <w:lang w:eastAsia="fr-FR" w:bidi="fr-FR"/>
        </w:rPr>
        <w:t> </w:t>
      </w:r>
      <w:r>
        <w:rPr>
          <w:rStyle w:val="Appelnotedebasdep"/>
          <w:lang w:eastAsia="fr-FR" w:bidi="fr-FR"/>
        </w:rPr>
        <w:footnoteReference w:id="9"/>
      </w:r>
      <w:r w:rsidRPr="004B2498">
        <w:rPr>
          <w:lang w:eastAsia="fr-FR" w:bidi="fr-FR"/>
        </w:rPr>
        <w:t>, avec lesquelles ils étaient censés réaliser des inve</w:t>
      </w:r>
      <w:r w:rsidRPr="004B2498">
        <w:rPr>
          <w:lang w:eastAsia="fr-FR" w:bidi="fr-FR"/>
        </w:rPr>
        <w:t>s</w:t>
      </w:r>
      <w:r w:rsidRPr="004B2498">
        <w:rPr>
          <w:lang w:eastAsia="fr-FR" w:bidi="fr-FR"/>
        </w:rPr>
        <w:t>tissements boursiers et financiers transparents. Dans ces circonsta</w:t>
      </w:r>
      <w:r w:rsidRPr="004B2498">
        <w:rPr>
          <w:lang w:eastAsia="fr-FR" w:bidi="fr-FR"/>
        </w:rPr>
        <w:t>n</w:t>
      </w:r>
      <w:r w:rsidRPr="004B2498">
        <w:rPr>
          <w:lang w:eastAsia="fr-FR" w:bidi="fr-FR"/>
        </w:rPr>
        <w:t>ces, la question de savoir quel type ou mode de financement s’avère optimal pour la pratique courante de la communauté financière d</w:t>
      </w:r>
      <w:r w:rsidRPr="004B2498">
        <w:rPr>
          <w:lang w:eastAsia="fr-FR" w:bidi="fr-FR"/>
        </w:rPr>
        <w:t>e</w:t>
      </w:r>
      <w:r w:rsidRPr="004B2498">
        <w:rPr>
          <w:lang w:eastAsia="fr-FR" w:bidi="fr-FR"/>
        </w:rPr>
        <w:t>vient irréductiblement académique et peu opérationnelle puisque d</w:t>
      </w:r>
      <w:r w:rsidRPr="004B2498">
        <w:rPr>
          <w:lang w:eastAsia="fr-FR" w:bidi="fr-FR"/>
        </w:rPr>
        <w:t>é</w:t>
      </w:r>
      <w:r w:rsidRPr="004B2498">
        <w:rPr>
          <w:lang w:eastAsia="fr-FR" w:bidi="fr-FR"/>
        </w:rPr>
        <w:t>pendant de représentations fictives de la réalité des affaires.</w:t>
      </w:r>
    </w:p>
    <w:p w14:paraId="28D2A8E0" w14:textId="77777777" w:rsidR="002F4063" w:rsidRDefault="002F4063" w:rsidP="002F4063">
      <w:pPr>
        <w:spacing w:before="120" w:after="120"/>
        <w:jc w:val="both"/>
        <w:rPr>
          <w:szCs w:val="24"/>
          <w:lang w:eastAsia="fr-FR" w:bidi="fr-FR"/>
        </w:rPr>
      </w:pPr>
    </w:p>
    <w:p w14:paraId="34A56B6C" w14:textId="77777777" w:rsidR="002F4063" w:rsidRPr="004B2498" w:rsidRDefault="002F4063" w:rsidP="002F4063">
      <w:pPr>
        <w:spacing w:before="120" w:after="120"/>
        <w:jc w:val="both"/>
        <w:rPr>
          <w:szCs w:val="24"/>
          <w:lang w:eastAsia="fr-FR" w:bidi="fr-FR"/>
        </w:rPr>
      </w:pPr>
    </w:p>
    <w:p w14:paraId="4916E41A" w14:textId="77777777" w:rsidR="002F4063" w:rsidRPr="004B2498" w:rsidRDefault="002F4063" w:rsidP="002F4063">
      <w:pPr>
        <w:pStyle w:val="a"/>
      </w:pPr>
      <w:r w:rsidRPr="004B2498">
        <w:t>Un paradigme se meurt, un autre va-t-il naître ?</w:t>
      </w:r>
    </w:p>
    <w:p w14:paraId="0E39996F" w14:textId="77777777" w:rsidR="002F4063" w:rsidRPr="004B2498" w:rsidRDefault="002F4063" w:rsidP="002F4063">
      <w:pPr>
        <w:spacing w:before="120" w:after="120"/>
        <w:jc w:val="both"/>
        <w:rPr>
          <w:lang w:eastAsia="fr-FR" w:bidi="fr-FR"/>
        </w:rPr>
      </w:pPr>
    </w:p>
    <w:p w14:paraId="52BFDE96" w14:textId="77777777" w:rsidR="002F4063" w:rsidRPr="004B2498" w:rsidRDefault="002F4063" w:rsidP="002F4063">
      <w:pPr>
        <w:spacing w:before="120" w:after="120"/>
        <w:jc w:val="both"/>
      </w:pPr>
      <w:r w:rsidRPr="004B2498">
        <w:rPr>
          <w:lang w:eastAsia="fr-FR" w:bidi="fr-FR"/>
        </w:rPr>
        <w:t>Nous l’avons montré, le contenu du paradigme dominant de la gl</w:t>
      </w:r>
      <w:r w:rsidRPr="004B2498">
        <w:rPr>
          <w:lang w:eastAsia="fr-FR" w:bidi="fr-FR"/>
        </w:rPr>
        <w:t>o</w:t>
      </w:r>
      <w:r w:rsidRPr="004B2498">
        <w:rPr>
          <w:lang w:eastAsia="fr-FR" w:bidi="fr-FR"/>
        </w:rPr>
        <w:t>balisation ne nous éclaire nullement sur la formation de bulles de n</w:t>
      </w:r>
      <w:r w:rsidRPr="004B2498">
        <w:rPr>
          <w:lang w:eastAsia="fr-FR" w:bidi="fr-FR"/>
        </w:rPr>
        <w:t>a</w:t>
      </w:r>
      <w:r w:rsidRPr="004B2498">
        <w:rPr>
          <w:lang w:eastAsia="fr-FR" w:bidi="fr-FR"/>
        </w:rPr>
        <w:t>ture diverse, sur l’inflation incontrôlée des produits financiers... le</w:t>
      </w:r>
      <w:r w:rsidRPr="004B2498">
        <w:rPr>
          <w:lang w:eastAsia="fr-FR" w:bidi="fr-FR"/>
        </w:rPr>
        <w:t>s</w:t>
      </w:r>
      <w:r w:rsidRPr="004B2498">
        <w:rPr>
          <w:lang w:eastAsia="fr-FR" w:bidi="fr-FR"/>
        </w:rPr>
        <w:t>quels sont autant de signaux d’alerte de la gestation future de crises de la finance. Des quatre piliers </w:t>
      </w:r>
      <w:r>
        <w:rPr>
          <w:rStyle w:val="Appelnotedebasdep"/>
          <w:lang w:eastAsia="fr-FR" w:bidi="fr-FR"/>
        </w:rPr>
        <w:footnoteReference w:id="10"/>
      </w:r>
      <w:r w:rsidRPr="004B2498">
        <w:rPr>
          <w:lang w:eastAsia="fr-FR" w:bidi="fr-FR"/>
        </w:rPr>
        <w:t xml:space="preserve"> composant l’idéologie néolibérale, aucun ne semble bien résister à la preuve cruelle du dernier catacly</w:t>
      </w:r>
      <w:r w:rsidRPr="004B2498">
        <w:rPr>
          <w:lang w:eastAsia="fr-FR" w:bidi="fr-FR"/>
        </w:rPr>
        <w:t>s</w:t>
      </w:r>
      <w:r w:rsidRPr="004B2498">
        <w:rPr>
          <w:lang w:eastAsia="fr-FR" w:bidi="fr-FR"/>
        </w:rPr>
        <w:t>me financier. Les caractéristiques actuelles du système sous perfusion ét</w:t>
      </w:r>
      <w:r w:rsidRPr="004B2498">
        <w:rPr>
          <w:lang w:eastAsia="fr-FR" w:bidi="fr-FR"/>
        </w:rPr>
        <w:t>a</w:t>
      </w:r>
      <w:r w:rsidRPr="004B2498">
        <w:rPr>
          <w:lang w:eastAsia="fr-FR" w:bidi="fr-FR"/>
        </w:rPr>
        <w:t>tique dessinent en filigrane un panorama assez éloigné des chromos de la globalisation « heureuse », pour établir à l’inverse un diagnostic contrasté de ses performances :</w:t>
      </w:r>
    </w:p>
    <w:p w14:paraId="25CB013A" w14:textId="77777777" w:rsidR="002F4063" w:rsidRPr="004B2498" w:rsidRDefault="002F4063" w:rsidP="002F4063">
      <w:pPr>
        <w:spacing w:before="120" w:after="120"/>
        <w:jc w:val="both"/>
      </w:pPr>
      <w:r w:rsidRPr="004B2498">
        <w:rPr>
          <w:lang w:eastAsia="fr-FR" w:bidi="fr-FR"/>
        </w:rPr>
        <w:t>Le décloisonnement ainsi que la levée des barrières à l’entrée des marchés, au lieu d’une diversification attendue des opportunités d’investissement industriel, ont conduit tout d’abord à un recentrage</w:t>
      </w:r>
      <w:r>
        <w:t xml:space="preserve"> </w:t>
      </w:r>
      <w:r w:rsidRPr="004B2498">
        <w:t>[35]</w:t>
      </w:r>
      <w:r>
        <w:t xml:space="preserve"> </w:t>
      </w:r>
      <w:r w:rsidRPr="004B2498">
        <w:rPr>
          <w:lang w:eastAsia="fr-FR" w:bidi="fr-FR"/>
        </w:rPr>
        <w:t>généralisé de l’activité financière sur les segments les plus lucr</w:t>
      </w:r>
      <w:r w:rsidRPr="004B2498">
        <w:rPr>
          <w:lang w:eastAsia="fr-FR" w:bidi="fr-FR"/>
        </w:rPr>
        <w:t>a</w:t>
      </w:r>
      <w:r w:rsidRPr="004B2498">
        <w:rPr>
          <w:lang w:eastAsia="fr-FR" w:bidi="fr-FR"/>
        </w:rPr>
        <w:t>tifs : le domaine des fusions acquisitions et celui de la restructuration des fonds spéculatifs. Deux champs d’investissement aujourd’hui en plein essor dans la mesure où ils ont été épargnés par la vague des t</w:t>
      </w:r>
      <w:r w:rsidRPr="004B2498">
        <w:rPr>
          <w:lang w:eastAsia="fr-FR" w:bidi="fr-FR"/>
        </w:rPr>
        <w:t>i</w:t>
      </w:r>
      <w:r w:rsidRPr="004B2498">
        <w:rPr>
          <w:lang w:eastAsia="fr-FR" w:bidi="fr-FR"/>
        </w:rPr>
        <w:t>mides réformes financières postcrise qui s’est réduite à de nouvelles normes de contrôle du fonctionnement des établissements bancaires et des marchés organisés.</w:t>
      </w:r>
    </w:p>
    <w:p w14:paraId="77FAD4A6" w14:textId="77777777" w:rsidR="002F4063" w:rsidRPr="004B2498" w:rsidRDefault="002F4063" w:rsidP="002F4063">
      <w:pPr>
        <w:spacing w:before="120" w:after="120"/>
        <w:jc w:val="both"/>
      </w:pPr>
      <w:r w:rsidRPr="004B2498">
        <w:rPr>
          <w:lang w:eastAsia="fr-FR" w:bidi="fr-FR"/>
        </w:rPr>
        <w:t>Dans le même sens, le développement rapide des échanges mo</w:t>
      </w:r>
      <w:r w:rsidRPr="004B2498">
        <w:rPr>
          <w:lang w:eastAsia="fr-FR" w:bidi="fr-FR"/>
        </w:rPr>
        <w:t>n</w:t>
      </w:r>
      <w:r w:rsidRPr="004B2498">
        <w:rPr>
          <w:lang w:eastAsia="fr-FR" w:bidi="fr-FR"/>
        </w:rPr>
        <w:t>diaux n’a ensuite pas aboli les rapports de force entre économies n</w:t>
      </w:r>
      <w:r w:rsidRPr="004B2498">
        <w:rPr>
          <w:lang w:eastAsia="fr-FR" w:bidi="fr-FR"/>
        </w:rPr>
        <w:t>a</w:t>
      </w:r>
      <w:r w:rsidRPr="004B2498">
        <w:rPr>
          <w:lang w:eastAsia="fr-FR" w:bidi="fr-FR"/>
        </w:rPr>
        <w:t>tionales de croissance inégale contribuant à l’instabilité financière r</w:t>
      </w:r>
      <w:r w:rsidRPr="004B2498">
        <w:rPr>
          <w:lang w:eastAsia="fr-FR" w:bidi="fr-FR"/>
        </w:rPr>
        <w:t>é</w:t>
      </w:r>
      <w:r w:rsidRPr="004B2498">
        <w:rPr>
          <w:lang w:eastAsia="fr-FR" w:bidi="fr-FR"/>
        </w:rPr>
        <w:t>currente du capitalisme globalisé. Ainsi, les constantes rivalités co</w:t>
      </w:r>
      <w:r w:rsidRPr="004B2498">
        <w:rPr>
          <w:lang w:eastAsia="fr-FR" w:bidi="fr-FR"/>
        </w:rPr>
        <w:t>m</w:t>
      </w:r>
      <w:r w:rsidRPr="004B2498">
        <w:rPr>
          <w:lang w:eastAsia="fr-FR" w:bidi="fr-FR"/>
        </w:rPr>
        <w:t>merciales, financières et monétaires entre superpuissances ou blocs régionaux (Chine/USA, Europe/ASEAN par exemple) traduisent non seulement le déplacement géographique des centres mondiaux de pouvoir économique vers d’autres zones plus attractives mais renfo</w:t>
      </w:r>
      <w:r w:rsidRPr="004B2498">
        <w:rPr>
          <w:lang w:eastAsia="fr-FR" w:bidi="fr-FR"/>
        </w:rPr>
        <w:t>r</w:t>
      </w:r>
      <w:r w:rsidRPr="004B2498">
        <w:rPr>
          <w:lang w:eastAsia="fr-FR" w:bidi="fr-FR"/>
        </w:rPr>
        <w:t>cent l’incertitude présente autour de la nature du futur leadership de la planète : domination exclusive d’une ou plusieurs superpuissances, division entre plusieurs blocs régionaux, associations souples entre superpuissances et régions émergentes, etc.</w:t>
      </w:r>
    </w:p>
    <w:p w14:paraId="6CBCE88D" w14:textId="77777777" w:rsidR="002F4063" w:rsidRPr="004B2498" w:rsidRDefault="002F4063" w:rsidP="002F4063">
      <w:pPr>
        <w:spacing w:before="120" w:after="120"/>
        <w:jc w:val="both"/>
      </w:pPr>
      <w:r w:rsidRPr="004B2498">
        <w:rPr>
          <w:lang w:eastAsia="fr-FR" w:bidi="fr-FR"/>
        </w:rPr>
        <w:t>De plus, la question de l’information financière, que la théorie néoclassique évacuait rapidement en la présupposant reflétée à tout moment par les prix des actifs échangés sur le marché, continue à être l’inconnue irréfragable sur laquelle butent en permanence tant les a</w:t>
      </w:r>
      <w:r w:rsidRPr="004B2498">
        <w:rPr>
          <w:lang w:eastAsia="fr-FR" w:bidi="fr-FR"/>
        </w:rPr>
        <w:t>u</w:t>
      </w:r>
      <w:r w:rsidRPr="004B2498">
        <w:rPr>
          <w:lang w:eastAsia="fr-FR" w:bidi="fr-FR"/>
        </w:rPr>
        <w:t>torités politiques les plus hautes que les organismes de supervision. Le dogme de l’information accessible à tout moment et fiable règne enc</w:t>
      </w:r>
      <w:r w:rsidRPr="004B2498">
        <w:rPr>
          <w:lang w:eastAsia="fr-FR" w:bidi="fr-FR"/>
        </w:rPr>
        <w:t>o</w:t>
      </w:r>
      <w:r w:rsidRPr="004B2498">
        <w:rPr>
          <w:lang w:eastAsia="fr-FR" w:bidi="fr-FR"/>
        </w:rPr>
        <w:t>re puisque, selon la rhétorique de la transparence, les cabinets d’audit ou d’expertise comptable, les agences de notation, grâce à la certific</w:t>
      </w:r>
      <w:r w:rsidRPr="004B2498">
        <w:rPr>
          <w:lang w:eastAsia="fr-FR" w:bidi="fr-FR"/>
        </w:rPr>
        <w:t>a</w:t>
      </w:r>
      <w:r w:rsidRPr="004B2498">
        <w:rPr>
          <w:lang w:eastAsia="fr-FR" w:bidi="fr-FR"/>
        </w:rPr>
        <w:t>tion et qualification des comptes, accomplissent leur travail scrup</w:t>
      </w:r>
      <w:r w:rsidRPr="004B2498">
        <w:rPr>
          <w:lang w:eastAsia="fr-FR" w:bidi="fr-FR"/>
        </w:rPr>
        <w:t>u</w:t>
      </w:r>
      <w:r w:rsidRPr="004B2498">
        <w:rPr>
          <w:lang w:eastAsia="fr-FR" w:bidi="fr-FR"/>
        </w:rPr>
        <w:t>leusement pour le plus grand profit des actionnaires, des investisseurs et des marchés. Est-il besoin de souligner que les fraudes les plus i</w:t>
      </w:r>
      <w:r w:rsidRPr="004B2498">
        <w:rPr>
          <w:lang w:eastAsia="fr-FR" w:bidi="fr-FR"/>
        </w:rPr>
        <w:t>m</w:t>
      </w:r>
      <w:r w:rsidRPr="004B2498">
        <w:rPr>
          <w:lang w:eastAsia="fr-FR" w:bidi="fr-FR"/>
        </w:rPr>
        <w:t>portantes de la dernière crise ont été couvertes par des cabinets d’audit ou d’expertise à la réputation internationale impeccable ? À moins de nier l’évidence, il est clair que la théorie pèche énormément en ce qui concerne le contenu et le contrôle de l’information produite par le marché.</w:t>
      </w:r>
    </w:p>
    <w:p w14:paraId="263259FE" w14:textId="77777777" w:rsidR="002F4063" w:rsidRPr="004B2498" w:rsidRDefault="002F4063" w:rsidP="002F4063">
      <w:pPr>
        <w:spacing w:before="120" w:after="120"/>
        <w:jc w:val="both"/>
      </w:pPr>
      <w:r w:rsidRPr="004B2498">
        <w:rPr>
          <w:lang w:eastAsia="fr-FR" w:bidi="fr-FR"/>
        </w:rPr>
        <w:t>Comme les plans et les mesures anticrise récents l’ont concrèt</w:t>
      </w:r>
      <w:r w:rsidRPr="004B2498">
        <w:rPr>
          <w:lang w:eastAsia="fr-FR" w:bidi="fr-FR"/>
        </w:rPr>
        <w:t>e</w:t>
      </w:r>
      <w:r w:rsidRPr="004B2498">
        <w:rPr>
          <w:lang w:eastAsia="fr-FR" w:bidi="fr-FR"/>
        </w:rPr>
        <w:t>ment confirmé, la dérégulation n’a été en fait qu’une formule polit</w:t>
      </w:r>
      <w:r w:rsidRPr="004B2498">
        <w:rPr>
          <w:lang w:eastAsia="fr-FR" w:bidi="fr-FR"/>
        </w:rPr>
        <w:t>i</w:t>
      </w:r>
      <w:r w:rsidRPr="004B2498">
        <w:rPr>
          <w:lang w:eastAsia="fr-FR" w:bidi="fr-FR"/>
        </w:rPr>
        <w:t>que et économique renouvelée de régulation privée de l’État (Padis, 2008) : la thèse de son soi-disant retrait traduisait en réalité l’introduction progressive des règles de fonctionnement de l’économie marchande dans l’ensemble des appareils étatiques... On ne peut co</w:t>
      </w:r>
      <w:r w:rsidRPr="004B2498">
        <w:rPr>
          <w:lang w:eastAsia="fr-FR" w:bidi="fr-FR"/>
        </w:rPr>
        <w:t>m</w:t>
      </w:r>
      <w:r w:rsidRPr="004B2498">
        <w:rPr>
          <w:lang w:eastAsia="fr-FR" w:bidi="fr-FR"/>
        </w:rPr>
        <w:t>prendre en effet l’efficacité de la résilience du dernier sauvetage f</w:t>
      </w:r>
      <w:r w:rsidRPr="004B2498">
        <w:rPr>
          <w:lang w:eastAsia="fr-FR" w:bidi="fr-FR"/>
        </w:rPr>
        <w:t>i</w:t>
      </w:r>
      <w:r w:rsidRPr="004B2498">
        <w:rPr>
          <w:lang w:eastAsia="fr-FR" w:bidi="fr-FR"/>
        </w:rPr>
        <w:t>nancier d’orientation néolibérale que si l’on admet que les outils et les techniques de mobilisation des ressources étaient déjà présents, prêts à servir - tant les pouvoirs publics que les décideurs privés. Il n’y eut donc aucune dissonance cognitive entre les élites politiques</w:t>
      </w:r>
      <w:r>
        <w:t xml:space="preserve"> </w:t>
      </w:r>
      <w:r w:rsidRPr="004B2498">
        <w:t>[36]</w:t>
      </w:r>
      <w:r>
        <w:t xml:space="preserve"> </w:t>
      </w:r>
      <w:r w:rsidRPr="004B2498">
        <w:rPr>
          <w:lang w:eastAsia="fr-FR" w:bidi="fr-FR"/>
        </w:rPr>
        <w:t>et le milieu des affaires parce que leur langage était commun, leur compr</w:t>
      </w:r>
      <w:r w:rsidRPr="004B2498">
        <w:rPr>
          <w:lang w:eastAsia="fr-FR" w:bidi="fr-FR"/>
        </w:rPr>
        <w:t>é</w:t>
      </w:r>
      <w:r w:rsidRPr="004B2498">
        <w:rPr>
          <w:lang w:eastAsia="fr-FR" w:bidi="fr-FR"/>
        </w:rPr>
        <w:t>hension mutuelle face à la nécessité impérieuse d’éviter la contagion de l’instabilité financière à l’ensemble du système.</w:t>
      </w:r>
    </w:p>
    <w:p w14:paraId="74B326FC" w14:textId="77777777" w:rsidR="002F4063" w:rsidRPr="004B2498" w:rsidRDefault="002F4063" w:rsidP="002F4063">
      <w:pPr>
        <w:spacing w:before="120" w:after="120"/>
        <w:jc w:val="both"/>
      </w:pPr>
      <w:r w:rsidRPr="004B2498">
        <w:rPr>
          <w:lang w:eastAsia="fr-FR" w:bidi="fr-FR"/>
        </w:rPr>
        <w:t>Une des principales leçons de la dernière crise résiderait final</w:t>
      </w:r>
      <w:r w:rsidRPr="004B2498">
        <w:rPr>
          <w:lang w:eastAsia="fr-FR" w:bidi="fr-FR"/>
        </w:rPr>
        <w:t>e</w:t>
      </w:r>
      <w:r w:rsidRPr="004B2498">
        <w:rPr>
          <w:lang w:eastAsia="fr-FR" w:bidi="fr-FR"/>
        </w:rPr>
        <w:t>ment dans sa force d’annonce d’épuisement d’un paradigme par d</w:t>
      </w:r>
      <w:r w:rsidRPr="004B2498">
        <w:rPr>
          <w:lang w:eastAsia="fr-FR" w:bidi="fr-FR"/>
        </w:rPr>
        <w:t>é</w:t>
      </w:r>
      <w:r w:rsidRPr="004B2498">
        <w:rPr>
          <w:lang w:eastAsia="fr-FR" w:bidi="fr-FR"/>
        </w:rPr>
        <w:t>voilement des nombreuses fragilités des interdépendances entre la f</w:t>
      </w:r>
      <w:r w:rsidRPr="004B2498">
        <w:rPr>
          <w:lang w:eastAsia="fr-FR" w:bidi="fr-FR"/>
        </w:rPr>
        <w:t>i</w:t>
      </w:r>
      <w:r w:rsidRPr="004B2498">
        <w:rPr>
          <w:lang w:eastAsia="fr-FR" w:bidi="fr-FR"/>
        </w:rPr>
        <w:t>nance de marché et l'économie capitaliste mondialisée. S’il s’agit de la fin d’un mode spécifique d’accumulation du capital lié à la phase f</w:t>
      </w:r>
      <w:r w:rsidRPr="004B2498">
        <w:rPr>
          <w:lang w:eastAsia="fr-FR" w:bidi="fr-FR"/>
        </w:rPr>
        <w:t>i</w:t>
      </w:r>
      <w:r w:rsidRPr="004B2498">
        <w:rPr>
          <w:lang w:eastAsia="fr-FR" w:bidi="fr-FR"/>
        </w:rPr>
        <w:t>nancière de la globalisation, une telle mutation fondamentale ouvrirait précisément des perspectives de discussion au sein même de la disc</w:t>
      </w:r>
      <w:r w:rsidRPr="004B2498">
        <w:rPr>
          <w:lang w:eastAsia="fr-FR" w:bidi="fr-FR"/>
        </w:rPr>
        <w:t>i</w:t>
      </w:r>
      <w:r w:rsidRPr="004B2498">
        <w:rPr>
          <w:lang w:eastAsia="fr-FR" w:bidi="fr-FR"/>
        </w:rPr>
        <w:t>pline économique autour de la redistribution des rapports de force dans l’entreprise.</w:t>
      </w:r>
    </w:p>
    <w:p w14:paraId="17EB76DA" w14:textId="77777777" w:rsidR="002F4063" w:rsidRPr="004B2498" w:rsidRDefault="002F4063" w:rsidP="002F4063">
      <w:pPr>
        <w:spacing w:before="120" w:after="120"/>
        <w:jc w:val="both"/>
        <w:rPr>
          <w:szCs w:val="24"/>
          <w:lang w:eastAsia="fr-FR" w:bidi="fr-FR"/>
        </w:rPr>
      </w:pPr>
    </w:p>
    <w:p w14:paraId="3F3B52DA" w14:textId="77777777" w:rsidR="002F4063" w:rsidRPr="004B2498" w:rsidRDefault="002F4063" w:rsidP="002F4063">
      <w:pPr>
        <w:pStyle w:val="a"/>
      </w:pPr>
      <w:r w:rsidRPr="004B2498">
        <w:t>L’hyperliquidité contempor</w:t>
      </w:r>
      <w:r>
        <w:t>aine</w:t>
      </w:r>
      <w:r>
        <w:br/>
      </w:r>
      <w:r w:rsidRPr="004B2498">
        <w:t>comme paradigme alternatif</w:t>
      </w:r>
    </w:p>
    <w:p w14:paraId="61E63DE0" w14:textId="77777777" w:rsidR="002F4063" w:rsidRPr="004B2498" w:rsidRDefault="002F4063" w:rsidP="002F4063">
      <w:pPr>
        <w:spacing w:before="120" w:after="120"/>
        <w:jc w:val="both"/>
        <w:rPr>
          <w:lang w:eastAsia="fr-FR" w:bidi="fr-FR"/>
        </w:rPr>
      </w:pPr>
    </w:p>
    <w:p w14:paraId="58E09B8E" w14:textId="77777777" w:rsidR="002F4063" w:rsidRPr="004B2498" w:rsidRDefault="002F4063" w:rsidP="002F4063">
      <w:pPr>
        <w:spacing w:before="120" w:after="120"/>
        <w:jc w:val="both"/>
      </w:pPr>
      <w:r w:rsidRPr="004B2498">
        <w:rPr>
          <w:lang w:eastAsia="fr-FR" w:bidi="fr-FR"/>
        </w:rPr>
        <w:t>Jusqu’en août 2007, nous pensions que le monde économique et financier se caractérisait par une liquidité abondante ne connaissant aucune interruption en termes d’approvisionnement (fluidité, volume). Plusieurs évènements ponctuels tels que des gels internes (suspension des crédits interbancaires) ou des pénuries externes (illiquidités des titres financiers) aux conséquences dévastatrices, sont venus toutefois infirmer empiriquement la vision idyllique antérieure que véhiculait la théorie orthodoxe. En « impensant » la liquidité comme moteur fo</w:t>
      </w:r>
      <w:r w:rsidRPr="004B2498">
        <w:rPr>
          <w:lang w:eastAsia="fr-FR" w:bidi="fr-FR"/>
        </w:rPr>
        <w:t>n</w:t>
      </w:r>
      <w:r w:rsidRPr="004B2498">
        <w:rPr>
          <w:lang w:eastAsia="fr-FR" w:bidi="fr-FR"/>
        </w:rPr>
        <w:t>damental du fonctionnement harmonieux des marchés, ce courant de pensée a sous-estimé l’importance de l’interaction des différentes formes d’illiquidité de marché et de financement dans la genèse des crises financières (Gréau, 2008).</w:t>
      </w:r>
    </w:p>
    <w:p w14:paraId="3BBC86FB" w14:textId="77777777" w:rsidR="002F4063" w:rsidRPr="004B2498" w:rsidRDefault="002F4063" w:rsidP="002F4063">
      <w:pPr>
        <w:spacing w:before="120" w:after="120"/>
        <w:jc w:val="both"/>
      </w:pPr>
      <w:r w:rsidRPr="004B2498">
        <w:rPr>
          <w:lang w:eastAsia="fr-FR" w:bidi="fr-FR"/>
        </w:rPr>
        <w:t>Cet oubli de la liquidité s’avère d’autant plus surprenant qu’une lecture a posteriori des crises du passé, du krach de 1987 en passant par la crise des pays asiatiques jusqu’à celle des nouvelles technol</w:t>
      </w:r>
      <w:r w:rsidRPr="004B2498">
        <w:rPr>
          <w:lang w:eastAsia="fr-FR" w:bidi="fr-FR"/>
        </w:rPr>
        <w:t>o</w:t>
      </w:r>
      <w:r w:rsidRPr="004B2498">
        <w:rPr>
          <w:lang w:eastAsia="fr-FR" w:bidi="fr-FR"/>
        </w:rPr>
        <w:t>gies de communication aux États-Unis (2001), incite plutôt à les réi</w:t>
      </w:r>
      <w:r w:rsidRPr="004B2498">
        <w:rPr>
          <w:lang w:eastAsia="fr-FR" w:bidi="fr-FR"/>
        </w:rPr>
        <w:t>n</w:t>
      </w:r>
      <w:r w:rsidRPr="004B2498">
        <w:rPr>
          <w:lang w:eastAsia="fr-FR" w:bidi="fr-FR"/>
        </w:rPr>
        <w:t>terpréter, à les analyser aujourd’hui comme de véritables crises de l</w:t>
      </w:r>
      <w:r w:rsidRPr="004B2498">
        <w:rPr>
          <w:lang w:eastAsia="fr-FR" w:bidi="fr-FR"/>
        </w:rPr>
        <w:t>i</w:t>
      </w:r>
      <w:r w:rsidRPr="004B2498">
        <w:rPr>
          <w:lang w:eastAsia="fr-FR" w:bidi="fr-FR"/>
        </w:rPr>
        <w:t>quidité (Roubini N., Mihm S., 2010). Malgré le renforcement récent du rôle des banques centrales sous la forme d’injections massives de liquidités, il n’en demeure pas moins vrai que la titrisation financière, en se différenciant du mode classique de financement intermédié (banques), a pratiquement tari la source supérieure de création mon</w:t>
      </w:r>
      <w:r w:rsidRPr="004B2498">
        <w:rPr>
          <w:lang w:eastAsia="fr-FR" w:bidi="fr-FR"/>
        </w:rPr>
        <w:t>é</w:t>
      </w:r>
      <w:r w:rsidRPr="004B2498">
        <w:rPr>
          <w:lang w:eastAsia="fr-FR" w:bidi="fr-FR"/>
        </w:rPr>
        <w:t>taire qu’était la banque centrale.</w:t>
      </w:r>
    </w:p>
    <w:p w14:paraId="4A931058" w14:textId="77777777" w:rsidR="002F4063" w:rsidRPr="004B2498" w:rsidRDefault="002F4063" w:rsidP="002F4063">
      <w:pPr>
        <w:spacing w:before="120" w:after="120"/>
        <w:jc w:val="both"/>
      </w:pPr>
      <w:r w:rsidRPr="004B2498">
        <w:rPr>
          <w:lang w:eastAsia="fr-FR" w:bidi="fr-FR"/>
        </w:rPr>
        <w:t>Nous l’avons vu, la notion sous-jacente de « prêteur en dernier re</w:t>
      </w:r>
      <w:r w:rsidRPr="004B2498">
        <w:rPr>
          <w:lang w:eastAsia="fr-FR" w:bidi="fr-FR"/>
        </w:rPr>
        <w:t>s</w:t>
      </w:r>
      <w:r w:rsidRPr="004B2498">
        <w:rPr>
          <w:lang w:eastAsia="fr-FR" w:bidi="fr-FR"/>
        </w:rPr>
        <w:t>sort » auquel il est souvent recouru en ces circonstances soulève le problème de l’aléa moral et de ses effets délétères sur les comport</w:t>
      </w:r>
      <w:r w:rsidRPr="004B2498">
        <w:rPr>
          <w:lang w:eastAsia="fr-FR" w:bidi="fr-FR"/>
        </w:rPr>
        <w:t>e</w:t>
      </w:r>
      <w:r w:rsidRPr="004B2498">
        <w:rPr>
          <w:lang w:eastAsia="fr-FR" w:bidi="fr-FR"/>
        </w:rPr>
        <w:t>ments des agents financiers (Roubini, Mihm, 2010). Mais l’efficacité temporaire des réponses de politique économique prises dans l’urgence ne signifie nullement que le problème de la liquidité soit résolu dans la mesure où la théorie dominante - infirmée par les faits et mise en cause par plusieurs économistes -, de</w:t>
      </w:r>
      <w:r>
        <w:t xml:space="preserve"> </w:t>
      </w:r>
      <w:r w:rsidRPr="004B2498">
        <w:t>[37]</w:t>
      </w:r>
      <w:r>
        <w:t xml:space="preserve"> </w:t>
      </w:r>
      <w:r w:rsidRPr="004B2498">
        <w:rPr>
          <w:lang w:eastAsia="fr-FR" w:bidi="fr-FR"/>
        </w:rPr>
        <w:t>l’efficience i</w:t>
      </w:r>
      <w:r w:rsidRPr="004B2498">
        <w:rPr>
          <w:lang w:eastAsia="fr-FR" w:bidi="fr-FR"/>
        </w:rPr>
        <w:t>n</w:t>
      </w:r>
      <w:r w:rsidRPr="004B2498">
        <w:rPr>
          <w:lang w:eastAsia="fr-FR" w:bidi="fr-FR"/>
        </w:rPr>
        <w:t>formationnelle des marchés continue de prévaloir au sein de la co</w:t>
      </w:r>
      <w:r w:rsidRPr="004B2498">
        <w:rPr>
          <w:lang w:eastAsia="fr-FR" w:bidi="fr-FR"/>
        </w:rPr>
        <w:t>m</w:t>
      </w:r>
      <w:r w:rsidRPr="004B2498">
        <w:rPr>
          <w:lang w:eastAsia="fr-FR" w:bidi="fr-FR"/>
        </w:rPr>
        <w:t>munauté financière globalisée. Comme alternative épi</w:t>
      </w:r>
      <w:r w:rsidRPr="004B2498">
        <w:rPr>
          <w:lang w:eastAsia="fr-FR" w:bidi="fr-FR"/>
        </w:rPr>
        <w:t>s</w:t>
      </w:r>
      <w:r w:rsidRPr="004B2498">
        <w:rPr>
          <w:lang w:eastAsia="fr-FR" w:bidi="fr-FR"/>
        </w:rPr>
        <w:t>témologique, l’exposé d’une grille de lecture originale s’efforçant de renouveler la production de connaissances économiques sur les crises financières revêt ici une importance primordiale.</w:t>
      </w:r>
    </w:p>
    <w:p w14:paraId="06E6CC8D" w14:textId="77777777" w:rsidR="002F4063" w:rsidRPr="004B2498" w:rsidRDefault="002F4063" w:rsidP="002F4063">
      <w:pPr>
        <w:spacing w:before="120" w:after="120"/>
        <w:jc w:val="both"/>
      </w:pPr>
      <w:r w:rsidRPr="004B2498">
        <w:rPr>
          <w:lang w:eastAsia="fr-FR" w:bidi="fr-FR"/>
        </w:rPr>
        <w:t>Que la finance globalisée et la liquidité afférente participent d’un monde fluide, instable et aux valeurs changeantes (actions, oblig</w:t>
      </w:r>
      <w:r w:rsidRPr="004B2498">
        <w:rPr>
          <w:lang w:eastAsia="fr-FR" w:bidi="fr-FR"/>
        </w:rPr>
        <w:t>a</w:t>
      </w:r>
      <w:r w:rsidRPr="004B2498">
        <w:rPr>
          <w:lang w:eastAsia="fr-FR" w:bidi="fr-FR"/>
        </w:rPr>
        <w:t>tions, produits dérivés) a été analysé par plusieurs travaux théor</w:t>
      </w:r>
      <w:r w:rsidRPr="004B2498">
        <w:rPr>
          <w:lang w:eastAsia="fr-FR" w:bidi="fr-FR"/>
        </w:rPr>
        <w:t>i</w:t>
      </w:r>
      <w:r w:rsidRPr="004B2498">
        <w:rPr>
          <w:lang w:eastAsia="fr-FR" w:bidi="fr-FR"/>
        </w:rPr>
        <w:t>ques</w:t>
      </w:r>
      <w:r>
        <w:rPr>
          <w:lang w:eastAsia="fr-FR" w:bidi="fr-FR"/>
        </w:rPr>
        <w:t> </w:t>
      </w:r>
      <w:r>
        <w:rPr>
          <w:rStyle w:val="Appelnotedebasdep"/>
          <w:lang w:eastAsia="fr-FR" w:bidi="fr-FR"/>
        </w:rPr>
        <w:footnoteReference w:id="11"/>
      </w:r>
      <w:r w:rsidRPr="004B2498">
        <w:rPr>
          <w:lang w:eastAsia="fr-FR" w:bidi="fr-FR"/>
        </w:rPr>
        <w:t>. Il en ressort que la faculté de convertir à tout instant les titres fina</w:t>
      </w:r>
      <w:r w:rsidRPr="004B2498">
        <w:rPr>
          <w:lang w:eastAsia="fr-FR" w:bidi="fr-FR"/>
        </w:rPr>
        <w:t>n</w:t>
      </w:r>
      <w:r w:rsidRPr="004B2498">
        <w:rPr>
          <w:lang w:eastAsia="fr-FR" w:bidi="fr-FR"/>
        </w:rPr>
        <w:t>ciers en liquidités, selon les besoins ou les paris des opérateurs spécialisés, incombe avant tout à la Bourse (ou aux marchés de fina</w:t>
      </w:r>
      <w:r w:rsidRPr="004B2498">
        <w:rPr>
          <w:lang w:eastAsia="fr-FR" w:bidi="fr-FR"/>
        </w:rPr>
        <w:t>n</w:t>
      </w:r>
      <w:r w:rsidRPr="004B2498">
        <w:rPr>
          <w:lang w:eastAsia="fr-FR" w:bidi="fr-FR"/>
        </w:rPr>
        <w:t>cement organisés </w:t>
      </w:r>
      <w:r>
        <w:rPr>
          <w:rStyle w:val="Appelnotedebasdep"/>
          <w:lang w:eastAsia="fr-FR" w:bidi="fr-FR"/>
        </w:rPr>
        <w:footnoteReference w:id="12"/>
      </w:r>
      <w:r w:rsidRPr="004B2498">
        <w:rPr>
          <w:lang w:eastAsia="fr-FR" w:bidi="fr-FR"/>
        </w:rPr>
        <w:t>). Elle est la mieux placée pour réaliser cette conversion parce que la valeur financière demeure intrinsèquement volatile. La question fondamentale de la liquidité rejoint ainsi le pr</w:t>
      </w:r>
      <w:r w:rsidRPr="004B2498">
        <w:rPr>
          <w:lang w:eastAsia="fr-FR" w:bidi="fr-FR"/>
        </w:rPr>
        <w:t>o</w:t>
      </w:r>
      <w:r w:rsidRPr="004B2498">
        <w:rPr>
          <w:lang w:eastAsia="fr-FR" w:bidi="fr-FR"/>
        </w:rPr>
        <w:t>blème de la valeur avec un contenu plus fluctuant aujourd’hui qu’hier (Bougnoux, 2008). Sans norme fixe, de référence physique, elle n’exprime en fait aucune transcendance stable : la valeur financière transcende le travail réel, l’utilité économique des bien durables ou de capital, etc. en d</w:t>
      </w:r>
      <w:r w:rsidRPr="004B2498">
        <w:rPr>
          <w:lang w:eastAsia="fr-FR" w:bidi="fr-FR"/>
        </w:rPr>
        <w:t>é</w:t>
      </w:r>
      <w:r w:rsidRPr="004B2498">
        <w:rPr>
          <w:lang w:eastAsia="fr-FR" w:bidi="fr-FR"/>
        </w:rPr>
        <w:t>passant une valeur matérialisable sous la forme d’une monnaie stable par exemple ; elle ne fait plus que refléter l’activité hasardeuse de la Bourse.</w:t>
      </w:r>
    </w:p>
    <w:p w14:paraId="5F41E2C3" w14:textId="77777777" w:rsidR="002F4063" w:rsidRPr="004B2498" w:rsidRDefault="002F4063" w:rsidP="002F4063">
      <w:pPr>
        <w:spacing w:before="120" w:after="120"/>
        <w:jc w:val="both"/>
      </w:pPr>
      <w:r w:rsidRPr="004B2498">
        <w:rPr>
          <w:lang w:eastAsia="fr-FR" w:bidi="fr-FR"/>
        </w:rPr>
        <w:t>S’il fallait appréhender un changement de paradigme induit par la globalisation contemporaine, ce serait peut-être dans la disparition, programmée à plus ou moins brève échéance, de la valeur normative qu’accompagne le développement concomitant des marchés de la f</w:t>
      </w:r>
      <w:r w:rsidRPr="004B2498">
        <w:rPr>
          <w:lang w:eastAsia="fr-FR" w:bidi="fr-FR"/>
        </w:rPr>
        <w:t>i</w:t>
      </w:r>
      <w:r w:rsidRPr="004B2498">
        <w:rPr>
          <w:lang w:eastAsia="fr-FR" w:bidi="fr-FR"/>
        </w:rPr>
        <w:t>nance. Bien qu’institutions financières déjà anciennes, par leur dom</w:t>
      </w:r>
      <w:r w:rsidRPr="004B2498">
        <w:rPr>
          <w:lang w:eastAsia="fr-FR" w:bidi="fr-FR"/>
        </w:rPr>
        <w:t>i</w:t>
      </w:r>
      <w:r w:rsidRPr="004B2498">
        <w:rPr>
          <w:lang w:eastAsia="fr-FR" w:bidi="fr-FR"/>
        </w:rPr>
        <w:t>nation croissante à l’intérieur du capitalisme globalisé, les bourses et les marchés actuels consacrent le triomphe d’une conception subject</w:t>
      </w:r>
      <w:r w:rsidRPr="004B2498">
        <w:rPr>
          <w:lang w:eastAsia="fr-FR" w:bidi="fr-FR"/>
        </w:rPr>
        <w:t>i</w:t>
      </w:r>
      <w:r w:rsidRPr="004B2498">
        <w:rPr>
          <w:lang w:eastAsia="fr-FR" w:bidi="fr-FR"/>
        </w:rPr>
        <w:t>ve de la valeur par rapport à une représentation objective de la v</w:t>
      </w:r>
      <w:r w:rsidRPr="004B2498">
        <w:rPr>
          <w:lang w:eastAsia="fr-FR" w:bidi="fr-FR"/>
        </w:rPr>
        <w:t>a</w:t>
      </w:r>
      <w:r w:rsidRPr="004B2498">
        <w:rPr>
          <w:lang w:eastAsia="fr-FR" w:bidi="fr-FR"/>
        </w:rPr>
        <w:t>leur </w:t>
      </w:r>
      <w:r>
        <w:rPr>
          <w:rStyle w:val="Appelnotedebasdep"/>
          <w:lang w:eastAsia="fr-FR" w:bidi="fr-FR"/>
        </w:rPr>
        <w:footnoteReference w:id="13"/>
      </w:r>
      <w:r w:rsidRPr="004B2498">
        <w:rPr>
          <w:lang w:eastAsia="fr-FR" w:bidi="fr-FR"/>
        </w:rPr>
        <w:t>. Ainsi, en ce qui concerne la sphère de la consommation des biens durables, le phénomène historique de la rareté économique ne correspondrait plus maintenant à un</w:t>
      </w:r>
      <w:r>
        <w:t xml:space="preserve"> </w:t>
      </w:r>
      <w:r w:rsidRPr="004B2498">
        <w:t>[38]</w:t>
      </w:r>
      <w:r>
        <w:t xml:space="preserve"> </w:t>
      </w:r>
      <w:r w:rsidRPr="004B2498">
        <w:rPr>
          <w:lang w:eastAsia="fr-FR" w:bidi="fr-FR"/>
        </w:rPr>
        <w:t>manque mais renverrait pl</w:t>
      </w:r>
      <w:r w:rsidRPr="004B2498">
        <w:rPr>
          <w:lang w:eastAsia="fr-FR" w:bidi="fr-FR"/>
        </w:rPr>
        <w:t>u</w:t>
      </w:r>
      <w:r w:rsidRPr="004B2498">
        <w:rPr>
          <w:lang w:eastAsia="fr-FR" w:bidi="fr-FR"/>
        </w:rPr>
        <w:t>tôt à une jouissance perdue voire à un déplacement temporel, différé à court terme, vers un autre objet du désir. La valeur partirait alors du sujet désirant </w:t>
      </w:r>
      <w:r>
        <w:rPr>
          <w:rStyle w:val="Appelnotedebasdep"/>
          <w:lang w:eastAsia="fr-FR" w:bidi="fr-FR"/>
        </w:rPr>
        <w:footnoteReference w:id="14"/>
      </w:r>
      <w:r w:rsidRPr="004B2498">
        <w:rPr>
          <w:lang w:eastAsia="fr-FR" w:bidi="fr-FR"/>
        </w:rPr>
        <w:t>.</w:t>
      </w:r>
    </w:p>
    <w:p w14:paraId="7DA52CC0" w14:textId="77777777" w:rsidR="002F4063" w:rsidRPr="004B2498" w:rsidRDefault="002F4063" w:rsidP="002F4063">
      <w:pPr>
        <w:spacing w:before="120" w:after="120"/>
        <w:jc w:val="both"/>
      </w:pPr>
      <w:r w:rsidRPr="004B2498">
        <w:rPr>
          <w:lang w:eastAsia="fr-FR" w:bidi="fr-FR"/>
        </w:rPr>
        <w:t>Dans le monde de la finance, la présence souhaitée de liquidités, en volume conséquent et en circulation permanente, traduit de manière quasi homothétique la réalité d’un désir illimité puisque nourri par une demande d’argent extensible à l’infini, à la différence remarquable de la consommation des marchandises dont les limites matérielles rel</w:t>
      </w:r>
      <w:r w:rsidRPr="004B2498">
        <w:rPr>
          <w:lang w:eastAsia="fr-FR" w:bidi="fr-FR"/>
        </w:rPr>
        <w:t>è</w:t>
      </w:r>
      <w:r w:rsidRPr="004B2498">
        <w:rPr>
          <w:lang w:eastAsia="fr-FR" w:bidi="fr-FR"/>
        </w:rPr>
        <w:t>vent de la rareté économique générale comme formes de jouissance non satisfaite ou de satiété circonstancielle. Par le biais de l’offre de liquidités, de la production de valeurs volatiles, le nouveau modèle de la valeur financière en relation avec la globalisation serait assez pr</w:t>
      </w:r>
      <w:r w:rsidRPr="004B2498">
        <w:rPr>
          <w:lang w:eastAsia="fr-FR" w:bidi="fr-FR"/>
        </w:rPr>
        <w:t>o</w:t>
      </w:r>
      <w:r w:rsidRPr="004B2498">
        <w:rPr>
          <w:lang w:eastAsia="fr-FR" w:bidi="fr-FR"/>
        </w:rPr>
        <w:t>che de l’archétype walrassien de la Bourse avec ses avantages caract</w:t>
      </w:r>
      <w:r w:rsidRPr="004B2498">
        <w:rPr>
          <w:lang w:eastAsia="fr-FR" w:bidi="fr-FR"/>
        </w:rPr>
        <w:t>é</w:t>
      </w:r>
      <w:r w:rsidRPr="004B2498">
        <w:rPr>
          <w:lang w:eastAsia="fr-FR" w:bidi="fr-FR"/>
        </w:rPr>
        <w:t>ristiques de fluidité, de mobilité et d’extension à l’infini. En quoi c</w:t>
      </w:r>
      <w:r w:rsidRPr="004B2498">
        <w:rPr>
          <w:lang w:eastAsia="fr-FR" w:bidi="fr-FR"/>
        </w:rPr>
        <w:t>e</w:t>
      </w:r>
      <w:r w:rsidRPr="004B2498">
        <w:rPr>
          <w:lang w:eastAsia="fr-FR" w:bidi="fr-FR"/>
        </w:rPr>
        <w:t>pendant cette grille de lecture s’avère-t-elle pertinente pour interpréter les récentes crises financières ?</w:t>
      </w:r>
    </w:p>
    <w:p w14:paraId="44B2C0C1" w14:textId="77777777" w:rsidR="002F4063" w:rsidRPr="004B2498" w:rsidRDefault="002F4063" w:rsidP="002F4063">
      <w:pPr>
        <w:spacing w:before="120" w:after="120"/>
        <w:jc w:val="both"/>
      </w:pPr>
      <w:r w:rsidRPr="004B2498">
        <w:rPr>
          <w:lang w:eastAsia="fr-FR" w:bidi="fr-FR"/>
        </w:rPr>
        <w:t>En premier lieu, il existe beaucoup d’éléments factuels dans le c</w:t>
      </w:r>
      <w:r w:rsidRPr="004B2498">
        <w:rPr>
          <w:lang w:eastAsia="fr-FR" w:bidi="fr-FR"/>
        </w:rPr>
        <w:t>a</w:t>
      </w:r>
      <w:r w:rsidRPr="004B2498">
        <w:rPr>
          <w:lang w:eastAsia="fr-FR" w:bidi="fr-FR"/>
        </w:rPr>
        <w:t>dre de la finance (innovations technologiques, dérégulation financière, dilution du risque financier...) qui conduisent à se déprendre des conceptions normatives de la valeur travail en raison d’une impossib</w:t>
      </w:r>
      <w:r w:rsidRPr="004B2498">
        <w:rPr>
          <w:lang w:eastAsia="fr-FR" w:bidi="fr-FR"/>
        </w:rPr>
        <w:t>i</w:t>
      </w:r>
      <w:r w:rsidRPr="004B2498">
        <w:rPr>
          <w:lang w:eastAsia="fr-FR" w:bidi="fr-FR"/>
        </w:rPr>
        <w:t>lité concrète à la mesurer : l’instabilité permanente de la sphère fina</w:t>
      </w:r>
      <w:r w:rsidRPr="004B2498">
        <w:rPr>
          <w:lang w:eastAsia="fr-FR" w:bidi="fr-FR"/>
        </w:rPr>
        <w:t>n</w:t>
      </w:r>
      <w:r w:rsidRPr="004B2498">
        <w:rPr>
          <w:lang w:eastAsia="fr-FR" w:bidi="fr-FR"/>
        </w:rPr>
        <w:t>cière ne facilite nullement la capacité à fournir un étalon de valeur, de donner une commensurabilité durable à des fluctuations de titres boursiers. Les comportements risqués voire même irresponsables de prêteurs vis-à-vis de débiteurs insolvables s’inscrivent en deuxième lieu dans cette perspective de jeux boursiers où, l’illusion de l’enrichissement facile prenant le pas sur le sens des réalités économ</w:t>
      </w:r>
      <w:r w:rsidRPr="004B2498">
        <w:rPr>
          <w:lang w:eastAsia="fr-FR" w:bidi="fr-FR"/>
        </w:rPr>
        <w:t>i</w:t>
      </w:r>
      <w:r w:rsidRPr="004B2498">
        <w:rPr>
          <w:lang w:eastAsia="fr-FR" w:bidi="fr-FR"/>
        </w:rPr>
        <w:t>ques, la moindre valeur des actions pouvait être immédiatement co</w:t>
      </w:r>
      <w:r w:rsidRPr="004B2498">
        <w:rPr>
          <w:lang w:eastAsia="fr-FR" w:bidi="fr-FR"/>
        </w:rPr>
        <w:t>m</w:t>
      </w:r>
      <w:r w:rsidRPr="004B2498">
        <w:rPr>
          <w:lang w:eastAsia="fr-FR" w:bidi="fr-FR"/>
        </w:rPr>
        <w:t>pensée par une bonne couverture en produits dérivés, eux-mêmes pr</w:t>
      </w:r>
      <w:r w:rsidRPr="004B2498">
        <w:rPr>
          <w:lang w:eastAsia="fr-FR" w:bidi="fr-FR"/>
        </w:rPr>
        <w:t>o</w:t>
      </w:r>
      <w:r w:rsidRPr="004B2498">
        <w:rPr>
          <w:lang w:eastAsia="fr-FR" w:bidi="fr-FR"/>
        </w:rPr>
        <w:t>tégés par des swaps de crédit sur des collatéraux fictifs... Jusqu’à ce que plus personne ne sache quel était le montant initial des crédits concédés et moins encore la quantité finale de dettes papier ayant se</w:t>
      </w:r>
      <w:r w:rsidRPr="004B2498">
        <w:rPr>
          <w:lang w:eastAsia="fr-FR" w:bidi="fr-FR"/>
        </w:rPr>
        <w:t>r</w:t>
      </w:r>
      <w:r w:rsidRPr="004B2498">
        <w:rPr>
          <w:lang w:eastAsia="fr-FR" w:bidi="fr-FR"/>
        </w:rPr>
        <w:t>vi à les garantir. Frivolité de la valeur et valeurs frivoles : tout était réuni pour le déclenchement d’un séisme financier.</w:t>
      </w:r>
    </w:p>
    <w:p w14:paraId="18998176" w14:textId="77777777" w:rsidR="002F4063" w:rsidRPr="004B2498" w:rsidRDefault="002F4063" w:rsidP="002F4063">
      <w:pPr>
        <w:spacing w:before="120" w:after="120"/>
        <w:jc w:val="both"/>
      </w:pPr>
      <w:r w:rsidRPr="004B2498">
        <w:rPr>
          <w:lang w:eastAsia="fr-FR" w:bidi="fr-FR"/>
        </w:rPr>
        <w:t>Finalement, l’accent mis par le pouvoir médiatique sur la respo</w:t>
      </w:r>
      <w:r w:rsidRPr="004B2498">
        <w:rPr>
          <w:lang w:eastAsia="fr-FR" w:bidi="fr-FR"/>
        </w:rPr>
        <w:t>n</w:t>
      </w:r>
      <w:r w:rsidRPr="004B2498">
        <w:rPr>
          <w:lang w:eastAsia="fr-FR" w:bidi="fr-FR"/>
        </w:rPr>
        <w:t>sabilité réduite des pratiques irrégulières dans l’origine de la dernière crise tend à accréditer l’idée que les marchés ont été gagnés par une irrationalité éphémère. Alors que le comportement des professionnels était le fruit d’une opinion rationnelle où les paris boursiers les plus audacieux étaient secondés, relayés par une mathématisation outra</w:t>
      </w:r>
      <w:r w:rsidRPr="004B2498">
        <w:rPr>
          <w:lang w:eastAsia="fr-FR" w:bidi="fr-FR"/>
        </w:rPr>
        <w:t>n</w:t>
      </w:r>
      <w:r w:rsidRPr="004B2498">
        <w:rPr>
          <w:lang w:eastAsia="fr-FR" w:bidi="fr-FR"/>
        </w:rPr>
        <w:t>cière, refuge de la plus</w:t>
      </w:r>
      <w:r>
        <w:t xml:space="preserve"> </w:t>
      </w:r>
      <w:r w:rsidRPr="004B2498">
        <w:t>[39]</w:t>
      </w:r>
      <w:r>
        <w:t xml:space="preserve"> </w:t>
      </w:r>
      <w:r w:rsidRPr="004B2498">
        <w:rPr>
          <w:lang w:eastAsia="fr-FR" w:bidi="fr-FR"/>
        </w:rPr>
        <w:t>stricte rationalité opératoire dédiée à la valeur flottante (Bougnoux, 2008 ; Goux, 2008).</w:t>
      </w:r>
    </w:p>
    <w:p w14:paraId="54083B12" w14:textId="77777777" w:rsidR="002F4063" w:rsidRPr="004B2498" w:rsidRDefault="002F4063" w:rsidP="002F4063">
      <w:pPr>
        <w:spacing w:before="120" w:after="120"/>
        <w:jc w:val="both"/>
        <w:rPr>
          <w:szCs w:val="24"/>
          <w:lang w:eastAsia="fr-FR" w:bidi="fr-FR"/>
        </w:rPr>
      </w:pPr>
    </w:p>
    <w:p w14:paraId="5ACF0C03" w14:textId="77777777" w:rsidR="002F4063" w:rsidRPr="004B2498" w:rsidRDefault="002F4063" w:rsidP="002F4063">
      <w:pPr>
        <w:pStyle w:val="planche"/>
      </w:pPr>
      <w:r w:rsidRPr="004B2498">
        <w:rPr>
          <w:lang w:eastAsia="fr-FR" w:bidi="fr-FR"/>
        </w:rPr>
        <w:t>Conclusion</w:t>
      </w:r>
    </w:p>
    <w:p w14:paraId="540CAD33" w14:textId="77777777" w:rsidR="002F4063" w:rsidRPr="004B2498" w:rsidRDefault="002F4063" w:rsidP="002F4063">
      <w:pPr>
        <w:spacing w:before="120" w:after="120"/>
        <w:jc w:val="both"/>
        <w:rPr>
          <w:lang w:eastAsia="fr-FR" w:bidi="fr-FR"/>
        </w:rPr>
      </w:pPr>
    </w:p>
    <w:p w14:paraId="055D5CC4" w14:textId="77777777" w:rsidR="002F4063" w:rsidRPr="004B2498" w:rsidRDefault="002F4063" w:rsidP="002F4063">
      <w:pPr>
        <w:spacing w:before="120" w:after="120"/>
        <w:jc w:val="both"/>
      </w:pPr>
      <w:r w:rsidRPr="004B2498">
        <w:rPr>
          <w:lang w:eastAsia="fr-FR" w:bidi="fr-FR"/>
        </w:rPr>
        <w:t>La perspective épistémologique exposée ci-dessus mériterait c</w:t>
      </w:r>
      <w:r w:rsidRPr="004B2498">
        <w:rPr>
          <w:lang w:eastAsia="fr-FR" w:bidi="fr-FR"/>
        </w:rPr>
        <w:t>e</w:t>
      </w:r>
      <w:r w:rsidRPr="004B2498">
        <w:rPr>
          <w:lang w:eastAsia="fr-FR" w:bidi="fr-FR"/>
        </w:rPr>
        <w:t>pendant d’être complétée par les quatre réflexions suivantes :</w:t>
      </w:r>
    </w:p>
    <w:p w14:paraId="69BC7982" w14:textId="77777777" w:rsidR="002F4063" w:rsidRPr="004B2498" w:rsidRDefault="002F4063" w:rsidP="002F4063">
      <w:pPr>
        <w:spacing w:before="120" w:after="120"/>
        <w:jc w:val="both"/>
      </w:pPr>
      <w:r w:rsidRPr="004B2498">
        <w:rPr>
          <w:lang w:eastAsia="fr-FR" w:bidi="fr-FR"/>
        </w:rPr>
        <w:t>D’un point de vue général, la plus ou moins grande intensité dans la perception d’une crise constitue sans doute un indicateur indirect mais révélateur de l’importance de la globalisation contemporaine. Ainsi la forte perception généralisée de la dernière rupture financière survenue en Europe et aux Etats-Unis s’explique par une raison assez simple de nature matérielle : tant que la crise n’a affecté que les int</w:t>
      </w:r>
      <w:r w:rsidRPr="004B2498">
        <w:rPr>
          <w:lang w:eastAsia="fr-FR" w:bidi="fr-FR"/>
        </w:rPr>
        <w:t>é</w:t>
      </w:r>
      <w:r w:rsidRPr="004B2498">
        <w:rPr>
          <w:lang w:eastAsia="fr-FR" w:bidi="fr-FR"/>
        </w:rPr>
        <w:t>rêts composites d’épargnants et d’emprunteurs audacieux, celle-ci n’a été envisagée que comme un moindre mal. À partir du moment où les pertes consécutives à des prises permanentes de risques excessifs ont dépassé un seuil, un volume impossible à éponger par les banques centrales ou multilatérales (FMI, Banque mondiale, BCE, etc.), le r</w:t>
      </w:r>
      <w:r w:rsidRPr="004B2498">
        <w:rPr>
          <w:lang w:eastAsia="fr-FR" w:bidi="fr-FR"/>
        </w:rPr>
        <w:t>e</w:t>
      </w:r>
      <w:r w:rsidRPr="004B2498">
        <w:rPr>
          <w:lang w:eastAsia="fr-FR" w:bidi="fr-FR"/>
        </w:rPr>
        <w:t>cours à la générosité obligée des contribuables a représenté en derni</w:t>
      </w:r>
      <w:r w:rsidRPr="004B2498">
        <w:rPr>
          <w:lang w:eastAsia="fr-FR" w:bidi="fr-FR"/>
        </w:rPr>
        <w:t>è</w:t>
      </w:r>
      <w:r w:rsidRPr="004B2498">
        <w:rPr>
          <w:lang w:eastAsia="fr-FR" w:bidi="fr-FR"/>
        </w:rPr>
        <w:t>re instance une solution réaliste d’évitement d’un risque systémique de portée planétaire.</w:t>
      </w:r>
    </w:p>
    <w:p w14:paraId="7E8E53CE" w14:textId="77777777" w:rsidR="002F4063" w:rsidRPr="004B2498" w:rsidRDefault="002F4063" w:rsidP="002F4063">
      <w:pPr>
        <w:spacing w:before="120" w:after="120"/>
        <w:jc w:val="both"/>
      </w:pPr>
      <w:r w:rsidRPr="004B2498">
        <w:rPr>
          <w:lang w:eastAsia="fr-FR" w:bidi="fr-FR"/>
        </w:rPr>
        <w:t>L’urgence politique de freiner l’effondrement de la finance de marché conduit ensuite à faire appel à l’État dont la remarquable rés</w:t>
      </w:r>
      <w:r w:rsidRPr="004B2498">
        <w:rPr>
          <w:lang w:eastAsia="fr-FR" w:bidi="fr-FR"/>
        </w:rPr>
        <w:t>i</w:t>
      </w:r>
      <w:r w:rsidRPr="004B2498">
        <w:rPr>
          <w:lang w:eastAsia="fr-FR" w:bidi="fr-FR"/>
        </w:rPr>
        <w:t>lience financière renoue, nous l’avons souligné, avec la création de liquidités essentielles à la globalisation. C’est donc une fonction éc</w:t>
      </w:r>
      <w:r w:rsidRPr="004B2498">
        <w:rPr>
          <w:lang w:eastAsia="fr-FR" w:bidi="fr-FR"/>
        </w:rPr>
        <w:t>o</w:t>
      </w:r>
      <w:r w:rsidRPr="004B2498">
        <w:rPr>
          <w:lang w:eastAsia="fr-FR" w:bidi="fr-FR"/>
        </w:rPr>
        <w:t>nomique rénovée de l’intervention étatique qui est légitimée social</w:t>
      </w:r>
      <w:r w:rsidRPr="004B2498">
        <w:rPr>
          <w:lang w:eastAsia="fr-FR" w:bidi="fr-FR"/>
        </w:rPr>
        <w:t>e</w:t>
      </w:r>
      <w:r w:rsidRPr="004B2498">
        <w:rPr>
          <w:lang w:eastAsia="fr-FR" w:bidi="fr-FR"/>
        </w:rPr>
        <w:t>ment par le fait qu’aucun citoyen ne souhaite ressentir in vivo l’aggravation de la crise, avec ses conséquences imprévisibles en te</w:t>
      </w:r>
      <w:r w:rsidRPr="004B2498">
        <w:rPr>
          <w:lang w:eastAsia="fr-FR" w:bidi="fr-FR"/>
        </w:rPr>
        <w:t>r</w:t>
      </w:r>
      <w:r w:rsidRPr="004B2498">
        <w:rPr>
          <w:lang w:eastAsia="fr-FR" w:bidi="fr-FR"/>
        </w:rPr>
        <w:t>mes d’accentuation des inégalités de revenus ou de pertes d’emploi. Grâce au sauvetage public des banques et des marchés, les élites pol</w:t>
      </w:r>
      <w:r w:rsidRPr="004B2498">
        <w:rPr>
          <w:lang w:eastAsia="fr-FR" w:bidi="fr-FR"/>
        </w:rPr>
        <w:t>i</w:t>
      </w:r>
      <w:r w:rsidRPr="004B2498">
        <w:rPr>
          <w:lang w:eastAsia="fr-FR" w:bidi="fr-FR"/>
        </w:rPr>
        <w:t>tiques solidarisent l’opinion publique des actes risqués commis préc</w:t>
      </w:r>
      <w:r w:rsidRPr="004B2498">
        <w:rPr>
          <w:lang w:eastAsia="fr-FR" w:bidi="fr-FR"/>
        </w:rPr>
        <w:t>é</w:t>
      </w:r>
      <w:r w:rsidRPr="004B2498">
        <w:rPr>
          <w:lang w:eastAsia="fr-FR" w:bidi="fr-FR"/>
        </w:rPr>
        <w:t>demment par la communauté financière internationale.</w:t>
      </w:r>
    </w:p>
    <w:p w14:paraId="3531EF09" w14:textId="77777777" w:rsidR="002F4063" w:rsidRPr="004B2498" w:rsidRDefault="002F4063" w:rsidP="002F4063">
      <w:pPr>
        <w:spacing w:before="120" w:after="120"/>
        <w:jc w:val="both"/>
      </w:pPr>
      <w:r w:rsidRPr="004B2498">
        <w:rPr>
          <w:lang w:eastAsia="fr-FR" w:bidi="fr-FR"/>
        </w:rPr>
        <w:t>Nous nous situons en réalité dans un cas de figure inédit, sans réf</w:t>
      </w:r>
      <w:r w:rsidRPr="004B2498">
        <w:rPr>
          <w:lang w:eastAsia="fr-FR" w:bidi="fr-FR"/>
        </w:rPr>
        <w:t>é</w:t>
      </w:r>
      <w:r w:rsidRPr="004B2498">
        <w:rPr>
          <w:lang w:eastAsia="fr-FR" w:bidi="fr-FR"/>
        </w:rPr>
        <w:t>rence explicite à un schéma connu de politique économique - keyn</w:t>
      </w:r>
      <w:r w:rsidRPr="004B2498">
        <w:rPr>
          <w:lang w:eastAsia="fr-FR" w:bidi="fr-FR"/>
        </w:rPr>
        <w:t>é</w:t>
      </w:r>
      <w:r w:rsidRPr="004B2498">
        <w:rPr>
          <w:lang w:eastAsia="fr-FR" w:bidi="fr-FR"/>
        </w:rPr>
        <w:t>sien de relance de sortie de crise ou monétariste de retour aux grands équilibres fondamentaux -, où les pouvoirs publics nationaux doivent, quel qu’en soit le prix, préserver la survie du système économique global. Ces derniers sont toutefois bien conscients que l’injection permanente de liquidités ne représente en aucune façon la panacée définitive puisque peinant à contrecarrer l’apparition récurrente de comportements irrationnels à l’intérieur des marchés et des instit</w:t>
      </w:r>
      <w:r w:rsidRPr="004B2498">
        <w:rPr>
          <w:lang w:eastAsia="fr-FR" w:bidi="fr-FR"/>
        </w:rPr>
        <w:t>u</w:t>
      </w:r>
      <w:r w:rsidRPr="004B2498">
        <w:rPr>
          <w:lang w:eastAsia="fr-FR" w:bidi="fr-FR"/>
        </w:rPr>
        <w:t>tions financières (Artus, Virard, 2010 ; Orléan, 2008). De manière p</w:t>
      </w:r>
      <w:r w:rsidRPr="004B2498">
        <w:rPr>
          <w:lang w:eastAsia="fr-FR" w:bidi="fr-FR"/>
        </w:rPr>
        <w:t>a</w:t>
      </w:r>
      <w:r w:rsidRPr="004B2498">
        <w:rPr>
          <w:lang w:eastAsia="fr-FR" w:bidi="fr-FR"/>
        </w:rPr>
        <w:t>radoxale, si tôt passée la phase paroxystique de crise, l’influence a</w:t>
      </w:r>
      <w:r w:rsidRPr="004B2498">
        <w:rPr>
          <w:lang w:eastAsia="fr-FR" w:bidi="fr-FR"/>
        </w:rPr>
        <w:t>p</w:t>
      </w:r>
      <w:r w:rsidRPr="004B2498">
        <w:rPr>
          <w:lang w:eastAsia="fr-FR" w:bidi="fr-FR"/>
        </w:rPr>
        <w:t>parente des gouvernements s’avère plutôt symbolique dès qu’elle s’éloigne de l’extinction des incendies monétaires et financiers pour se métamorphoser en des mesures ponctuelles de politique économ</w:t>
      </w:r>
      <w:r w:rsidRPr="004B2498">
        <w:rPr>
          <w:lang w:eastAsia="fr-FR" w:bidi="fr-FR"/>
        </w:rPr>
        <w:t>i</w:t>
      </w:r>
      <w:r w:rsidRPr="004B2498">
        <w:rPr>
          <w:lang w:eastAsia="fr-FR" w:bidi="fr-FR"/>
        </w:rPr>
        <w:t>que</w:t>
      </w:r>
      <w:r>
        <w:t xml:space="preserve"> </w:t>
      </w:r>
      <w:r w:rsidRPr="004B2498">
        <w:t>[40]</w:t>
      </w:r>
      <w:r>
        <w:t xml:space="preserve"> </w:t>
      </w:r>
      <w:r w:rsidRPr="004B2498">
        <w:rPr>
          <w:lang w:eastAsia="fr-FR" w:bidi="fr-FR"/>
        </w:rPr>
        <w:t>(Rainelli-Le Montagner, 2003) : souhaiter la reprise, fixer le n</w:t>
      </w:r>
      <w:r w:rsidRPr="004B2498">
        <w:rPr>
          <w:lang w:eastAsia="fr-FR" w:bidi="fr-FR"/>
        </w:rPr>
        <w:t>i</w:t>
      </w:r>
      <w:r w:rsidRPr="004B2498">
        <w:rPr>
          <w:lang w:eastAsia="fr-FR" w:bidi="fr-FR"/>
        </w:rPr>
        <w:t>veau des taux, discourir sur la fin proche de la crise...</w:t>
      </w:r>
    </w:p>
    <w:p w14:paraId="57AC0702" w14:textId="77777777" w:rsidR="002F4063" w:rsidRPr="004B2498" w:rsidRDefault="002F4063" w:rsidP="002F4063">
      <w:pPr>
        <w:spacing w:before="120" w:after="120"/>
        <w:jc w:val="both"/>
      </w:pPr>
      <w:r w:rsidRPr="004B2498">
        <w:rPr>
          <w:lang w:eastAsia="fr-FR" w:bidi="fr-FR"/>
        </w:rPr>
        <w:t>Il n’empêche qu’après la participation solidaire des contribuables, les autorités politiques et monétaires doivent aussi penser à restaurer la confiance vacillante de l’opinion publique face à la capacité des agents financiers à mieux ancrer la finance contemporaine dans l’économie réelle, à satisfaire les besoins concrets (non spéculatifs) de financement du capitalisme globalisé (Tchang, 2008). Un objectif di</w:t>
      </w:r>
      <w:r w:rsidRPr="004B2498">
        <w:rPr>
          <w:lang w:eastAsia="fr-FR" w:bidi="fr-FR"/>
        </w:rPr>
        <w:t>f</w:t>
      </w:r>
      <w:r w:rsidRPr="004B2498">
        <w:rPr>
          <w:lang w:eastAsia="fr-FR" w:bidi="fr-FR"/>
        </w:rPr>
        <w:t>ficile à atteindre par les élites économiques sans un certain coût pol</w:t>
      </w:r>
      <w:r w:rsidRPr="004B2498">
        <w:rPr>
          <w:lang w:eastAsia="fr-FR" w:bidi="fr-FR"/>
        </w:rPr>
        <w:t>i</w:t>
      </w:r>
      <w:r w:rsidRPr="004B2498">
        <w:rPr>
          <w:lang w:eastAsia="fr-FR" w:bidi="fr-FR"/>
        </w:rPr>
        <w:t>tique (risque électoral) et social car subsiste la suspicion tenace d’une perte irrémédiable de souveraineté politique, conférée au citoyen en démocratie par le droit de vote, mais laquelle résulte pratiquement d’un faible poids face à la domination de la logique financière intern</w:t>
      </w:r>
      <w:r w:rsidRPr="004B2498">
        <w:rPr>
          <w:lang w:eastAsia="fr-FR" w:bidi="fr-FR"/>
        </w:rPr>
        <w:t>a</w:t>
      </w:r>
      <w:r w:rsidRPr="004B2498">
        <w:rPr>
          <w:lang w:eastAsia="fr-FR" w:bidi="fr-FR"/>
        </w:rPr>
        <w:t>tionale.</w:t>
      </w:r>
    </w:p>
    <w:p w14:paraId="7D95B04A" w14:textId="77777777" w:rsidR="002F4063" w:rsidRPr="004B2498" w:rsidRDefault="002F4063" w:rsidP="002F4063">
      <w:pPr>
        <w:spacing w:before="120" w:after="120"/>
        <w:jc w:val="both"/>
      </w:pPr>
      <w:r w:rsidRPr="004B2498">
        <w:rPr>
          <w:lang w:eastAsia="fr-FR" w:bidi="fr-FR"/>
        </w:rPr>
        <w:t>De l’action controversée de l’État en temps de crise, nous passons maintenant à la troisième idée qui a trait à une dimension essentielle du couple globalisation et crises financières. S’il est couramment a</w:t>
      </w:r>
      <w:r w:rsidRPr="004B2498">
        <w:rPr>
          <w:lang w:eastAsia="fr-FR" w:bidi="fr-FR"/>
        </w:rPr>
        <w:t>d</w:t>
      </w:r>
      <w:r w:rsidRPr="004B2498">
        <w:rPr>
          <w:lang w:eastAsia="fr-FR" w:bidi="fr-FR"/>
        </w:rPr>
        <w:t>mis que les grands désajustements globaux de l’économie financière internationale (importante épargne disponible, surendettement des ménages américains et européens, déficits commerciaux et publics de la plupart des pays capitalistes industrialisés, etc.) furent en partie re</w:t>
      </w:r>
      <w:r w:rsidRPr="004B2498">
        <w:rPr>
          <w:lang w:eastAsia="fr-FR" w:bidi="fr-FR"/>
        </w:rPr>
        <w:t>s</w:t>
      </w:r>
      <w:r w:rsidRPr="004B2498">
        <w:rPr>
          <w:lang w:eastAsia="fr-FR" w:bidi="fr-FR"/>
        </w:rPr>
        <w:t>ponsables de la dernière crise (Aglietta, Rigot, 2009), deux phénom</w:t>
      </w:r>
      <w:r w:rsidRPr="004B2498">
        <w:rPr>
          <w:lang w:eastAsia="fr-FR" w:bidi="fr-FR"/>
        </w:rPr>
        <w:t>è</w:t>
      </w:r>
      <w:r w:rsidRPr="004B2498">
        <w:rPr>
          <w:lang w:eastAsia="fr-FR" w:bidi="fr-FR"/>
        </w:rPr>
        <w:t>nes montrent comment la globalisation change non seulement les ra</w:t>
      </w:r>
      <w:r w:rsidRPr="004B2498">
        <w:rPr>
          <w:lang w:eastAsia="fr-FR" w:bidi="fr-FR"/>
        </w:rPr>
        <w:t>p</w:t>
      </w:r>
      <w:r w:rsidRPr="004B2498">
        <w:rPr>
          <w:lang w:eastAsia="fr-FR" w:bidi="fr-FR"/>
        </w:rPr>
        <w:t>ports de force économiques mais aussi les possibilités de répondre à une crise financière : la stratégie de croissance soutenue des marchés émergents mise en place après la période critique de 1997-1998 a consisté à accumuler des excédents commerciaux substantiels à l’exportation sous la forme de devises clés (dollars, euros, yens) (Brender, Pisani, 2009). Bien que sévère, l’impact de la crise décle</w:t>
      </w:r>
      <w:r w:rsidRPr="004B2498">
        <w:rPr>
          <w:lang w:eastAsia="fr-FR" w:bidi="fr-FR"/>
        </w:rPr>
        <w:t>n</w:t>
      </w:r>
      <w:r w:rsidRPr="004B2498">
        <w:rPr>
          <w:lang w:eastAsia="fr-FR" w:bidi="fr-FR"/>
        </w:rPr>
        <w:t>chée par les subprimes mortgage sur ces économies dynamiques, par ailleurs bien insérées sur le plan international, ne s’est pas pour autant traduit en un effondrement brutal des capacités de production nation</w:t>
      </w:r>
      <w:r w:rsidRPr="004B2498">
        <w:rPr>
          <w:lang w:eastAsia="fr-FR" w:bidi="fr-FR"/>
        </w:rPr>
        <w:t>a</w:t>
      </w:r>
      <w:r w:rsidRPr="004B2498">
        <w:rPr>
          <w:lang w:eastAsia="fr-FR" w:bidi="fr-FR"/>
        </w:rPr>
        <w:t>le, qui ont cependant fait la courte expérience de suspensions temp</w:t>
      </w:r>
      <w:r w:rsidRPr="004B2498">
        <w:rPr>
          <w:lang w:eastAsia="fr-FR" w:bidi="fr-FR"/>
        </w:rPr>
        <w:t>o</w:t>
      </w:r>
      <w:r w:rsidRPr="004B2498">
        <w:rPr>
          <w:lang w:eastAsia="fr-FR" w:bidi="fr-FR"/>
        </w:rPr>
        <w:t>raires de crédits (cf. supra). L’accumulation prévisionnelle de liquid</w:t>
      </w:r>
      <w:r w:rsidRPr="004B2498">
        <w:rPr>
          <w:lang w:eastAsia="fr-FR" w:bidi="fr-FR"/>
        </w:rPr>
        <w:t>i</w:t>
      </w:r>
      <w:r w:rsidRPr="004B2498">
        <w:rPr>
          <w:lang w:eastAsia="fr-FR" w:bidi="fr-FR"/>
        </w:rPr>
        <w:t>tés fortes a ainsi permis d’affronter les réductions de flux de capital international sans que le financement régulier de l’économie en soit complètement affecté. Ils furent d’ailleurs les premiers pays à prése</w:t>
      </w:r>
      <w:r w:rsidRPr="004B2498">
        <w:rPr>
          <w:lang w:eastAsia="fr-FR" w:bidi="fr-FR"/>
        </w:rPr>
        <w:t>n</w:t>
      </w:r>
      <w:r w:rsidRPr="004B2498">
        <w:rPr>
          <w:lang w:eastAsia="fr-FR" w:bidi="fr-FR"/>
        </w:rPr>
        <w:t>ter avant le reste du monde - surtout les nations industrialisées -, les signes encourageants d’une reprise économique intégrée au processus de mondialisation.</w:t>
      </w:r>
    </w:p>
    <w:p w14:paraId="7298FB8B" w14:textId="77777777" w:rsidR="002F4063" w:rsidRPr="004B2498" w:rsidRDefault="002F4063" w:rsidP="002F4063">
      <w:pPr>
        <w:spacing w:before="120" w:after="120"/>
        <w:jc w:val="both"/>
      </w:pPr>
      <w:r w:rsidRPr="004B2498">
        <w:rPr>
          <w:lang w:eastAsia="fr-FR" w:bidi="fr-FR"/>
        </w:rPr>
        <w:t>Alors que l’on avait un peu vite oublié que le renflouement des banques en liquidités internes occasionnerait plus tard une accentu</w:t>
      </w:r>
      <w:r w:rsidRPr="004B2498">
        <w:rPr>
          <w:lang w:eastAsia="fr-FR" w:bidi="fr-FR"/>
        </w:rPr>
        <w:t>a</w:t>
      </w:r>
      <w:r w:rsidRPr="004B2498">
        <w:rPr>
          <w:lang w:eastAsia="fr-FR" w:bidi="fr-FR"/>
        </w:rPr>
        <w:t>tion supplémentaire des déficits publics, cet effet pervers a dévoilé plusieurs éléments intéressants. L’ampleur ainsi que le nombre croi</w:t>
      </w:r>
      <w:r w:rsidRPr="004B2498">
        <w:rPr>
          <w:lang w:eastAsia="fr-FR" w:bidi="fr-FR"/>
        </w:rPr>
        <w:t>s</w:t>
      </w:r>
      <w:r w:rsidRPr="004B2498">
        <w:rPr>
          <w:lang w:eastAsia="fr-FR" w:bidi="fr-FR"/>
        </w:rPr>
        <w:t>sant de pays concernés par l’appréciation négative de la qualité des dettes nationales</w:t>
      </w:r>
      <w:r>
        <w:t xml:space="preserve"> </w:t>
      </w:r>
      <w:r w:rsidRPr="004B2498">
        <w:t>[41]</w:t>
      </w:r>
      <w:r>
        <w:t xml:space="preserve"> </w:t>
      </w:r>
      <w:r w:rsidRPr="004B2498">
        <w:rPr>
          <w:lang w:eastAsia="fr-FR" w:bidi="fr-FR"/>
        </w:rPr>
        <w:t>établie par les marchés justifie largement la crainte fondée d’une propagation des non-paiements à l’ensemble de l’Europe. D’autant plus que les sources de financement par le Fonds européen de stabilité financière (FESF) ne sont pas inépuisables pui</w:t>
      </w:r>
      <w:r w:rsidRPr="004B2498">
        <w:rPr>
          <w:lang w:eastAsia="fr-FR" w:bidi="fr-FR"/>
        </w:rPr>
        <w:t>s</w:t>
      </w:r>
      <w:r w:rsidRPr="004B2498">
        <w:rPr>
          <w:lang w:eastAsia="fr-FR" w:bidi="fr-FR"/>
        </w:rPr>
        <w:t>que dépendant des a</w:t>
      </w:r>
      <w:r w:rsidRPr="004B2498">
        <w:rPr>
          <w:lang w:eastAsia="fr-FR" w:bidi="fr-FR"/>
        </w:rPr>
        <w:t>p</w:t>
      </w:r>
      <w:r w:rsidRPr="004B2498">
        <w:rPr>
          <w:lang w:eastAsia="fr-FR" w:bidi="fr-FR"/>
        </w:rPr>
        <w:t>ports respectifs des pays membres. Comme pour la quasi-faillite du système financier privé, les experts de même que les gouvernements n’ont pas su prévoir l’origine des difficultés de f</w:t>
      </w:r>
      <w:r w:rsidRPr="004B2498">
        <w:rPr>
          <w:lang w:eastAsia="fr-FR" w:bidi="fr-FR"/>
        </w:rPr>
        <w:t>i</w:t>
      </w:r>
      <w:r w:rsidRPr="004B2498">
        <w:rPr>
          <w:lang w:eastAsia="fr-FR" w:bidi="fr-FR"/>
        </w:rPr>
        <w:t>nancement des États concernés et la détérioration accélérée de la not</w:t>
      </w:r>
      <w:r w:rsidRPr="004B2498">
        <w:rPr>
          <w:lang w:eastAsia="fr-FR" w:bidi="fr-FR"/>
        </w:rPr>
        <w:t>a</w:t>
      </w:r>
      <w:r w:rsidRPr="004B2498">
        <w:rPr>
          <w:lang w:eastAsia="fr-FR" w:bidi="fr-FR"/>
        </w:rPr>
        <w:t>tion des dettes souv</w:t>
      </w:r>
      <w:r w:rsidRPr="004B2498">
        <w:rPr>
          <w:lang w:eastAsia="fr-FR" w:bidi="fr-FR"/>
        </w:rPr>
        <w:t>e</w:t>
      </w:r>
      <w:r w:rsidRPr="004B2498">
        <w:rPr>
          <w:lang w:eastAsia="fr-FR" w:bidi="fr-FR"/>
        </w:rPr>
        <w:t>raines. Une future absence de bailleurs de fonds favoriserait alors l’engagement de nouveaux créanciers publics disp</w:t>
      </w:r>
      <w:r w:rsidRPr="004B2498">
        <w:rPr>
          <w:lang w:eastAsia="fr-FR" w:bidi="fr-FR"/>
        </w:rPr>
        <w:t>o</w:t>
      </w:r>
      <w:r w:rsidRPr="004B2498">
        <w:rPr>
          <w:lang w:eastAsia="fr-FR" w:bidi="fr-FR"/>
        </w:rPr>
        <w:t>sant des ressources suffisantes pour couvrir les émissions d’obligations des pays eur</w:t>
      </w:r>
      <w:r w:rsidRPr="004B2498">
        <w:rPr>
          <w:lang w:eastAsia="fr-FR" w:bidi="fr-FR"/>
        </w:rPr>
        <w:t>o</w:t>
      </w:r>
      <w:r w:rsidRPr="004B2498">
        <w:rPr>
          <w:lang w:eastAsia="fr-FR" w:bidi="fr-FR"/>
        </w:rPr>
        <w:t>péens en quasi-faillite.</w:t>
      </w:r>
    </w:p>
    <w:p w14:paraId="71F6FCA7" w14:textId="77777777" w:rsidR="002F4063" w:rsidRPr="004B2498" w:rsidRDefault="002F4063" w:rsidP="002F4063">
      <w:pPr>
        <w:spacing w:before="120" w:after="120"/>
        <w:jc w:val="both"/>
      </w:pPr>
      <w:r w:rsidRPr="004B2498">
        <w:rPr>
          <w:lang w:eastAsia="fr-FR" w:bidi="fr-FR"/>
        </w:rPr>
        <w:t>C’est dans ce contexte d’insolvabilité étatique que survient en o</w:t>
      </w:r>
      <w:r w:rsidRPr="004B2498">
        <w:rPr>
          <w:lang w:eastAsia="fr-FR" w:bidi="fr-FR"/>
        </w:rPr>
        <w:t>u</w:t>
      </w:r>
      <w:r w:rsidRPr="004B2498">
        <w:rPr>
          <w:lang w:eastAsia="fr-FR" w:bidi="fr-FR"/>
        </w:rPr>
        <w:t>tre l’intervention de la Chine non plus seulement comme atelier du monde mais comme « prêteur en dernier ressort » de l’Europe après avoir été auparavant celui des États-Unis (Roubini, Mihm, 2010). Un tel scénario eût été considéré comme impensable il y a encore à peine deux ans tant la confiance en la solidité financière de la zone eur</w:t>
      </w:r>
      <w:r w:rsidRPr="004B2498">
        <w:rPr>
          <w:lang w:eastAsia="fr-FR" w:bidi="fr-FR"/>
        </w:rPr>
        <w:t>o</w:t>
      </w:r>
      <w:r w:rsidRPr="004B2498">
        <w:rPr>
          <w:lang w:eastAsia="fr-FR" w:bidi="fr-FR"/>
        </w:rPr>
        <w:t>péenne et en la force de sa monnaie commune paraissaient inébranl</w:t>
      </w:r>
      <w:r w:rsidRPr="004B2498">
        <w:rPr>
          <w:lang w:eastAsia="fr-FR" w:bidi="fr-FR"/>
        </w:rPr>
        <w:t>a</w:t>
      </w:r>
      <w:r w:rsidRPr="004B2498">
        <w:rPr>
          <w:lang w:eastAsia="fr-FR" w:bidi="fr-FR"/>
        </w:rPr>
        <w:t>bles pour l’ensemble de la communauté financière de la planète. D’autres nations émergentes (Brésil, Corée, Inde...) seraient éventue</w:t>
      </w:r>
      <w:r w:rsidRPr="004B2498">
        <w:rPr>
          <w:lang w:eastAsia="fr-FR" w:bidi="fr-FR"/>
        </w:rPr>
        <w:t>l</w:t>
      </w:r>
      <w:r w:rsidRPr="004B2498">
        <w:rPr>
          <w:lang w:eastAsia="fr-FR" w:bidi="fr-FR"/>
        </w:rPr>
        <w:t>lement tentées de servir de garanties à de futures émissions de dettes publiques des pays capitalistes industrialisés. Si à chaque sortie de crise, le processus de globalisation suscite une redistribution inégale des pouvoirs économiques à l’échelle planétaire, on peut en déduire, sans trop s’avancer, que l’instabilité financière a encore un bel avenir sachant que de nouvelles sources de déséquilibres pointent déjà à l’horizon. Parmi celles-ci, la viabilité économique à long terme du financement international des dettes souveraines par plusieurs pays émergents en surchauffe est principalement invoquée comme un m</w:t>
      </w:r>
      <w:r w:rsidRPr="004B2498">
        <w:rPr>
          <w:lang w:eastAsia="fr-FR" w:bidi="fr-FR"/>
        </w:rPr>
        <w:t>é</w:t>
      </w:r>
      <w:r w:rsidRPr="004B2498">
        <w:rPr>
          <w:lang w:eastAsia="fr-FR" w:bidi="fr-FR"/>
        </w:rPr>
        <w:t>canisme potentiel déclencheur de crises à venir : oubliant les leçons de la crise asiatique de 1997-1998 </w:t>
      </w:r>
      <w:r>
        <w:rPr>
          <w:rStyle w:val="Appelnotedebasdep"/>
          <w:lang w:eastAsia="fr-FR" w:bidi="fr-FR"/>
        </w:rPr>
        <w:footnoteReference w:id="15"/>
      </w:r>
      <w:r w:rsidRPr="004B2498">
        <w:rPr>
          <w:lang w:eastAsia="fr-FR" w:bidi="fr-FR"/>
        </w:rPr>
        <w:t>, les nations émergentes ne seraient nullement immunisées contre la formation de bulles immobilières ou de spéculations financières dont l’éclatement futur, en plus de la sév</w:t>
      </w:r>
      <w:r w:rsidRPr="004B2498">
        <w:rPr>
          <w:lang w:eastAsia="fr-FR" w:bidi="fr-FR"/>
        </w:rPr>
        <w:t>è</w:t>
      </w:r>
      <w:r w:rsidRPr="004B2498">
        <w:rPr>
          <w:lang w:eastAsia="fr-FR" w:bidi="fr-FR"/>
        </w:rPr>
        <w:t>re récession économique consécutive, entraînerait en outre l’arrêt br</w:t>
      </w:r>
      <w:r w:rsidRPr="004B2498">
        <w:rPr>
          <w:lang w:eastAsia="fr-FR" w:bidi="fr-FR"/>
        </w:rPr>
        <w:t>u</w:t>
      </w:r>
      <w:r w:rsidRPr="004B2498">
        <w:rPr>
          <w:lang w:eastAsia="fr-FR" w:bidi="fr-FR"/>
        </w:rPr>
        <w:t>tal des flux financiers liés aux rachats massifs d’obligations d’État.</w:t>
      </w:r>
    </w:p>
    <w:p w14:paraId="2B4787EF" w14:textId="77777777" w:rsidR="002F4063" w:rsidRPr="004B2498" w:rsidRDefault="002F4063" w:rsidP="002F4063">
      <w:pPr>
        <w:spacing w:before="120" w:after="120"/>
        <w:jc w:val="both"/>
      </w:pPr>
      <w:r w:rsidRPr="004B2498">
        <w:rPr>
          <w:lang w:eastAsia="fr-FR" w:bidi="fr-FR"/>
        </w:rPr>
        <w:t>Au-delà du scénario d’un krach de la zone émergente ou d’un e</w:t>
      </w:r>
      <w:r w:rsidRPr="004B2498">
        <w:rPr>
          <w:lang w:eastAsia="fr-FR" w:bidi="fr-FR"/>
        </w:rPr>
        <w:t>f</w:t>
      </w:r>
      <w:r w:rsidRPr="004B2498">
        <w:rPr>
          <w:lang w:eastAsia="fr-FR" w:bidi="fr-FR"/>
        </w:rPr>
        <w:t>fondrement obligataire et monétaire (crédibilité de l’euro) par indige</w:t>
      </w:r>
      <w:r w:rsidRPr="004B2498">
        <w:rPr>
          <w:lang w:eastAsia="fr-FR" w:bidi="fr-FR"/>
        </w:rPr>
        <w:t>s</w:t>
      </w:r>
      <w:r w:rsidRPr="004B2498">
        <w:rPr>
          <w:lang w:eastAsia="fr-FR" w:bidi="fr-FR"/>
        </w:rPr>
        <w:t>tion des dettes publiques, cette incertitude foncière sur l’évolution f</w:t>
      </w:r>
      <w:r w:rsidRPr="004B2498">
        <w:rPr>
          <w:lang w:eastAsia="fr-FR" w:bidi="fr-FR"/>
        </w:rPr>
        <w:t>u</w:t>
      </w:r>
      <w:r w:rsidRPr="004B2498">
        <w:rPr>
          <w:lang w:eastAsia="fr-FR" w:bidi="fr-FR"/>
        </w:rPr>
        <w:t>ture du capitalisme globalisé révèle en creux un constat implacable : sous l’apparente efficacité d’abord des plans de sauvetage financier puis des</w:t>
      </w:r>
      <w:r>
        <w:t xml:space="preserve"> </w:t>
      </w:r>
      <w:r w:rsidRPr="004B2498">
        <w:t>[42]</w:t>
      </w:r>
      <w:r>
        <w:t xml:space="preserve"> </w:t>
      </w:r>
      <w:r w:rsidRPr="004B2498">
        <w:rPr>
          <w:lang w:eastAsia="fr-FR" w:bidi="fr-FR"/>
        </w:rPr>
        <w:t>programmes de relance économique mis en place par les gouve</w:t>
      </w:r>
      <w:r w:rsidRPr="004B2498">
        <w:rPr>
          <w:lang w:eastAsia="fr-FR" w:bidi="fr-FR"/>
        </w:rPr>
        <w:t>r</w:t>
      </w:r>
      <w:r w:rsidRPr="004B2498">
        <w:rPr>
          <w:lang w:eastAsia="fr-FR" w:bidi="fr-FR"/>
        </w:rPr>
        <w:t>nements de la planète, rien n’a vraiment été fait pour corriger en profondeur les déséquilibres fondamentaux mentionnés précéde</w:t>
      </w:r>
      <w:r w:rsidRPr="004B2498">
        <w:rPr>
          <w:lang w:eastAsia="fr-FR" w:bidi="fr-FR"/>
        </w:rPr>
        <w:t>m</w:t>
      </w:r>
      <w:r w:rsidRPr="004B2498">
        <w:rPr>
          <w:lang w:eastAsia="fr-FR" w:bidi="fr-FR"/>
        </w:rPr>
        <w:t>ment et, rappelons-le, à l’origine de la récente crise. Ces interventions succe</w:t>
      </w:r>
      <w:r w:rsidRPr="004B2498">
        <w:rPr>
          <w:lang w:eastAsia="fr-FR" w:bidi="fr-FR"/>
        </w:rPr>
        <w:t>s</w:t>
      </w:r>
      <w:r w:rsidRPr="004B2498">
        <w:rPr>
          <w:lang w:eastAsia="fr-FR" w:bidi="fr-FR"/>
        </w:rPr>
        <w:t>sives des Etats ont eu en effet pour conséquence inexorable de rem</w:t>
      </w:r>
      <w:r w:rsidRPr="004B2498">
        <w:rPr>
          <w:lang w:eastAsia="fr-FR" w:bidi="fr-FR"/>
        </w:rPr>
        <w:t>o</w:t>
      </w:r>
      <w:r w:rsidRPr="004B2498">
        <w:rPr>
          <w:lang w:eastAsia="fr-FR" w:bidi="fr-FR"/>
        </w:rPr>
        <w:t>deler la « boule-de-neige » financière en lui conférant une fois de plus un clair contenu spéculatif par rapport au fonctionnement de l’économie réelle : les liquidités actuellement en circulation (700 000 milliards d’euros) correspondent toujours à près de douze fois le PIB mondial.</w:t>
      </w:r>
    </w:p>
    <w:p w14:paraId="723699A3" w14:textId="77777777" w:rsidR="002F4063" w:rsidRPr="004B2498" w:rsidRDefault="002F4063" w:rsidP="002F4063">
      <w:pPr>
        <w:spacing w:before="120" w:after="120"/>
        <w:jc w:val="both"/>
      </w:pPr>
      <w:r w:rsidRPr="004B2498">
        <w:rPr>
          <w:lang w:eastAsia="fr-FR" w:bidi="fr-FR"/>
        </w:rPr>
        <w:t>Et cette donnée nous conduit à évoquer le dernier facteur global embrassant tout à la fois l’imprévisibilité des crises ainsi que la repr</w:t>
      </w:r>
      <w:r w:rsidRPr="004B2498">
        <w:rPr>
          <w:lang w:eastAsia="fr-FR" w:bidi="fr-FR"/>
        </w:rPr>
        <w:t>o</w:t>
      </w:r>
      <w:r w:rsidRPr="004B2498">
        <w:rPr>
          <w:lang w:eastAsia="fr-FR" w:bidi="fr-FR"/>
        </w:rPr>
        <w:t>duction des erreurs passées à leur origine. Une tâche doublement complexe qui consiste à tirer les enseignements utiles des expériences historiques d’instabilité financière tout en prenant acte de l’impossibilité d’en restituer une traduction pratique au niveau de la politique économique (Cohen, 2010). Cet élément majeur reconnu souvent a posteriori peut se synthétiser sous la forme d’une réflexion empreinte de bon sens : l’on savait ce qui allait se passer. De no</w:t>
      </w:r>
      <w:r w:rsidRPr="004B2498">
        <w:rPr>
          <w:lang w:eastAsia="fr-FR" w:bidi="fr-FR"/>
        </w:rPr>
        <w:t>m</w:t>
      </w:r>
      <w:r w:rsidRPr="004B2498">
        <w:rPr>
          <w:lang w:eastAsia="fr-FR" w:bidi="fr-FR"/>
        </w:rPr>
        <w:t>breuses évidences empiriques, la connaissance fine des mécanismes de formation de bulles de toute nature, les manifestations précoces des dérives financières, les failles des modèles en vigueur, les conséque</w:t>
      </w:r>
      <w:r w:rsidRPr="004B2498">
        <w:rPr>
          <w:lang w:eastAsia="fr-FR" w:bidi="fr-FR"/>
        </w:rPr>
        <w:t>n</w:t>
      </w:r>
      <w:r w:rsidRPr="004B2498">
        <w:rPr>
          <w:lang w:eastAsia="fr-FR" w:bidi="fr-FR"/>
        </w:rPr>
        <w:t>ces économiques et sociales de l’effondrement des marchés, les a</w:t>
      </w:r>
      <w:r w:rsidRPr="004B2498">
        <w:rPr>
          <w:lang w:eastAsia="fr-FR" w:bidi="fr-FR"/>
        </w:rPr>
        <w:t>c</w:t>
      </w:r>
      <w:r w:rsidRPr="004B2498">
        <w:rPr>
          <w:lang w:eastAsia="fr-FR" w:bidi="fr-FR"/>
        </w:rPr>
        <w:t>tions erronées de politique économique... autant de leçons qui, pour ne pas être seulement répétitives, balisent en permanence les étapes m</w:t>
      </w:r>
      <w:r w:rsidRPr="004B2498">
        <w:rPr>
          <w:lang w:eastAsia="fr-FR" w:bidi="fr-FR"/>
        </w:rPr>
        <w:t>o</w:t>
      </w:r>
      <w:r w:rsidRPr="004B2498">
        <w:rPr>
          <w:lang w:eastAsia="fr-FR" w:bidi="fr-FR"/>
        </w:rPr>
        <w:t>dernes de l’histoire financière du système capitaliste (Orléan, 2010).</w:t>
      </w:r>
    </w:p>
    <w:p w14:paraId="33B0FCCC" w14:textId="77777777" w:rsidR="002F4063" w:rsidRPr="004B2498" w:rsidRDefault="002F4063" w:rsidP="002F4063">
      <w:pPr>
        <w:spacing w:before="120" w:after="120"/>
        <w:jc w:val="both"/>
      </w:pPr>
      <w:r w:rsidRPr="004B2498">
        <w:rPr>
          <w:lang w:eastAsia="fr-FR" w:bidi="fr-FR"/>
        </w:rPr>
        <w:t>Que ces enseignements historiques soient rarement pris en compte explique pour beaucoup le manque généralisé de prévision vis-à-vis des crises (Attali, 2009). Plus précisément, et bien entendu ceci n’a aucune valeur d’excuse, la mémoire collective se refuse la plupart du temps à anticiper les cataclysmes futurs parce qu’encore non advenus. Pour qu’ils soient pris en considération, il est nécessaire qu’ils se pr</w:t>
      </w:r>
      <w:r w:rsidRPr="004B2498">
        <w:rPr>
          <w:lang w:eastAsia="fr-FR" w:bidi="fr-FR"/>
        </w:rPr>
        <w:t>o</w:t>
      </w:r>
      <w:r w:rsidRPr="004B2498">
        <w:rPr>
          <w:lang w:eastAsia="fr-FR" w:bidi="fr-FR"/>
        </w:rPr>
        <w:t>duisent, qu’ils adviennent réellement. La nature potentielle de la crise favorise pour longtemps encore son imprévisibilité (Taleb Nassim, 2008) : tant que l’on n’aura pas, bien entendu, découvert le moyen d’atténuer la persistance de ce biais cognitif.</w:t>
      </w:r>
    </w:p>
    <w:p w14:paraId="27DEFE3F" w14:textId="77777777" w:rsidR="002F4063" w:rsidRPr="004B2498" w:rsidRDefault="002F4063" w:rsidP="002F4063">
      <w:pPr>
        <w:spacing w:before="120" w:after="120"/>
        <w:jc w:val="both"/>
      </w:pPr>
      <w:r w:rsidRPr="004B2498">
        <w:rPr>
          <w:lang w:eastAsia="fr-FR" w:bidi="fr-FR"/>
        </w:rPr>
        <w:t>Dans le même sens, on a coutume de dire qu’une crise s’alimenterait des remèdes employés pour guérir la précédente. Ainsi la crise 2007-2008 se serait produite en raison du traitement admini</w:t>
      </w:r>
      <w:r w:rsidRPr="004B2498">
        <w:rPr>
          <w:lang w:eastAsia="fr-FR" w:bidi="fr-FR"/>
        </w:rPr>
        <w:t>s</w:t>
      </w:r>
      <w:r w:rsidRPr="004B2498">
        <w:rPr>
          <w:lang w:eastAsia="fr-FR" w:bidi="fr-FR"/>
        </w:rPr>
        <w:t>tré (baisse des taux d’intérêt, titrisation financière accélérée, émissions de bons du Trésor américain...) pour résorber la bulle Internet de 2000-2001 qui elle-même avait hérité des mesures drastiques appl</w:t>
      </w:r>
      <w:r w:rsidRPr="004B2498">
        <w:rPr>
          <w:lang w:eastAsia="fr-FR" w:bidi="fr-FR"/>
        </w:rPr>
        <w:t>i</w:t>
      </w:r>
      <w:r w:rsidRPr="004B2498">
        <w:rPr>
          <w:lang w:eastAsia="fr-FR" w:bidi="fr-FR"/>
        </w:rPr>
        <w:t>quées pour sortir les pays asiatiques des turbulences monétaires et f</w:t>
      </w:r>
      <w:r w:rsidRPr="004B2498">
        <w:rPr>
          <w:lang w:eastAsia="fr-FR" w:bidi="fr-FR"/>
        </w:rPr>
        <w:t>i</w:t>
      </w:r>
      <w:r w:rsidRPr="004B2498">
        <w:rPr>
          <w:lang w:eastAsia="fr-FR" w:bidi="fr-FR"/>
        </w:rPr>
        <w:t>nancières de la période 1997-1998 ! À chaque rupture majeure, des centaines de milliards de dollars ou d’euros sont injectées dans</w:t>
      </w:r>
      <w:r>
        <w:t xml:space="preserve"> </w:t>
      </w:r>
      <w:r w:rsidRPr="004B2498">
        <w:t>[43]</w:t>
      </w:r>
      <w:r>
        <w:t xml:space="preserve"> </w:t>
      </w:r>
      <w:r w:rsidRPr="004B2498">
        <w:rPr>
          <w:lang w:eastAsia="fr-FR" w:bidi="fr-FR"/>
        </w:rPr>
        <w:t>les structures industrielles ou financières en difficulté avec pour seule finalité prioritaire l’évitement d’un risque systémique. Ces cré</w:t>
      </w:r>
      <w:r w:rsidRPr="004B2498">
        <w:rPr>
          <w:lang w:eastAsia="fr-FR" w:bidi="fr-FR"/>
        </w:rPr>
        <w:t>a</w:t>
      </w:r>
      <w:r w:rsidRPr="004B2498">
        <w:rPr>
          <w:lang w:eastAsia="fr-FR" w:bidi="fr-FR"/>
        </w:rPr>
        <w:t>tions massives et successives de monnaie stimulent dans une large mesure la formation continue de bulles spéculatives d’actifs immob</w:t>
      </w:r>
      <w:r w:rsidRPr="004B2498">
        <w:rPr>
          <w:lang w:eastAsia="fr-FR" w:bidi="fr-FR"/>
        </w:rPr>
        <w:t>i</w:t>
      </w:r>
      <w:r w:rsidRPr="004B2498">
        <w:rPr>
          <w:lang w:eastAsia="fr-FR" w:bidi="fr-FR"/>
        </w:rPr>
        <w:t>liers ou financiers. Lorsqu’elles atteignent un point de non-retour, elles expl</w:t>
      </w:r>
      <w:r w:rsidRPr="004B2498">
        <w:rPr>
          <w:lang w:eastAsia="fr-FR" w:bidi="fr-FR"/>
        </w:rPr>
        <w:t>o</w:t>
      </w:r>
      <w:r w:rsidRPr="004B2498">
        <w:rPr>
          <w:lang w:eastAsia="fr-FR" w:bidi="fr-FR"/>
        </w:rPr>
        <w:t>sent soudainement en déclenchant une récession plus sévère, plus lo</w:t>
      </w:r>
      <w:r w:rsidRPr="004B2498">
        <w:rPr>
          <w:lang w:eastAsia="fr-FR" w:bidi="fr-FR"/>
        </w:rPr>
        <w:t>n</w:t>
      </w:r>
      <w:r w:rsidRPr="004B2498">
        <w:rPr>
          <w:lang w:eastAsia="fr-FR" w:bidi="fr-FR"/>
        </w:rPr>
        <w:t>gue et plus coûteuse socialement que la précédente.</w:t>
      </w:r>
    </w:p>
    <w:p w14:paraId="30CC6C16" w14:textId="77777777" w:rsidR="002F4063" w:rsidRPr="004B2498" w:rsidRDefault="002F4063" w:rsidP="002F4063">
      <w:pPr>
        <w:spacing w:before="120" w:after="120"/>
        <w:jc w:val="both"/>
        <w:rPr>
          <w:lang w:eastAsia="fr-FR" w:bidi="fr-FR"/>
        </w:rPr>
      </w:pPr>
      <w:r w:rsidRPr="004B2498">
        <w:rPr>
          <w:lang w:eastAsia="fr-FR" w:bidi="fr-FR"/>
        </w:rPr>
        <w:t>Produire en permanence de la liquidité pour rendre les marchés toujours plus fluides est enfin une aberration économique puisque di</w:t>
      </w:r>
      <w:r w:rsidRPr="004B2498">
        <w:rPr>
          <w:lang w:eastAsia="fr-FR" w:bidi="fr-FR"/>
        </w:rPr>
        <w:t>s</w:t>
      </w:r>
      <w:r w:rsidRPr="004B2498">
        <w:rPr>
          <w:lang w:eastAsia="fr-FR" w:bidi="fr-FR"/>
        </w:rPr>
        <w:t>sociée d’une commensurabilité matérielle qui donne sens à l’accomplissement des activités de l’économie réelle. D’un point de vue cognitif, l’obsession compulsive pour l’hyperliquidité des ma</w:t>
      </w:r>
      <w:r w:rsidRPr="004B2498">
        <w:rPr>
          <w:lang w:eastAsia="fr-FR" w:bidi="fr-FR"/>
        </w:rPr>
        <w:t>r</w:t>
      </w:r>
      <w:r w:rsidRPr="004B2498">
        <w:rPr>
          <w:lang w:eastAsia="fr-FR" w:bidi="fr-FR"/>
        </w:rPr>
        <w:t>chés financiers renvoie implicitement aux postulats fondateurs de la théorie néolibérale lesquels ont pour vocation principale de formaliser les attentes et les gains associés au choix rationnel de l’investisseur. Comportement idéalisé que les pratiques de la finance de marché contredisent en s’excipant de tout (auto) contrôle effectif sur la fourn</w:t>
      </w:r>
      <w:r w:rsidRPr="004B2498">
        <w:rPr>
          <w:lang w:eastAsia="fr-FR" w:bidi="fr-FR"/>
        </w:rPr>
        <w:t>i</w:t>
      </w:r>
      <w:r w:rsidRPr="004B2498">
        <w:rPr>
          <w:lang w:eastAsia="fr-FR" w:bidi="fr-FR"/>
        </w:rPr>
        <w:t>ture en liquidités due à une prolifération de produits financiers non adossés à des contreparties physiques ou économiques concrètes (O</w:t>
      </w:r>
      <w:r w:rsidRPr="004B2498">
        <w:rPr>
          <w:lang w:eastAsia="fr-FR" w:bidi="fr-FR"/>
        </w:rPr>
        <w:t>r</w:t>
      </w:r>
      <w:r w:rsidRPr="004B2498">
        <w:rPr>
          <w:lang w:eastAsia="fr-FR" w:bidi="fr-FR"/>
        </w:rPr>
        <w:t>léan, 2008). Si on admet la nécessité d’un changement de paradigme en matière d’interprétation des crises financières, cela implique non seulement de revoir les procédures de fonctionnement et de régulation de la finance globalisée mais aussi de reconsidérer les principaux o</w:t>
      </w:r>
      <w:r w:rsidRPr="004B2498">
        <w:rPr>
          <w:lang w:eastAsia="fr-FR" w:bidi="fr-FR"/>
        </w:rPr>
        <w:t>u</w:t>
      </w:r>
      <w:r w:rsidRPr="004B2498">
        <w:rPr>
          <w:lang w:eastAsia="fr-FR" w:bidi="fr-FR"/>
        </w:rPr>
        <w:t>tils de la politique économique actuelle (Artus, Virard, 2010).</w:t>
      </w:r>
    </w:p>
    <w:p w14:paraId="2D5B607C" w14:textId="77777777" w:rsidR="002F4063" w:rsidRPr="004B2498" w:rsidRDefault="002F4063" w:rsidP="002F4063">
      <w:pPr>
        <w:spacing w:before="120" w:after="120"/>
        <w:jc w:val="both"/>
      </w:pPr>
      <w:r>
        <w:br w:type="page"/>
      </w:r>
    </w:p>
    <w:p w14:paraId="25913C61" w14:textId="77777777" w:rsidR="002F4063" w:rsidRPr="004B2498" w:rsidRDefault="002F4063" w:rsidP="002F4063">
      <w:pPr>
        <w:pStyle w:val="planche"/>
        <w:rPr>
          <w:lang w:eastAsia="fr-FR" w:bidi="fr-FR"/>
        </w:rPr>
      </w:pPr>
      <w:r w:rsidRPr="00190A53">
        <w:t>Références bibliographiques</w:t>
      </w:r>
    </w:p>
    <w:p w14:paraId="4FC62C14" w14:textId="77777777" w:rsidR="002F4063" w:rsidRPr="004B2498" w:rsidRDefault="002F4063" w:rsidP="002F4063">
      <w:pPr>
        <w:spacing w:before="120" w:after="120"/>
        <w:jc w:val="both"/>
      </w:pPr>
    </w:p>
    <w:p w14:paraId="0095E91D" w14:textId="77777777" w:rsidR="002F4063" w:rsidRPr="004B2498" w:rsidRDefault="002F4063" w:rsidP="002F4063">
      <w:pPr>
        <w:spacing w:before="120" w:after="120"/>
        <w:jc w:val="both"/>
      </w:pPr>
      <w:r w:rsidRPr="004B2498">
        <w:t xml:space="preserve">AGLIETTA </w:t>
      </w:r>
      <w:r w:rsidRPr="004B2498">
        <w:rPr>
          <w:lang w:eastAsia="fr-FR" w:bidi="fr-FR"/>
        </w:rPr>
        <w:t xml:space="preserve">Michel, </w:t>
      </w:r>
      <w:r w:rsidRPr="004B2498">
        <w:t xml:space="preserve">BERREBI </w:t>
      </w:r>
      <w:r w:rsidRPr="004B2498">
        <w:rPr>
          <w:lang w:eastAsia="fr-FR" w:bidi="fr-FR"/>
        </w:rPr>
        <w:t xml:space="preserve">Laurent, 2007 : </w:t>
      </w:r>
      <w:r w:rsidRPr="00BF2E2D">
        <w:rPr>
          <w:i/>
        </w:rPr>
        <w:t>Désordres dans le capitalisme mondial</w:t>
      </w:r>
      <w:r w:rsidRPr="004B2498">
        <w:rPr>
          <w:lang w:eastAsia="fr-FR" w:bidi="fr-FR"/>
        </w:rPr>
        <w:t>, Odile Jacob, 445 p.</w:t>
      </w:r>
    </w:p>
    <w:p w14:paraId="121CBBF4" w14:textId="77777777" w:rsidR="002F4063" w:rsidRPr="004B2498" w:rsidRDefault="002F4063" w:rsidP="002F4063">
      <w:pPr>
        <w:spacing w:before="120" w:after="120"/>
        <w:jc w:val="both"/>
        <w:rPr>
          <w:lang w:eastAsia="fr-FR" w:bidi="fr-FR"/>
        </w:rPr>
      </w:pPr>
      <w:r w:rsidRPr="004B2498">
        <w:rPr>
          <w:lang w:eastAsia="fr-FR" w:bidi="fr-FR"/>
        </w:rPr>
        <w:t xml:space="preserve">AGLIETTA Michel, RIGOT Sandra, 2009 : </w:t>
      </w:r>
      <w:r w:rsidRPr="00BF2E2D">
        <w:rPr>
          <w:i/>
          <w:lang w:eastAsia="fr-FR" w:bidi="fr-FR"/>
        </w:rPr>
        <w:t>Crise et rénovation f</w:t>
      </w:r>
      <w:r w:rsidRPr="00BF2E2D">
        <w:rPr>
          <w:i/>
          <w:lang w:eastAsia="fr-FR" w:bidi="fr-FR"/>
        </w:rPr>
        <w:t>i</w:t>
      </w:r>
      <w:r w:rsidRPr="00BF2E2D">
        <w:rPr>
          <w:i/>
          <w:lang w:eastAsia="fr-FR" w:bidi="fr-FR"/>
        </w:rPr>
        <w:t>nancière</w:t>
      </w:r>
      <w:r w:rsidRPr="004B2498">
        <w:rPr>
          <w:lang w:eastAsia="fr-FR" w:bidi="fr-FR"/>
        </w:rPr>
        <w:t>, Odile Jacob, 368 p.</w:t>
      </w:r>
    </w:p>
    <w:p w14:paraId="73633EE1" w14:textId="77777777" w:rsidR="002F4063" w:rsidRPr="004B2498" w:rsidRDefault="002F4063" w:rsidP="002F4063">
      <w:pPr>
        <w:spacing w:before="120" w:after="120"/>
        <w:jc w:val="both"/>
        <w:rPr>
          <w:lang w:eastAsia="fr-FR" w:bidi="fr-FR"/>
        </w:rPr>
      </w:pPr>
      <w:r w:rsidRPr="00A93F68">
        <w:t xml:space="preserve">ARTUS </w:t>
      </w:r>
      <w:r w:rsidRPr="004B2498">
        <w:rPr>
          <w:lang w:eastAsia="fr-FR" w:bidi="fr-FR"/>
        </w:rPr>
        <w:t xml:space="preserve">Patrick, </w:t>
      </w:r>
      <w:r w:rsidRPr="00A93F68">
        <w:t xml:space="preserve">VIRARD </w:t>
      </w:r>
      <w:r w:rsidRPr="004B2498">
        <w:rPr>
          <w:lang w:eastAsia="fr-FR" w:bidi="fr-FR"/>
        </w:rPr>
        <w:t xml:space="preserve">Marie-Paule, 2010 : </w:t>
      </w:r>
      <w:r w:rsidRPr="00BF2E2D">
        <w:rPr>
          <w:i/>
          <w:lang w:eastAsia="fr-FR" w:bidi="fr-FR"/>
        </w:rPr>
        <w:t>La liquidité i</w:t>
      </w:r>
      <w:r w:rsidRPr="00BF2E2D">
        <w:rPr>
          <w:i/>
          <w:lang w:eastAsia="fr-FR" w:bidi="fr-FR"/>
        </w:rPr>
        <w:t>n</w:t>
      </w:r>
      <w:r w:rsidRPr="00BF2E2D">
        <w:rPr>
          <w:i/>
          <w:lang w:eastAsia="fr-FR" w:bidi="fr-FR"/>
        </w:rPr>
        <w:t>contrôlable. Qui va maîtriser la monnaie mondiale ?</w:t>
      </w:r>
      <w:r w:rsidRPr="004B2498">
        <w:rPr>
          <w:lang w:eastAsia="fr-FR" w:bidi="fr-FR"/>
        </w:rPr>
        <w:t xml:space="preserve"> Pearson, 144 p.</w:t>
      </w:r>
    </w:p>
    <w:p w14:paraId="41702EC5" w14:textId="77777777" w:rsidR="002F4063" w:rsidRPr="004B2498" w:rsidRDefault="002F4063" w:rsidP="002F4063">
      <w:pPr>
        <w:spacing w:before="120" w:after="120"/>
        <w:jc w:val="both"/>
        <w:rPr>
          <w:lang w:eastAsia="fr-FR" w:bidi="fr-FR"/>
        </w:rPr>
      </w:pPr>
      <w:r w:rsidRPr="004B2498">
        <w:rPr>
          <w:lang w:eastAsia="fr-FR" w:bidi="fr-FR"/>
        </w:rPr>
        <w:t xml:space="preserve">ATTALI Jacques, 2009 : </w:t>
      </w:r>
      <w:r w:rsidRPr="00BF2E2D">
        <w:rPr>
          <w:i/>
          <w:lang w:eastAsia="fr-FR" w:bidi="fr-FR"/>
        </w:rPr>
        <w:t>La crise et après ?</w:t>
      </w:r>
      <w:r w:rsidRPr="004B2498">
        <w:rPr>
          <w:lang w:eastAsia="fr-FR" w:bidi="fr-FR"/>
        </w:rPr>
        <w:t xml:space="preserve"> Fayard, 210 p.</w:t>
      </w:r>
    </w:p>
    <w:p w14:paraId="07BF0287" w14:textId="77777777" w:rsidR="002F4063" w:rsidRPr="004B2498" w:rsidRDefault="002F4063" w:rsidP="002F4063">
      <w:pPr>
        <w:spacing w:before="120" w:after="120"/>
        <w:jc w:val="both"/>
        <w:rPr>
          <w:lang w:eastAsia="fr-FR" w:bidi="fr-FR"/>
        </w:rPr>
      </w:pPr>
      <w:r w:rsidRPr="004B2498">
        <w:rPr>
          <w:lang w:eastAsia="fr-FR" w:bidi="fr-FR"/>
        </w:rPr>
        <w:t xml:space="preserve">Ben Hammouda H., Oulmane N., Sadni Jallab 2010 : Crise... </w:t>
      </w:r>
      <w:r w:rsidRPr="00BF2E2D">
        <w:rPr>
          <w:i/>
          <w:lang w:eastAsia="fr-FR" w:bidi="fr-FR"/>
        </w:rPr>
        <w:t>Le naufrage des économistes ?</w:t>
      </w:r>
      <w:r w:rsidRPr="004B2498">
        <w:rPr>
          <w:lang w:eastAsia="fr-FR" w:bidi="fr-FR"/>
        </w:rPr>
        <w:t xml:space="preserve"> Deboeck, 233 p.</w:t>
      </w:r>
    </w:p>
    <w:p w14:paraId="45D0A90B" w14:textId="77777777" w:rsidR="002F4063" w:rsidRPr="004B2498" w:rsidRDefault="002F4063" w:rsidP="002F4063">
      <w:pPr>
        <w:spacing w:before="120" w:after="120"/>
        <w:jc w:val="both"/>
        <w:rPr>
          <w:lang w:eastAsia="fr-FR" w:bidi="fr-FR"/>
        </w:rPr>
      </w:pPr>
      <w:r w:rsidRPr="004B2498">
        <w:rPr>
          <w:lang w:eastAsia="fr-FR" w:bidi="fr-FR"/>
        </w:rPr>
        <w:t xml:space="preserve">BOUGNOUX Daniel, 2008 : « On liquide », </w:t>
      </w:r>
      <w:r w:rsidRPr="00BF2E2D">
        <w:rPr>
          <w:i/>
          <w:lang w:eastAsia="fr-FR" w:bidi="fr-FR"/>
        </w:rPr>
        <w:t>Médium</w:t>
      </w:r>
      <w:r w:rsidRPr="004B2498">
        <w:rPr>
          <w:lang w:eastAsia="fr-FR" w:bidi="fr-FR"/>
        </w:rPr>
        <w:t>, n° 16-17, dossier spécial sur « L’argent maître », juillet-décembre, p. 358-375.</w:t>
      </w:r>
    </w:p>
    <w:p w14:paraId="70F1E715" w14:textId="77777777" w:rsidR="002F4063" w:rsidRPr="004B2498" w:rsidRDefault="002F4063" w:rsidP="002F4063">
      <w:pPr>
        <w:spacing w:before="120" w:after="120"/>
        <w:jc w:val="both"/>
        <w:rPr>
          <w:lang w:eastAsia="fr-FR" w:bidi="fr-FR"/>
        </w:rPr>
      </w:pPr>
      <w:r w:rsidRPr="004B2498">
        <w:rPr>
          <w:lang w:eastAsia="fr-FR" w:bidi="fr-FR"/>
        </w:rPr>
        <w:t xml:space="preserve">BRENDER Anton, PISANI Florence, 2009 : </w:t>
      </w:r>
      <w:r w:rsidRPr="00BF2E2D">
        <w:rPr>
          <w:i/>
          <w:lang w:eastAsia="fr-FR" w:bidi="fr-FR"/>
        </w:rPr>
        <w:t>La crise de la finance globalisée</w:t>
      </w:r>
      <w:r w:rsidRPr="004B2498">
        <w:rPr>
          <w:lang w:eastAsia="fr-FR" w:bidi="fr-FR"/>
        </w:rPr>
        <w:t>, La Découverte, coll. « Repères » n° 533, 128 p.</w:t>
      </w:r>
    </w:p>
    <w:p w14:paraId="0B3AF38A" w14:textId="77777777" w:rsidR="002F4063" w:rsidRPr="004B2498" w:rsidRDefault="002F4063" w:rsidP="002F4063">
      <w:pPr>
        <w:spacing w:before="120" w:after="120"/>
        <w:jc w:val="both"/>
        <w:rPr>
          <w:lang w:eastAsia="fr-FR" w:bidi="fr-FR"/>
        </w:rPr>
      </w:pPr>
      <w:r w:rsidRPr="004B2498">
        <w:rPr>
          <w:lang w:eastAsia="fr-FR" w:bidi="fr-FR"/>
        </w:rPr>
        <w:t xml:space="preserve">COHEN Élie, 2010 : </w:t>
      </w:r>
      <w:r w:rsidRPr="00BF2E2D">
        <w:rPr>
          <w:i/>
          <w:lang w:eastAsia="fr-FR" w:bidi="fr-FR"/>
        </w:rPr>
        <w:t>Penser la crise</w:t>
      </w:r>
      <w:r w:rsidRPr="004B2498">
        <w:rPr>
          <w:lang w:eastAsia="fr-FR" w:bidi="fr-FR"/>
        </w:rPr>
        <w:t>.</w:t>
      </w:r>
      <w:r>
        <w:rPr>
          <w:lang w:eastAsia="fr-FR" w:bidi="fr-FR"/>
        </w:rPr>
        <w:t xml:space="preserve"> </w:t>
      </w:r>
      <w:r w:rsidRPr="004B2498">
        <w:rPr>
          <w:lang w:eastAsia="fr-FR" w:bidi="fr-FR"/>
        </w:rPr>
        <w:t>Fayard, 432 p.</w:t>
      </w:r>
    </w:p>
    <w:p w14:paraId="6F9D9F9D" w14:textId="77777777" w:rsidR="002F4063" w:rsidRPr="004B2498" w:rsidRDefault="002F4063" w:rsidP="002F4063">
      <w:pPr>
        <w:spacing w:before="120" w:after="120"/>
        <w:jc w:val="both"/>
        <w:rPr>
          <w:lang w:eastAsia="fr-FR" w:bidi="fr-FR"/>
        </w:rPr>
      </w:pPr>
      <w:r w:rsidRPr="004B2498">
        <w:rPr>
          <w:lang w:eastAsia="fr-FR" w:bidi="fr-FR"/>
        </w:rPr>
        <w:t>[44]</w:t>
      </w:r>
    </w:p>
    <w:p w14:paraId="0D0149DE" w14:textId="77777777" w:rsidR="002F4063" w:rsidRPr="004B2498" w:rsidRDefault="002F4063" w:rsidP="002F4063">
      <w:pPr>
        <w:spacing w:before="120" w:after="120"/>
        <w:jc w:val="both"/>
        <w:rPr>
          <w:lang w:eastAsia="fr-FR" w:bidi="fr-FR"/>
        </w:rPr>
      </w:pPr>
      <w:r w:rsidRPr="004B2498">
        <w:rPr>
          <w:lang w:eastAsia="fr-FR" w:bidi="fr-FR"/>
        </w:rPr>
        <w:t xml:space="preserve">De La DEHESA Guillermo, 2009 : </w:t>
      </w:r>
      <w:r w:rsidRPr="00BF2E2D">
        <w:rPr>
          <w:i/>
          <w:lang w:eastAsia="fr-FR" w:bidi="fr-FR"/>
        </w:rPr>
        <w:t>La primera gran crisis fina</w:t>
      </w:r>
      <w:r w:rsidRPr="00BF2E2D">
        <w:rPr>
          <w:i/>
          <w:lang w:eastAsia="fr-FR" w:bidi="fr-FR"/>
        </w:rPr>
        <w:t>n</w:t>
      </w:r>
      <w:r w:rsidRPr="00BF2E2D">
        <w:rPr>
          <w:i/>
          <w:lang w:eastAsia="fr-FR" w:bidi="fr-FR"/>
        </w:rPr>
        <w:t>ciera del siglo XXI Origenes, detonantes, efectos, respuestas y rem</w:t>
      </w:r>
      <w:r w:rsidRPr="00BF2E2D">
        <w:rPr>
          <w:i/>
          <w:lang w:eastAsia="fr-FR" w:bidi="fr-FR"/>
        </w:rPr>
        <w:t>e</w:t>
      </w:r>
      <w:r w:rsidRPr="00BF2E2D">
        <w:rPr>
          <w:i/>
          <w:lang w:eastAsia="fr-FR" w:bidi="fr-FR"/>
        </w:rPr>
        <w:t>dios</w:t>
      </w:r>
      <w:r w:rsidRPr="004B2498">
        <w:rPr>
          <w:lang w:eastAsia="fr-FR" w:bidi="fr-FR"/>
        </w:rPr>
        <w:t>... Alianza Editorial, 3e édition, 583 p.</w:t>
      </w:r>
    </w:p>
    <w:p w14:paraId="057B78A2" w14:textId="77777777" w:rsidR="002F4063" w:rsidRPr="004B2498" w:rsidRDefault="002F4063" w:rsidP="002F4063">
      <w:pPr>
        <w:spacing w:before="120" w:after="120"/>
        <w:jc w:val="both"/>
        <w:rPr>
          <w:lang w:eastAsia="fr-FR" w:bidi="fr-FR"/>
        </w:rPr>
      </w:pPr>
      <w:r w:rsidRPr="004B2498">
        <w:rPr>
          <w:lang w:eastAsia="fr-FR" w:bidi="fr-FR"/>
        </w:rPr>
        <w:t>GOUX Jean-Joseph, 2008 : « Spéculations fatales. La crise éc</w:t>
      </w:r>
      <w:r w:rsidRPr="004B2498">
        <w:rPr>
          <w:lang w:eastAsia="fr-FR" w:bidi="fr-FR"/>
        </w:rPr>
        <w:t>o</w:t>
      </w:r>
      <w:r w:rsidRPr="004B2498">
        <w:rPr>
          <w:lang w:eastAsia="fr-FR" w:bidi="fr-FR"/>
        </w:rPr>
        <w:t xml:space="preserve">nomique de 2008 », </w:t>
      </w:r>
      <w:r w:rsidRPr="00BF2E2D">
        <w:rPr>
          <w:i/>
          <w:lang w:eastAsia="fr-FR" w:bidi="fr-FR"/>
        </w:rPr>
        <w:t>Esprit</w:t>
      </w:r>
      <w:r w:rsidRPr="004B2498">
        <w:rPr>
          <w:lang w:eastAsia="fr-FR" w:bidi="fr-FR"/>
        </w:rPr>
        <w:t>, n° 12, décembre, p. 39-50.</w:t>
      </w:r>
    </w:p>
    <w:p w14:paraId="6CCF8E0E" w14:textId="77777777" w:rsidR="002F4063" w:rsidRPr="004B2498" w:rsidRDefault="002F4063" w:rsidP="002F4063">
      <w:pPr>
        <w:spacing w:before="120" w:after="120"/>
        <w:jc w:val="both"/>
        <w:rPr>
          <w:lang w:eastAsia="fr-FR" w:bidi="fr-FR"/>
        </w:rPr>
      </w:pPr>
      <w:r w:rsidRPr="004B2498">
        <w:rPr>
          <w:lang w:eastAsia="fr-FR" w:bidi="fr-FR"/>
        </w:rPr>
        <w:t xml:space="preserve">GRAVEREAU Jacques, TRAUMAN Jacques, 2001 : « Introduction », in : GRAVEREAU Jacques, TRAUMAN Jacques (éd.), </w:t>
      </w:r>
      <w:r w:rsidRPr="00BF2E2D">
        <w:rPr>
          <w:i/>
          <w:lang w:eastAsia="fr-FR" w:bidi="fr-FR"/>
        </w:rPr>
        <w:t>Crises financières</w:t>
      </w:r>
      <w:r w:rsidRPr="004B2498">
        <w:rPr>
          <w:lang w:eastAsia="fr-FR" w:bidi="fr-FR"/>
        </w:rPr>
        <w:t>, Economica, p. 1-32.</w:t>
      </w:r>
    </w:p>
    <w:p w14:paraId="7189998E" w14:textId="77777777" w:rsidR="002F4063" w:rsidRPr="004B2498" w:rsidRDefault="002F4063" w:rsidP="002F4063">
      <w:pPr>
        <w:spacing w:before="120" w:after="120"/>
        <w:jc w:val="both"/>
        <w:rPr>
          <w:lang w:eastAsia="fr-FR" w:bidi="fr-FR"/>
        </w:rPr>
      </w:pPr>
      <w:r w:rsidRPr="004B2498">
        <w:rPr>
          <w:lang w:eastAsia="fr-FR" w:bidi="fr-FR"/>
        </w:rPr>
        <w:t xml:space="preserve">GRÉAU Jean-Luc, 2008 : « La crise : imprudence et avidité », </w:t>
      </w:r>
      <w:r w:rsidRPr="00BF2E2D">
        <w:rPr>
          <w:i/>
          <w:lang w:eastAsia="fr-FR" w:bidi="fr-FR"/>
        </w:rPr>
        <w:t>Médium</w:t>
      </w:r>
      <w:r w:rsidRPr="004B2498">
        <w:rPr>
          <w:lang w:eastAsia="fr-FR" w:bidi="fr-FR"/>
        </w:rPr>
        <w:t>, n° 16-17, dossier spécial sur « L’argent maître », juillet-décembre, p. 346-357.</w:t>
      </w:r>
    </w:p>
    <w:p w14:paraId="46D4E122" w14:textId="77777777" w:rsidR="002F4063" w:rsidRPr="004B2498" w:rsidRDefault="002F4063" w:rsidP="002F4063">
      <w:pPr>
        <w:spacing w:before="120" w:after="120"/>
        <w:jc w:val="both"/>
        <w:rPr>
          <w:lang w:eastAsia="fr-FR" w:bidi="fr-FR"/>
        </w:rPr>
      </w:pPr>
      <w:r w:rsidRPr="004B2498">
        <w:rPr>
          <w:lang w:eastAsia="fr-FR" w:bidi="fr-FR"/>
        </w:rPr>
        <w:t xml:space="preserve">JORION Paul, 2008 : « La compréhension des crises financières et de leur répétition », </w:t>
      </w:r>
      <w:r w:rsidRPr="00BF2E2D">
        <w:rPr>
          <w:i/>
          <w:lang w:eastAsia="fr-FR" w:bidi="fr-FR"/>
        </w:rPr>
        <w:t>Savoir-Agir</w:t>
      </w:r>
      <w:r w:rsidRPr="004B2498">
        <w:rPr>
          <w:lang w:eastAsia="fr-FR" w:bidi="fr-FR"/>
        </w:rPr>
        <w:t>, n° 4, dossier spécial « La crise fina</w:t>
      </w:r>
      <w:r w:rsidRPr="004B2498">
        <w:rPr>
          <w:lang w:eastAsia="fr-FR" w:bidi="fr-FR"/>
        </w:rPr>
        <w:t>n</w:t>
      </w:r>
      <w:r w:rsidRPr="004B2498">
        <w:rPr>
          <w:lang w:eastAsia="fr-FR" w:bidi="fr-FR"/>
        </w:rPr>
        <w:t>cière, crise de croyance ? », juin, p. 11-18, Éditions Du Croquant.</w:t>
      </w:r>
    </w:p>
    <w:p w14:paraId="6FCDBBA0" w14:textId="77777777" w:rsidR="002F4063" w:rsidRPr="004B2498" w:rsidRDefault="002F4063" w:rsidP="002F4063">
      <w:pPr>
        <w:spacing w:before="120" w:after="120"/>
        <w:jc w:val="both"/>
        <w:rPr>
          <w:lang w:eastAsia="fr-FR" w:bidi="fr-FR"/>
        </w:rPr>
      </w:pPr>
      <w:r w:rsidRPr="004B2498">
        <w:rPr>
          <w:lang w:eastAsia="fr-FR" w:bidi="fr-FR"/>
        </w:rPr>
        <w:t xml:space="preserve">LENGLET François, 2008 : « 1929-2009 », </w:t>
      </w:r>
      <w:r w:rsidRPr="00BF2E2D">
        <w:rPr>
          <w:i/>
          <w:lang w:eastAsia="fr-FR" w:bidi="fr-FR"/>
        </w:rPr>
        <w:t>Médium</w:t>
      </w:r>
      <w:r w:rsidRPr="004B2498">
        <w:rPr>
          <w:lang w:eastAsia="fr-FR" w:bidi="fr-FR"/>
        </w:rPr>
        <w:t>, n° 16-17, dossier spécial sur « L’argent maître », juillet-décembre, p. 131-141.</w:t>
      </w:r>
    </w:p>
    <w:p w14:paraId="42A3E701" w14:textId="77777777" w:rsidR="002F4063" w:rsidRPr="004B2498" w:rsidRDefault="002F4063" w:rsidP="002F4063">
      <w:pPr>
        <w:spacing w:before="120" w:after="120"/>
        <w:jc w:val="both"/>
        <w:rPr>
          <w:lang w:eastAsia="fr-FR" w:bidi="fr-FR"/>
        </w:rPr>
      </w:pPr>
      <w:r w:rsidRPr="00A93F68">
        <w:t xml:space="preserve">MARICHAL </w:t>
      </w:r>
      <w:r w:rsidRPr="004B2498">
        <w:rPr>
          <w:lang w:eastAsia="fr-FR" w:bidi="fr-FR"/>
        </w:rPr>
        <w:t xml:space="preserve">Carlos, 2010 : </w:t>
      </w:r>
      <w:r w:rsidRPr="00BF2E2D">
        <w:rPr>
          <w:i/>
          <w:lang w:eastAsia="fr-FR" w:bidi="fr-FR"/>
        </w:rPr>
        <w:t>Nueva historia de las grandes crisis Jina</w:t>
      </w:r>
      <w:r w:rsidRPr="00BF2E2D">
        <w:rPr>
          <w:i/>
          <w:lang w:eastAsia="fr-FR" w:bidi="fr-FR"/>
        </w:rPr>
        <w:t>n</w:t>
      </w:r>
      <w:r w:rsidRPr="00BF2E2D">
        <w:rPr>
          <w:i/>
          <w:lang w:eastAsia="fr-FR" w:bidi="fr-FR"/>
        </w:rPr>
        <w:t>cieras. Una perspectiva global, 1873-2008</w:t>
      </w:r>
      <w:r w:rsidRPr="004B2498">
        <w:rPr>
          <w:lang w:eastAsia="fr-FR" w:bidi="fr-FR"/>
        </w:rPr>
        <w:t>, Debate, coll. « Historia/Economia », 420 p.</w:t>
      </w:r>
    </w:p>
    <w:p w14:paraId="24E1F133" w14:textId="77777777" w:rsidR="002F4063" w:rsidRPr="004B2498" w:rsidRDefault="002F4063" w:rsidP="002F4063">
      <w:pPr>
        <w:spacing w:before="120" w:after="120"/>
        <w:jc w:val="both"/>
        <w:rPr>
          <w:lang w:eastAsia="fr-FR" w:bidi="fr-FR"/>
        </w:rPr>
      </w:pPr>
      <w:r w:rsidRPr="004B2498">
        <w:rPr>
          <w:lang w:eastAsia="fr-FR" w:bidi="fr-FR"/>
        </w:rPr>
        <w:t>MONGIN Olivier, 2008 : « Prégnance du modèle boursier et vol</w:t>
      </w:r>
      <w:r w:rsidRPr="004B2498">
        <w:rPr>
          <w:lang w:eastAsia="fr-FR" w:bidi="fr-FR"/>
        </w:rPr>
        <w:t>a</w:t>
      </w:r>
      <w:r w:rsidRPr="004B2498">
        <w:rPr>
          <w:lang w:eastAsia="fr-FR" w:bidi="fr-FR"/>
        </w:rPr>
        <w:t xml:space="preserve">tilité de la valeur », </w:t>
      </w:r>
      <w:r w:rsidRPr="00BF2E2D">
        <w:rPr>
          <w:i/>
          <w:lang w:eastAsia="fr-FR" w:bidi="fr-FR"/>
        </w:rPr>
        <w:t>Esprit</w:t>
      </w:r>
      <w:r w:rsidRPr="004B2498">
        <w:rPr>
          <w:lang w:eastAsia="fr-FR" w:bidi="fr-FR"/>
        </w:rPr>
        <w:t>, n° 11, novembre, p. 138-150.</w:t>
      </w:r>
    </w:p>
    <w:p w14:paraId="0AEEF138" w14:textId="77777777" w:rsidR="002F4063" w:rsidRPr="004B2498" w:rsidRDefault="002F4063" w:rsidP="002F4063">
      <w:pPr>
        <w:spacing w:before="120" w:after="120"/>
        <w:jc w:val="both"/>
        <w:rPr>
          <w:lang w:eastAsia="fr-FR" w:bidi="fr-FR"/>
        </w:rPr>
      </w:pPr>
      <w:r w:rsidRPr="004B2498">
        <w:rPr>
          <w:lang w:eastAsia="fr-FR" w:bidi="fr-FR"/>
        </w:rPr>
        <w:t xml:space="preserve">ORLÉAN André, 2008 : « Au-delà de la transparence de l’information, contrôler la liquidité », </w:t>
      </w:r>
      <w:r w:rsidRPr="00BF2E2D">
        <w:rPr>
          <w:i/>
          <w:lang w:eastAsia="fr-FR" w:bidi="fr-FR"/>
        </w:rPr>
        <w:t>Esprit</w:t>
      </w:r>
      <w:r w:rsidRPr="004B2498">
        <w:rPr>
          <w:lang w:eastAsia="fr-FR" w:bidi="fr-FR"/>
        </w:rPr>
        <w:t>, n° 11, novembre, p. 38-42.</w:t>
      </w:r>
    </w:p>
    <w:p w14:paraId="0BA8B3F5" w14:textId="77777777" w:rsidR="002F4063" w:rsidRPr="004B2498" w:rsidRDefault="002F4063" w:rsidP="002F4063">
      <w:pPr>
        <w:spacing w:before="120" w:after="120"/>
        <w:jc w:val="both"/>
        <w:rPr>
          <w:lang w:eastAsia="fr-FR" w:bidi="fr-FR"/>
        </w:rPr>
      </w:pPr>
      <w:r w:rsidRPr="004B2498">
        <w:rPr>
          <w:lang w:eastAsia="fr-FR" w:bidi="fr-FR"/>
        </w:rPr>
        <w:t>ORLÉAN André, 2010 : De l’euphorie à la panique : penser la cr</w:t>
      </w:r>
      <w:r w:rsidRPr="004B2498">
        <w:rPr>
          <w:lang w:eastAsia="fr-FR" w:bidi="fr-FR"/>
        </w:rPr>
        <w:t>i</w:t>
      </w:r>
      <w:r w:rsidRPr="004B2498">
        <w:rPr>
          <w:lang w:eastAsia="fr-FR" w:bidi="fr-FR"/>
        </w:rPr>
        <w:t xml:space="preserve">se financière, ENS rue d’Ulm, </w:t>
      </w:r>
      <w:r w:rsidRPr="00BF2E2D">
        <w:rPr>
          <w:i/>
          <w:lang w:eastAsia="fr-FR" w:bidi="fr-FR"/>
        </w:rPr>
        <w:t>CEPREMAP</w:t>
      </w:r>
      <w:r w:rsidRPr="004B2498">
        <w:rPr>
          <w:lang w:eastAsia="fr-FR" w:bidi="fr-FR"/>
        </w:rPr>
        <w:t>, n° 16, 111 p.</w:t>
      </w:r>
    </w:p>
    <w:p w14:paraId="620C83D6" w14:textId="77777777" w:rsidR="002F4063" w:rsidRPr="004B2498" w:rsidRDefault="002F4063" w:rsidP="002F4063">
      <w:pPr>
        <w:spacing w:before="120" w:after="120"/>
        <w:jc w:val="both"/>
        <w:rPr>
          <w:lang w:eastAsia="fr-FR" w:bidi="fr-FR"/>
        </w:rPr>
      </w:pPr>
      <w:r w:rsidRPr="004B2498">
        <w:rPr>
          <w:lang w:eastAsia="fr-FR" w:bidi="fr-FR"/>
        </w:rPr>
        <w:t xml:space="preserve">PADIS Marc-Olivier, 2008 : « Entre néolibéralisme et régulation : L’État à la croisée des chemins ». </w:t>
      </w:r>
      <w:r w:rsidRPr="00BF2E2D">
        <w:rPr>
          <w:i/>
          <w:lang w:eastAsia="fr-FR" w:bidi="fr-FR"/>
        </w:rPr>
        <w:t>Esprit</w:t>
      </w:r>
      <w:r w:rsidRPr="004B2498">
        <w:rPr>
          <w:lang w:eastAsia="fr-FR" w:bidi="fr-FR"/>
        </w:rPr>
        <w:t>, n° 11, novembre, p. 6-22.</w:t>
      </w:r>
    </w:p>
    <w:p w14:paraId="152A8DAC" w14:textId="77777777" w:rsidR="002F4063" w:rsidRPr="004B2498" w:rsidRDefault="002F4063" w:rsidP="002F4063">
      <w:pPr>
        <w:spacing w:before="120" w:after="120"/>
        <w:jc w:val="both"/>
        <w:rPr>
          <w:lang w:eastAsia="fr-FR" w:bidi="fr-FR"/>
        </w:rPr>
      </w:pPr>
      <w:r w:rsidRPr="00A93F68">
        <w:t xml:space="preserve">RAINELLI-LE MONTAGNER </w:t>
      </w:r>
      <w:r w:rsidRPr="004B2498">
        <w:rPr>
          <w:lang w:eastAsia="fr-FR" w:bidi="fr-FR"/>
        </w:rPr>
        <w:t xml:space="preserve">Hélène, 2003 : </w:t>
      </w:r>
      <w:r w:rsidRPr="00BF2E2D">
        <w:rPr>
          <w:i/>
          <w:lang w:eastAsia="fr-FR" w:bidi="fr-FR"/>
        </w:rPr>
        <w:t>Nature et fonctions de la thé</w:t>
      </w:r>
      <w:r w:rsidRPr="00BF2E2D">
        <w:rPr>
          <w:i/>
          <w:lang w:eastAsia="fr-FR" w:bidi="fr-FR"/>
        </w:rPr>
        <w:t>o</w:t>
      </w:r>
      <w:r w:rsidRPr="00BF2E2D">
        <w:rPr>
          <w:i/>
          <w:lang w:eastAsia="fr-FR" w:bidi="fr-FR"/>
        </w:rPr>
        <w:t>rie financière. Quelques réflexions</w:t>
      </w:r>
      <w:r w:rsidRPr="004B2498">
        <w:rPr>
          <w:lang w:eastAsia="fr-FR" w:bidi="fr-FR"/>
        </w:rPr>
        <w:t>, PUF, coll. « Finance », 239 p.</w:t>
      </w:r>
    </w:p>
    <w:p w14:paraId="1C89CCAA" w14:textId="77777777" w:rsidR="002F4063" w:rsidRPr="004B2498" w:rsidRDefault="002F4063" w:rsidP="002F4063">
      <w:pPr>
        <w:spacing w:before="120" w:after="120"/>
        <w:jc w:val="both"/>
        <w:rPr>
          <w:lang w:eastAsia="fr-FR" w:bidi="fr-FR"/>
        </w:rPr>
      </w:pPr>
      <w:r w:rsidRPr="004B2498">
        <w:rPr>
          <w:lang w:eastAsia="fr-FR" w:bidi="fr-FR"/>
        </w:rPr>
        <w:t xml:space="preserve">ROUBINI Nouriel, MlHM Stephen, 2010 : </w:t>
      </w:r>
      <w:r w:rsidRPr="00BF2E2D">
        <w:rPr>
          <w:i/>
          <w:lang w:eastAsia="fr-FR" w:bidi="fr-FR"/>
        </w:rPr>
        <w:t>Économie de crise. Une introduction à la finance du futur</w:t>
      </w:r>
      <w:r w:rsidRPr="004B2498">
        <w:rPr>
          <w:lang w:eastAsia="fr-FR" w:bidi="fr-FR"/>
        </w:rPr>
        <w:t>, Jean-Claude Lattès éditeur, 462 p.</w:t>
      </w:r>
    </w:p>
    <w:p w14:paraId="6D7D4CAE" w14:textId="77777777" w:rsidR="002F4063" w:rsidRPr="004B2498" w:rsidRDefault="002F4063" w:rsidP="002F4063">
      <w:pPr>
        <w:spacing w:before="120" w:after="120"/>
        <w:jc w:val="both"/>
        <w:rPr>
          <w:lang w:eastAsia="fr-FR" w:bidi="fr-FR"/>
        </w:rPr>
      </w:pPr>
      <w:r w:rsidRPr="004B2498">
        <w:rPr>
          <w:lang w:eastAsia="fr-FR" w:bidi="fr-FR"/>
        </w:rPr>
        <w:t xml:space="preserve">TALEB Nassim Nicolas, 2008 : </w:t>
      </w:r>
      <w:r w:rsidRPr="00BF2E2D">
        <w:rPr>
          <w:i/>
          <w:lang w:eastAsia="fr-FR" w:bidi="fr-FR"/>
        </w:rPr>
        <w:t>Le Cygne noir</w:t>
      </w:r>
      <w:r w:rsidRPr="004B2498">
        <w:rPr>
          <w:lang w:eastAsia="fr-FR" w:bidi="fr-FR"/>
        </w:rPr>
        <w:t>, Les Belles Lettres, 496 p.</w:t>
      </w:r>
    </w:p>
    <w:p w14:paraId="7AF38E84" w14:textId="77777777" w:rsidR="002F4063" w:rsidRPr="004B2498" w:rsidRDefault="002F4063" w:rsidP="002F4063">
      <w:pPr>
        <w:spacing w:before="120" w:after="120"/>
        <w:jc w:val="both"/>
        <w:rPr>
          <w:lang w:eastAsia="fr-FR" w:bidi="fr-FR"/>
        </w:rPr>
      </w:pPr>
      <w:r w:rsidRPr="004B2498">
        <w:rPr>
          <w:lang w:eastAsia="fr-FR" w:bidi="fr-FR"/>
        </w:rPr>
        <w:t xml:space="preserve">TCHANG Jean-Paul, 2008 : « Retour au réel ? », </w:t>
      </w:r>
      <w:r w:rsidRPr="00BF2E2D">
        <w:rPr>
          <w:i/>
          <w:lang w:eastAsia="fr-FR" w:bidi="fr-FR"/>
        </w:rPr>
        <w:t>Médium</w:t>
      </w:r>
      <w:r w:rsidRPr="004B2498">
        <w:rPr>
          <w:lang w:eastAsia="fr-FR" w:bidi="fr-FR"/>
        </w:rPr>
        <w:t xml:space="preserve">, n° 16-17, dossier spécial sur « L’argent maître », juillet-décembre, p. 180-189. </w:t>
      </w:r>
    </w:p>
    <w:p w14:paraId="6CAF5FF4" w14:textId="77777777" w:rsidR="002F4063" w:rsidRPr="004B2498" w:rsidRDefault="002F4063" w:rsidP="002F4063">
      <w:pPr>
        <w:spacing w:before="120" w:after="120"/>
        <w:jc w:val="both"/>
        <w:rPr>
          <w:lang w:eastAsia="fr-FR" w:bidi="fr-FR"/>
        </w:rPr>
      </w:pPr>
    </w:p>
    <w:p w14:paraId="1F00F32D" w14:textId="77777777" w:rsidR="002F4063" w:rsidRPr="004B2498" w:rsidRDefault="002F4063" w:rsidP="002F4063">
      <w:pPr>
        <w:pStyle w:val="p"/>
        <w:rPr>
          <w:rFonts w:eastAsia="Courier New"/>
          <w:lang w:eastAsia="fr-FR" w:bidi="fr-FR"/>
        </w:rPr>
      </w:pPr>
      <w:r w:rsidRPr="004B2498">
        <w:br w:type="page"/>
      </w:r>
      <w:r w:rsidRPr="004B2498">
        <w:rPr>
          <w:rFonts w:eastAsia="Courier New"/>
          <w:lang w:eastAsia="fr-FR" w:bidi="fr-FR"/>
        </w:rPr>
        <w:t>[45]</w:t>
      </w:r>
    </w:p>
    <w:p w14:paraId="027DCF9B" w14:textId="77777777" w:rsidR="002F4063" w:rsidRPr="004B2498" w:rsidRDefault="002F4063" w:rsidP="002F4063">
      <w:pPr>
        <w:jc w:val="both"/>
      </w:pPr>
    </w:p>
    <w:p w14:paraId="2F922103" w14:textId="77777777" w:rsidR="002F4063" w:rsidRPr="004B2498" w:rsidRDefault="002F4063" w:rsidP="002F4063">
      <w:pPr>
        <w:jc w:val="both"/>
      </w:pPr>
    </w:p>
    <w:p w14:paraId="1409304F" w14:textId="77777777" w:rsidR="002F4063" w:rsidRPr="002C57DA" w:rsidRDefault="002F4063" w:rsidP="002F4063">
      <w:pPr>
        <w:spacing w:after="120"/>
        <w:ind w:firstLine="0"/>
        <w:jc w:val="center"/>
        <w:rPr>
          <w:b/>
          <w:sz w:val="24"/>
        </w:rPr>
      </w:pPr>
      <w:bookmarkStart w:id="5" w:name="Enjeux_sc_soc_pt_1_texte_2"/>
      <w:r w:rsidRPr="002C57DA">
        <w:rPr>
          <w:b/>
          <w:sz w:val="24"/>
        </w:rPr>
        <w:t>Enjeux épistémologiques et idéologiques</w:t>
      </w:r>
      <w:r w:rsidRPr="002C57DA">
        <w:rPr>
          <w:b/>
          <w:sz w:val="24"/>
        </w:rPr>
        <w:br/>
        <w:t>de la globalisation pour les sciences sociales.</w:t>
      </w:r>
    </w:p>
    <w:p w14:paraId="3F8F045E" w14:textId="77777777" w:rsidR="002F4063" w:rsidRPr="00386FE1" w:rsidRDefault="002F4063" w:rsidP="002F4063">
      <w:pPr>
        <w:spacing w:after="120"/>
        <w:ind w:firstLine="0"/>
        <w:jc w:val="center"/>
        <w:rPr>
          <w:sz w:val="24"/>
        </w:rPr>
      </w:pPr>
      <w:r w:rsidRPr="00386FE1">
        <w:rPr>
          <w:sz w:val="24"/>
        </w:rPr>
        <w:t>Première partie : Crises et gouvernance</w:t>
      </w:r>
    </w:p>
    <w:p w14:paraId="6CA7506E" w14:textId="77777777" w:rsidR="002F4063" w:rsidRPr="004B2498" w:rsidRDefault="002F4063" w:rsidP="002F4063">
      <w:pPr>
        <w:pStyle w:val="Titreniveau1"/>
      </w:pPr>
      <w:r w:rsidRPr="004B2498">
        <w:t>2</w:t>
      </w:r>
    </w:p>
    <w:p w14:paraId="69C57455" w14:textId="77777777" w:rsidR="002F4063" w:rsidRPr="004B2498" w:rsidRDefault="002F4063" w:rsidP="002F4063">
      <w:pPr>
        <w:pStyle w:val="Titreniveau2"/>
      </w:pPr>
      <w:r w:rsidRPr="004B2498">
        <w:t>“PENSER AU-DELÀ</w:t>
      </w:r>
      <w:r w:rsidRPr="004B2498">
        <w:br/>
        <w:t>DE LA CRISE GLOBALE.”</w:t>
      </w:r>
    </w:p>
    <w:bookmarkEnd w:id="5"/>
    <w:p w14:paraId="570CE221" w14:textId="77777777" w:rsidR="002F4063" w:rsidRPr="004B2498" w:rsidRDefault="002F4063" w:rsidP="002F4063">
      <w:pPr>
        <w:jc w:val="both"/>
        <w:rPr>
          <w:szCs w:val="36"/>
        </w:rPr>
      </w:pPr>
    </w:p>
    <w:p w14:paraId="244BF27E" w14:textId="77777777" w:rsidR="002F4063" w:rsidRPr="004B2498" w:rsidRDefault="002F4063" w:rsidP="002F4063">
      <w:pPr>
        <w:pStyle w:val="suite"/>
      </w:pPr>
      <w:r w:rsidRPr="004B2498">
        <w:t>Jean-Michel SERVET</w:t>
      </w:r>
    </w:p>
    <w:p w14:paraId="10A291D6" w14:textId="77777777" w:rsidR="002F4063" w:rsidRPr="004B2498" w:rsidRDefault="002F4063" w:rsidP="002F4063">
      <w:pPr>
        <w:jc w:val="both"/>
      </w:pPr>
    </w:p>
    <w:p w14:paraId="47C16BD9" w14:textId="77777777" w:rsidR="002F4063" w:rsidRPr="00A515A9" w:rsidRDefault="002F4063" w:rsidP="002F4063">
      <w:pPr>
        <w:pStyle w:val="introchap"/>
        <w:ind w:left="1800"/>
      </w:pPr>
      <w:r w:rsidRPr="00A515A9">
        <w:t>« Et apres s’estre embrassez mutuellement en charité, ils se separerent. Et depuis ils vescurent ensemble dans une union admirable, dans une pieté et dans une façon de vivre exempla</w:t>
      </w:r>
      <w:r w:rsidRPr="00A515A9">
        <w:t>i</w:t>
      </w:r>
      <w:r w:rsidRPr="00A515A9">
        <w:t>re, prenans leurs repas et estudians tousjours en commun. Mais on ne parla mais plus de religion encores que chacun soit d</w:t>
      </w:r>
      <w:r w:rsidRPr="00A515A9">
        <w:t>e</w:t>
      </w:r>
      <w:r w:rsidRPr="00A515A9">
        <w:t>meuré ferme et constant dans la sienne, où ils ont persévéré jusques à la fin et dans une saincteté toute manifeste. »</w:t>
      </w:r>
    </w:p>
    <w:p w14:paraId="62534B02" w14:textId="77777777" w:rsidR="002F4063" w:rsidRPr="00A515A9" w:rsidRDefault="002F4063" w:rsidP="002F4063">
      <w:pPr>
        <w:pStyle w:val="introchapauteur"/>
        <w:ind w:left="1800"/>
      </w:pPr>
      <w:r w:rsidRPr="00A515A9">
        <w:t>Jean Bodin, Colloquium Heptaplomeres [1593] cité par Jacques BlROUSTE, in : L’œuvre de Jean Bodin, Paris, Hon</w:t>
      </w:r>
      <w:r w:rsidRPr="00A515A9">
        <w:t>o</w:t>
      </w:r>
      <w:r w:rsidRPr="00A515A9">
        <w:t>ré Champion, 2004, p. 491-492</w:t>
      </w:r>
    </w:p>
    <w:p w14:paraId="30716A23" w14:textId="77777777" w:rsidR="002F4063" w:rsidRPr="004B2498" w:rsidRDefault="002F4063" w:rsidP="002F4063">
      <w:pPr>
        <w:spacing w:before="120" w:after="120"/>
        <w:jc w:val="both"/>
        <w:rPr>
          <w:szCs w:val="24"/>
          <w:lang w:eastAsia="fr-FR" w:bidi="fr-FR"/>
        </w:rPr>
      </w:pPr>
    </w:p>
    <w:p w14:paraId="0A019576" w14:textId="77777777" w:rsidR="002F4063" w:rsidRPr="004B2498" w:rsidRDefault="002F4063" w:rsidP="002F4063">
      <w:pPr>
        <w:pStyle w:val="a"/>
      </w:pPr>
      <w:r w:rsidRPr="004B2498">
        <w:t>Avant-postes, avant-gardes et dissidences</w:t>
      </w:r>
    </w:p>
    <w:p w14:paraId="79CF940C" w14:textId="77777777" w:rsidR="002F4063" w:rsidRPr="004B2498" w:rsidRDefault="002F4063" w:rsidP="002F4063">
      <w:pPr>
        <w:spacing w:before="120" w:after="120"/>
        <w:jc w:val="both"/>
        <w:rPr>
          <w:lang w:eastAsia="fr-FR" w:bidi="fr-FR"/>
        </w:rPr>
      </w:pPr>
    </w:p>
    <w:p w14:paraId="2B6F9BCD" w14:textId="77777777" w:rsidR="002F4063" w:rsidRPr="002C57DA" w:rsidRDefault="002F4063" w:rsidP="002F4063">
      <w:pPr>
        <w:ind w:right="90" w:firstLine="0"/>
        <w:jc w:val="both"/>
        <w:rPr>
          <w:sz w:val="24"/>
        </w:rPr>
      </w:pPr>
      <w:hyperlink w:anchor="sommaire" w:history="1">
        <w:r w:rsidRPr="002C57DA">
          <w:rPr>
            <w:rStyle w:val="Hyperlien"/>
            <w:sz w:val="24"/>
          </w:rPr>
          <w:t>Retour au sommaire</w:t>
        </w:r>
      </w:hyperlink>
    </w:p>
    <w:p w14:paraId="73B8E2A8" w14:textId="77777777" w:rsidR="002F4063" w:rsidRPr="004B2498" w:rsidRDefault="002F4063" w:rsidP="002F4063">
      <w:pPr>
        <w:spacing w:before="120" w:after="120"/>
        <w:jc w:val="both"/>
      </w:pPr>
      <w:r w:rsidRPr="004B2498">
        <w:rPr>
          <w:lang w:eastAsia="fr-FR" w:bidi="fr-FR"/>
        </w:rPr>
        <w:t>Certains courants avant-gardistes de la peinture, de la littérature, de la musique et des arts en général anticipent des ruptures essentielles dans les façons de penser et d’être. Sans nul doute tant les intuitions que les abstractions des artistes et créateurs et les décalages qu’ils opèrent leur permettent-ils de constituer des avant-gardes, parfois de dissimuler leurs critiques de l’ordre dominant ou de les rendre acce</w:t>
      </w:r>
      <w:r w:rsidRPr="004B2498">
        <w:rPr>
          <w:lang w:eastAsia="fr-FR" w:bidi="fr-FR"/>
        </w:rPr>
        <w:t>p</w:t>
      </w:r>
      <w:r w:rsidRPr="004B2498">
        <w:rPr>
          <w:lang w:eastAsia="fr-FR" w:bidi="fr-FR"/>
        </w:rPr>
        <w:t>tables, mieux que des savoirs qui théorisent et qui justifient les rupt</w:t>
      </w:r>
      <w:r w:rsidRPr="004B2498">
        <w:rPr>
          <w:lang w:eastAsia="fr-FR" w:bidi="fr-FR"/>
        </w:rPr>
        <w:t>u</w:t>
      </w:r>
      <w:r w:rsidRPr="004B2498">
        <w:rPr>
          <w:lang w:eastAsia="fr-FR" w:bidi="fr-FR"/>
        </w:rPr>
        <w:t>res. En général, ce n’est que lorsque la création devient explicitement un élément de contestation sociale de régimes autoritaires ou de mœurs surannées que les dominants et les bien-pensants combattent les artistes. L’indication du nom de l’auteur et de l’imprimeur a été rendue obligatoire au XVI</w:t>
      </w:r>
      <w:r w:rsidRPr="00232444">
        <w:rPr>
          <w:vertAlign w:val="superscript"/>
          <w:lang w:eastAsia="fr-FR" w:bidi="fr-FR"/>
        </w:rPr>
        <w:t>e</w:t>
      </w:r>
      <w:r w:rsidRPr="004B2498">
        <w:rPr>
          <w:lang w:eastAsia="fr-FR" w:bidi="fr-FR"/>
        </w:rPr>
        <w:t xml:space="preserve"> siècle pour qu’une éventuelle censure puisse s’exercer à l’encontre des dissidents.</w:t>
      </w:r>
    </w:p>
    <w:p w14:paraId="16DC4969" w14:textId="77777777" w:rsidR="002F4063" w:rsidRPr="004B2498" w:rsidRDefault="002F4063" w:rsidP="002F4063">
      <w:pPr>
        <w:spacing w:before="120" w:after="120"/>
        <w:jc w:val="both"/>
      </w:pPr>
      <w:r w:rsidRPr="004B2498">
        <w:rPr>
          <w:lang w:eastAsia="fr-FR" w:bidi="fr-FR"/>
        </w:rPr>
        <w:t>Avant que les sciences morales et politiques ne deviennent les sciences humaines et sociales, la littérature a rempli une partie de leurs fonctions</w:t>
      </w:r>
      <w:r w:rsidRPr="004B2498">
        <w:t xml:space="preserve"> </w:t>
      </w:r>
      <w:r>
        <w:t xml:space="preserve"> </w:t>
      </w:r>
      <w:r w:rsidRPr="004B2498">
        <w:t>[46]</w:t>
      </w:r>
      <w:r>
        <w:t xml:space="preserve"> </w:t>
      </w:r>
      <w:r w:rsidRPr="004B2498">
        <w:rPr>
          <w:lang w:eastAsia="fr-FR" w:bidi="fr-FR"/>
        </w:rPr>
        <w:t xml:space="preserve">actuelles. </w:t>
      </w:r>
      <w:r w:rsidRPr="004B2498">
        <w:t>Les voyages de Gulliver</w:t>
      </w:r>
      <w:r w:rsidRPr="004B2498">
        <w:rPr>
          <w:lang w:eastAsia="fr-FR" w:bidi="fr-FR"/>
        </w:rPr>
        <w:t xml:space="preserve"> (1721) entrent partiellement dans cette catégorie d’œuvres plus novatrices en leur temps que les travaux supposés savants ; partiellement, car pour ne pas subir la censure, son auteur, Jonathan Swift, n’a pas publié imm</w:t>
      </w:r>
      <w:r w:rsidRPr="004B2498">
        <w:rPr>
          <w:lang w:eastAsia="fr-FR" w:bidi="fr-FR"/>
        </w:rPr>
        <w:t>é</w:t>
      </w:r>
      <w:r w:rsidRPr="004B2498">
        <w:rPr>
          <w:lang w:eastAsia="fr-FR" w:bidi="fr-FR"/>
        </w:rPr>
        <w:t>diatement une version intégrale de ses voyages imaginaires. Cette œ</w:t>
      </w:r>
      <w:r w:rsidRPr="004B2498">
        <w:rPr>
          <w:lang w:eastAsia="fr-FR" w:bidi="fr-FR"/>
        </w:rPr>
        <w:t>u</w:t>
      </w:r>
      <w:r w:rsidRPr="004B2498">
        <w:rPr>
          <w:lang w:eastAsia="fr-FR" w:bidi="fr-FR"/>
        </w:rPr>
        <w:t>vre, réduite aujourd’hui le plus souvent à un livre pour enfants, ne r</w:t>
      </w:r>
      <w:r w:rsidRPr="004B2498">
        <w:rPr>
          <w:lang w:eastAsia="fr-FR" w:bidi="fr-FR"/>
        </w:rPr>
        <w:t>e</w:t>
      </w:r>
      <w:r w:rsidRPr="004B2498">
        <w:rPr>
          <w:lang w:eastAsia="fr-FR" w:bidi="fr-FR"/>
        </w:rPr>
        <w:t>tenant génér</w:t>
      </w:r>
      <w:r w:rsidRPr="004B2498">
        <w:rPr>
          <w:lang w:eastAsia="fr-FR" w:bidi="fr-FR"/>
        </w:rPr>
        <w:t>a</w:t>
      </w:r>
      <w:r w:rsidRPr="004B2498">
        <w:rPr>
          <w:lang w:eastAsia="fr-FR" w:bidi="fr-FR"/>
        </w:rPr>
        <w:t>lement que les deux premiers voyages, est édulcorée. Sous cette fo</w:t>
      </w:r>
      <w:r w:rsidRPr="004B2498">
        <w:rPr>
          <w:lang w:eastAsia="fr-FR" w:bidi="fr-FR"/>
        </w:rPr>
        <w:t>r</w:t>
      </w:r>
      <w:r w:rsidRPr="004B2498">
        <w:rPr>
          <w:lang w:eastAsia="fr-FR" w:bidi="fr-FR"/>
        </w:rPr>
        <w:t>me, elle a perdu une grande partie de sa force satirique. Pas compl</w:t>
      </w:r>
      <w:r w:rsidRPr="004B2498">
        <w:rPr>
          <w:lang w:eastAsia="fr-FR" w:bidi="fr-FR"/>
        </w:rPr>
        <w:t>è</w:t>
      </w:r>
      <w:r w:rsidRPr="004B2498">
        <w:rPr>
          <w:lang w:eastAsia="fr-FR" w:bidi="fr-FR"/>
        </w:rPr>
        <w:t>tement, car les changements d’échelle d’observation et de situation, qu’impose la vie de Gulliver dans une île de nains puis dans une île de géants, posent la question de la position d’un observateur et de la relativité des regards. Mais en rester à ces deux premiers voy</w:t>
      </w:r>
      <w:r w:rsidRPr="004B2498">
        <w:rPr>
          <w:lang w:eastAsia="fr-FR" w:bidi="fr-FR"/>
        </w:rPr>
        <w:t>a</w:t>
      </w:r>
      <w:r w:rsidRPr="004B2498">
        <w:rPr>
          <w:lang w:eastAsia="fr-FR" w:bidi="fr-FR"/>
        </w:rPr>
        <w:t>ges serait oublier les deux autres. Le troisième voyage est sans doute celui qui doit ici retenir le plus notre attention parce que sa leçon vaut pour n</w:t>
      </w:r>
      <w:r w:rsidRPr="004B2498">
        <w:rPr>
          <w:lang w:eastAsia="fr-FR" w:bidi="fr-FR"/>
        </w:rPr>
        <w:t>o</w:t>
      </w:r>
      <w:r w:rsidRPr="004B2498">
        <w:rPr>
          <w:lang w:eastAsia="fr-FR" w:bidi="fr-FR"/>
        </w:rPr>
        <w:t>tre temps. Il y découvre un monde dominé par le savoir des astron</w:t>
      </w:r>
      <w:r w:rsidRPr="004B2498">
        <w:rPr>
          <w:lang w:eastAsia="fr-FR" w:bidi="fr-FR"/>
        </w:rPr>
        <w:t>o</w:t>
      </w:r>
      <w:r w:rsidRPr="004B2498">
        <w:rPr>
          <w:lang w:eastAsia="fr-FR" w:bidi="fr-FR"/>
        </w:rPr>
        <w:t>mes astrologues. Jonathan Swift ridiculise leur prétention à régir la société dans ses moindres détails. Les habits, les maisons et les plant</w:t>
      </w:r>
      <w:r w:rsidRPr="004B2498">
        <w:rPr>
          <w:lang w:eastAsia="fr-FR" w:bidi="fr-FR"/>
        </w:rPr>
        <w:t>a</w:t>
      </w:r>
      <w:r w:rsidRPr="004B2498">
        <w:rPr>
          <w:lang w:eastAsia="fr-FR" w:bidi="fr-FR"/>
        </w:rPr>
        <w:t xml:space="preserve">tions sont faits à Laputa selon des principes scientifiques, notamment en étant mesurés au sextant au point de rendre ce monde peu productif et très inconfortable. Quant au quatrième voyage, il conduit Gulliver dans une île où les êtres les plus intelligents sont les chevaux alors que l’espèce humaine, connue là-bas sous l’appellation de </w:t>
      </w:r>
      <w:r w:rsidRPr="004B2498">
        <w:t>yahoo</w:t>
      </w:r>
      <w:r w:rsidRPr="004B2498">
        <w:rPr>
          <w:lang w:eastAsia="fr-FR" w:bidi="fr-FR"/>
        </w:rPr>
        <w:t>, est dans un état bestial et est livrée à ses instincts.</w:t>
      </w:r>
    </w:p>
    <w:p w14:paraId="1BF8F6B9" w14:textId="77777777" w:rsidR="002F4063" w:rsidRPr="004B2498" w:rsidRDefault="002F4063" w:rsidP="002F4063">
      <w:pPr>
        <w:spacing w:before="120" w:after="120"/>
        <w:jc w:val="both"/>
      </w:pPr>
      <w:r w:rsidRPr="004B2498">
        <w:rPr>
          <w:lang w:eastAsia="fr-FR" w:bidi="fr-FR"/>
        </w:rPr>
        <w:t>Le déclenchement d’une des plus profondes crises que le capit</w:t>
      </w:r>
      <w:r w:rsidRPr="004B2498">
        <w:rPr>
          <w:lang w:eastAsia="fr-FR" w:bidi="fr-FR"/>
        </w:rPr>
        <w:t>a</w:t>
      </w:r>
      <w:r w:rsidRPr="004B2498">
        <w:rPr>
          <w:lang w:eastAsia="fr-FR" w:bidi="fr-FR"/>
        </w:rPr>
        <w:t xml:space="preserve">lisme ait connue est un échec du savoir. Elle nous renvoie ainsi à la prétention des </w:t>
      </w:r>
      <w:r w:rsidRPr="004B2498">
        <w:t>projeteurs</w:t>
      </w:r>
      <w:r w:rsidRPr="004B2498">
        <w:rPr>
          <w:lang w:eastAsia="fr-FR" w:bidi="fr-FR"/>
        </w:rPr>
        <w:t xml:space="preserve"> de la troisième île visitée par Gulliver. Belle leçon pour notre époque où ce ne sont pas des astronomes astrologues mais des économistes, dont un grand nombre sont ingénieurs de fo</w:t>
      </w:r>
      <w:r w:rsidRPr="004B2498">
        <w:rPr>
          <w:lang w:eastAsia="fr-FR" w:bidi="fr-FR"/>
        </w:rPr>
        <w:t>r</w:t>
      </w:r>
      <w:r w:rsidRPr="004B2498">
        <w:rPr>
          <w:lang w:eastAsia="fr-FR" w:bidi="fr-FR"/>
        </w:rPr>
        <w:t>mation, tout aussi imbus de leur capacité de formaliser. Ils ont préte</w:t>
      </w:r>
      <w:r w:rsidRPr="004B2498">
        <w:rPr>
          <w:lang w:eastAsia="fr-FR" w:bidi="fr-FR"/>
        </w:rPr>
        <w:t>n</w:t>
      </w:r>
      <w:r w:rsidRPr="004B2498">
        <w:rPr>
          <w:lang w:eastAsia="fr-FR" w:bidi="fr-FR"/>
        </w:rPr>
        <w:t xml:space="preserve">du soumettre </w:t>
      </w:r>
      <w:r w:rsidRPr="004B2498">
        <w:t>scientifiquement</w:t>
      </w:r>
      <w:r w:rsidRPr="004B2498">
        <w:rPr>
          <w:lang w:eastAsia="fr-FR" w:bidi="fr-FR"/>
        </w:rPr>
        <w:t xml:space="preserve"> les sociétés non aux mouvements des astres mais aux normes du marché, et eux aussi à des calculs math</w:t>
      </w:r>
      <w:r w:rsidRPr="004B2498">
        <w:rPr>
          <w:lang w:eastAsia="fr-FR" w:bidi="fr-FR"/>
        </w:rPr>
        <w:t>é</w:t>
      </w:r>
      <w:r w:rsidRPr="004B2498">
        <w:rPr>
          <w:lang w:eastAsia="fr-FR" w:bidi="fr-FR"/>
        </w:rPr>
        <w:t>matiques. Ce qui s’est statistiquement traduit par un rétrécissement des indicateurs de la production et des échanges a révélé une triple incapacité : celle de prévoir, puis celle d’apprécier rapidement l’ampleur du désastre et enfin celle de produire des alternatives néce</w:t>
      </w:r>
      <w:r w:rsidRPr="004B2498">
        <w:rPr>
          <w:lang w:eastAsia="fr-FR" w:bidi="fr-FR"/>
        </w:rPr>
        <w:t>s</w:t>
      </w:r>
      <w:r w:rsidRPr="004B2498">
        <w:rPr>
          <w:lang w:eastAsia="fr-FR" w:bidi="fr-FR"/>
        </w:rPr>
        <w:t>saires pour nous prémunir contre de futures déflagrations.</w:t>
      </w:r>
    </w:p>
    <w:p w14:paraId="391DC5D0" w14:textId="77777777" w:rsidR="002F4063" w:rsidRPr="004B2498" w:rsidRDefault="002F4063" w:rsidP="002F4063">
      <w:pPr>
        <w:spacing w:before="120" w:after="120"/>
        <w:jc w:val="both"/>
      </w:pPr>
      <w:r w:rsidRPr="004B2498">
        <w:rPr>
          <w:lang w:eastAsia="fr-FR" w:bidi="fr-FR"/>
        </w:rPr>
        <w:t>Ces défaillances intellectuelles constituent un défi actuel pour les chercheurs en sciences humaines et sociales. Si des avant-postes di</w:t>
      </w:r>
      <w:r w:rsidRPr="004B2498">
        <w:rPr>
          <w:lang w:eastAsia="fr-FR" w:bidi="fr-FR"/>
        </w:rPr>
        <w:t>s</w:t>
      </w:r>
      <w:r w:rsidRPr="004B2498">
        <w:rPr>
          <w:lang w:eastAsia="fr-FR" w:bidi="fr-FR"/>
        </w:rPr>
        <w:t>ciplinaires défendent âprement des territoires, des avant-gardes inte</w:t>
      </w:r>
      <w:r w:rsidRPr="004B2498">
        <w:rPr>
          <w:lang w:eastAsia="fr-FR" w:bidi="fr-FR"/>
        </w:rPr>
        <w:t>r</w:t>
      </w:r>
      <w:r w:rsidRPr="004B2498">
        <w:rPr>
          <w:lang w:eastAsia="fr-FR" w:bidi="fr-FR"/>
        </w:rPr>
        <w:t>disciplinaires peuvent critiquer les hypothèses théoriques construisant les disciplines et leurs courants, et donc permettre de mieux reconna</w:t>
      </w:r>
      <w:r w:rsidRPr="004B2498">
        <w:rPr>
          <w:lang w:eastAsia="fr-FR" w:bidi="fr-FR"/>
        </w:rPr>
        <w:t>î</w:t>
      </w:r>
      <w:r w:rsidRPr="004B2498">
        <w:rPr>
          <w:lang w:eastAsia="fr-FR" w:bidi="fr-FR"/>
        </w:rPr>
        <w:t>tre leurs limites. Penser ainsi en interdisciplinarité au sein de catég</w:t>
      </w:r>
      <w:r w:rsidRPr="004B2498">
        <w:rPr>
          <w:lang w:eastAsia="fr-FR" w:bidi="fr-FR"/>
        </w:rPr>
        <w:t>o</w:t>
      </w:r>
      <w:r w:rsidRPr="004B2498">
        <w:rPr>
          <w:lang w:eastAsia="fr-FR" w:bidi="fr-FR"/>
        </w:rPr>
        <w:t>ries instituées du savoir et dialoguer aux frontières de celles-ci supp</w:t>
      </w:r>
      <w:r w:rsidRPr="004B2498">
        <w:rPr>
          <w:lang w:eastAsia="fr-FR" w:bidi="fr-FR"/>
        </w:rPr>
        <w:t>o</w:t>
      </w:r>
      <w:r w:rsidRPr="004B2498">
        <w:rPr>
          <w:lang w:eastAsia="fr-FR" w:bidi="fr-FR"/>
        </w:rPr>
        <w:t>se de reconnaître les raisons des myopies et des enfermements actuels. Ceci peut permettre de s’en prémunir. Comment comprendre la my</w:t>
      </w:r>
      <w:r w:rsidRPr="004B2498">
        <w:rPr>
          <w:lang w:eastAsia="fr-FR" w:bidi="fr-FR"/>
        </w:rPr>
        <w:t>o</w:t>
      </w:r>
      <w:r w:rsidRPr="004B2498">
        <w:rPr>
          <w:lang w:eastAsia="fr-FR" w:bidi="fr-FR"/>
        </w:rPr>
        <w:t>pie de spécialistes pourtant</w:t>
      </w:r>
      <w:r>
        <w:t xml:space="preserve"> </w:t>
      </w:r>
      <w:r w:rsidRPr="004B2498">
        <w:t>[47]</w:t>
      </w:r>
      <w:r>
        <w:t xml:space="preserve"> </w:t>
      </w:r>
      <w:r w:rsidRPr="004B2498">
        <w:rPr>
          <w:lang w:eastAsia="fr-FR" w:bidi="fr-FR"/>
        </w:rPr>
        <w:t>auréolés de la considération publ</w:t>
      </w:r>
      <w:r w:rsidRPr="004B2498">
        <w:rPr>
          <w:lang w:eastAsia="fr-FR" w:bidi="fr-FR"/>
        </w:rPr>
        <w:t>i</w:t>
      </w:r>
      <w:r w:rsidRPr="004B2498">
        <w:rPr>
          <w:lang w:eastAsia="fr-FR" w:bidi="fr-FR"/>
        </w:rPr>
        <w:t>que ? Les divisions disciplinaires actuelles génèrent des intelligences bornées par le conformisme nécessaire pour gravir les échelons un</w:t>
      </w:r>
      <w:r w:rsidRPr="004B2498">
        <w:rPr>
          <w:lang w:eastAsia="fr-FR" w:bidi="fr-FR"/>
        </w:rPr>
        <w:t>i</w:t>
      </w:r>
      <w:r w:rsidRPr="004B2498">
        <w:rPr>
          <w:lang w:eastAsia="fr-FR" w:bidi="fr-FR"/>
        </w:rPr>
        <w:t>versitaires, se voir reconnaître une autorité morale par le savoir et r</w:t>
      </w:r>
      <w:r w:rsidRPr="004B2498">
        <w:rPr>
          <w:lang w:eastAsia="fr-FR" w:bidi="fr-FR"/>
        </w:rPr>
        <w:t>e</w:t>
      </w:r>
      <w:r w:rsidRPr="004B2498">
        <w:rPr>
          <w:lang w:eastAsia="fr-FR" w:bidi="fr-FR"/>
        </w:rPr>
        <w:t>cevoir des gratifications. Elles sont aussi à l’origine d’hyperspécialisations transformant ceux qui s’y soumettent en cré</w:t>
      </w:r>
      <w:r w:rsidRPr="004B2498">
        <w:rPr>
          <w:lang w:eastAsia="fr-FR" w:bidi="fr-FR"/>
        </w:rPr>
        <w:t>a</w:t>
      </w:r>
      <w:r w:rsidRPr="004B2498">
        <w:rPr>
          <w:lang w:eastAsia="fr-FR" w:bidi="fr-FR"/>
        </w:rPr>
        <w:t>teurs d’anamorphoses et, ce faisant, du fait de ces visions partielles, peu réceptifs à la nécessité d’une compréhension du Tout social en tant que complexité.</w:t>
      </w:r>
    </w:p>
    <w:p w14:paraId="463A95A7" w14:textId="77777777" w:rsidR="002F4063" w:rsidRPr="004B2498" w:rsidRDefault="002F4063" w:rsidP="002F4063">
      <w:pPr>
        <w:spacing w:before="120" w:after="120"/>
        <w:jc w:val="both"/>
        <w:rPr>
          <w:szCs w:val="24"/>
          <w:lang w:eastAsia="fr-FR" w:bidi="fr-FR"/>
        </w:rPr>
      </w:pPr>
    </w:p>
    <w:p w14:paraId="508C0062" w14:textId="77777777" w:rsidR="002F4063" w:rsidRPr="004B2498" w:rsidRDefault="002F4063" w:rsidP="002F4063">
      <w:pPr>
        <w:pStyle w:val="a"/>
      </w:pPr>
      <w:r w:rsidRPr="004B2498">
        <w:t>Non-dits</w:t>
      </w:r>
    </w:p>
    <w:p w14:paraId="25F78BD7" w14:textId="77777777" w:rsidR="002F4063" w:rsidRPr="004B2498" w:rsidRDefault="002F4063" w:rsidP="002F4063">
      <w:pPr>
        <w:spacing w:before="120" w:after="120"/>
        <w:jc w:val="both"/>
        <w:rPr>
          <w:lang w:eastAsia="fr-FR" w:bidi="fr-FR"/>
        </w:rPr>
      </w:pPr>
    </w:p>
    <w:p w14:paraId="24BC8196" w14:textId="77777777" w:rsidR="002F4063" w:rsidRPr="004B2498" w:rsidRDefault="002F4063" w:rsidP="002F4063">
      <w:pPr>
        <w:spacing w:before="120" w:after="120"/>
        <w:jc w:val="both"/>
      </w:pPr>
      <w:r w:rsidRPr="004B2498">
        <w:rPr>
          <w:lang w:eastAsia="fr-FR" w:bidi="fr-FR"/>
        </w:rPr>
        <w:t xml:space="preserve">Au début des </w:t>
      </w:r>
      <w:r w:rsidRPr="004B2498">
        <w:t>Mots et les choses</w:t>
      </w:r>
      <w:r w:rsidRPr="004B2498">
        <w:rPr>
          <w:lang w:eastAsia="fr-FR" w:bidi="fr-FR"/>
        </w:rPr>
        <w:t xml:space="preserve"> (1966), Michel Foucault s’appuie sur le poète et écrivain argentin Jorge Luis Borges imaginant dans ses </w:t>
      </w:r>
      <w:r w:rsidRPr="004B2498">
        <w:t xml:space="preserve">Fictions </w:t>
      </w:r>
      <w:r w:rsidRPr="004B2498">
        <w:rPr>
          <w:lang w:eastAsia="fr-FR" w:bidi="fr-FR"/>
        </w:rPr>
        <w:t>(1944) une classification des animaux par une encyclopédie chinoise. Selon celle-ci :</w:t>
      </w:r>
    </w:p>
    <w:p w14:paraId="6EC42018" w14:textId="77777777" w:rsidR="002F4063" w:rsidRDefault="002F4063" w:rsidP="002F4063">
      <w:pPr>
        <w:pStyle w:val="Grillecouleur-Accent1"/>
        <w:rPr>
          <w:lang w:eastAsia="fr-FR" w:bidi="fr-FR"/>
        </w:rPr>
      </w:pPr>
    </w:p>
    <w:p w14:paraId="7510394B" w14:textId="77777777" w:rsidR="002F4063" w:rsidRDefault="002F4063" w:rsidP="002F4063">
      <w:pPr>
        <w:pStyle w:val="Grillecouleur-Accent1"/>
        <w:rPr>
          <w:lang w:eastAsia="fr-FR" w:bidi="fr-FR"/>
        </w:rPr>
      </w:pPr>
      <w:r w:rsidRPr="004B2498">
        <w:rPr>
          <w:lang w:eastAsia="fr-FR" w:bidi="fr-FR"/>
        </w:rPr>
        <w:t>« Les animaux se divisent en : a) appartenant à l’Empereur, b) e</w:t>
      </w:r>
      <w:r w:rsidRPr="004B2498">
        <w:rPr>
          <w:lang w:eastAsia="fr-FR" w:bidi="fr-FR"/>
        </w:rPr>
        <w:t>m</w:t>
      </w:r>
      <w:r w:rsidRPr="004B2498">
        <w:rPr>
          <w:lang w:eastAsia="fr-FR" w:bidi="fr-FR"/>
        </w:rPr>
        <w:t>baumés, c) apprivoisés ; d) cochons de lait, e) sirènes, f) fabuleux, g) chiens en liberté, h) inclus dans la présente classification, i) qui s’agitent comme des fous, j) innombrables, k) dessinés avec un pi</w:t>
      </w:r>
      <w:r w:rsidRPr="004B2498">
        <w:rPr>
          <w:lang w:eastAsia="fr-FR" w:bidi="fr-FR"/>
        </w:rPr>
        <w:t>n</w:t>
      </w:r>
      <w:r w:rsidRPr="004B2498">
        <w:rPr>
          <w:lang w:eastAsia="fr-FR" w:bidi="fr-FR"/>
        </w:rPr>
        <w:t xml:space="preserve">ceau très fin en poils de chameau ; 1) </w:t>
      </w:r>
      <w:r w:rsidRPr="00232444">
        <w:rPr>
          <w:iCs/>
        </w:rPr>
        <w:t>et cætera</w:t>
      </w:r>
      <w:r w:rsidRPr="004B2498">
        <w:rPr>
          <w:lang w:eastAsia="fr-FR" w:bidi="fr-FR"/>
        </w:rPr>
        <w:t>, m) qui viennent de casser la cruche, n) qui de loin semblent des mouches. »</w:t>
      </w:r>
    </w:p>
    <w:p w14:paraId="0A72E6C3" w14:textId="77777777" w:rsidR="002F4063" w:rsidRPr="004B2498" w:rsidRDefault="002F4063" w:rsidP="002F4063">
      <w:pPr>
        <w:pStyle w:val="Grillecouleur-Accent1"/>
      </w:pPr>
    </w:p>
    <w:p w14:paraId="750B8BB2" w14:textId="77777777" w:rsidR="002F4063" w:rsidRPr="004B2498" w:rsidRDefault="002F4063" w:rsidP="002F4063">
      <w:pPr>
        <w:spacing w:before="120" w:after="120"/>
        <w:jc w:val="both"/>
      </w:pPr>
      <w:r w:rsidRPr="004B2498">
        <w:rPr>
          <w:lang w:eastAsia="fr-FR" w:bidi="fr-FR"/>
        </w:rPr>
        <w:t>Cette énumération mélange ce que nous pensons constituer le réel et ce que nous croyons être imaginaire. Elle étonne donc tout lecteur habitué à des classements tenus pour rationnels et ordonnant selon cette logique ce qui est appréhendé comme étant le réel. En lisant un tel inventaire on comprend d’ailleurs qu’il est prudent de prévoir un groupe qui réunisse ceux n’entrant pas dans les catégories précéde</w:t>
      </w:r>
      <w:r w:rsidRPr="004B2498">
        <w:rPr>
          <w:lang w:eastAsia="fr-FR" w:bidi="fr-FR"/>
        </w:rPr>
        <w:t>n</w:t>
      </w:r>
      <w:r w:rsidRPr="004B2498">
        <w:rPr>
          <w:lang w:eastAsia="fr-FR" w:bidi="fr-FR"/>
        </w:rPr>
        <w:t xml:space="preserve">tes. Nous le faisons généralement en écrivant : </w:t>
      </w:r>
      <w:r w:rsidRPr="004B2498">
        <w:t>etc.</w:t>
      </w:r>
      <w:r w:rsidRPr="004B2498">
        <w:rPr>
          <w:lang w:eastAsia="fr-FR" w:bidi="fr-FR"/>
        </w:rPr>
        <w:t xml:space="preserve"> Jorge Luis Borges l’intercale avant la fin de sa liste rompant non seulement avec une h</w:t>
      </w:r>
      <w:r w:rsidRPr="004B2498">
        <w:rPr>
          <w:lang w:eastAsia="fr-FR" w:bidi="fr-FR"/>
        </w:rPr>
        <w:t>a</w:t>
      </w:r>
      <w:r w:rsidRPr="004B2498">
        <w:rPr>
          <w:lang w:eastAsia="fr-FR" w:bidi="fr-FR"/>
        </w:rPr>
        <w:t>bitude mais surtout avec la raison d’être de se prémunir contre un o</w:t>
      </w:r>
      <w:r w:rsidRPr="004B2498">
        <w:rPr>
          <w:lang w:eastAsia="fr-FR" w:bidi="fr-FR"/>
        </w:rPr>
        <w:t>u</w:t>
      </w:r>
      <w:r w:rsidRPr="004B2498">
        <w:rPr>
          <w:lang w:eastAsia="fr-FR" w:bidi="fr-FR"/>
        </w:rPr>
        <w:t>bli dans un inventaire achevé ou volontairement incomplet. Un ordre alphabétique paraît aujourd’hui aller de soi. Or, il produit des rappr</w:t>
      </w:r>
      <w:r w:rsidRPr="004B2498">
        <w:rPr>
          <w:lang w:eastAsia="fr-FR" w:bidi="fr-FR"/>
        </w:rPr>
        <w:t>o</w:t>
      </w:r>
      <w:r w:rsidRPr="004B2498">
        <w:rPr>
          <w:lang w:eastAsia="fr-FR" w:bidi="fr-FR"/>
        </w:rPr>
        <w:t>chements tout aussi surprenants pour qui chercherait un sens dans l’ordre des mots et une logique hiérarchique</w:t>
      </w:r>
      <w:r>
        <w:rPr>
          <w:lang w:eastAsia="fr-FR" w:bidi="fr-FR"/>
        </w:rPr>
        <w:t> </w:t>
      </w:r>
      <w:r>
        <w:rPr>
          <w:rStyle w:val="Appelnotedebasdep"/>
          <w:lang w:eastAsia="fr-FR" w:bidi="fr-FR"/>
        </w:rPr>
        <w:footnoteReference w:id="16"/>
      </w:r>
      <w:r w:rsidRPr="004B2498">
        <w:rPr>
          <w:lang w:eastAsia="fr-FR" w:bidi="fr-FR"/>
        </w:rPr>
        <w:t>. Pourquoi « cochon » précède-t-il « colonisateur » par exemple ? Certains, ignorant l’alphabet, pourraient penser que cet ordre est conforme à l’invention divine. L’énumération des animaux a ainsi longtemps respecté en E</w:t>
      </w:r>
      <w:r w:rsidRPr="004B2498">
        <w:rPr>
          <w:lang w:eastAsia="fr-FR" w:bidi="fr-FR"/>
        </w:rPr>
        <w:t>u</w:t>
      </w:r>
      <w:r w:rsidRPr="004B2498">
        <w:rPr>
          <w:lang w:eastAsia="fr-FR" w:bidi="fr-FR"/>
        </w:rPr>
        <w:t>rope la chronologie de leur apparition voulue par Iahvé, dieu créateur selon la Genèse.</w:t>
      </w:r>
    </w:p>
    <w:p w14:paraId="56FB2918" w14:textId="77777777" w:rsidR="002F4063" w:rsidRPr="004B2498" w:rsidRDefault="002F4063" w:rsidP="002F4063">
      <w:pPr>
        <w:spacing w:before="120" w:after="120"/>
        <w:jc w:val="both"/>
      </w:pPr>
      <w:r w:rsidRPr="004B2498">
        <w:rPr>
          <w:lang w:eastAsia="fr-FR" w:bidi="fr-FR"/>
        </w:rPr>
        <w:t>Le non-dit des répertoires modernes est l’aplatissement de toutes les hiérarchies au bénéfice d’un ordre essentiellement fonctionnel et utilitariste :</w:t>
      </w:r>
      <w:r>
        <w:rPr>
          <w:lang w:eastAsia="fr-FR" w:bidi="fr-FR"/>
        </w:rPr>
        <w:t xml:space="preserve"> </w:t>
      </w:r>
      <w:r w:rsidRPr="004B2498">
        <w:t>[48]</w:t>
      </w:r>
      <w:r>
        <w:t xml:space="preserve"> </w:t>
      </w:r>
      <w:r w:rsidRPr="004B2498">
        <w:rPr>
          <w:lang w:eastAsia="fr-FR" w:bidi="fr-FR"/>
        </w:rPr>
        <w:t>qu’il soit celui de l’alphabet, celui de l’argent ou c</w:t>
      </w:r>
      <w:r w:rsidRPr="004B2498">
        <w:rPr>
          <w:lang w:eastAsia="fr-FR" w:bidi="fr-FR"/>
        </w:rPr>
        <w:t>e</w:t>
      </w:r>
      <w:r w:rsidRPr="004B2498">
        <w:rPr>
          <w:lang w:eastAsia="fr-FR" w:bidi="fr-FR"/>
        </w:rPr>
        <w:t xml:space="preserve">lui de systèmes techniques. Selon </w:t>
      </w:r>
      <w:r w:rsidRPr="00AC366E">
        <w:rPr>
          <w:i/>
          <w:lang w:eastAsia="fr-FR" w:bidi="fr-FR"/>
        </w:rPr>
        <w:t xml:space="preserve">Le </w:t>
      </w:r>
      <w:r w:rsidRPr="00AC366E">
        <w:rPr>
          <w:i/>
        </w:rPr>
        <w:t>Tableau de Paris</w:t>
      </w:r>
      <w:r w:rsidRPr="004B2498">
        <w:rPr>
          <w:lang w:eastAsia="fr-FR" w:bidi="fr-FR"/>
        </w:rPr>
        <w:t xml:space="preserve"> de Sébastien Mercier publié entre 1782 et 1788, le numérotage des rues de Paris provoqua alors un effet inattendu : les hiérarchies d’Ancien Régime n’étaient plus re</w:t>
      </w:r>
      <w:r w:rsidRPr="004B2498">
        <w:rPr>
          <w:lang w:eastAsia="fr-FR" w:bidi="fr-FR"/>
        </w:rPr>
        <w:t>s</w:t>
      </w:r>
      <w:r w:rsidRPr="004B2498">
        <w:rPr>
          <w:lang w:eastAsia="fr-FR" w:bidi="fr-FR"/>
        </w:rPr>
        <w:t>pectées : la maison d’un duc pouvait déroger face à l’échoppe d’un savetier. Au début du XVIII</w:t>
      </w:r>
      <w:r w:rsidRPr="00AC366E">
        <w:rPr>
          <w:vertAlign w:val="superscript"/>
          <w:lang w:eastAsia="fr-FR" w:bidi="fr-FR"/>
        </w:rPr>
        <w:t>e</w:t>
      </w:r>
      <w:r w:rsidRPr="004B2498">
        <w:rPr>
          <w:lang w:eastAsia="fr-FR" w:bidi="fr-FR"/>
        </w:rPr>
        <w:t xml:space="preserve"> siècle, un classement des Français selon leurs fortunes avait, lui aussi, déjà provoqué des prote</w:t>
      </w:r>
      <w:r w:rsidRPr="004B2498">
        <w:rPr>
          <w:lang w:eastAsia="fr-FR" w:bidi="fr-FR"/>
        </w:rPr>
        <w:t>s</w:t>
      </w:r>
      <w:r w:rsidRPr="004B2498">
        <w:rPr>
          <w:lang w:eastAsia="fr-FR" w:bidi="fr-FR"/>
        </w:rPr>
        <w:t>tations : des princes du sang y apparaissaient dans un rang inférieur à quelques i</w:t>
      </w:r>
      <w:r w:rsidRPr="004B2498">
        <w:rPr>
          <w:lang w:eastAsia="fr-FR" w:bidi="fr-FR"/>
        </w:rPr>
        <w:t>n</w:t>
      </w:r>
      <w:r w:rsidRPr="004B2498">
        <w:rPr>
          <w:lang w:eastAsia="fr-FR" w:bidi="fr-FR"/>
        </w:rPr>
        <w:t xml:space="preserve">tendants de familles fraîchement anoblies et enrichies (à moins que ce ne soit l’inverse...). Comme en 1709 le </w:t>
      </w:r>
      <w:r w:rsidRPr="004B2498">
        <w:rPr>
          <w:iCs/>
        </w:rPr>
        <w:t>Turcaret</w:t>
      </w:r>
      <w:r w:rsidRPr="004B2498">
        <w:rPr>
          <w:bCs/>
        </w:rPr>
        <w:t xml:space="preserve"> </w:t>
      </w:r>
      <w:r w:rsidRPr="004B2498">
        <w:rPr>
          <w:lang w:eastAsia="fr-FR" w:bidi="fr-FR"/>
        </w:rPr>
        <w:t>d’Alain René Lesage, cela préfigurait des temps nouveaux, ceux en France postérieurs à la nuit du 4 août 1789 où les députés de l’Assemblée n</w:t>
      </w:r>
      <w:r w:rsidRPr="004B2498">
        <w:rPr>
          <w:lang w:eastAsia="fr-FR" w:bidi="fr-FR"/>
        </w:rPr>
        <w:t>a</w:t>
      </w:r>
      <w:r w:rsidRPr="004B2498">
        <w:rPr>
          <w:lang w:eastAsia="fr-FR" w:bidi="fr-FR"/>
        </w:rPr>
        <w:t>tionale, après avoir siégé en mélangeant les trois ordres de l’Ancien Régime, abolirent les privilèges du clergé et de la noblesse. Bien év</w:t>
      </w:r>
      <w:r w:rsidRPr="004B2498">
        <w:rPr>
          <w:lang w:eastAsia="fr-FR" w:bidi="fr-FR"/>
        </w:rPr>
        <w:t>i</w:t>
      </w:r>
      <w:r w:rsidRPr="004B2498">
        <w:rPr>
          <w:lang w:eastAsia="fr-FR" w:bidi="fr-FR"/>
        </w:rPr>
        <w:t xml:space="preserve">demment cela ne disparut pas dans un grand soir. L’aristocratie est décrite par Hippolyte Taine dans son </w:t>
      </w:r>
      <w:r w:rsidRPr="00E402D8">
        <w:rPr>
          <w:i/>
        </w:rPr>
        <w:t>Histoire de la Révolution</w:t>
      </w:r>
      <w:r w:rsidRPr="004B2498">
        <w:rPr>
          <w:lang w:eastAsia="fr-FR" w:bidi="fr-FR"/>
        </w:rPr>
        <w:t xml:space="preserve"> mo</w:t>
      </w:r>
      <w:r w:rsidRPr="004B2498">
        <w:rPr>
          <w:lang w:eastAsia="fr-FR" w:bidi="fr-FR"/>
        </w:rPr>
        <w:t>n</w:t>
      </w:r>
      <w:r w:rsidRPr="004B2498">
        <w:rPr>
          <w:lang w:eastAsia="fr-FR" w:bidi="fr-FR"/>
        </w:rPr>
        <w:t>tant aux éch</w:t>
      </w:r>
      <w:r w:rsidRPr="004B2498">
        <w:rPr>
          <w:lang w:eastAsia="fr-FR" w:bidi="fr-FR"/>
        </w:rPr>
        <w:t>a</w:t>
      </w:r>
      <w:r w:rsidRPr="004B2498">
        <w:rPr>
          <w:lang w:eastAsia="fr-FR" w:bidi="fr-FR"/>
        </w:rPr>
        <w:t>fauds de la Première République française en conservant les préséances de leurs rangs </w:t>
      </w:r>
      <w:r>
        <w:rPr>
          <w:rStyle w:val="Appelnotedebasdep"/>
          <w:lang w:eastAsia="fr-FR" w:bidi="fr-FR"/>
        </w:rPr>
        <w:footnoteReference w:id="17"/>
      </w:r>
      <w:r w:rsidRPr="004B2498">
        <w:rPr>
          <w:lang w:eastAsia="fr-FR" w:bidi="fr-FR"/>
        </w:rPr>
        <w:t>. Mais cette nuit du 4 août avait anno</w:t>
      </w:r>
      <w:r w:rsidRPr="004B2498">
        <w:rPr>
          <w:lang w:eastAsia="fr-FR" w:bidi="fr-FR"/>
        </w:rPr>
        <w:t>n</w:t>
      </w:r>
      <w:r w:rsidRPr="004B2498">
        <w:rPr>
          <w:lang w:eastAsia="fr-FR" w:bidi="fr-FR"/>
        </w:rPr>
        <w:t>cé une hi</w:t>
      </w:r>
      <w:r w:rsidRPr="004B2498">
        <w:rPr>
          <w:lang w:eastAsia="fr-FR" w:bidi="fr-FR"/>
        </w:rPr>
        <w:t>é</w:t>
      </w:r>
      <w:r w:rsidRPr="004B2498">
        <w:rPr>
          <w:lang w:eastAsia="fr-FR" w:bidi="fr-FR"/>
        </w:rPr>
        <w:t>rarchie fonctionnelle d’ordre économique et de plus en plus financière, que nos habitudes mettent maintenant (encore) difficil</w:t>
      </w:r>
      <w:r w:rsidRPr="004B2498">
        <w:rPr>
          <w:lang w:eastAsia="fr-FR" w:bidi="fr-FR"/>
        </w:rPr>
        <w:t>e</w:t>
      </w:r>
      <w:r w:rsidRPr="004B2498">
        <w:rPr>
          <w:lang w:eastAsia="fr-FR" w:bidi="fr-FR"/>
        </w:rPr>
        <w:t>ment en cause et qu’un quart de siècle d’hégémonie de la raison éc</w:t>
      </w:r>
      <w:r w:rsidRPr="004B2498">
        <w:rPr>
          <w:lang w:eastAsia="fr-FR" w:bidi="fr-FR"/>
        </w:rPr>
        <w:t>o</w:t>
      </w:r>
      <w:r w:rsidRPr="004B2498">
        <w:rPr>
          <w:lang w:eastAsia="fr-FR" w:bidi="fr-FR"/>
        </w:rPr>
        <w:t>nomiste du né</w:t>
      </w:r>
      <w:r w:rsidRPr="004B2498">
        <w:rPr>
          <w:lang w:eastAsia="fr-FR" w:bidi="fr-FR"/>
        </w:rPr>
        <w:t>o</w:t>
      </w:r>
      <w:r w:rsidRPr="004B2498">
        <w:rPr>
          <w:lang w:eastAsia="fr-FR" w:bidi="fr-FR"/>
        </w:rPr>
        <w:t>libéralisme a confortée.</w:t>
      </w:r>
    </w:p>
    <w:p w14:paraId="7C645A40" w14:textId="77777777" w:rsidR="002F4063" w:rsidRPr="004B2498" w:rsidRDefault="002F4063" w:rsidP="002F4063">
      <w:pPr>
        <w:spacing w:before="120" w:after="120"/>
        <w:jc w:val="both"/>
        <w:rPr>
          <w:szCs w:val="24"/>
          <w:lang w:eastAsia="fr-FR" w:bidi="fr-FR"/>
        </w:rPr>
      </w:pPr>
    </w:p>
    <w:p w14:paraId="30E755F7" w14:textId="77777777" w:rsidR="002F4063" w:rsidRPr="004B2498" w:rsidRDefault="002F4063" w:rsidP="002F4063">
      <w:pPr>
        <w:pStyle w:val="a"/>
      </w:pPr>
      <w:r w:rsidRPr="004B2498">
        <w:t>L’enquête primale comme savoir et connaissance</w:t>
      </w:r>
    </w:p>
    <w:p w14:paraId="35D9C35E" w14:textId="77777777" w:rsidR="002F4063" w:rsidRPr="004B2498" w:rsidRDefault="002F4063" w:rsidP="002F4063">
      <w:pPr>
        <w:spacing w:before="120" w:after="120"/>
        <w:jc w:val="both"/>
        <w:rPr>
          <w:lang w:eastAsia="fr-FR" w:bidi="fr-FR"/>
        </w:rPr>
      </w:pPr>
    </w:p>
    <w:p w14:paraId="7E28B06E" w14:textId="77777777" w:rsidR="002F4063" w:rsidRPr="004B2498" w:rsidRDefault="002F4063" w:rsidP="002F4063">
      <w:pPr>
        <w:spacing w:before="120" w:after="120"/>
        <w:jc w:val="both"/>
      </w:pPr>
      <w:r w:rsidRPr="004B2498">
        <w:rPr>
          <w:lang w:eastAsia="fr-FR" w:bidi="fr-FR"/>
        </w:rPr>
        <w:t xml:space="preserve">Les étonnements anciens illustrent que la différence de nos savoirs sur la société avec les anciennes façons de classer et de représenter n’est pas d’abord cumulative, à la manière des performances d’une machine mesurée par son seul </w:t>
      </w:r>
      <w:r w:rsidRPr="004B2498">
        <w:t>output</w:t>
      </w:r>
      <w:r w:rsidRPr="004B2498">
        <w:rPr>
          <w:lang w:eastAsia="fr-FR" w:bidi="fr-FR"/>
        </w:rPr>
        <w:t xml:space="preserve"> qui s’accroît à la suite de perfe</w:t>
      </w:r>
      <w:r w:rsidRPr="004B2498">
        <w:rPr>
          <w:lang w:eastAsia="fr-FR" w:bidi="fr-FR"/>
        </w:rPr>
        <w:t>c</w:t>
      </w:r>
      <w:r w:rsidRPr="004B2498">
        <w:rPr>
          <w:lang w:eastAsia="fr-FR" w:bidi="fr-FR"/>
        </w:rPr>
        <w:t xml:space="preserve">tionnements successifs ou qui pour une même quantité produite exige des quantités </w:t>
      </w:r>
      <w:r w:rsidRPr="004B2498">
        <w:t>d'</w:t>
      </w:r>
      <w:r w:rsidRPr="00E402D8">
        <w:rPr>
          <w:i/>
        </w:rPr>
        <w:t>input</w:t>
      </w:r>
      <w:r w:rsidRPr="004B2498">
        <w:rPr>
          <w:lang w:eastAsia="fr-FR" w:bidi="fr-FR"/>
        </w:rPr>
        <w:t xml:space="preserve"> réduites. Les anciens savants n’avaient pas moins de connaissances. Ils savaient autrement. Les préjugés de leur temps n’étaient pas les nôtres et les finalités de leur savoir étaient tout aussi différentes que leurs cultures. Les mythes ont été une première façon de comprendre l’humain, le social et la nature, en ne séparant pas les trois. Ils ont permis de régler les rapports entre ces différentes dime</w:t>
      </w:r>
      <w:r w:rsidRPr="004B2498">
        <w:rPr>
          <w:lang w:eastAsia="fr-FR" w:bidi="fr-FR"/>
        </w:rPr>
        <w:t>n</w:t>
      </w:r>
      <w:r w:rsidRPr="004B2498">
        <w:rPr>
          <w:lang w:eastAsia="fr-FR" w:bidi="fr-FR"/>
        </w:rPr>
        <w:t>sions comme le pratiquent les diverses formes du shamanisme. Ces imaginaires posaient des questions que l’on peut</w:t>
      </w:r>
      <w:r>
        <w:t xml:space="preserve"> </w:t>
      </w:r>
      <w:r w:rsidRPr="004B2498">
        <w:t>[49]</w:t>
      </w:r>
      <w:r>
        <w:t xml:space="preserve"> </w:t>
      </w:r>
      <w:r w:rsidRPr="004B2498">
        <w:rPr>
          <w:lang w:eastAsia="fr-FR" w:bidi="fr-FR"/>
        </w:rPr>
        <w:t>reconnaître comme ayant des points communs avec les interrog</w:t>
      </w:r>
      <w:r w:rsidRPr="004B2498">
        <w:rPr>
          <w:lang w:eastAsia="fr-FR" w:bidi="fr-FR"/>
        </w:rPr>
        <w:t>a</w:t>
      </w:r>
      <w:r w:rsidRPr="004B2498">
        <w:rPr>
          <w:lang w:eastAsia="fr-FR" w:bidi="fr-FR"/>
        </w:rPr>
        <w:t xml:space="preserve">tions de notre connaissance. Nos savoirs se sont détachés, il y a bien longtemps, des anciens mythes. La première rupture a été celle de l’histoire comme enquête selon le titre même de l’œuvre d’Hérodote. La première </w:t>
      </w:r>
      <w:r w:rsidRPr="00E402D8">
        <w:rPr>
          <w:i/>
        </w:rPr>
        <w:t>Hi</w:t>
      </w:r>
      <w:r w:rsidRPr="00E402D8">
        <w:rPr>
          <w:i/>
        </w:rPr>
        <w:t>s</w:t>
      </w:r>
      <w:r w:rsidRPr="00E402D8">
        <w:rPr>
          <w:i/>
        </w:rPr>
        <w:t>toriai</w:t>
      </w:r>
      <w:r w:rsidRPr="004B2498">
        <w:rPr>
          <w:lang w:eastAsia="fr-FR" w:bidi="fr-FR"/>
        </w:rPr>
        <w:t xml:space="preserve"> connue, celle d’Hérodote, rédigée au V</w:t>
      </w:r>
      <w:r w:rsidRPr="00E402D8">
        <w:rPr>
          <w:vertAlign w:val="superscript"/>
          <w:lang w:eastAsia="fr-FR" w:bidi="fr-FR"/>
        </w:rPr>
        <w:t>e</w:t>
      </w:r>
      <w:r w:rsidRPr="004B2498">
        <w:rPr>
          <w:lang w:eastAsia="fr-FR" w:bidi="fr-FR"/>
        </w:rPr>
        <w:t xml:space="preserve"> siècle avant notre ère, s’opposait aux discours mythiques, comme ceux de l’aède Homère. Cette </w:t>
      </w:r>
      <w:r w:rsidRPr="00E402D8">
        <w:rPr>
          <w:i/>
        </w:rPr>
        <w:t>Historia</w:t>
      </w:r>
      <w:r w:rsidRPr="004B2498">
        <w:rPr>
          <w:lang w:eastAsia="fr-FR" w:bidi="fr-FR"/>
        </w:rPr>
        <w:t xml:space="preserve"> est une enquête. Elle débute ainsi :</w:t>
      </w:r>
    </w:p>
    <w:p w14:paraId="7A057082" w14:textId="77777777" w:rsidR="002F4063" w:rsidRDefault="002F4063" w:rsidP="002F4063">
      <w:pPr>
        <w:pStyle w:val="Grillecouleur-Accent1"/>
        <w:rPr>
          <w:lang w:eastAsia="fr-FR" w:bidi="fr-FR"/>
        </w:rPr>
      </w:pPr>
    </w:p>
    <w:p w14:paraId="3DBA1181" w14:textId="77777777" w:rsidR="002F4063" w:rsidRDefault="002F4063" w:rsidP="002F4063">
      <w:pPr>
        <w:pStyle w:val="Grillecouleur-Accent1"/>
        <w:rPr>
          <w:lang w:eastAsia="fr-FR" w:bidi="fr-FR"/>
        </w:rPr>
      </w:pPr>
      <w:r w:rsidRPr="004B2498">
        <w:rPr>
          <w:lang w:eastAsia="fr-FR" w:bidi="fr-FR"/>
        </w:rPr>
        <w:t xml:space="preserve">« Hérodote d’Halicarnasse présente ici les résultats de son Enquête </w:t>
      </w:r>
      <w:r w:rsidRPr="00232444">
        <w:rPr>
          <w:iCs/>
        </w:rPr>
        <w:t>[Historiai]</w:t>
      </w:r>
      <w:r w:rsidRPr="004B2498">
        <w:rPr>
          <w:lang w:eastAsia="fr-FR" w:bidi="fr-FR"/>
        </w:rPr>
        <w:t xml:space="preserve"> afin que le temps n’abolisse pas le souvenir des actions des hommes et que les grands exploits accomplis soit par les Grecs, soit par les Barbares, ne tombent pas dans l’oubli. »</w:t>
      </w:r>
    </w:p>
    <w:p w14:paraId="263E5975" w14:textId="77777777" w:rsidR="002F4063" w:rsidRPr="004B2498" w:rsidRDefault="002F4063" w:rsidP="002F4063">
      <w:pPr>
        <w:pStyle w:val="Grillecouleur-Accent1"/>
      </w:pPr>
    </w:p>
    <w:p w14:paraId="40FA9DF1" w14:textId="77777777" w:rsidR="002F4063" w:rsidRPr="004B2498" w:rsidRDefault="002F4063" w:rsidP="002F4063">
      <w:pPr>
        <w:spacing w:before="120" w:after="120"/>
        <w:jc w:val="both"/>
      </w:pPr>
      <w:r w:rsidRPr="004B2498">
        <w:rPr>
          <w:lang w:eastAsia="fr-FR" w:bidi="fr-FR"/>
        </w:rPr>
        <w:t xml:space="preserve">Si aujourd’hui le terme </w:t>
      </w:r>
      <w:r w:rsidRPr="004B2498">
        <w:t>histoire</w:t>
      </w:r>
      <w:r w:rsidRPr="004B2498">
        <w:rPr>
          <w:lang w:eastAsia="fr-FR" w:bidi="fr-FR"/>
        </w:rPr>
        <w:t xml:space="preserve"> évoque en français la mémoire et des chroniques, ses racines grecques sont beaucoup plus générales. Elles sont celles </w:t>
      </w:r>
      <w:r w:rsidRPr="004B2498">
        <w:t>d’</w:t>
      </w:r>
      <w:r w:rsidRPr="00E402D8">
        <w:rPr>
          <w:i/>
        </w:rPr>
        <w:t>histor</w:t>
      </w:r>
      <w:r w:rsidRPr="004B2498">
        <w:t>,</w:t>
      </w:r>
      <w:r w:rsidRPr="004B2498">
        <w:rPr>
          <w:lang w:eastAsia="fr-FR" w:bidi="fr-FR"/>
        </w:rPr>
        <w:t xml:space="preserve"> « celui qui sait », « celui qui est comp</w:t>
      </w:r>
      <w:r w:rsidRPr="004B2498">
        <w:rPr>
          <w:lang w:eastAsia="fr-FR" w:bidi="fr-FR"/>
        </w:rPr>
        <w:t>é</w:t>
      </w:r>
      <w:r w:rsidRPr="004B2498">
        <w:rPr>
          <w:lang w:eastAsia="fr-FR" w:bidi="fr-FR"/>
        </w:rPr>
        <w:t xml:space="preserve">tent ». Son origine est l’indo-européen </w:t>
      </w:r>
      <w:r w:rsidRPr="00E402D8">
        <w:rPr>
          <w:i/>
        </w:rPr>
        <w:t>°woida</w:t>
      </w:r>
      <w:r w:rsidRPr="004B2498">
        <w:rPr>
          <w:lang w:eastAsia="fr-FR" w:bidi="fr-FR"/>
        </w:rPr>
        <w:t xml:space="preserve"> signifiant : « j’ai tro</w:t>
      </w:r>
      <w:r w:rsidRPr="004B2498">
        <w:rPr>
          <w:lang w:eastAsia="fr-FR" w:bidi="fr-FR"/>
        </w:rPr>
        <w:t>u</w:t>
      </w:r>
      <w:r w:rsidRPr="004B2498">
        <w:rPr>
          <w:lang w:eastAsia="fr-FR" w:bidi="fr-FR"/>
        </w:rPr>
        <w:t xml:space="preserve">vé ». Y sont apparentés notamment le sanscrit </w:t>
      </w:r>
      <w:r w:rsidRPr="00E402D8">
        <w:rPr>
          <w:i/>
        </w:rPr>
        <w:t>veda</w:t>
      </w:r>
      <w:r w:rsidRPr="004B2498">
        <w:rPr>
          <w:lang w:eastAsia="fr-FR" w:bidi="fr-FR"/>
        </w:rPr>
        <w:t xml:space="preserve"> (le savoir), le celte </w:t>
      </w:r>
      <w:r w:rsidRPr="00E402D8">
        <w:rPr>
          <w:i/>
        </w:rPr>
        <w:t>°druid</w:t>
      </w:r>
      <w:r w:rsidRPr="004B2498">
        <w:t>,</w:t>
      </w:r>
      <w:r w:rsidRPr="004B2498">
        <w:rPr>
          <w:lang w:eastAsia="fr-FR" w:bidi="fr-FR"/>
        </w:rPr>
        <w:t xml:space="preserve"> l’anglais </w:t>
      </w:r>
      <w:r w:rsidRPr="00E402D8">
        <w:rPr>
          <w:i/>
        </w:rPr>
        <w:t>witness</w:t>
      </w:r>
      <w:r w:rsidRPr="004B2498">
        <w:t xml:space="preserve"> </w:t>
      </w:r>
      <w:r w:rsidRPr="004B2498">
        <w:rPr>
          <w:lang w:eastAsia="fr-FR" w:bidi="fr-FR"/>
        </w:rPr>
        <w:t xml:space="preserve">(témoin) et </w:t>
      </w:r>
      <w:r w:rsidRPr="00E402D8">
        <w:rPr>
          <w:i/>
        </w:rPr>
        <w:t>wise</w:t>
      </w:r>
      <w:r w:rsidRPr="004B2498">
        <w:rPr>
          <w:lang w:eastAsia="fr-FR" w:bidi="fr-FR"/>
        </w:rPr>
        <w:t xml:space="preserve"> (sage) ou l’allemand </w:t>
      </w:r>
      <w:r w:rsidRPr="00E402D8">
        <w:rPr>
          <w:i/>
        </w:rPr>
        <w:t>wissen</w:t>
      </w:r>
      <w:r w:rsidRPr="004B2498">
        <w:rPr>
          <w:lang w:eastAsia="fr-FR" w:bidi="fr-FR"/>
        </w:rPr>
        <w:t xml:space="preserve"> et </w:t>
      </w:r>
      <w:r w:rsidRPr="004B2498">
        <w:t>weise</w:t>
      </w:r>
      <w:r w:rsidRPr="004B2498">
        <w:rPr>
          <w:lang w:eastAsia="fr-FR" w:bidi="fr-FR"/>
        </w:rPr>
        <w:t xml:space="preserve"> (avisé, sage). Deux millénaires plus tard, David Hume en 1748 avec </w:t>
      </w:r>
      <w:r w:rsidRPr="004B2498">
        <w:t>An Enquiry Concerning Human Understanding</w:t>
      </w:r>
      <w:r w:rsidRPr="004B2498">
        <w:rPr>
          <w:lang w:eastAsia="fr-FR" w:bidi="fr-FR"/>
        </w:rPr>
        <w:t xml:space="preserve"> comme son ami et exécuteur testamentaire Adam Smith </w:t>
      </w:r>
      <w:r>
        <w:rPr>
          <w:rStyle w:val="Appelnotedebasdep"/>
          <w:lang w:eastAsia="fr-FR" w:bidi="fr-FR"/>
        </w:rPr>
        <w:footnoteReference w:id="18"/>
      </w:r>
      <w:r w:rsidRPr="004B2498">
        <w:rPr>
          <w:lang w:eastAsia="fr-FR" w:bidi="fr-FR"/>
        </w:rPr>
        <w:t xml:space="preserve"> en 1776, avec </w:t>
      </w:r>
      <w:r w:rsidRPr="00E402D8">
        <w:rPr>
          <w:i/>
        </w:rPr>
        <w:t>An I</w:t>
      </w:r>
      <w:r w:rsidRPr="00E402D8">
        <w:rPr>
          <w:i/>
        </w:rPr>
        <w:t>n</w:t>
      </w:r>
      <w:r w:rsidRPr="00E402D8">
        <w:rPr>
          <w:i/>
        </w:rPr>
        <w:t>quiry into the Nature and causes of the Wealth of Nations</w:t>
      </w:r>
      <w:r w:rsidRPr="004B2498">
        <w:rPr>
          <w:lang w:eastAsia="fr-FR" w:bidi="fr-FR"/>
        </w:rPr>
        <w:t xml:space="preserve">, font par le titre de leur ouvrage respectif référence à la présentation primordiale de l’une des œuvres les plus longues de l’Antiquité. Ils publient aussi une </w:t>
      </w:r>
      <w:r w:rsidRPr="004B2498">
        <w:t>enquête.</w:t>
      </w:r>
      <w:r w:rsidRPr="004B2498">
        <w:rPr>
          <w:lang w:eastAsia="fr-FR" w:bidi="fr-FR"/>
        </w:rPr>
        <w:t xml:space="preserve"> Cette forme de connaissance est la condition nécessaire, mais non suffisante, de ce qui se constitue et s’institue en tant que s</w:t>
      </w:r>
      <w:r w:rsidRPr="004B2498">
        <w:rPr>
          <w:lang w:eastAsia="fr-FR" w:bidi="fr-FR"/>
        </w:rPr>
        <w:t>a</w:t>
      </w:r>
      <w:r w:rsidRPr="004B2498">
        <w:rPr>
          <w:lang w:eastAsia="fr-FR" w:bidi="fr-FR"/>
        </w:rPr>
        <w:t>voir et rompt avec des formes précédentes de connaissance </w:t>
      </w:r>
      <w:r>
        <w:rPr>
          <w:rStyle w:val="Appelnotedebasdep"/>
          <w:lang w:eastAsia="fr-FR" w:bidi="fr-FR"/>
        </w:rPr>
        <w:footnoteReference w:id="19"/>
      </w:r>
      <w:r w:rsidRPr="004B2498">
        <w:rPr>
          <w:lang w:eastAsia="fr-FR" w:bidi="fr-FR"/>
        </w:rPr>
        <w:t>.</w:t>
      </w:r>
    </w:p>
    <w:p w14:paraId="698A087B" w14:textId="77777777" w:rsidR="002F4063" w:rsidRPr="004B2498" w:rsidRDefault="002F4063" w:rsidP="002F4063">
      <w:pPr>
        <w:spacing w:before="120" w:after="120"/>
        <w:jc w:val="both"/>
      </w:pPr>
      <w:r w:rsidRPr="004B2498">
        <w:t>[50]</w:t>
      </w:r>
    </w:p>
    <w:p w14:paraId="6F744008" w14:textId="77777777" w:rsidR="002F4063" w:rsidRPr="004B2498" w:rsidRDefault="002F4063" w:rsidP="002F4063">
      <w:pPr>
        <w:spacing w:before="120" w:after="120"/>
        <w:jc w:val="both"/>
      </w:pPr>
      <w:r w:rsidRPr="004B2498">
        <w:rPr>
          <w:lang w:eastAsia="fr-FR" w:bidi="fr-FR"/>
        </w:rPr>
        <w:t>Toutefois, les savoirs ont conservé dans les sociétés dites « développées » des fonctions en partie analogues à celles des mythes, plus tard réduits dans une partie du monde à des contes</w:t>
      </w:r>
      <w:r>
        <w:rPr>
          <w:lang w:eastAsia="fr-FR" w:bidi="fr-FR"/>
        </w:rPr>
        <w:t> </w:t>
      </w:r>
      <w:r>
        <w:rPr>
          <w:rStyle w:val="Appelnotedebasdep"/>
          <w:lang w:eastAsia="fr-FR" w:bidi="fr-FR"/>
        </w:rPr>
        <w:footnoteReference w:id="20"/>
      </w:r>
      <w:r w:rsidRPr="004B2498">
        <w:rPr>
          <w:lang w:eastAsia="fr-FR" w:bidi="fr-FR"/>
        </w:rPr>
        <w:t>, comme c</w:t>
      </w:r>
      <w:r w:rsidRPr="004B2498">
        <w:rPr>
          <w:lang w:eastAsia="fr-FR" w:bidi="fr-FR"/>
        </w:rPr>
        <w:t>a</w:t>
      </w:r>
      <w:r w:rsidRPr="004B2498">
        <w:rPr>
          <w:lang w:eastAsia="fr-FR" w:bidi="fr-FR"/>
        </w:rPr>
        <w:t>pacité de raisonner et d’ordonner afin d’agir. Ils servent aussi à insta</w:t>
      </w:r>
      <w:r w:rsidRPr="004B2498">
        <w:rPr>
          <w:lang w:eastAsia="fr-FR" w:bidi="fr-FR"/>
        </w:rPr>
        <w:t>u</w:t>
      </w:r>
      <w:r w:rsidRPr="004B2498">
        <w:rPr>
          <w:lang w:eastAsia="fr-FR" w:bidi="fr-FR"/>
        </w:rPr>
        <w:t>rer des rapports de domination liés à une prépondérance intelle</w:t>
      </w:r>
      <w:r w:rsidRPr="004B2498">
        <w:rPr>
          <w:lang w:eastAsia="fr-FR" w:bidi="fr-FR"/>
        </w:rPr>
        <w:t>c</w:t>
      </w:r>
      <w:r w:rsidRPr="004B2498">
        <w:rPr>
          <w:lang w:eastAsia="fr-FR" w:bidi="fr-FR"/>
        </w:rPr>
        <w:t>tuelle. Toutefois une différence entre mythe et savoir dit « scientifique » tient à la dimension dogmatique des mythes comparée à la capacité supp</w:t>
      </w:r>
      <w:r w:rsidRPr="004B2498">
        <w:rPr>
          <w:lang w:eastAsia="fr-FR" w:bidi="fr-FR"/>
        </w:rPr>
        <w:t>o</w:t>
      </w:r>
      <w:r w:rsidRPr="004B2498">
        <w:rPr>
          <w:lang w:eastAsia="fr-FR" w:bidi="fr-FR"/>
        </w:rPr>
        <w:t>sée critique du savoir scientifique. D’où la revend</w:t>
      </w:r>
      <w:r w:rsidRPr="004B2498">
        <w:rPr>
          <w:lang w:eastAsia="fr-FR" w:bidi="fr-FR"/>
        </w:rPr>
        <w:t>i</w:t>
      </w:r>
      <w:r w:rsidRPr="004B2498">
        <w:rPr>
          <w:lang w:eastAsia="fr-FR" w:bidi="fr-FR"/>
        </w:rPr>
        <w:t>cation d’une liberté de penser pour le savant et les liens étroits que l’on peut historiqu</w:t>
      </w:r>
      <w:r w:rsidRPr="004B2498">
        <w:rPr>
          <w:lang w:eastAsia="fr-FR" w:bidi="fr-FR"/>
        </w:rPr>
        <w:t>e</w:t>
      </w:r>
      <w:r w:rsidRPr="004B2498">
        <w:rPr>
          <w:lang w:eastAsia="fr-FR" w:bidi="fr-FR"/>
        </w:rPr>
        <w:t>ment établir entre la diffusion d’une pensée scientifique et le fon</w:t>
      </w:r>
      <w:r w:rsidRPr="004B2498">
        <w:rPr>
          <w:lang w:eastAsia="fr-FR" w:bidi="fr-FR"/>
        </w:rPr>
        <w:t>c</w:t>
      </w:r>
      <w:r w:rsidRPr="004B2498">
        <w:rPr>
          <w:lang w:eastAsia="fr-FR" w:bidi="fr-FR"/>
        </w:rPr>
        <w:t>tionnement démocratique des sociétés. Pour autant que cette liberté d’exercer une pensée autre soit encore effective. Même s’il évolue, un mythe se présente comme un dogme destiné à justifier un état du monde et se faisant il sert à sa reproduction. La science, quand bien même est-elle pensée sans cesse en progrès, fon</w:t>
      </w:r>
      <w:r w:rsidRPr="004B2498">
        <w:rPr>
          <w:lang w:eastAsia="fr-FR" w:bidi="fr-FR"/>
        </w:rPr>
        <w:t>c</w:t>
      </w:r>
      <w:r w:rsidRPr="004B2498">
        <w:rPr>
          <w:lang w:eastAsia="fr-FR" w:bidi="fr-FR"/>
        </w:rPr>
        <w:t xml:space="preserve">tionne bien (ou trop) souvent comme un dogme en matière de contrôle de la production et de la diffusion des connaissances. Dans ce cas, elle ne libère pas ; elle est un étau. La quasi-censure et le conformisme du </w:t>
      </w:r>
      <w:r w:rsidRPr="004B2498">
        <w:t>main stream</w:t>
      </w:r>
      <w:r w:rsidRPr="004B2498">
        <w:rPr>
          <w:lang w:eastAsia="fr-FR" w:bidi="fr-FR"/>
        </w:rPr>
        <w:t xml:space="preserve"> néol</w:t>
      </w:r>
      <w:r w:rsidRPr="004B2498">
        <w:rPr>
          <w:lang w:eastAsia="fr-FR" w:bidi="fr-FR"/>
        </w:rPr>
        <w:t>i</w:t>
      </w:r>
      <w:r w:rsidRPr="004B2498">
        <w:rPr>
          <w:lang w:eastAsia="fr-FR" w:bidi="fr-FR"/>
        </w:rPr>
        <w:t>béral s’apparentent à l’usage ancien et commun des mythes et entra</w:t>
      </w:r>
      <w:r w:rsidRPr="004B2498">
        <w:rPr>
          <w:lang w:eastAsia="fr-FR" w:bidi="fr-FR"/>
        </w:rPr>
        <w:t>î</w:t>
      </w:r>
      <w:r w:rsidRPr="004B2498">
        <w:rPr>
          <w:lang w:eastAsia="fr-FR" w:bidi="fr-FR"/>
        </w:rPr>
        <w:t>nent les mêmes effets reproducteurs, alors que les s</w:t>
      </w:r>
      <w:r w:rsidRPr="004B2498">
        <w:rPr>
          <w:lang w:eastAsia="fr-FR" w:bidi="fr-FR"/>
        </w:rPr>
        <w:t>a</w:t>
      </w:r>
      <w:r w:rsidRPr="004B2498">
        <w:rPr>
          <w:lang w:eastAsia="fr-FR" w:bidi="fr-FR"/>
        </w:rPr>
        <w:t>vants qui s’en réclament prétendent agir pour un progrès des connai</w:t>
      </w:r>
      <w:r w:rsidRPr="004B2498">
        <w:rPr>
          <w:lang w:eastAsia="fr-FR" w:bidi="fr-FR"/>
        </w:rPr>
        <w:t>s</w:t>
      </w:r>
      <w:r w:rsidRPr="004B2498">
        <w:rPr>
          <w:lang w:eastAsia="fr-FR" w:bidi="fr-FR"/>
        </w:rPr>
        <w:t>sances et des sociétés  ; ce qui supposerait de laisser un large espace à l’innovation. Il n’est pas étonnant que les dogmes néolibéraux se soient propagés dans un contexte où les sociétés occidentales ont connu dans de no</w:t>
      </w:r>
      <w:r w:rsidRPr="004B2498">
        <w:rPr>
          <w:lang w:eastAsia="fr-FR" w:bidi="fr-FR"/>
        </w:rPr>
        <w:t>m</w:t>
      </w:r>
      <w:r w:rsidRPr="004B2498">
        <w:rPr>
          <w:lang w:eastAsia="fr-FR" w:bidi="fr-FR"/>
        </w:rPr>
        <w:t>breux domaines une régression de la démocratie en soumettant le pol</w:t>
      </w:r>
      <w:r w:rsidRPr="004B2498">
        <w:rPr>
          <w:lang w:eastAsia="fr-FR" w:bidi="fr-FR"/>
        </w:rPr>
        <w:t>i</w:t>
      </w:r>
      <w:r w:rsidRPr="004B2498">
        <w:rPr>
          <w:lang w:eastAsia="fr-FR" w:bidi="fr-FR"/>
        </w:rPr>
        <w:t>tique à un ordre économique et financier. Or, le fonctionnement d</w:t>
      </w:r>
      <w:r w:rsidRPr="004B2498">
        <w:rPr>
          <w:lang w:eastAsia="fr-FR" w:bidi="fr-FR"/>
        </w:rPr>
        <w:t>é</w:t>
      </w:r>
      <w:r w:rsidRPr="004B2498">
        <w:rPr>
          <w:lang w:eastAsia="fr-FR" w:bidi="fr-FR"/>
        </w:rPr>
        <w:t>mocratique d’une société suppose que cette hiéra</w:t>
      </w:r>
      <w:r w:rsidRPr="004B2498">
        <w:rPr>
          <w:lang w:eastAsia="fr-FR" w:bidi="fr-FR"/>
        </w:rPr>
        <w:t>r</w:t>
      </w:r>
      <w:r w:rsidRPr="004B2498">
        <w:rPr>
          <w:lang w:eastAsia="fr-FR" w:bidi="fr-FR"/>
        </w:rPr>
        <w:t xml:space="preserve">chie soit inversée. Le </w:t>
      </w:r>
      <w:r w:rsidRPr="004B2498">
        <w:t>grand renversement</w:t>
      </w:r>
      <w:r>
        <w:t> </w:t>
      </w:r>
      <w:r>
        <w:rPr>
          <w:rStyle w:val="Appelnotedebasdep"/>
        </w:rPr>
        <w:footnoteReference w:id="21"/>
      </w:r>
      <w:r w:rsidRPr="004B2498">
        <w:rPr>
          <w:lang w:eastAsia="fr-FR" w:bidi="fr-FR"/>
        </w:rPr>
        <w:t xml:space="preserve"> en cours doit comporter ce travail d’inversion. Peuvent être montrés et démontés les mécanismes instit</w:t>
      </w:r>
      <w:r w:rsidRPr="004B2498">
        <w:rPr>
          <w:lang w:eastAsia="fr-FR" w:bidi="fr-FR"/>
        </w:rPr>
        <w:t>u</w:t>
      </w:r>
      <w:r w:rsidRPr="004B2498">
        <w:rPr>
          <w:lang w:eastAsia="fr-FR" w:bidi="fr-FR"/>
        </w:rPr>
        <w:t>tionnels d’élimination des idées déviantes. Il est bien sûr possible pour de je</w:t>
      </w:r>
      <w:r w:rsidRPr="004B2498">
        <w:rPr>
          <w:lang w:eastAsia="fr-FR" w:bidi="fr-FR"/>
        </w:rPr>
        <w:t>u</w:t>
      </w:r>
      <w:r w:rsidRPr="004B2498">
        <w:rPr>
          <w:lang w:eastAsia="fr-FR" w:bidi="fr-FR"/>
        </w:rPr>
        <w:t>nes chercheurs de penser différemment. Il leur est difficile de le faire du fait de l’incapacité d'être retenus pour un poste académique, de p</w:t>
      </w:r>
      <w:r w:rsidRPr="004B2498">
        <w:rPr>
          <w:lang w:eastAsia="fr-FR" w:bidi="fr-FR"/>
        </w:rPr>
        <w:t>u</w:t>
      </w:r>
      <w:r w:rsidRPr="004B2498">
        <w:rPr>
          <w:lang w:eastAsia="fr-FR" w:bidi="fr-FR"/>
        </w:rPr>
        <w:t>blier, de voir leurs recherches financées, etc. On retrouve là toute l’hypocrisie du marché. Les exclus ont la liberté de tout acquérir et de se déplacer au gré de leurs désirs. Ils en ont peu les capacités rée</w:t>
      </w:r>
      <w:r w:rsidRPr="004B2498">
        <w:rPr>
          <w:lang w:eastAsia="fr-FR" w:bidi="fr-FR"/>
        </w:rPr>
        <w:t>l</w:t>
      </w:r>
      <w:r w:rsidRPr="004B2498">
        <w:rPr>
          <w:lang w:eastAsia="fr-FR" w:bidi="fr-FR"/>
        </w:rPr>
        <w:t>les</w:t>
      </w:r>
      <w:r>
        <w:rPr>
          <w:lang w:eastAsia="fr-FR" w:bidi="fr-FR"/>
        </w:rPr>
        <w:t> </w:t>
      </w:r>
      <w:r>
        <w:rPr>
          <w:rStyle w:val="Appelnotedebasdep"/>
          <w:lang w:eastAsia="fr-FR" w:bidi="fr-FR"/>
        </w:rPr>
        <w:footnoteReference w:id="22"/>
      </w:r>
      <w:r w:rsidRPr="004B2498">
        <w:t>.</w:t>
      </w:r>
      <w:r w:rsidRPr="004B2498">
        <w:rPr>
          <w:lang w:eastAsia="fr-FR" w:bidi="fr-FR"/>
        </w:rPr>
        <w:t xml:space="preserve"> Il y a donc bien aussi régression des principes d</w:t>
      </w:r>
      <w:r w:rsidRPr="004B2498">
        <w:rPr>
          <w:lang w:eastAsia="fr-FR" w:bidi="fr-FR"/>
        </w:rPr>
        <w:t>é</w:t>
      </w:r>
      <w:r w:rsidRPr="004B2498">
        <w:rPr>
          <w:lang w:eastAsia="fr-FR" w:bidi="fr-FR"/>
        </w:rPr>
        <w:t>mocratiques au sein du monde universitaire du fait des limites imp</w:t>
      </w:r>
      <w:r w:rsidRPr="004B2498">
        <w:rPr>
          <w:lang w:eastAsia="fr-FR" w:bidi="fr-FR"/>
        </w:rPr>
        <w:t>o</w:t>
      </w:r>
      <w:r w:rsidRPr="004B2498">
        <w:rPr>
          <w:lang w:eastAsia="fr-FR" w:bidi="fr-FR"/>
        </w:rPr>
        <w:t>sées à la diversité d’opinions.</w:t>
      </w:r>
      <w:r w:rsidRPr="004B2498">
        <w:t xml:space="preserve"> </w:t>
      </w:r>
    </w:p>
    <w:p w14:paraId="59C95B94" w14:textId="77777777" w:rsidR="002F4063" w:rsidRPr="004B2498" w:rsidRDefault="002F4063" w:rsidP="002F4063">
      <w:pPr>
        <w:spacing w:before="120" w:after="120"/>
        <w:jc w:val="both"/>
      </w:pPr>
      <w:r w:rsidRPr="004B2498">
        <w:t>[51]</w:t>
      </w:r>
    </w:p>
    <w:p w14:paraId="1CCB3388" w14:textId="77777777" w:rsidR="002F4063" w:rsidRPr="004B2498" w:rsidRDefault="002F4063" w:rsidP="002F4063">
      <w:pPr>
        <w:spacing w:before="120" w:after="120"/>
        <w:jc w:val="both"/>
      </w:pPr>
    </w:p>
    <w:p w14:paraId="3A849810" w14:textId="77777777" w:rsidR="002F4063" w:rsidRPr="004B2498" w:rsidRDefault="002F4063" w:rsidP="002F4063">
      <w:pPr>
        <w:pStyle w:val="a"/>
      </w:pPr>
      <w:r w:rsidRPr="004B2498">
        <w:t>L’interdisciplinarité comme mode de connaissance</w:t>
      </w:r>
    </w:p>
    <w:p w14:paraId="0BCA655F" w14:textId="77777777" w:rsidR="002F4063" w:rsidRPr="004B2498" w:rsidRDefault="002F4063" w:rsidP="002F4063">
      <w:pPr>
        <w:spacing w:before="120" w:after="120"/>
        <w:jc w:val="both"/>
        <w:rPr>
          <w:lang w:eastAsia="fr-FR" w:bidi="fr-FR"/>
        </w:rPr>
      </w:pPr>
    </w:p>
    <w:p w14:paraId="6E9FB2E5" w14:textId="77777777" w:rsidR="002F4063" w:rsidRPr="004B2498" w:rsidRDefault="002F4063" w:rsidP="002F4063">
      <w:pPr>
        <w:spacing w:before="120" w:after="120"/>
        <w:jc w:val="both"/>
      </w:pPr>
      <w:r w:rsidRPr="004B2498">
        <w:rPr>
          <w:lang w:eastAsia="fr-FR" w:bidi="fr-FR"/>
        </w:rPr>
        <w:t>Parce qu’elle poursuit un travail de déconstruction critique des di</w:t>
      </w:r>
      <w:r w:rsidRPr="004B2498">
        <w:rPr>
          <w:lang w:eastAsia="fr-FR" w:bidi="fr-FR"/>
        </w:rPr>
        <w:t>s</w:t>
      </w:r>
      <w:r w:rsidRPr="004B2498">
        <w:rPr>
          <w:lang w:eastAsia="fr-FR" w:bidi="fr-FR"/>
        </w:rPr>
        <w:t>ciplines instituées en savoirs afin d’engager un dialogue entre elles et tisser des relations pour l’étude de questions particulières, l’interdisciplinarité s’oppose aux sectarismes et à leurs dogmatismes. Elle contribue, ce faisant, à une démarche scientifique en permettant d’appréhender les limites des savoirs qui sont nécessairement con</w:t>
      </w:r>
      <w:r w:rsidRPr="004B2498">
        <w:rPr>
          <w:lang w:eastAsia="fr-FR" w:bidi="fr-FR"/>
        </w:rPr>
        <w:t>s</w:t>
      </w:r>
      <w:r w:rsidRPr="004B2498">
        <w:rPr>
          <w:lang w:eastAsia="fr-FR" w:bidi="fr-FR"/>
        </w:rPr>
        <w:t>truits sur l’hypothèse d’une parcellisation efficace de la connaissance. Les bornes de chacun d’eux instituent de façon externe leurs frontières d’avec les autres disciplines et constituent de façon interne une cap</w:t>
      </w:r>
      <w:r w:rsidRPr="004B2498">
        <w:rPr>
          <w:lang w:eastAsia="fr-FR" w:bidi="fr-FR"/>
        </w:rPr>
        <w:t>a</w:t>
      </w:r>
      <w:r w:rsidRPr="004B2498">
        <w:rPr>
          <w:lang w:eastAsia="fr-FR" w:bidi="fr-FR"/>
        </w:rPr>
        <w:t>cité restreinte de comprendre l’objet que chaque discipline s’attribue par son champ supposé et/ou par ses méthodes. L’interdisciplinarité s’apparente ici au jeu d’un kaléidoscope dans lequel un nombre limité d’éléments ajustés de façons différentes peut produire une multitude de figures.</w:t>
      </w:r>
    </w:p>
    <w:p w14:paraId="7F9EDCAB" w14:textId="77777777" w:rsidR="002F4063" w:rsidRPr="004B2498" w:rsidRDefault="002F4063" w:rsidP="002F4063">
      <w:pPr>
        <w:spacing w:before="120" w:after="120"/>
        <w:jc w:val="both"/>
      </w:pPr>
      <w:r w:rsidRPr="004B2498">
        <w:rPr>
          <w:lang w:eastAsia="fr-FR" w:bidi="fr-FR"/>
        </w:rPr>
        <w:t>Pour comprendre les collaborations possibles, il est indispensable au préalable de reconnaître les processus d’autonomisation des disc</w:t>
      </w:r>
      <w:r w:rsidRPr="004B2498">
        <w:rPr>
          <w:lang w:eastAsia="fr-FR" w:bidi="fr-FR"/>
        </w:rPr>
        <w:t>i</w:t>
      </w:r>
      <w:r w:rsidRPr="004B2498">
        <w:rPr>
          <w:lang w:eastAsia="fr-FR" w:bidi="fr-FR"/>
        </w:rPr>
        <w:t>plines : Comment chaque courant de pensée s’est-il constitué en ru</w:t>
      </w:r>
      <w:r w:rsidRPr="004B2498">
        <w:rPr>
          <w:lang w:eastAsia="fr-FR" w:bidi="fr-FR"/>
        </w:rPr>
        <w:t>p</w:t>
      </w:r>
      <w:r w:rsidRPr="004B2498">
        <w:rPr>
          <w:lang w:eastAsia="fr-FR" w:bidi="fr-FR"/>
        </w:rPr>
        <w:t>ture avec une autre discipline ou avec plusieurs d’entre elles ? Co</w:t>
      </w:r>
      <w:r w:rsidRPr="004B2498">
        <w:rPr>
          <w:lang w:eastAsia="fr-FR" w:bidi="fr-FR"/>
        </w:rPr>
        <w:t>m</w:t>
      </w:r>
      <w:r w:rsidRPr="004B2498">
        <w:rPr>
          <w:lang w:eastAsia="fr-FR" w:bidi="fr-FR"/>
        </w:rPr>
        <w:t>ment s’opèrent d’une part des fractionnements au sein de chacune d’elles et d’autre part des regroupements transdisciplinaires par de-là les frontières disciplinaires ? Et comment chaque discipline en est-elle venue à traiter de champs particuliers dont les contenus et les contours même évoluent ? De ce point de vue l’ignorance de l’histoire de la pensée ayant élaboré les concepts et les techniques est un handicap majeur pour une collaboration interdisciplinaire.</w:t>
      </w:r>
    </w:p>
    <w:p w14:paraId="0C849877" w14:textId="77777777" w:rsidR="002F4063" w:rsidRPr="004B2498" w:rsidRDefault="002F4063" w:rsidP="002F4063">
      <w:pPr>
        <w:spacing w:before="120" w:after="120"/>
        <w:jc w:val="both"/>
      </w:pPr>
      <w:r w:rsidRPr="004B2498">
        <w:rPr>
          <w:lang w:eastAsia="fr-FR" w:bidi="fr-FR"/>
        </w:rPr>
        <w:t>L’évolution interne des disciplines n’est pas seulement mue par leur dynamique propre induite par la découverte de faits qualifiés de « polémiques » et par la formulation d’hypothèses nouvelles y répo</w:t>
      </w:r>
      <w:r w:rsidRPr="004B2498">
        <w:rPr>
          <w:lang w:eastAsia="fr-FR" w:bidi="fr-FR"/>
        </w:rPr>
        <w:t>n</w:t>
      </w:r>
      <w:r w:rsidRPr="004B2498">
        <w:rPr>
          <w:lang w:eastAsia="fr-FR" w:bidi="fr-FR"/>
        </w:rPr>
        <w:t>dant. Il serait dangereux de penser une science sociale comme un pr</w:t>
      </w:r>
      <w:r w:rsidRPr="004B2498">
        <w:rPr>
          <w:lang w:eastAsia="fr-FR" w:bidi="fr-FR"/>
        </w:rPr>
        <w:t>o</w:t>
      </w:r>
      <w:r w:rsidRPr="004B2498">
        <w:rPr>
          <w:lang w:eastAsia="fr-FR" w:bidi="fr-FR"/>
        </w:rPr>
        <w:t>cessus cumulatif additionnant les savoirs et permettant un progrès l</w:t>
      </w:r>
      <w:r w:rsidRPr="004B2498">
        <w:rPr>
          <w:lang w:eastAsia="fr-FR" w:bidi="fr-FR"/>
        </w:rPr>
        <w:t>i</w:t>
      </w:r>
      <w:r w:rsidRPr="004B2498">
        <w:rPr>
          <w:lang w:eastAsia="fr-FR" w:bidi="fr-FR"/>
        </w:rPr>
        <w:t>néaire par ajustements successifs permettant de mieux saisir/percevoir l’objet que la discipline s’est donné. Ce n’est pas en cherchant à am</w:t>
      </w:r>
      <w:r w:rsidRPr="004B2498">
        <w:rPr>
          <w:lang w:eastAsia="fr-FR" w:bidi="fr-FR"/>
        </w:rPr>
        <w:t>é</w:t>
      </w:r>
      <w:r w:rsidRPr="004B2498">
        <w:rPr>
          <w:lang w:eastAsia="fr-FR" w:bidi="fr-FR"/>
        </w:rPr>
        <w:t>liorer des chandelles</w:t>
      </w:r>
      <w:r>
        <w:rPr>
          <w:lang w:eastAsia="fr-FR" w:bidi="fr-FR"/>
        </w:rPr>
        <w:t> </w:t>
      </w:r>
      <w:r>
        <w:rPr>
          <w:rStyle w:val="Appelnotedebasdep"/>
          <w:lang w:eastAsia="fr-FR" w:bidi="fr-FR"/>
        </w:rPr>
        <w:footnoteReference w:id="23"/>
      </w:r>
      <w:r w:rsidRPr="004B2498">
        <w:rPr>
          <w:lang w:eastAsia="fr-FR" w:bidi="fr-FR"/>
        </w:rPr>
        <w:t xml:space="preserve"> que furent trouvées les ampoules permettant l’éclairage électrique.</w:t>
      </w:r>
    </w:p>
    <w:p w14:paraId="55D9C8F3" w14:textId="77777777" w:rsidR="002F4063" w:rsidRPr="004B2498" w:rsidRDefault="002F4063" w:rsidP="002F4063">
      <w:pPr>
        <w:spacing w:before="120" w:after="120"/>
        <w:jc w:val="both"/>
      </w:pPr>
      <w:r w:rsidRPr="004B2498">
        <w:rPr>
          <w:lang w:eastAsia="fr-FR" w:bidi="fr-FR"/>
        </w:rPr>
        <w:t>Les savoirs sont immergés dans la société qui les engendre et dans des institutions qu’ils produisent en retour. Le rapport à l’espace mondial par exemple a été différent selon les périodes. Ces différe</w:t>
      </w:r>
      <w:r w:rsidRPr="004B2498">
        <w:rPr>
          <w:lang w:eastAsia="fr-FR" w:bidi="fr-FR"/>
        </w:rPr>
        <w:t>n</w:t>
      </w:r>
      <w:r w:rsidRPr="004B2498">
        <w:rPr>
          <w:lang w:eastAsia="fr-FR" w:bidi="fr-FR"/>
        </w:rPr>
        <w:t>ces se retrouvent dans les dénominations successives liées à la colon</w:t>
      </w:r>
      <w:r w:rsidRPr="004B2498">
        <w:rPr>
          <w:lang w:eastAsia="fr-FR" w:bidi="fr-FR"/>
        </w:rPr>
        <w:t>i</w:t>
      </w:r>
      <w:r w:rsidRPr="004B2498">
        <w:rPr>
          <w:lang w:eastAsia="fr-FR" w:bidi="fr-FR"/>
        </w:rPr>
        <w:t>sation, aux luttes d’indépendance, à la libération même, à la phase de coopération et enfin à la globalisation. Des appellations comme pays arriérés, sous-développés, en</w:t>
      </w:r>
      <w:r>
        <w:t xml:space="preserve"> </w:t>
      </w:r>
      <w:r w:rsidRPr="004B2498">
        <w:t>[52]</w:t>
      </w:r>
      <w:r>
        <w:t xml:space="preserve"> </w:t>
      </w:r>
      <w:r w:rsidRPr="004B2498">
        <w:rPr>
          <w:lang w:eastAsia="fr-FR" w:bidi="fr-FR"/>
        </w:rPr>
        <w:t>voie de développement, moins avancés, du Tiers Monde, du Sud, en transition, émergents, etc. sont là pour nous le rappeler </w:t>
      </w:r>
      <w:r>
        <w:rPr>
          <w:rStyle w:val="Appelnotedebasdep"/>
          <w:lang w:eastAsia="fr-FR" w:bidi="fr-FR"/>
        </w:rPr>
        <w:footnoteReference w:id="24"/>
      </w:r>
      <w:r w:rsidRPr="004B2498">
        <w:rPr>
          <w:lang w:eastAsia="fr-FR" w:bidi="fr-FR"/>
        </w:rPr>
        <w:t>. Ces dénominations et la disparition de certa</w:t>
      </w:r>
      <w:r w:rsidRPr="004B2498">
        <w:rPr>
          <w:lang w:eastAsia="fr-FR" w:bidi="fr-FR"/>
        </w:rPr>
        <w:t>i</w:t>
      </w:r>
      <w:r w:rsidRPr="004B2498">
        <w:rPr>
          <w:lang w:eastAsia="fr-FR" w:bidi="fr-FR"/>
        </w:rPr>
        <w:t>nes d’entre elles ne sont pas anodines. On peut y lire les courants de pensée économique, ce qu’ont été les approches</w:t>
      </w:r>
      <w:r>
        <w:rPr>
          <w:lang w:eastAsia="fr-FR" w:bidi="fr-FR"/>
        </w:rPr>
        <w:t> </w:t>
      </w:r>
      <w:r>
        <w:rPr>
          <w:rStyle w:val="Appelnotedebasdep"/>
          <w:lang w:eastAsia="fr-FR" w:bidi="fr-FR"/>
        </w:rPr>
        <w:footnoteReference w:id="25"/>
      </w:r>
      <w:r w:rsidRPr="004B2498">
        <w:rPr>
          <w:lang w:eastAsia="fr-FR" w:bidi="fr-FR"/>
        </w:rPr>
        <w:t xml:space="preserve"> en termes de ce</w:t>
      </w:r>
      <w:r w:rsidRPr="004B2498">
        <w:rPr>
          <w:lang w:eastAsia="fr-FR" w:bidi="fr-FR"/>
        </w:rPr>
        <w:t>r</w:t>
      </w:r>
      <w:r w:rsidRPr="004B2498">
        <w:rPr>
          <w:lang w:eastAsia="fr-FR" w:bidi="fr-FR"/>
        </w:rPr>
        <w:t>cles vicieux du sous-développement, de dualisme, de dépendance, d’opposition ce</w:t>
      </w:r>
      <w:r w:rsidRPr="004B2498">
        <w:rPr>
          <w:lang w:eastAsia="fr-FR" w:bidi="fr-FR"/>
        </w:rPr>
        <w:t>n</w:t>
      </w:r>
      <w:r w:rsidRPr="004B2498">
        <w:rPr>
          <w:lang w:eastAsia="fr-FR" w:bidi="fr-FR"/>
        </w:rPr>
        <w:t>tre/périphérie, d’étapes de la croissance, d’ajustement macroéconom</w:t>
      </w:r>
      <w:r w:rsidRPr="004B2498">
        <w:rPr>
          <w:lang w:eastAsia="fr-FR" w:bidi="fr-FR"/>
        </w:rPr>
        <w:t>i</w:t>
      </w:r>
      <w:r w:rsidRPr="004B2498">
        <w:rPr>
          <w:lang w:eastAsia="fr-FR" w:bidi="fr-FR"/>
        </w:rPr>
        <w:t>que, etc. Le même diagnostic pourrait être fait pour ce qui est des a</w:t>
      </w:r>
      <w:r w:rsidRPr="004B2498">
        <w:rPr>
          <w:lang w:eastAsia="fr-FR" w:bidi="fr-FR"/>
        </w:rPr>
        <w:t>p</w:t>
      </w:r>
      <w:r w:rsidRPr="004B2498">
        <w:rPr>
          <w:lang w:eastAsia="fr-FR" w:bidi="fr-FR"/>
        </w:rPr>
        <w:t>proches négatives ou positives du protectionnisme.</w:t>
      </w:r>
    </w:p>
    <w:p w14:paraId="1EFEE334" w14:textId="77777777" w:rsidR="002F4063" w:rsidRPr="004B2498" w:rsidRDefault="002F4063" w:rsidP="002F4063">
      <w:pPr>
        <w:spacing w:before="120" w:after="120"/>
        <w:jc w:val="both"/>
      </w:pPr>
      <w:r w:rsidRPr="004B2498">
        <w:rPr>
          <w:lang w:eastAsia="fr-FR" w:bidi="fr-FR"/>
        </w:rPr>
        <w:t>Mettre en relation les disciplines doit permettre de comprendre que chaque spécialiste porte les lunettes déformantes de sa discipline et de courants de celle-ci et que son objet de recherche est ainsi construit dans un contexte spécifique par des hypothèses particulières contra</w:t>
      </w:r>
      <w:r w:rsidRPr="004B2498">
        <w:rPr>
          <w:lang w:eastAsia="fr-FR" w:bidi="fr-FR"/>
        </w:rPr>
        <w:t>i</w:t>
      </w:r>
      <w:r w:rsidRPr="004B2498">
        <w:rPr>
          <w:lang w:eastAsia="fr-FR" w:bidi="fr-FR"/>
        </w:rPr>
        <w:t>gnantes. Cette prise de conscience de la position déformante ou an</w:t>
      </w:r>
      <w:r w:rsidRPr="004B2498">
        <w:rPr>
          <w:lang w:eastAsia="fr-FR" w:bidi="fr-FR"/>
        </w:rPr>
        <w:t>a</w:t>
      </w:r>
      <w:r w:rsidRPr="004B2498">
        <w:rPr>
          <w:lang w:eastAsia="fr-FR" w:bidi="fr-FR"/>
        </w:rPr>
        <w:t>morphique des disciplines est au cœur d’une démarche interdiscipl</w:t>
      </w:r>
      <w:r w:rsidRPr="004B2498">
        <w:rPr>
          <w:lang w:eastAsia="fr-FR" w:bidi="fr-FR"/>
        </w:rPr>
        <w:t>i</w:t>
      </w:r>
      <w:r w:rsidRPr="004B2498">
        <w:rPr>
          <w:lang w:eastAsia="fr-FR" w:bidi="fr-FR"/>
        </w:rPr>
        <w:t>naire. Il convient de repérer les troubles possibles de la vision que chaque positionnement, que chaque perspective disciplinaire (ou ch</w:t>
      </w:r>
      <w:r w:rsidRPr="004B2498">
        <w:rPr>
          <w:lang w:eastAsia="fr-FR" w:bidi="fr-FR"/>
        </w:rPr>
        <w:t>a</w:t>
      </w:r>
      <w:r w:rsidRPr="004B2498">
        <w:rPr>
          <w:lang w:eastAsia="fr-FR" w:bidi="fr-FR"/>
        </w:rPr>
        <w:t xml:space="preserve">que courant d’une discipline) produit. Rappelons ici quelques troubles de la réfraction oculaire. Le presbyte ne voit plus les objets rapprochés par suite d’une baisse de la plasticité du cristallin et de son pouvoir d’accommodation. Le myope ne perçoit pas distinctement les objets lointains alors que l’œil de l’hypermétrope fait converger les rayons parallèles au-delà de la rétine. L’astigmate souffre d’une anomalie due à une courbure inégale ou anormale de la cornée ou à une réfringence inégale des milieux transparents, etc. Il est possible de comparer ces défauts de la vue à ceux que les échelles d’observation des disciplines imposent. On peut aussi penser à l’affirmation de Spinoza dans son </w:t>
      </w:r>
      <w:r w:rsidRPr="004B2498">
        <w:t>Ethica Ordine Geometrico Demonstrata</w:t>
      </w:r>
      <w:r w:rsidRPr="004B2498">
        <w:rPr>
          <w:lang w:eastAsia="fr-FR" w:bidi="fr-FR"/>
        </w:rPr>
        <w:t xml:space="preserve"> (1677) selon laquelle :</w:t>
      </w:r>
    </w:p>
    <w:p w14:paraId="335EFBF6" w14:textId="77777777" w:rsidR="002F4063" w:rsidRDefault="002F4063" w:rsidP="002F4063">
      <w:pPr>
        <w:pStyle w:val="Grillecouleur-Accent1"/>
        <w:rPr>
          <w:lang w:eastAsia="fr-FR" w:bidi="fr-FR"/>
        </w:rPr>
      </w:pPr>
    </w:p>
    <w:p w14:paraId="5DF4DD70" w14:textId="77777777" w:rsidR="002F4063" w:rsidRPr="004B2498" w:rsidRDefault="002F4063" w:rsidP="002F4063">
      <w:pPr>
        <w:pStyle w:val="Grillecouleur-Accent1"/>
      </w:pPr>
      <w:r w:rsidRPr="004B2498">
        <w:rPr>
          <w:lang w:eastAsia="fr-FR" w:bidi="fr-FR"/>
        </w:rPr>
        <w:t>« Si quelqu’un a la volonté de regarder un objet éloigné, cette v</w:t>
      </w:r>
      <w:r w:rsidRPr="004B2498">
        <w:rPr>
          <w:lang w:eastAsia="fr-FR" w:bidi="fr-FR"/>
        </w:rPr>
        <w:t>o</w:t>
      </w:r>
      <w:r w:rsidRPr="004B2498">
        <w:rPr>
          <w:lang w:eastAsia="fr-FR" w:bidi="fr-FR"/>
        </w:rPr>
        <w:t>lonté fera que la pupille se dilatera ; mais si on pense seulement à dilater la p</w:t>
      </w:r>
      <w:r w:rsidRPr="004B2498">
        <w:rPr>
          <w:lang w:eastAsia="fr-FR" w:bidi="fr-FR"/>
        </w:rPr>
        <w:t>u</w:t>
      </w:r>
      <w:r w:rsidRPr="004B2498">
        <w:rPr>
          <w:lang w:eastAsia="fr-FR" w:bidi="fr-FR"/>
        </w:rPr>
        <w:t>pille, il ne servira à rien d’avoir cette volonté, car la Nature n’a pas joint le mouvement de la glande qui contribue à repousser les esprits animaux vers le nerf optique, de la manière convenable pour dilater ou contracter la p</w:t>
      </w:r>
      <w:r w:rsidRPr="004B2498">
        <w:rPr>
          <w:lang w:eastAsia="fr-FR" w:bidi="fr-FR"/>
        </w:rPr>
        <w:t>u</w:t>
      </w:r>
      <w:r w:rsidRPr="004B2498">
        <w:rPr>
          <w:lang w:eastAsia="fr-FR" w:bidi="fr-FR"/>
        </w:rPr>
        <w:t>pille à la volonté de dilater ou de contracter</w:t>
      </w:r>
      <w:r>
        <w:rPr>
          <w:color w:val="auto"/>
          <w:sz w:val="28"/>
        </w:rPr>
        <w:t xml:space="preserve"> </w:t>
      </w:r>
      <w:r w:rsidRPr="004B2498">
        <w:t>[53]</w:t>
      </w:r>
      <w:r>
        <w:t xml:space="preserve"> </w:t>
      </w:r>
      <w:r w:rsidRPr="004B2498">
        <w:rPr>
          <w:lang w:eastAsia="fr-FR" w:bidi="fr-FR"/>
        </w:rPr>
        <w:t>celle-ci, mais précis</w:t>
      </w:r>
      <w:r w:rsidRPr="004B2498">
        <w:rPr>
          <w:lang w:eastAsia="fr-FR" w:bidi="fr-FR"/>
        </w:rPr>
        <w:t>é</w:t>
      </w:r>
      <w:r w:rsidRPr="004B2498">
        <w:rPr>
          <w:lang w:eastAsia="fr-FR" w:bidi="fr-FR"/>
        </w:rPr>
        <w:t>ment à la volonté de regarder des objets élo</w:t>
      </w:r>
      <w:r w:rsidRPr="004B2498">
        <w:rPr>
          <w:lang w:eastAsia="fr-FR" w:bidi="fr-FR"/>
        </w:rPr>
        <w:t>i</w:t>
      </w:r>
      <w:r w:rsidRPr="004B2498">
        <w:rPr>
          <w:lang w:eastAsia="fr-FR" w:bidi="fr-FR"/>
        </w:rPr>
        <w:t>gnés ou rapprochés</w:t>
      </w:r>
      <w:r>
        <w:rPr>
          <w:lang w:eastAsia="fr-FR" w:bidi="fr-FR"/>
        </w:rPr>
        <w:t> </w:t>
      </w:r>
      <w:r>
        <w:rPr>
          <w:rStyle w:val="Appelnotedebasdep"/>
          <w:lang w:eastAsia="fr-FR" w:bidi="fr-FR"/>
        </w:rPr>
        <w:footnoteReference w:id="26"/>
      </w:r>
      <w:r w:rsidRPr="004B2498">
        <w:rPr>
          <w:lang w:eastAsia="fr-FR" w:bidi="fr-FR"/>
        </w:rPr>
        <w:t>. »</w:t>
      </w:r>
    </w:p>
    <w:p w14:paraId="15E0000F" w14:textId="77777777" w:rsidR="002F4063" w:rsidRPr="004B2498" w:rsidRDefault="002F4063" w:rsidP="002F4063">
      <w:pPr>
        <w:spacing w:before="120" w:after="120"/>
        <w:jc w:val="both"/>
        <w:rPr>
          <w:szCs w:val="24"/>
          <w:lang w:eastAsia="fr-FR" w:bidi="fr-FR"/>
        </w:rPr>
      </w:pPr>
    </w:p>
    <w:p w14:paraId="4D6F0847" w14:textId="77777777" w:rsidR="002F4063" w:rsidRPr="004B2498" w:rsidRDefault="002F4063" w:rsidP="002F4063">
      <w:pPr>
        <w:pStyle w:val="a"/>
      </w:pPr>
      <w:r w:rsidRPr="004B2498">
        <w:t>L’interdisciplinarité ne nie pas les disciplines</w:t>
      </w:r>
    </w:p>
    <w:p w14:paraId="379D7AEA" w14:textId="77777777" w:rsidR="002F4063" w:rsidRPr="004B2498" w:rsidRDefault="002F4063" w:rsidP="002F4063">
      <w:pPr>
        <w:spacing w:before="120" w:after="120"/>
        <w:jc w:val="both"/>
        <w:rPr>
          <w:lang w:eastAsia="fr-FR" w:bidi="fr-FR"/>
        </w:rPr>
      </w:pPr>
    </w:p>
    <w:p w14:paraId="2F8124CC" w14:textId="77777777" w:rsidR="002F4063" w:rsidRPr="004B2498" w:rsidRDefault="002F4063" w:rsidP="002F4063">
      <w:pPr>
        <w:spacing w:before="120" w:after="120"/>
        <w:jc w:val="both"/>
      </w:pPr>
      <w:r w:rsidRPr="004B2498">
        <w:rPr>
          <w:lang w:eastAsia="fr-FR" w:bidi="fr-FR"/>
        </w:rPr>
        <w:t>Si l’interdisciplinarité n’est pas la négation de toute approche di</w:t>
      </w:r>
      <w:r w:rsidRPr="004B2498">
        <w:rPr>
          <w:lang w:eastAsia="fr-FR" w:bidi="fr-FR"/>
        </w:rPr>
        <w:t>s</w:t>
      </w:r>
      <w:r w:rsidRPr="004B2498">
        <w:rPr>
          <w:lang w:eastAsia="fr-FR" w:bidi="fr-FR"/>
        </w:rPr>
        <w:t>ciplinaire, des cadres de formation particuliers et des techniques spéc</w:t>
      </w:r>
      <w:r w:rsidRPr="004B2498">
        <w:rPr>
          <w:lang w:eastAsia="fr-FR" w:bidi="fr-FR"/>
        </w:rPr>
        <w:t>i</w:t>
      </w:r>
      <w:r w:rsidRPr="004B2498">
        <w:rPr>
          <w:lang w:eastAsia="fr-FR" w:bidi="fr-FR"/>
        </w:rPr>
        <w:t>fiques demeurent. Ils peuvent se révéler positifs pour celui qui s’y plie en tant que travail d’explicitation des contraintes théoriques et spéc</w:t>
      </w:r>
      <w:r w:rsidRPr="004B2498">
        <w:rPr>
          <w:lang w:eastAsia="fr-FR" w:bidi="fr-FR"/>
        </w:rPr>
        <w:t>i</w:t>
      </w:r>
      <w:r w:rsidRPr="004B2498">
        <w:rPr>
          <w:lang w:eastAsia="fr-FR" w:bidi="fr-FR"/>
        </w:rPr>
        <w:t>fiques de sa recherche. Ils peuvent constituer par leur relativisme une ouverture aux autres et une adaptation pour comprendre les articul</w:t>
      </w:r>
      <w:r w:rsidRPr="004B2498">
        <w:rPr>
          <w:lang w:eastAsia="fr-FR" w:bidi="fr-FR"/>
        </w:rPr>
        <w:t>a</w:t>
      </w:r>
      <w:r w:rsidRPr="004B2498">
        <w:rPr>
          <w:lang w:eastAsia="fr-FR" w:bidi="fr-FR"/>
        </w:rPr>
        <w:t>tions possibles et leurs limites. Mais, ce faisant, l’interdisciplinarité doit aussi permettre la libération des moyens favorables à l’émergence de nouvelles disciplines. Ceci s’oppose à l'enfermement sectaire sur des avants postes disciplinaires. Celui-ci consiste à rechercher de f</w:t>
      </w:r>
      <w:r w:rsidRPr="004B2498">
        <w:rPr>
          <w:lang w:eastAsia="fr-FR" w:bidi="fr-FR"/>
        </w:rPr>
        <w:t>a</w:t>
      </w:r>
      <w:r w:rsidRPr="004B2498">
        <w:rPr>
          <w:lang w:eastAsia="fr-FR" w:bidi="fr-FR"/>
        </w:rPr>
        <w:t>çon quasi ethnocentrique et obsessionnelle au sein des autres discipl</w:t>
      </w:r>
      <w:r w:rsidRPr="004B2498">
        <w:rPr>
          <w:lang w:eastAsia="fr-FR" w:bidi="fr-FR"/>
        </w:rPr>
        <w:t>i</w:t>
      </w:r>
      <w:r w:rsidRPr="004B2498">
        <w:rPr>
          <w:lang w:eastAsia="fr-FR" w:bidi="fr-FR"/>
        </w:rPr>
        <w:t>nes uniquement ce qui valide les hypothèses et les méthodes de son propre savoir. C’est le cas de certains économistes face à la psychol</w:t>
      </w:r>
      <w:r w:rsidRPr="004B2498">
        <w:rPr>
          <w:lang w:eastAsia="fr-FR" w:bidi="fr-FR"/>
        </w:rPr>
        <w:t>o</w:t>
      </w:r>
      <w:r w:rsidRPr="004B2498">
        <w:rPr>
          <w:lang w:eastAsia="fr-FR" w:bidi="fr-FR"/>
        </w:rPr>
        <w:t>gie, à la sociologie formalisée ou à l’individualisme méthodologique. Ils identifient des projections que ce jeu de miroirs et de glaces d</w:t>
      </w:r>
      <w:r w:rsidRPr="004B2498">
        <w:rPr>
          <w:lang w:eastAsia="fr-FR" w:bidi="fr-FR"/>
        </w:rPr>
        <w:t>é</w:t>
      </w:r>
      <w:r w:rsidRPr="004B2498">
        <w:rPr>
          <w:lang w:eastAsia="fr-FR" w:bidi="fr-FR"/>
        </w:rPr>
        <w:t>formantes permet de confondre avec une validation de la supposée supériorité explicative de l’économie.</w:t>
      </w:r>
    </w:p>
    <w:p w14:paraId="086D6C05" w14:textId="77777777" w:rsidR="002F4063" w:rsidRPr="004B2498" w:rsidRDefault="002F4063" w:rsidP="002F4063">
      <w:pPr>
        <w:spacing w:before="120" w:after="120"/>
        <w:jc w:val="both"/>
      </w:pPr>
      <w:r w:rsidRPr="004B2498">
        <w:rPr>
          <w:lang w:eastAsia="fr-FR" w:bidi="fr-FR"/>
        </w:rPr>
        <w:t xml:space="preserve">Les économistes du </w:t>
      </w:r>
      <w:r w:rsidRPr="00812B28">
        <w:rPr>
          <w:i/>
        </w:rPr>
        <w:t>main stream</w:t>
      </w:r>
      <w:r w:rsidRPr="004B2498">
        <w:rPr>
          <w:lang w:eastAsia="fr-FR" w:bidi="fr-FR"/>
        </w:rPr>
        <w:t xml:space="preserve"> veulent bien collaborer avec quelques courants d’autres disciplines pour autant qu’ils complètent leur savoir et qu’ils respectent leur mode de connaissance. Ce faisant, ils ne saisissent pas les approches des autres. L’interdisciplinarité e</w:t>
      </w:r>
      <w:r w:rsidRPr="004B2498">
        <w:rPr>
          <w:lang w:eastAsia="fr-FR" w:bidi="fr-FR"/>
        </w:rPr>
        <w:t>n</w:t>
      </w:r>
      <w:r w:rsidRPr="004B2498">
        <w:rPr>
          <w:lang w:eastAsia="fr-FR" w:bidi="fr-FR"/>
        </w:rPr>
        <w:t>gage à comprendre comment un même chercheur ou un enseignant d’un cours spécialisé peut paraître relever de plusieurs disciplines sans nécessairement hiérarchiser les unes ou les autres. Il n’est plus soci</w:t>
      </w:r>
      <w:r w:rsidRPr="004B2498">
        <w:rPr>
          <w:lang w:eastAsia="fr-FR" w:bidi="fr-FR"/>
        </w:rPr>
        <w:t>o</w:t>
      </w:r>
      <w:r w:rsidRPr="004B2498">
        <w:rPr>
          <w:lang w:eastAsia="fr-FR" w:bidi="fr-FR"/>
        </w:rPr>
        <w:t>logue, économiste, psychologue ou anthropologue. Ce sont ses tr</w:t>
      </w:r>
      <w:r w:rsidRPr="004B2498">
        <w:rPr>
          <w:lang w:eastAsia="fr-FR" w:bidi="fr-FR"/>
        </w:rPr>
        <w:t>a</w:t>
      </w:r>
      <w:r w:rsidRPr="004B2498">
        <w:rPr>
          <w:lang w:eastAsia="fr-FR" w:bidi="fr-FR"/>
        </w:rPr>
        <w:t>vaux et plus encore les travaux cités qui, par les hypothèses qu’ils mobilisent et les références qu’ils donnent, l’inscrivent momentan</w:t>
      </w:r>
      <w:r w:rsidRPr="004B2498">
        <w:rPr>
          <w:lang w:eastAsia="fr-FR" w:bidi="fr-FR"/>
        </w:rPr>
        <w:t>é</w:t>
      </w:r>
      <w:r w:rsidRPr="004B2498">
        <w:rPr>
          <w:lang w:eastAsia="fr-FR" w:bidi="fr-FR"/>
        </w:rPr>
        <w:t>ment dans ce champ constituant une discipline ou plus exactement certains courants de celle-ci, et partant de là, à un moment donné et sous des formes convenues, comme membre d’une catégorie plus g</w:t>
      </w:r>
      <w:r w:rsidRPr="004B2498">
        <w:rPr>
          <w:lang w:eastAsia="fr-FR" w:bidi="fr-FR"/>
        </w:rPr>
        <w:t>é</w:t>
      </w:r>
      <w:r w:rsidRPr="004B2498">
        <w:rPr>
          <w:lang w:eastAsia="fr-FR" w:bidi="fr-FR"/>
        </w:rPr>
        <w:t>nérale qui, quoiqu’il advienne à très long terme, est soumise à une disparition inéluctable.</w:t>
      </w:r>
    </w:p>
    <w:p w14:paraId="68D5C159" w14:textId="77777777" w:rsidR="002F4063" w:rsidRPr="004B2498" w:rsidRDefault="002F4063" w:rsidP="002F4063">
      <w:pPr>
        <w:spacing w:before="120" w:after="120"/>
        <w:jc w:val="both"/>
      </w:pPr>
      <w:r w:rsidRPr="004B2498">
        <w:rPr>
          <w:lang w:eastAsia="fr-FR" w:bidi="fr-FR"/>
        </w:rPr>
        <w:t>Si les hypothèses de construction de son objet sont très marginales dans sa discipline, les courants dominants de celle-ci, hermétiques à toute innovation qui mettrait en cause leurs certitudes et leur hégém</w:t>
      </w:r>
      <w:r w:rsidRPr="004B2498">
        <w:rPr>
          <w:lang w:eastAsia="fr-FR" w:bidi="fr-FR"/>
        </w:rPr>
        <w:t>o</w:t>
      </w:r>
      <w:r w:rsidRPr="004B2498">
        <w:rPr>
          <w:lang w:eastAsia="fr-FR" w:bidi="fr-FR"/>
        </w:rPr>
        <w:t>nie, tendront à le rejeter en dehors de la discipline. En situant cet hét</w:t>
      </w:r>
      <w:r w:rsidRPr="004B2498">
        <w:rPr>
          <w:lang w:eastAsia="fr-FR" w:bidi="fr-FR"/>
        </w:rPr>
        <w:t>é</w:t>
      </w:r>
      <w:r w:rsidRPr="004B2498">
        <w:rPr>
          <w:lang w:eastAsia="fr-FR" w:bidi="fr-FR"/>
        </w:rPr>
        <w:t>rodoxe hors de</w:t>
      </w:r>
      <w:r>
        <w:t xml:space="preserve"> </w:t>
      </w:r>
      <w:r w:rsidRPr="004B2498">
        <w:t>[54]</w:t>
      </w:r>
      <w:r>
        <w:t xml:space="preserve"> </w:t>
      </w:r>
      <w:r w:rsidRPr="004B2498">
        <w:rPr>
          <w:lang w:eastAsia="fr-FR" w:bidi="fr-FR"/>
        </w:rPr>
        <w:t>celle-ci, ils révèlent leur faible connaissance et maîtrise de ces champs externes et se privent d’offrir à une discipline des évolutions lui permettant grâce à des bifurcations successives de survivre à long terme en tant que discipline. Car les disciplines qui se referment sur elle-même en étant incapables de produire des reno</w:t>
      </w:r>
      <w:r w:rsidRPr="004B2498">
        <w:rPr>
          <w:lang w:eastAsia="fr-FR" w:bidi="fr-FR"/>
        </w:rPr>
        <w:t>u</w:t>
      </w:r>
      <w:r w:rsidRPr="004B2498">
        <w:rPr>
          <w:lang w:eastAsia="fr-FR" w:bidi="fr-FR"/>
        </w:rPr>
        <w:t>veaux qui les adaptent aux besoins à venir, et pas seulement aux convenances et aux intérêts d’un moment, s’exposent à disparaître graduellement.</w:t>
      </w:r>
    </w:p>
    <w:p w14:paraId="6B6762C0" w14:textId="77777777" w:rsidR="002F4063" w:rsidRPr="004B2498" w:rsidRDefault="002F4063" w:rsidP="002F4063">
      <w:pPr>
        <w:spacing w:before="120" w:after="120"/>
        <w:jc w:val="both"/>
      </w:pPr>
      <w:r w:rsidRPr="004B2498">
        <w:rPr>
          <w:lang w:eastAsia="fr-FR" w:bidi="fr-FR"/>
        </w:rPr>
        <w:t>L’interdisciplinarité doit permettre d’acquérir une flexibilité pe</w:t>
      </w:r>
      <w:r w:rsidRPr="004B2498">
        <w:rPr>
          <w:lang w:eastAsia="fr-FR" w:bidi="fr-FR"/>
        </w:rPr>
        <w:t>r</w:t>
      </w:r>
      <w:r w:rsidRPr="004B2498">
        <w:rPr>
          <w:lang w:eastAsia="fr-FR" w:bidi="fr-FR"/>
        </w:rPr>
        <w:t>sonnelle pour aborder les problèmes et ainsi trouver ou plus souvent se procurer les techniques et les collaborations adéquates. Elle doit donner une perspective élargie évitant de confondre la queue de l’éléphant avec l’animal tout entier.</w:t>
      </w:r>
    </w:p>
    <w:p w14:paraId="78443D68" w14:textId="77777777" w:rsidR="002F4063" w:rsidRPr="004B2498" w:rsidRDefault="002F4063" w:rsidP="002F4063">
      <w:pPr>
        <w:spacing w:before="120" w:after="120"/>
        <w:jc w:val="both"/>
      </w:pPr>
      <w:r w:rsidRPr="004B2498">
        <w:rPr>
          <w:lang w:eastAsia="fr-FR" w:bidi="fr-FR"/>
        </w:rPr>
        <w:t>On constate que certaines disciplines apparaissent plus ou moins ouvertes que d’autres à et dans ces rapprochements. Les courants d</w:t>
      </w:r>
      <w:r w:rsidRPr="004B2498">
        <w:rPr>
          <w:lang w:eastAsia="fr-FR" w:bidi="fr-FR"/>
        </w:rPr>
        <w:t>o</w:t>
      </w:r>
      <w:r w:rsidRPr="004B2498">
        <w:rPr>
          <w:lang w:eastAsia="fr-FR" w:bidi="fr-FR"/>
        </w:rPr>
        <w:t>minants de l’économie qui constituent la base idéologique du néolib</w:t>
      </w:r>
      <w:r w:rsidRPr="004B2498">
        <w:rPr>
          <w:lang w:eastAsia="fr-FR" w:bidi="fr-FR"/>
        </w:rPr>
        <w:t>é</w:t>
      </w:r>
      <w:r w:rsidRPr="004B2498">
        <w:rPr>
          <w:lang w:eastAsia="fr-FR" w:bidi="fr-FR"/>
        </w:rPr>
        <w:t xml:space="preserve">ralisme, y sont parmi les plus hostiles. Il est facile de le constater quand on observe la façon dont sont traités par les économistes du </w:t>
      </w:r>
      <w:r w:rsidRPr="00812B28">
        <w:rPr>
          <w:i/>
        </w:rPr>
        <w:t>main stream</w:t>
      </w:r>
      <w:r w:rsidRPr="004B2498">
        <w:rPr>
          <w:lang w:eastAsia="fr-FR" w:bidi="fr-FR"/>
        </w:rPr>
        <w:t xml:space="preserve"> les tenants des diverses écoles institutionnalistes les plus critiques par exemple. Ceux-ci espèrent être capables de renouveler la discipline en changeant ses paradigmes et en gagnant (ou plutôt reg</w:t>
      </w:r>
      <w:r w:rsidRPr="004B2498">
        <w:rPr>
          <w:lang w:eastAsia="fr-FR" w:bidi="fr-FR"/>
        </w:rPr>
        <w:t>a</w:t>
      </w:r>
      <w:r w:rsidRPr="004B2498">
        <w:rPr>
          <w:lang w:eastAsia="fr-FR" w:bidi="fr-FR"/>
        </w:rPr>
        <w:t>gnant) du pouvoir. Ces courants critiques sont convaincus que l’économie a un objet spécifique (et non que cet objet n’existe que par construction d’hypothèses) et que leurs méthodes sont mieux adaptées pour le saisir. On remarquera, face à ces espoirs, à quel point sont r</w:t>
      </w:r>
      <w:r w:rsidRPr="004B2498">
        <w:rPr>
          <w:lang w:eastAsia="fr-FR" w:bidi="fr-FR"/>
        </w:rPr>
        <w:t>a</w:t>
      </w:r>
      <w:r w:rsidRPr="004B2498">
        <w:rPr>
          <w:lang w:eastAsia="fr-FR" w:bidi="fr-FR"/>
        </w:rPr>
        <w:t>res les économistes qui ont été capables d’anticiper la crise. Ils n’ont pas été entendus, compris et reconnus ensuite</w:t>
      </w:r>
      <w:r>
        <w:rPr>
          <w:lang w:eastAsia="fr-FR" w:bidi="fr-FR"/>
        </w:rPr>
        <w:t> </w:t>
      </w:r>
      <w:r>
        <w:rPr>
          <w:rStyle w:val="Appelnotedebasdep"/>
          <w:lang w:eastAsia="fr-FR" w:bidi="fr-FR"/>
        </w:rPr>
        <w:footnoteReference w:id="27"/>
      </w:r>
      <w:r w:rsidRPr="004B2498">
        <w:rPr>
          <w:lang w:eastAsia="fr-FR" w:bidi="fr-FR"/>
        </w:rPr>
        <w:t>. Ils ont si j’ose dire prêché dans le désert, tout comme ceux qui n’appartenaient pas à la corporation des économistes, appartenance encore essentielle pour tenir un discours légitime sur la production, les échanges et leur fina</w:t>
      </w:r>
      <w:r w:rsidRPr="004B2498">
        <w:rPr>
          <w:lang w:eastAsia="fr-FR" w:bidi="fr-FR"/>
        </w:rPr>
        <w:t>n</w:t>
      </w:r>
      <w:r w:rsidRPr="004B2498">
        <w:rPr>
          <w:lang w:eastAsia="fr-FR" w:bidi="fr-FR"/>
        </w:rPr>
        <w:t>cement. Cette réticence à admettre ce qui est considéré comme des formes de déviance de la pensée provient du fait que les hypothèses essentielles et les paradigmes de l’économie pour définir l’individu, les besoins et la rareté et son approche à macro-échelle (qui prévaut y compris en microéconomie) rendent quasi impossible une coopération efficace avec d’autres disciplines des sciences sociales, qui ne soit a</w:t>
      </w:r>
      <w:r w:rsidRPr="004B2498">
        <w:rPr>
          <w:lang w:eastAsia="fr-FR" w:bidi="fr-FR"/>
        </w:rPr>
        <w:t>u</w:t>
      </w:r>
      <w:r w:rsidRPr="004B2498">
        <w:rPr>
          <w:lang w:eastAsia="fr-FR" w:bidi="fr-FR"/>
        </w:rPr>
        <w:t>tre chose que la juxtaposition de points de vue ou des illusions renfo</w:t>
      </w:r>
      <w:r w:rsidRPr="004B2498">
        <w:rPr>
          <w:lang w:eastAsia="fr-FR" w:bidi="fr-FR"/>
        </w:rPr>
        <w:t>r</w:t>
      </w:r>
      <w:r w:rsidRPr="004B2498">
        <w:rPr>
          <w:lang w:eastAsia="fr-FR" w:bidi="fr-FR"/>
        </w:rPr>
        <w:t>çant les paradigmes dominants. Les croyances économistes dans le marché sont similaires aux intégrismes religieux qui au XVIe siècle justifiaient de brûler les sorcières. On croyait alors aux esprits et au diable </w:t>
      </w:r>
      <w:r>
        <w:rPr>
          <w:rStyle w:val="Appelnotedebasdep"/>
          <w:lang w:eastAsia="fr-FR" w:bidi="fr-FR"/>
        </w:rPr>
        <w:footnoteReference w:id="28"/>
      </w:r>
      <w:r w:rsidRPr="004B2498">
        <w:rPr>
          <w:lang w:eastAsia="fr-FR" w:bidi="fr-FR"/>
        </w:rPr>
        <w:t xml:space="preserve"> comme aujourd’hui on peut s’illusionner sur le Marché co</w:t>
      </w:r>
      <w:r w:rsidRPr="004B2498">
        <w:rPr>
          <w:lang w:eastAsia="fr-FR" w:bidi="fr-FR"/>
        </w:rPr>
        <w:t>m</w:t>
      </w:r>
      <w:r w:rsidRPr="004B2498">
        <w:rPr>
          <w:lang w:eastAsia="fr-FR" w:bidi="fr-FR"/>
        </w:rPr>
        <w:t>me forme la plus</w:t>
      </w:r>
      <w:r>
        <w:t xml:space="preserve"> </w:t>
      </w:r>
      <w:r w:rsidRPr="004B2498">
        <w:t>[55]</w:t>
      </w:r>
      <w:r>
        <w:t xml:space="preserve"> </w:t>
      </w:r>
      <w:r w:rsidRPr="004B2498">
        <w:rPr>
          <w:lang w:eastAsia="fr-FR" w:bidi="fr-FR"/>
        </w:rPr>
        <w:t>efficace et la plus juste d’interdépendance des activités de produ</w:t>
      </w:r>
      <w:r w:rsidRPr="004B2498">
        <w:rPr>
          <w:lang w:eastAsia="fr-FR" w:bidi="fr-FR"/>
        </w:rPr>
        <w:t>c</w:t>
      </w:r>
      <w:r w:rsidRPr="004B2498">
        <w:rPr>
          <w:lang w:eastAsia="fr-FR" w:bidi="fr-FR"/>
        </w:rPr>
        <w:t>tion, d’échange et de financement.</w:t>
      </w:r>
    </w:p>
    <w:p w14:paraId="6CF4C114" w14:textId="77777777" w:rsidR="002F4063" w:rsidRPr="004B2498" w:rsidRDefault="002F4063" w:rsidP="002F4063">
      <w:pPr>
        <w:spacing w:before="120" w:after="120"/>
        <w:jc w:val="both"/>
      </w:pPr>
      <w:r w:rsidRPr="004B2498">
        <w:rPr>
          <w:lang w:eastAsia="fr-FR" w:bidi="fr-FR"/>
        </w:rPr>
        <w:t>La raison en est que ces courants et disciplines sont construits sur la base d’hypothèses radicalement différentes. Cette coopération dans de nombreux domaines détruirait l’identité disciplinaire de ces éc</w:t>
      </w:r>
      <w:r w:rsidRPr="004B2498">
        <w:rPr>
          <w:lang w:eastAsia="fr-FR" w:bidi="fr-FR"/>
        </w:rPr>
        <w:t>o</w:t>
      </w:r>
      <w:r w:rsidRPr="004B2498">
        <w:rPr>
          <w:lang w:eastAsia="fr-FR" w:bidi="fr-FR"/>
        </w:rPr>
        <w:t xml:space="preserve">nomistes, ce qui constituerait de fait une rupture épistémologique et un éclatement identitaire. Ceci mettrait en cause les intérêts matériels que ceux-ci trouvent en affirmant qu’ils peuvent mieux que d’autres éclairer les pouvoirs politiques, économiques et financiers. Ils oublient la sagesse de Socrate ou celle de Spinoza dans son </w:t>
      </w:r>
      <w:r w:rsidRPr="00812B28">
        <w:rPr>
          <w:i/>
        </w:rPr>
        <w:t>Éthique</w:t>
      </w:r>
      <w:r w:rsidRPr="004B2498">
        <w:rPr>
          <w:lang w:eastAsia="fr-FR" w:bidi="fr-FR"/>
        </w:rPr>
        <w:t xml:space="preserve"> selon l</w:t>
      </w:r>
      <w:r w:rsidRPr="004B2498">
        <w:rPr>
          <w:lang w:eastAsia="fr-FR" w:bidi="fr-FR"/>
        </w:rPr>
        <w:t>a</w:t>
      </w:r>
      <w:r w:rsidRPr="004B2498">
        <w:rPr>
          <w:lang w:eastAsia="fr-FR" w:bidi="fr-FR"/>
        </w:rPr>
        <w:t>quelle : « L’homme libre qui vit parmi les ignorants s’applique autant qu’il peut à éviter leurs bienfaits » (trad. op. cit. p. 285).</w:t>
      </w:r>
    </w:p>
    <w:p w14:paraId="04A017AD" w14:textId="77777777" w:rsidR="002F4063" w:rsidRPr="004B2498" w:rsidRDefault="002F4063" w:rsidP="002F4063">
      <w:pPr>
        <w:spacing w:before="120" w:after="120"/>
        <w:jc w:val="both"/>
      </w:pPr>
      <w:r w:rsidRPr="004B2498">
        <w:rPr>
          <w:lang w:eastAsia="fr-FR" w:bidi="fr-FR"/>
        </w:rPr>
        <w:t>Il convient toutefois de repérer les points communs si l’on fait l’hypothèse qu’il existe des champs possibles de coopération. Les courants hétérodoxes en économie ont des hypothèses de définition de leur objet de recherche </w:t>
      </w:r>
      <w:r>
        <w:rPr>
          <w:rStyle w:val="Appelnotedebasdep"/>
          <w:lang w:eastAsia="fr-FR" w:bidi="fr-FR"/>
        </w:rPr>
        <w:footnoteReference w:id="29"/>
      </w:r>
      <w:r w:rsidRPr="004B2498">
        <w:rPr>
          <w:lang w:eastAsia="fr-FR" w:bidi="fr-FR"/>
        </w:rPr>
        <w:t xml:space="preserve"> qui permettent très souvent des rapproch</w:t>
      </w:r>
      <w:r w:rsidRPr="004B2498">
        <w:rPr>
          <w:lang w:eastAsia="fr-FR" w:bidi="fr-FR"/>
        </w:rPr>
        <w:t>e</w:t>
      </w:r>
      <w:r w:rsidRPr="004B2498">
        <w:rPr>
          <w:lang w:eastAsia="fr-FR" w:bidi="fr-FR"/>
        </w:rPr>
        <w:t>ments avec bon nombre de sociologues, psychologues, historiens et anthropologues</w:t>
      </w:r>
      <w:r>
        <w:rPr>
          <w:lang w:eastAsia="fr-FR" w:bidi="fr-FR"/>
        </w:rPr>
        <w:t> </w:t>
      </w:r>
      <w:r>
        <w:rPr>
          <w:rStyle w:val="Appelnotedebasdep"/>
          <w:lang w:eastAsia="fr-FR" w:bidi="fr-FR"/>
        </w:rPr>
        <w:footnoteReference w:id="30"/>
      </w:r>
      <w:r w:rsidRPr="004B2498">
        <w:rPr>
          <w:lang w:eastAsia="fr-FR" w:bidi="fr-FR"/>
        </w:rPr>
        <w:t xml:space="preserve"> notamment. C’est sans doute par un travail de re</w:t>
      </w:r>
      <w:r w:rsidRPr="004B2498">
        <w:rPr>
          <w:lang w:eastAsia="fr-FR" w:bidi="fr-FR"/>
        </w:rPr>
        <w:t>n</w:t>
      </w:r>
      <w:r w:rsidRPr="004B2498">
        <w:rPr>
          <w:lang w:eastAsia="fr-FR" w:bidi="fr-FR"/>
        </w:rPr>
        <w:t xml:space="preserve">contres dans des lieux qui apparaissent comme des frontières, parfois improbables, et par certains chercheurs qui se veulent des </w:t>
      </w:r>
      <w:r w:rsidRPr="00812B28">
        <w:rPr>
          <w:i/>
        </w:rPr>
        <w:t>passeurs</w:t>
      </w:r>
      <w:r w:rsidRPr="004B2498">
        <w:rPr>
          <w:lang w:eastAsia="fr-FR" w:bidi="fr-FR"/>
        </w:rPr>
        <w:t xml:space="preserve"> ou des </w:t>
      </w:r>
      <w:r w:rsidRPr="00812B28">
        <w:rPr>
          <w:i/>
        </w:rPr>
        <w:t>agents de liaison</w:t>
      </w:r>
      <w:r w:rsidRPr="004B2498">
        <w:rPr>
          <w:lang w:eastAsia="fr-FR" w:bidi="fr-FR"/>
        </w:rPr>
        <w:t xml:space="preserve"> que naîtront des innovations internes à chaque discipline mais aussi des redécoupages du savoir propices à la néce</w:t>
      </w:r>
      <w:r w:rsidRPr="004B2498">
        <w:rPr>
          <w:lang w:eastAsia="fr-FR" w:bidi="fr-FR"/>
        </w:rPr>
        <w:t>s</w:t>
      </w:r>
      <w:r w:rsidRPr="004B2498">
        <w:rPr>
          <w:lang w:eastAsia="fr-FR" w:bidi="fr-FR"/>
        </w:rPr>
        <w:t>saire émergence de nouvelles disciplines, de nouveaux courants et à de nouvelles techniques, ou à l’expansion de leur usage, nécessaires à des innovations dans le champ de la connaissance. Mais cette position en frontière est illusoire. Ce ne sont pas des frontières. Si nous adme</w:t>
      </w:r>
      <w:r w:rsidRPr="004B2498">
        <w:rPr>
          <w:lang w:eastAsia="fr-FR" w:bidi="fr-FR"/>
        </w:rPr>
        <w:t>t</w:t>
      </w:r>
      <w:r w:rsidRPr="004B2498">
        <w:rPr>
          <w:lang w:eastAsia="fr-FR" w:bidi="fr-FR"/>
        </w:rPr>
        <w:t>tons que les relations de coopération et d’échange entre disciplines et courants de celles-ci s’établissent selon le degré de compatibilité des</w:t>
      </w:r>
      <w:r w:rsidRPr="004B2498">
        <w:t xml:space="preserve"> </w:t>
      </w:r>
      <w:r>
        <w:t xml:space="preserve"> </w:t>
      </w:r>
      <w:r w:rsidRPr="004B2498">
        <w:t>[56]</w:t>
      </w:r>
      <w:r>
        <w:t xml:space="preserve"> </w:t>
      </w:r>
      <w:r w:rsidRPr="004B2498">
        <w:rPr>
          <w:lang w:eastAsia="fr-FR" w:bidi="fr-FR"/>
        </w:rPr>
        <w:t>hypothèses fondatrices constituant leur objet d’étude respectif, c’est bien au cœur de chaque approche que peuvent ou non se tisser et s’épanouir des relations que le sectarisme des dogmes rejette comme adultérines.</w:t>
      </w:r>
    </w:p>
    <w:p w14:paraId="0CB9019F" w14:textId="77777777" w:rsidR="002F4063" w:rsidRPr="004B2498" w:rsidRDefault="002F4063" w:rsidP="002F4063">
      <w:pPr>
        <w:spacing w:before="120" w:after="120"/>
        <w:jc w:val="both"/>
      </w:pPr>
      <w:r w:rsidRPr="004B2498">
        <w:rPr>
          <w:lang w:eastAsia="fr-FR" w:bidi="fr-FR"/>
        </w:rPr>
        <w:t>Les évolutions des sociétés sont la matrice de champs particuliers du savoir. On peut penser que les études de genre se développent et s’autonomisent parce que les rapports hommes/femmes évoluent</w:t>
      </w:r>
      <w:r>
        <w:rPr>
          <w:lang w:eastAsia="fr-FR" w:bidi="fr-FR"/>
        </w:rPr>
        <w:t> </w:t>
      </w:r>
      <w:r>
        <w:rPr>
          <w:rStyle w:val="Appelnotedebasdep"/>
          <w:lang w:eastAsia="fr-FR" w:bidi="fr-FR"/>
        </w:rPr>
        <w:footnoteReference w:id="31"/>
      </w:r>
      <w:r w:rsidRPr="004B2498">
        <w:rPr>
          <w:lang w:eastAsia="fr-FR" w:bidi="fr-FR"/>
        </w:rPr>
        <w:t xml:space="preserve"> et que les sociétés doivent pratiquement répondre à ces mutations et aux changements de valeur et statut.</w:t>
      </w:r>
    </w:p>
    <w:p w14:paraId="307FE5F6" w14:textId="77777777" w:rsidR="002F4063" w:rsidRPr="004B2498" w:rsidRDefault="002F4063" w:rsidP="002F4063">
      <w:pPr>
        <w:spacing w:before="120" w:after="120"/>
        <w:jc w:val="both"/>
      </w:pPr>
      <w:r w:rsidRPr="004B2498">
        <w:rPr>
          <w:lang w:eastAsia="fr-FR" w:bidi="fr-FR"/>
        </w:rPr>
        <w:t>Cela a particulièrement été le cas pour le champ du développ</w:t>
      </w:r>
      <w:r w:rsidRPr="004B2498">
        <w:rPr>
          <w:lang w:eastAsia="fr-FR" w:bidi="fr-FR"/>
        </w:rPr>
        <w:t>e</w:t>
      </w:r>
      <w:r w:rsidRPr="004B2498">
        <w:rPr>
          <w:lang w:eastAsia="fr-FR" w:bidi="fr-FR"/>
        </w:rPr>
        <w:t>ment, qu’il s’agisse dans un premier temps des études sur les paysa</w:t>
      </w:r>
      <w:r w:rsidRPr="004B2498">
        <w:rPr>
          <w:lang w:eastAsia="fr-FR" w:bidi="fr-FR"/>
        </w:rPr>
        <w:t>n</w:t>
      </w:r>
      <w:r w:rsidRPr="004B2498">
        <w:rPr>
          <w:lang w:eastAsia="fr-FR" w:bidi="fr-FR"/>
        </w:rPr>
        <w:t>neries, dans un deuxième temps, sur les effets de la mondialisation sur la division du travail et, de façon plus récente, sur les questions d’identité</w:t>
      </w:r>
      <w:r>
        <w:rPr>
          <w:lang w:eastAsia="fr-FR" w:bidi="fr-FR"/>
        </w:rPr>
        <w:t> </w:t>
      </w:r>
      <w:r>
        <w:rPr>
          <w:rStyle w:val="Appelnotedebasdep"/>
          <w:lang w:eastAsia="fr-FR" w:bidi="fr-FR"/>
        </w:rPr>
        <w:footnoteReference w:id="32"/>
      </w:r>
      <w:r w:rsidRPr="004B2498">
        <w:rPr>
          <w:lang w:eastAsia="fr-FR" w:bidi="fr-FR"/>
        </w:rPr>
        <w:t>. Les problèmes dits « d’écologie » ou « d’environnement</w:t>
      </w:r>
      <w:r>
        <w:rPr>
          <w:lang w:eastAsia="fr-FR" w:bidi="fr-FR"/>
        </w:rPr>
        <w:t> </w:t>
      </w:r>
      <w:r>
        <w:rPr>
          <w:rStyle w:val="Appelnotedebasdep"/>
          <w:lang w:eastAsia="fr-FR" w:bidi="fr-FR"/>
        </w:rPr>
        <w:footnoteReference w:id="33"/>
      </w:r>
      <w:r w:rsidRPr="004B2498">
        <w:rPr>
          <w:lang w:eastAsia="fr-FR" w:bidi="fr-FR"/>
        </w:rPr>
        <w:t> » posent aussi le besoin de nouvelles approches qui se concrétisent dans des alliances nouvelles entre champs du s</w:t>
      </w:r>
      <w:r w:rsidRPr="004B2498">
        <w:rPr>
          <w:lang w:eastAsia="fr-FR" w:bidi="fr-FR"/>
        </w:rPr>
        <w:t>a</w:t>
      </w:r>
      <w:r w:rsidRPr="004B2498">
        <w:rPr>
          <w:lang w:eastAsia="fr-FR" w:bidi="fr-FR"/>
        </w:rPr>
        <w:t>voir</w:t>
      </w:r>
      <w:r>
        <w:rPr>
          <w:lang w:eastAsia="fr-FR" w:bidi="fr-FR"/>
        </w:rPr>
        <w:t> </w:t>
      </w:r>
      <w:r>
        <w:rPr>
          <w:rStyle w:val="Appelnotedebasdep"/>
          <w:lang w:eastAsia="fr-FR" w:bidi="fr-FR"/>
        </w:rPr>
        <w:footnoteReference w:id="34"/>
      </w:r>
      <w:r w:rsidRPr="004B2498">
        <w:rPr>
          <w:lang w:eastAsia="fr-FR" w:bidi="fr-FR"/>
        </w:rPr>
        <w:t>. Les conflits internationaux et leurs modes de règlement ont le même effet. On peut penser que des modifications des rapports inte</w:t>
      </w:r>
      <w:r w:rsidRPr="004B2498">
        <w:rPr>
          <w:lang w:eastAsia="fr-FR" w:bidi="fr-FR"/>
        </w:rPr>
        <w:t>r</w:t>
      </w:r>
      <w:r w:rsidRPr="004B2498">
        <w:rPr>
          <w:lang w:eastAsia="fr-FR" w:bidi="fr-FR"/>
        </w:rPr>
        <w:t>générationnels pourraient avoir des conséquences similaires. Autr</w:t>
      </w:r>
      <w:r w:rsidRPr="004B2498">
        <w:rPr>
          <w:lang w:eastAsia="fr-FR" w:bidi="fr-FR"/>
        </w:rPr>
        <w:t>e</w:t>
      </w:r>
      <w:r w:rsidRPr="004B2498">
        <w:rPr>
          <w:lang w:eastAsia="fr-FR" w:bidi="fr-FR"/>
        </w:rPr>
        <w:t>ment dit les b</w:t>
      </w:r>
      <w:r w:rsidRPr="004B2498">
        <w:rPr>
          <w:lang w:eastAsia="fr-FR" w:bidi="fr-FR"/>
        </w:rPr>
        <w:t>e</w:t>
      </w:r>
      <w:r w:rsidRPr="004B2498">
        <w:rPr>
          <w:lang w:eastAsia="fr-FR" w:bidi="fr-FR"/>
        </w:rPr>
        <w:t>soins de connaissances évoluent. Cela ne peut pas être sans impact sur les d</w:t>
      </w:r>
      <w:r w:rsidRPr="004B2498">
        <w:rPr>
          <w:lang w:eastAsia="fr-FR" w:bidi="fr-FR"/>
        </w:rPr>
        <w:t>é</w:t>
      </w:r>
      <w:r w:rsidRPr="004B2498">
        <w:rPr>
          <w:lang w:eastAsia="fr-FR" w:bidi="fr-FR"/>
        </w:rPr>
        <w:t>coupages nécessaires aux activités de production du savoir. Les « problèmes » se muent en « questions » scientifiques. Toutefois, le poids des intérêts constitués autour des découpages inst</w:t>
      </w:r>
      <w:r w:rsidRPr="004B2498">
        <w:rPr>
          <w:lang w:eastAsia="fr-FR" w:bidi="fr-FR"/>
        </w:rPr>
        <w:t>i</w:t>
      </w:r>
      <w:r w:rsidRPr="004B2498">
        <w:rPr>
          <w:lang w:eastAsia="fr-FR" w:bidi="fr-FR"/>
        </w:rPr>
        <w:t>tutionnels des disciplines freine considérablement ces développ</w:t>
      </w:r>
      <w:r w:rsidRPr="004B2498">
        <w:rPr>
          <w:lang w:eastAsia="fr-FR" w:bidi="fr-FR"/>
        </w:rPr>
        <w:t>e</w:t>
      </w:r>
      <w:r w:rsidRPr="004B2498">
        <w:rPr>
          <w:lang w:eastAsia="fr-FR" w:bidi="fr-FR"/>
        </w:rPr>
        <w:t>ments, recompos</w:t>
      </w:r>
      <w:r w:rsidRPr="004B2498">
        <w:rPr>
          <w:lang w:eastAsia="fr-FR" w:bidi="fr-FR"/>
        </w:rPr>
        <w:t>i</w:t>
      </w:r>
      <w:r w:rsidRPr="004B2498">
        <w:rPr>
          <w:lang w:eastAsia="fr-FR" w:bidi="fr-FR"/>
        </w:rPr>
        <w:t>tions et fractionnements nouveaux nécessaires.</w:t>
      </w:r>
    </w:p>
    <w:p w14:paraId="35A5E6DC" w14:textId="77777777" w:rsidR="002F4063" w:rsidRPr="004B2498" w:rsidRDefault="002F4063" w:rsidP="002F4063">
      <w:pPr>
        <w:spacing w:before="120" w:after="120"/>
        <w:jc w:val="both"/>
      </w:pPr>
      <w:r w:rsidRPr="004B2498">
        <w:t>[57]</w:t>
      </w:r>
    </w:p>
    <w:p w14:paraId="38964D41" w14:textId="77777777" w:rsidR="002F4063" w:rsidRPr="004B2498" w:rsidRDefault="002F4063" w:rsidP="002F4063">
      <w:pPr>
        <w:spacing w:before="120" w:after="120"/>
        <w:jc w:val="both"/>
      </w:pPr>
    </w:p>
    <w:p w14:paraId="791E8D74" w14:textId="77777777" w:rsidR="002F4063" w:rsidRPr="004B2498" w:rsidRDefault="002F4063" w:rsidP="002F4063">
      <w:pPr>
        <w:pStyle w:val="a"/>
      </w:pPr>
      <w:r w:rsidRPr="004B2498">
        <w:t>Crise et émergence de nouveaux paradigmes</w:t>
      </w:r>
    </w:p>
    <w:p w14:paraId="242588FD" w14:textId="77777777" w:rsidR="002F4063" w:rsidRPr="004B2498" w:rsidRDefault="002F4063" w:rsidP="002F4063">
      <w:pPr>
        <w:spacing w:before="120" w:after="120"/>
        <w:jc w:val="both"/>
        <w:rPr>
          <w:lang w:eastAsia="fr-FR" w:bidi="fr-FR"/>
        </w:rPr>
      </w:pPr>
    </w:p>
    <w:p w14:paraId="4F05107A" w14:textId="77777777" w:rsidR="002F4063" w:rsidRPr="004B2498" w:rsidRDefault="002F4063" w:rsidP="002F4063">
      <w:pPr>
        <w:spacing w:before="120" w:after="120"/>
        <w:jc w:val="both"/>
      </w:pPr>
      <w:r w:rsidRPr="004B2498">
        <w:rPr>
          <w:lang w:eastAsia="fr-FR" w:bidi="fr-FR"/>
        </w:rPr>
        <w:t>Le grand renversement idéologique et culturel engendré par la cr</w:t>
      </w:r>
      <w:r w:rsidRPr="004B2498">
        <w:rPr>
          <w:lang w:eastAsia="fr-FR" w:bidi="fr-FR"/>
        </w:rPr>
        <w:t>i</w:t>
      </w:r>
      <w:r w:rsidRPr="004B2498">
        <w:rPr>
          <w:lang w:eastAsia="fr-FR" w:bidi="fr-FR"/>
        </w:rPr>
        <w:t>se et la récession du début du XXI</w:t>
      </w:r>
      <w:r w:rsidRPr="00D23CB8">
        <w:rPr>
          <w:vertAlign w:val="superscript"/>
          <w:lang w:eastAsia="fr-FR" w:bidi="fr-FR"/>
        </w:rPr>
        <w:t>e</w:t>
      </w:r>
      <w:r w:rsidRPr="004B2498">
        <w:rPr>
          <w:lang w:eastAsia="fr-FR" w:bidi="fr-FR"/>
        </w:rPr>
        <w:t xml:space="preserve"> siècle rend nécessaire l’émergence de nouveaux paradigmes, notamment repensant les terr</w:t>
      </w:r>
      <w:r w:rsidRPr="004B2498">
        <w:rPr>
          <w:lang w:eastAsia="fr-FR" w:bidi="fr-FR"/>
        </w:rPr>
        <w:t>i</w:t>
      </w:r>
      <w:r w:rsidRPr="004B2498">
        <w:rPr>
          <w:lang w:eastAsia="fr-FR" w:bidi="fr-FR"/>
        </w:rPr>
        <w:t>toires, les identités et la mondialisation. Ils doivent permettre de d</w:t>
      </w:r>
      <w:r w:rsidRPr="004B2498">
        <w:rPr>
          <w:lang w:eastAsia="fr-FR" w:bidi="fr-FR"/>
        </w:rPr>
        <w:t>é</w:t>
      </w:r>
      <w:r w:rsidRPr="004B2498">
        <w:rPr>
          <w:lang w:eastAsia="fr-FR" w:bidi="fr-FR"/>
        </w:rPr>
        <w:t>construire, de construire et de reconstruire les outils intellectuels po</w:t>
      </w:r>
      <w:r w:rsidRPr="004B2498">
        <w:rPr>
          <w:lang w:eastAsia="fr-FR" w:bidi="fr-FR"/>
        </w:rPr>
        <w:t>u</w:t>
      </w:r>
      <w:r w:rsidRPr="004B2498">
        <w:rPr>
          <w:lang w:eastAsia="fr-FR" w:bidi="fr-FR"/>
        </w:rPr>
        <w:t>vant répondre aux besoins urgents de transformation des sociétés que l’éclatement de la crise a rendus plus urgents encore à résoudre. Toutefois les bl</w:t>
      </w:r>
      <w:r w:rsidRPr="004B2498">
        <w:rPr>
          <w:lang w:eastAsia="fr-FR" w:bidi="fr-FR"/>
        </w:rPr>
        <w:t>o</w:t>
      </w:r>
      <w:r w:rsidRPr="004B2498">
        <w:rPr>
          <w:lang w:eastAsia="fr-FR" w:bidi="fr-FR"/>
        </w:rPr>
        <w:t>cages institutionnels nés notamment d’intérêts partic</w:t>
      </w:r>
      <w:r w:rsidRPr="004B2498">
        <w:rPr>
          <w:lang w:eastAsia="fr-FR" w:bidi="fr-FR"/>
        </w:rPr>
        <w:t>u</w:t>
      </w:r>
      <w:r w:rsidRPr="004B2498">
        <w:rPr>
          <w:lang w:eastAsia="fr-FR" w:bidi="fr-FR"/>
        </w:rPr>
        <w:t>liers laissent penser que la tendance sera dans un premier temps plus à des cha</w:t>
      </w:r>
      <w:r w:rsidRPr="004B2498">
        <w:rPr>
          <w:lang w:eastAsia="fr-FR" w:bidi="fr-FR"/>
        </w:rPr>
        <w:t>n</w:t>
      </w:r>
      <w:r w:rsidRPr="004B2498">
        <w:rPr>
          <w:lang w:eastAsia="fr-FR" w:bidi="fr-FR"/>
        </w:rPr>
        <w:t>gements internes aux cadres disciplinaires existants qu’à une reco</w:t>
      </w:r>
      <w:r w:rsidRPr="004B2498">
        <w:rPr>
          <w:lang w:eastAsia="fr-FR" w:bidi="fr-FR"/>
        </w:rPr>
        <w:t>m</w:t>
      </w:r>
      <w:r w:rsidRPr="004B2498">
        <w:rPr>
          <w:lang w:eastAsia="fr-FR" w:bidi="fr-FR"/>
        </w:rPr>
        <w:t>position de grandes disciplines par rapprochement et redéco</w:t>
      </w:r>
      <w:r w:rsidRPr="004B2498">
        <w:rPr>
          <w:lang w:eastAsia="fr-FR" w:bidi="fr-FR"/>
        </w:rPr>
        <w:t>u</w:t>
      </w:r>
      <w:r w:rsidRPr="004B2498">
        <w:rPr>
          <w:lang w:eastAsia="fr-FR" w:bidi="fr-FR"/>
        </w:rPr>
        <w:t>page de l’ensemble des savoirs des sciences sociales. D’où par exemple la di</w:t>
      </w:r>
      <w:r w:rsidRPr="004B2498">
        <w:rPr>
          <w:lang w:eastAsia="fr-FR" w:bidi="fr-FR"/>
        </w:rPr>
        <w:t>f</w:t>
      </w:r>
      <w:r w:rsidRPr="004B2498">
        <w:rPr>
          <w:lang w:eastAsia="fr-FR" w:bidi="fr-FR"/>
        </w:rPr>
        <w:t>ficulté à faire reconnaître la socioéconomie comme une nouvelle di</w:t>
      </w:r>
      <w:r w:rsidRPr="004B2498">
        <w:rPr>
          <w:lang w:eastAsia="fr-FR" w:bidi="fr-FR"/>
        </w:rPr>
        <w:t>s</w:t>
      </w:r>
      <w:r w:rsidRPr="004B2498">
        <w:rPr>
          <w:lang w:eastAsia="fr-FR" w:bidi="fr-FR"/>
        </w:rPr>
        <w:t>cipline pouvant fonder sa légitimité sur de grands ancêtres comme Karl Marx, Max Weber, Joseph Schumpeter, Marcel Mauss, Louis Dumont ou Karl Polanyi, dont certains de leurs travaux sont aujou</w:t>
      </w:r>
      <w:r w:rsidRPr="004B2498">
        <w:rPr>
          <w:lang w:eastAsia="fr-FR" w:bidi="fr-FR"/>
        </w:rPr>
        <w:t>r</w:t>
      </w:r>
      <w:r w:rsidRPr="004B2498">
        <w:rPr>
          <w:lang w:eastAsia="fr-FR" w:bidi="fr-FR"/>
        </w:rPr>
        <w:t>d'hui inclassables en termes de disciplines actuellement reco</w:t>
      </w:r>
      <w:r w:rsidRPr="004B2498">
        <w:rPr>
          <w:lang w:eastAsia="fr-FR" w:bidi="fr-FR"/>
        </w:rPr>
        <w:t>n</w:t>
      </w:r>
      <w:r w:rsidRPr="004B2498">
        <w:rPr>
          <w:lang w:eastAsia="fr-FR" w:bidi="fr-FR"/>
        </w:rPr>
        <w:t>nues, pour peu que l’on tienne compte de l’ensemble de leurs traje</w:t>
      </w:r>
      <w:r w:rsidRPr="004B2498">
        <w:rPr>
          <w:lang w:eastAsia="fr-FR" w:bidi="fr-FR"/>
        </w:rPr>
        <w:t>c</w:t>
      </w:r>
      <w:r w:rsidRPr="004B2498">
        <w:rPr>
          <w:lang w:eastAsia="fr-FR" w:bidi="fr-FR"/>
        </w:rPr>
        <w:t>toires intellectuelles. Manque sans doute une capacité à produire une synth</w:t>
      </w:r>
      <w:r w:rsidRPr="004B2498">
        <w:rPr>
          <w:lang w:eastAsia="fr-FR" w:bidi="fr-FR"/>
        </w:rPr>
        <w:t>è</w:t>
      </w:r>
      <w:r w:rsidRPr="004B2498">
        <w:rPr>
          <w:lang w:eastAsia="fr-FR" w:bidi="fr-FR"/>
        </w:rPr>
        <w:t>se générale sur la base de nouvelles hypothèses communes à plusieurs disciplines, comme ont pu le prétendre au début du XIX</w:t>
      </w:r>
      <w:r w:rsidRPr="00D23CB8">
        <w:rPr>
          <w:vertAlign w:val="superscript"/>
          <w:lang w:eastAsia="fr-FR" w:bidi="fr-FR"/>
        </w:rPr>
        <w:t>e</w:t>
      </w:r>
      <w:r w:rsidRPr="004B2498">
        <w:rPr>
          <w:lang w:eastAsia="fr-FR" w:bidi="fr-FR"/>
        </w:rPr>
        <w:t xml:space="preserve"> siècle en France le mouvement des idéologues</w:t>
      </w:r>
      <w:r>
        <w:rPr>
          <w:lang w:eastAsia="fr-FR" w:bidi="fr-FR"/>
        </w:rPr>
        <w:t> </w:t>
      </w:r>
      <w:r>
        <w:rPr>
          <w:rStyle w:val="Appelnotedebasdep"/>
          <w:lang w:eastAsia="fr-FR" w:bidi="fr-FR"/>
        </w:rPr>
        <w:footnoteReference w:id="35"/>
      </w:r>
      <w:r w:rsidRPr="004B2498">
        <w:rPr>
          <w:lang w:eastAsia="fr-FR" w:bidi="fr-FR"/>
        </w:rPr>
        <w:t xml:space="preserve"> ou dans les années 1960 par exemple le marxisme et dans une moindre mesure le struct</w:t>
      </w:r>
      <w:r w:rsidRPr="004B2498">
        <w:rPr>
          <w:lang w:eastAsia="fr-FR" w:bidi="fr-FR"/>
        </w:rPr>
        <w:t>u</w:t>
      </w:r>
      <w:r w:rsidRPr="004B2498">
        <w:rPr>
          <w:lang w:eastAsia="fr-FR" w:bidi="fr-FR"/>
        </w:rPr>
        <w:t>ralisme et les approches systémiques</w:t>
      </w:r>
      <w:r>
        <w:rPr>
          <w:lang w:eastAsia="fr-FR" w:bidi="fr-FR"/>
        </w:rPr>
        <w:t> </w:t>
      </w:r>
      <w:r>
        <w:rPr>
          <w:rStyle w:val="Appelnotedebasdep"/>
          <w:lang w:eastAsia="fr-FR" w:bidi="fr-FR"/>
        </w:rPr>
        <w:footnoteReference w:id="36"/>
      </w:r>
      <w:r w:rsidRPr="004B2498">
        <w:rPr>
          <w:lang w:eastAsia="fr-FR" w:bidi="fr-FR"/>
        </w:rPr>
        <w:t xml:space="preserve">. Pour aboutir à ce </w:t>
      </w:r>
      <w:r w:rsidRPr="004B2498">
        <w:t>constructivisme</w:t>
      </w:r>
      <w:r w:rsidRPr="004B2498">
        <w:rPr>
          <w:lang w:eastAsia="fr-FR" w:bidi="fr-FR"/>
        </w:rPr>
        <w:t xml:space="preserve"> fait défaut notamment un nouvel humanisme dont le personn</w:t>
      </w:r>
      <w:r w:rsidRPr="004B2498">
        <w:rPr>
          <w:lang w:eastAsia="fr-FR" w:bidi="fr-FR"/>
        </w:rPr>
        <w:t>a</w:t>
      </w:r>
      <w:r w:rsidRPr="004B2498">
        <w:rPr>
          <w:lang w:eastAsia="fr-FR" w:bidi="fr-FR"/>
        </w:rPr>
        <w:t>lisme d’Emmanuel Mounier a pu avoir le projet dans le contexte de la crise des années 1930 et de la montée des fascismes et du nazisme pour (re) moraliser le champ économique et politique. Sans doute peut-on aussi reprendre ce qu’écrivait dans les années 1920 José Ort</w:t>
      </w:r>
      <w:r w:rsidRPr="004B2498">
        <w:rPr>
          <w:lang w:eastAsia="fr-FR" w:bidi="fr-FR"/>
        </w:rPr>
        <w:t>e</w:t>
      </w:r>
      <w:r w:rsidRPr="004B2498">
        <w:rPr>
          <w:lang w:eastAsia="fr-FR" w:bidi="fr-FR"/>
        </w:rPr>
        <w:t>ga y Gasset :</w:t>
      </w:r>
    </w:p>
    <w:p w14:paraId="1055E580" w14:textId="77777777" w:rsidR="002F4063" w:rsidRDefault="002F4063" w:rsidP="002F4063">
      <w:pPr>
        <w:pStyle w:val="Grillecouleur-Accent1"/>
        <w:rPr>
          <w:lang w:eastAsia="fr-FR" w:bidi="fr-FR"/>
        </w:rPr>
      </w:pPr>
    </w:p>
    <w:p w14:paraId="4A52166C" w14:textId="77777777" w:rsidR="002F4063" w:rsidRDefault="002F4063" w:rsidP="002F4063">
      <w:pPr>
        <w:pStyle w:val="Grillecouleur-Accent1"/>
        <w:rPr>
          <w:lang w:eastAsia="fr-FR" w:bidi="fr-FR"/>
        </w:rPr>
      </w:pPr>
      <w:r w:rsidRPr="004B2498">
        <w:rPr>
          <w:lang w:eastAsia="fr-FR" w:bidi="fr-FR"/>
        </w:rPr>
        <w:t>« La science a besoin de temps en temps, pour régler son propre a</w:t>
      </w:r>
      <w:r w:rsidRPr="004B2498">
        <w:rPr>
          <w:lang w:eastAsia="fr-FR" w:bidi="fr-FR"/>
        </w:rPr>
        <w:t>c</w:t>
      </w:r>
      <w:r w:rsidRPr="004B2498">
        <w:rPr>
          <w:lang w:eastAsia="fr-FR" w:bidi="fr-FR"/>
        </w:rPr>
        <w:t>croissement organique, d’un travail de re-constitution ; or [...] ce travail requiert un effort d’unification chaque fois plus difficile, qui chaque fois embrasse des régions plus vastes du savoir total. [...] La spécialisation qui a rendu possible le progrès de la science expérime</w:t>
      </w:r>
      <w:r w:rsidRPr="004B2498">
        <w:rPr>
          <w:lang w:eastAsia="fr-FR" w:bidi="fr-FR"/>
        </w:rPr>
        <w:t>n</w:t>
      </w:r>
      <w:r w:rsidRPr="004B2498">
        <w:rPr>
          <w:lang w:eastAsia="fr-FR" w:bidi="fr-FR"/>
        </w:rPr>
        <w:t>tale durant un siècle, approche d’une étape après laquelle elle ne</w:t>
      </w:r>
      <w:r>
        <w:t xml:space="preserve"> </w:t>
      </w:r>
      <w:r w:rsidRPr="004B2498">
        <w:t>[58]</w:t>
      </w:r>
      <w:r>
        <w:t xml:space="preserve"> </w:t>
      </w:r>
      <w:r w:rsidRPr="004B2498">
        <w:rPr>
          <w:lang w:eastAsia="fr-FR" w:bidi="fr-FR"/>
        </w:rPr>
        <w:t>pourra plus avancer par elle-même, à moins qu’une génération meilleure ne se charge de lui con</w:t>
      </w:r>
      <w:r w:rsidRPr="004B2498">
        <w:rPr>
          <w:lang w:eastAsia="fr-FR" w:bidi="fr-FR"/>
        </w:rPr>
        <w:t>s</w:t>
      </w:r>
      <w:r w:rsidRPr="004B2498">
        <w:rPr>
          <w:lang w:eastAsia="fr-FR" w:bidi="fr-FR"/>
        </w:rPr>
        <w:t>truire un nouvel axe plus pui</w:t>
      </w:r>
      <w:r w:rsidRPr="004B2498">
        <w:rPr>
          <w:lang w:eastAsia="fr-FR" w:bidi="fr-FR"/>
        </w:rPr>
        <w:t>s</w:t>
      </w:r>
      <w:r w:rsidRPr="004B2498">
        <w:rPr>
          <w:lang w:eastAsia="fr-FR" w:bidi="fr-FR"/>
        </w:rPr>
        <w:t>sant</w:t>
      </w:r>
      <w:r>
        <w:rPr>
          <w:lang w:eastAsia="fr-FR" w:bidi="fr-FR"/>
        </w:rPr>
        <w:t> </w:t>
      </w:r>
      <w:r>
        <w:rPr>
          <w:rStyle w:val="Appelnotedebasdep"/>
          <w:lang w:eastAsia="fr-FR" w:bidi="fr-FR"/>
        </w:rPr>
        <w:footnoteReference w:id="37"/>
      </w:r>
      <w:r w:rsidRPr="004B2498">
        <w:rPr>
          <w:lang w:eastAsia="fr-FR" w:bidi="fr-FR"/>
        </w:rPr>
        <w:t>. »</w:t>
      </w:r>
    </w:p>
    <w:p w14:paraId="4A330C8B" w14:textId="77777777" w:rsidR="002F4063" w:rsidRPr="004B2498" w:rsidRDefault="002F4063" w:rsidP="002F4063">
      <w:pPr>
        <w:pStyle w:val="Grillecouleur-Accent1"/>
      </w:pPr>
    </w:p>
    <w:p w14:paraId="23750C23" w14:textId="77777777" w:rsidR="002F4063" w:rsidRPr="004B2498" w:rsidRDefault="002F4063" w:rsidP="002F4063">
      <w:pPr>
        <w:spacing w:before="120" w:after="120"/>
        <w:jc w:val="both"/>
      </w:pPr>
      <w:r w:rsidRPr="004B2498">
        <w:rPr>
          <w:lang w:eastAsia="fr-FR" w:bidi="fr-FR"/>
        </w:rPr>
        <w:t>On doit relever ici que José Ortega y Gasset tout comme Karl P</w:t>
      </w:r>
      <w:r w:rsidRPr="004B2498">
        <w:rPr>
          <w:lang w:eastAsia="fr-FR" w:bidi="fr-FR"/>
        </w:rPr>
        <w:t>o</w:t>
      </w:r>
      <w:r w:rsidRPr="004B2498">
        <w:rPr>
          <w:lang w:eastAsia="fr-FR" w:bidi="fr-FR"/>
        </w:rPr>
        <w:t>lanyi ou ceux regroupés autour de l’idée de personnalisme (Emmanuel Mounier, Denis de Rougement, etc.) se sont réclamés du christianisme comme mouvement critique face à l’évolution des sociétés europée</w:t>
      </w:r>
      <w:r w:rsidRPr="004B2498">
        <w:rPr>
          <w:lang w:eastAsia="fr-FR" w:bidi="fr-FR"/>
        </w:rPr>
        <w:t>n</w:t>
      </w:r>
      <w:r w:rsidRPr="004B2498">
        <w:rPr>
          <w:lang w:eastAsia="fr-FR" w:bidi="fr-FR"/>
        </w:rPr>
        <w:t>nes dans le contexte post-crise de 1929.</w:t>
      </w:r>
    </w:p>
    <w:p w14:paraId="5C5F53CF" w14:textId="77777777" w:rsidR="002F4063" w:rsidRDefault="002F4063" w:rsidP="002F4063">
      <w:pPr>
        <w:spacing w:before="120" w:after="120"/>
        <w:jc w:val="both"/>
        <w:rPr>
          <w:lang w:eastAsia="fr-FR" w:bidi="fr-FR"/>
        </w:rPr>
      </w:pPr>
    </w:p>
    <w:p w14:paraId="501F15C6" w14:textId="77777777" w:rsidR="002F4063" w:rsidRPr="004B2498" w:rsidRDefault="002F4063" w:rsidP="002F4063">
      <w:pPr>
        <w:spacing w:before="120" w:after="120"/>
        <w:jc w:val="both"/>
      </w:pPr>
      <w:r w:rsidRPr="004B2498">
        <w:rPr>
          <w:lang w:eastAsia="fr-FR" w:bidi="fr-FR"/>
        </w:rPr>
        <w:t>Cette volonté ou cette capacité à reconstruire une unité paraissant aujourd’hui faible ou difficilement réalisable, il est malaisé d'imaginer plus que des investissements ou des bricolages dans des champs part</w:t>
      </w:r>
      <w:r w:rsidRPr="004B2498">
        <w:rPr>
          <w:lang w:eastAsia="fr-FR" w:bidi="fr-FR"/>
        </w:rPr>
        <w:t>i</w:t>
      </w:r>
      <w:r w:rsidRPr="004B2498">
        <w:rPr>
          <w:lang w:eastAsia="fr-FR" w:bidi="fr-FR"/>
        </w:rPr>
        <w:t>culiers. Ceux-ci réunissent des chercheurs maîtrisant des techniques différentes et dont les hypothèses de construction de leur objet de r</w:t>
      </w:r>
      <w:r w:rsidRPr="004B2498">
        <w:rPr>
          <w:lang w:eastAsia="fr-FR" w:bidi="fr-FR"/>
        </w:rPr>
        <w:t>e</w:t>
      </w:r>
      <w:r w:rsidRPr="004B2498">
        <w:rPr>
          <w:lang w:eastAsia="fr-FR" w:bidi="fr-FR"/>
        </w:rPr>
        <w:t>cherche se révèlent suffisamment compatibles au cours du travail de mise en commun. Les champs ne manquent pas : le genre, l’environnement, l’urbain, le rural, les techniques, le travail, les m</w:t>
      </w:r>
      <w:r w:rsidRPr="004B2498">
        <w:rPr>
          <w:lang w:eastAsia="fr-FR" w:bidi="fr-FR"/>
        </w:rPr>
        <w:t>i</w:t>
      </w:r>
      <w:r w:rsidRPr="004B2498">
        <w:rPr>
          <w:lang w:eastAsia="fr-FR" w:bidi="fr-FR"/>
        </w:rPr>
        <w:t>grations, la pauvreté, les pratiques monétaires et financières, les conflits par exemple peuvent être ces points (nombreux) de rencontre possibles, probables voire souhaitables, propices à l’émergence de nouvelles techniques ou à l’évolution des techniques existantes. On comprend ici que cette interdisciplinarité ne peut pas se réaliser co</w:t>
      </w:r>
      <w:r w:rsidRPr="004B2498">
        <w:rPr>
          <w:lang w:eastAsia="fr-FR" w:bidi="fr-FR"/>
        </w:rPr>
        <w:t>m</w:t>
      </w:r>
      <w:r w:rsidRPr="004B2498">
        <w:rPr>
          <w:lang w:eastAsia="fr-FR" w:bidi="fr-FR"/>
        </w:rPr>
        <w:t>me pratique solitaire d’un chercheur qui, à lui seul, prétendrait dépa</w:t>
      </w:r>
      <w:r w:rsidRPr="004B2498">
        <w:rPr>
          <w:lang w:eastAsia="fr-FR" w:bidi="fr-FR"/>
        </w:rPr>
        <w:t>s</w:t>
      </w:r>
      <w:r w:rsidRPr="004B2498">
        <w:rPr>
          <w:lang w:eastAsia="fr-FR" w:bidi="fr-FR"/>
        </w:rPr>
        <w:t>ser les cloisonnements disciplinaires actuels. L’intellectuel est devenu un collectif dans lequel les individualités, quel que soit le génie pe</w:t>
      </w:r>
      <w:r w:rsidRPr="004B2498">
        <w:rPr>
          <w:lang w:eastAsia="fr-FR" w:bidi="fr-FR"/>
        </w:rPr>
        <w:t>r</w:t>
      </w:r>
      <w:r w:rsidRPr="004B2498">
        <w:rPr>
          <w:lang w:eastAsia="fr-FR" w:bidi="fr-FR"/>
        </w:rPr>
        <w:t>sonnel auquel elles pensent pouvoir prétendre, doivent s’effacer. Les études du développement notamment font se rencontrer par l’investigation de terrains soumis à la globalisation des disciplines aux cultures institutionnelles locales encore différentes et pour lesquelles le comparatisme s’avère non seulement possible mais aussi nécessa</w:t>
      </w:r>
      <w:r w:rsidRPr="004B2498">
        <w:rPr>
          <w:lang w:eastAsia="fr-FR" w:bidi="fr-FR"/>
        </w:rPr>
        <w:t>i</w:t>
      </w:r>
      <w:r w:rsidRPr="004B2498">
        <w:rPr>
          <w:lang w:eastAsia="fr-FR" w:bidi="fr-FR"/>
        </w:rPr>
        <w:t>re. Parce qu’hérités d’une histoire plus ou moins longue, on voit aussi que ces champs sont autant de « problèmes » ou de « questions de s</w:t>
      </w:r>
      <w:r w:rsidRPr="004B2498">
        <w:rPr>
          <w:lang w:eastAsia="fr-FR" w:bidi="fr-FR"/>
        </w:rPr>
        <w:t>o</w:t>
      </w:r>
      <w:r w:rsidRPr="004B2498">
        <w:rPr>
          <w:lang w:eastAsia="fr-FR" w:bidi="fr-FR"/>
        </w:rPr>
        <w:t>ciété ». Une de leurs particularités est qu’ils ne peuvent pas être a</w:t>
      </w:r>
      <w:r w:rsidRPr="004B2498">
        <w:rPr>
          <w:lang w:eastAsia="fr-FR" w:bidi="fr-FR"/>
        </w:rPr>
        <w:t>p</w:t>
      </w:r>
      <w:r w:rsidRPr="004B2498">
        <w:rPr>
          <w:lang w:eastAsia="fr-FR" w:bidi="fr-FR"/>
        </w:rPr>
        <w:t>propriés de manière exclusive par aucune discipline instituée qui en quelque sorte exproprierait les autres. Ici se mêlent des nécessités et des opportunités pour des recherches communes. La crise a accéléré le besoin de problématiques nouvelles pour tenter de résoudre les que</w:t>
      </w:r>
      <w:r w:rsidRPr="004B2498">
        <w:rPr>
          <w:lang w:eastAsia="fr-FR" w:bidi="fr-FR"/>
        </w:rPr>
        <w:t>s</w:t>
      </w:r>
      <w:r w:rsidRPr="004B2498">
        <w:rPr>
          <w:lang w:eastAsia="fr-FR" w:bidi="fr-FR"/>
        </w:rPr>
        <w:t>tions pendantes : par exemple celle de la définition d’articulations nouvelles personnes/communautés, d’une appréhension originale des espaces publics, de la prise en compte des coûts par des monnaies multidimensionnelles, de</w:t>
      </w:r>
      <w:r>
        <w:rPr>
          <w:lang w:val="fr-FR" w:eastAsia="fr-FR" w:bidi="fr-FR"/>
        </w:rPr>
        <w:t xml:space="preserve"> </w:t>
      </w:r>
      <w:r w:rsidRPr="004B2498">
        <w:t>[59]</w:t>
      </w:r>
      <w:r>
        <w:t xml:space="preserve"> </w:t>
      </w:r>
      <w:r w:rsidRPr="004B2498">
        <w:rPr>
          <w:lang w:eastAsia="fr-FR" w:bidi="fr-FR"/>
        </w:rPr>
        <w:t>l’ordonnancement de différents types de hiérarchie de valeurs</w:t>
      </w:r>
      <w:r>
        <w:rPr>
          <w:lang w:eastAsia="fr-FR" w:bidi="fr-FR"/>
        </w:rPr>
        <w:t> </w:t>
      </w:r>
      <w:r>
        <w:rPr>
          <w:rStyle w:val="Appelnotedebasdep"/>
          <w:lang w:eastAsia="fr-FR" w:bidi="fr-FR"/>
        </w:rPr>
        <w:footnoteReference w:id="38"/>
      </w:r>
      <w:r w:rsidRPr="004B2498">
        <w:rPr>
          <w:lang w:eastAsia="fr-FR" w:bidi="fr-FR"/>
        </w:rPr>
        <w:t xml:space="preserve"> etc. Une rupture importante se trouve dans le renoncement au préjugé év</w:t>
      </w:r>
      <w:r w:rsidRPr="004B2498">
        <w:rPr>
          <w:lang w:eastAsia="fr-FR" w:bidi="fr-FR"/>
        </w:rPr>
        <w:t>o</w:t>
      </w:r>
      <w:r w:rsidRPr="004B2498">
        <w:rPr>
          <w:lang w:eastAsia="fr-FR" w:bidi="fr-FR"/>
        </w:rPr>
        <w:t>lutionniste</w:t>
      </w:r>
      <w:r>
        <w:rPr>
          <w:lang w:eastAsia="fr-FR" w:bidi="fr-FR"/>
        </w:rPr>
        <w:t> </w:t>
      </w:r>
      <w:r>
        <w:rPr>
          <w:rStyle w:val="Appelnotedebasdep"/>
          <w:lang w:eastAsia="fr-FR" w:bidi="fr-FR"/>
        </w:rPr>
        <w:footnoteReference w:id="39"/>
      </w:r>
      <w:r w:rsidRPr="004B2498">
        <w:rPr>
          <w:lang w:eastAsia="fr-FR" w:bidi="fr-FR"/>
        </w:rPr>
        <w:t xml:space="preserve"> ordonnant les sociétés selon un progrès technique confondu avec une maximisation d’un nombre limité d’outputs en oubliant toutes les autres hiérarchies po</w:t>
      </w:r>
      <w:r w:rsidRPr="004B2498">
        <w:rPr>
          <w:lang w:eastAsia="fr-FR" w:bidi="fr-FR"/>
        </w:rPr>
        <w:t>s</w:t>
      </w:r>
      <w:r w:rsidRPr="004B2498">
        <w:rPr>
          <w:lang w:eastAsia="fr-FR" w:bidi="fr-FR"/>
        </w:rPr>
        <w:t>sibles des sociétés selon d’autres types de besoins, d’efficacité et de relations dans la biosph</w:t>
      </w:r>
      <w:r w:rsidRPr="004B2498">
        <w:rPr>
          <w:lang w:eastAsia="fr-FR" w:bidi="fr-FR"/>
        </w:rPr>
        <w:t>è</w:t>
      </w:r>
      <w:r w:rsidRPr="004B2498">
        <w:rPr>
          <w:lang w:eastAsia="fr-FR" w:bidi="fr-FR"/>
        </w:rPr>
        <w:t>re.</w:t>
      </w:r>
    </w:p>
    <w:p w14:paraId="53932425" w14:textId="77777777" w:rsidR="002F4063" w:rsidRDefault="002F4063" w:rsidP="002F4063">
      <w:pPr>
        <w:spacing w:before="120" w:after="120"/>
        <w:jc w:val="both"/>
        <w:rPr>
          <w:lang w:eastAsia="fr-FR" w:bidi="fr-FR"/>
        </w:rPr>
      </w:pPr>
    </w:p>
    <w:p w14:paraId="4EDE89C4" w14:textId="77777777" w:rsidR="002F4063" w:rsidRPr="004B2498" w:rsidRDefault="002F4063" w:rsidP="002F4063">
      <w:pPr>
        <w:spacing w:before="120" w:after="120"/>
        <w:jc w:val="both"/>
      </w:pPr>
      <w:r w:rsidRPr="004B2498">
        <w:rPr>
          <w:lang w:eastAsia="fr-FR" w:bidi="fr-FR"/>
        </w:rPr>
        <w:t>Soumises aux contraintes et aux opportunités des processus de globalisation et entrées dans un grand renversement pouvant ruiner les principes démocratiques, nos sociétés éprouvent l’urgente nécessité de connaissances nouvelles, fût-ce à partir de ce qui peut aujourd’hui a</w:t>
      </w:r>
      <w:r w:rsidRPr="004B2498">
        <w:rPr>
          <w:lang w:eastAsia="fr-FR" w:bidi="fr-FR"/>
        </w:rPr>
        <w:t>p</w:t>
      </w:r>
      <w:r w:rsidRPr="004B2498">
        <w:rPr>
          <w:lang w:eastAsia="fr-FR" w:bidi="fr-FR"/>
        </w:rPr>
        <w:t>paraître comme des marges. Les savoirs ne peuvent résoudre que des questions qui leur sont posées. Pourrait-on même s’interroger, s’il n’y avait pas de solutions... Les innovations dans le champ de la connai</w:t>
      </w:r>
      <w:r w:rsidRPr="004B2498">
        <w:rPr>
          <w:lang w:eastAsia="fr-FR" w:bidi="fr-FR"/>
        </w:rPr>
        <w:t>s</w:t>
      </w:r>
      <w:r w:rsidRPr="004B2498">
        <w:rPr>
          <w:lang w:eastAsia="fr-FR" w:bidi="fr-FR"/>
        </w:rPr>
        <w:t>sance supposent que les sociétés (à travers elles... les humains) aient la volonté politique et les moyens de soutenir ou d’imposer ce type de recherches (face aux conservatismes disciplinaires). Il faut donc r</w:t>
      </w:r>
      <w:r w:rsidRPr="004B2498">
        <w:rPr>
          <w:lang w:eastAsia="fr-FR" w:bidi="fr-FR"/>
        </w:rPr>
        <w:t>e</w:t>
      </w:r>
      <w:r w:rsidRPr="004B2498">
        <w:rPr>
          <w:lang w:eastAsia="fr-FR" w:bidi="fr-FR"/>
        </w:rPr>
        <w:t>connaître de nouveaux objets et méthodes, des éclatements et des r</w:t>
      </w:r>
      <w:r w:rsidRPr="004B2498">
        <w:rPr>
          <w:lang w:eastAsia="fr-FR" w:bidi="fr-FR"/>
        </w:rPr>
        <w:t>e</w:t>
      </w:r>
      <w:r w:rsidRPr="004B2498">
        <w:rPr>
          <w:lang w:eastAsia="fr-FR" w:bidi="fr-FR"/>
        </w:rPr>
        <w:t>compositions, tout en favorisant un degré élevé de liberté et d’autonomie pour les chercheurs. Toutefois, il serait tant naïf que p</w:t>
      </w:r>
      <w:r w:rsidRPr="004B2498">
        <w:rPr>
          <w:lang w:eastAsia="fr-FR" w:bidi="fr-FR"/>
        </w:rPr>
        <w:t>é</w:t>
      </w:r>
      <w:r w:rsidRPr="004B2498">
        <w:rPr>
          <w:lang w:eastAsia="fr-FR" w:bidi="fr-FR"/>
        </w:rPr>
        <w:t>rilleux d’imaginer que les contraintes de survie des sociétés puissent suffire à déterminer l’apparition spontanée et la reconnaissance i</w:t>
      </w:r>
      <w:r w:rsidRPr="004B2498">
        <w:rPr>
          <w:lang w:eastAsia="fr-FR" w:bidi="fr-FR"/>
        </w:rPr>
        <w:t>m</w:t>
      </w:r>
      <w:r w:rsidRPr="004B2498">
        <w:rPr>
          <w:lang w:eastAsia="fr-FR" w:bidi="fr-FR"/>
        </w:rPr>
        <w:t>médiate de regards neufs pouvant prendre la place d’idéologies re</w:t>
      </w:r>
      <w:r w:rsidRPr="004B2498">
        <w:rPr>
          <w:lang w:eastAsia="fr-FR" w:bidi="fr-FR"/>
        </w:rPr>
        <w:t>s</w:t>
      </w:r>
      <w:r w:rsidRPr="004B2498">
        <w:rPr>
          <w:lang w:eastAsia="fr-FR" w:bidi="fr-FR"/>
        </w:rPr>
        <w:t>ponsables de la crise et, ce (ou se) faisant, répondre efficacement dans l’urgence aux besoins du présent.</w:t>
      </w:r>
    </w:p>
    <w:p w14:paraId="4A57F460" w14:textId="77777777" w:rsidR="002F4063" w:rsidRDefault="002F4063" w:rsidP="002F4063">
      <w:pPr>
        <w:spacing w:before="120" w:after="120"/>
        <w:jc w:val="both"/>
        <w:rPr>
          <w:lang w:eastAsia="fr-FR" w:bidi="fr-FR"/>
        </w:rPr>
      </w:pPr>
    </w:p>
    <w:p w14:paraId="2B46EE5A" w14:textId="77777777" w:rsidR="002F4063" w:rsidRPr="004B2498" w:rsidRDefault="002F4063" w:rsidP="002F4063">
      <w:pPr>
        <w:spacing w:before="120" w:after="120"/>
        <w:jc w:val="both"/>
      </w:pPr>
      <w:r w:rsidRPr="004B2498">
        <w:rPr>
          <w:lang w:eastAsia="fr-FR" w:bidi="fr-FR"/>
        </w:rPr>
        <w:t>Il ne suffit pas que les spécialistes innovent au sein de chaque di</w:t>
      </w:r>
      <w:r w:rsidRPr="004B2498">
        <w:rPr>
          <w:lang w:eastAsia="fr-FR" w:bidi="fr-FR"/>
        </w:rPr>
        <w:t>s</w:t>
      </w:r>
      <w:r w:rsidRPr="004B2498">
        <w:rPr>
          <w:lang w:eastAsia="fr-FR" w:bidi="fr-FR"/>
        </w:rPr>
        <w:t>cipline par la mobilisation d’hypothèses inédites et compatibles à pl</w:t>
      </w:r>
      <w:r w:rsidRPr="004B2498">
        <w:rPr>
          <w:lang w:eastAsia="fr-FR" w:bidi="fr-FR"/>
        </w:rPr>
        <w:t>u</w:t>
      </w:r>
      <w:r w:rsidRPr="004B2498">
        <w:rPr>
          <w:lang w:eastAsia="fr-FR" w:bidi="fr-FR"/>
        </w:rPr>
        <w:t>sieurs champs et qu’ils produisent des savoirs nouveaux. Comprendre mieux est une chose. Il faut aussi qu’ils se donnent le temps et les moyens de l’explication permettant une large diffusion de ces connaissances. Sinon les savants restent enfermés dans leur tour d’ivoire et attendent le jour presque improbable où ces idées seront acceptées et deviendront utiles et efficaces. À cette fin, pour vaincre les obscurantismes disciplinaires, la mobilisation d’acteurs et d’institutions jouant le rôle de médiateurs est indispensable.</w:t>
      </w:r>
      <w:r w:rsidRPr="004B2498">
        <w:t xml:space="preserve"> </w:t>
      </w:r>
    </w:p>
    <w:p w14:paraId="5B32C69D" w14:textId="77777777" w:rsidR="002F4063" w:rsidRPr="004B2498" w:rsidRDefault="002F4063" w:rsidP="002F4063">
      <w:pPr>
        <w:spacing w:before="120" w:after="120"/>
        <w:jc w:val="both"/>
      </w:pPr>
    </w:p>
    <w:p w14:paraId="45FA5FA8" w14:textId="77777777" w:rsidR="002F4063" w:rsidRPr="004B2498" w:rsidRDefault="002F4063" w:rsidP="002F4063">
      <w:pPr>
        <w:spacing w:before="120" w:after="120"/>
        <w:jc w:val="both"/>
      </w:pPr>
    </w:p>
    <w:p w14:paraId="31349C14" w14:textId="77777777" w:rsidR="002F4063" w:rsidRPr="004B2498" w:rsidRDefault="002F4063" w:rsidP="002F4063">
      <w:pPr>
        <w:spacing w:before="120" w:after="120"/>
        <w:jc w:val="both"/>
      </w:pPr>
    </w:p>
    <w:p w14:paraId="4A548242" w14:textId="77777777" w:rsidR="002F4063" w:rsidRPr="004B2498" w:rsidRDefault="002F4063" w:rsidP="002F4063">
      <w:pPr>
        <w:pStyle w:val="p"/>
      </w:pPr>
      <w:r w:rsidRPr="004B2498">
        <w:t>[60]</w:t>
      </w:r>
    </w:p>
    <w:p w14:paraId="2715F366" w14:textId="77777777" w:rsidR="002F4063" w:rsidRPr="004B2498" w:rsidRDefault="002F4063" w:rsidP="002F4063">
      <w:pPr>
        <w:pStyle w:val="p"/>
      </w:pPr>
      <w:r w:rsidRPr="004B2498">
        <w:br w:type="page"/>
      </w:r>
      <w:r w:rsidRPr="004B2498">
        <w:rPr>
          <w:lang w:eastAsia="fr-FR" w:bidi="fr-FR"/>
        </w:rPr>
        <w:t>[61]</w:t>
      </w:r>
    </w:p>
    <w:p w14:paraId="1027463B" w14:textId="77777777" w:rsidR="002F4063" w:rsidRDefault="002F4063" w:rsidP="002F4063">
      <w:pPr>
        <w:jc w:val="both"/>
      </w:pPr>
    </w:p>
    <w:p w14:paraId="4DBE056C" w14:textId="77777777" w:rsidR="002F4063" w:rsidRPr="004B2498" w:rsidRDefault="002F4063" w:rsidP="002F4063">
      <w:pPr>
        <w:jc w:val="both"/>
      </w:pPr>
    </w:p>
    <w:p w14:paraId="0DE2DEB9" w14:textId="77777777" w:rsidR="002F4063" w:rsidRPr="004B2498" w:rsidRDefault="002F4063" w:rsidP="002F4063">
      <w:pPr>
        <w:jc w:val="both"/>
      </w:pPr>
    </w:p>
    <w:p w14:paraId="5387148E" w14:textId="77777777" w:rsidR="002F4063" w:rsidRPr="002C57DA" w:rsidRDefault="002F4063" w:rsidP="002F4063">
      <w:pPr>
        <w:spacing w:after="120"/>
        <w:ind w:firstLine="0"/>
        <w:jc w:val="center"/>
        <w:rPr>
          <w:b/>
          <w:sz w:val="24"/>
        </w:rPr>
      </w:pPr>
      <w:bookmarkStart w:id="6" w:name="Enjeux_sc_soc_pt_1_texte_3"/>
      <w:r w:rsidRPr="002C57DA">
        <w:rPr>
          <w:b/>
          <w:sz w:val="24"/>
        </w:rPr>
        <w:t>Enjeux épistémologiques et idéologiques</w:t>
      </w:r>
      <w:r w:rsidRPr="002C57DA">
        <w:rPr>
          <w:b/>
          <w:sz w:val="24"/>
        </w:rPr>
        <w:br/>
        <w:t>de la globalisation pour les sciences sociales.</w:t>
      </w:r>
    </w:p>
    <w:p w14:paraId="002C7204" w14:textId="77777777" w:rsidR="002F4063" w:rsidRPr="00386FE1" w:rsidRDefault="002F4063" w:rsidP="002F4063">
      <w:pPr>
        <w:spacing w:after="120"/>
        <w:ind w:firstLine="0"/>
        <w:jc w:val="center"/>
        <w:rPr>
          <w:sz w:val="24"/>
        </w:rPr>
      </w:pPr>
      <w:r w:rsidRPr="00386FE1">
        <w:rPr>
          <w:sz w:val="24"/>
        </w:rPr>
        <w:t>Première partie : Crises et gouvernance</w:t>
      </w:r>
    </w:p>
    <w:p w14:paraId="441EC28B" w14:textId="77777777" w:rsidR="002F4063" w:rsidRPr="004B2498" w:rsidRDefault="002F4063" w:rsidP="002F4063">
      <w:pPr>
        <w:pStyle w:val="Titreniveau1"/>
      </w:pPr>
      <w:r w:rsidRPr="004B2498">
        <w:t>3</w:t>
      </w:r>
    </w:p>
    <w:p w14:paraId="6B1A2616" w14:textId="77777777" w:rsidR="002F4063" w:rsidRPr="004B2498" w:rsidRDefault="002F4063" w:rsidP="002F4063">
      <w:pPr>
        <w:pStyle w:val="Titreniveau2"/>
      </w:pPr>
      <w:r w:rsidRPr="004B2498">
        <w:t>“L’ÉCONOMIE SOCIALE</w:t>
      </w:r>
      <w:r w:rsidRPr="004B2498">
        <w:br/>
        <w:t>ET SOLIDAIRE</w:t>
      </w:r>
      <w:r w:rsidRPr="004B2498">
        <w:br/>
        <w:t>COMME ALTERNATIVE</w:t>
      </w:r>
      <w:r w:rsidRPr="004B2498">
        <w:br/>
        <w:t>À LA CRISE ?”</w:t>
      </w:r>
    </w:p>
    <w:bookmarkEnd w:id="6"/>
    <w:p w14:paraId="65340F2E" w14:textId="77777777" w:rsidR="002F4063" w:rsidRPr="004B2498" w:rsidRDefault="002F4063" w:rsidP="002F4063">
      <w:pPr>
        <w:jc w:val="both"/>
        <w:rPr>
          <w:szCs w:val="36"/>
        </w:rPr>
      </w:pPr>
    </w:p>
    <w:p w14:paraId="193734D9" w14:textId="77777777" w:rsidR="002F4063" w:rsidRPr="004B2498" w:rsidRDefault="002F4063" w:rsidP="002F4063">
      <w:pPr>
        <w:pStyle w:val="suite"/>
      </w:pPr>
      <w:r w:rsidRPr="004B2498">
        <w:t>Pepita OULD AHMED</w:t>
      </w:r>
    </w:p>
    <w:p w14:paraId="75F33A34" w14:textId="77777777" w:rsidR="002F4063" w:rsidRPr="004B2498" w:rsidRDefault="002F4063" w:rsidP="002F4063">
      <w:pPr>
        <w:jc w:val="both"/>
      </w:pPr>
    </w:p>
    <w:p w14:paraId="0F0CC0C6" w14:textId="77777777" w:rsidR="002F4063" w:rsidRPr="004B2498" w:rsidRDefault="002F4063" w:rsidP="002F4063">
      <w:pPr>
        <w:jc w:val="both"/>
      </w:pPr>
    </w:p>
    <w:p w14:paraId="774C2459" w14:textId="77777777" w:rsidR="002F4063" w:rsidRPr="004B2498" w:rsidRDefault="002F4063" w:rsidP="002F4063">
      <w:pPr>
        <w:jc w:val="both"/>
      </w:pPr>
    </w:p>
    <w:p w14:paraId="3F1B61EB" w14:textId="77777777" w:rsidR="002F4063" w:rsidRPr="002C57DA" w:rsidRDefault="002F4063" w:rsidP="002F4063">
      <w:pPr>
        <w:ind w:right="90" w:firstLine="0"/>
        <w:jc w:val="both"/>
        <w:rPr>
          <w:sz w:val="24"/>
        </w:rPr>
      </w:pPr>
      <w:hyperlink w:anchor="sommaire" w:history="1">
        <w:r w:rsidRPr="002C57DA">
          <w:rPr>
            <w:rStyle w:val="Hyperlien"/>
            <w:sz w:val="24"/>
          </w:rPr>
          <w:t>Retour au sommaire</w:t>
        </w:r>
      </w:hyperlink>
    </w:p>
    <w:p w14:paraId="18884A51" w14:textId="77777777" w:rsidR="002F4063" w:rsidRPr="004B2498" w:rsidRDefault="002F4063" w:rsidP="002F4063">
      <w:pPr>
        <w:spacing w:before="120" w:after="120"/>
        <w:jc w:val="both"/>
      </w:pPr>
      <w:r w:rsidRPr="004B2498">
        <w:rPr>
          <w:lang w:eastAsia="fr-FR" w:bidi="fr-FR"/>
        </w:rPr>
        <w:t>Depuis une vingtaine d’années, la globalisation économique qui se caractérise par l’interdépendance croissante et la libéralisation de l’ensemble des marchés a pour effet d’une part de faire peser sur l’ensemble des pays du Nord comme du Sud de très fortes contraintes concurrentielles et financières. D’autre part, elle conduit à l’uniformisation des normes, des comportements et des pratiques éc</w:t>
      </w:r>
      <w:r w:rsidRPr="004B2498">
        <w:rPr>
          <w:lang w:eastAsia="fr-FR" w:bidi="fr-FR"/>
        </w:rPr>
        <w:t>o</w:t>
      </w:r>
      <w:r w:rsidRPr="004B2498">
        <w:rPr>
          <w:lang w:eastAsia="fr-FR" w:bidi="fr-FR"/>
        </w:rPr>
        <w:t>nomiques. Ce contexte économique mondial a fait naître de nombre</w:t>
      </w:r>
      <w:r w:rsidRPr="004B2498">
        <w:rPr>
          <w:lang w:eastAsia="fr-FR" w:bidi="fr-FR"/>
        </w:rPr>
        <w:t>u</w:t>
      </w:r>
      <w:r w:rsidRPr="004B2498">
        <w:rPr>
          <w:lang w:eastAsia="fr-FR" w:bidi="fr-FR"/>
        </w:rPr>
        <w:t>ses contestations sociales appelant à un ordre économique alternatif lequel fonctionnerait sur la base de critères qui ne seraient plus excl</w:t>
      </w:r>
      <w:r w:rsidRPr="004B2498">
        <w:rPr>
          <w:lang w:eastAsia="fr-FR" w:bidi="fr-FR"/>
        </w:rPr>
        <w:t>u</w:t>
      </w:r>
      <w:r w:rsidRPr="004B2498">
        <w:rPr>
          <w:lang w:eastAsia="fr-FR" w:bidi="fr-FR"/>
        </w:rPr>
        <w:t>sivement économiques et libéraux mais comme réponses à des cons</w:t>
      </w:r>
      <w:r w:rsidRPr="004B2498">
        <w:rPr>
          <w:lang w:eastAsia="fr-FR" w:bidi="fr-FR"/>
        </w:rPr>
        <w:t>i</w:t>
      </w:r>
      <w:r w:rsidRPr="004B2498">
        <w:rPr>
          <w:lang w:eastAsia="fr-FR" w:bidi="fr-FR"/>
        </w:rPr>
        <w:t>dérations extra-économiques de plus grande justice sociale.</w:t>
      </w:r>
    </w:p>
    <w:p w14:paraId="3F97C604" w14:textId="77777777" w:rsidR="002F4063" w:rsidRPr="004B2498" w:rsidRDefault="002F4063" w:rsidP="002F4063">
      <w:pPr>
        <w:spacing w:before="120" w:after="120"/>
        <w:jc w:val="both"/>
      </w:pPr>
      <w:r w:rsidRPr="004B2498">
        <w:rPr>
          <w:lang w:eastAsia="fr-FR" w:bidi="fr-FR"/>
        </w:rPr>
        <w:t>Cette volonté de changement se donne à voir dans la pratique par la multiplication d’initiatives sociales alternatives. Celles-ci déno</w:t>
      </w:r>
      <w:r w:rsidRPr="004B2498">
        <w:rPr>
          <w:lang w:eastAsia="fr-FR" w:bidi="fr-FR"/>
        </w:rPr>
        <w:t>n</w:t>
      </w:r>
      <w:r w:rsidRPr="004B2498">
        <w:rPr>
          <w:lang w:eastAsia="fr-FR" w:bidi="fr-FR"/>
        </w:rPr>
        <w:t>cent, d’une part, l’approche des échanges selon laquelle le prix des biens serait le résultat d’une mise en concurrence très forte (et souvent déloyale) des pays, conduisant à la marginalisation des plus pauvres, et à la révision à la baisse des conditions de vie et de travail pour tous... À l’inverse de cette conception économiciste et dominante de la valeur, elles revendiquent la prise en compte, dans la fixation des prix, d’un certain nombre d’éléments extra-économiques. Ces revendic</w:t>
      </w:r>
      <w:r w:rsidRPr="004B2498">
        <w:rPr>
          <w:lang w:eastAsia="fr-FR" w:bidi="fr-FR"/>
        </w:rPr>
        <w:t>a</w:t>
      </w:r>
      <w:r w:rsidRPr="004B2498">
        <w:rPr>
          <w:lang w:eastAsia="fr-FR" w:bidi="fr-FR"/>
        </w:rPr>
        <w:t>tions sont soutenues par des ONG, mais aussi par des collectivités l</w:t>
      </w:r>
      <w:r w:rsidRPr="004B2498">
        <w:rPr>
          <w:lang w:eastAsia="fr-FR" w:bidi="fr-FR"/>
        </w:rPr>
        <w:t>o</w:t>
      </w:r>
      <w:r w:rsidRPr="004B2498">
        <w:rPr>
          <w:lang w:eastAsia="fr-FR" w:bidi="fr-FR"/>
        </w:rPr>
        <w:t>cales ou encore des collectifs ou associations nationales et internati</w:t>
      </w:r>
      <w:r w:rsidRPr="004B2498">
        <w:rPr>
          <w:lang w:eastAsia="fr-FR" w:bidi="fr-FR"/>
        </w:rPr>
        <w:t>o</w:t>
      </w:r>
      <w:r w:rsidRPr="004B2498">
        <w:rPr>
          <w:lang w:eastAsia="fr-FR" w:bidi="fr-FR"/>
        </w:rPr>
        <w:t>nales, qui s’appuient à la fois sur la consommation (comme acte et espace de contestation citoyenne) et sur la création de nouvelles fo</w:t>
      </w:r>
      <w:r w:rsidRPr="004B2498">
        <w:rPr>
          <w:lang w:eastAsia="fr-FR" w:bidi="fr-FR"/>
        </w:rPr>
        <w:t>r</w:t>
      </w:r>
      <w:r w:rsidRPr="004B2498">
        <w:rPr>
          <w:lang w:eastAsia="fr-FR" w:bidi="fr-FR"/>
        </w:rPr>
        <w:t>mes d’organisation de la production et du rapport salarial, pour dév</w:t>
      </w:r>
      <w:r w:rsidRPr="004B2498">
        <w:rPr>
          <w:lang w:eastAsia="fr-FR" w:bidi="fr-FR"/>
        </w:rPr>
        <w:t>e</w:t>
      </w:r>
      <w:r w:rsidRPr="004B2498">
        <w:rPr>
          <w:lang w:eastAsia="fr-FR" w:bidi="fr-FR"/>
        </w:rPr>
        <w:t>lopper, soutenir un commerce reconnaissant le travail des producteurs (à travers le paiement d’un prix juste) et respectant des critères éth</w:t>
      </w:r>
      <w:r w:rsidRPr="004B2498">
        <w:rPr>
          <w:lang w:eastAsia="fr-FR" w:bidi="fr-FR"/>
        </w:rPr>
        <w:t>i</w:t>
      </w:r>
      <w:r w:rsidRPr="004B2498">
        <w:rPr>
          <w:lang w:eastAsia="fr-FR" w:bidi="fr-FR"/>
        </w:rPr>
        <w:t>ques, sociaux, environnementaux et sanitaires dans la production et la distribution</w:t>
      </w:r>
      <w:r>
        <w:t xml:space="preserve"> </w:t>
      </w:r>
      <w:r w:rsidRPr="004B2498">
        <w:t>[62]</w:t>
      </w:r>
      <w:r>
        <w:t xml:space="preserve"> </w:t>
      </w:r>
      <w:r w:rsidRPr="004B2498">
        <w:rPr>
          <w:lang w:eastAsia="fr-FR" w:bidi="fr-FR"/>
        </w:rPr>
        <w:t>des biens. De telles initiatives sont à l’œuvre nota</w:t>
      </w:r>
      <w:r w:rsidRPr="004B2498">
        <w:rPr>
          <w:lang w:eastAsia="fr-FR" w:bidi="fr-FR"/>
        </w:rPr>
        <w:t>m</w:t>
      </w:r>
      <w:r w:rsidRPr="004B2498">
        <w:rPr>
          <w:lang w:eastAsia="fr-FR" w:bidi="fr-FR"/>
        </w:rPr>
        <w:t xml:space="preserve">ment chez les partisans du commerce </w:t>
      </w:r>
      <w:r w:rsidRPr="0044114A">
        <w:rPr>
          <w:i/>
        </w:rPr>
        <w:t>équitable</w:t>
      </w:r>
      <w:r w:rsidRPr="004B2498">
        <w:rPr>
          <w:lang w:eastAsia="fr-FR" w:bidi="fr-FR"/>
        </w:rPr>
        <w:t>, ceux d’une conso</w:t>
      </w:r>
      <w:r w:rsidRPr="004B2498">
        <w:rPr>
          <w:lang w:eastAsia="fr-FR" w:bidi="fr-FR"/>
        </w:rPr>
        <w:t>m</w:t>
      </w:r>
      <w:r w:rsidRPr="004B2498">
        <w:rPr>
          <w:lang w:eastAsia="fr-FR" w:bidi="fr-FR"/>
        </w:rPr>
        <w:t xml:space="preserve">mation </w:t>
      </w:r>
      <w:r w:rsidRPr="0044114A">
        <w:rPr>
          <w:i/>
        </w:rPr>
        <w:t>critique</w:t>
      </w:r>
      <w:r w:rsidRPr="004B2498">
        <w:rPr>
          <w:lang w:eastAsia="fr-FR" w:bidi="fr-FR"/>
        </w:rPr>
        <w:t xml:space="preserve">, d’une consommation </w:t>
      </w:r>
      <w:r w:rsidRPr="0044114A">
        <w:rPr>
          <w:i/>
        </w:rPr>
        <w:t>solidaire</w:t>
      </w:r>
      <w:r w:rsidRPr="004B2498">
        <w:t xml:space="preserve"> et </w:t>
      </w:r>
      <w:r w:rsidRPr="0044114A">
        <w:rPr>
          <w:i/>
        </w:rPr>
        <w:t>durable</w:t>
      </w:r>
      <w:r w:rsidRPr="004B2498">
        <w:rPr>
          <w:lang w:eastAsia="fr-FR" w:bidi="fr-FR"/>
        </w:rPr>
        <w:t>, et portées par de nouvelles structures productives (coopératives, entreprises r</w:t>
      </w:r>
      <w:r w:rsidRPr="004B2498">
        <w:rPr>
          <w:lang w:eastAsia="fr-FR" w:bidi="fr-FR"/>
        </w:rPr>
        <w:t>é</w:t>
      </w:r>
      <w:r w:rsidRPr="004B2498">
        <w:rPr>
          <w:lang w:eastAsia="fr-FR" w:bidi="fr-FR"/>
        </w:rPr>
        <w:t>cupérées, entrepr</w:t>
      </w:r>
      <w:r w:rsidRPr="004B2498">
        <w:rPr>
          <w:lang w:eastAsia="fr-FR" w:bidi="fr-FR"/>
        </w:rPr>
        <w:t>i</w:t>
      </w:r>
      <w:r w:rsidRPr="004B2498">
        <w:rPr>
          <w:lang w:eastAsia="fr-FR" w:bidi="fr-FR"/>
        </w:rPr>
        <w:t>ses autogérées...).</w:t>
      </w:r>
    </w:p>
    <w:p w14:paraId="3C9450F5" w14:textId="77777777" w:rsidR="002F4063" w:rsidRPr="004B2498" w:rsidRDefault="002F4063" w:rsidP="002F4063">
      <w:pPr>
        <w:spacing w:before="120" w:after="120"/>
        <w:jc w:val="both"/>
      </w:pPr>
      <w:r w:rsidRPr="004B2498">
        <w:rPr>
          <w:lang w:eastAsia="fr-FR" w:bidi="fr-FR"/>
        </w:rPr>
        <w:t>Outre la revendication d’un nouvel ordre de valorisation économ</w:t>
      </w:r>
      <w:r w:rsidRPr="004B2498">
        <w:rPr>
          <w:lang w:eastAsia="fr-FR" w:bidi="fr-FR"/>
        </w:rPr>
        <w:t>i</w:t>
      </w:r>
      <w:r w:rsidRPr="004B2498">
        <w:rPr>
          <w:lang w:eastAsia="fr-FR" w:bidi="fr-FR"/>
        </w:rPr>
        <w:t>que, ces expériences sociales militantes en appellent à la création de formes d’échanges moins pénalisantes quant à l’accès à la monnaie. Depuis le milieu des années 1980, les politiques de libéralisation et de déréglementation des marchés (biens, travail, capitaux), opérées dans l’ensemble des économies capitalistes, ont eu pour conséquence de détériorer le rapport salarial, de précariser l’emploi et de rendre diff</w:t>
      </w:r>
      <w:r w:rsidRPr="004B2498">
        <w:rPr>
          <w:lang w:eastAsia="fr-FR" w:bidi="fr-FR"/>
        </w:rPr>
        <w:t>i</w:t>
      </w:r>
      <w:r w:rsidRPr="004B2498">
        <w:rPr>
          <w:lang w:eastAsia="fr-FR" w:bidi="fr-FR"/>
        </w:rPr>
        <w:t>cile l’accès aux ressources monétaires pour une partie croissante de la population. Pour lutter contre cette exclusion monétaire et sociale, des expériences concrètes voient le jour proposant la formation de syst</w:t>
      </w:r>
      <w:r w:rsidRPr="004B2498">
        <w:rPr>
          <w:lang w:eastAsia="fr-FR" w:bidi="fr-FR"/>
        </w:rPr>
        <w:t>è</w:t>
      </w:r>
      <w:r w:rsidRPr="004B2498">
        <w:rPr>
          <w:lang w:eastAsia="fr-FR" w:bidi="fr-FR"/>
        </w:rPr>
        <w:t>mes monétaires et marchands alternatifs au système officiel (Pacione, 1997 ; Schuldt, 1997 ; Lietaer, 2001). Plus précisément, il s’agit de nouveaux espaces marchands parallèles qui utilisent leur propre mo</w:t>
      </w:r>
      <w:r w:rsidRPr="004B2498">
        <w:rPr>
          <w:lang w:eastAsia="fr-FR" w:bidi="fr-FR"/>
        </w:rPr>
        <w:t>n</w:t>
      </w:r>
      <w:r w:rsidRPr="004B2498">
        <w:rPr>
          <w:lang w:eastAsia="fr-FR" w:bidi="fr-FR"/>
        </w:rPr>
        <w:t>naie privée, le plus souvent non convertible avec la monnaie officielle, pour le règlement interne des transactions économiques. Ces mo</w:t>
      </w:r>
      <w:r w:rsidRPr="004B2498">
        <w:rPr>
          <w:lang w:eastAsia="fr-FR" w:bidi="fr-FR"/>
        </w:rPr>
        <w:t>n</w:t>
      </w:r>
      <w:r w:rsidRPr="004B2498">
        <w:rPr>
          <w:lang w:eastAsia="fr-FR" w:bidi="fr-FR"/>
        </w:rPr>
        <w:t>naies privées, qualifiées de communautaires, de sociales ou encore de complémentaires, selon les expériences recensées, connaissent un e</w:t>
      </w:r>
      <w:r w:rsidRPr="004B2498">
        <w:rPr>
          <w:lang w:eastAsia="fr-FR" w:bidi="fr-FR"/>
        </w:rPr>
        <w:t>s</w:t>
      </w:r>
      <w:r w:rsidRPr="004B2498">
        <w:rPr>
          <w:lang w:eastAsia="fr-FR" w:bidi="fr-FR"/>
        </w:rPr>
        <w:t xml:space="preserve">sor croissant depuis les années 1980 dans les pays du Nord puis du Sud. On peut citer par exemple les LETS (Local Exchange Trading Scheme) développés dans de nombreux pays, mais aussi le </w:t>
      </w:r>
      <w:r w:rsidRPr="001F4428">
        <w:rPr>
          <w:i/>
        </w:rPr>
        <w:t>time dollar</w:t>
      </w:r>
      <w:r w:rsidRPr="004B2498">
        <w:rPr>
          <w:lang w:eastAsia="fr-FR" w:bidi="fr-FR"/>
        </w:rPr>
        <w:t xml:space="preserve"> et </w:t>
      </w:r>
      <w:r w:rsidRPr="004B2498">
        <w:t>l’</w:t>
      </w:r>
      <w:r w:rsidRPr="001F4428">
        <w:rPr>
          <w:i/>
        </w:rPr>
        <w:t>Ithaca hour</w:t>
      </w:r>
      <w:r w:rsidRPr="001F4428">
        <w:rPr>
          <w:i/>
          <w:lang w:eastAsia="fr-FR" w:bidi="fr-FR"/>
        </w:rPr>
        <w:t xml:space="preserve"> </w:t>
      </w:r>
      <w:r w:rsidRPr="004B2498">
        <w:rPr>
          <w:lang w:eastAsia="fr-FR" w:bidi="fr-FR"/>
        </w:rPr>
        <w:t xml:space="preserve">aux États-Unis, le </w:t>
      </w:r>
      <w:r w:rsidRPr="001F4428">
        <w:rPr>
          <w:i/>
        </w:rPr>
        <w:t>Toronto dollar</w:t>
      </w:r>
      <w:r w:rsidRPr="004B2498">
        <w:rPr>
          <w:lang w:eastAsia="fr-FR" w:bidi="fr-FR"/>
        </w:rPr>
        <w:t xml:space="preserve"> et le </w:t>
      </w:r>
      <w:r w:rsidRPr="001F4428">
        <w:rPr>
          <w:i/>
        </w:rPr>
        <w:t>Calgary dollar</w:t>
      </w:r>
      <w:r w:rsidRPr="004B2498">
        <w:rPr>
          <w:lang w:eastAsia="fr-FR" w:bidi="fr-FR"/>
        </w:rPr>
        <w:t xml:space="preserve"> au Canada, les Totnes Pounds et les Berkshares en Grande-Bretagne, les SEL et les SOL en France. S’il importe de préciser que tous ces systèmes marchands complémentaires ne sont pas homogènes (Lee, 1996 ; Mayo et Boy le, 2000 ; Seyfang, 2001 ; Leyshon et </w:t>
      </w:r>
      <w:r w:rsidRPr="004B2498">
        <w:t>al</w:t>
      </w:r>
      <w:r w:rsidRPr="004B2498">
        <w:rPr>
          <w:lang w:eastAsia="fr-FR" w:bidi="fr-FR"/>
        </w:rPr>
        <w:t>., 2003) - projet politique, conception et organisation monétaire, relations avec les autorités publiques, à chaque fois spécifiques - ils partagent néa</w:t>
      </w:r>
      <w:r w:rsidRPr="004B2498">
        <w:rPr>
          <w:lang w:eastAsia="fr-FR" w:bidi="fr-FR"/>
        </w:rPr>
        <w:t>n</w:t>
      </w:r>
      <w:r w:rsidRPr="004B2498">
        <w:rPr>
          <w:lang w:eastAsia="fr-FR" w:bidi="fr-FR"/>
        </w:rPr>
        <w:t>moins un même objectif, à savoir le soutien d’une dynamique écon</w:t>
      </w:r>
      <w:r w:rsidRPr="004B2498">
        <w:rPr>
          <w:lang w:eastAsia="fr-FR" w:bidi="fr-FR"/>
        </w:rPr>
        <w:t>o</w:t>
      </w:r>
      <w:r w:rsidRPr="004B2498">
        <w:rPr>
          <w:lang w:eastAsia="fr-FR" w:bidi="fr-FR"/>
        </w:rPr>
        <w:t>mique de développement local et d’intégration sociale et solidaire.</w:t>
      </w:r>
    </w:p>
    <w:p w14:paraId="20F2A81D" w14:textId="77777777" w:rsidR="002F4063" w:rsidRPr="004B2498" w:rsidRDefault="002F4063" w:rsidP="002F4063">
      <w:pPr>
        <w:spacing w:before="120" w:after="120"/>
        <w:jc w:val="both"/>
      </w:pPr>
      <w:r w:rsidRPr="004B2498">
        <w:rPr>
          <w:lang w:eastAsia="fr-FR" w:bidi="fr-FR"/>
        </w:rPr>
        <w:t>La revendication d’un nouvel ordre économique alternatif trouve un écho également dans le milieu académique. On peut citer en France notamment les partisans du MAUSS (Mouvement anti-utilitariste en sciences sociales</w:t>
      </w:r>
      <w:r>
        <w:rPr>
          <w:lang w:eastAsia="fr-FR" w:bidi="fr-FR"/>
        </w:rPr>
        <w:t> </w:t>
      </w:r>
      <w:r>
        <w:rPr>
          <w:rStyle w:val="Appelnotedebasdep"/>
          <w:lang w:eastAsia="fr-FR" w:bidi="fr-FR"/>
        </w:rPr>
        <w:footnoteReference w:id="40"/>
      </w:r>
      <w:r w:rsidRPr="004B2498">
        <w:rPr>
          <w:lang w:eastAsia="fr-FR" w:bidi="fr-FR"/>
        </w:rPr>
        <w:t>) et plus particulièrement ceux de « l’économie s</w:t>
      </w:r>
      <w:r w:rsidRPr="004B2498">
        <w:rPr>
          <w:lang w:eastAsia="fr-FR" w:bidi="fr-FR"/>
        </w:rPr>
        <w:t>o</w:t>
      </w:r>
      <w:r w:rsidRPr="004B2498">
        <w:rPr>
          <w:lang w:eastAsia="fr-FR" w:bidi="fr-FR"/>
        </w:rPr>
        <w:t>ciale et solidaire » (ESS) avec Bernard Eme et Jean-Louis Laville comme chefs de file</w:t>
      </w:r>
      <w:r>
        <w:rPr>
          <w:lang w:eastAsia="fr-FR" w:bidi="fr-FR"/>
        </w:rPr>
        <w:t> </w:t>
      </w:r>
      <w:r>
        <w:rPr>
          <w:rStyle w:val="Appelnotedebasdep"/>
          <w:lang w:eastAsia="fr-FR" w:bidi="fr-FR"/>
        </w:rPr>
        <w:footnoteReference w:id="41"/>
      </w:r>
      <w:r w:rsidRPr="004B2498">
        <w:rPr>
          <w:lang w:eastAsia="fr-FR" w:bidi="fr-FR"/>
        </w:rPr>
        <w:t>. A</w:t>
      </w:r>
      <w:r w:rsidRPr="004B2498">
        <w:rPr>
          <w:lang w:eastAsia="fr-FR" w:bidi="fr-FR"/>
        </w:rPr>
        <w:t>p</w:t>
      </w:r>
      <w:r w:rsidRPr="004B2498">
        <w:rPr>
          <w:lang w:eastAsia="fr-FR" w:bidi="fr-FR"/>
        </w:rPr>
        <w:t>pelant à</w:t>
      </w:r>
      <w:r>
        <w:t xml:space="preserve"> </w:t>
      </w:r>
      <w:r w:rsidRPr="004B2498">
        <w:t>[63]</w:t>
      </w:r>
      <w:r>
        <w:t xml:space="preserve"> </w:t>
      </w:r>
      <w:r w:rsidRPr="004B2498">
        <w:rPr>
          <w:lang w:eastAsia="fr-FR" w:bidi="fr-FR"/>
        </w:rPr>
        <w:t>davantage de solidarité et de justice sociale, le courant théorique de P« économie sociale et solida</w:t>
      </w:r>
      <w:r w:rsidRPr="004B2498">
        <w:rPr>
          <w:lang w:eastAsia="fr-FR" w:bidi="fr-FR"/>
        </w:rPr>
        <w:t>i</w:t>
      </w:r>
      <w:r w:rsidRPr="004B2498">
        <w:rPr>
          <w:lang w:eastAsia="fr-FR" w:bidi="fr-FR"/>
        </w:rPr>
        <w:t>re » (ESS), que l’on étudiera spécifiquement dans ce travail, revend</w:t>
      </w:r>
      <w:r w:rsidRPr="004B2498">
        <w:rPr>
          <w:lang w:eastAsia="fr-FR" w:bidi="fr-FR"/>
        </w:rPr>
        <w:t>i</w:t>
      </w:r>
      <w:r w:rsidRPr="004B2498">
        <w:rPr>
          <w:lang w:eastAsia="fr-FR" w:bidi="fr-FR"/>
        </w:rPr>
        <w:t>que en lieu et place des rapports marchands guidés par un individu</w:t>
      </w:r>
      <w:r w:rsidRPr="004B2498">
        <w:rPr>
          <w:lang w:eastAsia="fr-FR" w:bidi="fr-FR"/>
        </w:rPr>
        <w:t>a</w:t>
      </w:r>
      <w:r w:rsidRPr="004B2498">
        <w:rPr>
          <w:lang w:eastAsia="fr-FR" w:bidi="fr-FR"/>
        </w:rPr>
        <w:t>lisme compétitif et un calcul utilitariste et égoïste, la création de no</w:t>
      </w:r>
      <w:r w:rsidRPr="004B2498">
        <w:rPr>
          <w:lang w:eastAsia="fr-FR" w:bidi="fr-FR"/>
        </w:rPr>
        <w:t>u</w:t>
      </w:r>
      <w:r w:rsidRPr="004B2498">
        <w:rPr>
          <w:lang w:eastAsia="fr-FR" w:bidi="fr-FR"/>
        </w:rPr>
        <w:t>velles formes d’échanges plus respe</w:t>
      </w:r>
      <w:r w:rsidRPr="004B2498">
        <w:rPr>
          <w:lang w:eastAsia="fr-FR" w:bidi="fr-FR"/>
        </w:rPr>
        <w:t>c</w:t>
      </w:r>
      <w:r w:rsidRPr="004B2498">
        <w:rPr>
          <w:lang w:eastAsia="fr-FR" w:bidi="fr-FR"/>
        </w:rPr>
        <w:t>tueuses des rapports des hommes entre eux et des hommes avec la n</w:t>
      </w:r>
      <w:r w:rsidRPr="004B2498">
        <w:rPr>
          <w:lang w:eastAsia="fr-FR" w:bidi="fr-FR"/>
        </w:rPr>
        <w:t>a</w:t>
      </w:r>
      <w:r w:rsidRPr="004B2498">
        <w:rPr>
          <w:lang w:eastAsia="fr-FR" w:bidi="fr-FR"/>
        </w:rPr>
        <w:t>ture. Les partisans de l’ESS se donnent pour objectif de faire valoir l’existence de conceptions éc</w:t>
      </w:r>
      <w:r w:rsidRPr="004B2498">
        <w:rPr>
          <w:lang w:eastAsia="fr-FR" w:bidi="fr-FR"/>
        </w:rPr>
        <w:t>o</w:t>
      </w:r>
      <w:r w:rsidRPr="004B2498">
        <w:rPr>
          <w:lang w:eastAsia="fr-FR" w:bidi="fr-FR"/>
        </w:rPr>
        <w:t>nomiques autres que celle du modèle de l’équilibre général d’Arrow-Debreu mis en pratique à travers les pol</w:t>
      </w:r>
      <w:r w:rsidRPr="004B2498">
        <w:rPr>
          <w:lang w:eastAsia="fr-FR" w:bidi="fr-FR"/>
        </w:rPr>
        <w:t>i</w:t>
      </w:r>
      <w:r w:rsidRPr="004B2498">
        <w:rPr>
          <w:lang w:eastAsia="fr-FR" w:bidi="fr-FR"/>
        </w:rPr>
        <w:t>tiques économiques dans les pays capitalistes depuis les années 1980. Pour ce faire, les partisans de l’ESS entretiennent des relations cro</w:t>
      </w:r>
      <w:r w:rsidRPr="004B2498">
        <w:rPr>
          <w:lang w:eastAsia="fr-FR" w:bidi="fr-FR"/>
        </w:rPr>
        <w:t>i</w:t>
      </w:r>
      <w:r w:rsidRPr="004B2498">
        <w:rPr>
          <w:lang w:eastAsia="fr-FR" w:bidi="fr-FR"/>
        </w:rPr>
        <w:t>sées avec les acteurs de terrain à l’initiative des alternatives sociales concrètes et avec les mouvements militants (comme le mouvement altermondialiste). Ce courant dispose également d’une certaine visibilité théorique, institutionnelle et polit</w:t>
      </w:r>
      <w:r w:rsidRPr="004B2498">
        <w:rPr>
          <w:lang w:eastAsia="fr-FR" w:bidi="fr-FR"/>
        </w:rPr>
        <w:t>i</w:t>
      </w:r>
      <w:r w:rsidRPr="004B2498">
        <w:rPr>
          <w:lang w:eastAsia="fr-FR" w:bidi="fr-FR"/>
        </w:rPr>
        <w:t>que, grâce à l’activisme de ses partisans dans la construction de r</w:t>
      </w:r>
      <w:r w:rsidRPr="004B2498">
        <w:rPr>
          <w:lang w:eastAsia="fr-FR" w:bidi="fr-FR"/>
        </w:rPr>
        <w:t>é</w:t>
      </w:r>
      <w:r w:rsidRPr="004B2498">
        <w:rPr>
          <w:lang w:eastAsia="fr-FR" w:bidi="fr-FR"/>
        </w:rPr>
        <w:t>seaux scientifiques (en particulier en milieux francophones et en Amérique du Sud) et d’espaces de di</w:t>
      </w:r>
      <w:r w:rsidRPr="004B2498">
        <w:rPr>
          <w:lang w:eastAsia="fr-FR" w:bidi="fr-FR"/>
        </w:rPr>
        <w:t>a</w:t>
      </w:r>
      <w:r w:rsidRPr="004B2498">
        <w:rPr>
          <w:lang w:eastAsia="fr-FR" w:bidi="fr-FR"/>
        </w:rPr>
        <w:t>logue internationaux. On peut citer notamment comme réseaux scie</w:t>
      </w:r>
      <w:r w:rsidRPr="004B2498">
        <w:rPr>
          <w:lang w:eastAsia="fr-FR" w:bidi="fr-FR"/>
        </w:rPr>
        <w:t>n</w:t>
      </w:r>
      <w:r w:rsidRPr="004B2498">
        <w:rPr>
          <w:lang w:eastAsia="fr-FR" w:bidi="fr-FR"/>
        </w:rPr>
        <w:t>tifiques internationaux le réseau européen Émergence des entreprises sociales en Europe (EMES), le réseau sud-américain Red de investigadores latinoamericanos de ec</w:t>
      </w:r>
      <w:r w:rsidRPr="004B2498">
        <w:rPr>
          <w:lang w:eastAsia="fr-FR" w:bidi="fr-FR"/>
        </w:rPr>
        <w:t>o</w:t>
      </w:r>
      <w:r w:rsidRPr="004B2498">
        <w:rPr>
          <w:lang w:eastAsia="fr-FR" w:bidi="fr-FR"/>
        </w:rPr>
        <w:t>nomia social y solidaria (RILESS</w:t>
      </w:r>
      <w:r>
        <w:rPr>
          <w:lang w:eastAsia="fr-FR" w:bidi="fr-FR"/>
        </w:rPr>
        <w:t> </w:t>
      </w:r>
      <w:r>
        <w:rPr>
          <w:rStyle w:val="Appelnotedebasdep"/>
          <w:lang w:eastAsia="fr-FR" w:bidi="fr-FR"/>
        </w:rPr>
        <w:footnoteReference w:id="42"/>
      </w:r>
      <w:r w:rsidRPr="004B2498">
        <w:rPr>
          <w:lang w:eastAsia="fr-FR" w:bidi="fr-FR"/>
        </w:rPr>
        <w:t>), le réseau canadien Centre de recherche sur les innovations sociales (CRISES), le pôle de socioéc</w:t>
      </w:r>
      <w:r w:rsidRPr="004B2498">
        <w:rPr>
          <w:lang w:eastAsia="fr-FR" w:bidi="fr-FR"/>
        </w:rPr>
        <w:t>o</w:t>
      </w:r>
      <w:r w:rsidRPr="004B2498">
        <w:rPr>
          <w:lang w:eastAsia="fr-FR" w:bidi="fr-FR"/>
        </w:rPr>
        <w:t>nomie solidaire (PSES</w:t>
      </w:r>
      <w:r>
        <w:rPr>
          <w:lang w:eastAsia="fr-FR" w:bidi="fr-FR"/>
        </w:rPr>
        <w:t> </w:t>
      </w:r>
      <w:r>
        <w:rPr>
          <w:rStyle w:val="Appelnotedebasdep"/>
          <w:lang w:eastAsia="fr-FR" w:bidi="fr-FR"/>
        </w:rPr>
        <w:footnoteReference w:id="43"/>
      </w:r>
      <w:r w:rsidRPr="004B2498">
        <w:rPr>
          <w:lang w:eastAsia="fr-FR" w:bidi="fr-FR"/>
        </w:rPr>
        <w:t>), ou encore le Réseau marocain d’économie sociale et solidaire (REMESS). En plus de ces collaborations scient</w:t>
      </w:r>
      <w:r w:rsidRPr="004B2498">
        <w:rPr>
          <w:lang w:eastAsia="fr-FR" w:bidi="fr-FR"/>
        </w:rPr>
        <w:t>i</w:t>
      </w:r>
      <w:r w:rsidRPr="004B2498">
        <w:rPr>
          <w:lang w:eastAsia="fr-FR" w:bidi="fr-FR"/>
        </w:rPr>
        <w:t>fiques, il faut mentionner les rencontres et forums internationaux r</w:t>
      </w:r>
      <w:r w:rsidRPr="004B2498">
        <w:rPr>
          <w:lang w:eastAsia="fr-FR" w:bidi="fr-FR"/>
        </w:rPr>
        <w:t>é</w:t>
      </w:r>
      <w:r w:rsidRPr="004B2498">
        <w:rPr>
          <w:lang w:eastAsia="fr-FR" w:bidi="fr-FR"/>
        </w:rPr>
        <w:t>guliers visant à promouvoir l’économie s</w:t>
      </w:r>
      <w:r w:rsidRPr="004B2498">
        <w:rPr>
          <w:lang w:eastAsia="fr-FR" w:bidi="fr-FR"/>
        </w:rPr>
        <w:t>o</w:t>
      </w:r>
      <w:r w:rsidRPr="004B2498">
        <w:rPr>
          <w:lang w:eastAsia="fr-FR" w:bidi="fr-FR"/>
        </w:rPr>
        <w:t>ciale et solidaire comme les Rencontres internationales sur la global</w:t>
      </w:r>
      <w:r w:rsidRPr="004B2498">
        <w:rPr>
          <w:lang w:eastAsia="fr-FR" w:bidi="fr-FR"/>
        </w:rPr>
        <w:t>i</w:t>
      </w:r>
      <w:r w:rsidRPr="004B2498">
        <w:rPr>
          <w:lang w:eastAsia="fr-FR" w:bidi="fr-FR"/>
        </w:rPr>
        <w:t>sation de la solidarité à Lima, 1997, à Québec, 2001, prenant par la suite le nom de Réseau inte</w:t>
      </w:r>
      <w:r w:rsidRPr="004B2498">
        <w:rPr>
          <w:lang w:eastAsia="fr-FR" w:bidi="fr-FR"/>
        </w:rPr>
        <w:t>r</w:t>
      </w:r>
      <w:r w:rsidRPr="004B2498">
        <w:rPr>
          <w:lang w:eastAsia="fr-FR" w:bidi="fr-FR"/>
        </w:rPr>
        <w:t>continental de promotion de l’économie sociale et solidaire (R</w:t>
      </w:r>
      <w:r w:rsidRPr="004B2498">
        <w:rPr>
          <w:lang w:eastAsia="fr-FR" w:bidi="fr-FR"/>
        </w:rPr>
        <w:t>I</w:t>
      </w:r>
      <w:r w:rsidRPr="004B2498">
        <w:rPr>
          <w:lang w:eastAsia="fr-FR" w:bidi="fr-FR"/>
        </w:rPr>
        <w:t>PESS </w:t>
      </w:r>
      <w:r>
        <w:rPr>
          <w:rStyle w:val="Appelnotedebasdep"/>
          <w:lang w:eastAsia="fr-FR" w:bidi="fr-FR"/>
        </w:rPr>
        <w:footnoteReference w:id="44"/>
      </w:r>
      <w:r w:rsidRPr="004B2498">
        <w:rPr>
          <w:lang w:eastAsia="fr-FR" w:bidi="fr-FR"/>
        </w:rPr>
        <w:t>) à Dakar, 2005, au Luxembourg, 2009 ; le Forum social mo</w:t>
      </w:r>
      <w:r w:rsidRPr="004B2498">
        <w:rPr>
          <w:lang w:eastAsia="fr-FR" w:bidi="fr-FR"/>
        </w:rPr>
        <w:t>n</w:t>
      </w:r>
      <w:r w:rsidRPr="004B2498">
        <w:rPr>
          <w:lang w:eastAsia="fr-FR" w:bidi="fr-FR"/>
        </w:rPr>
        <w:t>dial (au Brésil, 2001-2003 ; en Inde, 2004 ; au Kenya, 2007, etc.) ; ou encore le Forum brésilien de l’économie sol</w:t>
      </w:r>
      <w:r w:rsidRPr="004B2498">
        <w:rPr>
          <w:lang w:eastAsia="fr-FR" w:bidi="fr-FR"/>
        </w:rPr>
        <w:t>i</w:t>
      </w:r>
      <w:r w:rsidRPr="004B2498">
        <w:rPr>
          <w:lang w:eastAsia="fr-FR" w:bidi="fr-FR"/>
        </w:rPr>
        <w:t>daire (FBES) présent dans la majorité des villes brésiliennes (L</w:t>
      </w:r>
      <w:r w:rsidRPr="004B2498">
        <w:rPr>
          <w:lang w:eastAsia="fr-FR" w:bidi="fr-FR"/>
        </w:rPr>
        <w:t>a</w:t>
      </w:r>
      <w:r w:rsidRPr="004B2498">
        <w:rPr>
          <w:lang w:eastAsia="fr-FR" w:bidi="fr-FR"/>
        </w:rPr>
        <w:t xml:space="preserve">ville et </w:t>
      </w:r>
      <w:r w:rsidRPr="004B2498">
        <w:t>al</w:t>
      </w:r>
      <w:r w:rsidRPr="004B2498">
        <w:rPr>
          <w:lang w:eastAsia="fr-FR" w:bidi="fr-FR"/>
        </w:rPr>
        <w:t>., 2005).</w:t>
      </w:r>
    </w:p>
    <w:p w14:paraId="18282399" w14:textId="77777777" w:rsidR="002F4063" w:rsidRPr="004B2498" w:rsidRDefault="002F4063" w:rsidP="002F4063">
      <w:pPr>
        <w:spacing w:before="120" w:after="120"/>
        <w:jc w:val="both"/>
      </w:pPr>
      <w:r w:rsidRPr="004B2498">
        <w:rPr>
          <w:lang w:eastAsia="fr-FR" w:bidi="fr-FR"/>
        </w:rPr>
        <w:t>Ce travail se propose de revenir sur ce que les partisans de l’« économie sociale et solidaire » entendent par « solidaire » ou « économie solidaire », et</w:t>
      </w:r>
      <w:r>
        <w:t xml:space="preserve"> </w:t>
      </w:r>
      <w:r w:rsidRPr="004B2498">
        <w:t>[64]</w:t>
      </w:r>
      <w:r>
        <w:t xml:space="preserve"> </w:t>
      </w:r>
      <w:r w:rsidRPr="004B2498">
        <w:rPr>
          <w:lang w:eastAsia="fr-FR" w:bidi="fr-FR"/>
        </w:rPr>
        <w:t>de cerner les contours et la faisabilité d’un tel projet théorique et politique d’alternative économique au c</w:t>
      </w:r>
      <w:r w:rsidRPr="004B2498">
        <w:rPr>
          <w:lang w:eastAsia="fr-FR" w:bidi="fr-FR"/>
        </w:rPr>
        <w:t>a</w:t>
      </w:r>
      <w:r w:rsidRPr="004B2498">
        <w:rPr>
          <w:lang w:eastAsia="fr-FR" w:bidi="fr-FR"/>
        </w:rPr>
        <w:t>pitalisme néolibéral.</w:t>
      </w:r>
    </w:p>
    <w:p w14:paraId="56EA6DDC" w14:textId="77777777" w:rsidR="002F4063" w:rsidRPr="004B2498" w:rsidRDefault="002F4063" w:rsidP="002F4063">
      <w:pPr>
        <w:spacing w:before="120" w:after="120"/>
        <w:jc w:val="both"/>
        <w:rPr>
          <w:szCs w:val="24"/>
          <w:lang w:eastAsia="fr-FR" w:bidi="fr-FR"/>
        </w:rPr>
      </w:pPr>
    </w:p>
    <w:p w14:paraId="7A85837C" w14:textId="77777777" w:rsidR="002F4063" w:rsidRPr="004B2498" w:rsidRDefault="002F4063" w:rsidP="002F4063">
      <w:pPr>
        <w:pStyle w:val="a"/>
      </w:pPr>
      <w:r w:rsidRPr="004B2498">
        <w:t>L’approche</w:t>
      </w:r>
      <w:r>
        <w:t xml:space="preserve"> de la solidarité</w:t>
      </w:r>
      <w:r>
        <w:br/>
      </w:r>
      <w:r w:rsidRPr="004B2498">
        <w:t>dans l’« économie sociale et solidaire »</w:t>
      </w:r>
    </w:p>
    <w:p w14:paraId="6F1221D5" w14:textId="77777777" w:rsidR="002F4063" w:rsidRPr="004B2498" w:rsidRDefault="002F4063" w:rsidP="002F4063">
      <w:pPr>
        <w:spacing w:before="120" w:after="120"/>
        <w:jc w:val="both"/>
        <w:rPr>
          <w:lang w:eastAsia="fr-FR" w:bidi="fr-FR"/>
        </w:rPr>
      </w:pPr>
    </w:p>
    <w:p w14:paraId="25A8D6E6" w14:textId="77777777" w:rsidR="002F4063" w:rsidRPr="004B2498" w:rsidRDefault="002F4063" w:rsidP="002F4063">
      <w:pPr>
        <w:spacing w:before="120" w:after="120"/>
        <w:jc w:val="both"/>
      </w:pPr>
      <w:r w:rsidRPr="004B2498">
        <w:rPr>
          <w:lang w:eastAsia="fr-FR" w:bidi="fr-FR"/>
        </w:rPr>
        <w:t xml:space="preserve">Si le courant de pensée de l’économie sociale et solidaire (ESS) a pour nom l’objectif qu’il se donne, à savoir la promotion d’une « économie sociale et solidaire », il reste à savoir ce que les partisans de ce courant entendent précisément par solidaire. Pour cela, il existe un outil très précieux : il s’agit du </w:t>
      </w:r>
      <w:r w:rsidRPr="001F4428">
        <w:rPr>
          <w:i/>
        </w:rPr>
        <w:t>Dictionnaire de l’autre écon</w:t>
      </w:r>
      <w:r w:rsidRPr="001F4428">
        <w:rPr>
          <w:i/>
        </w:rPr>
        <w:t>o</w:t>
      </w:r>
      <w:r w:rsidRPr="001F4428">
        <w:rPr>
          <w:i/>
        </w:rPr>
        <w:t>mie</w:t>
      </w:r>
      <w:r>
        <w:t> </w:t>
      </w:r>
      <w:r>
        <w:rPr>
          <w:rStyle w:val="Appelnotedebasdep"/>
        </w:rPr>
        <w:footnoteReference w:id="45"/>
      </w:r>
      <w:r w:rsidRPr="004B2498">
        <w:t>,</w:t>
      </w:r>
      <w:r w:rsidRPr="004B2498">
        <w:rPr>
          <w:lang w:eastAsia="fr-FR" w:bidi="fr-FR"/>
        </w:rPr>
        <w:t xml:space="preserve"> dirigé par Jean-Louis Laville et Antonio-David Cattani, traduit en pl</w:t>
      </w:r>
      <w:r w:rsidRPr="004B2498">
        <w:rPr>
          <w:lang w:eastAsia="fr-FR" w:bidi="fr-FR"/>
        </w:rPr>
        <w:t>u</w:t>
      </w:r>
      <w:r w:rsidRPr="004B2498">
        <w:rPr>
          <w:lang w:eastAsia="fr-FR" w:bidi="fr-FR"/>
        </w:rPr>
        <w:t>sieurs langues. Cet ouvrage illustre la forte connexion entre les chercheurs et les acteurs issus du milieu associatif militant (interv</w:t>
      </w:r>
      <w:r w:rsidRPr="004B2498">
        <w:rPr>
          <w:lang w:eastAsia="fr-FR" w:bidi="fr-FR"/>
        </w:rPr>
        <w:t>e</w:t>
      </w:r>
      <w:r w:rsidRPr="004B2498">
        <w:rPr>
          <w:lang w:eastAsia="fr-FR" w:bidi="fr-FR"/>
        </w:rPr>
        <w:t>nant mutuellement dans la rédaction de rubriques du dictionnaire) mais aussi la portée internationale et le dynamisme des réseaux scie</w:t>
      </w:r>
      <w:r w:rsidRPr="004B2498">
        <w:rPr>
          <w:lang w:eastAsia="fr-FR" w:bidi="fr-FR"/>
        </w:rPr>
        <w:t>n</w:t>
      </w:r>
      <w:r w:rsidRPr="004B2498">
        <w:rPr>
          <w:lang w:eastAsia="fr-FR" w:bidi="fr-FR"/>
        </w:rPr>
        <w:t>tif</w:t>
      </w:r>
      <w:r w:rsidRPr="004B2498">
        <w:rPr>
          <w:lang w:eastAsia="fr-FR" w:bidi="fr-FR"/>
        </w:rPr>
        <w:t>i</w:t>
      </w:r>
      <w:r w:rsidRPr="004B2498">
        <w:rPr>
          <w:lang w:eastAsia="fr-FR" w:bidi="fr-FR"/>
        </w:rPr>
        <w:t xml:space="preserve">ques de l’ESS. Il importe de préciser en effet que le </w:t>
      </w:r>
      <w:r w:rsidRPr="001F4428">
        <w:rPr>
          <w:i/>
        </w:rPr>
        <w:t>Dictionnaire de l’autre économie</w:t>
      </w:r>
      <w:r w:rsidRPr="004B2498">
        <w:rPr>
          <w:lang w:eastAsia="fr-FR" w:bidi="fr-FR"/>
        </w:rPr>
        <w:t xml:space="preserve"> correspond à une version modifiée de l’ouvrage </w:t>
      </w:r>
      <w:r w:rsidRPr="001F4428">
        <w:rPr>
          <w:i/>
        </w:rPr>
        <w:t>A outra economia</w:t>
      </w:r>
      <w:r w:rsidRPr="004B2498">
        <w:rPr>
          <w:lang w:eastAsia="fr-FR" w:bidi="fr-FR"/>
        </w:rPr>
        <w:t>, édité au Brésil en 2003 (par l’éditeur Veraz) sous la coordination de Cattani. Cette première version brésilienne a ensuite été traduite en espagnol et publiée par Altamira, grâce au réseau R</w:t>
      </w:r>
      <w:r w:rsidRPr="004B2498">
        <w:rPr>
          <w:lang w:eastAsia="fr-FR" w:bidi="fr-FR"/>
        </w:rPr>
        <w:t>I</w:t>
      </w:r>
      <w:r w:rsidRPr="004B2498">
        <w:rPr>
          <w:lang w:eastAsia="fr-FR" w:bidi="fr-FR"/>
        </w:rPr>
        <w:t xml:space="preserve">LESS (argentin). Dans la version française de l’ouvrage, un certain nombre de rubriques ont été rédigées par des auteurs francophones avec l’appui des réseaux européen (EMES) et canadien (CRISES). Le </w:t>
      </w:r>
      <w:r w:rsidRPr="001F4428">
        <w:rPr>
          <w:i/>
        </w:rPr>
        <w:t>Dictionnaire de l’autre économie</w:t>
      </w:r>
      <w:r w:rsidRPr="004B2498">
        <w:rPr>
          <w:lang w:eastAsia="fr-FR" w:bidi="fr-FR"/>
        </w:rPr>
        <w:t xml:space="preserve"> est d’abord édité en 2005 chez De</w:t>
      </w:r>
      <w:r w:rsidRPr="004B2498">
        <w:rPr>
          <w:lang w:eastAsia="fr-FR" w:bidi="fr-FR"/>
        </w:rPr>
        <w:t>s</w:t>
      </w:r>
      <w:r w:rsidRPr="004B2498">
        <w:rPr>
          <w:lang w:eastAsia="fr-FR" w:bidi="fr-FR"/>
        </w:rPr>
        <w:t>clée de Brouwer (éditeur belge proche des milieux catholiques pr</w:t>
      </w:r>
      <w:r w:rsidRPr="004B2498">
        <w:rPr>
          <w:lang w:eastAsia="fr-FR" w:bidi="fr-FR"/>
        </w:rPr>
        <w:t>o</w:t>
      </w:r>
      <w:r w:rsidRPr="004B2498">
        <w:rPr>
          <w:lang w:eastAsia="fr-FR" w:bidi="fr-FR"/>
        </w:rPr>
        <w:t>gressistes), puis réédité en France 2006 dans la collection « Folio » de Gallimard.</w:t>
      </w:r>
    </w:p>
    <w:p w14:paraId="59490C65" w14:textId="77777777" w:rsidR="002F4063" w:rsidRPr="004B2498" w:rsidRDefault="002F4063" w:rsidP="002F4063">
      <w:pPr>
        <w:spacing w:before="120" w:after="120"/>
        <w:jc w:val="both"/>
      </w:pPr>
      <w:r w:rsidRPr="004B2498">
        <w:rPr>
          <w:lang w:eastAsia="fr-FR" w:bidi="fr-FR"/>
        </w:rPr>
        <w:t>Sans surprise, le mot solidaire est celui qui comporte le plus d’entrées et de déclinaisons : « consommation solidaire », « entreprise solidaire », « finance solidaire », « marché solidaire », « femmes et économie solidaire » (deux rubriques), « solidarité », « économie sol</w:t>
      </w:r>
      <w:r w:rsidRPr="004B2498">
        <w:rPr>
          <w:lang w:eastAsia="fr-FR" w:bidi="fr-FR"/>
        </w:rPr>
        <w:t>i</w:t>
      </w:r>
      <w:r w:rsidRPr="004B2498">
        <w:rPr>
          <w:lang w:eastAsia="fr-FR" w:bidi="fr-FR"/>
        </w:rPr>
        <w:t>daire » (deux rubriques)</w:t>
      </w:r>
    </w:p>
    <w:p w14:paraId="626D6C89" w14:textId="77777777" w:rsidR="002F4063" w:rsidRPr="004B2498" w:rsidRDefault="002F4063" w:rsidP="002F4063">
      <w:pPr>
        <w:spacing w:before="120" w:after="120"/>
        <w:jc w:val="both"/>
      </w:pPr>
      <w:r w:rsidRPr="004B2498">
        <w:rPr>
          <w:lang w:eastAsia="fr-FR" w:bidi="fr-FR"/>
        </w:rPr>
        <w:t xml:space="preserve">Si l’on cherche à comprendre ou à définir le mot solidaire, on constate que rares sont les contributeurs du </w:t>
      </w:r>
      <w:r w:rsidRPr="001F4428">
        <w:rPr>
          <w:i/>
        </w:rPr>
        <w:t>Dictionnaire</w:t>
      </w:r>
      <w:r w:rsidRPr="004B2498">
        <w:rPr>
          <w:lang w:eastAsia="fr-FR" w:bidi="fr-FR"/>
        </w:rPr>
        <w:t xml:space="preserve"> qui le déf</w:t>
      </w:r>
      <w:r w:rsidRPr="004B2498">
        <w:rPr>
          <w:lang w:eastAsia="fr-FR" w:bidi="fr-FR"/>
        </w:rPr>
        <w:t>i</w:t>
      </w:r>
      <w:r w:rsidRPr="004B2498">
        <w:rPr>
          <w:lang w:eastAsia="fr-FR" w:bidi="fr-FR"/>
        </w:rPr>
        <w:t>nissent véritablement. Le plus souvent, on trouve des définitions ta</w:t>
      </w:r>
      <w:r w:rsidRPr="004B2498">
        <w:rPr>
          <w:lang w:eastAsia="fr-FR" w:bidi="fr-FR"/>
        </w:rPr>
        <w:t>u</w:t>
      </w:r>
      <w:r w:rsidRPr="004B2498">
        <w:rPr>
          <w:lang w:eastAsia="fr-FR" w:bidi="fr-FR"/>
        </w:rPr>
        <w:t>tologiques ou circulaires : est solidaire tout ce qui est rattaché à l’économie solidaire. Pour illustrer cette circularité, on peut mentio</w:t>
      </w:r>
      <w:r w:rsidRPr="004B2498">
        <w:rPr>
          <w:lang w:eastAsia="fr-FR" w:bidi="fr-FR"/>
        </w:rPr>
        <w:t>n</w:t>
      </w:r>
      <w:r w:rsidRPr="004B2498">
        <w:rPr>
          <w:lang w:eastAsia="fr-FR" w:bidi="fr-FR"/>
        </w:rPr>
        <w:t>ner par exemple la définition de l’économie solidaire proposée par Paul Singer (2006, p. 290, souligné par moi) :</w:t>
      </w:r>
    </w:p>
    <w:p w14:paraId="1AE9A88D" w14:textId="77777777" w:rsidR="002F4063" w:rsidRPr="004B2498" w:rsidRDefault="002F4063" w:rsidP="002F4063">
      <w:pPr>
        <w:spacing w:before="120" w:after="120"/>
        <w:jc w:val="both"/>
      </w:pPr>
    </w:p>
    <w:p w14:paraId="10F3E877" w14:textId="77777777" w:rsidR="002F4063" w:rsidRPr="004B2498" w:rsidRDefault="002F4063" w:rsidP="002F4063">
      <w:pPr>
        <w:spacing w:before="120" w:after="120"/>
        <w:jc w:val="both"/>
      </w:pPr>
      <w:r w:rsidRPr="004B2498">
        <w:t>[65]</w:t>
      </w:r>
    </w:p>
    <w:p w14:paraId="7829DC64" w14:textId="77777777" w:rsidR="002F4063" w:rsidRDefault="002F4063" w:rsidP="002F4063">
      <w:pPr>
        <w:pStyle w:val="Grillecouleur-Accent1"/>
        <w:rPr>
          <w:lang w:eastAsia="fr-FR" w:bidi="fr-FR"/>
        </w:rPr>
      </w:pPr>
    </w:p>
    <w:p w14:paraId="78F8ED3F" w14:textId="77777777" w:rsidR="002F4063" w:rsidRDefault="002F4063" w:rsidP="002F4063">
      <w:pPr>
        <w:pStyle w:val="Grillecouleur-Accent1"/>
        <w:rPr>
          <w:lang w:eastAsia="fr-FR" w:bidi="fr-FR"/>
        </w:rPr>
      </w:pPr>
      <w:r w:rsidRPr="004B2498">
        <w:rPr>
          <w:lang w:eastAsia="fr-FR" w:bidi="fr-FR"/>
        </w:rPr>
        <w:t>« Dans l’économie solidaire les organisations de producteurs, de consommateurs, d’épargnants, etc., se distinguent par deux spécific</w:t>
      </w:r>
      <w:r w:rsidRPr="004B2498">
        <w:rPr>
          <w:lang w:eastAsia="fr-FR" w:bidi="fr-FR"/>
        </w:rPr>
        <w:t>i</w:t>
      </w:r>
      <w:r w:rsidRPr="004B2498">
        <w:rPr>
          <w:lang w:eastAsia="fr-FR" w:bidi="fr-FR"/>
        </w:rPr>
        <w:t xml:space="preserve">tés : </w:t>
      </w:r>
      <w:r w:rsidRPr="004B2498">
        <w:rPr>
          <w:iCs/>
        </w:rPr>
        <w:t xml:space="preserve">la promotion d'une solidarité </w:t>
      </w:r>
      <w:r w:rsidRPr="004B2498">
        <w:rPr>
          <w:lang w:eastAsia="fr-FR" w:bidi="fr-FR"/>
        </w:rPr>
        <w:t xml:space="preserve">entre les différents acteurs par la pratique de l’autogestion ; </w:t>
      </w:r>
      <w:r w:rsidRPr="004B2498">
        <w:rPr>
          <w:iCs/>
        </w:rPr>
        <w:t>la pratique d'une solidarité</w:t>
      </w:r>
      <w:r w:rsidRPr="004B2498">
        <w:rPr>
          <w:lang w:eastAsia="fr-FR" w:bidi="fr-FR"/>
        </w:rPr>
        <w:t xml:space="preserve"> avec les travai</w:t>
      </w:r>
      <w:r w:rsidRPr="004B2498">
        <w:rPr>
          <w:lang w:eastAsia="fr-FR" w:bidi="fr-FR"/>
        </w:rPr>
        <w:t>l</w:t>
      </w:r>
      <w:r w:rsidRPr="004B2498">
        <w:rPr>
          <w:lang w:eastAsia="fr-FR" w:bidi="fr-FR"/>
        </w:rPr>
        <w:t>leurs en général, et en particulier avec les plus défavorisés ».</w:t>
      </w:r>
    </w:p>
    <w:p w14:paraId="00B29316" w14:textId="77777777" w:rsidR="002F4063" w:rsidRPr="004B2498" w:rsidRDefault="002F4063" w:rsidP="002F4063">
      <w:pPr>
        <w:pStyle w:val="Grillecouleur-Accent1"/>
        <w:rPr>
          <w:lang w:eastAsia="fr-FR" w:bidi="fr-FR"/>
        </w:rPr>
      </w:pPr>
    </w:p>
    <w:p w14:paraId="5DC15695" w14:textId="77777777" w:rsidR="002F4063" w:rsidRPr="004B2498" w:rsidRDefault="002F4063" w:rsidP="002F4063">
      <w:pPr>
        <w:spacing w:before="120" w:after="120"/>
        <w:jc w:val="both"/>
      </w:pPr>
      <w:r w:rsidRPr="004B2498">
        <w:rPr>
          <w:lang w:eastAsia="fr-FR" w:bidi="fr-FR"/>
        </w:rPr>
        <w:t>Dans ce même ordre d’idées, on peut citer également la définition de l’économie solidaire de Bernard Eme et Jean-Louis Laville (2006, p. 303) :</w:t>
      </w:r>
    </w:p>
    <w:p w14:paraId="5D2376AF" w14:textId="77777777" w:rsidR="002F4063" w:rsidRDefault="002F4063" w:rsidP="002F4063">
      <w:pPr>
        <w:pStyle w:val="Grillecouleur-Accent1"/>
        <w:rPr>
          <w:lang w:eastAsia="fr-FR" w:bidi="fr-FR"/>
        </w:rPr>
      </w:pPr>
    </w:p>
    <w:p w14:paraId="348CF3BD" w14:textId="77777777" w:rsidR="002F4063" w:rsidRDefault="002F4063" w:rsidP="002F4063">
      <w:pPr>
        <w:pStyle w:val="Grillecouleur-Accent1"/>
        <w:rPr>
          <w:lang w:eastAsia="fr-FR" w:bidi="fr-FR"/>
        </w:rPr>
      </w:pPr>
      <w:r w:rsidRPr="004B2498">
        <w:rPr>
          <w:lang w:eastAsia="fr-FR" w:bidi="fr-FR"/>
        </w:rPr>
        <w:t>« L’économie solidaire peut être définie comme l’ensemble des activ</w:t>
      </w:r>
      <w:r w:rsidRPr="004B2498">
        <w:rPr>
          <w:lang w:eastAsia="fr-FR" w:bidi="fr-FR"/>
        </w:rPr>
        <w:t>i</w:t>
      </w:r>
      <w:r w:rsidRPr="004B2498">
        <w:rPr>
          <w:lang w:eastAsia="fr-FR" w:bidi="fr-FR"/>
        </w:rPr>
        <w:t>tés économiques soumis à la volonté d’un agir démocratique où les ra</w:t>
      </w:r>
      <w:r w:rsidRPr="004B2498">
        <w:rPr>
          <w:lang w:eastAsia="fr-FR" w:bidi="fr-FR"/>
        </w:rPr>
        <w:t>p</w:t>
      </w:r>
      <w:r w:rsidRPr="004B2498">
        <w:rPr>
          <w:lang w:eastAsia="fr-FR" w:bidi="fr-FR"/>
        </w:rPr>
        <w:t>ports sociaux de la solidarité priment sur l’intérêt individuel ou le profit matériel ».</w:t>
      </w:r>
    </w:p>
    <w:p w14:paraId="1E6F5D2C" w14:textId="77777777" w:rsidR="002F4063" w:rsidRPr="004B2498" w:rsidRDefault="002F4063" w:rsidP="002F4063">
      <w:pPr>
        <w:pStyle w:val="Grillecouleur-Accent1"/>
      </w:pPr>
    </w:p>
    <w:p w14:paraId="31562DB6" w14:textId="77777777" w:rsidR="002F4063" w:rsidRPr="004B2498" w:rsidRDefault="002F4063" w:rsidP="002F4063">
      <w:pPr>
        <w:spacing w:before="120" w:after="120"/>
        <w:jc w:val="both"/>
      </w:pPr>
      <w:r w:rsidRPr="004B2498">
        <w:rPr>
          <w:lang w:eastAsia="fr-FR" w:bidi="fr-FR"/>
        </w:rPr>
        <w:t>Un deuxième constat peut être dressé. Le mot solidaire désigne moins un concept qu’un paradigme de pratiques. En effet, le registre du solidaire renvoie non seulement à une diversité de pratiques et de structures très disparates explicitement étiquetées de solidaire (cf. « tourisme solidaire », « consommation solidaire », « finance solida</w:t>
      </w:r>
      <w:r w:rsidRPr="004B2498">
        <w:rPr>
          <w:lang w:eastAsia="fr-FR" w:bidi="fr-FR"/>
        </w:rPr>
        <w:t>i</w:t>
      </w:r>
      <w:r w:rsidRPr="004B2498">
        <w:rPr>
          <w:lang w:eastAsia="fr-FR" w:bidi="fr-FR"/>
        </w:rPr>
        <w:t>re », « entreprise solidaire », etc.) mais aussi à bien d’autres pratiques non étiquetées de solidaire, reconnues pourtant comme appartenant au registre du solidaire telles que :</w:t>
      </w:r>
    </w:p>
    <w:p w14:paraId="522478F5" w14:textId="77777777" w:rsidR="002F4063" w:rsidRDefault="002F4063" w:rsidP="002F4063">
      <w:pPr>
        <w:pStyle w:val="Citation0"/>
        <w:rPr>
          <w:lang w:eastAsia="fr-FR" w:bidi="fr-FR"/>
        </w:rPr>
      </w:pPr>
    </w:p>
    <w:p w14:paraId="5C4120AD" w14:textId="77777777" w:rsidR="002F4063" w:rsidRDefault="002F4063" w:rsidP="002F4063">
      <w:pPr>
        <w:pStyle w:val="Citation0"/>
        <w:rPr>
          <w:lang w:eastAsia="fr-FR" w:bidi="fr-FR"/>
        </w:rPr>
      </w:pPr>
      <w:r w:rsidRPr="004B2498">
        <w:rPr>
          <w:lang w:eastAsia="fr-FR" w:bidi="fr-FR"/>
        </w:rPr>
        <w:t>« le commerce équitable, les services de proximité, la gestion des se</w:t>
      </w:r>
      <w:r w:rsidRPr="004B2498">
        <w:rPr>
          <w:lang w:eastAsia="fr-FR" w:bidi="fr-FR"/>
        </w:rPr>
        <w:t>r</w:t>
      </w:r>
      <w:r w:rsidRPr="004B2498">
        <w:rPr>
          <w:lang w:eastAsia="fr-FR" w:bidi="fr-FR"/>
        </w:rPr>
        <w:t>vices urbains par les habitants, les systèmes d’échanges, les r</w:t>
      </w:r>
      <w:r w:rsidRPr="004B2498">
        <w:rPr>
          <w:lang w:eastAsia="fr-FR" w:bidi="fr-FR"/>
        </w:rPr>
        <w:t>é</w:t>
      </w:r>
      <w:r w:rsidRPr="004B2498">
        <w:rPr>
          <w:lang w:eastAsia="fr-FR" w:bidi="fr-FR"/>
        </w:rPr>
        <w:t>seaux d’échanges de savoirs, l’autoproduction, l’agriculture durable, les magasins biolog</w:t>
      </w:r>
      <w:r w:rsidRPr="004B2498">
        <w:rPr>
          <w:lang w:eastAsia="fr-FR" w:bidi="fr-FR"/>
        </w:rPr>
        <w:t>i</w:t>
      </w:r>
      <w:r w:rsidRPr="004B2498">
        <w:rPr>
          <w:lang w:eastAsia="fr-FR" w:bidi="fr-FR"/>
        </w:rPr>
        <w:t>ques, les cuisines collectives, les restaurants i</w:t>
      </w:r>
      <w:r w:rsidRPr="004B2498">
        <w:rPr>
          <w:lang w:eastAsia="fr-FR" w:bidi="fr-FR"/>
        </w:rPr>
        <w:t>n</w:t>
      </w:r>
      <w:r w:rsidRPr="004B2498">
        <w:rPr>
          <w:lang w:eastAsia="fr-FR" w:bidi="fr-FR"/>
        </w:rPr>
        <w:t>terculturels de femmes, la création d’activités par les chômeurs et a</w:t>
      </w:r>
      <w:r w:rsidRPr="004B2498">
        <w:rPr>
          <w:lang w:eastAsia="fr-FR" w:bidi="fr-FR"/>
        </w:rPr>
        <w:t>u</w:t>
      </w:r>
      <w:r w:rsidRPr="004B2498">
        <w:rPr>
          <w:lang w:eastAsia="fr-FR" w:bidi="fr-FR"/>
        </w:rPr>
        <w:t>tres formes d’entrepreneuriat collectif </w:t>
      </w:r>
      <w:r>
        <w:rPr>
          <w:lang w:eastAsia="fr-FR" w:bidi="fr-FR"/>
        </w:rPr>
        <w:t> </w:t>
      </w:r>
      <w:r>
        <w:rPr>
          <w:rStyle w:val="Appelnotedebasdep"/>
          <w:lang w:eastAsia="fr-FR" w:bidi="fr-FR"/>
        </w:rPr>
        <w:footnoteReference w:id="46"/>
      </w:r>
      <w:r w:rsidRPr="004B2498">
        <w:rPr>
          <w:lang w:eastAsia="fr-FR" w:bidi="fr-FR"/>
        </w:rPr>
        <w:t> ».</w:t>
      </w:r>
    </w:p>
    <w:p w14:paraId="498F663D" w14:textId="77777777" w:rsidR="002F4063" w:rsidRPr="004B2498" w:rsidRDefault="002F4063" w:rsidP="002F4063">
      <w:pPr>
        <w:pStyle w:val="Citation0"/>
      </w:pPr>
    </w:p>
    <w:p w14:paraId="1D520063" w14:textId="77777777" w:rsidR="002F4063" w:rsidRPr="004B2498" w:rsidRDefault="002F4063" w:rsidP="002F4063">
      <w:pPr>
        <w:spacing w:before="120" w:after="120"/>
        <w:jc w:val="both"/>
      </w:pPr>
      <w:r w:rsidRPr="004B2498">
        <w:rPr>
          <w:lang w:eastAsia="fr-FR" w:bidi="fr-FR"/>
        </w:rPr>
        <w:t>En outre, les définitions de certaines pratiques explicitement ét</w:t>
      </w:r>
      <w:r w:rsidRPr="004B2498">
        <w:rPr>
          <w:lang w:eastAsia="fr-FR" w:bidi="fr-FR"/>
        </w:rPr>
        <w:t>i</w:t>
      </w:r>
      <w:r w:rsidRPr="004B2498">
        <w:rPr>
          <w:lang w:eastAsia="fr-FR" w:bidi="fr-FR"/>
        </w:rPr>
        <w:t>quetées de solidaire révèlent d’ailleurs des conceptions hétérogènes, voire divergentes de ces pratiques, selon les auteurs et les contextes nationaux considérés. Néanmoins, ces divergences sont appréhendées par les partisans de l’ESS comme complémentaires </w:t>
      </w:r>
      <w:r>
        <w:rPr>
          <w:rStyle w:val="Appelnotedebasdep"/>
          <w:lang w:eastAsia="fr-FR" w:bidi="fr-FR"/>
        </w:rPr>
        <w:footnoteReference w:id="47"/>
      </w:r>
      <w:r w:rsidRPr="004B2498">
        <w:rPr>
          <w:lang w:eastAsia="fr-FR" w:bidi="fr-FR"/>
        </w:rPr>
        <w:t>. En effet, nous disent Laville et Cattani (2006, p. 24) :</w:t>
      </w:r>
    </w:p>
    <w:p w14:paraId="6DE5A1B7" w14:textId="77777777" w:rsidR="002F4063" w:rsidRDefault="002F4063" w:rsidP="002F4063">
      <w:pPr>
        <w:pStyle w:val="Citation0"/>
        <w:rPr>
          <w:lang w:eastAsia="fr-FR" w:bidi="fr-FR"/>
        </w:rPr>
      </w:pPr>
    </w:p>
    <w:p w14:paraId="1D79DBD3" w14:textId="77777777" w:rsidR="002F4063" w:rsidRDefault="002F4063" w:rsidP="002F4063">
      <w:pPr>
        <w:pStyle w:val="Citation0"/>
        <w:rPr>
          <w:lang w:eastAsia="fr-FR" w:bidi="fr-FR"/>
        </w:rPr>
      </w:pPr>
      <w:r w:rsidRPr="004B2498">
        <w:rPr>
          <w:lang w:eastAsia="fr-FR" w:bidi="fr-FR"/>
        </w:rPr>
        <w:t>« les approches européennes et sud-américaines sont apparues à la fois si distinctes et complémentaires qu’elles ont amené à faire se su</w:t>
      </w:r>
      <w:r w:rsidRPr="004B2498">
        <w:rPr>
          <w:lang w:eastAsia="fr-FR" w:bidi="fr-FR"/>
        </w:rPr>
        <w:t>c</w:t>
      </w:r>
      <w:r w:rsidRPr="004B2498">
        <w:rPr>
          <w:lang w:eastAsia="fr-FR" w:bidi="fr-FR"/>
        </w:rPr>
        <w:t>céder deux présentations émanant de chacun des continents. »</w:t>
      </w:r>
    </w:p>
    <w:p w14:paraId="66F2E852" w14:textId="77777777" w:rsidR="002F4063" w:rsidRPr="004B2498" w:rsidRDefault="002F4063" w:rsidP="002F4063">
      <w:pPr>
        <w:pStyle w:val="Citation0"/>
      </w:pPr>
    </w:p>
    <w:p w14:paraId="0FC77440" w14:textId="77777777" w:rsidR="002F4063" w:rsidRPr="004B2498" w:rsidRDefault="002F4063" w:rsidP="002F4063">
      <w:pPr>
        <w:spacing w:before="120" w:after="120"/>
        <w:jc w:val="both"/>
      </w:pPr>
      <w:r w:rsidRPr="004B2498">
        <w:rPr>
          <w:lang w:eastAsia="fr-FR" w:bidi="fr-FR"/>
        </w:rPr>
        <w:t>Ceci explique d’ailleurs l’existence dans le dictionnaire de l’autre économie de plusieurs définitions pour définir une même rubrique (cf. « économie solidaire », « femmes et économie solidaire »).</w:t>
      </w:r>
    </w:p>
    <w:p w14:paraId="71C36249" w14:textId="77777777" w:rsidR="002F4063" w:rsidRPr="004B2498" w:rsidRDefault="002F4063" w:rsidP="002F4063">
      <w:pPr>
        <w:spacing w:before="120" w:after="120"/>
        <w:jc w:val="both"/>
      </w:pPr>
      <w:r w:rsidRPr="004B2498">
        <w:t>[66]</w:t>
      </w:r>
    </w:p>
    <w:p w14:paraId="6F9E7CB5" w14:textId="77777777" w:rsidR="002F4063" w:rsidRPr="004B2498" w:rsidRDefault="002F4063" w:rsidP="002F4063">
      <w:pPr>
        <w:spacing w:before="120" w:after="120"/>
        <w:jc w:val="both"/>
      </w:pPr>
      <w:r w:rsidRPr="004B2498">
        <w:rPr>
          <w:lang w:eastAsia="fr-FR" w:bidi="fr-FR"/>
        </w:rPr>
        <w:t>Pour tenter de saisir ce qu’il y a de commun à toutes ces pratiques hétérogènes, dites solidaires ou assimilées comme telles, nous étudi</w:t>
      </w:r>
      <w:r w:rsidRPr="004B2498">
        <w:rPr>
          <w:lang w:eastAsia="fr-FR" w:bidi="fr-FR"/>
        </w:rPr>
        <w:t>e</w:t>
      </w:r>
      <w:r w:rsidRPr="004B2498">
        <w:rPr>
          <w:lang w:eastAsia="fr-FR" w:bidi="fr-FR"/>
        </w:rPr>
        <w:t>rons l’ensemble des définitions et déclinaisons du solidaire qui figure dans le dictionnaire de l’autre économie. Le point intéressant est que chaque définition livre des éléments partiels de ce qu’il faut entendre au travers de ce mot. Par regroupement et recoupement de toutes ces définitions, six critères principaux fondant le paradigme de l’économie solidaire peuvent être dégagés.</w:t>
      </w:r>
    </w:p>
    <w:p w14:paraId="2E232510" w14:textId="77777777" w:rsidR="002F4063" w:rsidRPr="004B2498" w:rsidRDefault="002F4063" w:rsidP="002F4063">
      <w:pPr>
        <w:spacing w:before="120" w:after="120"/>
        <w:jc w:val="both"/>
      </w:pPr>
      <w:r w:rsidRPr="004B2498">
        <w:rPr>
          <w:lang w:eastAsia="fr-FR" w:bidi="fr-FR"/>
        </w:rPr>
        <w:t>Un premier critère renvoie à la prise en compte, dans les pratiques économiques, des préoccupations extra-économiques (environneme</w:t>
      </w:r>
      <w:r w:rsidRPr="004B2498">
        <w:rPr>
          <w:lang w:eastAsia="fr-FR" w:bidi="fr-FR"/>
        </w:rPr>
        <w:t>n</w:t>
      </w:r>
      <w:r w:rsidRPr="004B2498">
        <w:rPr>
          <w:lang w:eastAsia="fr-FR" w:bidi="fr-FR"/>
        </w:rPr>
        <w:t>tales, sanitaires, justice sociale, bien-être collectif, etc.). Voici par exemple comment Mance (2006, p. 126-128) définit la consommation solidaire :</w:t>
      </w:r>
    </w:p>
    <w:p w14:paraId="1551B3A7" w14:textId="77777777" w:rsidR="002F4063" w:rsidRDefault="002F4063" w:rsidP="002F4063">
      <w:pPr>
        <w:pStyle w:val="Grillecouleur-Accent1"/>
        <w:rPr>
          <w:lang w:eastAsia="fr-FR" w:bidi="fr-FR"/>
        </w:rPr>
      </w:pPr>
    </w:p>
    <w:p w14:paraId="7A65C32A" w14:textId="77777777" w:rsidR="002F4063" w:rsidRDefault="002F4063" w:rsidP="002F4063">
      <w:pPr>
        <w:pStyle w:val="Grillecouleur-Accent1"/>
        <w:rPr>
          <w:lang w:eastAsia="fr-FR" w:bidi="fr-FR"/>
        </w:rPr>
      </w:pPr>
      <w:r w:rsidRPr="004B2498">
        <w:rPr>
          <w:lang w:eastAsia="fr-FR" w:bidi="fr-FR"/>
        </w:rPr>
        <w:t>« La consommation solidaire peut être abordée comme la consomm</w:t>
      </w:r>
      <w:r w:rsidRPr="004B2498">
        <w:rPr>
          <w:lang w:eastAsia="fr-FR" w:bidi="fr-FR"/>
        </w:rPr>
        <w:t>a</w:t>
      </w:r>
      <w:r w:rsidRPr="004B2498">
        <w:rPr>
          <w:lang w:eastAsia="fr-FR" w:bidi="fr-FR"/>
        </w:rPr>
        <w:t>tion de biens ou services qui satisfont les besoins et désirs du consomm</w:t>
      </w:r>
      <w:r w:rsidRPr="004B2498">
        <w:rPr>
          <w:lang w:eastAsia="fr-FR" w:bidi="fr-FR"/>
        </w:rPr>
        <w:t>a</w:t>
      </w:r>
      <w:r w:rsidRPr="004B2498">
        <w:rPr>
          <w:lang w:eastAsia="fr-FR" w:bidi="fr-FR"/>
        </w:rPr>
        <w:t>teur, en recherchant : son bien-être personnel librement choisi ; le bien-être des travailleurs qui produisent et distribuent ces produits ou services ; l’équilibre des écosystèmes  ; une société juste et solidaire ».</w:t>
      </w:r>
    </w:p>
    <w:p w14:paraId="2CFD169F" w14:textId="77777777" w:rsidR="002F4063" w:rsidRPr="004B2498" w:rsidRDefault="002F4063" w:rsidP="002F4063">
      <w:pPr>
        <w:pStyle w:val="Grillecouleur-Accent1"/>
      </w:pPr>
    </w:p>
    <w:p w14:paraId="0459AF0D" w14:textId="77777777" w:rsidR="002F4063" w:rsidRPr="004B2498" w:rsidRDefault="002F4063" w:rsidP="002F4063">
      <w:pPr>
        <w:spacing w:before="120" w:after="120"/>
        <w:jc w:val="both"/>
      </w:pPr>
      <w:r w:rsidRPr="004B2498">
        <w:rPr>
          <w:lang w:eastAsia="fr-FR" w:bidi="fr-FR"/>
        </w:rPr>
        <w:t>Un deuxième élément important du registre du solidaire corre</w:t>
      </w:r>
      <w:r w:rsidRPr="004B2498">
        <w:rPr>
          <w:lang w:eastAsia="fr-FR" w:bidi="fr-FR"/>
        </w:rPr>
        <w:t>s</w:t>
      </w:r>
      <w:r w:rsidRPr="004B2498">
        <w:rPr>
          <w:lang w:eastAsia="fr-FR" w:bidi="fr-FR"/>
        </w:rPr>
        <w:t>pond au rejet de « l’individualisme compétitif qui caractérise le co</w:t>
      </w:r>
      <w:r w:rsidRPr="004B2498">
        <w:rPr>
          <w:lang w:eastAsia="fr-FR" w:bidi="fr-FR"/>
        </w:rPr>
        <w:t>m</w:t>
      </w:r>
      <w:r w:rsidRPr="004B2498">
        <w:rPr>
          <w:lang w:eastAsia="fr-FR" w:bidi="fr-FR"/>
        </w:rPr>
        <w:t>portement économique dominant dans les sociétés capitalistes » (Si</w:t>
      </w:r>
      <w:r w:rsidRPr="004B2498">
        <w:rPr>
          <w:lang w:eastAsia="fr-FR" w:bidi="fr-FR"/>
        </w:rPr>
        <w:t>n</w:t>
      </w:r>
      <w:r w:rsidRPr="004B2498">
        <w:rPr>
          <w:lang w:eastAsia="fr-FR" w:bidi="fr-FR"/>
        </w:rPr>
        <w:t xml:space="preserve">ger, </w:t>
      </w:r>
      <w:r w:rsidRPr="004B2498">
        <w:t xml:space="preserve">2006, </w:t>
      </w:r>
      <w:r w:rsidRPr="004B2498">
        <w:rPr>
          <w:lang w:eastAsia="fr-FR" w:bidi="fr-FR"/>
        </w:rPr>
        <w:t xml:space="preserve">p. </w:t>
      </w:r>
      <w:r w:rsidRPr="004B2498">
        <w:t xml:space="preserve">290). </w:t>
      </w:r>
      <w:r w:rsidRPr="004B2498">
        <w:rPr>
          <w:lang w:eastAsia="fr-FR" w:bidi="fr-FR"/>
        </w:rPr>
        <w:t>À la logique de l’individualisme concurrentiel e</w:t>
      </w:r>
      <w:r w:rsidRPr="004B2498">
        <w:rPr>
          <w:lang w:eastAsia="fr-FR" w:bidi="fr-FR"/>
        </w:rPr>
        <w:t>f</w:t>
      </w:r>
      <w:r w:rsidRPr="004B2498">
        <w:rPr>
          <w:lang w:eastAsia="fr-FR" w:bidi="fr-FR"/>
        </w:rPr>
        <w:t>frénée est ainsi préférée celle de l’association et de la coopération.</w:t>
      </w:r>
    </w:p>
    <w:p w14:paraId="7F9D3EAA" w14:textId="77777777" w:rsidR="002F4063" w:rsidRPr="004B2498" w:rsidRDefault="002F4063" w:rsidP="002F4063">
      <w:pPr>
        <w:spacing w:before="120" w:after="120"/>
        <w:jc w:val="both"/>
      </w:pPr>
      <w:r w:rsidRPr="004B2498">
        <w:rPr>
          <w:lang w:eastAsia="fr-FR" w:bidi="fr-FR"/>
        </w:rPr>
        <w:t>L’économie solidaire se distingue du modèle économique libéral également par deux autres spécificités qui concernent la modalité d’organisation productive : d’une part, la promotion de la pratique de l’autogestion au sein des différentes structures productives (entreprise, coopérative ou association de producteurs) ; d’autre part, l’intégration dans les entités productives des plus défavorisés, en particulier « les chômeurs, les personnes touchées ou menacées par la pauvreté ou l’exclusion </w:t>
      </w:r>
      <w:r>
        <w:rPr>
          <w:rStyle w:val="Appelnotedebasdep"/>
          <w:lang w:eastAsia="fr-FR" w:bidi="fr-FR"/>
        </w:rPr>
        <w:footnoteReference w:id="48"/>
      </w:r>
      <w:r w:rsidRPr="004B2498">
        <w:rPr>
          <w:lang w:eastAsia="fr-FR" w:bidi="fr-FR"/>
        </w:rPr>
        <w:t> ».</w:t>
      </w:r>
    </w:p>
    <w:p w14:paraId="4E7A01C2" w14:textId="77777777" w:rsidR="002F4063" w:rsidRPr="004B2498" w:rsidRDefault="002F4063" w:rsidP="002F4063">
      <w:pPr>
        <w:spacing w:before="120" w:after="120"/>
        <w:jc w:val="both"/>
      </w:pPr>
      <w:r w:rsidRPr="004B2498">
        <w:rPr>
          <w:lang w:eastAsia="fr-FR" w:bidi="fr-FR"/>
        </w:rPr>
        <w:t>Un cinquième critère du paradigme de l’économie solidaire que l’on retrouve dans un grand nombre des définitions du solidaire est celui de l’égalité - égalité économique, mais aussi politique entre les individus. Le principe d’égalité économique est recherché notamment à travers la promotion de l'autogestion dans les structures product</w:t>
      </w:r>
      <w:r w:rsidRPr="004B2498">
        <w:rPr>
          <w:lang w:eastAsia="fr-FR" w:bidi="fr-FR"/>
        </w:rPr>
        <w:t>i</w:t>
      </w:r>
      <w:r w:rsidRPr="004B2498">
        <w:rPr>
          <w:lang w:eastAsia="fr-FR" w:bidi="fr-FR"/>
        </w:rPr>
        <w:t>ves :</w:t>
      </w:r>
    </w:p>
    <w:p w14:paraId="39A24F03" w14:textId="77777777" w:rsidR="002F4063" w:rsidRDefault="002F4063" w:rsidP="002F4063">
      <w:pPr>
        <w:pStyle w:val="Grillecouleur-Accent1"/>
        <w:rPr>
          <w:lang w:eastAsia="fr-FR" w:bidi="fr-FR"/>
        </w:rPr>
      </w:pPr>
    </w:p>
    <w:p w14:paraId="22BDF045" w14:textId="77777777" w:rsidR="002F4063" w:rsidRDefault="002F4063" w:rsidP="002F4063">
      <w:pPr>
        <w:pStyle w:val="Grillecouleur-Accent1"/>
        <w:rPr>
          <w:lang w:eastAsia="fr-FR" w:bidi="fr-FR"/>
        </w:rPr>
      </w:pPr>
      <w:r w:rsidRPr="004B2498">
        <w:rPr>
          <w:lang w:eastAsia="fr-FR" w:bidi="fr-FR"/>
        </w:rPr>
        <w:t>« L’autogestion signifie qu’une parfaite égalité des droits entre me</w:t>
      </w:r>
      <w:r w:rsidRPr="004B2498">
        <w:rPr>
          <w:lang w:eastAsia="fr-FR" w:bidi="fr-FR"/>
        </w:rPr>
        <w:t>m</w:t>
      </w:r>
      <w:r w:rsidRPr="004B2498">
        <w:rPr>
          <w:lang w:eastAsia="fr-FR" w:bidi="fr-FR"/>
        </w:rPr>
        <w:t>bres doit régner au sein des organisations de l’économie solida</w:t>
      </w:r>
      <w:r w:rsidRPr="004B2498">
        <w:rPr>
          <w:lang w:eastAsia="fr-FR" w:bidi="fr-FR"/>
        </w:rPr>
        <w:t>i</w:t>
      </w:r>
      <w:r w:rsidRPr="004B2498">
        <w:rPr>
          <w:lang w:eastAsia="fr-FR" w:bidi="fr-FR"/>
        </w:rPr>
        <w:t>re. S’il s’agit d’une organisation</w:t>
      </w:r>
      <w:r>
        <w:t xml:space="preserve"> </w:t>
      </w:r>
      <w:r w:rsidRPr="004B2498">
        <w:t>[67]</w:t>
      </w:r>
      <w:r>
        <w:t xml:space="preserve"> </w:t>
      </w:r>
      <w:r w:rsidRPr="004B2498">
        <w:rPr>
          <w:lang w:eastAsia="fr-FR" w:bidi="fr-FR"/>
        </w:rPr>
        <w:t>productive, les droits de propriété doivent être répartis de manière ég</w:t>
      </w:r>
      <w:r w:rsidRPr="004B2498">
        <w:rPr>
          <w:lang w:eastAsia="fr-FR" w:bidi="fr-FR"/>
        </w:rPr>
        <w:t>a</w:t>
      </w:r>
      <w:r w:rsidRPr="004B2498">
        <w:rPr>
          <w:lang w:eastAsia="fr-FR" w:bidi="fr-FR"/>
        </w:rPr>
        <w:t>litaire entre tous les associés</w:t>
      </w:r>
      <w:r>
        <w:rPr>
          <w:lang w:eastAsia="fr-FR" w:bidi="fr-FR"/>
        </w:rPr>
        <w:t> </w:t>
      </w:r>
      <w:r>
        <w:rPr>
          <w:rStyle w:val="Appelnotedebasdep"/>
          <w:lang w:eastAsia="fr-FR" w:bidi="fr-FR"/>
        </w:rPr>
        <w:footnoteReference w:id="49"/>
      </w:r>
      <w:r w:rsidRPr="004B2498">
        <w:rPr>
          <w:lang w:eastAsia="fr-FR" w:bidi="fr-FR"/>
        </w:rPr>
        <w:t>. »</w:t>
      </w:r>
    </w:p>
    <w:p w14:paraId="6BB75A29" w14:textId="77777777" w:rsidR="002F4063" w:rsidRPr="004B2498" w:rsidRDefault="002F4063" w:rsidP="002F4063">
      <w:pPr>
        <w:pStyle w:val="Grillecouleur-Accent1"/>
      </w:pPr>
    </w:p>
    <w:p w14:paraId="740AC197" w14:textId="77777777" w:rsidR="002F4063" w:rsidRPr="004B2498" w:rsidRDefault="002F4063" w:rsidP="002F4063">
      <w:pPr>
        <w:spacing w:before="120" w:after="120"/>
        <w:jc w:val="both"/>
      </w:pPr>
      <w:r w:rsidRPr="004B2498">
        <w:rPr>
          <w:lang w:eastAsia="fr-FR" w:bidi="fr-FR"/>
        </w:rPr>
        <w:t>Cette égalité économique doit avoir pour corrélât une égalité pol</w:t>
      </w:r>
      <w:r w:rsidRPr="004B2498">
        <w:rPr>
          <w:lang w:eastAsia="fr-FR" w:bidi="fr-FR"/>
        </w:rPr>
        <w:t>i</w:t>
      </w:r>
      <w:r w:rsidRPr="004B2498">
        <w:rPr>
          <w:lang w:eastAsia="fr-FR" w:bidi="fr-FR"/>
        </w:rPr>
        <w:t>tique entre les individus. En effet, les organisations productives de l’économie solidaire sont pensées comme des espaces non seulement économiques mais aussi politiques au sein desquels, ou à partir de</w:t>
      </w:r>
      <w:r w:rsidRPr="004B2498">
        <w:rPr>
          <w:lang w:eastAsia="fr-FR" w:bidi="fr-FR"/>
        </w:rPr>
        <w:t>s</w:t>
      </w:r>
      <w:r w:rsidRPr="004B2498">
        <w:rPr>
          <w:lang w:eastAsia="fr-FR" w:bidi="fr-FR"/>
        </w:rPr>
        <w:t>quels, les individus, égaux en droits, discutent et proposent de nouve</w:t>
      </w:r>
      <w:r w:rsidRPr="004B2498">
        <w:rPr>
          <w:lang w:eastAsia="fr-FR" w:bidi="fr-FR"/>
        </w:rPr>
        <w:t>l</w:t>
      </w:r>
      <w:r w:rsidRPr="004B2498">
        <w:rPr>
          <w:lang w:eastAsia="fr-FR" w:bidi="fr-FR"/>
        </w:rPr>
        <w:t>les alternatives économiques. Ainsi, l’économie sociale et solidaire a pour objectif de promouvoir une « valorisation de la démocratie</w:t>
      </w:r>
      <w:r>
        <w:rPr>
          <w:lang w:eastAsia="fr-FR" w:bidi="fr-FR"/>
        </w:rPr>
        <w:t> </w:t>
      </w:r>
      <w:r>
        <w:rPr>
          <w:rStyle w:val="Appelnotedebasdep"/>
          <w:lang w:eastAsia="fr-FR" w:bidi="fr-FR"/>
        </w:rPr>
        <w:footnoteReference w:id="50"/>
      </w:r>
      <w:r w:rsidRPr="004B2498">
        <w:rPr>
          <w:lang w:eastAsia="fr-FR" w:bidi="fr-FR"/>
        </w:rPr>
        <w:t> », et une implication des individus dans les décisions économiques et sociales (société participative) :</w:t>
      </w:r>
    </w:p>
    <w:p w14:paraId="5BB1B0DE" w14:textId="77777777" w:rsidR="002F4063" w:rsidRDefault="002F4063" w:rsidP="002F4063">
      <w:pPr>
        <w:pStyle w:val="Citation0"/>
        <w:rPr>
          <w:lang w:eastAsia="fr-FR" w:bidi="fr-FR"/>
        </w:rPr>
      </w:pPr>
    </w:p>
    <w:p w14:paraId="4ADB2DF5" w14:textId="77777777" w:rsidR="002F4063" w:rsidRDefault="002F4063" w:rsidP="002F4063">
      <w:pPr>
        <w:pStyle w:val="Citation0"/>
        <w:rPr>
          <w:lang w:eastAsia="fr-FR" w:bidi="fr-FR"/>
        </w:rPr>
      </w:pPr>
      <w:r w:rsidRPr="004B2498">
        <w:rPr>
          <w:lang w:eastAsia="fr-FR" w:bidi="fr-FR"/>
        </w:rPr>
        <w:t>« l’économie solidaire peut-être définie comme l’ensemble des a</w:t>
      </w:r>
      <w:r w:rsidRPr="004B2498">
        <w:rPr>
          <w:lang w:eastAsia="fr-FR" w:bidi="fr-FR"/>
        </w:rPr>
        <w:t>c</w:t>
      </w:r>
      <w:r w:rsidRPr="004B2498">
        <w:rPr>
          <w:lang w:eastAsia="fr-FR" w:bidi="fr-FR"/>
        </w:rPr>
        <w:t>tivités de production, d’échange, d’épargne et de consommation contribuant à la démocratisation de l’économique à partir d’engagements citoyens </w:t>
      </w:r>
      <w:r>
        <w:rPr>
          <w:rStyle w:val="Appelnotedebasdep"/>
          <w:lang w:eastAsia="fr-FR" w:bidi="fr-FR"/>
        </w:rPr>
        <w:footnoteReference w:id="51"/>
      </w:r>
      <w:r w:rsidRPr="004B2498">
        <w:rPr>
          <w:lang w:eastAsia="fr-FR" w:bidi="fr-FR"/>
        </w:rPr>
        <w:t>. »</w:t>
      </w:r>
    </w:p>
    <w:p w14:paraId="557EECC4" w14:textId="77777777" w:rsidR="002F4063" w:rsidRPr="004B2498" w:rsidRDefault="002F4063" w:rsidP="002F4063">
      <w:pPr>
        <w:pStyle w:val="Citation0"/>
      </w:pPr>
    </w:p>
    <w:p w14:paraId="014DF01A" w14:textId="77777777" w:rsidR="002F4063" w:rsidRPr="004B2498" w:rsidRDefault="002F4063" w:rsidP="002F4063">
      <w:pPr>
        <w:spacing w:before="120" w:after="120"/>
        <w:jc w:val="both"/>
      </w:pPr>
      <w:r w:rsidRPr="004B2498">
        <w:rPr>
          <w:lang w:eastAsia="fr-FR" w:bidi="fr-FR"/>
        </w:rPr>
        <w:t>Enfin, un sixième et dernier critère important du registre de l’économie solidaire est celui de la liberté individuelle qui s’exprime à travers la revendication d’une solidarité « volontaire </w:t>
      </w:r>
      <w:r>
        <w:rPr>
          <w:rStyle w:val="Appelnotedebasdep"/>
          <w:lang w:eastAsia="fr-FR" w:bidi="fr-FR"/>
        </w:rPr>
        <w:footnoteReference w:id="52"/>
      </w:r>
      <w:r w:rsidRPr="004B2498">
        <w:rPr>
          <w:lang w:eastAsia="fr-FR" w:bidi="fr-FR"/>
        </w:rPr>
        <w:t> » et de la « libre association ». La solidarité est en effet pensée comme un choix délibéré de la part des individus de s’engager dans des pratiques sol</w:t>
      </w:r>
      <w:r w:rsidRPr="004B2498">
        <w:rPr>
          <w:lang w:eastAsia="fr-FR" w:bidi="fr-FR"/>
        </w:rPr>
        <w:t>i</w:t>
      </w:r>
      <w:r w:rsidRPr="004B2498">
        <w:rPr>
          <w:lang w:eastAsia="fr-FR" w:bidi="fr-FR"/>
        </w:rPr>
        <w:t>daires et non comme une obligation </w:t>
      </w:r>
      <w:r>
        <w:rPr>
          <w:rStyle w:val="Appelnotedebasdep"/>
          <w:lang w:eastAsia="fr-FR" w:bidi="fr-FR"/>
        </w:rPr>
        <w:footnoteReference w:id="53"/>
      </w:r>
      <w:r w:rsidRPr="004B2498">
        <w:rPr>
          <w:lang w:eastAsia="fr-FR" w:bidi="fr-FR"/>
        </w:rPr>
        <w:t xml:space="preserve"> qui serait liée à la dépendance de l’individu à une communauté d’appartenance préexistante. C’est pourquoi, à la solidarité que Chanial et Laville qualifient d’« héritée », qui correspond à des obligations que l’individu doit honorer du fait de son appartenance à une communauté donnée (familiale, religieuse, de quartier ou de village, de travail...), est préférée la solidarité dite « construite </w:t>
      </w:r>
      <w:r>
        <w:rPr>
          <w:rStyle w:val="Appelnotedebasdep"/>
          <w:lang w:eastAsia="fr-FR" w:bidi="fr-FR"/>
        </w:rPr>
        <w:footnoteReference w:id="54"/>
      </w:r>
      <w:r w:rsidRPr="004B2498">
        <w:rPr>
          <w:lang w:eastAsia="fr-FR" w:bidi="fr-FR"/>
        </w:rPr>
        <w:t> » laquelle serait l’expression de la volonté libre de l’individu de s’engager dans des initiatives solidaires. Les partisans de l’économie solidaire affichent en effet leur réserve quant aux risques de dérives « clientélistes » qui pèsent sur les pratiques solidaires « héritées » :</w:t>
      </w:r>
      <w:r w:rsidRPr="004B2498">
        <w:t xml:space="preserve"> </w:t>
      </w:r>
    </w:p>
    <w:p w14:paraId="2600C135" w14:textId="77777777" w:rsidR="002F4063" w:rsidRPr="004B2498" w:rsidRDefault="002F4063" w:rsidP="002F4063">
      <w:pPr>
        <w:spacing w:before="120" w:after="120"/>
        <w:jc w:val="both"/>
      </w:pPr>
      <w:r>
        <w:br w:type="page"/>
      </w:r>
      <w:r w:rsidRPr="004B2498">
        <w:t>[68]</w:t>
      </w:r>
    </w:p>
    <w:p w14:paraId="0600C4BB" w14:textId="77777777" w:rsidR="002F4063" w:rsidRDefault="002F4063" w:rsidP="002F4063">
      <w:pPr>
        <w:pStyle w:val="Grillecouleur-Accent1"/>
        <w:rPr>
          <w:lang w:eastAsia="fr-FR" w:bidi="fr-FR"/>
        </w:rPr>
      </w:pPr>
    </w:p>
    <w:p w14:paraId="6687FAEF" w14:textId="77777777" w:rsidR="002F4063" w:rsidRDefault="002F4063" w:rsidP="002F4063">
      <w:pPr>
        <w:pStyle w:val="Grillecouleur-Accent1"/>
        <w:rPr>
          <w:lang w:eastAsia="fr-FR" w:bidi="fr-FR"/>
        </w:rPr>
      </w:pPr>
      <w:r w:rsidRPr="004B2498">
        <w:rPr>
          <w:lang w:eastAsia="fr-FR" w:bidi="fr-FR"/>
        </w:rPr>
        <w:t>« il faut souligner toute l’ambiguïté de ces solutions [solidaires] préexi</w:t>
      </w:r>
      <w:r w:rsidRPr="004B2498">
        <w:rPr>
          <w:lang w:eastAsia="fr-FR" w:bidi="fr-FR"/>
        </w:rPr>
        <w:t>s</w:t>
      </w:r>
      <w:r w:rsidRPr="004B2498">
        <w:rPr>
          <w:lang w:eastAsia="fr-FR" w:bidi="fr-FR"/>
        </w:rPr>
        <w:t>tantes, en particulier lorsqu’elles sont de nature familiale ou « communautaire ». Les obligations communautaires et les solutions hi</w:t>
      </w:r>
      <w:r w:rsidRPr="004B2498">
        <w:rPr>
          <w:lang w:eastAsia="fr-FR" w:bidi="fr-FR"/>
        </w:rPr>
        <w:t>é</w:t>
      </w:r>
      <w:r w:rsidRPr="004B2498">
        <w:rPr>
          <w:lang w:eastAsia="fr-FR" w:bidi="fr-FR"/>
        </w:rPr>
        <w:t>rarchiques mènent facilement à des pratiques clientélistes et s’avèrent pa</w:t>
      </w:r>
      <w:r w:rsidRPr="004B2498">
        <w:rPr>
          <w:lang w:eastAsia="fr-FR" w:bidi="fr-FR"/>
        </w:rPr>
        <w:t>r</w:t>
      </w:r>
      <w:r w:rsidRPr="004B2498">
        <w:rPr>
          <w:lang w:eastAsia="fr-FR" w:bidi="fr-FR"/>
        </w:rPr>
        <w:t>fois incompatibles avec la création d’un sentiment d’intérêt collectif </w:t>
      </w:r>
      <w:r>
        <w:rPr>
          <w:lang w:eastAsia="fr-FR" w:bidi="fr-FR"/>
        </w:rPr>
        <w:t> </w:t>
      </w:r>
      <w:r>
        <w:rPr>
          <w:rStyle w:val="Appelnotedebasdep"/>
          <w:lang w:eastAsia="fr-FR" w:bidi="fr-FR"/>
        </w:rPr>
        <w:footnoteReference w:id="55"/>
      </w:r>
      <w:r w:rsidRPr="004B2498">
        <w:rPr>
          <w:lang w:eastAsia="fr-FR" w:bidi="fr-FR"/>
        </w:rPr>
        <w:t> ».</w:t>
      </w:r>
    </w:p>
    <w:p w14:paraId="09B27F7A" w14:textId="77777777" w:rsidR="002F4063" w:rsidRPr="004B2498" w:rsidRDefault="002F4063" w:rsidP="002F4063">
      <w:pPr>
        <w:pStyle w:val="Grillecouleur-Accent1"/>
      </w:pPr>
    </w:p>
    <w:p w14:paraId="1FD1229F" w14:textId="77777777" w:rsidR="002F4063" w:rsidRPr="004B2498" w:rsidRDefault="002F4063" w:rsidP="002F4063">
      <w:pPr>
        <w:spacing w:before="120" w:after="120"/>
        <w:jc w:val="both"/>
      </w:pPr>
      <w:r w:rsidRPr="004B2498">
        <w:rPr>
          <w:lang w:eastAsia="fr-FR" w:bidi="fr-FR"/>
        </w:rPr>
        <w:t xml:space="preserve">Aussi l’accent est-il porté sur un certain type d’action individuelle en tant qu’elle est délibérée et réfléchie. Autrement dit, c’est </w:t>
      </w:r>
      <w:r w:rsidRPr="001F4428">
        <w:rPr>
          <w:i/>
        </w:rPr>
        <w:t>l’aut</w:t>
      </w:r>
      <w:r w:rsidRPr="001F4428">
        <w:rPr>
          <w:i/>
        </w:rPr>
        <w:t>o</w:t>
      </w:r>
      <w:r w:rsidRPr="001F4428">
        <w:rPr>
          <w:i/>
        </w:rPr>
        <w:t>nomie de la</w:t>
      </w:r>
      <w:r w:rsidRPr="004B2498">
        <w:t xml:space="preserve"> </w:t>
      </w:r>
      <w:r w:rsidRPr="001F4428">
        <w:rPr>
          <w:i/>
        </w:rPr>
        <w:t>volonté</w:t>
      </w:r>
      <w:r w:rsidRPr="004B2498">
        <w:rPr>
          <w:lang w:eastAsia="fr-FR" w:bidi="fr-FR"/>
        </w:rPr>
        <w:t xml:space="preserve"> ou la volonté libre comme principe de l’action individuelle qui se trouve affirmée par les partisans de l’économie s</w:t>
      </w:r>
      <w:r w:rsidRPr="004B2498">
        <w:rPr>
          <w:lang w:eastAsia="fr-FR" w:bidi="fr-FR"/>
        </w:rPr>
        <w:t>o</w:t>
      </w:r>
      <w:r w:rsidRPr="004B2498">
        <w:rPr>
          <w:lang w:eastAsia="fr-FR" w:bidi="fr-FR"/>
        </w:rPr>
        <w:t>lidaire. Cependant, il s’agit d’une solidarité volontaire bien particuli</w:t>
      </w:r>
      <w:r w:rsidRPr="004B2498">
        <w:rPr>
          <w:lang w:eastAsia="fr-FR" w:bidi="fr-FR"/>
        </w:rPr>
        <w:t>è</w:t>
      </w:r>
      <w:r w:rsidRPr="004B2498">
        <w:rPr>
          <w:lang w:eastAsia="fr-FR" w:bidi="fr-FR"/>
        </w:rPr>
        <w:t>re de type « démocratique » qu’il ne faut pas confondre avec celle de type « philanthropique », pour reprendre les terminol</w:t>
      </w:r>
      <w:r w:rsidRPr="004B2498">
        <w:rPr>
          <w:lang w:eastAsia="fr-FR" w:bidi="fr-FR"/>
        </w:rPr>
        <w:t>o</w:t>
      </w:r>
      <w:r w:rsidRPr="004B2498">
        <w:rPr>
          <w:lang w:eastAsia="fr-FR" w:bidi="fr-FR"/>
        </w:rPr>
        <w:t>gies de Laville. Alors que cette dernière (correspondant en fait à ce que l’entend hab</w:t>
      </w:r>
      <w:r w:rsidRPr="004B2498">
        <w:rPr>
          <w:lang w:eastAsia="fr-FR" w:bidi="fr-FR"/>
        </w:rPr>
        <w:t>i</w:t>
      </w:r>
      <w:r w:rsidRPr="004B2498">
        <w:rPr>
          <w:lang w:eastAsia="fr-FR" w:bidi="fr-FR"/>
        </w:rPr>
        <w:t>tuellement par charité</w:t>
      </w:r>
      <w:r>
        <w:rPr>
          <w:lang w:eastAsia="fr-FR" w:bidi="fr-FR"/>
        </w:rPr>
        <w:t> </w:t>
      </w:r>
      <w:r>
        <w:rPr>
          <w:rStyle w:val="Appelnotedebasdep"/>
          <w:lang w:eastAsia="fr-FR" w:bidi="fr-FR"/>
        </w:rPr>
        <w:footnoteReference w:id="56"/>
      </w:r>
      <w:r w:rsidRPr="004B2498">
        <w:rPr>
          <w:lang w:eastAsia="fr-FR" w:bidi="fr-FR"/>
        </w:rPr>
        <w:t>) maintient les bénéficiaires dans un rapport de dépendance personnelle et d’infériorité hiérarch</w:t>
      </w:r>
      <w:r w:rsidRPr="004B2498">
        <w:rPr>
          <w:lang w:eastAsia="fr-FR" w:bidi="fr-FR"/>
        </w:rPr>
        <w:t>i</w:t>
      </w:r>
      <w:r w:rsidRPr="004B2498">
        <w:rPr>
          <w:lang w:eastAsia="fr-FR" w:bidi="fr-FR"/>
        </w:rPr>
        <w:t>que à l’égard des d</w:t>
      </w:r>
      <w:r w:rsidRPr="004B2498">
        <w:rPr>
          <w:lang w:eastAsia="fr-FR" w:bidi="fr-FR"/>
        </w:rPr>
        <w:t>o</w:t>
      </w:r>
      <w:r w:rsidRPr="004B2498">
        <w:rPr>
          <w:lang w:eastAsia="fr-FR" w:bidi="fr-FR"/>
        </w:rPr>
        <w:t>nateurs, à l’inverse, la solidarité « démocratique » repose sur des ra</w:t>
      </w:r>
      <w:r w:rsidRPr="004B2498">
        <w:rPr>
          <w:lang w:eastAsia="fr-FR" w:bidi="fr-FR"/>
        </w:rPr>
        <w:t>p</w:t>
      </w:r>
      <w:r w:rsidRPr="004B2498">
        <w:rPr>
          <w:lang w:eastAsia="fr-FR" w:bidi="fr-FR"/>
        </w:rPr>
        <w:t>ports d’égalité :</w:t>
      </w:r>
    </w:p>
    <w:p w14:paraId="3529E330" w14:textId="77777777" w:rsidR="002F4063" w:rsidRDefault="002F4063" w:rsidP="002F4063">
      <w:pPr>
        <w:pStyle w:val="Grillecouleur-Accent1"/>
        <w:rPr>
          <w:lang w:eastAsia="fr-FR" w:bidi="fr-FR"/>
        </w:rPr>
      </w:pPr>
    </w:p>
    <w:p w14:paraId="22FD6F79" w14:textId="77777777" w:rsidR="002F4063" w:rsidRDefault="002F4063" w:rsidP="002F4063">
      <w:pPr>
        <w:pStyle w:val="Grillecouleur-Accent1"/>
        <w:rPr>
          <w:lang w:eastAsia="fr-FR" w:bidi="fr-FR"/>
        </w:rPr>
      </w:pPr>
      <w:r w:rsidRPr="004B2498">
        <w:rPr>
          <w:lang w:eastAsia="fr-FR" w:bidi="fr-FR"/>
        </w:rPr>
        <w:t>« Axée sur l’entraide mutuelle autant que sur l’expression revendicat</w:t>
      </w:r>
      <w:r w:rsidRPr="004B2498">
        <w:rPr>
          <w:lang w:eastAsia="fr-FR" w:bidi="fr-FR"/>
        </w:rPr>
        <w:t>i</w:t>
      </w:r>
      <w:r w:rsidRPr="004B2498">
        <w:rPr>
          <w:lang w:eastAsia="fr-FR" w:bidi="fr-FR"/>
        </w:rPr>
        <w:t>ve, elle [la solidarité démocratique] relève à la fois de l’auto-organisation et du mouvement social. Cette seconde version suppose une égalité de droit entre les personnes qui s’y engagent</w:t>
      </w:r>
      <w:r>
        <w:rPr>
          <w:lang w:eastAsia="fr-FR" w:bidi="fr-FR"/>
        </w:rPr>
        <w:t> </w:t>
      </w:r>
      <w:r>
        <w:rPr>
          <w:rStyle w:val="Appelnotedebasdep"/>
          <w:lang w:eastAsia="fr-FR" w:bidi="fr-FR"/>
        </w:rPr>
        <w:footnoteReference w:id="57"/>
      </w:r>
      <w:r w:rsidRPr="004B2498">
        <w:rPr>
          <w:lang w:eastAsia="fr-FR" w:bidi="fr-FR"/>
        </w:rPr>
        <w:t>. »</w:t>
      </w:r>
    </w:p>
    <w:p w14:paraId="6FAA2FEC" w14:textId="77777777" w:rsidR="002F4063" w:rsidRPr="004B2498" w:rsidRDefault="002F4063" w:rsidP="002F4063">
      <w:pPr>
        <w:pStyle w:val="Grillecouleur-Accent1"/>
      </w:pPr>
    </w:p>
    <w:p w14:paraId="6EFD6F10" w14:textId="77777777" w:rsidR="002F4063" w:rsidRPr="004B2498" w:rsidRDefault="002F4063" w:rsidP="002F4063">
      <w:pPr>
        <w:spacing w:before="120" w:after="120"/>
        <w:jc w:val="both"/>
      </w:pPr>
      <w:r w:rsidRPr="004B2498">
        <w:rPr>
          <w:lang w:eastAsia="fr-FR" w:bidi="fr-FR"/>
        </w:rPr>
        <w:t>D'un point de vue analytique, cet ensemble de caractères peut être ramené à deux principes de l’action individuelle, normatifs et fond</w:t>
      </w:r>
      <w:r w:rsidRPr="004B2498">
        <w:rPr>
          <w:lang w:eastAsia="fr-FR" w:bidi="fr-FR"/>
        </w:rPr>
        <w:t>a</w:t>
      </w:r>
      <w:r w:rsidRPr="004B2498">
        <w:rPr>
          <w:lang w:eastAsia="fr-FR" w:bidi="fr-FR"/>
        </w:rPr>
        <w:t>mentaux, véritablement structurants de l’économie solidaire. Le pr</w:t>
      </w:r>
      <w:r w:rsidRPr="004B2498">
        <w:rPr>
          <w:lang w:eastAsia="fr-FR" w:bidi="fr-FR"/>
        </w:rPr>
        <w:t>e</w:t>
      </w:r>
      <w:r w:rsidRPr="004B2498">
        <w:rPr>
          <w:lang w:eastAsia="fr-FR" w:bidi="fr-FR"/>
        </w:rPr>
        <w:t>mier correspond à l’affirmation de la réciprocité </w:t>
      </w:r>
      <w:r>
        <w:rPr>
          <w:rStyle w:val="Appelnotedebasdep"/>
          <w:lang w:eastAsia="fr-FR" w:bidi="fr-FR"/>
        </w:rPr>
        <w:footnoteReference w:id="58"/>
      </w:r>
      <w:r w:rsidRPr="004B2498">
        <w:rPr>
          <w:lang w:eastAsia="fr-FR" w:bidi="fr-FR"/>
        </w:rPr>
        <w:t xml:space="preserve"> comme principe de l'action économique individuelle, en lieu et place de l’intérêt indiv</w:t>
      </w:r>
      <w:r w:rsidRPr="004B2498">
        <w:rPr>
          <w:lang w:eastAsia="fr-FR" w:bidi="fr-FR"/>
        </w:rPr>
        <w:t>i</w:t>
      </w:r>
      <w:r w:rsidRPr="004B2498">
        <w:rPr>
          <w:lang w:eastAsia="fr-FR" w:bidi="fr-FR"/>
        </w:rPr>
        <w:t>duel et du calcul égoïste des sujets marchands. Bernard Eme et Jean-Louis Laville (2006, p. 304) n’hésitent pas à parler d’« impulsion r</w:t>
      </w:r>
      <w:r w:rsidRPr="004B2498">
        <w:rPr>
          <w:lang w:eastAsia="fr-FR" w:bidi="fr-FR"/>
        </w:rPr>
        <w:t>é</w:t>
      </w:r>
      <w:r w:rsidRPr="004B2498">
        <w:rPr>
          <w:lang w:eastAsia="fr-FR" w:bidi="fr-FR"/>
        </w:rPr>
        <w:t>ciprocitaire ». Il s’agit là d’un défi majeur de l’économie solidaire : « L’une des originalités majeures de la perspective de l’économie s</w:t>
      </w:r>
      <w:r w:rsidRPr="004B2498">
        <w:rPr>
          <w:lang w:eastAsia="fr-FR" w:bidi="fr-FR"/>
        </w:rPr>
        <w:t>o</w:t>
      </w:r>
      <w:r w:rsidRPr="004B2498">
        <w:rPr>
          <w:lang w:eastAsia="fr-FR" w:bidi="fr-FR"/>
        </w:rPr>
        <w:t>lidaire réside dans l’affirmation de la</w:t>
      </w:r>
      <w:r>
        <w:t xml:space="preserve"> </w:t>
      </w:r>
      <w:r w:rsidRPr="004B2498">
        <w:t>[69]</w:t>
      </w:r>
      <w:r>
        <w:t xml:space="preserve"> </w:t>
      </w:r>
      <w:r w:rsidRPr="004B2498">
        <w:rPr>
          <w:lang w:eastAsia="fr-FR" w:bidi="fr-FR"/>
        </w:rPr>
        <w:t>prédominance du principe de réciprocité sur les principes du ma</w:t>
      </w:r>
      <w:r w:rsidRPr="004B2498">
        <w:rPr>
          <w:lang w:eastAsia="fr-FR" w:bidi="fr-FR"/>
        </w:rPr>
        <w:t>r</w:t>
      </w:r>
      <w:r w:rsidRPr="004B2498">
        <w:rPr>
          <w:lang w:eastAsia="fr-FR" w:bidi="fr-FR"/>
        </w:rPr>
        <w:t>ché et de la redistribution</w:t>
      </w:r>
      <w:r>
        <w:rPr>
          <w:lang w:eastAsia="fr-FR" w:bidi="fr-FR"/>
        </w:rPr>
        <w:t> </w:t>
      </w:r>
      <w:r>
        <w:rPr>
          <w:rStyle w:val="Appelnotedebasdep"/>
          <w:lang w:eastAsia="fr-FR" w:bidi="fr-FR"/>
        </w:rPr>
        <w:footnoteReference w:id="59"/>
      </w:r>
      <w:r w:rsidRPr="004B2498">
        <w:rPr>
          <w:lang w:eastAsia="fr-FR" w:bidi="fr-FR"/>
        </w:rPr>
        <w:t> ». Les partisans de l’économie solidaire s’inscrivent à cet égard dans la continuité de la démarche de Pol</w:t>
      </w:r>
      <w:r w:rsidRPr="004B2498">
        <w:rPr>
          <w:lang w:eastAsia="fr-FR" w:bidi="fr-FR"/>
        </w:rPr>
        <w:t>a</w:t>
      </w:r>
      <w:r w:rsidRPr="004B2498">
        <w:rPr>
          <w:lang w:eastAsia="fr-FR" w:bidi="fr-FR"/>
        </w:rPr>
        <w:t>nyi </w:t>
      </w:r>
      <w:r>
        <w:rPr>
          <w:rStyle w:val="Appelnotedebasdep"/>
          <w:lang w:eastAsia="fr-FR" w:bidi="fr-FR"/>
        </w:rPr>
        <w:footnoteReference w:id="60"/>
      </w:r>
      <w:r w:rsidRPr="004B2498">
        <w:rPr>
          <w:lang w:eastAsia="fr-FR" w:bidi="fr-FR"/>
        </w:rPr>
        <w:t xml:space="preserve"> à qui ils empruntent d’ailleurs sa définition théorique (mais aussi morale</w:t>
      </w:r>
      <w:r>
        <w:rPr>
          <w:lang w:eastAsia="fr-FR" w:bidi="fr-FR"/>
        </w:rPr>
        <w:t> </w:t>
      </w:r>
      <w:r>
        <w:rPr>
          <w:rStyle w:val="Appelnotedebasdep"/>
          <w:lang w:eastAsia="fr-FR" w:bidi="fr-FR"/>
        </w:rPr>
        <w:footnoteReference w:id="61"/>
      </w:r>
      <w:r w:rsidRPr="004B2498">
        <w:rPr>
          <w:lang w:eastAsia="fr-FR" w:bidi="fr-FR"/>
        </w:rPr>
        <w:t>) de la réciprocité, co</w:t>
      </w:r>
      <w:r w:rsidRPr="004B2498">
        <w:rPr>
          <w:lang w:eastAsia="fr-FR" w:bidi="fr-FR"/>
        </w:rPr>
        <w:t>m</w:t>
      </w:r>
      <w:r w:rsidRPr="004B2498">
        <w:rPr>
          <w:lang w:eastAsia="fr-FR" w:bidi="fr-FR"/>
        </w:rPr>
        <w:t>me « souci d’autrui » (Servet, 2007, p. 264), Autrement dit, le moteur de l’action humaine qu’ils appellent de leur vœu serait ce que l’on prop</w:t>
      </w:r>
      <w:r w:rsidRPr="004B2498">
        <w:rPr>
          <w:lang w:eastAsia="fr-FR" w:bidi="fr-FR"/>
        </w:rPr>
        <w:t>o</w:t>
      </w:r>
      <w:r w:rsidRPr="004B2498">
        <w:rPr>
          <w:lang w:eastAsia="fr-FR" w:bidi="fr-FR"/>
        </w:rPr>
        <w:t xml:space="preserve">se </w:t>
      </w:r>
      <w:r w:rsidRPr="004B2498">
        <w:t xml:space="preserve">d’appeler le </w:t>
      </w:r>
      <w:r w:rsidRPr="001B7840">
        <w:rPr>
          <w:i/>
          <w:lang w:eastAsia="fr-FR" w:bidi="fr-FR"/>
        </w:rPr>
        <w:t>concern</w:t>
      </w:r>
      <w:r w:rsidRPr="001B7840">
        <w:rPr>
          <w:i/>
          <w:lang w:eastAsia="fr-FR" w:bidi="fr-FR"/>
        </w:rPr>
        <w:t>e</w:t>
      </w:r>
      <w:r w:rsidRPr="001B7840">
        <w:rPr>
          <w:i/>
          <w:lang w:eastAsia="fr-FR" w:bidi="fr-FR"/>
        </w:rPr>
        <w:t>ment pour l'autre</w:t>
      </w:r>
      <w:r w:rsidRPr="004B2498">
        <w:rPr>
          <w:lang w:eastAsia="fr-FR" w:bidi="fr-FR"/>
        </w:rPr>
        <w:t>.</w:t>
      </w:r>
    </w:p>
    <w:p w14:paraId="0B9A9C3F" w14:textId="77777777" w:rsidR="002F4063" w:rsidRPr="004B2498" w:rsidRDefault="002F4063" w:rsidP="002F4063">
      <w:pPr>
        <w:spacing w:before="120" w:after="120"/>
        <w:jc w:val="both"/>
      </w:pPr>
      <w:r w:rsidRPr="004B2498">
        <w:rPr>
          <w:lang w:eastAsia="fr-FR" w:bidi="fr-FR"/>
        </w:rPr>
        <w:t>Le deuxième principe normatif fondamental qui régit les rapports des individus entre eux dans l’économie solidaire, indissociable du premier, est celui de l’« agir démocratique ». Celui-ci s’oppose nous disent-ils : « l’accord contractuel fondé sur l’intérêt individualiste ou le profit matériel</w:t>
      </w:r>
      <w:r>
        <w:rPr>
          <w:lang w:eastAsia="fr-FR" w:bidi="fr-FR"/>
        </w:rPr>
        <w:t> </w:t>
      </w:r>
      <w:r>
        <w:rPr>
          <w:rStyle w:val="Appelnotedebasdep"/>
          <w:lang w:eastAsia="fr-FR" w:bidi="fr-FR"/>
        </w:rPr>
        <w:footnoteReference w:id="62"/>
      </w:r>
      <w:r>
        <w:rPr>
          <w:lang w:eastAsia="fr-FR" w:bidi="fr-FR"/>
        </w:rPr>
        <w:t> </w:t>
      </w:r>
      <w:r w:rsidRPr="004B2498">
        <w:rPr>
          <w:lang w:eastAsia="fr-FR" w:bidi="fr-FR"/>
        </w:rPr>
        <w:t>». Si la réciprocité renvoie au volet économique de l’économie solidaire, l’agir démocratique correspond quant à lui à son volet politique :</w:t>
      </w:r>
    </w:p>
    <w:p w14:paraId="4568D1DC" w14:textId="77777777" w:rsidR="002F4063" w:rsidRDefault="002F4063" w:rsidP="002F4063">
      <w:pPr>
        <w:pStyle w:val="Grillecouleur-Accent1"/>
        <w:rPr>
          <w:lang w:eastAsia="fr-FR" w:bidi="fr-FR"/>
        </w:rPr>
      </w:pPr>
      <w:r>
        <w:rPr>
          <w:lang w:eastAsia="fr-FR" w:bidi="fr-FR"/>
        </w:rPr>
        <w:br w:type="page"/>
      </w:r>
    </w:p>
    <w:p w14:paraId="6147CEDE" w14:textId="77777777" w:rsidR="002F4063" w:rsidRDefault="002F4063" w:rsidP="002F4063">
      <w:pPr>
        <w:pStyle w:val="Grillecouleur-Accent1"/>
        <w:rPr>
          <w:lang w:eastAsia="fr-FR" w:bidi="fr-FR"/>
        </w:rPr>
      </w:pPr>
      <w:r w:rsidRPr="004B2498">
        <w:rPr>
          <w:lang w:eastAsia="fr-FR" w:bidi="fr-FR"/>
        </w:rPr>
        <w:t>« La dimension politique [des activités de l’économie solidaire] s’ancre sur cette réciprocité et la construction d’espaces publics qui autor</w:t>
      </w:r>
      <w:r w:rsidRPr="004B2498">
        <w:rPr>
          <w:lang w:eastAsia="fr-FR" w:bidi="fr-FR"/>
        </w:rPr>
        <w:t>i</w:t>
      </w:r>
      <w:r w:rsidRPr="004B2498">
        <w:rPr>
          <w:lang w:eastAsia="fr-FR" w:bidi="fr-FR"/>
        </w:rPr>
        <w:t>sent un débat entre les parties prenantes sur les demandes soci</w:t>
      </w:r>
      <w:r w:rsidRPr="004B2498">
        <w:rPr>
          <w:lang w:eastAsia="fr-FR" w:bidi="fr-FR"/>
        </w:rPr>
        <w:t>a</w:t>
      </w:r>
      <w:r w:rsidRPr="004B2498">
        <w:rPr>
          <w:lang w:eastAsia="fr-FR" w:bidi="fr-FR"/>
        </w:rPr>
        <w:t>les et les finalités poursuivies</w:t>
      </w:r>
      <w:r>
        <w:rPr>
          <w:lang w:eastAsia="fr-FR" w:bidi="fr-FR"/>
        </w:rPr>
        <w:t> </w:t>
      </w:r>
      <w:r>
        <w:rPr>
          <w:rStyle w:val="Appelnotedebasdep"/>
          <w:lang w:eastAsia="fr-FR" w:bidi="fr-FR"/>
        </w:rPr>
        <w:footnoteReference w:id="63"/>
      </w:r>
      <w:r w:rsidRPr="004B2498">
        <w:rPr>
          <w:lang w:eastAsia="fr-FR" w:bidi="fr-FR"/>
        </w:rPr>
        <w:t>. »</w:t>
      </w:r>
    </w:p>
    <w:p w14:paraId="1AD814B6" w14:textId="77777777" w:rsidR="002F4063" w:rsidRPr="004B2498" w:rsidRDefault="002F4063" w:rsidP="002F4063">
      <w:pPr>
        <w:pStyle w:val="Grillecouleur-Accent1"/>
      </w:pPr>
    </w:p>
    <w:p w14:paraId="6E9F3978" w14:textId="77777777" w:rsidR="002F4063" w:rsidRPr="004B2498" w:rsidRDefault="002F4063" w:rsidP="002F4063">
      <w:pPr>
        <w:spacing w:before="120" w:after="120"/>
        <w:jc w:val="both"/>
      </w:pPr>
      <w:r w:rsidRPr="004B2498">
        <w:rPr>
          <w:lang w:eastAsia="fr-FR" w:bidi="fr-FR"/>
        </w:rPr>
        <w:t>Ainsi, l’« impulsion réciprocitaire » et l’« agir démocratique » co</w:t>
      </w:r>
      <w:r w:rsidRPr="004B2498">
        <w:rPr>
          <w:lang w:eastAsia="fr-FR" w:bidi="fr-FR"/>
        </w:rPr>
        <w:t>r</w:t>
      </w:r>
      <w:r w:rsidRPr="004B2498">
        <w:rPr>
          <w:lang w:eastAsia="fr-FR" w:bidi="fr-FR"/>
        </w:rPr>
        <w:t>respondent aux deux principes normatifs fondateurs et singuliers du projet des partisans de l’économie sociale et solidaire - ce que résume d’ailleurs assez justement Jean-Michel Servet (2007, p. 257) : « L’économie solidaire doit être politiquement construite en associant réciprocité et démocratie ».</w:t>
      </w:r>
    </w:p>
    <w:p w14:paraId="6D6CA900" w14:textId="77777777" w:rsidR="002F4063" w:rsidRPr="004B2498" w:rsidRDefault="002F4063" w:rsidP="002F4063">
      <w:pPr>
        <w:spacing w:before="120" w:after="120"/>
        <w:jc w:val="both"/>
        <w:rPr>
          <w:szCs w:val="24"/>
          <w:lang w:eastAsia="fr-FR" w:bidi="fr-FR"/>
        </w:rPr>
      </w:pPr>
    </w:p>
    <w:p w14:paraId="7C9C614D" w14:textId="77777777" w:rsidR="002F4063" w:rsidRPr="004B2498" w:rsidRDefault="002F4063" w:rsidP="002F4063">
      <w:pPr>
        <w:pStyle w:val="a"/>
      </w:pPr>
      <w:r w:rsidRPr="004B2498">
        <w:t>Contours et faisabilité du projet d’économie solidaire</w:t>
      </w:r>
    </w:p>
    <w:p w14:paraId="164DD45D" w14:textId="77777777" w:rsidR="002F4063" w:rsidRPr="004B2498" w:rsidRDefault="002F4063" w:rsidP="002F4063">
      <w:pPr>
        <w:spacing w:before="120" w:after="120"/>
        <w:jc w:val="both"/>
        <w:rPr>
          <w:lang w:eastAsia="fr-FR" w:bidi="fr-FR"/>
        </w:rPr>
      </w:pPr>
    </w:p>
    <w:p w14:paraId="42D8C455" w14:textId="77777777" w:rsidR="002F4063" w:rsidRPr="004B2498" w:rsidRDefault="002F4063" w:rsidP="002F4063">
      <w:pPr>
        <w:spacing w:before="120" w:after="120"/>
        <w:jc w:val="both"/>
      </w:pPr>
      <w:r w:rsidRPr="004B2498">
        <w:rPr>
          <w:lang w:eastAsia="fr-FR" w:bidi="fr-FR"/>
        </w:rPr>
        <w:t>L’approche de l’économie solidaire est largement normative. Que le monde souhaité par l’économie solidaire soit intrinsèquement dés</w:t>
      </w:r>
      <w:r w:rsidRPr="004B2498">
        <w:rPr>
          <w:lang w:eastAsia="fr-FR" w:bidi="fr-FR"/>
        </w:rPr>
        <w:t>i</w:t>
      </w:r>
      <w:r w:rsidRPr="004B2498">
        <w:rPr>
          <w:lang w:eastAsia="fr-FR" w:bidi="fr-FR"/>
        </w:rPr>
        <w:t>rable, cela est incontestable. La question stratégique à laquelle elle est dès lors confrontée est la suivante : est-ce que les principes normatifs de l’économie solidaire (réciprocité, agir démocratique) ont la force intrinsèque de passer au positif, c’est-à-dire de ne plus être des princ</w:t>
      </w:r>
      <w:r w:rsidRPr="004B2498">
        <w:rPr>
          <w:lang w:eastAsia="fr-FR" w:bidi="fr-FR"/>
        </w:rPr>
        <w:t>i</w:t>
      </w:r>
      <w:r w:rsidRPr="004B2498">
        <w:rPr>
          <w:lang w:eastAsia="fr-FR" w:bidi="fr-FR"/>
        </w:rPr>
        <w:t>pes portés par un faible nombre d’agents économiques mais des pri</w:t>
      </w:r>
      <w:r w:rsidRPr="004B2498">
        <w:rPr>
          <w:lang w:eastAsia="fr-FR" w:bidi="fr-FR"/>
        </w:rPr>
        <w:t>n</w:t>
      </w:r>
      <w:r w:rsidRPr="004B2498">
        <w:rPr>
          <w:lang w:eastAsia="fr-FR" w:bidi="fr-FR"/>
        </w:rPr>
        <w:t>cipes reconnus et mis en</w:t>
      </w:r>
      <w:r>
        <w:rPr>
          <w:lang w:eastAsia="fr-FR" w:bidi="fr-FR"/>
        </w:rPr>
        <w:t xml:space="preserve"> </w:t>
      </w:r>
      <w:r w:rsidRPr="004B2498">
        <w:t>[70]</w:t>
      </w:r>
      <w:r>
        <w:t xml:space="preserve"> </w:t>
      </w:r>
      <w:r w:rsidRPr="004B2498">
        <w:rPr>
          <w:lang w:eastAsia="fr-FR" w:bidi="fr-FR"/>
        </w:rPr>
        <w:t>pratique (à travers leur institutionnalis</w:t>
      </w:r>
      <w:r w:rsidRPr="004B2498">
        <w:rPr>
          <w:lang w:eastAsia="fr-FR" w:bidi="fr-FR"/>
        </w:rPr>
        <w:t>a</w:t>
      </w:r>
      <w:r w:rsidRPr="004B2498">
        <w:rPr>
          <w:lang w:eastAsia="fr-FR" w:bidi="fr-FR"/>
        </w:rPr>
        <w:t>tion) par la société tout e</w:t>
      </w:r>
      <w:r w:rsidRPr="004B2498">
        <w:rPr>
          <w:lang w:eastAsia="fr-FR" w:bidi="fr-FR"/>
        </w:rPr>
        <w:t>n</w:t>
      </w:r>
      <w:r w:rsidRPr="004B2498">
        <w:rPr>
          <w:lang w:eastAsia="fr-FR" w:bidi="fr-FR"/>
        </w:rPr>
        <w:t>tière ? Et si oui, sous quelles conditions ?</w:t>
      </w:r>
    </w:p>
    <w:p w14:paraId="10F0D4D6" w14:textId="77777777" w:rsidR="002F4063" w:rsidRPr="004B2498" w:rsidRDefault="002F4063" w:rsidP="002F4063">
      <w:pPr>
        <w:spacing w:before="120" w:after="120"/>
        <w:jc w:val="both"/>
      </w:pPr>
      <w:r w:rsidRPr="004B2498">
        <w:rPr>
          <w:lang w:eastAsia="fr-FR" w:bidi="fr-FR"/>
        </w:rPr>
        <w:t>La réponse à cette question n’a rien d’évident. On en veut pour preuve une expérience concrète, certes particulière, celle de ce que les Argentins ont appelé les « clubs de troc », mais qui semble dire que</w:t>
      </w:r>
      <w:r w:rsidRPr="004B2498">
        <w:rPr>
          <w:lang w:eastAsia="fr-FR" w:bidi="fr-FR"/>
        </w:rPr>
        <w:t>l</w:t>
      </w:r>
      <w:r w:rsidRPr="004B2498">
        <w:rPr>
          <w:lang w:eastAsia="fr-FR" w:bidi="fr-FR"/>
        </w:rPr>
        <w:t>que chose de très général sur certaines difficultés du paradigme sol</w:t>
      </w:r>
      <w:r w:rsidRPr="004B2498">
        <w:rPr>
          <w:lang w:eastAsia="fr-FR" w:bidi="fr-FR"/>
        </w:rPr>
        <w:t>i</w:t>
      </w:r>
      <w:r w:rsidRPr="004B2498">
        <w:rPr>
          <w:lang w:eastAsia="fr-FR" w:bidi="fr-FR"/>
        </w:rPr>
        <w:t>daire. Il faut préciser rapidement que, contrairement à ce que leur nom laisse penser, les « clubs de troc » correspondent à des espaces ma</w:t>
      </w:r>
      <w:r w:rsidRPr="004B2498">
        <w:rPr>
          <w:lang w:eastAsia="fr-FR" w:bidi="fr-FR"/>
        </w:rPr>
        <w:t>r</w:t>
      </w:r>
      <w:r w:rsidRPr="004B2498">
        <w:rPr>
          <w:lang w:eastAsia="fr-FR" w:bidi="fr-FR"/>
        </w:rPr>
        <w:t xml:space="preserve">chands, à l'intérieur desquels les échanges sont réglés en </w:t>
      </w:r>
      <w:r w:rsidRPr="004B2498">
        <w:t>credito,</w:t>
      </w:r>
      <w:r w:rsidRPr="004B2498">
        <w:rPr>
          <w:lang w:eastAsia="fr-FR" w:bidi="fr-FR"/>
        </w:rPr>
        <w:t xml:space="preserve"> monnaie papier interne, non convertible avec la monnaie officielle. Ces clubs voient le jour à partir de 1995. Au départ, ils sont fréquentés par la classe moyenne salariée, précarisée ou ayant perdu son emploi, laquelle y voit un moyen d’échanger sa force de travail contre des biens et des services. Mais avec l’intensification de la crise, à partir de 2001, les couches sociales plus pauvres vont à leur tour y avoir r</w:t>
      </w:r>
      <w:r w:rsidRPr="004B2498">
        <w:rPr>
          <w:lang w:eastAsia="fr-FR" w:bidi="fr-FR"/>
        </w:rPr>
        <w:t>e</w:t>
      </w:r>
      <w:r w:rsidRPr="004B2498">
        <w:rPr>
          <w:lang w:eastAsia="fr-FR" w:bidi="fr-FR"/>
        </w:rPr>
        <w:t>cours. Outre son ampleur inédite, cette expérience alternative se si</w:t>
      </w:r>
      <w:r w:rsidRPr="004B2498">
        <w:rPr>
          <w:lang w:eastAsia="fr-FR" w:bidi="fr-FR"/>
        </w:rPr>
        <w:t>n</w:t>
      </w:r>
      <w:r w:rsidRPr="004B2498">
        <w:rPr>
          <w:lang w:eastAsia="fr-FR" w:bidi="fr-FR"/>
        </w:rPr>
        <w:t>gularise par son projet ambitieux. Il s’agit, selon les fondateurs des « clubs de troc » - Horacio Covas, Rubén Ravera et Carlos de Sanzo -, de créer de nouveaux espaces marchands dits « </w:t>
      </w:r>
      <w:r w:rsidRPr="001B7840">
        <w:rPr>
          <w:i/>
        </w:rPr>
        <w:t>solidaires </w:t>
      </w:r>
      <w:r w:rsidRPr="004B2498">
        <w:t>»</w:t>
      </w:r>
      <w:r w:rsidRPr="004B2498">
        <w:rPr>
          <w:lang w:eastAsia="fr-FR" w:bidi="fr-FR"/>
        </w:rPr>
        <w:t xml:space="preserve"> et d</w:t>
      </w:r>
      <w:r w:rsidRPr="004B2498">
        <w:rPr>
          <w:lang w:eastAsia="fr-FR" w:bidi="fr-FR"/>
        </w:rPr>
        <w:t>é</w:t>
      </w:r>
      <w:r w:rsidRPr="004B2498">
        <w:rPr>
          <w:lang w:eastAsia="fr-FR" w:bidi="fr-FR"/>
        </w:rPr>
        <w:t>pourvus de tout rapport de force ou de domination</w:t>
      </w:r>
      <w:r>
        <w:rPr>
          <w:lang w:eastAsia="fr-FR" w:bidi="fr-FR"/>
        </w:rPr>
        <w:t> </w:t>
      </w:r>
      <w:r>
        <w:rPr>
          <w:rStyle w:val="Appelnotedebasdep"/>
          <w:lang w:eastAsia="fr-FR" w:bidi="fr-FR"/>
        </w:rPr>
        <w:footnoteReference w:id="64"/>
      </w:r>
      <w:r w:rsidRPr="004B2498">
        <w:rPr>
          <w:lang w:eastAsia="fr-FR" w:bidi="fr-FR"/>
        </w:rPr>
        <w:t>. Le projet des trois fondateurs part d’une critique du capitalisme néolibéral qui ne laisserait libre cours qu’au développement de rapports marchands po</w:t>
      </w:r>
      <w:r w:rsidRPr="004B2498">
        <w:rPr>
          <w:lang w:eastAsia="fr-FR" w:bidi="fr-FR"/>
        </w:rPr>
        <w:t>r</w:t>
      </w:r>
      <w:r w:rsidRPr="004B2498">
        <w:rPr>
          <w:lang w:eastAsia="fr-FR" w:bidi="fr-FR"/>
        </w:rPr>
        <w:t>tés par la concurrence, l’intérêt et l’égoïsme </w:t>
      </w:r>
      <w:r>
        <w:rPr>
          <w:rStyle w:val="Appelnotedebasdep"/>
          <w:lang w:eastAsia="fr-FR" w:bidi="fr-FR"/>
        </w:rPr>
        <w:footnoteReference w:id="65"/>
      </w:r>
      <w:r w:rsidRPr="004B2498">
        <w:rPr>
          <w:lang w:eastAsia="fr-FR" w:bidi="fr-FR"/>
        </w:rPr>
        <w:t>. Ce système économ</w:t>
      </w:r>
      <w:r w:rsidRPr="004B2498">
        <w:rPr>
          <w:lang w:eastAsia="fr-FR" w:bidi="fr-FR"/>
        </w:rPr>
        <w:t>i</w:t>
      </w:r>
      <w:r w:rsidRPr="004B2498">
        <w:rPr>
          <w:lang w:eastAsia="fr-FR" w:bidi="fr-FR"/>
        </w:rPr>
        <w:t>que, nous disent-ils, ne cesse de dévaloriser la force de travail, conduit à l’exclusion sociale et à l’extension de la pauvreté du plus grand no</w:t>
      </w:r>
      <w:r w:rsidRPr="004B2498">
        <w:rPr>
          <w:lang w:eastAsia="fr-FR" w:bidi="fr-FR"/>
        </w:rPr>
        <w:t>m</w:t>
      </w:r>
      <w:r w:rsidRPr="004B2498">
        <w:rPr>
          <w:lang w:eastAsia="fr-FR" w:bidi="fr-FR"/>
        </w:rPr>
        <w:t>bre. Ils présentent la monnaie telle qu’elle s’exprime dans les écon</w:t>
      </w:r>
      <w:r w:rsidRPr="004B2498">
        <w:rPr>
          <w:lang w:eastAsia="fr-FR" w:bidi="fr-FR"/>
        </w:rPr>
        <w:t>o</w:t>
      </w:r>
      <w:r w:rsidRPr="004B2498">
        <w:rPr>
          <w:lang w:eastAsia="fr-FR" w:bidi="fr-FR"/>
        </w:rPr>
        <w:t>mies capitalistes comme l’un des principaux maux de la société, l’objet qui corrompt les « valeurs humaines ». Leur projet consiste alors à construire d’autres types d’échanges qui respecteraient plein</w:t>
      </w:r>
      <w:r w:rsidRPr="004B2498">
        <w:rPr>
          <w:lang w:eastAsia="fr-FR" w:bidi="fr-FR"/>
        </w:rPr>
        <w:t>e</w:t>
      </w:r>
      <w:r w:rsidRPr="004B2498">
        <w:rPr>
          <w:lang w:eastAsia="fr-FR" w:bidi="fr-FR"/>
        </w:rPr>
        <w:t>ment la valeur travail et d’autres valeurs comme la « solidarité », la « self-esteem », le « partage », la « réciprocité </w:t>
      </w:r>
      <w:r>
        <w:rPr>
          <w:rStyle w:val="Appelnotedebasdep"/>
          <w:lang w:eastAsia="fr-FR" w:bidi="fr-FR"/>
        </w:rPr>
        <w:footnoteReference w:id="66"/>
      </w:r>
      <w:r w:rsidRPr="004B2498">
        <w:rPr>
          <w:lang w:eastAsia="fr-FR" w:bidi="fr-FR"/>
        </w:rPr>
        <w:t> ». Pour ce faire, la nouvelle monnaie qu’ils créent, le credito, est présentée par les fond</w:t>
      </w:r>
      <w:r w:rsidRPr="004B2498">
        <w:rPr>
          <w:lang w:eastAsia="fr-FR" w:bidi="fr-FR"/>
        </w:rPr>
        <w:t>a</w:t>
      </w:r>
      <w:r w:rsidRPr="004B2498">
        <w:rPr>
          <w:lang w:eastAsia="fr-FR" w:bidi="fr-FR"/>
        </w:rPr>
        <w:t>teurs comme l’opérateur du changement des rapports économiques. À l’opposé de la monnaie officielle qu’ils jugent « excluante », le cred</w:t>
      </w:r>
      <w:r w:rsidRPr="004B2498">
        <w:rPr>
          <w:lang w:eastAsia="fr-FR" w:bidi="fr-FR"/>
        </w:rPr>
        <w:t>i</w:t>
      </w:r>
      <w:r w:rsidRPr="004B2498">
        <w:rPr>
          <w:lang w:eastAsia="fr-FR" w:bidi="fr-FR"/>
        </w:rPr>
        <w:t>to se veut une monnaie « accessible à tous </w:t>
      </w:r>
      <w:r>
        <w:rPr>
          <w:rStyle w:val="Appelnotedebasdep"/>
          <w:lang w:eastAsia="fr-FR" w:bidi="fr-FR"/>
        </w:rPr>
        <w:footnoteReference w:id="67"/>
      </w:r>
      <w:r w:rsidRPr="004B2498">
        <w:rPr>
          <w:lang w:eastAsia="fr-FR" w:bidi="fr-FR"/>
        </w:rPr>
        <w:t> ». Ces nouveaux espaces marchands, grâce aux nouvelles valeurs qui y sont véhiculées, condu</w:t>
      </w:r>
      <w:r w:rsidRPr="004B2498">
        <w:rPr>
          <w:lang w:eastAsia="fr-FR" w:bidi="fr-FR"/>
        </w:rPr>
        <w:t>i</w:t>
      </w:r>
      <w:r w:rsidRPr="004B2498">
        <w:rPr>
          <w:lang w:eastAsia="fr-FR" w:bidi="fr-FR"/>
        </w:rPr>
        <w:t>raient aussi à l’abondance économique et au bien-être social. La que</w:t>
      </w:r>
      <w:r w:rsidRPr="004B2498">
        <w:rPr>
          <w:lang w:eastAsia="fr-FR" w:bidi="fr-FR"/>
        </w:rPr>
        <w:t>s</w:t>
      </w:r>
      <w:r w:rsidRPr="004B2498">
        <w:rPr>
          <w:lang w:eastAsia="fr-FR" w:bidi="fr-FR"/>
        </w:rPr>
        <w:t>tion que posent ces clubs est de savoir si la promesse solidaire, c’est-à-dire la promesse de rapports économiques véritablement alternatifs pouvait être tenue. On se contentera</w:t>
      </w:r>
      <w:r w:rsidRPr="004B2498">
        <w:t xml:space="preserve"> [71]</w:t>
      </w:r>
      <w:r>
        <w:t xml:space="preserve"> </w:t>
      </w:r>
      <w:r w:rsidRPr="004B2498">
        <w:rPr>
          <w:lang w:eastAsia="fr-FR" w:bidi="fr-FR"/>
        </w:rPr>
        <w:t xml:space="preserve">ici d’évoquer ce qui semble être le problème majeur rencontré par cette expérience monétaire communautaire. Certes les membres des clubs recevaient au moment de leur adhésion une courte formation aux valeurs revendiquées par ces espaces marchands (Pautas, 1999). Les participants étaient ainsi invités à s’engager dans les échanges dans un esprit de solidarité et d’équité, </w:t>
      </w:r>
      <w:r w:rsidRPr="004B2498">
        <w:t>i.e.</w:t>
      </w:r>
      <w:r w:rsidRPr="004B2498">
        <w:rPr>
          <w:lang w:eastAsia="fr-FR" w:bidi="fr-FR"/>
        </w:rPr>
        <w:t xml:space="preserve"> de modération de leurs propres prix et d’acceptation de prix valorisant justement le travail d’autrui. Cependant, les « clubs de troc » n’ont pas réussi à créer les marchés qu’ils voulaient solidaires. Ils ont en réalité fonctionné dans la grande majorité des cas comme des marchés classiques, reposant sur la fixation des prix selon la loi de l’offre et de la demande pour certains clubs, ou en copiant les prix des biens et de services sur les marchés extérieurs pour d’autres ; ceux-ci rencontrant en outre les mêmes problèmes de conflits, d’inégalités, de concurrence, d’inflation et même de corruption que partout ailleurs</w:t>
      </w:r>
      <w:r>
        <w:rPr>
          <w:lang w:eastAsia="fr-FR" w:bidi="fr-FR"/>
        </w:rPr>
        <w:t> </w:t>
      </w:r>
      <w:r>
        <w:rPr>
          <w:rStyle w:val="Appelnotedebasdep"/>
          <w:lang w:eastAsia="fr-FR" w:bidi="fr-FR"/>
        </w:rPr>
        <w:footnoteReference w:id="68"/>
      </w:r>
      <w:r w:rsidRPr="004B2498">
        <w:rPr>
          <w:lang w:eastAsia="fr-FR" w:bidi="fr-FR"/>
        </w:rPr>
        <w:t>.</w:t>
      </w:r>
    </w:p>
    <w:p w14:paraId="0221D510" w14:textId="77777777" w:rsidR="002F4063" w:rsidRPr="004B2498" w:rsidRDefault="002F4063" w:rsidP="002F4063">
      <w:pPr>
        <w:spacing w:before="120" w:after="120"/>
        <w:jc w:val="both"/>
        <w:rPr>
          <w:szCs w:val="24"/>
          <w:lang w:eastAsia="fr-FR" w:bidi="fr-FR"/>
        </w:rPr>
      </w:pPr>
    </w:p>
    <w:p w14:paraId="66F76694" w14:textId="77777777" w:rsidR="002F4063" w:rsidRPr="004B2498" w:rsidRDefault="002F4063" w:rsidP="002F4063">
      <w:pPr>
        <w:pStyle w:val="a"/>
      </w:pPr>
      <w:r w:rsidRPr="004B2498">
        <w:t>Les limites de la morale pour façonner</w:t>
      </w:r>
      <w:r>
        <w:br/>
      </w:r>
      <w:r w:rsidRPr="004B2498">
        <w:t>de nouveaux comport</w:t>
      </w:r>
      <w:r w:rsidRPr="004B2498">
        <w:t>e</w:t>
      </w:r>
      <w:r w:rsidRPr="004B2498">
        <w:t>ments solidaires</w:t>
      </w:r>
    </w:p>
    <w:p w14:paraId="3C273C92" w14:textId="77777777" w:rsidR="002F4063" w:rsidRPr="004B2498" w:rsidRDefault="002F4063" w:rsidP="002F4063">
      <w:pPr>
        <w:spacing w:before="120" w:after="120"/>
        <w:jc w:val="both"/>
        <w:rPr>
          <w:lang w:eastAsia="fr-FR" w:bidi="fr-FR"/>
        </w:rPr>
      </w:pPr>
    </w:p>
    <w:p w14:paraId="484B80BC" w14:textId="77777777" w:rsidR="002F4063" w:rsidRPr="004B2498" w:rsidRDefault="002F4063" w:rsidP="002F4063">
      <w:pPr>
        <w:spacing w:before="120" w:after="120"/>
        <w:jc w:val="both"/>
      </w:pPr>
      <w:r w:rsidRPr="004B2498">
        <w:rPr>
          <w:lang w:eastAsia="fr-FR" w:bidi="fr-FR"/>
        </w:rPr>
        <w:t>Pourquoi les « clubs de troc » n’ont-ils pas réussi à créer des ma</w:t>
      </w:r>
      <w:r w:rsidRPr="004B2498">
        <w:rPr>
          <w:lang w:eastAsia="fr-FR" w:bidi="fr-FR"/>
        </w:rPr>
        <w:t>r</w:t>
      </w:r>
      <w:r w:rsidRPr="004B2498">
        <w:rPr>
          <w:lang w:eastAsia="fr-FR" w:bidi="fr-FR"/>
        </w:rPr>
        <w:t>chés qu’ils voulaient solidaires ? Le grand enseignement de cette e</w:t>
      </w:r>
      <w:r w:rsidRPr="004B2498">
        <w:rPr>
          <w:lang w:eastAsia="fr-FR" w:bidi="fr-FR"/>
        </w:rPr>
        <w:t>x</w:t>
      </w:r>
      <w:r w:rsidRPr="004B2498">
        <w:rPr>
          <w:lang w:eastAsia="fr-FR" w:bidi="fr-FR"/>
        </w:rPr>
        <w:t>périence, si tant est qu’il y ait eu besoin d’un cas empirique pour s’en persuader, est la faiblesse de la moralisation des agents économiques ou des entités productives comme moyen pour faire émerger de no</w:t>
      </w:r>
      <w:r w:rsidRPr="004B2498">
        <w:rPr>
          <w:lang w:eastAsia="fr-FR" w:bidi="fr-FR"/>
        </w:rPr>
        <w:t>u</w:t>
      </w:r>
      <w:r w:rsidRPr="004B2498">
        <w:rPr>
          <w:lang w:eastAsia="fr-FR" w:bidi="fr-FR"/>
        </w:rPr>
        <w:t>veaux comportements économiques. Les crises financières récurre</w:t>
      </w:r>
      <w:r w:rsidRPr="004B2498">
        <w:rPr>
          <w:lang w:eastAsia="fr-FR" w:bidi="fr-FR"/>
        </w:rPr>
        <w:t>n</w:t>
      </w:r>
      <w:r w:rsidRPr="004B2498">
        <w:rPr>
          <w:lang w:eastAsia="fr-FR" w:bidi="fr-FR"/>
        </w:rPr>
        <w:t>tes, et les appels tout aussi récurrents à plus de morale économique et à plus de respo</w:t>
      </w:r>
      <w:r w:rsidRPr="004B2498">
        <w:rPr>
          <w:lang w:eastAsia="fr-FR" w:bidi="fr-FR"/>
        </w:rPr>
        <w:t>n</w:t>
      </w:r>
      <w:r w:rsidRPr="004B2498">
        <w:rPr>
          <w:lang w:eastAsia="fr-FR" w:bidi="fr-FR"/>
        </w:rPr>
        <w:t>sabilité, lancés par ailleurs par les défenseurs de l’économie capitaliste financière, n’offrent-ils pas en effet une illu</w:t>
      </w:r>
      <w:r w:rsidRPr="004B2498">
        <w:rPr>
          <w:lang w:eastAsia="fr-FR" w:bidi="fr-FR"/>
        </w:rPr>
        <w:t>s</w:t>
      </w:r>
      <w:r w:rsidRPr="004B2498">
        <w:rPr>
          <w:lang w:eastAsia="fr-FR" w:bidi="fr-FR"/>
        </w:rPr>
        <w:t>tration éloquente de son faible pouvoir ? On peut imaginer effectiv</w:t>
      </w:r>
      <w:r w:rsidRPr="004B2498">
        <w:rPr>
          <w:lang w:eastAsia="fr-FR" w:bidi="fr-FR"/>
        </w:rPr>
        <w:t>e</w:t>
      </w:r>
      <w:r w:rsidRPr="004B2498">
        <w:rPr>
          <w:lang w:eastAsia="fr-FR" w:bidi="fr-FR"/>
        </w:rPr>
        <w:t>ment que les valeurs morales portées par les individus au sein d’une petite communauté puissent avoir une véritable portée sur les prat</w:t>
      </w:r>
      <w:r w:rsidRPr="004B2498">
        <w:rPr>
          <w:lang w:eastAsia="fr-FR" w:bidi="fr-FR"/>
        </w:rPr>
        <w:t>i</w:t>
      </w:r>
      <w:r w:rsidRPr="004B2498">
        <w:rPr>
          <w:lang w:eastAsia="fr-FR" w:bidi="fr-FR"/>
        </w:rPr>
        <w:t>ques économiques. Mais à condition de ne pas passer sous silence les nombreuses conditions externes qui pou</w:t>
      </w:r>
      <w:r w:rsidRPr="004B2498">
        <w:rPr>
          <w:lang w:eastAsia="fr-FR" w:bidi="fr-FR"/>
        </w:rPr>
        <w:t>s</w:t>
      </w:r>
      <w:r w:rsidRPr="004B2498">
        <w:rPr>
          <w:lang w:eastAsia="fr-FR" w:bidi="fr-FR"/>
        </w:rPr>
        <w:t>sent l’individu à adopter des pratiques réciprocitaires : comme la prédisposition sociologique, rel</w:t>
      </w:r>
      <w:r w:rsidRPr="004B2498">
        <w:rPr>
          <w:lang w:eastAsia="fr-FR" w:bidi="fr-FR"/>
        </w:rPr>
        <w:t>i</w:t>
      </w:r>
      <w:r w:rsidRPr="004B2498">
        <w:rPr>
          <w:lang w:eastAsia="fr-FR" w:bidi="fr-FR"/>
        </w:rPr>
        <w:t>gieuse ou idéologique des acteurs à e</w:t>
      </w:r>
      <w:r w:rsidRPr="004B2498">
        <w:rPr>
          <w:lang w:eastAsia="fr-FR" w:bidi="fr-FR"/>
        </w:rPr>
        <w:t>n</w:t>
      </w:r>
      <w:r w:rsidRPr="004B2498">
        <w:rPr>
          <w:lang w:eastAsia="fr-FR" w:bidi="fr-FR"/>
        </w:rPr>
        <w:t>trer dans ce type de rapport, ou encore le contexte économique et pol</w:t>
      </w:r>
      <w:r w:rsidRPr="004B2498">
        <w:rPr>
          <w:lang w:eastAsia="fr-FR" w:bidi="fr-FR"/>
        </w:rPr>
        <w:t>i</w:t>
      </w:r>
      <w:r w:rsidRPr="004B2498">
        <w:rPr>
          <w:lang w:eastAsia="fr-FR" w:bidi="fr-FR"/>
        </w:rPr>
        <w:t>tique... Mais le problème est tout autre quand il s’agit de conformer la société tout entière à de nouvelles valeurs, à de nouveaux comportements... comme le pro</w:t>
      </w:r>
      <w:r w:rsidRPr="004B2498">
        <w:rPr>
          <w:lang w:eastAsia="fr-FR" w:bidi="fr-FR"/>
        </w:rPr>
        <w:t>u</w:t>
      </w:r>
      <w:r w:rsidRPr="004B2498">
        <w:rPr>
          <w:lang w:eastAsia="fr-FR" w:bidi="fr-FR"/>
        </w:rPr>
        <w:t xml:space="preserve">vent </w:t>
      </w:r>
      <w:r w:rsidRPr="00B55B8C">
        <w:rPr>
          <w:i/>
        </w:rPr>
        <w:t>a fortiori</w:t>
      </w:r>
      <w:r w:rsidRPr="004B2498">
        <w:rPr>
          <w:lang w:eastAsia="fr-FR" w:bidi="fr-FR"/>
        </w:rPr>
        <w:t xml:space="preserve"> des expériences à petite échelle.</w:t>
      </w:r>
    </w:p>
    <w:p w14:paraId="13968205" w14:textId="77777777" w:rsidR="002F4063" w:rsidRPr="004B2498" w:rsidRDefault="002F4063" w:rsidP="002F4063">
      <w:pPr>
        <w:spacing w:before="120" w:after="120"/>
        <w:jc w:val="both"/>
      </w:pPr>
      <w:r w:rsidRPr="004B2498">
        <w:rPr>
          <w:lang w:eastAsia="fr-FR" w:bidi="fr-FR"/>
        </w:rPr>
        <w:t>Ce qu’illustre l’expérience des « clubs de troc » est la faiblesse des projets politiques ne disposant que d’instruments moraux comme m</w:t>
      </w:r>
      <w:r w:rsidRPr="004B2498">
        <w:rPr>
          <w:lang w:eastAsia="fr-FR" w:bidi="fr-FR"/>
        </w:rPr>
        <w:t>o</w:t>
      </w:r>
      <w:r w:rsidRPr="004B2498">
        <w:rPr>
          <w:lang w:eastAsia="fr-FR" w:bidi="fr-FR"/>
        </w:rPr>
        <w:t>teur principal de l’action individuelle. En appeler au concernement pour autrui</w:t>
      </w:r>
      <w:r>
        <w:rPr>
          <w:lang w:eastAsia="fr-FR" w:bidi="fr-FR"/>
        </w:rPr>
        <w:t xml:space="preserve"> </w:t>
      </w:r>
      <w:r w:rsidRPr="004B2498">
        <w:t>[72]</w:t>
      </w:r>
      <w:r>
        <w:t xml:space="preserve"> </w:t>
      </w:r>
      <w:r w:rsidRPr="004B2498">
        <w:rPr>
          <w:lang w:eastAsia="fr-FR" w:bidi="fr-FR"/>
        </w:rPr>
        <w:t>c’est souvent beaucoup demander aux acteurs. Qu’on s’en acco</w:t>
      </w:r>
      <w:r w:rsidRPr="004B2498">
        <w:rPr>
          <w:lang w:eastAsia="fr-FR" w:bidi="fr-FR"/>
        </w:rPr>
        <w:t>m</w:t>
      </w:r>
      <w:r w:rsidRPr="004B2498">
        <w:rPr>
          <w:lang w:eastAsia="fr-FR" w:bidi="fr-FR"/>
        </w:rPr>
        <w:t>mode ou qu’on le déplore, il faut faire le constat lucide de la puissance des forces et des contraintes de l’individualisme dans nos sociétés marchandes contemporaines qui poussent les individus à jouer le jeu de l’intérêt utilitariste et du calculateur rationnel égoïste.</w:t>
      </w:r>
    </w:p>
    <w:p w14:paraId="1006A581" w14:textId="77777777" w:rsidR="002F4063" w:rsidRPr="004B2498" w:rsidRDefault="002F4063" w:rsidP="002F4063">
      <w:pPr>
        <w:spacing w:before="120" w:after="120"/>
        <w:jc w:val="both"/>
      </w:pPr>
      <w:r w:rsidRPr="004B2498">
        <w:rPr>
          <w:lang w:eastAsia="fr-FR" w:bidi="fr-FR"/>
        </w:rPr>
        <w:t>Non pas qu’il soit impossible d’aller contre et d’obtenir parfois des individus des comportements intégrant le souci d’autrui, mais parce qu'on peut difficilement tabler sur l’hypothèse d’une spontanéité de la réciprocité comme principe de l’action individuelle. Dans cette opt</w:t>
      </w:r>
      <w:r w:rsidRPr="004B2498">
        <w:rPr>
          <w:lang w:eastAsia="fr-FR" w:bidi="fr-FR"/>
        </w:rPr>
        <w:t>i</w:t>
      </w:r>
      <w:r w:rsidRPr="004B2498">
        <w:rPr>
          <w:lang w:eastAsia="fr-FR" w:bidi="fr-FR"/>
        </w:rPr>
        <w:t>que, on rejoint la proposition de Frédéric Lordon (2006) qui, dans une perspective spinoziste, insiste sur le fait que le changement des co</w:t>
      </w:r>
      <w:r w:rsidRPr="004B2498">
        <w:rPr>
          <w:lang w:eastAsia="fr-FR" w:bidi="fr-FR"/>
        </w:rPr>
        <w:t>m</w:t>
      </w:r>
      <w:r w:rsidRPr="004B2498">
        <w:rPr>
          <w:lang w:eastAsia="fr-FR" w:bidi="fr-FR"/>
        </w:rPr>
        <w:t>portements ne saurait venir que de la modification des structures qui configurent les intérêts des individus et les déterminent à se mouvoir dans telle ou telle direction et à poursuivre tel ou tel objectif. Plus que d’espérer un éventuel sursaut moral des individus, il est sans doute préférable de penser à de nouvelles structures capables de déterminer les individus à des comportements moins immédiatement égoïstes, de la même manière que Bourdieu (1994) envisageait la production d’intérêts au désintéressement. C’est dans ce sens que semble égal</w:t>
      </w:r>
      <w:r w:rsidRPr="004B2498">
        <w:rPr>
          <w:lang w:eastAsia="fr-FR" w:bidi="fr-FR"/>
        </w:rPr>
        <w:t>e</w:t>
      </w:r>
      <w:r w:rsidRPr="004B2498">
        <w:rPr>
          <w:lang w:eastAsia="fr-FR" w:bidi="fr-FR"/>
        </w:rPr>
        <w:t>ment abonder Luis Inàcio Gaiger qui reconnaît le besoin de contrepa</w:t>
      </w:r>
      <w:r w:rsidRPr="004B2498">
        <w:rPr>
          <w:lang w:eastAsia="fr-FR" w:bidi="fr-FR"/>
        </w:rPr>
        <w:t>r</w:t>
      </w:r>
      <w:r w:rsidRPr="004B2498">
        <w:rPr>
          <w:lang w:eastAsia="fr-FR" w:bidi="fr-FR"/>
        </w:rPr>
        <w:t>ties ou de rétributions, matérielles ou symboliques, que peuvent esp</w:t>
      </w:r>
      <w:r w:rsidRPr="004B2498">
        <w:rPr>
          <w:lang w:eastAsia="fr-FR" w:bidi="fr-FR"/>
        </w:rPr>
        <w:t>é</w:t>
      </w:r>
      <w:r w:rsidRPr="004B2498">
        <w:rPr>
          <w:lang w:eastAsia="fr-FR" w:bidi="fr-FR"/>
        </w:rPr>
        <w:t>rer les individus pour s’engager dans des pratiques solidaires :</w:t>
      </w:r>
    </w:p>
    <w:p w14:paraId="6A07F55E" w14:textId="77777777" w:rsidR="002F4063" w:rsidRDefault="002F4063" w:rsidP="002F4063">
      <w:pPr>
        <w:pStyle w:val="Grillecouleur-Accent1"/>
        <w:rPr>
          <w:lang w:eastAsia="fr-FR" w:bidi="fr-FR"/>
        </w:rPr>
      </w:pPr>
    </w:p>
    <w:p w14:paraId="4E5CF722" w14:textId="77777777" w:rsidR="002F4063" w:rsidRDefault="002F4063" w:rsidP="002F4063">
      <w:pPr>
        <w:pStyle w:val="Grillecouleur-Accent1"/>
        <w:rPr>
          <w:lang w:eastAsia="fr-FR" w:bidi="fr-FR"/>
        </w:rPr>
      </w:pPr>
      <w:r w:rsidRPr="004B2498">
        <w:rPr>
          <w:lang w:eastAsia="fr-FR" w:bidi="fr-FR"/>
        </w:rPr>
        <w:t>« Les intérêts individuels deviennent solidaires dans la mesure où ils sont pris en compte au moyen de concessions mutuelles et deviennent tr</w:t>
      </w:r>
      <w:r w:rsidRPr="004B2498">
        <w:rPr>
          <w:lang w:eastAsia="fr-FR" w:bidi="fr-FR"/>
        </w:rPr>
        <w:t>i</w:t>
      </w:r>
      <w:r w:rsidRPr="004B2498">
        <w:rPr>
          <w:lang w:eastAsia="fr-FR" w:bidi="fr-FR"/>
        </w:rPr>
        <w:t xml:space="preserve">butaires d’une sorte </w:t>
      </w:r>
      <w:r w:rsidRPr="00D23CB8">
        <w:rPr>
          <w:iCs/>
        </w:rPr>
        <w:t>d'altruisme réciproque</w:t>
      </w:r>
      <w:r w:rsidRPr="004B2498">
        <w:rPr>
          <w:lang w:eastAsia="fr-FR" w:bidi="fr-FR"/>
        </w:rPr>
        <w:t xml:space="preserve"> dont la contrepartie ne rés</w:t>
      </w:r>
      <w:r w:rsidRPr="004B2498">
        <w:rPr>
          <w:lang w:eastAsia="fr-FR" w:bidi="fr-FR"/>
        </w:rPr>
        <w:t>i</w:t>
      </w:r>
      <w:r w:rsidRPr="004B2498">
        <w:rPr>
          <w:lang w:eastAsia="fr-FR" w:bidi="fr-FR"/>
        </w:rPr>
        <w:t xml:space="preserve">de pas seulement dans le fait d’être reconnu dans son travail mais aussi dans des </w:t>
      </w:r>
      <w:r w:rsidRPr="00D23CB8">
        <w:rPr>
          <w:iCs/>
        </w:rPr>
        <w:t>récompenses symboliques et</w:t>
      </w:r>
      <w:r w:rsidRPr="004B2498">
        <w:rPr>
          <w:rStyle w:val="Corpsdutexte2185ptItalique"/>
          <w:i w:val="0"/>
          <w:color w:val="auto"/>
          <w:sz w:val="28"/>
        </w:rPr>
        <w:t xml:space="preserve"> </w:t>
      </w:r>
      <w:r w:rsidRPr="004B2498">
        <w:rPr>
          <w:lang w:eastAsia="fr-FR" w:bidi="fr-FR"/>
        </w:rPr>
        <w:t>matérielles</w:t>
      </w:r>
      <w:r>
        <w:rPr>
          <w:lang w:eastAsia="fr-FR" w:bidi="fr-FR"/>
        </w:rPr>
        <w:t> </w:t>
      </w:r>
      <w:r>
        <w:rPr>
          <w:rStyle w:val="Appelnotedebasdep"/>
          <w:lang w:eastAsia="fr-FR" w:bidi="fr-FR"/>
        </w:rPr>
        <w:footnoteReference w:id="69"/>
      </w:r>
      <w:r w:rsidRPr="004B2498">
        <w:rPr>
          <w:lang w:eastAsia="fr-FR" w:bidi="fr-FR"/>
        </w:rPr>
        <w:t> »</w:t>
      </w:r>
    </w:p>
    <w:p w14:paraId="5F81A0FA" w14:textId="77777777" w:rsidR="002F4063" w:rsidRPr="004B2498" w:rsidRDefault="002F4063" w:rsidP="002F4063">
      <w:pPr>
        <w:pStyle w:val="Grillecouleur-Accent1"/>
      </w:pPr>
    </w:p>
    <w:p w14:paraId="0B09778E" w14:textId="77777777" w:rsidR="002F4063" w:rsidRPr="004B2498" w:rsidRDefault="002F4063" w:rsidP="002F4063">
      <w:pPr>
        <w:spacing w:before="120" w:after="120"/>
        <w:jc w:val="both"/>
      </w:pPr>
      <w:r w:rsidRPr="004B2498">
        <w:rPr>
          <w:lang w:eastAsia="fr-FR" w:bidi="fr-FR"/>
        </w:rPr>
        <w:t>L’idée même « d’altruisme réciproque » dans sa symétrie espérée laisse entrevoir toute la dimension intéressée du désintéressement.</w:t>
      </w:r>
    </w:p>
    <w:p w14:paraId="053C492C" w14:textId="77777777" w:rsidR="002F4063" w:rsidRPr="004B2498" w:rsidRDefault="002F4063" w:rsidP="002F4063">
      <w:pPr>
        <w:spacing w:before="120" w:after="120"/>
        <w:jc w:val="both"/>
      </w:pPr>
      <w:r w:rsidRPr="004B2498">
        <w:rPr>
          <w:lang w:eastAsia="fr-FR" w:bidi="fr-FR"/>
        </w:rPr>
        <w:t>C’est cette médiation par les structures qui émanciperait l’économie solidaire du simple moralisme pour en faire une authent</w:t>
      </w:r>
      <w:r w:rsidRPr="004B2498">
        <w:rPr>
          <w:lang w:eastAsia="fr-FR" w:bidi="fr-FR"/>
        </w:rPr>
        <w:t>i</w:t>
      </w:r>
      <w:r w:rsidRPr="004B2498">
        <w:rPr>
          <w:lang w:eastAsia="fr-FR" w:bidi="fr-FR"/>
        </w:rPr>
        <w:t>que politique. C’est probablement là d’ailleurs que réside la différence entre les deux principes normatifs fondamentaux de l’action dans le paradigme solidaire. Là où en appeler simplement à F« impulsion r</w:t>
      </w:r>
      <w:r w:rsidRPr="004B2498">
        <w:rPr>
          <w:lang w:eastAsia="fr-FR" w:bidi="fr-FR"/>
        </w:rPr>
        <w:t>é</w:t>
      </w:r>
      <w:r w:rsidRPr="004B2498">
        <w:rPr>
          <w:lang w:eastAsia="fr-FR" w:bidi="fr-FR"/>
        </w:rPr>
        <w:t>ciprocitaire » demeure un pari hasardeux, l'« agir démocratique » d</w:t>
      </w:r>
      <w:r w:rsidRPr="004B2498">
        <w:rPr>
          <w:lang w:eastAsia="fr-FR" w:bidi="fr-FR"/>
        </w:rPr>
        <w:t>é</w:t>
      </w:r>
      <w:r w:rsidRPr="004B2498">
        <w:rPr>
          <w:lang w:eastAsia="fr-FR" w:bidi="fr-FR"/>
        </w:rPr>
        <w:t>signe une voie proprement politique et plus prometteuse.</w:t>
      </w:r>
    </w:p>
    <w:p w14:paraId="74CFD481" w14:textId="77777777" w:rsidR="002F4063" w:rsidRPr="004B2498" w:rsidRDefault="002F4063" w:rsidP="002F4063">
      <w:pPr>
        <w:spacing w:before="120" w:after="120"/>
        <w:jc w:val="both"/>
      </w:pPr>
      <w:r w:rsidRPr="004B2498">
        <w:t>[73]</w:t>
      </w:r>
    </w:p>
    <w:p w14:paraId="6418498E" w14:textId="77777777" w:rsidR="002F4063" w:rsidRPr="004B2498" w:rsidRDefault="002F4063" w:rsidP="002F4063">
      <w:pPr>
        <w:spacing w:before="120" w:after="120"/>
        <w:jc w:val="both"/>
        <w:rPr>
          <w:szCs w:val="24"/>
          <w:lang w:eastAsia="fr-FR" w:bidi="fr-FR"/>
        </w:rPr>
      </w:pPr>
    </w:p>
    <w:p w14:paraId="12CAAD9F" w14:textId="77777777" w:rsidR="002F4063" w:rsidRPr="004B2498" w:rsidRDefault="002F4063" w:rsidP="002F4063">
      <w:pPr>
        <w:pStyle w:val="a"/>
      </w:pPr>
      <w:r w:rsidRPr="004B2498">
        <w:t>La nécessité de construire une politique de Faction</w:t>
      </w:r>
    </w:p>
    <w:p w14:paraId="047368DC" w14:textId="77777777" w:rsidR="002F4063" w:rsidRPr="004B2498" w:rsidRDefault="002F4063" w:rsidP="002F4063">
      <w:pPr>
        <w:spacing w:before="120" w:after="120"/>
        <w:jc w:val="both"/>
        <w:rPr>
          <w:lang w:eastAsia="fr-FR" w:bidi="fr-FR"/>
        </w:rPr>
      </w:pPr>
    </w:p>
    <w:p w14:paraId="5A8A66F5" w14:textId="77777777" w:rsidR="002F4063" w:rsidRPr="004B2498" w:rsidRDefault="002F4063" w:rsidP="002F4063">
      <w:pPr>
        <w:spacing w:before="120" w:after="120"/>
        <w:jc w:val="both"/>
      </w:pPr>
      <w:r w:rsidRPr="004B2498">
        <w:rPr>
          <w:lang w:eastAsia="fr-FR" w:bidi="fr-FR"/>
        </w:rPr>
        <w:t>Le principe de P« agir démocratique » est très important car il co</w:t>
      </w:r>
      <w:r w:rsidRPr="004B2498">
        <w:rPr>
          <w:lang w:eastAsia="fr-FR" w:bidi="fr-FR"/>
        </w:rPr>
        <w:t>r</w:t>
      </w:r>
      <w:r w:rsidRPr="004B2498">
        <w:rPr>
          <w:lang w:eastAsia="fr-FR" w:bidi="fr-FR"/>
        </w:rPr>
        <w:t>respond à la manière dont les partisans de l’économie solidaire pe</w:t>
      </w:r>
      <w:r w:rsidRPr="004B2498">
        <w:rPr>
          <w:lang w:eastAsia="fr-FR" w:bidi="fr-FR"/>
        </w:rPr>
        <w:t>n</w:t>
      </w:r>
      <w:r w:rsidRPr="004B2498">
        <w:rPr>
          <w:lang w:eastAsia="fr-FR" w:bidi="fr-FR"/>
        </w:rPr>
        <w:t>sent l’action politique et les politiques d’intervention. Or, tel qu’il est formulé, ce principe pose de nombreux problèmes. Quatre points pr</w:t>
      </w:r>
      <w:r w:rsidRPr="004B2498">
        <w:rPr>
          <w:lang w:eastAsia="fr-FR" w:bidi="fr-FR"/>
        </w:rPr>
        <w:t>o</w:t>
      </w:r>
      <w:r w:rsidRPr="004B2498">
        <w:rPr>
          <w:lang w:eastAsia="fr-FR" w:bidi="fr-FR"/>
        </w:rPr>
        <w:t>blématiques peuvent être mentionnés.</w:t>
      </w:r>
    </w:p>
    <w:p w14:paraId="0A9CB733" w14:textId="77777777" w:rsidR="002F4063" w:rsidRPr="004B2498" w:rsidRDefault="002F4063" w:rsidP="002F4063">
      <w:pPr>
        <w:spacing w:before="120" w:after="120"/>
        <w:jc w:val="both"/>
      </w:pPr>
      <w:r w:rsidRPr="004B2498">
        <w:rPr>
          <w:lang w:eastAsia="fr-FR" w:bidi="fr-FR"/>
        </w:rPr>
        <w:t>Le premier concerne la nature même de cet « agir démocratique ». L’agir démocratique que les partisans de l’économie solidaire reve</w:t>
      </w:r>
      <w:r w:rsidRPr="004B2498">
        <w:rPr>
          <w:lang w:eastAsia="fr-FR" w:bidi="fr-FR"/>
        </w:rPr>
        <w:t>n</w:t>
      </w:r>
      <w:r w:rsidRPr="004B2498">
        <w:rPr>
          <w:lang w:eastAsia="fr-FR" w:bidi="fr-FR"/>
        </w:rPr>
        <w:t>diquent n’est en réalité pas suffisamment élaboré sur le plan théorique et soulève du coup de nombreuses questions. De quoi s’agit-il au ju</w:t>
      </w:r>
      <w:r w:rsidRPr="004B2498">
        <w:rPr>
          <w:lang w:eastAsia="fr-FR" w:bidi="fr-FR"/>
        </w:rPr>
        <w:t>s</w:t>
      </w:r>
      <w:r w:rsidRPr="004B2498">
        <w:rPr>
          <w:lang w:eastAsia="fr-FR" w:bidi="fr-FR"/>
        </w:rPr>
        <w:t>te ? Comment crée-t-on un agir démocratique ? Sur quoi repose-t-il ? Quelle forme prend-il concrètement ? Hormis la revendication d’une volonté générale, de la part de tous les individus, égaux en droits, de s’impliquer et de décider des grandes orientations économiques et s</w:t>
      </w:r>
      <w:r w:rsidRPr="004B2498">
        <w:rPr>
          <w:lang w:eastAsia="fr-FR" w:bidi="fr-FR"/>
        </w:rPr>
        <w:t>o</w:t>
      </w:r>
      <w:r w:rsidRPr="004B2498">
        <w:rPr>
          <w:lang w:eastAsia="fr-FR" w:bidi="fr-FR"/>
        </w:rPr>
        <w:t>ciales, les partisans de l’ESS n’en disent pas davantage. Aussi, dans sa forme actuelle, l’agir démocratique reste-t-il posé comme un principe général mais en attente de ses institutionnalisations concrètes.</w:t>
      </w:r>
    </w:p>
    <w:p w14:paraId="392CCC1C" w14:textId="77777777" w:rsidR="002F4063" w:rsidRPr="004B2498" w:rsidRDefault="002F4063" w:rsidP="002F4063">
      <w:pPr>
        <w:spacing w:before="120" w:after="120"/>
        <w:jc w:val="both"/>
      </w:pPr>
      <w:r w:rsidRPr="004B2498">
        <w:rPr>
          <w:lang w:eastAsia="fr-FR" w:bidi="fr-FR"/>
        </w:rPr>
        <w:t>Le deuxième point problématique renvoie au rôle accordé aux in</w:t>
      </w:r>
      <w:r w:rsidRPr="004B2498">
        <w:rPr>
          <w:lang w:eastAsia="fr-FR" w:bidi="fr-FR"/>
        </w:rPr>
        <w:t>s</w:t>
      </w:r>
      <w:r w:rsidRPr="004B2498">
        <w:rPr>
          <w:lang w:eastAsia="fr-FR" w:bidi="fr-FR"/>
        </w:rPr>
        <w:t>tances de représentation de l’action collective. On peut interroger cette exigence d’impliquer directement tous les individus dans le processus de décisions économiques et sociales. Dans la pratique, on remarque souvent que les porteurs des initiatives et des organisations product</w:t>
      </w:r>
      <w:r w:rsidRPr="004B2498">
        <w:rPr>
          <w:lang w:eastAsia="fr-FR" w:bidi="fr-FR"/>
        </w:rPr>
        <w:t>i</w:t>
      </w:r>
      <w:r w:rsidRPr="004B2498">
        <w:rPr>
          <w:lang w:eastAsia="fr-FR" w:bidi="fr-FR"/>
        </w:rPr>
        <w:t>ves solidaires ont souvent une expérience des pratiques communauta</w:t>
      </w:r>
      <w:r w:rsidRPr="004B2498">
        <w:rPr>
          <w:lang w:eastAsia="fr-FR" w:bidi="fr-FR"/>
        </w:rPr>
        <w:t>i</w:t>
      </w:r>
      <w:r w:rsidRPr="004B2498">
        <w:rPr>
          <w:lang w:eastAsia="fr-FR" w:bidi="fr-FR"/>
        </w:rPr>
        <w:t>res et militantes, dans le monde associatif ou syndical... Par ailleurs, on observe également, si l’on prend le cas des entreprises fonctionnant selon les pratiques de l’autogestion, comme l’entreprise espagnole Fagor ou l’exemple historique et emblématique qu’est l’entreprise française Lip, que même si les individus disposent d’une égalité de droit et d’un droit de regard sur les décisions prises au sein de l’entreprise, ces décisions sont fonction des spécialisations et des compétences de chacun. Autrement dit, en plus d’évacuer le problème du temps, du désir et des compétences que l’ESS réclame des indiv</w:t>
      </w:r>
      <w:r w:rsidRPr="004B2498">
        <w:rPr>
          <w:lang w:eastAsia="fr-FR" w:bidi="fr-FR"/>
        </w:rPr>
        <w:t>i</w:t>
      </w:r>
      <w:r w:rsidRPr="004B2498">
        <w:rPr>
          <w:lang w:eastAsia="fr-FR" w:bidi="fr-FR"/>
        </w:rPr>
        <w:t>dus, celle-ci a parfois tendance à négliger les mécanismes de recré</w:t>
      </w:r>
      <w:r w:rsidRPr="004B2498">
        <w:rPr>
          <w:lang w:eastAsia="fr-FR" w:bidi="fr-FR"/>
        </w:rPr>
        <w:t>a</w:t>
      </w:r>
      <w:r w:rsidRPr="004B2498">
        <w:rPr>
          <w:lang w:eastAsia="fr-FR" w:bidi="fr-FR"/>
        </w:rPr>
        <w:t>tion de pouvoirs qui peuvent resurgir au sein même des entités dites coopératives </w:t>
      </w:r>
      <w:r>
        <w:rPr>
          <w:rStyle w:val="Appelnotedebasdep"/>
          <w:lang w:eastAsia="fr-FR" w:bidi="fr-FR"/>
        </w:rPr>
        <w:footnoteReference w:id="70"/>
      </w:r>
      <w:r w:rsidRPr="004B2498">
        <w:rPr>
          <w:lang w:eastAsia="fr-FR" w:bidi="fr-FR"/>
        </w:rPr>
        <w:t>.</w:t>
      </w:r>
    </w:p>
    <w:p w14:paraId="069F2AF0" w14:textId="77777777" w:rsidR="002F4063" w:rsidRPr="004B2498" w:rsidRDefault="002F4063" w:rsidP="002F4063">
      <w:pPr>
        <w:spacing w:before="120" w:after="120"/>
        <w:jc w:val="both"/>
      </w:pPr>
      <w:r w:rsidRPr="004B2498">
        <w:rPr>
          <w:lang w:eastAsia="fr-FR" w:bidi="fr-FR"/>
        </w:rPr>
        <w:t>Un troisième aspect problématique de l’agir démocratique tient au fait que l’économie solidaire, ayant une conception très horizontale de la solidarité, a tendance à sous-estimer tout ce qui donne de la force et du poids politique aux actions individuelles. L’économie solidaire donne à croire que les initiatives solidaires naissent de manière spo</w:t>
      </w:r>
      <w:r w:rsidRPr="004B2498">
        <w:rPr>
          <w:lang w:eastAsia="fr-FR" w:bidi="fr-FR"/>
        </w:rPr>
        <w:t>n</w:t>
      </w:r>
      <w:r w:rsidRPr="004B2498">
        <w:rPr>
          <w:lang w:eastAsia="fr-FR" w:bidi="fr-FR"/>
        </w:rPr>
        <w:t>tanée de la part des</w:t>
      </w:r>
      <w:r>
        <w:t xml:space="preserve"> </w:t>
      </w:r>
      <w:r w:rsidRPr="004B2498">
        <w:t>[74]</w:t>
      </w:r>
      <w:r>
        <w:t xml:space="preserve"> </w:t>
      </w:r>
      <w:r w:rsidRPr="004B2498">
        <w:rPr>
          <w:lang w:eastAsia="fr-FR" w:bidi="fr-FR"/>
        </w:rPr>
        <w:t>individus. Or tel n’est pas le cas. Dans la pr</w:t>
      </w:r>
      <w:r w:rsidRPr="004B2498">
        <w:rPr>
          <w:lang w:eastAsia="fr-FR" w:bidi="fr-FR"/>
        </w:rPr>
        <w:t>a</w:t>
      </w:r>
      <w:r w:rsidRPr="004B2498">
        <w:rPr>
          <w:lang w:eastAsia="fr-FR" w:bidi="fr-FR"/>
        </w:rPr>
        <w:t>tique, la majorité des expériences solidaires s’appuient sur des initiat</w:t>
      </w:r>
      <w:r w:rsidRPr="004B2498">
        <w:rPr>
          <w:lang w:eastAsia="fr-FR" w:bidi="fr-FR"/>
        </w:rPr>
        <w:t>i</w:t>
      </w:r>
      <w:r w:rsidRPr="004B2498">
        <w:rPr>
          <w:lang w:eastAsia="fr-FR" w:bidi="fr-FR"/>
        </w:rPr>
        <w:t>ves populaires pr</w:t>
      </w:r>
      <w:r w:rsidRPr="004B2498">
        <w:rPr>
          <w:lang w:eastAsia="fr-FR" w:bidi="fr-FR"/>
        </w:rPr>
        <w:t>é</w:t>
      </w:r>
      <w:r w:rsidRPr="004B2498">
        <w:rPr>
          <w:lang w:eastAsia="fr-FR" w:bidi="fr-FR"/>
        </w:rPr>
        <w:t>existantes ou passées, qu’elles soient issues d’une tradition historique de luttes sociales ou de mobilisations plus réce</w:t>
      </w:r>
      <w:r w:rsidRPr="004B2498">
        <w:rPr>
          <w:lang w:eastAsia="fr-FR" w:bidi="fr-FR"/>
        </w:rPr>
        <w:t>n</w:t>
      </w:r>
      <w:r w:rsidRPr="004B2498">
        <w:rPr>
          <w:lang w:eastAsia="fr-FR" w:bidi="fr-FR"/>
        </w:rPr>
        <w:t>tes. Luis Inacio Ga</w:t>
      </w:r>
      <w:r w:rsidRPr="004B2498">
        <w:rPr>
          <w:lang w:eastAsia="fr-FR" w:bidi="fr-FR"/>
        </w:rPr>
        <w:t>i</w:t>
      </w:r>
      <w:r w:rsidRPr="004B2498">
        <w:rPr>
          <w:lang w:eastAsia="fr-FR" w:bidi="fr-FR"/>
        </w:rPr>
        <w:t>ger souligne à juste titre l’importance de la « mémoire commune ou d’expériences de mobilisation grâce auxque</w:t>
      </w:r>
      <w:r w:rsidRPr="004B2498">
        <w:rPr>
          <w:lang w:eastAsia="fr-FR" w:bidi="fr-FR"/>
        </w:rPr>
        <w:t>l</w:t>
      </w:r>
      <w:r w:rsidRPr="004B2498">
        <w:rPr>
          <w:lang w:eastAsia="fr-FR" w:bidi="fr-FR"/>
        </w:rPr>
        <w:t>les les promoteurs de l’économie solidaire peuvent forger une identité collective, établir des liens de confiance et développer des compéte</w:t>
      </w:r>
      <w:r w:rsidRPr="004B2498">
        <w:rPr>
          <w:lang w:eastAsia="fr-FR" w:bidi="fr-FR"/>
        </w:rPr>
        <w:t>n</w:t>
      </w:r>
      <w:r w:rsidRPr="004B2498">
        <w:rPr>
          <w:lang w:eastAsia="fr-FR" w:bidi="fr-FR"/>
        </w:rPr>
        <w:t>tes pour s’organiser et défendre leurs intérêts </w:t>
      </w:r>
      <w:r>
        <w:rPr>
          <w:rStyle w:val="Appelnotedebasdep"/>
          <w:lang w:eastAsia="fr-FR" w:bidi="fr-FR"/>
        </w:rPr>
        <w:footnoteReference w:id="71"/>
      </w:r>
      <w:r w:rsidRPr="004B2498">
        <w:rPr>
          <w:lang w:eastAsia="fr-FR" w:bidi="fr-FR"/>
        </w:rPr>
        <w:t> ». L’exemple du Br</w:t>
      </w:r>
      <w:r w:rsidRPr="004B2498">
        <w:rPr>
          <w:lang w:eastAsia="fr-FR" w:bidi="fr-FR"/>
        </w:rPr>
        <w:t>é</w:t>
      </w:r>
      <w:r w:rsidRPr="004B2498">
        <w:rPr>
          <w:lang w:eastAsia="fr-FR" w:bidi="fr-FR"/>
        </w:rPr>
        <w:t>sil est éclairant de ce point de vue. Là-bas, il existe des Forums de l’économie solidaire qui sont l’expression du débat sur les attentes sociales de la population. Mais, comme le montre Girard Ferreira N</w:t>
      </w:r>
      <w:r w:rsidRPr="004B2498">
        <w:rPr>
          <w:lang w:eastAsia="fr-FR" w:bidi="fr-FR"/>
        </w:rPr>
        <w:t>u</w:t>
      </w:r>
      <w:r w:rsidRPr="004B2498">
        <w:rPr>
          <w:lang w:eastAsia="fr-FR" w:bidi="fr-FR"/>
        </w:rPr>
        <w:t>nes (2007), cela n’implique pas pour autant que les autorités publiques locales en tiennent compte. Les seules municipalités qui appuient les mouvements sociaux d’économie solidaire sont celles qui ont une tr</w:t>
      </w:r>
      <w:r w:rsidRPr="004B2498">
        <w:rPr>
          <w:lang w:eastAsia="fr-FR" w:bidi="fr-FR"/>
        </w:rPr>
        <w:t>a</w:t>
      </w:r>
      <w:r w:rsidRPr="004B2498">
        <w:rPr>
          <w:lang w:eastAsia="fr-FR" w:bidi="fr-FR"/>
        </w:rPr>
        <w:t>dition de luttes sociales (Recife, longue tradition de lutte pour l’insertion des plus pauvres, existence de forts mouvements sociaux) ou une forte identité culture</w:t>
      </w:r>
      <w:r w:rsidRPr="004B2498">
        <w:rPr>
          <w:lang w:eastAsia="fr-FR" w:bidi="fr-FR"/>
        </w:rPr>
        <w:t>l</w:t>
      </w:r>
      <w:r w:rsidRPr="004B2498">
        <w:rPr>
          <w:lang w:eastAsia="fr-FR" w:bidi="fr-FR"/>
        </w:rPr>
        <w:t>le (Salvador).</w:t>
      </w:r>
    </w:p>
    <w:p w14:paraId="233EE7B8" w14:textId="77777777" w:rsidR="002F4063" w:rsidRPr="004B2498" w:rsidRDefault="002F4063" w:rsidP="002F4063">
      <w:pPr>
        <w:spacing w:before="120" w:after="120"/>
        <w:jc w:val="both"/>
      </w:pPr>
      <w:r w:rsidRPr="004B2498">
        <w:rPr>
          <w:lang w:eastAsia="fr-FR" w:bidi="fr-FR"/>
        </w:rPr>
        <w:t>Un dernier point, plus préoccupant encore, doit être abordé. Il faut préciser qu’un grand nombre de pratiques dites solidaires sont égal</w:t>
      </w:r>
      <w:r w:rsidRPr="004B2498">
        <w:rPr>
          <w:lang w:eastAsia="fr-FR" w:bidi="fr-FR"/>
        </w:rPr>
        <w:t>e</w:t>
      </w:r>
      <w:r w:rsidRPr="004B2498">
        <w:rPr>
          <w:lang w:eastAsia="fr-FR" w:bidi="fr-FR"/>
        </w:rPr>
        <w:t xml:space="preserve">ment soutenues et financées par les organisations internationales alors qu’a </w:t>
      </w:r>
      <w:r w:rsidRPr="004B2498">
        <w:t xml:space="preserve">priori </w:t>
      </w:r>
      <w:r w:rsidRPr="004B2498">
        <w:rPr>
          <w:lang w:eastAsia="fr-FR" w:bidi="fr-FR"/>
        </w:rPr>
        <w:t>tout les sépare en termes idéologiques. Il faut citer en pa</w:t>
      </w:r>
      <w:r w:rsidRPr="004B2498">
        <w:rPr>
          <w:lang w:eastAsia="fr-FR" w:bidi="fr-FR"/>
        </w:rPr>
        <w:t>r</w:t>
      </w:r>
      <w:r w:rsidRPr="004B2498">
        <w:rPr>
          <w:lang w:eastAsia="fr-FR" w:bidi="fr-FR"/>
        </w:rPr>
        <w:t>ticulier le microcrédit </w:t>
      </w:r>
      <w:r>
        <w:rPr>
          <w:rStyle w:val="Appelnotedebasdep"/>
          <w:lang w:eastAsia="fr-FR" w:bidi="fr-FR"/>
        </w:rPr>
        <w:footnoteReference w:id="72"/>
      </w:r>
      <w:r w:rsidRPr="004B2498">
        <w:rPr>
          <w:lang w:eastAsia="fr-FR" w:bidi="fr-FR"/>
        </w:rPr>
        <w:t>. Claude de Miras (2007) montre que les O</w:t>
      </w:r>
      <w:r w:rsidRPr="004B2498">
        <w:rPr>
          <w:lang w:eastAsia="fr-FR" w:bidi="fr-FR"/>
        </w:rPr>
        <w:t>b</w:t>
      </w:r>
      <w:r w:rsidRPr="004B2498">
        <w:rPr>
          <w:lang w:eastAsia="fr-FR" w:bidi="fr-FR"/>
        </w:rPr>
        <w:t>je</w:t>
      </w:r>
      <w:r w:rsidRPr="004B2498">
        <w:rPr>
          <w:lang w:eastAsia="fr-FR" w:bidi="fr-FR"/>
        </w:rPr>
        <w:t>c</w:t>
      </w:r>
      <w:r w:rsidRPr="004B2498">
        <w:rPr>
          <w:lang w:eastAsia="fr-FR" w:bidi="fr-FR"/>
        </w:rPr>
        <w:t xml:space="preserve">tifs du Millénaire, et plus généralement les déclarations officielles des organisations internationales, révèlent un emprunt sémantique au « développement humain », à « l’économie solidaire » et à « l’implication de la société civile » de la part de ces acteurs clés du développement (Baron, 2007 ; Favreau, Lachapelle et Larose, 2003 ; Amintas </w:t>
      </w:r>
      <w:r w:rsidRPr="004B2498">
        <w:t>et al</w:t>
      </w:r>
      <w:r w:rsidRPr="004B2498">
        <w:rPr>
          <w:lang w:eastAsia="fr-FR" w:bidi="fr-FR"/>
        </w:rPr>
        <w:t>., 2005). Comment expliquer cela ? Une première expl</w:t>
      </w:r>
      <w:r w:rsidRPr="004B2498">
        <w:rPr>
          <w:lang w:eastAsia="fr-FR" w:bidi="fr-FR"/>
        </w:rPr>
        <w:t>i</w:t>
      </w:r>
      <w:r w:rsidRPr="004B2498">
        <w:rPr>
          <w:lang w:eastAsia="fr-FR" w:bidi="fr-FR"/>
        </w:rPr>
        <w:t>cation consiste à avancer la thèse d'une stratégie de récupération ou d’opportunisme politique de la part des institutions internationales (en particulier la Banque mondiale et le FMI), en quête de légitimité a</w:t>
      </w:r>
      <w:r w:rsidRPr="004B2498">
        <w:rPr>
          <w:lang w:eastAsia="fr-FR" w:bidi="fr-FR"/>
        </w:rPr>
        <w:t>u</w:t>
      </w:r>
      <w:r w:rsidRPr="004B2498">
        <w:rPr>
          <w:lang w:eastAsia="fr-FR" w:bidi="fr-FR"/>
        </w:rPr>
        <w:t>près des populations des pays du Sud depuis la crise postajustement structurel, qui, en finançant des politiques de développement local par le biais de la société civile, peuvent en outre contourner les États (L</w:t>
      </w:r>
      <w:r w:rsidRPr="004B2498">
        <w:rPr>
          <w:lang w:eastAsia="fr-FR" w:bidi="fr-FR"/>
        </w:rPr>
        <w:t>a</w:t>
      </w:r>
      <w:r w:rsidRPr="004B2498">
        <w:rPr>
          <w:lang w:eastAsia="fr-FR" w:bidi="fr-FR"/>
        </w:rPr>
        <w:t>faye de Micheaux, Ould Ahmed, 2005).</w:t>
      </w:r>
    </w:p>
    <w:p w14:paraId="3F4C4FF7" w14:textId="77777777" w:rsidR="002F4063" w:rsidRPr="004B2498" w:rsidRDefault="002F4063" w:rsidP="002F4063">
      <w:pPr>
        <w:spacing w:before="120" w:after="120"/>
        <w:jc w:val="both"/>
      </w:pPr>
      <w:r w:rsidRPr="004B2498">
        <w:rPr>
          <w:lang w:eastAsia="fr-FR" w:bidi="fr-FR"/>
        </w:rPr>
        <w:t>Néanmoins, à y regarder de plus près, on peut déceler certaines convergences entre l’ESS et les organisations financières internation</w:t>
      </w:r>
      <w:r w:rsidRPr="004B2498">
        <w:rPr>
          <w:lang w:eastAsia="fr-FR" w:bidi="fr-FR"/>
        </w:rPr>
        <w:t>a</w:t>
      </w:r>
      <w:r w:rsidRPr="004B2498">
        <w:rPr>
          <w:lang w:eastAsia="fr-FR" w:bidi="fr-FR"/>
        </w:rPr>
        <w:t>les en termes de philosophie et de politiques de l’action individuelle, et ce, encore une fois, malgré des finalités économiques opposées. S’agissant en effet des</w:t>
      </w:r>
      <w:r>
        <w:t xml:space="preserve"> </w:t>
      </w:r>
      <w:r w:rsidRPr="004B2498">
        <w:t>[75]</w:t>
      </w:r>
      <w:r>
        <w:t xml:space="preserve"> </w:t>
      </w:r>
      <w:r w:rsidRPr="004B2498">
        <w:rPr>
          <w:lang w:eastAsia="fr-FR" w:bidi="fr-FR"/>
        </w:rPr>
        <w:t>critères reconnus comme appartenant au registre de l’économie s</w:t>
      </w:r>
      <w:r w:rsidRPr="004B2498">
        <w:rPr>
          <w:lang w:eastAsia="fr-FR" w:bidi="fr-FR"/>
        </w:rPr>
        <w:t>o</w:t>
      </w:r>
      <w:r w:rsidRPr="004B2498">
        <w:rPr>
          <w:lang w:eastAsia="fr-FR" w:bidi="fr-FR"/>
        </w:rPr>
        <w:t>lidaire, comme ceux de « liberté », de « liberté d’association et d’entreprendre », d’autonomie de la volonté ou encore ceux de « solidarité volontaire », on a vu que ces derniers font référence à une philosophie libérale de l’action individuelle... Quant à la référence à la « société participative » ou à la « démocratie participative », au « refus de l’assistanat » au profit d’une politique d’aide fonctionnant selon le principe normatif d’un « agir démocrat</w:t>
      </w:r>
      <w:r w:rsidRPr="004B2498">
        <w:rPr>
          <w:lang w:eastAsia="fr-FR" w:bidi="fr-FR"/>
        </w:rPr>
        <w:t>i</w:t>
      </w:r>
      <w:r w:rsidRPr="004B2498">
        <w:rPr>
          <w:lang w:eastAsia="fr-FR" w:bidi="fr-FR"/>
        </w:rPr>
        <w:t>que » (impliquant une participation de tous), ceux-ci renvoient à une politique de l’action collective pensée « par et à partir du bas ».</w:t>
      </w:r>
    </w:p>
    <w:p w14:paraId="6DA49390" w14:textId="77777777" w:rsidR="002F4063" w:rsidRPr="004B2498" w:rsidRDefault="002F4063" w:rsidP="002F4063">
      <w:pPr>
        <w:spacing w:before="120" w:after="120"/>
        <w:jc w:val="both"/>
      </w:pPr>
      <w:r w:rsidRPr="004B2498">
        <w:rPr>
          <w:lang w:eastAsia="fr-FR" w:bidi="fr-FR"/>
        </w:rPr>
        <w:t>S’agissant des organisations internationales, on assiste à un reno</w:t>
      </w:r>
      <w:r w:rsidRPr="004B2498">
        <w:rPr>
          <w:lang w:eastAsia="fr-FR" w:bidi="fr-FR"/>
        </w:rPr>
        <w:t>u</w:t>
      </w:r>
      <w:r w:rsidRPr="004B2498">
        <w:rPr>
          <w:lang w:eastAsia="fr-FR" w:bidi="fr-FR"/>
        </w:rPr>
        <w:t>veau du paradigme économique et de leur lexique depuis la fin des années 1990 </w:t>
      </w:r>
      <w:r>
        <w:rPr>
          <w:rStyle w:val="Appelnotedebasdep"/>
          <w:lang w:eastAsia="fr-FR" w:bidi="fr-FR"/>
        </w:rPr>
        <w:footnoteReference w:id="73"/>
      </w:r>
      <w:r w:rsidRPr="004B2498">
        <w:rPr>
          <w:lang w:eastAsia="fr-FR" w:bidi="fr-FR"/>
        </w:rPr>
        <w:t xml:space="preserve"> revendiquant un certain égalitarisme libéral et des pol</w:t>
      </w:r>
      <w:r w:rsidRPr="004B2498">
        <w:rPr>
          <w:lang w:eastAsia="fr-FR" w:bidi="fr-FR"/>
        </w:rPr>
        <w:t>i</w:t>
      </w:r>
      <w:r w:rsidRPr="004B2498">
        <w:rPr>
          <w:lang w:eastAsia="fr-FR" w:bidi="fr-FR"/>
        </w:rPr>
        <w:t>tiques d’action « par le bas ». Les termes comme « </w:t>
      </w:r>
      <w:r w:rsidRPr="00D23CB8">
        <w:rPr>
          <w:i/>
        </w:rPr>
        <w:t>démocratie</w:t>
      </w:r>
      <w:r w:rsidRPr="00D23CB8">
        <w:rPr>
          <w:i/>
          <w:lang w:eastAsia="fr-FR" w:bidi="fr-FR"/>
        </w:rPr>
        <w:t> </w:t>
      </w:r>
      <w:r w:rsidRPr="004B2498">
        <w:rPr>
          <w:lang w:eastAsia="fr-FR" w:bidi="fr-FR"/>
        </w:rPr>
        <w:t>», « </w:t>
      </w:r>
      <w:r w:rsidRPr="00D23CB8">
        <w:rPr>
          <w:i/>
        </w:rPr>
        <w:t>société civile</w:t>
      </w:r>
      <w:r w:rsidRPr="00D23CB8">
        <w:rPr>
          <w:i/>
          <w:lang w:eastAsia="fr-FR" w:bidi="fr-FR"/>
        </w:rPr>
        <w:t> </w:t>
      </w:r>
      <w:r w:rsidRPr="004B2498">
        <w:rPr>
          <w:lang w:eastAsia="fr-FR" w:bidi="fr-FR"/>
        </w:rPr>
        <w:t>» (à savoir les citoyens, les communautés, les associ</w:t>
      </w:r>
      <w:r w:rsidRPr="004B2498">
        <w:rPr>
          <w:lang w:eastAsia="fr-FR" w:bidi="fr-FR"/>
        </w:rPr>
        <w:t>a</w:t>
      </w:r>
      <w:r w:rsidRPr="004B2498">
        <w:rPr>
          <w:lang w:eastAsia="fr-FR" w:bidi="fr-FR"/>
        </w:rPr>
        <w:t>tions, les coopératives, mais aussi les ONG), « participation » (corre</w:t>
      </w:r>
      <w:r w:rsidRPr="004B2498">
        <w:rPr>
          <w:lang w:eastAsia="fr-FR" w:bidi="fr-FR"/>
        </w:rPr>
        <w:t>s</w:t>
      </w:r>
      <w:r w:rsidRPr="004B2498">
        <w:rPr>
          <w:lang w:eastAsia="fr-FR" w:bidi="fr-FR"/>
        </w:rPr>
        <w:t>pondant à une injonction à faire quelque chose), « </w:t>
      </w:r>
      <w:r w:rsidRPr="00D23CB8">
        <w:rPr>
          <w:i/>
        </w:rPr>
        <w:t>empowerment</w:t>
      </w:r>
      <w:r w:rsidRPr="00D23CB8">
        <w:rPr>
          <w:i/>
          <w:lang w:eastAsia="fr-FR" w:bidi="fr-FR"/>
        </w:rPr>
        <w:t> </w:t>
      </w:r>
      <w:r w:rsidRPr="004B2498">
        <w:rPr>
          <w:lang w:eastAsia="fr-FR" w:bidi="fr-FR"/>
        </w:rPr>
        <w:t>» (qui se définit par la capacité d’une personne d’effectuer ses propres choix), « </w:t>
      </w:r>
      <w:r w:rsidRPr="00B55B8C">
        <w:rPr>
          <w:lang w:eastAsia="fr-FR" w:bidi="fr-FR"/>
        </w:rPr>
        <w:t>développement local </w:t>
      </w:r>
      <w:r w:rsidRPr="004B2498">
        <w:rPr>
          <w:lang w:eastAsia="fr-FR" w:bidi="fr-FR"/>
        </w:rPr>
        <w:t>», « </w:t>
      </w:r>
      <w:r w:rsidRPr="00B55B8C">
        <w:rPr>
          <w:lang w:eastAsia="fr-FR" w:bidi="fr-FR"/>
        </w:rPr>
        <w:t>microcrédit </w:t>
      </w:r>
      <w:r w:rsidRPr="004B2498">
        <w:rPr>
          <w:lang w:eastAsia="fr-FR" w:bidi="fr-FR"/>
        </w:rPr>
        <w:t>», « </w:t>
      </w:r>
      <w:r w:rsidRPr="00D23CB8">
        <w:rPr>
          <w:i/>
        </w:rPr>
        <w:t>capabilities</w:t>
      </w:r>
      <w:r w:rsidRPr="00D23CB8">
        <w:rPr>
          <w:i/>
          <w:lang w:eastAsia="fr-FR" w:bidi="fr-FR"/>
        </w:rPr>
        <w:t> </w:t>
      </w:r>
      <w:r w:rsidRPr="004B2498">
        <w:rPr>
          <w:lang w:eastAsia="fr-FR" w:bidi="fr-FR"/>
        </w:rPr>
        <w:t>», « </w:t>
      </w:r>
      <w:r w:rsidRPr="00D23CB8">
        <w:rPr>
          <w:i/>
          <w:lang w:eastAsia="fr-FR" w:bidi="fr-FR"/>
        </w:rPr>
        <w:t>les politiques par le bas </w:t>
      </w:r>
      <w:r w:rsidRPr="004B2498">
        <w:rPr>
          <w:lang w:eastAsia="fr-FR" w:bidi="fr-FR"/>
        </w:rPr>
        <w:t xml:space="preserve">» </w:t>
      </w:r>
      <w:r w:rsidRPr="004B2498">
        <w:t>(« </w:t>
      </w:r>
      <w:r w:rsidRPr="00D23CB8">
        <w:rPr>
          <w:i/>
        </w:rPr>
        <w:t>to create economic and social dev</w:t>
      </w:r>
      <w:r w:rsidRPr="00D23CB8">
        <w:rPr>
          <w:i/>
        </w:rPr>
        <w:t>e</w:t>
      </w:r>
      <w:r w:rsidRPr="00D23CB8">
        <w:rPr>
          <w:i/>
        </w:rPr>
        <w:t>lopment from below </w:t>
      </w:r>
      <w:r w:rsidRPr="004B2498">
        <w:t>»)...</w:t>
      </w:r>
      <w:r w:rsidRPr="004B2498">
        <w:rPr>
          <w:lang w:eastAsia="fr-FR" w:bidi="fr-FR"/>
        </w:rPr>
        <w:t xml:space="preserve"> sont devenus les nouveaux termes emblém</w:t>
      </w:r>
      <w:r w:rsidRPr="004B2498">
        <w:rPr>
          <w:lang w:eastAsia="fr-FR" w:bidi="fr-FR"/>
        </w:rPr>
        <w:t>a</w:t>
      </w:r>
      <w:r w:rsidRPr="004B2498">
        <w:rPr>
          <w:lang w:eastAsia="fr-FR" w:bidi="fr-FR"/>
        </w:rPr>
        <w:t>tiques de leurs discours officiels. Mais il ne faut pas s’y tromper. Si le lexique évolue, les politiques d’intervention opèrent davantage un changement de forme que de contenu : il s’agit toujours de mettre en place des politiques de stabilité macroéconomique soutenant un mod</w:t>
      </w:r>
      <w:r w:rsidRPr="004B2498">
        <w:rPr>
          <w:lang w:eastAsia="fr-FR" w:bidi="fr-FR"/>
        </w:rPr>
        <w:t>è</w:t>
      </w:r>
      <w:r w:rsidRPr="004B2498">
        <w:rPr>
          <w:lang w:eastAsia="fr-FR" w:bidi="fr-FR"/>
        </w:rPr>
        <w:t>le économique incontestablement libéral. Et, étant donné que les o</w:t>
      </w:r>
      <w:r w:rsidRPr="004B2498">
        <w:rPr>
          <w:lang w:eastAsia="fr-FR" w:bidi="fr-FR"/>
        </w:rPr>
        <w:t>r</w:t>
      </w:r>
      <w:r w:rsidRPr="004B2498">
        <w:rPr>
          <w:lang w:eastAsia="fr-FR" w:bidi="fr-FR"/>
        </w:rPr>
        <w:t>ganisations internationales se retrouvent en position de bailleurs de fonds de projets solidaires, le risque n’est-il pas grand que l’« agir démocratique » se transforme en une injonction à l’empowerment, à une injonction à entreprendre !</w:t>
      </w:r>
    </w:p>
    <w:p w14:paraId="5DBDFD89" w14:textId="77777777" w:rsidR="002F4063" w:rsidRPr="004B2498" w:rsidRDefault="002F4063" w:rsidP="002F4063">
      <w:pPr>
        <w:spacing w:before="120" w:after="120"/>
        <w:jc w:val="both"/>
        <w:rPr>
          <w:szCs w:val="24"/>
          <w:lang w:eastAsia="fr-FR" w:bidi="fr-FR"/>
        </w:rPr>
      </w:pPr>
    </w:p>
    <w:p w14:paraId="5CB46548" w14:textId="77777777" w:rsidR="002F4063" w:rsidRPr="004B2498" w:rsidRDefault="002F4063" w:rsidP="002F4063">
      <w:pPr>
        <w:pStyle w:val="a"/>
      </w:pPr>
      <w:r w:rsidRPr="004B2498">
        <w:t>Conclusion</w:t>
      </w:r>
    </w:p>
    <w:p w14:paraId="0F9E664F" w14:textId="77777777" w:rsidR="002F4063" w:rsidRPr="004B2498" w:rsidRDefault="002F4063" w:rsidP="002F4063">
      <w:pPr>
        <w:spacing w:before="120" w:after="120"/>
        <w:jc w:val="both"/>
        <w:rPr>
          <w:lang w:eastAsia="fr-FR" w:bidi="fr-FR"/>
        </w:rPr>
      </w:pPr>
    </w:p>
    <w:p w14:paraId="4AC78E6F" w14:textId="77777777" w:rsidR="002F4063" w:rsidRPr="004B2498" w:rsidRDefault="002F4063" w:rsidP="002F4063">
      <w:pPr>
        <w:spacing w:before="120" w:after="120"/>
        <w:jc w:val="both"/>
      </w:pPr>
      <w:r w:rsidRPr="004B2498">
        <w:rPr>
          <w:lang w:eastAsia="fr-FR" w:bidi="fr-FR"/>
        </w:rPr>
        <w:t>La crise financière actuelle qui projette les pays dits du Nord vers un sentier de croissance économique faible durable, marqué par des contraintes inflationnistes, des risques de surendettement croissant des ménages et des États, par une précarisation croissante du rapport sal</w:t>
      </w:r>
      <w:r w:rsidRPr="004B2498">
        <w:rPr>
          <w:lang w:eastAsia="fr-FR" w:bidi="fr-FR"/>
        </w:rPr>
        <w:t>a</w:t>
      </w:r>
      <w:r w:rsidRPr="004B2498">
        <w:rPr>
          <w:lang w:eastAsia="fr-FR" w:bidi="fr-FR"/>
        </w:rPr>
        <w:t>rial dans un contexte de dégradation des régimes de protection sociale, conduit à se poser sérieusement la question de la solidarité et d’une alternative économique plus juste.</w:t>
      </w:r>
    </w:p>
    <w:p w14:paraId="64B018D4" w14:textId="77777777" w:rsidR="002F4063" w:rsidRPr="004B2498" w:rsidRDefault="002F4063" w:rsidP="002F4063">
      <w:pPr>
        <w:spacing w:before="120" w:after="120"/>
        <w:jc w:val="both"/>
      </w:pPr>
      <w:r w:rsidRPr="004B2498">
        <w:rPr>
          <w:lang w:eastAsia="fr-FR" w:bidi="fr-FR"/>
        </w:rPr>
        <w:t>L’économie sociale et solidaire a l’immense mérite de ce point de vue d’avoir démarré cette réflexion depuis plusieurs décennies. Dans ce travail, il</w:t>
      </w:r>
      <w:r>
        <w:t xml:space="preserve"> </w:t>
      </w:r>
      <w:r w:rsidRPr="004B2498">
        <w:t>[76]</w:t>
      </w:r>
      <w:r>
        <w:t xml:space="preserve"> </w:t>
      </w:r>
      <w:r w:rsidRPr="004B2498">
        <w:rPr>
          <w:lang w:eastAsia="fr-FR" w:bidi="fr-FR"/>
        </w:rPr>
        <w:t>s’est agi de présenter la nature du registre du solida</w:t>
      </w:r>
      <w:r w:rsidRPr="004B2498">
        <w:rPr>
          <w:lang w:eastAsia="fr-FR" w:bidi="fr-FR"/>
        </w:rPr>
        <w:t>i</w:t>
      </w:r>
      <w:r w:rsidRPr="004B2498">
        <w:rPr>
          <w:lang w:eastAsia="fr-FR" w:bidi="fr-FR"/>
        </w:rPr>
        <w:t>re tel qu’il est défini par ce courant théorique et de souligner les ob</w:t>
      </w:r>
      <w:r w:rsidRPr="004B2498">
        <w:rPr>
          <w:lang w:eastAsia="fr-FR" w:bidi="fr-FR"/>
        </w:rPr>
        <w:t>s</w:t>
      </w:r>
      <w:r w:rsidRPr="004B2498">
        <w:rPr>
          <w:lang w:eastAsia="fr-FR" w:bidi="fr-FR"/>
        </w:rPr>
        <w:t>tacles des pri</w:t>
      </w:r>
      <w:r w:rsidRPr="004B2498">
        <w:rPr>
          <w:lang w:eastAsia="fr-FR" w:bidi="fr-FR"/>
        </w:rPr>
        <w:t>n</w:t>
      </w:r>
      <w:r w:rsidRPr="004B2498">
        <w:rPr>
          <w:lang w:eastAsia="fr-FR" w:bidi="fr-FR"/>
        </w:rPr>
        <w:t>cipes normatifs retenus par celui-ci comme moteurs de l’action polit</w:t>
      </w:r>
      <w:r w:rsidRPr="004B2498">
        <w:rPr>
          <w:lang w:eastAsia="fr-FR" w:bidi="fr-FR"/>
        </w:rPr>
        <w:t>i</w:t>
      </w:r>
      <w:r w:rsidRPr="004B2498">
        <w:rPr>
          <w:lang w:eastAsia="fr-FR" w:bidi="fr-FR"/>
        </w:rPr>
        <w:t>que (réciprocité, agir démocratique) et du changement.</w:t>
      </w:r>
    </w:p>
    <w:p w14:paraId="52B57B6B" w14:textId="77777777" w:rsidR="002F4063" w:rsidRPr="004B2498" w:rsidRDefault="002F4063" w:rsidP="002F4063">
      <w:pPr>
        <w:spacing w:before="120" w:after="120"/>
        <w:jc w:val="both"/>
      </w:pPr>
      <w:r w:rsidRPr="004B2498">
        <w:rPr>
          <w:lang w:eastAsia="fr-FR" w:bidi="fr-FR"/>
        </w:rPr>
        <w:t>La présentation de ces obstacles vise non pas à condamner cette approche, mais à s’interroger sur les conditions nécessaires d’émergence d’un ordre économique plus solidaire. De ce point de vue, il ne serait pas inutile de s’interroger sur la genèse du paradigme économique libéral et sur sa performativité mondiale depuis les a</w:t>
      </w:r>
      <w:r w:rsidRPr="004B2498">
        <w:rPr>
          <w:lang w:eastAsia="fr-FR" w:bidi="fr-FR"/>
        </w:rPr>
        <w:t>n</w:t>
      </w:r>
      <w:r w:rsidRPr="004B2498">
        <w:rPr>
          <w:lang w:eastAsia="fr-FR" w:bidi="fr-FR"/>
        </w:rPr>
        <w:t xml:space="preserve">nées </w:t>
      </w:r>
      <w:r w:rsidRPr="004B2498">
        <w:t xml:space="preserve">1980. </w:t>
      </w:r>
      <w:r w:rsidRPr="004B2498">
        <w:rPr>
          <w:lang w:eastAsia="fr-FR" w:bidi="fr-FR"/>
        </w:rPr>
        <w:t>Une économie politique de la politique économique libér</w:t>
      </w:r>
      <w:r w:rsidRPr="004B2498">
        <w:rPr>
          <w:lang w:eastAsia="fr-FR" w:bidi="fr-FR"/>
        </w:rPr>
        <w:t>a</w:t>
      </w:r>
      <w:r w:rsidRPr="004B2498">
        <w:rPr>
          <w:lang w:eastAsia="fr-FR" w:bidi="fr-FR"/>
        </w:rPr>
        <w:t xml:space="preserve">le permettrait de montrer comment l’interaction entre les promoteurs académiques et les champs politique, médiatique et économique a été cruciale pour légitimer et porter ce nouveau discours. C’est à travers une véritable entreprise politique que les promoteurs de l’économie libérale sont parvenus à imposer leur nouveau paradigme. Si l’« économie sociale et solidaire » est un projet de nature politique, il reste qu’elle doit penser son rapport au politique. De l’aveu même de Coraggio </w:t>
      </w:r>
      <w:r w:rsidRPr="004B2498">
        <w:t xml:space="preserve">(2007, </w:t>
      </w:r>
      <w:r w:rsidRPr="004B2498">
        <w:rPr>
          <w:lang w:eastAsia="fr-FR" w:bidi="fr-FR"/>
        </w:rPr>
        <w:t xml:space="preserve">p. </w:t>
      </w:r>
      <w:r w:rsidRPr="004B2498">
        <w:t xml:space="preserve">403), </w:t>
      </w:r>
      <w:r w:rsidRPr="004B2498">
        <w:rPr>
          <w:lang w:eastAsia="fr-FR" w:bidi="fr-FR"/>
        </w:rPr>
        <w:t>coordinateur de la RILESS, cette dimension reste embryonnaire : « L’absence du politique comme thématique ce</w:t>
      </w:r>
      <w:r w:rsidRPr="004B2498">
        <w:rPr>
          <w:lang w:eastAsia="fr-FR" w:bidi="fr-FR"/>
        </w:rPr>
        <w:t>n</w:t>
      </w:r>
      <w:r w:rsidRPr="004B2498">
        <w:rPr>
          <w:lang w:eastAsia="fr-FR" w:bidi="fr-FR"/>
        </w:rPr>
        <w:t>trale constitue, à notre sens, une faiblesse du mouvement naissant en faveur d’une autre économie ». Or cet aspect est crucial si l’ESS so</w:t>
      </w:r>
      <w:r w:rsidRPr="004B2498">
        <w:rPr>
          <w:lang w:eastAsia="fr-FR" w:bidi="fr-FR"/>
        </w:rPr>
        <w:t>u</w:t>
      </w:r>
      <w:r w:rsidRPr="004B2498">
        <w:rPr>
          <w:lang w:eastAsia="fr-FR" w:bidi="fr-FR"/>
        </w:rPr>
        <w:t>haite se constituer en véritable politique alternative au capitalisme néolibéral </w:t>
      </w:r>
      <w:r w:rsidRPr="004B2498">
        <w:rPr>
          <w:rStyle w:val="Appelnotedebasdep"/>
          <w:color w:val="auto"/>
          <w:position w:val="0"/>
          <w:sz w:val="28"/>
          <w:lang w:eastAsia="fr-FR" w:bidi="fr-FR"/>
        </w:rPr>
        <w:footnoteReference w:id="74"/>
      </w:r>
      <w:r w:rsidRPr="004B2498">
        <w:rPr>
          <w:lang w:eastAsia="fr-FR" w:bidi="fr-FR"/>
        </w:rPr>
        <w:t xml:space="preserve">. C’est pourquoi, comme le dit Alain Caillé </w:t>
      </w:r>
      <w:r w:rsidRPr="004B2498">
        <w:t xml:space="preserve">(2008, </w:t>
      </w:r>
      <w:r w:rsidRPr="004B2498">
        <w:rPr>
          <w:lang w:eastAsia="fr-FR" w:bidi="fr-FR"/>
        </w:rPr>
        <w:t xml:space="preserve">p. </w:t>
      </w:r>
      <w:r w:rsidRPr="004B2498">
        <w:t>235) :</w:t>
      </w:r>
    </w:p>
    <w:p w14:paraId="174CA21F" w14:textId="77777777" w:rsidR="002F4063" w:rsidRDefault="002F4063" w:rsidP="002F4063">
      <w:pPr>
        <w:pStyle w:val="Grillecouleur-Accent1"/>
        <w:rPr>
          <w:lang w:eastAsia="fr-FR" w:bidi="fr-FR"/>
        </w:rPr>
      </w:pPr>
    </w:p>
    <w:p w14:paraId="71F44877" w14:textId="77777777" w:rsidR="002F4063" w:rsidRPr="004B2498" w:rsidRDefault="002F4063" w:rsidP="002F4063">
      <w:pPr>
        <w:pStyle w:val="Grillecouleur-Accent1"/>
      </w:pPr>
      <w:r w:rsidRPr="004B2498">
        <w:rPr>
          <w:lang w:eastAsia="fr-FR" w:bidi="fr-FR"/>
        </w:rPr>
        <w:t>« Plutôt que d’insister sur l’idée que l’économie solidaire pourrait constituer une autre économie, une alteréconomie, les tenants de l’espérance économique solidaire seraient bien inspirés de s’interroger plus radicalement sur le choix politique qu’ils défendent, sur la forme de démocratie à laquelle ils aspirent. »</w:t>
      </w:r>
    </w:p>
    <w:p w14:paraId="438CE8D4" w14:textId="77777777" w:rsidR="002F4063" w:rsidRPr="004B2498" w:rsidRDefault="002F4063" w:rsidP="002F4063">
      <w:pPr>
        <w:spacing w:before="120" w:after="120"/>
        <w:jc w:val="both"/>
        <w:rPr>
          <w:rStyle w:val="Corpsdutexte7PetitesmajusculesEspacement1pt"/>
          <w:smallCaps w:val="0"/>
          <w:color w:val="auto"/>
          <w:spacing w:val="0"/>
          <w:sz w:val="28"/>
          <w:lang w:val="fr-CA"/>
        </w:rPr>
      </w:pPr>
    </w:p>
    <w:p w14:paraId="0FCCE090" w14:textId="77777777" w:rsidR="002F4063" w:rsidRPr="004B2498" w:rsidRDefault="002F4063" w:rsidP="002F4063">
      <w:pPr>
        <w:pStyle w:val="a"/>
      </w:pPr>
      <w:r w:rsidRPr="00D23CB8">
        <w:t>Références bibliographiques</w:t>
      </w:r>
    </w:p>
    <w:p w14:paraId="41CFBC18" w14:textId="77777777" w:rsidR="002F4063" w:rsidRPr="004B2498" w:rsidRDefault="002F4063" w:rsidP="002F4063">
      <w:pPr>
        <w:spacing w:before="120" w:after="120"/>
        <w:jc w:val="both"/>
        <w:rPr>
          <w:rStyle w:val="Corpsdutexte211ptPetitesmajuscules"/>
          <w:smallCaps w:val="0"/>
          <w:color w:val="auto"/>
          <w:sz w:val="28"/>
          <w:lang w:val="fr-CA"/>
        </w:rPr>
      </w:pPr>
    </w:p>
    <w:p w14:paraId="596FBF02" w14:textId="77777777" w:rsidR="002F4063" w:rsidRPr="004B2498" w:rsidRDefault="002F4063" w:rsidP="002F4063">
      <w:pPr>
        <w:spacing w:before="120" w:after="120"/>
        <w:jc w:val="both"/>
      </w:pPr>
      <w:r w:rsidRPr="00B308B6">
        <w:t xml:space="preserve">Amintas </w:t>
      </w:r>
      <w:r w:rsidRPr="004B2498">
        <w:t xml:space="preserve">Alain, GOUZIEN Annie, PERROT Pascal (éd.), 2005 : </w:t>
      </w:r>
      <w:r w:rsidRPr="00B55B8C">
        <w:rPr>
          <w:i/>
        </w:rPr>
        <w:t>Les chantiers de l’économie sociale et solidaire</w:t>
      </w:r>
      <w:r w:rsidRPr="004B2498">
        <w:t>, Rennes, Presses un</w:t>
      </w:r>
      <w:r w:rsidRPr="004B2498">
        <w:t>i</w:t>
      </w:r>
      <w:r w:rsidRPr="004B2498">
        <w:t>versitaires de Rennes.</w:t>
      </w:r>
    </w:p>
    <w:p w14:paraId="2EFF84D9" w14:textId="77777777" w:rsidR="002F4063" w:rsidRPr="004B2498" w:rsidRDefault="002F4063" w:rsidP="002F4063">
      <w:pPr>
        <w:spacing w:before="120" w:after="120"/>
        <w:jc w:val="both"/>
      </w:pPr>
      <w:r w:rsidRPr="004B2498">
        <w:t>BARON Catherine, 2007 : « Transfert du concept d’économie s</w:t>
      </w:r>
      <w:r w:rsidRPr="004B2498">
        <w:t>o</w:t>
      </w:r>
      <w:r w:rsidRPr="004B2498">
        <w:t xml:space="preserve">lidaire en Afrique francophone », </w:t>
      </w:r>
      <w:r w:rsidRPr="00B55B8C">
        <w:rPr>
          <w:i/>
        </w:rPr>
        <w:t>Revue Tiers Monde</w:t>
      </w:r>
      <w:r w:rsidRPr="004B2498">
        <w:t>, n° 190, p. 325-342.</w:t>
      </w:r>
    </w:p>
    <w:p w14:paraId="1B98397F" w14:textId="77777777" w:rsidR="002F4063" w:rsidRPr="004B2498" w:rsidRDefault="002F4063" w:rsidP="002F4063">
      <w:pPr>
        <w:spacing w:before="120" w:after="120"/>
        <w:jc w:val="both"/>
      </w:pPr>
      <w:r w:rsidRPr="004B2498">
        <w:t xml:space="preserve">BOURDIEU Pierre, 1994 : </w:t>
      </w:r>
      <w:r w:rsidRPr="00B55B8C">
        <w:rPr>
          <w:i/>
        </w:rPr>
        <w:t>Raisons pratiques. Sur la théorie de l’action</w:t>
      </w:r>
      <w:r w:rsidRPr="004B2498">
        <w:t>, Seuil.</w:t>
      </w:r>
    </w:p>
    <w:p w14:paraId="39E28D9C" w14:textId="77777777" w:rsidR="002F4063" w:rsidRPr="004B2498" w:rsidRDefault="002F4063" w:rsidP="002F4063">
      <w:pPr>
        <w:spacing w:before="120" w:after="120"/>
        <w:jc w:val="both"/>
      </w:pPr>
      <w:r>
        <w:br w:type="page"/>
      </w:r>
      <w:r w:rsidRPr="004B2498">
        <w:t>[77]</w:t>
      </w:r>
    </w:p>
    <w:p w14:paraId="435F76A8" w14:textId="77777777" w:rsidR="002F4063" w:rsidRPr="004B2498" w:rsidRDefault="002F4063" w:rsidP="002F4063">
      <w:pPr>
        <w:spacing w:before="120" w:after="120"/>
        <w:jc w:val="both"/>
      </w:pPr>
      <w:r w:rsidRPr="00B308B6">
        <w:t xml:space="preserve">Caillé </w:t>
      </w:r>
      <w:r w:rsidRPr="004B2498">
        <w:t xml:space="preserve">Alain, 2008 : « Sur les concepts d’économie en général et d’économie solidaire en particulier ». </w:t>
      </w:r>
      <w:r w:rsidRPr="00B55B8C">
        <w:rPr>
          <w:i/>
        </w:rPr>
        <w:t>Revue du MAUSS</w:t>
      </w:r>
      <w:r w:rsidRPr="004B2498">
        <w:t>, n° 31, p. 215-236.</w:t>
      </w:r>
    </w:p>
    <w:p w14:paraId="4057F4D5" w14:textId="77777777" w:rsidR="002F4063" w:rsidRPr="004B2498" w:rsidRDefault="002F4063" w:rsidP="002F4063">
      <w:pPr>
        <w:spacing w:before="120" w:after="120"/>
        <w:jc w:val="both"/>
      </w:pPr>
      <w:r w:rsidRPr="004B2498">
        <w:t>CALVÈS Anne-Emmanuelle, 2009 : « Empowerment » : généal</w:t>
      </w:r>
      <w:r w:rsidRPr="004B2498">
        <w:t>o</w:t>
      </w:r>
      <w:r w:rsidRPr="004B2498">
        <w:t>gie d’un concept clé du discours contemporain sur le développ</w:t>
      </w:r>
      <w:r w:rsidRPr="004B2498">
        <w:t>e</w:t>
      </w:r>
      <w:r w:rsidRPr="004B2498">
        <w:t xml:space="preserve">ment », </w:t>
      </w:r>
      <w:r w:rsidRPr="00B55B8C">
        <w:rPr>
          <w:i/>
        </w:rPr>
        <w:t>Revue Tiers Monde</w:t>
      </w:r>
      <w:r w:rsidRPr="004B2498">
        <w:t>, n° 200, p. 735-750.</w:t>
      </w:r>
    </w:p>
    <w:p w14:paraId="09585524" w14:textId="77777777" w:rsidR="002F4063" w:rsidRPr="004B2498" w:rsidRDefault="002F4063" w:rsidP="002F4063">
      <w:pPr>
        <w:spacing w:before="120" w:after="120"/>
        <w:jc w:val="both"/>
      </w:pPr>
      <w:r w:rsidRPr="00B308B6">
        <w:t xml:space="preserve">CARVALHO </w:t>
      </w:r>
      <w:r w:rsidRPr="004B2498">
        <w:t xml:space="preserve">Genauto, Dzimira Sylvain, 2000 : </w:t>
      </w:r>
      <w:r w:rsidRPr="00B55B8C">
        <w:rPr>
          <w:i/>
        </w:rPr>
        <w:t>Don et économie solidaire. Esquisse d’une théorie socioéconomique de l’économie s</w:t>
      </w:r>
      <w:r w:rsidRPr="00B55B8C">
        <w:rPr>
          <w:i/>
        </w:rPr>
        <w:t>o</w:t>
      </w:r>
      <w:r w:rsidRPr="00B55B8C">
        <w:rPr>
          <w:i/>
        </w:rPr>
        <w:t>lidaire</w:t>
      </w:r>
      <w:r w:rsidRPr="004B2498">
        <w:t>, coll. « La petite bibliothèque du MAUSS ».</w:t>
      </w:r>
    </w:p>
    <w:p w14:paraId="1CC6FDAD" w14:textId="77777777" w:rsidR="002F4063" w:rsidRPr="004B2498" w:rsidRDefault="002F4063" w:rsidP="002F4063">
      <w:pPr>
        <w:spacing w:before="120" w:after="120"/>
        <w:jc w:val="both"/>
      </w:pPr>
      <w:r w:rsidRPr="004B2498">
        <w:t xml:space="preserve">CHANIAL Philippe, </w:t>
      </w:r>
      <w:r w:rsidRPr="00B308B6">
        <w:t>Dzimira</w:t>
      </w:r>
      <w:r w:rsidRPr="004B2498">
        <w:t xml:space="preserve"> Sylvain, 2008 : « La solidarité, hi</w:t>
      </w:r>
      <w:r w:rsidRPr="004B2498">
        <w:t>s</w:t>
      </w:r>
      <w:r w:rsidRPr="004B2498">
        <w:t xml:space="preserve">toire d’une idée », </w:t>
      </w:r>
      <w:r w:rsidRPr="00B55B8C">
        <w:rPr>
          <w:i/>
        </w:rPr>
        <w:t>Revue du MAUSS permanente</w:t>
      </w:r>
      <w:r w:rsidRPr="004B2498">
        <w:t>, 28 avril</w:t>
      </w:r>
    </w:p>
    <w:p w14:paraId="18FEA726" w14:textId="77777777" w:rsidR="002F4063" w:rsidRPr="004B2498" w:rsidRDefault="002F4063" w:rsidP="002F4063">
      <w:pPr>
        <w:spacing w:before="120" w:after="120"/>
        <w:jc w:val="both"/>
      </w:pPr>
      <w:r w:rsidRPr="004B2498">
        <w:t>(</w:t>
      </w:r>
      <w:hyperlink r:id="rId20" w:history="1">
        <w:r w:rsidRPr="00B308B6">
          <w:t>http://www.joumaldumauss.net/spip.php7article335</w:t>
        </w:r>
      </w:hyperlink>
      <w:r w:rsidRPr="004B2498">
        <w:t>).</w:t>
      </w:r>
    </w:p>
    <w:p w14:paraId="7C5F1359" w14:textId="77777777" w:rsidR="002F4063" w:rsidRPr="004B2498" w:rsidRDefault="002F4063" w:rsidP="002F4063">
      <w:pPr>
        <w:spacing w:before="120" w:after="120"/>
        <w:jc w:val="both"/>
      </w:pPr>
      <w:r w:rsidRPr="004B2498">
        <w:t xml:space="preserve">CHANIAL Philippe, </w:t>
      </w:r>
      <w:r w:rsidRPr="00B308B6">
        <w:t xml:space="preserve">Laville </w:t>
      </w:r>
      <w:r w:rsidRPr="004B2498">
        <w:t>Jean-Louis, 2002 : « L’économie s</w:t>
      </w:r>
      <w:r w:rsidRPr="004B2498">
        <w:t>o</w:t>
      </w:r>
      <w:r w:rsidRPr="004B2498">
        <w:t xml:space="preserve">lidaire : une question politique », </w:t>
      </w:r>
      <w:r w:rsidRPr="00B55B8C">
        <w:rPr>
          <w:i/>
        </w:rPr>
        <w:t>Mouvements</w:t>
      </w:r>
      <w:r w:rsidRPr="004B2498">
        <w:t>, n° 19, p. 11-20.</w:t>
      </w:r>
    </w:p>
    <w:p w14:paraId="66764686" w14:textId="77777777" w:rsidR="002F4063" w:rsidRPr="004B2498" w:rsidRDefault="002F4063" w:rsidP="002F4063">
      <w:pPr>
        <w:spacing w:before="120" w:after="120"/>
        <w:jc w:val="both"/>
      </w:pPr>
      <w:r w:rsidRPr="004B2498">
        <w:t xml:space="preserve">CHANIAL Philippe (éd.), 2008 : </w:t>
      </w:r>
      <w:r w:rsidRPr="00B55B8C">
        <w:rPr>
          <w:i/>
        </w:rPr>
        <w:t>La société vue du don. Manuel de sociologie anti-utilitariste appliquée</w:t>
      </w:r>
      <w:r w:rsidRPr="004B2498">
        <w:t>, coll. « Texte à l’appui-bibliothèque du MAUSS ».</w:t>
      </w:r>
    </w:p>
    <w:p w14:paraId="627C72FF" w14:textId="77777777" w:rsidR="002F4063" w:rsidRPr="004B2498" w:rsidRDefault="002F4063" w:rsidP="002F4063">
      <w:pPr>
        <w:spacing w:before="120" w:after="120"/>
        <w:jc w:val="both"/>
      </w:pPr>
      <w:r w:rsidRPr="004B2498">
        <w:t>CORAGGIO José Luis, 2007 : « Une autre économie est-elle po</w:t>
      </w:r>
      <w:r w:rsidRPr="004B2498">
        <w:t>s</w:t>
      </w:r>
      <w:r w:rsidRPr="004B2498">
        <w:t xml:space="preserve">sible sans une (autre) politique ? », in FRAISSE Laurent, GUÉRIN Isabelle, </w:t>
      </w:r>
      <w:r w:rsidRPr="00B308B6">
        <w:t xml:space="preserve">Laville </w:t>
      </w:r>
      <w:r w:rsidRPr="004B2498">
        <w:t xml:space="preserve">Jean-Louis, </w:t>
      </w:r>
      <w:r w:rsidRPr="00B55B8C">
        <w:rPr>
          <w:i/>
        </w:rPr>
        <w:t>op. cit</w:t>
      </w:r>
      <w:r w:rsidRPr="004B2498">
        <w:t>, p. 401-416.</w:t>
      </w:r>
    </w:p>
    <w:p w14:paraId="5B548530" w14:textId="77777777" w:rsidR="002F4063" w:rsidRPr="004B2498" w:rsidRDefault="002F4063" w:rsidP="002F4063">
      <w:pPr>
        <w:spacing w:before="120" w:after="120"/>
        <w:jc w:val="both"/>
      </w:pPr>
      <w:r w:rsidRPr="004B2498">
        <w:t xml:space="preserve">COVAS Horacio, </w:t>
      </w:r>
      <w:r w:rsidRPr="00B308B6">
        <w:t xml:space="preserve">DE Sanzo </w:t>
      </w:r>
      <w:r w:rsidRPr="004B2498">
        <w:t xml:space="preserve">Carlos, </w:t>
      </w:r>
      <w:r w:rsidRPr="00B308B6">
        <w:t xml:space="preserve">Primavera </w:t>
      </w:r>
      <w:r w:rsidRPr="004B2498">
        <w:t xml:space="preserve">Heloïse (eds.), 1998 : </w:t>
      </w:r>
      <w:r w:rsidRPr="00B55B8C">
        <w:rPr>
          <w:i/>
        </w:rPr>
        <w:t>Reinventado el mercado. La experiencia de la Red Global de Trueque en Argentina</w:t>
      </w:r>
      <w:r w:rsidRPr="004B2498">
        <w:t xml:space="preserve"> (Ediciones del Programa de Autosufisiencia Régional, Buenos Aires).</w:t>
      </w:r>
    </w:p>
    <w:p w14:paraId="5486797F" w14:textId="77777777" w:rsidR="002F4063" w:rsidRPr="004B2498" w:rsidRDefault="002F4063" w:rsidP="002F4063">
      <w:pPr>
        <w:spacing w:before="120" w:after="120"/>
        <w:jc w:val="both"/>
      </w:pPr>
      <w:r w:rsidRPr="004B2498">
        <w:t xml:space="preserve">DARBUS Fanny, 2009 : </w:t>
      </w:r>
      <w:r w:rsidRPr="00B55B8C">
        <w:rPr>
          <w:i/>
        </w:rPr>
        <w:t>Pratiques et praticiens de l’économie s</w:t>
      </w:r>
      <w:r w:rsidRPr="00B55B8C">
        <w:rPr>
          <w:i/>
        </w:rPr>
        <w:t>o</w:t>
      </w:r>
      <w:r w:rsidRPr="00B55B8C">
        <w:rPr>
          <w:i/>
        </w:rPr>
        <w:t>ciale et solidaire (2000-2007). Contribution à la sociologie des croyances économiques</w:t>
      </w:r>
      <w:r w:rsidRPr="004B2498">
        <w:t>, Thèse de doctorat de sociologie, EHESS.</w:t>
      </w:r>
    </w:p>
    <w:p w14:paraId="45EFEF07" w14:textId="77777777" w:rsidR="002F4063" w:rsidRPr="004B2498" w:rsidRDefault="002F4063" w:rsidP="002F4063">
      <w:pPr>
        <w:spacing w:before="120" w:after="120"/>
        <w:jc w:val="both"/>
      </w:pPr>
      <w:r w:rsidRPr="00B308B6">
        <w:t xml:space="preserve">De MIRAS </w:t>
      </w:r>
      <w:r w:rsidRPr="004B2498">
        <w:t>Claude, 2007 : « Initiative nationale pour le dévelo</w:t>
      </w:r>
      <w:r w:rsidRPr="004B2498">
        <w:t>p</w:t>
      </w:r>
      <w:r w:rsidRPr="004B2498">
        <w:t>pement humain et économie solidaire au Maroc », in FRAISSE La</w:t>
      </w:r>
      <w:r w:rsidRPr="004B2498">
        <w:t>u</w:t>
      </w:r>
      <w:r w:rsidRPr="004B2498">
        <w:t xml:space="preserve">rent, GUÉRIN Isabelle, </w:t>
      </w:r>
      <w:r w:rsidRPr="00B308B6">
        <w:t xml:space="preserve">Laville </w:t>
      </w:r>
      <w:r w:rsidRPr="004B2498">
        <w:t xml:space="preserve">Jean-Louis (éd.), </w:t>
      </w:r>
      <w:r w:rsidRPr="00B55B8C">
        <w:rPr>
          <w:i/>
        </w:rPr>
        <w:t>op. cit</w:t>
      </w:r>
      <w:r w:rsidRPr="004B2498">
        <w:t>, p. 357-378.</w:t>
      </w:r>
    </w:p>
    <w:p w14:paraId="20B1BCFB" w14:textId="77777777" w:rsidR="002F4063" w:rsidRPr="004B2498" w:rsidRDefault="002F4063" w:rsidP="002F4063">
      <w:pPr>
        <w:spacing w:before="120" w:after="120"/>
        <w:jc w:val="both"/>
      </w:pPr>
      <w:r w:rsidRPr="00B308B6">
        <w:t xml:space="preserve">Eme </w:t>
      </w:r>
      <w:r w:rsidRPr="004B2498">
        <w:t xml:space="preserve">Bernard, </w:t>
      </w:r>
      <w:r w:rsidRPr="00B308B6">
        <w:t xml:space="preserve">Laville </w:t>
      </w:r>
      <w:r w:rsidRPr="004B2498">
        <w:t>Jean-Louis, 2006 : « Économie solida</w:t>
      </w:r>
      <w:r w:rsidRPr="004B2498">
        <w:t>i</w:t>
      </w:r>
      <w:r w:rsidRPr="004B2498">
        <w:t xml:space="preserve">re », in </w:t>
      </w:r>
      <w:r w:rsidRPr="00B308B6">
        <w:t xml:space="preserve">Laville </w:t>
      </w:r>
      <w:r w:rsidRPr="004B2498">
        <w:t xml:space="preserve">Jean-Louis et </w:t>
      </w:r>
      <w:r w:rsidRPr="00B308B6">
        <w:t xml:space="preserve">Cattani Antonio-David, </w:t>
      </w:r>
      <w:r w:rsidRPr="00B55B8C">
        <w:rPr>
          <w:i/>
        </w:rPr>
        <w:t>op. cit</w:t>
      </w:r>
      <w:r w:rsidRPr="004B2498">
        <w:t>., p. 303-312.</w:t>
      </w:r>
    </w:p>
    <w:p w14:paraId="5DABB010" w14:textId="77777777" w:rsidR="002F4063" w:rsidRPr="004B2498" w:rsidRDefault="002F4063" w:rsidP="002F4063">
      <w:pPr>
        <w:spacing w:before="120" w:after="120"/>
        <w:jc w:val="both"/>
      </w:pPr>
      <w:r w:rsidRPr="00B308B6">
        <w:t xml:space="preserve">Favreau </w:t>
      </w:r>
      <w:r w:rsidRPr="004B2498">
        <w:t xml:space="preserve">Louis, </w:t>
      </w:r>
      <w:r w:rsidRPr="00B308B6">
        <w:t xml:space="preserve">Lachapelle </w:t>
      </w:r>
      <w:r w:rsidRPr="004B2498">
        <w:t xml:space="preserve">René, </w:t>
      </w:r>
      <w:r w:rsidRPr="00B308B6">
        <w:t xml:space="preserve">Larose </w:t>
      </w:r>
      <w:r w:rsidRPr="004B2498">
        <w:t xml:space="preserve">Gérard, 2003 : </w:t>
      </w:r>
      <w:r w:rsidRPr="00B55B8C">
        <w:rPr>
          <w:i/>
        </w:rPr>
        <w:t>L'écon</w:t>
      </w:r>
      <w:r w:rsidRPr="00B55B8C">
        <w:rPr>
          <w:i/>
        </w:rPr>
        <w:t>o</w:t>
      </w:r>
      <w:r w:rsidRPr="00B55B8C">
        <w:rPr>
          <w:i/>
        </w:rPr>
        <w:t>mie sociale et solidaire : une perspective Nord-Sud</w:t>
      </w:r>
      <w:r w:rsidRPr="004B2498">
        <w:t>, Sainte-Foy, Pre</w:t>
      </w:r>
      <w:r w:rsidRPr="004B2498">
        <w:t>s</w:t>
      </w:r>
      <w:r w:rsidRPr="004B2498">
        <w:t>ses de l’Université du Québec.</w:t>
      </w:r>
    </w:p>
    <w:p w14:paraId="1E8E4F93" w14:textId="77777777" w:rsidR="002F4063" w:rsidRPr="004B2498" w:rsidRDefault="002F4063" w:rsidP="002F4063">
      <w:pPr>
        <w:spacing w:before="120" w:after="120"/>
        <w:jc w:val="both"/>
      </w:pPr>
      <w:r w:rsidRPr="00B308B6">
        <w:t xml:space="preserve">Fraisse </w:t>
      </w:r>
      <w:r w:rsidRPr="004B2498">
        <w:t xml:space="preserve">Laurent, GUÉRIN Isabelle, </w:t>
      </w:r>
      <w:r w:rsidRPr="00B308B6">
        <w:t xml:space="preserve">Laville </w:t>
      </w:r>
      <w:r w:rsidRPr="004B2498">
        <w:t>Jean-Louis (éd.), 2007 : « Économie solidaire : des initiatives locales à l’action publ</w:t>
      </w:r>
      <w:r w:rsidRPr="004B2498">
        <w:t>i</w:t>
      </w:r>
      <w:r w:rsidRPr="004B2498">
        <w:t xml:space="preserve">que », </w:t>
      </w:r>
      <w:r w:rsidRPr="00B55B8C">
        <w:rPr>
          <w:i/>
        </w:rPr>
        <w:t>Revue Tiers Monde</w:t>
      </w:r>
      <w:r w:rsidRPr="004B2498">
        <w:t>, n° 190.</w:t>
      </w:r>
    </w:p>
    <w:p w14:paraId="548F743F" w14:textId="77777777" w:rsidR="002F4063" w:rsidRPr="004B2498" w:rsidRDefault="002F4063" w:rsidP="002F4063">
      <w:pPr>
        <w:spacing w:before="120" w:after="120"/>
        <w:jc w:val="both"/>
      </w:pPr>
      <w:r w:rsidRPr="004B2498">
        <w:t>[78]</w:t>
      </w:r>
    </w:p>
    <w:p w14:paraId="1E6B776B" w14:textId="77777777" w:rsidR="002F4063" w:rsidRPr="004B2498" w:rsidRDefault="002F4063" w:rsidP="002F4063">
      <w:pPr>
        <w:spacing w:before="120" w:after="120"/>
        <w:jc w:val="both"/>
      </w:pPr>
      <w:r w:rsidRPr="00B308B6">
        <w:t xml:space="preserve">Gaiger </w:t>
      </w:r>
      <w:r w:rsidRPr="004B2498">
        <w:t xml:space="preserve">Luis Inácio, 2007 : « Nouvelles formes de production non capitalistes au Brésil », in FRAISSE Laurent, GUÉRIN Isabelle, </w:t>
      </w:r>
      <w:r w:rsidRPr="00B308B6">
        <w:t>L</w:t>
      </w:r>
      <w:r w:rsidRPr="00B308B6">
        <w:t>a</w:t>
      </w:r>
      <w:r w:rsidRPr="00B308B6">
        <w:t xml:space="preserve">ville </w:t>
      </w:r>
      <w:r w:rsidRPr="004B2498">
        <w:t xml:space="preserve">Jean-Louis, </w:t>
      </w:r>
      <w:r w:rsidRPr="00B55B8C">
        <w:rPr>
          <w:i/>
        </w:rPr>
        <w:t>op. cit</w:t>
      </w:r>
      <w:r w:rsidRPr="004B2498">
        <w:t>, p. 309-324.</w:t>
      </w:r>
    </w:p>
    <w:p w14:paraId="1BD1183E" w14:textId="77777777" w:rsidR="002F4063" w:rsidRPr="004B2498" w:rsidRDefault="002F4063" w:rsidP="002F4063">
      <w:pPr>
        <w:spacing w:before="120" w:after="120"/>
        <w:jc w:val="both"/>
      </w:pPr>
      <w:r w:rsidRPr="004B2498">
        <w:t xml:space="preserve">GARDIN Laurent, 2006 : « Réciprocité », in </w:t>
      </w:r>
      <w:r w:rsidRPr="00B308B6">
        <w:t xml:space="preserve">Laville </w:t>
      </w:r>
      <w:r w:rsidRPr="004B2498">
        <w:t xml:space="preserve">Jean-Louis, CATTANI Antonio-David, </w:t>
      </w:r>
      <w:r w:rsidRPr="00B55B8C">
        <w:rPr>
          <w:i/>
        </w:rPr>
        <w:t>op. cit</w:t>
      </w:r>
      <w:r w:rsidRPr="004B2498">
        <w:t>., p. 514-522.</w:t>
      </w:r>
    </w:p>
    <w:p w14:paraId="3F9BCA3B" w14:textId="77777777" w:rsidR="002F4063" w:rsidRPr="004B2498" w:rsidRDefault="002F4063" w:rsidP="002F4063">
      <w:pPr>
        <w:spacing w:before="120" w:after="120"/>
        <w:jc w:val="both"/>
      </w:pPr>
      <w:r w:rsidRPr="00B55B8C">
        <w:rPr>
          <w:caps/>
        </w:rPr>
        <w:t>GaudilliÈRE</w:t>
      </w:r>
      <w:r w:rsidRPr="00B308B6">
        <w:t xml:space="preserve"> </w:t>
      </w:r>
      <w:r w:rsidRPr="004B2498">
        <w:t>Jean-Paul, LECHEVALLIER Arnaud (éd.), 2002 : numéro spécial « L’économie sociale et solidaire, un projet p</w:t>
      </w:r>
      <w:r w:rsidRPr="004B2498">
        <w:t>o</w:t>
      </w:r>
      <w:r w:rsidRPr="004B2498">
        <w:t>lit</w:t>
      </w:r>
      <w:r w:rsidRPr="004B2498">
        <w:t>i</w:t>
      </w:r>
      <w:r w:rsidRPr="004B2498">
        <w:t xml:space="preserve">que », </w:t>
      </w:r>
      <w:r w:rsidRPr="00B55B8C">
        <w:rPr>
          <w:i/>
        </w:rPr>
        <w:t>Mouvements</w:t>
      </w:r>
      <w:r w:rsidRPr="004B2498">
        <w:t>, n° 19.</w:t>
      </w:r>
    </w:p>
    <w:p w14:paraId="56AA0CC1" w14:textId="77777777" w:rsidR="002F4063" w:rsidRPr="004B2498" w:rsidRDefault="002F4063" w:rsidP="002F4063">
      <w:pPr>
        <w:spacing w:before="120" w:after="120"/>
        <w:jc w:val="both"/>
      </w:pPr>
      <w:r w:rsidRPr="00B308B6">
        <w:t xml:space="preserve">GIRARD FEREIRA Nunes </w:t>
      </w:r>
      <w:r w:rsidRPr="004B2498">
        <w:t>Christiane, 2007 : « Politiques publ</w:t>
      </w:r>
      <w:r w:rsidRPr="004B2498">
        <w:t>i</w:t>
      </w:r>
      <w:r w:rsidRPr="004B2498">
        <w:t xml:space="preserve">ques en faveur de l’économie solidaire au Brésil », </w:t>
      </w:r>
      <w:r w:rsidRPr="00B55B8C">
        <w:rPr>
          <w:i/>
        </w:rPr>
        <w:t>Revue Tiers Mo</w:t>
      </w:r>
      <w:r w:rsidRPr="00B55B8C">
        <w:rPr>
          <w:i/>
        </w:rPr>
        <w:t>n</w:t>
      </w:r>
      <w:r w:rsidRPr="00B55B8C">
        <w:rPr>
          <w:i/>
        </w:rPr>
        <w:t>de</w:t>
      </w:r>
      <w:r w:rsidRPr="004B2498">
        <w:t>, n° 190, p. 379- 400.</w:t>
      </w:r>
    </w:p>
    <w:p w14:paraId="54B8215A" w14:textId="77777777" w:rsidR="002F4063" w:rsidRPr="004B2498" w:rsidRDefault="002F4063" w:rsidP="002F4063">
      <w:pPr>
        <w:spacing w:before="120" w:after="120"/>
        <w:jc w:val="both"/>
      </w:pPr>
      <w:r w:rsidRPr="004B2498">
        <w:t xml:space="preserve">HINTZE Susana (ed.), 2003 : </w:t>
      </w:r>
      <w:r w:rsidRPr="00B55B8C">
        <w:rPr>
          <w:i/>
        </w:rPr>
        <w:t>Truequey economia solidairia</w:t>
      </w:r>
      <w:r w:rsidRPr="004B2498">
        <w:t xml:space="preserve"> (Pr</w:t>
      </w:r>
      <w:r w:rsidRPr="004B2498">
        <w:t>o</w:t>
      </w:r>
      <w:r w:rsidRPr="004B2498">
        <w:t>meteo Libros, Buenos Aires).</w:t>
      </w:r>
    </w:p>
    <w:p w14:paraId="36E46059" w14:textId="77777777" w:rsidR="002F4063" w:rsidRPr="004B2498" w:rsidRDefault="002F4063" w:rsidP="002F4063">
      <w:pPr>
        <w:spacing w:before="120" w:after="120"/>
        <w:jc w:val="both"/>
      </w:pPr>
      <w:r w:rsidRPr="00B308B6">
        <w:t xml:space="preserve">Lafaye de Micheaux </w:t>
      </w:r>
      <w:r w:rsidRPr="004B2498">
        <w:t xml:space="preserve">Eisa, </w:t>
      </w:r>
      <w:r w:rsidRPr="00B308B6">
        <w:t xml:space="preserve">OULD Ahmed </w:t>
      </w:r>
      <w:r w:rsidRPr="004B2498">
        <w:t>Pépita, 2007 : « Les contours d’un projet institutionnaliste en économie du développ</w:t>
      </w:r>
      <w:r w:rsidRPr="004B2498">
        <w:t>e</w:t>
      </w:r>
      <w:r w:rsidRPr="004B2498">
        <w:t xml:space="preserve">ment », in </w:t>
      </w:r>
      <w:r w:rsidRPr="00B308B6">
        <w:t xml:space="preserve">Lafaye de Micheaux </w:t>
      </w:r>
      <w:r w:rsidRPr="004B2498">
        <w:t xml:space="preserve">Eisa, </w:t>
      </w:r>
      <w:r w:rsidRPr="00B308B6">
        <w:t xml:space="preserve">Ould-Ahmed </w:t>
      </w:r>
      <w:r w:rsidRPr="004B2498">
        <w:t xml:space="preserve">Pépita (éd.) : </w:t>
      </w:r>
      <w:r w:rsidRPr="00B55B8C">
        <w:rPr>
          <w:i/>
        </w:rPr>
        <w:t>Inst</w:t>
      </w:r>
      <w:r w:rsidRPr="00B55B8C">
        <w:rPr>
          <w:i/>
        </w:rPr>
        <w:t>i</w:t>
      </w:r>
      <w:r w:rsidRPr="00B55B8C">
        <w:rPr>
          <w:i/>
        </w:rPr>
        <w:t>tutions et Développement. La fabrique institutionnelle et politique des trajectoires de développement</w:t>
      </w:r>
      <w:r w:rsidRPr="004B2498">
        <w:t>, Rennes, PUR, p. 9-37.</w:t>
      </w:r>
    </w:p>
    <w:p w14:paraId="72510A53" w14:textId="77777777" w:rsidR="002F4063" w:rsidRPr="004B2498" w:rsidRDefault="002F4063" w:rsidP="002F4063">
      <w:pPr>
        <w:spacing w:before="120" w:after="120"/>
        <w:jc w:val="both"/>
      </w:pPr>
      <w:r w:rsidRPr="00B308B6">
        <w:t xml:space="preserve">Laville </w:t>
      </w:r>
      <w:r w:rsidRPr="004B2498">
        <w:t xml:space="preserve">Jean-Louis, 2006 : « Solidarité », in </w:t>
      </w:r>
      <w:r w:rsidRPr="00B308B6">
        <w:t xml:space="preserve">Laville </w:t>
      </w:r>
      <w:r w:rsidRPr="004B2498">
        <w:t xml:space="preserve">Jean-Louis et CATTANI Antonio-David, </w:t>
      </w:r>
      <w:r w:rsidRPr="00B55B8C">
        <w:rPr>
          <w:i/>
        </w:rPr>
        <w:t>op. cit</w:t>
      </w:r>
      <w:r w:rsidRPr="004B2498">
        <w:t>., p. 609-618.</w:t>
      </w:r>
    </w:p>
    <w:p w14:paraId="2A0603BF" w14:textId="77777777" w:rsidR="002F4063" w:rsidRPr="004B2498" w:rsidRDefault="002F4063" w:rsidP="002F4063">
      <w:pPr>
        <w:spacing w:before="120" w:after="120"/>
        <w:jc w:val="both"/>
      </w:pPr>
      <w:r w:rsidRPr="00B308B6">
        <w:t xml:space="preserve">Laville </w:t>
      </w:r>
      <w:r w:rsidRPr="004B2498">
        <w:t xml:space="preserve">Jean-Louis, CATTANI Antonio-David (éd.), 2006 : </w:t>
      </w:r>
      <w:r w:rsidRPr="00B55B8C">
        <w:rPr>
          <w:i/>
        </w:rPr>
        <w:t>Di</w:t>
      </w:r>
      <w:r w:rsidRPr="00B55B8C">
        <w:rPr>
          <w:i/>
        </w:rPr>
        <w:t>c</w:t>
      </w:r>
      <w:r w:rsidRPr="00B55B8C">
        <w:rPr>
          <w:i/>
        </w:rPr>
        <w:t>tionnaire de l’autre économie</w:t>
      </w:r>
      <w:r w:rsidRPr="004B2498">
        <w:t>, Gallimard, « Folio ».</w:t>
      </w:r>
    </w:p>
    <w:p w14:paraId="43CA77F3" w14:textId="77777777" w:rsidR="002F4063" w:rsidRPr="004B2498" w:rsidRDefault="002F4063" w:rsidP="002F4063">
      <w:pPr>
        <w:spacing w:before="120" w:after="120"/>
        <w:jc w:val="both"/>
      </w:pPr>
      <w:r w:rsidRPr="00B308B6">
        <w:t xml:space="preserve">Laville </w:t>
      </w:r>
      <w:r w:rsidRPr="004B2498">
        <w:t xml:space="preserve">Jean-Louis, </w:t>
      </w:r>
      <w:r w:rsidRPr="00B308B6">
        <w:t xml:space="preserve">Magnen </w:t>
      </w:r>
      <w:r w:rsidRPr="004B2498">
        <w:t xml:space="preserve">Jean-Philippe, </w:t>
      </w:r>
      <w:r w:rsidRPr="00B308B6">
        <w:t xml:space="preserve">Carvlaho </w:t>
      </w:r>
      <w:r w:rsidRPr="004B2498">
        <w:t xml:space="preserve">Genauto, MEDEIROS Alzira, 2005, (éd.) : </w:t>
      </w:r>
      <w:r w:rsidRPr="00B55B8C">
        <w:rPr>
          <w:i/>
        </w:rPr>
        <w:t>Action publique et économie solida</w:t>
      </w:r>
      <w:r w:rsidRPr="00B55B8C">
        <w:rPr>
          <w:i/>
        </w:rPr>
        <w:t>i</w:t>
      </w:r>
      <w:r w:rsidRPr="00B55B8C">
        <w:rPr>
          <w:i/>
        </w:rPr>
        <w:t>re. Une perspective internationale</w:t>
      </w:r>
      <w:r w:rsidRPr="004B2498">
        <w:t>, Ramonville, Erès.</w:t>
      </w:r>
    </w:p>
    <w:p w14:paraId="49687CA5" w14:textId="77777777" w:rsidR="002F4063" w:rsidRPr="004B2498" w:rsidRDefault="002F4063" w:rsidP="002F4063">
      <w:pPr>
        <w:spacing w:before="120" w:after="120"/>
        <w:jc w:val="both"/>
      </w:pPr>
      <w:r w:rsidRPr="004B2498">
        <w:t>LEE Roger, 1996 : “Moral Money ? LETS and the Social Con</w:t>
      </w:r>
      <w:r w:rsidRPr="004B2498">
        <w:t>s</w:t>
      </w:r>
      <w:r w:rsidRPr="004B2498">
        <w:t xml:space="preserve">truction of Local Economic Geographies in Southeast England”, </w:t>
      </w:r>
      <w:r w:rsidRPr="00B55B8C">
        <w:rPr>
          <w:i/>
        </w:rPr>
        <w:t>Env</w:t>
      </w:r>
      <w:r w:rsidRPr="00B55B8C">
        <w:rPr>
          <w:i/>
        </w:rPr>
        <w:t>i</w:t>
      </w:r>
      <w:r w:rsidRPr="00B55B8C">
        <w:rPr>
          <w:i/>
        </w:rPr>
        <w:t>ronment and Planning D : Society and Space</w:t>
      </w:r>
      <w:r w:rsidRPr="004B2498">
        <w:t>, 28, pp. 1377-1394.</w:t>
      </w:r>
    </w:p>
    <w:p w14:paraId="488297D6" w14:textId="77777777" w:rsidR="002F4063" w:rsidRPr="004B2498" w:rsidRDefault="002F4063" w:rsidP="002F4063">
      <w:pPr>
        <w:spacing w:before="120" w:after="120"/>
        <w:jc w:val="both"/>
      </w:pPr>
      <w:r w:rsidRPr="004B2498">
        <w:t xml:space="preserve">LEYSHON Andrew, </w:t>
      </w:r>
      <w:r w:rsidRPr="00B308B6">
        <w:t>Lee</w:t>
      </w:r>
      <w:r w:rsidRPr="004B2498">
        <w:t xml:space="preserve"> Roger, WILLIAMS Colin C. (eds.), 2003 : </w:t>
      </w:r>
      <w:r w:rsidRPr="00B55B8C">
        <w:rPr>
          <w:i/>
        </w:rPr>
        <w:t>Alternative Economic Spaces</w:t>
      </w:r>
      <w:r w:rsidRPr="004B2498">
        <w:t xml:space="preserve"> (SAGE publications, London).</w:t>
      </w:r>
    </w:p>
    <w:p w14:paraId="5507DB09" w14:textId="77777777" w:rsidR="002F4063" w:rsidRPr="004B2498" w:rsidRDefault="002F4063" w:rsidP="002F4063">
      <w:pPr>
        <w:spacing w:before="120" w:after="120"/>
        <w:jc w:val="both"/>
      </w:pPr>
      <w:r w:rsidRPr="004B2498">
        <w:t xml:space="preserve">LIETAER Bernard, 2001 : </w:t>
      </w:r>
      <w:r w:rsidRPr="00B55B8C">
        <w:rPr>
          <w:i/>
        </w:rPr>
        <w:t>The Future of Money</w:t>
      </w:r>
      <w:r w:rsidRPr="004B2498">
        <w:t xml:space="preserve"> (Century, Lo</w:t>
      </w:r>
      <w:r w:rsidRPr="004B2498">
        <w:t>n</w:t>
      </w:r>
      <w:r w:rsidRPr="004B2498">
        <w:t>don)</w:t>
      </w:r>
    </w:p>
    <w:p w14:paraId="296AD07F" w14:textId="77777777" w:rsidR="002F4063" w:rsidRPr="004B2498" w:rsidRDefault="002F4063" w:rsidP="002F4063">
      <w:pPr>
        <w:spacing w:before="120" w:after="120"/>
        <w:jc w:val="both"/>
      </w:pPr>
      <w:r w:rsidRPr="00B308B6">
        <w:t xml:space="preserve">LORDON </w:t>
      </w:r>
      <w:r w:rsidRPr="004B2498">
        <w:t xml:space="preserve">Frédéric, 2006 : </w:t>
      </w:r>
      <w:r w:rsidRPr="00B55B8C">
        <w:rPr>
          <w:i/>
        </w:rPr>
        <w:t>L’intérêt souverain. Essai d’anthropologie économique spinoziste</w:t>
      </w:r>
      <w:r w:rsidRPr="004B2498">
        <w:t xml:space="preserve">, </w:t>
      </w:r>
      <w:r w:rsidRPr="00B308B6">
        <w:t xml:space="preserve">La </w:t>
      </w:r>
      <w:r w:rsidRPr="004B2498">
        <w:t>Découverte.</w:t>
      </w:r>
    </w:p>
    <w:p w14:paraId="01CD6504" w14:textId="77777777" w:rsidR="002F4063" w:rsidRPr="004B2498" w:rsidRDefault="002F4063" w:rsidP="002F4063">
      <w:pPr>
        <w:spacing w:before="120" w:after="120"/>
        <w:jc w:val="both"/>
      </w:pPr>
      <w:r w:rsidRPr="00B308B6">
        <w:t xml:space="preserve">LORDON </w:t>
      </w:r>
      <w:r w:rsidRPr="004B2498">
        <w:t xml:space="preserve">Frédéric, 2009 : </w:t>
      </w:r>
      <w:r w:rsidRPr="00B55B8C">
        <w:rPr>
          <w:i/>
        </w:rPr>
        <w:t>La crise de trop. Reconstruction d’un monde failli</w:t>
      </w:r>
      <w:r w:rsidRPr="004B2498">
        <w:t>, Fayard.</w:t>
      </w:r>
    </w:p>
    <w:p w14:paraId="3FA90BDE" w14:textId="77777777" w:rsidR="002F4063" w:rsidRPr="004B2498" w:rsidRDefault="002F4063" w:rsidP="002F4063">
      <w:pPr>
        <w:spacing w:before="120" w:after="120"/>
        <w:jc w:val="both"/>
      </w:pPr>
      <w:r w:rsidRPr="004B2498">
        <w:t xml:space="preserve">MANCE Euclides André, 2006 : « Consommation solidaire », in </w:t>
      </w:r>
      <w:r w:rsidRPr="00B308B6">
        <w:t xml:space="preserve">Laville </w:t>
      </w:r>
      <w:r w:rsidRPr="004B2498">
        <w:t xml:space="preserve">Jean-Louis et CATTANI Antonio-David, </w:t>
      </w:r>
      <w:r w:rsidRPr="00B55B8C">
        <w:rPr>
          <w:i/>
        </w:rPr>
        <w:t>op. cit</w:t>
      </w:r>
      <w:r w:rsidRPr="004B2498">
        <w:t xml:space="preserve">., p. 126-133. </w:t>
      </w:r>
    </w:p>
    <w:p w14:paraId="53390D14" w14:textId="77777777" w:rsidR="002F4063" w:rsidRPr="004B2498" w:rsidRDefault="002F4063" w:rsidP="002F4063">
      <w:pPr>
        <w:spacing w:before="120" w:after="120"/>
        <w:jc w:val="both"/>
      </w:pPr>
      <w:r w:rsidRPr="004B2498">
        <w:t>[79]</w:t>
      </w:r>
    </w:p>
    <w:p w14:paraId="4EB7A968" w14:textId="77777777" w:rsidR="002F4063" w:rsidRPr="004B2498" w:rsidRDefault="002F4063" w:rsidP="002F4063">
      <w:pPr>
        <w:spacing w:before="120" w:after="120"/>
        <w:jc w:val="both"/>
      </w:pPr>
      <w:r w:rsidRPr="00B308B6">
        <w:t xml:space="preserve">Mayo </w:t>
      </w:r>
      <w:r w:rsidRPr="004B2498">
        <w:t xml:space="preserve">Ed, </w:t>
      </w:r>
      <w:r w:rsidRPr="00B308B6">
        <w:t xml:space="preserve">Boyle </w:t>
      </w:r>
      <w:r w:rsidRPr="004B2498">
        <w:t xml:space="preserve">David, 2000 : “Let a thousand monies bloom”, </w:t>
      </w:r>
      <w:r w:rsidRPr="00B55B8C">
        <w:rPr>
          <w:i/>
        </w:rPr>
        <w:t>Local Economy</w:t>
      </w:r>
      <w:r w:rsidRPr="004B2498">
        <w:t>, 14 (4), p. 290-294.</w:t>
      </w:r>
    </w:p>
    <w:p w14:paraId="76EADF42" w14:textId="77777777" w:rsidR="002F4063" w:rsidRPr="004B2498" w:rsidRDefault="002F4063" w:rsidP="002F4063">
      <w:pPr>
        <w:spacing w:before="120" w:after="120"/>
        <w:jc w:val="both"/>
      </w:pPr>
      <w:r w:rsidRPr="004B2498">
        <w:t>OULD Ahmed Pépita, 2010 : “Can a community currency be ind</w:t>
      </w:r>
      <w:r w:rsidRPr="004B2498">
        <w:t>e</w:t>
      </w:r>
      <w:r w:rsidRPr="004B2498">
        <w:t>pendent of the State currency ? A case study of the credito in Argent</w:t>
      </w:r>
      <w:r w:rsidRPr="004B2498">
        <w:t>i</w:t>
      </w:r>
      <w:r w:rsidRPr="004B2498">
        <w:t xml:space="preserve">na (1995- 2008)”, </w:t>
      </w:r>
      <w:r w:rsidRPr="00B55B8C">
        <w:rPr>
          <w:i/>
        </w:rPr>
        <w:t>Environment and Planning</w:t>
      </w:r>
      <w:r w:rsidRPr="00B308B6">
        <w:t xml:space="preserve"> A,</w:t>
      </w:r>
      <w:r w:rsidRPr="004B2498">
        <w:t xml:space="preserve"> 42, p. 1346-1364.</w:t>
      </w:r>
    </w:p>
    <w:p w14:paraId="2B83D712" w14:textId="77777777" w:rsidR="002F4063" w:rsidRPr="004B2498" w:rsidRDefault="002F4063" w:rsidP="002F4063">
      <w:pPr>
        <w:spacing w:before="120" w:after="120"/>
        <w:jc w:val="both"/>
      </w:pPr>
      <w:r w:rsidRPr="004B2498">
        <w:t>OULD AHMED Pépita, 2009 : « Les formes du politique dans les clubs de troc en Argentine », in BORGEAUD-GARCIANDIA Nat</w:t>
      </w:r>
      <w:r w:rsidRPr="004B2498">
        <w:t>a</w:t>
      </w:r>
      <w:r w:rsidRPr="004B2498">
        <w:t xml:space="preserve">cha, LAUTIER Bruno, PENAFIEL Ricardo, TIZZIANI Ania (éd.) : </w:t>
      </w:r>
      <w:r w:rsidRPr="00B55B8C">
        <w:rPr>
          <w:i/>
        </w:rPr>
        <w:t>Penser le politique en Amérique latine. La recréation des espaces et des formes du politique</w:t>
      </w:r>
      <w:r w:rsidRPr="004B2498">
        <w:t>, Karthala, p. 231-246.</w:t>
      </w:r>
    </w:p>
    <w:p w14:paraId="7BDE9D2F" w14:textId="77777777" w:rsidR="002F4063" w:rsidRPr="004B2498" w:rsidRDefault="002F4063" w:rsidP="002F4063">
      <w:pPr>
        <w:spacing w:before="120" w:after="120"/>
        <w:jc w:val="both"/>
      </w:pPr>
      <w:r w:rsidRPr="004B2498">
        <w:t xml:space="preserve">PACIONE Michael, 1997 : “Local Exchange Trading Systems as a Response to the Globalisation of Capitalism”, </w:t>
      </w:r>
      <w:r w:rsidRPr="00B55B8C">
        <w:rPr>
          <w:i/>
        </w:rPr>
        <w:t>Urban Studies</w:t>
      </w:r>
      <w:r w:rsidRPr="004B2498">
        <w:t xml:space="preserve"> 34, p. 1179-1199.</w:t>
      </w:r>
    </w:p>
    <w:p w14:paraId="26411780" w14:textId="77777777" w:rsidR="002F4063" w:rsidRPr="004B2498" w:rsidRDefault="002F4063" w:rsidP="002F4063">
      <w:pPr>
        <w:spacing w:before="120" w:after="120"/>
        <w:jc w:val="both"/>
      </w:pPr>
      <w:r w:rsidRPr="004B2498">
        <w:t xml:space="preserve">PAUTAS, 1999 : Principios, </w:t>
      </w:r>
      <w:r w:rsidRPr="00B55B8C">
        <w:rPr>
          <w:i/>
        </w:rPr>
        <w:t>Tradiciones, Franquicia Manual de consulta con las preguntas y respuestas fundamentales para conocer la Red Global de Trueque</w:t>
      </w:r>
      <w:r w:rsidRPr="004B2498">
        <w:t>, Ediciones del Programa de Autosuficencia, Buenos Aires.</w:t>
      </w:r>
    </w:p>
    <w:p w14:paraId="2A2F540E" w14:textId="77777777" w:rsidR="002F4063" w:rsidRPr="004B2498" w:rsidRDefault="002F4063" w:rsidP="002F4063">
      <w:pPr>
        <w:spacing w:before="120" w:after="120"/>
        <w:jc w:val="both"/>
      </w:pPr>
      <w:r w:rsidRPr="00B308B6">
        <w:t>Prévost</w:t>
      </w:r>
      <w:r w:rsidRPr="004B2498">
        <w:t xml:space="preserve"> Benoît, 2010 : « Lève toi et marche » </w:t>
      </w:r>
      <w:r>
        <w:t>: les injonctions de l</w:t>
      </w:r>
      <w:r w:rsidRPr="004B2498">
        <w:t xml:space="preserve">’empowerment », revue </w:t>
      </w:r>
      <w:r w:rsidRPr="00B55B8C">
        <w:rPr>
          <w:i/>
        </w:rPr>
        <w:t>Economie et Institutions</w:t>
      </w:r>
      <w:r w:rsidRPr="004B2498">
        <w:t>, 1er semestre, p. 15-40.</w:t>
      </w:r>
    </w:p>
    <w:p w14:paraId="74B86CA8" w14:textId="77777777" w:rsidR="002F4063" w:rsidRPr="004B2498" w:rsidRDefault="002F4063" w:rsidP="002F4063">
      <w:pPr>
        <w:spacing w:before="120" w:after="120"/>
        <w:jc w:val="both"/>
      </w:pPr>
      <w:r w:rsidRPr="004B2498">
        <w:t xml:space="preserve">POLANYI Karl, ARENSBERG Cari (éd.), 1975 : </w:t>
      </w:r>
      <w:r w:rsidRPr="00C409EE">
        <w:rPr>
          <w:i/>
        </w:rPr>
        <w:t>Les systèmes économiques dans la théorie et dans l’histoire</w:t>
      </w:r>
      <w:r w:rsidRPr="004B2498">
        <w:t>, Gallimard, Paris.</w:t>
      </w:r>
    </w:p>
    <w:p w14:paraId="622D657C" w14:textId="77777777" w:rsidR="002F4063" w:rsidRPr="004B2498" w:rsidRDefault="002F4063" w:rsidP="002F4063">
      <w:pPr>
        <w:spacing w:before="120" w:after="120"/>
        <w:jc w:val="both"/>
      </w:pPr>
      <w:r w:rsidRPr="004B2498">
        <w:t xml:space="preserve">PLASENCIA Maria Adela, ORZI Ricardo (eds.), 2007 : </w:t>
      </w:r>
      <w:r w:rsidRPr="00C409EE">
        <w:rPr>
          <w:i/>
        </w:rPr>
        <w:t>Moneda social y mercados solidarios. Potencial emancipador y pedagógico de los sistemas monetarios alternativos</w:t>
      </w:r>
      <w:r w:rsidRPr="004B2498">
        <w:t xml:space="preserve"> (Ediciones Ciccus, Buenos A</w:t>
      </w:r>
      <w:r w:rsidRPr="004B2498">
        <w:t>i</w:t>
      </w:r>
      <w:r w:rsidRPr="004B2498">
        <w:t>res).</w:t>
      </w:r>
    </w:p>
    <w:p w14:paraId="029B3B04" w14:textId="77777777" w:rsidR="002F4063" w:rsidRPr="004B2498" w:rsidRDefault="002F4063" w:rsidP="002F4063">
      <w:pPr>
        <w:spacing w:before="120" w:after="120"/>
        <w:jc w:val="both"/>
      </w:pPr>
      <w:r w:rsidRPr="004B2498">
        <w:t xml:space="preserve">POWELL Jeff, 2002 : “Petty Capitalim, Perfecting Capitalism or Post-Capitalism ? Lessons from the Argentinian Barter Network”, </w:t>
      </w:r>
      <w:r w:rsidRPr="00C409EE">
        <w:rPr>
          <w:i/>
        </w:rPr>
        <w:t>R</w:t>
      </w:r>
      <w:r w:rsidRPr="00C409EE">
        <w:rPr>
          <w:i/>
        </w:rPr>
        <w:t>e</w:t>
      </w:r>
      <w:r w:rsidRPr="00C409EE">
        <w:rPr>
          <w:i/>
        </w:rPr>
        <w:t>view of International Political Economy</w:t>
      </w:r>
      <w:r w:rsidRPr="004B2498">
        <w:t>, 9 (4), p. 619-649.</w:t>
      </w:r>
    </w:p>
    <w:p w14:paraId="1833AA53" w14:textId="77777777" w:rsidR="002F4063" w:rsidRPr="004B2498" w:rsidRDefault="002F4063" w:rsidP="002F4063">
      <w:pPr>
        <w:spacing w:before="120" w:after="120"/>
        <w:jc w:val="both"/>
      </w:pPr>
      <w:r w:rsidRPr="004B2498">
        <w:t xml:space="preserve">SCHULDT Jürgen, 1997 : </w:t>
      </w:r>
      <w:r w:rsidRPr="00C409EE">
        <w:rPr>
          <w:i/>
        </w:rPr>
        <w:t>Dineros alternativos : para el desarro</w:t>
      </w:r>
      <w:r w:rsidRPr="00C409EE">
        <w:rPr>
          <w:i/>
        </w:rPr>
        <w:t>l</w:t>
      </w:r>
      <w:r w:rsidRPr="00C409EE">
        <w:rPr>
          <w:i/>
        </w:rPr>
        <w:t>lo local</w:t>
      </w:r>
      <w:r w:rsidRPr="004B2498">
        <w:t xml:space="preserve"> (Universidad del Pacifico, Lima).</w:t>
      </w:r>
    </w:p>
    <w:p w14:paraId="1119E988" w14:textId="77777777" w:rsidR="002F4063" w:rsidRPr="004B2498" w:rsidRDefault="002F4063" w:rsidP="002F4063">
      <w:pPr>
        <w:spacing w:before="120" w:after="120"/>
        <w:jc w:val="both"/>
      </w:pPr>
      <w:r w:rsidRPr="004B2498">
        <w:t xml:space="preserve">SERVET Jean-Michel, 2007 : « Le principe de réciprocité chez Karl Polanyi », in Fraisse Laurent, Guérin Isabelle, Laville Jean-Louis (éd.), </w:t>
      </w:r>
      <w:r w:rsidRPr="00C409EE">
        <w:rPr>
          <w:i/>
        </w:rPr>
        <w:t>op. cit</w:t>
      </w:r>
      <w:r w:rsidRPr="004B2498">
        <w:t>, p. 255-273.</w:t>
      </w:r>
    </w:p>
    <w:p w14:paraId="2A20B371" w14:textId="77777777" w:rsidR="002F4063" w:rsidRPr="004B2498" w:rsidRDefault="002F4063" w:rsidP="002F4063">
      <w:pPr>
        <w:spacing w:before="120" w:after="120"/>
        <w:jc w:val="both"/>
      </w:pPr>
      <w:r w:rsidRPr="00B308B6">
        <w:t>Seyfang</w:t>
      </w:r>
      <w:r w:rsidRPr="004B2498">
        <w:t xml:space="preserve"> Gill, 2001 : “Money that makes a change : community currencies, North and South”, </w:t>
      </w:r>
      <w:r w:rsidRPr="00C409EE">
        <w:rPr>
          <w:i/>
        </w:rPr>
        <w:t>Gender and development</w:t>
      </w:r>
      <w:r w:rsidRPr="004B2498">
        <w:t>, 9 (1), p. 60-69.</w:t>
      </w:r>
    </w:p>
    <w:p w14:paraId="4390AFE5" w14:textId="77777777" w:rsidR="002F4063" w:rsidRPr="004B2498" w:rsidRDefault="002F4063" w:rsidP="002F4063">
      <w:pPr>
        <w:spacing w:before="120" w:after="120"/>
        <w:jc w:val="both"/>
      </w:pPr>
      <w:r w:rsidRPr="004B2498">
        <w:t>SEYFANG Gill, Pearson Ruth, 2000 : “Time for Change : Intern</w:t>
      </w:r>
      <w:r w:rsidRPr="004B2498">
        <w:t>a</w:t>
      </w:r>
      <w:r w:rsidRPr="004B2498">
        <w:t xml:space="preserve">tional Exprrience in Community Currencies”, </w:t>
      </w:r>
      <w:r w:rsidRPr="00C409EE">
        <w:rPr>
          <w:i/>
        </w:rPr>
        <w:t>Development</w:t>
      </w:r>
      <w:r>
        <w:t>,</w:t>
      </w:r>
      <w:r w:rsidRPr="004B2498">
        <w:t xml:space="preserve"> 43 (4), p. 56-60.</w:t>
      </w:r>
    </w:p>
    <w:p w14:paraId="20B8C6B9" w14:textId="77777777" w:rsidR="002F4063" w:rsidRDefault="002F4063" w:rsidP="002F4063">
      <w:pPr>
        <w:spacing w:before="120" w:after="120"/>
        <w:jc w:val="both"/>
      </w:pPr>
      <w:r w:rsidRPr="00B308B6">
        <w:t>Singer</w:t>
      </w:r>
      <w:r w:rsidRPr="004B2498">
        <w:t xml:space="preserve"> Paul, 2006 : « Économie solidaire », in Jean-Louis Lavi</w:t>
      </w:r>
      <w:r w:rsidRPr="004B2498">
        <w:t>l</w:t>
      </w:r>
      <w:r w:rsidRPr="004B2498">
        <w:t xml:space="preserve">le et David-Antonio CATTANI, </w:t>
      </w:r>
      <w:r w:rsidRPr="00C409EE">
        <w:rPr>
          <w:i/>
        </w:rPr>
        <w:t>op. cit</w:t>
      </w:r>
      <w:r w:rsidRPr="004B2498">
        <w:t xml:space="preserve">., p. 290-302. </w:t>
      </w:r>
    </w:p>
    <w:p w14:paraId="6BAC7B93" w14:textId="77777777" w:rsidR="002F4063" w:rsidRPr="004B2498" w:rsidRDefault="002F4063" w:rsidP="002F4063">
      <w:pPr>
        <w:spacing w:before="120" w:after="120"/>
        <w:jc w:val="both"/>
      </w:pPr>
    </w:p>
    <w:p w14:paraId="530DA479" w14:textId="77777777" w:rsidR="002F4063" w:rsidRPr="004B2498" w:rsidRDefault="002F4063" w:rsidP="002F4063">
      <w:pPr>
        <w:pStyle w:val="p"/>
      </w:pPr>
      <w:r w:rsidRPr="004B2498">
        <w:t>[80]</w:t>
      </w:r>
    </w:p>
    <w:p w14:paraId="4D6B895A" w14:textId="77777777" w:rsidR="002F4063" w:rsidRPr="004B2498" w:rsidRDefault="002F4063" w:rsidP="002F4063">
      <w:pPr>
        <w:pStyle w:val="p"/>
        <w:rPr>
          <w:lang w:eastAsia="fr-FR" w:bidi="fr-FR"/>
        </w:rPr>
      </w:pPr>
      <w:r w:rsidRPr="004B2498">
        <w:br w:type="page"/>
      </w:r>
      <w:r w:rsidRPr="004B2498">
        <w:rPr>
          <w:lang w:eastAsia="fr-FR" w:bidi="fr-FR"/>
        </w:rPr>
        <w:t>[81]</w:t>
      </w:r>
    </w:p>
    <w:p w14:paraId="318121E8" w14:textId="77777777" w:rsidR="002F4063" w:rsidRPr="00E07116" w:rsidRDefault="002F4063" w:rsidP="002F4063">
      <w:pPr>
        <w:jc w:val="both"/>
      </w:pPr>
    </w:p>
    <w:p w14:paraId="41FE7D73" w14:textId="77777777" w:rsidR="002F4063" w:rsidRPr="00E07116" w:rsidRDefault="002F4063" w:rsidP="002F4063">
      <w:pPr>
        <w:jc w:val="both"/>
      </w:pPr>
    </w:p>
    <w:p w14:paraId="5B1F7925" w14:textId="77777777" w:rsidR="002F4063" w:rsidRDefault="002F4063" w:rsidP="002F4063">
      <w:pPr>
        <w:spacing w:after="120"/>
        <w:ind w:firstLine="0"/>
        <w:jc w:val="center"/>
        <w:rPr>
          <w:sz w:val="24"/>
        </w:rPr>
      </w:pPr>
      <w:bookmarkStart w:id="7" w:name="Enjeux_sc_soc_pt_1_texte_4"/>
      <w:r>
        <w:rPr>
          <w:b/>
          <w:sz w:val="24"/>
        </w:rPr>
        <w:t>Enjeux épistémologiques et idéologiques</w:t>
      </w:r>
      <w:r>
        <w:rPr>
          <w:b/>
          <w:sz w:val="24"/>
        </w:rPr>
        <w:br/>
        <w:t>de la globalisation pour les sciences sociales</w:t>
      </w:r>
      <w:r w:rsidRPr="00DC733D">
        <w:rPr>
          <w:sz w:val="24"/>
        </w:rPr>
        <w:t>.</w:t>
      </w:r>
    </w:p>
    <w:p w14:paraId="61776E82" w14:textId="77777777" w:rsidR="002F4063" w:rsidRPr="00DC733D" w:rsidRDefault="002F4063" w:rsidP="002F4063">
      <w:pPr>
        <w:spacing w:after="120"/>
        <w:ind w:firstLine="0"/>
        <w:jc w:val="center"/>
        <w:rPr>
          <w:sz w:val="24"/>
        </w:rPr>
      </w:pPr>
      <w:r>
        <w:rPr>
          <w:sz w:val="24"/>
        </w:rPr>
        <w:t>Première partie : Crises et gouvernance</w:t>
      </w:r>
    </w:p>
    <w:p w14:paraId="3DD76AE9" w14:textId="77777777" w:rsidR="002F4063" w:rsidRPr="00384B20" w:rsidRDefault="002F4063" w:rsidP="002F4063">
      <w:pPr>
        <w:pStyle w:val="Titreniveau1"/>
      </w:pPr>
      <w:r>
        <w:t>4</w:t>
      </w:r>
    </w:p>
    <w:p w14:paraId="0C2D45E3" w14:textId="77777777" w:rsidR="002F4063" w:rsidRPr="00E07116" w:rsidRDefault="002F4063" w:rsidP="002F4063">
      <w:pPr>
        <w:pStyle w:val="Titreniveau2"/>
      </w:pPr>
      <w:r>
        <w:t>“LA GOUVERNANCE :</w:t>
      </w:r>
      <w:r>
        <w:br/>
        <w:t>LEVIER NORMATIF</w:t>
      </w:r>
      <w:r>
        <w:br/>
        <w:t>DE LA GLOBALISATION.”</w:t>
      </w:r>
    </w:p>
    <w:bookmarkEnd w:id="7"/>
    <w:p w14:paraId="3FDED5C1" w14:textId="77777777" w:rsidR="002F4063" w:rsidRPr="00E07116" w:rsidRDefault="002F4063" w:rsidP="002F4063">
      <w:pPr>
        <w:jc w:val="both"/>
        <w:rPr>
          <w:szCs w:val="36"/>
        </w:rPr>
      </w:pPr>
    </w:p>
    <w:p w14:paraId="62BB211B" w14:textId="77777777" w:rsidR="002F4063" w:rsidRPr="00E07116" w:rsidRDefault="002F4063" w:rsidP="002F4063">
      <w:pPr>
        <w:pStyle w:val="suite"/>
      </w:pPr>
      <w:r>
        <w:t>Bernard HOURS</w:t>
      </w:r>
    </w:p>
    <w:p w14:paraId="3FF1FA66" w14:textId="77777777" w:rsidR="002F4063" w:rsidRPr="00E07116" w:rsidRDefault="002F4063" w:rsidP="002F4063">
      <w:pPr>
        <w:jc w:val="both"/>
      </w:pPr>
    </w:p>
    <w:p w14:paraId="412002FB" w14:textId="77777777" w:rsidR="002F4063" w:rsidRPr="00E07116" w:rsidRDefault="002F4063" w:rsidP="002F4063">
      <w:pPr>
        <w:jc w:val="both"/>
      </w:pPr>
    </w:p>
    <w:p w14:paraId="041F2E8E" w14:textId="77777777" w:rsidR="002F4063" w:rsidRPr="00E07116" w:rsidRDefault="002F4063" w:rsidP="002F4063">
      <w:pPr>
        <w:jc w:val="both"/>
      </w:pPr>
    </w:p>
    <w:p w14:paraId="3B49A91F" w14:textId="77777777" w:rsidR="002F4063" w:rsidRPr="00384B20" w:rsidRDefault="002F4063" w:rsidP="002F4063">
      <w:pPr>
        <w:ind w:right="90" w:firstLine="0"/>
        <w:jc w:val="both"/>
        <w:rPr>
          <w:sz w:val="20"/>
        </w:rPr>
      </w:pPr>
      <w:hyperlink w:anchor="sommaire" w:history="1">
        <w:r>
          <w:rPr>
            <w:rStyle w:val="Hyperlien"/>
            <w:sz w:val="20"/>
          </w:rPr>
          <w:t>Retour au sommaire</w:t>
        </w:r>
      </w:hyperlink>
    </w:p>
    <w:p w14:paraId="13E9D232" w14:textId="77777777" w:rsidR="002F4063" w:rsidRPr="004B2498" w:rsidRDefault="002F4063" w:rsidP="002F4063">
      <w:pPr>
        <w:spacing w:before="120" w:after="120"/>
        <w:jc w:val="both"/>
      </w:pPr>
      <w:r w:rsidRPr="004B2498">
        <w:rPr>
          <w:lang w:eastAsia="fr-FR" w:bidi="fr-FR"/>
        </w:rPr>
        <w:t>Les sciences qualifiées de sociales et humaines ont, dans le passé, et en particulier depuis le XIX</w:t>
      </w:r>
      <w:r w:rsidRPr="001F27C5">
        <w:rPr>
          <w:vertAlign w:val="superscript"/>
          <w:lang w:eastAsia="fr-FR" w:bidi="fr-FR"/>
        </w:rPr>
        <w:t>e</w:t>
      </w:r>
      <w:r w:rsidRPr="004B2498">
        <w:rPr>
          <w:lang w:eastAsia="fr-FR" w:bidi="fr-FR"/>
        </w:rPr>
        <w:t xml:space="preserve"> siècle, pris pour objet la société et ses composantes (groupes, familles, classes...) et les normes et valeurs (qui constituent la culture) qui permettent de produire du sens en s</w:t>
      </w:r>
      <w:r w:rsidRPr="004B2498">
        <w:rPr>
          <w:lang w:eastAsia="fr-FR" w:bidi="fr-FR"/>
        </w:rPr>
        <w:t>o</w:t>
      </w:r>
      <w:r w:rsidRPr="004B2498">
        <w:rPr>
          <w:lang w:eastAsia="fr-FR" w:bidi="fr-FR"/>
        </w:rPr>
        <w:t>ciété, le sens de la société, du lien social au-delà des rapports sociaux concrets et des échanges de toute nature. Sous le regard des sciences sociales, la globalisation se présente d’abord, et essentiellement, comme une extrême production normative de règles économiques, morales, afin de rendre d’abord pensable, puis gérable, un monde un</w:t>
      </w:r>
      <w:r w:rsidRPr="004B2498">
        <w:rPr>
          <w:lang w:eastAsia="fr-FR" w:bidi="fr-FR"/>
        </w:rPr>
        <w:t>i</w:t>
      </w:r>
      <w:r w:rsidRPr="004B2498">
        <w:rPr>
          <w:lang w:eastAsia="fr-FR" w:bidi="fr-FR"/>
        </w:rPr>
        <w:t>fié par l’interdépendance globale qui y règne. La bonne gouvernance se présente comme une nécessité ou une référence obligée. Cette i</w:t>
      </w:r>
      <w:r w:rsidRPr="004B2498">
        <w:rPr>
          <w:lang w:eastAsia="fr-FR" w:bidi="fr-FR"/>
        </w:rPr>
        <w:t>n</w:t>
      </w:r>
      <w:r w:rsidRPr="004B2498">
        <w:rPr>
          <w:lang w:eastAsia="fr-FR" w:bidi="fr-FR"/>
        </w:rPr>
        <w:t>terdépendance qui accable les uns et excite les appétits des autres est à la fois causée par la globalisation en même temps qu’elle la produit. On a dit et redit, à juste titre, que la globalisation est compression du champ et de l’espace. Elle modifie presque toutes les échelles de m</w:t>
      </w:r>
      <w:r w:rsidRPr="004B2498">
        <w:rPr>
          <w:lang w:eastAsia="fr-FR" w:bidi="fr-FR"/>
        </w:rPr>
        <w:t>e</w:t>
      </w:r>
      <w:r w:rsidRPr="004B2498">
        <w:rPr>
          <w:lang w:eastAsia="fr-FR" w:bidi="fr-FR"/>
        </w:rPr>
        <w:t>sure antérieures. Et pourtant les États-nations continuent d’occuper le champ politique, s’affrontant ou négociant pour optimiser leurs re</w:t>
      </w:r>
      <w:r w:rsidRPr="004B2498">
        <w:rPr>
          <w:lang w:eastAsia="fr-FR" w:bidi="fr-FR"/>
        </w:rPr>
        <w:t>s</w:t>
      </w:r>
      <w:r w:rsidRPr="004B2498">
        <w:rPr>
          <w:lang w:eastAsia="fr-FR" w:bidi="fr-FR"/>
        </w:rPr>
        <w:t>sources, leur rang, leur statut. Malgré toutes les normes démocratiques édictées, un nombre non négligeable de dictateurs et de tyrans s’observe, qui récusent l’ingérence, fût-elle passive, au nom d’une souveraineté souvent acquise par la violence politique.</w:t>
      </w:r>
    </w:p>
    <w:p w14:paraId="0C318A08" w14:textId="77777777" w:rsidR="002F4063" w:rsidRPr="004B2498" w:rsidRDefault="002F4063" w:rsidP="002F4063">
      <w:pPr>
        <w:spacing w:before="120" w:after="120"/>
        <w:jc w:val="both"/>
      </w:pPr>
      <w:r w:rsidRPr="004B2498">
        <w:rPr>
          <w:lang w:eastAsia="fr-FR" w:bidi="fr-FR"/>
        </w:rPr>
        <w:t>On abordera la gouvernance comme levier de la globalisation en identifiant d’abord les multiples champs où elle produit des normes globales et globalisantes, telles que l’économie, la santé publique, la politique. Dans tous ces domaines la gestion des risques est au centre des normes de gouvernance.</w:t>
      </w:r>
      <w:r w:rsidRPr="004B2498">
        <w:t xml:space="preserve"> </w:t>
      </w:r>
    </w:p>
    <w:p w14:paraId="6388FB6B" w14:textId="77777777" w:rsidR="002F4063" w:rsidRPr="004B2498" w:rsidRDefault="002F4063" w:rsidP="002F4063">
      <w:pPr>
        <w:spacing w:before="120" w:after="120"/>
        <w:jc w:val="both"/>
      </w:pPr>
      <w:r w:rsidRPr="004B2498">
        <w:t>[82]</w:t>
      </w:r>
    </w:p>
    <w:p w14:paraId="19221FA6" w14:textId="77777777" w:rsidR="002F4063" w:rsidRPr="004B2498" w:rsidRDefault="002F4063" w:rsidP="002F4063">
      <w:pPr>
        <w:spacing w:before="120" w:after="120"/>
        <w:jc w:val="both"/>
      </w:pPr>
      <w:r w:rsidRPr="004B2498">
        <w:rPr>
          <w:lang w:eastAsia="fr-FR" w:bidi="fr-FR"/>
        </w:rPr>
        <w:t>On analysera ensuite le phénomène majeur constitué par la natur</w:t>
      </w:r>
      <w:r w:rsidRPr="004B2498">
        <w:rPr>
          <w:lang w:eastAsia="fr-FR" w:bidi="fr-FR"/>
        </w:rPr>
        <w:t>a</w:t>
      </w:r>
      <w:r w:rsidRPr="004B2498">
        <w:rPr>
          <w:lang w:eastAsia="fr-FR" w:bidi="fr-FR"/>
        </w:rPr>
        <w:t>lisation des sociétés et des sciences sociales qui tend à déplacer la t</w:t>
      </w:r>
      <w:r w:rsidRPr="004B2498">
        <w:rPr>
          <w:lang w:eastAsia="fr-FR" w:bidi="fr-FR"/>
        </w:rPr>
        <w:t>o</w:t>
      </w:r>
      <w:r w:rsidRPr="004B2498">
        <w:rPr>
          <w:lang w:eastAsia="fr-FR" w:bidi="fr-FR"/>
        </w:rPr>
        <w:t>talité des objets des sciences sociales, celles-ci devenant des scie</w:t>
      </w:r>
      <w:r w:rsidRPr="004B2498">
        <w:rPr>
          <w:lang w:eastAsia="fr-FR" w:bidi="fr-FR"/>
        </w:rPr>
        <w:t>n</w:t>
      </w:r>
      <w:r w:rsidRPr="004B2498">
        <w:rPr>
          <w:lang w:eastAsia="fr-FR" w:bidi="fr-FR"/>
        </w:rPr>
        <w:t>ces « naturelles » de la société naturalisée.</w:t>
      </w:r>
    </w:p>
    <w:p w14:paraId="4D24ECBC" w14:textId="77777777" w:rsidR="002F4063" w:rsidRPr="004B2498" w:rsidRDefault="002F4063" w:rsidP="002F4063">
      <w:pPr>
        <w:spacing w:before="120" w:after="120"/>
        <w:jc w:val="both"/>
      </w:pPr>
      <w:r w:rsidRPr="004B2498">
        <w:rPr>
          <w:lang w:eastAsia="fr-FR" w:bidi="fr-FR"/>
        </w:rPr>
        <w:t>On abordera enfin la dépolitisation du social qui est le second c</w:t>
      </w:r>
      <w:r w:rsidRPr="004B2498">
        <w:rPr>
          <w:lang w:eastAsia="fr-FR" w:bidi="fr-FR"/>
        </w:rPr>
        <w:t>a</w:t>
      </w:r>
      <w:r w:rsidRPr="004B2498">
        <w:rPr>
          <w:lang w:eastAsia="fr-FR" w:bidi="fr-FR"/>
        </w:rPr>
        <w:t>ractère principal, que permet d’observer la globalisation, dans ses i</w:t>
      </w:r>
      <w:r w:rsidRPr="004B2498">
        <w:rPr>
          <w:lang w:eastAsia="fr-FR" w:bidi="fr-FR"/>
        </w:rPr>
        <w:t>n</w:t>
      </w:r>
      <w:r w:rsidRPr="004B2498">
        <w:rPr>
          <w:lang w:eastAsia="fr-FR" w:bidi="fr-FR"/>
        </w:rPr>
        <w:t>tentions, comme dans ses effets, c’est-à-dire en termes de logiques idéologiques. L'hypothèse initiale posée affirme que la notion de bo</w:t>
      </w:r>
      <w:r w:rsidRPr="004B2498">
        <w:rPr>
          <w:lang w:eastAsia="fr-FR" w:bidi="fr-FR"/>
        </w:rPr>
        <w:t>n</w:t>
      </w:r>
      <w:r w:rsidRPr="004B2498">
        <w:rPr>
          <w:lang w:eastAsia="fr-FR" w:bidi="fr-FR"/>
        </w:rPr>
        <w:t>ne gouvernance est l’outil principal pour rendre pensable le « global » car il s’agit d’une norme unique et unifiante, au-delà de ses déclina</w:t>
      </w:r>
      <w:r w:rsidRPr="004B2498">
        <w:rPr>
          <w:lang w:eastAsia="fr-FR" w:bidi="fr-FR"/>
        </w:rPr>
        <w:t>i</w:t>
      </w:r>
      <w:r w:rsidRPr="004B2498">
        <w:rPr>
          <w:lang w:eastAsia="fr-FR" w:bidi="fr-FR"/>
        </w:rPr>
        <w:t>sons sectorielles (économie et finance, santé, sécurité, politique, env</w:t>
      </w:r>
      <w:r w:rsidRPr="004B2498">
        <w:rPr>
          <w:lang w:eastAsia="fr-FR" w:bidi="fr-FR"/>
        </w:rPr>
        <w:t>i</w:t>
      </w:r>
      <w:r w:rsidRPr="004B2498">
        <w:rPr>
          <w:lang w:eastAsia="fr-FR" w:bidi="fr-FR"/>
        </w:rPr>
        <w:t>ronnement...).</w:t>
      </w:r>
    </w:p>
    <w:p w14:paraId="1C9AC270" w14:textId="77777777" w:rsidR="002F4063" w:rsidRPr="004B2498" w:rsidRDefault="002F4063" w:rsidP="002F4063">
      <w:pPr>
        <w:spacing w:before="120" w:after="120"/>
        <w:jc w:val="both"/>
        <w:rPr>
          <w:szCs w:val="24"/>
          <w:lang w:eastAsia="fr-FR" w:bidi="fr-FR"/>
        </w:rPr>
      </w:pPr>
    </w:p>
    <w:p w14:paraId="782209DE" w14:textId="77777777" w:rsidR="002F4063" w:rsidRPr="004B2498" w:rsidRDefault="002F4063" w:rsidP="002F4063">
      <w:pPr>
        <w:pStyle w:val="a"/>
      </w:pPr>
      <w:r w:rsidRPr="004B2498">
        <w:t>La gouvernance, norme des normes</w:t>
      </w:r>
    </w:p>
    <w:p w14:paraId="4CE178EB" w14:textId="77777777" w:rsidR="002F4063" w:rsidRPr="004B2498" w:rsidRDefault="002F4063" w:rsidP="002F4063">
      <w:pPr>
        <w:spacing w:before="120" w:after="120"/>
        <w:jc w:val="both"/>
        <w:rPr>
          <w:lang w:eastAsia="fr-FR" w:bidi="fr-FR"/>
        </w:rPr>
      </w:pPr>
    </w:p>
    <w:p w14:paraId="00E89F2D" w14:textId="77777777" w:rsidR="002F4063" w:rsidRPr="004B2498" w:rsidRDefault="002F4063" w:rsidP="002F4063">
      <w:pPr>
        <w:spacing w:before="120" w:after="120"/>
        <w:jc w:val="both"/>
      </w:pPr>
      <w:r w:rsidRPr="004B2498">
        <w:rPr>
          <w:lang w:eastAsia="fr-FR" w:bidi="fr-FR"/>
        </w:rPr>
        <w:t>La gouvernance a fait l’objet d’analyses fouillées dont la limite provient souvent de leur caractère sectoriel. Politique, administrative, managériale, la notion renvoie d’abord à une gestion « bonne » ou o</w:t>
      </w:r>
      <w:r w:rsidRPr="004B2498">
        <w:rPr>
          <w:lang w:eastAsia="fr-FR" w:bidi="fr-FR"/>
        </w:rPr>
        <w:t>p</w:t>
      </w:r>
      <w:r w:rsidRPr="004B2498">
        <w:rPr>
          <w:lang w:eastAsia="fr-FR" w:bidi="fr-FR"/>
        </w:rPr>
        <w:t>timisée. La performance dans la gestion est l’un des principaux obje</w:t>
      </w:r>
      <w:r w:rsidRPr="004B2498">
        <w:rPr>
          <w:lang w:eastAsia="fr-FR" w:bidi="fr-FR"/>
        </w:rPr>
        <w:t>c</w:t>
      </w:r>
      <w:r w:rsidRPr="004B2498">
        <w:rPr>
          <w:lang w:eastAsia="fr-FR" w:bidi="fr-FR"/>
        </w:rPr>
        <w:t>tifs et elle se décline dans chaque secteur susceptible ou requérant d’être géré, c’est-à-dire organisé dans la durée, en vue d’atteindre des objectifs identifiés et sans surprises. Ainsi l’antithèse de la bonne gouvernance c’est l’accident imprévu, qui signale un défaut de prév</w:t>
      </w:r>
      <w:r w:rsidRPr="004B2498">
        <w:rPr>
          <w:lang w:eastAsia="fr-FR" w:bidi="fr-FR"/>
        </w:rPr>
        <w:t>i</w:t>
      </w:r>
      <w:r w:rsidRPr="004B2498">
        <w:rPr>
          <w:lang w:eastAsia="fr-FR" w:bidi="fr-FR"/>
        </w:rPr>
        <w:t>sion, voire de précaution, dans l’entreprise comme dans la société.</w:t>
      </w:r>
    </w:p>
    <w:p w14:paraId="772F1F9E" w14:textId="77777777" w:rsidR="002F4063" w:rsidRPr="004B2498" w:rsidRDefault="002F4063" w:rsidP="002F4063">
      <w:pPr>
        <w:spacing w:before="120" w:after="120"/>
        <w:jc w:val="both"/>
      </w:pPr>
      <w:r w:rsidRPr="004B2498">
        <w:rPr>
          <w:lang w:eastAsia="fr-FR" w:bidi="fr-FR"/>
        </w:rPr>
        <w:t>Les références allusives et imprécises à la notion de gouvernance se sont rapidement développées, comme s’il s’agissait d'un concept élastique ou bouche-trou. On l’applique à une foule de champs, tels les biens communs, les ressources naturelles, les sociétés, collectiv</w:t>
      </w:r>
      <w:r w:rsidRPr="004B2498">
        <w:rPr>
          <w:lang w:eastAsia="fr-FR" w:bidi="fr-FR"/>
        </w:rPr>
        <w:t>i</w:t>
      </w:r>
      <w:r w:rsidRPr="004B2498">
        <w:rPr>
          <w:lang w:eastAsia="fr-FR" w:bidi="fr-FR"/>
        </w:rPr>
        <w:t>tés, associations, organisations de tous profils. Tous ces usages re</w:t>
      </w:r>
      <w:r w:rsidRPr="004B2498">
        <w:rPr>
          <w:lang w:eastAsia="fr-FR" w:bidi="fr-FR"/>
        </w:rPr>
        <w:t>n</w:t>
      </w:r>
      <w:r w:rsidRPr="004B2498">
        <w:rPr>
          <w:lang w:eastAsia="fr-FR" w:bidi="fr-FR"/>
        </w:rPr>
        <w:t>voient à une « bonne gestion », qualité qui se juge à l’aune de pl</w:t>
      </w:r>
      <w:r w:rsidRPr="004B2498">
        <w:rPr>
          <w:lang w:eastAsia="fr-FR" w:bidi="fr-FR"/>
        </w:rPr>
        <w:t>u</w:t>
      </w:r>
      <w:r w:rsidRPr="004B2498">
        <w:rPr>
          <w:lang w:eastAsia="fr-FR" w:bidi="fr-FR"/>
        </w:rPr>
        <w:t>sieurs critères tels que la transparence, l’efficience, la durabilité... On remarque que les critères de gouvernance sont particulièrement amb</w:t>
      </w:r>
      <w:r w:rsidRPr="004B2498">
        <w:rPr>
          <w:lang w:eastAsia="fr-FR" w:bidi="fr-FR"/>
        </w:rPr>
        <w:t>i</w:t>
      </w:r>
      <w:r w:rsidRPr="004B2498">
        <w:rPr>
          <w:lang w:eastAsia="fr-FR" w:bidi="fr-FR"/>
        </w:rPr>
        <w:t>gus dans la mesure où ils semblent à la fois mesurer des performances objectives et des valeurs plus éthiques telles que la transparence, la démocratie, le respect de l’environnement. On mesure là le caractère profondément idéologique de la gouvernance. C’est celui qui est an</w:t>
      </w:r>
      <w:r w:rsidRPr="004B2498">
        <w:rPr>
          <w:lang w:eastAsia="fr-FR" w:bidi="fr-FR"/>
        </w:rPr>
        <w:t>a</w:t>
      </w:r>
      <w:r w:rsidRPr="004B2498">
        <w:rPr>
          <w:lang w:eastAsia="fr-FR" w:bidi="fr-FR"/>
        </w:rPr>
        <w:t>lysé ici en termes de logiques idéologiques à l’œuvre, qui mettent en scène des performances moralisées, des objectifs techniques et éth</w:t>
      </w:r>
      <w:r w:rsidRPr="004B2498">
        <w:rPr>
          <w:lang w:eastAsia="fr-FR" w:bidi="fr-FR"/>
        </w:rPr>
        <w:t>i</w:t>
      </w:r>
      <w:r w:rsidRPr="004B2498">
        <w:rPr>
          <w:lang w:eastAsia="fr-FR" w:bidi="fr-FR"/>
        </w:rPr>
        <w:t>ques à la fois.</w:t>
      </w:r>
    </w:p>
    <w:p w14:paraId="65DCD8EC" w14:textId="77777777" w:rsidR="002F4063" w:rsidRPr="004B2498" w:rsidRDefault="002F4063" w:rsidP="002F4063">
      <w:pPr>
        <w:spacing w:before="120" w:after="120"/>
        <w:jc w:val="both"/>
        <w:rPr>
          <w:szCs w:val="24"/>
          <w:lang w:eastAsia="fr-FR" w:bidi="fr-FR"/>
        </w:rPr>
      </w:pPr>
    </w:p>
    <w:p w14:paraId="647ACA19" w14:textId="77777777" w:rsidR="002F4063" w:rsidRPr="004B2498" w:rsidRDefault="002F4063" w:rsidP="002F4063">
      <w:pPr>
        <w:pStyle w:val="a"/>
      </w:pPr>
      <w:r>
        <w:t>La gouvernance économique</w:t>
      </w:r>
      <w:r>
        <w:br/>
      </w:r>
      <w:r w:rsidRPr="004B2498">
        <w:t>ou la moralisation du capitalisme</w:t>
      </w:r>
    </w:p>
    <w:p w14:paraId="55A7FE4B" w14:textId="77777777" w:rsidR="002F4063" w:rsidRPr="004B2498" w:rsidRDefault="002F4063" w:rsidP="002F4063">
      <w:pPr>
        <w:spacing w:before="120" w:after="120"/>
        <w:jc w:val="both"/>
        <w:rPr>
          <w:lang w:eastAsia="fr-FR" w:bidi="fr-FR"/>
        </w:rPr>
      </w:pPr>
    </w:p>
    <w:p w14:paraId="28D35B97" w14:textId="77777777" w:rsidR="002F4063" w:rsidRPr="004B2498" w:rsidRDefault="002F4063" w:rsidP="002F4063">
      <w:pPr>
        <w:spacing w:before="120" w:after="120"/>
        <w:jc w:val="both"/>
      </w:pPr>
      <w:r w:rsidRPr="004B2498">
        <w:rPr>
          <w:lang w:eastAsia="fr-FR" w:bidi="fr-FR"/>
        </w:rPr>
        <w:t>Elles est abordée dans la mesure où le milieu de l’entreprise a été l’un des principaux berceaux du concept de gouvernance. C'est la d</w:t>
      </w:r>
      <w:r w:rsidRPr="004B2498">
        <w:rPr>
          <w:lang w:eastAsia="fr-FR" w:bidi="fr-FR"/>
        </w:rPr>
        <w:t>i</w:t>
      </w:r>
      <w:r w:rsidRPr="004B2498">
        <w:rPr>
          <w:lang w:eastAsia="fr-FR" w:bidi="fr-FR"/>
        </w:rPr>
        <w:t>mension de bonne gestion ou de gestion optimisée qui est ici centrale, avec d’une part la mesure de</w:t>
      </w:r>
      <w:r>
        <w:t xml:space="preserve"> </w:t>
      </w:r>
      <w:r w:rsidRPr="004B2498">
        <w:t>[83]</w:t>
      </w:r>
      <w:r>
        <w:t xml:space="preserve"> </w:t>
      </w:r>
      <w:r w:rsidRPr="004B2498">
        <w:rPr>
          <w:lang w:eastAsia="fr-FR" w:bidi="fr-FR"/>
        </w:rPr>
        <w:t>résultats et d'autre part, celle de la manière dont ils ont été obtenus, c'est-à-dire la méthode. À cet égard l'impact médiatique des suicides à France Télécom ou chez Renault montre que la non prise en compte de la souffrance au travail est d</w:t>
      </w:r>
      <w:r w:rsidRPr="004B2498">
        <w:rPr>
          <w:lang w:eastAsia="fr-FR" w:bidi="fr-FR"/>
        </w:rPr>
        <w:t>é</w:t>
      </w:r>
      <w:r w:rsidRPr="004B2498">
        <w:rPr>
          <w:lang w:eastAsia="fr-FR" w:bidi="fr-FR"/>
        </w:rPr>
        <w:t>sormais considérée comme un indic</w:t>
      </w:r>
      <w:r w:rsidRPr="004B2498">
        <w:rPr>
          <w:lang w:eastAsia="fr-FR" w:bidi="fr-FR"/>
        </w:rPr>
        <w:t>a</w:t>
      </w:r>
      <w:r w:rsidRPr="004B2498">
        <w:rPr>
          <w:lang w:eastAsia="fr-FR" w:bidi="fr-FR"/>
        </w:rPr>
        <w:t>teur négatif de gouvernance.</w:t>
      </w:r>
    </w:p>
    <w:p w14:paraId="4F6D6940" w14:textId="77777777" w:rsidR="002F4063" w:rsidRPr="004B2498" w:rsidRDefault="002F4063" w:rsidP="002F4063">
      <w:pPr>
        <w:spacing w:before="120" w:after="120"/>
        <w:jc w:val="both"/>
      </w:pPr>
      <w:r w:rsidRPr="004B2498">
        <w:rPr>
          <w:lang w:eastAsia="fr-FR" w:bidi="fr-FR"/>
        </w:rPr>
        <w:t>La gestion des ressources humaines suppose de mesurer des fa</w:t>
      </w:r>
      <w:r w:rsidRPr="004B2498">
        <w:rPr>
          <w:lang w:eastAsia="fr-FR" w:bidi="fr-FR"/>
        </w:rPr>
        <w:t>c</w:t>
      </w:r>
      <w:r w:rsidRPr="004B2498">
        <w:rPr>
          <w:lang w:eastAsia="fr-FR" w:bidi="fr-FR"/>
        </w:rPr>
        <w:t>teurs situés en amont de la production de biens ou de services. Il ne s’agit plus seulement de piloter une machine, mais de gérer les re</w:t>
      </w:r>
      <w:r w:rsidRPr="004B2498">
        <w:rPr>
          <w:lang w:eastAsia="fr-FR" w:bidi="fr-FR"/>
        </w:rPr>
        <w:t>s</w:t>
      </w:r>
      <w:r w:rsidRPr="004B2498">
        <w:rPr>
          <w:lang w:eastAsia="fr-FR" w:bidi="fr-FR"/>
        </w:rPr>
        <w:t>sources humaines sans dérives contre-productives. La bonne gouve</w:t>
      </w:r>
      <w:r w:rsidRPr="004B2498">
        <w:rPr>
          <w:lang w:eastAsia="fr-FR" w:bidi="fr-FR"/>
        </w:rPr>
        <w:t>r</w:t>
      </w:r>
      <w:r w:rsidRPr="004B2498">
        <w:rPr>
          <w:lang w:eastAsia="fr-FR" w:bidi="fr-FR"/>
        </w:rPr>
        <w:t>nance, dans le contexte du travail, considéré comme un facteur de production, consiste à optimiser l’exploitation de la ressource tout en limitant les risques de saturation, d’explosion, de perte de contrôle. Le suicide des salariés fait plus de mal à l’image d’une entreprise qu’une grève classique si elle est sectorielle.</w:t>
      </w:r>
    </w:p>
    <w:p w14:paraId="336B9B56" w14:textId="77777777" w:rsidR="002F4063" w:rsidRPr="004B2498" w:rsidRDefault="002F4063" w:rsidP="002F4063">
      <w:pPr>
        <w:spacing w:before="120" w:after="120"/>
        <w:jc w:val="both"/>
      </w:pPr>
      <w:r w:rsidRPr="004B2498">
        <w:rPr>
          <w:lang w:eastAsia="fr-FR" w:bidi="fr-FR"/>
        </w:rPr>
        <w:t>L'accident de travail choque moins l’opinion que le suicide car ce dernier constitue une protestation contre un défaut de gestion, d’attention, qui souligne la toxicité d’un système ainsi que l’absence d’anticipation d’un risque de dissidence, c’est-à-dire de sortie du sy</w:t>
      </w:r>
      <w:r w:rsidRPr="004B2498">
        <w:rPr>
          <w:lang w:eastAsia="fr-FR" w:bidi="fr-FR"/>
        </w:rPr>
        <w:t>s</w:t>
      </w:r>
      <w:r w:rsidRPr="004B2498">
        <w:rPr>
          <w:lang w:eastAsia="fr-FR" w:bidi="fr-FR"/>
        </w:rPr>
        <w:t>tème, fût-ce par le bas : la destruction ou la mort du salarié par lui-même. L’attentat à la vie (d’un tiers ou la sienne) est en effet l’acte le plus subversif, comme le montre l’émoi provoqué par les assassinats de « victimes innocentes », de personnels humanitaires ou les suicides en entreprises.</w:t>
      </w:r>
    </w:p>
    <w:p w14:paraId="4232F8FA" w14:textId="77777777" w:rsidR="002F4063" w:rsidRPr="004B2498" w:rsidRDefault="002F4063" w:rsidP="002F4063">
      <w:pPr>
        <w:spacing w:before="120" w:after="120"/>
        <w:jc w:val="both"/>
      </w:pPr>
      <w:r w:rsidRPr="004B2498">
        <w:rPr>
          <w:lang w:eastAsia="fr-FR" w:bidi="fr-FR"/>
        </w:rPr>
        <w:t>Si l’on regarde au-delà du monde du travail, la bonne gouvernance en économie renvoie à la notion de maîtrise. Celle-ci s’applique à la production de biens et services, mais aussi et plus encore depuis la crise de 2008, au monde de la finance qui, à travers le phénomène dit de financiarisation de l’économie réelle, a envahi, et en partie phag</w:t>
      </w:r>
      <w:r w:rsidRPr="004B2498">
        <w:rPr>
          <w:lang w:eastAsia="fr-FR" w:bidi="fr-FR"/>
        </w:rPr>
        <w:t>o</w:t>
      </w:r>
      <w:r w:rsidRPr="004B2498">
        <w:rPr>
          <w:lang w:eastAsia="fr-FR" w:bidi="fr-FR"/>
        </w:rPr>
        <w:t>cyté les marchés de plus en plus déréalisés. Les échanges économ</w:t>
      </w:r>
      <w:r w:rsidRPr="004B2498">
        <w:rPr>
          <w:lang w:eastAsia="fr-FR" w:bidi="fr-FR"/>
        </w:rPr>
        <w:t>i</w:t>
      </w:r>
      <w:r w:rsidRPr="004B2498">
        <w:rPr>
          <w:lang w:eastAsia="fr-FR" w:bidi="fr-FR"/>
        </w:rPr>
        <w:t>ques s’effacent devant les flux financiers qui n’en sont pourtant qu’un des aspects, voire une simple conséquence. Même la microfinance, d’abord destinée à produire des revenus pour des pauvres est parfois gangrenée par la perte de contrôle de l’endettement effréné de micro-entrepreneurs sans filet à qui l’on vend des prêts comme placement de capitaux. Ces dérives financières créatrices de bulles sont largement imputables à l’intégrisme néolibéral qui, à la fin de la guerre froide, a divinisé le marché autorégulé au mépris de toute précaution. Le ma</w:t>
      </w:r>
      <w:r w:rsidRPr="004B2498">
        <w:rPr>
          <w:lang w:eastAsia="fr-FR" w:bidi="fr-FR"/>
        </w:rPr>
        <w:t>r</w:t>
      </w:r>
      <w:r w:rsidRPr="004B2498">
        <w:rPr>
          <w:lang w:eastAsia="fr-FR" w:bidi="fr-FR"/>
        </w:rPr>
        <w:t>ché a ainsi avalé l’économie, la pièce a effacé le théâtre, avec les r</w:t>
      </w:r>
      <w:r w:rsidRPr="004B2498">
        <w:rPr>
          <w:lang w:eastAsia="fr-FR" w:bidi="fr-FR"/>
        </w:rPr>
        <w:t>é</w:t>
      </w:r>
      <w:r w:rsidRPr="004B2498">
        <w:rPr>
          <w:lang w:eastAsia="fr-FR" w:bidi="fr-FR"/>
        </w:rPr>
        <w:t>sultats que l’on sait, en termes de volatilité chronique, de crise dur</w:t>
      </w:r>
      <w:r w:rsidRPr="004B2498">
        <w:rPr>
          <w:lang w:eastAsia="fr-FR" w:bidi="fr-FR"/>
        </w:rPr>
        <w:t>a</w:t>
      </w:r>
      <w:r w:rsidRPr="004B2498">
        <w:rPr>
          <w:lang w:eastAsia="fr-FR" w:bidi="fr-FR"/>
        </w:rPr>
        <w:t>ble.</w:t>
      </w:r>
    </w:p>
    <w:p w14:paraId="38865448" w14:textId="77777777" w:rsidR="002F4063" w:rsidRPr="004B2498" w:rsidRDefault="002F4063" w:rsidP="002F4063">
      <w:pPr>
        <w:spacing w:before="120" w:after="120"/>
        <w:jc w:val="both"/>
      </w:pPr>
      <w:r w:rsidRPr="004B2498">
        <w:rPr>
          <w:lang w:eastAsia="fr-FR" w:bidi="fr-FR"/>
        </w:rPr>
        <w:t>Dans ce paysage de crise, où les économies asiatiques et sud-américaines semblent plus solides que l’Europe en termes de perspe</w:t>
      </w:r>
      <w:r w:rsidRPr="004B2498">
        <w:rPr>
          <w:lang w:eastAsia="fr-FR" w:bidi="fr-FR"/>
        </w:rPr>
        <w:t>c</w:t>
      </w:r>
      <w:r w:rsidRPr="004B2498">
        <w:rPr>
          <w:lang w:eastAsia="fr-FR" w:bidi="fr-FR"/>
        </w:rPr>
        <w:t>tives, la bonne gouvernance prend des allures de régulation, de maîtr</w:t>
      </w:r>
      <w:r w:rsidRPr="004B2498">
        <w:rPr>
          <w:lang w:eastAsia="fr-FR" w:bidi="fr-FR"/>
        </w:rPr>
        <w:t>i</w:t>
      </w:r>
      <w:r w:rsidRPr="004B2498">
        <w:rPr>
          <w:lang w:eastAsia="fr-FR" w:bidi="fr-FR"/>
        </w:rPr>
        <w:t>se nécessaire de l’économie de marché. Celle-ci est apparue comme le principal champ global, comme marché mondial où la Chine a pris la place que l’on connaît.</w:t>
      </w:r>
    </w:p>
    <w:p w14:paraId="145C103F" w14:textId="77777777" w:rsidR="002F4063" w:rsidRPr="004B2498" w:rsidRDefault="002F4063" w:rsidP="002F4063">
      <w:pPr>
        <w:spacing w:before="120" w:after="120"/>
        <w:jc w:val="both"/>
      </w:pPr>
      <w:r w:rsidRPr="004B2498">
        <w:rPr>
          <w:lang w:eastAsia="fr-FR" w:bidi="fr-FR"/>
        </w:rPr>
        <w:t>C’est pourquoi désormais, à l’agenda de la bonne gouvernance globale figure en première ligne la moralisation du capitalisme. Après le culte des</w:t>
      </w:r>
      <w:r w:rsidRPr="004B2498">
        <w:t xml:space="preserve"> [84]</w:t>
      </w:r>
      <w:r>
        <w:t xml:space="preserve"> </w:t>
      </w:r>
      <w:r w:rsidRPr="004B2498">
        <w:rPr>
          <w:lang w:eastAsia="fr-FR" w:bidi="fr-FR"/>
        </w:rPr>
        <w:t>performances financières en forme de bulles qui écl</w:t>
      </w:r>
      <w:r w:rsidRPr="004B2498">
        <w:rPr>
          <w:lang w:eastAsia="fr-FR" w:bidi="fr-FR"/>
        </w:rPr>
        <w:t>a</w:t>
      </w:r>
      <w:r w:rsidRPr="004B2498">
        <w:rPr>
          <w:lang w:eastAsia="fr-FR" w:bidi="fr-FR"/>
        </w:rPr>
        <w:t>tent, la bonne gouvernance consiste à affirmer que celle-ci doit être bonne, c’est-à-dire bénéfique, pour une majorité de « créatures glob</w:t>
      </w:r>
      <w:r w:rsidRPr="004B2498">
        <w:rPr>
          <w:lang w:eastAsia="fr-FR" w:bidi="fr-FR"/>
        </w:rPr>
        <w:t>a</w:t>
      </w:r>
      <w:r w:rsidRPr="004B2498">
        <w:rPr>
          <w:lang w:eastAsia="fr-FR" w:bidi="fr-FR"/>
        </w:rPr>
        <w:t>les », hommes, femmes et enfants, citoyens virtuels d’une humanité virtuelle elle au</w:t>
      </w:r>
      <w:r w:rsidRPr="004B2498">
        <w:rPr>
          <w:lang w:eastAsia="fr-FR" w:bidi="fr-FR"/>
        </w:rPr>
        <w:t>s</w:t>
      </w:r>
      <w:r w:rsidRPr="004B2498">
        <w:rPr>
          <w:lang w:eastAsia="fr-FR" w:bidi="fr-FR"/>
        </w:rPr>
        <w:t>si. On se trouve au cœur des questions classiques des sciences sociales sur les inégalités, l’équité, l’usage légitime de la r</w:t>
      </w:r>
      <w:r w:rsidRPr="004B2498">
        <w:rPr>
          <w:lang w:eastAsia="fr-FR" w:bidi="fr-FR"/>
        </w:rPr>
        <w:t>i</w:t>
      </w:r>
      <w:r w:rsidRPr="004B2498">
        <w:rPr>
          <w:lang w:eastAsia="fr-FR" w:bidi="fr-FR"/>
        </w:rPr>
        <w:t>chesse mais en des termes nouveaux. Réfléchir à la justice, sans dire son nom, amène aujourd’hui à parler de valeur, financière plus soci</w:t>
      </w:r>
      <w:r w:rsidRPr="004B2498">
        <w:rPr>
          <w:lang w:eastAsia="fr-FR" w:bidi="fr-FR"/>
        </w:rPr>
        <w:t>a</w:t>
      </w:r>
      <w:r w:rsidRPr="004B2498">
        <w:rPr>
          <w:lang w:eastAsia="fr-FR" w:bidi="fr-FR"/>
        </w:rPr>
        <w:t>le, et c’est une rupt</w:t>
      </w:r>
      <w:r w:rsidRPr="004B2498">
        <w:rPr>
          <w:lang w:eastAsia="fr-FR" w:bidi="fr-FR"/>
        </w:rPr>
        <w:t>u</w:t>
      </w:r>
      <w:r w:rsidRPr="004B2498">
        <w:rPr>
          <w:lang w:eastAsia="fr-FR" w:bidi="fr-FR"/>
        </w:rPr>
        <w:t>re importante qui explique des déplacements de concepts. À force de ne parler que des riches et de la richesse, la lutte contre la pauvreté qui a remplacé le développement économique et social du siècle passé, devient profondément morale. Au moins dans ses intentions et malgré les spectacles philanthropiques ou les spécul</w:t>
      </w:r>
      <w:r w:rsidRPr="004B2498">
        <w:rPr>
          <w:lang w:eastAsia="fr-FR" w:bidi="fr-FR"/>
        </w:rPr>
        <w:t>a</w:t>
      </w:r>
      <w:r w:rsidRPr="004B2498">
        <w:rPr>
          <w:lang w:eastAsia="fr-FR" w:bidi="fr-FR"/>
        </w:rPr>
        <w:t>tions sur la microfina</w:t>
      </w:r>
      <w:r w:rsidRPr="004B2498">
        <w:rPr>
          <w:lang w:eastAsia="fr-FR" w:bidi="fr-FR"/>
        </w:rPr>
        <w:t>n</w:t>
      </w:r>
      <w:r w:rsidRPr="004B2498">
        <w:rPr>
          <w:lang w:eastAsia="fr-FR" w:bidi="fr-FR"/>
        </w:rPr>
        <w:t>ce.</w:t>
      </w:r>
    </w:p>
    <w:p w14:paraId="2AE7FC4E" w14:textId="77777777" w:rsidR="002F4063" w:rsidRPr="004B2498" w:rsidRDefault="002F4063" w:rsidP="002F4063">
      <w:pPr>
        <w:spacing w:before="120" w:after="120"/>
        <w:jc w:val="both"/>
      </w:pPr>
      <w:r w:rsidRPr="004B2498">
        <w:rPr>
          <w:lang w:eastAsia="fr-FR" w:bidi="fr-FR"/>
        </w:rPr>
        <w:t>Toutes ces initiatives sont bénies en termes de bonne gouvernance car elles donnent à voir des tentatives de pilotage éthique d’une plan</w:t>
      </w:r>
      <w:r w:rsidRPr="004B2498">
        <w:rPr>
          <w:lang w:eastAsia="fr-FR" w:bidi="fr-FR"/>
        </w:rPr>
        <w:t>è</w:t>
      </w:r>
      <w:r w:rsidRPr="004B2498">
        <w:rPr>
          <w:lang w:eastAsia="fr-FR" w:bidi="fr-FR"/>
        </w:rPr>
        <w:t xml:space="preserve">te en crise économique et environnementale. La vogue du </w:t>
      </w:r>
      <w:r w:rsidRPr="004227FD">
        <w:rPr>
          <w:i/>
        </w:rPr>
        <w:t>care</w:t>
      </w:r>
      <w:r w:rsidRPr="004B2498">
        <w:rPr>
          <w:lang w:eastAsia="fr-FR" w:bidi="fr-FR"/>
        </w:rPr>
        <w:t xml:space="preserve"> s’inscrit elle aussi dans une gouvernance éclairée, sensible, émotio</w:t>
      </w:r>
      <w:r w:rsidRPr="004B2498">
        <w:rPr>
          <w:lang w:eastAsia="fr-FR" w:bidi="fr-FR"/>
        </w:rPr>
        <w:t>n</w:t>
      </w:r>
      <w:r w:rsidRPr="004B2498">
        <w:rPr>
          <w:lang w:eastAsia="fr-FR" w:bidi="fr-FR"/>
        </w:rPr>
        <w:t>nelle, au-delà, et peut-être pour masquer la sauvagerie du marché, de la concurrence débridée, la violence qui monte avec l’incivilité. Cette violence est en effet le risque principal susceptible de perturber toutes les « bonnes gestions » et les « bonnes gouvernances » de la planète. Le gouvernement chinois en sait quelque chose, avec ses milliers de révoltes locales, soigneusement isolées, et les politiques sociales e</w:t>
      </w:r>
      <w:r w:rsidRPr="004B2498">
        <w:rPr>
          <w:lang w:eastAsia="fr-FR" w:bidi="fr-FR"/>
        </w:rPr>
        <w:t>n</w:t>
      </w:r>
      <w:r w:rsidRPr="004B2498">
        <w:rPr>
          <w:lang w:eastAsia="fr-FR" w:bidi="fr-FR"/>
        </w:rPr>
        <w:t>gagées dans les prochaines années, avec en particulier la protection sociale en projet rapproché.</w:t>
      </w:r>
    </w:p>
    <w:p w14:paraId="20C717C0" w14:textId="77777777" w:rsidR="002F4063" w:rsidRPr="004B2498" w:rsidRDefault="002F4063" w:rsidP="002F4063">
      <w:pPr>
        <w:spacing w:before="120" w:after="120"/>
        <w:jc w:val="both"/>
      </w:pPr>
      <w:r w:rsidRPr="004B2498">
        <w:rPr>
          <w:lang w:eastAsia="fr-FR" w:bidi="fr-FR"/>
        </w:rPr>
        <w:t>Ces remarques sur la gouvernance économique amènent à soul</w:t>
      </w:r>
      <w:r w:rsidRPr="004B2498">
        <w:rPr>
          <w:lang w:eastAsia="fr-FR" w:bidi="fr-FR"/>
        </w:rPr>
        <w:t>i</w:t>
      </w:r>
      <w:r w:rsidRPr="004B2498">
        <w:rPr>
          <w:lang w:eastAsia="fr-FR" w:bidi="fr-FR"/>
        </w:rPr>
        <w:t>gner la contradiction qui demeure entre accumulation des profits et moralisation du capitalisme. La gouvernance économique, c’est avant tout prévoir et prévenir les crises car celles-ci sont créatrices de ri</w:t>
      </w:r>
      <w:r w:rsidRPr="004B2498">
        <w:rPr>
          <w:lang w:eastAsia="fr-FR" w:bidi="fr-FR"/>
        </w:rPr>
        <w:t>s</w:t>
      </w:r>
      <w:r w:rsidRPr="004B2498">
        <w:rPr>
          <w:lang w:eastAsia="fr-FR" w:bidi="fr-FR"/>
        </w:rPr>
        <w:t>ques de violences sociales incompatibles avec de bonnes performa</w:t>
      </w:r>
      <w:r w:rsidRPr="004B2498">
        <w:rPr>
          <w:lang w:eastAsia="fr-FR" w:bidi="fr-FR"/>
        </w:rPr>
        <w:t>n</w:t>
      </w:r>
      <w:r w:rsidRPr="004B2498">
        <w:rPr>
          <w:lang w:eastAsia="fr-FR" w:bidi="fr-FR"/>
        </w:rPr>
        <w:t>ces de croissance du PIB.</w:t>
      </w:r>
    </w:p>
    <w:p w14:paraId="10E6EB4F" w14:textId="77777777" w:rsidR="002F4063" w:rsidRPr="004B2498" w:rsidRDefault="002F4063" w:rsidP="002F4063">
      <w:pPr>
        <w:spacing w:before="120" w:after="120"/>
        <w:jc w:val="both"/>
        <w:rPr>
          <w:szCs w:val="24"/>
          <w:lang w:eastAsia="fr-FR" w:bidi="fr-FR"/>
        </w:rPr>
      </w:pPr>
    </w:p>
    <w:p w14:paraId="05DDDEEA" w14:textId="77777777" w:rsidR="002F4063" w:rsidRPr="004B2498" w:rsidRDefault="002F4063" w:rsidP="002F4063">
      <w:pPr>
        <w:pStyle w:val="a"/>
      </w:pPr>
      <w:r w:rsidRPr="004B2498">
        <w:t>La gouvernance politique</w:t>
      </w:r>
      <w:r>
        <w:br/>
      </w:r>
      <w:r w:rsidRPr="004B2498">
        <w:t>ou comment exporter la démocratie o</w:t>
      </w:r>
      <w:r w:rsidRPr="004B2498">
        <w:t>c</w:t>
      </w:r>
      <w:r w:rsidRPr="004B2498">
        <w:t>cidentale</w:t>
      </w:r>
    </w:p>
    <w:p w14:paraId="2BBD66BD" w14:textId="77777777" w:rsidR="002F4063" w:rsidRPr="004B2498" w:rsidRDefault="002F4063" w:rsidP="002F4063">
      <w:pPr>
        <w:spacing w:before="120" w:after="120"/>
        <w:jc w:val="both"/>
        <w:rPr>
          <w:lang w:eastAsia="fr-FR" w:bidi="fr-FR"/>
        </w:rPr>
      </w:pPr>
    </w:p>
    <w:p w14:paraId="1C1B2F30" w14:textId="77777777" w:rsidR="002F4063" w:rsidRPr="004B2498" w:rsidRDefault="002F4063" w:rsidP="002F4063">
      <w:pPr>
        <w:spacing w:before="120" w:after="120"/>
        <w:jc w:val="both"/>
      </w:pPr>
      <w:r w:rsidRPr="004B2498">
        <w:rPr>
          <w:lang w:eastAsia="fr-FR" w:bidi="fr-FR"/>
        </w:rPr>
        <w:t>Cette démocratie est abordée ici comme norme globale. Notion administrative ou territoriale, la gouvernance signifiait sous Louis XIV la région administrative principale de l’Artois avant de d</w:t>
      </w:r>
      <w:r w:rsidRPr="004B2498">
        <w:rPr>
          <w:lang w:eastAsia="fr-FR" w:bidi="fr-FR"/>
        </w:rPr>
        <w:t>é</w:t>
      </w:r>
      <w:r w:rsidRPr="004B2498">
        <w:rPr>
          <w:lang w:eastAsia="fr-FR" w:bidi="fr-FR"/>
        </w:rPr>
        <w:t>signer la résidence du gouverneur colonial au Sénégal. Dans le champ polit</w:t>
      </w:r>
      <w:r w:rsidRPr="004B2498">
        <w:rPr>
          <w:lang w:eastAsia="fr-FR" w:bidi="fr-FR"/>
        </w:rPr>
        <w:t>i</w:t>
      </w:r>
      <w:r w:rsidRPr="004B2498">
        <w:rPr>
          <w:lang w:eastAsia="fr-FR" w:bidi="fr-FR"/>
        </w:rPr>
        <w:t>que, la bonne gouvernance consiste désormais principalement à diff</w:t>
      </w:r>
      <w:r w:rsidRPr="004B2498">
        <w:rPr>
          <w:lang w:eastAsia="fr-FR" w:bidi="fr-FR"/>
        </w:rPr>
        <w:t>u</w:t>
      </w:r>
      <w:r w:rsidRPr="004B2498">
        <w:rPr>
          <w:lang w:eastAsia="fr-FR" w:bidi="fr-FR"/>
        </w:rPr>
        <w:t>ser les bons usages, à savoir la transparence, la démocratie, la liberté des médias, le pluralisme politique, on ne saurait mieux condenser le credo historique de la démocratie américaine en y ajo</w:t>
      </w:r>
      <w:r w:rsidRPr="004B2498">
        <w:rPr>
          <w:lang w:eastAsia="fr-FR" w:bidi="fr-FR"/>
        </w:rPr>
        <w:t>u</w:t>
      </w:r>
      <w:r w:rsidRPr="004B2498">
        <w:rPr>
          <w:lang w:eastAsia="fr-FR" w:bidi="fr-FR"/>
        </w:rPr>
        <w:t>tant les voix de la société civile pour une mesure complète.</w:t>
      </w:r>
    </w:p>
    <w:p w14:paraId="59EE05B3" w14:textId="77777777" w:rsidR="002F4063" w:rsidRPr="004B2498" w:rsidRDefault="002F4063" w:rsidP="002F4063">
      <w:pPr>
        <w:spacing w:before="120" w:after="120"/>
        <w:jc w:val="both"/>
      </w:pPr>
      <w:r w:rsidRPr="004B2498">
        <w:t>[85]</w:t>
      </w:r>
    </w:p>
    <w:p w14:paraId="1B5D85E3" w14:textId="77777777" w:rsidR="002F4063" w:rsidRPr="004B2498" w:rsidRDefault="002F4063" w:rsidP="002F4063">
      <w:pPr>
        <w:spacing w:before="120" w:after="120"/>
        <w:jc w:val="both"/>
      </w:pPr>
      <w:r w:rsidRPr="004B2498">
        <w:rPr>
          <w:lang w:eastAsia="fr-FR" w:bidi="fr-FR"/>
        </w:rPr>
        <w:t>La bonne gouvernance recycle en effet la croyance démocratique américaine selon laquelle une saine dynamique sociale résulte du libre jeu des trois forces que représentent l’État, le marché, la société civile. Dans ce triangle se développe la démocratie. C’est pourquoi le dév</w:t>
      </w:r>
      <w:r w:rsidRPr="004B2498">
        <w:rPr>
          <w:lang w:eastAsia="fr-FR" w:bidi="fr-FR"/>
        </w:rPr>
        <w:t>e</w:t>
      </w:r>
      <w:r w:rsidRPr="004B2498">
        <w:rPr>
          <w:lang w:eastAsia="fr-FR" w:bidi="fr-FR"/>
        </w:rPr>
        <w:t>loppement (parfois l’installation ou la greffe) de la société civile, constitue un leitmotiv de la bonne gouvernance, telle qu’elle est inv</w:t>
      </w:r>
      <w:r w:rsidRPr="004B2498">
        <w:rPr>
          <w:lang w:eastAsia="fr-FR" w:bidi="fr-FR"/>
        </w:rPr>
        <w:t>o</w:t>
      </w:r>
      <w:r w:rsidRPr="004B2498">
        <w:rPr>
          <w:lang w:eastAsia="fr-FR" w:bidi="fr-FR"/>
        </w:rPr>
        <w:t>quée par les grandes instances multilatérales, Banque mondiale et Commission européenne en particulier. Dans la plupart des contextes l’État et le marché sont présents et sont parfois otages réciproques. La société civile, malgré son caractère abstrait en tant que concept, est plus rarement présente, libre, mûre. Parce qu’elle est constituée de voix multiples sa liberté est toujours aussi fragile. On lui substitue fréquemment la voix unique, présentée comme polyphonique, d'États autoritaires, ou de chefs d’États entrepreneurs de leur pays.</w:t>
      </w:r>
    </w:p>
    <w:p w14:paraId="6DE6117B" w14:textId="77777777" w:rsidR="002F4063" w:rsidRPr="004B2498" w:rsidRDefault="002F4063" w:rsidP="002F4063">
      <w:pPr>
        <w:spacing w:before="120" w:after="120"/>
        <w:jc w:val="both"/>
      </w:pPr>
      <w:r w:rsidRPr="004B2498">
        <w:rPr>
          <w:lang w:eastAsia="fr-FR" w:bidi="fr-FR"/>
        </w:rPr>
        <w:t>Les dérives autoritaires observées en Russie, en Chine, en Hongrie, en France parfois, sans parler des pays mis au ban de la bonne go</w:t>
      </w:r>
      <w:r w:rsidRPr="004B2498">
        <w:rPr>
          <w:lang w:eastAsia="fr-FR" w:bidi="fr-FR"/>
        </w:rPr>
        <w:t>u</w:t>
      </w:r>
      <w:r w:rsidRPr="004B2498">
        <w:rPr>
          <w:lang w:eastAsia="fr-FR" w:bidi="fr-FR"/>
        </w:rPr>
        <w:t>vernance (Birmanie, Biélorussie, Turkménistan...) manifestent une tendance forte, avec leur manipulation des médias, les dérives ethnic</w:t>
      </w:r>
      <w:r w:rsidRPr="004B2498">
        <w:rPr>
          <w:lang w:eastAsia="fr-FR" w:bidi="fr-FR"/>
        </w:rPr>
        <w:t>i</w:t>
      </w:r>
      <w:r w:rsidRPr="004B2498">
        <w:rPr>
          <w:lang w:eastAsia="fr-FR" w:bidi="fr-FR"/>
        </w:rPr>
        <w:t>santes ou racistes, rémanentes lorsqu’apparaît une crise historique.</w:t>
      </w:r>
    </w:p>
    <w:p w14:paraId="2E39887B" w14:textId="77777777" w:rsidR="002F4063" w:rsidRPr="004B2498" w:rsidRDefault="002F4063" w:rsidP="002F4063">
      <w:pPr>
        <w:spacing w:before="120" w:after="120"/>
        <w:jc w:val="both"/>
      </w:pPr>
      <w:r w:rsidRPr="004B2498">
        <w:rPr>
          <w:lang w:eastAsia="fr-FR" w:bidi="fr-FR"/>
        </w:rPr>
        <w:t>Si ces pays sont solvables, ils ont droit au pire, à des « préoccupations », mais la Banque mondiale, le FMI et tout le syst</w:t>
      </w:r>
      <w:r w:rsidRPr="004B2498">
        <w:rPr>
          <w:lang w:eastAsia="fr-FR" w:bidi="fr-FR"/>
        </w:rPr>
        <w:t>è</w:t>
      </w:r>
      <w:r w:rsidRPr="004B2498">
        <w:rPr>
          <w:lang w:eastAsia="fr-FR" w:bidi="fr-FR"/>
        </w:rPr>
        <w:t>me financier international leur accordent les prêts demandés car l’argent n’est pas une marchandise éthique mais une valeur financière.</w:t>
      </w:r>
    </w:p>
    <w:p w14:paraId="7035A6A1" w14:textId="77777777" w:rsidR="002F4063" w:rsidRPr="004B2498" w:rsidRDefault="002F4063" w:rsidP="002F4063">
      <w:pPr>
        <w:spacing w:before="120" w:after="120"/>
        <w:jc w:val="both"/>
      </w:pPr>
      <w:r w:rsidRPr="004B2498">
        <w:rPr>
          <w:lang w:eastAsia="fr-FR" w:bidi="fr-FR"/>
        </w:rPr>
        <w:t>La gouvernance politique suppose d’observer une gestion dém</w:t>
      </w:r>
      <w:r w:rsidRPr="004B2498">
        <w:rPr>
          <w:lang w:eastAsia="fr-FR" w:bidi="fr-FR"/>
        </w:rPr>
        <w:t>o</w:t>
      </w:r>
      <w:r w:rsidRPr="004B2498">
        <w:rPr>
          <w:lang w:eastAsia="fr-FR" w:bidi="fr-FR"/>
        </w:rPr>
        <w:t>cratique en termes de participation de la société civile. Lorsque celle-ci n’existe pas car elle n’a pas d’histoire, ou qu’elle est bâillonnée par un tyran, la voix de la société civile est importée ou greffée à travers des ONG d’exportation de la démocratie, une spécialité américaine, observée en Roumanie, en Asie centrale, dans tout l’ex-empire sovi</w:t>
      </w:r>
      <w:r w:rsidRPr="004B2498">
        <w:rPr>
          <w:lang w:eastAsia="fr-FR" w:bidi="fr-FR"/>
        </w:rPr>
        <w:t>é</w:t>
      </w:r>
      <w:r w:rsidRPr="004B2498">
        <w:rPr>
          <w:lang w:eastAsia="fr-FR" w:bidi="fr-FR"/>
        </w:rPr>
        <w:t>tique, aux frontières de la Chine, symbole de société civile muselée (Heemeryck, 2010, Hours, Selim, 2010).</w:t>
      </w:r>
    </w:p>
    <w:p w14:paraId="5546676C" w14:textId="77777777" w:rsidR="002F4063" w:rsidRPr="004B2498" w:rsidRDefault="002F4063" w:rsidP="002F4063">
      <w:pPr>
        <w:spacing w:before="120" w:after="120"/>
        <w:jc w:val="both"/>
      </w:pPr>
      <w:r w:rsidRPr="004B2498">
        <w:rPr>
          <w:lang w:eastAsia="fr-FR" w:bidi="fr-FR"/>
        </w:rPr>
        <w:t>Dans la société civile, les femmes sont une figure emblématique à travers les politiques de genre, visant à leur garantir une juste place dans la société. Celle-ci constitue un signe de bonne gouvernance et, à défaut de résultat, de bonnes intentions appuyées sur des initiatives législatives signalant une prise en compte de cette aspiration légitime car morale. Plus généralement la bonne gouvernance condamne toutes les formes de discrimination à l’égard de « minorités visibles » e</w:t>
      </w:r>
      <w:r w:rsidRPr="004B2498">
        <w:rPr>
          <w:lang w:eastAsia="fr-FR" w:bidi="fr-FR"/>
        </w:rPr>
        <w:t>x</w:t>
      </w:r>
      <w:r w:rsidRPr="004B2498">
        <w:rPr>
          <w:lang w:eastAsia="fr-FR" w:bidi="fr-FR"/>
        </w:rPr>
        <w:t>pression symptomatique de l’embarras de parler à la place de gens qui n’ont pas la parole dans une société civile de libre expression.</w:t>
      </w:r>
    </w:p>
    <w:p w14:paraId="08FA7AAC" w14:textId="77777777" w:rsidR="002F4063" w:rsidRPr="004B2498" w:rsidRDefault="002F4063" w:rsidP="002F4063">
      <w:pPr>
        <w:spacing w:before="120" w:after="120"/>
        <w:jc w:val="both"/>
      </w:pPr>
      <w:r w:rsidRPr="004B2498">
        <w:rPr>
          <w:lang w:eastAsia="fr-FR" w:bidi="fr-FR"/>
        </w:rPr>
        <w:t>Ces analyses amènent à voir dans la société civile le maillon faible, dans la réalité, du triangle démocratique. Il s’agit pourtant d’un mai</w:t>
      </w:r>
      <w:r w:rsidRPr="004B2498">
        <w:rPr>
          <w:lang w:eastAsia="fr-FR" w:bidi="fr-FR"/>
        </w:rPr>
        <w:t>l</w:t>
      </w:r>
      <w:r w:rsidRPr="004B2498">
        <w:rPr>
          <w:lang w:eastAsia="fr-FR" w:bidi="fr-FR"/>
        </w:rPr>
        <w:t>lon dont la gouvernance ne saurait faire l’économie, si elle veut être bonne pour la</w:t>
      </w:r>
      <w:r w:rsidRPr="004B2498">
        <w:t xml:space="preserve"> [86]</w:t>
      </w:r>
      <w:r>
        <w:t xml:space="preserve"> </w:t>
      </w:r>
      <w:r w:rsidRPr="004B2498">
        <w:rPr>
          <w:lang w:eastAsia="fr-FR" w:bidi="fr-FR"/>
        </w:rPr>
        <w:t>majorité, c’est-à-dire démocratique. D’où l’abondante rhétorique présente dans les discours sur les normes de gouvernance.</w:t>
      </w:r>
    </w:p>
    <w:p w14:paraId="0C40C332" w14:textId="77777777" w:rsidR="002F4063" w:rsidRPr="004B2498" w:rsidRDefault="002F4063" w:rsidP="002F4063">
      <w:pPr>
        <w:spacing w:before="120" w:after="120"/>
        <w:jc w:val="both"/>
      </w:pPr>
      <w:r w:rsidRPr="004B2498">
        <w:rPr>
          <w:lang w:eastAsia="fr-FR" w:bidi="fr-FR"/>
        </w:rPr>
        <w:t>La presse, comme les partis politiques, sont soumis à des contrai</w:t>
      </w:r>
      <w:r w:rsidRPr="004B2498">
        <w:rPr>
          <w:lang w:eastAsia="fr-FR" w:bidi="fr-FR"/>
        </w:rPr>
        <w:t>n</w:t>
      </w:r>
      <w:r w:rsidRPr="004B2498">
        <w:rPr>
          <w:lang w:eastAsia="fr-FR" w:bidi="fr-FR"/>
        </w:rPr>
        <w:t>tes financières fortes. Ils sont donc exposés à la corruption éventuelle et à des manœuvres pour influencer l’opinion publique, sorte de soci</w:t>
      </w:r>
      <w:r w:rsidRPr="004B2498">
        <w:rPr>
          <w:lang w:eastAsia="fr-FR" w:bidi="fr-FR"/>
        </w:rPr>
        <w:t>é</w:t>
      </w:r>
      <w:r w:rsidRPr="004B2498">
        <w:rPr>
          <w:lang w:eastAsia="fr-FR" w:bidi="fr-FR"/>
        </w:rPr>
        <w:t>té civile au rabais que les sondages se font un devoir d’analyser à grands frais. Les élections ne se déroulent pas seulement le jour du vote. Elles commencent longtemps auparavant, dès que paraissent des sondages sur les intentions de vote. Cet instrument de relative transp</w:t>
      </w:r>
      <w:r w:rsidRPr="004B2498">
        <w:rPr>
          <w:lang w:eastAsia="fr-FR" w:bidi="fr-FR"/>
        </w:rPr>
        <w:t>a</w:t>
      </w:r>
      <w:r w:rsidRPr="004B2498">
        <w:rPr>
          <w:lang w:eastAsia="fr-FR" w:bidi="fr-FR"/>
        </w:rPr>
        <w:t>rence devient assez fréquemment, en partie, un instrument de fabric</w:t>
      </w:r>
      <w:r w:rsidRPr="004B2498">
        <w:rPr>
          <w:lang w:eastAsia="fr-FR" w:bidi="fr-FR"/>
        </w:rPr>
        <w:t>a</w:t>
      </w:r>
      <w:r w:rsidRPr="004B2498">
        <w:rPr>
          <w:lang w:eastAsia="fr-FR" w:bidi="fr-FR"/>
        </w:rPr>
        <w:t>tion de l’opinion. Les intérêts politiques et économiques en jeu exp</w:t>
      </w:r>
      <w:r w:rsidRPr="004B2498">
        <w:rPr>
          <w:lang w:eastAsia="fr-FR" w:bidi="fr-FR"/>
        </w:rPr>
        <w:t>o</w:t>
      </w:r>
      <w:r w:rsidRPr="004B2498">
        <w:rPr>
          <w:lang w:eastAsia="fr-FR" w:bidi="fr-FR"/>
        </w:rPr>
        <w:t>sent la transparence à devenir ici une marchandise éthique dont le c</w:t>
      </w:r>
      <w:r w:rsidRPr="004B2498">
        <w:rPr>
          <w:lang w:eastAsia="fr-FR" w:bidi="fr-FR"/>
        </w:rPr>
        <w:t>a</w:t>
      </w:r>
      <w:r w:rsidRPr="004B2498">
        <w:rPr>
          <w:lang w:eastAsia="fr-FR" w:bidi="fr-FR"/>
        </w:rPr>
        <w:t>ractère démocratique est sujet à discussion.</w:t>
      </w:r>
    </w:p>
    <w:p w14:paraId="2B8D1D2C" w14:textId="77777777" w:rsidR="002F4063" w:rsidRPr="004B2498" w:rsidRDefault="002F4063" w:rsidP="002F4063">
      <w:pPr>
        <w:spacing w:before="120" w:after="120"/>
        <w:jc w:val="both"/>
      </w:pPr>
      <w:r w:rsidRPr="004B2498">
        <w:rPr>
          <w:lang w:eastAsia="fr-FR" w:bidi="fr-FR"/>
        </w:rPr>
        <w:t>La gouvernance politique, parce qu’elle s’identifie à la constru</w:t>
      </w:r>
      <w:r w:rsidRPr="004B2498">
        <w:rPr>
          <w:lang w:eastAsia="fr-FR" w:bidi="fr-FR"/>
        </w:rPr>
        <w:t>c</w:t>
      </w:r>
      <w:r w:rsidRPr="004B2498">
        <w:rPr>
          <w:lang w:eastAsia="fr-FR" w:bidi="fr-FR"/>
        </w:rPr>
        <w:t>tion de la démocratie occidentale comme norme globale s’expose à une fragilité chronique dans la mesure où elle fait abstraction des hi</w:t>
      </w:r>
      <w:r w:rsidRPr="004B2498">
        <w:rPr>
          <w:lang w:eastAsia="fr-FR" w:bidi="fr-FR"/>
        </w:rPr>
        <w:t>s</w:t>
      </w:r>
      <w:r w:rsidRPr="004B2498">
        <w:rPr>
          <w:lang w:eastAsia="fr-FR" w:bidi="fr-FR"/>
        </w:rPr>
        <w:t>toires et des structures sociales d’exploitation et de domination qui se reproduisent. S’il ne s’agit pas ici de critiquer, en soi, la démocratie et la transparence, on est amené à souligner la nécessité de séparer les aspirations de la réalité, au risque de sombrer dans un idéalisme i</w:t>
      </w:r>
      <w:r w:rsidRPr="004B2498">
        <w:rPr>
          <w:lang w:eastAsia="fr-FR" w:bidi="fr-FR"/>
        </w:rPr>
        <w:t>m</w:t>
      </w:r>
      <w:r w:rsidRPr="004B2498">
        <w:rPr>
          <w:lang w:eastAsia="fr-FR" w:bidi="fr-FR"/>
        </w:rPr>
        <w:t xml:space="preserve">puissant à modifier les choses qui se transforme en alibi et entretient le </w:t>
      </w:r>
      <w:r w:rsidRPr="00EF5AFD">
        <w:rPr>
          <w:i/>
        </w:rPr>
        <w:t>statu quo</w:t>
      </w:r>
      <w:r w:rsidRPr="004B2498">
        <w:t>.</w:t>
      </w:r>
      <w:r w:rsidRPr="004B2498">
        <w:rPr>
          <w:lang w:eastAsia="fr-FR" w:bidi="fr-FR"/>
        </w:rPr>
        <w:t xml:space="preserve"> Les normes politiques de la bonne gouvernance font l’apologie de la transparence démocratique mais elles sont produites dans les organisations technocratiques multilatérales, c’est-à-dire des bureaucraties pesantes et opaques, sans aucun débat dans des encei</w:t>
      </w:r>
      <w:r w:rsidRPr="004B2498">
        <w:rPr>
          <w:lang w:eastAsia="fr-FR" w:bidi="fr-FR"/>
        </w:rPr>
        <w:t>n</w:t>
      </w:r>
      <w:r w:rsidRPr="004B2498">
        <w:rPr>
          <w:lang w:eastAsia="fr-FR" w:bidi="fr-FR"/>
        </w:rPr>
        <w:t>tes démocratiques publiques. Les ONG sont la caution démocratique requise pour blanchir l’opacité bureaucratique multilatérale et c’est aussi pour cela qu’elles sont financées par les mêmes organisations multilatérales.</w:t>
      </w:r>
    </w:p>
    <w:p w14:paraId="5FA4E9D0" w14:textId="77777777" w:rsidR="002F4063" w:rsidRPr="004B2498" w:rsidRDefault="002F4063" w:rsidP="002F4063">
      <w:pPr>
        <w:spacing w:before="120" w:after="120"/>
        <w:jc w:val="both"/>
      </w:pPr>
      <w:r w:rsidRPr="004B2498">
        <w:rPr>
          <w:lang w:eastAsia="fr-FR" w:bidi="fr-FR"/>
        </w:rPr>
        <w:t>S’il est un domaine où la dimension multilatérale s’impose, c’est bien celui de l’environnement qui a mis en exergue l’interdépendance planétaire comme incontournable.</w:t>
      </w:r>
    </w:p>
    <w:p w14:paraId="54AABFAE" w14:textId="77777777" w:rsidR="002F4063" w:rsidRPr="004B2498" w:rsidRDefault="002F4063" w:rsidP="002F4063">
      <w:pPr>
        <w:spacing w:before="120" w:after="120"/>
        <w:jc w:val="both"/>
        <w:rPr>
          <w:szCs w:val="24"/>
          <w:lang w:eastAsia="fr-FR" w:bidi="fr-FR"/>
        </w:rPr>
      </w:pPr>
    </w:p>
    <w:p w14:paraId="35885E5D" w14:textId="77777777" w:rsidR="002F4063" w:rsidRPr="004B2498" w:rsidRDefault="002F4063" w:rsidP="002F4063">
      <w:pPr>
        <w:pStyle w:val="a"/>
      </w:pPr>
      <w:r w:rsidRPr="004B2498">
        <w:t>La gouvernance environnementale</w:t>
      </w:r>
    </w:p>
    <w:p w14:paraId="4B98DBB1" w14:textId="77777777" w:rsidR="002F4063" w:rsidRPr="004B2498" w:rsidRDefault="002F4063" w:rsidP="002F4063">
      <w:pPr>
        <w:spacing w:before="120" w:after="120"/>
        <w:jc w:val="both"/>
        <w:rPr>
          <w:lang w:eastAsia="fr-FR" w:bidi="fr-FR"/>
        </w:rPr>
      </w:pPr>
    </w:p>
    <w:p w14:paraId="42310133" w14:textId="77777777" w:rsidR="002F4063" w:rsidRPr="004B2498" w:rsidRDefault="002F4063" w:rsidP="002F4063">
      <w:pPr>
        <w:spacing w:before="120" w:after="120"/>
        <w:jc w:val="both"/>
      </w:pPr>
      <w:r w:rsidRPr="004B2498">
        <w:rPr>
          <w:lang w:eastAsia="fr-FR" w:bidi="fr-FR"/>
        </w:rPr>
        <w:t>Présentée comme une nécessité devant la montée des risques env</w:t>
      </w:r>
      <w:r w:rsidRPr="004B2498">
        <w:rPr>
          <w:lang w:eastAsia="fr-FR" w:bidi="fr-FR"/>
        </w:rPr>
        <w:t>i</w:t>
      </w:r>
      <w:r w:rsidRPr="004B2498">
        <w:rPr>
          <w:lang w:eastAsia="fr-FR" w:bidi="fr-FR"/>
        </w:rPr>
        <w:t>ronnementaux, la gouvernance semble moins reposer sur des présu</w:t>
      </w:r>
      <w:r w:rsidRPr="004B2498">
        <w:rPr>
          <w:lang w:eastAsia="fr-FR" w:bidi="fr-FR"/>
        </w:rPr>
        <w:t>p</w:t>
      </w:r>
      <w:r w:rsidRPr="004B2498">
        <w:rPr>
          <w:lang w:eastAsia="fr-FR" w:bidi="fr-FR"/>
        </w:rPr>
        <w:t>posés idéologiques (marché, démocratie) que sur des évidences « scientifiques ». L’entité à piloter serait réelle, concrète : sous le nom de planète on désigne alors le territoire des espèces, un lieu délocalisé, partagé, peuplé de créatures diverses, dans la biodiversité qui mérite d’être protégée contre les risques qui la guettent. L’interdépendance est complète dans l’environnement car les frontières n’arrêtent pas les cataclysmes naturels, climatiques, les maladies, les pollutions dive</w:t>
      </w:r>
      <w:r w:rsidRPr="004B2498">
        <w:rPr>
          <w:lang w:eastAsia="fr-FR" w:bidi="fr-FR"/>
        </w:rPr>
        <w:t>r</w:t>
      </w:r>
      <w:r w:rsidRPr="004B2498">
        <w:rPr>
          <w:lang w:eastAsia="fr-FR" w:bidi="fr-FR"/>
        </w:rPr>
        <w:t>ses. La planète apparaît ainsi comme le prototype du bien commun ou bien public. La prise de conscience environnementale rend ainsi bea</w:t>
      </w:r>
      <w:r w:rsidRPr="004B2498">
        <w:rPr>
          <w:lang w:eastAsia="fr-FR" w:bidi="fr-FR"/>
        </w:rPr>
        <w:t>u</w:t>
      </w:r>
      <w:r w:rsidRPr="004B2498">
        <w:rPr>
          <w:lang w:eastAsia="fr-FR" w:bidi="fr-FR"/>
        </w:rPr>
        <w:t>coup plus pensable et plausible une société</w:t>
      </w:r>
      <w:r w:rsidRPr="004B2498">
        <w:t xml:space="preserve"> [87]</w:t>
      </w:r>
      <w:r>
        <w:t xml:space="preserve"> </w:t>
      </w:r>
      <w:r w:rsidRPr="004B2498">
        <w:rPr>
          <w:lang w:eastAsia="fr-FR" w:bidi="fr-FR"/>
        </w:rPr>
        <w:t>civile mondiale dont la gouvernance politique ne cesse d’évoquer le contour, bien flou et abstrait tandis que l’environnement semble diaphane d’évidences, plus transparent que les sociétés politiques. L’environnement est l’objet et le champ rêvé de la gouvernance, bo</w:t>
      </w:r>
      <w:r w:rsidRPr="004B2498">
        <w:rPr>
          <w:lang w:eastAsia="fr-FR" w:bidi="fr-FR"/>
        </w:rPr>
        <w:t>n</w:t>
      </w:r>
      <w:r w:rsidRPr="004B2498">
        <w:rPr>
          <w:lang w:eastAsia="fr-FR" w:bidi="fr-FR"/>
        </w:rPr>
        <w:t>ne pour la nature et bonne pour les créatures qui la peuplent. L’édiction de normes environnementales globales se heurte à des e</w:t>
      </w:r>
      <w:r w:rsidRPr="004B2498">
        <w:rPr>
          <w:lang w:eastAsia="fr-FR" w:bidi="fr-FR"/>
        </w:rPr>
        <w:t>n</w:t>
      </w:r>
      <w:r w:rsidRPr="004B2498">
        <w:rPr>
          <w:lang w:eastAsia="fr-FR" w:bidi="fr-FR"/>
        </w:rPr>
        <w:t>jeux économiques et politiques nationaux qui apparaissent dans les débats sur le protocole de Kyoto ou l’échec de la conférence de C</w:t>
      </w:r>
      <w:r w:rsidRPr="004B2498">
        <w:rPr>
          <w:lang w:eastAsia="fr-FR" w:bidi="fr-FR"/>
        </w:rPr>
        <w:t>o</w:t>
      </w:r>
      <w:r w:rsidRPr="004B2498">
        <w:rPr>
          <w:lang w:eastAsia="fr-FR" w:bidi="fr-FR"/>
        </w:rPr>
        <w:t>penhague. Néanmoins ces obstacles sont à la mesure des enjeux en termes de gouvernance globale. Normaliser et réguler l’économie mondiale, les régimes politiques des nations, l’environnement global, constitue bel et bien le projet sous jacent à toute ambition de gouve</w:t>
      </w:r>
      <w:r w:rsidRPr="004B2498">
        <w:rPr>
          <w:lang w:eastAsia="fr-FR" w:bidi="fr-FR"/>
        </w:rPr>
        <w:t>r</w:t>
      </w:r>
      <w:r w:rsidRPr="004B2498">
        <w:rPr>
          <w:lang w:eastAsia="fr-FR" w:bidi="fr-FR"/>
        </w:rPr>
        <w:t>nance de la globalisation.</w:t>
      </w:r>
    </w:p>
    <w:p w14:paraId="6D07CA94" w14:textId="77777777" w:rsidR="002F4063" w:rsidRPr="004B2498" w:rsidRDefault="002F4063" w:rsidP="002F4063">
      <w:pPr>
        <w:spacing w:before="120" w:after="120"/>
        <w:jc w:val="both"/>
      </w:pPr>
      <w:r w:rsidRPr="004B2498">
        <w:rPr>
          <w:lang w:eastAsia="fr-FR" w:bidi="fr-FR"/>
        </w:rPr>
        <w:t>C’est pourquoi les paradigmes des sciences sociales sont déplacés en partie. Parmi ces déplacements la naturalisation des sociétés const</w:t>
      </w:r>
      <w:r w:rsidRPr="004B2498">
        <w:rPr>
          <w:lang w:eastAsia="fr-FR" w:bidi="fr-FR"/>
        </w:rPr>
        <w:t>i</w:t>
      </w:r>
      <w:r w:rsidRPr="004B2498">
        <w:rPr>
          <w:lang w:eastAsia="fr-FR" w:bidi="fr-FR"/>
        </w:rPr>
        <w:t>tue un phénomène majeur.</w:t>
      </w:r>
    </w:p>
    <w:p w14:paraId="5EF393CA" w14:textId="77777777" w:rsidR="002F4063" w:rsidRDefault="002F4063" w:rsidP="002F4063">
      <w:pPr>
        <w:spacing w:before="120" w:after="120"/>
        <w:jc w:val="both"/>
        <w:rPr>
          <w:szCs w:val="24"/>
          <w:lang w:eastAsia="fr-FR" w:bidi="fr-FR"/>
        </w:rPr>
      </w:pPr>
    </w:p>
    <w:p w14:paraId="41798852" w14:textId="77777777" w:rsidR="002F4063" w:rsidRPr="004B2498" w:rsidRDefault="002F4063" w:rsidP="002F4063">
      <w:pPr>
        <w:spacing w:before="120" w:after="120"/>
        <w:jc w:val="both"/>
        <w:rPr>
          <w:szCs w:val="24"/>
          <w:lang w:eastAsia="fr-FR" w:bidi="fr-FR"/>
        </w:rPr>
      </w:pPr>
    </w:p>
    <w:p w14:paraId="6E6F86C1" w14:textId="77777777" w:rsidR="002F4063" w:rsidRPr="004B2498" w:rsidRDefault="002F4063" w:rsidP="002F4063">
      <w:pPr>
        <w:pStyle w:val="a"/>
      </w:pPr>
      <w:r w:rsidRPr="004B2498">
        <w:t>La gouvernance comme naturalisation du social</w:t>
      </w:r>
    </w:p>
    <w:p w14:paraId="47919991" w14:textId="77777777" w:rsidR="002F4063" w:rsidRPr="004B2498" w:rsidRDefault="002F4063" w:rsidP="002F4063">
      <w:pPr>
        <w:spacing w:before="120" w:after="120"/>
        <w:jc w:val="both"/>
        <w:rPr>
          <w:lang w:eastAsia="fr-FR" w:bidi="fr-FR"/>
        </w:rPr>
      </w:pPr>
    </w:p>
    <w:p w14:paraId="37BD2877" w14:textId="77777777" w:rsidR="002F4063" w:rsidRPr="004B2498" w:rsidRDefault="002F4063" w:rsidP="002F4063">
      <w:pPr>
        <w:spacing w:before="120" w:after="120"/>
        <w:jc w:val="both"/>
      </w:pPr>
      <w:r w:rsidRPr="004B2498">
        <w:rPr>
          <w:lang w:eastAsia="fr-FR" w:bidi="fr-FR"/>
        </w:rPr>
        <w:t>Le remplacement du développement économique et social, projet du XX</w:t>
      </w:r>
      <w:r w:rsidRPr="004227FD">
        <w:rPr>
          <w:vertAlign w:val="superscript"/>
          <w:lang w:eastAsia="fr-FR" w:bidi="fr-FR"/>
        </w:rPr>
        <w:t>e</w:t>
      </w:r>
      <w:r w:rsidRPr="004B2498">
        <w:rPr>
          <w:lang w:eastAsia="fr-FR" w:bidi="fr-FR"/>
        </w:rPr>
        <w:t xml:space="preserve"> siècle, par le développement durable, concept du XXI</w:t>
      </w:r>
      <w:r w:rsidRPr="004227FD">
        <w:rPr>
          <w:vertAlign w:val="superscript"/>
          <w:lang w:eastAsia="fr-FR" w:bidi="fr-FR"/>
        </w:rPr>
        <w:t>e</w:t>
      </w:r>
      <w:r w:rsidRPr="004B2498">
        <w:rPr>
          <w:lang w:eastAsia="fr-FR" w:bidi="fr-FR"/>
        </w:rPr>
        <w:t xml:space="preserve"> siècle, constitue l’un des signes principaux de la naturalisation des sociétés au troisième millénaire. La prise en compte de l’environnement a pesé très lourd dans cette mutation qui substitue à la croissance économ</w:t>
      </w:r>
      <w:r w:rsidRPr="004B2498">
        <w:rPr>
          <w:lang w:eastAsia="fr-FR" w:bidi="fr-FR"/>
        </w:rPr>
        <w:t>i</w:t>
      </w:r>
      <w:r w:rsidRPr="004B2498">
        <w:rPr>
          <w:lang w:eastAsia="fr-FR" w:bidi="fr-FR"/>
        </w:rPr>
        <w:t>que brute la dimension de durabilité, c’est-à-dire qui inscrit la nécess</w:t>
      </w:r>
      <w:r w:rsidRPr="004B2498">
        <w:rPr>
          <w:lang w:eastAsia="fr-FR" w:bidi="fr-FR"/>
        </w:rPr>
        <w:t>i</w:t>
      </w:r>
      <w:r w:rsidRPr="004B2498">
        <w:rPr>
          <w:lang w:eastAsia="fr-FR" w:bidi="fr-FR"/>
        </w:rPr>
        <w:t>té d’épargner les ressources au lieu de les exploiter sans limites, en parfaite contradiction avec la frénésie de profits rapides observée dans la finance. Ce n’est évidemment que dans un contexte de globalisation que peut faire sens un tel changement qui constitue une rupture avec l’humanisme de la Renaissance et les philosophies des Lumières qui plaçaient l’homme au centre d’un univers à dominer, à vaincre, à e</w:t>
      </w:r>
      <w:r w:rsidRPr="004B2498">
        <w:rPr>
          <w:lang w:eastAsia="fr-FR" w:bidi="fr-FR"/>
        </w:rPr>
        <w:t>x</w:t>
      </w:r>
      <w:r w:rsidRPr="004B2498">
        <w:rPr>
          <w:lang w:eastAsia="fr-FR" w:bidi="fr-FR"/>
        </w:rPr>
        <w:t>ploiter. La prise de conscience de la rareté des ressources naturelles et des risques environnementaux constitue une rupture sans retour avec l’humanisme précédent. Aujourd’hui l’homme est une créature fragile exposée aux risques écologiques et sanitaires. Il n’est qu’une espèce dans la biodiversité et doit ménager les autres, sociales, culturelles, mais aussi naturelles, dont les animaux. Une forte leçon de modestie se dégage des discours environnementaux : l’homme n’est plus le maître mais bien plutôt un sujet dans la nature, parmi d’autres esp</w:t>
      </w:r>
      <w:r w:rsidRPr="004B2498">
        <w:rPr>
          <w:lang w:eastAsia="fr-FR" w:bidi="fr-FR"/>
        </w:rPr>
        <w:t>è</w:t>
      </w:r>
      <w:r w:rsidRPr="004B2498">
        <w:rPr>
          <w:lang w:eastAsia="fr-FR" w:bidi="fr-FR"/>
        </w:rPr>
        <w:t>ces. L’introduction de la « sociodiversité » pour faire pendant au r</w:t>
      </w:r>
      <w:r w:rsidRPr="004B2498">
        <w:rPr>
          <w:lang w:eastAsia="fr-FR" w:bidi="fr-FR"/>
        </w:rPr>
        <w:t>è</w:t>
      </w:r>
      <w:r w:rsidRPr="004B2498">
        <w:rPr>
          <w:lang w:eastAsia="fr-FR" w:bidi="fr-FR"/>
        </w:rPr>
        <w:t>gne de la biodiversité pourrait sonner le glas de sciences sociales tr</w:t>
      </w:r>
      <w:r w:rsidRPr="004B2498">
        <w:rPr>
          <w:lang w:eastAsia="fr-FR" w:bidi="fr-FR"/>
        </w:rPr>
        <w:t>a</w:t>
      </w:r>
      <w:r w:rsidRPr="004B2498">
        <w:rPr>
          <w:lang w:eastAsia="fr-FR" w:bidi="fr-FR"/>
        </w:rPr>
        <w:t>ditionnelles arrimées depuis le XIX</w:t>
      </w:r>
      <w:r w:rsidRPr="004227FD">
        <w:rPr>
          <w:vertAlign w:val="superscript"/>
          <w:lang w:eastAsia="fr-FR" w:bidi="fr-FR"/>
        </w:rPr>
        <w:t>e</w:t>
      </w:r>
      <w:r w:rsidRPr="004B2498">
        <w:rPr>
          <w:lang w:eastAsia="fr-FR" w:bidi="fr-FR"/>
        </w:rPr>
        <w:t xml:space="preserve"> siècle à la notion de société et à des interrogations sur la nature des liens sociaux et leur genèse.</w:t>
      </w:r>
    </w:p>
    <w:p w14:paraId="6EC6406F" w14:textId="77777777" w:rsidR="002F4063" w:rsidRPr="004B2498" w:rsidRDefault="002F4063" w:rsidP="002F4063">
      <w:pPr>
        <w:spacing w:before="120" w:after="120"/>
        <w:jc w:val="both"/>
      </w:pPr>
      <w:r w:rsidRPr="004B2498">
        <w:rPr>
          <w:lang w:eastAsia="fr-FR" w:bidi="fr-FR"/>
        </w:rPr>
        <w:t>S’interroger sur la nature de la société, la nôtre ou d’autres, déso</w:t>
      </w:r>
      <w:r w:rsidRPr="004B2498">
        <w:rPr>
          <w:lang w:eastAsia="fr-FR" w:bidi="fr-FR"/>
        </w:rPr>
        <w:t>r</w:t>
      </w:r>
      <w:r w:rsidRPr="004B2498">
        <w:rPr>
          <w:lang w:eastAsia="fr-FR" w:bidi="fr-FR"/>
        </w:rPr>
        <w:t>mais voisines, ne fait plus guère recette. La diversité alimente les d</w:t>
      </w:r>
      <w:r w:rsidRPr="004B2498">
        <w:rPr>
          <w:lang w:eastAsia="fr-FR" w:bidi="fr-FR"/>
        </w:rPr>
        <w:t>é</w:t>
      </w:r>
      <w:r w:rsidRPr="004B2498">
        <w:rPr>
          <w:lang w:eastAsia="fr-FR" w:bidi="fr-FR"/>
        </w:rPr>
        <w:t>rives, les</w:t>
      </w:r>
      <w:r>
        <w:t xml:space="preserve"> </w:t>
      </w:r>
      <w:r w:rsidRPr="004B2498">
        <w:t>[88]</w:t>
      </w:r>
      <w:r>
        <w:t xml:space="preserve"> </w:t>
      </w:r>
      <w:r w:rsidRPr="004B2498">
        <w:rPr>
          <w:lang w:eastAsia="fr-FR" w:bidi="fr-FR"/>
        </w:rPr>
        <w:t>préjugés ethnico-culturels ne se sont jamais si bien po</w:t>
      </w:r>
      <w:r w:rsidRPr="004B2498">
        <w:rPr>
          <w:lang w:eastAsia="fr-FR" w:bidi="fr-FR"/>
        </w:rPr>
        <w:t>r</w:t>
      </w:r>
      <w:r w:rsidRPr="004B2498">
        <w:rPr>
          <w:lang w:eastAsia="fr-FR" w:bidi="fr-FR"/>
        </w:rPr>
        <w:t>tés depuis la colonisation. L’intolérance aux normes et valeur d’autrui subit une étrange évolution. D’un côté la tolérance est affirmée co</w:t>
      </w:r>
      <w:r w:rsidRPr="004B2498">
        <w:rPr>
          <w:lang w:eastAsia="fr-FR" w:bidi="fr-FR"/>
        </w:rPr>
        <w:t>m</w:t>
      </w:r>
      <w:r w:rsidRPr="004B2498">
        <w:rPr>
          <w:lang w:eastAsia="fr-FR" w:bidi="fr-FR"/>
        </w:rPr>
        <w:t>me vertu républicaine ou démocratique. De l’autre, des mesures d’exclusion sont prises à l’encontre de la « pollution de l’espace p</w:t>
      </w:r>
      <w:r w:rsidRPr="004B2498">
        <w:rPr>
          <w:lang w:eastAsia="fr-FR" w:bidi="fr-FR"/>
        </w:rPr>
        <w:t>u</w:t>
      </w:r>
      <w:r w:rsidRPr="004B2498">
        <w:rPr>
          <w:lang w:eastAsia="fr-FR" w:bidi="fr-FR"/>
        </w:rPr>
        <w:t>blic » par des pratiques jugées non conformes à un label de normalité lisse. Il s’agit plus précisément de l’appartenance non plus à un gro</w:t>
      </w:r>
      <w:r w:rsidRPr="004B2498">
        <w:rPr>
          <w:lang w:eastAsia="fr-FR" w:bidi="fr-FR"/>
        </w:rPr>
        <w:t>u</w:t>
      </w:r>
      <w:r w:rsidRPr="004B2498">
        <w:rPr>
          <w:lang w:eastAsia="fr-FR" w:bidi="fr-FR"/>
        </w:rPr>
        <w:t>pe porteur d’identité, de normes, de valeurs, mais à une humanité ab</w:t>
      </w:r>
      <w:r w:rsidRPr="004B2498">
        <w:rPr>
          <w:lang w:eastAsia="fr-FR" w:bidi="fr-FR"/>
        </w:rPr>
        <w:t>s</w:t>
      </w:r>
      <w:r w:rsidRPr="004B2498">
        <w:rPr>
          <w:lang w:eastAsia="fr-FR" w:bidi="fr-FR"/>
        </w:rPr>
        <w:t>traite, ba</w:t>
      </w:r>
      <w:r w:rsidRPr="004B2498">
        <w:rPr>
          <w:lang w:eastAsia="fr-FR" w:bidi="fr-FR"/>
        </w:rPr>
        <w:t>r</w:t>
      </w:r>
      <w:r w:rsidRPr="004B2498">
        <w:rPr>
          <w:lang w:eastAsia="fr-FR" w:bidi="fr-FR"/>
        </w:rPr>
        <w:t>dée de droits de l’homme, sans inscription territoriale.</w:t>
      </w:r>
    </w:p>
    <w:p w14:paraId="46A2CF0C" w14:textId="77777777" w:rsidR="002F4063" w:rsidRPr="004B2498" w:rsidRDefault="002F4063" w:rsidP="002F4063">
      <w:pPr>
        <w:spacing w:before="120" w:after="120"/>
        <w:jc w:val="both"/>
      </w:pPr>
      <w:r w:rsidRPr="004B2498">
        <w:rPr>
          <w:lang w:eastAsia="fr-FR" w:bidi="fr-FR"/>
        </w:rPr>
        <w:t>Cette humanité est exactement celle que mettent en scène les no</w:t>
      </w:r>
      <w:r w:rsidRPr="004B2498">
        <w:rPr>
          <w:lang w:eastAsia="fr-FR" w:bidi="fr-FR"/>
        </w:rPr>
        <w:t>r</w:t>
      </w:r>
      <w:r w:rsidRPr="004B2498">
        <w:rPr>
          <w:lang w:eastAsia="fr-FR" w:bidi="fr-FR"/>
        </w:rPr>
        <w:t>mes de bonne gouvernance, avec leur incantation d’une société civile enchantée, où la diversité serait lisse et les trottoirs bien balayés, avec une participation communautaire spontanée, comme dans les mythes du développement social aussi bien que durable. Apparaît ainsi la v</w:t>
      </w:r>
      <w:r w:rsidRPr="004B2498">
        <w:rPr>
          <w:lang w:eastAsia="fr-FR" w:bidi="fr-FR"/>
        </w:rPr>
        <w:t>i</w:t>
      </w:r>
      <w:r w:rsidRPr="004B2498">
        <w:rPr>
          <w:lang w:eastAsia="fr-FR" w:bidi="fr-FR"/>
        </w:rPr>
        <w:t>sion irénique d’un monde sous bonne gouvernance, où les ouvriers sont gentils et suivent leurs entreprises au gré des délocalisations, où les conflits sont gérés à la source, par des RDH aussi performants qu’éclairés, où toutes les diversités communient dans l’expérience heureuse de leurs différences. La société (ou les sociétés) n’est plus l’objet principal des sciences sociales. Elle est progressivement re</w:t>
      </w:r>
      <w:r w:rsidRPr="004B2498">
        <w:rPr>
          <w:lang w:eastAsia="fr-FR" w:bidi="fr-FR"/>
        </w:rPr>
        <w:t>m</w:t>
      </w:r>
      <w:r w:rsidRPr="004B2498">
        <w:rPr>
          <w:lang w:eastAsia="fr-FR" w:bidi="fr-FR"/>
        </w:rPr>
        <w:t>placée par des entités d’ordre naturel, à savoir la planète, l’environnement, la nature, l’air, l’eau, le milieu... dans lesquelles l’homme n’est qu’une créature qui a besoin des régulations apportées par d’autres créatures, animaux, insectes, engagées dans une sorte de lutte biologique ou de nettoyage des pollutions pour que les ressources se renouvellent.</w:t>
      </w:r>
    </w:p>
    <w:p w14:paraId="6EEDC869" w14:textId="77777777" w:rsidR="002F4063" w:rsidRPr="004B2498" w:rsidRDefault="002F4063" w:rsidP="002F4063">
      <w:pPr>
        <w:spacing w:before="120" w:after="120"/>
        <w:jc w:val="both"/>
      </w:pPr>
      <w:r w:rsidRPr="004B2498">
        <w:rPr>
          <w:lang w:eastAsia="fr-FR" w:bidi="fr-FR"/>
        </w:rPr>
        <w:t>Le souci des générations futures est mis en avant dans le dévelo</w:t>
      </w:r>
      <w:r w:rsidRPr="004B2498">
        <w:rPr>
          <w:lang w:eastAsia="fr-FR" w:bidi="fr-FR"/>
        </w:rPr>
        <w:t>p</w:t>
      </w:r>
      <w:r w:rsidRPr="004B2498">
        <w:rPr>
          <w:lang w:eastAsia="fr-FR" w:bidi="fr-FR"/>
        </w:rPr>
        <w:t>pement durable qui vise à préserver ou à restaurer des équilibres nat</w:t>
      </w:r>
      <w:r w:rsidRPr="004B2498">
        <w:rPr>
          <w:lang w:eastAsia="fr-FR" w:bidi="fr-FR"/>
        </w:rPr>
        <w:t>u</w:t>
      </w:r>
      <w:r w:rsidRPr="004B2498">
        <w:rPr>
          <w:lang w:eastAsia="fr-FR" w:bidi="fr-FR"/>
        </w:rPr>
        <w:t>rels, invoqués à la fois comme des âges d’or passés et des modèles à atteindre. Il y a de « la fin de l’histoire » dans cette conception contemporaine d’un monde naturalisé. Les dynamiques sociales, n</w:t>
      </w:r>
      <w:r w:rsidRPr="004B2498">
        <w:rPr>
          <w:lang w:eastAsia="fr-FR" w:bidi="fr-FR"/>
        </w:rPr>
        <w:t>o</w:t>
      </w:r>
      <w:r w:rsidRPr="004B2498">
        <w:rPr>
          <w:lang w:eastAsia="fr-FR" w:bidi="fr-FR"/>
        </w:rPr>
        <w:t>tions importantes au siècle dernier, sont remplacées par la notion d’équilibre qui induit d’autres types d’études, où les sujets humains ne sont plus des acteurs de l'histoire mais des exemplaires d’une espèce disciplinée, consciente de l’interdépendance absolue que génère la gestion des risques comme principal projet global et condition de la globalisation.</w:t>
      </w:r>
    </w:p>
    <w:p w14:paraId="332E682B" w14:textId="77777777" w:rsidR="002F4063" w:rsidRPr="004B2498" w:rsidRDefault="002F4063" w:rsidP="002F4063">
      <w:pPr>
        <w:spacing w:before="120" w:after="120"/>
        <w:jc w:val="both"/>
      </w:pPr>
      <w:r w:rsidRPr="004B2498">
        <w:rPr>
          <w:lang w:eastAsia="fr-FR" w:bidi="fr-FR"/>
        </w:rPr>
        <w:t>Être responsable aujourd’hui, c’est encore s’inquiéter des inégal</w:t>
      </w:r>
      <w:r w:rsidRPr="004B2498">
        <w:rPr>
          <w:lang w:eastAsia="fr-FR" w:bidi="fr-FR"/>
        </w:rPr>
        <w:t>i</w:t>
      </w:r>
      <w:r w:rsidRPr="004B2498">
        <w:rPr>
          <w:lang w:eastAsia="fr-FR" w:bidi="fr-FR"/>
        </w:rPr>
        <w:t>tés injustes, mais c’est de plus en plus porter en soi des normes de pr</w:t>
      </w:r>
      <w:r w:rsidRPr="004B2498">
        <w:rPr>
          <w:lang w:eastAsia="fr-FR" w:bidi="fr-FR"/>
        </w:rPr>
        <w:t>i</w:t>
      </w:r>
      <w:r w:rsidRPr="004B2498">
        <w:rPr>
          <w:lang w:eastAsia="fr-FR" w:bidi="fr-FR"/>
        </w:rPr>
        <w:t>se en compte des liens de l’interdépendance généralisée dans la ge</w:t>
      </w:r>
      <w:r w:rsidRPr="004B2498">
        <w:rPr>
          <w:lang w:eastAsia="fr-FR" w:bidi="fr-FR"/>
        </w:rPr>
        <w:t>s</w:t>
      </w:r>
      <w:r w:rsidRPr="004B2498">
        <w:rPr>
          <w:lang w:eastAsia="fr-FR" w:bidi="fr-FR"/>
        </w:rPr>
        <w:t>tion de notre santé, de nos ordures ménagères, de notre consommation d'énergie, de notre vitesse au volant... La liberté s’applique moins à la vie quotidienne qu'au domaine ludique des loisirs et spectacles consommés. Les liens tissés par internet et la téléphonie permanente renforcent ces attaches et découvertes dites connections. Dans cet un</w:t>
      </w:r>
      <w:r w:rsidRPr="004B2498">
        <w:rPr>
          <w:lang w:eastAsia="fr-FR" w:bidi="fr-FR"/>
        </w:rPr>
        <w:t>i</w:t>
      </w:r>
      <w:r w:rsidRPr="004B2498">
        <w:rPr>
          <w:lang w:eastAsia="fr-FR" w:bidi="fr-FR"/>
        </w:rPr>
        <w:t>vers, le consommateur durable, bardé de liens contractuels se partage la vedette avec le développement durable, le retour à</w:t>
      </w:r>
      <w:r>
        <w:t xml:space="preserve"> </w:t>
      </w:r>
      <w:r w:rsidRPr="004B2498">
        <w:t>[89]</w:t>
      </w:r>
      <w:r>
        <w:t xml:space="preserve"> </w:t>
      </w:r>
      <w:r w:rsidRPr="004B2498">
        <w:rPr>
          <w:lang w:eastAsia="fr-FR" w:bidi="fr-FR"/>
        </w:rPr>
        <w:t>la frugalité volontaire (ou contrainte par</w:t>
      </w:r>
      <w:r>
        <w:rPr>
          <w:lang w:eastAsia="fr-FR" w:bidi="fr-FR"/>
        </w:rPr>
        <w:t xml:space="preserve"> </w:t>
      </w:r>
      <w:r w:rsidRPr="004B2498">
        <w:rPr>
          <w:lang w:eastAsia="fr-FR" w:bidi="fr-FR"/>
        </w:rPr>
        <w:t>la pauvreté),</w:t>
      </w:r>
      <w:r>
        <w:rPr>
          <w:lang w:eastAsia="fr-FR" w:bidi="fr-FR"/>
        </w:rPr>
        <w:t xml:space="preserve"> </w:t>
      </w:r>
      <w:r w:rsidRPr="004B2498">
        <w:rPr>
          <w:lang w:eastAsia="fr-FR" w:bidi="fr-FR"/>
        </w:rPr>
        <w:t>l’économie</w:t>
      </w:r>
      <w:r>
        <w:rPr>
          <w:lang w:eastAsia="fr-FR" w:bidi="fr-FR"/>
        </w:rPr>
        <w:t xml:space="preserve"> </w:t>
      </w:r>
      <w:r w:rsidRPr="004B2498">
        <w:rPr>
          <w:lang w:eastAsia="fr-FR" w:bidi="fr-FR"/>
        </w:rPr>
        <w:t>de ressources, la conscience de l’environnement. Celui-ci apparaît comme le prototype de l’équilibre et de l’harmonie mais aussi comme un marché en voie de moralisation grâce aux investissements éthiques. Quant à la poll</w:t>
      </w:r>
      <w:r w:rsidRPr="004B2498">
        <w:rPr>
          <w:lang w:eastAsia="fr-FR" w:bidi="fr-FR"/>
        </w:rPr>
        <w:t>u</w:t>
      </w:r>
      <w:r w:rsidRPr="004B2498">
        <w:rPr>
          <w:lang w:eastAsia="fr-FR" w:bidi="fr-FR"/>
        </w:rPr>
        <w:t>tion, elle fait, elle aussi, l’objet d’un marché pui</w:t>
      </w:r>
      <w:r w:rsidRPr="004B2498">
        <w:rPr>
          <w:lang w:eastAsia="fr-FR" w:bidi="fr-FR"/>
        </w:rPr>
        <w:t>s</w:t>
      </w:r>
      <w:r w:rsidRPr="004B2498">
        <w:rPr>
          <w:lang w:eastAsia="fr-FR" w:bidi="fr-FR"/>
        </w:rPr>
        <w:t>qu’on peut l’exporter dans un pays pauvre par corruption, ou la vendre sur le marché du carbone.</w:t>
      </w:r>
    </w:p>
    <w:p w14:paraId="165F1590" w14:textId="77777777" w:rsidR="002F4063" w:rsidRPr="004B2498" w:rsidRDefault="002F4063" w:rsidP="002F4063">
      <w:pPr>
        <w:spacing w:before="120" w:after="120"/>
        <w:jc w:val="both"/>
      </w:pPr>
      <w:r w:rsidRPr="004B2498">
        <w:rPr>
          <w:lang w:eastAsia="fr-FR" w:bidi="fr-FR"/>
        </w:rPr>
        <w:t>Pour compléter le tableau de cette naturalisation des sociétés, e</w:t>
      </w:r>
      <w:r w:rsidRPr="004B2498">
        <w:rPr>
          <w:lang w:eastAsia="fr-FR" w:bidi="fr-FR"/>
        </w:rPr>
        <w:t>x</w:t>
      </w:r>
      <w:r w:rsidRPr="004B2498">
        <w:rPr>
          <w:lang w:eastAsia="fr-FR" w:bidi="fr-FR"/>
        </w:rPr>
        <w:t>trêmement rapide, les catastrophes climatiques remplacent en partie les révolutions et violences politiques dans les médias. Les évèn</w:t>
      </w:r>
      <w:r w:rsidRPr="004B2498">
        <w:rPr>
          <w:lang w:eastAsia="fr-FR" w:bidi="fr-FR"/>
        </w:rPr>
        <w:t>e</w:t>
      </w:r>
      <w:r w:rsidRPr="004B2498">
        <w:rPr>
          <w:lang w:eastAsia="fr-FR" w:bidi="fr-FR"/>
        </w:rPr>
        <w:t>ments climatiques mobilisent de plus en plus l’attention tandis que les partis politiques et les élections intéressent de moins en moins, sauf les dérives populistes et radicales qui entretiennent la flamme d’un espace de débats de plus en plus naturalisés mais aussi cultural</w:t>
      </w:r>
      <w:r w:rsidRPr="004B2498">
        <w:rPr>
          <w:lang w:eastAsia="fr-FR" w:bidi="fr-FR"/>
        </w:rPr>
        <w:t>i</w:t>
      </w:r>
      <w:r w:rsidRPr="004B2498">
        <w:rPr>
          <w:lang w:eastAsia="fr-FR" w:bidi="fr-FR"/>
        </w:rPr>
        <w:t>sés par des références religieuses souvent réductrices ou caricaturales, les normes et valeurs des sciences sociales passées étant replacées dans un univers naturalisé de comportements, lourds d’hérédité, de génét</w:t>
      </w:r>
      <w:r w:rsidRPr="004B2498">
        <w:rPr>
          <w:lang w:eastAsia="fr-FR" w:bidi="fr-FR"/>
        </w:rPr>
        <w:t>i</w:t>
      </w:r>
      <w:r w:rsidRPr="004B2498">
        <w:rPr>
          <w:lang w:eastAsia="fr-FR" w:bidi="fr-FR"/>
        </w:rPr>
        <w:t>que, c’est-à-dire de déterminismes à dominante naturelle (biolog</w:t>
      </w:r>
      <w:r w:rsidRPr="004B2498">
        <w:rPr>
          <w:lang w:eastAsia="fr-FR" w:bidi="fr-FR"/>
        </w:rPr>
        <w:t>i</w:t>
      </w:r>
      <w:r w:rsidRPr="004B2498">
        <w:rPr>
          <w:lang w:eastAsia="fr-FR" w:bidi="fr-FR"/>
        </w:rPr>
        <w:t>que).</w:t>
      </w:r>
    </w:p>
    <w:p w14:paraId="58CAE3EB" w14:textId="77777777" w:rsidR="002F4063" w:rsidRPr="004B2498" w:rsidRDefault="002F4063" w:rsidP="002F4063">
      <w:pPr>
        <w:spacing w:before="120" w:after="120"/>
        <w:jc w:val="both"/>
      </w:pPr>
      <w:r w:rsidRPr="004B2498">
        <w:rPr>
          <w:lang w:eastAsia="fr-FR" w:bidi="fr-FR"/>
        </w:rPr>
        <w:t>En effet, la vogue croissante du comportementalisme participe à la naturalisation des sciences sociales. En analysant les conduites des acteurs sociaux par référence à des schèmes de comportement déte</w:t>
      </w:r>
      <w:r w:rsidRPr="004B2498">
        <w:rPr>
          <w:lang w:eastAsia="fr-FR" w:bidi="fr-FR"/>
        </w:rPr>
        <w:t>r</w:t>
      </w:r>
      <w:r w:rsidRPr="004B2498">
        <w:rPr>
          <w:lang w:eastAsia="fr-FR" w:bidi="fr-FR"/>
        </w:rPr>
        <w:t>minés, cette naturalisation tend à mettre en place des pathologies du comportement qui réduisent la liberté d’interprétation des pratiques sans parler de dépolitisation, puisque entre chiens de Pavlov il n’y a guère de place pour des choix de société.</w:t>
      </w:r>
    </w:p>
    <w:p w14:paraId="7A968775" w14:textId="77777777" w:rsidR="002F4063" w:rsidRPr="004B2498" w:rsidRDefault="002F4063" w:rsidP="002F4063">
      <w:pPr>
        <w:spacing w:before="120" w:after="120"/>
        <w:jc w:val="both"/>
      </w:pPr>
      <w:r w:rsidRPr="004B2498">
        <w:rPr>
          <w:lang w:eastAsia="fr-FR" w:bidi="fr-FR"/>
        </w:rPr>
        <w:t>La naturalisation évoquée constitue l’un des principaux ressorts de la globalisation.</w:t>
      </w:r>
    </w:p>
    <w:p w14:paraId="7BD79294" w14:textId="77777777" w:rsidR="002F4063" w:rsidRPr="004B2498" w:rsidRDefault="002F4063" w:rsidP="002F4063">
      <w:pPr>
        <w:spacing w:before="120" w:after="120"/>
        <w:jc w:val="both"/>
      </w:pPr>
      <w:r w:rsidRPr="004B2498">
        <w:rPr>
          <w:lang w:eastAsia="fr-FR" w:bidi="fr-FR"/>
        </w:rPr>
        <w:t>Sa mise en œuvre repose sur la diffusion de normes édictées au nom d’une gouvernance tout à la fois morale, environnementale, sol</w:t>
      </w:r>
      <w:r w:rsidRPr="004B2498">
        <w:rPr>
          <w:lang w:eastAsia="fr-FR" w:bidi="fr-FR"/>
        </w:rPr>
        <w:t>i</w:t>
      </w:r>
      <w:r w:rsidRPr="004B2498">
        <w:rPr>
          <w:lang w:eastAsia="fr-FR" w:bidi="fr-FR"/>
        </w:rPr>
        <w:t>daire, la solidarité s’interprétant en termes d’interdépendance, de pr</w:t>
      </w:r>
      <w:r w:rsidRPr="004B2498">
        <w:rPr>
          <w:lang w:eastAsia="fr-FR" w:bidi="fr-FR"/>
        </w:rPr>
        <w:t>é</w:t>
      </w:r>
      <w:r w:rsidRPr="004B2498">
        <w:rPr>
          <w:lang w:eastAsia="fr-FR" w:bidi="fr-FR"/>
        </w:rPr>
        <w:t>vention et de protection de notre espèce et non plus en termes polit</w:t>
      </w:r>
      <w:r w:rsidRPr="004B2498">
        <w:rPr>
          <w:lang w:eastAsia="fr-FR" w:bidi="fr-FR"/>
        </w:rPr>
        <w:t>i</w:t>
      </w:r>
      <w:r w:rsidRPr="004B2498">
        <w:rPr>
          <w:lang w:eastAsia="fr-FR" w:bidi="fr-FR"/>
        </w:rPr>
        <w:t>ques de liens sociaux.</w:t>
      </w:r>
    </w:p>
    <w:p w14:paraId="181F3A5E" w14:textId="77777777" w:rsidR="002F4063" w:rsidRPr="004B2498" w:rsidRDefault="002F4063" w:rsidP="002F4063">
      <w:pPr>
        <w:spacing w:before="120" w:after="120"/>
        <w:jc w:val="both"/>
        <w:rPr>
          <w:szCs w:val="24"/>
          <w:lang w:eastAsia="fr-FR" w:bidi="fr-FR"/>
        </w:rPr>
      </w:pPr>
      <w:r>
        <w:rPr>
          <w:szCs w:val="24"/>
          <w:lang w:eastAsia="fr-FR" w:bidi="fr-FR"/>
        </w:rPr>
        <w:br w:type="page"/>
      </w:r>
    </w:p>
    <w:p w14:paraId="010EF2B5" w14:textId="77777777" w:rsidR="002F4063" w:rsidRPr="004B2498" w:rsidRDefault="002F4063" w:rsidP="002F4063">
      <w:pPr>
        <w:pStyle w:val="a"/>
      </w:pPr>
      <w:r w:rsidRPr="004B2498">
        <w:t>Dépolitiser le social pour consommer durablement</w:t>
      </w:r>
    </w:p>
    <w:p w14:paraId="3581B2F7" w14:textId="77777777" w:rsidR="002F4063" w:rsidRPr="004B2498" w:rsidRDefault="002F4063" w:rsidP="002F4063">
      <w:pPr>
        <w:spacing w:before="120" w:after="120"/>
        <w:jc w:val="both"/>
        <w:rPr>
          <w:lang w:eastAsia="fr-FR" w:bidi="fr-FR"/>
        </w:rPr>
      </w:pPr>
    </w:p>
    <w:p w14:paraId="4BBB83D3" w14:textId="77777777" w:rsidR="002F4063" w:rsidRPr="004B2498" w:rsidRDefault="002F4063" w:rsidP="002F4063">
      <w:pPr>
        <w:spacing w:before="120" w:after="120"/>
        <w:jc w:val="both"/>
      </w:pPr>
      <w:r w:rsidRPr="004B2498">
        <w:rPr>
          <w:lang w:eastAsia="fr-FR" w:bidi="fr-FR"/>
        </w:rPr>
        <w:t>Affirmer que naturalisation et dépolitisation participent de la même dynamique de gouvernance globale (bonne par nature) suppose d’évoquer l’effacement ou l’occultation de la société par la nature d</w:t>
      </w:r>
      <w:r w:rsidRPr="004B2498">
        <w:rPr>
          <w:lang w:eastAsia="fr-FR" w:bidi="fr-FR"/>
        </w:rPr>
        <w:t>e</w:t>
      </w:r>
      <w:r w:rsidRPr="004B2498">
        <w:rPr>
          <w:lang w:eastAsia="fr-FR" w:bidi="fr-FR"/>
        </w:rPr>
        <w:t>venue l’instrument essentiel pour penser et nommer la totalité des hommes en sociétés.</w:t>
      </w:r>
    </w:p>
    <w:p w14:paraId="73BD0FA3" w14:textId="77777777" w:rsidR="002F4063" w:rsidRPr="004B2498" w:rsidRDefault="002F4063" w:rsidP="002F4063">
      <w:pPr>
        <w:spacing w:before="120" w:after="120"/>
        <w:jc w:val="both"/>
      </w:pPr>
      <w:r w:rsidRPr="004B2498">
        <w:rPr>
          <w:lang w:eastAsia="fr-FR" w:bidi="fr-FR"/>
        </w:rPr>
        <w:t>Hegel définit la société comme un « cercle de cercles », c’est-à-dire comme un système d’intégrations multiniveaux. Michel Freitag affirme que c’est l’État-nation qui permet historiquement de concevoir la société comme totalité. Il s’interroge : « la réalité de la société peut-elle disparaître (notamment à travers l’extension généralisée d’une réalité systémique opérant selon des mécanismes autorégulateurs et autoréférentiels) en laissant</w:t>
      </w:r>
      <w:r w:rsidRPr="004B2498">
        <w:t xml:space="preserve"> [90]</w:t>
      </w:r>
      <w:r>
        <w:t xml:space="preserve"> </w:t>
      </w:r>
      <w:r w:rsidRPr="004B2498">
        <w:rPr>
          <w:lang w:eastAsia="fr-FR" w:bidi="fr-FR"/>
        </w:rPr>
        <w:t>subsister la socialité et l’historicité</w:t>
      </w:r>
      <w:r>
        <w:rPr>
          <w:lang w:eastAsia="fr-FR" w:bidi="fr-FR"/>
        </w:rPr>
        <w:t> </w:t>
      </w:r>
      <w:r>
        <w:rPr>
          <w:rStyle w:val="Appelnotedebasdep"/>
          <w:lang w:eastAsia="fr-FR" w:bidi="fr-FR"/>
        </w:rPr>
        <w:footnoteReference w:id="75"/>
      </w:r>
      <w:r w:rsidRPr="004B2498">
        <w:rPr>
          <w:lang w:eastAsia="fr-FR" w:bidi="fr-FR"/>
        </w:rPr>
        <w:t> ? » Cette interrogation amène à se pencher sur la r</w:t>
      </w:r>
      <w:r w:rsidRPr="004B2498">
        <w:rPr>
          <w:lang w:eastAsia="fr-FR" w:bidi="fr-FR"/>
        </w:rPr>
        <w:t>é</w:t>
      </w:r>
      <w:r w:rsidRPr="004B2498">
        <w:rPr>
          <w:lang w:eastAsia="fr-FR" w:bidi="fr-FR"/>
        </w:rPr>
        <w:t>gression politique que provoque la naturalis</w:t>
      </w:r>
      <w:r w:rsidRPr="004B2498">
        <w:rPr>
          <w:lang w:eastAsia="fr-FR" w:bidi="fr-FR"/>
        </w:rPr>
        <w:t>a</w:t>
      </w:r>
      <w:r w:rsidRPr="004B2498">
        <w:rPr>
          <w:lang w:eastAsia="fr-FR" w:bidi="fr-FR"/>
        </w:rPr>
        <w:t>tion évoquée aussi bien que la réalité systémique que représente la globalisation avec la go</w:t>
      </w:r>
      <w:r w:rsidRPr="004B2498">
        <w:rPr>
          <w:lang w:eastAsia="fr-FR" w:bidi="fr-FR"/>
        </w:rPr>
        <w:t>u</w:t>
      </w:r>
      <w:r w:rsidRPr="004B2498">
        <w:rPr>
          <w:lang w:eastAsia="fr-FR" w:bidi="fr-FR"/>
        </w:rPr>
        <w:t>vernance comme principal outil et levier de repr</w:t>
      </w:r>
      <w:r w:rsidRPr="004B2498">
        <w:rPr>
          <w:lang w:eastAsia="fr-FR" w:bidi="fr-FR"/>
        </w:rPr>
        <w:t>o</w:t>
      </w:r>
      <w:r w:rsidRPr="004B2498">
        <w:rPr>
          <w:lang w:eastAsia="fr-FR" w:bidi="fr-FR"/>
        </w:rPr>
        <w:t>duction.</w:t>
      </w:r>
    </w:p>
    <w:p w14:paraId="370DE630" w14:textId="77777777" w:rsidR="002F4063" w:rsidRPr="004B2498" w:rsidRDefault="002F4063" w:rsidP="002F4063">
      <w:pPr>
        <w:spacing w:before="120" w:after="120"/>
        <w:jc w:val="both"/>
      </w:pPr>
      <w:r w:rsidRPr="004B2498">
        <w:rPr>
          <w:lang w:eastAsia="fr-FR" w:bidi="fr-FR"/>
        </w:rPr>
        <w:t>Dans le « cercle de cercles » de Hegel il y a place pour une repr</w:t>
      </w:r>
      <w:r w:rsidRPr="004B2498">
        <w:rPr>
          <w:lang w:eastAsia="fr-FR" w:bidi="fr-FR"/>
        </w:rPr>
        <w:t>é</w:t>
      </w:r>
      <w:r w:rsidRPr="004B2498">
        <w:rPr>
          <w:lang w:eastAsia="fr-FR" w:bidi="fr-FR"/>
        </w:rPr>
        <w:t>sentation de la société civile mais surtout une référence à l’État co</w:t>
      </w:r>
      <w:r w:rsidRPr="004B2498">
        <w:rPr>
          <w:lang w:eastAsia="fr-FR" w:bidi="fr-FR"/>
        </w:rPr>
        <w:t>m</w:t>
      </w:r>
      <w:r w:rsidRPr="004B2498">
        <w:rPr>
          <w:lang w:eastAsia="fr-FR" w:bidi="fr-FR"/>
        </w:rPr>
        <w:t>me symbole d’identité. Les bouffées de nationalisme observées a</w:t>
      </w:r>
      <w:r w:rsidRPr="004B2498">
        <w:rPr>
          <w:lang w:eastAsia="fr-FR" w:bidi="fr-FR"/>
        </w:rPr>
        <w:t>u</w:t>
      </w:r>
      <w:r w:rsidRPr="004B2498">
        <w:rPr>
          <w:lang w:eastAsia="fr-FR" w:bidi="fr-FR"/>
        </w:rPr>
        <w:t>jourd’hui dans le champ politique pourraient être dues à la montée en puissance des normes globales diffusées par la bonne gouvernance. L’État-nation inscrit un cadre politico-territorial doté de frontières ou limites où peut se représenter une centralité idéelle et symbolique. Ce centre nécessaire permet l'existence d’un cercle englobant d’autres cercles et la représentation d’une totalité, celle de l’État plutôt que celle de la planète d’aujourd’hui. Michel Freitag oppose à ces log</w:t>
      </w:r>
      <w:r w:rsidRPr="004B2498">
        <w:rPr>
          <w:lang w:eastAsia="fr-FR" w:bidi="fr-FR"/>
        </w:rPr>
        <w:t>i</w:t>
      </w:r>
      <w:r w:rsidRPr="004B2498">
        <w:rPr>
          <w:lang w:eastAsia="fr-FR" w:bidi="fr-FR"/>
        </w:rPr>
        <w:t>ques politico-sociales une logique systémique globale. Il écrit :</w:t>
      </w:r>
    </w:p>
    <w:p w14:paraId="2B449096" w14:textId="77777777" w:rsidR="002F4063" w:rsidRDefault="002F4063" w:rsidP="002F4063">
      <w:pPr>
        <w:pStyle w:val="Grillecouleur-Accent1"/>
        <w:rPr>
          <w:lang w:eastAsia="fr-FR" w:bidi="fr-FR"/>
        </w:rPr>
      </w:pPr>
    </w:p>
    <w:p w14:paraId="006B9979" w14:textId="77777777" w:rsidR="002F4063" w:rsidRDefault="002F4063" w:rsidP="002F4063">
      <w:pPr>
        <w:pStyle w:val="Grillecouleur-Accent1"/>
        <w:rPr>
          <w:lang w:eastAsia="fr-FR" w:bidi="fr-FR"/>
        </w:rPr>
      </w:pPr>
      <w:r w:rsidRPr="004B2498">
        <w:rPr>
          <w:lang w:eastAsia="fr-FR" w:bidi="fr-FR"/>
        </w:rPr>
        <w:t>« En un mot, le procès de la globalisation telle qu’elle est activ</w:t>
      </w:r>
      <w:r w:rsidRPr="004B2498">
        <w:rPr>
          <w:lang w:eastAsia="fr-FR" w:bidi="fr-FR"/>
        </w:rPr>
        <w:t>e</w:t>
      </w:r>
      <w:r w:rsidRPr="004B2498">
        <w:rPr>
          <w:lang w:eastAsia="fr-FR" w:bidi="fr-FR"/>
        </w:rPr>
        <w:t>ment pratiquée vise à assurer l’hégémonie de la logique économique sur l’ensemble de la vie collective au niveau mondial, et le mode de fonctio</w:t>
      </w:r>
      <w:r w:rsidRPr="004B2498">
        <w:rPr>
          <w:lang w:eastAsia="fr-FR" w:bidi="fr-FR"/>
        </w:rPr>
        <w:t>n</w:t>
      </w:r>
      <w:r w:rsidRPr="004B2498">
        <w:rPr>
          <w:lang w:eastAsia="fr-FR" w:bidi="fr-FR"/>
        </w:rPr>
        <w:t>nement d’une économie automatisée de manière globale n’est précisément plus une « logique sociale mais une logique systém</w:t>
      </w:r>
      <w:r w:rsidRPr="004B2498">
        <w:rPr>
          <w:lang w:eastAsia="fr-FR" w:bidi="fr-FR"/>
        </w:rPr>
        <w:t>i</w:t>
      </w:r>
      <w:r w:rsidRPr="004B2498">
        <w:rPr>
          <w:lang w:eastAsia="fr-FR" w:bidi="fr-FR"/>
        </w:rPr>
        <w:t>que. » (Freitag, 2004, article cité p. 22)</w:t>
      </w:r>
    </w:p>
    <w:p w14:paraId="3AEB554E" w14:textId="77777777" w:rsidR="002F4063" w:rsidRPr="004B2498" w:rsidRDefault="002F4063" w:rsidP="002F4063">
      <w:pPr>
        <w:pStyle w:val="Grillecouleur-Accent1"/>
      </w:pPr>
    </w:p>
    <w:p w14:paraId="71345A77" w14:textId="77777777" w:rsidR="002F4063" w:rsidRPr="004B2498" w:rsidRDefault="002F4063" w:rsidP="002F4063">
      <w:pPr>
        <w:spacing w:before="120" w:after="120"/>
        <w:jc w:val="both"/>
      </w:pPr>
      <w:r w:rsidRPr="004B2498">
        <w:rPr>
          <w:lang w:eastAsia="fr-FR" w:bidi="fr-FR"/>
        </w:rPr>
        <w:t>Il appuie son analyse sur la théorie de Niklas Luhmann (Luhmann, 1999) et souligne :</w:t>
      </w:r>
    </w:p>
    <w:p w14:paraId="007F7754" w14:textId="77777777" w:rsidR="002F4063" w:rsidRDefault="002F4063" w:rsidP="002F4063">
      <w:pPr>
        <w:pStyle w:val="Grillecouleur-Accent1"/>
        <w:rPr>
          <w:lang w:eastAsia="fr-FR" w:bidi="fr-FR"/>
        </w:rPr>
      </w:pPr>
    </w:p>
    <w:p w14:paraId="35117ACD" w14:textId="77777777" w:rsidR="002F4063" w:rsidRDefault="002F4063" w:rsidP="002F4063">
      <w:pPr>
        <w:pStyle w:val="Grillecouleur-Accent1"/>
        <w:rPr>
          <w:lang w:eastAsia="fr-FR" w:bidi="fr-FR"/>
        </w:rPr>
      </w:pPr>
      <w:r w:rsidRPr="004B2498">
        <w:rPr>
          <w:lang w:eastAsia="fr-FR" w:bidi="fr-FR"/>
        </w:rPr>
        <w:t>« Le monde opératoire systémique n’implique aucune référence à a</w:t>
      </w:r>
      <w:r w:rsidRPr="004B2498">
        <w:rPr>
          <w:lang w:eastAsia="fr-FR" w:bidi="fr-FR"/>
        </w:rPr>
        <w:t>u</w:t>
      </w:r>
      <w:r w:rsidRPr="004B2498">
        <w:rPr>
          <w:lang w:eastAsia="fr-FR" w:bidi="fr-FR"/>
        </w:rPr>
        <w:t>cune identité et altérité » possédant une consistance et une cohérence ont</w:t>
      </w:r>
      <w:r w:rsidRPr="004B2498">
        <w:rPr>
          <w:lang w:eastAsia="fr-FR" w:bidi="fr-FR"/>
        </w:rPr>
        <w:t>o</w:t>
      </w:r>
      <w:r w:rsidRPr="004B2498">
        <w:rPr>
          <w:lang w:eastAsia="fr-FR" w:bidi="fr-FR"/>
        </w:rPr>
        <w:t>logiques propres, les systèmes produisent et reproduisent d’eux-mêmes et en eux-mêmes la césure autour de laquelle ils con</w:t>
      </w:r>
      <w:r w:rsidRPr="004B2498">
        <w:rPr>
          <w:lang w:eastAsia="fr-FR" w:bidi="fr-FR"/>
        </w:rPr>
        <w:t>s</w:t>
      </w:r>
      <w:r w:rsidRPr="004B2498">
        <w:rPr>
          <w:lang w:eastAsia="fr-FR" w:bidi="fr-FR"/>
        </w:rPr>
        <w:t>truisent leur opposition à tout ce qui se présente dans leur « environnement », et cet environn</w:t>
      </w:r>
      <w:r w:rsidRPr="004B2498">
        <w:rPr>
          <w:lang w:eastAsia="fr-FR" w:bidi="fr-FR"/>
        </w:rPr>
        <w:t>e</w:t>
      </w:r>
      <w:r w:rsidRPr="004B2498">
        <w:rPr>
          <w:lang w:eastAsia="fr-FR" w:bidi="fr-FR"/>
        </w:rPr>
        <w:t>ment se réduit aux informations que le système doit traiter pour assurer sa propre reproduction. Un système est donc de manière radicale un procès sans sujet ni fin. » (a</w:t>
      </w:r>
      <w:r w:rsidRPr="004B2498">
        <w:rPr>
          <w:lang w:eastAsia="fr-FR" w:bidi="fr-FR"/>
        </w:rPr>
        <w:t>r</w:t>
      </w:r>
      <w:r w:rsidRPr="004B2498">
        <w:rPr>
          <w:lang w:eastAsia="fr-FR" w:bidi="fr-FR"/>
        </w:rPr>
        <w:t>ticle cité p. 23)</w:t>
      </w:r>
    </w:p>
    <w:p w14:paraId="7AA0E788" w14:textId="77777777" w:rsidR="002F4063" w:rsidRPr="004B2498" w:rsidRDefault="002F4063" w:rsidP="002F4063">
      <w:pPr>
        <w:pStyle w:val="Grillecouleur-Accent1"/>
      </w:pPr>
    </w:p>
    <w:p w14:paraId="09DF48AE" w14:textId="77777777" w:rsidR="002F4063" w:rsidRPr="004B2498" w:rsidRDefault="002F4063" w:rsidP="002F4063">
      <w:pPr>
        <w:spacing w:before="120" w:after="120"/>
        <w:jc w:val="both"/>
      </w:pPr>
      <w:r w:rsidRPr="004B2498">
        <w:rPr>
          <w:lang w:eastAsia="fr-FR" w:bidi="fr-FR"/>
        </w:rPr>
        <w:t>Dans cet univers systémique toute réflexivité est exclue remplacée par une réactivité informationnelle de type pavlovien. Michel Freitag conclut :</w:t>
      </w:r>
    </w:p>
    <w:p w14:paraId="55F3E53F" w14:textId="77777777" w:rsidR="002F4063" w:rsidRPr="004B2498" w:rsidRDefault="002F4063" w:rsidP="002F4063">
      <w:pPr>
        <w:pStyle w:val="Citation0"/>
        <w:rPr>
          <w:lang w:eastAsia="fr-FR" w:bidi="fr-FR"/>
        </w:rPr>
      </w:pPr>
      <w:r w:rsidRPr="004B2498">
        <w:rPr>
          <w:lang w:eastAsia="fr-FR" w:bidi="fr-FR"/>
        </w:rPr>
        <w:t>« sur le plan proprement conceptuel, le sujet disparaît de l’univers syst</w:t>
      </w:r>
      <w:r w:rsidRPr="004B2498">
        <w:rPr>
          <w:lang w:eastAsia="fr-FR" w:bidi="fr-FR"/>
        </w:rPr>
        <w:t>é</w:t>
      </w:r>
      <w:r w:rsidRPr="004B2498">
        <w:rPr>
          <w:lang w:eastAsia="fr-FR" w:bidi="fr-FR"/>
        </w:rPr>
        <w:t>mique et avec lui le sujet collectif qu’est la société avec ses « objectivations réflexives » et ses médiations. » La réalité selon Luhmann est radicalement a-symbolique et non synthétique. Dans la réalisation (le devenir réel) de l’aliénation systémique disparaît donc aussi toute dialect</w:t>
      </w:r>
      <w:r w:rsidRPr="004B2498">
        <w:rPr>
          <w:lang w:eastAsia="fr-FR" w:bidi="fr-FR"/>
        </w:rPr>
        <w:t>i</w:t>
      </w:r>
      <w:r w:rsidRPr="004B2498">
        <w:rPr>
          <w:lang w:eastAsia="fr-FR" w:bidi="fr-FR"/>
        </w:rPr>
        <w:t>que de l’aliénation et de l’émancipation avec sa r</w:t>
      </w:r>
      <w:r w:rsidRPr="004B2498">
        <w:rPr>
          <w:lang w:eastAsia="fr-FR" w:bidi="fr-FR"/>
        </w:rPr>
        <w:t>é</w:t>
      </w:r>
      <w:r w:rsidRPr="004B2498">
        <w:rPr>
          <w:lang w:eastAsia="fr-FR" w:bidi="fr-FR"/>
        </w:rPr>
        <w:t xml:space="preserve">férence centrale au sujet </w:t>
      </w:r>
      <w:r w:rsidRPr="004B2498">
        <w:rPr>
          <w:iCs/>
        </w:rPr>
        <w:t>a priori</w:t>
      </w:r>
      <w:r w:rsidRPr="004B2498">
        <w:rPr>
          <w:lang w:eastAsia="fr-FR" w:bidi="fr-FR"/>
        </w:rPr>
        <w:t xml:space="preserve"> de la sensibilité et du jugement et son ouverture critique. » (article cité p. 24)</w:t>
      </w:r>
    </w:p>
    <w:p w14:paraId="08AE77E8" w14:textId="77777777" w:rsidR="002F4063" w:rsidRPr="004B2498" w:rsidRDefault="002F4063" w:rsidP="002F4063">
      <w:pPr>
        <w:spacing w:before="120" w:after="120"/>
        <w:jc w:val="both"/>
      </w:pPr>
    </w:p>
    <w:p w14:paraId="283AC6D7" w14:textId="77777777" w:rsidR="002F4063" w:rsidRPr="004B2498" w:rsidRDefault="002F4063" w:rsidP="002F4063">
      <w:pPr>
        <w:spacing w:before="120" w:after="120"/>
        <w:jc w:val="both"/>
      </w:pPr>
      <w:r w:rsidRPr="004B2498">
        <w:t>[91]</w:t>
      </w:r>
    </w:p>
    <w:p w14:paraId="71EAEB7D" w14:textId="77777777" w:rsidR="002F4063" w:rsidRPr="004B2498" w:rsidRDefault="002F4063" w:rsidP="002F4063">
      <w:pPr>
        <w:spacing w:before="120" w:after="120"/>
        <w:jc w:val="both"/>
      </w:pPr>
      <w:r w:rsidRPr="004B2498">
        <w:rPr>
          <w:lang w:eastAsia="fr-FR" w:bidi="fr-FR"/>
        </w:rPr>
        <w:t>La désocialisation des relations interindividuelles est un constat largement partagé car c’est bien la disparition progressive du sujet sociopolitique qui est en question. Cet effacement s’opère suivant deux lignes. La première est évoquée par M. Freitag. Il s’agit d’un transfert radical de pertinence d’un champ social et politique à un sy</w:t>
      </w:r>
      <w:r w:rsidRPr="004B2498">
        <w:rPr>
          <w:lang w:eastAsia="fr-FR" w:bidi="fr-FR"/>
        </w:rPr>
        <w:t>s</w:t>
      </w:r>
      <w:r w:rsidRPr="004B2498">
        <w:rPr>
          <w:lang w:eastAsia="fr-FR" w:bidi="fr-FR"/>
        </w:rPr>
        <w:t>tème globalisant et global. Le champ social et politique est histor</w:t>
      </w:r>
      <w:r w:rsidRPr="004B2498">
        <w:rPr>
          <w:lang w:eastAsia="fr-FR" w:bidi="fr-FR"/>
        </w:rPr>
        <w:t>i</w:t>
      </w:r>
      <w:r w:rsidRPr="004B2498">
        <w:rPr>
          <w:lang w:eastAsia="fr-FR" w:bidi="fr-FR"/>
        </w:rPr>
        <w:t>quement traversé par une dialectique entre aliénation et émancipation, base des grands récits de la modernité. L'univers subjectif et symbol</w:t>
      </w:r>
      <w:r w:rsidRPr="004B2498">
        <w:rPr>
          <w:lang w:eastAsia="fr-FR" w:bidi="fr-FR"/>
        </w:rPr>
        <w:t>i</w:t>
      </w:r>
      <w:r w:rsidRPr="004B2498">
        <w:rPr>
          <w:lang w:eastAsia="fr-FR" w:bidi="fr-FR"/>
        </w:rPr>
        <w:t>que du sujet y est très présent. Dans le système, la soumission cond</w:t>
      </w:r>
      <w:r w:rsidRPr="004B2498">
        <w:rPr>
          <w:lang w:eastAsia="fr-FR" w:bidi="fr-FR"/>
        </w:rPr>
        <w:t>i</w:t>
      </w:r>
      <w:r w:rsidRPr="004B2498">
        <w:rPr>
          <w:lang w:eastAsia="fr-FR" w:bidi="fr-FR"/>
        </w:rPr>
        <w:t>tionne la participation, non plus à une société mais au système qui se donne comme unique, exclusif, hors de tout espace-temps, comme un logiciel universel ou l’individu n’est pris en compte que dans sa préf</w:t>
      </w:r>
      <w:r w:rsidRPr="004B2498">
        <w:rPr>
          <w:lang w:eastAsia="fr-FR" w:bidi="fr-FR"/>
        </w:rPr>
        <w:t>é</w:t>
      </w:r>
      <w:r w:rsidRPr="004B2498">
        <w:rPr>
          <w:lang w:eastAsia="fr-FR" w:bidi="fr-FR"/>
        </w:rPr>
        <w:t>rence immédiate, cliquée en temps réel, immédiatement captée ou capturée comme l’avis immédiat d’un consommateur, le seul sujet intéressant le marché des biens, des services ou même des émotions. Être connecté c’est participer et exister. La logique systémique fait bon ménage avec celle de la naturalisation du social. Ces deux log</w:t>
      </w:r>
      <w:r w:rsidRPr="004B2498">
        <w:rPr>
          <w:lang w:eastAsia="fr-FR" w:bidi="fr-FR"/>
        </w:rPr>
        <w:t>i</w:t>
      </w:r>
      <w:r w:rsidRPr="004B2498">
        <w:rPr>
          <w:lang w:eastAsia="fr-FR" w:bidi="fr-FR"/>
        </w:rPr>
        <w:t>ques se conjuguent et se renforcent dans la gouvernance globale qui est, entre autres, un mode d’emploi de la participation, de l’appartenance au système et non plus à une société.</w:t>
      </w:r>
    </w:p>
    <w:p w14:paraId="5C58FBE4" w14:textId="77777777" w:rsidR="002F4063" w:rsidRPr="004B2498" w:rsidRDefault="002F4063" w:rsidP="002F4063">
      <w:pPr>
        <w:spacing w:before="120" w:after="120"/>
        <w:jc w:val="both"/>
      </w:pPr>
      <w:r w:rsidRPr="004B2498">
        <w:rPr>
          <w:lang w:eastAsia="fr-FR" w:bidi="fr-FR"/>
        </w:rPr>
        <w:t>Le sujet politique, le citoyen ainsi qu’on l’appelait dans la Déclar</w:t>
      </w:r>
      <w:r w:rsidRPr="004B2498">
        <w:rPr>
          <w:lang w:eastAsia="fr-FR" w:bidi="fr-FR"/>
        </w:rPr>
        <w:t>a</w:t>
      </w:r>
      <w:r w:rsidRPr="004B2498">
        <w:rPr>
          <w:lang w:eastAsia="fr-FR" w:bidi="fr-FR"/>
        </w:rPr>
        <w:t>tion des droits de l’homme et du citoyen, fait place à un homme ab</w:t>
      </w:r>
      <w:r w:rsidRPr="004B2498">
        <w:rPr>
          <w:lang w:eastAsia="fr-FR" w:bidi="fr-FR"/>
        </w:rPr>
        <w:t>s</w:t>
      </w:r>
      <w:r w:rsidRPr="004B2498">
        <w:rPr>
          <w:lang w:eastAsia="fr-FR" w:bidi="fr-FR"/>
        </w:rPr>
        <w:t>trait équipé de droits abstraits comme exemplaire de l’espèce ou du genre homme. C’est un sujet biologique dont la médecine et l’action humanitaire s’occupent à prolonger la vie et un sujet consommateur et informatique qui intéresse le marché. Il a des droits comme conso</w:t>
      </w:r>
      <w:r w:rsidRPr="004B2498">
        <w:rPr>
          <w:lang w:eastAsia="fr-FR" w:bidi="fr-FR"/>
        </w:rPr>
        <w:t>m</w:t>
      </w:r>
      <w:r w:rsidRPr="004B2498">
        <w:rPr>
          <w:lang w:eastAsia="fr-FR" w:bidi="fr-FR"/>
        </w:rPr>
        <w:t>mateur et internaute ou plutôt des protections contre des atteintes e</w:t>
      </w:r>
      <w:r w:rsidRPr="004B2498">
        <w:rPr>
          <w:lang w:eastAsia="fr-FR" w:bidi="fr-FR"/>
        </w:rPr>
        <w:t>x</w:t>
      </w:r>
      <w:r w:rsidRPr="004B2498">
        <w:rPr>
          <w:lang w:eastAsia="fr-FR" w:bidi="fr-FR"/>
        </w:rPr>
        <w:t>cessives à sa vie privée ou à ses ressources. Il s’agit de moins en moins d’un citoyen comme en témoigne le recours verbal répétitif et incantatoire à la citoyenneté en déroute et de plus en plus d’un consommateur d’émotions médiatisées dont la subjectivité se réfugie dans la souffrance au travail ou la déprime. La société le protège de moins en moins et l’inquiète de plus en plus car la solidarité sociale fait place à des protections où la philanthropie humanitaire se dév</w:t>
      </w:r>
      <w:r w:rsidRPr="004B2498">
        <w:rPr>
          <w:lang w:eastAsia="fr-FR" w:bidi="fr-FR"/>
        </w:rPr>
        <w:t>e</w:t>
      </w:r>
      <w:r w:rsidRPr="004B2498">
        <w:rPr>
          <w:lang w:eastAsia="fr-FR" w:bidi="fr-FR"/>
        </w:rPr>
        <w:t>loppe tandis que la protection sociale s’érode, cible ses clients et en exclut certains. Ces derniers deviennent à leur tour les clients de se</w:t>
      </w:r>
      <w:r w:rsidRPr="004B2498">
        <w:rPr>
          <w:lang w:eastAsia="fr-FR" w:bidi="fr-FR"/>
        </w:rPr>
        <w:t>r</w:t>
      </w:r>
      <w:r w:rsidRPr="004B2498">
        <w:rPr>
          <w:lang w:eastAsia="fr-FR" w:bidi="fr-FR"/>
        </w:rPr>
        <w:t>vices spécialisés destinés à des exclus, non citoyens. Toute centralité de l’État-nation a disparu dans ce paysage. L’État n’est plus qu’un des acteurs de la philanthropie universelle déclenchée par la mondialis</w:t>
      </w:r>
      <w:r w:rsidRPr="004B2498">
        <w:rPr>
          <w:lang w:eastAsia="fr-FR" w:bidi="fr-FR"/>
        </w:rPr>
        <w:t>a</w:t>
      </w:r>
      <w:r w:rsidRPr="004B2498">
        <w:rPr>
          <w:lang w:eastAsia="fr-FR" w:bidi="fr-FR"/>
        </w:rPr>
        <w:t>tion du capitalisme dont on connaît la vocation philanthropique hist</w:t>
      </w:r>
      <w:r w:rsidRPr="004B2498">
        <w:rPr>
          <w:lang w:eastAsia="fr-FR" w:bidi="fr-FR"/>
        </w:rPr>
        <w:t>o</w:t>
      </w:r>
      <w:r w:rsidRPr="004B2498">
        <w:rPr>
          <w:lang w:eastAsia="fr-FR" w:bidi="fr-FR"/>
        </w:rPr>
        <w:t>rique tout comme ses capacités d’exploitation des ressources, fussent-elles émotionnelles ou morales.</w:t>
      </w:r>
    </w:p>
    <w:p w14:paraId="5CC43FCE" w14:textId="77777777" w:rsidR="002F4063" w:rsidRPr="004B2498" w:rsidRDefault="002F4063" w:rsidP="002F4063">
      <w:pPr>
        <w:spacing w:before="120" w:after="120"/>
        <w:jc w:val="both"/>
      </w:pPr>
      <w:r w:rsidRPr="004B2498">
        <w:rPr>
          <w:lang w:eastAsia="fr-FR" w:bidi="fr-FR"/>
        </w:rPr>
        <w:t>L’affaiblissement de la centralité ou de la totalité représentée par la société ouvre la voie aux dérives communautaires, plus précisément racistes et religieuses. Le citoyen devenu un animal docile s’investit dans la</w:t>
      </w:r>
      <w:r w:rsidRPr="004B2498">
        <w:t xml:space="preserve"> [92]</w:t>
      </w:r>
      <w:r>
        <w:t xml:space="preserve"> </w:t>
      </w:r>
      <w:r w:rsidRPr="004B2498">
        <w:rPr>
          <w:lang w:eastAsia="fr-FR" w:bidi="fr-FR"/>
        </w:rPr>
        <w:t>consommation de marchandises et de spectacles identita</w:t>
      </w:r>
      <w:r w:rsidRPr="004B2498">
        <w:rPr>
          <w:lang w:eastAsia="fr-FR" w:bidi="fr-FR"/>
        </w:rPr>
        <w:t>i</w:t>
      </w:r>
      <w:r w:rsidRPr="004B2498">
        <w:rPr>
          <w:lang w:eastAsia="fr-FR" w:bidi="fr-FR"/>
        </w:rPr>
        <w:t>res en état d’inflation rapide provoquant une ethnicisation du débat politique et des gouvernements qui gèrent des émotions plutôt qu’ils opèrent des choix de société.</w:t>
      </w:r>
    </w:p>
    <w:p w14:paraId="6FD0A3D7" w14:textId="77777777" w:rsidR="002F4063" w:rsidRPr="004B2498" w:rsidRDefault="002F4063" w:rsidP="002F4063">
      <w:pPr>
        <w:spacing w:before="120" w:after="120"/>
        <w:jc w:val="both"/>
      </w:pPr>
      <w:r w:rsidRPr="004B2498">
        <w:rPr>
          <w:lang w:eastAsia="fr-FR" w:bidi="fr-FR"/>
        </w:rPr>
        <w:t>Ce « corps social » ressemble de plus en plus à un corps biolog</w:t>
      </w:r>
      <w:r w:rsidRPr="004B2498">
        <w:rPr>
          <w:lang w:eastAsia="fr-FR" w:bidi="fr-FR"/>
        </w:rPr>
        <w:t>i</w:t>
      </w:r>
      <w:r w:rsidRPr="004B2498">
        <w:rPr>
          <w:lang w:eastAsia="fr-FR" w:bidi="fr-FR"/>
        </w:rPr>
        <w:t>que, bardé d’électrodes pour enregistrer ses émotions pré-électorales.</w:t>
      </w:r>
    </w:p>
    <w:p w14:paraId="322A5F6D" w14:textId="77777777" w:rsidR="002F4063" w:rsidRPr="004B2498" w:rsidRDefault="002F4063" w:rsidP="002F4063">
      <w:pPr>
        <w:spacing w:before="120" w:after="120"/>
        <w:jc w:val="both"/>
      </w:pPr>
      <w:r w:rsidRPr="004B2498">
        <w:rPr>
          <w:lang w:eastAsia="fr-FR" w:bidi="fr-FR"/>
        </w:rPr>
        <w:t>L’installation prochaine de votes par ordinateurs affichera cette mutation. Hors débat, dans la pseudo intimité de leur isoloir numér</w:t>
      </w:r>
      <w:r w:rsidRPr="004B2498">
        <w:rPr>
          <w:lang w:eastAsia="fr-FR" w:bidi="fr-FR"/>
        </w:rPr>
        <w:t>i</w:t>
      </w:r>
      <w:r w:rsidRPr="004B2498">
        <w:rPr>
          <w:lang w:eastAsia="fr-FR" w:bidi="fr-FR"/>
        </w:rPr>
        <w:t>que, les citoyens consommateurs utiliseront la même touche pour choisir leur lessive et le président de la république. Dans cette dépol</w:t>
      </w:r>
      <w:r w:rsidRPr="004B2498">
        <w:rPr>
          <w:lang w:eastAsia="fr-FR" w:bidi="fr-FR"/>
        </w:rPr>
        <w:t>i</w:t>
      </w:r>
      <w:r w:rsidRPr="004B2498">
        <w:rPr>
          <w:lang w:eastAsia="fr-FR" w:bidi="fr-FR"/>
        </w:rPr>
        <w:t>tisation ou ce monde postpolitique, il existe encore des institutions, des assemblées, des parlements. Ces lieux, ces représentants, ces mandatés, sont exposés aux mêmes contraintes systémiques et « naturelles » que quiconque. Entre l’État affaibli par l’intégrisme néolibéral, le marché, prototype de la globalisation, on invoque la s</w:t>
      </w:r>
      <w:r w:rsidRPr="004B2498">
        <w:rPr>
          <w:lang w:eastAsia="fr-FR" w:bidi="fr-FR"/>
        </w:rPr>
        <w:t>o</w:t>
      </w:r>
      <w:r w:rsidRPr="004B2498">
        <w:rPr>
          <w:lang w:eastAsia="fr-FR" w:bidi="fr-FR"/>
        </w:rPr>
        <w:t>ciété civile, riche et diverse, plurielle, pour restaurer un champ polit</w:t>
      </w:r>
      <w:r w:rsidRPr="004B2498">
        <w:rPr>
          <w:lang w:eastAsia="fr-FR" w:bidi="fr-FR"/>
        </w:rPr>
        <w:t>i</w:t>
      </w:r>
      <w:r w:rsidRPr="004B2498">
        <w:rPr>
          <w:lang w:eastAsia="fr-FR" w:bidi="fr-FR"/>
        </w:rPr>
        <w:t>que affaibli. C’est en effet là que gisent des ressources, plus ou moins alternatives. Celles-ci sont néanmoins exposées à être captées par le système pour fonctionner en organisations technocratiques gérant des problèmes particuliers, de minorités multiples, sans la capacité esse</w:t>
      </w:r>
      <w:r w:rsidRPr="004B2498">
        <w:rPr>
          <w:lang w:eastAsia="fr-FR" w:bidi="fr-FR"/>
        </w:rPr>
        <w:t>n</w:t>
      </w:r>
      <w:r w:rsidRPr="004B2498">
        <w:rPr>
          <w:lang w:eastAsia="fr-FR" w:bidi="fr-FR"/>
        </w:rPr>
        <w:t>tielle d’agir directement sur les causes des problèmes et sur les cond</w:t>
      </w:r>
      <w:r w:rsidRPr="004B2498">
        <w:rPr>
          <w:lang w:eastAsia="fr-FR" w:bidi="fr-FR"/>
        </w:rPr>
        <w:t>i</w:t>
      </w:r>
      <w:r w:rsidRPr="004B2498">
        <w:rPr>
          <w:lang w:eastAsia="fr-FR" w:bidi="fr-FR"/>
        </w:rPr>
        <w:t>tions structurelles qui produisent ces problèmes, hier politiques et p</w:t>
      </w:r>
      <w:r w:rsidRPr="004B2498">
        <w:rPr>
          <w:lang w:eastAsia="fr-FR" w:bidi="fr-FR"/>
        </w:rPr>
        <w:t>u</w:t>
      </w:r>
      <w:r w:rsidRPr="004B2498">
        <w:rPr>
          <w:lang w:eastAsia="fr-FR" w:bidi="fr-FR"/>
        </w:rPr>
        <w:t>blics, aujourd’hui techniques ou émotionnels.</w:t>
      </w:r>
    </w:p>
    <w:p w14:paraId="1E9B96DE" w14:textId="77777777" w:rsidR="002F4063" w:rsidRPr="004B2498" w:rsidRDefault="002F4063" w:rsidP="002F4063">
      <w:pPr>
        <w:spacing w:before="120" w:after="120"/>
        <w:jc w:val="both"/>
      </w:pPr>
      <w:r w:rsidRPr="004B2498">
        <w:rPr>
          <w:lang w:eastAsia="fr-FR" w:bidi="fr-FR"/>
        </w:rPr>
        <w:t>C’est au fond la justice qui a disparu le plus radicalement du paysage, car la lutte contre la pauvreté n’a aucun rapport avec la just</w:t>
      </w:r>
      <w:r w:rsidRPr="004B2498">
        <w:rPr>
          <w:lang w:eastAsia="fr-FR" w:bidi="fr-FR"/>
        </w:rPr>
        <w:t>i</w:t>
      </w:r>
      <w:r w:rsidRPr="004B2498">
        <w:rPr>
          <w:lang w:eastAsia="fr-FR" w:bidi="fr-FR"/>
        </w:rPr>
        <w:t>ce qui est une exigence politique et morale. C’est cette aspiration à la justice qui alimentait la dialectique ente aliénation et émancipation. En devenant des corps biologiques dépolitisés, les ex-citoyens d</w:t>
      </w:r>
      <w:r w:rsidRPr="004B2498">
        <w:rPr>
          <w:lang w:eastAsia="fr-FR" w:bidi="fr-FR"/>
        </w:rPr>
        <w:t>e</w:t>
      </w:r>
      <w:r w:rsidRPr="004B2498">
        <w:rPr>
          <w:lang w:eastAsia="fr-FR" w:bidi="fr-FR"/>
        </w:rPr>
        <w:t>viennent progressivement des consommateurs actifs de leur propre aliénation. Ils sont en permanence sollicités pour donner leur avis électronique ou verbal et ils participent ainsi au spectacle d’une fiction post-politique qui se substitue au débat. De quoi débattre en effet si les objectifs sont universels et la bonne gouvernance le droit chemin pour les atteindre, de façon efficace et transparente, comme les no</w:t>
      </w:r>
      <w:r w:rsidRPr="004B2498">
        <w:rPr>
          <w:lang w:eastAsia="fr-FR" w:bidi="fr-FR"/>
        </w:rPr>
        <w:t>r</w:t>
      </w:r>
      <w:r w:rsidRPr="004B2498">
        <w:rPr>
          <w:lang w:eastAsia="fr-FR" w:bidi="fr-FR"/>
        </w:rPr>
        <w:t>mes affichées ? Participer volontairement au spectacle comme acteur non rémunéré et consommateur fasciné par les réussites en paillettes semble en voie de devenir le comble de la normalité. C’est-à-dire d’une humanité privée de société, post-politique, citoyenne d’une pl</w:t>
      </w:r>
      <w:r w:rsidRPr="004B2498">
        <w:rPr>
          <w:lang w:eastAsia="fr-FR" w:bidi="fr-FR"/>
        </w:rPr>
        <w:t>a</w:t>
      </w:r>
      <w:r w:rsidRPr="004B2498">
        <w:rPr>
          <w:lang w:eastAsia="fr-FR" w:bidi="fr-FR"/>
        </w:rPr>
        <w:t>nète où le marché d’une part, les États les plus riches d’autre part, font la loi, l’accès aux ressources étant devenu l’un des principaux enjeux, plus que la liberté, l’égalité ou la fraternité qui ne trouvent même plus leur dernier refuge sur la monnaie devenue supranationale.</w:t>
      </w:r>
    </w:p>
    <w:p w14:paraId="51F773F3" w14:textId="77777777" w:rsidR="002F4063" w:rsidRPr="004B2498" w:rsidRDefault="002F4063" w:rsidP="002F4063">
      <w:pPr>
        <w:spacing w:before="120" w:after="120"/>
        <w:jc w:val="both"/>
      </w:pPr>
      <w:r w:rsidRPr="004B2498">
        <w:rPr>
          <w:lang w:eastAsia="fr-FR" w:bidi="fr-FR"/>
        </w:rPr>
        <w:t>On aurait tort de voir seulement dans les analyses qui précèdent une posture nostalgique et encore moins souverainiste. Il s’agit seul</w:t>
      </w:r>
      <w:r w:rsidRPr="004B2498">
        <w:rPr>
          <w:lang w:eastAsia="fr-FR" w:bidi="fr-FR"/>
        </w:rPr>
        <w:t>e</w:t>
      </w:r>
      <w:r w:rsidRPr="004B2498">
        <w:rPr>
          <w:lang w:eastAsia="fr-FR" w:bidi="fr-FR"/>
        </w:rPr>
        <w:t>ment de voir</w:t>
      </w:r>
      <w:r>
        <w:t xml:space="preserve"> </w:t>
      </w:r>
      <w:r w:rsidRPr="004B2498">
        <w:t>[93]</w:t>
      </w:r>
      <w:r>
        <w:t xml:space="preserve"> </w:t>
      </w:r>
      <w:r w:rsidRPr="004B2498">
        <w:rPr>
          <w:lang w:eastAsia="fr-FR" w:bidi="fr-FR"/>
        </w:rPr>
        <w:t>si les sciences sociales à venir seront des sciences de la société et vers quoi elles évoluent, en même temps que la soci</w:t>
      </w:r>
      <w:r w:rsidRPr="004B2498">
        <w:rPr>
          <w:lang w:eastAsia="fr-FR" w:bidi="fr-FR"/>
        </w:rPr>
        <w:t>é</w:t>
      </w:r>
      <w:r w:rsidRPr="004B2498">
        <w:rPr>
          <w:lang w:eastAsia="fr-FR" w:bidi="fr-FR"/>
        </w:rPr>
        <w:t>té.</w:t>
      </w:r>
    </w:p>
    <w:p w14:paraId="1D281F0D" w14:textId="77777777" w:rsidR="002F4063" w:rsidRPr="004B2498" w:rsidRDefault="002F4063" w:rsidP="002F4063">
      <w:pPr>
        <w:spacing w:before="120" w:after="120"/>
        <w:jc w:val="both"/>
        <w:rPr>
          <w:szCs w:val="24"/>
          <w:lang w:eastAsia="fr-FR" w:bidi="fr-FR"/>
        </w:rPr>
      </w:pPr>
    </w:p>
    <w:p w14:paraId="273BED2C" w14:textId="77777777" w:rsidR="002F4063" w:rsidRPr="004B2498" w:rsidRDefault="002F4063" w:rsidP="002F4063">
      <w:pPr>
        <w:pStyle w:val="a"/>
      </w:pPr>
      <w:r w:rsidRPr="004B2498">
        <w:t>La gouvernance levier de la globalisation ?</w:t>
      </w:r>
    </w:p>
    <w:p w14:paraId="41067458" w14:textId="77777777" w:rsidR="002F4063" w:rsidRPr="004B2498" w:rsidRDefault="002F4063" w:rsidP="002F4063">
      <w:pPr>
        <w:spacing w:before="120" w:after="120"/>
        <w:jc w:val="both"/>
        <w:rPr>
          <w:lang w:eastAsia="fr-FR" w:bidi="fr-FR"/>
        </w:rPr>
      </w:pPr>
    </w:p>
    <w:p w14:paraId="2FAA3920" w14:textId="77777777" w:rsidR="002F4063" w:rsidRPr="004B2498" w:rsidRDefault="002F4063" w:rsidP="002F4063">
      <w:pPr>
        <w:spacing w:before="120" w:after="120"/>
        <w:jc w:val="both"/>
      </w:pPr>
      <w:r w:rsidRPr="004B2498">
        <w:rPr>
          <w:lang w:eastAsia="fr-FR" w:bidi="fr-FR"/>
        </w:rPr>
        <w:t>La gouvernance se présente comme une somme de prescriptions relativement peu nombreuses et redondantes sur des performances techniques parées de normes de transparence démocratiques ou mor</w:t>
      </w:r>
      <w:r w:rsidRPr="004B2498">
        <w:rPr>
          <w:lang w:eastAsia="fr-FR" w:bidi="fr-FR"/>
        </w:rPr>
        <w:t>a</w:t>
      </w:r>
      <w:r w:rsidRPr="004B2498">
        <w:rPr>
          <w:lang w:eastAsia="fr-FR" w:bidi="fr-FR"/>
        </w:rPr>
        <w:t>les. Il s’agit en quelque sorte du mode d’emploi pour un capitalisme qui se veut aussi durable que la planète. Cette durée suppose une grande stabilité sociale, une forte dépolitisation. La nature, légitime et totalisante par nature, apporte une fonction importante de réalité et de légitimité. Elle pare l’interdépendance économique et financière du voile de l’évidence naturelle. Le capitalisme y apparaît, par nature, comme le système économique et social le plus naturel, suivant la l</w:t>
      </w:r>
      <w:r w:rsidRPr="004B2498">
        <w:rPr>
          <w:lang w:eastAsia="fr-FR" w:bidi="fr-FR"/>
        </w:rPr>
        <w:t>o</w:t>
      </w:r>
      <w:r w:rsidRPr="004B2498">
        <w:rPr>
          <w:lang w:eastAsia="fr-FR" w:bidi="fr-FR"/>
        </w:rPr>
        <w:t>gique du soliloque autoréférentiel qui caractérise tous les discours idéologiques qui ont tendance à ressasser en boucle des propos taut</w:t>
      </w:r>
      <w:r w:rsidRPr="004B2498">
        <w:rPr>
          <w:lang w:eastAsia="fr-FR" w:bidi="fr-FR"/>
        </w:rPr>
        <w:t>o</w:t>
      </w:r>
      <w:r w:rsidRPr="004B2498">
        <w:rPr>
          <w:lang w:eastAsia="fr-FR" w:bidi="fr-FR"/>
        </w:rPr>
        <w:t>logiques en forme de chapelets ou de moulins à affirmations pieuses répétées. La notion de capital social, dans l’acception que lui donne Becker, permet de modéliser ce que des générations de sociologues ont essayé d’analyser.</w:t>
      </w:r>
    </w:p>
    <w:p w14:paraId="305E3C58" w14:textId="77777777" w:rsidR="002F4063" w:rsidRPr="004B2498" w:rsidRDefault="002F4063" w:rsidP="002F4063">
      <w:pPr>
        <w:spacing w:before="120" w:after="120"/>
        <w:jc w:val="both"/>
      </w:pPr>
      <w:r w:rsidRPr="004B2498">
        <w:rPr>
          <w:lang w:eastAsia="fr-FR" w:bidi="fr-FR"/>
        </w:rPr>
        <w:t>Au cercle des cercles hégélien la globalisation tente de substituer un cercle plat et rond (le marché) fait de cercles concentriques. Il est plat parce que naturalisation et dépolitisation signalent la fin de l’histoire. Qu’une telle illusion sur cette fin puisse être si facilement partagée, même si elle est rarement discutée, semble assez stupéfiant pour un chercheur en sciences sociales penché sur les sociétés. L’étonnement disparaît si l’on observe que le marché (loi naturelle) a remplacé la société comme référent global et comme totalité réelle et symbolique. À force d’autorégulations la société, lieu de médiations multiples, devient proprement superflue.</w:t>
      </w:r>
    </w:p>
    <w:p w14:paraId="2A3DCCE5" w14:textId="77777777" w:rsidR="002F4063" w:rsidRPr="004B2498" w:rsidRDefault="002F4063" w:rsidP="002F4063">
      <w:pPr>
        <w:spacing w:before="120" w:after="120"/>
        <w:jc w:val="both"/>
      </w:pPr>
      <w:r w:rsidRPr="004B2498">
        <w:rPr>
          <w:lang w:eastAsia="fr-FR" w:bidi="fr-FR"/>
        </w:rPr>
        <w:t>Mais que reste-t-il donc aux sciences sociales ? L’invocation pe</w:t>
      </w:r>
      <w:r w:rsidRPr="004B2498">
        <w:rPr>
          <w:lang w:eastAsia="fr-FR" w:bidi="fr-FR"/>
        </w:rPr>
        <w:t>r</w:t>
      </w:r>
      <w:r w:rsidRPr="004B2498">
        <w:rPr>
          <w:lang w:eastAsia="fr-FR" w:bidi="fr-FR"/>
        </w:rPr>
        <w:t>manente de la société civile, ce personnage clé de la bonne gouve</w:t>
      </w:r>
      <w:r w:rsidRPr="004B2498">
        <w:rPr>
          <w:lang w:eastAsia="fr-FR" w:bidi="fr-FR"/>
        </w:rPr>
        <w:t>r</w:t>
      </w:r>
      <w:r w:rsidRPr="004B2498">
        <w:rPr>
          <w:lang w:eastAsia="fr-FR" w:bidi="fr-FR"/>
        </w:rPr>
        <w:t>nance, bien virtuel néanmoins, pourrait être un refuge pour des dyn</w:t>
      </w:r>
      <w:r w:rsidRPr="004B2498">
        <w:rPr>
          <w:lang w:eastAsia="fr-FR" w:bidi="fr-FR"/>
        </w:rPr>
        <w:t>a</w:t>
      </w:r>
      <w:r w:rsidRPr="004B2498">
        <w:rPr>
          <w:lang w:eastAsia="fr-FR" w:bidi="fr-FR"/>
        </w:rPr>
        <w:t>miques sociales comprimées sinon opprimées. Les ONG, par leur simple développement, sont pour la plupart devenues des entreprises de moralité qui blanchissent les abus de l’économie de marché autant qu’elles proposent des alternatives. Elles sont donc invitées dans la bonne gouvernance et financées par les bailleurs dans la mesure où leur chant s’intégre au cœur monophonique technocratique multilat</w:t>
      </w:r>
      <w:r w:rsidRPr="004B2498">
        <w:rPr>
          <w:lang w:eastAsia="fr-FR" w:bidi="fr-FR"/>
        </w:rPr>
        <w:t>é</w:t>
      </w:r>
      <w:r w:rsidRPr="004B2498">
        <w:rPr>
          <w:lang w:eastAsia="fr-FR" w:bidi="fr-FR"/>
        </w:rPr>
        <w:t>ral. Leur voix est donc ambiguë et ambivalente entre aliénation et émancipation, exposée en permanence à servir d’alibi et de caution.</w:t>
      </w:r>
    </w:p>
    <w:p w14:paraId="1FEA2743" w14:textId="77777777" w:rsidR="002F4063" w:rsidRPr="004B2498" w:rsidRDefault="002F4063" w:rsidP="002F4063">
      <w:pPr>
        <w:spacing w:before="120" w:after="120"/>
        <w:jc w:val="both"/>
      </w:pPr>
      <w:r w:rsidRPr="004B2498">
        <w:rPr>
          <w:lang w:eastAsia="fr-FR" w:bidi="fr-FR"/>
        </w:rPr>
        <w:t>Ce que propose la globalisation aux sciences sociales, à travers les normes de gouvernance, c’est d’apporter des thérapies appropriées dans le cadre d’une gestion des risques généralisée qui s’appelle go</w:t>
      </w:r>
      <w:r w:rsidRPr="004B2498">
        <w:rPr>
          <w:lang w:eastAsia="fr-FR" w:bidi="fr-FR"/>
        </w:rPr>
        <w:t>u</w:t>
      </w:r>
      <w:r w:rsidRPr="004B2498">
        <w:rPr>
          <w:lang w:eastAsia="fr-FR" w:bidi="fr-FR"/>
        </w:rPr>
        <w:t>vernance et fin</w:t>
      </w:r>
      <w:r w:rsidRPr="004B2498">
        <w:t xml:space="preserve"> [94]</w:t>
      </w:r>
      <w:r>
        <w:t xml:space="preserve"> </w:t>
      </w:r>
      <w:r w:rsidRPr="004B2498">
        <w:rPr>
          <w:lang w:eastAsia="fr-FR" w:bidi="fr-FR"/>
        </w:rPr>
        <w:t>de l’histoire. Pauvreté, délinquance, analphab</w:t>
      </w:r>
      <w:r w:rsidRPr="004B2498">
        <w:rPr>
          <w:lang w:eastAsia="fr-FR" w:bidi="fr-FR"/>
        </w:rPr>
        <w:t>é</w:t>
      </w:r>
      <w:r w:rsidRPr="004B2498">
        <w:rPr>
          <w:lang w:eastAsia="fr-FR" w:bidi="fr-FR"/>
        </w:rPr>
        <w:t>tisme, incapac</w:t>
      </w:r>
      <w:r w:rsidRPr="004B2498">
        <w:rPr>
          <w:lang w:eastAsia="fr-FR" w:bidi="fr-FR"/>
        </w:rPr>
        <w:t>i</w:t>
      </w:r>
      <w:r w:rsidRPr="004B2498">
        <w:rPr>
          <w:lang w:eastAsia="fr-FR" w:bidi="fr-FR"/>
        </w:rPr>
        <w:t>té d’entreprendre, conduites à risques en santé ou au volant, tous ces comportements sont les objets dévolus naturellement aux sciences sociales sous le carcan des normes de gouvernance. Ind</w:t>
      </w:r>
      <w:r w:rsidRPr="004B2498">
        <w:rPr>
          <w:lang w:eastAsia="fr-FR" w:bidi="fr-FR"/>
        </w:rPr>
        <w:t>i</w:t>
      </w:r>
      <w:r w:rsidRPr="004B2498">
        <w:rPr>
          <w:lang w:eastAsia="fr-FR" w:bidi="fr-FR"/>
        </w:rPr>
        <w:t>vidus pavl</w:t>
      </w:r>
      <w:r w:rsidRPr="004B2498">
        <w:rPr>
          <w:lang w:eastAsia="fr-FR" w:bidi="fr-FR"/>
        </w:rPr>
        <w:t>o</w:t>
      </w:r>
      <w:r w:rsidRPr="004B2498">
        <w:rPr>
          <w:lang w:eastAsia="fr-FR" w:bidi="fr-FR"/>
        </w:rPr>
        <w:t>viens, grégaires, émotionnels et irrationnels, ces « clients » sont ciblés, de fait et déjà, dans de nombreux appels d’offres, eur</w:t>
      </w:r>
      <w:r w:rsidRPr="004B2498">
        <w:rPr>
          <w:lang w:eastAsia="fr-FR" w:bidi="fr-FR"/>
        </w:rPr>
        <w:t>o</w:t>
      </w:r>
      <w:r w:rsidRPr="004B2498">
        <w:rPr>
          <w:lang w:eastAsia="fr-FR" w:bidi="fr-FR"/>
        </w:rPr>
        <w:t>péens en particulier, adressés aux chercheurs. La société, écartée en théorie, reviendrait seulement comme violence et dérives. La perm</w:t>
      </w:r>
      <w:r w:rsidRPr="004B2498">
        <w:rPr>
          <w:lang w:eastAsia="fr-FR" w:bidi="fr-FR"/>
        </w:rPr>
        <w:t>a</w:t>
      </w:r>
      <w:r w:rsidRPr="004B2498">
        <w:rPr>
          <w:lang w:eastAsia="fr-FR" w:bidi="fr-FR"/>
        </w:rPr>
        <w:t>nence des mouvements sociaux laisse aussi un champ d’investigation aux chercheurs, même sous l’angle de thérapies pour calmer ces exc</w:t>
      </w:r>
      <w:r w:rsidRPr="004B2498">
        <w:rPr>
          <w:lang w:eastAsia="fr-FR" w:bidi="fr-FR"/>
        </w:rPr>
        <w:t>i</w:t>
      </w:r>
      <w:r w:rsidRPr="004B2498">
        <w:rPr>
          <w:lang w:eastAsia="fr-FR" w:bidi="fr-FR"/>
        </w:rPr>
        <w:t>tés, pe</w:t>
      </w:r>
      <w:r w:rsidRPr="004B2498">
        <w:rPr>
          <w:lang w:eastAsia="fr-FR" w:bidi="fr-FR"/>
        </w:rPr>
        <w:t>r</w:t>
      </w:r>
      <w:r w:rsidRPr="004B2498">
        <w:rPr>
          <w:lang w:eastAsia="fr-FR" w:bidi="fr-FR"/>
        </w:rPr>
        <w:t>turbateurs du marché.</w:t>
      </w:r>
    </w:p>
    <w:p w14:paraId="74F10669" w14:textId="77777777" w:rsidR="002F4063" w:rsidRPr="004B2498" w:rsidRDefault="002F4063" w:rsidP="002F4063">
      <w:pPr>
        <w:spacing w:before="120" w:after="120"/>
        <w:jc w:val="both"/>
      </w:pPr>
      <w:r w:rsidRPr="004B2498">
        <w:rPr>
          <w:lang w:eastAsia="fr-FR" w:bidi="fr-FR"/>
        </w:rPr>
        <w:t>Pas plus que n’existe pour l’heure une société civile mondiale, une communication permanente et sans conflits n’est pensable, tant que subsistent des sujets rebelles à la gouvernance comme objectif et m</w:t>
      </w:r>
      <w:r w:rsidRPr="004B2498">
        <w:rPr>
          <w:lang w:eastAsia="fr-FR" w:bidi="fr-FR"/>
        </w:rPr>
        <w:t>é</w:t>
      </w:r>
      <w:r w:rsidRPr="004B2498">
        <w:rPr>
          <w:lang w:eastAsia="fr-FR" w:bidi="fr-FR"/>
        </w:rPr>
        <w:t>thode. Ces trublions ne sont pas ici applaudis ou fustigés mais on en constate la présence tenace, probablement durable, pas naturellement du tout, des G8 au G20. Partie émergée, limitée, de l’iceberg, ils sont le brin de paille permanent qui trouble les consensus technocratiques, l’anesthésie par la gouvernance. Ces mouvements, dits alternatifs, in</w:t>
      </w:r>
      <w:r w:rsidRPr="004B2498">
        <w:rPr>
          <w:lang w:eastAsia="fr-FR" w:bidi="fr-FR"/>
        </w:rPr>
        <w:t>s</w:t>
      </w:r>
      <w:r w:rsidRPr="004B2498">
        <w:rPr>
          <w:lang w:eastAsia="fr-FR" w:bidi="fr-FR"/>
        </w:rPr>
        <w:t>tallent sur la scène des lucarnes où survit la société. Ils ne parviennent pas à s’insérer ou a créer des structures politiques pérennes, condition d’un impact durable, au-delà de la révolte. Contester le sujet de la gouvernance, ectoplasme post-politique naturalisé appelle des prop</w:t>
      </w:r>
      <w:r w:rsidRPr="004B2498">
        <w:rPr>
          <w:lang w:eastAsia="fr-FR" w:bidi="fr-FR"/>
        </w:rPr>
        <w:t>o</w:t>
      </w:r>
      <w:r w:rsidRPr="004B2498">
        <w:rPr>
          <w:lang w:eastAsia="fr-FR" w:bidi="fr-FR"/>
        </w:rPr>
        <w:t>sitions politiques susceptibles de provoquer des majorités d’opinion. Contester le programme de la gouvernance c’est refuser la reprodu</w:t>
      </w:r>
      <w:r w:rsidRPr="004B2498">
        <w:rPr>
          <w:lang w:eastAsia="fr-FR" w:bidi="fr-FR"/>
        </w:rPr>
        <w:t>c</w:t>
      </w:r>
      <w:r w:rsidRPr="004B2498">
        <w:rPr>
          <w:lang w:eastAsia="fr-FR" w:bidi="fr-FR"/>
        </w:rPr>
        <w:t>tion paisible de l’économie de marché capitaliste, à l’identique, sans horizon, ni changement, une gestion des risques permanente.</w:t>
      </w:r>
    </w:p>
    <w:p w14:paraId="5D8FD883" w14:textId="77777777" w:rsidR="002F4063" w:rsidRPr="004B2498" w:rsidRDefault="002F4063" w:rsidP="002F4063">
      <w:pPr>
        <w:spacing w:before="120" w:after="120"/>
        <w:jc w:val="both"/>
      </w:pPr>
      <w:r w:rsidRPr="004B2498">
        <w:rPr>
          <w:lang w:eastAsia="fr-FR" w:bidi="fr-FR"/>
        </w:rPr>
        <w:t>Contester les moyens de la gouvernance c’est refuser des instit</w:t>
      </w:r>
      <w:r w:rsidRPr="004B2498">
        <w:rPr>
          <w:lang w:eastAsia="fr-FR" w:bidi="fr-FR"/>
        </w:rPr>
        <w:t>u</w:t>
      </w:r>
      <w:r w:rsidRPr="004B2498">
        <w:rPr>
          <w:lang w:eastAsia="fr-FR" w:bidi="fr-FR"/>
        </w:rPr>
        <w:t>tions sans murs, où le contrôle est généralisé et intériorisé. Norme sans territoire, ni société, la bonne gouvernance laisse principalement aux sciences sociales l’étude de la conformité et celle de la déviance. Dans cet univers où la sécurité s’échange contre la liberté apparaît l’image irénique d’un futur en forme d’utopie postmodeme tardive que Pierre Calame, technocrate éclairé et progressiste au sens du XXe siècle, évoque ainsi : « Le premier objectif de la gouvernance est d’apprendre à vivre ensemble et à gérer pacifiquement la maison commune, d’y assurer les conditions de la survie, de la paix, de l’épanouissement entre l’humanité et la biosphère. » (Calame, 2003)</w:t>
      </w:r>
    </w:p>
    <w:p w14:paraId="727208DB" w14:textId="77777777" w:rsidR="002F4063" w:rsidRPr="004B2498" w:rsidRDefault="002F4063" w:rsidP="002F4063">
      <w:pPr>
        <w:spacing w:before="120" w:after="120"/>
        <w:jc w:val="both"/>
      </w:pPr>
      <w:r w:rsidRPr="004B2498">
        <w:rPr>
          <w:lang w:eastAsia="fr-FR" w:bidi="fr-FR"/>
        </w:rPr>
        <w:t>Envisagée ainsi, la gouvernance serait l’utopie de la fin des utopies et de l’histoire, un récit post-politique naturalisé qui serait proposé comme horizon à des sociétés politiques qui n’en sont plus tout à fait tant elles se rapprochent du troupeau discipliné dont la bonne gouve</w:t>
      </w:r>
      <w:r w:rsidRPr="004B2498">
        <w:rPr>
          <w:lang w:eastAsia="fr-FR" w:bidi="fr-FR"/>
        </w:rPr>
        <w:t>r</w:t>
      </w:r>
      <w:r w:rsidRPr="004B2498">
        <w:rPr>
          <w:lang w:eastAsia="fr-FR" w:bidi="fr-FR"/>
        </w:rPr>
        <w:t>nance serait le berger et l’étoile. Il résulte de cette analyse qu’une po</w:t>
      </w:r>
      <w:r w:rsidRPr="004B2498">
        <w:rPr>
          <w:lang w:eastAsia="fr-FR" w:bidi="fr-FR"/>
        </w:rPr>
        <w:t>s</w:t>
      </w:r>
      <w:r w:rsidRPr="004B2498">
        <w:rPr>
          <w:lang w:eastAsia="fr-FR" w:bidi="fr-FR"/>
        </w:rPr>
        <w:t>ture subversive, non idéaliste, s’impose pour des sciences sociales qui voudraient le rester, le</w:t>
      </w:r>
      <w:r w:rsidRPr="004B2498">
        <w:t xml:space="preserve"> [95]</w:t>
      </w:r>
      <w:r>
        <w:t xml:space="preserve"> </w:t>
      </w:r>
      <w:r w:rsidRPr="004B2498">
        <w:rPr>
          <w:lang w:eastAsia="fr-FR" w:bidi="fr-FR"/>
        </w:rPr>
        <w:t>reste n’étant que gestion des risques du troupeau mais aussi d</w:t>
      </w:r>
      <w:r w:rsidRPr="004B2498">
        <w:rPr>
          <w:lang w:eastAsia="fr-FR" w:bidi="fr-FR"/>
        </w:rPr>
        <w:t>o</w:t>
      </w:r>
      <w:r w:rsidRPr="004B2498">
        <w:rPr>
          <w:lang w:eastAsia="fr-FR" w:bidi="fr-FR"/>
        </w:rPr>
        <w:t>maines de recherches des prioritaires financées.</w:t>
      </w:r>
    </w:p>
    <w:p w14:paraId="1BCAAFA6" w14:textId="77777777" w:rsidR="002F4063" w:rsidRPr="004B2498" w:rsidRDefault="002F4063" w:rsidP="002F4063">
      <w:pPr>
        <w:spacing w:before="120" w:after="120"/>
        <w:jc w:val="both"/>
      </w:pPr>
      <w:r w:rsidRPr="004B2498">
        <w:rPr>
          <w:lang w:eastAsia="fr-FR" w:bidi="fr-FR"/>
        </w:rPr>
        <w:t>Et si tout cela n’était qu’une posture du XX</w:t>
      </w:r>
      <w:r w:rsidRPr="004227FD">
        <w:rPr>
          <w:vertAlign w:val="superscript"/>
          <w:lang w:eastAsia="fr-FR" w:bidi="fr-FR"/>
        </w:rPr>
        <w:t>e</w:t>
      </w:r>
      <w:r w:rsidRPr="004B2498">
        <w:rPr>
          <w:lang w:eastAsia="fr-FR" w:bidi="fr-FR"/>
        </w:rPr>
        <w:t xml:space="preserve"> siècle, une simple nostalgie du progrès et des lumières, le refus, absurde, de constater qu’elles sont définitivement éteintes et que la société a changé de n</w:t>
      </w:r>
      <w:r w:rsidRPr="004B2498">
        <w:rPr>
          <w:lang w:eastAsia="fr-FR" w:bidi="fr-FR"/>
        </w:rPr>
        <w:t>a</w:t>
      </w:r>
      <w:r w:rsidRPr="004B2498">
        <w:rPr>
          <w:lang w:eastAsia="fr-FR" w:bidi="fr-FR"/>
        </w:rPr>
        <w:t>ture. Certes, de nombreuses sociétés, montrent des violences chron</w:t>
      </w:r>
      <w:r w:rsidRPr="004B2498">
        <w:rPr>
          <w:lang w:eastAsia="fr-FR" w:bidi="fr-FR"/>
        </w:rPr>
        <w:t>i</w:t>
      </w:r>
      <w:r w:rsidRPr="004B2498">
        <w:rPr>
          <w:lang w:eastAsia="fr-FR" w:bidi="fr-FR"/>
        </w:rPr>
        <w:t>ques, loin de toute maîtrise. Que pèsent ces fractures et ces déchir</w:t>
      </w:r>
      <w:r w:rsidRPr="004B2498">
        <w:rPr>
          <w:lang w:eastAsia="fr-FR" w:bidi="fr-FR"/>
        </w:rPr>
        <w:t>e</w:t>
      </w:r>
      <w:r w:rsidRPr="004B2498">
        <w:rPr>
          <w:lang w:eastAsia="fr-FR" w:bidi="fr-FR"/>
        </w:rPr>
        <w:t>ments sociaux (et parfois culturels) face aux menaces et aux risques environnementaux, sanitaires, climatiques, nucléaires ? Cette nature menaçante entre dans le XXI</w:t>
      </w:r>
      <w:r w:rsidRPr="004227FD">
        <w:rPr>
          <w:vertAlign w:val="superscript"/>
          <w:lang w:eastAsia="fr-FR" w:bidi="fr-FR"/>
        </w:rPr>
        <w:t>e</w:t>
      </w:r>
      <w:r w:rsidRPr="004B2498">
        <w:rPr>
          <w:lang w:eastAsia="fr-FR" w:bidi="fr-FR"/>
        </w:rPr>
        <w:t xml:space="preserve"> siècle avec fracas. Tsunami de 2004, Haïti, Fukushima, sans parler du VIH, du SRAS auparavant. Après l’extinction des lumières vient le temps de la gestion des risques, de la bonne gouvernance qui consisterait à garder un peu d’humanité d</w:t>
      </w:r>
      <w:r w:rsidRPr="004B2498">
        <w:rPr>
          <w:lang w:eastAsia="fr-FR" w:bidi="fr-FR"/>
        </w:rPr>
        <w:t>é</w:t>
      </w:r>
      <w:r w:rsidRPr="004B2498">
        <w:rPr>
          <w:lang w:eastAsia="fr-FR" w:bidi="fr-FR"/>
        </w:rPr>
        <w:t>mocratique dans le programme d’aujourd’hui, celui de la gestion d’une espèce humaine attachée à préserver sa survie, toute exigence de dignité sociale, par nature conflictuelle, étant devenue tout si</w:t>
      </w:r>
      <w:r w:rsidRPr="004B2498">
        <w:rPr>
          <w:lang w:eastAsia="fr-FR" w:bidi="fr-FR"/>
        </w:rPr>
        <w:t>m</w:t>
      </w:r>
      <w:r w:rsidRPr="004B2498">
        <w:rPr>
          <w:lang w:eastAsia="fr-FR" w:bidi="fr-FR"/>
        </w:rPr>
        <w:t>plement, presque superflue. Il semble pourtant que nous soyons au milieu du gué. Tout retour en arrière est absurde. Les contours de l’autre rive se dessinent progressivement, faits de gouvernance et de capitalisme financier, d’entreprises « sociales », d’économie « solidaires ». Les seules armes disponibles s’appellent sociétés civ</w:t>
      </w:r>
      <w:r w:rsidRPr="004B2498">
        <w:rPr>
          <w:lang w:eastAsia="fr-FR" w:bidi="fr-FR"/>
        </w:rPr>
        <w:t>i</w:t>
      </w:r>
      <w:r w:rsidRPr="004B2498">
        <w:rPr>
          <w:lang w:eastAsia="fr-FR" w:bidi="fr-FR"/>
        </w:rPr>
        <w:t>les, anesthésiées ou émergentes numériques et/ou sur les places de Tunisie, d’Égypte, du Yémen, où l’on prend les risques de renverser des tyrannies héritées du XX</w:t>
      </w:r>
      <w:r w:rsidRPr="004227FD">
        <w:rPr>
          <w:vertAlign w:val="superscript"/>
          <w:lang w:eastAsia="fr-FR" w:bidi="fr-FR"/>
        </w:rPr>
        <w:t>e</w:t>
      </w:r>
      <w:r w:rsidRPr="004B2498">
        <w:rPr>
          <w:lang w:eastAsia="fr-FR" w:bidi="fr-FR"/>
        </w:rPr>
        <w:t xml:space="preserve"> siècle.</w:t>
      </w:r>
    </w:p>
    <w:p w14:paraId="49C130F8" w14:textId="77777777" w:rsidR="002F4063" w:rsidRPr="004B2498" w:rsidRDefault="002F4063" w:rsidP="002F4063">
      <w:pPr>
        <w:spacing w:before="120" w:after="120"/>
        <w:jc w:val="both"/>
      </w:pPr>
      <w:r w:rsidRPr="004B2498">
        <w:rPr>
          <w:lang w:eastAsia="fr-FR" w:bidi="fr-FR"/>
        </w:rPr>
        <w:t>À mesure que l’autre rive se rapproche une partie des instruments des sciences sociales semble frappée d’obsolescence, celle d’un hér</w:t>
      </w:r>
      <w:r w:rsidRPr="004B2498">
        <w:rPr>
          <w:lang w:eastAsia="fr-FR" w:bidi="fr-FR"/>
        </w:rPr>
        <w:t>i</w:t>
      </w:r>
      <w:r w:rsidRPr="004B2498">
        <w:rPr>
          <w:lang w:eastAsia="fr-FR" w:bidi="fr-FR"/>
        </w:rPr>
        <w:t>tage de trois siècles européano-américains. Apparaît peut-être alors la seule question susceptible de franchir le gué ; où se situe le degré u</w:t>
      </w:r>
      <w:r w:rsidRPr="004B2498">
        <w:rPr>
          <w:lang w:eastAsia="fr-FR" w:bidi="fr-FR"/>
        </w:rPr>
        <w:t>l</w:t>
      </w:r>
      <w:r w:rsidRPr="004B2498">
        <w:rPr>
          <w:lang w:eastAsia="fr-FR" w:bidi="fr-FR"/>
        </w:rPr>
        <w:t>time de perte du sujet politique, de dignité humaine, de liberté, au-delà duquel naissent les révoltes et les révolutions, toutes exposées qu’elles sont à toutes les récupérations liées à la peur des risques, à l’angoisse entretenue du vide. Les sciences sociales, même dans ce contexte où la nature reprend ses droits, restent en charge d’une question qui n’est pas anachronique : celle du consentement à la domination doublée de celle du refus de l’indignité individuelle et collective, indissociabl</w:t>
      </w:r>
      <w:r w:rsidRPr="004B2498">
        <w:rPr>
          <w:lang w:eastAsia="fr-FR" w:bidi="fr-FR"/>
        </w:rPr>
        <w:t>e</w:t>
      </w:r>
      <w:r w:rsidRPr="004B2498">
        <w:rPr>
          <w:lang w:eastAsia="fr-FR" w:bidi="fr-FR"/>
        </w:rPr>
        <w:t>ment et dialectiquement liées.</w:t>
      </w:r>
    </w:p>
    <w:p w14:paraId="138086BE" w14:textId="77777777" w:rsidR="002F4063" w:rsidRPr="004B2498" w:rsidRDefault="002F4063" w:rsidP="002F4063">
      <w:pPr>
        <w:spacing w:before="120" w:after="120"/>
        <w:jc w:val="both"/>
      </w:pPr>
      <w:r w:rsidRPr="004B2498">
        <w:rPr>
          <w:lang w:eastAsia="fr-FR" w:bidi="fr-FR"/>
        </w:rPr>
        <w:t>La globalisation amène à formuler autrement le même problème : celui de l’indépendance (minimale ou maximale) compatible avec l’interdépendance globale. Si les sciences sociales sont parfois fra</w:t>
      </w:r>
      <w:r w:rsidRPr="004B2498">
        <w:rPr>
          <w:lang w:eastAsia="fr-FR" w:bidi="fr-FR"/>
        </w:rPr>
        <w:t>p</w:t>
      </w:r>
      <w:r w:rsidRPr="004B2498">
        <w:rPr>
          <w:lang w:eastAsia="fr-FR" w:bidi="fr-FR"/>
        </w:rPr>
        <w:t>pées d’obsolescence à travers certains de leurs outils elles restent en charge d’en trouver de nouveaux, plus à même d’apporter des él</w:t>
      </w:r>
      <w:r w:rsidRPr="004B2498">
        <w:rPr>
          <w:lang w:eastAsia="fr-FR" w:bidi="fr-FR"/>
        </w:rPr>
        <w:t>é</w:t>
      </w:r>
      <w:r w:rsidRPr="004B2498">
        <w:rPr>
          <w:lang w:eastAsia="fr-FR" w:bidi="fr-FR"/>
        </w:rPr>
        <w:t>ments de réponse à cette question fondamentale, aussi unique que la pensée du même nom : où et quand commence l’inacceptable, c’est-à-dire l’indignité ? Cette question a de fortes chances de franchir le gué car elle est aussi pérenne que les sciences humaines et sociales. D</w:t>
      </w:r>
      <w:r w:rsidRPr="004B2498">
        <w:rPr>
          <w:lang w:eastAsia="fr-FR" w:bidi="fr-FR"/>
        </w:rPr>
        <w:t>e</w:t>
      </w:r>
      <w:r w:rsidRPr="004B2498">
        <w:rPr>
          <w:lang w:eastAsia="fr-FR" w:bidi="fr-FR"/>
        </w:rPr>
        <w:t>puis qu’il existe des sociétés, aucun régime n’est</w:t>
      </w:r>
      <w:r>
        <w:rPr>
          <w:lang w:eastAsia="fr-FR" w:bidi="fr-FR"/>
        </w:rPr>
        <w:t xml:space="preserve"> </w:t>
      </w:r>
      <w:r w:rsidRPr="004B2498">
        <w:t>[96]</w:t>
      </w:r>
      <w:r>
        <w:t xml:space="preserve"> </w:t>
      </w:r>
      <w:r w:rsidRPr="004B2498">
        <w:rPr>
          <w:lang w:eastAsia="fr-FR" w:bidi="fr-FR"/>
        </w:rPr>
        <w:t>parvenu à l’éradiquer de l’agenda des hommes. L’aliénation pr</w:t>
      </w:r>
      <w:r w:rsidRPr="004B2498">
        <w:rPr>
          <w:lang w:eastAsia="fr-FR" w:bidi="fr-FR"/>
        </w:rPr>
        <w:t>o</w:t>
      </w:r>
      <w:r w:rsidRPr="004B2498">
        <w:rPr>
          <w:lang w:eastAsia="fr-FR" w:bidi="fr-FR"/>
        </w:rPr>
        <w:t>duite par l’interdépendance technologique globale se révèle inséparable des c</w:t>
      </w:r>
      <w:r w:rsidRPr="004B2498">
        <w:rPr>
          <w:lang w:eastAsia="fr-FR" w:bidi="fr-FR"/>
        </w:rPr>
        <w:t>a</w:t>
      </w:r>
      <w:r w:rsidRPr="004B2498">
        <w:rPr>
          <w:lang w:eastAsia="fr-FR" w:bidi="fr-FR"/>
        </w:rPr>
        <w:t>pacités d’émancipation qu’elle produit au même moment. L’enjeu contemporain des sciences sociales, ce n’est plus le recyclage des concepts idéalistes d’un XXe siècle échu mais bien l’analyse d’un s</w:t>
      </w:r>
      <w:r w:rsidRPr="004B2498">
        <w:rPr>
          <w:lang w:eastAsia="fr-FR" w:bidi="fr-FR"/>
        </w:rPr>
        <w:t>u</w:t>
      </w:r>
      <w:r w:rsidRPr="004B2498">
        <w:rPr>
          <w:lang w:eastAsia="fr-FR" w:bidi="fr-FR"/>
        </w:rPr>
        <w:t>jet postmoderne et postpolitique, c’est-à-dire l’identification d’une nouvelle modernité et d’une nouvelle politique, sorte d’équivalent plus discret des découvertes des grands navigateurs qui identifièrent un monde de localités diverses désormais globalement comprimées et explosées mais néanmoins toujours présentes comme lieu du sujet, lieux des sujets qui vivent dans des sociétés humaines exposées aux angoisses des risques de la nature comme au vertige de la liberté.</w:t>
      </w:r>
    </w:p>
    <w:p w14:paraId="44BDE909" w14:textId="77777777" w:rsidR="002F4063" w:rsidRPr="00EF5AFD" w:rsidRDefault="002F4063" w:rsidP="002F4063">
      <w:pPr>
        <w:spacing w:before="120" w:after="120"/>
        <w:jc w:val="both"/>
      </w:pPr>
    </w:p>
    <w:p w14:paraId="44A1D915" w14:textId="77777777" w:rsidR="002F4063" w:rsidRPr="004B2498" w:rsidRDefault="002F4063" w:rsidP="002F4063">
      <w:pPr>
        <w:pStyle w:val="a"/>
      </w:pPr>
      <w:r w:rsidRPr="00EF5AFD">
        <w:t>Références bibliographiques</w:t>
      </w:r>
    </w:p>
    <w:p w14:paraId="1011DA2A" w14:textId="77777777" w:rsidR="002F4063" w:rsidRPr="004B2498" w:rsidRDefault="002F4063" w:rsidP="002F4063">
      <w:pPr>
        <w:spacing w:before="120" w:after="120"/>
        <w:jc w:val="both"/>
        <w:rPr>
          <w:lang w:eastAsia="fr-FR" w:bidi="fr-FR"/>
        </w:rPr>
      </w:pPr>
    </w:p>
    <w:p w14:paraId="17EB4771" w14:textId="77777777" w:rsidR="002F4063" w:rsidRPr="004B2498" w:rsidRDefault="002F4063" w:rsidP="002F4063">
      <w:pPr>
        <w:spacing w:before="120" w:after="120"/>
        <w:jc w:val="both"/>
      </w:pPr>
      <w:r w:rsidRPr="004B2498">
        <w:t xml:space="preserve">BAZIN </w:t>
      </w:r>
      <w:r w:rsidRPr="004B2498">
        <w:rPr>
          <w:lang w:eastAsia="fr-FR" w:bidi="fr-FR"/>
        </w:rPr>
        <w:t xml:space="preserve">Laurent, HOURS Bernard, </w:t>
      </w:r>
      <w:r w:rsidRPr="004B2498">
        <w:t xml:space="preserve">SELIM </w:t>
      </w:r>
      <w:r w:rsidRPr="004B2498">
        <w:rPr>
          <w:lang w:eastAsia="fr-FR" w:bidi="fr-FR"/>
        </w:rPr>
        <w:t xml:space="preserve">Monique, 2010 : </w:t>
      </w:r>
      <w:r w:rsidRPr="00784348">
        <w:rPr>
          <w:i/>
        </w:rPr>
        <w:t>L’Ouzbékistan à l’ère de l’identité nationale</w:t>
      </w:r>
      <w:r w:rsidRPr="004B2498">
        <w:rPr>
          <w:lang w:eastAsia="fr-FR" w:bidi="fr-FR"/>
        </w:rPr>
        <w:t>, L’Harmattan.</w:t>
      </w:r>
    </w:p>
    <w:p w14:paraId="382066C9" w14:textId="77777777" w:rsidR="002F4063" w:rsidRPr="004B2498" w:rsidRDefault="002F4063" w:rsidP="002F4063">
      <w:pPr>
        <w:spacing w:before="120" w:after="120"/>
        <w:jc w:val="both"/>
      </w:pPr>
      <w:r w:rsidRPr="004B2498">
        <w:rPr>
          <w:rStyle w:val="Corpsdutexte69ptNonItalique"/>
          <w:i w:val="0"/>
          <w:iCs w:val="0"/>
          <w:color w:val="auto"/>
          <w:sz w:val="28"/>
        </w:rPr>
        <w:t xml:space="preserve">CALAME </w:t>
      </w:r>
      <w:r w:rsidRPr="004B2498">
        <w:t xml:space="preserve">Pierre, 2003 : </w:t>
      </w:r>
      <w:r w:rsidRPr="00784348">
        <w:rPr>
          <w:i/>
          <w:lang w:eastAsia="fr-FR" w:bidi="fr-FR"/>
        </w:rPr>
        <w:t>La démocratie en miettes. Pour une rév</w:t>
      </w:r>
      <w:r w:rsidRPr="00784348">
        <w:rPr>
          <w:i/>
          <w:lang w:eastAsia="fr-FR" w:bidi="fr-FR"/>
        </w:rPr>
        <w:t>o</w:t>
      </w:r>
      <w:r w:rsidRPr="00784348">
        <w:rPr>
          <w:i/>
          <w:lang w:eastAsia="fr-FR" w:bidi="fr-FR"/>
        </w:rPr>
        <w:t>l</w:t>
      </w:r>
      <w:r w:rsidRPr="00784348">
        <w:rPr>
          <w:i/>
          <w:lang w:eastAsia="fr-FR" w:bidi="fr-FR"/>
        </w:rPr>
        <w:t>u</w:t>
      </w:r>
      <w:r w:rsidRPr="00784348">
        <w:rPr>
          <w:i/>
          <w:lang w:eastAsia="fr-FR" w:bidi="fr-FR"/>
        </w:rPr>
        <w:t>tion de la gouvernance</w:t>
      </w:r>
      <w:r w:rsidRPr="004B2498">
        <w:t>, F.P.H.</w:t>
      </w:r>
    </w:p>
    <w:p w14:paraId="4E13F15B" w14:textId="77777777" w:rsidR="002F4063" w:rsidRPr="004B2498" w:rsidRDefault="002F4063" w:rsidP="002F4063">
      <w:pPr>
        <w:spacing w:before="120" w:after="120"/>
        <w:jc w:val="both"/>
      </w:pPr>
      <w:r w:rsidRPr="004B2498">
        <w:rPr>
          <w:lang w:eastAsia="fr-FR" w:bidi="fr-FR"/>
        </w:rPr>
        <w:t xml:space="preserve">FREITAG Michel, 2004 : « L’avenir de la société, globalisation ou mondialisation », </w:t>
      </w:r>
      <w:r w:rsidRPr="00784348">
        <w:rPr>
          <w:i/>
        </w:rPr>
        <w:t>Société</w:t>
      </w:r>
      <w:r w:rsidRPr="004B2498">
        <w:t>,</w:t>
      </w:r>
      <w:r w:rsidRPr="004B2498">
        <w:rPr>
          <w:lang w:eastAsia="fr-FR" w:bidi="fr-FR"/>
        </w:rPr>
        <w:t xml:space="preserve"> 24-25, octobre 2004 et http/sociologie.</w:t>
      </w:r>
      <w:r w:rsidRPr="004B2498">
        <w:rPr>
          <w:lang w:bidi="en-US"/>
        </w:rPr>
        <w:t>revues.org</w:t>
      </w:r>
    </w:p>
    <w:p w14:paraId="6E1EFCB5" w14:textId="77777777" w:rsidR="002F4063" w:rsidRPr="004B2498" w:rsidRDefault="002F4063" w:rsidP="002F4063">
      <w:pPr>
        <w:spacing w:before="120" w:after="120"/>
        <w:jc w:val="both"/>
      </w:pPr>
      <w:r w:rsidRPr="004B2498">
        <w:rPr>
          <w:lang w:eastAsia="fr-FR" w:bidi="fr-FR"/>
        </w:rPr>
        <w:t xml:space="preserve">HEEMERYCK Antoine, 2010 : </w:t>
      </w:r>
      <w:r w:rsidRPr="00784348">
        <w:rPr>
          <w:i/>
        </w:rPr>
        <w:t>L’importation démocratique en Roumanie</w:t>
      </w:r>
      <w:r w:rsidRPr="004B2498">
        <w:rPr>
          <w:lang w:eastAsia="fr-FR" w:bidi="fr-FR"/>
        </w:rPr>
        <w:t>, L’Harmattan.</w:t>
      </w:r>
    </w:p>
    <w:p w14:paraId="35D1A4FD" w14:textId="77777777" w:rsidR="002F4063" w:rsidRPr="004B2498" w:rsidRDefault="002F4063" w:rsidP="002F4063">
      <w:pPr>
        <w:spacing w:before="120" w:after="120"/>
        <w:jc w:val="both"/>
      </w:pPr>
      <w:r w:rsidRPr="004B2498">
        <w:rPr>
          <w:rStyle w:val="Corpsdutexte69ptNonItalique"/>
          <w:i w:val="0"/>
          <w:iCs w:val="0"/>
          <w:color w:val="auto"/>
          <w:sz w:val="28"/>
        </w:rPr>
        <w:t xml:space="preserve">LUHMANN </w:t>
      </w:r>
      <w:r w:rsidRPr="004B2498">
        <w:t xml:space="preserve">Niklas, 1999 : </w:t>
      </w:r>
      <w:r w:rsidRPr="00784348">
        <w:rPr>
          <w:i/>
          <w:lang w:eastAsia="fr-FR" w:bidi="fr-FR"/>
        </w:rPr>
        <w:t>Politique et complexité, les contrib</w:t>
      </w:r>
      <w:r w:rsidRPr="00784348">
        <w:rPr>
          <w:i/>
          <w:lang w:eastAsia="fr-FR" w:bidi="fr-FR"/>
        </w:rPr>
        <w:t>u</w:t>
      </w:r>
      <w:r w:rsidRPr="00784348">
        <w:rPr>
          <w:i/>
          <w:lang w:eastAsia="fr-FR" w:bidi="fr-FR"/>
        </w:rPr>
        <w:t>tions de la théorie générale des systèmes</w:t>
      </w:r>
      <w:r w:rsidRPr="004B2498">
        <w:t xml:space="preserve">, Cerf. </w:t>
      </w:r>
    </w:p>
    <w:p w14:paraId="46B353DA" w14:textId="77777777" w:rsidR="002F4063" w:rsidRPr="004B2498" w:rsidRDefault="002F4063" w:rsidP="002F4063">
      <w:pPr>
        <w:pStyle w:val="p"/>
        <w:rPr>
          <w:lang w:eastAsia="fr-FR" w:bidi="fr-FR"/>
        </w:rPr>
      </w:pPr>
      <w:r>
        <w:rPr>
          <w:lang w:eastAsia="fr-FR" w:bidi="fr-FR"/>
        </w:rPr>
        <w:br w:type="page"/>
      </w:r>
      <w:r w:rsidRPr="004B2498">
        <w:rPr>
          <w:lang w:eastAsia="fr-FR" w:bidi="fr-FR"/>
        </w:rPr>
        <w:t>[97]</w:t>
      </w:r>
    </w:p>
    <w:p w14:paraId="68A4B925" w14:textId="77777777" w:rsidR="002F4063" w:rsidRPr="00E07116" w:rsidRDefault="002F4063" w:rsidP="002F4063">
      <w:pPr>
        <w:jc w:val="both"/>
      </w:pPr>
    </w:p>
    <w:p w14:paraId="125FB050" w14:textId="77777777" w:rsidR="002F4063" w:rsidRPr="00E07116" w:rsidRDefault="002F4063" w:rsidP="002F4063">
      <w:pPr>
        <w:jc w:val="both"/>
      </w:pPr>
    </w:p>
    <w:p w14:paraId="7BFBA7CE" w14:textId="77777777" w:rsidR="002F4063" w:rsidRDefault="002F4063" w:rsidP="002F4063">
      <w:pPr>
        <w:spacing w:after="120"/>
        <w:ind w:firstLine="0"/>
        <w:jc w:val="center"/>
        <w:rPr>
          <w:sz w:val="24"/>
        </w:rPr>
      </w:pPr>
      <w:bookmarkStart w:id="8" w:name="Enjeux_sc_soc_pt_1_texte_5"/>
      <w:r>
        <w:rPr>
          <w:b/>
          <w:sz w:val="24"/>
        </w:rPr>
        <w:t>Enjeux épistémologiques et idéologiques</w:t>
      </w:r>
      <w:r>
        <w:rPr>
          <w:b/>
          <w:sz w:val="24"/>
        </w:rPr>
        <w:br/>
        <w:t>de la globalisation pour les sciences sociales</w:t>
      </w:r>
      <w:r w:rsidRPr="00DC733D">
        <w:rPr>
          <w:sz w:val="24"/>
        </w:rPr>
        <w:t>.</w:t>
      </w:r>
    </w:p>
    <w:p w14:paraId="00617344" w14:textId="77777777" w:rsidR="002F4063" w:rsidRPr="00DC733D" w:rsidRDefault="002F4063" w:rsidP="002F4063">
      <w:pPr>
        <w:spacing w:after="120"/>
        <w:ind w:firstLine="0"/>
        <w:jc w:val="center"/>
        <w:rPr>
          <w:sz w:val="24"/>
        </w:rPr>
      </w:pPr>
      <w:r>
        <w:rPr>
          <w:sz w:val="24"/>
        </w:rPr>
        <w:t>Première partie : Crises et gouvernance</w:t>
      </w:r>
    </w:p>
    <w:p w14:paraId="358F9AB2" w14:textId="77777777" w:rsidR="002F4063" w:rsidRPr="00384B20" w:rsidRDefault="002F4063" w:rsidP="002F4063">
      <w:pPr>
        <w:pStyle w:val="Titreniveau1"/>
      </w:pPr>
      <w:r>
        <w:t>5</w:t>
      </w:r>
    </w:p>
    <w:p w14:paraId="612E71D6" w14:textId="77777777" w:rsidR="002F4063" w:rsidRDefault="002F4063" w:rsidP="002F4063">
      <w:pPr>
        <w:pStyle w:val="Titreniveau2"/>
      </w:pPr>
      <w:r>
        <w:t>“LA RÉGULATION</w:t>
      </w:r>
      <w:r>
        <w:br/>
        <w:t>MULTINIVEAUX DES CONFLITS</w:t>
      </w:r>
      <w:r>
        <w:br/>
        <w:t>SOCIO-ENVIRONNEMENTAUX.</w:t>
      </w:r>
    </w:p>
    <w:p w14:paraId="4DD1F86E" w14:textId="77777777" w:rsidR="002F4063" w:rsidRPr="00784348" w:rsidRDefault="002F4063" w:rsidP="002F4063">
      <w:pPr>
        <w:pStyle w:val="Titreniveau2i"/>
      </w:pPr>
      <w:r w:rsidRPr="00784348">
        <w:t>Réflexion sur les outils des sciences sociales</w:t>
      </w:r>
      <w:r>
        <w:br/>
      </w:r>
      <w:r w:rsidRPr="00784348">
        <w:t>face à des objets «globalisés».”</w:t>
      </w:r>
    </w:p>
    <w:bookmarkEnd w:id="8"/>
    <w:p w14:paraId="0B347E10" w14:textId="77777777" w:rsidR="002F4063" w:rsidRPr="00E07116" w:rsidRDefault="002F4063" w:rsidP="002F4063">
      <w:pPr>
        <w:jc w:val="both"/>
        <w:rPr>
          <w:szCs w:val="36"/>
        </w:rPr>
      </w:pPr>
    </w:p>
    <w:p w14:paraId="77D4E714" w14:textId="77777777" w:rsidR="002F4063" w:rsidRPr="00E07116" w:rsidRDefault="002F4063" w:rsidP="002F4063">
      <w:pPr>
        <w:pStyle w:val="suite"/>
      </w:pPr>
      <w:r>
        <w:t>Franck POUPEAU</w:t>
      </w:r>
    </w:p>
    <w:p w14:paraId="3DB1DE1B" w14:textId="77777777" w:rsidR="002F4063" w:rsidRPr="00E07116" w:rsidRDefault="002F4063" w:rsidP="002F4063">
      <w:pPr>
        <w:jc w:val="both"/>
      </w:pPr>
    </w:p>
    <w:p w14:paraId="6BA284C0" w14:textId="77777777" w:rsidR="002F4063" w:rsidRPr="00E07116" w:rsidRDefault="002F4063" w:rsidP="002F4063">
      <w:pPr>
        <w:jc w:val="both"/>
      </w:pPr>
    </w:p>
    <w:p w14:paraId="54CBBCE0" w14:textId="77777777" w:rsidR="002F4063" w:rsidRPr="00E07116" w:rsidRDefault="002F4063" w:rsidP="002F4063">
      <w:pPr>
        <w:jc w:val="both"/>
      </w:pPr>
    </w:p>
    <w:p w14:paraId="2719B26C" w14:textId="77777777" w:rsidR="002F4063" w:rsidRPr="00384B20" w:rsidRDefault="002F4063" w:rsidP="002F4063">
      <w:pPr>
        <w:ind w:right="90" w:firstLine="0"/>
        <w:jc w:val="both"/>
        <w:rPr>
          <w:sz w:val="20"/>
        </w:rPr>
      </w:pPr>
      <w:hyperlink w:anchor="sommaire" w:history="1">
        <w:r>
          <w:rPr>
            <w:rStyle w:val="Hyperlien"/>
            <w:sz w:val="20"/>
          </w:rPr>
          <w:t>Retour au sommaire</w:t>
        </w:r>
      </w:hyperlink>
    </w:p>
    <w:p w14:paraId="1FDE92EE" w14:textId="77777777" w:rsidR="002F4063" w:rsidRPr="004B2498" w:rsidRDefault="002F4063" w:rsidP="002F4063">
      <w:pPr>
        <w:spacing w:before="120" w:after="120"/>
        <w:jc w:val="both"/>
      </w:pPr>
      <w:r w:rsidRPr="004B2498">
        <w:rPr>
          <w:lang w:eastAsia="fr-FR" w:bidi="fr-FR"/>
        </w:rPr>
        <w:t>Les conflits socio-environnementaux générés par les inégalités d’accès aux ressources naturelles et aux services urbains qui les distr</w:t>
      </w:r>
      <w:r w:rsidRPr="004B2498">
        <w:rPr>
          <w:lang w:eastAsia="fr-FR" w:bidi="fr-FR"/>
        </w:rPr>
        <w:t>i</w:t>
      </w:r>
      <w:r w:rsidRPr="004B2498">
        <w:rPr>
          <w:lang w:eastAsia="fr-FR" w:bidi="fr-FR"/>
        </w:rPr>
        <w:t>buent sont un exemple des objets « globalisés » qui représentent un réel défi pour les sciences sociales, en terme de méthode et de con</w:t>
      </w:r>
      <w:r w:rsidRPr="004B2498">
        <w:rPr>
          <w:lang w:eastAsia="fr-FR" w:bidi="fr-FR"/>
        </w:rPr>
        <w:t>s</w:t>
      </w:r>
      <w:r w:rsidRPr="004B2498">
        <w:rPr>
          <w:lang w:eastAsia="fr-FR" w:bidi="fr-FR"/>
        </w:rPr>
        <w:t>truction d’objet Certes, la monographie ou l’ethnographie d’un terrain limité sont désormais devenues la norme implicite des recherches en sociologie - tout ce qui n’est pas « empirique » au sens restrictivement spatial du terme n’y est pas reconnu comme scientifique. Pourtant, d’autres disciplines, comme l’anthropologie s’attachant aux « branchements » des cultures, la géographie se plaçant d’emblée à une « échelle globale » pour étudier villes, industries ou tourismes, la science politique se posant la question de la « régulation multin</w:t>
      </w:r>
      <w:r w:rsidRPr="004B2498">
        <w:rPr>
          <w:lang w:eastAsia="fr-FR" w:bidi="fr-FR"/>
        </w:rPr>
        <w:t>i</w:t>
      </w:r>
      <w:r w:rsidRPr="004B2498">
        <w:rPr>
          <w:lang w:eastAsia="fr-FR" w:bidi="fr-FR"/>
        </w:rPr>
        <w:t>veaux » (Hooghe &amp; Marks, 2001 ; Dabène, 2006) offrent des pistes pour échapper à la classique « unité de lieu » régissant habituellement les protocoles de recherche sociologique.</w:t>
      </w:r>
    </w:p>
    <w:p w14:paraId="38B7890E" w14:textId="77777777" w:rsidR="002F4063" w:rsidRPr="004B2498" w:rsidRDefault="002F4063" w:rsidP="002F4063">
      <w:pPr>
        <w:spacing w:before="120" w:after="120"/>
        <w:jc w:val="both"/>
      </w:pPr>
      <w:r w:rsidRPr="004B2498">
        <w:rPr>
          <w:lang w:eastAsia="fr-FR" w:bidi="fr-FR"/>
        </w:rPr>
        <w:t>Par ailleurs, de nombreux travaux insistent désormais sur les tran</w:t>
      </w:r>
      <w:r w:rsidRPr="004B2498">
        <w:rPr>
          <w:lang w:eastAsia="fr-FR" w:bidi="fr-FR"/>
        </w:rPr>
        <w:t>s</w:t>
      </w:r>
      <w:r w:rsidRPr="004B2498">
        <w:rPr>
          <w:lang w:eastAsia="fr-FR" w:bidi="fr-FR"/>
        </w:rPr>
        <w:t>formations de la « gouvernance mondiale » des ressources naturelles, au sens où l’action publique est marquée par différents niveaux de r</w:t>
      </w:r>
      <w:r w:rsidRPr="004B2498">
        <w:rPr>
          <w:lang w:eastAsia="fr-FR" w:bidi="fr-FR"/>
        </w:rPr>
        <w:t>é</w:t>
      </w:r>
      <w:r w:rsidRPr="004B2498">
        <w:rPr>
          <w:lang w:eastAsia="fr-FR" w:bidi="fr-FR"/>
        </w:rPr>
        <w:t>gulation (du local au global, du communal au supranational, etc.) qui débordent le cadre étatique (Ostrom, 1990 ; Jaglin 2001 ; Dumoulin, 2005 ; Hugon, 2007 ; Schneier-Madanes, 2010). Ils se présentent néanmoins, la plupart du temps, sous la forme d’approches discipl</w:t>
      </w:r>
      <w:r w:rsidRPr="004B2498">
        <w:rPr>
          <w:lang w:eastAsia="fr-FR" w:bidi="fr-FR"/>
        </w:rPr>
        <w:t>i</w:t>
      </w:r>
      <w:r w:rsidRPr="004B2498">
        <w:rPr>
          <w:lang w:eastAsia="fr-FR" w:bidi="fr-FR"/>
        </w:rPr>
        <w:t>naires qui, prises isolément, se révèlent souvent insuffisantes pour sa</w:t>
      </w:r>
      <w:r w:rsidRPr="004B2498">
        <w:rPr>
          <w:lang w:eastAsia="fr-FR" w:bidi="fr-FR"/>
        </w:rPr>
        <w:t>i</w:t>
      </w:r>
      <w:r w:rsidRPr="004B2498">
        <w:rPr>
          <w:lang w:eastAsia="fr-FR" w:bidi="fr-FR"/>
        </w:rPr>
        <w:t>sir la complexité et l’entrelacement des déterminations à l’œuvre. Pour illustrer ce point, il suffit de prendre</w:t>
      </w:r>
      <w:r w:rsidRPr="004B2498">
        <w:t xml:space="preserve"> [98]</w:t>
      </w:r>
      <w:r>
        <w:t xml:space="preserve"> </w:t>
      </w:r>
      <w:r w:rsidRPr="004B2498">
        <w:rPr>
          <w:lang w:eastAsia="fr-FR" w:bidi="fr-FR"/>
        </w:rPr>
        <w:t>l’exemple de la fonte des glaciers surplombant les villes de La Paz et El Alto en Bolivie, qui met en péril l’approvisionnement en eau et en énergie hydroélectrique de la métropole, et qui donne lieu à des mobilisations pour le moins inédites :</w:t>
      </w:r>
      <w:r w:rsidRPr="004B2498">
        <w:rPr>
          <w:lang w:eastAsia="fr-FR" w:bidi="fr-FR"/>
        </w:rPr>
        <w:tab/>
        <w:t>intervention des autorités municipales et gouvernement</w:t>
      </w:r>
      <w:r w:rsidRPr="004B2498">
        <w:rPr>
          <w:lang w:eastAsia="fr-FR" w:bidi="fr-FR"/>
        </w:rPr>
        <w:t>a</w:t>
      </w:r>
      <w:r w:rsidRPr="004B2498">
        <w:rPr>
          <w:lang w:eastAsia="fr-FR" w:bidi="fr-FR"/>
        </w:rPr>
        <w:t>les, expertise des institutions i</w:t>
      </w:r>
      <w:r w:rsidRPr="004B2498">
        <w:rPr>
          <w:lang w:eastAsia="fr-FR" w:bidi="fr-FR"/>
        </w:rPr>
        <w:t>n</w:t>
      </w:r>
      <w:r w:rsidRPr="004B2498">
        <w:rPr>
          <w:lang w:eastAsia="fr-FR" w:bidi="fr-FR"/>
        </w:rPr>
        <w:t>ternationales, conflit entre l’entreprise de distribution des eaux et les communautés « originaires » (paysa</w:t>
      </w:r>
      <w:r w:rsidRPr="004B2498">
        <w:rPr>
          <w:lang w:eastAsia="fr-FR" w:bidi="fr-FR"/>
        </w:rPr>
        <w:t>n</w:t>
      </w:r>
      <w:r w:rsidRPr="004B2498">
        <w:rPr>
          <w:lang w:eastAsia="fr-FR" w:bidi="fr-FR"/>
        </w:rPr>
        <w:t>nes et indigènes) revendiquant la propriété des ressources naturelles qui traversent leurs terres en amont, protestations et blocages de route des résidents des quartiers les plus affectés par la pénurie, etc. Ce qui aurait été auparavant considéré comme un simple « incident » bien circonscrit, touchant un pays mineur, revêt déso</w:t>
      </w:r>
      <w:r w:rsidRPr="004B2498">
        <w:rPr>
          <w:lang w:eastAsia="fr-FR" w:bidi="fr-FR"/>
        </w:rPr>
        <w:t>r</w:t>
      </w:r>
      <w:r w:rsidRPr="004B2498">
        <w:rPr>
          <w:lang w:eastAsia="fr-FR" w:bidi="fr-FR"/>
        </w:rPr>
        <w:t>mais les apparences d’un problème plus gl</w:t>
      </w:r>
      <w:r w:rsidRPr="004B2498">
        <w:rPr>
          <w:lang w:eastAsia="fr-FR" w:bidi="fr-FR"/>
        </w:rPr>
        <w:t>o</w:t>
      </w:r>
      <w:r w:rsidRPr="004B2498">
        <w:rPr>
          <w:lang w:eastAsia="fr-FR" w:bidi="fr-FR"/>
        </w:rPr>
        <w:t>bal, mettant en jeu une variété d’institutions et d’agents sociaux, confrontés à des inégalités territoriales marquées. Exemple de la crise écologique liée au changement climatique, la fo</w:t>
      </w:r>
      <w:r w:rsidRPr="004B2498">
        <w:rPr>
          <w:lang w:eastAsia="fr-FR" w:bidi="fr-FR"/>
        </w:rPr>
        <w:t>n</w:t>
      </w:r>
      <w:r w:rsidRPr="004B2498">
        <w:rPr>
          <w:lang w:eastAsia="fr-FR" w:bidi="fr-FR"/>
        </w:rPr>
        <w:t>te des glaciers boliviens suscite des probl</w:t>
      </w:r>
      <w:r w:rsidRPr="004B2498">
        <w:rPr>
          <w:lang w:eastAsia="fr-FR" w:bidi="fr-FR"/>
        </w:rPr>
        <w:t>è</w:t>
      </w:r>
      <w:r w:rsidRPr="004B2498">
        <w:rPr>
          <w:lang w:eastAsia="fr-FR" w:bidi="fr-FR"/>
        </w:rPr>
        <w:t xml:space="preserve">mes sociaux d’un genre nouveau, dont le traitement - et </w:t>
      </w:r>
      <w:r w:rsidRPr="004B2498">
        <w:t>a fortiori</w:t>
      </w:r>
      <w:r w:rsidRPr="004B2498">
        <w:rPr>
          <w:lang w:eastAsia="fr-FR" w:bidi="fr-FR"/>
        </w:rPr>
        <w:t xml:space="preserve"> l’analyse - appelle une rég</w:t>
      </w:r>
      <w:r w:rsidRPr="004B2498">
        <w:rPr>
          <w:lang w:eastAsia="fr-FR" w:bidi="fr-FR"/>
        </w:rPr>
        <w:t>u</w:t>
      </w:r>
      <w:r w:rsidRPr="004B2498">
        <w:rPr>
          <w:lang w:eastAsia="fr-FR" w:bidi="fr-FR"/>
        </w:rPr>
        <w:t>lation à plusieurs n</w:t>
      </w:r>
      <w:r w:rsidRPr="004B2498">
        <w:rPr>
          <w:lang w:eastAsia="fr-FR" w:bidi="fr-FR"/>
        </w:rPr>
        <w:t>i</w:t>
      </w:r>
      <w:r w:rsidRPr="004B2498">
        <w:rPr>
          <w:lang w:eastAsia="fr-FR" w:bidi="fr-FR"/>
        </w:rPr>
        <w:t>veaux, du local à l’international.</w:t>
      </w:r>
    </w:p>
    <w:p w14:paraId="7411BAB2" w14:textId="77777777" w:rsidR="002F4063" w:rsidRPr="004B2498" w:rsidRDefault="002F4063" w:rsidP="002F4063">
      <w:pPr>
        <w:spacing w:before="120" w:after="120"/>
        <w:jc w:val="both"/>
      </w:pPr>
      <w:r w:rsidRPr="004B2498">
        <w:rPr>
          <w:lang w:eastAsia="fr-FR" w:bidi="fr-FR"/>
        </w:rPr>
        <w:t>Il s’agit alors d’élaborer une grille d’analyse qui intègre ces diff</w:t>
      </w:r>
      <w:r w:rsidRPr="004B2498">
        <w:rPr>
          <w:lang w:eastAsia="fr-FR" w:bidi="fr-FR"/>
        </w:rPr>
        <w:t>é</w:t>
      </w:r>
      <w:r w:rsidRPr="004B2498">
        <w:rPr>
          <w:lang w:eastAsia="fr-FR" w:bidi="fr-FR"/>
        </w:rPr>
        <w:t>rents facteurs habituellement étudiés de façon séparée : aussi bien la prise en compte des inégalités territoriales, l’action des institutions municipales et du ministère de l’Eau, la transition d’une entreprise privée à une entreprise publique et sociale, la mobilisation des comités de résidents, la revendication de la propriété des ressources naturelles par les mouvements indigénistes, l’intervention des organismes inte</w:t>
      </w:r>
      <w:r w:rsidRPr="004B2498">
        <w:rPr>
          <w:lang w:eastAsia="fr-FR" w:bidi="fr-FR"/>
        </w:rPr>
        <w:t>r</w:t>
      </w:r>
      <w:r w:rsidRPr="004B2498">
        <w:rPr>
          <w:lang w:eastAsia="fr-FR" w:bidi="fr-FR"/>
        </w:rPr>
        <w:t>nationaux, qu’il s’agisse de la Banque mondiale ou des Forums s</w:t>
      </w:r>
      <w:r w:rsidRPr="004B2498">
        <w:rPr>
          <w:lang w:eastAsia="fr-FR" w:bidi="fr-FR"/>
        </w:rPr>
        <w:t>o</w:t>
      </w:r>
      <w:r w:rsidRPr="004B2498">
        <w:rPr>
          <w:lang w:eastAsia="fr-FR" w:bidi="fr-FR"/>
        </w:rPr>
        <w:t xml:space="preserve">ciaux altermondialistes, etc. Dans cette perspective, on reprendra la notion de « régulation multiniveaux », qui désigne « l’interaction, le renforcement et la superposition de processus d’élaboration de normes et de gouvernance entre les niveaux international, national, régional et local. Elle émerge selon des processus variés de négociation </w:t>
      </w:r>
      <w:r w:rsidRPr="004B2498">
        <w:t>top-down</w:t>
      </w:r>
      <w:r w:rsidRPr="004B2498">
        <w:rPr>
          <w:lang w:eastAsia="fr-FR" w:bidi="fr-FR"/>
        </w:rPr>
        <w:t xml:space="preserve"> ou </w:t>
      </w:r>
      <w:r w:rsidRPr="004B2498">
        <w:t>bottom-up</w:t>
      </w:r>
      <w:r w:rsidRPr="004B2498">
        <w:rPr>
          <w:lang w:eastAsia="fr-FR" w:bidi="fr-FR"/>
        </w:rPr>
        <w:t xml:space="preserve"> au sein de l’État, entre les États, entre les régions et les villes et entre les intérêts sociaux et économiques » (Doern </w:t>
      </w:r>
      <w:r w:rsidRPr="004B2498">
        <w:t>et al</w:t>
      </w:r>
      <w:r w:rsidRPr="004B2498">
        <w:rPr>
          <w:lang w:eastAsia="fr-FR" w:bidi="fr-FR"/>
        </w:rPr>
        <w:t>., 2006). Cette notion, empruntée à la science politique, offre à la soci</w:t>
      </w:r>
      <w:r w:rsidRPr="004B2498">
        <w:rPr>
          <w:lang w:eastAsia="fr-FR" w:bidi="fr-FR"/>
        </w:rPr>
        <w:t>o</w:t>
      </w:r>
      <w:r w:rsidRPr="004B2498">
        <w:rPr>
          <w:lang w:eastAsia="fr-FR" w:bidi="fr-FR"/>
        </w:rPr>
        <w:t>logie des conflits socio-environnementaux un outil non seulement conceptuel mais aussi méthodologique pour affronter le défi que r</w:t>
      </w:r>
      <w:r w:rsidRPr="004B2498">
        <w:rPr>
          <w:lang w:eastAsia="fr-FR" w:bidi="fr-FR"/>
        </w:rPr>
        <w:t>e</w:t>
      </w:r>
      <w:r w:rsidRPr="004B2498">
        <w:rPr>
          <w:lang w:eastAsia="fr-FR" w:bidi="fr-FR"/>
        </w:rPr>
        <w:t>présentent ses objets « globalisés ».</w:t>
      </w:r>
    </w:p>
    <w:p w14:paraId="67342BFB" w14:textId="77777777" w:rsidR="002F4063" w:rsidRDefault="002F4063" w:rsidP="002F4063">
      <w:pPr>
        <w:spacing w:before="120" w:after="120"/>
        <w:jc w:val="both"/>
        <w:rPr>
          <w:szCs w:val="24"/>
          <w:lang w:eastAsia="fr-FR" w:bidi="fr-FR"/>
        </w:rPr>
      </w:pPr>
    </w:p>
    <w:p w14:paraId="57883CFC" w14:textId="77777777" w:rsidR="002F4063" w:rsidRPr="004B2498" w:rsidRDefault="002F4063" w:rsidP="002F4063">
      <w:pPr>
        <w:pStyle w:val="a"/>
      </w:pPr>
      <w:r w:rsidRPr="004B2498">
        <w:t>Problèmes méthodologiques</w:t>
      </w:r>
      <w:r>
        <w:br/>
      </w:r>
      <w:r w:rsidRPr="004B2498">
        <w:t>de l’étude des conflits socio-enviro</w:t>
      </w:r>
      <w:r w:rsidRPr="004B2498">
        <w:t>n</w:t>
      </w:r>
      <w:r w:rsidRPr="004B2498">
        <w:t>nementaux</w:t>
      </w:r>
    </w:p>
    <w:p w14:paraId="2098729B" w14:textId="77777777" w:rsidR="002F4063" w:rsidRDefault="002F4063" w:rsidP="002F4063">
      <w:pPr>
        <w:spacing w:before="120" w:after="120"/>
        <w:jc w:val="both"/>
        <w:rPr>
          <w:lang w:eastAsia="fr-FR" w:bidi="fr-FR"/>
        </w:rPr>
      </w:pPr>
    </w:p>
    <w:p w14:paraId="13715CBC" w14:textId="77777777" w:rsidR="002F4063" w:rsidRPr="004B2498" w:rsidRDefault="002F4063" w:rsidP="002F4063">
      <w:pPr>
        <w:spacing w:before="120" w:after="120"/>
        <w:jc w:val="both"/>
      </w:pPr>
      <w:r w:rsidRPr="004B2498">
        <w:rPr>
          <w:lang w:eastAsia="fr-FR" w:bidi="fr-FR"/>
        </w:rPr>
        <w:t>Issus en grande partie d’un refus de l’internationalisation du « modèle français » (et de ses effets sociaux) par les « multinationales de l’eau » à partir de la fin des années 1980, les mouvements de pr</w:t>
      </w:r>
      <w:r w:rsidRPr="004B2498">
        <w:rPr>
          <w:lang w:eastAsia="fr-FR" w:bidi="fr-FR"/>
        </w:rPr>
        <w:t>o</w:t>
      </w:r>
      <w:r w:rsidRPr="004B2498">
        <w:rPr>
          <w:lang w:eastAsia="fr-FR" w:bidi="fr-FR"/>
        </w:rPr>
        <w:t>testation récents contre la privatisation de l’eau, en Amérique du Sud et en Europe, ont</w:t>
      </w:r>
      <w:r w:rsidRPr="004B2498">
        <w:t xml:space="preserve"> [99]</w:t>
      </w:r>
      <w:r>
        <w:t xml:space="preserve"> </w:t>
      </w:r>
      <w:r w:rsidRPr="004B2498">
        <w:rPr>
          <w:lang w:eastAsia="fr-FR" w:bidi="fr-FR"/>
        </w:rPr>
        <w:t>bouleversé les contextes politiques locaux dans lesquels ils ont surgi, à l’intersection des logiques internationales, des pouvoirs nationaux et de la gestion territoriale des populations urba</w:t>
      </w:r>
      <w:r w:rsidRPr="004B2498">
        <w:rPr>
          <w:lang w:eastAsia="fr-FR" w:bidi="fr-FR"/>
        </w:rPr>
        <w:t>i</w:t>
      </w:r>
      <w:r w:rsidRPr="004B2498">
        <w:rPr>
          <w:lang w:eastAsia="fr-FR" w:bidi="fr-FR"/>
        </w:rPr>
        <w:t>nes défavorisées. Loin d’ouvrir les « espaces de négociation » néce</w:t>
      </w:r>
      <w:r w:rsidRPr="004B2498">
        <w:rPr>
          <w:lang w:eastAsia="fr-FR" w:bidi="fr-FR"/>
        </w:rPr>
        <w:t>s</w:t>
      </w:r>
      <w:r w:rsidRPr="004B2498">
        <w:rPr>
          <w:lang w:eastAsia="fr-FR" w:bidi="fr-FR"/>
        </w:rPr>
        <w:t>saires à la consolidation d’une nouvelle « gouvernance mondiale », ces conflits révèlent au contraire l’entrelacement d’institutions, d’organisations et d’agents sociaux (États, experts internationaux, e</w:t>
      </w:r>
      <w:r w:rsidRPr="004B2498">
        <w:rPr>
          <w:lang w:eastAsia="fr-FR" w:bidi="fr-FR"/>
        </w:rPr>
        <w:t>n</w:t>
      </w:r>
      <w:r w:rsidRPr="004B2498">
        <w:rPr>
          <w:lang w:eastAsia="fr-FR" w:bidi="fr-FR"/>
        </w:rPr>
        <w:t>treprises privées, autorités nationales et représentants de la « société civile », etc.) en lutte pour la définition et le contrôle des politiques de régulation des ressources naturelles. Dans le prolongement des enqu</w:t>
      </w:r>
      <w:r w:rsidRPr="004B2498">
        <w:rPr>
          <w:lang w:eastAsia="fr-FR" w:bidi="fr-FR"/>
        </w:rPr>
        <w:t>ê</w:t>
      </w:r>
      <w:r w:rsidRPr="004B2498">
        <w:rPr>
          <w:lang w:eastAsia="fr-FR" w:bidi="fr-FR"/>
        </w:rPr>
        <w:t>tes déjà menées sur les inégalités sociospatiales d’accès à l’eau dans les zones périph</w:t>
      </w:r>
      <w:r w:rsidRPr="004B2498">
        <w:rPr>
          <w:lang w:eastAsia="fr-FR" w:bidi="fr-FR"/>
        </w:rPr>
        <w:t>é</w:t>
      </w:r>
      <w:r w:rsidRPr="004B2498">
        <w:rPr>
          <w:lang w:eastAsia="fr-FR" w:bidi="fr-FR"/>
        </w:rPr>
        <w:t>riques de La Paz et El Alto en Bolivie, il s’agit d’élaborer, à partir de l’étude de conflits socio-environnementaux exemplaires, une grille d’analyse articulant les multiples niveaux de la régulation des ressou</w:t>
      </w:r>
      <w:r w:rsidRPr="004B2498">
        <w:rPr>
          <w:lang w:eastAsia="fr-FR" w:bidi="fr-FR"/>
        </w:rPr>
        <w:t>r</w:t>
      </w:r>
      <w:r w:rsidRPr="004B2498">
        <w:rPr>
          <w:lang w:eastAsia="fr-FR" w:bidi="fr-FR"/>
        </w:rPr>
        <w:t>ces naturelles et des services urbains.</w:t>
      </w:r>
    </w:p>
    <w:p w14:paraId="7EFF4327" w14:textId="77777777" w:rsidR="002F4063" w:rsidRPr="004B2498" w:rsidRDefault="002F4063" w:rsidP="002F4063">
      <w:pPr>
        <w:spacing w:before="120" w:after="120"/>
        <w:jc w:val="both"/>
      </w:pPr>
      <w:r w:rsidRPr="004B2498">
        <w:rPr>
          <w:lang w:eastAsia="fr-FR" w:bidi="fr-FR"/>
        </w:rPr>
        <w:t>Cette approche sociologique, intégrant les différents niveaux de régulation des ressources naturelles, présente un autre avantage. En sciences sociales, le problème des relations des sociétés à leur env</w:t>
      </w:r>
      <w:r w:rsidRPr="004B2498">
        <w:rPr>
          <w:lang w:eastAsia="fr-FR" w:bidi="fr-FR"/>
        </w:rPr>
        <w:t>i</w:t>
      </w:r>
      <w:r w:rsidRPr="004B2498">
        <w:rPr>
          <w:lang w:eastAsia="fr-FR" w:bidi="fr-FR"/>
        </w:rPr>
        <w:t>ronnement a principalement été abordé sous l’angle de situations extraordinaires, par la mise en évidence des conséquences négatives (et souvent dramatiques) du changement climatique (dégradation des sols, inondations, ouragans, pénurie d’eau potable, coulées de boue, etc.) : analyse des violences dues aux « guerres du climat » (Welzer, 2009), étude historique des « effondrements » de sociétés (Diamond, 2006), perspective d’une « anthropologie des catastrophes » (Revet, 2007), critique des stratégies de sécurisation des frontières dues aux migrations de « réfugiés climatiques » (El-Hinnawi, 1985) ou étude de la reconnaissance de leur statut juridique (Magniny, 1999). Peu de travaux tentent en revanche de comprendre les ressorts des « préoccupations environnementales » et leurs traductions en termes de pouvoir (Lascoumes, 1999), alors qu’elles ont pris depuis lors une importance toute nouvelle liée à l’omniprésence médiatique du « changement climatique » et aux évaluations alarmistes des experts internationaux.</w:t>
      </w:r>
    </w:p>
    <w:p w14:paraId="21C02B7A" w14:textId="77777777" w:rsidR="002F4063" w:rsidRPr="004B2498" w:rsidRDefault="002F4063" w:rsidP="002F4063">
      <w:pPr>
        <w:spacing w:before="120" w:after="120"/>
        <w:jc w:val="both"/>
      </w:pPr>
      <w:r w:rsidRPr="004B2498">
        <w:rPr>
          <w:lang w:eastAsia="fr-FR" w:bidi="fr-FR"/>
        </w:rPr>
        <w:t>Comme on a pu le voir à l’occasion du sommet de Copenhague en décembre 2009, les discours sur l’environnement oscillent entre un catastrophisme destiné à susciter une prise de conscience, et une po</w:t>
      </w:r>
      <w:r w:rsidRPr="004B2498">
        <w:rPr>
          <w:lang w:eastAsia="fr-FR" w:bidi="fr-FR"/>
        </w:rPr>
        <w:t>s</w:t>
      </w:r>
      <w:r w:rsidRPr="004B2498">
        <w:rPr>
          <w:lang w:eastAsia="fr-FR" w:bidi="fr-FR"/>
        </w:rPr>
        <w:t>ture gestionnaire intégrée aux stratégies industrielles et commerciales. Depuis quelques années déjà, les débats sur la gestion publique ou privée des services urbains s’inscrivent en effet dans des systèmes d’action et d’argumentation où la préservation de l’environnement joue un rôle essentiel : mise en accusation des entreprises privées peu soucieuses des effets écologiques de leurs modes de distribution des services, contre-feux des mêmes entreprises qui se réapproprient la rhétorique et les thématiques</w:t>
      </w:r>
      <w:r>
        <w:rPr>
          <w:lang w:eastAsia="fr-FR" w:bidi="fr-FR"/>
        </w:rPr>
        <w:t xml:space="preserve"> </w:t>
      </w:r>
      <w:r w:rsidRPr="004B2498">
        <w:t>[100]</w:t>
      </w:r>
      <w:r>
        <w:t xml:space="preserve"> </w:t>
      </w:r>
      <w:r w:rsidRPr="004B2498">
        <w:rPr>
          <w:lang w:eastAsia="fr-FR" w:bidi="fr-FR"/>
        </w:rPr>
        <w:t>du développement durable, dév</w:t>
      </w:r>
      <w:r w:rsidRPr="004B2498">
        <w:rPr>
          <w:lang w:eastAsia="fr-FR" w:bidi="fr-FR"/>
        </w:rPr>
        <w:t>e</w:t>
      </w:r>
      <w:r w:rsidRPr="004B2498">
        <w:rPr>
          <w:lang w:eastAsia="fr-FR" w:bidi="fr-FR"/>
        </w:rPr>
        <w:t>loppement d’une économie du tra</w:t>
      </w:r>
      <w:r w:rsidRPr="004B2498">
        <w:rPr>
          <w:lang w:eastAsia="fr-FR" w:bidi="fr-FR"/>
        </w:rPr>
        <w:t>i</w:t>
      </w:r>
      <w:r w:rsidRPr="004B2498">
        <w:rPr>
          <w:lang w:eastAsia="fr-FR" w:bidi="fr-FR"/>
        </w:rPr>
        <w:t>tement de la pollution, etc.</w:t>
      </w:r>
    </w:p>
    <w:p w14:paraId="6450A7FB" w14:textId="77777777" w:rsidR="002F4063" w:rsidRPr="004B2498" w:rsidRDefault="002F4063" w:rsidP="002F4063">
      <w:pPr>
        <w:spacing w:before="120" w:after="120"/>
        <w:jc w:val="both"/>
      </w:pPr>
      <w:r w:rsidRPr="004B2498">
        <w:rPr>
          <w:lang w:eastAsia="fr-FR" w:bidi="fr-FR"/>
        </w:rPr>
        <w:t>On voudrait ici, au contraire, considérer la gestion des ressources naturelles comme un fait social ordinaire, à l’intersection des polit</w:t>
      </w:r>
      <w:r w:rsidRPr="004B2498">
        <w:rPr>
          <w:lang w:eastAsia="fr-FR" w:bidi="fr-FR"/>
        </w:rPr>
        <w:t>i</w:t>
      </w:r>
      <w:r w:rsidRPr="004B2498">
        <w:rPr>
          <w:lang w:eastAsia="fr-FR" w:bidi="fr-FR"/>
        </w:rPr>
        <w:t>ques publiques, des mobilisations politiques, des pratiques quotidie</w:t>
      </w:r>
      <w:r w:rsidRPr="004B2498">
        <w:rPr>
          <w:lang w:eastAsia="fr-FR" w:bidi="fr-FR"/>
        </w:rPr>
        <w:t>n</w:t>
      </w:r>
      <w:r w:rsidRPr="004B2498">
        <w:rPr>
          <w:lang w:eastAsia="fr-FR" w:bidi="fr-FR"/>
        </w:rPr>
        <w:t>nes et des normes écologiques internationales. Les conflits pour l’usage et l’appropriation des ressources naturelles, et leur transform</w:t>
      </w:r>
      <w:r w:rsidRPr="004B2498">
        <w:rPr>
          <w:lang w:eastAsia="fr-FR" w:bidi="fr-FR"/>
        </w:rPr>
        <w:t>a</w:t>
      </w:r>
      <w:r w:rsidRPr="004B2498">
        <w:rPr>
          <w:lang w:eastAsia="fr-FR" w:bidi="fr-FR"/>
        </w:rPr>
        <w:t>tion en services urbains, ont en outre généralement des effets sur le fonctionnement des pouvoirs politiques, du local à l’international, sans oublier les États concernés : la notion de « conflits socio-enviro</w:t>
      </w:r>
      <w:r w:rsidRPr="004B2498">
        <w:rPr>
          <w:lang w:eastAsia="fr-FR" w:bidi="fr-FR"/>
        </w:rPr>
        <w:t>n</w:t>
      </w:r>
      <w:r w:rsidRPr="004B2498">
        <w:rPr>
          <w:lang w:eastAsia="fr-FR" w:bidi="fr-FR"/>
        </w:rPr>
        <w:t>nementaux » (Fontaine, 2009) correspond alors à la nécessité de pre</w:t>
      </w:r>
      <w:r w:rsidRPr="004B2498">
        <w:rPr>
          <w:lang w:eastAsia="fr-FR" w:bidi="fr-FR"/>
        </w:rPr>
        <w:t>n</w:t>
      </w:r>
      <w:r w:rsidRPr="004B2498">
        <w:rPr>
          <w:lang w:eastAsia="fr-FR" w:bidi="fr-FR"/>
        </w:rPr>
        <w:t>dre en compte à la fois la dimension politique des problèmes environnementaux et les conditions « écologiques » (territoriales, sp</w:t>
      </w:r>
      <w:r w:rsidRPr="004B2498">
        <w:rPr>
          <w:lang w:eastAsia="fr-FR" w:bidi="fr-FR"/>
        </w:rPr>
        <w:t>a</w:t>
      </w:r>
      <w:r w:rsidRPr="004B2498">
        <w:rPr>
          <w:lang w:eastAsia="fr-FR" w:bidi="fr-FR"/>
        </w:rPr>
        <w:t>tiales, physiques, etc.) de leur émergence, sans céder pour autant au cata</w:t>
      </w:r>
      <w:r w:rsidRPr="004B2498">
        <w:rPr>
          <w:lang w:eastAsia="fr-FR" w:bidi="fr-FR"/>
        </w:rPr>
        <w:t>s</w:t>
      </w:r>
      <w:r w:rsidRPr="004B2498">
        <w:rPr>
          <w:lang w:eastAsia="fr-FR" w:bidi="fr-FR"/>
        </w:rPr>
        <w:t>trophisme et à la banalisation gestionnaire. De ce point de vue, le cas de l’eau en milieu urbain est intéressant à la fois pour ses dime</w:t>
      </w:r>
      <w:r w:rsidRPr="004B2498">
        <w:rPr>
          <w:lang w:eastAsia="fr-FR" w:bidi="fr-FR"/>
        </w:rPr>
        <w:t>n</w:t>
      </w:r>
      <w:r w:rsidRPr="004B2498">
        <w:rPr>
          <w:lang w:eastAsia="fr-FR" w:bidi="fr-FR"/>
        </w:rPr>
        <w:t>sions politiques et spatiales (Poupeau, 2010) : il y a des inégalités face aux ressources naturelles liées au fait de vivre sur tel ou tel territoire, et ces inégalités territoriales sont aussi des inégalités sociales (Castel, 2009) ; inversement ce ont souvent les plus défavorisés socialement qui souffrent le plus des problèmes environnementaux.</w:t>
      </w:r>
    </w:p>
    <w:p w14:paraId="05493F06" w14:textId="77777777" w:rsidR="002F4063" w:rsidRPr="004B2498" w:rsidRDefault="002F4063" w:rsidP="002F4063">
      <w:pPr>
        <w:spacing w:before="120" w:after="120"/>
        <w:jc w:val="both"/>
        <w:rPr>
          <w:szCs w:val="24"/>
          <w:lang w:eastAsia="fr-FR" w:bidi="fr-FR"/>
        </w:rPr>
      </w:pPr>
    </w:p>
    <w:p w14:paraId="66037FCD" w14:textId="77777777" w:rsidR="002F4063" w:rsidRPr="004B2498" w:rsidRDefault="002F4063" w:rsidP="002F4063">
      <w:pPr>
        <w:pStyle w:val="a"/>
      </w:pPr>
      <w:r w:rsidRPr="004B2498">
        <w:t>Le problème de Peau en milieu urbain :</w:t>
      </w:r>
      <w:r>
        <w:br/>
      </w:r>
      <w:r w:rsidRPr="004B2498">
        <w:t>le cas de La Paz/El Alto en Bolivie</w:t>
      </w:r>
    </w:p>
    <w:p w14:paraId="2F4AC546" w14:textId="77777777" w:rsidR="002F4063" w:rsidRPr="004B2498" w:rsidRDefault="002F4063" w:rsidP="002F4063">
      <w:pPr>
        <w:spacing w:before="120" w:after="120"/>
        <w:jc w:val="both"/>
        <w:rPr>
          <w:lang w:eastAsia="fr-FR" w:bidi="fr-FR"/>
        </w:rPr>
      </w:pPr>
    </w:p>
    <w:p w14:paraId="627ED430" w14:textId="77777777" w:rsidR="002F4063" w:rsidRPr="004B2498" w:rsidRDefault="002F4063" w:rsidP="002F4063">
      <w:pPr>
        <w:spacing w:before="120" w:after="120"/>
        <w:jc w:val="both"/>
      </w:pPr>
      <w:r w:rsidRPr="004B2498">
        <w:rPr>
          <w:lang w:eastAsia="fr-FR" w:bidi="fr-FR"/>
        </w:rPr>
        <w:t>Un rapport de la Banque mondiale a récemment situé le point d’articulation du changement climatique dans la régulation écolog</w:t>
      </w:r>
      <w:r w:rsidRPr="004B2498">
        <w:rPr>
          <w:lang w:eastAsia="fr-FR" w:bidi="fr-FR"/>
        </w:rPr>
        <w:t>i</w:t>
      </w:r>
      <w:r w:rsidRPr="004B2498">
        <w:rPr>
          <w:lang w:eastAsia="fr-FR" w:bidi="fr-FR"/>
        </w:rPr>
        <w:t>que des métropoles (Banque mondiale, 2009). Dans cette perspective, la Bolivie est apparue comme un véritable laboratoire pour compre</w:t>
      </w:r>
      <w:r w:rsidRPr="004B2498">
        <w:rPr>
          <w:lang w:eastAsia="fr-FR" w:bidi="fr-FR"/>
        </w:rPr>
        <w:t>n</w:t>
      </w:r>
      <w:r w:rsidRPr="004B2498">
        <w:rPr>
          <w:lang w:eastAsia="fr-FR" w:bidi="fr-FR"/>
        </w:rPr>
        <w:t>dre les transformations en cours, du fait des bouleversements polit</w:t>
      </w:r>
      <w:r w:rsidRPr="004B2498">
        <w:rPr>
          <w:lang w:eastAsia="fr-FR" w:bidi="fr-FR"/>
        </w:rPr>
        <w:t>i</w:t>
      </w:r>
      <w:r w:rsidRPr="004B2498">
        <w:rPr>
          <w:lang w:eastAsia="fr-FR" w:bidi="fr-FR"/>
        </w:rPr>
        <w:t>ques issus des conflits socio-environnementaux en milieu urbain (les d</w:t>
      </w:r>
      <w:r w:rsidRPr="004B2498">
        <w:rPr>
          <w:lang w:eastAsia="fr-FR" w:bidi="fr-FR"/>
        </w:rPr>
        <w:t>é</w:t>
      </w:r>
      <w:r w:rsidRPr="004B2498">
        <w:rPr>
          <w:lang w:eastAsia="fr-FR" w:bidi="fr-FR"/>
        </w:rPr>
        <w:t>sormais fameuses « guerre de l’eau » à Cochabamba en 2000 et « guerre du gaz » à El Alto en 2003, mais aussi les problèmes de s</w:t>
      </w:r>
      <w:r w:rsidRPr="004B2498">
        <w:rPr>
          <w:lang w:eastAsia="fr-FR" w:bidi="fr-FR"/>
        </w:rPr>
        <w:t>é</w:t>
      </w:r>
      <w:r w:rsidRPr="004B2498">
        <w:rPr>
          <w:lang w:eastAsia="fr-FR" w:bidi="fr-FR"/>
        </w:rPr>
        <w:t>cheresse qui affectent régulièrement depuis une trentaine d’années l’altiplano et ses villes), qui renvoient à la fois à l’ampleur des inégal</w:t>
      </w:r>
      <w:r w:rsidRPr="004B2498">
        <w:rPr>
          <w:lang w:eastAsia="fr-FR" w:bidi="fr-FR"/>
        </w:rPr>
        <w:t>i</w:t>
      </w:r>
      <w:r w:rsidRPr="004B2498">
        <w:rPr>
          <w:lang w:eastAsia="fr-FR" w:bidi="fr-FR"/>
        </w:rPr>
        <w:t>tés sociales, à la brutalité des politiques économiques menées et à la radicalité des protestations qu’elles ont suscitées. Mais par ses cara</w:t>
      </w:r>
      <w:r w:rsidRPr="004B2498">
        <w:rPr>
          <w:lang w:eastAsia="fr-FR" w:bidi="fr-FR"/>
        </w:rPr>
        <w:t>c</w:t>
      </w:r>
      <w:r w:rsidRPr="004B2498">
        <w:rPr>
          <w:lang w:eastAsia="fr-FR" w:bidi="fr-FR"/>
        </w:rPr>
        <w:t>téristiques pr</w:t>
      </w:r>
      <w:r w:rsidRPr="004B2498">
        <w:rPr>
          <w:lang w:eastAsia="fr-FR" w:bidi="fr-FR"/>
        </w:rPr>
        <w:t>o</w:t>
      </w:r>
      <w:r w:rsidRPr="004B2498">
        <w:rPr>
          <w:lang w:eastAsia="fr-FR" w:bidi="fr-FR"/>
        </w:rPr>
        <w:t>pres, la Bolivie constitue aussi une ouverture vers des terrains plus internationaux, qu’il s’agisse de comparaisons avec la zone andine, l’Amérique latine et l’Europe, du fait de l’internationalisation des modes de régulation des ressources nature</w:t>
      </w:r>
      <w:r w:rsidRPr="004B2498">
        <w:rPr>
          <w:lang w:eastAsia="fr-FR" w:bidi="fr-FR"/>
        </w:rPr>
        <w:t>l</w:t>
      </w:r>
      <w:r w:rsidRPr="004B2498">
        <w:rPr>
          <w:lang w:eastAsia="fr-FR" w:bidi="fr-FR"/>
        </w:rPr>
        <w:t>les et des relations entre po</w:t>
      </w:r>
      <w:r w:rsidRPr="004B2498">
        <w:rPr>
          <w:lang w:eastAsia="fr-FR" w:bidi="fr-FR"/>
        </w:rPr>
        <w:t>u</w:t>
      </w:r>
      <w:r w:rsidRPr="004B2498">
        <w:rPr>
          <w:lang w:eastAsia="fr-FR" w:bidi="fr-FR"/>
        </w:rPr>
        <w:t>voirs nationaux ou locaux.</w:t>
      </w:r>
    </w:p>
    <w:p w14:paraId="369F1366" w14:textId="77777777" w:rsidR="002F4063" w:rsidRPr="004B2498" w:rsidRDefault="002F4063" w:rsidP="002F4063">
      <w:pPr>
        <w:spacing w:before="120" w:after="120"/>
        <w:jc w:val="both"/>
      </w:pPr>
      <w:r w:rsidRPr="004B2498">
        <w:rPr>
          <w:lang w:eastAsia="fr-FR" w:bidi="fr-FR"/>
        </w:rPr>
        <w:t>L’intérêt des conflits touchant la concession de La Paz/El Alto est qu’ils se situent directement à l’articulation de différents niveaux : un espace urbain en expansion et peu contrôlé, des administrations mun</w:t>
      </w:r>
      <w:r w:rsidRPr="004B2498">
        <w:rPr>
          <w:lang w:eastAsia="fr-FR" w:bidi="fr-FR"/>
        </w:rPr>
        <w:t>i</w:t>
      </w:r>
      <w:r w:rsidRPr="004B2498">
        <w:rPr>
          <w:lang w:eastAsia="fr-FR" w:bidi="fr-FR"/>
        </w:rPr>
        <w:t>cipales</w:t>
      </w:r>
      <w:r>
        <w:t xml:space="preserve"> </w:t>
      </w:r>
      <w:r w:rsidRPr="004B2498">
        <w:t>[101]</w:t>
      </w:r>
      <w:r>
        <w:t xml:space="preserve"> </w:t>
      </w:r>
      <w:r w:rsidRPr="004B2498">
        <w:rPr>
          <w:lang w:eastAsia="fr-FR" w:bidi="fr-FR"/>
        </w:rPr>
        <w:t>relativement faibles, un pouvoir national peu résistant aux polit</w:t>
      </w:r>
      <w:r w:rsidRPr="004B2498">
        <w:rPr>
          <w:lang w:eastAsia="fr-FR" w:bidi="fr-FR"/>
        </w:rPr>
        <w:t>i</w:t>
      </w:r>
      <w:r w:rsidRPr="004B2498">
        <w:rPr>
          <w:lang w:eastAsia="fr-FR" w:bidi="fr-FR"/>
        </w:rPr>
        <w:t>ques internationales de privatisation (des années 1985 à 2005 env</w:t>
      </w:r>
      <w:r w:rsidRPr="004B2498">
        <w:rPr>
          <w:lang w:eastAsia="fr-FR" w:bidi="fr-FR"/>
        </w:rPr>
        <w:t>i</w:t>
      </w:r>
      <w:r w:rsidRPr="004B2498">
        <w:rPr>
          <w:lang w:eastAsia="fr-FR" w:bidi="fr-FR"/>
        </w:rPr>
        <w:t>ron), une entreprise publique de distribution devenue concession d’un consortium international en 1997, destinée à être la figure de proue du « modèle français de l’eau » dans le monde (Bonin, 2005  ; Poupeau, 2008), et finalement un contexte international qui a favorisé l’application locale de ces politiques (influence des reco</w:t>
      </w:r>
      <w:r w:rsidRPr="004B2498">
        <w:rPr>
          <w:lang w:eastAsia="fr-FR" w:bidi="fr-FR"/>
        </w:rPr>
        <w:t>m</w:t>
      </w:r>
      <w:r w:rsidRPr="004B2498">
        <w:rPr>
          <w:lang w:eastAsia="fr-FR" w:bidi="fr-FR"/>
        </w:rPr>
        <w:t>mandations et des crédits de la Banque mondiale, constitution d’une « communauté de l’eau » après la conférence de Rio en 1992) (K</w:t>
      </w:r>
      <w:r w:rsidRPr="004B2498">
        <w:rPr>
          <w:lang w:eastAsia="fr-FR" w:bidi="fr-FR"/>
        </w:rPr>
        <w:t>a</w:t>
      </w:r>
      <w:r w:rsidRPr="004B2498">
        <w:rPr>
          <w:lang w:eastAsia="fr-FR" w:bidi="fr-FR"/>
        </w:rPr>
        <w:t>mienecki, 1993  ; Meublât, 2001). Il faut prendre en compte toutes ces dimensions pour comprendre aussi bien les conflits liés à la remunic</w:t>
      </w:r>
      <w:r w:rsidRPr="004B2498">
        <w:rPr>
          <w:lang w:eastAsia="fr-FR" w:bidi="fr-FR"/>
        </w:rPr>
        <w:t>i</w:t>
      </w:r>
      <w:r w:rsidRPr="004B2498">
        <w:rPr>
          <w:lang w:eastAsia="fr-FR" w:bidi="fr-FR"/>
        </w:rPr>
        <w:t>palisation à La Paz/El Alto (2004-2007) que les problèmes générés dans la dernière décennie par les effets de la fonte des glaciers bol</w:t>
      </w:r>
      <w:r w:rsidRPr="004B2498">
        <w:rPr>
          <w:lang w:eastAsia="fr-FR" w:bidi="fr-FR"/>
        </w:rPr>
        <w:t>i</w:t>
      </w:r>
      <w:r w:rsidRPr="004B2498">
        <w:rPr>
          <w:lang w:eastAsia="fr-FR" w:bidi="fr-FR"/>
        </w:rPr>
        <w:t>viens (en particulier entre l’organisation des services urbains et les communautés indigènes situées en amont, comme lors de la coupure d’une canalisation desservant La Paz en 2008 (Hardy, 2009). Si l’on veut aller au-delà d’une énumération analytique des agents concernés, la compréhension de leurs luttes locales ou nationales doit ainsi se situer d’emblée à l’articulation des différents niveaux dans lesquels ils agissent - pour cette raison même, l’étude des conflits fonctionne comme une sorte de révélateur des relations entre agents.</w:t>
      </w:r>
    </w:p>
    <w:p w14:paraId="0FB8015B" w14:textId="77777777" w:rsidR="002F4063" w:rsidRPr="004B2498" w:rsidRDefault="002F4063" w:rsidP="002F4063">
      <w:pPr>
        <w:spacing w:before="120" w:after="120"/>
        <w:jc w:val="both"/>
      </w:pPr>
      <w:r w:rsidRPr="004B2498">
        <w:rPr>
          <w:lang w:eastAsia="fr-FR" w:bidi="fr-FR"/>
        </w:rPr>
        <w:t>Une telle grille d’analyse, élaborée à partir du cas de la concession La Paz/El Alto, permet de porter un regard quelque peu différent sur d’autres conflits environnementaux. Pour reprendre l’exemple de la « guerre de l’eau » à Cochabamba en 2000, il n’est possible de sortir des récits héroïques de ce qui a rapidement été qualifié de « révolte plébéienne », qu’en prenant en compte les rapports de force au sein du champ du pouvoir local, et en particulier la mobilisation, depuis pl</w:t>
      </w:r>
      <w:r w:rsidRPr="004B2498">
        <w:rPr>
          <w:lang w:eastAsia="fr-FR" w:bidi="fr-FR"/>
        </w:rPr>
        <w:t>u</w:t>
      </w:r>
      <w:r w:rsidRPr="004B2498">
        <w:rPr>
          <w:lang w:eastAsia="fr-FR" w:bidi="fr-FR"/>
        </w:rPr>
        <w:t>sieurs années déjà, des comités d’irrigation, sur le thème de l’eau. Si la privatisation du service a autant été contestée, c’est parce qu’elle concernait une région historiquement très politisée par les syndicats d’agriculteurs : la pénurie affectant depuis plusieurs années les qua</w:t>
      </w:r>
      <w:r w:rsidRPr="004B2498">
        <w:rPr>
          <w:lang w:eastAsia="fr-FR" w:bidi="fr-FR"/>
        </w:rPr>
        <w:t>r</w:t>
      </w:r>
      <w:r w:rsidRPr="004B2498">
        <w:rPr>
          <w:lang w:eastAsia="fr-FR" w:bidi="fr-FR"/>
        </w:rPr>
        <w:t>tiers périphériques en expansion au sud de la ville avait suscité une expertise technique et juridique destinée à appuyer les demandes des organisations syndicales et des communautés contre les pouvoirs m</w:t>
      </w:r>
      <w:r w:rsidRPr="004B2498">
        <w:rPr>
          <w:lang w:eastAsia="fr-FR" w:bidi="fr-FR"/>
        </w:rPr>
        <w:t>u</w:t>
      </w:r>
      <w:r w:rsidRPr="004B2498">
        <w:rPr>
          <w:lang w:eastAsia="fr-FR" w:bidi="fr-FR"/>
        </w:rPr>
        <w:t>nicipaux  ; des liens avaient été établis avec les fédérations syndicales de travailleurs des fabriques de la ville qui, au moment de la mobilis</w:t>
      </w:r>
      <w:r w:rsidRPr="004B2498">
        <w:rPr>
          <w:lang w:eastAsia="fr-FR" w:bidi="fr-FR"/>
        </w:rPr>
        <w:t>a</w:t>
      </w:r>
      <w:r w:rsidRPr="004B2498">
        <w:rPr>
          <w:lang w:eastAsia="fr-FR" w:bidi="fr-FR"/>
        </w:rPr>
        <w:t>tion, ont offert leurs infrastructures (locaux, logistique, etc.) aux mil</w:t>
      </w:r>
      <w:r w:rsidRPr="004B2498">
        <w:rPr>
          <w:lang w:eastAsia="fr-FR" w:bidi="fr-FR"/>
        </w:rPr>
        <w:t>i</w:t>
      </w:r>
      <w:r w:rsidRPr="004B2498">
        <w:rPr>
          <w:lang w:eastAsia="fr-FR" w:bidi="fr-FR"/>
        </w:rPr>
        <w:t>tants ruraux. L’intervention de l’armée pour débloquer la ville a ensu</w:t>
      </w:r>
      <w:r w:rsidRPr="004B2498">
        <w:rPr>
          <w:lang w:eastAsia="fr-FR" w:bidi="fr-FR"/>
        </w:rPr>
        <w:t>i</w:t>
      </w:r>
      <w:r w:rsidRPr="004B2498">
        <w:rPr>
          <w:lang w:eastAsia="fr-FR" w:bidi="fr-FR"/>
        </w:rPr>
        <w:t>te favorisé le branchement de cette mobilisation sur des thématiques nationales et internationales : la défense d’un service urbain par ai</w:t>
      </w:r>
      <w:r w:rsidRPr="004B2498">
        <w:rPr>
          <w:lang w:eastAsia="fr-FR" w:bidi="fr-FR"/>
        </w:rPr>
        <w:t>l</w:t>
      </w:r>
      <w:r w:rsidRPr="004B2498">
        <w:rPr>
          <w:lang w:eastAsia="fr-FR" w:bidi="fr-FR"/>
        </w:rPr>
        <w:t>leurs déficient est devenue une résistance face aux intrusions du né</w:t>
      </w:r>
      <w:r w:rsidRPr="004B2498">
        <w:rPr>
          <w:lang w:eastAsia="fr-FR" w:bidi="fr-FR"/>
        </w:rPr>
        <w:t>o</w:t>
      </w:r>
      <w:r w:rsidRPr="004B2498">
        <w:rPr>
          <w:lang w:eastAsia="fr-FR" w:bidi="fr-FR"/>
        </w:rPr>
        <w:t>libéralisme et de son bras armé dans le pays : le gouvernement nati</w:t>
      </w:r>
      <w:r w:rsidRPr="004B2498">
        <w:rPr>
          <w:lang w:eastAsia="fr-FR" w:bidi="fr-FR"/>
        </w:rPr>
        <w:t>o</w:t>
      </w:r>
      <w:r w:rsidRPr="004B2498">
        <w:rPr>
          <w:lang w:eastAsia="fr-FR" w:bidi="fr-FR"/>
        </w:rPr>
        <w:t>nal. De même, la seconde « guerre de l’eau » à La Paz/El Alto en 2004-2005, s’explique certes par</w:t>
      </w:r>
      <w:r w:rsidRPr="004B2498">
        <w:t xml:space="preserve"> [102]</w:t>
      </w:r>
      <w:r>
        <w:t xml:space="preserve"> </w:t>
      </w:r>
      <w:r w:rsidRPr="004B2498">
        <w:rPr>
          <w:lang w:eastAsia="fr-FR" w:bidi="fr-FR"/>
        </w:rPr>
        <w:t>l’insuffisante qualité du serv</w:t>
      </w:r>
      <w:r w:rsidRPr="004B2498">
        <w:rPr>
          <w:lang w:eastAsia="fr-FR" w:bidi="fr-FR"/>
        </w:rPr>
        <w:t>i</w:t>
      </w:r>
      <w:r w:rsidRPr="004B2498">
        <w:rPr>
          <w:lang w:eastAsia="fr-FR" w:bidi="fr-FR"/>
        </w:rPr>
        <w:t>ce sur une zone de concession trop restreinte, mais surtout par la structure des opportunités politiques locales et nationales : la Fédér</w:t>
      </w:r>
      <w:r w:rsidRPr="004B2498">
        <w:rPr>
          <w:lang w:eastAsia="fr-FR" w:bidi="fr-FR"/>
        </w:rPr>
        <w:t>a</w:t>
      </w:r>
      <w:r w:rsidRPr="004B2498">
        <w:rPr>
          <w:lang w:eastAsia="fr-FR" w:bidi="fr-FR"/>
        </w:rPr>
        <w:t>tion des comités de quartier (FEJUVE) a vu dans le retour au service public un thème mobilisateur pour asseoir son influence dans la vie politique nationale, après les événements de 2003 (la « guerre du gaz ») qui l’avaient mise au premier plan dans la lutte contre l’exportation privée des hydrocarbures à l’étranger. Comme à Coch</w:t>
      </w:r>
      <w:r w:rsidRPr="004B2498">
        <w:rPr>
          <w:lang w:eastAsia="fr-FR" w:bidi="fr-FR"/>
        </w:rPr>
        <w:t>a</w:t>
      </w:r>
      <w:r w:rsidRPr="004B2498">
        <w:rPr>
          <w:lang w:eastAsia="fr-FR" w:bidi="fr-FR"/>
        </w:rPr>
        <w:t>bamba, le branchement sur les luttes internationales contre les privat</w:t>
      </w:r>
      <w:r w:rsidRPr="004B2498">
        <w:rPr>
          <w:lang w:eastAsia="fr-FR" w:bidi="fr-FR"/>
        </w:rPr>
        <w:t>i</w:t>
      </w:r>
      <w:r w:rsidRPr="004B2498">
        <w:rPr>
          <w:lang w:eastAsia="fr-FR" w:bidi="fr-FR"/>
        </w:rPr>
        <w:t>sations néolibérales s’est fait à travers une configuration locale et n</w:t>
      </w:r>
      <w:r w:rsidRPr="004B2498">
        <w:rPr>
          <w:lang w:eastAsia="fr-FR" w:bidi="fr-FR"/>
        </w:rPr>
        <w:t>a</w:t>
      </w:r>
      <w:r w:rsidRPr="004B2498">
        <w:rPr>
          <w:lang w:eastAsia="fr-FR" w:bidi="fr-FR"/>
        </w:rPr>
        <w:t>tionale spécifique.</w:t>
      </w:r>
    </w:p>
    <w:p w14:paraId="2118B69C" w14:textId="77777777" w:rsidR="002F4063" w:rsidRPr="004B2498" w:rsidRDefault="002F4063" w:rsidP="002F4063">
      <w:pPr>
        <w:spacing w:before="120" w:after="120"/>
        <w:jc w:val="both"/>
        <w:rPr>
          <w:szCs w:val="24"/>
          <w:lang w:eastAsia="fr-FR" w:bidi="fr-FR"/>
        </w:rPr>
      </w:pPr>
    </w:p>
    <w:p w14:paraId="4C223B23" w14:textId="77777777" w:rsidR="002F4063" w:rsidRPr="004B2498" w:rsidRDefault="002F4063" w:rsidP="002F4063">
      <w:pPr>
        <w:pStyle w:val="a"/>
      </w:pPr>
      <w:r w:rsidRPr="004B2498">
        <w:t>Changement d’échelle :</w:t>
      </w:r>
      <w:r w:rsidRPr="004B2498">
        <w:br/>
        <w:t>l’importation du « modèle français de l’eau » en Bolivie</w:t>
      </w:r>
    </w:p>
    <w:p w14:paraId="58439DF5" w14:textId="77777777" w:rsidR="002F4063" w:rsidRPr="004B2498" w:rsidRDefault="002F4063" w:rsidP="002F4063">
      <w:pPr>
        <w:spacing w:before="120" w:after="120"/>
        <w:jc w:val="both"/>
        <w:rPr>
          <w:lang w:eastAsia="fr-FR" w:bidi="fr-FR"/>
        </w:rPr>
      </w:pPr>
    </w:p>
    <w:p w14:paraId="350F9D97" w14:textId="77777777" w:rsidR="002F4063" w:rsidRPr="004B2498" w:rsidRDefault="002F4063" w:rsidP="002F4063">
      <w:pPr>
        <w:spacing w:before="120" w:after="120"/>
        <w:jc w:val="both"/>
      </w:pPr>
      <w:r w:rsidRPr="004B2498">
        <w:rPr>
          <w:lang w:eastAsia="fr-FR" w:bidi="fr-FR"/>
        </w:rPr>
        <w:t>Au synchronisme des approches multiniveaux des problèmes env</w:t>
      </w:r>
      <w:r w:rsidRPr="004B2498">
        <w:rPr>
          <w:lang w:eastAsia="fr-FR" w:bidi="fr-FR"/>
        </w:rPr>
        <w:t>i</w:t>
      </w:r>
      <w:r w:rsidRPr="004B2498">
        <w:rPr>
          <w:lang w:eastAsia="fr-FR" w:bidi="fr-FR"/>
        </w:rPr>
        <w:t xml:space="preserve">ronnementaux et territoriaux, il semble aussi important de rajouter une dimension historique (Barton, 2002 ; Miller, 2007 ; Massard-Guilbaud </w:t>
      </w:r>
      <w:r w:rsidRPr="004B2498">
        <w:t xml:space="preserve">et al., </w:t>
      </w:r>
      <w:r w:rsidRPr="004B2498">
        <w:rPr>
          <w:lang w:eastAsia="fr-FR" w:bidi="fr-FR"/>
        </w:rPr>
        <w:t>2002). La gestion de la ressource en eau et des serv</w:t>
      </w:r>
      <w:r w:rsidRPr="004B2498">
        <w:rPr>
          <w:lang w:eastAsia="fr-FR" w:bidi="fr-FR"/>
        </w:rPr>
        <w:t>i</w:t>
      </w:r>
      <w:r w:rsidRPr="004B2498">
        <w:rPr>
          <w:lang w:eastAsia="fr-FR" w:bidi="fr-FR"/>
        </w:rPr>
        <w:t>ces urbains à La Paz et El Alto renvoie en fait à l’organisation d’un service qui, depuis le début du XX</w:t>
      </w:r>
      <w:r w:rsidRPr="0042399D">
        <w:rPr>
          <w:vertAlign w:val="superscript"/>
          <w:lang w:eastAsia="fr-FR" w:bidi="fr-FR"/>
        </w:rPr>
        <w:t>e</w:t>
      </w:r>
      <w:r w:rsidRPr="004B2498">
        <w:rPr>
          <w:lang w:eastAsia="fr-FR" w:bidi="fr-FR"/>
        </w:rPr>
        <w:t xml:space="preserve"> siècle, a développé un modèle de distribution inspiré des grandes villes européennes, au niveau de sa conception pratique comme de ses présupposés idéologiques (hygiénisme, m</w:t>
      </w:r>
      <w:r w:rsidRPr="004B2498">
        <w:rPr>
          <w:lang w:eastAsia="fr-FR" w:bidi="fr-FR"/>
        </w:rPr>
        <w:t>o</w:t>
      </w:r>
      <w:r w:rsidRPr="004B2498">
        <w:rPr>
          <w:lang w:eastAsia="fr-FR" w:bidi="fr-FR"/>
        </w:rPr>
        <w:t>dernisme, etc.) (Barraqué, 1995). Le « modèle français de l’eau », qui a été appliqué depuis les années 1990 à La Paz, s’est in</w:t>
      </w:r>
      <w:r w:rsidRPr="004B2498">
        <w:rPr>
          <w:lang w:eastAsia="fr-FR" w:bidi="fr-FR"/>
        </w:rPr>
        <w:t>s</w:t>
      </w:r>
      <w:r w:rsidRPr="004B2498">
        <w:rPr>
          <w:lang w:eastAsia="fr-FR" w:bidi="fr-FR"/>
        </w:rPr>
        <w:t>crit dans le prolongement de politiques d’équipement urbain qui, d</w:t>
      </w:r>
      <w:r w:rsidRPr="004B2498">
        <w:rPr>
          <w:lang w:eastAsia="fr-FR" w:bidi="fr-FR"/>
        </w:rPr>
        <w:t>e</w:t>
      </w:r>
      <w:r w:rsidRPr="004B2498">
        <w:rPr>
          <w:lang w:eastAsia="fr-FR" w:bidi="fr-FR"/>
        </w:rPr>
        <w:t>puis l’origine (début du XXe siècle), n’étaient pas forcément les plus adaptées aux conditions sociodémographiques de la ville. Cette prise en compte de l’histoire de la production des espaces urbains, du contrôle des pop</w:t>
      </w:r>
      <w:r w:rsidRPr="004B2498">
        <w:rPr>
          <w:lang w:eastAsia="fr-FR" w:bidi="fr-FR"/>
        </w:rPr>
        <w:t>u</w:t>
      </w:r>
      <w:r w:rsidRPr="004B2498">
        <w:rPr>
          <w:lang w:eastAsia="fr-FR" w:bidi="fr-FR"/>
        </w:rPr>
        <w:t>lations qui y résident, et des services qui leur sont concédés (ou non), permet de voir comment une homogénéisation des modes de gestion (contrat sur faire desservie, prix d’installation et de connexion, etc.) s’est peu à peu imposée contre les organisations co</w:t>
      </w:r>
      <w:r w:rsidRPr="004B2498">
        <w:rPr>
          <w:lang w:eastAsia="fr-FR" w:bidi="fr-FR"/>
        </w:rPr>
        <w:t>o</w:t>
      </w:r>
      <w:r w:rsidRPr="004B2498">
        <w:rPr>
          <w:lang w:eastAsia="fr-FR" w:bidi="fr-FR"/>
        </w:rPr>
        <w:t>pératives locales qui ne constituent plus, aujourd’hui, que des encl</w:t>
      </w:r>
      <w:r w:rsidRPr="004B2498">
        <w:rPr>
          <w:lang w:eastAsia="fr-FR" w:bidi="fr-FR"/>
        </w:rPr>
        <w:t>a</w:t>
      </w:r>
      <w:r w:rsidRPr="004B2498">
        <w:rPr>
          <w:lang w:eastAsia="fr-FR" w:bidi="fr-FR"/>
        </w:rPr>
        <w:t>ves isolées - au prix d’un désajustement économique par rapport aux populations les plus défavorisées, dès lors insolvables et non desse</w:t>
      </w:r>
      <w:r w:rsidRPr="004B2498">
        <w:rPr>
          <w:lang w:eastAsia="fr-FR" w:bidi="fr-FR"/>
        </w:rPr>
        <w:t>r</w:t>
      </w:r>
      <w:r w:rsidRPr="004B2498">
        <w:rPr>
          <w:lang w:eastAsia="fr-FR" w:bidi="fr-FR"/>
        </w:rPr>
        <w:t>vies.</w:t>
      </w:r>
    </w:p>
    <w:p w14:paraId="331D7EAD" w14:textId="77777777" w:rsidR="002F4063" w:rsidRPr="004B2498" w:rsidRDefault="002F4063" w:rsidP="002F4063">
      <w:pPr>
        <w:spacing w:before="120" w:after="120"/>
        <w:jc w:val="both"/>
      </w:pPr>
      <w:r w:rsidRPr="004B2498">
        <w:rPr>
          <w:lang w:eastAsia="fr-FR" w:bidi="fr-FR"/>
        </w:rPr>
        <w:t>Ce niveau des territoires urbains est aussi inséparable des polit</w:t>
      </w:r>
      <w:r w:rsidRPr="004B2498">
        <w:rPr>
          <w:lang w:eastAsia="fr-FR" w:bidi="fr-FR"/>
        </w:rPr>
        <w:t>i</w:t>
      </w:r>
      <w:r w:rsidRPr="004B2498">
        <w:rPr>
          <w:lang w:eastAsia="fr-FR" w:bidi="fr-FR"/>
        </w:rPr>
        <w:t>ques sectorielles menées au niveau national (Bakker, 2003 ; Sassen, 2006) : les politiques de gestion des ressources naturelles ont toujours subi l’influence de modèles extérieurs qui se sont imposés à elles, en lien avec les grandes tendances de l’économie et de la politique inte</w:t>
      </w:r>
      <w:r w:rsidRPr="004B2498">
        <w:rPr>
          <w:lang w:eastAsia="fr-FR" w:bidi="fr-FR"/>
        </w:rPr>
        <w:t>r</w:t>
      </w:r>
      <w:r w:rsidRPr="004B2498">
        <w:rPr>
          <w:lang w:eastAsia="fr-FR" w:bidi="fr-FR"/>
        </w:rPr>
        <w:t>nationales (Weyland, 2004) : c’était vrai au début du XX</w:t>
      </w:r>
      <w:r w:rsidRPr="0042399D">
        <w:rPr>
          <w:vertAlign w:val="superscript"/>
          <w:lang w:eastAsia="fr-FR" w:bidi="fr-FR"/>
        </w:rPr>
        <w:t>e</w:t>
      </w:r>
      <w:r w:rsidRPr="004B2498">
        <w:rPr>
          <w:lang w:eastAsia="fr-FR" w:bidi="fr-FR"/>
        </w:rPr>
        <w:t xml:space="preserve"> siècle avec l’ère libérale qui a présidé à une « modernisation » de la ville, et qui a instauré une ère « postcoloniale » (qui se poursuivra jusqu’à nos jours) d’invisibilisation des populations indigènes au sein des espaces urbains en construction  ; cela l’était aussi dans les</w:t>
      </w:r>
      <w:r>
        <w:t xml:space="preserve"> </w:t>
      </w:r>
      <w:r w:rsidRPr="004B2498">
        <w:t>[103]</w:t>
      </w:r>
      <w:r>
        <w:t xml:space="preserve"> </w:t>
      </w:r>
      <w:r w:rsidRPr="004B2498">
        <w:rPr>
          <w:lang w:eastAsia="fr-FR" w:bidi="fr-FR"/>
        </w:rPr>
        <w:t>années 1980-1990 avec les tentatives d’exportation du « modèle français de l’eau » qui n’aurait pas eu autant d’emprise sans le soutien des gouvern</w:t>
      </w:r>
      <w:r w:rsidRPr="004B2498">
        <w:rPr>
          <w:lang w:eastAsia="fr-FR" w:bidi="fr-FR"/>
        </w:rPr>
        <w:t>e</w:t>
      </w:r>
      <w:r w:rsidRPr="004B2498">
        <w:rPr>
          <w:lang w:eastAsia="fr-FR" w:bidi="fr-FR"/>
        </w:rPr>
        <w:t>ments nationaux  ; cela le reste aujourd’hui avec la construction, d</w:t>
      </w:r>
      <w:r w:rsidRPr="004B2498">
        <w:rPr>
          <w:lang w:eastAsia="fr-FR" w:bidi="fr-FR"/>
        </w:rPr>
        <w:t>e</w:t>
      </w:r>
      <w:r w:rsidRPr="004B2498">
        <w:rPr>
          <w:lang w:eastAsia="fr-FR" w:bidi="fr-FR"/>
        </w:rPr>
        <w:t>puis une vingtaine d’années au niveau mondial, d’une « communauté de l’eau » au sein de laquelle gouvernements, entreprises transnation</w:t>
      </w:r>
      <w:r w:rsidRPr="004B2498">
        <w:rPr>
          <w:lang w:eastAsia="fr-FR" w:bidi="fr-FR"/>
        </w:rPr>
        <w:t>a</w:t>
      </w:r>
      <w:r w:rsidRPr="004B2498">
        <w:rPr>
          <w:lang w:eastAsia="fr-FR" w:bidi="fr-FR"/>
        </w:rPr>
        <w:t>les, institutions internationales, mais aussi ONG et mouvements s</w:t>
      </w:r>
      <w:r w:rsidRPr="004B2498">
        <w:rPr>
          <w:lang w:eastAsia="fr-FR" w:bidi="fr-FR"/>
        </w:rPr>
        <w:t>o</w:t>
      </w:r>
      <w:r w:rsidRPr="004B2498">
        <w:rPr>
          <w:lang w:eastAsia="fr-FR" w:bidi="fr-FR"/>
        </w:rPr>
        <w:t>ciaux (à l’image du porte-parole de la Coordination pour l’eau en 2000 à Cochabamba, Oscar Olivera), luttent pour imposer les princ</w:t>
      </w:r>
      <w:r w:rsidRPr="004B2498">
        <w:rPr>
          <w:lang w:eastAsia="fr-FR" w:bidi="fr-FR"/>
        </w:rPr>
        <w:t>i</w:t>
      </w:r>
      <w:r w:rsidRPr="004B2498">
        <w:rPr>
          <w:lang w:eastAsia="fr-FR" w:bidi="fr-FR"/>
        </w:rPr>
        <w:t>pes d’une gestion de la ressource et des services qui s’écartent diffic</w:t>
      </w:r>
      <w:r w:rsidRPr="004B2498">
        <w:rPr>
          <w:lang w:eastAsia="fr-FR" w:bidi="fr-FR"/>
        </w:rPr>
        <w:t>i</w:t>
      </w:r>
      <w:r w:rsidRPr="004B2498">
        <w:rPr>
          <w:lang w:eastAsia="fr-FR" w:bidi="fr-FR"/>
        </w:rPr>
        <w:t>lement des modèles antérieurs, avec notamment des politiques de « participation communautaire » inaugurés dans les a</w:t>
      </w:r>
      <w:r w:rsidRPr="004B2498">
        <w:rPr>
          <w:lang w:eastAsia="fr-FR" w:bidi="fr-FR"/>
        </w:rPr>
        <w:t>n</w:t>
      </w:r>
      <w:r w:rsidRPr="004B2498">
        <w:rPr>
          <w:lang w:eastAsia="fr-FR" w:bidi="fr-FR"/>
        </w:rPr>
        <w:t>nées 1990, et qui contribuent en réalité à instituer des services à deux vitesses (J</w:t>
      </w:r>
      <w:r w:rsidRPr="004B2498">
        <w:rPr>
          <w:lang w:eastAsia="fr-FR" w:bidi="fr-FR"/>
        </w:rPr>
        <w:t>a</w:t>
      </w:r>
      <w:r w:rsidRPr="004B2498">
        <w:rPr>
          <w:lang w:eastAsia="fr-FR" w:bidi="fr-FR"/>
        </w:rPr>
        <w:t>glin, 2001 ; Swingedow, 2001), ou plus généralement des modes d’organisation inadaptés aux styles de vie des populations l</w:t>
      </w:r>
      <w:r w:rsidRPr="004B2498">
        <w:rPr>
          <w:lang w:eastAsia="fr-FR" w:bidi="fr-FR"/>
        </w:rPr>
        <w:t>o</w:t>
      </w:r>
      <w:r w:rsidRPr="004B2498">
        <w:rPr>
          <w:lang w:eastAsia="fr-FR" w:bidi="fr-FR"/>
        </w:rPr>
        <w:t>cales (Poupeau &amp; Gonzales, 2010), etc.</w:t>
      </w:r>
    </w:p>
    <w:p w14:paraId="0D917E01" w14:textId="77777777" w:rsidR="002F4063" w:rsidRPr="004B2498" w:rsidRDefault="002F4063" w:rsidP="002F4063">
      <w:pPr>
        <w:pStyle w:val="c"/>
      </w:pPr>
      <w:r w:rsidRPr="004B2498">
        <w:rPr>
          <w:lang w:eastAsia="fr-FR" w:bidi="fr-FR"/>
        </w:rPr>
        <w:t>*</w:t>
      </w:r>
    </w:p>
    <w:p w14:paraId="219BA6F6" w14:textId="77777777" w:rsidR="002F4063" w:rsidRPr="004B2498" w:rsidRDefault="002F4063" w:rsidP="002F4063">
      <w:pPr>
        <w:spacing w:before="120" w:after="120"/>
        <w:jc w:val="both"/>
      </w:pPr>
      <w:r w:rsidRPr="004B2498">
        <w:rPr>
          <w:lang w:eastAsia="fr-FR" w:bidi="fr-FR"/>
        </w:rPr>
        <w:t>À l'inverse des approches en termes de gouvernance, une analyse multiniveaux des problèmes environnementaux permet de prendre en compte l’articulation des différentes échelles d’action intervenant dans la régulation des ressources naturelles et des services urbains, et les conflits qui sont générés par cette articulation  ; replacée dans une perspective historique, elle ouvre la possibilité de discuter la pertine</w:t>
      </w:r>
      <w:r w:rsidRPr="004B2498">
        <w:rPr>
          <w:lang w:eastAsia="fr-FR" w:bidi="fr-FR"/>
        </w:rPr>
        <w:t>n</w:t>
      </w:r>
      <w:r w:rsidRPr="004B2498">
        <w:rPr>
          <w:lang w:eastAsia="fr-FR" w:bidi="fr-FR"/>
        </w:rPr>
        <w:t>ce des modèles de gestion mis en œuvre, au croisement des normes internationales, des politiques publiques nationales, des administr</w:t>
      </w:r>
      <w:r w:rsidRPr="004B2498">
        <w:rPr>
          <w:lang w:eastAsia="fr-FR" w:bidi="fr-FR"/>
        </w:rPr>
        <w:t>a</w:t>
      </w:r>
      <w:r w:rsidRPr="004B2498">
        <w:rPr>
          <w:lang w:eastAsia="fr-FR" w:bidi="fr-FR"/>
        </w:rPr>
        <w:t>tions locales, de l’organisation des espaces urbains et des mouvements sociaux. Dans des cas où la notion de champ ne peut pas forcément s’appliquer, en raison de la diversité des échelles (du local au global, ce que d’aucuns appellent le « glocal »), ou du caractère encore trop récent et trop éclaté d’une « communauté épistémique » comme celle de l’eau, la notion de régulation multiniveaux permet néanmoins de conserver des principes d’analyse relationnels, susceptibles de prendre en compte la définition différentielle et conflictuelle des positions et des prises de position des agents concernés. Elle permet surtout de développer une approche compréhensive des conflits environneme</w:t>
      </w:r>
      <w:r w:rsidRPr="004B2498">
        <w:rPr>
          <w:lang w:eastAsia="fr-FR" w:bidi="fr-FR"/>
        </w:rPr>
        <w:t>n</w:t>
      </w:r>
      <w:r w:rsidRPr="004B2498">
        <w:rPr>
          <w:lang w:eastAsia="fr-FR" w:bidi="fr-FR"/>
        </w:rPr>
        <w:t>taux, sans perdre de vue leur articulation avec des enjeux plus gl</w:t>
      </w:r>
      <w:r w:rsidRPr="004B2498">
        <w:rPr>
          <w:lang w:eastAsia="fr-FR" w:bidi="fr-FR"/>
        </w:rPr>
        <w:t>o</w:t>
      </w:r>
      <w:r w:rsidRPr="004B2498">
        <w:rPr>
          <w:lang w:eastAsia="fr-FR" w:bidi="fr-FR"/>
        </w:rPr>
        <w:t>baux, et des luttes plus internationales.</w:t>
      </w:r>
    </w:p>
    <w:p w14:paraId="6B60E07D" w14:textId="77777777" w:rsidR="002F4063" w:rsidRPr="0042399D" w:rsidRDefault="002F4063" w:rsidP="002F4063">
      <w:pPr>
        <w:spacing w:before="120" w:after="120"/>
        <w:jc w:val="both"/>
      </w:pPr>
    </w:p>
    <w:p w14:paraId="7E91134B" w14:textId="77777777" w:rsidR="002F4063" w:rsidRPr="004B2498" w:rsidRDefault="002F4063" w:rsidP="002F4063">
      <w:pPr>
        <w:pStyle w:val="a"/>
      </w:pPr>
      <w:r w:rsidRPr="0042399D">
        <w:t>Références bibliographiques</w:t>
      </w:r>
    </w:p>
    <w:p w14:paraId="1E9E1611" w14:textId="77777777" w:rsidR="002F4063" w:rsidRPr="0042399D" w:rsidRDefault="002F4063" w:rsidP="002F4063">
      <w:pPr>
        <w:spacing w:before="120" w:after="120"/>
        <w:jc w:val="both"/>
      </w:pPr>
    </w:p>
    <w:p w14:paraId="31C13A5B" w14:textId="77777777" w:rsidR="002F4063" w:rsidRPr="004B2498" w:rsidRDefault="002F4063" w:rsidP="002F4063">
      <w:pPr>
        <w:spacing w:before="120" w:after="120"/>
        <w:jc w:val="both"/>
      </w:pPr>
      <w:r w:rsidRPr="00122DDE">
        <w:t xml:space="preserve">Bakker </w:t>
      </w:r>
      <w:r w:rsidRPr="004B2498">
        <w:t>Karen, 2003 : “Archipelagos and Networks : Urbaniz</w:t>
      </w:r>
      <w:r w:rsidRPr="004B2498">
        <w:t>a</w:t>
      </w:r>
      <w:r w:rsidRPr="004B2498">
        <w:t xml:space="preserve">tion and Water Privatization in the South”, </w:t>
      </w:r>
      <w:r w:rsidRPr="00171D66">
        <w:rPr>
          <w:i/>
        </w:rPr>
        <w:t>The Geographical Journal</w:t>
      </w:r>
      <w:r w:rsidRPr="004B2498">
        <w:t>, 169 (4), p. 328-341.</w:t>
      </w:r>
    </w:p>
    <w:p w14:paraId="5CE88707" w14:textId="77777777" w:rsidR="002F4063" w:rsidRPr="004B2498" w:rsidRDefault="002F4063" w:rsidP="002F4063">
      <w:pPr>
        <w:spacing w:before="120" w:after="120"/>
        <w:jc w:val="both"/>
      </w:pPr>
      <w:r w:rsidRPr="004B2498">
        <w:t xml:space="preserve">BANQUE MONDIALE, 2009 : « Stratégie de la Banque mondiale pour les villes et les collectivités territoriales », Note conceptuelle et de synthèse. </w:t>
      </w:r>
      <w:r>
        <w:t xml:space="preserve"> </w:t>
      </w:r>
      <w:r w:rsidRPr="004B2498">
        <w:t>[104]</w:t>
      </w:r>
      <w:r>
        <w:t xml:space="preserve"> </w:t>
      </w:r>
      <w:r w:rsidRPr="004B2498">
        <w:t>Département Finances, Economie &amp; Développ</w:t>
      </w:r>
      <w:r w:rsidRPr="004B2498">
        <w:t>e</w:t>
      </w:r>
      <w:r w:rsidRPr="004B2498">
        <w:t>ment urbain, R</w:t>
      </w:r>
      <w:r w:rsidRPr="004B2498">
        <w:t>é</w:t>
      </w:r>
      <w:r w:rsidRPr="004B2498">
        <w:t>seau Développement Durable.</w:t>
      </w:r>
    </w:p>
    <w:p w14:paraId="5F910CCE" w14:textId="77777777" w:rsidR="002F4063" w:rsidRPr="004B2498" w:rsidRDefault="002F4063" w:rsidP="002F4063">
      <w:pPr>
        <w:spacing w:before="120" w:after="120"/>
        <w:jc w:val="both"/>
      </w:pPr>
      <w:r w:rsidRPr="00122DDE">
        <w:t xml:space="preserve">BARRAQUÉ </w:t>
      </w:r>
      <w:r w:rsidRPr="004B2498">
        <w:t xml:space="preserve">Bernard (éd.), 1995 : </w:t>
      </w:r>
      <w:r w:rsidRPr="00171D66">
        <w:rPr>
          <w:i/>
        </w:rPr>
        <w:t>Les Politiques de l’eau en E</w:t>
      </w:r>
      <w:r w:rsidRPr="00171D66">
        <w:rPr>
          <w:i/>
        </w:rPr>
        <w:t>u</w:t>
      </w:r>
      <w:r w:rsidRPr="00171D66">
        <w:rPr>
          <w:i/>
        </w:rPr>
        <w:t>rope</w:t>
      </w:r>
      <w:r w:rsidRPr="004B2498">
        <w:t>, Paris, La Découverte.</w:t>
      </w:r>
    </w:p>
    <w:p w14:paraId="5AA51EF0" w14:textId="77777777" w:rsidR="002F4063" w:rsidRPr="004B2498" w:rsidRDefault="002F4063" w:rsidP="002F4063">
      <w:pPr>
        <w:spacing w:before="120" w:after="120"/>
        <w:jc w:val="both"/>
      </w:pPr>
      <w:r w:rsidRPr="00122DDE">
        <w:t xml:space="preserve">BARTON </w:t>
      </w:r>
      <w:r w:rsidRPr="004B2498">
        <w:t xml:space="preserve">Gregory A., 2002 : </w:t>
      </w:r>
      <w:r w:rsidRPr="00171D66">
        <w:rPr>
          <w:i/>
        </w:rPr>
        <w:t>Empire forestry and the origins of environmentalism</w:t>
      </w:r>
      <w:r w:rsidRPr="004B2498">
        <w:t>, Cambridge &amp; New York, Cambridge Univers</w:t>
      </w:r>
      <w:r w:rsidRPr="004B2498">
        <w:t>i</w:t>
      </w:r>
      <w:r w:rsidRPr="004B2498">
        <w:t>ty Press.</w:t>
      </w:r>
    </w:p>
    <w:p w14:paraId="0BA0D0CE" w14:textId="77777777" w:rsidR="002F4063" w:rsidRPr="004B2498" w:rsidRDefault="002F4063" w:rsidP="002F4063">
      <w:pPr>
        <w:spacing w:before="120" w:after="120"/>
        <w:jc w:val="both"/>
      </w:pPr>
      <w:r w:rsidRPr="00122DDE">
        <w:t xml:space="preserve">Bonin </w:t>
      </w:r>
      <w:r w:rsidRPr="004B2498">
        <w:t xml:space="preserve">Hubert, 2005 : « Le modèle français du capitalisme de l’eau dans la compétition européenne et mondiale depuis les années 1990 », </w:t>
      </w:r>
      <w:r w:rsidRPr="00171D66">
        <w:rPr>
          <w:i/>
        </w:rPr>
        <w:t>Sciences de la société</w:t>
      </w:r>
      <w:r w:rsidRPr="004B2498">
        <w:t>, n° 64, p. 55-74.</w:t>
      </w:r>
    </w:p>
    <w:p w14:paraId="33772CBA" w14:textId="77777777" w:rsidR="002F4063" w:rsidRPr="004B2498" w:rsidRDefault="002F4063" w:rsidP="002F4063">
      <w:pPr>
        <w:spacing w:before="120" w:after="120"/>
        <w:jc w:val="both"/>
      </w:pPr>
      <w:r w:rsidRPr="00122DDE">
        <w:t xml:space="preserve">CASTEL </w:t>
      </w:r>
      <w:r w:rsidRPr="004B2498">
        <w:t xml:space="preserve">Robert, 2009 : </w:t>
      </w:r>
      <w:r w:rsidRPr="00171D66">
        <w:rPr>
          <w:i/>
        </w:rPr>
        <w:t>La montée des incertitudes. Travail, prote</w:t>
      </w:r>
      <w:r w:rsidRPr="00171D66">
        <w:rPr>
          <w:i/>
        </w:rPr>
        <w:t>c</w:t>
      </w:r>
      <w:r w:rsidRPr="00171D66">
        <w:rPr>
          <w:i/>
        </w:rPr>
        <w:t>tions, statut des individus</w:t>
      </w:r>
      <w:r w:rsidRPr="004B2498">
        <w:t>, Paris, Seuil.</w:t>
      </w:r>
    </w:p>
    <w:p w14:paraId="7DFBB6C1" w14:textId="77777777" w:rsidR="002F4063" w:rsidRPr="004B2498" w:rsidRDefault="002F4063" w:rsidP="002F4063">
      <w:pPr>
        <w:spacing w:before="120" w:after="120"/>
        <w:jc w:val="both"/>
      </w:pPr>
      <w:r w:rsidRPr="00122DDE">
        <w:t xml:space="preserve">DabÈNE </w:t>
      </w:r>
      <w:r w:rsidRPr="004B2498">
        <w:t>Olivier, 2006 : « Existe-t-il une gouvernance multin</w:t>
      </w:r>
      <w:r w:rsidRPr="004B2498">
        <w:t>i</w:t>
      </w:r>
      <w:r w:rsidRPr="004B2498">
        <w:t xml:space="preserve">veaux dans les Amériques ? », </w:t>
      </w:r>
      <w:r w:rsidRPr="00171D66">
        <w:rPr>
          <w:i/>
        </w:rPr>
        <w:t>Visages d’Amérique</w:t>
      </w:r>
      <w:r w:rsidRPr="004B2498">
        <w:t xml:space="preserve"> latine, n° 3, p. 8-16.</w:t>
      </w:r>
    </w:p>
    <w:p w14:paraId="3C9F0C7D" w14:textId="77777777" w:rsidR="002F4063" w:rsidRPr="004B2498" w:rsidRDefault="002F4063" w:rsidP="002F4063">
      <w:pPr>
        <w:spacing w:before="120" w:after="120"/>
        <w:jc w:val="both"/>
      </w:pPr>
      <w:r w:rsidRPr="00122DDE">
        <w:t xml:space="preserve">Diamond </w:t>
      </w:r>
      <w:r w:rsidRPr="004B2498">
        <w:t xml:space="preserve">Jared, 2006 : </w:t>
      </w:r>
      <w:r w:rsidRPr="00171D66">
        <w:rPr>
          <w:i/>
        </w:rPr>
        <w:t>Effondrement</w:t>
      </w:r>
      <w:r w:rsidRPr="004B2498">
        <w:t>, Paris, Gallimard.</w:t>
      </w:r>
    </w:p>
    <w:p w14:paraId="3CAEF359" w14:textId="77777777" w:rsidR="002F4063" w:rsidRPr="004B2498" w:rsidRDefault="002F4063" w:rsidP="002F4063">
      <w:pPr>
        <w:spacing w:before="120" w:after="120"/>
        <w:jc w:val="both"/>
      </w:pPr>
      <w:r w:rsidRPr="00122DDE">
        <w:t xml:space="preserve">DOERN </w:t>
      </w:r>
      <w:r w:rsidRPr="004B2498">
        <w:t xml:space="preserve">Bruce &amp; </w:t>
      </w:r>
      <w:r w:rsidRPr="00122DDE">
        <w:t xml:space="preserve">JOHNSON </w:t>
      </w:r>
      <w:r w:rsidRPr="004B2498">
        <w:t xml:space="preserve">Robert (eds.), 2006 : </w:t>
      </w:r>
      <w:r w:rsidRPr="00171D66">
        <w:rPr>
          <w:i/>
        </w:rPr>
        <w:t>Rules, Rides, Rules, Rules. Multi-Level Regulatory Governance</w:t>
      </w:r>
      <w:r w:rsidRPr="004B2498">
        <w:t>, University of T</w:t>
      </w:r>
      <w:r w:rsidRPr="004B2498">
        <w:t>o</w:t>
      </w:r>
      <w:r w:rsidRPr="004B2498">
        <w:t>ronto Press.</w:t>
      </w:r>
    </w:p>
    <w:p w14:paraId="1EBA724E" w14:textId="77777777" w:rsidR="002F4063" w:rsidRPr="004B2498" w:rsidRDefault="002F4063" w:rsidP="002F4063">
      <w:pPr>
        <w:spacing w:before="120" w:after="120"/>
        <w:jc w:val="both"/>
      </w:pPr>
      <w:r w:rsidRPr="004B2498">
        <w:t xml:space="preserve">DUMOULIN David, 2005 : « Les politiques de conservation de la nature en Amérique latine : au cœur de l’internationalisation et de la convergence des ordres politiques », </w:t>
      </w:r>
      <w:r w:rsidRPr="00171D66">
        <w:rPr>
          <w:i/>
        </w:rPr>
        <w:t>Revista de la CEPAL</w:t>
      </w:r>
      <w:r w:rsidRPr="004B2498">
        <w:t>, numéro spécial (juin), p. 71-85.</w:t>
      </w:r>
    </w:p>
    <w:p w14:paraId="71BFCD0F" w14:textId="77777777" w:rsidR="002F4063" w:rsidRPr="004B2498" w:rsidRDefault="002F4063" w:rsidP="002F4063">
      <w:pPr>
        <w:spacing w:before="120" w:after="120"/>
        <w:jc w:val="both"/>
      </w:pPr>
      <w:r w:rsidRPr="004B2498">
        <w:t xml:space="preserve">EL-HINNAWI Essam, 1985 : </w:t>
      </w:r>
      <w:r w:rsidRPr="00171D66">
        <w:rPr>
          <w:i/>
        </w:rPr>
        <w:t>Environmental refugees</w:t>
      </w:r>
      <w:r w:rsidRPr="004B2498">
        <w:t>, New York, Banque mondiale.</w:t>
      </w:r>
    </w:p>
    <w:p w14:paraId="662AB787" w14:textId="77777777" w:rsidR="002F4063" w:rsidRPr="004B2498" w:rsidRDefault="002F4063" w:rsidP="002F4063">
      <w:pPr>
        <w:spacing w:before="120" w:after="120"/>
        <w:jc w:val="both"/>
      </w:pPr>
      <w:r w:rsidRPr="00122DDE">
        <w:t xml:space="preserve">FONTAINE Guillaume, 2009 : </w:t>
      </w:r>
      <w:r w:rsidRPr="00171D66">
        <w:rPr>
          <w:i/>
        </w:rPr>
        <w:t>El precio del petróleo. Conflictos socio-ambiéntales y gobernabilidad en la région amazónica</w:t>
      </w:r>
      <w:r w:rsidRPr="004B2498">
        <w:t xml:space="preserve">, </w:t>
      </w:r>
      <w:r w:rsidRPr="00122DDE">
        <w:t>Quito, Flacso Ecuador.</w:t>
      </w:r>
    </w:p>
    <w:p w14:paraId="0FCF9248" w14:textId="77777777" w:rsidR="002F4063" w:rsidRPr="004B2498" w:rsidRDefault="002F4063" w:rsidP="002F4063">
      <w:pPr>
        <w:spacing w:before="120" w:after="120"/>
        <w:jc w:val="both"/>
      </w:pPr>
      <w:r w:rsidRPr="00122DDE">
        <w:t xml:space="preserve">Hardy </w:t>
      </w:r>
      <w:r w:rsidRPr="004B2498">
        <w:t xml:space="preserve">Sébastien, 2009 : « Ruptura del aprovisionamiento de agua potable. Sistema Hampaturi-Pampahasi, La Paz, enero-febrero 2008 », </w:t>
      </w:r>
      <w:r w:rsidRPr="00171D66">
        <w:rPr>
          <w:i/>
        </w:rPr>
        <w:t>Bulletin de l'Institut Français d'Etudes Andines</w:t>
      </w:r>
      <w:r w:rsidRPr="004B2498">
        <w:t>, 38 (3), p. 545-560.</w:t>
      </w:r>
    </w:p>
    <w:p w14:paraId="292B9EA3" w14:textId="77777777" w:rsidR="002F4063" w:rsidRPr="004B2498" w:rsidRDefault="002F4063" w:rsidP="002F4063">
      <w:pPr>
        <w:spacing w:before="120" w:after="120"/>
        <w:jc w:val="both"/>
      </w:pPr>
      <w:r w:rsidRPr="004B2498">
        <w:t xml:space="preserve">HOOGUE Liesbet &amp; MARKS Gary, 2001 : </w:t>
      </w:r>
      <w:r w:rsidRPr="00171D66">
        <w:rPr>
          <w:i/>
        </w:rPr>
        <w:t>Multi-Level Gove</w:t>
      </w:r>
      <w:r w:rsidRPr="00171D66">
        <w:rPr>
          <w:i/>
        </w:rPr>
        <w:t>r</w:t>
      </w:r>
      <w:r w:rsidRPr="00171D66">
        <w:rPr>
          <w:i/>
        </w:rPr>
        <w:t>nance and European Integration</w:t>
      </w:r>
      <w:r w:rsidRPr="004B2498">
        <w:t>, Bruxelles et New-York, Inc. Ro</w:t>
      </w:r>
      <w:r w:rsidRPr="004B2498">
        <w:t>w</w:t>
      </w:r>
      <w:r w:rsidRPr="004B2498">
        <w:t>man and Littlefield Publishers.</w:t>
      </w:r>
    </w:p>
    <w:p w14:paraId="09719BD3" w14:textId="77777777" w:rsidR="002F4063" w:rsidRPr="004B2498" w:rsidRDefault="002F4063" w:rsidP="002F4063">
      <w:pPr>
        <w:spacing w:before="120" w:after="120"/>
        <w:jc w:val="both"/>
      </w:pPr>
      <w:r w:rsidRPr="004B2498">
        <w:t>HUGON Philippe, 2007 : « Vers une nouvelle forme de gouve</w:t>
      </w:r>
      <w:r w:rsidRPr="004B2498">
        <w:t>r</w:t>
      </w:r>
      <w:r w:rsidRPr="004B2498">
        <w:t xml:space="preserve">nance de l’eau en Afrique et en Amérique latine », </w:t>
      </w:r>
      <w:r w:rsidRPr="00171D66">
        <w:rPr>
          <w:i/>
        </w:rPr>
        <w:t>Revue internati</w:t>
      </w:r>
      <w:r w:rsidRPr="00171D66">
        <w:rPr>
          <w:i/>
        </w:rPr>
        <w:t>o</w:t>
      </w:r>
      <w:r w:rsidRPr="00171D66">
        <w:rPr>
          <w:i/>
        </w:rPr>
        <w:t>nale et stratégique</w:t>
      </w:r>
      <w:r w:rsidRPr="004B2498">
        <w:t>, n° 66, dossier : « L’or bleu, nouvel enjeu géopol</w:t>
      </w:r>
      <w:r w:rsidRPr="004B2498">
        <w:t>i</w:t>
      </w:r>
      <w:r w:rsidRPr="004B2498">
        <w:t>tique ? », p. 64-77.</w:t>
      </w:r>
    </w:p>
    <w:p w14:paraId="6673A180" w14:textId="77777777" w:rsidR="002F4063" w:rsidRPr="004B2498" w:rsidRDefault="002F4063" w:rsidP="002F4063">
      <w:pPr>
        <w:spacing w:before="120" w:after="120"/>
        <w:jc w:val="both"/>
      </w:pPr>
      <w:r w:rsidRPr="004B2498">
        <w:t>JAGLIN Sylvy, 2001 : « L’eau potable dans les villes en dévelo</w:t>
      </w:r>
      <w:r w:rsidRPr="004B2498">
        <w:t>p</w:t>
      </w:r>
      <w:r w:rsidRPr="004B2498">
        <w:t xml:space="preserve">pement. Les modèles marchands face à la pauvreté », </w:t>
      </w:r>
      <w:r w:rsidRPr="00171D66">
        <w:rPr>
          <w:i/>
        </w:rPr>
        <w:t>Revue Tiers Monde</w:t>
      </w:r>
      <w:r w:rsidRPr="004B2498">
        <w:t xml:space="preserve">, t. XLII, n° 166, p. 275-303. </w:t>
      </w:r>
    </w:p>
    <w:p w14:paraId="7D07A003" w14:textId="77777777" w:rsidR="002F4063" w:rsidRPr="004B2498" w:rsidRDefault="002F4063" w:rsidP="002F4063">
      <w:pPr>
        <w:spacing w:before="120" w:after="120"/>
        <w:jc w:val="both"/>
      </w:pPr>
      <w:r w:rsidRPr="004B2498">
        <w:t>[105]</w:t>
      </w:r>
    </w:p>
    <w:p w14:paraId="28927E3D" w14:textId="77777777" w:rsidR="002F4063" w:rsidRPr="004B2498" w:rsidRDefault="002F4063" w:rsidP="002F4063">
      <w:pPr>
        <w:spacing w:before="120" w:after="120"/>
        <w:jc w:val="both"/>
      </w:pPr>
      <w:r w:rsidRPr="00122DDE">
        <w:t xml:space="preserve">KAMIENECKI </w:t>
      </w:r>
      <w:r w:rsidRPr="004B2498">
        <w:t xml:space="preserve">Sheldon, 1993 : </w:t>
      </w:r>
      <w:r w:rsidRPr="00171D66">
        <w:rPr>
          <w:i/>
        </w:rPr>
        <w:t>Environmental Politics in the I</w:t>
      </w:r>
      <w:r w:rsidRPr="00171D66">
        <w:rPr>
          <w:i/>
        </w:rPr>
        <w:t>n</w:t>
      </w:r>
      <w:r w:rsidRPr="00171D66">
        <w:rPr>
          <w:i/>
        </w:rPr>
        <w:t>ternational Area. Movements, Parties, Organizations and Policy</w:t>
      </w:r>
      <w:r w:rsidRPr="004B2498">
        <w:t>, A</w:t>
      </w:r>
      <w:r w:rsidRPr="004B2498">
        <w:t>l</w:t>
      </w:r>
      <w:r w:rsidRPr="004B2498">
        <w:t>bany State, University of New York Press.</w:t>
      </w:r>
    </w:p>
    <w:p w14:paraId="1701BA69" w14:textId="77777777" w:rsidR="002F4063" w:rsidRPr="004B2498" w:rsidRDefault="002F4063" w:rsidP="002F4063">
      <w:pPr>
        <w:spacing w:before="120" w:after="120"/>
        <w:jc w:val="both"/>
      </w:pPr>
      <w:r w:rsidRPr="00122DDE">
        <w:t xml:space="preserve">LASCOUMES </w:t>
      </w:r>
      <w:r w:rsidRPr="004B2498">
        <w:t xml:space="preserve">Pierre (dir.) : 1999, </w:t>
      </w:r>
      <w:r w:rsidRPr="00171D66">
        <w:rPr>
          <w:i/>
        </w:rPr>
        <w:t>Instituer l’environnement. Vingt-cinq ans d’administration de l’environnement</w:t>
      </w:r>
      <w:r w:rsidRPr="004B2498">
        <w:t>, Paris, L’Harmattan.</w:t>
      </w:r>
    </w:p>
    <w:p w14:paraId="3859163A" w14:textId="77777777" w:rsidR="002F4063" w:rsidRPr="004B2498" w:rsidRDefault="002F4063" w:rsidP="002F4063">
      <w:pPr>
        <w:spacing w:before="120" w:after="120"/>
        <w:jc w:val="both"/>
      </w:pPr>
      <w:r w:rsidRPr="00122DDE">
        <w:t xml:space="preserve">MAGNINY </w:t>
      </w:r>
      <w:r w:rsidRPr="004B2498">
        <w:t xml:space="preserve">Véronique, 1999 : </w:t>
      </w:r>
      <w:r w:rsidRPr="00171D66">
        <w:rPr>
          <w:i/>
        </w:rPr>
        <w:t>Les réfugiés de l’environnement — Hypothèse juridique à propos d’une menace écologique</w:t>
      </w:r>
      <w:r w:rsidRPr="004B2498">
        <w:t>, Thèse de Do</w:t>
      </w:r>
      <w:r w:rsidRPr="004B2498">
        <w:t>c</w:t>
      </w:r>
      <w:r w:rsidRPr="004B2498">
        <w:t>torat, Université Paris 1,646 pages.</w:t>
      </w:r>
    </w:p>
    <w:p w14:paraId="4CB67EDE" w14:textId="77777777" w:rsidR="002F4063" w:rsidRPr="004B2498" w:rsidRDefault="002F4063" w:rsidP="002F4063">
      <w:pPr>
        <w:spacing w:before="120" w:after="120"/>
        <w:jc w:val="both"/>
      </w:pPr>
      <w:r w:rsidRPr="00122DDE">
        <w:t xml:space="preserve">Massard-Guilbaud </w:t>
      </w:r>
      <w:r w:rsidRPr="004B2498">
        <w:t xml:space="preserve">Geneviève, </w:t>
      </w:r>
      <w:r w:rsidRPr="00122DDE">
        <w:t xml:space="preserve">Platt </w:t>
      </w:r>
      <w:r w:rsidRPr="004B2498">
        <w:t xml:space="preserve">Harold L. &amp; </w:t>
      </w:r>
      <w:r w:rsidRPr="00122DDE">
        <w:t xml:space="preserve">Schott </w:t>
      </w:r>
      <w:r w:rsidRPr="004B2498">
        <w:t>Di</w:t>
      </w:r>
      <w:r w:rsidRPr="004B2498">
        <w:t>e</w:t>
      </w:r>
      <w:r w:rsidRPr="004B2498">
        <w:t xml:space="preserve">ter (eds), 2002 : </w:t>
      </w:r>
      <w:r w:rsidRPr="00171D66">
        <w:rPr>
          <w:i/>
        </w:rPr>
        <w:t>Cities and Catastrophes. Coping with Emergengy in E</w:t>
      </w:r>
      <w:r w:rsidRPr="00171D66">
        <w:rPr>
          <w:i/>
        </w:rPr>
        <w:t>u</w:t>
      </w:r>
      <w:r w:rsidRPr="00171D66">
        <w:rPr>
          <w:i/>
        </w:rPr>
        <w:t>ropean History</w:t>
      </w:r>
      <w:r w:rsidRPr="004B2498">
        <w:t>, Frankfurt, Peter Lang.</w:t>
      </w:r>
    </w:p>
    <w:p w14:paraId="102DF5A6" w14:textId="77777777" w:rsidR="002F4063" w:rsidRPr="004B2498" w:rsidRDefault="002F4063" w:rsidP="002F4063">
      <w:pPr>
        <w:spacing w:before="120" w:after="120"/>
        <w:jc w:val="both"/>
      </w:pPr>
      <w:r w:rsidRPr="004B2498">
        <w:t xml:space="preserve">MEUBLAT Guy, 2001 : « La rénovation des politiques de l’eau dans les pays du Sud », </w:t>
      </w:r>
      <w:r w:rsidRPr="00171D66">
        <w:rPr>
          <w:i/>
        </w:rPr>
        <w:t>Revue Tiers Monde</w:t>
      </w:r>
      <w:r w:rsidRPr="004B2498">
        <w:t>, t. XLII, n° 166, p. 249-258.</w:t>
      </w:r>
    </w:p>
    <w:p w14:paraId="4E35A377" w14:textId="77777777" w:rsidR="002F4063" w:rsidRPr="004B2498" w:rsidRDefault="002F4063" w:rsidP="002F4063">
      <w:pPr>
        <w:spacing w:before="120" w:after="120"/>
        <w:jc w:val="both"/>
      </w:pPr>
      <w:r w:rsidRPr="004B2498">
        <w:t xml:space="preserve">MILLER Shawn William, 2007 : </w:t>
      </w:r>
      <w:r w:rsidRPr="00171D66">
        <w:rPr>
          <w:i/>
        </w:rPr>
        <w:t>An Environmental History of L</w:t>
      </w:r>
      <w:r w:rsidRPr="00171D66">
        <w:rPr>
          <w:i/>
        </w:rPr>
        <w:t>a</w:t>
      </w:r>
      <w:r w:rsidRPr="00171D66">
        <w:rPr>
          <w:i/>
        </w:rPr>
        <w:t>tin America</w:t>
      </w:r>
      <w:r w:rsidRPr="004B2498">
        <w:t>, New York, Cambridge University Press.</w:t>
      </w:r>
    </w:p>
    <w:p w14:paraId="7ACCF4FA" w14:textId="77777777" w:rsidR="002F4063" w:rsidRPr="004B2498" w:rsidRDefault="002F4063" w:rsidP="002F4063">
      <w:pPr>
        <w:spacing w:before="120" w:after="120"/>
        <w:jc w:val="both"/>
      </w:pPr>
      <w:r w:rsidRPr="00122DDE">
        <w:t xml:space="preserve">OSTROM </w:t>
      </w:r>
      <w:r w:rsidRPr="004B2498">
        <w:t xml:space="preserve">Elinor et al., 2001 : </w:t>
      </w:r>
      <w:r w:rsidRPr="00171D66">
        <w:rPr>
          <w:i/>
        </w:rPr>
        <w:t>Protecting the Commons. A Fr</w:t>
      </w:r>
      <w:r w:rsidRPr="00171D66">
        <w:rPr>
          <w:i/>
        </w:rPr>
        <w:t>a</w:t>
      </w:r>
      <w:r w:rsidRPr="00171D66">
        <w:rPr>
          <w:i/>
        </w:rPr>
        <w:t>mework for Ressource Management in the Americas</w:t>
      </w:r>
      <w:r w:rsidRPr="004B2498">
        <w:t>, Washington DC, Insland Press.</w:t>
      </w:r>
    </w:p>
    <w:p w14:paraId="23DF187A" w14:textId="77777777" w:rsidR="002F4063" w:rsidRPr="004B2498" w:rsidRDefault="002F4063" w:rsidP="002F4063">
      <w:pPr>
        <w:spacing w:before="120" w:after="120"/>
        <w:jc w:val="both"/>
      </w:pPr>
      <w:r w:rsidRPr="004B2498">
        <w:t xml:space="preserve">POUPEAU Franck, 2008 : </w:t>
      </w:r>
      <w:r w:rsidRPr="00171D66">
        <w:rPr>
          <w:i/>
        </w:rPr>
        <w:t>Carnets boliviens (1999-2007). Un goût de poussière</w:t>
      </w:r>
      <w:r w:rsidRPr="004B2498">
        <w:t>, Paris, Aux lieux d’être.</w:t>
      </w:r>
    </w:p>
    <w:p w14:paraId="40BACB53" w14:textId="77777777" w:rsidR="002F4063" w:rsidRPr="004B2498" w:rsidRDefault="002F4063" w:rsidP="002F4063">
      <w:pPr>
        <w:spacing w:before="120" w:after="120"/>
        <w:jc w:val="both"/>
      </w:pPr>
      <w:r w:rsidRPr="004B2498">
        <w:t>POUPEAU Franck, 2010 : « Défis et conflits de la remunicipalis</w:t>
      </w:r>
      <w:r w:rsidRPr="004B2498">
        <w:t>a</w:t>
      </w:r>
      <w:r w:rsidRPr="004B2498">
        <w:t>tion de l’eau. L’exemple de la concession de La Paz/El Alto, Bol</w:t>
      </w:r>
      <w:r w:rsidRPr="004B2498">
        <w:t>i</w:t>
      </w:r>
      <w:r w:rsidRPr="004B2498">
        <w:t xml:space="preserve">vie », </w:t>
      </w:r>
      <w:r w:rsidRPr="00171D66">
        <w:rPr>
          <w:i/>
        </w:rPr>
        <w:t>Revue Tiers Monde</w:t>
      </w:r>
      <w:r w:rsidRPr="004B2498">
        <w:t>, n° 203, p. 7-26.</w:t>
      </w:r>
    </w:p>
    <w:p w14:paraId="5917022C" w14:textId="77777777" w:rsidR="002F4063" w:rsidRPr="004B2498" w:rsidRDefault="002F4063" w:rsidP="002F4063">
      <w:pPr>
        <w:spacing w:before="120" w:after="120"/>
        <w:jc w:val="both"/>
      </w:pPr>
      <w:r w:rsidRPr="00122DDE">
        <w:t xml:space="preserve">POUPEAU </w:t>
      </w:r>
      <w:r w:rsidRPr="004B2498">
        <w:t xml:space="preserve">Franck &amp; </w:t>
      </w:r>
      <w:r w:rsidRPr="00122DDE">
        <w:t xml:space="preserve">GONZÂLES </w:t>
      </w:r>
      <w:r w:rsidRPr="004B2498">
        <w:t xml:space="preserve">Claudia (eds.), 2010 : </w:t>
      </w:r>
      <w:r w:rsidRPr="00171D66">
        <w:rPr>
          <w:i/>
        </w:rPr>
        <w:t>Modelos de ge</w:t>
      </w:r>
      <w:r w:rsidRPr="00171D66">
        <w:rPr>
          <w:i/>
        </w:rPr>
        <w:t>s</w:t>
      </w:r>
      <w:r w:rsidRPr="00171D66">
        <w:rPr>
          <w:i/>
        </w:rPr>
        <w:t>tion del agua en ciudades de los Andes</w:t>
      </w:r>
      <w:r w:rsidRPr="004B2498">
        <w:t>, Lima, IFEA/PIEB.</w:t>
      </w:r>
    </w:p>
    <w:p w14:paraId="62BB35B6" w14:textId="77777777" w:rsidR="002F4063" w:rsidRPr="004B2498" w:rsidRDefault="002F4063" w:rsidP="002F4063">
      <w:pPr>
        <w:spacing w:before="120" w:after="120"/>
        <w:jc w:val="both"/>
      </w:pPr>
      <w:r w:rsidRPr="00122DDE">
        <w:t xml:space="preserve">REVET </w:t>
      </w:r>
      <w:r w:rsidRPr="004B2498">
        <w:t xml:space="preserve">Sandrine, </w:t>
      </w:r>
      <w:r w:rsidRPr="00122DDE">
        <w:t xml:space="preserve">2007 : </w:t>
      </w:r>
      <w:r w:rsidRPr="00171D66">
        <w:rPr>
          <w:i/>
        </w:rPr>
        <w:t>Anthropologie d’une catastrophe. Les coulées de boue de 1999 au Venezuela</w:t>
      </w:r>
      <w:r w:rsidRPr="004B2498">
        <w:t>,</w:t>
      </w:r>
      <w:r w:rsidRPr="00122DDE">
        <w:t xml:space="preserve"> </w:t>
      </w:r>
      <w:r w:rsidRPr="004B2498">
        <w:t>Paris, Presses Sorbonne No</w:t>
      </w:r>
      <w:r w:rsidRPr="004B2498">
        <w:t>u</w:t>
      </w:r>
      <w:r w:rsidRPr="004B2498">
        <w:t>velle.</w:t>
      </w:r>
    </w:p>
    <w:p w14:paraId="43087E41" w14:textId="77777777" w:rsidR="002F4063" w:rsidRPr="004B2498" w:rsidRDefault="002F4063" w:rsidP="002F4063">
      <w:pPr>
        <w:spacing w:before="120" w:after="120"/>
        <w:jc w:val="both"/>
      </w:pPr>
      <w:r w:rsidRPr="004B2498">
        <w:t xml:space="preserve">SASSEN Saskia, 2006 : </w:t>
      </w:r>
      <w:r w:rsidRPr="00171D66">
        <w:rPr>
          <w:i/>
        </w:rPr>
        <w:t>Territory, Authority, Rights : From M</w:t>
      </w:r>
      <w:r w:rsidRPr="00171D66">
        <w:rPr>
          <w:i/>
        </w:rPr>
        <w:t>e</w:t>
      </w:r>
      <w:r w:rsidRPr="00171D66">
        <w:rPr>
          <w:i/>
        </w:rPr>
        <w:t>diéval to Global Assemblages</w:t>
      </w:r>
      <w:r w:rsidRPr="004B2498">
        <w:t>, Princeton, Princeton University Press.</w:t>
      </w:r>
    </w:p>
    <w:p w14:paraId="37E0561C" w14:textId="77777777" w:rsidR="002F4063" w:rsidRPr="004B2498" w:rsidRDefault="002F4063" w:rsidP="002F4063">
      <w:pPr>
        <w:spacing w:before="120" w:after="120"/>
        <w:jc w:val="both"/>
      </w:pPr>
      <w:r w:rsidRPr="00122DDE">
        <w:t xml:space="preserve">SCHNEIER-MADANES </w:t>
      </w:r>
      <w:r w:rsidRPr="004B2498">
        <w:t xml:space="preserve">Gabriela, 2010 : </w:t>
      </w:r>
      <w:r w:rsidRPr="00171D66">
        <w:rPr>
          <w:i/>
        </w:rPr>
        <w:t>L’eau mondialisée. La gouve</w:t>
      </w:r>
      <w:r w:rsidRPr="00171D66">
        <w:rPr>
          <w:i/>
        </w:rPr>
        <w:t>r</w:t>
      </w:r>
      <w:r w:rsidRPr="00171D66">
        <w:rPr>
          <w:i/>
        </w:rPr>
        <w:t>nance en question</w:t>
      </w:r>
      <w:r w:rsidRPr="004B2498">
        <w:t>, Paris, La Découverte.</w:t>
      </w:r>
    </w:p>
    <w:p w14:paraId="3454497D" w14:textId="77777777" w:rsidR="002F4063" w:rsidRPr="004B2498" w:rsidRDefault="002F4063" w:rsidP="002F4063">
      <w:pPr>
        <w:spacing w:before="120" w:after="120"/>
        <w:jc w:val="both"/>
      </w:pPr>
      <w:r w:rsidRPr="00122DDE">
        <w:t xml:space="preserve">WELZER </w:t>
      </w:r>
      <w:r w:rsidRPr="004B2498">
        <w:t xml:space="preserve">Harald : Les guerres du climat. </w:t>
      </w:r>
      <w:r w:rsidRPr="00171D66">
        <w:rPr>
          <w:i/>
        </w:rPr>
        <w:t>Pourquoi on tue au XXI</w:t>
      </w:r>
      <w:r w:rsidRPr="00171D66">
        <w:rPr>
          <w:i/>
          <w:vertAlign w:val="superscript"/>
        </w:rPr>
        <w:t>e</w:t>
      </w:r>
      <w:r w:rsidRPr="00171D66">
        <w:rPr>
          <w:i/>
        </w:rPr>
        <w:t xml:space="preserve"> siècle</w:t>
      </w:r>
      <w:r w:rsidRPr="004B2498">
        <w:t>, Paris, Gallimard, 2009.</w:t>
      </w:r>
    </w:p>
    <w:p w14:paraId="209407AB" w14:textId="77777777" w:rsidR="002F4063" w:rsidRPr="004B2498" w:rsidRDefault="002F4063" w:rsidP="002F4063">
      <w:pPr>
        <w:spacing w:before="120" w:after="120"/>
        <w:jc w:val="both"/>
      </w:pPr>
      <w:r w:rsidRPr="00122DDE">
        <w:t xml:space="preserve">WEYLAND </w:t>
      </w:r>
      <w:r w:rsidRPr="004B2498">
        <w:t xml:space="preserve">Kurt, 2004 : </w:t>
      </w:r>
      <w:r w:rsidRPr="00171D66">
        <w:rPr>
          <w:i/>
        </w:rPr>
        <w:t>Learning from Foreign Models in Latin Am</w:t>
      </w:r>
      <w:r w:rsidRPr="00171D66">
        <w:rPr>
          <w:i/>
        </w:rPr>
        <w:t>e</w:t>
      </w:r>
      <w:r w:rsidRPr="00171D66">
        <w:rPr>
          <w:i/>
        </w:rPr>
        <w:t>rican Policy Reform</w:t>
      </w:r>
      <w:r w:rsidRPr="004B2498">
        <w:t xml:space="preserve">, John Hopkins University Press. </w:t>
      </w:r>
    </w:p>
    <w:p w14:paraId="69F6FAFE" w14:textId="77777777" w:rsidR="002F4063" w:rsidRPr="004B2498" w:rsidRDefault="002F4063" w:rsidP="002F4063">
      <w:pPr>
        <w:spacing w:before="120" w:after="120"/>
        <w:jc w:val="both"/>
      </w:pPr>
    </w:p>
    <w:p w14:paraId="4307D43D" w14:textId="77777777" w:rsidR="002F4063" w:rsidRPr="004B2498" w:rsidRDefault="002F4063" w:rsidP="002F4063">
      <w:pPr>
        <w:spacing w:before="120" w:after="120"/>
        <w:jc w:val="both"/>
      </w:pPr>
    </w:p>
    <w:p w14:paraId="1E660C91" w14:textId="77777777" w:rsidR="002F4063" w:rsidRPr="004B2498" w:rsidRDefault="002F4063" w:rsidP="002F4063">
      <w:pPr>
        <w:pStyle w:val="p"/>
      </w:pPr>
      <w:r w:rsidRPr="004B2498">
        <w:t>[106]</w:t>
      </w:r>
    </w:p>
    <w:p w14:paraId="4BFCD970" w14:textId="77777777" w:rsidR="002F4063" w:rsidRPr="004B2498" w:rsidRDefault="002F4063" w:rsidP="002F4063">
      <w:pPr>
        <w:pStyle w:val="p"/>
        <w:rPr>
          <w:lang w:eastAsia="fr-FR" w:bidi="fr-FR"/>
        </w:rPr>
      </w:pPr>
      <w:r w:rsidRPr="004B2498">
        <w:br w:type="page"/>
      </w:r>
      <w:r w:rsidRPr="004B2498">
        <w:rPr>
          <w:lang w:eastAsia="fr-FR" w:bidi="fr-FR"/>
        </w:rPr>
        <w:t>[107]</w:t>
      </w:r>
    </w:p>
    <w:p w14:paraId="3E2E7175" w14:textId="77777777" w:rsidR="002F4063" w:rsidRPr="00E07116" w:rsidRDefault="002F4063" w:rsidP="002F4063">
      <w:pPr>
        <w:jc w:val="both"/>
      </w:pPr>
    </w:p>
    <w:p w14:paraId="16C37231" w14:textId="77777777" w:rsidR="002F4063" w:rsidRPr="00E07116" w:rsidRDefault="002F4063" w:rsidP="002F4063">
      <w:pPr>
        <w:jc w:val="both"/>
      </w:pPr>
    </w:p>
    <w:p w14:paraId="63008FB9" w14:textId="77777777" w:rsidR="002F4063" w:rsidRDefault="002F4063" w:rsidP="002F4063">
      <w:pPr>
        <w:spacing w:after="120"/>
        <w:ind w:firstLine="0"/>
        <w:jc w:val="center"/>
        <w:rPr>
          <w:sz w:val="24"/>
        </w:rPr>
      </w:pPr>
      <w:bookmarkStart w:id="9" w:name="Enjeux_sc_soc_pt_1_texte_6"/>
      <w:r>
        <w:rPr>
          <w:b/>
          <w:sz w:val="24"/>
        </w:rPr>
        <w:t>Enjeux épistémologiques et idéologiques</w:t>
      </w:r>
      <w:r>
        <w:rPr>
          <w:b/>
          <w:sz w:val="24"/>
        </w:rPr>
        <w:br/>
        <w:t>de la globalisation pour les sciences sociales</w:t>
      </w:r>
      <w:r w:rsidRPr="00DC733D">
        <w:rPr>
          <w:sz w:val="24"/>
        </w:rPr>
        <w:t>.</w:t>
      </w:r>
    </w:p>
    <w:p w14:paraId="2796A8D1" w14:textId="77777777" w:rsidR="002F4063" w:rsidRPr="00DC733D" w:rsidRDefault="002F4063" w:rsidP="002F4063">
      <w:pPr>
        <w:spacing w:after="120"/>
        <w:ind w:firstLine="0"/>
        <w:jc w:val="center"/>
        <w:rPr>
          <w:sz w:val="24"/>
        </w:rPr>
      </w:pPr>
      <w:r>
        <w:rPr>
          <w:sz w:val="24"/>
        </w:rPr>
        <w:t>Première partie : Crises et gouvernance</w:t>
      </w:r>
    </w:p>
    <w:p w14:paraId="59D71006" w14:textId="77777777" w:rsidR="002F4063" w:rsidRPr="00384B20" w:rsidRDefault="002F4063" w:rsidP="002F4063">
      <w:pPr>
        <w:pStyle w:val="Titreniveau1"/>
      </w:pPr>
      <w:r>
        <w:t>6</w:t>
      </w:r>
    </w:p>
    <w:p w14:paraId="2A8E9591" w14:textId="77777777" w:rsidR="002F4063" w:rsidRPr="00E07116" w:rsidRDefault="002F4063" w:rsidP="002F4063">
      <w:pPr>
        <w:pStyle w:val="Titreniveau2"/>
      </w:pPr>
      <w:r>
        <w:t>“USAGES ET SUBVERSIONS</w:t>
      </w:r>
      <w:r>
        <w:br/>
        <w:t>DE LA MICROFINANCE.”</w:t>
      </w:r>
    </w:p>
    <w:bookmarkEnd w:id="9"/>
    <w:p w14:paraId="3B0C97EB" w14:textId="77777777" w:rsidR="002F4063" w:rsidRPr="00E07116" w:rsidRDefault="002F4063" w:rsidP="002F4063">
      <w:pPr>
        <w:jc w:val="both"/>
        <w:rPr>
          <w:szCs w:val="36"/>
        </w:rPr>
      </w:pPr>
    </w:p>
    <w:p w14:paraId="6D2CEDB5" w14:textId="77777777" w:rsidR="002F4063" w:rsidRPr="00E07116" w:rsidRDefault="002F4063" w:rsidP="002F4063">
      <w:pPr>
        <w:pStyle w:val="suite"/>
      </w:pPr>
      <w:r>
        <w:t>Isabelle GUÉRIN</w:t>
      </w:r>
    </w:p>
    <w:p w14:paraId="6FA822B3" w14:textId="77777777" w:rsidR="002F4063" w:rsidRPr="00E07116" w:rsidRDefault="002F4063" w:rsidP="002F4063">
      <w:pPr>
        <w:jc w:val="both"/>
      </w:pPr>
    </w:p>
    <w:p w14:paraId="2048273D" w14:textId="77777777" w:rsidR="002F4063" w:rsidRPr="00E07116" w:rsidRDefault="002F4063" w:rsidP="002F4063">
      <w:pPr>
        <w:jc w:val="both"/>
      </w:pPr>
    </w:p>
    <w:p w14:paraId="0B160C88" w14:textId="77777777" w:rsidR="002F4063" w:rsidRPr="00E07116" w:rsidRDefault="002F4063" w:rsidP="002F4063">
      <w:pPr>
        <w:jc w:val="both"/>
      </w:pPr>
    </w:p>
    <w:p w14:paraId="67EB67D0" w14:textId="77777777" w:rsidR="002F4063" w:rsidRPr="00384B20" w:rsidRDefault="002F4063" w:rsidP="002F4063">
      <w:pPr>
        <w:ind w:right="90" w:firstLine="0"/>
        <w:jc w:val="both"/>
        <w:rPr>
          <w:sz w:val="20"/>
        </w:rPr>
      </w:pPr>
      <w:hyperlink w:anchor="sommaire" w:history="1">
        <w:r>
          <w:rPr>
            <w:rStyle w:val="Hyperlien"/>
            <w:sz w:val="20"/>
          </w:rPr>
          <w:t>Retour au sommaire</w:t>
        </w:r>
      </w:hyperlink>
    </w:p>
    <w:p w14:paraId="4CFA8F6C" w14:textId="77777777" w:rsidR="002F4063" w:rsidRPr="004B2498" w:rsidRDefault="002F4063" w:rsidP="002F4063">
      <w:pPr>
        <w:spacing w:before="120" w:after="120"/>
        <w:jc w:val="both"/>
      </w:pPr>
      <w:r w:rsidRPr="004B2498">
        <w:rPr>
          <w:lang w:eastAsia="fr-FR" w:bidi="fr-FR"/>
        </w:rPr>
        <w:t>Tantôt portée aux nues, tantôt vouée aux gémonies, la microfina</w:t>
      </w:r>
      <w:r w:rsidRPr="004B2498">
        <w:rPr>
          <w:lang w:eastAsia="fr-FR" w:bidi="fr-FR"/>
        </w:rPr>
        <w:t>n</w:t>
      </w:r>
      <w:r w:rsidRPr="004B2498">
        <w:rPr>
          <w:lang w:eastAsia="fr-FR" w:bidi="fr-FR"/>
        </w:rPr>
        <w:t>ce fait l’objet de débats passionnés. Certains l’encensent pour son p</w:t>
      </w:r>
      <w:r w:rsidRPr="004B2498">
        <w:rPr>
          <w:lang w:eastAsia="fr-FR" w:bidi="fr-FR"/>
        </w:rPr>
        <w:t>o</w:t>
      </w:r>
      <w:r w:rsidRPr="004B2498">
        <w:rPr>
          <w:lang w:eastAsia="fr-FR" w:bidi="fr-FR"/>
        </w:rPr>
        <w:t>tentiel de transformation des pauvres en entrepreneurs et consomm</w:t>
      </w:r>
      <w:r w:rsidRPr="004B2498">
        <w:rPr>
          <w:lang w:eastAsia="fr-FR" w:bidi="fr-FR"/>
        </w:rPr>
        <w:t>a</w:t>
      </w:r>
      <w:r w:rsidRPr="004B2498">
        <w:rPr>
          <w:lang w:eastAsia="fr-FR" w:bidi="fr-FR"/>
        </w:rPr>
        <w:t xml:space="preserve">teurs créatifs et responsables (Attali, 2006 ; Collins </w:t>
      </w:r>
      <w:r w:rsidRPr="004B2498">
        <w:t>et al.</w:t>
      </w:r>
      <w:r w:rsidRPr="004B2498">
        <w:rPr>
          <w:lang w:eastAsia="fr-FR" w:bidi="fr-FR"/>
        </w:rPr>
        <w:t xml:space="preserve"> 2009 ; Y</w:t>
      </w:r>
      <w:r w:rsidRPr="004B2498">
        <w:rPr>
          <w:lang w:eastAsia="fr-FR" w:bidi="fr-FR"/>
        </w:rPr>
        <w:t>u</w:t>
      </w:r>
      <w:r w:rsidRPr="004B2498">
        <w:rPr>
          <w:lang w:eastAsia="fr-FR" w:bidi="fr-FR"/>
        </w:rPr>
        <w:t>nus, 2007), en particulier les femmes. D’autres, en revanche, consid</w:t>
      </w:r>
      <w:r w:rsidRPr="004B2498">
        <w:rPr>
          <w:lang w:eastAsia="fr-FR" w:bidi="fr-FR"/>
        </w:rPr>
        <w:t>è</w:t>
      </w:r>
      <w:r w:rsidRPr="004B2498">
        <w:rPr>
          <w:lang w:eastAsia="fr-FR" w:bidi="fr-FR"/>
        </w:rPr>
        <w:t>rent la microfinance d’abord et avant tout comme une nouvelle niche pour le capitalisme et une justification du néolibéralisme, comme un catalyseur et un produit de la globalisation et de ses méfaits (Falquet, 2008 ; Fernando, 2006).</w:t>
      </w:r>
    </w:p>
    <w:p w14:paraId="435CFB8D" w14:textId="77777777" w:rsidR="002F4063" w:rsidRPr="004B2498" w:rsidRDefault="002F4063" w:rsidP="002F4063">
      <w:pPr>
        <w:spacing w:before="120" w:after="120"/>
        <w:jc w:val="both"/>
      </w:pPr>
      <w:r w:rsidRPr="004B2498">
        <w:rPr>
          <w:lang w:eastAsia="fr-FR" w:bidi="fr-FR"/>
        </w:rPr>
        <w:t>Reprenant huit ans de recherche en Inde du Sud (Tamil Nadu), je me propose ici d’étudier non pas les discours de la microfinance mais ses usages au quotidien et ce qu’ils révèlent concernant les dynam</w:t>
      </w:r>
      <w:r w:rsidRPr="004B2498">
        <w:rPr>
          <w:lang w:eastAsia="fr-FR" w:bidi="fr-FR"/>
        </w:rPr>
        <w:t>i</w:t>
      </w:r>
      <w:r w:rsidRPr="004B2498">
        <w:rPr>
          <w:lang w:eastAsia="fr-FR" w:bidi="fr-FR"/>
        </w:rPr>
        <w:t>ques socioéconomiques et politiques en cours. La microfinance est un outil « globalisé », au sens où ses modalités sont dictées par des no</w:t>
      </w:r>
      <w:r w:rsidRPr="004B2498">
        <w:rPr>
          <w:lang w:eastAsia="fr-FR" w:bidi="fr-FR"/>
        </w:rPr>
        <w:t>r</w:t>
      </w:r>
      <w:r w:rsidRPr="004B2498">
        <w:rPr>
          <w:lang w:eastAsia="fr-FR" w:bidi="fr-FR"/>
        </w:rPr>
        <w:t>mes uniformisées et standardisées édictées par un nombre très re</w:t>
      </w:r>
      <w:r w:rsidRPr="004B2498">
        <w:rPr>
          <w:lang w:eastAsia="fr-FR" w:bidi="fr-FR"/>
        </w:rPr>
        <w:t>s</w:t>
      </w:r>
      <w:r w:rsidRPr="004B2498">
        <w:rPr>
          <w:lang w:eastAsia="fr-FR" w:bidi="fr-FR"/>
        </w:rPr>
        <w:t>treint d’organisations, de fondations et de réseaux institués, très pr</w:t>
      </w:r>
      <w:r w:rsidRPr="004B2498">
        <w:rPr>
          <w:lang w:eastAsia="fr-FR" w:bidi="fr-FR"/>
        </w:rPr>
        <w:t>o</w:t>
      </w:r>
      <w:r w:rsidRPr="004B2498">
        <w:rPr>
          <w:lang w:eastAsia="fr-FR" w:bidi="fr-FR"/>
        </w:rPr>
        <w:t>ches de la Banque mondiale et de la coopération américaine (Servet, 2006 ; Bédécarrats, 2010). Or on observe des processus complexes d’appropriation et de détournement de la microfinance, tant par les « bénéficiaires » que par celles et ceux qui sont chargés de la mettre en œuvre. Je m’intéresse à la diversité et à la complexité des motifs de consentement, aux pratiques de mises en scène, de manipulation, de contournement et de subversion tout en examinant la manière dont ces pratiques reflètent des rapports sociaux préexistants et contribuent à leur renforcement, parfois à leur renouvellement.</w:t>
      </w:r>
    </w:p>
    <w:p w14:paraId="612B177A" w14:textId="77777777" w:rsidR="002F4063" w:rsidRPr="004B2498" w:rsidRDefault="002F4063" w:rsidP="002F4063">
      <w:pPr>
        <w:spacing w:before="120" w:after="120"/>
        <w:jc w:val="both"/>
      </w:pPr>
      <w:r w:rsidRPr="004B2498">
        <w:rPr>
          <w:lang w:eastAsia="fr-FR" w:bidi="fr-FR"/>
        </w:rPr>
        <w:t>Comme dans bien d’autres contextes, la microfinance au Tamil Nadu tire sa légitimité auprès des décideurs, des bailleurs et de ses promoteurs de trois</w:t>
      </w:r>
      <w:r w:rsidRPr="004B2498">
        <w:t xml:space="preserve"> [108]</w:t>
      </w:r>
      <w:r>
        <w:t xml:space="preserve"> </w:t>
      </w:r>
      <w:r w:rsidRPr="004B2498">
        <w:rPr>
          <w:lang w:eastAsia="fr-FR" w:bidi="fr-FR"/>
        </w:rPr>
        <w:t>hypothèses majeures, qui se révèlent être de véritables mythes : le mythe entrepreneurial, le mythe de la substit</w:t>
      </w:r>
      <w:r w:rsidRPr="004B2498">
        <w:rPr>
          <w:lang w:eastAsia="fr-FR" w:bidi="fr-FR"/>
        </w:rPr>
        <w:t>u</w:t>
      </w:r>
      <w:r w:rsidRPr="004B2498">
        <w:rPr>
          <w:lang w:eastAsia="fr-FR" w:bidi="fr-FR"/>
        </w:rPr>
        <w:t xml:space="preserve">tion à la finance informelle, et le mythe de </w:t>
      </w:r>
      <w:r w:rsidRPr="004B2498">
        <w:t>Y empoter ment</w:t>
      </w:r>
      <w:r w:rsidRPr="004B2498">
        <w:rPr>
          <w:lang w:eastAsia="fr-FR" w:bidi="fr-FR"/>
        </w:rPr>
        <w:t xml:space="preserve"> des fe</w:t>
      </w:r>
      <w:r w:rsidRPr="004B2498">
        <w:rPr>
          <w:lang w:eastAsia="fr-FR" w:bidi="fr-FR"/>
        </w:rPr>
        <w:t>m</w:t>
      </w:r>
      <w:r w:rsidRPr="004B2498">
        <w:rPr>
          <w:lang w:eastAsia="fr-FR" w:bidi="fr-FR"/>
        </w:rPr>
        <w:t>mes. Comment dès lors expliquer l’adhésion massive des populations, et en particulier des femmes, à un outil qui ne tient aucune de ses promesses ? Fin 2010, on estimait que plus de 86 millions d’indiens, à plus de 90% des femmes, avaient été ou étaient clients de la microf</w:t>
      </w:r>
      <w:r w:rsidRPr="004B2498">
        <w:rPr>
          <w:lang w:eastAsia="fr-FR" w:bidi="fr-FR"/>
        </w:rPr>
        <w:t>i</w:t>
      </w:r>
      <w:r w:rsidRPr="004B2498">
        <w:rPr>
          <w:lang w:eastAsia="fr-FR" w:bidi="fr-FR"/>
        </w:rPr>
        <w:t>nance. Elles sont enr</w:t>
      </w:r>
      <w:r w:rsidRPr="004B2498">
        <w:rPr>
          <w:lang w:eastAsia="fr-FR" w:bidi="fr-FR"/>
        </w:rPr>
        <w:t>ô</w:t>
      </w:r>
      <w:r w:rsidRPr="004B2498">
        <w:rPr>
          <w:lang w:eastAsia="fr-FR" w:bidi="fr-FR"/>
        </w:rPr>
        <w:t>lées de force par leurs époux ou les agents de crédit, pourrait-on a</w:t>
      </w:r>
      <w:r w:rsidRPr="004B2498">
        <w:rPr>
          <w:lang w:eastAsia="fr-FR" w:bidi="fr-FR"/>
        </w:rPr>
        <w:t>r</w:t>
      </w:r>
      <w:r w:rsidRPr="004B2498">
        <w:rPr>
          <w:lang w:eastAsia="fr-FR" w:bidi="fr-FR"/>
        </w:rPr>
        <w:t>guer. Les premiers sont en quête de liquidités mais peu enclins à a</w:t>
      </w:r>
      <w:r w:rsidRPr="004B2498">
        <w:rPr>
          <w:lang w:eastAsia="fr-FR" w:bidi="fr-FR"/>
        </w:rPr>
        <w:t>s</w:t>
      </w:r>
      <w:r w:rsidRPr="004B2498">
        <w:rPr>
          <w:lang w:eastAsia="fr-FR" w:bidi="fr-FR"/>
        </w:rPr>
        <w:t>sumer la responsabilité des remboursements ou tout simplement inél</w:t>
      </w:r>
      <w:r w:rsidRPr="004B2498">
        <w:rPr>
          <w:lang w:eastAsia="fr-FR" w:bidi="fr-FR"/>
        </w:rPr>
        <w:t>i</w:t>
      </w:r>
      <w:r w:rsidRPr="004B2498">
        <w:rPr>
          <w:lang w:eastAsia="fr-FR" w:bidi="fr-FR"/>
        </w:rPr>
        <w:t>gibles puisque nombre de programmes, en partie en Asie du Sud-Est, ne ciblent que les femmes, tandis que les seconds, de plus en plus sommés d’atteindre des objectifs démesurés en matière de portefeuille de prêts, n’hésitent pas à faire preuve d’agressivité commerciale. L’hypothèse de la « fausse conscience » est également tentante : écr</w:t>
      </w:r>
      <w:r w:rsidRPr="004B2498">
        <w:rPr>
          <w:lang w:eastAsia="fr-FR" w:bidi="fr-FR"/>
        </w:rPr>
        <w:t>a</w:t>
      </w:r>
      <w:r w:rsidRPr="004B2498">
        <w:rPr>
          <w:lang w:eastAsia="fr-FR" w:bidi="fr-FR"/>
        </w:rPr>
        <w:t>sées sous le poids de leur subordination, les femmes ne seraient pas en mesure de réaliser que les bénéfices de leur particip</w:t>
      </w:r>
      <w:r w:rsidRPr="004B2498">
        <w:rPr>
          <w:lang w:eastAsia="fr-FR" w:bidi="fr-FR"/>
        </w:rPr>
        <w:t>a</w:t>
      </w:r>
      <w:r w:rsidRPr="004B2498">
        <w:rPr>
          <w:lang w:eastAsia="fr-FR" w:bidi="fr-FR"/>
        </w:rPr>
        <w:t>tion à la microf</w:t>
      </w:r>
      <w:r w:rsidRPr="004B2498">
        <w:rPr>
          <w:lang w:eastAsia="fr-FR" w:bidi="fr-FR"/>
        </w:rPr>
        <w:t>i</w:t>
      </w:r>
      <w:r w:rsidRPr="004B2498">
        <w:rPr>
          <w:lang w:eastAsia="fr-FR" w:bidi="fr-FR"/>
        </w:rPr>
        <w:t>nance leur échappent et profitent surtout à d’autres. L’analyse du vécu des femmes montre que ces deux arguments ne sont pas tenables. Ils le sont peut-être pour quelques-unes mais pour la plupart la microfinance n’a été imposée ni par la force ni par la pe</w:t>
      </w:r>
      <w:r w:rsidRPr="004B2498">
        <w:rPr>
          <w:lang w:eastAsia="fr-FR" w:bidi="fr-FR"/>
        </w:rPr>
        <w:t>r</w:t>
      </w:r>
      <w:r w:rsidRPr="004B2498">
        <w:rPr>
          <w:lang w:eastAsia="fr-FR" w:bidi="fr-FR"/>
        </w:rPr>
        <w:t>suasion machiavél</w:t>
      </w:r>
      <w:r w:rsidRPr="004B2498">
        <w:rPr>
          <w:lang w:eastAsia="fr-FR" w:bidi="fr-FR"/>
        </w:rPr>
        <w:t>i</w:t>
      </w:r>
      <w:r w:rsidRPr="004B2498">
        <w:rPr>
          <w:lang w:eastAsia="fr-FR" w:bidi="fr-FR"/>
        </w:rPr>
        <w:t>que. Dans un contexte hiérarchique et oppressif où la dette reste un puissant marqueur de dépendance et de subordination, l’adhésion à la microfinance répond d’abord à la nécessité et au désir de multiplier les liens de dette. On observe aussi que la microfinance favorise l’émergence ou le renforcement de courtières et de femmes leaders, y compris dans les groupes marginalisés : elles utilisent la microfinance pour se positionner dans les circuits de patronage et de clientélisme et accéder puis redistribuer diverses ressources, publiques et privées. Les modes d’appropriation de la microfinance reflètent la « démocratie de patronage » typique de l’Inde contemporaine (Cha</w:t>
      </w:r>
      <w:r w:rsidRPr="004B2498">
        <w:rPr>
          <w:lang w:eastAsia="fr-FR" w:bidi="fr-FR"/>
        </w:rPr>
        <w:t>t</w:t>
      </w:r>
      <w:r w:rsidRPr="004B2498">
        <w:rPr>
          <w:lang w:eastAsia="fr-FR" w:bidi="fr-FR"/>
        </w:rPr>
        <w:t xml:space="preserve">terjee, 2011) et contribuent à sa reproduction. Les citoyens ordinaires font valoir leurs revendications non pas en se référant à la loi ou à la constitution mais par des négociations </w:t>
      </w:r>
      <w:r w:rsidRPr="004B2498">
        <w:t>ad hoc</w:t>
      </w:r>
      <w:r w:rsidRPr="004B2498">
        <w:rPr>
          <w:lang w:eastAsia="fr-FR" w:bidi="fr-FR"/>
        </w:rPr>
        <w:t>, instables et souvent illégales avec des patrons politiques ou des agents de l’État, direct</w:t>
      </w:r>
      <w:r w:rsidRPr="004B2498">
        <w:rPr>
          <w:lang w:eastAsia="fr-FR" w:bidi="fr-FR"/>
        </w:rPr>
        <w:t>e</w:t>
      </w:r>
      <w:r w:rsidRPr="004B2498">
        <w:rPr>
          <w:lang w:eastAsia="fr-FR" w:bidi="fr-FR"/>
        </w:rPr>
        <w:t>ment ou le plus so</w:t>
      </w:r>
      <w:r w:rsidRPr="004B2498">
        <w:rPr>
          <w:lang w:eastAsia="fr-FR" w:bidi="fr-FR"/>
        </w:rPr>
        <w:t>u</w:t>
      </w:r>
      <w:r w:rsidRPr="004B2498">
        <w:rPr>
          <w:lang w:eastAsia="fr-FR" w:bidi="fr-FR"/>
        </w:rPr>
        <w:t>vent par l’intermédiaire de leurs courtiers, et ceux-ci représentent des intermédiaires incontournables dans l’accès aux services et aux re</w:t>
      </w:r>
      <w:r w:rsidRPr="004B2498">
        <w:rPr>
          <w:lang w:eastAsia="fr-FR" w:bidi="fr-FR"/>
        </w:rPr>
        <w:t>s</w:t>
      </w:r>
      <w:r w:rsidRPr="004B2498">
        <w:rPr>
          <w:lang w:eastAsia="fr-FR" w:bidi="fr-FR"/>
        </w:rPr>
        <w:t>sources publics de base (Pattenden, 2011 ; Picherit, à paraître). Les formes de subversion de la microfinance illustrent aussi les difficultés de déploiement de dettes contractuelles, volonta</w:t>
      </w:r>
      <w:r w:rsidRPr="004B2498">
        <w:rPr>
          <w:lang w:eastAsia="fr-FR" w:bidi="fr-FR"/>
        </w:rPr>
        <w:t>i</w:t>
      </w:r>
      <w:r w:rsidRPr="004B2498">
        <w:rPr>
          <w:lang w:eastAsia="fr-FR" w:bidi="fr-FR"/>
        </w:rPr>
        <w:t>res et libérables dans un contexte, certes de capitalisme et de « modernisation » grandi</w:t>
      </w:r>
      <w:r w:rsidRPr="004B2498">
        <w:rPr>
          <w:lang w:eastAsia="fr-FR" w:bidi="fr-FR"/>
        </w:rPr>
        <w:t>s</w:t>
      </w:r>
      <w:r w:rsidRPr="004B2498">
        <w:rPr>
          <w:lang w:eastAsia="fr-FR" w:bidi="fr-FR"/>
        </w:rPr>
        <w:t>sants, mais où la dette sociale reste le fait de relations d’interdépendance entre personnes, sexes, groupes sociaux et génér</w:t>
      </w:r>
      <w:r w:rsidRPr="004B2498">
        <w:rPr>
          <w:lang w:eastAsia="fr-FR" w:bidi="fr-FR"/>
        </w:rPr>
        <w:t>a</w:t>
      </w:r>
      <w:r w:rsidRPr="004B2498">
        <w:rPr>
          <w:lang w:eastAsia="fr-FR" w:bidi="fr-FR"/>
        </w:rPr>
        <w:t>tions. Non seulement la libération est un leurre, mais les formes d’appropriation et de subversion de la microfinance ne font finalement que renforcer le principe</w:t>
      </w:r>
      <w:r>
        <w:t xml:space="preserve"> </w:t>
      </w:r>
      <w:r w:rsidRPr="004B2498">
        <w:t>[109]</w:t>
      </w:r>
      <w:r>
        <w:t xml:space="preserve"> </w:t>
      </w:r>
      <w:r w:rsidRPr="004B2498">
        <w:rPr>
          <w:lang w:eastAsia="fr-FR" w:bidi="fr-FR"/>
        </w:rPr>
        <w:t>de l’interdépendance sociale, tout en la reconfigurant pui</w:t>
      </w:r>
      <w:r w:rsidRPr="004B2498">
        <w:rPr>
          <w:lang w:eastAsia="fr-FR" w:bidi="fr-FR"/>
        </w:rPr>
        <w:t>s</w:t>
      </w:r>
      <w:r w:rsidRPr="004B2498">
        <w:rPr>
          <w:lang w:eastAsia="fr-FR" w:bidi="fr-FR"/>
        </w:rPr>
        <w:t>qu’émergent quand même de nouvelles formes d’intermédiaires.</w:t>
      </w:r>
    </w:p>
    <w:p w14:paraId="4D30998F" w14:textId="77777777" w:rsidR="002F4063" w:rsidRPr="004B2498" w:rsidRDefault="002F4063" w:rsidP="002F4063">
      <w:pPr>
        <w:spacing w:before="120" w:after="120"/>
        <w:jc w:val="both"/>
      </w:pPr>
      <w:r w:rsidRPr="004B2498">
        <w:rPr>
          <w:lang w:eastAsia="fr-FR" w:bidi="fr-FR"/>
        </w:rPr>
        <w:t>La plupart des travaux actuels sur la microfinance sont imprégnés de l’économicisme ambiant, où la recherche de prouesses techniques, l’obsession du chiffre et la modélisation mathématique l’emportent sur toute autre considération. Lorsqu’il y a collecte de données emp</w:t>
      </w:r>
      <w:r w:rsidRPr="004B2498">
        <w:rPr>
          <w:lang w:eastAsia="fr-FR" w:bidi="fr-FR"/>
        </w:rPr>
        <w:t>i</w:t>
      </w:r>
      <w:r w:rsidRPr="004B2498">
        <w:rPr>
          <w:lang w:eastAsia="fr-FR" w:bidi="fr-FR"/>
        </w:rPr>
        <w:t>riques, c’est le plus souvent sous la forme de vastes enquêtes mén</w:t>
      </w:r>
      <w:r w:rsidRPr="004B2498">
        <w:rPr>
          <w:lang w:eastAsia="fr-FR" w:bidi="fr-FR"/>
        </w:rPr>
        <w:t>a</w:t>
      </w:r>
      <w:r w:rsidRPr="004B2498">
        <w:rPr>
          <w:lang w:eastAsia="fr-FR" w:bidi="fr-FR"/>
        </w:rPr>
        <w:t>ges, crispées sur la puissance de leurs modèles et la taille de leur échantillon mais très peu soucieuses de la fiabilité de leurs données ni de la plausibilité de leurs hypothèses. Celles-ci sont souvent insolites voire surréalistes car élaborées à plusieurs milliers de kilomètres des terrains étudiés. La question de l’hétérogénéité des personnes, des s</w:t>
      </w:r>
      <w:r w:rsidRPr="004B2498">
        <w:rPr>
          <w:lang w:eastAsia="fr-FR" w:bidi="fr-FR"/>
        </w:rPr>
        <w:t>i</w:t>
      </w:r>
      <w:r w:rsidRPr="004B2498">
        <w:rPr>
          <w:lang w:eastAsia="fr-FR" w:bidi="fr-FR"/>
        </w:rPr>
        <w:t>tuations et des effets est évacuée car incompatible avec la démonstr</w:t>
      </w:r>
      <w:r w:rsidRPr="004B2498">
        <w:rPr>
          <w:lang w:eastAsia="fr-FR" w:bidi="fr-FR"/>
        </w:rPr>
        <w:t>a</w:t>
      </w:r>
      <w:r w:rsidRPr="004B2498">
        <w:rPr>
          <w:lang w:eastAsia="fr-FR" w:bidi="fr-FR"/>
        </w:rPr>
        <w:t>tion statistique puisque celle-ci suppose de raisonner sur de très larges échantillons. Les liens de causalité sont univoques - A cause B - et donc bien souvent hypersimplistes, incongrus ou évidents. La question de la contextualisation ne se pose pas : c’est la vérité universelle qui est recherchée. Celle du pouvoir et de la structure sociale ne se pose pas non plus : on cherche à étudier des comportements dans un cadre donné, mais le cadre en question n’est pas un « objet » de recherche. Enfin les personnes étudiées se réduisent à des individus atomisés et isolés, dépouillés d’émotions, d’affects et de sentiments, qui se contentent de consommer passivement les services proposés.</w:t>
      </w:r>
    </w:p>
    <w:p w14:paraId="5C7FCE8D" w14:textId="77777777" w:rsidR="002F4063" w:rsidRPr="004B2498" w:rsidRDefault="002F4063" w:rsidP="002F4063">
      <w:pPr>
        <w:spacing w:before="120" w:after="120"/>
        <w:jc w:val="both"/>
      </w:pPr>
      <w:r w:rsidRPr="004B2498">
        <w:rPr>
          <w:lang w:eastAsia="fr-FR" w:bidi="fr-FR"/>
        </w:rPr>
        <w:t>Ce qui est proposé ici est tout autre et vise à réhabiliter une éc</w:t>
      </w:r>
      <w:r w:rsidRPr="004B2498">
        <w:rPr>
          <w:lang w:eastAsia="fr-FR" w:bidi="fr-FR"/>
        </w:rPr>
        <w:t>o</w:t>
      </w:r>
      <w:r w:rsidRPr="004B2498">
        <w:rPr>
          <w:lang w:eastAsia="fr-FR" w:bidi="fr-FR"/>
        </w:rPr>
        <w:t>nomie politique du développement, située et contextualisée, dont le défi permanent consiste à rendre compte à la fois du poids et de l’inertie des rapports de domination et de la capacité de résistance, de subversion, de contournement et de manipulation dont les « dominés » sont capables, de la tension permanente entre ces deux aspects de la réalité et des dynamiques de changement ou tout au moins de reco</w:t>
      </w:r>
      <w:r w:rsidRPr="004B2498">
        <w:rPr>
          <w:lang w:eastAsia="fr-FR" w:bidi="fr-FR"/>
        </w:rPr>
        <w:t>m</w:t>
      </w:r>
      <w:r w:rsidRPr="004B2498">
        <w:rPr>
          <w:lang w:eastAsia="fr-FR" w:bidi="fr-FR"/>
        </w:rPr>
        <w:t>position des rapports sociaux qui en découlent (Harriss-White et Heyer, 2010). Il s’agit de décortiquer la complexité des chaînes de causalité en vue d’élaborer des hypothèses « raisonnables ». Il s’agit également d’appréhender les pratiques économiques comme indiss</w:t>
      </w:r>
      <w:r w:rsidRPr="004B2498">
        <w:rPr>
          <w:lang w:eastAsia="fr-FR" w:bidi="fr-FR"/>
        </w:rPr>
        <w:t>o</w:t>
      </w:r>
      <w:r w:rsidRPr="004B2498">
        <w:rPr>
          <w:lang w:eastAsia="fr-FR" w:bidi="fr-FR"/>
        </w:rPr>
        <w:t>ciables des contextes sociaux, culturels, symboliques et politiques dans lesquels elles émergent. Elles ne sont ni autonomes, ni surdéte</w:t>
      </w:r>
      <w:r w:rsidRPr="004B2498">
        <w:rPr>
          <w:lang w:eastAsia="fr-FR" w:bidi="fr-FR"/>
        </w:rPr>
        <w:t>r</w:t>
      </w:r>
      <w:r w:rsidRPr="004B2498">
        <w:rPr>
          <w:lang w:eastAsia="fr-FR" w:bidi="fr-FR"/>
        </w:rPr>
        <w:t>minées ou encastrées, mais plutôt « imbriquées » (Dufy et Weber, 2007) et « entremêlées » (Zelizer, 2005). La méthode de collecte des données laisse une large part à l’induction et au pragmatisme, en ada</w:t>
      </w:r>
      <w:r w:rsidRPr="004B2498">
        <w:rPr>
          <w:lang w:eastAsia="fr-FR" w:bidi="fr-FR"/>
        </w:rPr>
        <w:t>p</w:t>
      </w:r>
      <w:r w:rsidRPr="004B2498">
        <w:rPr>
          <w:lang w:eastAsia="fr-FR" w:bidi="fr-FR"/>
        </w:rPr>
        <w:t>tant les outils de collecte et d’analyse en fonction des objets de</w:t>
      </w:r>
      <w:r>
        <w:t xml:space="preserve"> </w:t>
      </w:r>
      <w:r w:rsidRPr="004B2498">
        <w:t>[110]</w:t>
      </w:r>
      <w:r>
        <w:t xml:space="preserve"> </w:t>
      </w:r>
      <w:r w:rsidRPr="004B2498">
        <w:rPr>
          <w:lang w:eastAsia="fr-FR" w:bidi="fr-FR"/>
        </w:rPr>
        <w:t>recherche et des terrains</w:t>
      </w:r>
      <w:r>
        <w:rPr>
          <w:lang w:eastAsia="fr-FR" w:bidi="fr-FR"/>
        </w:rPr>
        <w:t> </w:t>
      </w:r>
      <w:r>
        <w:rPr>
          <w:rStyle w:val="Appelnotedebasdep"/>
          <w:lang w:eastAsia="fr-FR" w:bidi="fr-FR"/>
        </w:rPr>
        <w:footnoteReference w:id="76"/>
      </w:r>
      <w:r w:rsidRPr="004B2498">
        <w:rPr>
          <w:lang w:eastAsia="fr-FR" w:bidi="fr-FR"/>
        </w:rPr>
        <w:t>. Les données dont je m’inspire ici sont issues de diverses recherches menées depuis 2003 dans plusieurs zones rurales du Nord et de l’Est du Tamil Nadu </w:t>
      </w:r>
      <w:r>
        <w:rPr>
          <w:rStyle w:val="Appelnotedebasdep"/>
          <w:lang w:eastAsia="fr-FR" w:bidi="fr-FR"/>
        </w:rPr>
        <w:footnoteReference w:id="77"/>
      </w:r>
      <w:r w:rsidRPr="004B2498">
        <w:rPr>
          <w:lang w:eastAsia="fr-FR" w:bidi="fr-FR"/>
        </w:rPr>
        <w:t>, d’abord lors d’un s</w:t>
      </w:r>
      <w:r w:rsidRPr="004B2498">
        <w:rPr>
          <w:lang w:eastAsia="fr-FR" w:bidi="fr-FR"/>
        </w:rPr>
        <w:t>é</w:t>
      </w:r>
      <w:r w:rsidRPr="004B2498">
        <w:rPr>
          <w:lang w:eastAsia="fr-FR" w:bidi="fr-FR"/>
        </w:rPr>
        <w:t>jour de 18 mois à Pondicherry (2003-2004) puis de visites régulières (6 mois de terrain cumulés entre 2005 et 2010) et grâce à une collab</w:t>
      </w:r>
      <w:r w:rsidRPr="004B2498">
        <w:rPr>
          <w:lang w:eastAsia="fr-FR" w:bidi="fr-FR"/>
        </w:rPr>
        <w:t>o</w:t>
      </w:r>
      <w:r w:rsidRPr="004B2498">
        <w:rPr>
          <w:lang w:eastAsia="fr-FR" w:bidi="fr-FR"/>
        </w:rPr>
        <w:t>ration étroite avec des assistants de recherche locaux (Venkatasubr</w:t>
      </w:r>
      <w:r w:rsidRPr="004B2498">
        <w:rPr>
          <w:lang w:eastAsia="fr-FR" w:bidi="fr-FR"/>
        </w:rPr>
        <w:t>a</w:t>
      </w:r>
      <w:r w:rsidRPr="004B2498">
        <w:rPr>
          <w:lang w:eastAsia="fr-FR" w:bidi="fr-FR"/>
        </w:rPr>
        <w:t>m</w:t>
      </w:r>
      <w:r w:rsidRPr="004B2498">
        <w:rPr>
          <w:lang w:eastAsia="fr-FR" w:bidi="fr-FR"/>
        </w:rPr>
        <w:t>a</w:t>
      </w:r>
      <w:r w:rsidRPr="004B2498">
        <w:rPr>
          <w:lang w:eastAsia="fr-FR" w:bidi="fr-FR"/>
        </w:rPr>
        <w:t>nian et Santhosh Kumar).</w:t>
      </w:r>
    </w:p>
    <w:p w14:paraId="2E23DBA1" w14:textId="77777777" w:rsidR="002F4063" w:rsidRPr="004B2498" w:rsidRDefault="002F4063" w:rsidP="002F4063">
      <w:pPr>
        <w:spacing w:before="120" w:after="120"/>
        <w:jc w:val="both"/>
      </w:pPr>
      <w:r w:rsidRPr="004B2498">
        <w:rPr>
          <w:lang w:eastAsia="fr-FR" w:bidi="fr-FR"/>
        </w:rPr>
        <w:t>Ce chapitre regroupe et synthétise tout en les articulant divers tr</w:t>
      </w:r>
      <w:r w:rsidRPr="004B2498">
        <w:rPr>
          <w:lang w:eastAsia="fr-FR" w:bidi="fr-FR"/>
        </w:rPr>
        <w:t>a</w:t>
      </w:r>
      <w:r w:rsidRPr="004B2498">
        <w:rPr>
          <w:lang w:eastAsia="fr-FR" w:bidi="fr-FR"/>
        </w:rPr>
        <w:t>vaux déjà publiés par ailleurs. Pour chaque résultat ne sera donnée qu’une vision synthétique et partielle : ce qui est privilégié ici est une vision globale de la diversité et de l’ambivalence des liens de dette, et de la manière dont la microfinance s’insère dans ce tissu préexistant de dettes.</w:t>
      </w:r>
    </w:p>
    <w:p w14:paraId="30AD7240" w14:textId="77777777" w:rsidR="002F4063" w:rsidRPr="004B2498" w:rsidRDefault="002F4063" w:rsidP="002F4063">
      <w:pPr>
        <w:spacing w:before="120" w:after="120"/>
        <w:jc w:val="both"/>
        <w:rPr>
          <w:szCs w:val="24"/>
          <w:lang w:eastAsia="fr-FR" w:bidi="fr-FR"/>
        </w:rPr>
      </w:pPr>
    </w:p>
    <w:p w14:paraId="0904D506" w14:textId="77777777" w:rsidR="002F4063" w:rsidRPr="004B2498" w:rsidRDefault="002F4063" w:rsidP="002F4063">
      <w:pPr>
        <w:pStyle w:val="a"/>
      </w:pPr>
      <w:r w:rsidRPr="004B2498">
        <w:t>L</w:t>
      </w:r>
      <w:r>
        <w:t>es débats sur la microfinance :</w:t>
      </w:r>
      <w:r>
        <w:br/>
      </w:r>
      <w:r w:rsidRPr="004B2498">
        <w:t>de l’euphorie au déni</w:t>
      </w:r>
    </w:p>
    <w:p w14:paraId="196CFD81" w14:textId="77777777" w:rsidR="002F4063" w:rsidRPr="004B2498" w:rsidRDefault="002F4063" w:rsidP="002F4063">
      <w:pPr>
        <w:spacing w:before="120" w:after="120"/>
        <w:jc w:val="both"/>
        <w:rPr>
          <w:lang w:eastAsia="fr-FR" w:bidi="fr-FR"/>
        </w:rPr>
      </w:pPr>
    </w:p>
    <w:p w14:paraId="05460BCB" w14:textId="77777777" w:rsidR="002F4063" w:rsidRPr="004B2498" w:rsidRDefault="002F4063" w:rsidP="002F4063">
      <w:pPr>
        <w:spacing w:before="120" w:after="120"/>
        <w:jc w:val="both"/>
      </w:pPr>
      <w:r w:rsidRPr="004B2498">
        <w:rPr>
          <w:lang w:eastAsia="fr-FR" w:bidi="fr-FR"/>
        </w:rPr>
        <w:t>Inconnue du public il y a vingt ans, la microfinance s’est consid</w:t>
      </w:r>
      <w:r w:rsidRPr="004B2498">
        <w:rPr>
          <w:lang w:eastAsia="fr-FR" w:bidi="fr-FR"/>
        </w:rPr>
        <w:t>é</w:t>
      </w:r>
      <w:r w:rsidRPr="004B2498">
        <w:rPr>
          <w:lang w:eastAsia="fr-FR" w:bidi="fr-FR"/>
        </w:rPr>
        <w:t>rablement développée pour devenir un outil de développement à part entière, très largement soutenu par la plupart des organisations bilat</w:t>
      </w:r>
      <w:r w:rsidRPr="004B2498">
        <w:rPr>
          <w:lang w:eastAsia="fr-FR" w:bidi="fr-FR"/>
        </w:rPr>
        <w:t>é</w:t>
      </w:r>
      <w:r w:rsidRPr="004B2498">
        <w:rPr>
          <w:lang w:eastAsia="fr-FR" w:bidi="fr-FR"/>
        </w:rPr>
        <w:t>rales et multilatérales. Fin 2009 on estimait qu’environ 640 millions de personnes « pauvres » bénéficiaient de services de microfinance, soit directement, soit par le biais de leurs familles, dont près de 90% en Asie (Reed, 2011). L’Inde, en particulier, comptait en 2010 plus de 86 millions de clients (SaDhan, 2009). En 1997 à Washington, le premier sommet du microcrédit se donnait pour ambition de médiat</w:t>
      </w:r>
      <w:r w:rsidRPr="004B2498">
        <w:rPr>
          <w:lang w:eastAsia="fr-FR" w:bidi="fr-FR"/>
        </w:rPr>
        <w:t>i</w:t>
      </w:r>
      <w:r w:rsidRPr="004B2498">
        <w:rPr>
          <w:lang w:eastAsia="fr-FR" w:bidi="fr-FR"/>
        </w:rPr>
        <w:t>ser l’efficacité de cet outil dans la lutte contre la pauvreté et dont l’apparition était apparentée pour certains à une « révolution de la f</w:t>
      </w:r>
      <w:r w:rsidRPr="004B2498">
        <w:rPr>
          <w:lang w:eastAsia="fr-FR" w:bidi="fr-FR"/>
        </w:rPr>
        <w:t>i</w:t>
      </w:r>
      <w:r w:rsidRPr="004B2498">
        <w:rPr>
          <w:lang w:eastAsia="fr-FR" w:bidi="fr-FR"/>
        </w:rPr>
        <w:t xml:space="preserve">nance », voire à un tournant historique pour l’Humanité (Fernando, 2006). L’année 2005 était déclarée « année du microcrédit » par les Nations unies. L’année suivante le prix Nobel de la paix était attribué à la </w:t>
      </w:r>
      <w:r w:rsidRPr="004B2498">
        <w:t>Grameen Bank</w:t>
      </w:r>
      <w:r w:rsidRPr="004B2498">
        <w:rPr>
          <w:lang w:eastAsia="fr-FR" w:bidi="fr-FR"/>
        </w:rPr>
        <w:t xml:space="preserve"> et à son fondateur Muhammad Yunus, au nom de la lutte contre la pauvreté, de l’émancipation des femmes et de la d</w:t>
      </w:r>
      <w:r w:rsidRPr="004B2498">
        <w:rPr>
          <w:lang w:eastAsia="fr-FR" w:bidi="fr-FR"/>
        </w:rPr>
        <w:t>é</w:t>
      </w:r>
      <w:r w:rsidRPr="004B2498">
        <w:rPr>
          <w:lang w:eastAsia="fr-FR" w:bidi="fr-FR"/>
        </w:rPr>
        <w:t>mocratisation des sociétés locales. Alors même que les démonstr</w:t>
      </w:r>
      <w:r w:rsidRPr="004B2498">
        <w:rPr>
          <w:lang w:eastAsia="fr-FR" w:bidi="fr-FR"/>
        </w:rPr>
        <w:t>a</w:t>
      </w:r>
      <w:r w:rsidRPr="004B2498">
        <w:rPr>
          <w:lang w:eastAsia="fr-FR" w:bidi="fr-FR"/>
        </w:rPr>
        <w:t>tions empiriques rigoureuses faisaient largement défaut</w:t>
      </w:r>
      <w:r>
        <w:rPr>
          <w:lang w:eastAsia="fr-FR" w:bidi="fr-FR"/>
        </w:rPr>
        <w:t> </w:t>
      </w:r>
      <w:r>
        <w:rPr>
          <w:rStyle w:val="Appelnotedebasdep"/>
          <w:lang w:eastAsia="fr-FR" w:bidi="fr-FR"/>
        </w:rPr>
        <w:footnoteReference w:id="78"/>
      </w:r>
      <w:r w:rsidRPr="004B2498">
        <w:rPr>
          <w:lang w:eastAsia="fr-FR" w:bidi="fr-FR"/>
        </w:rPr>
        <w:t>, les vertus de la microfinance en matière de lutte contre la pauvreté étaient et sont encore très largement relayées par diverses personnalités politico-médiatiques. Le professeur</w:t>
      </w:r>
      <w:r w:rsidRPr="004B2498">
        <w:t xml:space="preserve"> [111]</w:t>
      </w:r>
      <w:r>
        <w:t xml:space="preserve"> </w:t>
      </w:r>
      <w:r w:rsidRPr="004B2498">
        <w:rPr>
          <w:lang w:eastAsia="fr-FR" w:bidi="fr-FR"/>
        </w:rPr>
        <w:t>Yunus en fait son leitmotiv, affi</w:t>
      </w:r>
      <w:r w:rsidRPr="004B2498">
        <w:rPr>
          <w:lang w:eastAsia="fr-FR" w:bidi="fr-FR"/>
        </w:rPr>
        <w:t>r</w:t>
      </w:r>
      <w:r w:rsidRPr="004B2498">
        <w:rPr>
          <w:lang w:eastAsia="fr-FR" w:bidi="fr-FR"/>
        </w:rPr>
        <w:t>mant lors de sa nobélisation puis dans un ouvrage paru ensuite que la microfinance permettrait de créer « un monde sans pauvreté » (Yunus, 2007). Jacques Attali, fo</w:t>
      </w:r>
      <w:r w:rsidRPr="004B2498">
        <w:rPr>
          <w:lang w:eastAsia="fr-FR" w:bidi="fr-FR"/>
        </w:rPr>
        <w:t>n</w:t>
      </w:r>
      <w:r w:rsidRPr="004B2498">
        <w:rPr>
          <w:lang w:eastAsia="fr-FR" w:bidi="fr-FR"/>
        </w:rPr>
        <w:t>dateur de Planetfinance, soutient que « la pauvreté pourrait être vai</w:t>
      </w:r>
      <w:r w:rsidRPr="004B2498">
        <w:rPr>
          <w:lang w:eastAsia="fr-FR" w:bidi="fr-FR"/>
        </w:rPr>
        <w:t>n</w:t>
      </w:r>
      <w:r w:rsidRPr="004B2498">
        <w:rPr>
          <w:lang w:eastAsia="fr-FR" w:bidi="fr-FR"/>
        </w:rPr>
        <w:t>cue mondialement par un développement généralisé et professionnel de la microfinance qui constituera aussi, dans l’avenir, un formidable ma</w:t>
      </w:r>
      <w:r w:rsidRPr="004B2498">
        <w:rPr>
          <w:lang w:eastAsia="fr-FR" w:bidi="fr-FR"/>
        </w:rPr>
        <w:t>r</w:t>
      </w:r>
      <w:r w:rsidRPr="004B2498">
        <w:rPr>
          <w:lang w:eastAsia="fr-FR" w:bidi="fr-FR"/>
        </w:rPr>
        <w:t>ché pour les banques commerciales » (Attali, 2006 : 115).</w:t>
      </w:r>
    </w:p>
    <w:p w14:paraId="6B3F1A9F" w14:textId="77777777" w:rsidR="002F4063" w:rsidRPr="004B2498" w:rsidRDefault="002F4063" w:rsidP="002F4063">
      <w:pPr>
        <w:spacing w:before="120" w:after="120"/>
        <w:jc w:val="both"/>
      </w:pPr>
      <w:r w:rsidRPr="004B2498">
        <w:rPr>
          <w:lang w:eastAsia="fr-FR" w:bidi="fr-FR"/>
        </w:rPr>
        <w:t>De toute évidence la microfinance doit son succès médiatique à un ancrage néolibéral dans lequel elle puise ses fondements et qu’elle contribue en retour à légitimer (Bateman, 2010 ; Fernando, 2006 ; Servet, 2006). Le microcrédit, écrit Yunus, « n’est qu’un outil qui permet aux rêves de se réaliser et aide les plus pauvres et infortunés de la planète à maintenir leur dignité, le respect et à donner un sens à leur vie » (Yunus, 2007 : 15). En portant aux nues l’énergie et la cré</w:t>
      </w:r>
      <w:r w:rsidRPr="004B2498">
        <w:rPr>
          <w:lang w:eastAsia="fr-FR" w:bidi="fr-FR"/>
        </w:rPr>
        <w:t>a</w:t>
      </w:r>
      <w:r w:rsidRPr="004B2498">
        <w:rPr>
          <w:lang w:eastAsia="fr-FR" w:bidi="fr-FR"/>
        </w:rPr>
        <w:t>tivité entrepreneuriales des pauvres, Yunus rejoint la mouvance du capitalisme populaire, très en vogue depuis les best-sellers d’économistes comme de Soto (</w:t>
      </w:r>
      <w:r w:rsidRPr="00C04C14">
        <w:rPr>
          <w:i/>
        </w:rPr>
        <w:t>The mistery of capital</w:t>
      </w:r>
      <w:r w:rsidRPr="004B2498">
        <w:rPr>
          <w:lang w:eastAsia="fr-FR" w:bidi="fr-FR"/>
        </w:rPr>
        <w:t>, 2002) ou Pr</w:t>
      </w:r>
      <w:r w:rsidRPr="004B2498">
        <w:rPr>
          <w:lang w:eastAsia="fr-FR" w:bidi="fr-FR"/>
        </w:rPr>
        <w:t>a</w:t>
      </w:r>
      <w:r w:rsidRPr="004B2498">
        <w:rPr>
          <w:lang w:eastAsia="fr-FR" w:bidi="fr-FR"/>
        </w:rPr>
        <w:t>halad (</w:t>
      </w:r>
      <w:r w:rsidRPr="00C04C14">
        <w:rPr>
          <w:i/>
        </w:rPr>
        <w:t>The fortune at the bottom of the pyramid</w:t>
      </w:r>
      <w:r w:rsidRPr="004B2498">
        <w:t>,</w:t>
      </w:r>
      <w:r w:rsidRPr="004B2498">
        <w:rPr>
          <w:lang w:eastAsia="fr-FR" w:bidi="fr-FR"/>
        </w:rPr>
        <w:t xml:space="preserve"> 2004), dont le point commun consiste à vanter la richesse cachée des pauvres. Ces de</w:t>
      </w:r>
      <w:r w:rsidRPr="004B2498">
        <w:rPr>
          <w:lang w:eastAsia="fr-FR" w:bidi="fr-FR"/>
        </w:rPr>
        <w:t>r</w:t>
      </w:r>
      <w:r w:rsidRPr="004B2498">
        <w:rPr>
          <w:lang w:eastAsia="fr-FR" w:bidi="fr-FR"/>
        </w:rPr>
        <w:t xml:space="preserve">niers, est-il avancé, ont des talents insoupçonnés d’entrepreneurs ou de consommateurs qu’il suffirait de libérer en offrant du crédit, en simplifiant les droits de propriété et en incitant les multinationales à s’intéresser à cette niche de marché. Ce n’est pas le capitalisme qui provoquerait la pauvreté mais son insuffisance. Vibrant plaidoyer pour le microcrédit consommation, le récent ouvrage de Collins </w:t>
      </w:r>
      <w:r w:rsidRPr="004B2498">
        <w:t>et al. (</w:t>
      </w:r>
      <w:r w:rsidRPr="00C04C14">
        <w:rPr>
          <w:i/>
        </w:rPr>
        <w:t>The portfolios of the poor</w:t>
      </w:r>
      <w:r w:rsidRPr="004B2498">
        <w:rPr>
          <w:lang w:eastAsia="fr-FR" w:bidi="fr-FR"/>
        </w:rPr>
        <w:t>, 2009), dont l’un des auteurs est un éc</w:t>
      </w:r>
      <w:r w:rsidRPr="004B2498">
        <w:rPr>
          <w:lang w:eastAsia="fr-FR" w:bidi="fr-FR"/>
        </w:rPr>
        <w:t>o</w:t>
      </w:r>
      <w:r w:rsidRPr="004B2498">
        <w:rPr>
          <w:lang w:eastAsia="fr-FR" w:bidi="fr-FR"/>
        </w:rPr>
        <w:t>nomiste très réputé, peut également se lire comme un éloge du capit</w:t>
      </w:r>
      <w:r w:rsidRPr="004B2498">
        <w:rPr>
          <w:lang w:eastAsia="fr-FR" w:bidi="fr-FR"/>
        </w:rPr>
        <w:t>a</w:t>
      </w:r>
      <w:r w:rsidRPr="004B2498">
        <w:rPr>
          <w:lang w:eastAsia="fr-FR" w:bidi="fr-FR"/>
        </w:rPr>
        <w:t>lisme populaire.</w:t>
      </w:r>
    </w:p>
    <w:p w14:paraId="6EED4896" w14:textId="77777777" w:rsidR="002F4063" w:rsidRPr="004B2498" w:rsidRDefault="002F4063" w:rsidP="002F4063">
      <w:pPr>
        <w:spacing w:before="120" w:after="120"/>
        <w:jc w:val="both"/>
      </w:pPr>
      <w:r w:rsidRPr="004B2498">
        <w:rPr>
          <w:lang w:eastAsia="fr-FR" w:bidi="fr-FR"/>
        </w:rPr>
        <w:t>Alors que d’autres catégories marginalisées ne suscitent guère d’attention, les femmes sont au cœur de cette « révolution financi</w:t>
      </w:r>
      <w:r w:rsidRPr="004B2498">
        <w:rPr>
          <w:lang w:eastAsia="fr-FR" w:bidi="fr-FR"/>
        </w:rPr>
        <w:t>è</w:t>
      </w:r>
      <w:r w:rsidRPr="004B2498">
        <w:rPr>
          <w:lang w:eastAsia="fr-FR" w:bidi="fr-FR"/>
        </w:rPr>
        <w:t xml:space="preserve">re ». Diverses sources indiquent qu’elles représentent environ les deux tiers de la clientèle (D’Espallier </w:t>
      </w:r>
      <w:r w:rsidRPr="004B2498">
        <w:t>et al.,</w:t>
      </w:r>
      <w:r w:rsidRPr="004B2498">
        <w:rPr>
          <w:lang w:eastAsia="fr-FR" w:bidi="fr-FR"/>
        </w:rPr>
        <w:t xml:space="preserve"> 2011). Dans son rapport de 2007 intitulé </w:t>
      </w:r>
      <w:r w:rsidRPr="00C04C14">
        <w:rPr>
          <w:i/>
        </w:rPr>
        <w:t>La finance pour tous</w:t>
      </w:r>
      <w:r w:rsidRPr="004B2498">
        <w:rPr>
          <w:lang w:eastAsia="fr-FR" w:bidi="fr-FR"/>
        </w:rPr>
        <w:t>, la Banque mondiale réaffirme un argument déjà ancien (Mayoux, 1999) : le ciblage féminin de la m</w:t>
      </w:r>
      <w:r w:rsidRPr="004B2498">
        <w:rPr>
          <w:lang w:eastAsia="fr-FR" w:bidi="fr-FR"/>
        </w:rPr>
        <w:t>i</w:t>
      </w:r>
      <w:r w:rsidRPr="004B2498">
        <w:rPr>
          <w:lang w:eastAsia="fr-FR" w:bidi="fr-FR"/>
        </w:rPr>
        <w:t>crofinance aurait à la fois un intérêt commercial - les femmes re</w:t>
      </w:r>
      <w:r w:rsidRPr="004B2498">
        <w:rPr>
          <w:lang w:eastAsia="fr-FR" w:bidi="fr-FR"/>
        </w:rPr>
        <w:t>m</w:t>
      </w:r>
      <w:r w:rsidRPr="004B2498">
        <w:rPr>
          <w:lang w:eastAsia="fr-FR" w:bidi="fr-FR"/>
        </w:rPr>
        <w:t>boursent mieux - et un intérêt social - l’amélioration sensible du bien-être des femmes et de leurs familles (World Bank, 2007 : 123).</w:t>
      </w:r>
    </w:p>
    <w:p w14:paraId="20068207" w14:textId="77777777" w:rsidR="002F4063" w:rsidRPr="004B2498" w:rsidRDefault="002F4063" w:rsidP="002F4063">
      <w:pPr>
        <w:spacing w:before="120" w:after="120"/>
        <w:jc w:val="both"/>
      </w:pPr>
      <w:r w:rsidRPr="004B2498">
        <w:rPr>
          <w:lang w:eastAsia="fr-FR" w:bidi="fr-FR"/>
        </w:rPr>
        <w:t>De multiples critiques se sont élevées contre les mythes et les ill</w:t>
      </w:r>
      <w:r w:rsidRPr="004B2498">
        <w:rPr>
          <w:lang w:eastAsia="fr-FR" w:bidi="fr-FR"/>
        </w:rPr>
        <w:t>u</w:t>
      </w:r>
      <w:r w:rsidRPr="004B2498">
        <w:rPr>
          <w:lang w:eastAsia="fr-FR" w:bidi="fr-FR"/>
        </w:rPr>
        <w:t>sions de cet ancrage néolibéral et patriarcal. En misant sur l’émancipation des pauvres par le marché, en particulier celle des femmes, la microfinance contribuerait surtout à véhiculer une vision économique, individuelle et apolitique de la pauvreté, et ce faisant à légitimer le désengagement et le</w:t>
      </w:r>
      <w:r w:rsidRPr="004B2498">
        <w:t xml:space="preserve"> [112]</w:t>
      </w:r>
      <w:r>
        <w:t xml:space="preserve"> </w:t>
      </w:r>
      <w:r w:rsidRPr="004B2498">
        <w:rPr>
          <w:lang w:eastAsia="fr-FR" w:bidi="fr-FR"/>
        </w:rPr>
        <w:t>démantèlement de l’intervention publique</w:t>
      </w:r>
      <w:r>
        <w:rPr>
          <w:lang w:eastAsia="fr-FR" w:bidi="fr-FR"/>
        </w:rPr>
        <w:t> </w:t>
      </w:r>
      <w:r>
        <w:rPr>
          <w:rStyle w:val="Appelnotedebasdep"/>
          <w:lang w:eastAsia="fr-FR" w:bidi="fr-FR"/>
        </w:rPr>
        <w:footnoteReference w:id="79"/>
      </w:r>
      <w:r w:rsidRPr="004B2498">
        <w:rPr>
          <w:lang w:eastAsia="fr-FR" w:bidi="fr-FR"/>
        </w:rPr>
        <w:t>. En réduisant la cré</w:t>
      </w:r>
      <w:r w:rsidRPr="004B2498">
        <w:rPr>
          <w:lang w:eastAsia="fr-FR" w:bidi="fr-FR"/>
        </w:rPr>
        <w:t>a</w:t>
      </w:r>
      <w:r w:rsidRPr="004B2498">
        <w:rPr>
          <w:lang w:eastAsia="fr-FR" w:bidi="fr-FR"/>
        </w:rPr>
        <w:t>tion d’entreprise à une question de débrouillardise et d’accès à quelques dizaines ou centa</w:t>
      </w:r>
      <w:r w:rsidRPr="004B2498">
        <w:rPr>
          <w:lang w:eastAsia="fr-FR" w:bidi="fr-FR"/>
        </w:rPr>
        <w:t>i</w:t>
      </w:r>
      <w:r w:rsidRPr="004B2498">
        <w:rPr>
          <w:lang w:eastAsia="fr-FR" w:bidi="fr-FR"/>
        </w:rPr>
        <w:t>nes d’euros, la microfinance aurait surtout pour effet de créer une masse de miséreux, plus proches du modèle d’auto-exploitation décrit par Chayanov que de l’entrepreneur schu</w:t>
      </w:r>
      <w:r w:rsidRPr="004B2498">
        <w:rPr>
          <w:lang w:eastAsia="fr-FR" w:bidi="fr-FR"/>
        </w:rPr>
        <w:t>m</w:t>
      </w:r>
      <w:r w:rsidRPr="004B2498">
        <w:rPr>
          <w:lang w:eastAsia="fr-FR" w:bidi="fr-FR"/>
        </w:rPr>
        <w:t>péterien (Bateman, 2010). En déléguant aux femmes des responsabilités mult</w:t>
      </w:r>
      <w:r w:rsidRPr="004B2498">
        <w:rPr>
          <w:lang w:eastAsia="fr-FR" w:bidi="fr-FR"/>
        </w:rPr>
        <w:t>i</w:t>
      </w:r>
      <w:r w:rsidRPr="004B2498">
        <w:rPr>
          <w:lang w:eastAsia="fr-FR" w:bidi="fr-FR"/>
        </w:rPr>
        <w:t>ples (« participation » à des réunions d’emprunteurs et à des séances de sensibilisation et de formation, animation des groupes, co</w:t>
      </w:r>
      <w:r w:rsidRPr="004B2498">
        <w:rPr>
          <w:lang w:eastAsia="fr-FR" w:bidi="fr-FR"/>
        </w:rPr>
        <w:t>l</w:t>
      </w:r>
      <w:r w:rsidRPr="004B2498">
        <w:rPr>
          <w:lang w:eastAsia="fr-FR" w:bidi="fr-FR"/>
        </w:rPr>
        <w:t>lecte de l’épargne et des remboursements, etc.), la microfinance consisterait surtout à alourdir le quotidien des femmes et leur charge de travail gratuit, renforçant d’autant leur subordination</w:t>
      </w:r>
      <w:r>
        <w:rPr>
          <w:lang w:eastAsia="fr-FR" w:bidi="fr-FR"/>
        </w:rPr>
        <w:t> </w:t>
      </w:r>
      <w:r>
        <w:rPr>
          <w:rStyle w:val="Appelnotedebasdep"/>
          <w:lang w:eastAsia="fr-FR" w:bidi="fr-FR"/>
        </w:rPr>
        <w:footnoteReference w:id="80"/>
      </w:r>
      <w:r w:rsidRPr="004B2498">
        <w:rPr>
          <w:lang w:eastAsia="fr-FR" w:bidi="fr-FR"/>
        </w:rPr>
        <w:t>. Est également d</w:t>
      </w:r>
      <w:r w:rsidRPr="004B2498">
        <w:rPr>
          <w:lang w:eastAsia="fr-FR" w:bidi="fr-FR"/>
        </w:rPr>
        <w:t>é</w:t>
      </w:r>
      <w:r w:rsidRPr="004B2498">
        <w:rPr>
          <w:lang w:eastAsia="fr-FR" w:bidi="fr-FR"/>
        </w:rPr>
        <w:t>noncé, à juste titre, la manière dont la microfinance s’ancre dans une naturalisation et une essentialisation de la féminité qui frôlent la car</w:t>
      </w:r>
      <w:r w:rsidRPr="004B2498">
        <w:rPr>
          <w:lang w:eastAsia="fr-FR" w:bidi="fr-FR"/>
        </w:rPr>
        <w:t>i</w:t>
      </w:r>
      <w:r w:rsidRPr="004B2498">
        <w:rPr>
          <w:lang w:eastAsia="fr-FR" w:bidi="fr-FR"/>
        </w:rPr>
        <w:t>cature (« les femmes sont plus solidaires », « les femmes remboursent mieux », « les femmes sont plus disciplinées », etc.), tout en reprodu</w:t>
      </w:r>
      <w:r w:rsidRPr="004B2498">
        <w:rPr>
          <w:lang w:eastAsia="fr-FR" w:bidi="fr-FR"/>
        </w:rPr>
        <w:t>i</w:t>
      </w:r>
      <w:r w:rsidRPr="004B2498">
        <w:rPr>
          <w:lang w:eastAsia="fr-FR" w:bidi="fr-FR"/>
        </w:rPr>
        <w:t>sant cette naturalisation : bien souvent les montants des microcrédits sont tout juste suffisants pour gérer la trésorerie famili</w:t>
      </w:r>
      <w:r w:rsidRPr="004B2498">
        <w:rPr>
          <w:lang w:eastAsia="fr-FR" w:bidi="fr-FR"/>
        </w:rPr>
        <w:t>a</w:t>
      </w:r>
      <w:r w:rsidRPr="004B2498">
        <w:rPr>
          <w:lang w:eastAsia="fr-FR" w:bidi="fr-FR"/>
        </w:rPr>
        <w:t>le. Dans le contexte indien, divers travaux empiriques montrent que la microf</w:t>
      </w:r>
      <w:r w:rsidRPr="004B2498">
        <w:rPr>
          <w:lang w:eastAsia="fr-FR" w:bidi="fr-FR"/>
        </w:rPr>
        <w:t>i</w:t>
      </w:r>
      <w:r w:rsidRPr="004B2498">
        <w:rPr>
          <w:lang w:eastAsia="fr-FR" w:bidi="fr-FR"/>
        </w:rPr>
        <w:t>nance, largement soutenue par l’interventionnisme étatique et fédéral, se substitue à d’autres dépenses publiques (Rao, 2008), tout en repr</w:t>
      </w:r>
      <w:r w:rsidRPr="004B2498">
        <w:rPr>
          <w:lang w:eastAsia="fr-FR" w:bidi="fr-FR"/>
        </w:rPr>
        <w:t>o</w:t>
      </w:r>
      <w:r w:rsidRPr="004B2498">
        <w:rPr>
          <w:lang w:eastAsia="fr-FR" w:bidi="fr-FR"/>
        </w:rPr>
        <w:t>duisant des inégalités de caste, de classe et de genre (Garik</w:t>
      </w:r>
      <w:r w:rsidRPr="004B2498">
        <w:rPr>
          <w:lang w:eastAsia="fr-FR" w:bidi="fr-FR"/>
        </w:rPr>
        <w:t>i</w:t>
      </w:r>
      <w:r w:rsidRPr="004B2498">
        <w:rPr>
          <w:lang w:eastAsia="fr-FR" w:bidi="fr-FR"/>
        </w:rPr>
        <w:t>pati, 2008 ; Rao, 2008 ; Pattenden, 2010). Si le mouvement féministe i</w:t>
      </w:r>
      <w:r w:rsidRPr="004B2498">
        <w:rPr>
          <w:lang w:eastAsia="fr-FR" w:bidi="fr-FR"/>
        </w:rPr>
        <w:t>n</w:t>
      </w:r>
      <w:r w:rsidRPr="004B2498">
        <w:rPr>
          <w:lang w:eastAsia="fr-FR" w:bidi="fr-FR"/>
        </w:rPr>
        <w:t>dien est loin d’être homogène, la critique à l’égard du microcrédit fait l’objet d’un quasi-consensus : le microcrédit ne serait ni plus ni moins qu’une dépolitisation du développement, utilisé pour convertir les femmes indiennes pauvres en instruments de l’agenda néolibéral, niant tout questionnement concernant les facteurs structurels d’oppression des femmes, qu’ils soient économiques, idéologiques, culturels, sociaux ou politiques (Batliwala et Dhanraj, 2007).</w:t>
      </w:r>
    </w:p>
    <w:p w14:paraId="34B710CC" w14:textId="77777777" w:rsidR="002F4063" w:rsidRPr="004B2498" w:rsidRDefault="002F4063" w:rsidP="002F4063">
      <w:pPr>
        <w:spacing w:before="120" w:after="120"/>
        <w:jc w:val="both"/>
      </w:pPr>
      <w:r w:rsidRPr="004B2498">
        <w:rPr>
          <w:lang w:eastAsia="fr-FR" w:bidi="fr-FR"/>
        </w:rPr>
        <w:t>À l’heure où j’écris ces lignes - mai 2011 - l’heure de gloire de la microfinance semble avoir sonné. Les études randomisées, consid</w:t>
      </w:r>
      <w:r w:rsidRPr="004B2498">
        <w:rPr>
          <w:lang w:eastAsia="fr-FR" w:bidi="fr-FR"/>
        </w:rPr>
        <w:t>é</w:t>
      </w:r>
      <w:r w:rsidRPr="004B2498">
        <w:rPr>
          <w:lang w:eastAsia="fr-FR" w:bidi="fr-FR"/>
        </w:rPr>
        <w:t>rées aujourd’hui par nombre d’acteurs comme la seule preuve possible d’impact en dépit de leurs faiblesses théoriques, éthiques et techniques (Labrousse, 2008 ; Bernard, 2011), contestent sérieusement les effets de la microfinance en matière d’action contre la pauvreté (Barnerjee et Duflo, 2011). Plusieurs régions du monde sont confrontées à des cr</w:t>
      </w:r>
      <w:r w:rsidRPr="004B2498">
        <w:rPr>
          <w:lang w:eastAsia="fr-FR" w:bidi="fr-FR"/>
        </w:rPr>
        <w:t>i</w:t>
      </w:r>
      <w:r w:rsidRPr="004B2498">
        <w:rPr>
          <w:lang w:eastAsia="fr-FR" w:bidi="fr-FR"/>
        </w:rPr>
        <w:t>ses d’impayés sans précédent, se traduisant par des suicides ou des révoltes. Avec le Nicaragua et le Pakistan, l’Inde - plus précisément l’État de l’Andhra Pradesh - est en première ligne. Ces crises révèlent le surendettement des clients et/ou selon les lieux une perte de légit</w:t>
      </w:r>
      <w:r w:rsidRPr="004B2498">
        <w:rPr>
          <w:lang w:eastAsia="fr-FR" w:bidi="fr-FR"/>
        </w:rPr>
        <w:t>i</w:t>
      </w:r>
      <w:r w:rsidRPr="004B2498">
        <w:rPr>
          <w:lang w:eastAsia="fr-FR" w:bidi="fr-FR"/>
        </w:rPr>
        <w:t>mité et de confiance dans les institutions de microfinance.</w:t>
      </w:r>
    </w:p>
    <w:p w14:paraId="6E0C3C2C" w14:textId="77777777" w:rsidR="002F4063" w:rsidRPr="004B2498" w:rsidRDefault="002F4063" w:rsidP="002F4063">
      <w:pPr>
        <w:spacing w:before="120" w:after="120"/>
        <w:jc w:val="both"/>
      </w:pPr>
      <w:r w:rsidRPr="004B2498">
        <w:t>[113]</w:t>
      </w:r>
    </w:p>
    <w:p w14:paraId="666D4A8F" w14:textId="77777777" w:rsidR="002F4063" w:rsidRPr="004B2498" w:rsidRDefault="002F4063" w:rsidP="002F4063">
      <w:pPr>
        <w:spacing w:before="120" w:after="120"/>
        <w:jc w:val="both"/>
      </w:pPr>
      <w:r w:rsidRPr="004B2498">
        <w:rPr>
          <w:lang w:eastAsia="fr-FR" w:bidi="fr-FR"/>
        </w:rPr>
        <w:t>confirmant les dérives dénoncées depuis déjà plusieurs années (Fouillet, 2006  ; Roesch, 2006) mais que les praticiens et décideurs du secteur n’ont jamais su ni voulu entendre. L’éviction de Muha</w:t>
      </w:r>
      <w:r w:rsidRPr="004B2498">
        <w:rPr>
          <w:lang w:eastAsia="fr-FR" w:bidi="fr-FR"/>
        </w:rPr>
        <w:t>m</w:t>
      </w:r>
      <w:r w:rsidRPr="004B2498">
        <w:rPr>
          <w:lang w:eastAsia="fr-FR" w:bidi="fr-FR"/>
        </w:rPr>
        <w:t>mad Yunus à la tête de la Grameen Bank par le gouvernement du Bangladesh et les multiples polémiques qui ont suivi montrent que l’image du secteur est sérieusement ébranlée.</w:t>
      </w:r>
    </w:p>
    <w:p w14:paraId="09D2436B" w14:textId="77777777" w:rsidR="002F4063" w:rsidRPr="004B2498" w:rsidRDefault="002F4063" w:rsidP="002F4063">
      <w:pPr>
        <w:spacing w:before="120" w:after="120"/>
        <w:jc w:val="both"/>
      </w:pPr>
      <w:r w:rsidRPr="004B2498">
        <w:rPr>
          <w:lang w:eastAsia="fr-FR" w:bidi="fr-FR"/>
        </w:rPr>
        <w:t>Au vu des dérives mentionnées ci-dessus, et dans la mouvance des approches poststructuralistes ou déconstructionnistes du développ</w:t>
      </w:r>
      <w:r w:rsidRPr="004B2498">
        <w:rPr>
          <w:lang w:eastAsia="fr-FR" w:bidi="fr-FR"/>
        </w:rPr>
        <w:t>e</w:t>
      </w:r>
      <w:r w:rsidRPr="004B2498">
        <w:rPr>
          <w:lang w:eastAsia="fr-FR" w:bidi="fr-FR"/>
        </w:rPr>
        <w:t>ment, il est tentant de réduire la microfinance à une création perverse, orientée par les intérêts de l’Occident, du grand capital ou encore du patriarcat sous couvert de mission sociale. Il est bien entendu très utile et souhaitable de décrypter de manière critique les discours du dév</w:t>
      </w:r>
      <w:r w:rsidRPr="004B2498">
        <w:rPr>
          <w:lang w:eastAsia="fr-FR" w:bidi="fr-FR"/>
        </w:rPr>
        <w:t>e</w:t>
      </w:r>
      <w:r w:rsidRPr="004B2498">
        <w:rPr>
          <w:lang w:eastAsia="fr-FR" w:bidi="fr-FR"/>
        </w:rPr>
        <w:t>loppement, leur production idéologique et de voir comment celle-ci s’inscrit, reproduit ou accélère une vision néo-libérale, occidentale et patriarcale des sociétés (Bagayoko-Penone et Hours, 2005 ; Hours et Selim, 2010). Il est également nécessaire, et c’est l’objectif des r</w:t>
      </w:r>
      <w:r w:rsidRPr="004B2498">
        <w:rPr>
          <w:lang w:eastAsia="fr-FR" w:bidi="fr-FR"/>
        </w:rPr>
        <w:t>e</w:t>
      </w:r>
      <w:r w:rsidRPr="004B2498">
        <w:rPr>
          <w:lang w:eastAsia="fr-FR" w:bidi="fr-FR"/>
        </w:rPr>
        <w:t>cherches décrites ici, d’étudier la manière dont les politiques de dév</w:t>
      </w:r>
      <w:r w:rsidRPr="004B2498">
        <w:rPr>
          <w:lang w:eastAsia="fr-FR" w:bidi="fr-FR"/>
        </w:rPr>
        <w:t>e</w:t>
      </w:r>
      <w:r w:rsidRPr="004B2498">
        <w:rPr>
          <w:lang w:eastAsia="fr-FR" w:bidi="fr-FR"/>
        </w:rPr>
        <w:t>loppement - et ici en l’occurrence la microfinance - sont parties pr</w:t>
      </w:r>
      <w:r w:rsidRPr="004B2498">
        <w:rPr>
          <w:lang w:eastAsia="fr-FR" w:bidi="fr-FR"/>
        </w:rPr>
        <w:t>e</w:t>
      </w:r>
      <w:r w:rsidRPr="004B2498">
        <w:rPr>
          <w:lang w:eastAsia="fr-FR" w:bidi="fr-FR"/>
        </w:rPr>
        <w:t>nantes de dynamiques économiques, sociales et politiques en cours dans les sociétés locales. Les rhétoriques, les manipulations, les su</w:t>
      </w:r>
      <w:r w:rsidRPr="004B2498">
        <w:rPr>
          <w:lang w:eastAsia="fr-FR" w:bidi="fr-FR"/>
        </w:rPr>
        <w:t>b</w:t>
      </w:r>
      <w:r w:rsidRPr="004B2498">
        <w:rPr>
          <w:lang w:eastAsia="fr-FR" w:bidi="fr-FR"/>
        </w:rPr>
        <w:t>versions et les mises en scènes ne viennent pas uniquement « d’en haut ». Elles opèrent tout au long de la chaîne de mise en œuvre du développement tout en étant consubstantielles de processus structurels beaucoup plus larges (Olivier de Sardan, 2001 ; Mosse, 2005). Il se</w:t>
      </w:r>
      <w:r w:rsidRPr="004B2498">
        <w:rPr>
          <w:lang w:eastAsia="fr-FR" w:bidi="fr-FR"/>
        </w:rPr>
        <w:t>m</w:t>
      </w:r>
      <w:r w:rsidRPr="004B2498">
        <w:rPr>
          <w:lang w:eastAsia="fr-FR" w:bidi="fr-FR"/>
        </w:rPr>
        <w:t>ble donc utile et nécessaire de se pencher sur les usages sociaux et quotidiens de la microfinance, en s’intéressant à la fois aux « bénéficiaires » de ces services et à celles et ceux qui les mettent en œuvre. Examiner les capacités d’agir et de penser de ceux « d’en bas » ne signifie pas qu’il faille les réifier ni surestimer leur potentiel de r</w:t>
      </w:r>
      <w:r w:rsidRPr="004B2498">
        <w:rPr>
          <w:lang w:eastAsia="fr-FR" w:bidi="fr-FR"/>
        </w:rPr>
        <w:t>é</w:t>
      </w:r>
      <w:r w:rsidRPr="004B2498">
        <w:rPr>
          <w:lang w:eastAsia="fr-FR" w:bidi="fr-FR"/>
        </w:rPr>
        <w:t>sistance, de subversion ou de transformation. L’analyse suppose une interrogation permanente sur la manière dont ces capacités sont con</w:t>
      </w:r>
      <w:r w:rsidRPr="004B2498">
        <w:rPr>
          <w:lang w:eastAsia="fr-FR" w:bidi="fr-FR"/>
        </w:rPr>
        <w:t>s</w:t>
      </w:r>
      <w:r w:rsidRPr="004B2498">
        <w:rPr>
          <w:lang w:eastAsia="fr-FR" w:bidi="fr-FR"/>
        </w:rPr>
        <w:t>titutives de rapports sociaux et de rapports de pouvoir.</w:t>
      </w:r>
    </w:p>
    <w:p w14:paraId="62710FD3" w14:textId="77777777" w:rsidR="002F4063" w:rsidRPr="004B2498" w:rsidRDefault="002F4063" w:rsidP="002F4063">
      <w:pPr>
        <w:spacing w:before="120" w:after="120"/>
        <w:jc w:val="both"/>
      </w:pPr>
      <w:r w:rsidRPr="004B2498">
        <w:rPr>
          <w:lang w:eastAsia="fr-FR" w:bidi="fr-FR"/>
        </w:rPr>
        <w:t>Explorer la vie sociale de la microfinance, cela suppose aussi de prendre au sérieux la manière dont les personnes vivent, pensent, et s’approprient la monnaie et la dette, et la manière dont la microfina</w:t>
      </w:r>
      <w:r w:rsidRPr="004B2498">
        <w:rPr>
          <w:lang w:eastAsia="fr-FR" w:bidi="fr-FR"/>
        </w:rPr>
        <w:t>n</w:t>
      </w:r>
      <w:r w:rsidRPr="004B2498">
        <w:rPr>
          <w:lang w:eastAsia="fr-FR" w:bidi="fr-FR"/>
        </w:rPr>
        <w:t>ce s’articule avec l’ensemble des liens de dette qui tissent la vie soci</w:t>
      </w:r>
      <w:r w:rsidRPr="004B2498">
        <w:rPr>
          <w:lang w:eastAsia="fr-FR" w:bidi="fr-FR"/>
        </w:rPr>
        <w:t>a</w:t>
      </w:r>
      <w:r w:rsidRPr="004B2498">
        <w:rPr>
          <w:lang w:eastAsia="fr-FR" w:bidi="fr-FR"/>
        </w:rPr>
        <w:t>le et la structure sociale. La microfinance ne représente qu’une très maigre part de l’endettement des femmes et des hommes, lesquels ont des pratiques ancestrales d’emprunt et d’épargne, même s’il s’agit principalement de pratiques dites informelles, au sens où elles ne sont pas, ou mal, statistiquement enregistrées par les États, et parce qu’elles ne se conforment pas aux moules juridiques organisant les relations d’échange et de financement (80 à 90% selon les diverses analyses menées dans cette recherche). Bien au-delà de la microfina</w:t>
      </w:r>
      <w:r w:rsidRPr="004B2498">
        <w:rPr>
          <w:lang w:eastAsia="fr-FR" w:bidi="fr-FR"/>
        </w:rPr>
        <w:t>n</w:t>
      </w:r>
      <w:r w:rsidRPr="004B2498">
        <w:rPr>
          <w:lang w:eastAsia="fr-FR" w:bidi="fr-FR"/>
        </w:rPr>
        <w:t>ce, l’Inde rurale du Sud foisonne de prêteurs de statut très divers avec lesquels les</w:t>
      </w:r>
      <w:r>
        <w:t xml:space="preserve"> </w:t>
      </w:r>
      <w:r w:rsidRPr="004B2498">
        <w:t>[114]</w:t>
      </w:r>
      <w:r>
        <w:t xml:space="preserve"> </w:t>
      </w:r>
      <w:r w:rsidRPr="004B2498">
        <w:rPr>
          <w:lang w:eastAsia="fr-FR" w:bidi="fr-FR"/>
        </w:rPr>
        <w:t>populations, hommes et femmes, riches et pauvres, jonglent au quotidien : employeurs et recruteurs de main-d’œuvre, sociétés de crédit consommation, prêteurs sur gages, agences banca</w:t>
      </w:r>
      <w:r w:rsidRPr="004B2498">
        <w:rPr>
          <w:lang w:eastAsia="fr-FR" w:bidi="fr-FR"/>
        </w:rPr>
        <w:t>i</w:t>
      </w:r>
      <w:r w:rsidRPr="004B2498">
        <w:rPr>
          <w:lang w:eastAsia="fr-FR" w:bidi="fr-FR"/>
        </w:rPr>
        <w:t>res, prêteurs ambulants, notables locaux, voisins et entourage familial en sont les figures les plus fréquentes. Étudier en détail les vécus de la dette su</w:t>
      </w:r>
      <w:r w:rsidRPr="004B2498">
        <w:rPr>
          <w:lang w:eastAsia="fr-FR" w:bidi="fr-FR"/>
        </w:rPr>
        <w:t>p</w:t>
      </w:r>
      <w:r w:rsidRPr="004B2498">
        <w:rPr>
          <w:lang w:eastAsia="fr-FR" w:bidi="fr-FR"/>
        </w:rPr>
        <w:t>pose par ailleurs de considérer sa dimension foncièrement sociale.</w:t>
      </w:r>
    </w:p>
    <w:p w14:paraId="2678F516" w14:textId="77777777" w:rsidR="002F4063" w:rsidRPr="004B2498" w:rsidRDefault="002F4063" w:rsidP="002F4063">
      <w:pPr>
        <w:spacing w:before="120" w:after="120"/>
        <w:jc w:val="both"/>
        <w:rPr>
          <w:szCs w:val="24"/>
          <w:lang w:eastAsia="fr-FR" w:bidi="fr-FR"/>
        </w:rPr>
      </w:pPr>
    </w:p>
    <w:p w14:paraId="095F01E5" w14:textId="77777777" w:rsidR="002F4063" w:rsidRPr="004B2498" w:rsidRDefault="002F4063" w:rsidP="002F4063">
      <w:pPr>
        <w:pStyle w:val="a"/>
      </w:pPr>
      <w:r w:rsidRPr="004B2498">
        <w:t>L’hypothèse de la dette fondatrice</w:t>
      </w:r>
    </w:p>
    <w:p w14:paraId="1CD86AD0" w14:textId="77777777" w:rsidR="002F4063" w:rsidRPr="004B2498" w:rsidRDefault="002F4063" w:rsidP="002F4063">
      <w:pPr>
        <w:spacing w:before="120" w:after="120"/>
        <w:jc w:val="both"/>
        <w:rPr>
          <w:lang w:eastAsia="fr-FR" w:bidi="fr-FR"/>
        </w:rPr>
      </w:pPr>
    </w:p>
    <w:p w14:paraId="35865F04" w14:textId="77777777" w:rsidR="002F4063" w:rsidRPr="004B2498" w:rsidRDefault="002F4063" w:rsidP="002F4063">
      <w:pPr>
        <w:spacing w:before="120" w:after="120"/>
        <w:jc w:val="both"/>
      </w:pPr>
      <w:r w:rsidRPr="004B2498">
        <w:rPr>
          <w:lang w:eastAsia="fr-FR" w:bidi="fr-FR"/>
        </w:rPr>
        <w:t>La monnaie est généralement pensée comme l’objet économique par excellence, en tant que tel vecteur de l’individualisation et de l’abolition des hiérarchies et des privilèges statutaires. Le principe de base de l’outil monétaire — unité de compte et support standardisé de paiements ou de règlements - est supposé permettre la création de r</w:t>
      </w:r>
      <w:r w:rsidRPr="004B2498">
        <w:rPr>
          <w:lang w:eastAsia="fr-FR" w:bidi="fr-FR"/>
        </w:rPr>
        <w:t>e</w:t>
      </w:r>
      <w:r w:rsidRPr="004B2498">
        <w:rPr>
          <w:lang w:eastAsia="fr-FR" w:bidi="fr-FR"/>
        </w:rPr>
        <w:t>lations contractuelles entre individus considérés comme égaux. Or l’analyse des pratiques monétaires, à partir de travaux d’ethnologues et d’historiens, révèle à quel point ce caractère impersonnel et anon</w:t>
      </w:r>
      <w:r w:rsidRPr="004B2498">
        <w:rPr>
          <w:lang w:eastAsia="fr-FR" w:bidi="fr-FR"/>
        </w:rPr>
        <w:t>y</w:t>
      </w:r>
      <w:r w:rsidRPr="004B2498">
        <w:rPr>
          <w:lang w:eastAsia="fr-FR" w:bidi="fr-FR"/>
        </w:rPr>
        <w:t>me conféré à la monnaie est illusoire </w:t>
      </w:r>
      <w:r>
        <w:rPr>
          <w:rStyle w:val="Appelnotedebasdep"/>
          <w:lang w:eastAsia="fr-FR" w:bidi="fr-FR"/>
        </w:rPr>
        <w:footnoteReference w:id="81"/>
      </w:r>
      <w:r w:rsidRPr="004B2498">
        <w:rPr>
          <w:lang w:eastAsia="fr-FR" w:bidi="fr-FR"/>
        </w:rPr>
        <w:t>. La monnaie, et en réalité les usages auxquels elle donne lieu, est avant tout un construit social. La monnaie est imbriquée dans des relations préexistantes de droits et d’obligations qu’elle peut infléchir mais qu’elle ne peut en aucun cas démanteler. Esquissée par des auteurs institutionnalistes tels que Commons (Maucourant, 1993 ; Théret, 2001) et Polanyi (Servet, 1993), l’hypothèse de la dette sociale fondatrice et constitutive de l’échange monétaire est reprise par l’équipe française pluridisciplina</w:t>
      </w:r>
      <w:r w:rsidRPr="004B2498">
        <w:rPr>
          <w:lang w:eastAsia="fr-FR" w:bidi="fr-FR"/>
        </w:rPr>
        <w:t>i</w:t>
      </w:r>
      <w:r w:rsidRPr="004B2498">
        <w:rPr>
          <w:lang w:eastAsia="fr-FR" w:bidi="fr-FR"/>
        </w:rPr>
        <w:t xml:space="preserve">re auteur de </w:t>
      </w:r>
      <w:r w:rsidRPr="004B2498">
        <w:t>La monnaie souveraine</w:t>
      </w:r>
      <w:r w:rsidRPr="004B2498">
        <w:rPr>
          <w:lang w:eastAsia="fr-FR" w:bidi="fr-FR"/>
        </w:rPr>
        <w:t xml:space="preserve"> (Aglietta et Orléan, 1998).</w:t>
      </w:r>
    </w:p>
    <w:p w14:paraId="7EF7F1CB" w14:textId="77777777" w:rsidR="002F4063" w:rsidRPr="004B2498" w:rsidRDefault="002F4063" w:rsidP="002F4063">
      <w:pPr>
        <w:spacing w:before="120" w:after="120"/>
        <w:jc w:val="both"/>
      </w:pPr>
      <w:r w:rsidRPr="004B2498">
        <w:rPr>
          <w:lang w:eastAsia="fr-FR" w:bidi="fr-FR"/>
        </w:rPr>
        <w:t>Il ne s’agit pas de nier le potentiel émancipateur de la monétaris</w:t>
      </w:r>
      <w:r w:rsidRPr="004B2498">
        <w:rPr>
          <w:lang w:eastAsia="fr-FR" w:bidi="fr-FR"/>
        </w:rPr>
        <w:t>a</w:t>
      </w:r>
      <w:r w:rsidRPr="004B2498">
        <w:rPr>
          <w:lang w:eastAsia="fr-FR" w:bidi="fr-FR"/>
        </w:rPr>
        <w:t>tion et des relations marchandes, mais de nuancer les hypothèses d'universalité, de liquidité et de fongibilité monétaire et de s’intéresser aux usages de la monnaie plutôt qu’à ses fonctions, (Blanc, 2000 ; Théret, 2008). Les pratiques personnelles montrent que l’universalité monétaire n’est que très relative, le marquage moral et social des di</w:t>
      </w:r>
      <w:r w:rsidRPr="004B2498">
        <w:rPr>
          <w:lang w:eastAsia="fr-FR" w:bidi="fr-FR"/>
        </w:rPr>
        <w:t>f</w:t>
      </w:r>
      <w:r w:rsidRPr="004B2498">
        <w:rPr>
          <w:lang w:eastAsia="fr-FR" w:bidi="fr-FR"/>
        </w:rPr>
        <w:t>férents moyens de paiement et des différents flux monétaires les rend non interchangeables, cloisonne leur usage et par conséquent limite fortement leur fongibilité.</w:t>
      </w:r>
    </w:p>
    <w:p w14:paraId="0903F4AE" w14:textId="77777777" w:rsidR="002F4063" w:rsidRPr="004B2498" w:rsidRDefault="002F4063" w:rsidP="002F4063">
      <w:pPr>
        <w:spacing w:before="120" w:after="120"/>
        <w:jc w:val="both"/>
      </w:pPr>
      <w:r w:rsidRPr="004B2498">
        <w:rPr>
          <w:lang w:eastAsia="fr-FR" w:bidi="fr-FR"/>
        </w:rPr>
        <w:t>Il s’agit également de rompre avec l’opposition entre don et ma</w:t>
      </w:r>
      <w:r w:rsidRPr="004B2498">
        <w:rPr>
          <w:lang w:eastAsia="fr-FR" w:bidi="fr-FR"/>
        </w:rPr>
        <w:t>r</w:t>
      </w:r>
      <w:r w:rsidRPr="004B2498">
        <w:rPr>
          <w:lang w:eastAsia="fr-FR" w:bidi="fr-FR"/>
        </w:rPr>
        <w:t>ché (Akin et Robbins, 1999 ; Weber, 2000, 2007 ; Zelizer, 1994, 2005). La sphère du don serait celle de la perpétuation des dettes à l'infini et de l’interdépendance, celle-ci étant pensée comme un sy</w:t>
      </w:r>
      <w:r w:rsidRPr="004B2498">
        <w:rPr>
          <w:lang w:eastAsia="fr-FR" w:bidi="fr-FR"/>
        </w:rPr>
        <w:t>m</w:t>
      </w:r>
      <w:r w:rsidRPr="004B2498">
        <w:rPr>
          <w:lang w:eastAsia="fr-FR" w:bidi="fr-FR"/>
        </w:rPr>
        <w:t>bole soit de l’économie morale villageoise et communautaire ou d</w:t>
      </w:r>
      <w:r w:rsidRPr="004B2498">
        <w:rPr>
          <w:lang w:eastAsia="fr-FR" w:bidi="fr-FR"/>
        </w:rPr>
        <w:t>o</w:t>
      </w:r>
      <w:r w:rsidRPr="004B2498">
        <w:rPr>
          <w:lang w:eastAsia="fr-FR" w:bidi="fr-FR"/>
        </w:rPr>
        <w:t>mestique, soit de</w:t>
      </w:r>
      <w:r>
        <w:t xml:space="preserve"> </w:t>
      </w:r>
      <w:r w:rsidRPr="004B2498">
        <w:t>[115]</w:t>
      </w:r>
      <w:r>
        <w:t xml:space="preserve"> </w:t>
      </w:r>
      <w:r w:rsidRPr="004B2498">
        <w:rPr>
          <w:lang w:eastAsia="fr-FR" w:bidi="fr-FR"/>
        </w:rPr>
        <w:t>formes d’exploitation de type féodal ou p</w:t>
      </w:r>
      <w:r w:rsidRPr="004B2498">
        <w:rPr>
          <w:lang w:eastAsia="fr-FR" w:bidi="fr-FR"/>
        </w:rPr>
        <w:t>a</w:t>
      </w:r>
      <w:r w:rsidRPr="004B2498">
        <w:rPr>
          <w:lang w:eastAsia="fr-FR" w:bidi="fr-FR"/>
        </w:rPr>
        <w:t xml:space="preserve">triarcal. Inversement la sphère marchande serait synonyme à la fois d’égalité, d’individualisme et d’indépendance, le paiement permettant de clore chaque transaction. Comme le suggèrent Akin &amp; Robins (1999) et Zelizer (2005), l’analyse des pratiques révèle plutôt un </w:t>
      </w:r>
      <w:r w:rsidRPr="00C04C14">
        <w:rPr>
          <w:i/>
        </w:rPr>
        <w:t>continuum</w:t>
      </w:r>
      <w:r w:rsidRPr="004B2498">
        <w:rPr>
          <w:lang w:eastAsia="fr-FR" w:bidi="fr-FR"/>
        </w:rPr>
        <w:t xml:space="preserve"> de relations de dette dont la nature dépend de la combina</w:t>
      </w:r>
      <w:r w:rsidRPr="004B2498">
        <w:rPr>
          <w:lang w:eastAsia="fr-FR" w:bidi="fr-FR"/>
        </w:rPr>
        <w:t>i</w:t>
      </w:r>
      <w:r w:rsidRPr="004B2498">
        <w:rPr>
          <w:lang w:eastAsia="fr-FR" w:bidi="fr-FR"/>
        </w:rPr>
        <w:t>son de trois d</w:t>
      </w:r>
      <w:r w:rsidRPr="004B2498">
        <w:rPr>
          <w:lang w:eastAsia="fr-FR" w:bidi="fr-FR"/>
        </w:rPr>
        <w:t>i</w:t>
      </w:r>
      <w:r w:rsidRPr="004B2498">
        <w:rPr>
          <w:lang w:eastAsia="fr-FR" w:bidi="fr-FR"/>
        </w:rPr>
        <w:t>mensions : les relations préexistantes entre créancier et débiteur, les modalités de l’échange (marchand ou non) et le médium de l’échange (monétaire ou non).</w:t>
      </w:r>
    </w:p>
    <w:p w14:paraId="77CE7B78" w14:textId="77777777" w:rsidR="002F4063" w:rsidRPr="004B2498" w:rsidRDefault="002F4063" w:rsidP="002F4063">
      <w:pPr>
        <w:spacing w:before="120" w:after="120"/>
        <w:jc w:val="both"/>
      </w:pPr>
      <w:r w:rsidRPr="004B2498">
        <w:rPr>
          <w:lang w:eastAsia="fr-FR" w:bidi="fr-FR"/>
        </w:rPr>
        <w:t>À la suite de Commons, il s’agit enfin de distinguer deux types de dettes : celles dont on peut se libérer, et celles dont on reste priso</w:t>
      </w:r>
      <w:r w:rsidRPr="004B2498">
        <w:rPr>
          <w:lang w:eastAsia="fr-FR" w:bidi="fr-FR"/>
        </w:rPr>
        <w:t>n</w:t>
      </w:r>
      <w:r w:rsidRPr="004B2498">
        <w:rPr>
          <w:lang w:eastAsia="fr-FR" w:bidi="fr-FR"/>
        </w:rPr>
        <w:t>nier, quel que soit le paiement. Commons suggère que dans toute s</w:t>
      </w:r>
      <w:r w:rsidRPr="004B2498">
        <w:rPr>
          <w:lang w:eastAsia="fr-FR" w:bidi="fr-FR"/>
        </w:rPr>
        <w:t>o</w:t>
      </w:r>
      <w:r w:rsidRPr="004B2498">
        <w:rPr>
          <w:lang w:eastAsia="fr-FR" w:bidi="fr-FR"/>
        </w:rPr>
        <w:t xml:space="preserve">ciété, le lien social procède de ces deux types de dette : les dettes dites d’autorité </w:t>
      </w:r>
      <w:r w:rsidRPr="004B2498">
        <w:t xml:space="preserve">(authoritative debt), </w:t>
      </w:r>
      <w:r w:rsidRPr="004B2498">
        <w:rPr>
          <w:lang w:eastAsia="fr-FR" w:bidi="fr-FR"/>
        </w:rPr>
        <w:t xml:space="preserve">qui représentent les relations de l’individu au tout de la société, qui sont imposées et dont on ne peut se libérer tandis que les dettes autorisées </w:t>
      </w:r>
      <w:r w:rsidRPr="004B2498">
        <w:t>(</w:t>
      </w:r>
      <w:r w:rsidRPr="00C04C14">
        <w:rPr>
          <w:i/>
        </w:rPr>
        <w:t>authorized debts</w:t>
      </w:r>
      <w:r w:rsidRPr="004B2498">
        <w:t>)</w:t>
      </w:r>
      <w:r w:rsidRPr="004B2498">
        <w:rPr>
          <w:lang w:eastAsia="fr-FR" w:bidi="fr-FR"/>
        </w:rPr>
        <w:t xml:space="preserve"> sont v</w:t>
      </w:r>
      <w:r w:rsidRPr="004B2498">
        <w:rPr>
          <w:lang w:eastAsia="fr-FR" w:bidi="fr-FR"/>
        </w:rPr>
        <w:t>o</w:t>
      </w:r>
      <w:r w:rsidRPr="004B2498">
        <w:rPr>
          <w:lang w:eastAsia="fr-FR" w:bidi="fr-FR"/>
        </w:rPr>
        <w:t>lontaires, négociables et le lien qu’elles instituent peut être coupé par un paiement monétaire (Commons, 1934 [1990] ; voir sur ce point Théret, 2001 : 91). Comprendre la diversité des formes de transaction et leur entremêlement avec d’autres sphères de la vie sociale suppose précisément de tenir compte de cette distinction entre dettes d’autorité et dettes autorisées, entre dettes libérables et dettes non libérables. Or les dettes libérables ne peuvent exister et se déployer que dans des contextes institutionnels, économiques et politiques tout à fait spécif</w:t>
      </w:r>
      <w:r w:rsidRPr="004B2498">
        <w:rPr>
          <w:lang w:eastAsia="fr-FR" w:bidi="fr-FR"/>
        </w:rPr>
        <w:t>i</w:t>
      </w:r>
      <w:r w:rsidRPr="004B2498">
        <w:rPr>
          <w:lang w:eastAsia="fr-FR" w:bidi="fr-FR"/>
        </w:rPr>
        <w:t xml:space="preserve">ques (Aglietta </w:t>
      </w:r>
      <w:r w:rsidRPr="004B2498">
        <w:t>et al</w:t>
      </w:r>
      <w:r w:rsidRPr="004B2498">
        <w:rPr>
          <w:lang w:eastAsia="fr-FR" w:bidi="fr-FR"/>
        </w:rPr>
        <w:t>., 1998 ; Théret, 1995, 1998). L’émergence de fo</w:t>
      </w:r>
      <w:r w:rsidRPr="004B2498">
        <w:rPr>
          <w:lang w:eastAsia="fr-FR" w:bidi="fr-FR"/>
        </w:rPr>
        <w:t>r</w:t>
      </w:r>
      <w:r w:rsidRPr="004B2498">
        <w:rPr>
          <w:lang w:eastAsia="fr-FR" w:bidi="fr-FR"/>
        </w:rPr>
        <w:t>mes contractuelles et horizontales de dettes, permettant l’émergence d’une sphère économique relativement autonome du p</w:t>
      </w:r>
      <w:r w:rsidRPr="004B2498">
        <w:rPr>
          <w:lang w:eastAsia="fr-FR" w:bidi="fr-FR"/>
        </w:rPr>
        <w:t>o</w:t>
      </w:r>
      <w:r w:rsidRPr="004B2498">
        <w:rPr>
          <w:lang w:eastAsia="fr-FR" w:bidi="fr-FR"/>
        </w:rPr>
        <w:t>litique et du religieux, est indissociable de l’émergence d’une autre forme de de</w:t>
      </w:r>
      <w:r w:rsidRPr="004B2498">
        <w:rPr>
          <w:lang w:eastAsia="fr-FR" w:bidi="fr-FR"/>
        </w:rPr>
        <w:t>t</w:t>
      </w:r>
      <w:r w:rsidRPr="004B2498">
        <w:rPr>
          <w:lang w:eastAsia="fr-FR" w:bidi="fr-FR"/>
        </w:rPr>
        <w:t>te : une dette fiscale et sociale, dont les membres de la nation sont d</w:t>
      </w:r>
      <w:r w:rsidRPr="004B2498">
        <w:rPr>
          <w:lang w:eastAsia="fr-FR" w:bidi="fr-FR"/>
        </w:rPr>
        <w:t>é</w:t>
      </w:r>
      <w:r w:rsidRPr="004B2498">
        <w:rPr>
          <w:lang w:eastAsia="fr-FR" w:bidi="fr-FR"/>
        </w:rPr>
        <w:t>sormais les créanciers et l’État le débiteur. Ce dernier assure la prote</w:t>
      </w:r>
      <w:r w:rsidRPr="004B2498">
        <w:rPr>
          <w:lang w:eastAsia="fr-FR" w:bidi="fr-FR"/>
        </w:rPr>
        <w:t>c</w:t>
      </w:r>
      <w:r w:rsidRPr="004B2498">
        <w:rPr>
          <w:lang w:eastAsia="fr-FR" w:bidi="fr-FR"/>
        </w:rPr>
        <w:t xml:space="preserve">tion de ses membres </w:t>
      </w:r>
      <w:r w:rsidRPr="004B2498">
        <w:t>via</w:t>
      </w:r>
      <w:r w:rsidRPr="004B2498">
        <w:rPr>
          <w:lang w:eastAsia="fr-FR" w:bidi="fr-FR"/>
        </w:rPr>
        <w:t xml:space="preserve"> l’exercice et le monopole de la violence lég</w:t>
      </w:r>
      <w:r w:rsidRPr="004B2498">
        <w:rPr>
          <w:lang w:eastAsia="fr-FR" w:bidi="fr-FR"/>
        </w:rPr>
        <w:t>i</w:t>
      </w:r>
      <w:r w:rsidRPr="004B2498">
        <w:rPr>
          <w:lang w:eastAsia="fr-FR" w:bidi="fr-FR"/>
        </w:rPr>
        <w:t>time, la garantie des droits de propriété et de la sécurité des transa</w:t>
      </w:r>
      <w:r w:rsidRPr="004B2498">
        <w:rPr>
          <w:lang w:eastAsia="fr-FR" w:bidi="fr-FR"/>
        </w:rPr>
        <w:t>c</w:t>
      </w:r>
      <w:r w:rsidRPr="004B2498">
        <w:rPr>
          <w:lang w:eastAsia="fr-FR" w:bidi="fr-FR"/>
        </w:rPr>
        <w:t>tions, par la mise en place d’une protection sociale unive</w:t>
      </w:r>
      <w:r w:rsidRPr="004B2498">
        <w:rPr>
          <w:lang w:eastAsia="fr-FR" w:bidi="fr-FR"/>
        </w:rPr>
        <w:t>r</w:t>
      </w:r>
      <w:r w:rsidRPr="004B2498">
        <w:rPr>
          <w:lang w:eastAsia="fr-FR" w:bidi="fr-FR"/>
        </w:rPr>
        <w:t>salisée et enfin la reconnaissance de la souveraineté des individus. Alors que dans les sociétés indifférenciées, les personnes naissent e</w:t>
      </w:r>
      <w:r w:rsidRPr="004B2498">
        <w:rPr>
          <w:lang w:eastAsia="fr-FR" w:bidi="fr-FR"/>
        </w:rPr>
        <w:t>n</w:t>
      </w:r>
      <w:r w:rsidRPr="004B2498">
        <w:rPr>
          <w:lang w:eastAsia="fr-FR" w:bidi="fr-FR"/>
        </w:rPr>
        <w:t>dettées - à l’égard des ancêtres, des Dieux ou de l’au-delà - les sociétés dites m</w:t>
      </w:r>
      <w:r w:rsidRPr="004B2498">
        <w:rPr>
          <w:lang w:eastAsia="fr-FR" w:bidi="fr-FR"/>
        </w:rPr>
        <w:t>o</w:t>
      </w:r>
      <w:r w:rsidRPr="004B2498">
        <w:rPr>
          <w:lang w:eastAsia="fr-FR" w:bidi="fr-FR"/>
        </w:rPr>
        <w:t>dernes se caractérisent par un dédoublement de la dette - avec déso</w:t>
      </w:r>
      <w:r w:rsidRPr="004B2498">
        <w:rPr>
          <w:lang w:eastAsia="fr-FR" w:bidi="fr-FR"/>
        </w:rPr>
        <w:t>r</w:t>
      </w:r>
      <w:r w:rsidRPr="004B2498">
        <w:rPr>
          <w:lang w:eastAsia="fr-FR" w:bidi="fr-FR"/>
        </w:rPr>
        <w:t>mais la coexistence de dettes privées et de dettes publiques - et le re</w:t>
      </w:r>
      <w:r w:rsidRPr="004B2498">
        <w:rPr>
          <w:lang w:eastAsia="fr-FR" w:bidi="fr-FR"/>
        </w:rPr>
        <w:t>n</w:t>
      </w:r>
      <w:r w:rsidRPr="004B2498">
        <w:rPr>
          <w:lang w:eastAsia="fr-FR" w:bidi="fr-FR"/>
        </w:rPr>
        <w:t>versement de la dette. Les dettes privées sont dans un ra</w:t>
      </w:r>
      <w:r w:rsidRPr="004B2498">
        <w:rPr>
          <w:lang w:eastAsia="fr-FR" w:bidi="fr-FR"/>
        </w:rPr>
        <w:t>p</w:t>
      </w:r>
      <w:r w:rsidRPr="004B2498">
        <w:rPr>
          <w:lang w:eastAsia="fr-FR" w:bidi="fr-FR"/>
        </w:rPr>
        <w:t>port inversé par rapport au temps : « [la dette] ne renvoie plus à un endettement passé contracté sur un mode religieux et dans l’en deçà de la vie h</w:t>
      </w:r>
      <w:r w:rsidRPr="004B2498">
        <w:rPr>
          <w:lang w:eastAsia="fr-FR" w:bidi="fr-FR"/>
        </w:rPr>
        <w:t>u</w:t>
      </w:r>
      <w:r w:rsidRPr="004B2498">
        <w:rPr>
          <w:lang w:eastAsia="fr-FR" w:bidi="fr-FR"/>
        </w:rPr>
        <w:t>maine, elle est désormais sécularisée et fondée sur des a</w:t>
      </w:r>
      <w:r w:rsidRPr="004B2498">
        <w:rPr>
          <w:lang w:eastAsia="fr-FR" w:bidi="fr-FR"/>
        </w:rPr>
        <w:t>n</w:t>
      </w:r>
      <w:r w:rsidRPr="004B2498">
        <w:rPr>
          <w:lang w:eastAsia="fr-FR" w:bidi="fr-FR"/>
        </w:rPr>
        <w:t>ticipations du futur » (Théret, 1998 : 255). Les dettes publiques inversent la rel</w:t>
      </w:r>
      <w:r w:rsidRPr="004B2498">
        <w:rPr>
          <w:lang w:eastAsia="fr-FR" w:bidi="fr-FR"/>
        </w:rPr>
        <w:t>a</w:t>
      </w:r>
      <w:r w:rsidRPr="004B2498">
        <w:rPr>
          <w:lang w:eastAsia="fr-FR" w:bidi="fr-FR"/>
        </w:rPr>
        <w:t>tion créancier/débiteur : c’est l’État qui est endetté à l’égard de ses membres, en leur garantissant une certaine protection dès leur nai</w:t>
      </w:r>
      <w:r w:rsidRPr="004B2498">
        <w:rPr>
          <w:lang w:eastAsia="fr-FR" w:bidi="fr-FR"/>
        </w:rPr>
        <w:t>s</w:t>
      </w:r>
      <w:r w:rsidRPr="004B2498">
        <w:rPr>
          <w:lang w:eastAsia="fr-FR" w:bidi="fr-FR"/>
        </w:rPr>
        <w:t>sance. L’histoire a très largement mis en évidence la</w:t>
      </w:r>
      <w:r>
        <w:t xml:space="preserve"> </w:t>
      </w:r>
      <w:r w:rsidRPr="004B2498">
        <w:t>[116]</w:t>
      </w:r>
      <w:r>
        <w:t xml:space="preserve"> </w:t>
      </w:r>
      <w:r w:rsidRPr="004B2498">
        <w:rPr>
          <w:lang w:eastAsia="fr-FR" w:bidi="fr-FR"/>
        </w:rPr>
        <w:t>co-création et l’interdépendance étroite entre l’émergence des de</w:t>
      </w:r>
      <w:r w:rsidRPr="004B2498">
        <w:rPr>
          <w:lang w:eastAsia="fr-FR" w:bidi="fr-FR"/>
        </w:rPr>
        <w:t>t</w:t>
      </w:r>
      <w:r w:rsidRPr="004B2498">
        <w:rPr>
          <w:lang w:eastAsia="fr-FR" w:bidi="fr-FR"/>
        </w:rPr>
        <w:t>tes privées et publiques, entre économie capitaliste, salariat et instit</w:t>
      </w:r>
      <w:r w:rsidRPr="004B2498">
        <w:rPr>
          <w:lang w:eastAsia="fr-FR" w:bidi="fr-FR"/>
        </w:rPr>
        <w:t>u</w:t>
      </w:r>
      <w:r w:rsidRPr="004B2498">
        <w:rPr>
          <w:lang w:eastAsia="fr-FR" w:bidi="fr-FR"/>
        </w:rPr>
        <w:t>tionnalisation d’un État fiscal et social : c’est l’existence de cette dette suprême, dont les personnes sont créancières, qui peut libérer de toutes les a</w:t>
      </w:r>
      <w:r w:rsidRPr="004B2498">
        <w:rPr>
          <w:lang w:eastAsia="fr-FR" w:bidi="fr-FR"/>
        </w:rPr>
        <w:t>u</w:t>
      </w:r>
      <w:r w:rsidRPr="004B2498">
        <w:rPr>
          <w:lang w:eastAsia="fr-FR" w:bidi="fr-FR"/>
        </w:rPr>
        <w:t>tres ou tout au moins d’une partie (Théret, 2010). Lorsque Simmel étudie les effets de la monétarisation sur l’autonomisation de l’économique et l’objectivation des relations sociales — processus dont on a dit plus haut qu’il avait été largement surestimé, mais qui existe bel et bien — il montre que l’outil monétaire n’est qu’un ve</w:t>
      </w:r>
      <w:r w:rsidRPr="004B2498">
        <w:rPr>
          <w:lang w:eastAsia="fr-FR" w:bidi="fr-FR"/>
        </w:rPr>
        <w:t>c</w:t>
      </w:r>
      <w:r w:rsidRPr="004B2498">
        <w:rPr>
          <w:lang w:eastAsia="fr-FR" w:bidi="fr-FR"/>
        </w:rPr>
        <w:t>teur parmi d’autres : l’abstraction intellectuelle et le droit, dit-il, sont également parties prenantes de ce processus. 11 semble que toutes les sociétés soient ainsi un « tissu de dettes », « qui ne se limite pas à des dettes marchandes contractuelles mais qui comprend aussi des dettes (de vie) de caractère vertical (constitutives de l’ordre politique) et di</w:t>
      </w:r>
      <w:r w:rsidRPr="004B2498">
        <w:rPr>
          <w:lang w:eastAsia="fr-FR" w:bidi="fr-FR"/>
        </w:rPr>
        <w:t>a</w:t>
      </w:r>
      <w:r w:rsidRPr="004B2498">
        <w:rPr>
          <w:lang w:eastAsia="fr-FR" w:bidi="fr-FR"/>
        </w:rPr>
        <w:t xml:space="preserve">gonal (constitutives de l’ordre domestique) » (Théret, 2009), et dont la forme et l’agencement sont ensuite très variables selon les sociétés et les périodes de leur histoire (Servet </w:t>
      </w:r>
      <w:r w:rsidRPr="004B2498">
        <w:t>et al.,</w:t>
      </w:r>
      <w:r w:rsidRPr="004B2498">
        <w:rPr>
          <w:lang w:eastAsia="fr-FR" w:bidi="fr-FR"/>
        </w:rPr>
        <w:t xml:space="preserve"> 2008).</w:t>
      </w:r>
    </w:p>
    <w:p w14:paraId="476396A4" w14:textId="77777777" w:rsidR="002F4063" w:rsidRPr="004B2498" w:rsidRDefault="002F4063" w:rsidP="002F4063">
      <w:pPr>
        <w:spacing w:before="120" w:after="120"/>
        <w:jc w:val="both"/>
        <w:rPr>
          <w:lang w:eastAsia="fr-FR" w:bidi="fr-FR"/>
        </w:rPr>
      </w:pPr>
      <w:r w:rsidRPr="004B2498">
        <w:rPr>
          <w:lang w:eastAsia="fr-FR" w:bidi="fr-FR"/>
        </w:rPr>
        <w:t>La dette, écrit Charles Malamoud, « organise la vie sociale, et donc la vie de l’homme, en tant qu’être social : elle fait de sa présence au monde un réseau de liens, un filet qui l’emprisonne en même temps qu'il le soutient » (Malamoud, 1988 : 14). Inspiré du vocabulaire san</w:t>
      </w:r>
      <w:r w:rsidRPr="004B2498">
        <w:rPr>
          <w:lang w:eastAsia="fr-FR" w:bidi="fr-FR"/>
        </w:rPr>
        <w:t>s</w:t>
      </w:r>
      <w:r w:rsidRPr="004B2498">
        <w:rPr>
          <w:lang w:eastAsia="fr-FR" w:bidi="fr-FR"/>
        </w:rPr>
        <w:t>crit dans la pensée brahmanique, ce texte fondateur de Charles Mal</w:t>
      </w:r>
      <w:r w:rsidRPr="004B2498">
        <w:rPr>
          <w:lang w:eastAsia="fr-FR" w:bidi="fr-FR"/>
        </w:rPr>
        <w:t>a</w:t>
      </w:r>
      <w:r w:rsidRPr="004B2498">
        <w:rPr>
          <w:lang w:eastAsia="fr-FR" w:bidi="fr-FR"/>
        </w:rPr>
        <w:t>moud décrivant la dette comme l’élément structurant de l’existence humaine dans le contexte indien rend très bien compte des usages et des pratiques contemporaines de la dette que j’ai observés. L’importance de la dette y est la fois matérielle et morale : matérielle, dans le sens où l’encours d’endettement monétaire des populations est en moyenne élevé en comparaison d’autres contextes</w:t>
      </w:r>
      <w:r>
        <w:rPr>
          <w:lang w:eastAsia="fr-FR" w:bidi="fr-FR"/>
        </w:rPr>
        <w:t> </w:t>
      </w:r>
      <w:r>
        <w:rPr>
          <w:rStyle w:val="Appelnotedebasdep"/>
          <w:lang w:eastAsia="fr-FR" w:bidi="fr-FR"/>
        </w:rPr>
        <w:footnoteReference w:id="82"/>
      </w:r>
      <w:r w:rsidRPr="004B2498">
        <w:rPr>
          <w:lang w:eastAsia="fr-FR" w:bidi="fr-FR"/>
        </w:rPr>
        <w:t> ; morale, dans le sens où les personnes se définissent et se pensent en fonction de leur endettement, quelle que soit sa forme, tout en restant débitrices de leur dette de vie. Les dettes libérables, contractuelles et horizontales, pou</w:t>
      </w:r>
      <w:r w:rsidRPr="004B2498">
        <w:rPr>
          <w:lang w:eastAsia="fr-FR" w:bidi="fr-FR"/>
        </w:rPr>
        <w:t>r</w:t>
      </w:r>
      <w:r w:rsidRPr="004B2498">
        <w:rPr>
          <w:lang w:eastAsia="fr-FR" w:bidi="fr-FR"/>
        </w:rPr>
        <w:t>tant très largement souhaitées et revendiquées, ont ainsi bien du mal à se déployer et les subversions de la microfinance en sont une illustr</w:t>
      </w:r>
      <w:r w:rsidRPr="004B2498">
        <w:rPr>
          <w:lang w:eastAsia="fr-FR" w:bidi="fr-FR"/>
        </w:rPr>
        <w:t>a</w:t>
      </w:r>
      <w:r w:rsidRPr="004B2498">
        <w:rPr>
          <w:lang w:eastAsia="fr-FR" w:bidi="fr-FR"/>
        </w:rPr>
        <w:t>tion.</w:t>
      </w:r>
    </w:p>
    <w:p w14:paraId="5296E8B8" w14:textId="77777777" w:rsidR="002F4063" w:rsidRPr="004B2498" w:rsidRDefault="002F4063" w:rsidP="002F4063">
      <w:pPr>
        <w:spacing w:before="120" w:after="120"/>
        <w:jc w:val="both"/>
      </w:pPr>
      <w:r>
        <w:br w:type="page"/>
      </w:r>
    </w:p>
    <w:p w14:paraId="026ABE34" w14:textId="77777777" w:rsidR="002F4063" w:rsidRPr="004B2498" w:rsidRDefault="002F4063" w:rsidP="002F4063">
      <w:pPr>
        <w:pStyle w:val="a"/>
      </w:pPr>
      <w:r w:rsidRPr="004B2498">
        <w:t>Dette et interdépendance sociale</w:t>
      </w:r>
    </w:p>
    <w:p w14:paraId="540F7ED2" w14:textId="77777777" w:rsidR="002F4063" w:rsidRPr="004B2498" w:rsidRDefault="002F4063" w:rsidP="002F4063">
      <w:pPr>
        <w:spacing w:before="120" w:after="120"/>
        <w:jc w:val="both"/>
      </w:pPr>
    </w:p>
    <w:p w14:paraId="71812564" w14:textId="77777777" w:rsidR="002F4063" w:rsidRPr="004B2498" w:rsidRDefault="002F4063" w:rsidP="002F4063">
      <w:pPr>
        <w:spacing w:before="120" w:after="120"/>
        <w:jc w:val="both"/>
      </w:pPr>
      <w:r w:rsidRPr="004B2498">
        <w:rPr>
          <w:lang w:eastAsia="fr-FR" w:bidi="fr-FR"/>
        </w:rPr>
        <w:t>Cinquième puissance économique de l’Union fédérale indienne de par sa contribution au PIB, dixième en termes de « développement humain », le pays tamoul est souvent présenté comme un modèle pour avoir su combiner croissance économique et progrès sociaux. Si l’interventionnisme public a connu un certain infléchissement avec les mesures de libéralisation et de</w:t>
      </w:r>
      <w:r>
        <w:t xml:space="preserve"> </w:t>
      </w:r>
      <w:r w:rsidRPr="004B2498">
        <w:t>[117]</w:t>
      </w:r>
      <w:r>
        <w:t xml:space="preserve"> </w:t>
      </w:r>
      <w:r w:rsidRPr="004B2498">
        <w:rPr>
          <w:lang w:eastAsia="fr-FR" w:bidi="fr-FR"/>
        </w:rPr>
        <w:t>déréglementation qui se succ</w:t>
      </w:r>
      <w:r w:rsidRPr="004B2498">
        <w:rPr>
          <w:lang w:eastAsia="fr-FR" w:bidi="fr-FR"/>
        </w:rPr>
        <w:t>è</w:t>
      </w:r>
      <w:r w:rsidRPr="004B2498">
        <w:rPr>
          <w:lang w:eastAsia="fr-FR" w:bidi="fr-FR"/>
        </w:rPr>
        <w:t>dent depuis les années quatre-vingt-dix, il reste très marqué. Lon</w:t>
      </w:r>
      <w:r w:rsidRPr="004B2498">
        <w:rPr>
          <w:lang w:eastAsia="fr-FR" w:bidi="fr-FR"/>
        </w:rPr>
        <w:t>g</w:t>
      </w:r>
      <w:r w:rsidRPr="004B2498">
        <w:rPr>
          <w:lang w:eastAsia="fr-FR" w:bidi="fr-FR"/>
        </w:rPr>
        <w:t>temps ancré dans le soutien à l’agriculture et à la « révolution verte », depuis les années quatre-vingt et encore aujourd’hui, cet interventio</w:t>
      </w:r>
      <w:r w:rsidRPr="004B2498">
        <w:rPr>
          <w:lang w:eastAsia="fr-FR" w:bidi="fr-FR"/>
        </w:rPr>
        <w:t>n</w:t>
      </w:r>
      <w:r w:rsidRPr="004B2498">
        <w:rPr>
          <w:lang w:eastAsia="fr-FR" w:bidi="fr-FR"/>
        </w:rPr>
        <w:t>nisme public se concentre sur le soutien à l’industrialisation locale et au développement du secteur pr</w:t>
      </w:r>
      <w:r w:rsidRPr="004B2498">
        <w:rPr>
          <w:lang w:eastAsia="fr-FR" w:bidi="fr-FR"/>
        </w:rPr>
        <w:t>i</w:t>
      </w:r>
      <w:r w:rsidRPr="004B2498">
        <w:rPr>
          <w:lang w:eastAsia="fr-FR" w:bidi="fr-FR"/>
        </w:rPr>
        <w:t>vé, tout en conservant et renforçant des politiques sociales déjà a</w:t>
      </w:r>
      <w:r w:rsidRPr="004B2498">
        <w:rPr>
          <w:lang w:eastAsia="fr-FR" w:bidi="fr-FR"/>
        </w:rPr>
        <w:t>n</w:t>
      </w:r>
      <w:r w:rsidRPr="004B2498">
        <w:rPr>
          <w:lang w:eastAsia="fr-FR" w:bidi="fr-FR"/>
        </w:rPr>
        <w:t>ciennes (Kennedy, 2004 ; Harriss-White &amp; Janakarajan, 2004). Qu’il s’agisse de sécurité alimentaire (produits d’alimentation subventio</w:t>
      </w:r>
      <w:r w:rsidRPr="004B2498">
        <w:rPr>
          <w:lang w:eastAsia="fr-FR" w:bidi="fr-FR"/>
        </w:rPr>
        <w:t>n</w:t>
      </w:r>
      <w:r w:rsidRPr="004B2498">
        <w:rPr>
          <w:lang w:eastAsia="fr-FR" w:bidi="fr-FR"/>
        </w:rPr>
        <w:t>nés, repas scolaires), d’habitat, d’emploi (programme des 100 jours, microfinance) ou même de protection s</w:t>
      </w:r>
      <w:r w:rsidRPr="004B2498">
        <w:rPr>
          <w:lang w:eastAsia="fr-FR" w:bidi="fr-FR"/>
        </w:rPr>
        <w:t>o</w:t>
      </w:r>
      <w:r w:rsidRPr="004B2498">
        <w:rPr>
          <w:lang w:eastAsia="fr-FR" w:bidi="fr-FR"/>
        </w:rPr>
        <w:t>ciale (fonds de prévoyance, micro-assurance), l’éventail des politiques sociales est aujourd’hui très large (Heyer, à paraître).</w:t>
      </w:r>
    </w:p>
    <w:p w14:paraId="02845BC7" w14:textId="77777777" w:rsidR="002F4063" w:rsidRPr="004B2498" w:rsidRDefault="002F4063" w:rsidP="002F4063">
      <w:pPr>
        <w:spacing w:before="120" w:after="120"/>
        <w:jc w:val="both"/>
      </w:pPr>
      <w:r w:rsidRPr="004B2498">
        <w:rPr>
          <w:lang w:eastAsia="fr-FR" w:bidi="fr-FR"/>
        </w:rPr>
        <w:t>Si le Tamil Nadu fait partie des États les plus « providentiels » de l’union indienne, il est aussi réputé pour son populisme, construit sur la rhétorique du « peuple » tout en laissant intacts les privilèges des classes dominantes (Harriss, 2001). Il s’agit non pas d’éradiquer la pauvreté mais de la rendre acceptable tout en soutenant un modèle économique largement en vigueur sur le reste du sous-continent et obéissant au principe de « l’accumulation par la dépossession » (S</w:t>
      </w:r>
      <w:r w:rsidRPr="004B2498">
        <w:rPr>
          <w:lang w:eastAsia="fr-FR" w:bidi="fr-FR"/>
        </w:rPr>
        <w:t>a</w:t>
      </w:r>
      <w:r w:rsidRPr="004B2498">
        <w:rPr>
          <w:lang w:eastAsia="fr-FR" w:bidi="fr-FR"/>
        </w:rPr>
        <w:t>nyal, 2007). Les employeurs tirent une large part de leur compétitivité d’une part de soutiens publics, directs ou indirects (accès gratuit à l’eau et à l’électricité, marchés publics, subventions à la production, crédits subventionnés, absence de fiscalité, etc.) et d’autre part d’une main- d’œuvre docile, très bon marché et dont l’essentiel échappe à toute législation du travail (Harriss-White, 2003). Les autorités i</w:t>
      </w:r>
      <w:r w:rsidRPr="004B2498">
        <w:rPr>
          <w:lang w:eastAsia="fr-FR" w:bidi="fr-FR"/>
        </w:rPr>
        <w:t>n</w:t>
      </w:r>
      <w:r w:rsidRPr="004B2498">
        <w:rPr>
          <w:lang w:eastAsia="fr-FR" w:bidi="fr-FR"/>
        </w:rPr>
        <w:t>diennes, au Tamil Nadu comme ailleurs, en refusant toute politique d’emploi digne de ce nom, sont parfaitement complices de cette « cheap labour strategy » (Lerche, 2010 ; Srivastava, 2009). L’intérêt porté récemment à l’emploi informel — qui a augmenté ces dernières années pour atteindre 92% de la population active (Srivastava, à par</w:t>
      </w:r>
      <w:r w:rsidRPr="004B2498">
        <w:rPr>
          <w:lang w:eastAsia="fr-FR" w:bidi="fr-FR"/>
        </w:rPr>
        <w:t>a</w:t>
      </w:r>
      <w:r w:rsidRPr="004B2498">
        <w:rPr>
          <w:lang w:eastAsia="fr-FR" w:bidi="fr-FR"/>
        </w:rPr>
        <w:t xml:space="preserve">ître) — ne semble guère en mesure de contrecarrer cette tendance de fond (Lerche, à paraître ; Harriss-White, 2010a). Une certaine forme de néolibéralisme, dont la flexibilisation et l’informalisation continue de l’emploi sont une illustration, coexiste ainsi avec la mise en place de filets de sécurité étatiques permettant de contrecarrer les effets de l’accumulation primitive (Ruparelia </w:t>
      </w:r>
      <w:r w:rsidRPr="004B2498">
        <w:t>et al.,</w:t>
      </w:r>
      <w:r w:rsidRPr="004B2498">
        <w:rPr>
          <w:lang w:eastAsia="fr-FR" w:bidi="fr-FR"/>
        </w:rPr>
        <w:t xml:space="preserve"> 2011), tout en tolérant le maintien de salaires de subsistance à un niveau très bas (Heyer, à paraître).</w:t>
      </w:r>
    </w:p>
    <w:p w14:paraId="2AC18AE1" w14:textId="77777777" w:rsidR="002F4063" w:rsidRPr="004B2498" w:rsidRDefault="002F4063" w:rsidP="002F4063">
      <w:pPr>
        <w:spacing w:before="120" w:after="120"/>
        <w:jc w:val="both"/>
      </w:pPr>
      <w:r w:rsidRPr="004B2498">
        <w:rPr>
          <w:lang w:eastAsia="fr-FR" w:bidi="fr-FR"/>
        </w:rPr>
        <w:t>Si les indicateurs de développement ont sensiblement progressé, ils restent marqués par de profondes inégalités sociales et spatiales (V</w:t>
      </w:r>
      <w:r w:rsidRPr="004B2498">
        <w:rPr>
          <w:lang w:eastAsia="fr-FR" w:bidi="fr-FR"/>
        </w:rPr>
        <w:t>i</w:t>
      </w:r>
      <w:r w:rsidRPr="004B2498">
        <w:rPr>
          <w:lang w:eastAsia="fr-FR" w:bidi="fr-FR"/>
        </w:rPr>
        <w:t xml:space="preserve">jaybaskar </w:t>
      </w:r>
      <w:r w:rsidRPr="004B2498">
        <w:t>et al.,</w:t>
      </w:r>
      <w:r w:rsidRPr="004B2498">
        <w:rPr>
          <w:lang w:eastAsia="fr-FR" w:bidi="fr-FR"/>
        </w:rPr>
        <w:t xml:space="preserve"> 2004) : certains territoires et groupes sociaux sont très largement laissés pour compte, en particulier les </w:t>
      </w:r>
      <w:r w:rsidRPr="00C04C14">
        <w:rPr>
          <w:i/>
        </w:rPr>
        <w:t>scheduled castes</w:t>
      </w:r>
      <w:r w:rsidRPr="004B2498">
        <w:rPr>
          <w:lang w:eastAsia="fr-FR" w:bidi="fr-FR"/>
        </w:rPr>
        <w:t xml:space="preserve"> (ex-intouchables), les </w:t>
      </w:r>
      <w:r w:rsidRPr="00C04C14">
        <w:rPr>
          <w:i/>
        </w:rPr>
        <w:t>scheduled tribes</w:t>
      </w:r>
      <w:r w:rsidRPr="004B2498">
        <w:t>,</w:t>
      </w:r>
      <w:r w:rsidRPr="004B2498">
        <w:rPr>
          <w:lang w:eastAsia="fr-FR" w:bidi="fr-FR"/>
        </w:rPr>
        <w:t xml:space="preserve"> et les femmes (Harriss-White &amp; Janakarajan, 2004  ; Kapadia, 2002, 2010). En suscitant l’exacerbation des désirs de consommation, la « modernisation » de la société tamo</w:t>
      </w:r>
      <w:r w:rsidRPr="004B2498">
        <w:rPr>
          <w:lang w:eastAsia="fr-FR" w:bidi="fr-FR"/>
        </w:rPr>
        <w:t>u</w:t>
      </w:r>
      <w:r w:rsidRPr="004B2498">
        <w:rPr>
          <w:lang w:eastAsia="fr-FR" w:bidi="fr-FR"/>
        </w:rPr>
        <w:t>le renforce les inégalités plus qu’elle ne les abolit (Cavalcante, 2009). La forte diminution</w:t>
      </w:r>
      <w:r>
        <w:t xml:space="preserve"> </w:t>
      </w:r>
      <w:r w:rsidRPr="004B2498">
        <w:t>[118]</w:t>
      </w:r>
      <w:r>
        <w:t xml:space="preserve"> </w:t>
      </w:r>
      <w:r w:rsidRPr="004B2498">
        <w:rPr>
          <w:lang w:eastAsia="fr-FR" w:bidi="fr-FR"/>
        </w:rPr>
        <w:t>de l’emploi agricole, y compris en zones rurales, s’accompagne d’une monétarisation croissante des rapports sociaux, tant dans les relations d’emploi que dans les relations d’alliance. Dans les villages étudiés, qu'il s’agisse du salariat agricole ou du métayage, les pai</w:t>
      </w:r>
      <w:r w:rsidRPr="004B2498">
        <w:rPr>
          <w:lang w:eastAsia="fr-FR" w:bidi="fr-FR"/>
        </w:rPr>
        <w:t>e</w:t>
      </w:r>
      <w:r w:rsidRPr="004B2498">
        <w:rPr>
          <w:lang w:eastAsia="fr-FR" w:bidi="fr-FR"/>
        </w:rPr>
        <w:t>ments en nature sont devenus très rares. Du fait de besoins croissants de consommation et de l’adoption de sta</w:t>
      </w:r>
      <w:r w:rsidRPr="004B2498">
        <w:rPr>
          <w:lang w:eastAsia="fr-FR" w:bidi="fr-FR"/>
        </w:rPr>
        <w:t>n</w:t>
      </w:r>
      <w:r w:rsidRPr="004B2498">
        <w:rPr>
          <w:lang w:eastAsia="fr-FR" w:bidi="fr-FR"/>
        </w:rPr>
        <w:t>dards de vie urbains (équ</w:t>
      </w:r>
      <w:r w:rsidRPr="004B2498">
        <w:rPr>
          <w:lang w:eastAsia="fr-FR" w:bidi="fr-FR"/>
        </w:rPr>
        <w:t>i</w:t>
      </w:r>
      <w:r w:rsidRPr="004B2498">
        <w:rPr>
          <w:lang w:eastAsia="fr-FR" w:bidi="fr-FR"/>
        </w:rPr>
        <w:t>pement hi-fi et électroménager, vêtements manufacturés, téléphones portables, véhicules motorisés), l’autoconsommation ne représente plus qu’une faible part des budgets familiaux, y compris chez les plus pauvres. Les dons, lors de rituels sociaux et religieux, en particulier lors des mariages, supposent la mobilisation de sommes qui représe</w:t>
      </w:r>
      <w:r w:rsidRPr="004B2498">
        <w:rPr>
          <w:lang w:eastAsia="fr-FR" w:bidi="fr-FR"/>
        </w:rPr>
        <w:t>n</w:t>
      </w:r>
      <w:r w:rsidRPr="004B2498">
        <w:rPr>
          <w:lang w:eastAsia="fr-FR" w:bidi="fr-FR"/>
        </w:rPr>
        <w:t>tent une à plusieurs années de salaires familiaux.</w:t>
      </w:r>
    </w:p>
    <w:p w14:paraId="5DF9AC4F" w14:textId="77777777" w:rsidR="002F4063" w:rsidRPr="004B2498" w:rsidRDefault="002F4063" w:rsidP="002F4063">
      <w:pPr>
        <w:spacing w:before="120" w:after="120"/>
        <w:jc w:val="both"/>
      </w:pPr>
      <w:r w:rsidRPr="004B2498">
        <w:rPr>
          <w:lang w:eastAsia="fr-FR" w:bidi="fr-FR"/>
        </w:rPr>
        <w:t>La persistance d’inégalités se révèle également parfaitement co</w:t>
      </w:r>
      <w:r w:rsidRPr="004B2498">
        <w:rPr>
          <w:lang w:eastAsia="fr-FR" w:bidi="fr-FR"/>
        </w:rPr>
        <w:t>m</w:t>
      </w:r>
      <w:r w:rsidRPr="004B2498">
        <w:rPr>
          <w:lang w:eastAsia="fr-FR" w:bidi="fr-FR"/>
        </w:rPr>
        <w:t>patible avec des processus de différenciation sociale au sein de cat</w:t>
      </w:r>
      <w:r w:rsidRPr="004B2498">
        <w:rPr>
          <w:lang w:eastAsia="fr-FR" w:bidi="fr-FR"/>
        </w:rPr>
        <w:t>é</w:t>
      </w:r>
      <w:r w:rsidRPr="004B2498">
        <w:rPr>
          <w:lang w:eastAsia="fr-FR" w:bidi="fr-FR"/>
        </w:rPr>
        <w:t>gories marginalisées et des aspirations croissantes d’égalité et d’intégration (Chatterjee, 2011 ; Picherit, 2009a), dont les désirs de consommation statutaire sont l’expression la plus manifeste. Suscitée et stimulée par des campagnes publicitaires massives (et en grande partie par la télévision), facilitée par une urbanisation croissante - non pas du fait de l’exode rural mais de la migration circulaire, en pleine expansion - cette culture du consumérisme fait l’objet d’une véritable compétition sociale entre familles et entre groupes sociaux (Kapadia, 2002).</w:t>
      </w:r>
    </w:p>
    <w:p w14:paraId="4E5449FC" w14:textId="77777777" w:rsidR="002F4063" w:rsidRPr="004B2498" w:rsidRDefault="002F4063" w:rsidP="002F4063">
      <w:pPr>
        <w:spacing w:before="120" w:after="120"/>
        <w:jc w:val="both"/>
      </w:pPr>
      <w:r w:rsidRPr="004B2498">
        <w:rPr>
          <w:lang w:eastAsia="fr-FR" w:bidi="fr-FR"/>
        </w:rPr>
        <w:t>Si toutes les conditions semblent réunies pour autoriser l’émergence d’une sphère économique autonome et différenciée du politique et du religieux, et ce faisant le déploiement de dettes hor</w:t>
      </w:r>
      <w:r w:rsidRPr="004B2498">
        <w:rPr>
          <w:lang w:eastAsia="fr-FR" w:bidi="fr-FR"/>
        </w:rPr>
        <w:t>i</w:t>
      </w:r>
      <w:r w:rsidRPr="004B2498">
        <w:rPr>
          <w:lang w:eastAsia="fr-FR" w:bidi="fr-FR"/>
        </w:rPr>
        <w:t>zontales, volontaires et libérables, c’est en fait loin d’être le cas. L’économique comme le politique ne sont régulés ni par le droit, ni par le marché au sens défini par les économistes, mais par diverses institutions sociales qui se combinent et s’enchevêtrent telles que la caste, la classe, le genre, la religion ou l’espace</w:t>
      </w:r>
      <w:r>
        <w:rPr>
          <w:lang w:eastAsia="fr-FR" w:bidi="fr-FR"/>
        </w:rPr>
        <w:t> </w:t>
      </w:r>
      <w:r>
        <w:rPr>
          <w:rStyle w:val="Appelnotedebasdep"/>
          <w:lang w:eastAsia="fr-FR" w:bidi="fr-FR"/>
        </w:rPr>
        <w:footnoteReference w:id="83"/>
      </w:r>
      <w:r w:rsidRPr="004B2498">
        <w:rPr>
          <w:lang w:eastAsia="fr-FR" w:bidi="fr-FR"/>
        </w:rPr>
        <w:t>.</w:t>
      </w:r>
    </w:p>
    <w:p w14:paraId="12A728FC" w14:textId="77777777" w:rsidR="002F4063" w:rsidRPr="004B2498" w:rsidRDefault="002F4063" w:rsidP="002F4063">
      <w:pPr>
        <w:spacing w:before="120" w:after="120"/>
        <w:jc w:val="both"/>
      </w:pPr>
      <w:r w:rsidRPr="004B2498">
        <w:rPr>
          <w:lang w:eastAsia="fr-FR" w:bidi="fr-FR"/>
        </w:rPr>
        <w:t>Les formes contemporaines d’endettement sont à la fois une illu</w:t>
      </w:r>
      <w:r w:rsidRPr="004B2498">
        <w:rPr>
          <w:lang w:eastAsia="fr-FR" w:bidi="fr-FR"/>
        </w:rPr>
        <w:t>s</w:t>
      </w:r>
      <w:r w:rsidRPr="004B2498">
        <w:rPr>
          <w:lang w:eastAsia="fr-FR" w:bidi="fr-FR"/>
        </w:rPr>
        <w:t>tration et un catalyseur de ces différentes dynamiques socioéconom</w:t>
      </w:r>
      <w:r w:rsidRPr="004B2498">
        <w:rPr>
          <w:lang w:eastAsia="fr-FR" w:bidi="fr-FR"/>
        </w:rPr>
        <w:t>i</w:t>
      </w:r>
      <w:r w:rsidRPr="004B2498">
        <w:rPr>
          <w:lang w:eastAsia="fr-FR" w:bidi="fr-FR"/>
        </w:rPr>
        <w:t>ques et politiques, et des tensions entre la prégnance de l’interdépendance sociale et des aspirations individualistes. Les fo</w:t>
      </w:r>
      <w:r w:rsidRPr="004B2498">
        <w:rPr>
          <w:lang w:eastAsia="fr-FR" w:bidi="fr-FR"/>
        </w:rPr>
        <w:t>r</w:t>
      </w:r>
      <w:r w:rsidRPr="004B2498">
        <w:rPr>
          <w:lang w:eastAsia="fr-FR" w:bidi="fr-FR"/>
        </w:rPr>
        <w:t>mes de la dette se sont multipliées et diversifiées, certaines sont pa</w:t>
      </w:r>
      <w:r w:rsidRPr="004B2498">
        <w:rPr>
          <w:lang w:eastAsia="fr-FR" w:bidi="fr-FR"/>
        </w:rPr>
        <w:t>r</w:t>
      </w:r>
      <w:r w:rsidRPr="004B2498">
        <w:rPr>
          <w:lang w:eastAsia="fr-FR" w:bidi="fr-FR"/>
        </w:rPr>
        <w:t>fois très proches de la transaction contractuelle, mais les personnes restent emprisonnées dans un tissu de dettes imposées et non libér</w:t>
      </w:r>
      <w:r w:rsidRPr="004B2498">
        <w:rPr>
          <w:lang w:eastAsia="fr-FR" w:bidi="fr-FR"/>
        </w:rPr>
        <w:t>a</w:t>
      </w:r>
      <w:r w:rsidRPr="004B2498">
        <w:rPr>
          <w:lang w:eastAsia="fr-FR" w:bidi="fr-FR"/>
        </w:rPr>
        <w:t>bles : celles-ci continuent de rythmer les rapports entre groupes s</w:t>
      </w:r>
      <w:r w:rsidRPr="004B2498">
        <w:rPr>
          <w:lang w:eastAsia="fr-FR" w:bidi="fr-FR"/>
        </w:rPr>
        <w:t>o</w:t>
      </w:r>
      <w:r w:rsidRPr="004B2498">
        <w:rPr>
          <w:lang w:eastAsia="fr-FR" w:bidi="fr-FR"/>
        </w:rPr>
        <w:t>ciaux. Fragmentés et hiérarchisés dans leurs accès et segmentés dans leurs usages, les liens de dette sont à la fois constitutifs et réflecteurs de rapports sociaux inégaux </w:t>
      </w:r>
      <w:r>
        <w:rPr>
          <w:rStyle w:val="Appelnotedebasdep"/>
          <w:lang w:eastAsia="fr-FR" w:bidi="fr-FR"/>
        </w:rPr>
        <w:footnoteReference w:id="84"/>
      </w:r>
      <w:r w:rsidRPr="004B2498">
        <w:rPr>
          <w:lang w:eastAsia="fr-FR" w:bidi="fr-FR"/>
        </w:rPr>
        <w:t>. Les résultats les plus marquants</w:t>
      </w:r>
      <w:r>
        <w:t xml:space="preserve"> </w:t>
      </w:r>
      <w:r w:rsidRPr="004B2498">
        <w:t>[119]</w:t>
      </w:r>
      <w:r>
        <w:t xml:space="preserve"> </w:t>
      </w:r>
      <w:r w:rsidRPr="004B2498">
        <w:rPr>
          <w:lang w:eastAsia="fr-FR" w:bidi="fr-FR"/>
        </w:rPr>
        <w:t>concernent la persistance, toutes choses égales par ailleurs, des di</w:t>
      </w:r>
      <w:r w:rsidRPr="004B2498">
        <w:rPr>
          <w:lang w:eastAsia="fr-FR" w:bidi="fr-FR"/>
        </w:rPr>
        <w:t>s</w:t>
      </w:r>
      <w:r w:rsidRPr="004B2498">
        <w:rPr>
          <w:lang w:eastAsia="fr-FR" w:bidi="fr-FR"/>
        </w:rPr>
        <w:t xml:space="preserve">criminations de caste et de genre. Les </w:t>
      </w:r>
      <w:r w:rsidRPr="00C04C14">
        <w:rPr>
          <w:i/>
        </w:rPr>
        <w:t>Dalits</w:t>
      </w:r>
      <w:r w:rsidRPr="004B2498">
        <w:rPr>
          <w:lang w:eastAsia="fr-FR" w:bidi="fr-FR"/>
        </w:rPr>
        <w:t xml:space="preserve"> (ex-intouchables) et les femmes restent en grande part exclus de l’offre financière fo</w:t>
      </w:r>
      <w:r w:rsidRPr="004B2498">
        <w:rPr>
          <w:lang w:eastAsia="fr-FR" w:bidi="fr-FR"/>
        </w:rPr>
        <w:t>r</w:t>
      </w:r>
      <w:r w:rsidRPr="004B2498">
        <w:rPr>
          <w:lang w:eastAsia="fr-FR" w:bidi="fr-FR"/>
        </w:rPr>
        <w:t>melle et cantonnés aux sources informelles les plus déshonorantes et les plus chères, à la fois financièrement et socialement (prêteurs a</w:t>
      </w:r>
      <w:r w:rsidRPr="004B2498">
        <w:rPr>
          <w:lang w:eastAsia="fr-FR" w:bidi="fr-FR"/>
        </w:rPr>
        <w:t>m</w:t>
      </w:r>
      <w:r w:rsidRPr="004B2498">
        <w:rPr>
          <w:lang w:eastAsia="fr-FR" w:bidi="fr-FR"/>
        </w:rPr>
        <w:t>bulants, employeurs, intermédiaires de main-d’œuvre). Les discrim</w:t>
      </w:r>
      <w:r w:rsidRPr="004B2498">
        <w:rPr>
          <w:lang w:eastAsia="fr-FR" w:bidi="fr-FR"/>
        </w:rPr>
        <w:t>i</w:t>
      </w:r>
      <w:r w:rsidRPr="004B2498">
        <w:rPr>
          <w:lang w:eastAsia="fr-FR" w:bidi="fr-FR"/>
        </w:rPr>
        <w:t>nations sexuées de la dette sont étroitement liées au contrôle du corps des femmes et de leur sexualité : l’endettement auprès « d’étrangers » suscite nécessairement suspicion et réprobation. La signification s</w:t>
      </w:r>
      <w:r w:rsidRPr="004B2498">
        <w:rPr>
          <w:lang w:eastAsia="fr-FR" w:bidi="fr-FR"/>
        </w:rPr>
        <w:t>o</w:t>
      </w:r>
      <w:r w:rsidRPr="004B2498">
        <w:rPr>
          <w:lang w:eastAsia="fr-FR" w:bidi="fr-FR"/>
        </w:rPr>
        <w:t>ciale de la dette, définie ici comme le processus qui positionne déb</w:t>
      </w:r>
      <w:r w:rsidRPr="004B2498">
        <w:rPr>
          <w:lang w:eastAsia="fr-FR" w:bidi="fr-FR"/>
        </w:rPr>
        <w:t>i</w:t>
      </w:r>
      <w:r w:rsidRPr="004B2498">
        <w:rPr>
          <w:lang w:eastAsia="fr-FR" w:bidi="fr-FR"/>
        </w:rPr>
        <w:t>teurs et créditeurs dans les systèmes locaux de hiérarchie, est tout au</w:t>
      </w:r>
      <w:r w:rsidRPr="004B2498">
        <w:rPr>
          <w:lang w:eastAsia="fr-FR" w:bidi="fr-FR"/>
        </w:rPr>
        <w:t>s</w:t>
      </w:r>
      <w:r w:rsidRPr="004B2498">
        <w:rPr>
          <w:lang w:eastAsia="fr-FR" w:bidi="fr-FR"/>
        </w:rPr>
        <w:t>si importante que les critères purement financiers. Le fait de prêter répond à un gain matériel - rares sont les prêts gratuits - mais permet aussi d’affirmer une position de supériorité : la dette est un puissant marquage des rapports de pouvoir, en particulier au sein des relations de caste, de classe sociale, de parenté et de genre. On observe égal</w:t>
      </w:r>
      <w:r w:rsidRPr="004B2498">
        <w:rPr>
          <w:lang w:eastAsia="fr-FR" w:bidi="fr-FR"/>
        </w:rPr>
        <w:t>e</w:t>
      </w:r>
      <w:r w:rsidRPr="004B2498">
        <w:rPr>
          <w:lang w:eastAsia="fr-FR" w:bidi="fr-FR"/>
        </w:rPr>
        <w:t>ment de fortes différences territoriales liées aux conditions agri-écologiques (zones sèches/irriguées) : celles-ci apparaissant comme des éléments essentiels non seulement dans les types et les techniques de production mais aussi dans la nature des rapports sociaux, le degré d’interdépendance entre castes et de superposition entre caste et cla</w:t>
      </w:r>
      <w:r w:rsidRPr="004B2498">
        <w:rPr>
          <w:lang w:eastAsia="fr-FR" w:bidi="fr-FR"/>
        </w:rPr>
        <w:t>s</w:t>
      </w:r>
      <w:r w:rsidRPr="004B2498">
        <w:rPr>
          <w:lang w:eastAsia="fr-FR" w:bidi="fr-FR"/>
        </w:rPr>
        <w:t>se. Dans les villages secs étudiés ici, largement déficitaires en emplois locaux, la circulation migratoire va de pair avec un relâchement de la dépendance entre castes et un élargissement des horizons et des r</w:t>
      </w:r>
      <w:r w:rsidRPr="004B2498">
        <w:rPr>
          <w:lang w:eastAsia="fr-FR" w:bidi="fr-FR"/>
        </w:rPr>
        <w:t>é</w:t>
      </w:r>
      <w:r w:rsidRPr="004B2498">
        <w:rPr>
          <w:lang w:eastAsia="fr-FR" w:bidi="fr-FR"/>
        </w:rPr>
        <w:t>seaux sociaux, et donc une multiplication des liens de dette. Puissant mode de régulation des rapports employeurs/employés, la servitude pour dette, loin de disparaître avec la croissance économique, nourrit le capitalisme industriel qui tire sa compétitivité de l’exploitation de la main-d’œuvre</w:t>
      </w:r>
      <w:r>
        <w:rPr>
          <w:lang w:eastAsia="fr-FR" w:bidi="fr-FR"/>
        </w:rPr>
        <w:t> </w:t>
      </w:r>
      <w:r>
        <w:rPr>
          <w:rStyle w:val="Appelnotedebasdep"/>
          <w:lang w:eastAsia="fr-FR" w:bidi="fr-FR"/>
        </w:rPr>
        <w:footnoteReference w:id="85"/>
      </w:r>
      <w:r w:rsidRPr="004B2498">
        <w:rPr>
          <w:lang w:eastAsia="fr-FR" w:bidi="fr-FR"/>
        </w:rPr>
        <w:t>. Garantie d’emploi pour les travailleurs et de main-d’œuvre pour les employeurs, ce type de dette peut certes être cons</w:t>
      </w:r>
      <w:r w:rsidRPr="004B2498">
        <w:rPr>
          <w:lang w:eastAsia="fr-FR" w:bidi="fr-FR"/>
        </w:rPr>
        <w:t>i</w:t>
      </w:r>
      <w:r w:rsidRPr="004B2498">
        <w:rPr>
          <w:lang w:eastAsia="fr-FR" w:bidi="fr-FR"/>
        </w:rPr>
        <w:t>déré comme un mécanisme d’assurance comme le suggèrent nombre d’analyses économiques standards. Mais il a aussi pour effet de se substituer à toute forme de régulation juridique - la dette fait office de contrat -, d’encourager l’informalité et donc l’absence de droits s</w:t>
      </w:r>
      <w:r w:rsidRPr="004B2498">
        <w:rPr>
          <w:lang w:eastAsia="fr-FR" w:bidi="fr-FR"/>
        </w:rPr>
        <w:t>o</w:t>
      </w:r>
      <w:r w:rsidRPr="004B2498">
        <w:rPr>
          <w:lang w:eastAsia="fr-FR" w:bidi="fr-FR"/>
        </w:rPr>
        <w:t>ciaux institutionnalisés tout en maintenant des niveaux de salaires et des conditions de travail indécents. Le dynamisme de l’offre informe</w:t>
      </w:r>
      <w:r w:rsidRPr="004B2498">
        <w:rPr>
          <w:lang w:eastAsia="fr-FR" w:bidi="fr-FR"/>
        </w:rPr>
        <w:t>l</w:t>
      </w:r>
      <w:r w:rsidRPr="004B2498">
        <w:rPr>
          <w:lang w:eastAsia="fr-FR" w:bidi="fr-FR"/>
        </w:rPr>
        <w:t>le de crédit compense la faiblesse des salaires et permet aux pauvres non seulement de survivre mais aussi d’accéder à la consommation statutaire. Or cette fuite en avant dans l’endettement maintient les tr</w:t>
      </w:r>
      <w:r w:rsidRPr="004B2498">
        <w:rPr>
          <w:lang w:eastAsia="fr-FR" w:bidi="fr-FR"/>
        </w:rPr>
        <w:t>a</w:t>
      </w:r>
      <w:r w:rsidRPr="004B2498">
        <w:rPr>
          <w:lang w:eastAsia="fr-FR" w:bidi="fr-FR"/>
        </w:rPr>
        <w:t>vailleurs dans des trappes à pauvreté et dans certains cas provoque leur paupérisation </w:t>
      </w:r>
      <w:r>
        <w:rPr>
          <w:rStyle w:val="Appelnotedebasdep"/>
          <w:lang w:eastAsia="fr-FR" w:bidi="fr-FR"/>
        </w:rPr>
        <w:footnoteReference w:id="86"/>
      </w:r>
      <w:r w:rsidRPr="004B2498">
        <w:rPr>
          <w:lang w:eastAsia="fr-FR" w:bidi="fr-FR"/>
        </w:rPr>
        <w:t>. Les liens de dette reproduisent des</w:t>
      </w:r>
      <w:r>
        <w:t xml:space="preserve"> </w:t>
      </w:r>
      <w:r w:rsidRPr="004B2498">
        <w:t>[120]</w:t>
      </w:r>
      <w:r>
        <w:t xml:space="preserve"> </w:t>
      </w:r>
      <w:r w:rsidRPr="004B2498">
        <w:rPr>
          <w:lang w:eastAsia="fr-FR" w:bidi="fr-FR"/>
        </w:rPr>
        <w:t>instit</w:t>
      </w:r>
      <w:r w:rsidRPr="004B2498">
        <w:rPr>
          <w:lang w:eastAsia="fr-FR" w:bidi="fr-FR"/>
        </w:rPr>
        <w:t>u</w:t>
      </w:r>
      <w:r w:rsidRPr="004B2498">
        <w:rPr>
          <w:lang w:eastAsia="fr-FR" w:bidi="fr-FR"/>
        </w:rPr>
        <w:t>tions inégalitaires préétablies mais parfois les recomposent : la cré</w:t>
      </w:r>
      <w:r w:rsidRPr="004B2498">
        <w:rPr>
          <w:lang w:eastAsia="fr-FR" w:bidi="fr-FR"/>
        </w:rPr>
        <w:t>a</w:t>
      </w:r>
      <w:r w:rsidRPr="004B2498">
        <w:rPr>
          <w:lang w:eastAsia="fr-FR" w:bidi="fr-FR"/>
        </w:rPr>
        <w:t>tion de nouvelles formes d’intermédiation financière, par exemple, participe de la différenciation sociale de certains groupes sociaux. L’ambiguïté de la dette, et notamment le contraste entre ses cons</w:t>
      </w:r>
      <w:r w:rsidRPr="004B2498">
        <w:rPr>
          <w:lang w:eastAsia="fr-FR" w:bidi="fr-FR"/>
        </w:rPr>
        <w:t>é</w:t>
      </w:r>
      <w:r w:rsidRPr="004B2498">
        <w:rPr>
          <w:lang w:eastAsia="fr-FR" w:bidi="fr-FR"/>
        </w:rPr>
        <w:t>quences matérielles et ses significations sociales, est également e</w:t>
      </w:r>
      <w:r w:rsidRPr="004B2498">
        <w:rPr>
          <w:lang w:eastAsia="fr-FR" w:bidi="fr-FR"/>
        </w:rPr>
        <w:t>m</w:t>
      </w:r>
      <w:r w:rsidRPr="004B2498">
        <w:rPr>
          <w:lang w:eastAsia="fr-FR" w:bidi="fr-FR"/>
        </w:rPr>
        <w:t>blématique des paradoxes engendrés par la coexistence d’institutions sociales anciennes et le souhait de « modernité » des ruraux du pays tamoul : que certaines formes contemporaines d’endettement soient source de paupérisation matérielle et d’exploitation ne les empêche pas de nourrir des aspirations sociales d’égalité et d’intégration.</w:t>
      </w:r>
    </w:p>
    <w:p w14:paraId="31DBF642" w14:textId="77777777" w:rsidR="002F4063" w:rsidRPr="004B2498" w:rsidRDefault="002F4063" w:rsidP="002F4063">
      <w:pPr>
        <w:spacing w:before="120" w:after="120"/>
        <w:jc w:val="both"/>
      </w:pPr>
      <w:r w:rsidRPr="004B2498">
        <w:rPr>
          <w:lang w:eastAsia="fr-FR" w:bidi="fr-FR"/>
        </w:rPr>
        <w:t>C’est dans ce contexte que les usages de la microfinance méritent d’être resitués. La croissance exponentielle de la microfinance indie</w:t>
      </w:r>
      <w:r w:rsidRPr="004B2498">
        <w:rPr>
          <w:lang w:eastAsia="fr-FR" w:bidi="fr-FR"/>
        </w:rPr>
        <w:t>n</w:t>
      </w:r>
      <w:r w:rsidRPr="004B2498">
        <w:rPr>
          <w:lang w:eastAsia="fr-FR" w:bidi="fr-FR"/>
        </w:rPr>
        <w:t>ne ces dernières années s’est faite grâce au soutien des autorités p</w:t>
      </w:r>
      <w:r w:rsidRPr="004B2498">
        <w:rPr>
          <w:lang w:eastAsia="fr-FR" w:bidi="fr-FR"/>
        </w:rPr>
        <w:t>u</w:t>
      </w:r>
      <w:r w:rsidRPr="004B2498">
        <w:rPr>
          <w:lang w:eastAsia="fr-FR" w:bidi="fr-FR"/>
        </w:rPr>
        <w:t>bliques, qu’il s’agisse de la voie réglementaire et législative ou de programmes publics directs, souvent en partenariat avec les ONG (Fouillet, 2009). Dans un contexte où l’offre de services financiers a toujours été fortement contrôlée par les pouvoirs publics, et cela en dépit des réformes successives de libéralisation, ce constat n’est guère surprenant. Rien de nouveau non plus dans le fait de mobiliser de p</w:t>
      </w:r>
      <w:r w:rsidRPr="004B2498">
        <w:rPr>
          <w:lang w:eastAsia="fr-FR" w:bidi="fr-FR"/>
        </w:rPr>
        <w:t>e</w:t>
      </w:r>
      <w:r w:rsidRPr="004B2498">
        <w:rPr>
          <w:lang w:eastAsia="fr-FR" w:bidi="fr-FR"/>
        </w:rPr>
        <w:t>tits prêts pour promouvoir l’auto-emploi et encourager la diversific</w:t>
      </w:r>
      <w:r w:rsidRPr="004B2498">
        <w:rPr>
          <w:lang w:eastAsia="fr-FR" w:bidi="fr-FR"/>
        </w:rPr>
        <w:t>a</w:t>
      </w:r>
      <w:r w:rsidRPr="004B2498">
        <w:rPr>
          <w:lang w:eastAsia="fr-FR" w:bidi="fr-FR"/>
        </w:rPr>
        <w:t>tion des économies rurales. Ce qui est plus novateur en revanche, c’est d’une part l’accent mis sur les femmes et d’autre part la volonté de pérennisation de cette offre de crédit et un mot d’ordre : celui de « discipline financière » (Fouillet et Pairault, 2010). L’accent mis sur la rigueur entend rompre avec la culture d’impayé des programmes antérieurs. Aux mesures fédérales se superposent des programmes de microfinance étatiques, qui suivent peu ou prou les principes énoncés ci-dessus. Comme indiqué plus haut, les trois postulats de base de la microfinance - création d’emploi, suppression de la finance informe</w:t>
      </w:r>
      <w:r w:rsidRPr="004B2498">
        <w:rPr>
          <w:lang w:eastAsia="fr-FR" w:bidi="fr-FR"/>
        </w:rPr>
        <w:t>l</w:t>
      </w:r>
      <w:r w:rsidRPr="004B2498">
        <w:rPr>
          <w:lang w:eastAsia="fr-FR" w:bidi="fr-FR"/>
        </w:rPr>
        <w:t>le, émancipation des femmes - ne sont bien souvent que des vœux pieux et les motifs d’adhésion sont ailleurs.</w:t>
      </w:r>
    </w:p>
    <w:p w14:paraId="5E8309FB" w14:textId="77777777" w:rsidR="002F4063" w:rsidRPr="004B2498" w:rsidRDefault="002F4063" w:rsidP="002F4063">
      <w:pPr>
        <w:spacing w:before="120" w:after="120"/>
        <w:jc w:val="both"/>
        <w:rPr>
          <w:szCs w:val="24"/>
          <w:lang w:eastAsia="fr-FR" w:bidi="fr-FR"/>
        </w:rPr>
      </w:pPr>
    </w:p>
    <w:p w14:paraId="6422D160" w14:textId="77777777" w:rsidR="002F4063" w:rsidRPr="004B2498" w:rsidRDefault="002F4063" w:rsidP="002F4063">
      <w:pPr>
        <w:pStyle w:val="a"/>
      </w:pPr>
      <w:r w:rsidRPr="004B2498">
        <w:t>Le mythe entrepreneurial</w:t>
      </w:r>
    </w:p>
    <w:p w14:paraId="26C73EFF" w14:textId="77777777" w:rsidR="002F4063" w:rsidRPr="004B2498" w:rsidRDefault="002F4063" w:rsidP="002F4063">
      <w:pPr>
        <w:spacing w:before="120" w:after="120"/>
        <w:jc w:val="both"/>
        <w:rPr>
          <w:lang w:eastAsia="fr-FR" w:bidi="fr-FR"/>
        </w:rPr>
      </w:pPr>
    </w:p>
    <w:p w14:paraId="44C87E6C" w14:textId="77777777" w:rsidR="002F4063" w:rsidRPr="004B2498" w:rsidRDefault="002F4063" w:rsidP="002F4063">
      <w:pPr>
        <w:spacing w:before="120" w:after="120"/>
        <w:jc w:val="both"/>
      </w:pPr>
      <w:r w:rsidRPr="004B2498">
        <w:rPr>
          <w:lang w:eastAsia="fr-FR" w:bidi="fr-FR"/>
        </w:rPr>
        <w:t>Contrairement à la rhétorique officielle, la microfinance ne contr</w:t>
      </w:r>
      <w:r w:rsidRPr="004B2498">
        <w:rPr>
          <w:lang w:eastAsia="fr-FR" w:bidi="fr-FR"/>
        </w:rPr>
        <w:t>i</w:t>
      </w:r>
      <w:r w:rsidRPr="004B2498">
        <w:rPr>
          <w:lang w:eastAsia="fr-FR" w:bidi="fr-FR"/>
        </w:rPr>
        <w:t>bue que de manière très marginale à créer de l’emploi. Ce constat ne fait que confirmer des critiques déjà anciennes. Au début des années quatre-vingt-dix, alors que la microfinance contemporaine faisait ses premiers pas, l’équipe de l’Ohio State University émettait de fortes réserves sur son potentiel entrepreneurial, arguant des contraintes multiples auxquelles les petits entrepreneurs sont confrontés (Adams et Pischke, 1992). Dans le contexte indien, le crédit aux pauvres a une longue histoire. Or il n’a jamais fait ses preuves en matière de divers</w:t>
      </w:r>
      <w:r w:rsidRPr="004B2498">
        <w:rPr>
          <w:lang w:eastAsia="fr-FR" w:bidi="fr-FR"/>
        </w:rPr>
        <w:t>i</w:t>
      </w:r>
      <w:r w:rsidRPr="004B2498">
        <w:rPr>
          <w:lang w:eastAsia="fr-FR" w:bidi="fr-FR"/>
        </w:rPr>
        <w:t>fication des économies rurales et des portefeuilles d’activité des pa</w:t>
      </w:r>
      <w:r w:rsidRPr="004B2498">
        <w:rPr>
          <w:lang w:eastAsia="fr-FR" w:bidi="fr-FR"/>
        </w:rPr>
        <w:t>u</w:t>
      </w:r>
      <w:r w:rsidRPr="004B2498">
        <w:rPr>
          <w:lang w:eastAsia="fr-FR" w:bidi="fr-FR"/>
        </w:rPr>
        <w:t>vres (Dreze, 1990). Les rapports annuels</w:t>
      </w:r>
      <w:r w:rsidRPr="004B2498">
        <w:t xml:space="preserve"> </w:t>
      </w:r>
      <w:r>
        <w:t xml:space="preserve"> </w:t>
      </w:r>
      <w:r w:rsidRPr="004B2498">
        <w:t>[121]</w:t>
      </w:r>
      <w:r>
        <w:t xml:space="preserve"> </w:t>
      </w:r>
      <w:r w:rsidRPr="00C04C14">
        <w:rPr>
          <w:i/>
        </w:rPr>
        <w:t>Exclusion et liens f</w:t>
      </w:r>
      <w:r w:rsidRPr="00C04C14">
        <w:rPr>
          <w:i/>
        </w:rPr>
        <w:t>i</w:t>
      </w:r>
      <w:r w:rsidRPr="00C04C14">
        <w:rPr>
          <w:i/>
        </w:rPr>
        <w:t>nanciers</w:t>
      </w:r>
      <w:r w:rsidRPr="004B2498">
        <w:rPr>
          <w:lang w:eastAsia="fr-FR" w:bidi="fr-FR"/>
        </w:rPr>
        <w:t xml:space="preserve"> du Centre Walras ont toujours déno</w:t>
      </w:r>
      <w:r w:rsidRPr="004B2498">
        <w:rPr>
          <w:lang w:eastAsia="fr-FR" w:bidi="fr-FR"/>
        </w:rPr>
        <w:t>n</w:t>
      </w:r>
      <w:r w:rsidRPr="004B2498">
        <w:rPr>
          <w:lang w:eastAsia="fr-FR" w:bidi="fr-FR"/>
        </w:rPr>
        <w:t>cé les fourvoiements de ce mythe entrepreneurial et Jean-Michel Servet (2006), dans son o</w:t>
      </w:r>
      <w:r w:rsidRPr="004B2498">
        <w:rPr>
          <w:lang w:eastAsia="fr-FR" w:bidi="fr-FR"/>
        </w:rPr>
        <w:t>u</w:t>
      </w:r>
      <w:r w:rsidRPr="004B2498">
        <w:rPr>
          <w:lang w:eastAsia="fr-FR" w:bidi="fr-FR"/>
        </w:rPr>
        <w:t xml:space="preserve">vrage </w:t>
      </w:r>
      <w:r w:rsidRPr="00C04C14">
        <w:rPr>
          <w:i/>
        </w:rPr>
        <w:t>Banquiers aux pieds nus</w:t>
      </w:r>
      <w:r w:rsidRPr="004B2498">
        <w:rPr>
          <w:lang w:eastAsia="fr-FR" w:bidi="fr-FR"/>
        </w:rPr>
        <w:t>, en décrit en détail les raisons. Le te</w:t>
      </w:r>
      <w:r w:rsidRPr="004B2498">
        <w:rPr>
          <w:lang w:eastAsia="fr-FR" w:bidi="fr-FR"/>
        </w:rPr>
        <w:t>r</w:t>
      </w:r>
      <w:r w:rsidRPr="004B2498">
        <w:rPr>
          <w:lang w:eastAsia="fr-FR" w:bidi="fr-FR"/>
        </w:rPr>
        <w:t>rain indien met en évidence les points suivants</w:t>
      </w:r>
      <w:r>
        <w:rPr>
          <w:lang w:eastAsia="fr-FR" w:bidi="fr-FR"/>
        </w:rPr>
        <w:t> </w:t>
      </w:r>
      <w:r>
        <w:rPr>
          <w:rStyle w:val="Appelnotedebasdep"/>
          <w:lang w:eastAsia="fr-FR" w:bidi="fr-FR"/>
        </w:rPr>
        <w:footnoteReference w:id="87"/>
      </w:r>
      <w:r w:rsidRPr="004B2498">
        <w:rPr>
          <w:lang w:eastAsia="fr-FR" w:bidi="fr-FR"/>
        </w:rPr>
        <w:t> :</w:t>
      </w:r>
    </w:p>
    <w:p w14:paraId="5AA6E181" w14:textId="77777777" w:rsidR="002F4063" w:rsidRPr="004B2498" w:rsidRDefault="002F4063" w:rsidP="002F4063">
      <w:pPr>
        <w:spacing w:before="120" w:after="120"/>
        <w:jc w:val="both"/>
      </w:pPr>
      <w:r w:rsidRPr="004B2498">
        <w:rPr>
          <w:lang w:eastAsia="fr-FR" w:bidi="fr-FR"/>
        </w:rPr>
        <w:t xml:space="preserve">- Le </w:t>
      </w:r>
      <w:r w:rsidRPr="00C72EFE">
        <w:rPr>
          <w:i/>
          <w:lang w:eastAsia="fr-FR" w:bidi="fr-FR"/>
        </w:rPr>
        <w:t>premier</w:t>
      </w:r>
      <w:r w:rsidRPr="004B2498">
        <w:rPr>
          <w:lang w:eastAsia="fr-FR" w:bidi="fr-FR"/>
        </w:rPr>
        <w:t xml:space="preserve"> porte sur le flou conceptuel relatif à la notion d’auto-emploi et la confusion, quasi systématique, entre auto-emploi et e</w:t>
      </w:r>
      <w:r w:rsidRPr="004B2498">
        <w:rPr>
          <w:lang w:eastAsia="fr-FR" w:bidi="fr-FR"/>
        </w:rPr>
        <w:t>m</w:t>
      </w:r>
      <w:r w:rsidRPr="004B2498">
        <w:rPr>
          <w:lang w:eastAsia="fr-FR" w:bidi="fr-FR"/>
        </w:rPr>
        <w:t>ploi informel. C’est précisément cette confusion qui participe du m</w:t>
      </w:r>
      <w:r w:rsidRPr="004B2498">
        <w:rPr>
          <w:lang w:eastAsia="fr-FR" w:bidi="fr-FR"/>
        </w:rPr>
        <w:t>y</w:t>
      </w:r>
      <w:r w:rsidRPr="004B2498">
        <w:rPr>
          <w:lang w:eastAsia="fr-FR" w:bidi="fr-FR"/>
        </w:rPr>
        <w:t>the entrepreneurial des pauvres. Si l’on restreint l’usage du terme à des activités reposant sur le contrôle des moyens de production et de l’accès au marché, alors la proportion de personnes en situation d’auto-emploi est beaucoup plus restreinte que ce qui est habituell</w:t>
      </w:r>
      <w:r w:rsidRPr="004B2498">
        <w:rPr>
          <w:lang w:eastAsia="fr-FR" w:bidi="fr-FR"/>
        </w:rPr>
        <w:t>e</w:t>
      </w:r>
      <w:r w:rsidRPr="004B2498">
        <w:rPr>
          <w:lang w:eastAsia="fr-FR" w:bidi="fr-FR"/>
        </w:rPr>
        <w:t>ment avancé : dans toutes les enquêtes que j’ai menées, elle ne dépa</w:t>
      </w:r>
      <w:r w:rsidRPr="004B2498">
        <w:rPr>
          <w:lang w:eastAsia="fr-FR" w:bidi="fr-FR"/>
        </w:rPr>
        <w:t>s</w:t>
      </w:r>
      <w:r w:rsidRPr="004B2498">
        <w:rPr>
          <w:lang w:eastAsia="fr-FR" w:bidi="fr-FR"/>
        </w:rPr>
        <w:t>se pas 15% de la population active (alors que l’emploi informel en concerne plus de 90%). Si l’emploi rural indien se caractérise, co</w:t>
      </w:r>
      <w:r w:rsidRPr="004B2498">
        <w:rPr>
          <w:lang w:eastAsia="fr-FR" w:bidi="fr-FR"/>
        </w:rPr>
        <w:t>m</w:t>
      </w:r>
      <w:r w:rsidRPr="004B2498">
        <w:rPr>
          <w:lang w:eastAsia="fr-FR" w:bidi="fr-FR"/>
        </w:rPr>
        <w:t>me dans bien d’autres contextes, par une importance croissante d’emplois non agricoles, c’est essentiellement par le biais de l’emploi salarié précaire (payé à la journée ou à la pièce).</w:t>
      </w:r>
    </w:p>
    <w:p w14:paraId="4F25FDC2" w14:textId="77777777" w:rsidR="002F4063" w:rsidRPr="004B2498" w:rsidRDefault="002F4063" w:rsidP="002F4063">
      <w:pPr>
        <w:spacing w:before="120" w:after="120"/>
        <w:jc w:val="both"/>
      </w:pPr>
      <w:r w:rsidRPr="004B2498">
        <w:rPr>
          <w:lang w:eastAsia="fr-FR" w:bidi="fr-FR"/>
        </w:rPr>
        <w:t xml:space="preserve">- Le </w:t>
      </w:r>
      <w:r w:rsidRPr="00C72EFE">
        <w:rPr>
          <w:i/>
          <w:lang w:eastAsia="fr-FR" w:bidi="fr-FR"/>
        </w:rPr>
        <w:t>second point</w:t>
      </w:r>
      <w:r w:rsidRPr="004B2498">
        <w:rPr>
          <w:lang w:eastAsia="fr-FR" w:bidi="fr-FR"/>
        </w:rPr>
        <w:t>, aujourd’hui couramment admis mais encore très contesté il y a quelques années, porte sur l’usage des prêts : une très large part des microcrédits (entre 60 et 96% selon les organisations étudiées, sur un total d’environ 3 500 prêts) est consacrée à des activ</w:t>
      </w:r>
      <w:r w:rsidRPr="004B2498">
        <w:rPr>
          <w:lang w:eastAsia="fr-FR" w:bidi="fr-FR"/>
        </w:rPr>
        <w:t>i</w:t>
      </w:r>
      <w:r w:rsidRPr="004B2498">
        <w:rPr>
          <w:lang w:eastAsia="fr-FR" w:bidi="fr-FR"/>
        </w:rPr>
        <w:t>tés ne générant pas de revenu direct, telles que la santé, l’éducation, les cérémonies ou le remboursement d’anciennes dettes.</w:t>
      </w:r>
    </w:p>
    <w:p w14:paraId="7F84EAE4" w14:textId="77777777" w:rsidR="002F4063" w:rsidRPr="004B2498" w:rsidRDefault="002F4063" w:rsidP="002F4063">
      <w:pPr>
        <w:spacing w:before="120" w:after="120"/>
        <w:jc w:val="both"/>
      </w:pPr>
      <w:r w:rsidRPr="004B2498">
        <w:rPr>
          <w:lang w:eastAsia="fr-FR" w:bidi="fr-FR"/>
        </w:rPr>
        <w:t xml:space="preserve">- Le </w:t>
      </w:r>
      <w:r w:rsidRPr="00C72EFE">
        <w:rPr>
          <w:i/>
          <w:lang w:eastAsia="fr-FR" w:bidi="fr-FR"/>
        </w:rPr>
        <w:t>troisième point</w:t>
      </w:r>
      <w:r w:rsidRPr="004B2498">
        <w:rPr>
          <w:lang w:eastAsia="fr-FR" w:bidi="fr-FR"/>
        </w:rPr>
        <w:t xml:space="preserve"> porte sur l’ampleur des contraintes auxquelles se heurtent les entrepreneurs potentiels. Très rares sont les hommes ou les femmes qui créent des micro-entreprises grâce au microcrédit : ils n’en ont pas le goût et sont parfaitement conscients des risques. Les blocages sont d’ordre tant individuel (attachement au salariat, aussi précaire et exploitateur soit-il, ou à l’agriculture, aussi peu rentable soit-elle) qu’institutionnel, avec d’une part, une demande locale très limitée (faute de pouvoir d’achat de la population locale) et d’autre part, des marchés locaux fortement fragmentés, quasi monopolist</w:t>
      </w:r>
      <w:r w:rsidRPr="004B2498">
        <w:rPr>
          <w:lang w:eastAsia="fr-FR" w:bidi="fr-FR"/>
        </w:rPr>
        <w:t>i</w:t>
      </w:r>
      <w:r w:rsidRPr="004B2498">
        <w:rPr>
          <w:lang w:eastAsia="fr-FR" w:bidi="fr-FR"/>
        </w:rPr>
        <w:t xml:space="preserve">ques, et régulés en fonction de l’appartenance de caste, classe, genre ou de religion (Harriss-White, 2003 ; Harriss-White, 2010b ; Prakash, 2010). Concernant l’agriculture, ici comme ailleurs (Morvant-Roux, 2009 ; Morvant-Roux et </w:t>
      </w:r>
      <w:r w:rsidRPr="004B2498">
        <w:t>al.,</w:t>
      </w:r>
      <w:r w:rsidRPr="004B2498">
        <w:rPr>
          <w:lang w:eastAsia="fr-FR" w:bidi="fr-FR"/>
        </w:rPr>
        <w:t xml:space="preserve"> 2010), le potentiel de la microfinance s’avère limité du fait de caractéristiques techniques inadaptées (mo</w:t>
      </w:r>
      <w:r w:rsidRPr="004B2498">
        <w:rPr>
          <w:lang w:eastAsia="fr-FR" w:bidi="fr-FR"/>
        </w:rPr>
        <w:t>n</w:t>
      </w:r>
      <w:r w:rsidRPr="004B2498">
        <w:rPr>
          <w:lang w:eastAsia="fr-FR" w:bidi="fr-FR"/>
        </w:rPr>
        <w:t>tants trop faibles, modalités d’octroi et de remboursement peu ada</w:t>
      </w:r>
      <w:r w:rsidRPr="004B2498">
        <w:rPr>
          <w:lang w:eastAsia="fr-FR" w:bidi="fr-FR"/>
        </w:rPr>
        <w:t>p</w:t>
      </w:r>
      <w:r w:rsidRPr="004B2498">
        <w:rPr>
          <w:lang w:eastAsia="fr-FR" w:bidi="fr-FR"/>
        </w:rPr>
        <w:t>tées aux calendriers agricoles).</w:t>
      </w:r>
    </w:p>
    <w:p w14:paraId="293430DA" w14:textId="77777777" w:rsidR="002F4063" w:rsidRPr="004B2498" w:rsidRDefault="002F4063" w:rsidP="002F4063">
      <w:pPr>
        <w:spacing w:before="120" w:after="120"/>
        <w:jc w:val="both"/>
      </w:pPr>
      <w:r w:rsidRPr="004B2498">
        <w:rPr>
          <w:lang w:eastAsia="fr-FR" w:bidi="fr-FR"/>
        </w:rPr>
        <w:t xml:space="preserve">- Le </w:t>
      </w:r>
      <w:r w:rsidRPr="00C72EFE">
        <w:rPr>
          <w:i/>
          <w:lang w:eastAsia="fr-FR" w:bidi="fr-FR"/>
        </w:rPr>
        <w:t>quatrième point</w:t>
      </w:r>
      <w:r w:rsidRPr="004B2498">
        <w:rPr>
          <w:lang w:eastAsia="fr-FR" w:bidi="fr-FR"/>
        </w:rPr>
        <w:t xml:space="preserve"> concerne les effets indirects de la microfina</w:t>
      </w:r>
      <w:r w:rsidRPr="004B2498">
        <w:rPr>
          <w:lang w:eastAsia="fr-FR" w:bidi="fr-FR"/>
        </w:rPr>
        <w:t>n</w:t>
      </w:r>
      <w:r w:rsidRPr="004B2498">
        <w:rPr>
          <w:lang w:eastAsia="fr-FR" w:bidi="fr-FR"/>
        </w:rPr>
        <w:t>ce sur l’emploi. Si l’impact direct de la microfinance sur la création d’emploi se</w:t>
      </w:r>
      <w:r w:rsidRPr="004B2498">
        <w:t xml:space="preserve"> [122]</w:t>
      </w:r>
      <w:r>
        <w:t xml:space="preserve"> </w:t>
      </w:r>
      <w:r w:rsidRPr="004B2498">
        <w:rPr>
          <w:lang w:eastAsia="fr-FR" w:bidi="fr-FR"/>
        </w:rPr>
        <w:t>révèle marginal, il est en revanche fort probable que l’obligation de rembourser les microcrédits incite les familles à tr</w:t>
      </w:r>
      <w:r w:rsidRPr="004B2498">
        <w:rPr>
          <w:lang w:eastAsia="fr-FR" w:bidi="fr-FR"/>
        </w:rPr>
        <w:t>a</w:t>
      </w:r>
      <w:r w:rsidRPr="004B2498">
        <w:rPr>
          <w:lang w:eastAsia="fr-FR" w:bidi="fr-FR"/>
        </w:rPr>
        <w:t>vailler davantage - en ayant recours à la migration circulaire - tout au moins pendant la durée du prêt.</w:t>
      </w:r>
    </w:p>
    <w:p w14:paraId="5242F722" w14:textId="77777777" w:rsidR="002F4063" w:rsidRPr="004B2498" w:rsidRDefault="002F4063" w:rsidP="002F4063">
      <w:pPr>
        <w:spacing w:before="120" w:after="120"/>
        <w:jc w:val="both"/>
        <w:rPr>
          <w:szCs w:val="24"/>
          <w:lang w:eastAsia="fr-FR" w:bidi="fr-FR"/>
        </w:rPr>
      </w:pPr>
    </w:p>
    <w:p w14:paraId="6E0FA851" w14:textId="77777777" w:rsidR="002F4063" w:rsidRPr="004B2498" w:rsidRDefault="002F4063" w:rsidP="002F4063">
      <w:pPr>
        <w:pStyle w:val="a"/>
      </w:pPr>
      <w:r w:rsidRPr="004B2498">
        <w:t>Le mythe de l’éradication de la finance informelle</w:t>
      </w:r>
    </w:p>
    <w:p w14:paraId="69B92AE0" w14:textId="77777777" w:rsidR="002F4063" w:rsidRPr="004B2498" w:rsidRDefault="002F4063" w:rsidP="002F4063">
      <w:pPr>
        <w:spacing w:before="120" w:after="120"/>
        <w:jc w:val="both"/>
      </w:pPr>
    </w:p>
    <w:p w14:paraId="7FAED286" w14:textId="77777777" w:rsidR="002F4063" w:rsidRPr="004B2498" w:rsidRDefault="002F4063" w:rsidP="002F4063">
      <w:pPr>
        <w:spacing w:before="120" w:after="120"/>
        <w:jc w:val="both"/>
      </w:pPr>
      <w:r w:rsidRPr="004B2498">
        <w:t>La microfinance tire aussi sa légitimité de sa capacité supposée de substitution à la finance informelle. Réitérant un argument très ancien, partagé aussi bien par la puissance coloniale, les missions chrétiennes que les autorités indiennes, les organisations de microfinance se do</w:t>
      </w:r>
      <w:r w:rsidRPr="004B2498">
        <w:t>n</w:t>
      </w:r>
      <w:r w:rsidRPr="004B2498">
        <w:t xml:space="preserve">nent pour mission de libérer les pauvres « des griffes des usuriers », et la presse s’en fait régulièrement l’écho. L’ouvrage de Collins </w:t>
      </w:r>
      <w:r w:rsidRPr="004B2498">
        <w:rPr>
          <w:rStyle w:val="Corpsdutexte410ptItalique"/>
          <w:i w:val="0"/>
          <w:color w:val="auto"/>
          <w:sz w:val="28"/>
        </w:rPr>
        <w:t>et al.</w:t>
      </w:r>
      <w:r w:rsidRPr="004B2498">
        <w:t xml:space="preserve"> (2009) est un vibrant plaidoyer en faveur de la substitution, considérée comme nécessaire mais aussi réaliste : la microfinancc, arguent ses auteurs, doit permettre d’offrir des services financiers moins chers, contractuels et donc plus fiables et plus transparents. De multiples tr</w:t>
      </w:r>
      <w:r w:rsidRPr="004B2498">
        <w:t>a</w:t>
      </w:r>
      <w:r w:rsidRPr="004B2498">
        <w:t>vaux ont mis en évidence les pratiques de jonglage et l’absence de substitution </w:t>
      </w:r>
      <w:r>
        <w:rPr>
          <w:rStyle w:val="Appelnotedebasdep"/>
        </w:rPr>
        <w:footnoteReference w:id="88"/>
      </w:r>
      <w:r w:rsidRPr="004B2498">
        <w:t>. Ici on observe d’une part, qu’il n'y a pas substitution mais plutôt effet de levier, en tout cas pour certaines familles, et d’autre part, que la relation entre clients et organisations de microf</w:t>
      </w:r>
      <w:r w:rsidRPr="004B2498">
        <w:t>i</w:t>
      </w:r>
      <w:r w:rsidRPr="004B2498">
        <w:t>nance est beaucoup plus proche d’une relation de clientèle que d’une relation contractuelle.</w:t>
      </w:r>
    </w:p>
    <w:p w14:paraId="70CF683F" w14:textId="77777777" w:rsidR="002F4063" w:rsidRPr="004B2498" w:rsidRDefault="002F4063" w:rsidP="002F4063">
      <w:pPr>
        <w:spacing w:before="120" w:after="120"/>
        <w:jc w:val="both"/>
        <w:rPr>
          <w:szCs w:val="24"/>
          <w:lang w:eastAsia="fr-FR" w:bidi="fr-FR"/>
        </w:rPr>
      </w:pPr>
      <w:r>
        <w:rPr>
          <w:szCs w:val="24"/>
          <w:lang w:eastAsia="fr-FR" w:bidi="fr-FR"/>
        </w:rPr>
        <w:br w:type="page"/>
      </w:r>
    </w:p>
    <w:p w14:paraId="5FDF259B" w14:textId="77777777" w:rsidR="002F4063" w:rsidRPr="004B2498" w:rsidRDefault="002F4063" w:rsidP="002F4063">
      <w:pPr>
        <w:pStyle w:val="a"/>
      </w:pPr>
      <w:r w:rsidRPr="004B2498">
        <w:t xml:space="preserve">Effets de levier </w:t>
      </w:r>
      <w:r w:rsidRPr="00C04C14">
        <w:rPr>
          <w:bCs/>
          <w:iCs w:val="0"/>
        </w:rPr>
        <w:t>versus</w:t>
      </w:r>
      <w:r w:rsidRPr="004B2498">
        <w:t xml:space="preserve"> substitution</w:t>
      </w:r>
    </w:p>
    <w:p w14:paraId="0EB29ABB" w14:textId="77777777" w:rsidR="002F4063" w:rsidRPr="004B2498" w:rsidRDefault="002F4063" w:rsidP="002F4063">
      <w:pPr>
        <w:spacing w:before="120" w:after="120"/>
        <w:jc w:val="both"/>
        <w:rPr>
          <w:lang w:eastAsia="fr-FR" w:bidi="fr-FR"/>
        </w:rPr>
      </w:pPr>
    </w:p>
    <w:p w14:paraId="74E6AF3A" w14:textId="77777777" w:rsidR="002F4063" w:rsidRPr="004B2498" w:rsidRDefault="002F4063" w:rsidP="002F4063">
      <w:pPr>
        <w:spacing w:before="120" w:after="120"/>
        <w:jc w:val="both"/>
      </w:pPr>
      <w:r w:rsidRPr="004B2498">
        <w:rPr>
          <w:lang w:eastAsia="fr-FR" w:bidi="fr-FR"/>
        </w:rPr>
        <w:t>L’analyse des portefeuilles financiers des familles montre que la substitution microfinance/informel existe, mais elle ne concerne qu’une partie des clients et elle atteint rapidement des effets de seuil, pour des raisons « techniques » (délais d’obtention, montants limités, rigidité des remboursements) mais aussi sociales : les personnes s’endettent pour répondre à un besoin, certes, mais aussi pour maint</w:t>
      </w:r>
      <w:r w:rsidRPr="004B2498">
        <w:rPr>
          <w:lang w:eastAsia="fr-FR" w:bidi="fr-FR"/>
        </w:rPr>
        <w:t>e</w:t>
      </w:r>
      <w:r w:rsidRPr="004B2498">
        <w:rPr>
          <w:lang w:eastAsia="fr-FR" w:bidi="fr-FR"/>
        </w:rPr>
        <w:t>nir, renforcer voire créer une relation sociale. Pour d’autres clients, la microfinance joue plutôt un effet de levier : par différents canaux, elle contribue à améliorer la solvabilité des emprunteurs et élargit l’éventail de leurs options financières, bien au-delà du seul microcr</w:t>
      </w:r>
      <w:r w:rsidRPr="004B2498">
        <w:rPr>
          <w:lang w:eastAsia="fr-FR" w:bidi="fr-FR"/>
        </w:rPr>
        <w:t>é</w:t>
      </w:r>
      <w:r w:rsidRPr="004B2498">
        <w:rPr>
          <w:lang w:eastAsia="fr-FR" w:bidi="fr-FR"/>
        </w:rPr>
        <w:t>dit. Cet élargissement des choix permet probablement une meilleure gestion de la trésorerie quotidienne mais elle comporte aussi des ri</w:t>
      </w:r>
      <w:r w:rsidRPr="004B2498">
        <w:rPr>
          <w:lang w:eastAsia="fr-FR" w:bidi="fr-FR"/>
        </w:rPr>
        <w:t>s</w:t>
      </w:r>
      <w:r w:rsidRPr="004B2498">
        <w:rPr>
          <w:lang w:eastAsia="fr-FR" w:bidi="fr-FR"/>
        </w:rPr>
        <w:t>ques de surendettement </w:t>
      </w:r>
      <w:r>
        <w:rPr>
          <w:rStyle w:val="Appelnotedebasdep"/>
          <w:lang w:eastAsia="fr-FR" w:bidi="fr-FR"/>
        </w:rPr>
        <w:footnoteReference w:id="89"/>
      </w:r>
      <w:r w:rsidRPr="004B2498">
        <w:rPr>
          <w:lang w:eastAsia="fr-FR" w:bidi="fr-FR"/>
        </w:rPr>
        <w:t>.</w:t>
      </w:r>
    </w:p>
    <w:p w14:paraId="50DD4638" w14:textId="77777777" w:rsidR="002F4063" w:rsidRPr="004B2498" w:rsidRDefault="002F4063" w:rsidP="002F4063">
      <w:pPr>
        <w:spacing w:before="120" w:after="120"/>
        <w:jc w:val="both"/>
      </w:pPr>
      <w:r w:rsidRPr="004B2498">
        <w:rPr>
          <w:lang w:eastAsia="fr-FR" w:bidi="fr-FR"/>
        </w:rPr>
        <w:t>Avec plusieurs collègues nous avons suivi 400 familles entre 2004 et 2009. La période est certes courte pour saisir des mutations struct</w:t>
      </w:r>
      <w:r w:rsidRPr="004B2498">
        <w:rPr>
          <w:lang w:eastAsia="fr-FR" w:bidi="fr-FR"/>
        </w:rPr>
        <w:t>u</w:t>
      </w:r>
      <w:r w:rsidRPr="004B2498">
        <w:rPr>
          <w:lang w:eastAsia="fr-FR" w:bidi="fr-FR"/>
        </w:rPr>
        <w:t>relles mais néanmoins suffisante pour observer un accroissement s</w:t>
      </w:r>
      <w:r w:rsidRPr="004B2498">
        <w:rPr>
          <w:lang w:eastAsia="fr-FR" w:bidi="fr-FR"/>
        </w:rPr>
        <w:t>i</w:t>
      </w:r>
      <w:r w:rsidRPr="004B2498">
        <w:rPr>
          <w:lang w:eastAsia="fr-FR" w:bidi="fr-FR"/>
        </w:rPr>
        <w:t>gnificatif de la vulnérabilité financière des ménages : un recours gra</w:t>
      </w:r>
      <w:r w:rsidRPr="004B2498">
        <w:rPr>
          <w:lang w:eastAsia="fr-FR" w:bidi="fr-FR"/>
        </w:rPr>
        <w:t>n</w:t>
      </w:r>
      <w:r w:rsidRPr="004B2498">
        <w:rPr>
          <w:lang w:eastAsia="fr-FR" w:bidi="fr-FR"/>
        </w:rPr>
        <w:t>dissant à l'endettement afin de financer l’obtention de biens de consommation, principalement de</w:t>
      </w:r>
      <w:r>
        <w:t xml:space="preserve"> </w:t>
      </w:r>
      <w:r w:rsidRPr="004B2498">
        <w:t>[123]</w:t>
      </w:r>
      <w:r>
        <w:t xml:space="preserve"> </w:t>
      </w:r>
      <w:r w:rsidRPr="004B2498">
        <w:rPr>
          <w:lang w:eastAsia="fr-FR" w:bidi="fr-FR"/>
        </w:rPr>
        <w:t>type statutaire, alors que le patrimoine s’effrite, et une exacerb</w:t>
      </w:r>
      <w:r w:rsidRPr="004B2498">
        <w:rPr>
          <w:lang w:eastAsia="fr-FR" w:bidi="fr-FR"/>
        </w:rPr>
        <w:t>a</w:t>
      </w:r>
      <w:r w:rsidRPr="004B2498">
        <w:rPr>
          <w:lang w:eastAsia="fr-FR" w:bidi="fr-FR"/>
        </w:rPr>
        <w:t>tion des inégalités entre ménages. Considérer la microfinance comme seule responsable serait toutefois excessif. D’une part, certaines cat</w:t>
      </w:r>
      <w:r w:rsidRPr="004B2498">
        <w:rPr>
          <w:lang w:eastAsia="fr-FR" w:bidi="fr-FR"/>
        </w:rPr>
        <w:t>é</w:t>
      </w:r>
      <w:r w:rsidRPr="004B2498">
        <w:rPr>
          <w:lang w:eastAsia="fr-FR" w:bidi="fr-FR"/>
        </w:rPr>
        <w:t>gories de ménages profitent de la microfinance comme d’une oppo</w:t>
      </w:r>
      <w:r w:rsidRPr="004B2498">
        <w:rPr>
          <w:lang w:eastAsia="fr-FR" w:bidi="fr-FR"/>
        </w:rPr>
        <w:t>r</w:t>
      </w:r>
      <w:r w:rsidRPr="004B2498">
        <w:rPr>
          <w:lang w:eastAsia="fr-FR" w:bidi="fr-FR"/>
        </w:rPr>
        <w:t>tunité permettant de sécuriser leur budget. D’autre part, les effets de la microfinance sont indissociables de dynamiques plus générales relatives à l’emploi (emploi local décl</w:t>
      </w:r>
      <w:r w:rsidRPr="004B2498">
        <w:rPr>
          <w:lang w:eastAsia="fr-FR" w:bidi="fr-FR"/>
        </w:rPr>
        <w:t>i</w:t>
      </w:r>
      <w:r w:rsidRPr="004B2498">
        <w:rPr>
          <w:lang w:eastAsia="fr-FR" w:bidi="fr-FR"/>
        </w:rPr>
        <w:t>nant, migration urbaine croissante), la consommation (importance grandissante d’une consommation de statut) et l’accès aux financ</w:t>
      </w:r>
      <w:r w:rsidRPr="004B2498">
        <w:rPr>
          <w:lang w:eastAsia="fr-FR" w:bidi="fr-FR"/>
        </w:rPr>
        <w:t>e</w:t>
      </w:r>
      <w:r w:rsidRPr="004B2498">
        <w:rPr>
          <w:lang w:eastAsia="fr-FR" w:bidi="fr-FR"/>
        </w:rPr>
        <w:t>ments (avec des opportunités de crédit de plus en plus nombreuses, dont le microcrédit n’est qu’une facette). Ce qui est certain en reva</w:t>
      </w:r>
      <w:r w:rsidRPr="004B2498">
        <w:rPr>
          <w:lang w:eastAsia="fr-FR" w:bidi="fr-FR"/>
        </w:rPr>
        <w:t>n</w:t>
      </w:r>
      <w:r w:rsidRPr="004B2498">
        <w:rPr>
          <w:lang w:eastAsia="fr-FR" w:bidi="fr-FR"/>
        </w:rPr>
        <w:t>che, c’est que dans le contexte étudié ici, la microfinance n’a aucun effet direct et immédiat sur les revenus : elle joue plutôt un rôle d’incitation à consommer et éventuellement à tr</w:t>
      </w:r>
      <w:r w:rsidRPr="004B2498">
        <w:rPr>
          <w:lang w:eastAsia="fr-FR" w:bidi="fr-FR"/>
        </w:rPr>
        <w:t>a</w:t>
      </w:r>
      <w:r w:rsidRPr="004B2498">
        <w:rPr>
          <w:lang w:eastAsia="fr-FR" w:bidi="fr-FR"/>
        </w:rPr>
        <w:t>vailler davantage pour rembourser les dettes.</w:t>
      </w:r>
    </w:p>
    <w:p w14:paraId="53DBBFD0" w14:textId="77777777" w:rsidR="002F4063" w:rsidRPr="004B2498" w:rsidRDefault="002F4063" w:rsidP="002F4063">
      <w:pPr>
        <w:spacing w:before="120" w:after="120"/>
        <w:jc w:val="both"/>
        <w:rPr>
          <w:szCs w:val="24"/>
          <w:lang w:eastAsia="fr-FR" w:bidi="fr-FR"/>
        </w:rPr>
      </w:pPr>
    </w:p>
    <w:p w14:paraId="305A76DD" w14:textId="77777777" w:rsidR="002F4063" w:rsidRPr="004B2498" w:rsidRDefault="002F4063" w:rsidP="002F4063">
      <w:pPr>
        <w:pStyle w:val="a"/>
      </w:pPr>
      <w:r w:rsidRPr="004B2498">
        <w:t xml:space="preserve">Courtage et clientélisme </w:t>
      </w:r>
      <w:r w:rsidRPr="00215A65">
        <w:rPr>
          <w:bCs/>
          <w:iCs w:val="0"/>
        </w:rPr>
        <w:t>versus</w:t>
      </w:r>
      <w:r w:rsidRPr="004B2498">
        <w:t xml:space="preserve"> relation contractuelle</w:t>
      </w:r>
    </w:p>
    <w:p w14:paraId="198ED022" w14:textId="77777777" w:rsidR="002F4063" w:rsidRPr="004B2498" w:rsidRDefault="002F4063" w:rsidP="002F4063">
      <w:pPr>
        <w:spacing w:before="120" w:after="120"/>
        <w:jc w:val="both"/>
        <w:rPr>
          <w:lang w:eastAsia="fr-FR" w:bidi="fr-FR"/>
        </w:rPr>
      </w:pPr>
    </w:p>
    <w:p w14:paraId="16D365A5" w14:textId="77777777" w:rsidR="002F4063" w:rsidRPr="004B2498" w:rsidRDefault="002F4063" w:rsidP="002F4063">
      <w:pPr>
        <w:spacing w:before="120" w:after="120"/>
        <w:jc w:val="both"/>
      </w:pPr>
      <w:r w:rsidRPr="004B2498">
        <w:rPr>
          <w:lang w:eastAsia="fr-FR" w:bidi="fr-FR"/>
        </w:rPr>
        <w:t>Les partisans de la microfinance font valoir sa dimension contra</w:t>
      </w:r>
      <w:r w:rsidRPr="004B2498">
        <w:rPr>
          <w:lang w:eastAsia="fr-FR" w:bidi="fr-FR"/>
        </w:rPr>
        <w:t>c</w:t>
      </w:r>
      <w:r w:rsidRPr="004B2498">
        <w:rPr>
          <w:lang w:eastAsia="fr-FR" w:bidi="fr-FR"/>
        </w:rPr>
        <w:t>tuelle et ses vertus émancipatrices par rapport aux liens de subordin</w:t>
      </w:r>
      <w:r w:rsidRPr="004B2498">
        <w:rPr>
          <w:lang w:eastAsia="fr-FR" w:bidi="fr-FR"/>
        </w:rPr>
        <w:t>a</w:t>
      </w:r>
      <w:r w:rsidRPr="004B2498">
        <w:rPr>
          <w:lang w:eastAsia="fr-FR" w:bidi="fr-FR"/>
        </w:rPr>
        <w:t xml:space="preserve">tion personnels (Collins </w:t>
      </w:r>
      <w:r w:rsidRPr="004B2498">
        <w:t>et al</w:t>
      </w:r>
      <w:r w:rsidRPr="004B2498">
        <w:rPr>
          <w:lang w:eastAsia="fr-FR" w:bidi="fr-FR"/>
        </w:rPr>
        <w:t>., 2009). Ses détracteurs dénoncent les pratiques de coercition et la reproduction de relations de subordination et d’aliénation (Rahman, 1989 ; Karim, 2011). Dans les organisations de microfinance étudiées ici - l’analyse n’a aucune prétention à gén</w:t>
      </w:r>
      <w:r w:rsidRPr="004B2498">
        <w:rPr>
          <w:lang w:eastAsia="fr-FR" w:bidi="fr-FR"/>
        </w:rPr>
        <w:t>é</w:t>
      </w:r>
      <w:r w:rsidRPr="004B2498">
        <w:rPr>
          <w:lang w:eastAsia="fr-FR" w:bidi="fr-FR"/>
        </w:rPr>
        <w:t>ralisation car il est évident que chaque organisation de microfinance a sa vie sociale propre - la relation ne relève ni du contrat ni de la coe</w:t>
      </w:r>
      <w:r w:rsidRPr="004B2498">
        <w:rPr>
          <w:lang w:eastAsia="fr-FR" w:bidi="fr-FR"/>
        </w:rPr>
        <w:t>r</w:t>
      </w:r>
      <w:r w:rsidRPr="004B2498">
        <w:rPr>
          <w:lang w:eastAsia="fr-FR" w:bidi="fr-FR"/>
        </w:rPr>
        <w:t>cition mais plutôt du lien de clientèle et de courtage </w:t>
      </w:r>
      <w:r>
        <w:rPr>
          <w:rStyle w:val="Appelnotedebasdep"/>
          <w:lang w:eastAsia="fr-FR" w:bidi="fr-FR"/>
        </w:rPr>
        <w:footnoteReference w:id="90"/>
      </w:r>
      <w:r w:rsidRPr="004B2498">
        <w:rPr>
          <w:lang w:eastAsia="fr-FR" w:bidi="fr-FR"/>
        </w:rPr>
        <w:t>. Cette relation de clientèle met en scène un « patron » (l’organisation de microfina</w:t>
      </w:r>
      <w:r w:rsidRPr="004B2498">
        <w:rPr>
          <w:lang w:eastAsia="fr-FR" w:bidi="fr-FR"/>
        </w:rPr>
        <w:t>n</w:t>
      </w:r>
      <w:r w:rsidRPr="004B2498">
        <w:rPr>
          <w:lang w:eastAsia="fr-FR" w:bidi="fr-FR"/>
        </w:rPr>
        <w:t>ce ou son bailleur, ici en l’occurrence il s’agit le plus souvent de l’État), des « courtiers de terrain </w:t>
      </w:r>
      <w:r>
        <w:rPr>
          <w:rStyle w:val="Appelnotedebasdep"/>
          <w:lang w:eastAsia="fr-FR" w:bidi="fr-FR"/>
        </w:rPr>
        <w:footnoteReference w:id="91"/>
      </w:r>
      <w:r w:rsidRPr="004B2498">
        <w:rPr>
          <w:lang w:eastAsia="fr-FR" w:bidi="fr-FR"/>
        </w:rPr>
        <w:t> » (agents de crédit, qui délèguent une partie de cette fonction de courtage à des leaders locaux et à des leaders de groupes) et enfin des « clients » (usagers des services de microfinance).</w:t>
      </w:r>
    </w:p>
    <w:p w14:paraId="46EF34BF" w14:textId="77777777" w:rsidR="002F4063" w:rsidRPr="004B2498" w:rsidRDefault="002F4063" w:rsidP="002F4063">
      <w:pPr>
        <w:spacing w:before="120" w:after="120"/>
        <w:jc w:val="both"/>
      </w:pPr>
      <w:r w:rsidRPr="004B2498">
        <w:rPr>
          <w:lang w:eastAsia="fr-FR" w:bidi="fr-FR"/>
        </w:rPr>
        <w:t>Les agents de crédit et les leaders de groupes ont la lourde respo</w:t>
      </w:r>
      <w:r w:rsidRPr="004B2498">
        <w:rPr>
          <w:lang w:eastAsia="fr-FR" w:bidi="fr-FR"/>
        </w:rPr>
        <w:t>n</w:t>
      </w:r>
      <w:r w:rsidRPr="004B2498">
        <w:rPr>
          <w:lang w:eastAsia="fr-FR" w:bidi="fr-FR"/>
        </w:rPr>
        <w:t>sabilité de sélectionner les clients fiables puis de s’assurer des re</w:t>
      </w:r>
      <w:r w:rsidRPr="004B2498">
        <w:rPr>
          <w:lang w:eastAsia="fr-FR" w:bidi="fr-FR"/>
        </w:rPr>
        <w:t>m</w:t>
      </w:r>
      <w:r w:rsidRPr="004B2498">
        <w:rPr>
          <w:lang w:eastAsia="fr-FR" w:bidi="fr-FR"/>
        </w:rPr>
        <w:t>boursements. En théorie c’est la caution solidaire et le principe des prêts progressifs qui jouent un rôle d’incitation à rembourser. Si le second joue en partie son rôle, ce n’est guère le cas de la première, et ce en dépit des prédictions des modèles sophistiqués élaborés par l’économie standard </w:t>
      </w:r>
      <w:r>
        <w:rPr>
          <w:rStyle w:val="Appelnotedebasdep"/>
          <w:lang w:eastAsia="fr-FR" w:bidi="fr-FR"/>
        </w:rPr>
        <w:footnoteReference w:id="92"/>
      </w:r>
      <w:r w:rsidRPr="004B2498">
        <w:rPr>
          <w:lang w:eastAsia="fr-FR" w:bidi="fr-FR"/>
        </w:rPr>
        <w:t>. Ce sont principalement des relations hiéra</w:t>
      </w:r>
      <w:r w:rsidRPr="004B2498">
        <w:rPr>
          <w:lang w:eastAsia="fr-FR" w:bidi="fr-FR"/>
        </w:rPr>
        <w:t>r</w:t>
      </w:r>
      <w:r w:rsidRPr="004B2498">
        <w:rPr>
          <w:lang w:eastAsia="fr-FR" w:bidi="fr-FR"/>
        </w:rPr>
        <w:t>chiques de protection qui garantissent les remboursements. L’analyse des ressorts de cette relation montre que les</w:t>
      </w:r>
      <w:r>
        <w:t xml:space="preserve"> </w:t>
      </w:r>
      <w:r w:rsidRPr="004B2498">
        <w:t>[124]</w:t>
      </w:r>
      <w:r>
        <w:t xml:space="preserve"> </w:t>
      </w:r>
      <w:r w:rsidRPr="004B2498">
        <w:rPr>
          <w:lang w:eastAsia="fr-FR" w:bidi="fr-FR"/>
        </w:rPr>
        <w:t>agents de crédit comme les clients n’ont finalement guère le choix. Plusieurs éléments contextuels méritent d’être précisés ici. La microfinance au Tamil N</w:t>
      </w:r>
      <w:r w:rsidRPr="004B2498">
        <w:rPr>
          <w:lang w:eastAsia="fr-FR" w:bidi="fr-FR"/>
        </w:rPr>
        <w:t>a</w:t>
      </w:r>
      <w:r w:rsidRPr="004B2498">
        <w:rPr>
          <w:lang w:eastAsia="fr-FR" w:bidi="fr-FR"/>
        </w:rPr>
        <w:t>du reste caractérisée par une prédominance de financements publics, dont la mise en œuvre est ensuite déléguée à des ONG</w:t>
      </w:r>
      <w:r>
        <w:rPr>
          <w:lang w:eastAsia="fr-FR" w:bidi="fr-FR"/>
        </w:rPr>
        <w:t> </w:t>
      </w:r>
      <w:r>
        <w:rPr>
          <w:rStyle w:val="Appelnotedebasdep"/>
          <w:lang w:eastAsia="fr-FR" w:bidi="fr-FR"/>
        </w:rPr>
        <w:footnoteReference w:id="93"/>
      </w:r>
      <w:r w:rsidRPr="004B2498">
        <w:rPr>
          <w:lang w:eastAsia="fr-FR" w:bidi="fr-FR"/>
        </w:rPr>
        <w:t>. Le prêt co</w:t>
      </w:r>
      <w:r w:rsidRPr="004B2498">
        <w:rPr>
          <w:lang w:eastAsia="fr-FR" w:bidi="fr-FR"/>
        </w:rPr>
        <w:t>l</w:t>
      </w:r>
      <w:r w:rsidRPr="004B2498">
        <w:rPr>
          <w:lang w:eastAsia="fr-FR" w:bidi="fr-FR"/>
        </w:rPr>
        <w:t xml:space="preserve">lectif, fortement remis en question dans d’autres régions du monde et de l’Inde, est également prépondérant et prend la forme des </w:t>
      </w:r>
      <w:r w:rsidRPr="00215A65">
        <w:rPr>
          <w:i/>
        </w:rPr>
        <w:t>Self-Help-Groups</w:t>
      </w:r>
      <w:r w:rsidRPr="004B2498">
        <w:t>.</w:t>
      </w:r>
      <w:r w:rsidRPr="004B2498">
        <w:rPr>
          <w:lang w:eastAsia="fr-FR" w:bidi="fr-FR"/>
        </w:rPr>
        <w:t xml:space="preserve"> Enfin l’offre est distribuée très inégalement sur le territoire (Fouillet, 2009) : certaines zones sont d</w:t>
      </w:r>
      <w:r w:rsidRPr="004B2498">
        <w:rPr>
          <w:lang w:eastAsia="fr-FR" w:bidi="fr-FR"/>
        </w:rPr>
        <w:t>é</w:t>
      </w:r>
      <w:r w:rsidRPr="004B2498">
        <w:rPr>
          <w:lang w:eastAsia="fr-FR" w:bidi="fr-FR"/>
        </w:rPr>
        <w:t>sertées tandis que d’autres sont saturées et font l’objet de vives concurrences entre ONG. Or la concurrence se joue beaucoup sur la capacité à collaborer avec les a</w:t>
      </w:r>
      <w:r w:rsidRPr="004B2498">
        <w:rPr>
          <w:lang w:eastAsia="fr-FR" w:bidi="fr-FR"/>
        </w:rPr>
        <w:t>u</w:t>
      </w:r>
      <w:r w:rsidRPr="004B2498">
        <w:rPr>
          <w:lang w:eastAsia="fr-FR" w:bidi="fr-FR"/>
        </w:rPr>
        <w:t>torités publiques. Pour les populations, une « bonne » ONG est so</w:t>
      </w:r>
      <w:r w:rsidRPr="004B2498">
        <w:rPr>
          <w:lang w:eastAsia="fr-FR" w:bidi="fr-FR"/>
        </w:rPr>
        <w:t>u</w:t>
      </w:r>
      <w:r w:rsidRPr="004B2498">
        <w:rPr>
          <w:lang w:eastAsia="fr-FR" w:bidi="fr-FR"/>
        </w:rPr>
        <w:t>vent jugée sur sa proximité avec l’État et sa capacité à faciliter l’accès à tel ou tel service ou tel ou tel programme. Cette proximité est off</w:t>
      </w:r>
      <w:r w:rsidRPr="004B2498">
        <w:rPr>
          <w:lang w:eastAsia="fr-FR" w:bidi="fr-FR"/>
        </w:rPr>
        <w:t>i</w:t>
      </w:r>
      <w:r w:rsidRPr="004B2498">
        <w:rPr>
          <w:lang w:eastAsia="fr-FR" w:bidi="fr-FR"/>
        </w:rPr>
        <w:t>cielle lorsque les ONG combinent l’offre de microfinance avec la m</w:t>
      </w:r>
      <w:r w:rsidRPr="004B2498">
        <w:rPr>
          <w:lang w:eastAsia="fr-FR" w:bidi="fr-FR"/>
        </w:rPr>
        <w:t>i</w:t>
      </w:r>
      <w:r w:rsidRPr="004B2498">
        <w:rPr>
          <w:lang w:eastAsia="fr-FR" w:bidi="fr-FR"/>
        </w:rPr>
        <w:t>se en œuvre de programmes go</w:t>
      </w:r>
      <w:r w:rsidRPr="004B2498">
        <w:rPr>
          <w:lang w:eastAsia="fr-FR" w:bidi="fr-FR"/>
        </w:rPr>
        <w:t>u</w:t>
      </w:r>
      <w:r w:rsidRPr="004B2498">
        <w:rPr>
          <w:lang w:eastAsia="fr-FR" w:bidi="fr-FR"/>
        </w:rPr>
        <w:t>vernementaux. Elle est officieuse lorsque c’est l’entregent du perso</w:t>
      </w:r>
      <w:r w:rsidRPr="004B2498">
        <w:rPr>
          <w:lang w:eastAsia="fr-FR" w:bidi="fr-FR"/>
        </w:rPr>
        <w:t>n</w:t>
      </w:r>
      <w:r w:rsidRPr="004B2498">
        <w:rPr>
          <w:lang w:eastAsia="fr-FR" w:bidi="fr-FR"/>
        </w:rPr>
        <w:t>nel des ONG qui permet l’accès aux programmes gouvernementaux. Enfin dans un contexte où le clientélisme politique reste la principale stratégie de fidélisation de l’électorat, la légitimité des ONG à l'égard de la puissance publique repose étroitement sur leur aptitude à organiser des événements p</w:t>
      </w:r>
      <w:r w:rsidRPr="004B2498">
        <w:rPr>
          <w:lang w:eastAsia="fr-FR" w:bidi="fr-FR"/>
        </w:rPr>
        <w:t>u</w:t>
      </w:r>
      <w:r w:rsidRPr="004B2498">
        <w:rPr>
          <w:lang w:eastAsia="fr-FR" w:bidi="fr-FR"/>
        </w:rPr>
        <w:t>blics de masse, sources potentielles de capt</w:t>
      </w:r>
      <w:r w:rsidRPr="004B2498">
        <w:rPr>
          <w:lang w:eastAsia="fr-FR" w:bidi="fr-FR"/>
        </w:rPr>
        <w:t>a</w:t>
      </w:r>
      <w:r w:rsidRPr="004B2498">
        <w:rPr>
          <w:lang w:eastAsia="fr-FR" w:bidi="fr-FR"/>
        </w:rPr>
        <w:t>tions de vote. Les agents de crédit et leaders de groupes ont donc aussi pour fonction de s’assurer de la loyauté et de la fidélité des empru</w:t>
      </w:r>
      <w:r w:rsidRPr="004B2498">
        <w:rPr>
          <w:lang w:eastAsia="fr-FR" w:bidi="fr-FR"/>
        </w:rPr>
        <w:t>n</w:t>
      </w:r>
      <w:r w:rsidRPr="004B2498">
        <w:rPr>
          <w:lang w:eastAsia="fr-FR" w:bidi="fr-FR"/>
        </w:rPr>
        <w:t>teurs, susceptibles d’être mobilisés à tout moment pour ces évén</w:t>
      </w:r>
      <w:r w:rsidRPr="004B2498">
        <w:rPr>
          <w:lang w:eastAsia="fr-FR" w:bidi="fr-FR"/>
        </w:rPr>
        <w:t>e</w:t>
      </w:r>
      <w:r w:rsidRPr="004B2498">
        <w:rPr>
          <w:lang w:eastAsia="fr-FR" w:bidi="fr-FR"/>
        </w:rPr>
        <w:t>ments de masse. Ils et elles gèrent cette double contrainte d’une part, en activant leurs r</w:t>
      </w:r>
      <w:r w:rsidRPr="004B2498">
        <w:rPr>
          <w:lang w:eastAsia="fr-FR" w:bidi="fr-FR"/>
        </w:rPr>
        <w:t>é</w:t>
      </w:r>
      <w:r w:rsidRPr="004B2498">
        <w:rPr>
          <w:lang w:eastAsia="fr-FR" w:bidi="fr-FR"/>
        </w:rPr>
        <w:t>seaux personnels et d’autre part, en proposant une large palette de se</w:t>
      </w:r>
      <w:r w:rsidRPr="004B2498">
        <w:rPr>
          <w:lang w:eastAsia="fr-FR" w:bidi="fr-FR"/>
        </w:rPr>
        <w:t>r</w:t>
      </w:r>
      <w:r w:rsidRPr="004B2498">
        <w:rPr>
          <w:lang w:eastAsia="fr-FR" w:bidi="fr-FR"/>
        </w:rPr>
        <w:t>vices, dont l’offre de microcrédit n’est finalement qu’une composante. Les formes les plus courantes sont l’accès à d’autres sources de fina</w:t>
      </w:r>
      <w:r w:rsidRPr="004B2498">
        <w:rPr>
          <w:lang w:eastAsia="fr-FR" w:bidi="fr-FR"/>
        </w:rPr>
        <w:t>n</w:t>
      </w:r>
      <w:r w:rsidRPr="004B2498">
        <w:rPr>
          <w:lang w:eastAsia="fr-FR" w:bidi="fr-FR"/>
        </w:rPr>
        <w:t>cement - agents de crédits et leaders, ho</w:t>
      </w:r>
      <w:r w:rsidRPr="004B2498">
        <w:rPr>
          <w:lang w:eastAsia="fr-FR" w:bidi="fr-FR"/>
        </w:rPr>
        <w:t>m</w:t>
      </w:r>
      <w:r w:rsidRPr="004B2498">
        <w:rPr>
          <w:lang w:eastAsia="fr-FR" w:bidi="fr-FR"/>
        </w:rPr>
        <w:t>mes et femmes, sont très souvent prêteurs ou intermédiaires financiers -, l’accompagnement dans le dédale des démarches administratives, la protection contre les aléas du système législatif, les conflits inte</w:t>
      </w:r>
      <w:r w:rsidRPr="004B2498">
        <w:rPr>
          <w:lang w:eastAsia="fr-FR" w:bidi="fr-FR"/>
        </w:rPr>
        <w:t>r</w:t>
      </w:r>
      <w:r w:rsidRPr="004B2498">
        <w:rPr>
          <w:lang w:eastAsia="fr-FR" w:bidi="fr-FR"/>
        </w:rPr>
        <w:t>communautaires et parfois la violence domestique. Du côté des clie</w:t>
      </w:r>
      <w:r w:rsidRPr="004B2498">
        <w:rPr>
          <w:lang w:eastAsia="fr-FR" w:bidi="fr-FR"/>
        </w:rPr>
        <w:t>n</w:t>
      </w:r>
      <w:r w:rsidRPr="004B2498">
        <w:rPr>
          <w:lang w:eastAsia="fr-FR" w:bidi="fr-FR"/>
        </w:rPr>
        <w:t>tes, le microcrédit est perçu comme source d’endettement suppléme</w:t>
      </w:r>
      <w:r w:rsidRPr="004B2498">
        <w:rPr>
          <w:lang w:eastAsia="fr-FR" w:bidi="fr-FR"/>
        </w:rPr>
        <w:t>n</w:t>
      </w:r>
      <w:r w:rsidRPr="004B2498">
        <w:rPr>
          <w:lang w:eastAsia="fr-FR" w:bidi="fr-FR"/>
        </w:rPr>
        <w:t>taire permettant de faciliter la gestion quotidienne, mais aussi comme un lien permettant d’accéder à de nouvelles formes de protection, s</w:t>
      </w:r>
      <w:r w:rsidRPr="004B2498">
        <w:rPr>
          <w:lang w:eastAsia="fr-FR" w:bidi="fr-FR"/>
        </w:rPr>
        <w:t>a</w:t>
      </w:r>
      <w:r w:rsidRPr="004B2498">
        <w:rPr>
          <w:lang w:eastAsia="fr-FR" w:bidi="fr-FR"/>
        </w:rPr>
        <w:t>chant qu’en retour elles doivent faire preuve de loyauté et de gratitude. Cette relation est très asym</w:t>
      </w:r>
      <w:r w:rsidRPr="004B2498">
        <w:rPr>
          <w:lang w:eastAsia="fr-FR" w:bidi="fr-FR"/>
        </w:rPr>
        <w:t>é</w:t>
      </w:r>
      <w:r w:rsidRPr="004B2498">
        <w:rPr>
          <w:lang w:eastAsia="fr-FR" w:bidi="fr-FR"/>
        </w:rPr>
        <w:t>trique et souvent très conflictuelle, car nombre d’emprunteurs sont précisément à la recherche de relations contractuelles.</w:t>
      </w:r>
    </w:p>
    <w:p w14:paraId="61C75A01" w14:textId="77777777" w:rsidR="002F4063" w:rsidRPr="004B2498" w:rsidRDefault="002F4063" w:rsidP="002F4063">
      <w:pPr>
        <w:spacing w:before="120" w:after="120"/>
        <w:jc w:val="both"/>
      </w:pPr>
      <w:r w:rsidRPr="004B2498">
        <w:t>[125]</w:t>
      </w:r>
    </w:p>
    <w:p w14:paraId="37D4B14E" w14:textId="77777777" w:rsidR="002F4063" w:rsidRPr="004B2498" w:rsidRDefault="002F4063" w:rsidP="002F4063">
      <w:pPr>
        <w:spacing w:before="120" w:after="120"/>
        <w:jc w:val="both"/>
      </w:pPr>
    </w:p>
    <w:p w14:paraId="75A2C81D" w14:textId="77777777" w:rsidR="002F4063" w:rsidRPr="004B2498" w:rsidRDefault="002F4063" w:rsidP="002F4063">
      <w:pPr>
        <w:pStyle w:val="a"/>
      </w:pPr>
      <w:r w:rsidRPr="004B2498">
        <w:t>Le mythe de l’</w:t>
      </w:r>
      <w:r w:rsidRPr="004B2498">
        <w:rPr>
          <w:bCs/>
        </w:rPr>
        <w:t>empowerment</w:t>
      </w:r>
      <w:r>
        <w:t> :</w:t>
      </w:r>
      <w:r>
        <w:br/>
      </w:r>
      <w:r w:rsidRPr="004B2498">
        <w:t>qui donne du pouvoir à qui ?</w:t>
      </w:r>
    </w:p>
    <w:p w14:paraId="00E3E505" w14:textId="77777777" w:rsidR="002F4063" w:rsidRPr="004B2498" w:rsidRDefault="002F4063" w:rsidP="002F4063">
      <w:pPr>
        <w:spacing w:before="120" w:after="120"/>
        <w:jc w:val="both"/>
        <w:rPr>
          <w:lang w:eastAsia="fr-FR" w:bidi="fr-FR"/>
        </w:rPr>
      </w:pPr>
    </w:p>
    <w:p w14:paraId="41D59442" w14:textId="77777777" w:rsidR="002F4063" w:rsidRPr="004B2498" w:rsidRDefault="002F4063" w:rsidP="002F4063">
      <w:pPr>
        <w:spacing w:before="120" w:after="120"/>
        <w:jc w:val="both"/>
      </w:pPr>
      <w:r w:rsidRPr="004B2498">
        <w:rPr>
          <w:lang w:eastAsia="fr-FR" w:bidi="fr-FR"/>
        </w:rPr>
        <w:t xml:space="preserve">La microfinance puise aussi sa légitimité de ses prétendus effets en matière </w:t>
      </w:r>
      <w:r w:rsidRPr="004B2498">
        <w:t>d'</w:t>
      </w:r>
      <w:r w:rsidRPr="00215A65">
        <w:rPr>
          <w:i/>
        </w:rPr>
        <w:t>empowerment</w:t>
      </w:r>
      <w:r w:rsidRPr="004B2498">
        <w:rPr>
          <w:lang w:eastAsia="fr-FR" w:bidi="fr-FR"/>
        </w:rPr>
        <w:t xml:space="preserve"> des femmes. L’accès aux services financiers est supposé améliorer leur capacité de négociation intrafamiliale et d’auto-organisation collective. Comme indiqué plus haut, nombre de travaux ont dénoncé la naïveté et l’hypocrisie de ce discours émanc</w:t>
      </w:r>
      <w:r w:rsidRPr="004B2498">
        <w:rPr>
          <w:lang w:eastAsia="fr-FR" w:bidi="fr-FR"/>
        </w:rPr>
        <w:t>i</w:t>
      </w:r>
      <w:r w:rsidRPr="004B2498">
        <w:rPr>
          <w:lang w:eastAsia="fr-FR" w:bidi="fr-FR"/>
        </w:rPr>
        <w:t>pateur, très en vogue parmi les autorités indiennes. Le suivi dans la durée permet d’appréhender la « vie sociale » de la microfinance dans toute sa complexité et de saisir la diversité des jeux d’acteurs et d’actrices autour de la microfinance, tant entre hommes et femmes qu’entre femmes.</w:t>
      </w:r>
    </w:p>
    <w:p w14:paraId="39A57E98" w14:textId="77777777" w:rsidR="002F4063" w:rsidRPr="004B2498" w:rsidRDefault="002F4063" w:rsidP="002F4063">
      <w:pPr>
        <w:spacing w:before="120" w:after="120"/>
        <w:jc w:val="both"/>
        <w:rPr>
          <w:szCs w:val="24"/>
          <w:lang w:eastAsia="fr-FR" w:bidi="fr-FR"/>
        </w:rPr>
      </w:pPr>
    </w:p>
    <w:p w14:paraId="1CF671A0" w14:textId="77777777" w:rsidR="002F4063" w:rsidRPr="004B2498" w:rsidRDefault="002F4063" w:rsidP="002F4063">
      <w:pPr>
        <w:pStyle w:val="a"/>
      </w:pPr>
      <w:r w:rsidRPr="004B2498">
        <w:t>Intermédiation et subversion</w:t>
      </w:r>
    </w:p>
    <w:p w14:paraId="3571C9E3" w14:textId="77777777" w:rsidR="002F4063" w:rsidRPr="004B2498" w:rsidRDefault="002F4063" w:rsidP="002F4063">
      <w:pPr>
        <w:spacing w:before="120" w:after="120"/>
        <w:jc w:val="both"/>
        <w:rPr>
          <w:lang w:eastAsia="fr-FR" w:bidi="fr-FR"/>
        </w:rPr>
      </w:pPr>
    </w:p>
    <w:p w14:paraId="695ADD3C" w14:textId="77777777" w:rsidR="002F4063" w:rsidRPr="004B2498" w:rsidRDefault="002F4063" w:rsidP="002F4063">
      <w:pPr>
        <w:spacing w:before="120" w:after="120"/>
        <w:jc w:val="both"/>
      </w:pPr>
      <w:r w:rsidRPr="004B2498">
        <w:rPr>
          <w:lang w:eastAsia="fr-FR" w:bidi="fr-FR"/>
        </w:rPr>
        <w:t>Ont été mis à jour les processus d’appropriation, de traduction, de légitimation, de mise en scène, d’intermédiation, de manipulation et de subversion de ces programmes, et ceci aux différentes étapes de leur chaîne de mise en œuvre, depuis les promoteurs jusqu’aux « bénéficiaires</w:t>
      </w:r>
      <w:r>
        <w:rPr>
          <w:lang w:eastAsia="fr-FR" w:bidi="fr-FR"/>
        </w:rPr>
        <w:t> </w:t>
      </w:r>
      <w:r>
        <w:rPr>
          <w:rStyle w:val="Appelnotedebasdep"/>
          <w:lang w:eastAsia="fr-FR" w:bidi="fr-FR"/>
        </w:rPr>
        <w:footnoteReference w:id="94"/>
      </w:r>
      <w:r w:rsidRPr="004B2498">
        <w:rPr>
          <w:lang w:eastAsia="fr-FR" w:bidi="fr-FR"/>
        </w:rPr>
        <w:t> ». Au niveau des territoires, on observe que r</w:t>
      </w:r>
      <w:r w:rsidRPr="004B2498">
        <w:rPr>
          <w:lang w:eastAsia="fr-FR" w:bidi="fr-FR"/>
        </w:rPr>
        <w:t>é</w:t>
      </w:r>
      <w:r w:rsidRPr="004B2498">
        <w:rPr>
          <w:lang w:eastAsia="fr-FR" w:bidi="fr-FR"/>
        </w:rPr>
        <w:t>seaux, groupements et associations diverses et variées (de nature pol</w:t>
      </w:r>
      <w:r w:rsidRPr="004B2498">
        <w:rPr>
          <w:lang w:eastAsia="fr-FR" w:bidi="fr-FR"/>
        </w:rPr>
        <w:t>i</w:t>
      </w:r>
      <w:r w:rsidRPr="004B2498">
        <w:rPr>
          <w:lang w:eastAsia="fr-FR" w:bidi="fr-FR"/>
        </w:rPr>
        <w:t>tique, religieuse, communautaire) s’emparent de la microfinance pour re</w:t>
      </w:r>
      <w:r w:rsidRPr="004B2498">
        <w:rPr>
          <w:lang w:eastAsia="fr-FR" w:bidi="fr-FR"/>
        </w:rPr>
        <w:t>n</w:t>
      </w:r>
      <w:r w:rsidRPr="004B2498">
        <w:rPr>
          <w:lang w:eastAsia="fr-FR" w:bidi="fr-FR"/>
        </w:rPr>
        <w:t>forcer leur contrôle sur les populations locales. À un niveau micro-l</w:t>
      </w:r>
      <w:r w:rsidRPr="004B2498">
        <w:rPr>
          <w:lang w:eastAsia="fr-FR" w:bidi="fr-FR"/>
        </w:rPr>
        <w:t>o</w:t>
      </w:r>
      <w:r w:rsidRPr="004B2498">
        <w:rPr>
          <w:lang w:eastAsia="fr-FR" w:bidi="fr-FR"/>
        </w:rPr>
        <w:t xml:space="preserve">cal, la microfinance participe à l’émergence ou au renforcement de trajectoires politiques locales, y compris chez les femmes et y compris dans les catégories les plus marginalisées comme les basses castes. Le plus souvent agents de crédit ou responsables de </w:t>
      </w:r>
      <w:r w:rsidRPr="00215A65">
        <w:rPr>
          <w:i/>
        </w:rPr>
        <w:t>Self-Help-Groups</w:t>
      </w:r>
      <w:r w:rsidRPr="004B2498">
        <w:t>,</w:t>
      </w:r>
      <w:r w:rsidRPr="004B2498">
        <w:rPr>
          <w:lang w:eastAsia="fr-FR" w:bidi="fr-FR"/>
        </w:rPr>
        <w:t xml:space="preserve"> ces femmes deviennent des intermédiaires incontournables dans l’accès à diverses formes de ressources. Si la microfinance perdure en dépit de résultats très médiocres par rapport aux objectifs annoncés, c’est parce que ses promoteurs, à différents niveaux de la chaîne de mise en œuvre, communiquent très habilement sur ses soi-disant bie</w:t>
      </w:r>
      <w:r w:rsidRPr="004B2498">
        <w:rPr>
          <w:lang w:eastAsia="fr-FR" w:bidi="fr-FR"/>
        </w:rPr>
        <w:t>n</w:t>
      </w:r>
      <w:r w:rsidRPr="004B2498">
        <w:rPr>
          <w:lang w:eastAsia="fr-FR" w:bidi="fr-FR"/>
        </w:rPr>
        <w:t>faits, et parce que cette prétendue réussite participe aussi de leur pr</w:t>
      </w:r>
      <w:r w:rsidRPr="004B2498">
        <w:rPr>
          <w:lang w:eastAsia="fr-FR" w:bidi="fr-FR"/>
        </w:rPr>
        <w:t>o</w:t>
      </w:r>
      <w:r w:rsidRPr="004B2498">
        <w:rPr>
          <w:lang w:eastAsia="fr-FR" w:bidi="fr-FR"/>
        </w:rPr>
        <w:t>pre pérennité voire de leur propre existence. Il y a en quelque sorte une autovalidation du système, mise en scène par les différentes ent</w:t>
      </w:r>
      <w:r w:rsidRPr="004B2498">
        <w:rPr>
          <w:lang w:eastAsia="fr-FR" w:bidi="fr-FR"/>
        </w:rPr>
        <w:t>i</w:t>
      </w:r>
      <w:r w:rsidRPr="004B2498">
        <w:rPr>
          <w:lang w:eastAsia="fr-FR" w:bidi="fr-FR"/>
        </w:rPr>
        <w:t>tés de la chaîne. Les décideurs, ici en l’occurrence les autorités publ</w:t>
      </w:r>
      <w:r w:rsidRPr="004B2498">
        <w:rPr>
          <w:lang w:eastAsia="fr-FR" w:bidi="fr-FR"/>
        </w:rPr>
        <w:t>i</w:t>
      </w:r>
      <w:r w:rsidRPr="004B2498">
        <w:rPr>
          <w:lang w:eastAsia="fr-FR" w:bidi="fr-FR"/>
        </w:rPr>
        <w:t>ques, cherchent à légitimer leurs propres politiques. Les ONG ont éminemment besoin du succès de la microfinance pour conforter l’accès aux financements et assurer leur propre existence. Leurs alliés locaux - ici il s’agit de partis politiques, de l’Église ou de réseaux marchands - jouent également le jeu du succès puisqu’ils profitent d</w:t>
      </w:r>
      <w:r w:rsidRPr="004B2498">
        <w:rPr>
          <w:lang w:eastAsia="fr-FR" w:bidi="fr-FR"/>
        </w:rPr>
        <w:t>i</w:t>
      </w:r>
      <w:r w:rsidRPr="004B2498">
        <w:rPr>
          <w:lang w:eastAsia="fr-FR" w:bidi="fr-FR"/>
        </w:rPr>
        <w:t>rectement de la force de mobilisation de cette population féminine, pour des intérêts qui peuvent être politiques, religieux,</w:t>
      </w:r>
      <w:r w:rsidRPr="004B2498">
        <w:t xml:space="preserve"> [126]</w:t>
      </w:r>
      <w:r>
        <w:t xml:space="preserve"> </w:t>
      </w:r>
      <w:r w:rsidRPr="004B2498">
        <w:rPr>
          <w:lang w:eastAsia="fr-FR" w:bidi="fr-FR"/>
        </w:rPr>
        <w:t>écon</w:t>
      </w:r>
      <w:r w:rsidRPr="004B2498">
        <w:rPr>
          <w:lang w:eastAsia="fr-FR" w:bidi="fr-FR"/>
        </w:rPr>
        <w:t>o</w:t>
      </w:r>
      <w:r w:rsidRPr="004B2498">
        <w:rPr>
          <w:lang w:eastAsia="fr-FR" w:bidi="fr-FR"/>
        </w:rPr>
        <w:t>miques. Enfin les femmes « bénéficiaires » sont également complices de cette autovalidation : en premier chef les femmes le</w:t>
      </w:r>
      <w:r w:rsidRPr="004B2498">
        <w:rPr>
          <w:lang w:eastAsia="fr-FR" w:bidi="fr-FR"/>
        </w:rPr>
        <w:t>a</w:t>
      </w:r>
      <w:r w:rsidRPr="004B2498">
        <w:rPr>
          <w:lang w:eastAsia="fr-FR" w:bidi="fr-FR"/>
        </w:rPr>
        <w:t>ders, dont le statut local est désormais conditionné par leur rôle d’animation et d’intermédiaire, mais aussi leur cercle de protégées, qui voient dans la microfinance un moyen supplémentaire d’accéder aux réseaux de p</w:t>
      </w:r>
      <w:r w:rsidRPr="004B2498">
        <w:rPr>
          <w:lang w:eastAsia="fr-FR" w:bidi="fr-FR"/>
        </w:rPr>
        <w:t>a</w:t>
      </w:r>
      <w:r w:rsidRPr="004B2498">
        <w:rPr>
          <w:lang w:eastAsia="fr-FR" w:bidi="fr-FR"/>
        </w:rPr>
        <w:t>tronage et de clientélisme locaux. La reproduction des mécanismes de domination de genre est évidente, avec une attr</w:t>
      </w:r>
      <w:r w:rsidRPr="004B2498">
        <w:rPr>
          <w:lang w:eastAsia="fr-FR" w:bidi="fr-FR"/>
        </w:rPr>
        <w:t>i</w:t>
      </w:r>
      <w:r w:rsidRPr="004B2498">
        <w:rPr>
          <w:lang w:eastAsia="fr-FR" w:bidi="fr-FR"/>
        </w:rPr>
        <w:t>bution des rôles de pouvoir qui reproduit les hiérarchies préexistantes et une concentr</w:t>
      </w:r>
      <w:r w:rsidRPr="004B2498">
        <w:rPr>
          <w:lang w:eastAsia="fr-FR" w:bidi="fr-FR"/>
        </w:rPr>
        <w:t>a</w:t>
      </w:r>
      <w:r w:rsidRPr="004B2498">
        <w:rPr>
          <w:lang w:eastAsia="fr-FR" w:bidi="fr-FR"/>
        </w:rPr>
        <w:t>tion des postes décisionnaires aux mains des hommes. Si les discours sur la microfinance font preuve d’une fascinante naïveté (ou hypocr</w:t>
      </w:r>
      <w:r w:rsidRPr="004B2498">
        <w:rPr>
          <w:lang w:eastAsia="fr-FR" w:bidi="fr-FR"/>
        </w:rPr>
        <w:t>i</w:t>
      </w:r>
      <w:r w:rsidRPr="004B2498">
        <w:rPr>
          <w:lang w:eastAsia="fr-FR" w:bidi="fr-FR"/>
        </w:rPr>
        <w:t>sie) concernant la capacité des femmes à s’auto-organiser, en reva</w:t>
      </w:r>
      <w:r w:rsidRPr="004B2498">
        <w:rPr>
          <w:lang w:eastAsia="fr-FR" w:bidi="fr-FR"/>
        </w:rPr>
        <w:t>n</w:t>
      </w:r>
      <w:r w:rsidRPr="004B2498">
        <w:rPr>
          <w:lang w:eastAsia="fr-FR" w:bidi="fr-FR"/>
        </w:rPr>
        <w:t>che, on observe une extraordinaire appropriation du système par une minorité de femmes. Leur rôle est ambigu puisque c’est grâce à leur engagement et leur complicité que l’ensemble du système fonctionne : elles jouent un rôle central dans la mise en scène permanente des su</w:t>
      </w:r>
      <w:r w:rsidRPr="004B2498">
        <w:rPr>
          <w:lang w:eastAsia="fr-FR" w:bidi="fr-FR"/>
        </w:rPr>
        <w:t>c</w:t>
      </w:r>
      <w:r w:rsidRPr="004B2498">
        <w:rPr>
          <w:lang w:eastAsia="fr-FR" w:bidi="fr-FR"/>
        </w:rPr>
        <w:t>cès de la microfmance. En retour elles bénéficient de compensations matérielles et statutaires évidentes, mais dont elles ont très largement payé le prix. La microfmance n’est donc pas se</w:t>
      </w:r>
      <w:r w:rsidRPr="004B2498">
        <w:rPr>
          <w:lang w:eastAsia="fr-FR" w:bidi="fr-FR"/>
        </w:rPr>
        <w:t>u</w:t>
      </w:r>
      <w:r w:rsidRPr="004B2498">
        <w:rPr>
          <w:lang w:eastAsia="fr-FR" w:bidi="fr-FR"/>
        </w:rPr>
        <w:t>lement un outil aux mains des hommes, des classes et des castes dominantes : elle partic</w:t>
      </w:r>
      <w:r w:rsidRPr="004B2498">
        <w:rPr>
          <w:lang w:eastAsia="fr-FR" w:bidi="fr-FR"/>
        </w:rPr>
        <w:t>i</w:t>
      </w:r>
      <w:r w:rsidRPr="004B2498">
        <w:rPr>
          <w:lang w:eastAsia="fr-FR" w:bidi="fr-FR"/>
        </w:rPr>
        <w:t>pe aussi de la fragmentation des groupes dom</w:t>
      </w:r>
      <w:r w:rsidRPr="004B2498">
        <w:rPr>
          <w:lang w:eastAsia="fr-FR" w:bidi="fr-FR"/>
        </w:rPr>
        <w:t>i</w:t>
      </w:r>
      <w:r w:rsidRPr="004B2498">
        <w:rPr>
          <w:lang w:eastAsia="fr-FR" w:bidi="fr-FR"/>
        </w:rPr>
        <w:t>nés. Or cette émergence de femmes leaders ne conduit à aucune forme de mobilisation colle</w:t>
      </w:r>
      <w:r w:rsidRPr="004B2498">
        <w:rPr>
          <w:lang w:eastAsia="fr-FR" w:bidi="fr-FR"/>
        </w:rPr>
        <w:t>c</w:t>
      </w:r>
      <w:r w:rsidRPr="004B2498">
        <w:rPr>
          <w:lang w:eastAsia="fr-FR" w:bidi="fr-FR"/>
        </w:rPr>
        <w:t>tive : elles se servent de leur position pour conforter un système de patronage et de clientélisme, dont elles profitent et dont elles font pr</w:t>
      </w:r>
      <w:r w:rsidRPr="004B2498">
        <w:rPr>
          <w:lang w:eastAsia="fr-FR" w:bidi="fr-FR"/>
        </w:rPr>
        <w:t>o</w:t>
      </w:r>
      <w:r w:rsidRPr="004B2498">
        <w:rPr>
          <w:lang w:eastAsia="fr-FR" w:bidi="fr-FR"/>
        </w:rPr>
        <w:t>fiter leurs cercles de protégées. Dans la mesure où patronage et clie</w:t>
      </w:r>
      <w:r w:rsidRPr="004B2498">
        <w:rPr>
          <w:lang w:eastAsia="fr-FR" w:bidi="fr-FR"/>
        </w:rPr>
        <w:t>n</w:t>
      </w:r>
      <w:r w:rsidRPr="004B2498">
        <w:rPr>
          <w:lang w:eastAsia="fr-FR" w:bidi="fr-FR"/>
        </w:rPr>
        <w:t>télisme restent les principaux canaux de r</w:t>
      </w:r>
      <w:r w:rsidRPr="004B2498">
        <w:rPr>
          <w:lang w:eastAsia="fr-FR" w:bidi="fr-FR"/>
        </w:rPr>
        <w:t>e</w:t>
      </w:r>
      <w:r w:rsidRPr="004B2498">
        <w:rPr>
          <w:lang w:eastAsia="fr-FR" w:bidi="fr-FR"/>
        </w:rPr>
        <w:t>distribution des richesses, la recherche de mobilité sociale passe en large partie par la captation de positions d’intermédiaires (Pattenden, 2011 ; Picherit, 2009a, 2009b). Les appropriations et les usages de la microfinance en sont une illu</w:t>
      </w:r>
      <w:r w:rsidRPr="004B2498">
        <w:rPr>
          <w:lang w:eastAsia="fr-FR" w:bidi="fr-FR"/>
        </w:rPr>
        <w:t>s</w:t>
      </w:r>
      <w:r w:rsidRPr="004B2498">
        <w:rPr>
          <w:lang w:eastAsia="fr-FR" w:bidi="fr-FR"/>
        </w:rPr>
        <w:t>tration : ils révèlent les logiques de ci</w:t>
      </w:r>
      <w:r w:rsidRPr="004B2498">
        <w:rPr>
          <w:lang w:eastAsia="fr-FR" w:bidi="fr-FR"/>
        </w:rPr>
        <w:t>r</w:t>
      </w:r>
      <w:r w:rsidRPr="004B2498">
        <w:rPr>
          <w:lang w:eastAsia="fr-FR" w:bidi="fr-FR"/>
        </w:rPr>
        <w:t>culation des richesses tout en contribuant activement à leur reprodu</w:t>
      </w:r>
      <w:r w:rsidRPr="004B2498">
        <w:rPr>
          <w:lang w:eastAsia="fr-FR" w:bidi="fr-FR"/>
        </w:rPr>
        <w:t>c</w:t>
      </w:r>
      <w:r w:rsidRPr="004B2498">
        <w:rPr>
          <w:lang w:eastAsia="fr-FR" w:bidi="fr-FR"/>
        </w:rPr>
        <w:t>tion et à leur complexification. En d’autres termes, la microfinance peine à lutter contre les discrim</w:t>
      </w:r>
      <w:r w:rsidRPr="004B2498">
        <w:rPr>
          <w:lang w:eastAsia="fr-FR" w:bidi="fr-FR"/>
        </w:rPr>
        <w:t>i</w:t>
      </w:r>
      <w:r w:rsidRPr="004B2498">
        <w:rPr>
          <w:lang w:eastAsia="fr-FR" w:bidi="fr-FR"/>
        </w:rPr>
        <w:t>nations sociales, qu’il s’agisse de ca</w:t>
      </w:r>
      <w:r w:rsidRPr="004B2498">
        <w:rPr>
          <w:lang w:eastAsia="fr-FR" w:bidi="fr-FR"/>
        </w:rPr>
        <w:t>s</w:t>
      </w:r>
      <w:r w:rsidRPr="004B2498">
        <w:rPr>
          <w:lang w:eastAsia="fr-FR" w:bidi="fr-FR"/>
        </w:rPr>
        <w:t>te, de classe ou de genre, mais elle participe à un processus de diff</w:t>
      </w:r>
      <w:r w:rsidRPr="004B2498">
        <w:rPr>
          <w:lang w:eastAsia="fr-FR" w:bidi="fr-FR"/>
        </w:rPr>
        <w:t>é</w:t>
      </w:r>
      <w:r w:rsidRPr="004B2498">
        <w:rPr>
          <w:lang w:eastAsia="fr-FR" w:bidi="fr-FR"/>
        </w:rPr>
        <w:t>renciation sociale au sein de ces différents groupes. Au final, la microfinance contribue à la complex</w:t>
      </w:r>
      <w:r w:rsidRPr="004B2498">
        <w:rPr>
          <w:lang w:eastAsia="fr-FR" w:bidi="fr-FR"/>
        </w:rPr>
        <w:t>i</w:t>
      </w:r>
      <w:r w:rsidRPr="004B2498">
        <w:rPr>
          <w:lang w:eastAsia="fr-FR" w:bidi="fr-FR"/>
        </w:rPr>
        <w:t>fication des modes de redistribution des ressources et d’exercice du pouvoir mais sans en modifier les principes de fonctionnement.</w:t>
      </w:r>
    </w:p>
    <w:p w14:paraId="5DE6237B" w14:textId="77777777" w:rsidR="002F4063" w:rsidRPr="004B2498" w:rsidRDefault="002F4063" w:rsidP="002F4063">
      <w:pPr>
        <w:spacing w:before="120" w:after="120"/>
        <w:jc w:val="both"/>
        <w:rPr>
          <w:szCs w:val="24"/>
          <w:lang w:eastAsia="fr-FR" w:bidi="fr-FR"/>
        </w:rPr>
      </w:pPr>
    </w:p>
    <w:p w14:paraId="60EC19F8" w14:textId="77777777" w:rsidR="002F4063" w:rsidRPr="004B2498" w:rsidRDefault="002F4063" w:rsidP="002F4063">
      <w:pPr>
        <w:pStyle w:val="a"/>
      </w:pPr>
      <w:r w:rsidRPr="004B2498">
        <w:t xml:space="preserve">« Femme » et </w:t>
      </w:r>
      <w:r w:rsidRPr="00215A65">
        <w:rPr>
          <w:bCs/>
          <w:iCs w:val="0"/>
        </w:rPr>
        <w:t>empowerment :</w:t>
      </w:r>
      <w:r>
        <w:br/>
      </w:r>
      <w:r w:rsidRPr="004B2498">
        <w:t>des catégories à déconstruire</w:t>
      </w:r>
    </w:p>
    <w:p w14:paraId="5CAD3BB3" w14:textId="77777777" w:rsidR="002F4063" w:rsidRPr="004B2498" w:rsidRDefault="002F4063" w:rsidP="002F4063">
      <w:pPr>
        <w:spacing w:before="120" w:after="120"/>
        <w:jc w:val="both"/>
        <w:rPr>
          <w:lang w:eastAsia="fr-FR" w:bidi="fr-FR"/>
        </w:rPr>
      </w:pPr>
    </w:p>
    <w:p w14:paraId="7CD81E7C" w14:textId="77777777" w:rsidR="002F4063" w:rsidRPr="004B2498" w:rsidRDefault="002F4063" w:rsidP="002F4063">
      <w:pPr>
        <w:spacing w:before="120" w:after="120"/>
        <w:jc w:val="both"/>
      </w:pPr>
      <w:r w:rsidRPr="004B2498">
        <w:rPr>
          <w:lang w:eastAsia="fr-FR" w:bidi="fr-FR"/>
        </w:rPr>
        <w:t xml:space="preserve">Le pouvoir peut être perçu soit comme une relation de domination, soit comme une capacité à penser et à agir </w:t>
      </w:r>
      <w:r w:rsidRPr="004B2498">
        <w:t>(l’</w:t>
      </w:r>
      <w:r w:rsidRPr="00C72EFE">
        <w:rPr>
          <w:i/>
        </w:rPr>
        <w:t>agency</w:t>
      </w:r>
      <w:r w:rsidRPr="004B2498">
        <w:rPr>
          <w:lang w:eastAsia="fr-FR" w:bidi="fr-FR"/>
        </w:rPr>
        <w:t xml:space="preserve"> des Anglo-Saxons). C’est en adhérant à la seconde vision et en véhiculant une illusion naïve du changement dépouillé de tous rapports de domin</w:t>
      </w:r>
      <w:r w:rsidRPr="004B2498">
        <w:rPr>
          <w:lang w:eastAsia="fr-FR" w:bidi="fr-FR"/>
        </w:rPr>
        <w:t>a</w:t>
      </w:r>
      <w:r w:rsidRPr="004B2498">
        <w:rPr>
          <w:lang w:eastAsia="fr-FR" w:bidi="fr-FR"/>
        </w:rPr>
        <w:t xml:space="preserve">tion que le terme </w:t>
      </w:r>
      <w:r w:rsidRPr="004B2498">
        <w:t>empowerment</w:t>
      </w:r>
      <w:r w:rsidRPr="004B2498">
        <w:rPr>
          <w:lang w:eastAsia="fr-FR" w:bidi="fr-FR"/>
        </w:rPr>
        <w:t xml:space="preserve"> doit son succès et sa banalisation dans l’industrie du développement. Or le changement est néce</w:t>
      </w:r>
      <w:r>
        <w:rPr>
          <w:lang w:eastAsia="fr-FR" w:bidi="fr-FR"/>
        </w:rPr>
        <w:t xml:space="preserve">ssairement un jeu à somme nulle, </w:t>
      </w:r>
      <w:r w:rsidRPr="004B2498">
        <w:t>[127]</w:t>
      </w:r>
      <w:r>
        <w:t xml:space="preserve"> </w:t>
      </w:r>
      <w:r w:rsidRPr="004B2498">
        <w:rPr>
          <w:lang w:eastAsia="fr-FR" w:bidi="fr-FR"/>
        </w:rPr>
        <w:t xml:space="preserve">où ce que gagnent les uns est perdu par d’autres (Béteille, 1999 ; Lautier, 2002). Ici en l’occurrence, </w:t>
      </w:r>
      <w:r w:rsidRPr="004B2498">
        <w:t>l’</w:t>
      </w:r>
      <w:r w:rsidRPr="00215A65">
        <w:rPr>
          <w:i/>
        </w:rPr>
        <w:t>empowerment</w:t>
      </w:r>
      <w:r w:rsidRPr="00215A65">
        <w:rPr>
          <w:i/>
          <w:lang w:eastAsia="fr-FR" w:bidi="fr-FR"/>
        </w:rPr>
        <w:t xml:space="preserve"> </w:t>
      </w:r>
      <w:r w:rsidRPr="004B2498">
        <w:rPr>
          <w:lang w:eastAsia="fr-FR" w:bidi="fr-FR"/>
        </w:rPr>
        <w:t>de certaines fe</w:t>
      </w:r>
      <w:r w:rsidRPr="004B2498">
        <w:rPr>
          <w:lang w:eastAsia="fr-FR" w:bidi="fr-FR"/>
        </w:rPr>
        <w:t>m</w:t>
      </w:r>
      <w:r w:rsidRPr="004B2498">
        <w:rPr>
          <w:lang w:eastAsia="fr-FR" w:bidi="fr-FR"/>
        </w:rPr>
        <w:t xml:space="preserve">mes, celles décrites plus haut et qui représentent une minorité, se traduit nécessairement par le </w:t>
      </w:r>
      <w:r w:rsidRPr="004B2498">
        <w:t>disemp</w:t>
      </w:r>
      <w:r w:rsidRPr="004B2498">
        <w:t>o</w:t>
      </w:r>
      <w:r w:rsidRPr="004B2498">
        <w:t>werment</w:t>
      </w:r>
      <w:r w:rsidRPr="004B2498">
        <w:rPr>
          <w:lang w:eastAsia="fr-FR" w:bidi="fr-FR"/>
        </w:rPr>
        <w:t xml:space="preserve"> d’autres femmes</w:t>
      </w:r>
      <w:r>
        <w:rPr>
          <w:lang w:eastAsia="fr-FR" w:bidi="fr-FR"/>
        </w:rPr>
        <w:t> </w:t>
      </w:r>
      <w:r>
        <w:rPr>
          <w:rStyle w:val="Appelnotedebasdep"/>
          <w:lang w:eastAsia="fr-FR" w:bidi="fr-FR"/>
        </w:rPr>
        <w:footnoteReference w:id="95"/>
      </w:r>
      <w:r w:rsidRPr="004B2498">
        <w:rPr>
          <w:lang w:eastAsia="fr-FR" w:bidi="fr-FR"/>
        </w:rPr>
        <w:t>. Les gains obtenus, quelle qu’en soit la nature, impliquent une certaine forme de contrôle sur d’autres femmes au sein de la maisonnée, du voisinage et parfois au-delà. Les idéaux d’émancipation des femmes à l’égard de la communauté masculine, mis en avant dans les discours sur la microfinance, s’accommodent très mal d’un contexte de très forte dépendance des femmes à l’égard des hommes, à la fois d’un point de vue matériel et identitaire. Là e</w:t>
      </w:r>
      <w:r w:rsidRPr="004B2498">
        <w:rPr>
          <w:lang w:eastAsia="fr-FR" w:bidi="fr-FR"/>
        </w:rPr>
        <w:t>n</w:t>
      </w:r>
      <w:r w:rsidRPr="004B2498">
        <w:rPr>
          <w:lang w:eastAsia="fr-FR" w:bidi="fr-FR"/>
        </w:rPr>
        <w:t>core, souligner l’existence et l’importance des hiérarchies entre fe</w:t>
      </w:r>
      <w:r w:rsidRPr="004B2498">
        <w:rPr>
          <w:lang w:eastAsia="fr-FR" w:bidi="fr-FR"/>
        </w:rPr>
        <w:t>m</w:t>
      </w:r>
      <w:r w:rsidRPr="004B2498">
        <w:rPr>
          <w:lang w:eastAsia="fr-FR" w:bidi="fr-FR"/>
        </w:rPr>
        <w:t>mes ne vise pas à sous-estimer leur subordination, bien au contraire. Les processus observés révèlent plutôt les tensions entre les trajecto</w:t>
      </w:r>
      <w:r w:rsidRPr="004B2498">
        <w:rPr>
          <w:lang w:eastAsia="fr-FR" w:bidi="fr-FR"/>
        </w:rPr>
        <w:t>i</w:t>
      </w:r>
      <w:r w:rsidRPr="004B2498">
        <w:rPr>
          <w:lang w:eastAsia="fr-FR" w:bidi="fr-FR"/>
        </w:rPr>
        <w:t>res individuelles et les contraintes structurelles : toutes choses égales par ailleurs, les femmes ont tout intérêt à rivaliser avec les autres femmes. Les jeux de conflit et de concurrence qui rythment les rel</w:t>
      </w:r>
      <w:r w:rsidRPr="004B2498">
        <w:rPr>
          <w:lang w:eastAsia="fr-FR" w:bidi="fr-FR"/>
        </w:rPr>
        <w:t>a</w:t>
      </w:r>
      <w:r w:rsidRPr="004B2498">
        <w:rPr>
          <w:lang w:eastAsia="fr-FR" w:bidi="fr-FR"/>
        </w:rPr>
        <w:t>tions entre femmes procèdent en large partie de leur statut de subo</w:t>
      </w:r>
      <w:r w:rsidRPr="004B2498">
        <w:rPr>
          <w:lang w:eastAsia="fr-FR" w:bidi="fr-FR"/>
        </w:rPr>
        <w:t>r</w:t>
      </w:r>
      <w:r w:rsidRPr="004B2498">
        <w:rPr>
          <w:lang w:eastAsia="fr-FR" w:bidi="fr-FR"/>
        </w:rPr>
        <w:t>données.</w:t>
      </w:r>
    </w:p>
    <w:p w14:paraId="0A1680CC" w14:textId="77777777" w:rsidR="002F4063" w:rsidRPr="004B2498" w:rsidRDefault="002F4063" w:rsidP="002F4063">
      <w:pPr>
        <w:spacing w:before="120" w:after="120"/>
        <w:jc w:val="both"/>
        <w:rPr>
          <w:szCs w:val="24"/>
          <w:lang w:eastAsia="fr-FR" w:bidi="fr-FR"/>
        </w:rPr>
      </w:pPr>
    </w:p>
    <w:p w14:paraId="1C57CE6E" w14:textId="77777777" w:rsidR="002F4063" w:rsidRPr="004B2498" w:rsidRDefault="002F4063" w:rsidP="002F4063">
      <w:pPr>
        <w:pStyle w:val="a"/>
      </w:pPr>
      <w:r>
        <w:t>L’ambivalence de la dette</w:t>
      </w:r>
      <w:r>
        <w:br/>
      </w:r>
      <w:r w:rsidRPr="004B2498">
        <w:t>et les paradoxes de la « modernité »</w:t>
      </w:r>
    </w:p>
    <w:p w14:paraId="6F970DE7" w14:textId="77777777" w:rsidR="002F4063" w:rsidRPr="004B2498" w:rsidRDefault="002F4063" w:rsidP="002F4063">
      <w:pPr>
        <w:spacing w:before="120" w:after="120"/>
        <w:jc w:val="both"/>
        <w:rPr>
          <w:lang w:eastAsia="fr-FR" w:bidi="fr-FR"/>
        </w:rPr>
      </w:pPr>
    </w:p>
    <w:p w14:paraId="10FD3CC0" w14:textId="77777777" w:rsidR="002F4063" w:rsidRPr="004B2498" w:rsidRDefault="002F4063" w:rsidP="002F4063">
      <w:pPr>
        <w:spacing w:before="120" w:after="120"/>
        <w:jc w:val="both"/>
      </w:pPr>
      <w:r w:rsidRPr="004B2498">
        <w:rPr>
          <w:lang w:eastAsia="fr-FR" w:bidi="fr-FR"/>
        </w:rPr>
        <w:t>La dette, qu’elle que soit sa forme, s’insère dans des hiérarchies sociales préexistantes, assurant ainsi leur reproduction, tout en étant constitutive des identités individuelles, familiales et collectives. Il existe une tension permanente - et très variable selon les groupes s</w:t>
      </w:r>
      <w:r w:rsidRPr="004B2498">
        <w:rPr>
          <w:lang w:eastAsia="fr-FR" w:bidi="fr-FR"/>
        </w:rPr>
        <w:t>o</w:t>
      </w:r>
      <w:r w:rsidRPr="004B2498">
        <w:rPr>
          <w:lang w:eastAsia="fr-FR" w:bidi="fr-FR"/>
        </w:rPr>
        <w:t>ciaux, les territoires et les histoires personnelles et familiales - entre la volonté de s’extirper de ces relations hiérarchiques dont la dette est l’expression la plus visible - et l’attachement à ce que la dette exprime à propos de ces liens, à commencer par la confiance que le créditeur accorde ainsi à son débiteur. La dette, et les personnes en ont d’ailleurs parfaitement conscience, est potentiellement source de rel</w:t>
      </w:r>
      <w:r w:rsidRPr="004B2498">
        <w:rPr>
          <w:lang w:eastAsia="fr-FR" w:bidi="fr-FR"/>
        </w:rPr>
        <w:t>a</w:t>
      </w:r>
      <w:r w:rsidRPr="004B2498">
        <w:rPr>
          <w:lang w:eastAsia="fr-FR" w:bidi="fr-FR"/>
        </w:rPr>
        <w:t>tions sociales, d’emploi et de respect. Quelles que soient les cons</w:t>
      </w:r>
      <w:r w:rsidRPr="004B2498">
        <w:rPr>
          <w:lang w:eastAsia="fr-FR" w:bidi="fr-FR"/>
        </w:rPr>
        <w:t>é</w:t>
      </w:r>
      <w:r w:rsidRPr="004B2498">
        <w:rPr>
          <w:lang w:eastAsia="fr-FR" w:bidi="fr-FR"/>
        </w:rPr>
        <w:t>quences matérielles de l’endettement, la dette exprime la largesse du réseau social et la capacité des personnes à activer ce réseau et à su</w:t>
      </w:r>
      <w:r w:rsidRPr="004B2498">
        <w:rPr>
          <w:lang w:eastAsia="fr-FR" w:bidi="fr-FR"/>
        </w:rPr>
        <w:t>s</w:t>
      </w:r>
      <w:r w:rsidRPr="004B2498">
        <w:rPr>
          <w:lang w:eastAsia="fr-FR" w:bidi="fr-FR"/>
        </w:rPr>
        <w:t>citer la confiance de leurs créanciers potentiels. Dans un contexte où la solvabilité est affaire de réputation beaucoup plus que de patrimo</w:t>
      </w:r>
      <w:r w:rsidRPr="004B2498">
        <w:rPr>
          <w:lang w:eastAsia="fr-FR" w:bidi="fr-FR"/>
        </w:rPr>
        <w:t>i</w:t>
      </w:r>
      <w:r w:rsidRPr="004B2498">
        <w:rPr>
          <w:lang w:eastAsia="fr-FR" w:bidi="fr-FR"/>
        </w:rPr>
        <w:t>ne et de garantie matérielle, il existe une superposition étroite entre réputation et solvabilité.</w:t>
      </w:r>
    </w:p>
    <w:p w14:paraId="5E103F88" w14:textId="77777777" w:rsidR="002F4063" w:rsidRPr="004B2498" w:rsidRDefault="002F4063" w:rsidP="002F4063">
      <w:pPr>
        <w:spacing w:before="120" w:after="120"/>
        <w:jc w:val="both"/>
      </w:pPr>
      <w:r w:rsidRPr="004B2498">
        <w:rPr>
          <w:lang w:eastAsia="fr-FR" w:bidi="fr-FR"/>
        </w:rPr>
        <w:t>L’endettement est également source de reconnaissance et de re</w:t>
      </w:r>
      <w:r w:rsidRPr="004B2498">
        <w:rPr>
          <w:lang w:eastAsia="fr-FR" w:bidi="fr-FR"/>
        </w:rPr>
        <w:t>s</w:t>
      </w:r>
      <w:r w:rsidRPr="004B2498">
        <w:rPr>
          <w:lang w:eastAsia="fr-FR" w:bidi="fr-FR"/>
        </w:rPr>
        <w:t>pect lorsqu’il permet l’organisation de rituels sociaux et religieux, la rénovation et l’agrandissement de l’habitat, et parfois l’éducation des enfants. Bien au- delà des objets ainsi financés - rituels, habitat, éd</w:t>
      </w:r>
      <w:r w:rsidRPr="004B2498">
        <w:rPr>
          <w:lang w:eastAsia="fr-FR" w:bidi="fr-FR"/>
        </w:rPr>
        <w:t>u</w:t>
      </w:r>
      <w:r w:rsidRPr="004B2498">
        <w:rPr>
          <w:lang w:eastAsia="fr-FR" w:bidi="fr-FR"/>
        </w:rPr>
        <w:t>cation font partie des</w:t>
      </w:r>
      <w:r w:rsidRPr="004B2498">
        <w:t xml:space="preserve"> [128]</w:t>
      </w:r>
      <w:r>
        <w:t xml:space="preserve"> </w:t>
      </w:r>
      <w:r w:rsidRPr="004B2498">
        <w:rPr>
          <w:lang w:eastAsia="fr-FR" w:bidi="fr-FR"/>
        </w:rPr>
        <w:t>principaux symboles de reconnaissance sociale et de promotion s</w:t>
      </w:r>
      <w:r w:rsidRPr="004B2498">
        <w:rPr>
          <w:lang w:eastAsia="fr-FR" w:bidi="fr-FR"/>
        </w:rPr>
        <w:t>o</w:t>
      </w:r>
      <w:r w:rsidRPr="004B2498">
        <w:rPr>
          <w:lang w:eastAsia="fr-FR" w:bidi="fr-FR"/>
        </w:rPr>
        <w:t>ciale - l’acte d’endettement est en lui-même porteur de reconnaissance et de respect. L’endettement témoigne des sacrifices et des risques que le débiteur supporte afin d’assumer ses responsabilités et ses oblig</w:t>
      </w:r>
      <w:r w:rsidRPr="004B2498">
        <w:rPr>
          <w:lang w:eastAsia="fr-FR" w:bidi="fr-FR"/>
        </w:rPr>
        <w:t>a</w:t>
      </w:r>
      <w:r w:rsidRPr="004B2498">
        <w:rPr>
          <w:lang w:eastAsia="fr-FR" w:bidi="fr-FR"/>
        </w:rPr>
        <w:t>tions : sauf si la dette excède une certaine limite, le fait de s’être e</w:t>
      </w:r>
      <w:r w:rsidRPr="004B2498">
        <w:rPr>
          <w:lang w:eastAsia="fr-FR" w:bidi="fr-FR"/>
        </w:rPr>
        <w:t>n</w:t>
      </w:r>
      <w:r w:rsidRPr="004B2498">
        <w:rPr>
          <w:lang w:eastAsia="fr-FR" w:bidi="fr-FR"/>
        </w:rPr>
        <w:t>detté n’est pas un symptôme de défaut de gestion ou « d’inculture f</w:t>
      </w:r>
      <w:r w:rsidRPr="004B2498">
        <w:rPr>
          <w:lang w:eastAsia="fr-FR" w:bidi="fr-FR"/>
        </w:rPr>
        <w:t>i</w:t>
      </w:r>
      <w:r w:rsidRPr="004B2498">
        <w:rPr>
          <w:lang w:eastAsia="fr-FR" w:bidi="fr-FR"/>
        </w:rPr>
        <w:t>nancière » : c’est au contraire un signe de responsabilité.</w:t>
      </w:r>
    </w:p>
    <w:p w14:paraId="30621D92" w14:textId="77777777" w:rsidR="002F4063" w:rsidRPr="004B2498" w:rsidRDefault="002F4063" w:rsidP="002F4063">
      <w:pPr>
        <w:spacing w:before="120" w:after="120"/>
        <w:jc w:val="both"/>
      </w:pPr>
      <w:r w:rsidRPr="004B2498">
        <w:rPr>
          <w:lang w:eastAsia="fr-FR" w:bidi="fr-FR"/>
        </w:rPr>
        <w:t>À l’exception des formes les plus dures de servitude, rares sont les travailleurs asservis qui se considèrent comme tels : la comparaison avec les formes anciennes de servitude, le fait de pouvoir changer de recruteur - la dette se transmet aisément de l’un à l’autre - et le fait que la dette prenne place en dehors de la hiérarchie locale villageoise sont autant d’arguments cités par les travailleurs pour faire valoir leur situation de travailleur libre </w:t>
      </w:r>
      <w:r>
        <w:rPr>
          <w:rStyle w:val="Appelnotedebasdep"/>
          <w:lang w:eastAsia="fr-FR" w:bidi="fr-FR"/>
        </w:rPr>
        <w:footnoteReference w:id="96"/>
      </w:r>
      <w:r w:rsidRPr="004B2498">
        <w:rPr>
          <w:lang w:eastAsia="fr-FR" w:bidi="fr-FR"/>
        </w:rPr>
        <w:t>. Quand bien même ces liens de dette diffèrent à bien des égards d’une transaction purement marchande et monétaire, par comparaison avec le patronage de type féodal elles sont vécues comme des dettes contractuelles. Ces formes de servitude sont nourries par le déclin de l’emploi agricole local, l’absence de pr</w:t>
      </w:r>
      <w:r w:rsidRPr="004B2498">
        <w:rPr>
          <w:lang w:eastAsia="fr-FR" w:bidi="fr-FR"/>
        </w:rPr>
        <w:t>o</w:t>
      </w:r>
      <w:r w:rsidRPr="004B2498">
        <w:rPr>
          <w:lang w:eastAsia="fr-FR" w:bidi="fr-FR"/>
        </w:rPr>
        <w:t>tection sociale mais aussi les besoins de consommation grandissants des travailleurs. C’est à leur demande que les avances sur salaire ne cessent de croître. Or cet endettement limite fortement leur pouvoir de négociation sur les salaires. On a ainsi ce résultat paradoxal, où les désirs de consommation des travailleurs, révélateurs d’aspirations d’égalité et d’intégration, participent finalement à la reproduction des conditions de l’exploitation capitaliste.</w:t>
      </w:r>
    </w:p>
    <w:p w14:paraId="3F1549B9" w14:textId="77777777" w:rsidR="002F4063" w:rsidRPr="004B2498" w:rsidRDefault="002F4063" w:rsidP="002F4063">
      <w:pPr>
        <w:spacing w:before="120" w:after="120"/>
        <w:jc w:val="both"/>
        <w:rPr>
          <w:lang w:eastAsia="fr-FR" w:bidi="fr-FR"/>
        </w:rPr>
      </w:pPr>
      <w:r w:rsidRPr="004B2498">
        <w:rPr>
          <w:lang w:eastAsia="fr-FR" w:bidi="fr-FR"/>
        </w:rPr>
        <w:t>L’analyse des vécus du surendettement met en évidence un décal</w:t>
      </w:r>
      <w:r w:rsidRPr="004B2498">
        <w:rPr>
          <w:lang w:eastAsia="fr-FR" w:bidi="fr-FR"/>
        </w:rPr>
        <w:t>a</w:t>
      </w:r>
      <w:r w:rsidRPr="004B2498">
        <w:rPr>
          <w:lang w:eastAsia="fr-FR" w:bidi="fr-FR"/>
        </w:rPr>
        <w:t xml:space="preserve">ge similaire. Même parmi les personnes très endettées (en comparant le </w:t>
      </w:r>
      <w:r w:rsidRPr="004B2498">
        <w:t xml:space="preserve">ratio </w:t>
      </w:r>
      <w:r w:rsidRPr="004B2498">
        <w:rPr>
          <w:lang w:eastAsia="fr-FR" w:bidi="fr-FR"/>
        </w:rPr>
        <w:t>encours d’endettement/revenu par exemple) et pour lesquelles la dette est un facteur de paupérisation matérielle, rares sont celles qui se considèrent surendettées. Les dettes « dangereuses » sont rarement celles qui sont les plus chères financièrement, mais celles qui terni</w:t>
      </w:r>
      <w:r w:rsidRPr="004B2498">
        <w:rPr>
          <w:lang w:eastAsia="fr-FR" w:bidi="fr-FR"/>
        </w:rPr>
        <w:t>s</w:t>
      </w:r>
      <w:r w:rsidRPr="004B2498">
        <w:rPr>
          <w:lang w:eastAsia="fr-FR" w:bidi="fr-FR"/>
        </w:rPr>
        <w:t>sent la réputation de la famille et menacent son avenir, en particulier le mariage des enfants. On assiste à des arbitrages permanents et so</w:t>
      </w:r>
      <w:r w:rsidRPr="004B2498">
        <w:rPr>
          <w:lang w:eastAsia="fr-FR" w:bidi="fr-FR"/>
        </w:rPr>
        <w:t>u</w:t>
      </w:r>
      <w:r w:rsidRPr="004B2498">
        <w:rPr>
          <w:lang w:eastAsia="fr-FR" w:bidi="fr-FR"/>
        </w:rPr>
        <w:t>vent très subtils entre les coûts financiers et les coûts sociaux. Par ai</w:t>
      </w:r>
      <w:r w:rsidRPr="004B2498">
        <w:rPr>
          <w:lang w:eastAsia="fr-FR" w:bidi="fr-FR"/>
        </w:rPr>
        <w:t>l</w:t>
      </w:r>
      <w:r w:rsidRPr="004B2498">
        <w:rPr>
          <w:lang w:eastAsia="fr-FR" w:bidi="fr-FR"/>
        </w:rPr>
        <w:t>leurs la manière dont la dette est interprétée dépend non seulement de l’identité de l’emprunteur mais aussi de ce qu’il/elle aspire à devenir. La dette n’est pas seulement un marqueur de l’identité : elle est ég</w:t>
      </w:r>
      <w:r w:rsidRPr="004B2498">
        <w:rPr>
          <w:lang w:eastAsia="fr-FR" w:bidi="fr-FR"/>
        </w:rPr>
        <w:t>a</w:t>
      </w:r>
      <w:r w:rsidRPr="004B2498">
        <w:rPr>
          <w:lang w:eastAsia="fr-FR" w:bidi="fr-FR"/>
        </w:rPr>
        <w:t>lement constitutive des aspirations sociales, tant dans l’objet des act</w:t>
      </w:r>
      <w:r w:rsidRPr="004B2498">
        <w:rPr>
          <w:lang w:eastAsia="fr-FR" w:bidi="fr-FR"/>
        </w:rPr>
        <w:t>i</w:t>
      </w:r>
      <w:r w:rsidRPr="004B2498">
        <w:rPr>
          <w:lang w:eastAsia="fr-FR" w:bidi="fr-FR"/>
        </w:rPr>
        <w:t>vités financées (avec par exemple des investissements sociaux et symboliques dont le coût peut être considérable) que dans la volonté de diversifier les liens de dette et de s’affranchir de liens de subord</w:t>
      </w:r>
      <w:r w:rsidRPr="004B2498">
        <w:rPr>
          <w:lang w:eastAsia="fr-FR" w:bidi="fr-FR"/>
        </w:rPr>
        <w:t>i</w:t>
      </w:r>
      <w:r w:rsidRPr="004B2498">
        <w:rPr>
          <w:lang w:eastAsia="fr-FR" w:bidi="fr-FR"/>
        </w:rPr>
        <w:t>nation : les</w:t>
      </w:r>
      <w:r>
        <w:t xml:space="preserve"> </w:t>
      </w:r>
      <w:r w:rsidRPr="004B2498">
        <w:t>[129]</w:t>
      </w:r>
      <w:r>
        <w:t xml:space="preserve"> </w:t>
      </w:r>
      <w:r w:rsidRPr="004B2498">
        <w:rPr>
          <w:lang w:eastAsia="fr-FR" w:bidi="fr-FR"/>
        </w:rPr>
        <w:t>personnes sont ainsi très demandeuses de relations de crédits anonymes et contractuelles proposées par des sociétés f</w:t>
      </w:r>
      <w:r w:rsidRPr="004B2498">
        <w:rPr>
          <w:lang w:eastAsia="fr-FR" w:bidi="fr-FR"/>
        </w:rPr>
        <w:t>i</w:t>
      </w:r>
      <w:r w:rsidRPr="004B2498">
        <w:rPr>
          <w:lang w:eastAsia="fr-FR" w:bidi="fr-FR"/>
        </w:rPr>
        <w:t>nancières ou des prêteurs privés localisés en ville. Or celles-ci ont pa</w:t>
      </w:r>
      <w:r w:rsidRPr="004B2498">
        <w:rPr>
          <w:lang w:eastAsia="fr-FR" w:bidi="fr-FR"/>
        </w:rPr>
        <w:t>r</w:t>
      </w:r>
      <w:r w:rsidRPr="004B2498">
        <w:rPr>
          <w:lang w:eastAsia="fr-FR" w:bidi="fr-FR"/>
        </w:rPr>
        <w:t>fois un coût f</w:t>
      </w:r>
      <w:r w:rsidRPr="004B2498">
        <w:rPr>
          <w:lang w:eastAsia="fr-FR" w:bidi="fr-FR"/>
        </w:rPr>
        <w:t>i</w:t>
      </w:r>
      <w:r w:rsidRPr="004B2498">
        <w:rPr>
          <w:lang w:eastAsia="fr-FR" w:bidi="fr-FR"/>
        </w:rPr>
        <w:t>nancier bien plus élevé que les dettes contractées au sein du cercle habituel, qu’il s’agisse de la parenté ou de l’employeur, et c’est préc</w:t>
      </w:r>
      <w:r w:rsidRPr="004B2498">
        <w:rPr>
          <w:lang w:eastAsia="fr-FR" w:bidi="fr-FR"/>
        </w:rPr>
        <w:t>i</w:t>
      </w:r>
      <w:r w:rsidRPr="004B2498">
        <w:rPr>
          <w:lang w:eastAsia="fr-FR" w:bidi="fr-FR"/>
        </w:rPr>
        <w:t>sément ce coût qui est source d’appauvrissement matériel. C’est aussi ce qui fait l’attrait de la microfinance. Nombre de clients y voient une opportunité de se libérer de relations d’endettement o</w:t>
      </w:r>
      <w:r w:rsidRPr="004B2498">
        <w:rPr>
          <w:lang w:eastAsia="fr-FR" w:bidi="fr-FR"/>
        </w:rPr>
        <w:t>p</w:t>
      </w:r>
      <w:r w:rsidRPr="004B2498">
        <w:rPr>
          <w:lang w:eastAsia="fr-FR" w:bidi="fr-FR"/>
        </w:rPr>
        <w:t>pressantes. L’accès au microcrédit donne l’espoir d’une libération, même partielle. Or ce n’est qu’une illusion car les pauvres ne disp</w:t>
      </w:r>
      <w:r w:rsidRPr="004B2498">
        <w:rPr>
          <w:lang w:eastAsia="fr-FR" w:bidi="fr-FR"/>
        </w:rPr>
        <w:t>o</w:t>
      </w:r>
      <w:r w:rsidRPr="004B2498">
        <w:rPr>
          <w:lang w:eastAsia="fr-FR" w:bidi="fr-FR"/>
        </w:rPr>
        <w:t>sent pas des modes de protection et donc des « coupures » nécessaires.</w:t>
      </w:r>
    </w:p>
    <w:p w14:paraId="2EBA1653" w14:textId="77777777" w:rsidR="002F4063" w:rsidRPr="004B2498" w:rsidRDefault="002F4063" w:rsidP="002F4063">
      <w:pPr>
        <w:spacing w:before="120" w:after="120"/>
        <w:jc w:val="both"/>
      </w:pPr>
    </w:p>
    <w:p w14:paraId="33F73902" w14:textId="77777777" w:rsidR="002F4063" w:rsidRPr="004B2498" w:rsidRDefault="002F4063" w:rsidP="002F4063">
      <w:pPr>
        <w:pStyle w:val="a"/>
      </w:pPr>
      <w:r w:rsidRPr="0004475E">
        <w:t>Références bibliographiques</w:t>
      </w:r>
    </w:p>
    <w:p w14:paraId="2E52C6D0" w14:textId="77777777" w:rsidR="002F4063" w:rsidRPr="0004475E" w:rsidRDefault="002F4063" w:rsidP="002F4063">
      <w:pPr>
        <w:spacing w:before="120" w:after="120"/>
        <w:jc w:val="both"/>
      </w:pPr>
    </w:p>
    <w:p w14:paraId="38A1DF2C" w14:textId="77777777" w:rsidR="002F4063" w:rsidRPr="004B2498" w:rsidRDefault="002F4063" w:rsidP="002F4063">
      <w:pPr>
        <w:spacing w:before="120" w:after="120"/>
        <w:jc w:val="both"/>
      </w:pPr>
      <w:r w:rsidRPr="0004475E">
        <w:t xml:space="preserve">ADAMS </w:t>
      </w:r>
      <w:r w:rsidRPr="004B2498">
        <w:t xml:space="preserve">Dale W. and </w:t>
      </w:r>
      <w:r w:rsidRPr="0004475E">
        <w:t xml:space="preserve">VON PlSCHKE </w:t>
      </w:r>
      <w:r w:rsidRPr="004B2498">
        <w:t>J. D. 1992 : “Microente</w:t>
      </w:r>
      <w:r w:rsidRPr="004B2498">
        <w:t>r</w:t>
      </w:r>
      <w:r w:rsidRPr="004B2498">
        <w:t>prise cr</w:t>
      </w:r>
      <w:r w:rsidRPr="004B2498">
        <w:t>é</w:t>
      </w:r>
      <w:r w:rsidRPr="004B2498">
        <w:t xml:space="preserve">dit programs : “Déjà </w:t>
      </w:r>
      <w:r w:rsidRPr="0004475E">
        <w:t xml:space="preserve">Vu”, </w:t>
      </w:r>
      <w:r w:rsidRPr="00B451B7">
        <w:rPr>
          <w:i/>
        </w:rPr>
        <w:t>World Development</w:t>
      </w:r>
      <w:r w:rsidRPr="004B2498">
        <w:t>, 20 (10) : 1470-1485.</w:t>
      </w:r>
    </w:p>
    <w:p w14:paraId="34FB6B02" w14:textId="77777777" w:rsidR="002F4063" w:rsidRPr="004B2498" w:rsidRDefault="002F4063" w:rsidP="002F4063">
      <w:pPr>
        <w:spacing w:before="120" w:after="120"/>
        <w:jc w:val="both"/>
      </w:pPr>
      <w:r w:rsidRPr="004B2498">
        <w:t xml:space="preserve">AGLIETTA Michel, ORLÉAN André (éd.), 1998 : </w:t>
      </w:r>
      <w:r w:rsidRPr="00B451B7">
        <w:rPr>
          <w:i/>
        </w:rPr>
        <w:t>La monnaie souveraine</w:t>
      </w:r>
      <w:r w:rsidRPr="0004475E">
        <w:t xml:space="preserve">, </w:t>
      </w:r>
      <w:r w:rsidRPr="004B2498">
        <w:t>Paris, Éditions Odile Jacob.</w:t>
      </w:r>
    </w:p>
    <w:p w14:paraId="2C450544" w14:textId="77777777" w:rsidR="002F4063" w:rsidRPr="004B2498" w:rsidRDefault="002F4063" w:rsidP="002F4063">
      <w:pPr>
        <w:spacing w:before="120" w:after="120"/>
        <w:jc w:val="both"/>
      </w:pPr>
      <w:r w:rsidRPr="004B2498">
        <w:t xml:space="preserve">AGLIETTA Michel, ANDREAU Jean, ANSPACH Mark, BlROUSTE Jacques, </w:t>
      </w:r>
      <w:r w:rsidRPr="0004475E">
        <w:t xml:space="preserve">Cartelier </w:t>
      </w:r>
      <w:r w:rsidRPr="004B2498">
        <w:t xml:space="preserve">Jean, </w:t>
      </w:r>
      <w:r w:rsidRPr="0004475E">
        <w:t xml:space="preserve">De </w:t>
      </w:r>
      <w:r w:rsidRPr="004B2498">
        <w:t xml:space="preserve">COPPET Daniel, </w:t>
      </w:r>
      <w:r w:rsidRPr="0004475E">
        <w:t xml:space="preserve">Malamoud </w:t>
      </w:r>
      <w:r w:rsidRPr="004B2498">
        <w:t xml:space="preserve">Charles, ORLÉAN André, </w:t>
      </w:r>
      <w:r w:rsidRPr="0004475E">
        <w:t xml:space="preserve">Servet </w:t>
      </w:r>
      <w:r w:rsidRPr="004B2498">
        <w:t xml:space="preserve">Jean-Michel, ÏHÉRET Bruno, </w:t>
      </w:r>
      <w:r w:rsidRPr="0004475E">
        <w:t>Th</w:t>
      </w:r>
      <w:r w:rsidRPr="0004475E">
        <w:t>i</w:t>
      </w:r>
      <w:r w:rsidRPr="0004475E">
        <w:t xml:space="preserve">veau </w:t>
      </w:r>
      <w:r w:rsidRPr="004B2498">
        <w:t>J.-M., 1998 : Introduction, in AGLIETTA Michel, O</w:t>
      </w:r>
      <w:r w:rsidRPr="004B2498">
        <w:t>R</w:t>
      </w:r>
      <w:r w:rsidRPr="004B2498">
        <w:t xml:space="preserve">LÉAN André (éd.), </w:t>
      </w:r>
      <w:r w:rsidRPr="00B451B7">
        <w:rPr>
          <w:i/>
        </w:rPr>
        <w:t>op. cit</w:t>
      </w:r>
      <w:r w:rsidRPr="004B2498">
        <w:t>., p. 9-31.</w:t>
      </w:r>
    </w:p>
    <w:p w14:paraId="6EE7DDDD" w14:textId="77777777" w:rsidR="002F4063" w:rsidRPr="004B2498" w:rsidRDefault="002F4063" w:rsidP="002F4063">
      <w:pPr>
        <w:spacing w:before="120" w:after="120"/>
        <w:jc w:val="both"/>
      </w:pPr>
      <w:r w:rsidRPr="0004475E">
        <w:t xml:space="preserve">AKIN </w:t>
      </w:r>
      <w:r w:rsidRPr="004B2498">
        <w:t xml:space="preserve">D. &amp; </w:t>
      </w:r>
      <w:r w:rsidRPr="0004475E">
        <w:t xml:space="preserve">ROBBINS </w:t>
      </w:r>
      <w:r w:rsidRPr="004B2498">
        <w:t xml:space="preserve">J., 1999 : </w:t>
      </w:r>
      <w:r w:rsidRPr="00B451B7">
        <w:rPr>
          <w:i/>
        </w:rPr>
        <w:t>Money and modernity. State and local currencies in Melanesia</w:t>
      </w:r>
      <w:r w:rsidRPr="004B2498">
        <w:t>, Pittsburgh : University of Pit</w:t>
      </w:r>
      <w:r w:rsidRPr="004B2498">
        <w:t>t</w:t>
      </w:r>
      <w:r w:rsidRPr="004B2498">
        <w:t>sburgh Press.</w:t>
      </w:r>
    </w:p>
    <w:p w14:paraId="50375128" w14:textId="77777777" w:rsidR="002F4063" w:rsidRPr="004B2498" w:rsidRDefault="002F4063" w:rsidP="002F4063">
      <w:pPr>
        <w:spacing w:before="120" w:after="120"/>
        <w:jc w:val="both"/>
      </w:pPr>
      <w:r w:rsidRPr="0004475E">
        <w:t xml:space="preserve">Akin </w:t>
      </w:r>
      <w:r w:rsidRPr="004B2498">
        <w:t xml:space="preserve">D. &amp; </w:t>
      </w:r>
      <w:r w:rsidRPr="0004475E">
        <w:t xml:space="preserve">Robbins J., </w:t>
      </w:r>
      <w:r w:rsidRPr="004B2498">
        <w:t>1999 : “An introduction to Melanesian cu</w:t>
      </w:r>
      <w:r w:rsidRPr="004B2498">
        <w:t>r</w:t>
      </w:r>
      <w:r w:rsidRPr="004B2498">
        <w:t>rencies : agency, identity and social reproduction”, in AKIN D. &amp; RO</w:t>
      </w:r>
      <w:r w:rsidRPr="004B2498">
        <w:t>B</w:t>
      </w:r>
      <w:r w:rsidRPr="004B2498">
        <w:t xml:space="preserve">BINS J., </w:t>
      </w:r>
      <w:r w:rsidRPr="00B451B7">
        <w:rPr>
          <w:i/>
          <w:iCs/>
        </w:rPr>
        <w:t>op. cit</w:t>
      </w:r>
      <w:r w:rsidRPr="0004475E">
        <w:rPr>
          <w:iCs/>
        </w:rPr>
        <w:t>.,</w:t>
      </w:r>
      <w:r w:rsidRPr="004B2498">
        <w:t xml:space="preserve"> p. 1-40.</w:t>
      </w:r>
    </w:p>
    <w:p w14:paraId="75315EB1" w14:textId="77777777" w:rsidR="002F4063" w:rsidRPr="004B2498" w:rsidRDefault="002F4063" w:rsidP="002F4063">
      <w:pPr>
        <w:spacing w:before="120" w:after="120"/>
        <w:jc w:val="both"/>
      </w:pPr>
      <w:r w:rsidRPr="0004475E">
        <w:t xml:space="preserve">ARMENDÁRIZ </w:t>
      </w:r>
      <w:r w:rsidRPr="004B2498">
        <w:t xml:space="preserve">Beatriz, </w:t>
      </w:r>
      <w:r w:rsidRPr="0004475E">
        <w:t xml:space="preserve">LABIE </w:t>
      </w:r>
      <w:r w:rsidRPr="004B2498">
        <w:t xml:space="preserve">Marc (eds), 2011 : </w:t>
      </w:r>
      <w:r w:rsidRPr="00B451B7">
        <w:rPr>
          <w:i/>
        </w:rPr>
        <w:t>Handbook of Micr</w:t>
      </w:r>
      <w:r w:rsidRPr="00B451B7">
        <w:rPr>
          <w:i/>
        </w:rPr>
        <w:t>o</w:t>
      </w:r>
      <w:r w:rsidRPr="00B451B7">
        <w:rPr>
          <w:i/>
        </w:rPr>
        <w:t>finance</w:t>
      </w:r>
      <w:r w:rsidRPr="004B2498">
        <w:t>. World Scientific Publishing : London &amp; Singapore.</w:t>
      </w:r>
    </w:p>
    <w:p w14:paraId="020AB37A" w14:textId="77777777" w:rsidR="002F4063" w:rsidRPr="004B2498" w:rsidRDefault="002F4063" w:rsidP="002F4063">
      <w:pPr>
        <w:spacing w:before="120" w:after="120"/>
        <w:jc w:val="both"/>
      </w:pPr>
      <w:r w:rsidRPr="0004475E">
        <w:t xml:space="preserve">ATTALI </w:t>
      </w:r>
      <w:r w:rsidRPr="004B2498">
        <w:t xml:space="preserve">Jacques, 2006 : « La microfinance aujourd’hui », in </w:t>
      </w:r>
      <w:r w:rsidRPr="00B451B7">
        <w:rPr>
          <w:i/>
        </w:rPr>
        <w:t>Ra</w:t>
      </w:r>
      <w:r w:rsidRPr="00B451B7">
        <w:rPr>
          <w:i/>
        </w:rPr>
        <w:t>p</w:t>
      </w:r>
      <w:r w:rsidRPr="00B451B7">
        <w:rPr>
          <w:i/>
        </w:rPr>
        <w:t>port moral sur l’argent dans le monde 2006</w:t>
      </w:r>
      <w:r w:rsidRPr="004B2498">
        <w:t>, Paris, Association d’économie financière.</w:t>
      </w:r>
    </w:p>
    <w:p w14:paraId="6F93F681" w14:textId="77777777" w:rsidR="002F4063" w:rsidRPr="004B2498" w:rsidRDefault="002F4063" w:rsidP="002F4063">
      <w:pPr>
        <w:spacing w:before="120" w:after="120"/>
        <w:jc w:val="both"/>
      </w:pPr>
      <w:r w:rsidRPr="004B2498">
        <w:t xml:space="preserve">BAGAYOKO-PENONE Niagalé, HOURS Bernard (eds.), 2005 : </w:t>
      </w:r>
      <w:r w:rsidRPr="00B451B7">
        <w:rPr>
          <w:i/>
        </w:rPr>
        <w:t>États, ONG et production de normes sécuritaires dans les pays du Sud</w:t>
      </w:r>
      <w:r w:rsidRPr="004B2498">
        <w:t>, Paris, L’Harmattan, coll. « Questions contemporaines », 313 p.</w:t>
      </w:r>
    </w:p>
    <w:p w14:paraId="1A64B2FF" w14:textId="77777777" w:rsidR="002F4063" w:rsidRPr="004B2498" w:rsidRDefault="002F4063" w:rsidP="002F4063">
      <w:pPr>
        <w:spacing w:before="120" w:after="120"/>
        <w:jc w:val="both"/>
      </w:pPr>
      <w:r w:rsidRPr="004B2498">
        <w:t xml:space="preserve">BANERJEE A., DUFLO E., 2011 : </w:t>
      </w:r>
      <w:r w:rsidRPr="00B451B7">
        <w:rPr>
          <w:i/>
        </w:rPr>
        <w:t>Poor economics : a radical r</w:t>
      </w:r>
      <w:r w:rsidRPr="00B451B7">
        <w:rPr>
          <w:i/>
        </w:rPr>
        <w:t>e</w:t>
      </w:r>
      <w:r w:rsidRPr="00B451B7">
        <w:rPr>
          <w:i/>
        </w:rPr>
        <w:t>thinking of the way to fight against poverty</w:t>
      </w:r>
      <w:r w:rsidRPr="004B2498">
        <w:t>, New-York : Publica</w:t>
      </w:r>
      <w:r w:rsidRPr="004B2498">
        <w:t>f</w:t>
      </w:r>
      <w:r w:rsidRPr="004B2498">
        <w:t>fairs.</w:t>
      </w:r>
    </w:p>
    <w:p w14:paraId="24339C0F" w14:textId="77777777" w:rsidR="002F4063" w:rsidRPr="004B2498" w:rsidRDefault="002F4063" w:rsidP="002F4063">
      <w:pPr>
        <w:spacing w:before="120" w:after="120"/>
        <w:jc w:val="both"/>
      </w:pPr>
      <w:r w:rsidRPr="004B2498">
        <w:t xml:space="preserve">BATEMAN M., 2010 : </w:t>
      </w:r>
      <w:r w:rsidRPr="00B451B7">
        <w:rPr>
          <w:i/>
        </w:rPr>
        <w:t>Why doesn’t microfinance work ? The De</w:t>
      </w:r>
      <w:r w:rsidRPr="00B451B7">
        <w:rPr>
          <w:i/>
        </w:rPr>
        <w:t>s</w:t>
      </w:r>
      <w:r w:rsidRPr="00B451B7">
        <w:rPr>
          <w:i/>
        </w:rPr>
        <w:t>tructive Rise of Local Neoliberalism</w:t>
      </w:r>
      <w:r w:rsidRPr="004B2498">
        <w:t>. Zed Books London.</w:t>
      </w:r>
    </w:p>
    <w:p w14:paraId="6AF6A07F" w14:textId="77777777" w:rsidR="002F4063" w:rsidRPr="004B2498" w:rsidRDefault="002F4063" w:rsidP="002F4063">
      <w:pPr>
        <w:spacing w:before="120" w:after="120"/>
        <w:jc w:val="both"/>
      </w:pPr>
      <w:r w:rsidRPr="004B2498">
        <w:t>[130]</w:t>
      </w:r>
    </w:p>
    <w:p w14:paraId="1278190F" w14:textId="77777777" w:rsidR="002F4063" w:rsidRPr="004B2498" w:rsidRDefault="002F4063" w:rsidP="002F4063">
      <w:pPr>
        <w:spacing w:before="120" w:after="120"/>
        <w:jc w:val="both"/>
      </w:pPr>
      <w:r w:rsidRPr="0004475E">
        <w:t xml:space="preserve">BATLIWALA </w:t>
      </w:r>
      <w:r w:rsidRPr="004B2498">
        <w:t xml:space="preserve">S., </w:t>
      </w:r>
      <w:r w:rsidRPr="0004475E">
        <w:t xml:space="preserve">Duanraj </w:t>
      </w:r>
      <w:r w:rsidRPr="004B2498">
        <w:t>D., 2007 : “Gender Myths that instr</w:t>
      </w:r>
      <w:r w:rsidRPr="004B2498">
        <w:t>u</w:t>
      </w:r>
      <w:r w:rsidRPr="004B2498">
        <w:t>ment</w:t>
      </w:r>
      <w:r w:rsidRPr="004B2498">
        <w:t>a</w:t>
      </w:r>
      <w:r w:rsidRPr="004B2498">
        <w:t xml:space="preserve">lise Women : a View from the Indian Front Line”, in </w:t>
      </w:r>
      <w:r w:rsidRPr="0004475E">
        <w:t xml:space="preserve">A. CORNWALL </w:t>
      </w:r>
      <w:r w:rsidRPr="004B2498">
        <w:t xml:space="preserve">et al., (eds.). </w:t>
      </w:r>
      <w:r w:rsidRPr="00B451B7">
        <w:rPr>
          <w:i/>
        </w:rPr>
        <w:t>Feminisms in Development. Contradi</w:t>
      </w:r>
      <w:r w:rsidRPr="00B451B7">
        <w:rPr>
          <w:i/>
        </w:rPr>
        <w:t>c</w:t>
      </w:r>
      <w:r w:rsidRPr="00B451B7">
        <w:rPr>
          <w:i/>
        </w:rPr>
        <w:t>tions, Contestations and Challenges</w:t>
      </w:r>
      <w:r w:rsidRPr="004B2498">
        <w:t>, Londres et New-York : Zed Books, p. 21-34.</w:t>
      </w:r>
    </w:p>
    <w:p w14:paraId="2465FDBD" w14:textId="77777777" w:rsidR="002F4063" w:rsidRPr="004B2498" w:rsidRDefault="002F4063" w:rsidP="002F4063">
      <w:pPr>
        <w:spacing w:before="120" w:after="120"/>
        <w:jc w:val="both"/>
      </w:pPr>
      <w:r w:rsidRPr="0004475E">
        <w:t xml:space="preserve">Baumann </w:t>
      </w:r>
      <w:r w:rsidRPr="004B2498">
        <w:t xml:space="preserve">Eveline, </w:t>
      </w:r>
      <w:r w:rsidRPr="0004475E">
        <w:t xml:space="preserve">Bazin </w:t>
      </w:r>
      <w:r w:rsidRPr="004B2498">
        <w:t xml:space="preserve">Laurent, </w:t>
      </w:r>
      <w:r w:rsidRPr="0004475E">
        <w:t xml:space="preserve">Ould Ahmed </w:t>
      </w:r>
      <w:r w:rsidRPr="004B2498">
        <w:t xml:space="preserve">Pépita, </w:t>
      </w:r>
      <w:r w:rsidRPr="0004475E">
        <w:t xml:space="preserve">PhÉlinas </w:t>
      </w:r>
      <w:r w:rsidRPr="004B2498">
        <w:t xml:space="preserve">Pascale, </w:t>
      </w:r>
      <w:r w:rsidRPr="0004475E">
        <w:t xml:space="preserve">SELIM </w:t>
      </w:r>
      <w:r w:rsidRPr="004B2498">
        <w:t xml:space="preserve">Monique, </w:t>
      </w:r>
      <w:r w:rsidRPr="0004475E">
        <w:t xml:space="preserve">SOBEL </w:t>
      </w:r>
      <w:r w:rsidRPr="004B2498">
        <w:t xml:space="preserve">Richard (éd.), 2008 : </w:t>
      </w:r>
      <w:r w:rsidRPr="00B451B7">
        <w:rPr>
          <w:i/>
        </w:rPr>
        <w:t>L'argent des anthropologues, la monnaie des économistes</w:t>
      </w:r>
      <w:r w:rsidRPr="004B2498">
        <w:t>, Paris, l'Harma</w:t>
      </w:r>
      <w:r w:rsidRPr="004B2498">
        <w:t>t</w:t>
      </w:r>
      <w:r w:rsidRPr="004B2498">
        <w:t>tan.</w:t>
      </w:r>
    </w:p>
    <w:p w14:paraId="77C3F25B" w14:textId="77777777" w:rsidR="002F4063" w:rsidRPr="004B2498" w:rsidRDefault="002F4063" w:rsidP="002F4063">
      <w:pPr>
        <w:spacing w:before="120" w:after="120"/>
        <w:jc w:val="both"/>
      </w:pPr>
      <w:r w:rsidRPr="0004475E">
        <w:t xml:space="preserve">BÉDÉCARRATS </w:t>
      </w:r>
      <w:r w:rsidRPr="004B2498">
        <w:t>Florent, 2010 : « Évaluer la microfinance, entre util</w:t>
      </w:r>
      <w:r w:rsidRPr="004B2498">
        <w:t>i</w:t>
      </w:r>
      <w:r w:rsidRPr="004B2498">
        <w:t xml:space="preserve">té sociale et performances financières », </w:t>
      </w:r>
      <w:r w:rsidRPr="00B451B7">
        <w:rPr>
          <w:i/>
        </w:rPr>
        <w:t>Revue française de socio-économie</w:t>
      </w:r>
      <w:r w:rsidRPr="004B2498">
        <w:t>, no 6, second semestre, p. 87-107.</w:t>
      </w:r>
    </w:p>
    <w:p w14:paraId="33357DD4" w14:textId="77777777" w:rsidR="002F4063" w:rsidRPr="004B2498" w:rsidRDefault="002F4063" w:rsidP="002F4063">
      <w:pPr>
        <w:spacing w:before="120" w:after="120"/>
        <w:jc w:val="both"/>
      </w:pPr>
      <w:r w:rsidRPr="0004475E">
        <w:t xml:space="preserve">Bernard </w:t>
      </w:r>
      <w:r w:rsidRPr="004B2498">
        <w:t xml:space="preserve">Tanguy, </w:t>
      </w:r>
      <w:r w:rsidRPr="0004475E">
        <w:t xml:space="preserve">Delarue </w:t>
      </w:r>
      <w:r w:rsidRPr="004B2498">
        <w:t xml:space="preserve">Jocelyne, </w:t>
      </w:r>
      <w:r w:rsidRPr="0004475E">
        <w:t xml:space="preserve">Naudet </w:t>
      </w:r>
      <w:r w:rsidRPr="004B2498">
        <w:t xml:space="preserve">Jean-David, 2010 : “On mesuring and bridging through impact </w:t>
      </w:r>
      <w:r>
        <w:t>e</w:t>
      </w:r>
      <w:r w:rsidRPr="004B2498">
        <w:t>valuations. Le</w:t>
      </w:r>
      <w:r w:rsidRPr="004B2498">
        <w:t>s</w:t>
      </w:r>
      <w:r w:rsidRPr="004B2498">
        <w:t xml:space="preserve">sons from AFD experience”, </w:t>
      </w:r>
      <w:r w:rsidRPr="00B451B7">
        <w:rPr>
          <w:i/>
        </w:rPr>
        <w:t>NONIE Meeting</w:t>
      </w:r>
      <w:r w:rsidRPr="004B2498">
        <w:t>, Bonn.</w:t>
      </w:r>
    </w:p>
    <w:p w14:paraId="2628EFBB" w14:textId="77777777" w:rsidR="002F4063" w:rsidRPr="004B2498" w:rsidRDefault="002F4063" w:rsidP="002F4063">
      <w:pPr>
        <w:spacing w:before="120" w:after="120"/>
        <w:jc w:val="both"/>
      </w:pPr>
      <w:r w:rsidRPr="0004475E">
        <w:t xml:space="preserve">Béteille </w:t>
      </w:r>
      <w:r w:rsidRPr="004B2498">
        <w:t xml:space="preserve">André, 2000 : </w:t>
      </w:r>
      <w:r w:rsidRPr="00B451B7">
        <w:rPr>
          <w:i/>
        </w:rPr>
        <w:t>Antinomies of Society. Essays on ide</w:t>
      </w:r>
      <w:r w:rsidRPr="00B451B7">
        <w:rPr>
          <w:i/>
        </w:rPr>
        <w:t>o</w:t>
      </w:r>
      <w:r w:rsidRPr="00B451B7">
        <w:rPr>
          <w:i/>
        </w:rPr>
        <w:t>logies and institutions</w:t>
      </w:r>
      <w:r w:rsidRPr="004B2498">
        <w:t>, New-Delhi : Oxford University Press.</w:t>
      </w:r>
    </w:p>
    <w:p w14:paraId="0B8197E0" w14:textId="77777777" w:rsidR="002F4063" w:rsidRPr="004B2498" w:rsidRDefault="002F4063" w:rsidP="002F4063">
      <w:pPr>
        <w:spacing w:before="120" w:after="120"/>
        <w:jc w:val="both"/>
      </w:pPr>
      <w:r w:rsidRPr="0004475E">
        <w:t xml:space="preserve">BÉTEILLE </w:t>
      </w:r>
      <w:r w:rsidRPr="004B2498">
        <w:t xml:space="preserve">André, 1999 : </w:t>
      </w:r>
      <w:r w:rsidRPr="00B451B7">
        <w:rPr>
          <w:i/>
        </w:rPr>
        <w:t>Empowerment, Economic and Political Weekly</w:t>
      </w:r>
      <w:r w:rsidRPr="004B2498">
        <w:t xml:space="preserve"> vol. XXXIV, n° 10-11.</w:t>
      </w:r>
    </w:p>
    <w:p w14:paraId="05AC3609" w14:textId="77777777" w:rsidR="002F4063" w:rsidRPr="004B2498" w:rsidRDefault="002F4063" w:rsidP="002F4063">
      <w:pPr>
        <w:spacing w:before="120" w:after="120"/>
        <w:jc w:val="both"/>
      </w:pPr>
      <w:r w:rsidRPr="0004475E">
        <w:t xml:space="preserve">BIERSCHENK </w:t>
      </w:r>
      <w:r w:rsidRPr="004B2498">
        <w:t xml:space="preserve">Thomas, </w:t>
      </w:r>
      <w:r w:rsidRPr="0004475E">
        <w:t xml:space="preserve">Chauveau </w:t>
      </w:r>
      <w:r w:rsidRPr="004B2498">
        <w:t xml:space="preserve">Jean-Pierre, </w:t>
      </w:r>
      <w:r w:rsidRPr="0004475E">
        <w:t xml:space="preserve">Olivier de Sardan </w:t>
      </w:r>
      <w:r w:rsidRPr="004B2498">
        <w:t xml:space="preserve">Jean-Pierre (éd.), 2000 : </w:t>
      </w:r>
      <w:r w:rsidRPr="00B451B7">
        <w:rPr>
          <w:i/>
        </w:rPr>
        <w:t>Courtiers en développement. Les vi</w:t>
      </w:r>
      <w:r w:rsidRPr="00B451B7">
        <w:rPr>
          <w:i/>
        </w:rPr>
        <w:t>l</w:t>
      </w:r>
      <w:r w:rsidRPr="00B451B7">
        <w:rPr>
          <w:i/>
        </w:rPr>
        <w:t>lages africains en quête de projet</w:t>
      </w:r>
      <w:r w:rsidRPr="004B2498">
        <w:t>, Paris, APAD/Karthala.</w:t>
      </w:r>
    </w:p>
    <w:p w14:paraId="3AA19996" w14:textId="77777777" w:rsidR="002F4063" w:rsidRPr="004B2498" w:rsidRDefault="002F4063" w:rsidP="002F4063">
      <w:pPr>
        <w:spacing w:before="120" w:after="120"/>
        <w:jc w:val="both"/>
      </w:pPr>
      <w:r w:rsidRPr="0004475E">
        <w:t xml:space="preserve">Blanc </w:t>
      </w:r>
      <w:r w:rsidRPr="004B2498">
        <w:t>Jérôme, 2000 : « Les monnaies parallèles : unité et dive</w:t>
      </w:r>
      <w:r w:rsidRPr="004B2498">
        <w:t>r</w:t>
      </w:r>
      <w:r w:rsidRPr="004B2498">
        <w:t>sité du fait monétaire », Paris, l’Harmattan.</w:t>
      </w:r>
    </w:p>
    <w:p w14:paraId="648DF0AC" w14:textId="77777777" w:rsidR="002F4063" w:rsidRPr="004B2498" w:rsidRDefault="002F4063" w:rsidP="002F4063">
      <w:pPr>
        <w:spacing w:before="120" w:after="120"/>
        <w:jc w:val="both"/>
      </w:pPr>
      <w:r w:rsidRPr="0004475E">
        <w:t xml:space="preserve">BLOCH </w:t>
      </w:r>
      <w:r w:rsidRPr="004B2498">
        <w:t xml:space="preserve">Maurice, </w:t>
      </w:r>
      <w:r w:rsidRPr="0004475E">
        <w:t xml:space="preserve">PARRY </w:t>
      </w:r>
      <w:r w:rsidRPr="004B2498">
        <w:t xml:space="preserve">Jonathan (eds.), 1989 : </w:t>
      </w:r>
      <w:r w:rsidRPr="00B451B7">
        <w:rPr>
          <w:i/>
        </w:rPr>
        <w:t>Money and the M</w:t>
      </w:r>
      <w:r w:rsidRPr="00B451B7">
        <w:rPr>
          <w:i/>
        </w:rPr>
        <w:t>o</w:t>
      </w:r>
      <w:r w:rsidRPr="00B451B7">
        <w:rPr>
          <w:i/>
        </w:rPr>
        <w:t>rality of Exchange</w:t>
      </w:r>
      <w:r w:rsidRPr="004B2498">
        <w:t>, Cambridge University Press : Cambridge.</w:t>
      </w:r>
    </w:p>
    <w:p w14:paraId="3456E6E1" w14:textId="77777777" w:rsidR="002F4063" w:rsidRPr="004B2498" w:rsidRDefault="002F4063" w:rsidP="002F4063">
      <w:pPr>
        <w:spacing w:before="120" w:after="120"/>
        <w:jc w:val="both"/>
      </w:pPr>
      <w:r w:rsidRPr="0004475E">
        <w:t xml:space="preserve">Breman </w:t>
      </w:r>
      <w:r w:rsidRPr="004B2498">
        <w:t xml:space="preserve">Jan, </w:t>
      </w:r>
      <w:r w:rsidRPr="0004475E">
        <w:t xml:space="preserve">Guérin </w:t>
      </w:r>
      <w:r w:rsidRPr="004B2498">
        <w:t xml:space="preserve">Isabelle &amp; </w:t>
      </w:r>
      <w:r w:rsidRPr="0004475E">
        <w:t xml:space="preserve">PRAKASH </w:t>
      </w:r>
      <w:r w:rsidRPr="004B2498">
        <w:t xml:space="preserve">Aseem (eds.), 2009 : </w:t>
      </w:r>
      <w:r w:rsidRPr="00B451B7">
        <w:rPr>
          <w:i/>
        </w:rPr>
        <w:t>India’s unfree workforce of bondage old and new</w:t>
      </w:r>
      <w:r w:rsidRPr="004B2498">
        <w:t>, New-Delhi, Oxford University Press.</w:t>
      </w:r>
    </w:p>
    <w:p w14:paraId="04E40AE7" w14:textId="77777777" w:rsidR="002F4063" w:rsidRPr="004B2498" w:rsidRDefault="002F4063" w:rsidP="002F4063">
      <w:pPr>
        <w:spacing w:before="120" w:after="120"/>
        <w:jc w:val="both"/>
      </w:pPr>
      <w:r w:rsidRPr="0004475E">
        <w:t xml:space="preserve">BREMAN </w:t>
      </w:r>
      <w:r w:rsidRPr="004B2498">
        <w:t xml:space="preserve">Jan, 2007 : </w:t>
      </w:r>
      <w:r w:rsidRPr="00B451B7">
        <w:rPr>
          <w:i/>
        </w:rPr>
        <w:t>Labour bondage in West India. From past to present</w:t>
      </w:r>
      <w:r w:rsidRPr="004B2498">
        <w:t>, Oxford, Oxford University Press.</w:t>
      </w:r>
    </w:p>
    <w:p w14:paraId="3B82E622" w14:textId="77777777" w:rsidR="002F4063" w:rsidRPr="004B2498" w:rsidRDefault="002F4063" w:rsidP="002F4063">
      <w:pPr>
        <w:spacing w:before="120" w:after="120"/>
        <w:jc w:val="both"/>
      </w:pPr>
      <w:r w:rsidRPr="0004475E">
        <w:t xml:space="preserve">Cavalcante M., </w:t>
      </w:r>
      <w:r w:rsidRPr="004B2498">
        <w:t>2009 : “Income-based estimates vs consum</w:t>
      </w:r>
      <w:r w:rsidRPr="004B2498">
        <w:t>p</w:t>
      </w:r>
      <w:r w:rsidRPr="004B2498">
        <w:t>tion-based estimates of poverty : evidence from rural Tamil Nadu after l</w:t>
      </w:r>
      <w:r w:rsidRPr="004B2498">
        <w:t>i</w:t>
      </w:r>
      <w:r w:rsidRPr="004B2498">
        <w:t xml:space="preserve">beralization”, in </w:t>
      </w:r>
      <w:r w:rsidRPr="0004475E">
        <w:t>Basile</w:t>
      </w:r>
      <w:r w:rsidRPr="004B2498">
        <w:t xml:space="preserve"> E. </w:t>
      </w:r>
      <w:r w:rsidRPr="0004475E">
        <w:t xml:space="preserve">MUKHOPADHYAY </w:t>
      </w:r>
      <w:r w:rsidRPr="004B2498">
        <w:t xml:space="preserve">I. (eds.) : </w:t>
      </w:r>
      <w:r w:rsidRPr="00B451B7">
        <w:rPr>
          <w:i/>
        </w:rPr>
        <w:t>The cha</w:t>
      </w:r>
      <w:r w:rsidRPr="00B451B7">
        <w:rPr>
          <w:i/>
        </w:rPr>
        <w:t>n</w:t>
      </w:r>
      <w:r w:rsidRPr="00B451B7">
        <w:rPr>
          <w:i/>
        </w:rPr>
        <w:t>ging identity of rural India : a socio-historical analysis</w:t>
      </w:r>
      <w:r w:rsidRPr="004B2498">
        <w:t>, Lo</w:t>
      </w:r>
      <w:r w:rsidRPr="004B2498">
        <w:t>n</w:t>
      </w:r>
      <w:r w:rsidRPr="004B2498">
        <w:t>don/New- York/Delhi : Anthem Press, p. 113-150.</w:t>
      </w:r>
    </w:p>
    <w:p w14:paraId="27C37241" w14:textId="77777777" w:rsidR="002F4063" w:rsidRPr="004B2498" w:rsidRDefault="002F4063" w:rsidP="002F4063">
      <w:pPr>
        <w:spacing w:before="120" w:after="120"/>
        <w:jc w:val="both"/>
      </w:pPr>
      <w:r w:rsidRPr="0004475E">
        <w:t xml:space="preserve">CHATTERJEE </w:t>
      </w:r>
      <w:r w:rsidRPr="004B2498">
        <w:t>P., 2011 : “Democracy and économie transform</w:t>
      </w:r>
      <w:r w:rsidRPr="004B2498">
        <w:t>a</w:t>
      </w:r>
      <w:r w:rsidRPr="004B2498">
        <w:t xml:space="preserve">tion in India”, in </w:t>
      </w:r>
      <w:r w:rsidRPr="0004475E">
        <w:t xml:space="preserve">Ruparelia S., Reddy S., Harriss J., Corbridge S. </w:t>
      </w:r>
      <w:r w:rsidRPr="004B2498">
        <w:t xml:space="preserve">(eds.) : </w:t>
      </w:r>
      <w:r w:rsidRPr="00B451B7">
        <w:rPr>
          <w:i/>
        </w:rPr>
        <w:t>U</w:t>
      </w:r>
      <w:r w:rsidRPr="00B451B7">
        <w:rPr>
          <w:i/>
        </w:rPr>
        <w:t>n</w:t>
      </w:r>
      <w:r w:rsidRPr="00B451B7">
        <w:rPr>
          <w:i/>
        </w:rPr>
        <w:t>derstanding India’s New Political Economy</w:t>
      </w:r>
      <w:r w:rsidRPr="004B2498">
        <w:t>, London &amp; New-York : Routledge, p. 17-34.</w:t>
      </w:r>
    </w:p>
    <w:p w14:paraId="10030188" w14:textId="77777777" w:rsidR="002F4063" w:rsidRPr="004B2498" w:rsidRDefault="002F4063" w:rsidP="002F4063">
      <w:pPr>
        <w:spacing w:before="120" w:after="120"/>
        <w:jc w:val="both"/>
      </w:pPr>
      <w:r w:rsidRPr="004B2498">
        <w:t>[131]</w:t>
      </w:r>
    </w:p>
    <w:p w14:paraId="5E5E70AE" w14:textId="77777777" w:rsidR="002F4063" w:rsidRPr="004B2498" w:rsidRDefault="002F4063" w:rsidP="002F4063">
      <w:pPr>
        <w:spacing w:before="120" w:after="120"/>
        <w:jc w:val="both"/>
      </w:pPr>
      <w:r w:rsidRPr="0004475E">
        <w:t xml:space="preserve">Collins </w:t>
      </w:r>
      <w:r w:rsidRPr="004B2498">
        <w:t xml:space="preserve">D., </w:t>
      </w:r>
      <w:r w:rsidRPr="0004475E">
        <w:t xml:space="preserve">Morduch </w:t>
      </w:r>
      <w:r w:rsidRPr="004B2498">
        <w:t xml:space="preserve">J., </w:t>
      </w:r>
      <w:r w:rsidRPr="0004475E">
        <w:t xml:space="preserve">Rutherford S., Ruthven </w:t>
      </w:r>
      <w:r w:rsidRPr="004B2498">
        <w:t xml:space="preserve">O., 2009 : </w:t>
      </w:r>
      <w:r w:rsidRPr="00B451B7">
        <w:rPr>
          <w:i/>
        </w:rPr>
        <w:t>Portf</w:t>
      </w:r>
      <w:r w:rsidRPr="00B451B7">
        <w:rPr>
          <w:i/>
        </w:rPr>
        <w:t>o</w:t>
      </w:r>
      <w:r w:rsidRPr="00B451B7">
        <w:rPr>
          <w:i/>
        </w:rPr>
        <w:t>lios of the Poor : How the World’s Poor Live on $2 a Day</w:t>
      </w:r>
      <w:r w:rsidRPr="004B2498">
        <w:t>. Princ</w:t>
      </w:r>
      <w:r w:rsidRPr="004B2498">
        <w:t>e</w:t>
      </w:r>
      <w:r w:rsidRPr="004B2498">
        <w:t>ton University Press : Princeton.</w:t>
      </w:r>
    </w:p>
    <w:p w14:paraId="6815BED7" w14:textId="77777777" w:rsidR="002F4063" w:rsidRPr="004B2498" w:rsidRDefault="002F4063" w:rsidP="002F4063">
      <w:pPr>
        <w:spacing w:before="120" w:after="120"/>
        <w:jc w:val="both"/>
      </w:pPr>
      <w:r w:rsidRPr="004B2498">
        <w:t xml:space="preserve">COMMONS J. R., 1990 [1934] : </w:t>
      </w:r>
      <w:r w:rsidRPr="00B451B7">
        <w:rPr>
          <w:i/>
        </w:rPr>
        <w:t>Institutional economics</w:t>
      </w:r>
      <w:r w:rsidRPr="004B2498">
        <w:t>, New Brunswick : Transaction Books.</w:t>
      </w:r>
    </w:p>
    <w:p w14:paraId="25473312" w14:textId="77777777" w:rsidR="002F4063" w:rsidRPr="004B2498" w:rsidRDefault="002F4063" w:rsidP="002F4063">
      <w:pPr>
        <w:spacing w:before="120" w:after="120"/>
        <w:jc w:val="both"/>
      </w:pPr>
      <w:r w:rsidRPr="0004475E">
        <w:t xml:space="preserve">D’ESPALLIER </w:t>
      </w:r>
      <w:r w:rsidRPr="004B2498">
        <w:t xml:space="preserve">Bert, </w:t>
      </w:r>
      <w:r w:rsidRPr="0004475E">
        <w:t xml:space="preserve">GUÉRIN </w:t>
      </w:r>
      <w:r w:rsidRPr="004B2498">
        <w:t xml:space="preserve">Isabelle, </w:t>
      </w:r>
      <w:r w:rsidRPr="0004475E">
        <w:t xml:space="preserve">MERSLAND </w:t>
      </w:r>
      <w:r w:rsidRPr="004B2498">
        <w:t xml:space="preserve">Roy, 2011 : “Women and repayment in microfinance. </w:t>
      </w:r>
      <w:r>
        <w:t>A</w:t>
      </w:r>
      <w:r w:rsidRPr="004B2498">
        <w:t xml:space="preserve"> global analysis”, </w:t>
      </w:r>
      <w:r w:rsidRPr="00B451B7">
        <w:rPr>
          <w:i/>
        </w:rPr>
        <w:t>World Develo</w:t>
      </w:r>
      <w:r w:rsidRPr="00B451B7">
        <w:rPr>
          <w:i/>
        </w:rPr>
        <w:t>p</w:t>
      </w:r>
      <w:r w:rsidRPr="00B451B7">
        <w:rPr>
          <w:i/>
        </w:rPr>
        <w:t>ment</w:t>
      </w:r>
      <w:r w:rsidRPr="004B2498">
        <w:t>, 39 (5) : 758-772.</w:t>
      </w:r>
    </w:p>
    <w:p w14:paraId="377F01C5" w14:textId="77777777" w:rsidR="002F4063" w:rsidRPr="004B2498" w:rsidRDefault="002F4063" w:rsidP="002F4063">
      <w:pPr>
        <w:spacing w:before="120" w:after="120"/>
        <w:jc w:val="both"/>
      </w:pPr>
      <w:r w:rsidRPr="0004475E">
        <w:t xml:space="preserve">De SOTO </w:t>
      </w:r>
      <w:r w:rsidRPr="004B2498">
        <w:t xml:space="preserve">Fernando, 2000 : </w:t>
      </w:r>
      <w:r w:rsidRPr="00B451B7">
        <w:rPr>
          <w:i/>
        </w:rPr>
        <w:t>The mystery of capital. Why capit</w:t>
      </w:r>
      <w:r w:rsidRPr="00B451B7">
        <w:rPr>
          <w:i/>
        </w:rPr>
        <w:t>a</w:t>
      </w:r>
      <w:r w:rsidRPr="00B451B7">
        <w:rPr>
          <w:i/>
        </w:rPr>
        <w:t>lism triumphs in the West and faits everywhere else</w:t>
      </w:r>
      <w:r w:rsidRPr="004B2498">
        <w:t>, New-York : B</w:t>
      </w:r>
      <w:r w:rsidRPr="004B2498">
        <w:t>a</w:t>
      </w:r>
      <w:r w:rsidRPr="004B2498">
        <w:t>sic Books.</w:t>
      </w:r>
    </w:p>
    <w:p w14:paraId="1E73C04E" w14:textId="77777777" w:rsidR="002F4063" w:rsidRPr="004B2498" w:rsidRDefault="002F4063" w:rsidP="002F4063">
      <w:pPr>
        <w:spacing w:before="120" w:after="120"/>
        <w:jc w:val="both"/>
      </w:pPr>
      <w:r w:rsidRPr="004B2498">
        <w:t xml:space="preserve">DREZE Jean, 1990 : “Poverty in India and the IRDP disillusion”, </w:t>
      </w:r>
      <w:r w:rsidRPr="00B451B7">
        <w:rPr>
          <w:i/>
        </w:rPr>
        <w:t>Economic and Political Weekly</w:t>
      </w:r>
      <w:r w:rsidRPr="004B2498">
        <w:t>, Sept 29.</w:t>
      </w:r>
    </w:p>
    <w:p w14:paraId="59A52CBA" w14:textId="77777777" w:rsidR="002F4063" w:rsidRPr="004B2498" w:rsidRDefault="002F4063" w:rsidP="002F4063">
      <w:pPr>
        <w:spacing w:before="120" w:after="120"/>
        <w:jc w:val="both"/>
      </w:pPr>
      <w:r w:rsidRPr="004B2498">
        <w:t xml:space="preserve">DUFY Caroline et WEBER Florence, 2007 : </w:t>
      </w:r>
      <w:r w:rsidRPr="00B451B7">
        <w:rPr>
          <w:i/>
        </w:rPr>
        <w:t>L’ethnographie éc</w:t>
      </w:r>
      <w:r w:rsidRPr="00B451B7">
        <w:rPr>
          <w:i/>
        </w:rPr>
        <w:t>o</w:t>
      </w:r>
      <w:r w:rsidRPr="00B451B7">
        <w:rPr>
          <w:i/>
        </w:rPr>
        <w:t>nomique</w:t>
      </w:r>
      <w:r w:rsidRPr="004B2498">
        <w:t>, Paris, La Découverte, coll. « Repères ».</w:t>
      </w:r>
    </w:p>
    <w:p w14:paraId="30B1C4D9" w14:textId="77777777" w:rsidR="002F4063" w:rsidRPr="004B2498" w:rsidRDefault="002F4063" w:rsidP="002F4063">
      <w:pPr>
        <w:spacing w:before="120" w:after="120"/>
        <w:jc w:val="both"/>
      </w:pPr>
      <w:r w:rsidRPr="0004475E">
        <w:t xml:space="preserve">FALQUET </w:t>
      </w:r>
      <w:r w:rsidRPr="004B2498">
        <w:t xml:space="preserve">Jules, 2008 : </w:t>
      </w:r>
      <w:r w:rsidRPr="00B451B7">
        <w:rPr>
          <w:i/>
        </w:rPr>
        <w:t>De gré ou de force. Les femmes dans la mondialisation</w:t>
      </w:r>
      <w:r w:rsidRPr="004B2498">
        <w:t>, Paris, La Dispute.</w:t>
      </w:r>
    </w:p>
    <w:p w14:paraId="2ED9742D" w14:textId="77777777" w:rsidR="002F4063" w:rsidRPr="0004475E" w:rsidRDefault="002F4063" w:rsidP="002F4063">
      <w:pPr>
        <w:spacing w:before="120" w:after="120"/>
        <w:jc w:val="both"/>
      </w:pPr>
      <w:r w:rsidRPr="0004475E">
        <w:t xml:space="preserve">FERNANDO Judès, 2006 : </w:t>
      </w:r>
      <w:r w:rsidRPr="00B451B7">
        <w:rPr>
          <w:i/>
        </w:rPr>
        <w:t>Microfinance. Perils and Prospects</w:t>
      </w:r>
      <w:r w:rsidRPr="0004475E">
        <w:t>, Londres : Routledge.</w:t>
      </w:r>
    </w:p>
    <w:p w14:paraId="674AB6CA" w14:textId="77777777" w:rsidR="002F4063" w:rsidRPr="004B2498" w:rsidRDefault="002F4063" w:rsidP="002F4063">
      <w:pPr>
        <w:spacing w:before="120" w:after="120"/>
        <w:jc w:val="both"/>
      </w:pPr>
      <w:r w:rsidRPr="0004475E">
        <w:t xml:space="preserve">FOUILLET </w:t>
      </w:r>
      <w:r w:rsidRPr="004B2498">
        <w:t xml:space="preserve">Cyril, </w:t>
      </w:r>
      <w:r w:rsidRPr="0004475E">
        <w:t xml:space="preserve">GUÉRIN </w:t>
      </w:r>
      <w:r w:rsidRPr="004B2498">
        <w:t xml:space="preserve">Isabelle, </w:t>
      </w:r>
      <w:r w:rsidRPr="0004475E">
        <w:t xml:space="preserve">Morvant </w:t>
      </w:r>
      <w:r w:rsidRPr="004B2498">
        <w:t xml:space="preserve">Solène, </w:t>
      </w:r>
      <w:r w:rsidRPr="0004475E">
        <w:t xml:space="preserve">ROESCH </w:t>
      </w:r>
      <w:r w:rsidRPr="004B2498">
        <w:t xml:space="preserve">Marc, </w:t>
      </w:r>
      <w:r w:rsidRPr="0004475E">
        <w:t xml:space="preserve">SERVET </w:t>
      </w:r>
      <w:r w:rsidRPr="004B2498">
        <w:t>Jean-Michel, 2007 : « Le microcrédit au péril du né</w:t>
      </w:r>
      <w:r w:rsidRPr="004B2498">
        <w:t>o</w:t>
      </w:r>
      <w:r w:rsidRPr="004B2498">
        <w:t>libérali</w:t>
      </w:r>
      <w:r w:rsidRPr="004B2498">
        <w:t>s</w:t>
      </w:r>
      <w:r w:rsidRPr="004B2498">
        <w:t>me et de marchands d’illusions. Manifeste pour une inclusion fina</w:t>
      </w:r>
      <w:r w:rsidRPr="004B2498">
        <w:t>n</w:t>
      </w:r>
      <w:r w:rsidRPr="004B2498">
        <w:t xml:space="preserve">cière socialement responsable », </w:t>
      </w:r>
      <w:r w:rsidRPr="00B451B7">
        <w:rPr>
          <w:i/>
        </w:rPr>
        <w:t>Revue du Mauss</w:t>
      </w:r>
      <w:r w:rsidRPr="004B2498">
        <w:t>, n° 29 : p. 248-268.</w:t>
      </w:r>
    </w:p>
    <w:p w14:paraId="3853586C" w14:textId="77777777" w:rsidR="002F4063" w:rsidRPr="004B2498" w:rsidRDefault="002F4063" w:rsidP="002F4063">
      <w:pPr>
        <w:spacing w:before="120" w:after="120"/>
        <w:jc w:val="both"/>
      </w:pPr>
      <w:r w:rsidRPr="0004475E">
        <w:t xml:space="preserve">FOUILLET </w:t>
      </w:r>
      <w:r w:rsidRPr="004B2498">
        <w:t xml:space="preserve">Cyril, 2009 : </w:t>
      </w:r>
      <w:r w:rsidRPr="00B451B7">
        <w:rPr>
          <w:i/>
        </w:rPr>
        <w:t>La construction spatiale de la microf</w:t>
      </w:r>
      <w:r w:rsidRPr="00B451B7">
        <w:rPr>
          <w:i/>
        </w:rPr>
        <w:t>i</w:t>
      </w:r>
      <w:r w:rsidRPr="00B451B7">
        <w:rPr>
          <w:i/>
        </w:rPr>
        <w:t>nance en Inde, Thèse de doctorat en sciences économiques et de ge</w:t>
      </w:r>
      <w:r w:rsidRPr="00B451B7">
        <w:rPr>
          <w:i/>
        </w:rPr>
        <w:t>s</w:t>
      </w:r>
      <w:r w:rsidRPr="00B451B7">
        <w:rPr>
          <w:i/>
        </w:rPr>
        <w:t>tion</w:t>
      </w:r>
      <w:r w:rsidRPr="004B2498">
        <w:t>. Université libre de Bruxelles : Bruxelles.</w:t>
      </w:r>
    </w:p>
    <w:p w14:paraId="7073F66E" w14:textId="77777777" w:rsidR="002F4063" w:rsidRPr="004B2498" w:rsidRDefault="002F4063" w:rsidP="002F4063">
      <w:pPr>
        <w:spacing w:before="120" w:after="120"/>
        <w:jc w:val="both"/>
      </w:pPr>
      <w:r w:rsidRPr="0004475E">
        <w:t xml:space="preserve">FOUILLET </w:t>
      </w:r>
      <w:r w:rsidRPr="004B2498">
        <w:t xml:space="preserve">Cyril, 2006 : « La microfinance serait elle devenue folle ? Crise en Andhra Pradesh », </w:t>
      </w:r>
      <w:r w:rsidRPr="00B451B7">
        <w:rPr>
          <w:i/>
        </w:rPr>
        <w:t>Espace Finance</w:t>
      </w:r>
      <w:r w:rsidRPr="004B2498">
        <w:t>, Gret-Cirad, 25 avril.</w:t>
      </w:r>
    </w:p>
    <w:p w14:paraId="2BC1D9F1" w14:textId="77777777" w:rsidR="002F4063" w:rsidRPr="004B2498" w:rsidRDefault="002F4063" w:rsidP="002F4063">
      <w:pPr>
        <w:spacing w:before="120" w:after="120"/>
        <w:jc w:val="both"/>
      </w:pPr>
      <w:r w:rsidRPr="0004475E">
        <w:t xml:space="preserve">FOUILLET </w:t>
      </w:r>
      <w:r w:rsidRPr="004B2498">
        <w:t xml:space="preserve">Cyril, </w:t>
      </w:r>
      <w:r w:rsidRPr="0004475E">
        <w:t xml:space="preserve">PAIRAULT </w:t>
      </w:r>
      <w:r w:rsidRPr="004B2498">
        <w:t xml:space="preserve">Thierry, 2010 : </w:t>
      </w:r>
      <w:r w:rsidRPr="00B451B7">
        <w:rPr>
          <w:i/>
        </w:rPr>
        <w:t>Économie et Inst</w:t>
      </w:r>
      <w:r w:rsidRPr="00B451B7">
        <w:rPr>
          <w:i/>
        </w:rPr>
        <w:t>i</w:t>
      </w:r>
      <w:r w:rsidRPr="00B451B7">
        <w:rPr>
          <w:i/>
        </w:rPr>
        <w:t>tutions</w:t>
      </w:r>
      <w:r w:rsidRPr="004B2498">
        <w:t>, n° 8 (l), p. 123-146.</w:t>
      </w:r>
    </w:p>
    <w:p w14:paraId="46D2AF51" w14:textId="77777777" w:rsidR="002F4063" w:rsidRPr="004B2498" w:rsidRDefault="002F4063" w:rsidP="002F4063">
      <w:pPr>
        <w:spacing w:before="120" w:after="120"/>
        <w:jc w:val="both"/>
      </w:pPr>
      <w:r w:rsidRPr="0004475E">
        <w:t xml:space="preserve">GARIKIPATI </w:t>
      </w:r>
      <w:r w:rsidRPr="004B2498">
        <w:t xml:space="preserve">Supryia, 2008 : “The Impact </w:t>
      </w:r>
      <w:r w:rsidRPr="0004475E">
        <w:t xml:space="preserve">of </w:t>
      </w:r>
      <w:r w:rsidRPr="004B2498">
        <w:t xml:space="preserve">Lending to Women on Household Vulnerability and Women’s Empowerment : Evidence from India”, </w:t>
      </w:r>
      <w:r w:rsidRPr="00B451B7">
        <w:rPr>
          <w:i/>
        </w:rPr>
        <w:t>World Development</w:t>
      </w:r>
      <w:r w:rsidRPr="004B2498">
        <w:t>, 36 (12) : 2620-2642.</w:t>
      </w:r>
    </w:p>
    <w:p w14:paraId="1B9C9C2E" w14:textId="77777777" w:rsidR="002F4063" w:rsidRPr="004B2498" w:rsidRDefault="002F4063" w:rsidP="002F4063">
      <w:pPr>
        <w:spacing w:before="120" w:after="120"/>
        <w:jc w:val="both"/>
      </w:pPr>
      <w:r w:rsidRPr="0004475E">
        <w:t xml:space="preserve">Guérin </w:t>
      </w:r>
      <w:r w:rsidRPr="004B2498">
        <w:t xml:space="preserve">Isabelle, 201 la : « Travail illégal et servitude pour dette en Inde du Sud », in </w:t>
      </w:r>
      <w:r w:rsidRPr="0004475E">
        <w:t xml:space="preserve">FONTAINE </w:t>
      </w:r>
      <w:r w:rsidRPr="004B2498">
        <w:t xml:space="preserve">L. &amp; </w:t>
      </w:r>
      <w:r w:rsidRPr="0004475E">
        <w:t xml:space="preserve">Weber </w:t>
      </w:r>
      <w:r w:rsidRPr="004B2498">
        <w:t xml:space="preserve">F. (éd.) : </w:t>
      </w:r>
      <w:r w:rsidRPr="00B451B7">
        <w:rPr>
          <w:i/>
        </w:rPr>
        <w:t>Les par</w:t>
      </w:r>
      <w:r w:rsidRPr="00B451B7">
        <w:rPr>
          <w:i/>
        </w:rPr>
        <w:t>a</w:t>
      </w:r>
      <w:r w:rsidRPr="00B451B7">
        <w:rPr>
          <w:i/>
        </w:rPr>
        <w:t xml:space="preserve">doxes de l’économie informelle. </w:t>
      </w:r>
      <w:r>
        <w:rPr>
          <w:i/>
          <w:iCs/>
        </w:rPr>
        <w:t>À</w:t>
      </w:r>
      <w:r w:rsidRPr="00B451B7">
        <w:rPr>
          <w:i/>
          <w:iCs/>
        </w:rPr>
        <w:t xml:space="preserve"> </w:t>
      </w:r>
      <w:r w:rsidRPr="00B451B7">
        <w:rPr>
          <w:i/>
        </w:rPr>
        <w:t>qui profitent les règles ?</w:t>
      </w:r>
      <w:r w:rsidRPr="004B2498">
        <w:t xml:space="preserve"> Paris : Karthala, p. 93-112.</w:t>
      </w:r>
    </w:p>
    <w:p w14:paraId="62205DCF" w14:textId="77777777" w:rsidR="002F4063" w:rsidRPr="004B2498" w:rsidRDefault="002F4063" w:rsidP="002F4063">
      <w:pPr>
        <w:spacing w:before="120" w:after="120"/>
        <w:jc w:val="both"/>
      </w:pPr>
      <w:r w:rsidRPr="0004475E">
        <w:t xml:space="preserve">GUÉRIN </w:t>
      </w:r>
      <w:r w:rsidRPr="004B2498">
        <w:t>Isabelle, 2011b : « Les effets insoupçonnés de la micr</w:t>
      </w:r>
      <w:r w:rsidRPr="004B2498">
        <w:t>o</w:t>
      </w:r>
      <w:r w:rsidRPr="004B2498">
        <w:t xml:space="preserve">finance », </w:t>
      </w:r>
      <w:r w:rsidRPr="00B451B7">
        <w:rPr>
          <w:i/>
        </w:rPr>
        <w:t>Travail, genre et sociétés</w:t>
      </w:r>
      <w:r w:rsidRPr="004B2498">
        <w:t xml:space="preserve">, 25 (avril), p. 61-79. </w:t>
      </w:r>
    </w:p>
    <w:p w14:paraId="0EBBCAE2" w14:textId="77777777" w:rsidR="002F4063" w:rsidRPr="004B2498" w:rsidRDefault="002F4063" w:rsidP="002F4063">
      <w:pPr>
        <w:spacing w:before="120" w:after="120"/>
        <w:jc w:val="both"/>
      </w:pPr>
      <w:r w:rsidRPr="004B2498">
        <w:t>[132]</w:t>
      </w:r>
    </w:p>
    <w:p w14:paraId="5562FD2B" w14:textId="77777777" w:rsidR="002F4063" w:rsidRPr="004B2498" w:rsidRDefault="002F4063" w:rsidP="002F4063">
      <w:pPr>
        <w:spacing w:before="120" w:after="120"/>
        <w:jc w:val="both"/>
      </w:pPr>
      <w:r w:rsidRPr="0004475E">
        <w:t xml:space="preserve">GUÉRIN </w:t>
      </w:r>
      <w:r w:rsidRPr="004B2498">
        <w:t xml:space="preserve">Isabelle, 2011c : “Do women need specific microfinance services ?” in </w:t>
      </w:r>
      <w:r w:rsidRPr="0004475E">
        <w:t xml:space="preserve">ARMENDARIZ </w:t>
      </w:r>
      <w:r w:rsidRPr="004B2498">
        <w:t xml:space="preserve">B. &amp; </w:t>
      </w:r>
      <w:r w:rsidRPr="0004475E">
        <w:t xml:space="preserve">LABIE </w:t>
      </w:r>
      <w:r w:rsidRPr="004B2498">
        <w:t xml:space="preserve">M. (eds.) : </w:t>
      </w:r>
      <w:r w:rsidRPr="00B451B7">
        <w:rPr>
          <w:i/>
        </w:rPr>
        <w:t>Handbook of Micr</w:t>
      </w:r>
      <w:r w:rsidRPr="00B451B7">
        <w:rPr>
          <w:i/>
        </w:rPr>
        <w:t>o</w:t>
      </w:r>
      <w:r w:rsidRPr="00B451B7">
        <w:rPr>
          <w:i/>
        </w:rPr>
        <w:t>finance</w:t>
      </w:r>
      <w:r w:rsidRPr="004B2498">
        <w:t>, Washington : World Scientific Publishing, p. 420-432.</w:t>
      </w:r>
    </w:p>
    <w:p w14:paraId="519735E2" w14:textId="77777777" w:rsidR="002F4063" w:rsidRPr="004B2498" w:rsidRDefault="002F4063" w:rsidP="002F4063">
      <w:pPr>
        <w:spacing w:before="120" w:after="120"/>
        <w:jc w:val="both"/>
      </w:pPr>
      <w:r w:rsidRPr="0004475E">
        <w:t xml:space="preserve">GUÉRIN </w:t>
      </w:r>
      <w:r w:rsidRPr="004B2498">
        <w:t>Isabelle, 2008 : « L’argent des femmes pauvres : entre su</w:t>
      </w:r>
      <w:r w:rsidRPr="004B2498">
        <w:t>r</w:t>
      </w:r>
      <w:r w:rsidRPr="004B2498">
        <w:t xml:space="preserve">vie quotidienne, obligations familiales et normes sociales, » </w:t>
      </w:r>
      <w:r w:rsidRPr="00B451B7">
        <w:rPr>
          <w:i/>
        </w:rPr>
        <w:t>Revue française de Socioéconomie</w:t>
      </w:r>
      <w:r w:rsidRPr="004B2498">
        <w:t>, n° 2, p. 59-78.</w:t>
      </w:r>
    </w:p>
    <w:p w14:paraId="30FB0215" w14:textId="77777777" w:rsidR="002F4063" w:rsidRPr="004B2498" w:rsidRDefault="002F4063" w:rsidP="002F4063">
      <w:pPr>
        <w:spacing w:before="120" w:after="120"/>
        <w:jc w:val="both"/>
      </w:pPr>
      <w:r w:rsidRPr="0004475E">
        <w:t xml:space="preserve">GUÉRIN </w:t>
      </w:r>
      <w:r w:rsidRPr="004B2498">
        <w:t>Isabelle, 2006 : “Women and Money : Multiple, Co</w:t>
      </w:r>
      <w:r w:rsidRPr="004B2498">
        <w:t>m</w:t>
      </w:r>
      <w:r w:rsidRPr="004B2498">
        <w:t xml:space="preserve">plex and Evolving Practices”, </w:t>
      </w:r>
      <w:r w:rsidRPr="00B451B7">
        <w:rPr>
          <w:i/>
        </w:rPr>
        <w:t>Development and Change</w:t>
      </w:r>
      <w:r w:rsidRPr="004B2498">
        <w:t>, 37 (3) : 549-570.</w:t>
      </w:r>
    </w:p>
    <w:p w14:paraId="288BB772" w14:textId="77777777" w:rsidR="002F4063" w:rsidRPr="004B2498" w:rsidRDefault="002F4063" w:rsidP="002F4063">
      <w:pPr>
        <w:spacing w:before="120" w:after="120"/>
        <w:jc w:val="both"/>
      </w:pPr>
      <w:r w:rsidRPr="0004475E">
        <w:t xml:space="preserve">GUÉRIN </w:t>
      </w:r>
      <w:r w:rsidRPr="004B2498">
        <w:t xml:space="preserve">Isabelle, 2002 : « Le sexe de la monnaie », </w:t>
      </w:r>
      <w:r w:rsidRPr="00B451B7">
        <w:rPr>
          <w:i/>
        </w:rPr>
        <w:t>Journal des a</w:t>
      </w:r>
      <w:r w:rsidRPr="00B451B7">
        <w:rPr>
          <w:i/>
        </w:rPr>
        <w:t>n</w:t>
      </w:r>
      <w:r w:rsidRPr="00B451B7">
        <w:rPr>
          <w:i/>
        </w:rPr>
        <w:t>thropologues</w:t>
      </w:r>
      <w:r w:rsidRPr="004B2498">
        <w:t>, n° 90-91, p. 213-230.</w:t>
      </w:r>
    </w:p>
    <w:p w14:paraId="130965C3" w14:textId="77777777" w:rsidR="002F4063" w:rsidRPr="004B2498" w:rsidRDefault="002F4063" w:rsidP="002F4063">
      <w:pPr>
        <w:spacing w:before="120" w:after="120"/>
        <w:jc w:val="both"/>
      </w:pPr>
      <w:r w:rsidRPr="0004475E">
        <w:t xml:space="preserve">Guérin </w:t>
      </w:r>
      <w:r w:rsidRPr="004B2498">
        <w:t xml:space="preserve">Isabelle, 2000 : « Le prêt collectif peut-il être considéré comme une innovation financière ? », </w:t>
      </w:r>
      <w:r w:rsidRPr="00B451B7">
        <w:rPr>
          <w:i/>
        </w:rPr>
        <w:t>Savings and Development</w:t>
      </w:r>
      <w:r w:rsidRPr="004B2498">
        <w:t>, 24 (2) : 219-247.</w:t>
      </w:r>
    </w:p>
    <w:p w14:paraId="6A91990B" w14:textId="77777777" w:rsidR="002F4063" w:rsidRPr="004B2498" w:rsidRDefault="002F4063" w:rsidP="002F4063">
      <w:pPr>
        <w:spacing w:before="120" w:after="120"/>
        <w:jc w:val="both"/>
      </w:pPr>
      <w:r w:rsidRPr="0004475E">
        <w:t xml:space="preserve">GUÉRIN </w:t>
      </w:r>
      <w:r w:rsidRPr="004B2498">
        <w:t xml:space="preserve">Isabelle, </w:t>
      </w:r>
      <w:r w:rsidRPr="0004475E">
        <w:t xml:space="preserve">Morvant </w:t>
      </w:r>
      <w:r w:rsidRPr="004B2498">
        <w:t xml:space="preserve">Solène, </w:t>
      </w:r>
      <w:r w:rsidRPr="0004475E">
        <w:t xml:space="preserve">Servet </w:t>
      </w:r>
      <w:r w:rsidRPr="004B2498">
        <w:t>Jean-Michel, 2011a : “Understanding the diversity and complexity of demand for microf</w:t>
      </w:r>
      <w:r w:rsidRPr="004B2498">
        <w:t>i</w:t>
      </w:r>
      <w:r w:rsidRPr="004B2498">
        <w:t xml:space="preserve">nance services : lessons from informal finance”, in </w:t>
      </w:r>
      <w:r w:rsidRPr="0004475E">
        <w:t xml:space="preserve">ARMENDARIZ </w:t>
      </w:r>
      <w:r w:rsidRPr="004B2498">
        <w:t xml:space="preserve">B. &amp; </w:t>
      </w:r>
      <w:r w:rsidRPr="0004475E">
        <w:t xml:space="preserve">LABIE </w:t>
      </w:r>
      <w:r w:rsidRPr="004B2498">
        <w:t xml:space="preserve">M. (eds.) : </w:t>
      </w:r>
      <w:r w:rsidRPr="00B451B7">
        <w:rPr>
          <w:i/>
        </w:rPr>
        <w:t>Handbook of Microfinance</w:t>
      </w:r>
      <w:r w:rsidRPr="004B2498">
        <w:t>, Washin</w:t>
      </w:r>
      <w:r w:rsidRPr="004B2498">
        <w:t>g</w:t>
      </w:r>
      <w:r w:rsidRPr="004B2498">
        <w:t>ton : World Scientific Publishing, p. 101-122.</w:t>
      </w:r>
    </w:p>
    <w:p w14:paraId="6EA92577" w14:textId="77777777" w:rsidR="002F4063" w:rsidRPr="004B2498" w:rsidRDefault="002F4063" w:rsidP="002F4063">
      <w:pPr>
        <w:spacing w:before="120" w:after="120"/>
        <w:jc w:val="both"/>
      </w:pPr>
      <w:r w:rsidRPr="0004475E">
        <w:t xml:space="preserve">Guérin </w:t>
      </w:r>
      <w:r w:rsidRPr="004B2498">
        <w:t xml:space="preserve">Isabelle, </w:t>
      </w:r>
      <w:r w:rsidRPr="0004475E">
        <w:t xml:space="preserve">Roesch </w:t>
      </w:r>
      <w:r w:rsidRPr="004B2498">
        <w:t xml:space="preserve">Marc, </w:t>
      </w:r>
      <w:r w:rsidRPr="0004475E">
        <w:t xml:space="preserve">Venkatasubramanian G., D’Espallier </w:t>
      </w:r>
      <w:r w:rsidRPr="004B2498">
        <w:t>Bert, 2011b : “Credit from whom and for what ? D</w:t>
      </w:r>
      <w:r w:rsidRPr="004B2498">
        <w:t>i</w:t>
      </w:r>
      <w:r w:rsidRPr="004B2498">
        <w:t xml:space="preserve">versity of borrowing sources and uses in rural South-India”, </w:t>
      </w:r>
      <w:r w:rsidRPr="00B451B7">
        <w:rPr>
          <w:i/>
        </w:rPr>
        <w:t>Journal of Inte</w:t>
      </w:r>
      <w:r w:rsidRPr="00B451B7">
        <w:rPr>
          <w:i/>
        </w:rPr>
        <w:t>r</w:t>
      </w:r>
      <w:r w:rsidRPr="00B451B7">
        <w:rPr>
          <w:i/>
        </w:rPr>
        <w:t>national Development</w:t>
      </w:r>
      <w:r w:rsidRPr="004B2498">
        <w:t>, sous presse.</w:t>
      </w:r>
    </w:p>
    <w:p w14:paraId="6A0F4AB4" w14:textId="77777777" w:rsidR="002F4063" w:rsidRPr="004B2498" w:rsidRDefault="002F4063" w:rsidP="002F4063">
      <w:pPr>
        <w:spacing w:before="120" w:after="120"/>
        <w:jc w:val="both"/>
      </w:pPr>
      <w:r w:rsidRPr="0004475E">
        <w:t xml:space="preserve">Guérin </w:t>
      </w:r>
      <w:r w:rsidRPr="004B2498">
        <w:t xml:space="preserve">Isabelle, </w:t>
      </w:r>
      <w:r w:rsidRPr="0004475E">
        <w:t xml:space="preserve">Roesch </w:t>
      </w:r>
      <w:r w:rsidRPr="004B2498">
        <w:t xml:space="preserve">Marc, </w:t>
      </w:r>
      <w:r w:rsidRPr="0004475E">
        <w:t xml:space="preserve">Venkatasubramanian G., Kumar </w:t>
      </w:r>
      <w:r w:rsidRPr="004B2498">
        <w:t>Santosh, 2011c : “The social meaning of over-indebtedness and cr</w:t>
      </w:r>
      <w:r w:rsidRPr="004B2498">
        <w:t>e</w:t>
      </w:r>
      <w:r w:rsidRPr="004B2498">
        <w:t>ditworthiness in the context of poor rural South Indian hous</w:t>
      </w:r>
      <w:r w:rsidRPr="004B2498">
        <w:t>e</w:t>
      </w:r>
      <w:r w:rsidRPr="004B2498">
        <w:t xml:space="preserve">holds (Tamil Nadu)”, </w:t>
      </w:r>
      <w:r w:rsidRPr="00B451B7">
        <w:rPr>
          <w:i/>
        </w:rPr>
        <w:t>Working Paper RUME 2011-1</w:t>
      </w:r>
      <w:r w:rsidRPr="004B2498">
        <w:t>.</w:t>
      </w:r>
    </w:p>
    <w:p w14:paraId="67B1BA9F" w14:textId="77777777" w:rsidR="002F4063" w:rsidRPr="004B2498" w:rsidRDefault="002F4063" w:rsidP="002F4063">
      <w:pPr>
        <w:spacing w:before="120" w:after="120"/>
        <w:jc w:val="both"/>
      </w:pPr>
      <w:r w:rsidRPr="0004475E">
        <w:t xml:space="preserve">Guérin </w:t>
      </w:r>
      <w:r w:rsidRPr="004B2498">
        <w:t xml:space="preserve">I., </w:t>
      </w:r>
      <w:r w:rsidRPr="0004475E">
        <w:t xml:space="preserve">D’Espallier </w:t>
      </w:r>
      <w:r w:rsidRPr="004B2498">
        <w:t xml:space="preserve">B., </w:t>
      </w:r>
      <w:r w:rsidRPr="0004475E">
        <w:t xml:space="preserve">Roesch </w:t>
      </w:r>
      <w:r w:rsidRPr="004B2498">
        <w:t xml:space="preserve">M., </w:t>
      </w:r>
      <w:r w:rsidRPr="0004475E">
        <w:t xml:space="preserve">Venkatasubramanian G., </w:t>
      </w:r>
      <w:r w:rsidRPr="004B2498">
        <w:t xml:space="preserve">201 ld : “The social regulation of debt”. </w:t>
      </w:r>
      <w:r w:rsidRPr="00B451B7">
        <w:rPr>
          <w:i/>
        </w:rPr>
        <w:t>Working Paper RUME 2011-2</w:t>
      </w:r>
      <w:r w:rsidRPr="004B2498">
        <w:t>.</w:t>
      </w:r>
    </w:p>
    <w:p w14:paraId="285160CC" w14:textId="77777777" w:rsidR="002F4063" w:rsidRPr="004B2498" w:rsidRDefault="002F4063" w:rsidP="002F4063">
      <w:pPr>
        <w:spacing w:before="120" w:after="120"/>
        <w:jc w:val="both"/>
      </w:pPr>
      <w:r w:rsidRPr="0004475E">
        <w:t xml:space="preserve">GUÉRIN </w:t>
      </w:r>
      <w:r w:rsidRPr="004B2498">
        <w:t xml:space="preserve">Isabelle, </w:t>
      </w:r>
      <w:r w:rsidRPr="0004475E">
        <w:t xml:space="preserve">Kumar </w:t>
      </w:r>
      <w:r w:rsidRPr="004B2498">
        <w:t xml:space="preserve">Santosh, </w:t>
      </w:r>
      <w:r w:rsidRPr="0004475E">
        <w:t xml:space="preserve">ROESCH </w:t>
      </w:r>
      <w:r w:rsidRPr="004B2498">
        <w:t xml:space="preserve">Marc, </w:t>
      </w:r>
      <w:r w:rsidRPr="0004475E">
        <w:t xml:space="preserve">Sangaré </w:t>
      </w:r>
      <w:r w:rsidRPr="004B2498">
        <w:t>M</w:t>
      </w:r>
      <w:r w:rsidRPr="004B2498">
        <w:t>a</w:t>
      </w:r>
      <w:r w:rsidRPr="004B2498">
        <w:t xml:space="preserve">riam, </w:t>
      </w:r>
      <w:r w:rsidRPr="0004475E">
        <w:t xml:space="preserve">Venkatasubramanian G., </w:t>
      </w:r>
      <w:r w:rsidRPr="004B2498">
        <w:t>2010 : « Crise, microfinance et sure</w:t>
      </w:r>
      <w:r w:rsidRPr="004B2498">
        <w:t>n</w:t>
      </w:r>
      <w:r w:rsidRPr="004B2498">
        <w:t xml:space="preserve">dettement : une étude de cas en Inde du Sud », in </w:t>
      </w:r>
      <w:r w:rsidRPr="0004475E">
        <w:t xml:space="preserve">PHÉLINAS </w:t>
      </w:r>
      <w:r w:rsidRPr="004B2498">
        <w:t xml:space="preserve">Pascale et </w:t>
      </w:r>
      <w:r w:rsidRPr="0004475E">
        <w:t xml:space="preserve">SELIM </w:t>
      </w:r>
      <w:r w:rsidRPr="004B2498">
        <w:t xml:space="preserve">Monique (éd.) : </w:t>
      </w:r>
      <w:r w:rsidRPr="00B451B7">
        <w:rPr>
          <w:i/>
        </w:rPr>
        <w:t>La crise vue d’ailleurs</w:t>
      </w:r>
      <w:r w:rsidRPr="004B2498">
        <w:t>, P</w:t>
      </w:r>
      <w:r w:rsidRPr="004B2498">
        <w:t>a</w:t>
      </w:r>
      <w:r w:rsidRPr="004B2498">
        <w:t>ris, l’Harmattan, p. 241-269.</w:t>
      </w:r>
    </w:p>
    <w:p w14:paraId="54FB2F53" w14:textId="77777777" w:rsidR="002F4063" w:rsidRPr="004B2498" w:rsidRDefault="002F4063" w:rsidP="002F4063">
      <w:pPr>
        <w:spacing w:before="120" w:after="120"/>
        <w:jc w:val="both"/>
      </w:pPr>
      <w:r w:rsidRPr="0004475E">
        <w:t xml:space="preserve">Guérin </w:t>
      </w:r>
      <w:r w:rsidRPr="004B2498">
        <w:t xml:space="preserve">I., </w:t>
      </w:r>
      <w:r w:rsidRPr="0004475E">
        <w:t xml:space="preserve">Kumar </w:t>
      </w:r>
      <w:r w:rsidRPr="004B2498">
        <w:t xml:space="preserve">S., </w:t>
      </w:r>
      <w:r w:rsidRPr="0004475E">
        <w:t xml:space="preserve">Agier </w:t>
      </w:r>
      <w:r w:rsidRPr="004B2498">
        <w:t>I., 2010 : “Microfinance and Women’s Empowerment : Do Relationships Between Women Ma</w:t>
      </w:r>
      <w:r w:rsidRPr="004B2498">
        <w:t>t</w:t>
      </w:r>
      <w:r w:rsidRPr="004B2498">
        <w:t xml:space="preserve">ter ? Lessons from rural Southern India”, </w:t>
      </w:r>
      <w:r w:rsidRPr="00B451B7">
        <w:rPr>
          <w:i/>
        </w:rPr>
        <w:t>CEE Working Paper N° 10/053</w:t>
      </w:r>
      <w:r w:rsidRPr="004B2498">
        <w:t>.</w:t>
      </w:r>
    </w:p>
    <w:p w14:paraId="43536C5A" w14:textId="77777777" w:rsidR="002F4063" w:rsidRPr="004B2498" w:rsidRDefault="002F4063" w:rsidP="002F4063">
      <w:pPr>
        <w:spacing w:before="120" w:after="120"/>
        <w:jc w:val="both"/>
      </w:pPr>
      <w:r w:rsidRPr="0004475E">
        <w:t xml:space="preserve">Guérin I., Roesch M., Venkatasubramanian G., Kumar S., 2010c : </w:t>
      </w:r>
      <w:r w:rsidRPr="004B2498">
        <w:t>“The political economy of micro entrepreneurship : why m</w:t>
      </w:r>
      <w:r w:rsidRPr="004B2498">
        <w:t>i</w:t>
      </w:r>
      <w:r w:rsidRPr="004B2498">
        <w:t xml:space="preserve">crofinance fails in promoting self-employment in rural south-India ?” </w:t>
      </w:r>
      <w:r w:rsidRPr="002C34B1">
        <w:rPr>
          <w:i/>
        </w:rPr>
        <w:t>12th [133] Conference of the Association for Heterodox Economics</w:t>
      </w:r>
      <w:r w:rsidRPr="004B2498">
        <w:t>, 7-10 J</w:t>
      </w:r>
      <w:r w:rsidRPr="004B2498">
        <w:t>u</w:t>
      </w:r>
      <w:r w:rsidRPr="004B2498">
        <w:t>ly, 2010, Université de Bordeaux, France.</w:t>
      </w:r>
    </w:p>
    <w:p w14:paraId="7270936E" w14:textId="77777777" w:rsidR="002F4063" w:rsidRPr="004B2498" w:rsidRDefault="002F4063" w:rsidP="002F4063">
      <w:pPr>
        <w:spacing w:before="120" w:after="120"/>
        <w:jc w:val="both"/>
      </w:pPr>
      <w:r w:rsidRPr="0004475E">
        <w:t xml:space="preserve">Guérin </w:t>
      </w:r>
      <w:r w:rsidRPr="004B2498">
        <w:t xml:space="preserve">Isabelle, </w:t>
      </w:r>
      <w:r w:rsidRPr="0004475E">
        <w:t xml:space="preserve">Roesch </w:t>
      </w:r>
      <w:r w:rsidRPr="004B2498">
        <w:t xml:space="preserve">Marc, </w:t>
      </w:r>
      <w:r w:rsidRPr="0004475E">
        <w:t xml:space="preserve">Venkatasubramanian, Héliès </w:t>
      </w:r>
      <w:r w:rsidRPr="004B2498">
        <w:t>Oph</w:t>
      </w:r>
      <w:r w:rsidRPr="004B2498">
        <w:t>é</w:t>
      </w:r>
      <w:r w:rsidRPr="004B2498">
        <w:t xml:space="preserve">lie, 2009 : « Microfinance, endettement et surendettement », </w:t>
      </w:r>
      <w:r w:rsidRPr="002C34B1">
        <w:rPr>
          <w:i/>
        </w:rPr>
        <w:t>R</w:t>
      </w:r>
      <w:r w:rsidRPr="002C34B1">
        <w:rPr>
          <w:i/>
        </w:rPr>
        <w:t>e</w:t>
      </w:r>
      <w:r w:rsidRPr="002C34B1">
        <w:rPr>
          <w:i/>
        </w:rPr>
        <w:t>vue Tiers Monde</w:t>
      </w:r>
      <w:r w:rsidRPr="004B2498">
        <w:t>, n° 197, janvier-mars, p. 131-146.</w:t>
      </w:r>
    </w:p>
    <w:p w14:paraId="63D4E1E3" w14:textId="77777777" w:rsidR="002F4063" w:rsidRPr="004B2498" w:rsidRDefault="002F4063" w:rsidP="002F4063">
      <w:pPr>
        <w:spacing w:before="120" w:after="120"/>
        <w:jc w:val="both"/>
      </w:pPr>
      <w:r w:rsidRPr="0004475E">
        <w:t xml:space="preserve">GUÉRIN </w:t>
      </w:r>
      <w:r w:rsidRPr="004B2498">
        <w:t xml:space="preserve">Isabelle, </w:t>
      </w:r>
      <w:r w:rsidRPr="0004475E">
        <w:t xml:space="preserve">KUMAR </w:t>
      </w:r>
      <w:r w:rsidRPr="004B2498">
        <w:t>Santosh M., 2007 : « Clientélisme, court</w:t>
      </w:r>
      <w:r w:rsidRPr="004B2498">
        <w:t>a</w:t>
      </w:r>
      <w:r w:rsidRPr="004B2498">
        <w:t xml:space="preserve">ge et gestion des risques en microfinance. Étude de cas en Inde du Sud », </w:t>
      </w:r>
      <w:r w:rsidRPr="002C34B1">
        <w:rPr>
          <w:i/>
        </w:rPr>
        <w:t>Revue Autrepart</w:t>
      </w:r>
      <w:r w:rsidRPr="004B2498">
        <w:t>, n° 44, p. 13-26.</w:t>
      </w:r>
    </w:p>
    <w:p w14:paraId="78EAB646" w14:textId="77777777" w:rsidR="002F4063" w:rsidRPr="004B2498" w:rsidRDefault="002F4063" w:rsidP="002F4063">
      <w:pPr>
        <w:spacing w:before="120" w:after="120"/>
        <w:jc w:val="both"/>
      </w:pPr>
      <w:r w:rsidRPr="0004475E">
        <w:t xml:space="preserve">GUYER </w:t>
      </w:r>
      <w:r w:rsidRPr="004B2498">
        <w:t xml:space="preserve">Jane (ed.), 1995 : </w:t>
      </w:r>
      <w:r w:rsidRPr="002C34B1">
        <w:rPr>
          <w:i/>
        </w:rPr>
        <w:t>Money Matters. Instability, values and s</w:t>
      </w:r>
      <w:r w:rsidRPr="002C34B1">
        <w:rPr>
          <w:i/>
        </w:rPr>
        <w:t>o</w:t>
      </w:r>
      <w:r w:rsidRPr="002C34B1">
        <w:rPr>
          <w:i/>
        </w:rPr>
        <w:t>cial payments in the modern history of west African communities</w:t>
      </w:r>
      <w:r w:rsidRPr="004B2498">
        <w:t>, London/Portsmouth (NH) : Currey/Heinemann.</w:t>
      </w:r>
    </w:p>
    <w:p w14:paraId="5F5FA273" w14:textId="77777777" w:rsidR="002F4063" w:rsidRPr="004B2498" w:rsidRDefault="002F4063" w:rsidP="002F4063">
      <w:pPr>
        <w:spacing w:before="120" w:after="120"/>
        <w:jc w:val="both"/>
      </w:pPr>
      <w:r w:rsidRPr="0004475E">
        <w:t xml:space="preserve">HARRISS </w:t>
      </w:r>
      <w:r w:rsidRPr="004B2498">
        <w:t xml:space="preserve">John, </w:t>
      </w:r>
      <w:r w:rsidRPr="0004475E">
        <w:t xml:space="preserve">2006 : </w:t>
      </w:r>
      <w:r w:rsidRPr="002C34B1">
        <w:rPr>
          <w:i/>
        </w:rPr>
        <w:t>Power matters. Essays on institutions, p</w:t>
      </w:r>
      <w:r w:rsidRPr="002C34B1">
        <w:rPr>
          <w:i/>
        </w:rPr>
        <w:t>o</w:t>
      </w:r>
      <w:r w:rsidRPr="002C34B1">
        <w:rPr>
          <w:i/>
        </w:rPr>
        <w:t>litics and society in India</w:t>
      </w:r>
      <w:r w:rsidRPr="004B2498">
        <w:t>, New-Delhi : Oxford University Press.</w:t>
      </w:r>
    </w:p>
    <w:p w14:paraId="72E7FBE7" w14:textId="77777777" w:rsidR="002F4063" w:rsidRPr="004B2498" w:rsidRDefault="002F4063" w:rsidP="002F4063">
      <w:pPr>
        <w:spacing w:before="120" w:after="120"/>
        <w:jc w:val="both"/>
      </w:pPr>
      <w:r w:rsidRPr="0004475E">
        <w:t xml:space="preserve">HARRISS </w:t>
      </w:r>
      <w:r w:rsidRPr="004B2498">
        <w:t>John, 2001 : “Populism, Tamil style : is it really a su</w:t>
      </w:r>
      <w:r w:rsidRPr="004B2498">
        <w:t>c</w:t>
      </w:r>
      <w:r w:rsidRPr="004B2498">
        <w:t xml:space="preserve">cess ?”, </w:t>
      </w:r>
      <w:r w:rsidRPr="002C34B1">
        <w:rPr>
          <w:i/>
        </w:rPr>
        <w:t>Working Paper n° 1-15</w:t>
      </w:r>
      <w:r w:rsidRPr="004B2498">
        <w:t>. Development Studies Institute. Lo</w:t>
      </w:r>
      <w:r w:rsidRPr="004B2498">
        <w:t>n</w:t>
      </w:r>
      <w:r w:rsidRPr="004B2498">
        <w:t>don School of Economic and Political Science.</w:t>
      </w:r>
    </w:p>
    <w:p w14:paraId="48B7BCDC" w14:textId="77777777" w:rsidR="002F4063" w:rsidRPr="004B2498" w:rsidRDefault="002F4063" w:rsidP="002F4063">
      <w:pPr>
        <w:spacing w:before="120" w:after="120"/>
        <w:jc w:val="both"/>
      </w:pPr>
      <w:r w:rsidRPr="0004475E">
        <w:t xml:space="preserve">HARRISS-WHITE </w:t>
      </w:r>
      <w:r w:rsidRPr="004B2498">
        <w:t>Barbara, 2010a : “Globalisation the financial crisis and petty commodity production in India’s socially regulated info</w:t>
      </w:r>
      <w:r w:rsidRPr="004B2498">
        <w:t>r</w:t>
      </w:r>
      <w:r w:rsidRPr="004B2498">
        <w:t xml:space="preserve">mai”, in </w:t>
      </w:r>
      <w:r w:rsidRPr="0004475E">
        <w:t xml:space="preserve">BOWLES </w:t>
      </w:r>
      <w:r w:rsidRPr="004B2498">
        <w:t xml:space="preserve">P. &amp; </w:t>
      </w:r>
      <w:r w:rsidRPr="0004475E">
        <w:t xml:space="preserve">HARRISS </w:t>
      </w:r>
      <w:r w:rsidRPr="004B2498">
        <w:t xml:space="preserve">J., 2010 : </w:t>
      </w:r>
      <w:r w:rsidRPr="002C34B1">
        <w:rPr>
          <w:i/>
        </w:rPr>
        <w:t>Globalization in India and China. Impacts and responses</w:t>
      </w:r>
      <w:r w:rsidRPr="004B2498">
        <w:t>, London : Palgrave MacMi</w:t>
      </w:r>
      <w:r w:rsidRPr="004B2498">
        <w:t>l</w:t>
      </w:r>
      <w:r w:rsidRPr="004B2498">
        <w:t>lan, p. 131-150.</w:t>
      </w:r>
    </w:p>
    <w:p w14:paraId="4BD52C26" w14:textId="77777777" w:rsidR="002F4063" w:rsidRPr="004B2498" w:rsidRDefault="002F4063" w:rsidP="002F4063">
      <w:pPr>
        <w:spacing w:before="120" w:after="120"/>
        <w:jc w:val="both"/>
      </w:pPr>
      <w:r w:rsidRPr="0004475E">
        <w:t xml:space="preserve">HARRISS-WHITE </w:t>
      </w:r>
      <w:r w:rsidRPr="004B2498">
        <w:t>Barbara, 2010b : “Stigma and regions of a</w:t>
      </w:r>
      <w:r w:rsidRPr="004B2498">
        <w:t>c</w:t>
      </w:r>
      <w:r w:rsidRPr="004B2498">
        <w:t xml:space="preserve">cumulation : mapping Dalit and Adivasi capital in the 1990s”, in </w:t>
      </w:r>
      <w:r w:rsidRPr="0004475E">
        <w:t xml:space="preserve">HARRISS-WHITE &amp; HEYER, </w:t>
      </w:r>
      <w:r w:rsidRPr="004B2498">
        <w:t>p. 291-316.</w:t>
      </w:r>
    </w:p>
    <w:p w14:paraId="4C0B7AAE" w14:textId="77777777" w:rsidR="002F4063" w:rsidRPr="004B2498" w:rsidRDefault="002F4063" w:rsidP="002F4063">
      <w:pPr>
        <w:spacing w:before="120" w:after="120"/>
        <w:jc w:val="both"/>
      </w:pPr>
      <w:r w:rsidRPr="0004475E">
        <w:t xml:space="preserve">Harriss-White </w:t>
      </w:r>
      <w:r w:rsidRPr="004B2498">
        <w:t xml:space="preserve">Barbara, 2003 : </w:t>
      </w:r>
      <w:r w:rsidRPr="002C34B1">
        <w:rPr>
          <w:i/>
        </w:rPr>
        <w:t>India Working. Essays on Soci</w:t>
      </w:r>
      <w:r w:rsidRPr="002C34B1">
        <w:rPr>
          <w:i/>
        </w:rPr>
        <w:t>e</w:t>
      </w:r>
      <w:r w:rsidRPr="002C34B1">
        <w:rPr>
          <w:i/>
        </w:rPr>
        <w:t>ty and Economy</w:t>
      </w:r>
      <w:r w:rsidRPr="004B2498">
        <w:t>, Cambridge : Cambridge University Press.</w:t>
      </w:r>
    </w:p>
    <w:p w14:paraId="6F6E4CFC" w14:textId="77777777" w:rsidR="002F4063" w:rsidRPr="004B2498" w:rsidRDefault="002F4063" w:rsidP="002F4063">
      <w:pPr>
        <w:spacing w:before="120" w:after="120"/>
        <w:jc w:val="both"/>
      </w:pPr>
      <w:r w:rsidRPr="0004475E">
        <w:t xml:space="preserve">HARRISS-WHITE </w:t>
      </w:r>
      <w:r w:rsidRPr="004B2498">
        <w:t xml:space="preserve">Barbara, </w:t>
      </w:r>
      <w:r w:rsidRPr="0004475E">
        <w:t xml:space="preserve">HEYER </w:t>
      </w:r>
      <w:r w:rsidRPr="004B2498">
        <w:t xml:space="preserve">Judith (eds.) : 2010 : </w:t>
      </w:r>
      <w:r w:rsidRPr="002C34B1">
        <w:rPr>
          <w:i/>
        </w:rPr>
        <w:t>The P</w:t>
      </w:r>
      <w:r w:rsidRPr="002C34B1">
        <w:rPr>
          <w:i/>
        </w:rPr>
        <w:t>o</w:t>
      </w:r>
      <w:r w:rsidRPr="002C34B1">
        <w:rPr>
          <w:i/>
        </w:rPr>
        <w:t>litical Economy of Development : Africa and South Asia Compared</w:t>
      </w:r>
      <w:r w:rsidRPr="004B2498">
        <w:t>, Lo</w:t>
      </w:r>
      <w:r w:rsidRPr="004B2498">
        <w:t>n</w:t>
      </w:r>
      <w:r w:rsidRPr="004B2498">
        <w:t>don : Routledge.</w:t>
      </w:r>
    </w:p>
    <w:p w14:paraId="758C4F56" w14:textId="77777777" w:rsidR="002F4063" w:rsidRPr="004B2498" w:rsidRDefault="002F4063" w:rsidP="002F4063">
      <w:pPr>
        <w:spacing w:before="120" w:after="120"/>
        <w:jc w:val="both"/>
      </w:pPr>
      <w:r w:rsidRPr="0004475E">
        <w:t xml:space="preserve">Harriss-White </w:t>
      </w:r>
      <w:r w:rsidRPr="004B2498">
        <w:t xml:space="preserve">B. &amp; </w:t>
      </w:r>
      <w:r w:rsidRPr="0004475E">
        <w:t xml:space="preserve">Janakarajan </w:t>
      </w:r>
      <w:r w:rsidRPr="004B2498">
        <w:t xml:space="preserve">S. (eds.) : 2004 : </w:t>
      </w:r>
      <w:r w:rsidRPr="002C34B1">
        <w:rPr>
          <w:i/>
        </w:rPr>
        <w:t>Rural India f</w:t>
      </w:r>
      <w:r w:rsidRPr="002C34B1">
        <w:rPr>
          <w:i/>
        </w:rPr>
        <w:t>a</w:t>
      </w:r>
      <w:r w:rsidRPr="002C34B1">
        <w:rPr>
          <w:i/>
        </w:rPr>
        <w:t>cing the 21st century, Essays on Long Term Change and Recent Dev</w:t>
      </w:r>
      <w:r w:rsidRPr="002C34B1">
        <w:rPr>
          <w:i/>
        </w:rPr>
        <w:t>e</w:t>
      </w:r>
      <w:r w:rsidRPr="002C34B1">
        <w:rPr>
          <w:i/>
        </w:rPr>
        <w:t>lopment Policy</w:t>
      </w:r>
      <w:r w:rsidRPr="004B2498">
        <w:t>, London : Anthem Press.</w:t>
      </w:r>
    </w:p>
    <w:p w14:paraId="22CC96BF" w14:textId="77777777" w:rsidR="002F4063" w:rsidRPr="004B2498" w:rsidRDefault="002F4063" w:rsidP="002F4063">
      <w:pPr>
        <w:spacing w:before="120" w:after="120"/>
        <w:jc w:val="both"/>
      </w:pPr>
      <w:r w:rsidRPr="0004475E">
        <w:t xml:space="preserve">HEYER </w:t>
      </w:r>
      <w:r w:rsidRPr="004B2498">
        <w:t xml:space="preserve">Judith </w:t>
      </w:r>
      <w:r w:rsidRPr="0004475E">
        <w:t xml:space="preserve">[à </w:t>
      </w:r>
      <w:r w:rsidRPr="004B2498">
        <w:t>paraître] : “Social Policy and Labour Sta</w:t>
      </w:r>
      <w:r w:rsidRPr="004B2498">
        <w:t>n</w:t>
      </w:r>
      <w:r w:rsidRPr="004B2498">
        <w:t xml:space="preserve">dards : A South Indian Case Study”, </w:t>
      </w:r>
      <w:r w:rsidRPr="002C34B1">
        <w:rPr>
          <w:i/>
        </w:rPr>
        <w:t>Global Labour Journal</w:t>
      </w:r>
      <w:r w:rsidRPr="004B2498">
        <w:t>.</w:t>
      </w:r>
    </w:p>
    <w:p w14:paraId="1DBFE4A5" w14:textId="77777777" w:rsidR="002F4063" w:rsidRPr="004B2498" w:rsidRDefault="002F4063" w:rsidP="002F4063">
      <w:pPr>
        <w:spacing w:before="120" w:after="120"/>
        <w:jc w:val="both"/>
      </w:pPr>
      <w:r w:rsidRPr="0004475E">
        <w:t xml:space="preserve">HEYER </w:t>
      </w:r>
      <w:r w:rsidRPr="004B2498">
        <w:t>Judith, 1992 : “The Role of Dowries and Daug</w:t>
      </w:r>
      <w:r w:rsidRPr="004B2498">
        <w:t>h</w:t>
      </w:r>
      <w:r w:rsidRPr="004B2498">
        <w:t xml:space="preserve">ters’Marriages in the Accumulation and Distribution of Capital in a South Indian Community”, </w:t>
      </w:r>
      <w:r w:rsidRPr="002C34B1">
        <w:rPr>
          <w:i/>
        </w:rPr>
        <w:t>Journal of International Development St</w:t>
      </w:r>
      <w:r w:rsidRPr="002C34B1">
        <w:rPr>
          <w:i/>
        </w:rPr>
        <w:t>u</w:t>
      </w:r>
      <w:r w:rsidRPr="002C34B1">
        <w:rPr>
          <w:i/>
        </w:rPr>
        <w:t>dies</w:t>
      </w:r>
      <w:r w:rsidRPr="004B2498">
        <w:t>, 4 (4) : 419-436.</w:t>
      </w:r>
    </w:p>
    <w:p w14:paraId="65B35DD0" w14:textId="77777777" w:rsidR="002F4063" w:rsidRPr="004B2498" w:rsidRDefault="002F4063" w:rsidP="002F4063">
      <w:pPr>
        <w:spacing w:before="120" w:after="120"/>
        <w:jc w:val="both"/>
      </w:pPr>
      <w:r w:rsidRPr="0004475E">
        <w:t xml:space="preserve">HOURS </w:t>
      </w:r>
      <w:r w:rsidRPr="004B2498">
        <w:t xml:space="preserve">Bernard &amp; </w:t>
      </w:r>
      <w:r w:rsidRPr="0004475E">
        <w:t xml:space="preserve">SELIM </w:t>
      </w:r>
      <w:r w:rsidRPr="004B2498">
        <w:t xml:space="preserve">Monique, 2010 : </w:t>
      </w:r>
      <w:r w:rsidRPr="002C34B1">
        <w:rPr>
          <w:i/>
        </w:rPr>
        <w:t>Anthropologie polit</w:t>
      </w:r>
      <w:r w:rsidRPr="002C34B1">
        <w:rPr>
          <w:i/>
        </w:rPr>
        <w:t>i</w:t>
      </w:r>
      <w:r w:rsidRPr="002C34B1">
        <w:rPr>
          <w:i/>
        </w:rPr>
        <w:t>que de la globalisation</w:t>
      </w:r>
      <w:r w:rsidRPr="004B2498">
        <w:t>, Paris, l’Harmattan.</w:t>
      </w:r>
    </w:p>
    <w:p w14:paraId="2D22E688" w14:textId="77777777" w:rsidR="002F4063" w:rsidRPr="004B2498" w:rsidRDefault="002F4063" w:rsidP="002F4063">
      <w:pPr>
        <w:spacing w:before="120" w:after="120"/>
        <w:jc w:val="both"/>
      </w:pPr>
      <w:r w:rsidRPr="004B2498">
        <w:t>[134]</w:t>
      </w:r>
    </w:p>
    <w:p w14:paraId="2EF2AD73" w14:textId="77777777" w:rsidR="002F4063" w:rsidRPr="004B2498" w:rsidRDefault="002F4063" w:rsidP="002F4063">
      <w:pPr>
        <w:spacing w:before="120" w:after="120"/>
        <w:jc w:val="both"/>
      </w:pPr>
      <w:r w:rsidRPr="0004475E">
        <w:t xml:space="preserve">Kapadia </w:t>
      </w:r>
      <w:r w:rsidRPr="004B2498">
        <w:t>Karin, 2010 : “Liberalisation and transformations in I</w:t>
      </w:r>
      <w:r w:rsidRPr="004B2498">
        <w:t>n</w:t>
      </w:r>
      <w:r w:rsidRPr="004B2498">
        <w:t>dia’s informai economy, female breadwinners in working classes ho</w:t>
      </w:r>
      <w:r w:rsidRPr="004B2498">
        <w:t>u</w:t>
      </w:r>
      <w:r w:rsidRPr="004B2498">
        <w:t xml:space="preserve">seholds”, in </w:t>
      </w:r>
      <w:r w:rsidRPr="0004475E">
        <w:t xml:space="preserve">Harriss-White B., Heyer J., p. </w:t>
      </w:r>
      <w:r w:rsidRPr="004B2498">
        <w:t>267-260.</w:t>
      </w:r>
    </w:p>
    <w:p w14:paraId="2EF4D78A" w14:textId="77777777" w:rsidR="002F4063" w:rsidRPr="004B2498" w:rsidRDefault="002F4063" w:rsidP="002F4063">
      <w:pPr>
        <w:spacing w:before="120" w:after="120"/>
        <w:jc w:val="both"/>
      </w:pPr>
      <w:r w:rsidRPr="004B2498">
        <w:t>KAPADIA Karin, 2002 : “Translocal modernities and transform</w:t>
      </w:r>
      <w:r w:rsidRPr="004B2498">
        <w:t>a</w:t>
      </w:r>
      <w:r w:rsidRPr="004B2498">
        <w:t xml:space="preserve">tions of gender and caste” in </w:t>
      </w:r>
      <w:r w:rsidRPr="0004475E">
        <w:t xml:space="preserve">Kapadia </w:t>
      </w:r>
      <w:r w:rsidRPr="004B2498">
        <w:t xml:space="preserve">(ed.) : </w:t>
      </w:r>
      <w:r w:rsidRPr="00317320">
        <w:rPr>
          <w:i/>
        </w:rPr>
        <w:t>The violence of develo</w:t>
      </w:r>
      <w:r w:rsidRPr="00317320">
        <w:rPr>
          <w:i/>
        </w:rPr>
        <w:t>p</w:t>
      </w:r>
      <w:r w:rsidRPr="00317320">
        <w:rPr>
          <w:i/>
        </w:rPr>
        <w:t>ment. The politics of identity, gender and social inequalities in I</w:t>
      </w:r>
      <w:r w:rsidRPr="00317320">
        <w:rPr>
          <w:i/>
        </w:rPr>
        <w:t>n</w:t>
      </w:r>
      <w:r w:rsidRPr="00317320">
        <w:rPr>
          <w:i/>
        </w:rPr>
        <w:t>dia</w:t>
      </w:r>
      <w:r w:rsidRPr="004B2498">
        <w:t>, New-Delhi : Kali for Women, p. 142-182.</w:t>
      </w:r>
    </w:p>
    <w:p w14:paraId="01FD9CE8" w14:textId="77777777" w:rsidR="002F4063" w:rsidRPr="004B2498" w:rsidRDefault="002F4063" w:rsidP="002F4063">
      <w:pPr>
        <w:spacing w:before="120" w:after="120"/>
        <w:jc w:val="both"/>
      </w:pPr>
      <w:r w:rsidRPr="004B2498">
        <w:t xml:space="preserve">KAPADIA Karin, 1996 : </w:t>
      </w:r>
      <w:r w:rsidRPr="00317320">
        <w:rPr>
          <w:i/>
        </w:rPr>
        <w:t>Siva and Her Sisters. Gender, Caste and Class in Rural South India</w:t>
      </w:r>
      <w:r w:rsidRPr="004B2498">
        <w:t>. Oxford University Press : Delhi.</w:t>
      </w:r>
    </w:p>
    <w:p w14:paraId="7979269A" w14:textId="77777777" w:rsidR="002F4063" w:rsidRPr="004B2498" w:rsidRDefault="002F4063" w:rsidP="002F4063">
      <w:pPr>
        <w:spacing w:before="120" w:after="120"/>
        <w:jc w:val="both"/>
      </w:pPr>
      <w:r w:rsidRPr="0004475E">
        <w:t xml:space="preserve">Karim </w:t>
      </w:r>
      <w:r w:rsidRPr="004B2498">
        <w:t xml:space="preserve">L., 2011 : </w:t>
      </w:r>
      <w:r w:rsidRPr="00317320">
        <w:rPr>
          <w:i/>
        </w:rPr>
        <w:t>Microfinance and Its Discontents. Women in Deht in Bangladesh</w:t>
      </w:r>
      <w:r w:rsidRPr="004B2498">
        <w:t>, Minneapolis : University of Minnesota Press.</w:t>
      </w:r>
    </w:p>
    <w:p w14:paraId="37CAD63D" w14:textId="77777777" w:rsidR="002F4063" w:rsidRPr="004B2498" w:rsidRDefault="002F4063" w:rsidP="002F4063">
      <w:pPr>
        <w:spacing w:before="120" w:after="120"/>
        <w:jc w:val="both"/>
      </w:pPr>
      <w:r w:rsidRPr="004B2498">
        <w:t xml:space="preserve">KARNANI A., 2009 : “Romanticising the Poor Harms the Poor”, </w:t>
      </w:r>
      <w:r w:rsidRPr="00317320">
        <w:rPr>
          <w:i/>
        </w:rPr>
        <w:t>Journal of International Development</w:t>
      </w:r>
      <w:r w:rsidRPr="004B2498">
        <w:t>, 21 (1) : 76-86.</w:t>
      </w:r>
    </w:p>
    <w:p w14:paraId="7B89A91D" w14:textId="77777777" w:rsidR="002F4063" w:rsidRPr="004B2498" w:rsidRDefault="002F4063" w:rsidP="002F4063">
      <w:pPr>
        <w:spacing w:before="120" w:after="120"/>
        <w:jc w:val="both"/>
      </w:pPr>
      <w:r w:rsidRPr="004B2498">
        <w:t>KENNEDY Lorraine, 2004 : “The political déterminants of refo</w:t>
      </w:r>
      <w:r w:rsidRPr="004B2498">
        <w:t>r</w:t>
      </w:r>
      <w:r w:rsidRPr="004B2498">
        <w:t xml:space="preserve">ming packaging : contrasting responses to economic libéralisation in Andhra Pradesh and Tamil Nadu”, in JENKINS, R. (ed.) : </w:t>
      </w:r>
      <w:r w:rsidRPr="00317320">
        <w:rPr>
          <w:i/>
        </w:rPr>
        <w:t>Regional Refections : Comparing Politics across India ’s States</w:t>
      </w:r>
      <w:r w:rsidRPr="004B2498">
        <w:t>, New Delhi : Oxford University Press.</w:t>
      </w:r>
    </w:p>
    <w:p w14:paraId="6B29BE42" w14:textId="77777777" w:rsidR="002F4063" w:rsidRPr="004B2498" w:rsidRDefault="002F4063" w:rsidP="002F4063">
      <w:pPr>
        <w:spacing w:before="120" w:after="120"/>
        <w:jc w:val="both"/>
      </w:pPr>
      <w:r w:rsidRPr="0004475E">
        <w:t xml:space="preserve">LABROUSSE </w:t>
      </w:r>
      <w:r w:rsidRPr="004B2498">
        <w:t>Agnès, 2010 : « Nouvelle économie du développ</w:t>
      </w:r>
      <w:r w:rsidRPr="004B2498">
        <w:t>e</w:t>
      </w:r>
      <w:r w:rsidRPr="004B2498">
        <w:t xml:space="preserve">ment et essais cliniques randomisés : une mise en perspective d’un outil de preuve et de gouvernement », </w:t>
      </w:r>
      <w:r w:rsidRPr="00317320">
        <w:rPr>
          <w:i/>
        </w:rPr>
        <w:t>Revue de la régulation</w:t>
      </w:r>
      <w:r w:rsidRPr="004B2498">
        <w:t>, n° 7.</w:t>
      </w:r>
    </w:p>
    <w:p w14:paraId="3B74EC94" w14:textId="77777777" w:rsidR="002F4063" w:rsidRPr="004B2498" w:rsidRDefault="002F4063" w:rsidP="002F4063">
      <w:pPr>
        <w:spacing w:before="120" w:after="120"/>
        <w:jc w:val="both"/>
      </w:pPr>
      <w:r w:rsidRPr="0004475E">
        <w:t xml:space="preserve">LautiER </w:t>
      </w:r>
      <w:r w:rsidRPr="004B2498">
        <w:t>Bruno, 2002 : « Pourquoi faut-il aider les pauvres ? Une étude critique du discours de la Banque mondiale sur la pauvr</w:t>
      </w:r>
      <w:r w:rsidRPr="004B2498">
        <w:t>e</w:t>
      </w:r>
      <w:r w:rsidRPr="004B2498">
        <w:t xml:space="preserve">té », </w:t>
      </w:r>
      <w:r w:rsidRPr="00317320">
        <w:rPr>
          <w:i/>
        </w:rPr>
        <w:t>Revue Tiers Monde</w:t>
      </w:r>
      <w:r w:rsidRPr="004B2498">
        <w:t>, vol. 43, n° 169, p. 137-165.</w:t>
      </w:r>
    </w:p>
    <w:p w14:paraId="0FA4B453" w14:textId="77777777" w:rsidR="002F4063" w:rsidRPr="004B2498" w:rsidRDefault="002F4063" w:rsidP="002F4063">
      <w:pPr>
        <w:spacing w:before="120" w:after="120"/>
        <w:jc w:val="both"/>
      </w:pPr>
      <w:r w:rsidRPr="0004475E">
        <w:t xml:space="preserve">LERCHE </w:t>
      </w:r>
      <w:r w:rsidRPr="004B2498">
        <w:t xml:space="preserve">Jens </w:t>
      </w:r>
      <w:r w:rsidRPr="0004475E">
        <w:t xml:space="preserve">[à </w:t>
      </w:r>
      <w:r w:rsidRPr="004B2498">
        <w:t>paraître] : “Decent work, vulnérable e</w:t>
      </w:r>
      <w:r w:rsidRPr="004B2498">
        <w:t>m</w:t>
      </w:r>
      <w:r w:rsidRPr="004B2498">
        <w:t xml:space="preserve">ployment and the working poor in India : </w:t>
      </w:r>
      <w:r w:rsidRPr="0004475E">
        <w:t xml:space="preserve">ILO, </w:t>
      </w:r>
      <w:r w:rsidRPr="004B2498">
        <w:t xml:space="preserve">concepts, policies and struggles”. </w:t>
      </w:r>
      <w:r w:rsidRPr="00317320">
        <w:rPr>
          <w:i/>
        </w:rPr>
        <w:t>Global Labour Journa</w:t>
      </w:r>
      <w:r w:rsidRPr="004B2498">
        <w:t>l.</w:t>
      </w:r>
    </w:p>
    <w:p w14:paraId="3CA67D5D" w14:textId="77777777" w:rsidR="002F4063" w:rsidRPr="004B2498" w:rsidRDefault="002F4063" w:rsidP="002F4063">
      <w:pPr>
        <w:spacing w:before="120" w:after="120"/>
        <w:jc w:val="both"/>
      </w:pPr>
      <w:r w:rsidRPr="0004475E">
        <w:t xml:space="preserve">LERCHE </w:t>
      </w:r>
      <w:r w:rsidRPr="004B2498">
        <w:t>Jens, 2010 : “From ‘rural labour’ to ‘classes of labour’ : class fragmentation, caste and caste struggle at the bottom of the I</w:t>
      </w:r>
      <w:r w:rsidRPr="004B2498">
        <w:t>n</w:t>
      </w:r>
      <w:r w:rsidRPr="004B2498">
        <w:t xml:space="preserve">dian labour hierarchy”, in </w:t>
      </w:r>
      <w:r w:rsidRPr="0004475E">
        <w:t xml:space="preserve">Harriss-White </w:t>
      </w:r>
      <w:r w:rsidRPr="004B2498">
        <w:t xml:space="preserve">B., </w:t>
      </w:r>
      <w:r w:rsidRPr="0004475E">
        <w:t xml:space="preserve">Heyer </w:t>
      </w:r>
      <w:r w:rsidRPr="004B2498">
        <w:t xml:space="preserve">J. (eds.) : </w:t>
      </w:r>
      <w:r w:rsidRPr="00317320">
        <w:rPr>
          <w:i/>
        </w:rPr>
        <w:t>The Pol</w:t>
      </w:r>
      <w:r w:rsidRPr="00317320">
        <w:rPr>
          <w:i/>
        </w:rPr>
        <w:t>i</w:t>
      </w:r>
      <w:r w:rsidRPr="00317320">
        <w:rPr>
          <w:i/>
        </w:rPr>
        <w:t>tical Economy of Development : Africa and South Asia Comp</w:t>
      </w:r>
      <w:r w:rsidRPr="00317320">
        <w:rPr>
          <w:i/>
        </w:rPr>
        <w:t>a</w:t>
      </w:r>
      <w:r w:rsidRPr="00317320">
        <w:rPr>
          <w:i/>
        </w:rPr>
        <w:t>red</w:t>
      </w:r>
      <w:r w:rsidRPr="004B2498">
        <w:t>, London : Routledge, p. 64-85.</w:t>
      </w:r>
    </w:p>
    <w:p w14:paraId="5A242EE0" w14:textId="77777777" w:rsidR="002F4063" w:rsidRPr="004B2498" w:rsidRDefault="002F4063" w:rsidP="002F4063">
      <w:pPr>
        <w:spacing w:before="120" w:after="120"/>
        <w:jc w:val="both"/>
      </w:pPr>
      <w:r w:rsidRPr="004B2498">
        <w:t xml:space="preserve">LEWIS D. &amp; MOSSE D. (eds.), 2006 : </w:t>
      </w:r>
      <w:r w:rsidRPr="00317320">
        <w:rPr>
          <w:i/>
        </w:rPr>
        <w:t>Development brokers and translatons. The ethnography of aid and agencies</w:t>
      </w:r>
      <w:r w:rsidRPr="004B2498">
        <w:t>, Bloomfield CT : Kumarian Press.</w:t>
      </w:r>
    </w:p>
    <w:p w14:paraId="39273C44" w14:textId="77777777" w:rsidR="002F4063" w:rsidRPr="004B2498" w:rsidRDefault="002F4063" w:rsidP="002F4063">
      <w:pPr>
        <w:spacing w:before="120" w:after="120"/>
        <w:jc w:val="both"/>
      </w:pPr>
      <w:r w:rsidRPr="004B2498">
        <w:t xml:space="preserve">MALAMOUD Charles (éd.), 1988 : </w:t>
      </w:r>
      <w:r w:rsidRPr="00317320">
        <w:rPr>
          <w:i/>
        </w:rPr>
        <w:t>La Dette, Paris, Éditions de l’École des hautes études en sciences sociales</w:t>
      </w:r>
      <w:r w:rsidRPr="004B2498">
        <w:t>, coll. « Purushartha », vol. 4.</w:t>
      </w:r>
    </w:p>
    <w:p w14:paraId="313FBDF8" w14:textId="77777777" w:rsidR="002F4063" w:rsidRPr="004B2498" w:rsidRDefault="002F4063" w:rsidP="002F4063">
      <w:pPr>
        <w:spacing w:before="120" w:after="120"/>
        <w:jc w:val="both"/>
      </w:pPr>
      <w:r w:rsidRPr="004B2498">
        <w:t>MAUCOURANT Jérôme, 1993 : « Au cœur de l’économie polit</w:t>
      </w:r>
      <w:r w:rsidRPr="004B2498">
        <w:t>i</w:t>
      </w:r>
      <w:r w:rsidRPr="004B2498">
        <w:t xml:space="preserve">que, la dette — l’approche de J. R. Commons », </w:t>
      </w:r>
      <w:r w:rsidRPr="00317320">
        <w:rPr>
          <w:i/>
        </w:rPr>
        <w:t>Revue du Mauss</w:t>
      </w:r>
      <w:r w:rsidRPr="004B2498">
        <w:t>, p. 290-218.</w:t>
      </w:r>
    </w:p>
    <w:p w14:paraId="75678E95" w14:textId="77777777" w:rsidR="002F4063" w:rsidRPr="004B2498" w:rsidRDefault="002F4063" w:rsidP="002F4063">
      <w:pPr>
        <w:spacing w:before="120" w:after="120"/>
        <w:jc w:val="both"/>
      </w:pPr>
      <w:r w:rsidRPr="004B2498">
        <w:t>[135]</w:t>
      </w:r>
    </w:p>
    <w:p w14:paraId="20D5F2E0" w14:textId="77777777" w:rsidR="002F4063" w:rsidRPr="004B2498" w:rsidRDefault="002F4063" w:rsidP="002F4063">
      <w:pPr>
        <w:spacing w:before="120" w:after="120"/>
        <w:jc w:val="both"/>
      </w:pPr>
      <w:r w:rsidRPr="0004475E">
        <w:t xml:space="preserve">MAYOUX </w:t>
      </w:r>
      <w:r w:rsidRPr="004B2498">
        <w:t>Linda, 1999 : “Questioning virtuous spirals : microf</w:t>
      </w:r>
      <w:r w:rsidRPr="004B2498">
        <w:t>i</w:t>
      </w:r>
      <w:r w:rsidRPr="004B2498">
        <w:t xml:space="preserve">nance and women’s empowerment in Africa”. </w:t>
      </w:r>
      <w:r w:rsidRPr="006A129E">
        <w:rPr>
          <w:i/>
        </w:rPr>
        <w:t>Journal of Internati</w:t>
      </w:r>
      <w:r w:rsidRPr="006A129E">
        <w:rPr>
          <w:i/>
        </w:rPr>
        <w:t>o</w:t>
      </w:r>
      <w:r w:rsidRPr="006A129E">
        <w:rPr>
          <w:i/>
        </w:rPr>
        <w:t>nal D</w:t>
      </w:r>
      <w:r w:rsidRPr="006A129E">
        <w:rPr>
          <w:i/>
        </w:rPr>
        <w:t>e</w:t>
      </w:r>
      <w:r w:rsidRPr="006A129E">
        <w:rPr>
          <w:i/>
        </w:rPr>
        <w:t>velopment</w:t>
      </w:r>
      <w:r w:rsidRPr="004B2498">
        <w:t>, 11 (7), p. 957-984.</w:t>
      </w:r>
    </w:p>
    <w:p w14:paraId="4AD341E2" w14:textId="77777777" w:rsidR="002F4063" w:rsidRPr="004B2498" w:rsidRDefault="002F4063" w:rsidP="002F4063">
      <w:pPr>
        <w:spacing w:before="120" w:after="120"/>
        <w:jc w:val="both"/>
      </w:pPr>
      <w:r w:rsidRPr="004B2498">
        <w:t xml:space="preserve">MOLYNEUX Maxine, 2002 : “Gender and the silences of social capital”. </w:t>
      </w:r>
      <w:r w:rsidRPr="006A129E">
        <w:rPr>
          <w:i/>
        </w:rPr>
        <w:t>Development and Change</w:t>
      </w:r>
      <w:r w:rsidRPr="004B2498">
        <w:t>, 33 (2) : 167-188.</w:t>
      </w:r>
    </w:p>
    <w:p w14:paraId="25935205" w14:textId="77777777" w:rsidR="002F4063" w:rsidRPr="004B2498" w:rsidRDefault="002F4063" w:rsidP="002F4063">
      <w:pPr>
        <w:spacing w:before="120" w:after="120"/>
        <w:jc w:val="both"/>
      </w:pPr>
      <w:r w:rsidRPr="0004475E">
        <w:t xml:space="preserve">Morvant-Roux </w:t>
      </w:r>
      <w:r w:rsidRPr="004B2498">
        <w:t xml:space="preserve">Solène, </w:t>
      </w:r>
      <w:r w:rsidRPr="0004475E">
        <w:t xml:space="preserve">Guérin </w:t>
      </w:r>
      <w:r w:rsidRPr="004B2498">
        <w:t xml:space="preserve">Isabelle, </w:t>
      </w:r>
      <w:r w:rsidRPr="0004475E">
        <w:t xml:space="preserve">ROESCH </w:t>
      </w:r>
      <w:r w:rsidRPr="004B2498">
        <w:t xml:space="preserve">Marc, </w:t>
      </w:r>
      <w:r w:rsidRPr="0004475E">
        <w:t xml:space="preserve">Servet </w:t>
      </w:r>
      <w:r w:rsidRPr="004B2498">
        <w:t>Jean- Michel, 2010 : « Politiques d’inclusion financière, m</w:t>
      </w:r>
      <w:r w:rsidRPr="004B2498">
        <w:t>i</w:t>
      </w:r>
      <w:r w:rsidRPr="004B2498">
        <w:t xml:space="preserve">crofinance et financement de l’agriculture. Le cas de l’Inde et du Mexique », </w:t>
      </w:r>
      <w:r w:rsidRPr="006A129E">
        <w:rPr>
          <w:i/>
        </w:rPr>
        <w:t>Mo</w:t>
      </w:r>
      <w:r w:rsidRPr="006A129E">
        <w:rPr>
          <w:i/>
        </w:rPr>
        <w:t>n</w:t>
      </w:r>
      <w:r w:rsidRPr="006A129E">
        <w:rPr>
          <w:i/>
        </w:rPr>
        <w:t>des en développement</w:t>
      </w:r>
      <w:r w:rsidRPr="004B2498">
        <w:t>, n° 151 (3), p. 9-25.</w:t>
      </w:r>
    </w:p>
    <w:p w14:paraId="1FBE5845" w14:textId="77777777" w:rsidR="002F4063" w:rsidRPr="004B2498" w:rsidRDefault="002F4063" w:rsidP="002F4063">
      <w:pPr>
        <w:spacing w:before="120" w:after="120"/>
        <w:jc w:val="both"/>
      </w:pPr>
      <w:r w:rsidRPr="0004475E">
        <w:t xml:space="preserve">Morvant-Roux </w:t>
      </w:r>
      <w:r w:rsidRPr="004B2498">
        <w:t>Solène, 2009a : « Accès au microcrédit et continu</w:t>
      </w:r>
      <w:r w:rsidRPr="004B2498">
        <w:t>i</w:t>
      </w:r>
      <w:r w:rsidRPr="004B2498">
        <w:t>té des dynamiques d’endettement au Mexique : combiner anthropol</w:t>
      </w:r>
      <w:r w:rsidRPr="004B2498">
        <w:t>o</w:t>
      </w:r>
      <w:r w:rsidRPr="004B2498">
        <w:t xml:space="preserve">gie, économique et économétrie », </w:t>
      </w:r>
      <w:r w:rsidRPr="006A129E">
        <w:rPr>
          <w:i/>
        </w:rPr>
        <w:t>Revue Tiers Monde</w:t>
      </w:r>
      <w:r w:rsidRPr="004B2498">
        <w:t>, n° 197, p. 109-130.</w:t>
      </w:r>
    </w:p>
    <w:p w14:paraId="644D095C" w14:textId="77777777" w:rsidR="002F4063" w:rsidRPr="004B2498" w:rsidRDefault="002F4063" w:rsidP="002F4063">
      <w:pPr>
        <w:spacing w:before="120" w:after="120"/>
        <w:jc w:val="both"/>
      </w:pPr>
      <w:r w:rsidRPr="0004475E">
        <w:t xml:space="preserve">MORVANT-ROUX </w:t>
      </w:r>
      <w:r w:rsidRPr="004B2498">
        <w:t xml:space="preserve">Solène 2009b : </w:t>
      </w:r>
      <w:r w:rsidRPr="006A129E">
        <w:rPr>
          <w:i/>
        </w:rPr>
        <w:t>Microfinance et Agriculture, Ra</w:t>
      </w:r>
      <w:r w:rsidRPr="006A129E">
        <w:rPr>
          <w:i/>
        </w:rPr>
        <w:t>p</w:t>
      </w:r>
      <w:r w:rsidRPr="006A129E">
        <w:rPr>
          <w:i/>
        </w:rPr>
        <w:t>port Exclusion et liens financiers</w:t>
      </w:r>
      <w:r w:rsidRPr="004B2498">
        <w:t xml:space="preserve"> 2009, Paris, Economica.</w:t>
      </w:r>
    </w:p>
    <w:p w14:paraId="7A6CF465" w14:textId="77777777" w:rsidR="002F4063" w:rsidRPr="004B2498" w:rsidRDefault="002F4063" w:rsidP="002F4063">
      <w:pPr>
        <w:spacing w:before="120" w:after="120"/>
        <w:jc w:val="both"/>
      </w:pPr>
      <w:r w:rsidRPr="0004475E">
        <w:t xml:space="preserve">MORVANT-ROUX </w:t>
      </w:r>
      <w:r w:rsidRPr="004B2498">
        <w:t xml:space="preserve">Solène, 2006 : </w:t>
      </w:r>
      <w:r w:rsidRPr="006A129E">
        <w:rPr>
          <w:i/>
        </w:rPr>
        <w:t>Processus d’appropriation des di</w:t>
      </w:r>
      <w:r w:rsidRPr="006A129E">
        <w:rPr>
          <w:i/>
        </w:rPr>
        <w:t>s</w:t>
      </w:r>
      <w:r w:rsidRPr="006A129E">
        <w:rPr>
          <w:i/>
        </w:rPr>
        <w:t>positifs de microfinance : un exemple en milieu rural mexicain</w:t>
      </w:r>
      <w:r w:rsidRPr="004B2498">
        <w:t>. Thèse de doctorat en sciences économiques. Université Lumière Lyon 2.</w:t>
      </w:r>
    </w:p>
    <w:p w14:paraId="40E8CF10" w14:textId="77777777" w:rsidR="002F4063" w:rsidRPr="004B2498" w:rsidRDefault="002F4063" w:rsidP="002F4063">
      <w:pPr>
        <w:spacing w:before="120" w:after="120"/>
        <w:jc w:val="both"/>
      </w:pPr>
      <w:r w:rsidRPr="004B2498">
        <w:t xml:space="preserve">MOSSE David, 2005 : </w:t>
      </w:r>
      <w:r w:rsidRPr="006A129E">
        <w:rPr>
          <w:i/>
        </w:rPr>
        <w:t>Cultivating development. An ethnography of aid policy and practice</w:t>
      </w:r>
      <w:r w:rsidRPr="004B2498">
        <w:t>, London : Pluto Book.</w:t>
      </w:r>
    </w:p>
    <w:p w14:paraId="3E5C62C4" w14:textId="77777777" w:rsidR="002F4063" w:rsidRPr="004B2498" w:rsidRDefault="002F4063" w:rsidP="002F4063">
      <w:pPr>
        <w:spacing w:before="120" w:after="120"/>
        <w:jc w:val="both"/>
      </w:pPr>
      <w:r w:rsidRPr="0004475E">
        <w:t xml:space="preserve">OLIVIER DE Sardan </w:t>
      </w:r>
      <w:r w:rsidRPr="004B2498">
        <w:t xml:space="preserve">Jean-Pierre, 1995 : </w:t>
      </w:r>
      <w:hyperlink r:id="rId21" w:history="1">
        <w:r w:rsidRPr="006A129E">
          <w:rPr>
            <w:rStyle w:val="Hyperlien"/>
          </w:rPr>
          <w:t>Anthropologie et dév</w:t>
        </w:r>
        <w:r w:rsidRPr="006A129E">
          <w:rPr>
            <w:rStyle w:val="Hyperlien"/>
          </w:rPr>
          <w:t>e</w:t>
        </w:r>
        <w:r w:rsidRPr="006A129E">
          <w:rPr>
            <w:rStyle w:val="Hyperlien"/>
          </w:rPr>
          <w:t>loppement. Essai en socio-anthropologie du changement social</w:t>
        </w:r>
      </w:hyperlink>
      <w:r w:rsidRPr="004B2498">
        <w:t>, P</w:t>
      </w:r>
      <w:r w:rsidRPr="004B2498">
        <w:t>a</w:t>
      </w:r>
      <w:r w:rsidRPr="004B2498">
        <w:t>ris/Marseille, Karthala/ APAD.</w:t>
      </w:r>
    </w:p>
    <w:p w14:paraId="7945DDC1" w14:textId="77777777" w:rsidR="002F4063" w:rsidRPr="004B2498" w:rsidRDefault="002F4063" w:rsidP="002F4063">
      <w:pPr>
        <w:spacing w:before="120" w:after="120"/>
        <w:jc w:val="both"/>
      </w:pPr>
      <w:r w:rsidRPr="0004475E">
        <w:t xml:space="preserve">Pattenden </w:t>
      </w:r>
      <w:r w:rsidRPr="004B2498">
        <w:t>Jonathan, 2011 : “Gatekeeping as Accumul</w:t>
      </w:r>
      <w:r w:rsidRPr="004B2498">
        <w:t>a</w:t>
      </w:r>
      <w:r w:rsidRPr="004B2498">
        <w:t>tion and Domination : Décentralisation and Class Relations in Rural South I</w:t>
      </w:r>
      <w:r w:rsidRPr="004B2498">
        <w:t>n</w:t>
      </w:r>
      <w:r w:rsidRPr="004B2498">
        <w:t xml:space="preserve">dia”, </w:t>
      </w:r>
      <w:r w:rsidRPr="006A129E">
        <w:rPr>
          <w:i/>
        </w:rPr>
        <w:t>Journal of Agrarian Change</w:t>
      </w:r>
      <w:r w:rsidRPr="004B2498">
        <w:t>, 11 (2) : 164-194</w:t>
      </w:r>
    </w:p>
    <w:p w14:paraId="08592C2E" w14:textId="77777777" w:rsidR="002F4063" w:rsidRPr="004B2498" w:rsidRDefault="002F4063" w:rsidP="002F4063">
      <w:pPr>
        <w:spacing w:before="120" w:after="120"/>
        <w:jc w:val="both"/>
      </w:pPr>
      <w:r w:rsidRPr="0004475E">
        <w:t xml:space="preserve">Pattenden </w:t>
      </w:r>
      <w:r w:rsidRPr="004B2498">
        <w:t>Jonathan, 2010 : “A neo-liberalisation of civil s</w:t>
      </w:r>
      <w:r w:rsidRPr="004B2498">
        <w:t>o</w:t>
      </w:r>
      <w:r w:rsidRPr="004B2498">
        <w:t xml:space="preserve">ciety ? Self-help groups and the labouring class poor in rural south-India”, </w:t>
      </w:r>
      <w:r w:rsidRPr="006A129E">
        <w:rPr>
          <w:i/>
        </w:rPr>
        <w:t>Journal of Peasant Studies</w:t>
      </w:r>
      <w:r w:rsidRPr="004B2498">
        <w:t>, 37 (3) : 485-512.</w:t>
      </w:r>
    </w:p>
    <w:p w14:paraId="600085F3" w14:textId="77777777" w:rsidR="002F4063" w:rsidRPr="004B2498" w:rsidRDefault="002F4063" w:rsidP="002F4063">
      <w:pPr>
        <w:spacing w:before="120" w:after="120"/>
        <w:jc w:val="both"/>
      </w:pPr>
      <w:r w:rsidRPr="0004475E">
        <w:t xml:space="preserve">PICHERIT </w:t>
      </w:r>
      <w:r w:rsidRPr="004B2498">
        <w:t xml:space="preserve">David [à paraître] : “The Shaping of Labour Struggles from Village to Migration Sites Development and Politics in South India”, </w:t>
      </w:r>
      <w:r w:rsidRPr="006A129E">
        <w:rPr>
          <w:i/>
        </w:rPr>
        <w:t>Global Labour Journal</w:t>
      </w:r>
      <w:r w:rsidRPr="004B2498">
        <w:t>.</w:t>
      </w:r>
    </w:p>
    <w:p w14:paraId="0F1F9FAF" w14:textId="77777777" w:rsidR="002F4063" w:rsidRPr="004B2498" w:rsidRDefault="002F4063" w:rsidP="002F4063">
      <w:pPr>
        <w:spacing w:before="120" w:after="120"/>
        <w:jc w:val="both"/>
      </w:pPr>
      <w:r w:rsidRPr="0004475E">
        <w:t xml:space="preserve">PICHERIT </w:t>
      </w:r>
      <w:r w:rsidRPr="004B2498">
        <w:t xml:space="preserve">David, 2010 : « Territoire et Dépendances : espoirs d’ascension sociale des travailleurs migrants en Andhra Pradesh », in </w:t>
      </w:r>
      <w:r w:rsidRPr="0004475E">
        <w:t xml:space="preserve">DUPONT </w:t>
      </w:r>
      <w:r w:rsidRPr="004B2498">
        <w:t xml:space="preserve">Véronique, </w:t>
      </w:r>
      <w:r w:rsidRPr="0004475E">
        <w:t xml:space="preserve">LANDY </w:t>
      </w:r>
      <w:r w:rsidRPr="004B2498">
        <w:t xml:space="preserve">Frédéric (éd.) : </w:t>
      </w:r>
      <w:r w:rsidRPr="006A129E">
        <w:rPr>
          <w:i/>
        </w:rPr>
        <w:t>Circulations et terr</w:t>
      </w:r>
      <w:r w:rsidRPr="006A129E">
        <w:rPr>
          <w:i/>
        </w:rPr>
        <w:t>i</w:t>
      </w:r>
      <w:r w:rsidRPr="006A129E">
        <w:rPr>
          <w:i/>
        </w:rPr>
        <w:t>toires dans le monde indien contemporain</w:t>
      </w:r>
      <w:r w:rsidRPr="004B2498">
        <w:t>, Paris, EHESS, coll. « Purushartha ».</w:t>
      </w:r>
    </w:p>
    <w:p w14:paraId="4B3DBF56" w14:textId="77777777" w:rsidR="002F4063" w:rsidRPr="004B2498" w:rsidRDefault="002F4063" w:rsidP="002F4063">
      <w:pPr>
        <w:spacing w:before="120" w:after="120"/>
        <w:jc w:val="both"/>
      </w:pPr>
      <w:r w:rsidRPr="0004475E">
        <w:t xml:space="preserve">PICHERIT </w:t>
      </w:r>
      <w:r w:rsidRPr="004B2498">
        <w:t>David, 2009a : ‘“Workers, trust us !’ : Labour middl</w:t>
      </w:r>
      <w:r w:rsidRPr="004B2498">
        <w:t>e</w:t>
      </w:r>
      <w:r w:rsidRPr="004B2498">
        <w:t xml:space="preserve">men and the rise of the lower castes in Andhra Pradesh” in </w:t>
      </w:r>
      <w:r w:rsidRPr="0004475E">
        <w:t xml:space="preserve">Breman </w:t>
      </w:r>
      <w:r w:rsidRPr="004B2498">
        <w:t xml:space="preserve">et al. (eds.) : </w:t>
      </w:r>
      <w:r w:rsidRPr="006A129E">
        <w:rPr>
          <w:i/>
        </w:rPr>
        <w:t>op. cit</w:t>
      </w:r>
      <w:r w:rsidRPr="004B2498">
        <w:t xml:space="preserve">., p. 259-283. </w:t>
      </w:r>
    </w:p>
    <w:p w14:paraId="1AE21A04" w14:textId="77777777" w:rsidR="002F4063" w:rsidRPr="004B2498" w:rsidRDefault="002F4063" w:rsidP="002F4063">
      <w:pPr>
        <w:spacing w:before="120" w:after="120"/>
        <w:jc w:val="both"/>
      </w:pPr>
      <w:r w:rsidRPr="004B2498">
        <w:t>[136]</w:t>
      </w:r>
    </w:p>
    <w:p w14:paraId="6F0CC1C6" w14:textId="77777777" w:rsidR="002F4063" w:rsidRPr="004B2498" w:rsidRDefault="002F4063" w:rsidP="002F4063">
      <w:pPr>
        <w:spacing w:before="120" w:after="120"/>
        <w:jc w:val="both"/>
      </w:pPr>
      <w:r w:rsidRPr="0004475E">
        <w:t xml:space="preserve">PICHERIT David, 2009b : </w:t>
      </w:r>
      <w:r w:rsidRPr="00042A94">
        <w:rPr>
          <w:i/>
        </w:rPr>
        <w:t>Entre villages et chantiers : circulation des travailleurs, clientélisme et politicisation des basses castes en Andhra Pradesh, Inde</w:t>
      </w:r>
      <w:r w:rsidRPr="0004475E">
        <w:t>, Thèse de doctorat en ethnologie, Université Paris X Nanterre.</w:t>
      </w:r>
    </w:p>
    <w:p w14:paraId="5772BD38" w14:textId="77777777" w:rsidR="002F4063" w:rsidRPr="004B2498" w:rsidRDefault="002F4063" w:rsidP="002F4063">
      <w:pPr>
        <w:spacing w:before="120" w:after="120"/>
        <w:jc w:val="both"/>
      </w:pPr>
      <w:r w:rsidRPr="0004475E">
        <w:t xml:space="preserve">POLANYI </w:t>
      </w:r>
      <w:r w:rsidRPr="004B2498">
        <w:t xml:space="preserve">Karl, 1968 : </w:t>
      </w:r>
      <w:r w:rsidRPr="00042A94">
        <w:rPr>
          <w:i/>
          <w:iCs/>
        </w:rPr>
        <w:t xml:space="preserve">Primitive, </w:t>
      </w:r>
      <w:r w:rsidRPr="00042A94">
        <w:rPr>
          <w:i/>
        </w:rPr>
        <w:t>Archaich and Modern Econ</w:t>
      </w:r>
      <w:r w:rsidRPr="00042A94">
        <w:rPr>
          <w:i/>
        </w:rPr>
        <w:t>o</w:t>
      </w:r>
      <w:r w:rsidRPr="00042A94">
        <w:rPr>
          <w:i/>
        </w:rPr>
        <w:t>mies</w:t>
      </w:r>
      <w:r w:rsidRPr="004B2498">
        <w:t xml:space="preserve"> [ed. by G. Dalton] Boston : Beacon Press.</w:t>
      </w:r>
    </w:p>
    <w:p w14:paraId="67D1E396" w14:textId="77777777" w:rsidR="002F4063" w:rsidRPr="004B2498" w:rsidRDefault="002F4063" w:rsidP="002F4063">
      <w:pPr>
        <w:spacing w:before="120" w:after="120"/>
        <w:jc w:val="both"/>
      </w:pPr>
      <w:r w:rsidRPr="0004475E">
        <w:t xml:space="preserve">PRAHALAD C. K., 2004 : </w:t>
      </w:r>
      <w:r w:rsidRPr="00042A94">
        <w:rPr>
          <w:i/>
        </w:rPr>
        <w:t>The fortune at the bottom of the pyr</w:t>
      </w:r>
      <w:r w:rsidRPr="00042A94">
        <w:rPr>
          <w:i/>
        </w:rPr>
        <w:t>a</w:t>
      </w:r>
      <w:r w:rsidRPr="00042A94">
        <w:rPr>
          <w:i/>
        </w:rPr>
        <w:t>mid. Eradicating poverty through profits</w:t>
      </w:r>
      <w:r w:rsidRPr="0004475E">
        <w:t>, Wharton School Publishing</w:t>
      </w:r>
    </w:p>
    <w:p w14:paraId="7A14CDF3" w14:textId="77777777" w:rsidR="002F4063" w:rsidRPr="004B2498" w:rsidRDefault="002F4063" w:rsidP="002F4063">
      <w:pPr>
        <w:spacing w:before="120" w:after="120"/>
        <w:jc w:val="both"/>
      </w:pPr>
      <w:r w:rsidRPr="004B2498">
        <w:t xml:space="preserve">Prakash A., 2010 : “Dalits entrepreneurs in middle India”, </w:t>
      </w:r>
      <w:r w:rsidRPr="0004475E">
        <w:t>in</w:t>
      </w:r>
      <w:r w:rsidRPr="004B2498">
        <w:t xml:space="preserve"> Ha</w:t>
      </w:r>
      <w:r w:rsidRPr="004B2498">
        <w:t>r</w:t>
      </w:r>
      <w:r w:rsidRPr="004B2498">
        <w:t xml:space="preserve">riss-White B., Heyer J., </w:t>
      </w:r>
      <w:r w:rsidRPr="00042A94">
        <w:rPr>
          <w:i/>
        </w:rPr>
        <w:t>op. cit</w:t>
      </w:r>
      <w:r w:rsidRPr="0004475E">
        <w:t>.,</w:t>
      </w:r>
      <w:r w:rsidRPr="004B2498">
        <w:t xml:space="preserve"> p. 291-317.</w:t>
      </w:r>
    </w:p>
    <w:p w14:paraId="0B2DE907" w14:textId="77777777" w:rsidR="002F4063" w:rsidRPr="004B2498" w:rsidRDefault="002F4063" w:rsidP="002F4063">
      <w:pPr>
        <w:spacing w:before="120" w:after="120"/>
        <w:jc w:val="both"/>
      </w:pPr>
      <w:r w:rsidRPr="004B2498">
        <w:t xml:space="preserve">RAHMAN Amitur, 1999 : “Micro-credit initiatives for équitable and sustainable development : who pays ?”, </w:t>
      </w:r>
      <w:r w:rsidRPr="00042A94">
        <w:rPr>
          <w:i/>
        </w:rPr>
        <w:t>World Development</w:t>
      </w:r>
      <w:r w:rsidRPr="004B2498">
        <w:t>, 27 (1) : 67-82.</w:t>
      </w:r>
    </w:p>
    <w:p w14:paraId="7B516DDB" w14:textId="77777777" w:rsidR="002F4063" w:rsidRPr="004B2498" w:rsidRDefault="002F4063" w:rsidP="002F4063">
      <w:pPr>
        <w:spacing w:before="120" w:after="120"/>
        <w:jc w:val="both"/>
      </w:pPr>
      <w:r w:rsidRPr="004B2498">
        <w:t>RANKIN K. N., 2002 : “Social capital, microfinance and the pol</w:t>
      </w:r>
      <w:r w:rsidRPr="004B2498">
        <w:t>i</w:t>
      </w:r>
      <w:r w:rsidRPr="004B2498">
        <w:t xml:space="preserve">tics of development”, </w:t>
      </w:r>
      <w:r w:rsidRPr="00042A94">
        <w:rPr>
          <w:i/>
        </w:rPr>
        <w:t>Feminist Economics</w:t>
      </w:r>
      <w:r w:rsidRPr="0004475E">
        <w:t>,</w:t>
      </w:r>
      <w:r w:rsidRPr="004B2498">
        <w:t xml:space="preserve"> 8 (1) : 1-24.</w:t>
      </w:r>
    </w:p>
    <w:p w14:paraId="7DF07339" w14:textId="77777777" w:rsidR="002F4063" w:rsidRPr="004B2498" w:rsidRDefault="002F4063" w:rsidP="002F4063">
      <w:pPr>
        <w:spacing w:before="120" w:after="120"/>
        <w:jc w:val="both"/>
      </w:pPr>
      <w:r w:rsidRPr="004B2498">
        <w:t>Rao Smirti, 2008 : “Reforms with a female face : gender, liberal</w:t>
      </w:r>
      <w:r w:rsidRPr="004B2498">
        <w:t>i</w:t>
      </w:r>
      <w:r w:rsidRPr="004B2498">
        <w:t xml:space="preserve">zation, and économie policy in Andhra Pradesh, India”, </w:t>
      </w:r>
      <w:r w:rsidRPr="00042A94">
        <w:rPr>
          <w:i/>
        </w:rPr>
        <w:t>World Dev</w:t>
      </w:r>
      <w:r w:rsidRPr="00042A94">
        <w:rPr>
          <w:i/>
        </w:rPr>
        <w:t>e</w:t>
      </w:r>
      <w:r w:rsidRPr="00042A94">
        <w:rPr>
          <w:i/>
        </w:rPr>
        <w:t>lopment</w:t>
      </w:r>
      <w:r w:rsidRPr="0004475E">
        <w:t>,</w:t>
      </w:r>
      <w:r w:rsidRPr="004B2498">
        <w:t xml:space="preserve"> 36 (7) : 1213-1232.</w:t>
      </w:r>
    </w:p>
    <w:p w14:paraId="0C815DE7" w14:textId="77777777" w:rsidR="002F4063" w:rsidRPr="004B2498" w:rsidRDefault="002F4063" w:rsidP="002F4063">
      <w:pPr>
        <w:spacing w:before="120" w:after="120"/>
        <w:jc w:val="both"/>
      </w:pPr>
      <w:r w:rsidRPr="004B2498">
        <w:t xml:space="preserve">REED L. R., 2011 : </w:t>
      </w:r>
      <w:r w:rsidRPr="00042A94">
        <w:rPr>
          <w:i/>
        </w:rPr>
        <w:t>État de la campagne du sommet du microcr</w:t>
      </w:r>
      <w:r w:rsidRPr="00042A94">
        <w:rPr>
          <w:i/>
        </w:rPr>
        <w:t>é</w:t>
      </w:r>
      <w:r w:rsidRPr="00042A94">
        <w:rPr>
          <w:i/>
        </w:rPr>
        <w:t>dit. Rapport 2011</w:t>
      </w:r>
      <w:r w:rsidRPr="004B2498">
        <w:t>, Washington : Microcredit Summit Campaign.</w:t>
      </w:r>
    </w:p>
    <w:p w14:paraId="59FC14B3" w14:textId="77777777" w:rsidR="002F4063" w:rsidRPr="004B2498" w:rsidRDefault="002F4063" w:rsidP="002F4063">
      <w:pPr>
        <w:spacing w:before="120" w:after="120"/>
        <w:jc w:val="both"/>
      </w:pPr>
      <w:r w:rsidRPr="004B2498">
        <w:t xml:space="preserve">ROESCH Marc, 2006 : « Des dettes jusqu’à ne plus en vivre », </w:t>
      </w:r>
      <w:r w:rsidRPr="00042A94">
        <w:rPr>
          <w:i/>
        </w:rPr>
        <w:t>Espace Finance</w:t>
      </w:r>
      <w:r w:rsidRPr="004B2498">
        <w:t>, Gret-Cirad, 11 avril.</w:t>
      </w:r>
    </w:p>
    <w:p w14:paraId="36B2F031" w14:textId="77777777" w:rsidR="002F4063" w:rsidRPr="004B2498" w:rsidRDefault="002F4063" w:rsidP="002F4063">
      <w:pPr>
        <w:spacing w:before="120" w:after="120"/>
        <w:jc w:val="both"/>
      </w:pPr>
      <w:r w:rsidRPr="004B2498">
        <w:t xml:space="preserve">ROESCH Marc, HÉLIÈS Ophélie, 2007 : « La microfinance : outil de gestion du risque ou de mise en danger par sur-endettement ? Le cas de l’Inde du Sud », </w:t>
      </w:r>
      <w:r w:rsidRPr="00042A94">
        <w:rPr>
          <w:i/>
        </w:rPr>
        <w:t>Revue Autrepart</w:t>
      </w:r>
      <w:r w:rsidRPr="004B2498">
        <w:t>, n° 44, 2007/4, p. 119-140.</w:t>
      </w:r>
    </w:p>
    <w:p w14:paraId="09B5677D" w14:textId="77777777" w:rsidR="002F4063" w:rsidRPr="004B2498" w:rsidRDefault="002F4063" w:rsidP="002F4063">
      <w:pPr>
        <w:spacing w:before="120" w:after="120"/>
        <w:jc w:val="both"/>
      </w:pPr>
      <w:r w:rsidRPr="004B2498">
        <w:t>ROODMAN D, MORDUCH J., 2009 : “The Impact of Microf</w:t>
      </w:r>
      <w:r w:rsidRPr="004B2498">
        <w:t>i</w:t>
      </w:r>
      <w:r w:rsidRPr="004B2498">
        <w:t xml:space="preserve">nance on the Poor in Bangladesh : Revisiting the Evidence”. Center for Global Development (CGD) : </w:t>
      </w:r>
      <w:r w:rsidRPr="00042A94">
        <w:rPr>
          <w:i/>
        </w:rPr>
        <w:t>Working Paper No 174</w:t>
      </w:r>
      <w:r w:rsidRPr="0004475E">
        <w:t>,</w:t>
      </w:r>
      <w:r w:rsidRPr="004B2498">
        <w:t xml:space="preserve"> Washin</w:t>
      </w:r>
      <w:r w:rsidRPr="004B2498">
        <w:t>g</w:t>
      </w:r>
      <w:r w:rsidRPr="004B2498">
        <w:t>ton, D.C.</w:t>
      </w:r>
    </w:p>
    <w:p w14:paraId="0F4FD82A" w14:textId="77777777" w:rsidR="002F4063" w:rsidRPr="004B2498" w:rsidRDefault="002F4063" w:rsidP="002F4063">
      <w:pPr>
        <w:spacing w:before="120" w:after="120"/>
        <w:jc w:val="both"/>
      </w:pPr>
      <w:r w:rsidRPr="004B2498">
        <w:t xml:space="preserve">Ruparelia S., Reddy S., Harriss J., CORBRIDGE S. (eds.), 2011 : </w:t>
      </w:r>
      <w:r w:rsidRPr="00042A94">
        <w:rPr>
          <w:i/>
        </w:rPr>
        <w:t>Understanding India’s New Political Economy</w:t>
      </w:r>
      <w:r w:rsidRPr="0004475E">
        <w:t>,</w:t>
      </w:r>
      <w:r w:rsidRPr="004B2498">
        <w:t xml:space="preserve"> London &amp; New-York : Routledge.</w:t>
      </w:r>
    </w:p>
    <w:p w14:paraId="05248E1D" w14:textId="77777777" w:rsidR="002F4063" w:rsidRPr="004B2498" w:rsidRDefault="002F4063" w:rsidP="002F4063">
      <w:pPr>
        <w:spacing w:before="120" w:after="120"/>
        <w:jc w:val="both"/>
      </w:pPr>
      <w:r w:rsidRPr="004B2498">
        <w:t xml:space="preserve">Sa-Duan, 2009 : </w:t>
      </w:r>
      <w:r w:rsidRPr="00042A94">
        <w:rPr>
          <w:i/>
        </w:rPr>
        <w:t>The Bharat Microfinance Report - Quick Data 2009</w:t>
      </w:r>
      <w:r w:rsidRPr="004B2498">
        <w:t>. SaDhan : New-Delhi.</w:t>
      </w:r>
    </w:p>
    <w:p w14:paraId="666CB39E" w14:textId="77777777" w:rsidR="002F4063" w:rsidRPr="004B2498" w:rsidRDefault="002F4063" w:rsidP="002F4063">
      <w:pPr>
        <w:spacing w:before="120" w:after="120"/>
        <w:jc w:val="both"/>
      </w:pPr>
      <w:r w:rsidRPr="004B2498">
        <w:t xml:space="preserve">SANYAL K.K., 2007 : </w:t>
      </w:r>
      <w:r w:rsidRPr="00042A94">
        <w:rPr>
          <w:i/>
        </w:rPr>
        <w:t>Rethinking capitalist development : prim</w:t>
      </w:r>
      <w:r w:rsidRPr="00042A94">
        <w:rPr>
          <w:i/>
        </w:rPr>
        <w:t>i</w:t>
      </w:r>
      <w:r w:rsidRPr="00042A94">
        <w:rPr>
          <w:i/>
        </w:rPr>
        <w:t>tive accumulation, governmentality and post-colonial capitalism</w:t>
      </w:r>
      <w:r w:rsidRPr="004B2498">
        <w:t>, New-Delhi : Routledge.</w:t>
      </w:r>
    </w:p>
    <w:p w14:paraId="7333A05E" w14:textId="77777777" w:rsidR="002F4063" w:rsidRPr="004B2498" w:rsidRDefault="002F4063" w:rsidP="002F4063">
      <w:pPr>
        <w:spacing w:before="120" w:after="120"/>
        <w:jc w:val="both"/>
      </w:pPr>
      <w:r w:rsidRPr="004B2498">
        <w:t xml:space="preserve">SERVET Jean-Michel, 2010 : </w:t>
      </w:r>
      <w:r w:rsidRPr="00042A94">
        <w:rPr>
          <w:i/>
        </w:rPr>
        <w:t>Le grand renversement. De la crise au renouveau solidaire</w:t>
      </w:r>
      <w:r w:rsidRPr="004B2498">
        <w:t>, Paris, Desclée d</w:t>
      </w:r>
      <w:r w:rsidRPr="0004475E">
        <w:t>e Brouwer.</w:t>
      </w:r>
    </w:p>
    <w:p w14:paraId="1E9C2C8A" w14:textId="77777777" w:rsidR="002F4063" w:rsidRPr="004B2498" w:rsidRDefault="002F4063" w:rsidP="002F4063">
      <w:pPr>
        <w:spacing w:before="120" w:after="120"/>
        <w:jc w:val="both"/>
      </w:pPr>
      <w:r w:rsidRPr="004B2498">
        <w:t xml:space="preserve">SERVET Jean-Michel, 2006 : </w:t>
      </w:r>
      <w:r w:rsidRPr="00042A94">
        <w:rPr>
          <w:i/>
        </w:rPr>
        <w:t>Banquiers aux pieds nus</w:t>
      </w:r>
      <w:r w:rsidRPr="004B2498">
        <w:t>, Paris, Od</w:t>
      </w:r>
      <w:r w:rsidRPr="004B2498">
        <w:t>i</w:t>
      </w:r>
      <w:r w:rsidRPr="004B2498">
        <w:t>le Jacob.</w:t>
      </w:r>
    </w:p>
    <w:p w14:paraId="68655D4F" w14:textId="77777777" w:rsidR="002F4063" w:rsidRPr="004B2498" w:rsidRDefault="002F4063" w:rsidP="002F4063">
      <w:pPr>
        <w:spacing w:before="120" w:after="120"/>
        <w:jc w:val="both"/>
      </w:pPr>
      <w:r w:rsidRPr="004B2498">
        <w:t>[137]</w:t>
      </w:r>
    </w:p>
    <w:p w14:paraId="13B97BDD" w14:textId="77777777" w:rsidR="002F4063" w:rsidRPr="004B2498" w:rsidRDefault="002F4063" w:rsidP="002F4063">
      <w:pPr>
        <w:spacing w:before="120" w:after="120"/>
        <w:jc w:val="both"/>
      </w:pPr>
      <w:r w:rsidRPr="0004475E">
        <w:t xml:space="preserve">SERVET </w:t>
      </w:r>
      <w:r w:rsidRPr="004B2498">
        <w:t>Jean-Michel, 1993 : « L’institution monétaire de la s</w:t>
      </w:r>
      <w:r w:rsidRPr="004B2498">
        <w:t>o</w:t>
      </w:r>
      <w:r w:rsidRPr="004B2498">
        <w:t xml:space="preserve">ciété selon Karl Polanyi », </w:t>
      </w:r>
      <w:r w:rsidRPr="00042A94">
        <w:rPr>
          <w:i/>
        </w:rPr>
        <w:t>Revue Économique</w:t>
      </w:r>
      <w:r w:rsidRPr="004B2498">
        <w:t>, vol. 44, n° 6, p. 1127-1150.</w:t>
      </w:r>
    </w:p>
    <w:p w14:paraId="4DD190CC" w14:textId="77777777" w:rsidR="002F4063" w:rsidRPr="004B2498" w:rsidRDefault="002F4063" w:rsidP="002F4063">
      <w:pPr>
        <w:spacing w:before="120" w:after="120"/>
        <w:jc w:val="both"/>
      </w:pPr>
      <w:r w:rsidRPr="0004475E">
        <w:t xml:space="preserve">SERVET </w:t>
      </w:r>
      <w:r w:rsidRPr="004B2498">
        <w:t xml:space="preserve">Jean-Michel, 1984 : </w:t>
      </w:r>
      <w:r w:rsidRPr="00042A94">
        <w:rPr>
          <w:i/>
        </w:rPr>
        <w:t>Nomismata. État et origines de la monnaie</w:t>
      </w:r>
      <w:r w:rsidRPr="004B2498">
        <w:t>, Lyon : Presses Universitaires de Lyon.</w:t>
      </w:r>
    </w:p>
    <w:p w14:paraId="7BACAED5" w14:textId="77777777" w:rsidR="002F4063" w:rsidRPr="004B2498" w:rsidRDefault="002F4063" w:rsidP="002F4063">
      <w:pPr>
        <w:spacing w:before="120" w:after="120"/>
        <w:jc w:val="both"/>
      </w:pPr>
      <w:r w:rsidRPr="0004475E">
        <w:t xml:space="preserve">SERVET </w:t>
      </w:r>
      <w:r w:rsidRPr="004B2498">
        <w:t>Jean-Michel, TH</w:t>
      </w:r>
      <w:r w:rsidRPr="0004475E">
        <w:t xml:space="preserve">ÉRET </w:t>
      </w:r>
      <w:r w:rsidRPr="004B2498">
        <w:t xml:space="preserve">Bruno, </w:t>
      </w:r>
      <w:r w:rsidRPr="0004475E">
        <w:t xml:space="preserve">YILDIRIM </w:t>
      </w:r>
      <w:r w:rsidRPr="004B2498">
        <w:t xml:space="preserve">Zeynep, 2008 : « Universalité du fait monétaire et pluralité des monnaies : de la confrontation coloniale à la rencontre des sciences sociales », in </w:t>
      </w:r>
      <w:r w:rsidRPr="0004475E">
        <w:t xml:space="preserve">Baumann </w:t>
      </w:r>
      <w:r w:rsidRPr="004B2498">
        <w:t xml:space="preserve">Eveline et al. (éd.) : </w:t>
      </w:r>
      <w:r w:rsidRPr="00042A94">
        <w:rPr>
          <w:i/>
        </w:rPr>
        <w:t>op. cit</w:t>
      </w:r>
      <w:r w:rsidRPr="004B2498">
        <w:t>., p. 167-208.</w:t>
      </w:r>
    </w:p>
    <w:p w14:paraId="2ABC2195" w14:textId="77777777" w:rsidR="002F4063" w:rsidRPr="004B2498" w:rsidRDefault="002F4063" w:rsidP="002F4063">
      <w:pPr>
        <w:spacing w:before="120" w:after="120"/>
        <w:jc w:val="both"/>
      </w:pPr>
      <w:r w:rsidRPr="0004475E">
        <w:t xml:space="preserve">SHAKYA </w:t>
      </w:r>
      <w:r w:rsidRPr="004B2498">
        <w:t xml:space="preserve">Y. B., </w:t>
      </w:r>
      <w:r w:rsidRPr="0004475E">
        <w:t xml:space="preserve">RANKIN </w:t>
      </w:r>
      <w:r w:rsidRPr="004B2498">
        <w:t>K. N., 2010 : “The Politics of Subve</w:t>
      </w:r>
      <w:r w:rsidRPr="004B2498">
        <w:t>r</w:t>
      </w:r>
      <w:r w:rsidRPr="004B2498">
        <w:t xml:space="preserve">sion in Development Practice : An Exploration of Microfinance in Népal and Vietnam”, </w:t>
      </w:r>
      <w:r w:rsidRPr="00042A94">
        <w:rPr>
          <w:i/>
        </w:rPr>
        <w:t>Journal of Development Studies</w:t>
      </w:r>
      <w:r w:rsidRPr="004B2498">
        <w:t>, 44 (8) : 1214-1235.</w:t>
      </w:r>
    </w:p>
    <w:p w14:paraId="0E6122E1" w14:textId="77777777" w:rsidR="002F4063" w:rsidRPr="004B2498" w:rsidRDefault="002F4063" w:rsidP="002F4063">
      <w:pPr>
        <w:spacing w:before="120" w:after="120"/>
        <w:jc w:val="both"/>
      </w:pPr>
      <w:r w:rsidRPr="0004475E">
        <w:t xml:space="preserve">SHIPTON </w:t>
      </w:r>
      <w:r w:rsidRPr="004B2498">
        <w:t xml:space="preserve">P., 2007 : </w:t>
      </w:r>
      <w:r w:rsidRPr="00042A94">
        <w:rPr>
          <w:i/>
        </w:rPr>
        <w:t>The Nature of Entrustment. Intimacy, E</w:t>
      </w:r>
      <w:r w:rsidRPr="00042A94">
        <w:rPr>
          <w:i/>
        </w:rPr>
        <w:t>x</w:t>
      </w:r>
      <w:r w:rsidRPr="00042A94">
        <w:rPr>
          <w:i/>
        </w:rPr>
        <w:t>change and the Sacred in Africa</w:t>
      </w:r>
      <w:r w:rsidRPr="004B2498">
        <w:t>. Yale University Press : New-Haven, CT.</w:t>
      </w:r>
    </w:p>
    <w:p w14:paraId="3F83CBBC" w14:textId="77777777" w:rsidR="002F4063" w:rsidRPr="004B2498" w:rsidRDefault="002F4063" w:rsidP="002F4063">
      <w:pPr>
        <w:spacing w:before="120" w:after="120"/>
        <w:jc w:val="both"/>
      </w:pPr>
      <w:r w:rsidRPr="0004475E">
        <w:t xml:space="preserve">SIMMEL </w:t>
      </w:r>
      <w:r w:rsidRPr="004B2498">
        <w:t xml:space="preserve">Georg, 1987 : </w:t>
      </w:r>
      <w:r w:rsidRPr="00042A94">
        <w:rPr>
          <w:i/>
        </w:rPr>
        <w:t>Philosophie de l’argent</w:t>
      </w:r>
      <w:r w:rsidRPr="004B2498">
        <w:t xml:space="preserve"> [Philosophie des Geldes, 1900], trad. S. Comille et Ph. Ivernel, Paris, PUF, coll. « Sociologies ».</w:t>
      </w:r>
    </w:p>
    <w:p w14:paraId="3E2BB567" w14:textId="77777777" w:rsidR="002F4063" w:rsidRPr="004B2498" w:rsidRDefault="002F4063" w:rsidP="002F4063">
      <w:pPr>
        <w:spacing w:before="120" w:after="120"/>
        <w:jc w:val="both"/>
      </w:pPr>
      <w:r w:rsidRPr="0004475E">
        <w:t xml:space="preserve">SRINIVASAN </w:t>
      </w:r>
      <w:r w:rsidRPr="004B2498">
        <w:t xml:space="preserve">N., 2009 : </w:t>
      </w:r>
      <w:r w:rsidRPr="00042A94">
        <w:rPr>
          <w:i/>
        </w:rPr>
        <w:t>Microfinance India. State of the Sector R</w:t>
      </w:r>
      <w:r w:rsidRPr="00042A94">
        <w:rPr>
          <w:i/>
        </w:rPr>
        <w:t>e</w:t>
      </w:r>
      <w:r w:rsidRPr="00042A94">
        <w:rPr>
          <w:i/>
        </w:rPr>
        <w:t>port 2008</w:t>
      </w:r>
      <w:r w:rsidRPr="004B2498">
        <w:t>. Sage : New-Delhi.</w:t>
      </w:r>
    </w:p>
    <w:p w14:paraId="2DDAFC8C" w14:textId="77777777" w:rsidR="002F4063" w:rsidRPr="004B2498" w:rsidRDefault="002F4063" w:rsidP="002F4063">
      <w:pPr>
        <w:spacing w:before="120" w:after="120"/>
        <w:jc w:val="both"/>
      </w:pPr>
      <w:r w:rsidRPr="0004475E">
        <w:t xml:space="preserve">Srivastava R. [à </w:t>
      </w:r>
      <w:r w:rsidRPr="004B2498">
        <w:t>paraître] : “Changing Employment Cond</w:t>
      </w:r>
      <w:r w:rsidRPr="004B2498">
        <w:t>i</w:t>
      </w:r>
      <w:r w:rsidRPr="004B2498">
        <w:t xml:space="preserve">tions of the Indian Workforce and Implications for Decent Work”. </w:t>
      </w:r>
      <w:r w:rsidRPr="00042A94">
        <w:rPr>
          <w:i/>
        </w:rPr>
        <w:t>Global L</w:t>
      </w:r>
      <w:r w:rsidRPr="00042A94">
        <w:rPr>
          <w:i/>
        </w:rPr>
        <w:t>a</w:t>
      </w:r>
      <w:r w:rsidRPr="00042A94">
        <w:rPr>
          <w:i/>
        </w:rPr>
        <w:t>bour Journal</w:t>
      </w:r>
      <w:r w:rsidRPr="004B2498">
        <w:t>.</w:t>
      </w:r>
    </w:p>
    <w:p w14:paraId="45174F51" w14:textId="77777777" w:rsidR="002F4063" w:rsidRPr="004B2498" w:rsidRDefault="002F4063" w:rsidP="002F4063">
      <w:pPr>
        <w:spacing w:before="120" w:after="120"/>
        <w:jc w:val="both"/>
      </w:pPr>
      <w:r w:rsidRPr="0004475E">
        <w:t xml:space="preserve">Srivastava </w:t>
      </w:r>
      <w:r w:rsidRPr="004B2498">
        <w:t>R., 2009 : “Conceptualising Continuity and Cha</w:t>
      </w:r>
      <w:r w:rsidRPr="004B2498">
        <w:t>n</w:t>
      </w:r>
      <w:r w:rsidRPr="004B2498">
        <w:t xml:space="preserve">ge in Emerging Forms of Labour Bondage” in J. </w:t>
      </w:r>
      <w:r w:rsidRPr="0004475E">
        <w:t xml:space="preserve">BREMAN, </w:t>
      </w:r>
      <w:r w:rsidRPr="004B2498">
        <w:t xml:space="preserve">I. </w:t>
      </w:r>
      <w:r w:rsidRPr="0004475E">
        <w:t xml:space="preserve">GUÉRIN </w:t>
      </w:r>
      <w:r w:rsidRPr="004B2498">
        <w:t xml:space="preserve">and A. </w:t>
      </w:r>
      <w:r w:rsidRPr="0004475E">
        <w:t xml:space="preserve">PRAKASH </w:t>
      </w:r>
      <w:r w:rsidRPr="004B2498">
        <w:t xml:space="preserve">(ed.) : </w:t>
      </w:r>
      <w:r w:rsidRPr="00042A94">
        <w:rPr>
          <w:i/>
        </w:rPr>
        <w:t>India's unfree workorce. Old and new pra</w:t>
      </w:r>
      <w:r w:rsidRPr="00042A94">
        <w:rPr>
          <w:i/>
        </w:rPr>
        <w:t>c</w:t>
      </w:r>
      <w:r w:rsidRPr="00042A94">
        <w:rPr>
          <w:i/>
        </w:rPr>
        <w:t>tices of l</w:t>
      </w:r>
      <w:r w:rsidRPr="00042A94">
        <w:rPr>
          <w:i/>
        </w:rPr>
        <w:t>a</w:t>
      </w:r>
      <w:r w:rsidRPr="00042A94">
        <w:rPr>
          <w:i/>
        </w:rPr>
        <w:t>bour bondage</w:t>
      </w:r>
      <w:r w:rsidRPr="004B2498">
        <w:t>, New-Delhi, Oxford University Press, p. 129-146.</w:t>
      </w:r>
    </w:p>
    <w:p w14:paraId="2A4AA2B4" w14:textId="77777777" w:rsidR="002F4063" w:rsidRPr="004B2498" w:rsidRDefault="002F4063" w:rsidP="002F4063">
      <w:pPr>
        <w:spacing w:before="120" w:after="120"/>
        <w:jc w:val="both"/>
      </w:pPr>
      <w:r w:rsidRPr="0004475E">
        <w:t>T</w:t>
      </w:r>
      <w:r>
        <w:t>H</w:t>
      </w:r>
      <w:r w:rsidRPr="0004475E">
        <w:t xml:space="preserve">ÉRET </w:t>
      </w:r>
      <w:r w:rsidRPr="004B2498">
        <w:t xml:space="preserve">Bruno, 2009 : « Monnaie et dettes de vie », </w:t>
      </w:r>
      <w:r w:rsidRPr="00042A94">
        <w:rPr>
          <w:i/>
        </w:rPr>
        <w:t>L’Homme</w:t>
      </w:r>
      <w:r w:rsidRPr="004B2498">
        <w:t>, n° 190, p. 153-179.</w:t>
      </w:r>
    </w:p>
    <w:p w14:paraId="0C50A9C9" w14:textId="77777777" w:rsidR="002F4063" w:rsidRPr="004B2498" w:rsidRDefault="002F4063" w:rsidP="002F4063">
      <w:pPr>
        <w:spacing w:before="120" w:after="120"/>
        <w:jc w:val="both"/>
      </w:pPr>
      <w:r w:rsidRPr="0004475E">
        <w:t xml:space="preserve">ThÉRET </w:t>
      </w:r>
      <w:r w:rsidRPr="004B2498">
        <w:t>Bruno, 2008 : « Les trois états de la monnaie. Approche i</w:t>
      </w:r>
      <w:r w:rsidRPr="004B2498">
        <w:t>n</w:t>
      </w:r>
      <w:r w:rsidRPr="004B2498">
        <w:t xml:space="preserve">terdisciplinaire du fait monétaire », </w:t>
      </w:r>
      <w:r w:rsidRPr="00042A94">
        <w:rPr>
          <w:i/>
        </w:rPr>
        <w:t>Revue économique</w:t>
      </w:r>
      <w:r w:rsidRPr="004B2498">
        <w:t>, n° 4, vol. 59, p. 813-841.</w:t>
      </w:r>
    </w:p>
    <w:p w14:paraId="0D8E480F" w14:textId="77777777" w:rsidR="002F4063" w:rsidRPr="004B2498" w:rsidRDefault="002F4063" w:rsidP="002F4063">
      <w:pPr>
        <w:spacing w:before="120" w:after="120"/>
        <w:jc w:val="both"/>
      </w:pPr>
      <w:r w:rsidRPr="0004475E">
        <w:t>T</w:t>
      </w:r>
      <w:r>
        <w:t>H</w:t>
      </w:r>
      <w:r w:rsidRPr="0004475E">
        <w:t xml:space="preserve">ÉRET </w:t>
      </w:r>
      <w:r w:rsidRPr="004B2498">
        <w:t xml:space="preserve">Bruno, </w:t>
      </w:r>
      <w:r w:rsidRPr="0004475E">
        <w:t xml:space="preserve">2001 : </w:t>
      </w:r>
      <w:r w:rsidRPr="004B2498">
        <w:t>« Saisir les faits économiques : la méth</w:t>
      </w:r>
      <w:r w:rsidRPr="004B2498">
        <w:t>o</w:t>
      </w:r>
      <w:r w:rsidRPr="004B2498">
        <w:t xml:space="preserve">de Commons », </w:t>
      </w:r>
      <w:r w:rsidRPr="00042A94">
        <w:rPr>
          <w:i/>
        </w:rPr>
        <w:t>Cahiers d’économie politique</w:t>
      </w:r>
      <w:r w:rsidRPr="004B2498">
        <w:t>, n° 40-41, p. 79-137.</w:t>
      </w:r>
    </w:p>
    <w:p w14:paraId="266F183B" w14:textId="77777777" w:rsidR="002F4063" w:rsidRPr="004B2498" w:rsidRDefault="002F4063" w:rsidP="002F4063">
      <w:pPr>
        <w:spacing w:before="120" w:after="120"/>
        <w:jc w:val="both"/>
      </w:pPr>
      <w:r w:rsidRPr="0004475E">
        <w:t>T</w:t>
      </w:r>
      <w:r>
        <w:t>H</w:t>
      </w:r>
      <w:r w:rsidRPr="0004475E">
        <w:t xml:space="preserve">ÉRET </w:t>
      </w:r>
      <w:r w:rsidRPr="004B2498">
        <w:t xml:space="preserve">Bruno, 1998 : « De la dualité des dettes et de la monnaie dans les sociétés salariales », in </w:t>
      </w:r>
      <w:r w:rsidRPr="0004475E">
        <w:t xml:space="preserve">AGLIETTA </w:t>
      </w:r>
      <w:r w:rsidRPr="004B2498">
        <w:t xml:space="preserve">et </w:t>
      </w:r>
      <w:r>
        <w:t>ORL</w:t>
      </w:r>
      <w:r w:rsidRPr="0004475E">
        <w:t xml:space="preserve">ÉAN </w:t>
      </w:r>
      <w:r w:rsidRPr="004B2498">
        <w:t xml:space="preserve">(éd.) : </w:t>
      </w:r>
      <w:r w:rsidRPr="00042A94">
        <w:rPr>
          <w:i/>
        </w:rPr>
        <w:t>op. cit</w:t>
      </w:r>
      <w:r w:rsidRPr="004B2498">
        <w:t>., p. 253-288.</w:t>
      </w:r>
    </w:p>
    <w:p w14:paraId="0F014C6E" w14:textId="77777777" w:rsidR="002F4063" w:rsidRPr="004B2498" w:rsidRDefault="002F4063" w:rsidP="002F4063">
      <w:pPr>
        <w:spacing w:before="120" w:after="120"/>
        <w:jc w:val="both"/>
      </w:pPr>
      <w:r w:rsidRPr="0004475E">
        <w:t>T</w:t>
      </w:r>
      <w:r>
        <w:t>H</w:t>
      </w:r>
      <w:r w:rsidRPr="0004475E">
        <w:t xml:space="preserve">ÉRET </w:t>
      </w:r>
      <w:r w:rsidRPr="004B2498">
        <w:t>Bruno, 1995 : « Finance, souveraineté et dette sociale. Capital symbolique, différenciation de la société et construction eur</w:t>
      </w:r>
      <w:r w:rsidRPr="004B2498">
        <w:t>o</w:t>
      </w:r>
      <w:r w:rsidRPr="004B2498">
        <w:t xml:space="preserve">péenne », in </w:t>
      </w:r>
      <w:r w:rsidRPr="0004475E">
        <w:t xml:space="preserve">ThÉRET </w:t>
      </w:r>
      <w:r w:rsidRPr="004B2498">
        <w:t xml:space="preserve">(éd.) : L </w:t>
      </w:r>
      <w:r w:rsidRPr="00042A94">
        <w:rPr>
          <w:i/>
        </w:rPr>
        <w:t>État, la finance et le social : souvera</w:t>
      </w:r>
      <w:r w:rsidRPr="00042A94">
        <w:rPr>
          <w:i/>
        </w:rPr>
        <w:t>i</w:t>
      </w:r>
      <w:r w:rsidRPr="00042A94">
        <w:rPr>
          <w:i/>
        </w:rPr>
        <w:t>neté nationale et construction européenne</w:t>
      </w:r>
      <w:r w:rsidRPr="004B2498">
        <w:t>, Paris, La Découverte, p. 560-600.</w:t>
      </w:r>
    </w:p>
    <w:p w14:paraId="3FDDC5E4" w14:textId="77777777" w:rsidR="002F4063" w:rsidRPr="004B2498" w:rsidRDefault="002F4063" w:rsidP="002F4063">
      <w:pPr>
        <w:spacing w:before="120" w:after="120"/>
        <w:jc w:val="both"/>
      </w:pPr>
      <w:r w:rsidRPr="004B2498">
        <w:t>VIJAYBASKAR M., SWAMINATHAN P., ANANDHI S. and BALAGOPAL G., 2004 : “Human Development in Tamil Nadu : Examining Linkages”,</w:t>
      </w:r>
      <w:r>
        <w:t xml:space="preserve"> </w:t>
      </w:r>
      <w:r w:rsidRPr="004B2498">
        <w:t>[138]</w:t>
      </w:r>
      <w:r>
        <w:t xml:space="preserve"> </w:t>
      </w:r>
      <w:r w:rsidRPr="00042A94">
        <w:rPr>
          <w:i/>
        </w:rPr>
        <w:t>Economic and Political Weekly</w:t>
      </w:r>
      <w:r w:rsidRPr="004B2498">
        <w:t>, vol. 39, No 8, February 28, 2004, p. 797-806.</w:t>
      </w:r>
    </w:p>
    <w:p w14:paraId="39FDA2EE" w14:textId="77777777" w:rsidR="002F4063" w:rsidRPr="004B2498" w:rsidRDefault="002F4063" w:rsidP="002F4063">
      <w:pPr>
        <w:spacing w:before="120" w:after="120"/>
        <w:jc w:val="both"/>
      </w:pPr>
      <w:r w:rsidRPr="0004475E">
        <w:t xml:space="preserve">VlLLARREAL </w:t>
      </w:r>
      <w:r w:rsidRPr="004B2498">
        <w:t xml:space="preserve">Magdalena, 2009 : </w:t>
      </w:r>
      <w:r w:rsidRPr="00042A94">
        <w:rPr>
          <w:i/>
        </w:rPr>
        <w:t>Mujeres, finanzas sociales y violencia economica en zonas marginadas de Guadalajara</w:t>
      </w:r>
      <w:r w:rsidRPr="004B2498">
        <w:t>, Guadal</w:t>
      </w:r>
      <w:r w:rsidRPr="004B2498">
        <w:t>a</w:t>
      </w:r>
      <w:r w:rsidRPr="004B2498">
        <w:t>jara : IMMG/IJM.</w:t>
      </w:r>
    </w:p>
    <w:p w14:paraId="52605BE7" w14:textId="77777777" w:rsidR="002F4063" w:rsidRPr="004B2498" w:rsidRDefault="002F4063" w:rsidP="002F4063">
      <w:pPr>
        <w:spacing w:before="120" w:after="120"/>
        <w:jc w:val="both"/>
      </w:pPr>
      <w:r w:rsidRPr="0004475E">
        <w:t xml:space="preserve">VlLLARREAL </w:t>
      </w:r>
      <w:r w:rsidRPr="004B2498">
        <w:t>Magdalena, 2004 : “Striving to make Capital do “Economie Things” for the Impoverished : On the Issue of Capitaliz</w:t>
      </w:r>
      <w:r w:rsidRPr="004B2498">
        <w:t>a</w:t>
      </w:r>
      <w:r w:rsidRPr="004B2498">
        <w:t xml:space="preserve">tion in Rural Microenterprises”. In Development Intervention : Actor and Activity Perspectives, </w:t>
      </w:r>
      <w:r w:rsidRPr="0004475E">
        <w:t xml:space="preserve">KONTINEN </w:t>
      </w:r>
      <w:r w:rsidRPr="004B2498">
        <w:t xml:space="preserve">T. (ed.). </w:t>
      </w:r>
      <w:r w:rsidRPr="00042A94">
        <w:rPr>
          <w:i/>
        </w:rPr>
        <w:t>Center for Activity Theory and Developmental Work Research (CATDWR),</w:t>
      </w:r>
      <w:r w:rsidRPr="004B2498">
        <w:t xml:space="preserve"> Institute for Dev</w:t>
      </w:r>
      <w:r w:rsidRPr="004B2498">
        <w:t>e</w:t>
      </w:r>
      <w:r w:rsidRPr="004B2498">
        <w:t>lopment Studies (IDS) and University of Helsinki : Helsinki, 67-81.</w:t>
      </w:r>
    </w:p>
    <w:p w14:paraId="55B285C8" w14:textId="77777777" w:rsidR="002F4063" w:rsidRPr="004B2498" w:rsidRDefault="002F4063" w:rsidP="002F4063">
      <w:pPr>
        <w:spacing w:before="120" w:after="120"/>
        <w:jc w:val="both"/>
      </w:pPr>
      <w:r w:rsidRPr="0004475E">
        <w:t xml:space="preserve">Weber </w:t>
      </w:r>
      <w:r w:rsidRPr="004B2498">
        <w:t xml:space="preserve">Florence, 2007 : « Vers une ethnographie des prestations sans marché » (Préface), in </w:t>
      </w:r>
      <w:r w:rsidRPr="0004475E">
        <w:t xml:space="preserve">MAUSS </w:t>
      </w:r>
      <w:r w:rsidRPr="004B2498">
        <w:t xml:space="preserve">Marcel : </w:t>
      </w:r>
      <w:hyperlink r:id="rId22" w:history="1">
        <w:r w:rsidRPr="00042A94">
          <w:rPr>
            <w:rStyle w:val="Hyperlien"/>
            <w:i/>
          </w:rPr>
          <w:t>Essai sur le don</w:t>
        </w:r>
      </w:hyperlink>
      <w:r w:rsidRPr="004B2498">
        <w:t>, Paris, Presses Universitaires de France, p. 7-62.</w:t>
      </w:r>
    </w:p>
    <w:p w14:paraId="3CC333D5" w14:textId="77777777" w:rsidR="002F4063" w:rsidRPr="004B2498" w:rsidRDefault="002F4063" w:rsidP="002F4063">
      <w:pPr>
        <w:spacing w:before="120" w:after="120"/>
        <w:jc w:val="both"/>
      </w:pPr>
      <w:r w:rsidRPr="0004475E">
        <w:t xml:space="preserve">WEBER </w:t>
      </w:r>
      <w:r w:rsidRPr="004B2498">
        <w:t>Florence, 2000 : « Transactions marchandes, échanges r</w:t>
      </w:r>
      <w:r w:rsidRPr="004B2498">
        <w:t>i</w:t>
      </w:r>
      <w:r w:rsidRPr="004B2498">
        <w:t xml:space="preserve">tuels, relations personnelles. Une ethnographie économique après le Grand Partage », </w:t>
      </w:r>
      <w:r w:rsidRPr="00042A94">
        <w:rPr>
          <w:i/>
        </w:rPr>
        <w:t>Genèses</w:t>
      </w:r>
      <w:r w:rsidRPr="004B2498">
        <w:t>, n° 41, déc., p. 85-107.</w:t>
      </w:r>
    </w:p>
    <w:p w14:paraId="27A8349E" w14:textId="77777777" w:rsidR="002F4063" w:rsidRPr="004B2498" w:rsidRDefault="002F4063" w:rsidP="002F4063">
      <w:pPr>
        <w:spacing w:before="120" w:after="120"/>
        <w:jc w:val="both"/>
      </w:pPr>
      <w:r w:rsidRPr="004B2498">
        <w:t xml:space="preserve">WORLD </w:t>
      </w:r>
      <w:r w:rsidRPr="0004475E">
        <w:t xml:space="preserve">Bank, </w:t>
      </w:r>
      <w:r w:rsidRPr="004B2498">
        <w:t xml:space="preserve">2007 : </w:t>
      </w:r>
      <w:r w:rsidRPr="00042A94">
        <w:rPr>
          <w:i/>
        </w:rPr>
        <w:t>Finance for All ? Policies and Pitfalls in Expanding Access. A World Bank Policy Research Report</w:t>
      </w:r>
      <w:r w:rsidRPr="004B2498">
        <w:t>. World Bank : Washington, D.C.</w:t>
      </w:r>
    </w:p>
    <w:p w14:paraId="7AF75AC0" w14:textId="77777777" w:rsidR="002F4063" w:rsidRPr="004B2498" w:rsidRDefault="002F4063" w:rsidP="002F4063">
      <w:pPr>
        <w:spacing w:before="120" w:after="120"/>
        <w:jc w:val="both"/>
      </w:pPr>
      <w:r w:rsidRPr="0004475E">
        <w:t xml:space="preserve">YUNUS </w:t>
      </w:r>
      <w:r w:rsidRPr="004B2498">
        <w:t xml:space="preserve">Muhammad, 2007 : </w:t>
      </w:r>
      <w:r w:rsidRPr="00042A94">
        <w:rPr>
          <w:i/>
        </w:rPr>
        <w:t>Creating a World Without Poverty : S</w:t>
      </w:r>
      <w:r w:rsidRPr="00042A94">
        <w:rPr>
          <w:i/>
        </w:rPr>
        <w:t>o</w:t>
      </w:r>
      <w:r w:rsidRPr="00042A94">
        <w:rPr>
          <w:i/>
        </w:rPr>
        <w:t>cial Business and the Future of Capitalism</w:t>
      </w:r>
      <w:r w:rsidRPr="004B2498">
        <w:t>, Pretoria : New Africa Press.</w:t>
      </w:r>
    </w:p>
    <w:p w14:paraId="7E617148" w14:textId="77777777" w:rsidR="002F4063" w:rsidRPr="004B2498" w:rsidRDefault="002F4063" w:rsidP="002F4063">
      <w:pPr>
        <w:spacing w:before="120" w:after="120"/>
        <w:jc w:val="both"/>
      </w:pPr>
      <w:r w:rsidRPr="0004475E">
        <w:t xml:space="preserve">ZEL1ZER </w:t>
      </w:r>
      <w:r w:rsidRPr="004B2498">
        <w:t xml:space="preserve">Viviana, 2005 : </w:t>
      </w:r>
      <w:r w:rsidRPr="00042A94">
        <w:rPr>
          <w:i/>
        </w:rPr>
        <w:t>The purchase of intimacy</w:t>
      </w:r>
      <w:r w:rsidRPr="004B2498">
        <w:t>, Princeton : Princeton University Press</w:t>
      </w:r>
    </w:p>
    <w:p w14:paraId="7B43C8F8" w14:textId="77777777" w:rsidR="002F4063" w:rsidRPr="004B2498" w:rsidRDefault="002F4063" w:rsidP="002F4063">
      <w:pPr>
        <w:spacing w:before="120" w:after="120"/>
        <w:jc w:val="both"/>
      </w:pPr>
      <w:r w:rsidRPr="004B2498">
        <w:t xml:space="preserve">ZELIZER Viviana, 1994 : The </w:t>
      </w:r>
      <w:r w:rsidRPr="00042A94">
        <w:rPr>
          <w:i/>
        </w:rPr>
        <w:t>social meaning of money</w:t>
      </w:r>
      <w:r w:rsidRPr="004B2498">
        <w:t xml:space="preserve">, New-York : Basic Books. </w:t>
      </w:r>
    </w:p>
    <w:p w14:paraId="7281CEFF" w14:textId="77777777" w:rsidR="002F4063" w:rsidRPr="004B2498" w:rsidRDefault="002F4063" w:rsidP="002F4063">
      <w:pPr>
        <w:jc w:val="both"/>
      </w:pPr>
      <w:r w:rsidRPr="004B2498">
        <w:br w:type="page"/>
      </w:r>
    </w:p>
    <w:p w14:paraId="78EF050B" w14:textId="77777777" w:rsidR="002F4063" w:rsidRPr="004B2498" w:rsidRDefault="002F4063" w:rsidP="002F4063"/>
    <w:p w14:paraId="04A1734E" w14:textId="77777777" w:rsidR="002F4063" w:rsidRPr="004B2498" w:rsidRDefault="002F4063" w:rsidP="002F4063">
      <w:pPr>
        <w:jc w:val="both"/>
      </w:pPr>
    </w:p>
    <w:p w14:paraId="40D13800" w14:textId="77777777" w:rsidR="002F4063" w:rsidRPr="004B2498" w:rsidRDefault="002F4063" w:rsidP="002F4063">
      <w:pPr>
        <w:jc w:val="both"/>
      </w:pPr>
    </w:p>
    <w:p w14:paraId="355E2879" w14:textId="77777777" w:rsidR="002F4063" w:rsidRPr="002C57DA" w:rsidRDefault="002F4063" w:rsidP="002F4063">
      <w:pPr>
        <w:spacing w:after="120"/>
        <w:ind w:firstLine="0"/>
        <w:jc w:val="center"/>
        <w:rPr>
          <w:b/>
          <w:sz w:val="24"/>
        </w:rPr>
      </w:pPr>
      <w:bookmarkStart w:id="10" w:name="Enjeux_sc_soc_pt_2"/>
      <w:r w:rsidRPr="002C57DA">
        <w:rPr>
          <w:b/>
          <w:sz w:val="24"/>
        </w:rPr>
        <w:t>Enjeux épistémologiques et idéologiques</w:t>
      </w:r>
      <w:r w:rsidRPr="002C57DA">
        <w:rPr>
          <w:b/>
          <w:sz w:val="24"/>
        </w:rPr>
        <w:br/>
        <w:t>de la globalisation pour les sciences sociales.</w:t>
      </w:r>
    </w:p>
    <w:p w14:paraId="784386F1" w14:textId="77777777" w:rsidR="002F4063" w:rsidRPr="004B2498" w:rsidRDefault="002F4063" w:rsidP="002F4063">
      <w:pPr>
        <w:jc w:val="both"/>
      </w:pPr>
    </w:p>
    <w:p w14:paraId="519CB559" w14:textId="77777777" w:rsidR="002F4063" w:rsidRPr="002C57DA" w:rsidRDefault="002F4063" w:rsidP="002F4063">
      <w:pPr>
        <w:pStyle w:val="partie"/>
      </w:pPr>
      <w:r>
        <w:t>Deuxième</w:t>
      </w:r>
      <w:r w:rsidRPr="002C57DA">
        <w:t xml:space="preserve"> partie</w:t>
      </w:r>
    </w:p>
    <w:p w14:paraId="03E60375" w14:textId="77777777" w:rsidR="002F4063" w:rsidRPr="004B2498" w:rsidRDefault="002F4063" w:rsidP="002F4063">
      <w:pPr>
        <w:jc w:val="both"/>
      </w:pPr>
    </w:p>
    <w:p w14:paraId="2A1F571A" w14:textId="77777777" w:rsidR="002F4063" w:rsidRPr="002C57DA" w:rsidRDefault="002F4063" w:rsidP="002F4063">
      <w:pPr>
        <w:pStyle w:val="partiest"/>
      </w:pPr>
      <w:r>
        <w:t>ACTEURS</w:t>
      </w:r>
      <w:r>
        <w:br/>
        <w:t>ET ACTRICES</w:t>
      </w:r>
    </w:p>
    <w:bookmarkEnd w:id="10"/>
    <w:p w14:paraId="0F5D51BF" w14:textId="77777777" w:rsidR="002F4063" w:rsidRPr="004B2498" w:rsidRDefault="002F4063" w:rsidP="002F4063">
      <w:pPr>
        <w:jc w:val="both"/>
      </w:pPr>
    </w:p>
    <w:p w14:paraId="0A15C2F0" w14:textId="77777777" w:rsidR="002F4063" w:rsidRPr="004B2498" w:rsidRDefault="002F4063" w:rsidP="002F4063">
      <w:pPr>
        <w:jc w:val="both"/>
      </w:pPr>
    </w:p>
    <w:p w14:paraId="7FE42DA7" w14:textId="77777777" w:rsidR="002F4063" w:rsidRPr="004B2498" w:rsidRDefault="002F4063" w:rsidP="002F4063">
      <w:pPr>
        <w:jc w:val="both"/>
      </w:pPr>
    </w:p>
    <w:p w14:paraId="6FB84FE8" w14:textId="77777777" w:rsidR="002F4063" w:rsidRPr="004B2498" w:rsidRDefault="002F4063" w:rsidP="002F4063">
      <w:pPr>
        <w:jc w:val="both"/>
      </w:pPr>
    </w:p>
    <w:p w14:paraId="0CDE7B62" w14:textId="77777777" w:rsidR="002F4063" w:rsidRPr="004B2498" w:rsidRDefault="002F4063" w:rsidP="002F4063">
      <w:pPr>
        <w:jc w:val="both"/>
      </w:pPr>
    </w:p>
    <w:p w14:paraId="4E301B11" w14:textId="77777777" w:rsidR="002F4063" w:rsidRPr="004B2498" w:rsidRDefault="002F4063" w:rsidP="002F4063">
      <w:pPr>
        <w:jc w:val="both"/>
      </w:pPr>
    </w:p>
    <w:p w14:paraId="268B4B6C" w14:textId="77777777" w:rsidR="002F4063" w:rsidRPr="004B2498" w:rsidRDefault="002F4063" w:rsidP="002F4063">
      <w:pPr>
        <w:jc w:val="both"/>
      </w:pPr>
    </w:p>
    <w:p w14:paraId="48D92575" w14:textId="77777777" w:rsidR="002F4063" w:rsidRPr="004B2498" w:rsidRDefault="002F4063" w:rsidP="002F4063">
      <w:pPr>
        <w:jc w:val="both"/>
      </w:pPr>
    </w:p>
    <w:p w14:paraId="4D7ECE52" w14:textId="77777777" w:rsidR="002F4063" w:rsidRPr="002C57DA" w:rsidRDefault="002F4063" w:rsidP="002F4063">
      <w:pPr>
        <w:ind w:right="90" w:firstLine="0"/>
        <w:jc w:val="both"/>
        <w:rPr>
          <w:sz w:val="24"/>
        </w:rPr>
      </w:pPr>
      <w:hyperlink w:anchor="sommaire" w:history="1">
        <w:r w:rsidRPr="002C57DA">
          <w:rPr>
            <w:rStyle w:val="Hyperlien"/>
            <w:sz w:val="24"/>
          </w:rPr>
          <w:t>Retour au sommaire</w:t>
        </w:r>
      </w:hyperlink>
    </w:p>
    <w:p w14:paraId="14BE114F" w14:textId="77777777" w:rsidR="002F4063" w:rsidRPr="004B2498" w:rsidRDefault="002F4063" w:rsidP="002F4063">
      <w:pPr>
        <w:jc w:val="both"/>
      </w:pPr>
    </w:p>
    <w:p w14:paraId="5AAABE4B" w14:textId="77777777" w:rsidR="002F4063" w:rsidRPr="004B2498" w:rsidRDefault="002F4063" w:rsidP="002F4063">
      <w:pPr>
        <w:pStyle w:val="p"/>
        <w:rPr>
          <w:lang w:eastAsia="fr-FR" w:bidi="fr-FR"/>
        </w:rPr>
      </w:pPr>
      <w:r w:rsidRPr="004B2498">
        <w:br w:type="page"/>
      </w:r>
      <w:r w:rsidRPr="004B2498">
        <w:rPr>
          <w:lang w:eastAsia="fr-FR" w:bidi="fr-FR"/>
        </w:rPr>
        <w:t>[139]</w:t>
      </w:r>
    </w:p>
    <w:p w14:paraId="63531EBB" w14:textId="77777777" w:rsidR="002F4063" w:rsidRPr="004B2498" w:rsidRDefault="002F4063" w:rsidP="002F4063">
      <w:pPr>
        <w:jc w:val="both"/>
      </w:pPr>
    </w:p>
    <w:p w14:paraId="06CEE3D3" w14:textId="77777777" w:rsidR="002F4063" w:rsidRPr="004B2498" w:rsidRDefault="002F4063" w:rsidP="002F4063">
      <w:pPr>
        <w:jc w:val="both"/>
      </w:pPr>
    </w:p>
    <w:p w14:paraId="4A06BABE" w14:textId="77777777" w:rsidR="002F4063" w:rsidRPr="002C57DA" w:rsidRDefault="002F4063" w:rsidP="002F4063">
      <w:pPr>
        <w:spacing w:after="120"/>
        <w:ind w:firstLine="0"/>
        <w:jc w:val="center"/>
        <w:rPr>
          <w:b/>
          <w:sz w:val="24"/>
        </w:rPr>
      </w:pPr>
      <w:bookmarkStart w:id="11" w:name="Enjeux_sc_soc_pt_2_texte_1"/>
      <w:r w:rsidRPr="002C57DA">
        <w:rPr>
          <w:b/>
          <w:sz w:val="24"/>
        </w:rPr>
        <w:t>Enjeux épistémologiques et idéologiques</w:t>
      </w:r>
      <w:r w:rsidRPr="002C57DA">
        <w:rPr>
          <w:b/>
          <w:sz w:val="24"/>
        </w:rPr>
        <w:br/>
        <w:t>de la globalisation pour les sciences sociales.</w:t>
      </w:r>
    </w:p>
    <w:p w14:paraId="7F36E17D" w14:textId="77777777" w:rsidR="002F4063" w:rsidRPr="00386FE1" w:rsidRDefault="002F4063" w:rsidP="002F4063">
      <w:pPr>
        <w:spacing w:after="120"/>
        <w:ind w:firstLine="0"/>
        <w:jc w:val="center"/>
        <w:rPr>
          <w:sz w:val="24"/>
        </w:rPr>
      </w:pPr>
      <w:r>
        <w:rPr>
          <w:sz w:val="24"/>
        </w:rPr>
        <w:t>Deuxième</w:t>
      </w:r>
      <w:r w:rsidRPr="00386FE1">
        <w:rPr>
          <w:sz w:val="24"/>
        </w:rPr>
        <w:t xml:space="preserve"> partie : </w:t>
      </w:r>
      <w:r>
        <w:rPr>
          <w:sz w:val="24"/>
        </w:rPr>
        <w:t>Acteurs et actrices</w:t>
      </w:r>
    </w:p>
    <w:p w14:paraId="777569C6" w14:textId="77777777" w:rsidR="002F4063" w:rsidRPr="00386FE1" w:rsidRDefault="002F4063" w:rsidP="002F4063">
      <w:pPr>
        <w:pStyle w:val="Titreniveau1"/>
      </w:pPr>
      <w:r w:rsidRPr="00386FE1">
        <w:t>1</w:t>
      </w:r>
    </w:p>
    <w:p w14:paraId="6E67CA63" w14:textId="77777777" w:rsidR="002F4063" w:rsidRPr="004B2498" w:rsidRDefault="002F4063" w:rsidP="002F4063">
      <w:pPr>
        <w:pStyle w:val="Titreniveau2"/>
      </w:pPr>
      <w:r w:rsidRPr="004B2498">
        <w:t>“GLOBALISATION</w:t>
      </w:r>
      <w:r w:rsidRPr="004B2498">
        <w:br/>
        <w:t xml:space="preserve">ET </w:t>
      </w:r>
      <w:r>
        <w:t>IDÉOLOGIE PARTICIPATIVE :</w:t>
      </w:r>
      <w:r>
        <w:br/>
        <w:t>QUEL AVENIR POUR LE PROJET</w:t>
      </w:r>
      <w:r>
        <w:br/>
        <w:t>DÉMOCRATIQUE</w:t>
      </w:r>
      <w:r>
        <w:br/>
        <w:t>AU CAP-VERT ?</w:t>
      </w:r>
      <w:r w:rsidRPr="004B2498">
        <w:t>”</w:t>
      </w:r>
    </w:p>
    <w:bookmarkEnd w:id="11"/>
    <w:p w14:paraId="1ECC22BD" w14:textId="77777777" w:rsidR="002F4063" w:rsidRDefault="002F4063" w:rsidP="002F4063">
      <w:pPr>
        <w:jc w:val="both"/>
        <w:rPr>
          <w:szCs w:val="36"/>
        </w:rPr>
      </w:pPr>
    </w:p>
    <w:p w14:paraId="185D805C" w14:textId="77777777" w:rsidR="002F4063" w:rsidRPr="004B2498" w:rsidRDefault="002F4063" w:rsidP="002F4063">
      <w:pPr>
        <w:jc w:val="both"/>
        <w:rPr>
          <w:szCs w:val="36"/>
        </w:rPr>
      </w:pPr>
    </w:p>
    <w:p w14:paraId="5611F8C7" w14:textId="77777777" w:rsidR="002F4063" w:rsidRPr="004B2498" w:rsidRDefault="002F4063" w:rsidP="002F4063">
      <w:pPr>
        <w:pStyle w:val="suite"/>
      </w:pPr>
      <w:r w:rsidRPr="004B2498">
        <w:rPr>
          <w:szCs w:val="24"/>
          <w:lang w:eastAsia="fr-FR" w:bidi="fr-FR"/>
        </w:rPr>
        <w:t xml:space="preserve">Rosinha </w:t>
      </w:r>
      <w:r w:rsidRPr="004B2498">
        <w:t>MACHADO CARRION</w:t>
      </w:r>
      <w:r>
        <w:rPr>
          <w:b w:val="0"/>
        </w:rPr>
        <w:t> </w:t>
      </w:r>
      <w:r>
        <w:rPr>
          <w:rStyle w:val="Appelnotedebasdep"/>
          <w:b w:val="0"/>
        </w:rPr>
        <w:footnoteReference w:customMarkFollows="1" w:id="97"/>
        <w:t>*</w:t>
      </w:r>
    </w:p>
    <w:p w14:paraId="0A81BC58" w14:textId="77777777" w:rsidR="002F4063" w:rsidRPr="004B2498" w:rsidRDefault="002F4063" w:rsidP="002F4063">
      <w:pPr>
        <w:spacing w:before="120" w:after="120"/>
        <w:jc w:val="both"/>
        <w:rPr>
          <w:lang w:eastAsia="fr-FR" w:bidi="fr-FR"/>
        </w:rPr>
      </w:pPr>
    </w:p>
    <w:p w14:paraId="2E232B7A" w14:textId="77777777" w:rsidR="002F4063" w:rsidRPr="002C57DA" w:rsidRDefault="002F4063" w:rsidP="002F4063">
      <w:pPr>
        <w:ind w:right="90" w:firstLine="0"/>
        <w:jc w:val="both"/>
        <w:rPr>
          <w:sz w:val="24"/>
        </w:rPr>
      </w:pPr>
      <w:hyperlink w:anchor="sommaire" w:history="1">
        <w:r w:rsidRPr="002C57DA">
          <w:rPr>
            <w:rStyle w:val="Hyperlien"/>
            <w:sz w:val="24"/>
          </w:rPr>
          <w:t>Retour au sommaire</w:t>
        </w:r>
      </w:hyperlink>
    </w:p>
    <w:p w14:paraId="1647A0F1" w14:textId="77777777" w:rsidR="002F4063" w:rsidRPr="004B2498" w:rsidRDefault="002F4063" w:rsidP="002F4063">
      <w:pPr>
        <w:spacing w:before="120" w:after="120"/>
        <w:jc w:val="both"/>
      </w:pPr>
      <w:r w:rsidRPr="004B2498">
        <w:rPr>
          <w:lang w:eastAsia="fr-FR" w:bidi="fr-FR"/>
        </w:rPr>
        <w:t>Dans des pays périphériquement intégrés au modèle développ</w:t>
      </w:r>
      <w:r w:rsidRPr="004B2498">
        <w:rPr>
          <w:lang w:eastAsia="fr-FR" w:bidi="fr-FR"/>
        </w:rPr>
        <w:t>e</w:t>
      </w:r>
      <w:r w:rsidRPr="004B2498">
        <w:rPr>
          <w:lang w:eastAsia="fr-FR" w:bidi="fr-FR"/>
        </w:rPr>
        <w:t>mentiste de caractère néolibéral et formellement constitués en tant que démocraties, la population exclue socialement, économiquement et politiquement trouve-t-elle dans les ONG locales un espace de lutte et de contestation contre les effets pervers du régime d’accumulation capitaliste dans sa version globalisée ?</w:t>
      </w:r>
    </w:p>
    <w:p w14:paraId="54F60B2D" w14:textId="77777777" w:rsidR="002F4063" w:rsidRPr="004B2498" w:rsidRDefault="002F4063" w:rsidP="002F4063">
      <w:pPr>
        <w:spacing w:before="120" w:after="120"/>
        <w:jc w:val="both"/>
      </w:pPr>
      <w:r w:rsidRPr="004B2498">
        <w:rPr>
          <w:lang w:eastAsia="fr-FR" w:bidi="fr-FR"/>
        </w:rPr>
        <w:t>De telles organisations sont-elles les représentantes légitimes d’une société civile locale entendue comme un espace social de lutte, de contestation, de débat et de revendications, configuré par les forces historiques (Bayart, 1986), ou des piliers du projet politique du parti au pouvoir qui acceptent des règles définies et déterminées par les agents de coopération internationale et étatique ?</w:t>
      </w:r>
    </w:p>
    <w:p w14:paraId="7E179E14" w14:textId="77777777" w:rsidR="002F4063" w:rsidRPr="004B2498" w:rsidRDefault="002F4063" w:rsidP="002F4063">
      <w:pPr>
        <w:spacing w:before="120" w:after="120"/>
        <w:jc w:val="both"/>
      </w:pPr>
      <w:r w:rsidRPr="004B2498">
        <w:rPr>
          <w:lang w:eastAsia="fr-FR" w:bidi="fr-FR"/>
        </w:rPr>
        <w:t xml:space="preserve">Fréquemment employée par les pays du Nord qui financent le « développement » du Sud, l’expression </w:t>
      </w:r>
      <w:r w:rsidRPr="00907C3D">
        <w:rPr>
          <w:i/>
        </w:rPr>
        <w:t>société civile</w:t>
      </w:r>
      <w:r w:rsidRPr="004B2498">
        <w:rPr>
          <w:lang w:eastAsia="fr-FR" w:bidi="fr-FR"/>
        </w:rPr>
        <w:t xml:space="preserve"> aurait-elle été globalisée et « transformée en un moyen pour une fin, plutôt qu’en une fin</w:t>
      </w:r>
      <w:r w:rsidRPr="004B2498">
        <w:t xml:space="preserve"> [140]</w:t>
      </w:r>
      <w:r>
        <w:t xml:space="preserve"> </w:t>
      </w:r>
      <w:r w:rsidRPr="004B2498">
        <w:rPr>
          <w:lang w:eastAsia="fr-FR" w:bidi="fr-FR"/>
        </w:rPr>
        <w:t>en soi » (Wickramasinghe, 2005, p. 458) au service des objectifs des agents de coopération internationale et des Objectifs du millénaire pour le développement (OMD) ?</w:t>
      </w:r>
    </w:p>
    <w:p w14:paraId="6B185236" w14:textId="77777777" w:rsidR="002F4063" w:rsidRPr="004B2498" w:rsidRDefault="002F4063" w:rsidP="002F4063">
      <w:pPr>
        <w:spacing w:before="120" w:after="120"/>
        <w:jc w:val="both"/>
      </w:pPr>
      <w:r w:rsidRPr="004B2498">
        <w:rPr>
          <w:lang w:eastAsia="fr-FR" w:bidi="fr-FR"/>
        </w:rPr>
        <w:t>Ces interrogations sont à l’origine du présent article qui analyse cette problématique au Cap-Vert. Plus globalement, il s’inscrit dans une recherche empirique menée au Brésil et dans des pays africains ayant pour langue officielle le portugais (PALOP) - des pays entrant dans la classification de « modernité périphérique » selon la typologie proposée par Souza (2006).</w:t>
      </w:r>
    </w:p>
    <w:p w14:paraId="1F16BFA8" w14:textId="77777777" w:rsidR="002F4063" w:rsidRPr="004B2498" w:rsidRDefault="002F4063" w:rsidP="002F4063">
      <w:pPr>
        <w:spacing w:before="120" w:after="120"/>
        <w:jc w:val="both"/>
        <w:rPr>
          <w:szCs w:val="24"/>
          <w:lang w:eastAsia="fr-FR" w:bidi="fr-FR"/>
        </w:rPr>
      </w:pPr>
    </w:p>
    <w:p w14:paraId="46C34202" w14:textId="77777777" w:rsidR="002F4063" w:rsidRPr="004B2498" w:rsidRDefault="002F4063" w:rsidP="002F4063">
      <w:pPr>
        <w:pStyle w:val="a"/>
      </w:pPr>
      <w:r w:rsidRPr="004B2498">
        <w:t>Le Cap-Vert :</w:t>
      </w:r>
      <w:r w:rsidRPr="004B2498">
        <w:br/>
        <w:t>un pa</w:t>
      </w:r>
      <w:r>
        <w:t>ys de la modernité périphérique</w:t>
      </w:r>
      <w:r>
        <w:br/>
      </w:r>
      <w:r w:rsidRPr="004B2498">
        <w:t>au temps de la globalisation</w:t>
      </w:r>
    </w:p>
    <w:p w14:paraId="4BC8267C" w14:textId="77777777" w:rsidR="002F4063" w:rsidRPr="004B2498" w:rsidRDefault="002F4063" w:rsidP="002F4063">
      <w:pPr>
        <w:spacing w:before="120" w:after="120"/>
        <w:jc w:val="both"/>
        <w:rPr>
          <w:lang w:eastAsia="fr-FR" w:bidi="fr-FR"/>
        </w:rPr>
      </w:pPr>
    </w:p>
    <w:p w14:paraId="58794221" w14:textId="77777777" w:rsidR="002F4063" w:rsidRPr="004B2498" w:rsidRDefault="002F4063" w:rsidP="002F4063">
      <w:pPr>
        <w:spacing w:before="120" w:after="120"/>
        <w:jc w:val="both"/>
      </w:pPr>
      <w:r w:rsidRPr="004B2498">
        <w:rPr>
          <w:lang w:eastAsia="fr-FR" w:bidi="fr-FR"/>
        </w:rPr>
        <w:t>D’abord utilisée par Souza (2006) pour caractériser le Brésil puis reprise par Sousa Santos (2008), l’expression « pays de la modernité périphérique » renvoie à la fois aux transformations étatiques gouve</w:t>
      </w:r>
      <w:r w:rsidRPr="004B2498">
        <w:rPr>
          <w:lang w:eastAsia="fr-FR" w:bidi="fr-FR"/>
        </w:rPr>
        <w:t>r</w:t>
      </w:r>
      <w:r w:rsidRPr="004B2498">
        <w:rPr>
          <w:lang w:eastAsia="fr-FR" w:bidi="fr-FR"/>
        </w:rPr>
        <w:t>nées par les principes du néolibéralisme, au clientélisme comme trait marquant de la culture politique et à la naturalisation des inégalités.</w:t>
      </w:r>
    </w:p>
    <w:p w14:paraId="3EEAD916" w14:textId="77777777" w:rsidR="002F4063" w:rsidRPr="004B2498" w:rsidRDefault="002F4063" w:rsidP="002F4063">
      <w:pPr>
        <w:spacing w:before="120" w:after="120"/>
        <w:jc w:val="both"/>
      </w:pPr>
      <w:r w:rsidRPr="004B2498">
        <w:rPr>
          <w:lang w:eastAsia="fr-FR" w:bidi="fr-FR"/>
        </w:rPr>
        <w:t>Les principaux indicateurs mis en avant par Souza (2006) pour d</w:t>
      </w:r>
      <w:r w:rsidRPr="004B2498">
        <w:rPr>
          <w:lang w:eastAsia="fr-FR" w:bidi="fr-FR"/>
        </w:rPr>
        <w:t>é</w:t>
      </w:r>
      <w:r w:rsidRPr="004B2498">
        <w:rPr>
          <w:lang w:eastAsia="fr-FR" w:bidi="fr-FR"/>
        </w:rPr>
        <w:t>finir ce qu’il entend par « modernité » dans ce contexte sont :</w:t>
      </w:r>
    </w:p>
    <w:p w14:paraId="5296E673" w14:textId="77777777" w:rsidR="002F4063" w:rsidRPr="004B2498" w:rsidRDefault="002F4063" w:rsidP="002F4063">
      <w:pPr>
        <w:spacing w:before="120" w:after="120"/>
        <w:jc w:val="both"/>
        <w:rPr>
          <w:lang w:eastAsia="fr-FR" w:bidi="fr-FR"/>
        </w:rPr>
      </w:pPr>
    </w:p>
    <w:p w14:paraId="0213B23B" w14:textId="77777777" w:rsidR="002F4063" w:rsidRPr="004B2498" w:rsidRDefault="002F4063" w:rsidP="002F4063">
      <w:pPr>
        <w:spacing w:before="120" w:after="120"/>
        <w:ind w:left="720" w:hanging="360"/>
        <w:jc w:val="both"/>
      </w:pPr>
      <w:r w:rsidRPr="004B2498">
        <w:rPr>
          <w:lang w:eastAsia="fr-FR" w:bidi="fr-FR"/>
        </w:rPr>
        <w:t xml:space="preserve">- </w:t>
      </w:r>
      <w:r w:rsidRPr="004B2498">
        <w:rPr>
          <w:lang w:eastAsia="fr-FR" w:bidi="fr-FR"/>
        </w:rPr>
        <w:tab/>
        <w:t>l’incorporation, dans la gestion des affaires publiques et pr</w:t>
      </w:r>
      <w:r w:rsidRPr="004B2498">
        <w:rPr>
          <w:lang w:eastAsia="fr-FR" w:bidi="fr-FR"/>
        </w:rPr>
        <w:t>i</w:t>
      </w:r>
      <w:r w:rsidRPr="004B2498">
        <w:rPr>
          <w:lang w:eastAsia="fr-FR" w:bidi="fr-FR"/>
        </w:rPr>
        <w:t>vées, de l’ensemble des principes néolibéraux </w:t>
      </w:r>
      <w:r>
        <w:rPr>
          <w:rStyle w:val="Appelnotedebasdep"/>
          <w:lang w:eastAsia="fr-FR" w:bidi="fr-FR"/>
        </w:rPr>
        <w:footnoteReference w:id="98"/>
      </w:r>
      <w:r w:rsidRPr="004B2498">
        <w:rPr>
          <w:lang w:eastAsia="fr-FR" w:bidi="fr-FR"/>
        </w:rPr>
        <w:t xml:space="preserve"> qui ont orienté le mouv</w:t>
      </w:r>
      <w:r w:rsidRPr="004B2498">
        <w:rPr>
          <w:lang w:eastAsia="fr-FR" w:bidi="fr-FR"/>
        </w:rPr>
        <w:t>e</w:t>
      </w:r>
      <w:r w:rsidRPr="004B2498">
        <w:rPr>
          <w:lang w:eastAsia="fr-FR" w:bidi="fr-FR"/>
        </w:rPr>
        <w:t>ment de réingénierie et de réforme de l’État dans les années 1970, 1980 et 1990 ;</w:t>
      </w:r>
    </w:p>
    <w:p w14:paraId="48A93CDA" w14:textId="77777777" w:rsidR="002F4063" w:rsidRPr="004B2498" w:rsidRDefault="002F4063" w:rsidP="002F4063">
      <w:pPr>
        <w:spacing w:before="120" w:after="120"/>
        <w:ind w:left="720" w:hanging="360"/>
        <w:jc w:val="both"/>
      </w:pPr>
      <w:r w:rsidRPr="004B2498">
        <w:rPr>
          <w:lang w:eastAsia="fr-FR" w:bidi="fr-FR"/>
        </w:rPr>
        <w:t>-</w:t>
      </w:r>
      <w:r w:rsidRPr="004B2498">
        <w:rPr>
          <w:lang w:eastAsia="fr-FR" w:bidi="fr-FR"/>
        </w:rPr>
        <w:tab/>
        <w:t>l’incorporation, dans la gestion des activités des secteurs public et privé, du discours sur la qualité et l’excellence ;</w:t>
      </w:r>
    </w:p>
    <w:p w14:paraId="1F90529D" w14:textId="77777777" w:rsidR="002F4063" w:rsidRPr="004B2498" w:rsidRDefault="002F4063" w:rsidP="002F4063">
      <w:pPr>
        <w:spacing w:before="120" w:after="120"/>
        <w:ind w:left="720" w:hanging="360"/>
        <w:jc w:val="both"/>
      </w:pPr>
      <w:r w:rsidRPr="004B2498">
        <w:rPr>
          <w:lang w:eastAsia="fr-FR" w:bidi="fr-FR"/>
        </w:rPr>
        <w:t>-</w:t>
      </w:r>
      <w:r w:rsidRPr="004B2498">
        <w:rPr>
          <w:lang w:eastAsia="fr-FR" w:bidi="fr-FR"/>
        </w:rPr>
        <w:tab/>
        <w:t>les relations entre l’État et le marché basées sur l’idéologie de la compétitivité (Hermet, 2005) ;</w:t>
      </w:r>
    </w:p>
    <w:p w14:paraId="7EBE0C3A" w14:textId="77777777" w:rsidR="002F4063" w:rsidRPr="004B2498" w:rsidRDefault="002F4063" w:rsidP="002F4063">
      <w:pPr>
        <w:spacing w:before="120" w:after="120"/>
        <w:ind w:left="720" w:hanging="360"/>
        <w:jc w:val="both"/>
      </w:pPr>
      <w:r w:rsidRPr="004B2498">
        <w:rPr>
          <w:lang w:eastAsia="fr-FR" w:bidi="fr-FR"/>
        </w:rPr>
        <w:t>-</w:t>
      </w:r>
      <w:r w:rsidRPr="004B2498">
        <w:rPr>
          <w:lang w:eastAsia="fr-FR" w:bidi="fr-FR"/>
        </w:rPr>
        <w:tab/>
        <w:t>le passage pour l’État de la position de fournisseur à celle d’agent régulateur, qui établit les conditions de fonctionnement des marchés internes privés et publics tout en se réservant le r</w:t>
      </w:r>
      <w:r w:rsidRPr="004B2498">
        <w:rPr>
          <w:lang w:eastAsia="fr-FR" w:bidi="fr-FR"/>
        </w:rPr>
        <w:t>ô</w:t>
      </w:r>
      <w:r w:rsidRPr="004B2498">
        <w:rPr>
          <w:lang w:eastAsia="fr-FR" w:bidi="fr-FR"/>
        </w:rPr>
        <w:t xml:space="preserve">le d’auditeur chargé d’évaluer les résultats (Ball, 2004, </w:t>
      </w:r>
      <w:r w:rsidRPr="004C0845">
        <w:rPr>
          <w:i/>
        </w:rPr>
        <w:t>apud</w:t>
      </w:r>
      <w:r w:rsidRPr="004B2498">
        <w:rPr>
          <w:lang w:eastAsia="fr-FR" w:bidi="fr-FR"/>
        </w:rPr>
        <w:t xml:space="preserve"> Scott, 1995, p. 80). Cette s</w:t>
      </w:r>
      <w:r w:rsidRPr="004B2498">
        <w:rPr>
          <w:lang w:eastAsia="fr-FR" w:bidi="fr-FR"/>
        </w:rPr>
        <w:t>i</w:t>
      </w:r>
      <w:r w:rsidRPr="004B2498">
        <w:rPr>
          <w:lang w:eastAsia="fr-FR" w:bidi="fr-FR"/>
        </w:rPr>
        <w:t xml:space="preserve">tuation renvoie à l’idéologie du </w:t>
      </w:r>
      <w:r w:rsidRPr="004C0845">
        <w:rPr>
          <w:i/>
        </w:rPr>
        <w:t>new avaliative State</w:t>
      </w:r>
      <w:r w:rsidRPr="004B2498">
        <w:rPr>
          <w:lang w:eastAsia="fr-FR" w:bidi="fr-FR"/>
        </w:rPr>
        <w:t xml:space="preserve"> (Neave, 1988) qui, d’un côté, optimise et exalte les vertus de la ge</w:t>
      </w:r>
      <w:r w:rsidRPr="004B2498">
        <w:rPr>
          <w:lang w:eastAsia="fr-FR" w:bidi="fr-FR"/>
        </w:rPr>
        <w:t>s</w:t>
      </w:r>
      <w:r w:rsidRPr="004B2498">
        <w:rPr>
          <w:lang w:eastAsia="fr-FR" w:bidi="fr-FR"/>
        </w:rPr>
        <w:t>tion privée et des organisations sociales, et de l’autre masque ses failles et ses déficiences, avec pour cult</w:t>
      </w:r>
      <w:r w:rsidRPr="004B2498">
        <w:rPr>
          <w:lang w:eastAsia="fr-FR" w:bidi="fr-FR"/>
        </w:rPr>
        <w:t>u</w:t>
      </w:r>
      <w:r w:rsidRPr="004B2498">
        <w:rPr>
          <w:lang w:eastAsia="fr-FR" w:bidi="fr-FR"/>
        </w:rPr>
        <w:t>re politique dominante le client</w:t>
      </w:r>
      <w:r w:rsidRPr="004B2498">
        <w:rPr>
          <w:lang w:eastAsia="fr-FR" w:bidi="fr-FR"/>
        </w:rPr>
        <w:t>é</w:t>
      </w:r>
      <w:r w:rsidRPr="004B2498">
        <w:rPr>
          <w:lang w:eastAsia="fr-FR" w:bidi="fr-FR"/>
        </w:rPr>
        <w:t>lisme (Carrion, 2009a).</w:t>
      </w:r>
    </w:p>
    <w:p w14:paraId="5BE7F9F1" w14:textId="77777777" w:rsidR="002F4063" w:rsidRDefault="002F4063" w:rsidP="002F4063">
      <w:pPr>
        <w:spacing w:before="120" w:after="120"/>
        <w:jc w:val="both"/>
        <w:rPr>
          <w:lang w:eastAsia="fr-FR" w:bidi="fr-FR"/>
        </w:rPr>
      </w:pPr>
    </w:p>
    <w:p w14:paraId="6D6C698A" w14:textId="77777777" w:rsidR="002F4063" w:rsidRPr="004B2498" w:rsidRDefault="002F4063" w:rsidP="002F4063">
      <w:pPr>
        <w:spacing w:before="120" w:after="120"/>
        <w:jc w:val="both"/>
      </w:pPr>
      <w:r w:rsidRPr="004B2498">
        <w:rPr>
          <w:lang w:eastAsia="fr-FR" w:bidi="fr-FR"/>
        </w:rPr>
        <w:t>En ce qui concerne le qualificatif « périphérique », l’auteur l’utilise pour signaler l’assujettissement tant économique que politique à la logique du régime d’accumulation capitaliste dans son versant mo</w:t>
      </w:r>
      <w:r w:rsidRPr="004B2498">
        <w:rPr>
          <w:lang w:eastAsia="fr-FR" w:bidi="fr-FR"/>
        </w:rPr>
        <w:t>n</w:t>
      </w:r>
      <w:r w:rsidRPr="004B2498">
        <w:rPr>
          <w:lang w:eastAsia="fr-FR" w:bidi="fr-FR"/>
        </w:rPr>
        <w:t>dialisé.</w:t>
      </w:r>
    </w:p>
    <w:p w14:paraId="7319CEE9" w14:textId="77777777" w:rsidR="002F4063" w:rsidRPr="004B2498" w:rsidRDefault="002F4063" w:rsidP="002F4063">
      <w:pPr>
        <w:spacing w:before="120" w:after="120"/>
        <w:jc w:val="both"/>
      </w:pPr>
    </w:p>
    <w:p w14:paraId="4023C38B" w14:textId="77777777" w:rsidR="002F4063" w:rsidRPr="004B2498" w:rsidRDefault="002F4063" w:rsidP="002F4063">
      <w:pPr>
        <w:spacing w:before="120" w:after="120"/>
        <w:jc w:val="both"/>
      </w:pPr>
      <w:r w:rsidRPr="004B2498">
        <w:t>[141]</w:t>
      </w:r>
    </w:p>
    <w:p w14:paraId="371191ED" w14:textId="77777777" w:rsidR="002F4063" w:rsidRPr="004B2498" w:rsidRDefault="002F4063" w:rsidP="002F4063">
      <w:pPr>
        <w:spacing w:before="120" w:after="120"/>
        <w:jc w:val="both"/>
      </w:pPr>
      <w:r w:rsidRPr="004B2498">
        <w:rPr>
          <w:lang w:eastAsia="fr-FR" w:bidi="fr-FR"/>
        </w:rPr>
        <w:t>Il y a subordination économique dans la mesure où les décisions financières concernant le pays sont prises par les puissances hégém</w:t>
      </w:r>
      <w:r w:rsidRPr="004B2498">
        <w:rPr>
          <w:lang w:eastAsia="fr-FR" w:bidi="fr-FR"/>
        </w:rPr>
        <w:t>o</w:t>
      </w:r>
      <w:r w:rsidRPr="004B2498">
        <w:rPr>
          <w:lang w:eastAsia="fr-FR" w:bidi="fr-FR"/>
        </w:rPr>
        <w:t>niques, lesquelles, en outre, comptent souvent sur la complicité des gouvernements nationaux. Dans ce sens, le pouvoir et la légitimité des gouvernements sont renforcés parce qu’ils adhèrent au discours du « développement inclusif » (Ruckert, 2008), défendu par les banques et les agences de coopération engagées dans l’« aide au développ</w:t>
      </w:r>
      <w:r w:rsidRPr="004B2498">
        <w:rPr>
          <w:lang w:eastAsia="fr-FR" w:bidi="fr-FR"/>
        </w:rPr>
        <w:t>e</w:t>
      </w:r>
      <w:r w:rsidRPr="004B2498">
        <w:rPr>
          <w:lang w:eastAsia="fr-FR" w:bidi="fr-FR"/>
        </w:rPr>
        <w:t>ment »  ; c’est notamment le cas de la Banque mondiale (BM), du Fonds monétaire international (FMI), des agences de l’Organisation des Nations unies (ONU) et de l’Organisation pour la coopération économique européenne (OCDE). La soumission politique indique que, même s’ils se présentent formellement comme des régimes d</w:t>
      </w:r>
      <w:r w:rsidRPr="004B2498">
        <w:rPr>
          <w:lang w:eastAsia="fr-FR" w:bidi="fr-FR"/>
        </w:rPr>
        <w:t>é</w:t>
      </w:r>
      <w:r w:rsidRPr="004B2498">
        <w:rPr>
          <w:lang w:eastAsia="fr-FR" w:bidi="fr-FR"/>
        </w:rPr>
        <w:t>mocratiques, ces pays « naturalisent » les inégalités. Par naturalis</w:t>
      </w:r>
      <w:r w:rsidRPr="004B2498">
        <w:rPr>
          <w:lang w:eastAsia="fr-FR" w:bidi="fr-FR"/>
        </w:rPr>
        <w:t>a</w:t>
      </w:r>
      <w:r w:rsidRPr="004B2498">
        <w:rPr>
          <w:lang w:eastAsia="fr-FR" w:bidi="fr-FR"/>
        </w:rPr>
        <w:t>tion, il faut entendre le processus qui attribue au sujet dont les cond</w:t>
      </w:r>
      <w:r w:rsidRPr="004B2498">
        <w:rPr>
          <w:lang w:eastAsia="fr-FR" w:bidi="fr-FR"/>
        </w:rPr>
        <w:t>i</w:t>
      </w:r>
      <w:r w:rsidRPr="004B2498">
        <w:rPr>
          <w:lang w:eastAsia="fr-FR" w:bidi="fr-FR"/>
        </w:rPr>
        <w:t>tions de vie ne sont pas dignes la responsabilité de la situation dans laquelle il se trouve (Spink &amp; Spink, 2006). Autrement dit, des pays dans lesquels l’esprit d’entreprise est vu comme une stratégie efficace pour combattre la vulnérabilité sociale. Ainsi, « les institutions et les organismes qui sont en charge de la politique sociale [...] entremêlent une idéologie [...] et une conception néolibérales de la citoyenneté exaltant l’individualisme et l’esprit d’entreprise » (Abélès, 2008, p. 207-208). Dans cette perspective, la pauvreté est finalement perçue comme le résultat de l’incapacité du sujet à s’adapter aux normes ve</w:t>
      </w:r>
      <w:r w:rsidRPr="004B2498">
        <w:rPr>
          <w:lang w:eastAsia="fr-FR" w:bidi="fr-FR"/>
        </w:rPr>
        <w:t>r</w:t>
      </w:r>
      <w:r w:rsidRPr="004B2498">
        <w:rPr>
          <w:lang w:eastAsia="fr-FR" w:bidi="fr-FR"/>
        </w:rPr>
        <w:t>tueuses de production et de travail exigées par la postmodernité.</w:t>
      </w:r>
    </w:p>
    <w:p w14:paraId="3817F030" w14:textId="77777777" w:rsidR="002F4063" w:rsidRPr="004B2498" w:rsidRDefault="002F4063" w:rsidP="002F4063">
      <w:pPr>
        <w:spacing w:before="120" w:after="120"/>
        <w:jc w:val="both"/>
      </w:pPr>
      <w:r w:rsidRPr="004B2498">
        <w:rPr>
          <w:lang w:eastAsia="fr-FR" w:bidi="fr-FR"/>
        </w:rPr>
        <w:t>Ce sont aussi des pays où l’idéologie néolibérale se consolide sur l’obligation d’une réforme de l’État pour adapter les règles nationales du marché à la logique du capitalisme transnational, souvent aux d</w:t>
      </w:r>
      <w:r w:rsidRPr="004B2498">
        <w:rPr>
          <w:lang w:eastAsia="fr-FR" w:bidi="fr-FR"/>
        </w:rPr>
        <w:t>é</w:t>
      </w:r>
      <w:r w:rsidRPr="004B2498">
        <w:rPr>
          <w:lang w:eastAsia="fr-FR" w:bidi="fr-FR"/>
        </w:rPr>
        <w:t>pens des droits du travail conquis et avec d’importants coûts sociaux. La richesse est surtout concentrée entre les mains de l’élite dirigeante, d’où l’appauvrissement d’une grande partie de la population qui vit dans une situation de « citoyenneté dilacérée » (Tavares dos Santos, 2009). L’imaginaire collectif y est encore prisonnier des formes de hiérarchisation, voire de discrimination, héritées de la période où ces pays étaient encore sous le joug de puissances étrangères (Carrion, 2009b).</w:t>
      </w:r>
    </w:p>
    <w:p w14:paraId="09663908" w14:textId="77777777" w:rsidR="002F4063" w:rsidRPr="004B2498" w:rsidRDefault="002F4063" w:rsidP="002F4063">
      <w:pPr>
        <w:spacing w:before="120" w:after="120"/>
        <w:jc w:val="both"/>
      </w:pPr>
      <w:r w:rsidRPr="004B2498">
        <w:rPr>
          <w:lang w:eastAsia="fr-FR" w:bidi="fr-FR"/>
        </w:rPr>
        <w:t>Par conséquent, ce sont des pays où la société civile est avant tout comprise comme une partie du marché, et non comme étant insérée dans une perspective d’opposition entre le privé et le public, entre l’État et la société. À cela s’ajoute la tendance à « considérer les vi</w:t>
      </w:r>
      <w:r w:rsidRPr="004B2498">
        <w:rPr>
          <w:lang w:eastAsia="fr-FR" w:bidi="fr-FR"/>
        </w:rPr>
        <w:t>o</w:t>
      </w:r>
      <w:r w:rsidRPr="004B2498">
        <w:rPr>
          <w:lang w:eastAsia="fr-FR" w:bidi="fr-FR"/>
        </w:rPr>
        <w:t>lences extra-étatiques comme une faille de l’institutionnalisation ou du développement politique ; le radicalisme religieux comme un ph</w:t>
      </w:r>
      <w:r w:rsidRPr="004B2498">
        <w:rPr>
          <w:lang w:eastAsia="fr-FR" w:bidi="fr-FR"/>
        </w:rPr>
        <w:t>é</w:t>
      </w:r>
      <w:r w:rsidRPr="004B2498">
        <w:rPr>
          <w:lang w:eastAsia="fr-FR" w:bidi="fr-FR"/>
        </w:rPr>
        <w:t>nomène de transition en attendant la sécularisation promise (plus pr</w:t>
      </w:r>
      <w:r w:rsidRPr="004B2498">
        <w:rPr>
          <w:lang w:eastAsia="fr-FR" w:bidi="fr-FR"/>
        </w:rPr>
        <w:t>o</w:t>
      </w:r>
      <w:r w:rsidRPr="004B2498">
        <w:rPr>
          <w:lang w:eastAsia="fr-FR" w:bidi="fr-FR"/>
        </w:rPr>
        <w:t xml:space="preserve">che de la réalisation occidentale...) : </w:t>
      </w:r>
      <w:r w:rsidRPr="004B2498">
        <w:t>grosso modo,</w:t>
      </w:r>
      <w:r w:rsidRPr="004B2498">
        <w:rPr>
          <w:lang w:eastAsia="fr-FR" w:bidi="fr-FR"/>
        </w:rPr>
        <w:t xml:space="preserve"> le social n’est qu’une perturbation du champ politique » (Badie, 2009, p. 51), un champ réservé à l’action de la classe politique au pouvoir et dans</w:t>
      </w:r>
      <w:r>
        <w:rPr>
          <w:lang w:eastAsia="fr-FR" w:bidi="fr-FR"/>
        </w:rPr>
        <w:t xml:space="preserve"> </w:t>
      </w:r>
      <w:r w:rsidRPr="004B2498">
        <w:t>[142]</w:t>
      </w:r>
      <w:r>
        <w:t xml:space="preserve"> </w:t>
      </w:r>
      <w:r w:rsidRPr="004B2498">
        <w:rPr>
          <w:lang w:eastAsia="fr-FR" w:bidi="fr-FR"/>
        </w:rPr>
        <w:t>lequel « la pulsion (et la « fonction ») étatique est déplacée vers le contrôle » (Abélès, 2008).</w:t>
      </w:r>
    </w:p>
    <w:p w14:paraId="31A6A859" w14:textId="77777777" w:rsidR="002F4063" w:rsidRPr="004B2498" w:rsidRDefault="002F4063" w:rsidP="002F4063">
      <w:pPr>
        <w:spacing w:before="120" w:after="120"/>
        <w:jc w:val="both"/>
      </w:pPr>
      <w:r w:rsidRPr="004B2498">
        <w:rPr>
          <w:lang w:eastAsia="fr-FR" w:bidi="fr-FR"/>
        </w:rPr>
        <w:t>Situé à 455 km de la partie la plus septentrionale de l’Afrique de l’Ouest, à la hauteur du désert du Sahara, l’archipel du Cap-Vert compte 567 000</w:t>
      </w:r>
      <w:r>
        <w:rPr>
          <w:lang w:eastAsia="fr-FR" w:bidi="fr-FR"/>
        </w:rPr>
        <w:t> </w:t>
      </w:r>
      <w:r>
        <w:rPr>
          <w:rStyle w:val="Appelnotedebasdep"/>
          <w:lang w:eastAsia="fr-FR" w:bidi="fr-FR"/>
        </w:rPr>
        <w:footnoteReference w:id="99"/>
      </w:r>
      <w:r w:rsidRPr="004B2498">
        <w:rPr>
          <w:lang w:eastAsia="fr-FR" w:bidi="fr-FR"/>
        </w:rPr>
        <w:t xml:space="preserve"> (INE, 2010) habitants. Le pays fut une colonie po</w:t>
      </w:r>
      <w:r w:rsidRPr="004B2498">
        <w:rPr>
          <w:lang w:eastAsia="fr-FR" w:bidi="fr-FR"/>
        </w:rPr>
        <w:t>r</w:t>
      </w:r>
      <w:r w:rsidRPr="004B2498">
        <w:rPr>
          <w:lang w:eastAsia="fr-FR" w:bidi="fr-FR"/>
        </w:rPr>
        <w:t>tugaise pendant plus de cinq siècles, de 1460 à 1975. Il s’agit d’un pays de tradition catholique, même si au cours des quinze dernières années un nombre important de la population s’est converti à l’évangélisme. Plusieurs églises évangéliques se sont installées sur le territoire, l’une d’elles étant propriétaire du plus important réseau de transmission de télévision nationale. Son histoire est marquée par des sécheresses dévastatrices, qui ont causé dans le passé des milliers de morts. Sans tradition industrielle et avec un sol pauvre pour l’activité agricole, sa base économique est néanmoins l’agriculture et surtout la pêche, qui reste abondante (Cap-Vert, 2009). Depuis quinze ans, le pays assiste à une croissance très élevée du secteur touristique, cepe</w:t>
      </w:r>
      <w:r w:rsidRPr="004B2498">
        <w:rPr>
          <w:lang w:eastAsia="fr-FR" w:bidi="fr-FR"/>
        </w:rPr>
        <w:t>n</w:t>
      </w:r>
      <w:r w:rsidRPr="004B2498">
        <w:rPr>
          <w:lang w:eastAsia="fr-FR" w:bidi="fr-FR"/>
        </w:rPr>
        <w:t>dant les contrats avec les investisseurs étrangers ont été établis de telle manière que ce développement ne s’accompagne pas de gains écon</w:t>
      </w:r>
      <w:r w:rsidRPr="004B2498">
        <w:rPr>
          <w:lang w:eastAsia="fr-FR" w:bidi="fr-FR"/>
        </w:rPr>
        <w:t>o</w:t>
      </w:r>
      <w:r w:rsidRPr="004B2498">
        <w:rPr>
          <w:lang w:eastAsia="fr-FR" w:bidi="fr-FR"/>
        </w:rPr>
        <w:t>miques pour le pays ni de bénéfices pour la population.</w:t>
      </w:r>
    </w:p>
    <w:p w14:paraId="619519E6" w14:textId="77777777" w:rsidR="002F4063" w:rsidRPr="004B2498" w:rsidRDefault="002F4063" w:rsidP="002F4063">
      <w:pPr>
        <w:spacing w:before="120" w:after="120"/>
        <w:jc w:val="both"/>
      </w:pPr>
      <w:r w:rsidRPr="004B2498">
        <w:rPr>
          <w:lang w:eastAsia="fr-FR" w:bidi="fr-FR"/>
        </w:rPr>
        <w:t>En raison des difficultés de survivance, le Cap-Vert s’est constitué comme un pays de diaspora. Plus de la moitié des Cap-verdiens vivent à l’étranger, la plupart aux États-Unis, au Portugal et en Hollande, et dans une moindre proportion en France, en Belgique et en Amérique latine, surtout au Brésil. Ils maintiennent toutefois des liens avec leur terre d’origine, et l’argent qu’ils font parvenir à leur famille corre</w:t>
      </w:r>
      <w:r w:rsidRPr="004B2498">
        <w:rPr>
          <w:lang w:eastAsia="fr-FR" w:bidi="fr-FR"/>
        </w:rPr>
        <w:t>s</w:t>
      </w:r>
      <w:r w:rsidRPr="004B2498">
        <w:rPr>
          <w:lang w:eastAsia="fr-FR" w:bidi="fr-FR"/>
        </w:rPr>
        <w:t>pond à la deuxième plus grande source financière du pays.</w:t>
      </w:r>
    </w:p>
    <w:p w14:paraId="300F75E8" w14:textId="77777777" w:rsidR="002F4063" w:rsidRPr="004B2498" w:rsidRDefault="002F4063" w:rsidP="002F4063">
      <w:pPr>
        <w:spacing w:before="120" w:after="120"/>
        <w:jc w:val="both"/>
      </w:pPr>
      <w:r w:rsidRPr="004B2498">
        <w:rPr>
          <w:lang w:eastAsia="fr-FR" w:bidi="fr-FR"/>
        </w:rPr>
        <w:t>Après avoir obtenu son indépendance en 1975, le pays a intégré la zone d’influence de l’ancienne Union soviétique pour y rester ju</w:t>
      </w:r>
      <w:r w:rsidRPr="004B2498">
        <w:rPr>
          <w:lang w:eastAsia="fr-FR" w:bidi="fr-FR"/>
        </w:rPr>
        <w:t>s</w:t>
      </w:r>
      <w:r w:rsidRPr="004B2498">
        <w:rPr>
          <w:lang w:eastAsia="fr-FR" w:bidi="fr-FR"/>
        </w:rPr>
        <w:t>qu’en 1991, date à laquelle l’influence du socialisme a chuté et le sy</w:t>
      </w:r>
      <w:r w:rsidRPr="004B2498">
        <w:rPr>
          <w:lang w:eastAsia="fr-FR" w:bidi="fr-FR"/>
        </w:rPr>
        <w:t>s</w:t>
      </w:r>
      <w:r w:rsidRPr="004B2498">
        <w:rPr>
          <w:lang w:eastAsia="fr-FR" w:bidi="fr-FR"/>
        </w:rPr>
        <w:t>tème de parti unique a été remplacé par le pluripartisme. Pour la pr</w:t>
      </w:r>
      <w:r w:rsidRPr="004B2498">
        <w:rPr>
          <w:lang w:eastAsia="fr-FR" w:bidi="fr-FR"/>
        </w:rPr>
        <w:t>e</w:t>
      </w:r>
      <w:r w:rsidRPr="004B2498">
        <w:rPr>
          <w:lang w:eastAsia="fr-FR" w:bidi="fr-FR"/>
        </w:rPr>
        <w:t>mière fois dans son histoire, l’archipel a alors organisé des élections directes pour élire un président de la République.</w:t>
      </w:r>
    </w:p>
    <w:p w14:paraId="5C2B0797" w14:textId="77777777" w:rsidR="002F4063" w:rsidRPr="004B2498" w:rsidRDefault="002F4063" w:rsidP="002F4063">
      <w:pPr>
        <w:spacing w:before="120" w:after="120"/>
        <w:jc w:val="both"/>
      </w:pPr>
      <w:r w:rsidRPr="004B2498">
        <w:rPr>
          <w:lang w:eastAsia="fr-FR" w:bidi="fr-FR"/>
        </w:rPr>
        <w:t>Le système politique en vigueur est le parlementarisme, représenté par deux partis politiques qui se succèdent de manière cyclique au pouvoir. Si l’État est en train de vivre une réforme profonde basée sur les principes de qualité, d’excellence et de rationalité des services - conformément aux critères du consensus de Washington -, les règles qui régissent la fonction publique datent encore de la réforme adm</w:t>
      </w:r>
      <w:r w:rsidRPr="004B2498">
        <w:rPr>
          <w:lang w:eastAsia="fr-FR" w:bidi="fr-FR"/>
        </w:rPr>
        <w:t>i</w:t>
      </w:r>
      <w:r w:rsidRPr="004B2498">
        <w:rPr>
          <w:lang w:eastAsia="fr-FR" w:bidi="fr-FR"/>
        </w:rPr>
        <w:t>nistrative de 1956 (cf. Avant-projet de loi sur les bases du régime de la fonction publique, 2006/2). Depuis 1975, des réformes partielles ont bien été réalisées (en matière notamment de</w:t>
      </w:r>
      <w:r>
        <w:t xml:space="preserve"> </w:t>
      </w:r>
      <w:r w:rsidRPr="004B2498">
        <w:t>[143]</w:t>
      </w:r>
      <w:r>
        <w:t xml:space="preserve"> </w:t>
      </w:r>
      <w:r w:rsidRPr="004B2498">
        <w:rPr>
          <w:lang w:eastAsia="fr-FR" w:bidi="fr-FR"/>
        </w:rPr>
        <w:t>carrière, code, disciplines, retraite, rémunération des fonctionnaires, régime des v</w:t>
      </w:r>
      <w:r w:rsidRPr="004B2498">
        <w:rPr>
          <w:lang w:eastAsia="fr-FR" w:bidi="fr-FR"/>
        </w:rPr>
        <w:t>a</w:t>
      </w:r>
      <w:r w:rsidRPr="004B2498">
        <w:rPr>
          <w:lang w:eastAsia="fr-FR" w:bidi="fr-FR"/>
        </w:rPr>
        <w:t>cances, absences, congés maladie, durée du travail, statut du personnel dirigeant et statut juridique de la fonction publ</w:t>
      </w:r>
      <w:r w:rsidRPr="004B2498">
        <w:rPr>
          <w:lang w:eastAsia="fr-FR" w:bidi="fr-FR"/>
        </w:rPr>
        <w:t>i</w:t>
      </w:r>
      <w:r w:rsidRPr="004B2498">
        <w:rPr>
          <w:lang w:eastAsia="fr-FR" w:bidi="fr-FR"/>
        </w:rPr>
        <w:t>que), cependant les relations de travail des fonctionnaires sont encore fortement hiérarch</w:t>
      </w:r>
      <w:r w:rsidRPr="004B2498">
        <w:rPr>
          <w:lang w:eastAsia="fr-FR" w:bidi="fr-FR"/>
        </w:rPr>
        <w:t>i</w:t>
      </w:r>
      <w:r w:rsidRPr="004B2498">
        <w:rPr>
          <w:lang w:eastAsia="fr-FR" w:bidi="fr-FR"/>
        </w:rPr>
        <w:t>sées et centralisées.</w:t>
      </w:r>
    </w:p>
    <w:p w14:paraId="79CF228A" w14:textId="77777777" w:rsidR="002F4063" w:rsidRPr="004B2498" w:rsidRDefault="002F4063" w:rsidP="002F4063">
      <w:pPr>
        <w:spacing w:before="120" w:after="120"/>
        <w:jc w:val="both"/>
      </w:pPr>
      <w:r w:rsidRPr="004B2498">
        <w:rPr>
          <w:lang w:eastAsia="fr-FR" w:bidi="fr-FR"/>
        </w:rPr>
        <w:t>En fonction des intérêts économiques étrangers, le Cap-Vert est r</w:t>
      </w:r>
      <w:r w:rsidRPr="004B2498">
        <w:rPr>
          <w:lang w:eastAsia="fr-FR" w:bidi="fr-FR"/>
        </w:rPr>
        <w:t>é</w:t>
      </w:r>
      <w:r w:rsidRPr="004B2498">
        <w:rPr>
          <w:lang w:eastAsia="fr-FR" w:bidi="fr-FR"/>
        </w:rPr>
        <w:t>gulièrement mis en évidence sur la scène internationale. Ce fut le cas juste après le début de la colonisation portugaise, quand le pays devint un entrepôt d’épices provenant de l’Orient et du continent africain ; et cette condition d’espace intermédiaire s’est reproduite pendant les XVIII</w:t>
      </w:r>
      <w:r w:rsidRPr="00907C3D">
        <w:rPr>
          <w:vertAlign w:val="superscript"/>
          <w:lang w:eastAsia="fr-FR" w:bidi="fr-FR"/>
        </w:rPr>
        <w:t>e</w:t>
      </w:r>
      <w:r w:rsidRPr="004B2498">
        <w:rPr>
          <w:lang w:eastAsia="fr-FR" w:bidi="fr-FR"/>
        </w:rPr>
        <w:t xml:space="preserve"> et XIX</w:t>
      </w:r>
      <w:r w:rsidRPr="00907C3D">
        <w:rPr>
          <w:vertAlign w:val="superscript"/>
          <w:lang w:eastAsia="fr-FR" w:bidi="fr-FR"/>
        </w:rPr>
        <w:t>e</w:t>
      </w:r>
      <w:r w:rsidRPr="004B2498">
        <w:rPr>
          <w:lang w:eastAsia="fr-FR" w:bidi="fr-FR"/>
        </w:rPr>
        <w:t xml:space="preserve"> siècles, avec l’« éducation » chrétienne des esclaves africains qui partaient ensuite pour l’Europe et les Amériques.</w:t>
      </w:r>
    </w:p>
    <w:p w14:paraId="1A6CFD8C" w14:textId="77777777" w:rsidR="002F4063" w:rsidRPr="004B2498" w:rsidRDefault="002F4063" w:rsidP="002F4063">
      <w:pPr>
        <w:spacing w:before="120" w:after="120"/>
        <w:jc w:val="both"/>
      </w:pPr>
      <w:r w:rsidRPr="004B2498">
        <w:rPr>
          <w:lang w:eastAsia="fr-FR" w:bidi="fr-FR"/>
        </w:rPr>
        <w:t>Membre de la Communauté économique des États de l’Afrique de l’Ouest (CEDEAO) et de l’Union africaine, il est l’objet depuis une dizaine d’années d’importants investissements financiers de la part de la Chine, en particulier dans les secteurs du bâtiment, de l’infrastructure, de la pêche et du commerce. En outre, la Chine est la plus puissante de toutes les représentations diplomatiques en place dans le pays.</w:t>
      </w:r>
    </w:p>
    <w:p w14:paraId="6247AF9C" w14:textId="77777777" w:rsidR="002F4063" w:rsidRPr="004B2498" w:rsidRDefault="002F4063" w:rsidP="002F4063">
      <w:pPr>
        <w:spacing w:before="120" w:after="120"/>
        <w:jc w:val="both"/>
      </w:pPr>
      <w:r w:rsidRPr="004B2498">
        <w:rPr>
          <w:lang w:eastAsia="fr-FR" w:bidi="fr-FR"/>
        </w:rPr>
        <w:t>En 2007, le Conseil de l’Union européenne a approuvé un parten</w:t>
      </w:r>
      <w:r w:rsidRPr="004B2498">
        <w:rPr>
          <w:lang w:eastAsia="fr-FR" w:bidi="fr-FR"/>
        </w:rPr>
        <w:t>a</w:t>
      </w:r>
      <w:r w:rsidRPr="004B2498">
        <w:rPr>
          <w:lang w:eastAsia="fr-FR" w:bidi="fr-FR"/>
        </w:rPr>
        <w:t xml:space="preserve">riat entre les pays de l’Union et la monnaie du Cap-Vert, permettant à </w:t>
      </w:r>
      <w:r>
        <w:t>l’</w:t>
      </w:r>
      <w:r w:rsidRPr="00907C3D">
        <w:rPr>
          <w:i/>
        </w:rPr>
        <w:t>escudo</w:t>
      </w:r>
      <w:r w:rsidRPr="004B2498">
        <w:t xml:space="preserve"> </w:t>
      </w:r>
      <w:r w:rsidRPr="004B2498">
        <w:rPr>
          <w:lang w:eastAsia="fr-FR" w:bidi="fr-FR"/>
        </w:rPr>
        <w:t>capverdien de devenir une monnaie convertible en euros. La même année, le pays a accepté de servir de pays pilote </w:t>
      </w:r>
      <w:r>
        <w:rPr>
          <w:rStyle w:val="Appelnotedebasdep"/>
          <w:lang w:eastAsia="fr-FR" w:bidi="fr-FR"/>
        </w:rPr>
        <w:footnoteReference w:id="100"/>
      </w:r>
      <w:r w:rsidRPr="004B2498">
        <w:rPr>
          <w:lang w:eastAsia="fr-FR" w:bidi="fr-FR"/>
        </w:rPr>
        <w:t xml:space="preserve"> pour le pr</w:t>
      </w:r>
      <w:r w:rsidRPr="004B2498">
        <w:rPr>
          <w:lang w:eastAsia="fr-FR" w:bidi="fr-FR"/>
        </w:rPr>
        <w:t>o</w:t>
      </w:r>
      <w:r w:rsidRPr="004B2498">
        <w:rPr>
          <w:lang w:eastAsia="fr-FR" w:bidi="fr-FR"/>
        </w:rPr>
        <w:t>gramme de l’ONU Delivering as One. Grâce à l’amélioration des i</w:t>
      </w:r>
      <w:r w:rsidRPr="004B2498">
        <w:rPr>
          <w:lang w:eastAsia="fr-FR" w:bidi="fr-FR"/>
        </w:rPr>
        <w:t>n</w:t>
      </w:r>
      <w:r w:rsidRPr="004B2498">
        <w:rPr>
          <w:lang w:eastAsia="fr-FR" w:bidi="fr-FR"/>
        </w:rPr>
        <w:t>dices nationaux de développement humain (IDH), il est passé de la catégorie de pays à faible développement à celle de pays à dévelo</w:t>
      </w:r>
      <w:r w:rsidRPr="004B2498">
        <w:rPr>
          <w:lang w:eastAsia="fr-FR" w:bidi="fr-FR"/>
        </w:rPr>
        <w:t>p</w:t>
      </w:r>
      <w:r w:rsidRPr="004B2498">
        <w:rPr>
          <w:lang w:eastAsia="fr-FR" w:bidi="fr-FR"/>
        </w:rPr>
        <w:t>pement moyen.</w:t>
      </w:r>
    </w:p>
    <w:p w14:paraId="7328E602" w14:textId="77777777" w:rsidR="002F4063" w:rsidRPr="004B2498" w:rsidRDefault="002F4063" w:rsidP="002F4063">
      <w:pPr>
        <w:spacing w:before="120" w:after="120"/>
        <w:jc w:val="both"/>
      </w:pPr>
      <w:r w:rsidRPr="004B2498">
        <w:rPr>
          <w:lang w:eastAsia="fr-FR" w:bidi="fr-FR"/>
        </w:rPr>
        <w:t>Doté d’une position géographique stratégique, d’un système polit</w:t>
      </w:r>
      <w:r w:rsidRPr="004B2498">
        <w:rPr>
          <w:lang w:eastAsia="fr-FR" w:bidi="fr-FR"/>
        </w:rPr>
        <w:t>i</w:t>
      </w:r>
      <w:r w:rsidRPr="004B2498">
        <w:rPr>
          <w:lang w:eastAsia="fr-FR" w:bidi="fr-FR"/>
        </w:rPr>
        <w:t>que stable et d’indicateurs de développement humain élevés compar</w:t>
      </w:r>
      <w:r w:rsidRPr="004B2498">
        <w:rPr>
          <w:lang w:eastAsia="fr-FR" w:bidi="fr-FR"/>
        </w:rPr>
        <w:t>a</w:t>
      </w:r>
      <w:r w:rsidRPr="004B2498">
        <w:rPr>
          <w:lang w:eastAsia="fr-FR" w:bidi="fr-FR"/>
        </w:rPr>
        <w:t>tivement aux pays du continent africain, le Cap-Vert est récemment devenu un pays convoité par les immigrants africains </w:t>
      </w:r>
      <w:r>
        <w:rPr>
          <w:rStyle w:val="Appelnotedebasdep"/>
          <w:lang w:eastAsia="fr-FR" w:bidi="fr-FR"/>
        </w:rPr>
        <w:footnoteReference w:id="101"/>
      </w:r>
      <w:r w:rsidRPr="004B2498">
        <w:rPr>
          <w:lang w:eastAsia="fr-FR" w:bidi="fr-FR"/>
        </w:rPr>
        <w:t>. En plus, il se situe sur la route internationale du trafic de drogue vers l’Europe. Pour tenter de faire face à</w:t>
      </w:r>
      <w:r>
        <w:t xml:space="preserve"> </w:t>
      </w:r>
      <w:r w:rsidRPr="004B2498">
        <w:t>[144]</w:t>
      </w:r>
      <w:r>
        <w:t xml:space="preserve"> </w:t>
      </w:r>
      <w:r w:rsidRPr="004B2498">
        <w:rPr>
          <w:lang w:eastAsia="fr-FR" w:bidi="fr-FR"/>
        </w:rPr>
        <w:t>ces difficultés, les autorités locales ont signé des accords sur l’immigration et la sécurité avec l’Union européenne et les États-Unis.</w:t>
      </w:r>
    </w:p>
    <w:p w14:paraId="030CE1FA" w14:textId="77777777" w:rsidR="002F4063" w:rsidRPr="004B2498" w:rsidRDefault="002F4063" w:rsidP="002F4063">
      <w:pPr>
        <w:spacing w:before="120" w:after="120"/>
        <w:jc w:val="both"/>
      </w:pPr>
      <w:r w:rsidRPr="004B2498">
        <w:rPr>
          <w:lang w:eastAsia="fr-FR" w:bidi="fr-FR"/>
        </w:rPr>
        <w:t>Actuellement, le Cap-Vert est qualifié par la représentation locale de l’ONU de pays modèle en termes de « gouvernance démocrat</w:t>
      </w:r>
      <w:r w:rsidRPr="004B2498">
        <w:rPr>
          <w:lang w:eastAsia="fr-FR" w:bidi="fr-FR"/>
        </w:rPr>
        <w:t>i</w:t>
      </w:r>
      <w:r w:rsidRPr="004B2498">
        <w:rPr>
          <w:lang w:eastAsia="fr-FR" w:bidi="fr-FR"/>
        </w:rPr>
        <w:t xml:space="preserve">que » - des termes d'ailleurs repris par la secrétaire d’État américaine Hillary Clinton lors de sa visite en août </w:t>
      </w:r>
      <w:r w:rsidRPr="004B2498">
        <w:t>2009 :</w:t>
      </w:r>
    </w:p>
    <w:p w14:paraId="2045E20E" w14:textId="77777777" w:rsidR="002F4063" w:rsidRDefault="002F4063" w:rsidP="002F4063">
      <w:pPr>
        <w:pStyle w:val="Grillecouleur-Accent1"/>
        <w:rPr>
          <w:lang w:eastAsia="fr-FR" w:bidi="fr-FR"/>
        </w:rPr>
      </w:pPr>
    </w:p>
    <w:p w14:paraId="33FDE956" w14:textId="77777777" w:rsidR="002F4063" w:rsidRDefault="002F4063" w:rsidP="002F4063">
      <w:pPr>
        <w:pStyle w:val="Grillecouleur-Accent1"/>
        <w:rPr>
          <w:iCs/>
        </w:rPr>
      </w:pPr>
      <w:r w:rsidRPr="004B2498">
        <w:rPr>
          <w:lang w:eastAsia="fr-FR" w:bidi="fr-FR"/>
        </w:rPr>
        <w:t>« Peu de pays illustrent le potentiel de l’Afrique mieux que le Cap-Vert. Aucun autre pays africain n’a réussi à évoluer dans tous les a</w:t>
      </w:r>
      <w:r w:rsidRPr="004B2498">
        <w:rPr>
          <w:lang w:eastAsia="fr-FR" w:bidi="fr-FR"/>
        </w:rPr>
        <w:t>s</w:t>
      </w:r>
      <w:r w:rsidRPr="004B2498">
        <w:rPr>
          <w:lang w:eastAsia="fr-FR" w:bidi="fr-FR"/>
        </w:rPr>
        <w:t>pects du développement comme le Cap-Vert, d’une bonne gouverna</w:t>
      </w:r>
      <w:r w:rsidRPr="004B2498">
        <w:rPr>
          <w:lang w:eastAsia="fr-FR" w:bidi="fr-FR"/>
        </w:rPr>
        <w:t>n</w:t>
      </w:r>
      <w:r w:rsidRPr="004B2498">
        <w:rPr>
          <w:lang w:eastAsia="fr-FR" w:bidi="fr-FR"/>
        </w:rPr>
        <w:t>ce à la transparence, la responsabilité et la responsabilisation des pouvoirs p</w:t>
      </w:r>
      <w:r w:rsidRPr="004B2498">
        <w:rPr>
          <w:lang w:eastAsia="fr-FR" w:bidi="fr-FR"/>
        </w:rPr>
        <w:t>u</w:t>
      </w:r>
      <w:r w:rsidRPr="004B2498">
        <w:rPr>
          <w:lang w:eastAsia="fr-FR" w:bidi="fr-FR"/>
        </w:rPr>
        <w:t>blics, aux lois et à une démocratie qui est parvenue à arracher le peuple de la misère et d’élever ces îles à la catégorie de pays au r</w:t>
      </w:r>
      <w:r w:rsidRPr="004B2498">
        <w:rPr>
          <w:lang w:eastAsia="fr-FR" w:bidi="fr-FR"/>
        </w:rPr>
        <w:t>e</w:t>
      </w:r>
      <w:r w:rsidRPr="004B2498">
        <w:rPr>
          <w:lang w:eastAsia="fr-FR" w:bidi="fr-FR"/>
        </w:rPr>
        <w:t xml:space="preserve">venu moyen. » </w:t>
      </w:r>
      <w:r w:rsidRPr="00907C3D">
        <w:rPr>
          <w:i/>
          <w:iCs/>
        </w:rPr>
        <w:t>Discours de Hillary Clinton lors de sa visite au Cap-Vert en août 2009</w:t>
      </w:r>
      <w:r w:rsidRPr="004B2498">
        <w:rPr>
          <w:iCs/>
        </w:rPr>
        <w:t>.</w:t>
      </w:r>
    </w:p>
    <w:p w14:paraId="2EED6634" w14:textId="77777777" w:rsidR="002F4063" w:rsidRPr="004B2498" w:rsidRDefault="002F4063" w:rsidP="002F4063">
      <w:pPr>
        <w:pStyle w:val="Grillecouleur-Accent1"/>
        <w:rPr>
          <w:lang w:eastAsia="fr-FR" w:bidi="fr-FR"/>
        </w:rPr>
      </w:pPr>
    </w:p>
    <w:p w14:paraId="6476AA30" w14:textId="77777777" w:rsidR="002F4063" w:rsidRPr="004B2498" w:rsidRDefault="002F4063" w:rsidP="002F4063">
      <w:pPr>
        <w:spacing w:before="120" w:after="120"/>
        <w:jc w:val="both"/>
      </w:pPr>
      <w:r w:rsidRPr="004B2498">
        <w:rPr>
          <w:lang w:eastAsia="fr-FR" w:bidi="fr-FR"/>
        </w:rPr>
        <w:t xml:space="preserve">C’est sur ce territoire, ou </w:t>
      </w:r>
      <w:r w:rsidRPr="00907C3D">
        <w:rPr>
          <w:i/>
        </w:rPr>
        <w:t>champ</w:t>
      </w:r>
      <w:r w:rsidRPr="004B2498">
        <w:rPr>
          <w:lang w:eastAsia="fr-FR" w:bidi="fr-FR"/>
        </w:rPr>
        <w:t xml:space="preserve"> au sens bourdieusien (Bourdieu, 2001), que nous avons entrepris de voir dans quelle mesure les organ</w:t>
      </w:r>
      <w:r w:rsidRPr="004B2498">
        <w:rPr>
          <w:lang w:eastAsia="fr-FR" w:bidi="fr-FR"/>
        </w:rPr>
        <w:t>i</w:t>
      </w:r>
      <w:r w:rsidRPr="004B2498">
        <w:rPr>
          <w:lang w:eastAsia="fr-FR" w:bidi="fr-FR"/>
        </w:rPr>
        <w:t>sations sociales locales peuvent être considérées comme des représe</w:t>
      </w:r>
      <w:r w:rsidRPr="004B2498">
        <w:rPr>
          <w:lang w:eastAsia="fr-FR" w:bidi="fr-FR"/>
        </w:rPr>
        <w:t>n</w:t>
      </w:r>
      <w:r w:rsidRPr="004B2498">
        <w:rPr>
          <w:lang w:eastAsia="fr-FR" w:bidi="fr-FR"/>
        </w:rPr>
        <w:t>tantes légitimes de la société civile, elle-même perçue comme un e</w:t>
      </w:r>
      <w:r w:rsidRPr="004B2498">
        <w:rPr>
          <w:lang w:eastAsia="fr-FR" w:bidi="fr-FR"/>
        </w:rPr>
        <w:t>s</w:t>
      </w:r>
      <w:r w:rsidRPr="004B2498">
        <w:rPr>
          <w:lang w:eastAsia="fr-FR" w:bidi="fr-FR"/>
        </w:rPr>
        <w:t>pace social de lutte, de contestation, de débat et de revendications configuré par les forces historiques (Bayart, 1986).</w:t>
      </w:r>
    </w:p>
    <w:p w14:paraId="376BD059" w14:textId="77777777" w:rsidR="002F4063" w:rsidRPr="004B2498" w:rsidRDefault="002F4063" w:rsidP="002F4063">
      <w:pPr>
        <w:spacing w:before="120" w:after="120"/>
        <w:jc w:val="both"/>
        <w:rPr>
          <w:szCs w:val="24"/>
          <w:lang w:eastAsia="fr-FR" w:bidi="fr-FR"/>
        </w:rPr>
      </w:pPr>
      <w:r>
        <w:rPr>
          <w:szCs w:val="24"/>
          <w:lang w:eastAsia="fr-FR" w:bidi="fr-FR"/>
        </w:rPr>
        <w:br w:type="page"/>
      </w:r>
    </w:p>
    <w:p w14:paraId="3E24C92A" w14:textId="77777777" w:rsidR="002F4063" w:rsidRPr="004B2498" w:rsidRDefault="002F4063" w:rsidP="002F4063">
      <w:pPr>
        <w:pStyle w:val="a"/>
      </w:pPr>
      <w:r w:rsidRPr="004B2498">
        <w:t>Une étude de terrain</w:t>
      </w:r>
    </w:p>
    <w:p w14:paraId="24461A24" w14:textId="77777777" w:rsidR="002F4063" w:rsidRPr="004B2498" w:rsidRDefault="002F4063" w:rsidP="002F4063">
      <w:pPr>
        <w:spacing w:before="120" w:after="120"/>
        <w:jc w:val="both"/>
        <w:rPr>
          <w:lang w:eastAsia="fr-FR" w:bidi="fr-FR"/>
        </w:rPr>
      </w:pPr>
    </w:p>
    <w:p w14:paraId="30658E4D" w14:textId="77777777" w:rsidR="002F4063" w:rsidRPr="004B2498" w:rsidRDefault="002F4063" w:rsidP="002F4063">
      <w:pPr>
        <w:spacing w:before="120" w:after="120"/>
        <w:jc w:val="both"/>
      </w:pPr>
      <w:r w:rsidRPr="004B2498">
        <w:rPr>
          <w:lang w:eastAsia="fr-FR" w:bidi="fr-FR"/>
        </w:rPr>
        <w:t>Pour mener à bien cette recherche, nous avons rencontré dans un premier temps : le Secrétariat national à la Famille, au Travail et à la Solidarité, responsable de la prise en charge d’enfants et de jeunes en situation de risque social  ; le professeur Claudio Furtado, un des pri</w:t>
      </w:r>
      <w:r w:rsidRPr="004B2498">
        <w:rPr>
          <w:lang w:eastAsia="fr-FR" w:bidi="fr-FR"/>
        </w:rPr>
        <w:t>n</w:t>
      </w:r>
      <w:r w:rsidRPr="004B2498">
        <w:rPr>
          <w:lang w:eastAsia="fr-FR" w:bidi="fr-FR"/>
        </w:rPr>
        <w:t>cipaux membres de l’intelligentsia capverdienne  ; le secrétaire exéc</w:t>
      </w:r>
      <w:r w:rsidRPr="004B2498">
        <w:rPr>
          <w:lang w:eastAsia="fr-FR" w:bidi="fr-FR"/>
        </w:rPr>
        <w:t>u</w:t>
      </w:r>
      <w:r w:rsidRPr="004B2498">
        <w:rPr>
          <w:lang w:eastAsia="fr-FR" w:bidi="fr-FR"/>
        </w:rPr>
        <w:t>tif de la plate-forme locale des ONG ; les coordinateurs des ONG A</w:t>
      </w:r>
      <w:r w:rsidRPr="004B2498">
        <w:rPr>
          <w:lang w:eastAsia="fr-FR" w:bidi="fr-FR"/>
        </w:rPr>
        <w:t>c</w:t>
      </w:r>
      <w:r w:rsidRPr="004B2498">
        <w:rPr>
          <w:lang w:eastAsia="fr-FR" w:bidi="fr-FR"/>
        </w:rPr>
        <w:t>tion pour le développement intégral de Rui Vaz (ADIRV), Citi-Habitat et Fondation Luiz Alah (FLA).</w:t>
      </w:r>
    </w:p>
    <w:p w14:paraId="4310F4CB" w14:textId="77777777" w:rsidR="002F4063" w:rsidRPr="004B2498" w:rsidRDefault="002F4063" w:rsidP="002F4063">
      <w:pPr>
        <w:spacing w:before="120" w:after="120"/>
        <w:jc w:val="both"/>
      </w:pPr>
      <w:r w:rsidRPr="004B2498">
        <w:rPr>
          <w:lang w:eastAsia="fr-FR" w:bidi="fr-FR"/>
        </w:rPr>
        <w:t>L’analyse des données issues de ces six entretiens a mis en avant une situation en apparence contradictoire : d’un côté, la forte adhésion des organisations associatives capverdiennes à la plate-forme nation</w:t>
      </w:r>
      <w:r w:rsidRPr="004B2498">
        <w:rPr>
          <w:lang w:eastAsia="fr-FR" w:bidi="fr-FR"/>
        </w:rPr>
        <w:t>a</w:t>
      </w:r>
      <w:r w:rsidRPr="004B2498">
        <w:rPr>
          <w:lang w:eastAsia="fr-FR" w:bidi="fr-FR"/>
        </w:rPr>
        <w:t>le d’ONG, une situation très différente du Brésil ; de l’autre, la faible participation de la « société civile » dans la vie associative du pays dénoncée par la plupart des personnes interrogées. Comment, dès lors, interpréter cette « passivité » de la société civile dans un pays où presque toutes les communes comptent une association communauta</w:t>
      </w:r>
      <w:r w:rsidRPr="004B2498">
        <w:rPr>
          <w:lang w:eastAsia="fr-FR" w:bidi="fr-FR"/>
        </w:rPr>
        <w:t>i</w:t>
      </w:r>
      <w:r w:rsidRPr="004B2498">
        <w:rPr>
          <w:lang w:eastAsia="fr-FR" w:bidi="fr-FR"/>
        </w:rPr>
        <w:t>re de base, et où le secteur social semble si organisé ?</w:t>
      </w:r>
    </w:p>
    <w:p w14:paraId="7C8BDAE5" w14:textId="77777777" w:rsidR="002F4063" w:rsidRPr="004B2498" w:rsidRDefault="002F4063" w:rsidP="002F4063">
      <w:pPr>
        <w:spacing w:before="120" w:after="120"/>
        <w:jc w:val="both"/>
      </w:pPr>
      <w:r w:rsidRPr="004B2498">
        <w:rPr>
          <w:lang w:eastAsia="fr-FR" w:bidi="fr-FR"/>
        </w:rPr>
        <w:t>Nous avons également été surprise par l’apparente harmonie entre le secteur associatif et la politique de l’État capverdien, alignée sur les préceptes du consensus de Washington. De fait, au Brésil les relations entre les représentants du gouvernement et les mouvements sociaux - parmi lesquels les mouvements d’économie solidaire : MES ; mo</w:t>
      </w:r>
      <w:r w:rsidRPr="004B2498">
        <w:rPr>
          <w:lang w:eastAsia="fr-FR" w:bidi="fr-FR"/>
        </w:rPr>
        <w:t>u</w:t>
      </w:r>
      <w:r w:rsidRPr="004B2498">
        <w:rPr>
          <w:lang w:eastAsia="fr-FR" w:bidi="fr-FR"/>
        </w:rPr>
        <w:t>vement des sans-terre</w:t>
      </w:r>
      <w:r>
        <w:t xml:space="preserve"> </w:t>
      </w:r>
      <w:r w:rsidRPr="004B2498">
        <w:t>[145]</w:t>
      </w:r>
      <w:r w:rsidRPr="004B2498">
        <w:rPr>
          <w:lang w:eastAsia="fr-FR" w:bidi="fr-FR"/>
        </w:rPr>
        <w:t xml:space="preserve"> MST</w:t>
      </w:r>
      <w:r>
        <w:rPr>
          <w:lang w:eastAsia="fr-FR" w:bidi="fr-FR"/>
        </w:rPr>
        <w:t> </w:t>
      </w:r>
      <w:r>
        <w:rPr>
          <w:rStyle w:val="Appelnotedebasdep"/>
          <w:lang w:eastAsia="fr-FR" w:bidi="fr-FR"/>
        </w:rPr>
        <w:footnoteReference w:id="102"/>
      </w:r>
      <w:r w:rsidRPr="004B2498">
        <w:rPr>
          <w:lang w:eastAsia="fr-FR" w:bidi="fr-FR"/>
        </w:rPr>
        <w:t> ; mouvement national des r</w:t>
      </w:r>
      <w:r w:rsidRPr="004B2498">
        <w:rPr>
          <w:lang w:eastAsia="fr-FR" w:bidi="fr-FR"/>
        </w:rPr>
        <w:t>a</w:t>
      </w:r>
      <w:r w:rsidRPr="004B2498">
        <w:rPr>
          <w:lang w:eastAsia="fr-FR" w:bidi="fr-FR"/>
        </w:rPr>
        <w:t>masseurs de déchets recyclables, MNCMR - sont souvent assez te</w:t>
      </w:r>
      <w:r w:rsidRPr="004B2498">
        <w:rPr>
          <w:lang w:eastAsia="fr-FR" w:bidi="fr-FR"/>
        </w:rPr>
        <w:t>n</w:t>
      </w:r>
      <w:r w:rsidRPr="004B2498">
        <w:rPr>
          <w:lang w:eastAsia="fr-FR" w:bidi="fr-FR"/>
        </w:rPr>
        <w:t>dues, voire conflictue</w:t>
      </w:r>
      <w:r w:rsidRPr="004B2498">
        <w:rPr>
          <w:lang w:eastAsia="fr-FR" w:bidi="fr-FR"/>
        </w:rPr>
        <w:t>l</w:t>
      </w:r>
      <w:r w:rsidRPr="004B2498">
        <w:rPr>
          <w:lang w:eastAsia="fr-FR" w:bidi="fr-FR"/>
        </w:rPr>
        <w:t>les.</w:t>
      </w:r>
    </w:p>
    <w:p w14:paraId="1C598A84" w14:textId="77777777" w:rsidR="002F4063" w:rsidRPr="004B2498" w:rsidRDefault="002F4063" w:rsidP="002F4063">
      <w:pPr>
        <w:spacing w:before="120" w:after="120"/>
        <w:jc w:val="both"/>
      </w:pPr>
      <w:r w:rsidRPr="004B2498">
        <w:rPr>
          <w:lang w:eastAsia="fr-FR" w:bidi="fr-FR"/>
        </w:rPr>
        <w:t>La coopération entre le secteur associatif capverdien et l’État app</w:t>
      </w:r>
      <w:r w:rsidRPr="004B2498">
        <w:rPr>
          <w:lang w:eastAsia="fr-FR" w:bidi="fr-FR"/>
        </w:rPr>
        <w:t>a</w:t>
      </w:r>
      <w:r w:rsidRPr="004B2498">
        <w:rPr>
          <w:lang w:eastAsia="fr-FR" w:bidi="fr-FR"/>
        </w:rPr>
        <w:t>raît clairement dans le discours du secrétaire général de la plate-forme capverdienne d’ONG :</w:t>
      </w:r>
    </w:p>
    <w:p w14:paraId="32239F3A" w14:textId="77777777" w:rsidR="002F4063" w:rsidRDefault="002F4063" w:rsidP="002F4063">
      <w:pPr>
        <w:pStyle w:val="Grillecouleur-Accent1"/>
        <w:rPr>
          <w:lang w:eastAsia="fr-FR" w:bidi="fr-FR"/>
        </w:rPr>
      </w:pPr>
    </w:p>
    <w:p w14:paraId="1BA05388" w14:textId="77777777" w:rsidR="002F4063" w:rsidRDefault="002F4063" w:rsidP="002F4063">
      <w:pPr>
        <w:pStyle w:val="Grillecouleur-Accent1"/>
        <w:rPr>
          <w:lang w:eastAsia="fr-FR" w:bidi="fr-FR"/>
        </w:rPr>
      </w:pPr>
      <w:r w:rsidRPr="004B2498">
        <w:rPr>
          <w:lang w:eastAsia="fr-FR" w:bidi="fr-FR"/>
        </w:rPr>
        <w:t>« C’est une relation de partenariat. Le gouvernement, les « gouvernements » (se réfère aux partis politiques) reconnaissent l’importance de la plate-forme [...] il existe une très grande entente. Tous ont déjà retenu la leçon selon laquelle la société civile joue un rôle impo</w:t>
      </w:r>
      <w:r w:rsidRPr="004B2498">
        <w:rPr>
          <w:lang w:eastAsia="fr-FR" w:bidi="fr-FR"/>
        </w:rPr>
        <w:t>r</w:t>
      </w:r>
      <w:r w:rsidRPr="004B2498">
        <w:rPr>
          <w:lang w:eastAsia="fr-FR" w:bidi="fr-FR"/>
        </w:rPr>
        <w:t>tant dans le processus de développement du pays. Dans la pratique, nous en sommes encore loin, mais il y a eu une avancée en termes d’entente e</w:t>
      </w:r>
      <w:r w:rsidRPr="004B2498">
        <w:rPr>
          <w:lang w:eastAsia="fr-FR" w:bidi="fr-FR"/>
        </w:rPr>
        <w:t>n</w:t>
      </w:r>
      <w:r w:rsidRPr="004B2498">
        <w:rPr>
          <w:lang w:eastAsia="fr-FR" w:bidi="fr-FR"/>
        </w:rPr>
        <w:t>tre le gouvernement et les acteurs non gouvern</w:t>
      </w:r>
      <w:r w:rsidRPr="004B2498">
        <w:rPr>
          <w:lang w:eastAsia="fr-FR" w:bidi="fr-FR"/>
        </w:rPr>
        <w:t>e</w:t>
      </w:r>
      <w:r w:rsidRPr="004B2498">
        <w:rPr>
          <w:lang w:eastAsia="fr-FR" w:bidi="fr-FR"/>
        </w:rPr>
        <w:t>mentaux </w:t>
      </w:r>
      <w:r>
        <w:rPr>
          <w:rStyle w:val="Appelnotedebasdep"/>
          <w:lang w:eastAsia="fr-FR" w:bidi="fr-FR"/>
        </w:rPr>
        <w:footnoteReference w:id="103"/>
      </w:r>
      <w:r w:rsidRPr="004B2498">
        <w:rPr>
          <w:lang w:eastAsia="fr-FR" w:bidi="fr-FR"/>
        </w:rPr>
        <w:t>. »</w:t>
      </w:r>
    </w:p>
    <w:p w14:paraId="70B14B9D" w14:textId="77777777" w:rsidR="002F4063" w:rsidRPr="004B2498" w:rsidRDefault="002F4063" w:rsidP="002F4063">
      <w:pPr>
        <w:pStyle w:val="Grillecouleur-Accent1"/>
      </w:pPr>
    </w:p>
    <w:p w14:paraId="5CAEC39D" w14:textId="77777777" w:rsidR="002F4063" w:rsidRPr="004B2498" w:rsidRDefault="002F4063" w:rsidP="002F4063">
      <w:pPr>
        <w:spacing w:before="120" w:after="120"/>
        <w:jc w:val="both"/>
      </w:pPr>
      <w:r w:rsidRPr="004B2498">
        <w:rPr>
          <w:lang w:eastAsia="fr-FR" w:bidi="fr-FR"/>
        </w:rPr>
        <w:t>Dans le même temps, on s’aperçoit que ses propos sont empreints des idéaux onusiens. En réponse à la question : « À votre avis, qu’est-ce que le développement ? », il répond :</w:t>
      </w:r>
    </w:p>
    <w:p w14:paraId="3793485C" w14:textId="77777777" w:rsidR="002F4063" w:rsidRDefault="002F4063" w:rsidP="002F4063">
      <w:pPr>
        <w:pStyle w:val="Grillecouleur-Accent1"/>
      </w:pPr>
    </w:p>
    <w:p w14:paraId="284BC199" w14:textId="77777777" w:rsidR="002F4063" w:rsidRDefault="002F4063" w:rsidP="002F4063">
      <w:pPr>
        <w:pStyle w:val="Grillecouleur-Accent1"/>
        <w:rPr>
          <w:lang w:eastAsia="fr-FR" w:bidi="fr-FR"/>
        </w:rPr>
      </w:pPr>
      <w:r w:rsidRPr="004C0845">
        <w:t xml:space="preserve">« Le développement est un processus [...] qui </w:t>
      </w:r>
      <w:r w:rsidRPr="004B2498">
        <w:rPr>
          <w:lang w:eastAsia="fr-FR" w:bidi="fr-FR"/>
        </w:rPr>
        <w:t>présuppose</w:t>
      </w:r>
      <w:r w:rsidRPr="004C0845">
        <w:t xml:space="preserve"> une dém</w:t>
      </w:r>
      <w:r w:rsidRPr="004C0845">
        <w:t>o</w:t>
      </w:r>
      <w:r w:rsidRPr="004C0845">
        <w:t xml:space="preserve">cratie toujours plus grande, une </w:t>
      </w:r>
      <w:r w:rsidRPr="004B2498">
        <w:rPr>
          <w:lang w:eastAsia="fr-FR" w:bidi="fr-FR"/>
        </w:rPr>
        <w:t>participation toujours plus grande de tous les acteurs</w:t>
      </w:r>
      <w:r w:rsidRPr="004C0845">
        <w:t xml:space="preserve"> ; une </w:t>
      </w:r>
      <w:r w:rsidRPr="004B2498">
        <w:rPr>
          <w:lang w:eastAsia="fr-FR" w:bidi="fr-FR"/>
        </w:rPr>
        <w:t>liberté toujours plus grande</w:t>
      </w:r>
      <w:r w:rsidRPr="004C0845">
        <w:t> ; que nous soyons tous con</w:t>
      </w:r>
      <w:r w:rsidRPr="004C0845">
        <w:t>s</w:t>
      </w:r>
      <w:r w:rsidRPr="004C0845">
        <w:t xml:space="preserve">cients de nos devoirs pour être prêts à exiger nos droits. </w:t>
      </w:r>
      <w:r w:rsidRPr="004B2498">
        <w:rPr>
          <w:lang w:eastAsia="fr-FR" w:bidi="fr-FR"/>
        </w:rPr>
        <w:t>On n ’y arrive pas</w:t>
      </w:r>
      <w:r w:rsidRPr="004C0845">
        <w:t xml:space="preserve"> sans éducation et, plus concrètement, </w:t>
      </w:r>
      <w:r w:rsidRPr="004B2498">
        <w:rPr>
          <w:lang w:eastAsia="fr-FR" w:bidi="fr-FR"/>
        </w:rPr>
        <w:t>sans formation. Il est intéressant d'observer que malgré les nombreuses difficultés fina</w:t>
      </w:r>
      <w:r w:rsidRPr="004B2498">
        <w:rPr>
          <w:lang w:eastAsia="fr-FR" w:bidi="fr-FR"/>
        </w:rPr>
        <w:t>n</w:t>
      </w:r>
      <w:r w:rsidRPr="004B2498">
        <w:rPr>
          <w:lang w:eastAsia="fr-FR" w:bidi="fr-FR"/>
        </w:rPr>
        <w:t>cières et autres les personnes investissent sérieusement dans la form</w:t>
      </w:r>
      <w:r w:rsidRPr="004B2498">
        <w:rPr>
          <w:lang w:eastAsia="fr-FR" w:bidi="fr-FR"/>
        </w:rPr>
        <w:t>a</w:t>
      </w:r>
      <w:r w:rsidRPr="004B2498">
        <w:rPr>
          <w:lang w:eastAsia="fr-FR" w:bidi="fr-FR"/>
        </w:rPr>
        <w:t>tion</w:t>
      </w:r>
      <w:r w:rsidRPr="004C0845">
        <w:t xml:space="preserve"> [...] </w:t>
      </w:r>
      <w:r w:rsidRPr="004B2498">
        <w:rPr>
          <w:lang w:eastAsia="fr-FR" w:bidi="fr-FR"/>
        </w:rPr>
        <w:t>la société a déjà pris conscience de l’importance des investiss</w:t>
      </w:r>
      <w:r w:rsidRPr="004B2498">
        <w:rPr>
          <w:lang w:eastAsia="fr-FR" w:bidi="fr-FR"/>
        </w:rPr>
        <w:t>e</w:t>
      </w:r>
      <w:r w:rsidRPr="004B2498">
        <w:rPr>
          <w:lang w:eastAsia="fr-FR" w:bidi="fr-FR"/>
        </w:rPr>
        <w:t>ments pour la formation des personnes. On n'accède pas à la liberté</w:t>
      </w:r>
      <w:r w:rsidRPr="004C0845">
        <w:t xml:space="preserve">, à la démocratie et à la citoyenneté </w:t>
      </w:r>
      <w:r w:rsidRPr="004B2498">
        <w:rPr>
          <w:lang w:eastAsia="fr-FR" w:bidi="fr-FR"/>
        </w:rPr>
        <w:t>sans éducation</w:t>
      </w:r>
      <w:r w:rsidRPr="004C0845">
        <w:t>, et plus concrètement sans qualification technique. »</w:t>
      </w:r>
      <w:r w:rsidRPr="004B2498">
        <w:rPr>
          <w:rStyle w:val="Corpsdutexte109ptNonItalique"/>
          <w:i w:val="0"/>
          <w:iCs w:val="0"/>
          <w:color w:val="auto"/>
          <w:sz w:val="28"/>
        </w:rPr>
        <w:t xml:space="preserve"> </w:t>
      </w:r>
      <w:r w:rsidRPr="004B2498">
        <w:rPr>
          <w:lang w:eastAsia="fr-FR" w:bidi="fr-FR"/>
        </w:rPr>
        <w:t>[So</w:t>
      </w:r>
      <w:r w:rsidRPr="004B2498">
        <w:rPr>
          <w:lang w:eastAsia="fr-FR" w:bidi="fr-FR"/>
        </w:rPr>
        <w:t>u</w:t>
      </w:r>
      <w:r w:rsidRPr="004B2498">
        <w:rPr>
          <w:lang w:eastAsia="fr-FR" w:bidi="fr-FR"/>
        </w:rPr>
        <w:t>ligné par nous]</w:t>
      </w:r>
    </w:p>
    <w:p w14:paraId="7D4ECBB1" w14:textId="77777777" w:rsidR="002F4063" w:rsidRPr="004B2498" w:rsidRDefault="002F4063" w:rsidP="002F4063">
      <w:pPr>
        <w:pStyle w:val="Grillecouleur-Accent1"/>
      </w:pPr>
    </w:p>
    <w:p w14:paraId="52E93F95" w14:textId="77777777" w:rsidR="002F4063" w:rsidRPr="004B2498" w:rsidRDefault="002F4063" w:rsidP="002F4063">
      <w:pPr>
        <w:spacing w:before="120" w:after="120"/>
        <w:jc w:val="both"/>
      </w:pPr>
      <w:r w:rsidRPr="004B2498">
        <w:rPr>
          <w:lang w:eastAsia="fr-FR" w:bidi="fr-FR"/>
        </w:rPr>
        <w:t>On le voit, ce discours renvoie à la vision néolibérale du dévelo</w:t>
      </w:r>
      <w:r w:rsidRPr="004B2498">
        <w:rPr>
          <w:lang w:eastAsia="fr-FR" w:bidi="fr-FR"/>
        </w:rPr>
        <w:t>p</w:t>
      </w:r>
      <w:r w:rsidRPr="004B2498">
        <w:rPr>
          <w:lang w:eastAsia="fr-FR" w:bidi="fr-FR"/>
        </w:rPr>
        <w:t xml:space="preserve">pement de l’économiste indien Amartya Sen (Dubois &amp; Mahieu, </w:t>
      </w:r>
      <w:r w:rsidRPr="004B2498">
        <w:t xml:space="preserve">2009), </w:t>
      </w:r>
      <w:r w:rsidRPr="004B2498">
        <w:rPr>
          <w:lang w:eastAsia="fr-FR" w:bidi="fr-FR"/>
        </w:rPr>
        <w:t>qui établit une relation directe entre liberté, développement de compétences, citoyenneté et régimes démocratiques de gouvernement.</w:t>
      </w:r>
    </w:p>
    <w:p w14:paraId="593921C0" w14:textId="77777777" w:rsidR="002F4063" w:rsidRPr="004B2498" w:rsidRDefault="002F4063" w:rsidP="002F4063">
      <w:pPr>
        <w:spacing w:before="120" w:after="120"/>
        <w:jc w:val="both"/>
      </w:pPr>
      <w:r w:rsidRPr="004B2498">
        <w:rPr>
          <w:lang w:eastAsia="fr-FR" w:bidi="fr-FR"/>
        </w:rPr>
        <w:t xml:space="preserve">Il est un autre facteur qui attire notre attention : l’accent implicite sur le lien entre </w:t>
      </w:r>
      <w:r w:rsidRPr="004C0845">
        <w:rPr>
          <w:i/>
        </w:rPr>
        <w:t>empowerment</w:t>
      </w:r>
      <w:r w:rsidRPr="004B2498">
        <w:rPr>
          <w:lang w:eastAsia="fr-FR" w:bidi="fr-FR"/>
        </w:rPr>
        <w:t xml:space="preserve"> et le droit d’avoir des droits. Plus exa</w:t>
      </w:r>
      <w:r w:rsidRPr="004B2498">
        <w:rPr>
          <w:lang w:eastAsia="fr-FR" w:bidi="fr-FR"/>
        </w:rPr>
        <w:t>c</w:t>
      </w:r>
      <w:r w:rsidRPr="004B2498">
        <w:rPr>
          <w:lang w:eastAsia="fr-FR" w:bidi="fr-FR"/>
        </w:rPr>
        <w:t>tement, sur la « conscience d’avoir des devoirs » comme condition de base pour pouvoir jouir de droits. Là encore, la vision néolibérale a</w:t>
      </w:r>
      <w:r w:rsidRPr="004B2498">
        <w:rPr>
          <w:lang w:eastAsia="fr-FR" w:bidi="fr-FR"/>
        </w:rPr>
        <w:t>p</w:t>
      </w:r>
      <w:r w:rsidRPr="004B2498">
        <w:rPr>
          <w:lang w:eastAsia="fr-FR" w:bidi="fr-FR"/>
        </w:rPr>
        <w:t>paraît en toile de fond.</w:t>
      </w:r>
    </w:p>
    <w:p w14:paraId="7FD0AECB" w14:textId="77777777" w:rsidR="002F4063" w:rsidRPr="004B2498" w:rsidRDefault="002F4063" w:rsidP="002F4063">
      <w:pPr>
        <w:spacing w:before="120" w:after="120"/>
        <w:jc w:val="both"/>
      </w:pPr>
      <w:r w:rsidRPr="004B2498">
        <w:rPr>
          <w:lang w:eastAsia="fr-FR" w:bidi="fr-FR"/>
        </w:rPr>
        <w:t>Globalement, les déclarations de l’ensemble des personnes interr</w:t>
      </w:r>
      <w:r w:rsidRPr="004B2498">
        <w:rPr>
          <w:lang w:eastAsia="fr-FR" w:bidi="fr-FR"/>
        </w:rPr>
        <w:t>o</w:t>
      </w:r>
      <w:r w:rsidRPr="004B2498">
        <w:rPr>
          <w:lang w:eastAsia="fr-FR" w:bidi="fr-FR"/>
        </w:rPr>
        <w:t>gées ont souligné la bonne qualité de la relation entre le secteur ass</w:t>
      </w:r>
      <w:r w:rsidRPr="004B2498">
        <w:rPr>
          <w:lang w:eastAsia="fr-FR" w:bidi="fr-FR"/>
        </w:rPr>
        <w:t>o</w:t>
      </w:r>
      <w:r w:rsidRPr="004B2498">
        <w:rPr>
          <w:lang w:eastAsia="fr-FR" w:bidi="fr-FR"/>
        </w:rPr>
        <w:t>ciatif et l’État, le désir du secteur social de collaborer à l’implantation d’une politique économique et sociale développementiste, dictée par les agences de coopération internationale. Au terme de cette première investigation, les</w:t>
      </w:r>
      <w:r>
        <w:t xml:space="preserve"> </w:t>
      </w:r>
      <w:r w:rsidRPr="004B2498">
        <w:t>[146]</w:t>
      </w:r>
      <w:r>
        <w:t xml:space="preserve"> </w:t>
      </w:r>
      <w:r w:rsidRPr="004B2498">
        <w:rPr>
          <w:lang w:eastAsia="fr-FR" w:bidi="fr-FR"/>
        </w:rPr>
        <w:t>questions restaient plus nombreuses que les réponses, en particulier sur un point : Quel sens attribuer à la plainte d’une « faible particip</w:t>
      </w:r>
      <w:r w:rsidRPr="004B2498">
        <w:rPr>
          <w:lang w:eastAsia="fr-FR" w:bidi="fr-FR"/>
        </w:rPr>
        <w:t>a</w:t>
      </w:r>
      <w:r w:rsidRPr="004B2498">
        <w:rPr>
          <w:lang w:eastAsia="fr-FR" w:bidi="fr-FR"/>
        </w:rPr>
        <w:t>tion de la société civile » dans un pays où presque chaque commune possède une association communautaire de base et où le secteur est si bien organisé ?</w:t>
      </w:r>
    </w:p>
    <w:p w14:paraId="03CE9F1B" w14:textId="77777777" w:rsidR="002F4063" w:rsidRPr="004B2498" w:rsidRDefault="002F4063" w:rsidP="002F4063">
      <w:pPr>
        <w:spacing w:before="120" w:after="120"/>
        <w:jc w:val="both"/>
      </w:pPr>
      <w:r w:rsidRPr="004B2498">
        <w:rPr>
          <w:lang w:eastAsia="fr-FR" w:bidi="fr-FR"/>
        </w:rPr>
        <w:t>Peu à peu, nous nous sommes rendu compte que le modèle d’analyse basé sur les relations État/ONG (utilisé au Brésil) n’était pas suffisamment adapté pour comprendre la place des ONG au Cap-Vert, d’autant plus que le pays est fortement dépendant des ressources de la coopération internationale.</w:t>
      </w:r>
    </w:p>
    <w:p w14:paraId="28BA7DF1" w14:textId="77777777" w:rsidR="002F4063" w:rsidRPr="004B2498" w:rsidRDefault="002F4063" w:rsidP="002F4063">
      <w:pPr>
        <w:spacing w:before="120" w:after="120"/>
        <w:jc w:val="both"/>
      </w:pPr>
      <w:r w:rsidRPr="004B2498">
        <w:rPr>
          <w:lang w:eastAsia="fr-FR" w:bidi="fr-FR"/>
        </w:rPr>
        <w:t>Bien que le Brésil et le Cap-Vert présentent tous deux assez d’attributs pour être qualifiés de « pays de la modernité périphér</w:t>
      </w:r>
      <w:r w:rsidRPr="004B2498">
        <w:rPr>
          <w:lang w:eastAsia="fr-FR" w:bidi="fr-FR"/>
        </w:rPr>
        <w:t>i</w:t>
      </w:r>
      <w:r w:rsidRPr="004B2498">
        <w:rPr>
          <w:lang w:eastAsia="fr-FR" w:bidi="fr-FR"/>
        </w:rPr>
        <w:t>que », qu’ils vivent ou ont vécu le processus de réforme de l’État conformément aux critères du consensus de Washington, qu’ils aient été colonisés par les Portugais, que la langue portugaise soit leur la</w:t>
      </w:r>
      <w:r w:rsidRPr="004B2498">
        <w:rPr>
          <w:lang w:eastAsia="fr-FR" w:bidi="fr-FR"/>
        </w:rPr>
        <w:t>n</w:t>
      </w:r>
      <w:r w:rsidRPr="004B2498">
        <w:rPr>
          <w:lang w:eastAsia="fr-FR" w:bidi="fr-FR"/>
        </w:rPr>
        <w:t>gue officielle et le clientélisme l’essence de leurs cultures politiques, ils diffèrent significativement en termes de situation socio-politico-économique et culturelle et, par conséquent, de leurs positions sur la scène internationale et, plus particulièrement dans leurs rapports à la coopération internationale au développement.</w:t>
      </w:r>
    </w:p>
    <w:p w14:paraId="157E43B2" w14:textId="77777777" w:rsidR="002F4063" w:rsidRPr="004B2498" w:rsidRDefault="002F4063" w:rsidP="002F4063">
      <w:pPr>
        <w:spacing w:before="120" w:after="120"/>
        <w:jc w:val="both"/>
      </w:pPr>
      <w:r w:rsidRPr="004B2498">
        <w:rPr>
          <w:lang w:eastAsia="fr-FR" w:bidi="fr-FR"/>
        </w:rPr>
        <w:t>Le Brésil est un pays continental de près de 200 millions d’habitants. Il est autosuffisant en matière de pétrole et possède d’innombrables ressources naturelles (dont une quantité importante d’eau qui peut être utilisée comme source d’énergie) ; il dispose ég</w:t>
      </w:r>
      <w:r w:rsidRPr="004B2498">
        <w:rPr>
          <w:lang w:eastAsia="fr-FR" w:bidi="fr-FR"/>
        </w:rPr>
        <w:t>a</w:t>
      </w:r>
      <w:r w:rsidRPr="004B2498">
        <w:rPr>
          <w:lang w:eastAsia="fr-FR" w:bidi="fr-FR"/>
        </w:rPr>
        <w:t>lement d’une base technique et industrielle, d’un système éducatif, de ressources humaines et économiques, ainsi que d’une structure adm</w:t>
      </w:r>
      <w:r w:rsidRPr="004B2498">
        <w:rPr>
          <w:lang w:eastAsia="fr-FR" w:bidi="fr-FR"/>
        </w:rPr>
        <w:t>i</w:t>
      </w:r>
      <w:r w:rsidRPr="004B2498">
        <w:rPr>
          <w:lang w:eastAsia="fr-FR" w:bidi="fr-FR"/>
        </w:rPr>
        <w:t>nistrative publique et privée capable d’assurer la croissance économ</w:t>
      </w:r>
      <w:r w:rsidRPr="004B2498">
        <w:rPr>
          <w:lang w:eastAsia="fr-FR" w:bidi="fr-FR"/>
        </w:rPr>
        <w:t>i</w:t>
      </w:r>
      <w:r w:rsidRPr="004B2498">
        <w:rPr>
          <w:lang w:eastAsia="fr-FR" w:bidi="fr-FR"/>
        </w:rPr>
        <w:t>que et un développement national autonome.</w:t>
      </w:r>
    </w:p>
    <w:p w14:paraId="27F7BF89" w14:textId="77777777" w:rsidR="002F4063" w:rsidRPr="004B2498" w:rsidRDefault="002F4063" w:rsidP="002F4063">
      <w:pPr>
        <w:spacing w:before="120" w:after="120"/>
        <w:jc w:val="both"/>
      </w:pPr>
      <w:r w:rsidRPr="004B2498">
        <w:rPr>
          <w:lang w:eastAsia="fr-FR" w:bidi="fr-FR"/>
        </w:rPr>
        <w:t>Le Cap-Vert, par contre, est un pays dont l’imaginaire social est façonné par des siècles de joug colonial (Anjos, 2003) ; il n’est pas autosuffisant en ressources naturelles et/ou énergétiques, ne possède pas d’infrastructure industrielle et technico-administrative, ni de re</w:t>
      </w:r>
      <w:r w:rsidRPr="004B2498">
        <w:rPr>
          <w:lang w:eastAsia="fr-FR" w:bidi="fr-FR"/>
        </w:rPr>
        <w:t>s</w:t>
      </w:r>
      <w:r w:rsidRPr="004B2498">
        <w:rPr>
          <w:lang w:eastAsia="fr-FR" w:bidi="fr-FR"/>
        </w:rPr>
        <w:t>sources humaines qualifiées suffisantes pour autoproduire son propre développement. Malgré l’effort de ses dirigeants, il n’est pas auton</w:t>
      </w:r>
      <w:r w:rsidRPr="004B2498">
        <w:rPr>
          <w:lang w:eastAsia="fr-FR" w:bidi="fr-FR"/>
        </w:rPr>
        <w:t>o</w:t>
      </w:r>
      <w:r w:rsidRPr="004B2498">
        <w:rPr>
          <w:lang w:eastAsia="fr-FR" w:bidi="fr-FR"/>
        </w:rPr>
        <w:t>me économiquement et dépend très fortement des ressources étrang</w:t>
      </w:r>
      <w:r w:rsidRPr="004B2498">
        <w:rPr>
          <w:lang w:eastAsia="fr-FR" w:bidi="fr-FR"/>
        </w:rPr>
        <w:t>è</w:t>
      </w:r>
      <w:r w:rsidRPr="004B2498">
        <w:rPr>
          <w:lang w:eastAsia="fr-FR" w:bidi="fr-FR"/>
        </w:rPr>
        <w:t>res et de la coopération internationale.</w:t>
      </w:r>
    </w:p>
    <w:p w14:paraId="667BA343" w14:textId="77777777" w:rsidR="002F4063" w:rsidRPr="004B2498" w:rsidRDefault="002F4063" w:rsidP="002F4063">
      <w:pPr>
        <w:spacing w:before="120" w:after="120"/>
        <w:jc w:val="both"/>
      </w:pPr>
      <w:r w:rsidRPr="004B2498">
        <w:rPr>
          <w:lang w:eastAsia="fr-FR" w:bidi="fr-FR"/>
        </w:rPr>
        <w:t>La prise de conscience de ces faits nous à permis de comprendre le besoin incontournable d’intégrer à l’analyse la participation des a</w:t>
      </w:r>
      <w:r w:rsidRPr="004B2498">
        <w:rPr>
          <w:lang w:eastAsia="fr-FR" w:bidi="fr-FR"/>
        </w:rPr>
        <w:t>c</w:t>
      </w:r>
      <w:r w:rsidRPr="004B2498">
        <w:rPr>
          <w:lang w:eastAsia="fr-FR" w:bidi="fr-FR"/>
        </w:rPr>
        <w:t>teurs internationaux - peut-être les véritables acteurs de la politique économique et sociale du pays.</w:t>
      </w:r>
    </w:p>
    <w:p w14:paraId="30333FE5" w14:textId="77777777" w:rsidR="002F4063" w:rsidRPr="004B2498" w:rsidRDefault="002F4063" w:rsidP="002F4063">
      <w:pPr>
        <w:spacing w:before="120" w:after="120"/>
        <w:jc w:val="both"/>
      </w:pPr>
      <w:r w:rsidRPr="004B2498">
        <w:rPr>
          <w:lang w:eastAsia="fr-FR" w:bidi="fr-FR"/>
        </w:rPr>
        <w:t>Après avoir revu notre problématique, nous nous sommes retro</w:t>
      </w:r>
      <w:r w:rsidRPr="004B2498">
        <w:rPr>
          <w:lang w:eastAsia="fr-FR" w:bidi="fr-FR"/>
        </w:rPr>
        <w:t>u</w:t>
      </w:r>
      <w:r w:rsidRPr="004B2498">
        <w:rPr>
          <w:lang w:eastAsia="fr-FR" w:bidi="fr-FR"/>
        </w:rPr>
        <w:t>vée en face d’un pays confronté à un ensemble de facteurs : l’exploitation par le capital étranger ; une augmentation inquiétante de la dette externe ; une exploitation irresponsable du tourisme, se</w:t>
      </w:r>
      <w:r w:rsidRPr="004B2498">
        <w:rPr>
          <w:lang w:eastAsia="fr-FR" w:bidi="fr-FR"/>
        </w:rPr>
        <w:t>c</w:t>
      </w:r>
      <w:r w:rsidRPr="004B2498">
        <w:rPr>
          <w:lang w:eastAsia="fr-FR" w:bidi="fr-FR"/>
        </w:rPr>
        <w:t>teur perçu par les autorités gouvernementales comme « la vocation éc</w:t>
      </w:r>
      <w:r w:rsidRPr="004B2498">
        <w:rPr>
          <w:lang w:eastAsia="fr-FR" w:bidi="fr-FR"/>
        </w:rPr>
        <w:t>o</w:t>
      </w:r>
      <w:r w:rsidRPr="004B2498">
        <w:rPr>
          <w:lang w:eastAsia="fr-FR" w:bidi="fr-FR"/>
        </w:rPr>
        <w:t>nomique du pays » mais qui a cependant des effets désastreux sur l’environnement ; et une croissance constante de la violence urbaine et des disparités sociales.</w:t>
      </w:r>
    </w:p>
    <w:p w14:paraId="39270604" w14:textId="77777777" w:rsidR="002F4063" w:rsidRPr="004B2498" w:rsidRDefault="002F4063" w:rsidP="002F4063">
      <w:pPr>
        <w:spacing w:before="120" w:after="120"/>
        <w:jc w:val="both"/>
      </w:pPr>
      <w:r w:rsidRPr="004B2498">
        <w:t>[147]</w:t>
      </w:r>
    </w:p>
    <w:p w14:paraId="291E886B" w14:textId="77777777" w:rsidR="002F4063" w:rsidRPr="004B2498" w:rsidRDefault="002F4063" w:rsidP="002F4063">
      <w:pPr>
        <w:spacing w:before="120" w:after="120"/>
        <w:jc w:val="both"/>
      </w:pPr>
      <w:r w:rsidRPr="004B2498">
        <w:rPr>
          <w:lang w:eastAsia="fr-FR" w:bidi="fr-FR"/>
        </w:rPr>
        <w:t>Comme on l'a vu, le Cap-Vert est aussi un pays pilote du pr</w:t>
      </w:r>
      <w:r w:rsidRPr="004B2498">
        <w:rPr>
          <w:lang w:eastAsia="fr-FR" w:bidi="fr-FR"/>
        </w:rPr>
        <w:t>o</w:t>
      </w:r>
      <w:r w:rsidRPr="004B2498">
        <w:rPr>
          <w:lang w:eastAsia="fr-FR" w:bidi="fr-FR"/>
        </w:rPr>
        <w:t xml:space="preserve">gramme </w:t>
      </w:r>
      <w:r w:rsidRPr="004C0845">
        <w:rPr>
          <w:i/>
        </w:rPr>
        <w:t>Delivering As One</w:t>
      </w:r>
      <w:r w:rsidRPr="004B2498">
        <w:rPr>
          <w:lang w:eastAsia="fr-FR" w:bidi="fr-FR"/>
        </w:rPr>
        <w:t xml:space="preserve"> (DAS) de l’ONU. Créé en 2007, le DAS est un outil de gestion qui centralise, organise, contrôle et évalue l’utilisation des ressources provenant de différents fonds des Nations unies par les dirigeants locaux.</w:t>
      </w:r>
    </w:p>
    <w:p w14:paraId="136436DB" w14:textId="77777777" w:rsidR="002F4063" w:rsidRPr="004B2498" w:rsidRDefault="002F4063" w:rsidP="002F4063">
      <w:pPr>
        <w:spacing w:before="120" w:after="120"/>
        <w:jc w:val="both"/>
      </w:pPr>
      <w:r w:rsidRPr="004B2498">
        <w:rPr>
          <w:lang w:eastAsia="fr-FR" w:bidi="fr-FR"/>
        </w:rPr>
        <w:t>D’un point de vue opérationnel, il consiste surtout à réunir l’ensemble des ressources qui contribuent directement ou indirect</w:t>
      </w:r>
      <w:r w:rsidRPr="004B2498">
        <w:rPr>
          <w:lang w:eastAsia="fr-FR" w:bidi="fr-FR"/>
        </w:rPr>
        <w:t>e</w:t>
      </w:r>
      <w:r w:rsidRPr="004B2498">
        <w:rPr>
          <w:lang w:eastAsia="fr-FR" w:bidi="fr-FR"/>
        </w:rPr>
        <w:t>ment à la mise en place des objectifs du millénaire pour le dévelo</w:t>
      </w:r>
      <w:r w:rsidRPr="004B2498">
        <w:rPr>
          <w:lang w:eastAsia="fr-FR" w:bidi="fr-FR"/>
        </w:rPr>
        <w:t>p</w:t>
      </w:r>
      <w:r w:rsidRPr="004B2498">
        <w:rPr>
          <w:lang w:eastAsia="fr-FR" w:bidi="fr-FR"/>
        </w:rPr>
        <w:t>pement. Après l’avoir élaboré, le pays présente son plan national de développement, ou plutôt le « soumet » à l’ONU qui, s’il « l’approuve », libère l’octroi de ressources qui seront canalisées par le Trésor. Avec les autres fonds obtenus, elles composent le budget national.</w:t>
      </w:r>
    </w:p>
    <w:p w14:paraId="06993C10" w14:textId="77777777" w:rsidR="002F4063" w:rsidRPr="004B2498" w:rsidRDefault="002F4063" w:rsidP="002F4063">
      <w:pPr>
        <w:spacing w:before="120" w:after="120"/>
        <w:jc w:val="both"/>
      </w:pPr>
      <w:r w:rsidRPr="004B2498">
        <w:rPr>
          <w:lang w:eastAsia="fr-FR" w:bidi="fr-FR"/>
        </w:rPr>
        <w:t>Le bureau local de l’ONU exerce à travers ce programme </w:t>
      </w:r>
      <w:r>
        <w:rPr>
          <w:rStyle w:val="Appelnotedebasdep"/>
          <w:lang w:eastAsia="fr-FR" w:bidi="fr-FR"/>
        </w:rPr>
        <w:footnoteReference w:id="104"/>
      </w:r>
      <w:r w:rsidRPr="004B2498">
        <w:rPr>
          <w:lang w:eastAsia="fr-FR" w:bidi="fr-FR"/>
        </w:rPr>
        <w:t xml:space="preserve"> la fonction de coordinateur et de « médiateur » de la gouvernance du dév</w:t>
      </w:r>
      <w:r w:rsidRPr="004B2498">
        <w:rPr>
          <w:lang w:eastAsia="fr-FR" w:bidi="fr-FR"/>
        </w:rPr>
        <w:t>e</w:t>
      </w:r>
      <w:r w:rsidRPr="004B2498">
        <w:rPr>
          <w:lang w:eastAsia="fr-FR" w:bidi="fr-FR"/>
        </w:rPr>
        <w:t>loppement du pays.</w:t>
      </w:r>
    </w:p>
    <w:p w14:paraId="3FA1F6BF" w14:textId="77777777" w:rsidR="002F4063" w:rsidRPr="004B2498" w:rsidRDefault="002F4063" w:rsidP="002F4063">
      <w:pPr>
        <w:spacing w:before="120" w:after="120"/>
        <w:jc w:val="both"/>
      </w:pPr>
      <w:r>
        <w:rPr>
          <w:lang w:eastAsia="fr-FR" w:bidi="fr-FR"/>
        </w:rPr>
        <w:t>À</w:t>
      </w:r>
      <w:r w:rsidRPr="004B2498">
        <w:rPr>
          <w:lang w:eastAsia="fr-FR" w:bidi="fr-FR"/>
        </w:rPr>
        <w:t xml:space="preserve"> partir de 2007-2008, la stratégie de coopération internationale a également subi de profondes modifications. Les ressources auparavant canalisées directement par les ONG locales - y compris celles de l’Organisation des Nations unies pour l’alimentation et l’agriculture (FAO) - sont désormais converties en argent et centralisées au sein de l’État, qui se doit de les utiliser en accord avec les objectifs du mill</w:t>
      </w:r>
      <w:r w:rsidRPr="004B2498">
        <w:rPr>
          <w:lang w:eastAsia="fr-FR" w:bidi="fr-FR"/>
        </w:rPr>
        <w:t>é</w:t>
      </w:r>
      <w:r w:rsidRPr="004B2498">
        <w:rPr>
          <w:lang w:eastAsia="fr-FR" w:bidi="fr-FR"/>
        </w:rPr>
        <w:t>naire pour le développement. Visiblement satisfaits des résultats, les agents de coopération internationale qualifient le Cap-Vert de pays modèle en termes de « bonne gouvernance », ou de gouvernance d</w:t>
      </w:r>
      <w:r w:rsidRPr="004B2498">
        <w:rPr>
          <w:lang w:eastAsia="fr-FR" w:bidi="fr-FR"/>
        </w:rPr>
        <w:t>é</w:t>
      </w:r>
      <w:r w:rsidRPr="004B2498">
        <w:rPr>
          <w:lang w:eastAsia="fr-FR" w:bidi="fr-FR"/>
        </w:rPr>
        <w:t xml:space="preserve">mocratique (cf. le discours d’Hillary Clinton cité </w:t>
      </w:r>
      <w:r w:rsidRPr="004B2498">
        <w:t>supra).</w:t>
      </w:r>
    </w:p>
    <w:p w14:paraId="4383DB6C" w14:textId="77777777" w:rsidR="002F4063" w:rsidRPr="004B2498" w:rsidRDefault="002F4063" w:rsidP="002F4063">
      <w:pPr>
        <w:spacing w:before="120" w:after="120"/>
        <w:jc w:val="both"/>
      </w:pPr>
      <w:r w:rsidRPr="004B2498">
        <w:rPr>
          <w:lang w:eastAsia="fr-FR" w:bidi="fr-FR"/>
        </w:rPr>
        <w:t>Néanmoins, être cité comme modèle de gouvernance, ou encore modèle de « convergence en ce qui concerne les objectifs du milléna</w:t>
      </w:r>
      <w:r w:rsidRPr="004B2498">
        <w:rPr>
          <w:lang w:eastAsia="fr-FR" w:bidi="fr-FR"/>
        </w:rPr>
        <w:t>i</w:t>
      </w:r>
      <w:r w:rsidRPr="004B2498">
        <w:rPr>
          <w:lang w:eastAsia="fr-FR" w:bidi="fr-FR"/>
        </w:rPr>
        <w:t>re pour le développement », ne doit pas être entendu comme synon</w:t>
      </w:r>
      <w:r w:rsidRPr="004B2498">
        <w:rPr>
          <w:lang w:eastAsia="fr-FR" w:bidi="fr-FR"/>
        </w:rPr>
        <w:t>y</w:t>
      </w:r>
      <w:r w:rsidRPr="004B2498">
        <w:rPr>
          <w:lang w:eastAsia="fr-FR" w:bidi="fr-FR"/>
        </w:rPr>
        <w:t>me de développement durable, de trajectoire de développement ve</w:t>
      </w:r>
      <w:r w:rsidRPr="004B2498">
        <w:rPr>
          <w:lang w:eastAsia="fr-FR" w:bidi="fr-FR"/>
        </w:rPr>
        <w:t>r</w:t>
      </w:r>
      <w:r w:rsidRPr="004B2498">
        <w:rPr>
          <w:lang w:eastAsia="fr-FR" w:bidi="fr-FR"/>
        </w:rPr>
        <w:t>tueux. Pour la société locale, la possibilité de s’exprimer, de s’autogouverner et de se consolider en tant que telle n’est pas forc</w:t>
      </w:r>
      <w:r w:rsidRPr="004B2498">
        <w:rPr>
          <w:lang w:eastAsia="fr-FR" w:bidi="fr-FR"/>
        </w:rPr>
        <w:t>é</w:t>
      </w:r>
      <w:r w:rsidRPr="004B2498">
        <w:rPr>
          <w:lang w:eastAsia="fr-FR" w:bidi="fr-FR"/>
        </w:rPr>
        <w:t>ment garantie. Il serait plutôt question d’une convergence éviscérée de la possibilité d’autodétermination et de souveraineté du pays. D’une convergence avec l’« esprit du capitalisme » (Boltanski &amp; Chiapello, 1999).</w:t>
      </w:r>
    </w:p>
    <w:p w14:paraId="34859680" w14:textId="77777777" w:rsidR="002F4063" w:rsidRPr="004B2498" w:rsidRDefault="002F4063" w:rsidP="002F4063">
      <w:pPr>
        <w:spacing w:before="120" w:after="120"/>
        <w:jc w:val="both"/>
      </w:pPr>
      <w:r w:rsidRPr="004B2498">
        <w:rPr>
          <w:lang w:eastAsia="fr-FR" w:bidi="fr-FR"/>
        </w:rPr>
        <w:t>La complexité de la situation capverdienne, en lien avec les tran</w:t>
      </w:r>
      <w:r w:rsidRPr="004B2498">
        <w:rPr>
          <w:lang w:eastAsia="fr-FR" w:bidi="fr-FR"/>
        </w:rPr>
        <w:t>s</w:t>
      </w:r>
      <w:r w:rsidRPr="004B2498">
        <w:rPr>
          <w:lang w:eastAsia="fr-FR" w:bidi="fr-FR"/>
        </w:rPr>
        <w:t>formations en cours au niveau de l’appareil étatique, ne nous perme</w:t>
      </w:r>
      <w:r w:rsidRPr="004B2498">
        <w:rPr>
          <w:lang w:eastAsia="fr-FR" w:bidi="fr-FR"/>
        </w:rPr>
        <w:t>t</w:t>
      </w:r>
      <w:r w:rsidRPr="004B2498">
        <w:rPr>
          <w:lang w:eastAsia="fr-FR" w:bidi="fr-FR"/>
        </w:rPr>
        <w:t>tait plus d’analyser le lieu des ONG d’après le modèle utilisé aupar</w:t>
      </w:r>
      <w:r w:rsidRPr="004B2498">
        <w:rPr>
          <w:lang w:eastAsia="fr-FR" w:bidi="fr-FR"/>
        </w:rPr>
        <w:t>a</w:t>
      </w:r>
      <w:r w:rsidRPr="004B2498">
        <w:rPr>
          <w:lang w:eastAsia="fr-FR" w:bidi="fr-FR"/>
        </w:rPr>
        <w:t>vant pour l’étude des organisations sociales brésiliennes. Sans com</w:t>
      </w:r>
      <w:r w:rsidRPr="004B2498">
        <w:rPr>
          <w:lang w:eastAsia="fr-FR" w:bidi="fr-FR"/>
        </w:rPr>
        <w:t>p</w:t>
      </w:r>
      <w:r w:rsidRPr="004B2498">
        <w:rPr>
          <w:lang w:eastAsia="fr-FR" w:bidi="fr-FR"/>
        </w:rPr>
        <w:t>ter que nous nous trouvions en face d’un pays profondément assujetti au discours idéologique</w:t>
      </w:r>
      <w:r w:rsidRPr="004B2498">
        <w:t xml:space="preserve"> [148]</w:t>
      </w:r>
      <w:r>
        <w:t xml:space="preserve"> </w:t>
      </w:r>
      <w:r w:rsidRPr="004B2498">
        <w:rPr>
          <w:lang w:eastAsia="fr-FR" w:bidi="fr-FR"/>
        </w:rPr>
        <w:t>du « développement inclusif » (Ruckert, 2008). Par voir de cons</w:t>
      </w:r>
      <w:r w:rsidRPr="004B2498">
        <w:rPr>
          <w:lang w:eastAsia="fr-FR" w:bidi="fr-FR"/>
        </w:rPr>
        <w:t>é</w:t>
      </w:r>
      <w:r w:rsidRPr="004B2498">
        <w:rPr>
          <w:lang w:eastAsia="fr-FR" w:bidi="fr-FR"/>
        </w:rPr>
        <w:t>quence, il nous a paru épistémologiquement plus raisonnable d’abandonner une analyse comparative avec le Brésil et de privilégier une étude exploratoire-descriptive de la réalité locale, sur la base d’un échantillonnage de convenance des ONG capverdie</w:t>
      </w:r>
      <w:r w:rsidRPr="004B2498">
        <w:rPr>
          <w:lang w:eastAsia="fr-FR" w:bidi="fr-FR"/>
        </w:rPr>
        <w:t>n</w:t>
      </w:r>
      <w:r w:rsidRPr="004B2498">
        <w:rPr>
          <w:lang w:eastAsia="fr-FR" w:bidi="fr-FR"/>
        </w:rPr>
        <w:t>nes (ONU co</w:t>
      </w:r>
      <w:r w:rsidRPr="004B2498">
        <w:rPr>
          <w:lang w:eastAsia="fr-FR" w:bidi="fr-FR"/>
        </w:rPr>
        <w:t>m</w:t>
      </w:r>
      <w:r w:rsidRPr="004B2498">
        <w:rPr>
          <w:lang w:eastAsia="fr-FR" w:bidi="fr-FR"/>
        </w:rPr>
        <w:t>prise) participant activement au secteur social local.</w:t>
      </w:r>
    </w:p>
    <w:p w14:paraId="03EB854B" w14:textId="77777777" w:rsidR="002F4063" w:rsidRPr="004B2498" w:rsidRDefault="002F4063" w:rsidP="002F4063">
      <w:pPr>
        <w:spacing w:before="120" w:after="120"/>
        <w:jc w:val="both"/>
      </w:pPr>
      <w:r w:rsidRPr="004B2498">
        <w:rPr>
          <w:lang w:eastAsia="fr-FR" w:bidi="fr-FR"/>
        </w:rPr>
        <w:t>Vingt nouveaux entretiens ont alors été réalisés. Pour le choix des ONG les plus significatives du Cap-Vert, nous avons dans un premier temps consulté le CD-ROM regroupant les informations des organis</w:t>
      </w:r>
      <w:r w:rsidRPr="004B2498">
        <w:rPr>
          <w:lang w:eastAsia="fr-FR" w:bidi="fr-FR"/>
        </w:rPr>
        <w:t>a</w:t>
      </w:r>
      <w:r w:rsidRPr="004B2498">
        <w:rPr>
          <w:lang w:eastAsia="fr-FR" w:bidi="fr-FR"/>
        </w:rPr>
        <w:t>tions sociales qui intègrent la plate-forme d’ONG (</w:t>
      </w:r>
      <w:r w:rsidRPr="004C0845">
        <w:rPr>
          <w:i/>
        </w:rPr>
        <w:t>Guia das ONG’s de Cabo Verde</w:t>
      </w:r>
      <w:r w:rsidRPr="004B2498">
        <w:rPr>
          <w:lang w:eastAsia="fr-FR" w:bidi="fr-FR"/>
        </w:rPr>
        <w:t>, 2007), pour ensuite rencontrer plusieurs personnes su</w:t>
      </w:r>
      <w:r w:rsidRPr="004B2498">
        <w:rPr>
          <w:lang w:eastAsia="fr-FR" w:bidi="fr-FR"/>
        </w:rPr>
        <w:t>s</w:t>
      </w:r>
      <w:r w:rsidRPr="004B2498">
        <w:rPr>
          <w:lang w:eastAsia="fr-FR" w:bidi="fr-FR"/>
        </w:rPr>
        <w:t>ceptibles de nous orienter</w:t>
      </w:r>
      <w:r>
        <w:rPr>
          <w:lang w:eastAsia="fr-FR" w:bidi="fr-FR"/>
        </w:rPr>
        <w:t> </w:t>
      </w:r>
      <w:r>
        <w:rPr>
          <w:rStyle w:val="Appelnotedebasdep"/>
          <w:lang w:eastAsia="fr-FR" w:bidi="fr-FR"/>
        </w:rPr>
        <w:footnoteReference w:id="105"/>
      </w:r>
      <w:r w:rsidRPr="004B2498">
        <w:rPr>
          <w:lang w:eastAsia="fr-FR" w:bidi="fr-FR"/>
        </w:rPr>
        <w:t>.</w:t>
      </w:r>
    </w:p>
    <w:p w14:paraId="7D654B16" w14:textId="77777777" w:rsidR="002F4063" w:rsidRPr="004B2498" w:rsidRDefault="002F4063" w:rsidP="002F4063">
      <w:pPr>
        <w:spacing w:before="120" w:after="120"/>
        <w:jc w:val="both"/>
      </w:pPr>
      <w:r w:rsidRPr="004B2498">
        <w:rPr>
          <w:lang w:eastAsia="fr-FR" w:bidi="fr-FR"/>
        </w:rPr>
        <w:t>La plupart des personnes interrogées appartiennent à des ONG qui interviennent sur le territoire national et dont le siège est situé à Praia. Ce nonobstant, pour avoir une vision plus large du contexte nous nous sommes rendue à Mindelo, la ville de l'île de São Vicente </w:t>
      </w:r>
      <w:r>
        <w:rPr>
          <w:rStyle w:val="Appelnotedebasdep"/>
          <w:lang w:eastAsia="fr-FR" w:bidi="fr-FR"/>
        </w:rPr>
        <w:footnoteReference w:id="106"/>
      </w:r>
      <w:r w:rsidRPr="004B2498">
        <w:rPr>
          <w:lang w:eastAsia="fr-FR" w:bidi="fr-FR"/>
        </w:rPr>
        <w:t>.</w:t>
      </w:r>
    </w:p>
    <w:p w14:paraId="31FE77B7" w14:textId="77777777" w:rsidR="002F4063" w:rsidRPr="004B2498" w:rsidRDefault="002F4063" w:rsidP="002F4063">
      <w:pPr>
        <w:spacing w:before="120" w:after="120"/>
        <w:jc w:val="both"/>
      </w:pPr>
      <w:r w:rsidRPr="004B2498">
        <w:rPr>
          <w:lang w:eastAsia="fr-FR" w:bidi="fr-FR"/>
        </w:rPr>
        <w:t>La composition des organisations capverdiennes analysées pendant cette étape est la suivante : ONG œuvrant pour l’éducation infantile : 2  ; l’environnement : 4 ; la promotion de l’emploi et des activités de production de revenu : 4 ; le microcrédit : 2 dont 1 exclusivement r</w:t>
      </w:r>
      <w:r w:rsidRPr="004B2498">
        <w:rPr>
          <w:lang w:eastAsia="fr-FR" w:bidi="fr-FR"/>
        </w:rPr>
        <w:t>é</w:t>
      </w:r>
      <w:r w:rsidRPr="004B2498">
        <w:rPr>
          <w:lang w:eastAsia="fr-FR" w:bidi="fr-FR"/>
        </w:rPr>
        <w:t>servée aux femmes ; la santé familiale : 1 ; la production culturelle (arts plastiques) : 1 ; la coordination des activités d’autres organis</w:t>
      </w:r>
      <w:r w:rsidRPr="004B2498">
        <w:rPr>
          <w:lang w:eastAsia="fr-FR" w:bidi="fr-FR"/>
        </w:rPr>
        <w:t>a</w:t>
      </w:r>
      <w:r w:rsidRPr="004B2498">
        <w:rPr>
          <w:lang w:eastAsia="fr-FR" w:bidi="fr-FR"/>
        </w:rPr>
        <w:t>tions sociales : 1, à savoir le secrétariat général de la plate-forme d’ONG, interviewé en 2009 puis en 2010.</w:t>
      </w:r>
    </w:p>
    <w:p w14:paraId="0A43708A" w14:textId="77777777" w:rsidR="002F4063" w:rsidRPr="004B2498" w:rsidRDefault="002F4063" w:rsidP="002F4063">
      <w:pPr>
        <w:spacing w:before="120" w:after="120"/>
        <w:jc w:val="both"/>
      </w:pPr>
      <w:r w:rsidRPr="004B2498">
        <w:rPr>
          <w:lang w:eastAsia="fr-FR" w:bidi="fr-FR"/>
        </w:rPr>
        <w:t>La présence plus significative d’ONG consacrées aux questions environnementales et à la création d’emplois et de revenus (4 pendant cette étape et 2 pendant l’étude exploratoire) est le reflet du discours officiel du pays, qui met l’accent sur la protection de l’environnement et l’éducation.</w:t>
      </w:r>
    </w:p>
    <w:p w14:paraId="5841156E" w14:textId="77777777" w:rsidR="002F4063" w:rsidRPr="004B2498" w:rsidRDefault="002F4063" w:rsidP="002F4063">
      <w:pPr>
        <w:spacing w:before="120" w:after="120"/>
        <w:jc w:val="both"/>
      </w:pPr>
      <w:r w:rsidRPr="004B2498">
        <w:rPr>
          <w:lang w:eastAsia="fr-FR" w:bidi="fr-FR"/>
        </w:rPr>
        <w:t>En plus des représentants des ONG, d'autres personnes ont été i</w:t>
      </w:r>
      <w:r w:rsidRPr="004B2498">
        <w:rPr>
          <w:lang w:eastAsia="fr-FR" w:bidi="fr-FR"/>
        </w:rPr>
        <w:t>n</w:t>
      </w:r>
      <w:r w:rsidRPr="004B2498">
        <w:rPr>
          <w:lang w:eastAsia="fr-FR" w:bidi="fr-FR"/>
        </w:rPr>
        <w:t xml:space="preserve">terviewées : un conseiller municipal, cofondateur de l’ONG de crédit associatif la plus importante du pays ; le responsable du programme onusien </w:t>
      </w:r>
      <w:r w:rsidRPr="004B2498">
        <w:t>Delivery As One</w:t>
      </w:r>
      <w:r w:rsidRPr="004B2498">
        <w:rPr>
          <w:lang w:eastAsia="fr-FR" w:bidi="fr-FR"/>
        </w:rPr>
        <w:t> ; le représentant de la WWF locale, avec un passage par le secteur public capverdien ; un professeur d’université qui a étudié le milieu associatif du Cap-Vert ; l’assistante du ministre des Relations internationales du Cap-Vert, dont le ministère est re</w:t>
      </w:r>
      <w:r w:rsidRPr="004B2498">
        <w:rPr>
          <w:lang w:eastAsia="fr-FR" w:bidi="fr-FR"/>
        </w:rPr>
        <w:t>s</w:t>
      </w:r>
      <w:r w:rsidRPr="004B2498">
        <w:rPr>
          <w:lang w:eastAsia="fr-FR" w:bidi="fr-FR"/>
        </w:rPr>
        <w:t>ponsable du plan national de</w:t>
      </w:r>
      <w:r>
        <w:t xml:space="preserve"> </w:t>
      </w:r>
      <w:r w:rsidRPr="004B2498">
        <w:t>[149]</w:t>
      </w:r>
      <w:r>
        <w:t xml:space="preserve"> </w:t>
      </w:r>
      <w:r w:rsidRPr="004B2498">
        <w:rPr>
          <w:lang w:eastAsia="fr-FR" w:bidi="fr-FR"/>
        </w:rPr>
        <w:t>développement du pays déjà év</w:t>
      </w:r>
      <w:r w:rsidRPr="004B2498">
        <w:rPr>
          <w:lang w:eastAsia="fr-FR" w:bidi="fr-FR"/>
        </w:rPr>
        <w:t>o</w:t>
      </w:r>
      <w:r w:rsidRPr="004B2498">
        <w:rPr>
          <w:lang w:eastAsia="fr-FR" w:bidi="fr-FR"/>
        </w:rPr>
        <w:t>qué auparavant  ; et le coordinateur de l’Agence française de dévelo</w:t>
      </w:r>
      <w:r w:rsidRPr="004B2498">
        <w:rPr>
          <w:lang w:eastAsia="fr-FR" w:bidi="fr-FR"/>
        </w:rPr>
        <w:t>p</w:t>
      </w:r>
      <w:r w:rsidRPr="004B2498">
        <w:rPr>
          <w:lang w:eastAsia="fr-FR" w:bidi="fr-FR"/>
        </w:rPr>
        <w:t>pement (AFD), de la coopér</w:t>
      </w:r>
      <w:r w:rsidRPr="004B2498">
        <w:rPr>
          <w:lang w:eastAsia="fr-FR" w:bidi="fr-FR"/>
        </w:rPr>
        <w:t>a</w:t>
      </w:r>
      <w:r w:rsidRPr="004B2498">
        <w:rPr>
          <w:lang w:eastAsia="fr-FR" w:bidi="fr-FR"/>
        </w:rPr>
        <w:t>tion française au Cap-Vert.</w:t>
      </w:r>
    </w:p>
    <w:p w14:paraId="53DFF8BF" w14:textId="77777777" w:rsidR="002F4063" w:rsidRPr="004B2498" w:rsidRDefault="002F4063" w:rsidP="002F4063">
      <w:pPr>
        <w:spacing w:before="120" w:after="120"/>
        <w:jc w:val="both"/>
        <w:rPr>
          <w:szCs w:val="24"/>
          <w:lang w:eastAsia="fr-FR" w:bidi="fr-FR"/>
        </w:rPr>
      </w:pPr>
    </w:p>
    <w:p w14:paraId="5256A4C8" w14:textId="77777777" w:rsidR="002F4063" w:rsidRPr="004B2498" w:rsidRDefault="002F4063" w:rsidP="002F4063">
      <w:pPr>
        <w:pStyle w:val="a"/>
      </w:pPr>
      <w:r w:rsidRPr="004B2498">
        <w:t>L’associationnisme comme pratique institutionnelle</w:t>
      </w:r>
      <w:r>
        <w:br/>
      </w:r>
      <w:r w:rsidRPr="004B2498">
        <w:t>au Cap-Vert</w:t>
      </w:r>
    </w:p>
    <w:p w14:paraId="60FC6DFD" w14:textId="77777777" w:rsidR="002F4063" w:rsidRPr="004B2498" w:rsidRDefault="002F4063" w:rsidP="002F4063">
      <w:pPr>
        <w:spacing w:before="120" w:after="120"/>
        <w:jc w:val="both"/>
        <w:rPr>
          <w:lang w:eastAsia="fr-FR" w:bidi="fr-FR"/>
        </w:rPr>
      </w:pPr>
    </w:p>
    <w:p w14:paraId="4F145AE0" w14:textId="77777777" w:rsidR="002F4063" w:rsidRPr="004B2498" w:rsidRDefault="002F4063" w:rsidP="002F4063">
      <w:pPr>
        <w:spacing w:before="120" w:after="120"/>
        <w:jc w:val="both"/>
      </w:pPr>
      <w:r w:rsidRPr="004B2498">
        <w:rPr>
          <w:lang w:eastAsia="fr-FR" w:bidi="fr-FR"/>
        </w:rPr>
        <w:t>Après la déclaration d’indépendance en 1975 et l’adhésion au sy</w:t>
      </w:r>
      <w:r w:rsidRPr="004B2498">
        <w:rPr>
          <w:lang w:eastAsia="fr-FR" w:bidi="fr-FR"/>
        </w:rPr>
        <w:t>s</w:t>
      </w:r>
      <w:r w:rsidRPr="004B2498">
        <w:rPr>
          <w:lang w:eastAsia="fr-FR" w:bidi="fr-FR"/>
        </w:rPr>
        <w:t xml:space="preserve">tème de parti unique sous le contrôle politique de l’URSS, la nouvelle puissance « colonisatrice » avait élaboré une nouvelle stratégie pour faire face au monopole du commerce de marchandises jusque-là aux mains de commerçants portugais : la mise en place du système de coopératives au Cap-Vert (Ramos Barbosa et </w:t>
      </w:r>
      <w:r w:rsidRPr="004B2498">
        <w:t>al</w:t>
      </w:r>
      <w:r w:rsidRPr="004B2498">
        <w:rPr>
          <w:lang w:eastAsia="fr-FR" w:bidi="fr-FR"/>
        </w:rPr>
        <w:t>., 2010). Parallèl</w:t>
      </w:r>
      <w:r w:rsidRPr="004B2498">
        <w:rPr>
          <w:lang w:eastAsia="fr-FR" w:bidi="fr-FR"/>
        </w:rPr>
        <w:t>e</w:t>
      </w:r>
      <w:r w:rsidRPr="004B2498">
        <w:rPr>
          <w:lang w:eastAsia="fr-FR" w:bidi="fr-FR"/>
        </w:rPr>
        <w:t>ment, le gouvernement central s’appuyait sur la structure administr</w:t>
      </w:r>
      <w:r w:rsidRPr="004B2498">
        <w:rPr>
          <w:lang w:eastAsia="fr-FR" w:bidi="fr-FR"/>
        </w:rPr>
        <w:t>a</w:t>
      </w:r>
      <w:r w:rsidRPr="004B2498">
        <w:rPr>
          <w:lang w:eastAsia="fr-FR" w:bidi="fr-FR"/>
        </w:rPr>
        <w:t>tive de ce système pour distribuer les ressources de l’aide internati</w:t>
      </w:r>
      <w:r w:rsidRPr="004B2498">
        <w:rPr>
          <w:lang w:eastAsia="fr-FR" w:bidi="fr-FR"/>
        </w:rPr>
        <w:t>o</w:t>
      </w:r>
      <w:r w:rsidRPr="004B2498">
        <w:rPr>
          <w:lang w:eastAsia="fr-FR" w:bidi="fr-FR"/>
        </w:rPr>
        <w:t>nale à la population en difficulté (Evora, 2001) et pour implanter en milieu rural les chantiers à forte intensité de main-d’œuvre (FA</w:t>
      </w:r>
      <w:r w:rsidRPr="004B2498">
        <w:rPr>
          <w:lang w:eastAsia="fr-FR" w:bidi="fr-FR"/>
        </w:rPr>
        <w:t>I</w:t>
      </w:r>
      <w:r w:rsidRPr="004B2498">
        <w:rPr>
          <w:lang w:eastAsia="fr-FR" w:bidi="fr-FR"/>
        </w:rPr>
        <w:t>MO </w:t>
      </w:r>
      <w:r>
        <w:rPr>
          <w:rStyle w:val="Appelnotedebasdep"/>
          <w:lang w:eastAsia="fr-FR" w:bidi="fr-FR"/>
        </w:rPr>
        <w:footnoteReference w:id="107"/>
      </w:r>
      <w:r w:rsidRPr="004B2498">
        <w:rPr>
          <w:lang w:eastAsia="fr-FR" w:bidi="fr-FR"/>
        </w:rPr>
        <w:t>) quand le pays était la proie de sécheresses dévastatrices.</w:t>
      </w:r>
    </w:p>
    <w:p w14:paraId="5AEF26A7" w14:textId="77777777" w:rsidR="002F4063" w:rsidRPr="004B2498" w:rsidRDefault="002F4063" w:rsidP="002F4063">
      <w:pPr>
        <w:spacing w:before="120" w:after="120"/>
        <w:jc w:val="both"/>
      </w:pPr>
      <w:r w:rsidRPr="004B2498">
        <w:rPr>
          <w:lang w:eastAsia="fr-FR" w:bidi="fr-FR"/>
        </w:rPr>
        <w:t>Sorte de « service public » massifié, les FAIMO sont une politique sociale élaborée par le gouvernement pour fournir à la population le minimum vital en ces temps de sécheresse. Les ressources étaient d</w:t>
      </w:r>
      <w:r w:rsidRPr="004B2498">
        <w:rPr>
          <w:lang w:eastAsia="fr-FR" w:bidi="fr-FR"/>
        </w:rPr>
        <w:t>i</w:t>
      </w:r>
      <w:r w:rsidRPr="004B2498">
        <w:rPr>
          <w:lang w:eastAsia="fr-FR" w:bidi="fr-FR"/>
        </w:rPr>
        <w:t>rectement acheminées par les ministères aux coopératives, qui se chargeaient de les distribuer à la population locale. Cependant, la m</w:t>
      </w:r>
      <w:r w:rsidRPr="004B2498">
        <w:rPr>
          <w:lang w:eastAsia="fr-FR" w:bidi="fr-FR"/>
        </w:rPr>
        <w:t>a</w:t>
      </w:r>
      <w:r w:rsidRPr="004B2498">
        <w:rPr>
          <w:lang w:eastAsia="fr-FR" w:bidi="fr-FR"/>
        </w:rPr>
        <w:t xml:space="preserve">nière dont ces aides étaient réparties et l’absence de prise en compte des traditions d’aide mutuelle préexistantes (dont en particulier le </w:t>
      </w:r>
      <w:r w:rsidRPr="004C0845">
        <w:rPr>
          <w:i/>
        </w:rPr>
        <w:t>djunta-mon</w:t>
      </w:r>
      <w:r w:rsidRPr="004B2498">
        <w:t>,</w:t>
      </w:r>
      <w:r w:rsidRPr="004B2498">
        <w:rPr>
          <w:lang w:eastAsia="fr-FR" w:bidi="fr-FR"/>
        </w:rPr>
        <w:t xml:space="preserve"> un type de solidarité </w:t>
      </w:r>
      <w:r>
        <w:rPr>
          <w:rStyle w:val="Appelnotedebasdep"/>
          <w:lang w:eastAsia="fr-FR" w:bidi="fr-FR"/>
        </w:rPr>
        <w:footnoteReference w:id="108"/>
      </w:r>
      <w:r w:rsidRPr="004B2498">
        <w:rPr>
          <w:lang w:eastAsia="fr-FR" w:bidi="fr-FR"/>
        </w:rPr>
        <w:t xml:space="preserve"> pour la construction mutuelle d’habitations, la cueillette ou l’organisation de fêtes comme les m</w:t>
      </w:r>
      <w:r w:rsidRPr="004B2498">
        <w:rPr>
          <w:lang w:eastAsia="fr-FR" w:bidi="fr-FR"/>
        </w:rPr>
        <w:t>a</w:t>
      </w:r>
      <w:r w:rsidRPr="004B2498">
        <w:rPr>
          <w:lang w:eastAsia="fr-FR" w:bidi="fr-FR"/>
        </w:rPr>
        <w:t>riages, encore pratiquées aujourd’hui dans le milieu rural capverdien) ont finalement conduit à une insatisfaction généralisée vis-à-vis du programme : insatisfaction du gouvernement, car les infrastructures créées dans le cadre de cette politique n’étaient pas entretenues et ne laissaient donc aucune empreinte de son action ; et insatisfaction du peuple qui, mécontent de la gestion des ressources, reliera dans l’imaginaire sociétal le coopératisme à l’injustice sociale, à la central</w:t>
      </w:r>
      <w:r w:rsidRPr="004B2498">
        <w:rPr>
          <w:lang w:eastAsia="fr-FR" w:bidi="fr-FR"/>
        </w:rPr>
        <w:t>i</w:t>
      </w:r>
      <w:r w:rsidRPr="004B2498">
        <w:rPr>
          <w:lang w:eastAsia="fr-FR" w:bidi="fr-FR"/>
        </w:rPr>
        <w:t>sation et à l’autoritarisme.</w:t>
      </w:r>
    </w:p>
    <w:p w14:paraId="23AAC85C" w14:textId="77777777" w:rsidR="002F4063" w:rsidRPr="004B2498" w:rsidRDefault="002F4063" w:rsidP="002F4063">
      <w:pPr>
        <w:spacing w:before="120" w:after="120"/>
        <w:jc w:val="both"/>
      </w:pPr>
      <w:r w:rsidRPr="004B2498">
        <w:t>[150]</w:t>
      </w:r>
    </w:p>
    <w:p w14:paraId="69D53647" w14:textId="77777777" w:rsidR="002F4063" w:rsidRPr="004B2498" w:rsidRDefault="002F4063" w:rsidP="002F4063">
      <w:pPr>
        <w:spacing w:before="120" w:after="120"/>
        <w:jc w:val="both"/>
      </w:pPr>
      <w:r w:rsidRPr="004B2498">
        <w:rPr>
          <w:lang w:eastAsia="fr-FR" w:bidi="fr-FR"/>
        </w:rPr>
        <w:t>Avec la publication en 1990 du décret-loi 101-H/90 qui introduit une discipline du coopératisme, le gouvernement vise à repasser aux coopératives la responsabilité de la gestion des ressources mais aussi la promotion du développement communautaire (Évora, 2001) - une information réaffirmée par le secrétaire général de la plate-forme d'ONG du Cap-Vert :</w:t>
      </w:r>
    </w:p>
    <w:p w14:paraId="33903F39" w14:textId="77777777" w:rsidR="002F4063" w:rsidRDefault="002F4063" w:rsidP="002F4063">
      <w:pPr>
        <w:pStyle w:val="Grillecouleur-Accent1"/>
        <w:rPr>
          <w:lang w:eastAsia="fr-FR" w:bidi="fr-FR"/>
        </w:rPr>
      </w:pPr>
    </w:p>
    <w:p w14:paraId="3FD64A18" w14:textId="77777777" w:rsidR="002F4063" w:rsidRDefault="002F4063" w:rsidP="002F4063">
      <w:pPr>
        <w:pStyle w:val="Grillecouleur-Accent1"/>
        <w:rPr>
          <w:lang w:eastAsia="fr-FR" w:bidi="fr-FR"/>
        </w:rPr>
      </w:pPr>
      <w:r w:rsidRPr="004B2498">
        <w:rPr>
          <w:lang w:eastAsia="fr-FR" w:bidi="fr-FR"/>
        </w:rPr>
        <w:t>« D’où le mot d’ordre adressé aux personnes pour qu’elles se mobil</w:t>
      </w:r>
      <w:r w:rsidRPr="004B2498">
        <w:rPr>
          <w:lang w:eastAsia="fr-FR" w:bidi="fr-FR"/>
        </w:rPr>
        <w:t>i</w:t>
      </w:r>
      <w:r w:rsidRPr="004B2498">
        <w:rPr>
          <w:lang w:eastAsia="fr-FR" w:bidi="fr-FR"/>
        </w:rPr>
        <w:t>sent, s’organisent en associations. Autrement dit, pour que le tr</w:t>
      </w:r>
      <w:r w:rsidRPr="004B2498">
        <w:rPr>
          <w:lang w:eastAsia="fr-FR" w:bidi="fr-FR"/>
        </w:rPr>
        <w:t>a</w:t>
      </w:r>
      <w:r w:rsidRPr="004B2498">
        <w:rPr>
          <w:lang w:eastAsia="fr-FR" w:bidi="fr-FR"/>
        </w:rPr>
        <w:t>vail public s’achève il fallait que la communauté s’organise, crée une association, pour que l’association soit le porte-parole de la communauté dans le di</w:t>
      </w:r>
      <w:r w:rsidRPr="004B2498">
        <w:rPr>
          <w:lang w:eastAsia="fr-FR" w:bidi="fr-FR"/>
        </w:rPr>
        <w:t>a</w:t>
      </w:r>
      <w:r w:rsidRPr="004B2498">
        <w:rPr>
          <w:lang w:eastAsia="fr-FR" w:bidi="fr-FR"/>
        </w:rPr>
        <w:t>logue avec la municipalité, avec les ministères, etc. Ça a été un peu déso</w:t>
      </w:r>
      <w:r w:rsidRPr="004B2498">
        <w:rPr>
          <w:lang w:eastAsia="fr-FR" w:bidi="fr-FR"/>
        </w:rPr>
        <w:t>r</w:t>
      </w:r>
      <w:r w:rsidRPr="004B2498">
        <w:rPr>
          <w:lang w:eastAsia="fr-FR" w:bidi="fr-FR"/>
        </w:rPr>
        <w:t>donné, mais cela a aussi contribué à ce que tous les hameaux s’organisent en associations à partir de 1991 </w:t>
      </w:r>
      <w:r>
        <w:rPr>
          <w:rStyle w:val="Appelnotedebasdep"/>
          <w:lang w:eastAsia="fr-FR" w:bidi="fr-FR"/>
        </w:rPr>
        <w:footnoteReference w:id="109"/>
      </w:r>
      <w:r w:rsidRPr="004B2498">
        <w:rPr>
          <w:lang w:eastAsia="fr-FR" w:bidi="fr-FR"/>
        </w:rPr>
        <w:t>. »</w:t>
      </w:r>
    </w:p>
    <w:p w14:paraId="1AE55323" w14:textId="77777777" w:rsidR="002F4063" w:rsidRPr="004B2498" w:rsidRDefault="002F4063" w:rsidP="002F4063">
      <w:pPr>
        <w:pStyle w:val="Grillecouleur-Accent1"/>
      </w:pPr>
    </w:p>
    <w:p w14:paraId="6AB32613" w14:textId="77777777" w:rsidR="002F4063" w:rsidRPr="004B2498" w:rsidRDefault="002F4063" w:rsidP="002F4063">
      <w:pPr>
        <w:spacing w:before="120" w:after="120"/>
        <w:jc w:val="both"/>
      </w:pPr>
      <w:r w:rsidRPr="004B2498">
        <w:rPr>
          <w:lang w:eastAsia="fr-FR" w:bidi="fr-FR"/>
        </w:rPr>
        <w:t>Ainsi, la prolifération d’ONG au Cap-Vert aurait pour origine la stratégie du gouvernement central de transférer à une population hi</w:t>
      </w:r>
      <w:r w:rsidRPr="004B2498">
        <w:rPr>
          <w:lang w:eastAsia="fr-FR" w:bidi="fr-FR"/>
        </w:rPr>
        <w:t>s</w:t>
      </w:r>
      <w:r w:rsidRPr="004B2498">
        <w:rPr>
          <w:lang w:eastAsia="fr-FR" w:bidi="fr-FR"/>
        </w:rPr>
        <w:t>toriquement dépourvue de droit d’autodétermination une partie de ses propres responsabilités.</w:t>
      </w:r>
    </w:p>
    <w:p w14:paraId="75C8A83A" w14:textId="77777777" w:rsidR="002F4063" w:rsidRPr="004B2498" w:rsidRDefault="002F4063" w:rsidP="002F4063">
      <w:pPr>
        <w:spacing w:before="120" w:after="120"/>
        <w:jc w:val="both"/>
      </w:pPr>
      <w:r w:rsidRPr="004B2498">
        <w:rPr>
          <w:lang w:eastAsia="fr-FR" w:bidi="fr-FR"/>
        </w:rPr>
        <w:t>Toutefois, cette politique d’incitation à la création d’associations communautaires de base dans les localités impliqua également une rupture avec la dépendance extrême et historique de la population r</w:t>
      </w:r>
      <w:r w:rsidRPr="004B2498">
        <w:rPr>
          <w:lang w:eastAsia="fr-FR" w:bidi="fr-FR"/>
        </w:rPr>
        <w:t>u</w:t>
      </w:r>
      <w:r w:rsidRPr="004B2498">
        <w:rPr>
          <w:lang w:eastAsia="fr-FR" w:bidi="fr-FR"/>
        </w:rPr>
        <w:t>rale. Dans cette nouvelle phase, les Cap-verdiens furent par cons</w:t>
      </w:r>
      <w:r w:rsidRPr="004B2498">
        <w:rPr>
          <w:lang w:eastAsia="fr-FR" w:bidi="fr-FR"/>
        </w:rPr>
        <w:t>é</w:t>
      </w:r>
      <w:r w:rsidRPr="004B2498">
        <w:rPr>
          <w:lang w:eastAsia="fr-FR" w:bidi="fr-FR"/>
        </w:rPr>
        <w:t>quent obligés de devenir des « entrepreneurs » de leur autodévelo</w:t>
      </w:r>
      <w:r w:rsidRPr="004B2498">
        <w:rPr>
          <w:lang w:eastAsia="fr-FR" w:bidi="fr-FR"/>
        </w:rPr>
        <w:t>p</w:t>
      </w:r>
      <w:r w:rsidRPr="004B2498">
        <w:rPr>
          <w:lang w:eastAsia="fr-FR" w:bidi="fr-FR"/>
        </w:rPr>
        <w:t>pement. Une situation similaire à celle vécue par les ouvriers du se</w:t>
      </w:r>
      <w:r w:rsidRPr="004B2498">
        <w:rPr>
          <w:lang w:eastAsia="fr-FR" w:bidi="fr-FR"/>
        </w:rPr>
        <w:t>c</w:t>
      </w:r>
      <w:r w:rsidRPr="004B2498">
        <w:rPr>
          <w:lang w:eastAsia="fr-FR" w:bidi="fr-FR"/>
        </w:rPr>
        <w:t>teur industriel lors de la restructuration productive des années 1970 à 1990, dont la plus grande vertu sous le taylorisme et le fordisme était l’obéissance.</w:t>
      </w:r>
    </w:p>
    <w:p w14:paraId="2DEAA68B" w14:textId="77777777" w:rsidR="002F4063" w:rsidRPr="004B2498" w:rsidRDefault="002F4063" w:rsidP="002F4063">
      <w:pPr>
        <w:spacing w:before="120" w:after="120"/>
        <w:jc w:val="both"/>
      </w:pPr>
      <w:r w:rsidRPr="004B2498">
        <w:rPr>
          <w:lang w:eastAsia="fr-FR" w:bidi="fr-FR"/>
        </w:rPr>
        <w:t>À partir du début des années 2000, l’État commença aussi à enco</w:t>
      </w:r>
      <w:r w:rsidRPr="004B2498">
        <w:rPr>
          <w:lang w:eastAsia="fr-FR" w:bidi="fr-FR"/>
        </w:rPr>
        <w:t>u</w:t>
      </w:r>
      <w:r w:rsidRPr="004B2498">
        <w:rPr>
          <w:lang w:eastAsia="fr-FR" w:bidi="fr-FR"/>
        </w:rPr>
        <w:t>rager la formation d’accords directs entre les associations communa</w:t>
      </w:r>
      <w:r w:rsidRPr="004B2498">
        <w:rPr>
          <w:lang w:eastAsia="fr-FR" w:bidi="fr-FR"/>
        </w:rPr>
        <w:t>u</w:t>
      </w:r>
      <w:r w:rsidRPr="004B2498">
        <w:rPr>
          <w:lang w:eastAsia="fr-FR" w:bidi="fr-FR"/>
        </w:rPr>
        <w:t>taires de base et les villes étrangères </w:t>
      </w:r>
      <w:r>
        <w:rPr>
          <w:rStyle w:val="Appelnotedebasdep"/>
          <w:lang w:eastAsia="fr-FR" w:bidi="fr-FR"/>
        </w:rPr>
        <w:footnoteReference w:id="110"/>
      </w:r>
      <w:r w:rsidRPr="004B2498">
        <w:rPr>
          <w:lang w:eastAsia="fr-FR" w:bidi="fr-FR"/>
        </w:rPr>
        <w:t>.</w:t>
      </w:r>
    </w:p>
    <w:p w14:paraId="1E03E483" w14:textId="77777777" w:rsidR="002F4063" w:rsidRPr="004B2498" w:rsidRDefault="002F4063" w:rsidP="002F4063">
      <w:pPr>
        <w:spacing w:before="120" w:after="120"/>
        <w:jc w:val="both"/>
      </w:pPr>
      <w:r w:rsidRPr="004B2498">
        <w:rPr>
          <w:lang w:eastAsia="fr-FR" w:bidi="fr-FR"/>
        </w:rPr>
        <w:t>D’après l’une des personnes interrogées, de nationalité capve</w:t>
      </w:r>
      <w:r w:rsidRPr="004B2498">
        <w:rPr>
          <w:lang w:eastAsia="fr-FR" w:bidi="fr-FR"/>
        </w:rPr>
        <w:t>r</w:t>
      </w:r>
      <w:r w:rsidRPr="004B2498">
        <w:rPr>
          <w:lang w:eastAsia="fr-FR" w:bidi="fr-FR"/>
        </w:rPr>
        <w:t>dienne et représentante d’une ONG d’expression internationale agi</w:t>
      </w:r>
      <w:r w:rsidRPr="004B2498">
        <w:rPr>
          <w:lang w:eastAsia="fr-FR" w:bidi="fr-FR"/>
        </w:rPr>
        <w:t>s</w:t>
      </w:r>
      <w:r w:rsidRPr="004B2498">
        <w:rPr>
          <w:lang w:eastAsia="fr-FR" w:bidi="fr-FR"/>
        </w:rPr>
        <w:t>sant localement, le Cap-Vert regorge de plans :</w:t>
      </w:r>
    </w:p>
    <w:p w14:paraId="16622A0B" w14:textId="77777777" w:rsidR="002F4063" w:rsidRDefault="002F4063" w:rsidP="002F4063">
      <w:pPr>
        <w:pStyle w:val="Grillecouleur-Accent1"/>
        <w:rPr>
          <w:lang w:eastAsia="fr-FR" w:bidi="fr-FR"/>
        </w:rPr>
      </w:pPr>
    </w:p>
    <w:p w14:paraId="4EF3A12A" w14:textId="77777777" w:rsidR="002F4063" w:rsidRPr="004B2498" w:rsidRDefault="002F4063" w:rsidP="002F4063">
      <w:pPr>
        <w:pStyle w:val="Grillecouleur-Accent1"/>
      </w:pPr>
      <w:r w:rsidRPr="004B2498">
        <w:rPr>
          <w:lang w:eastAsia="fr-FR" w:bidi="fr-FR"/>
        </w:rPr>
        <w:t>« Nous avons le plan national de lutte contre la pauvreté, le plan nati</w:t>
      </w:r>
      <w:r w:rsidRPr="004B2498">
        <w:rPr>
          <w:lang w:eastAsia="fr-FR" w:bidi="fr-FR"/>
        </w:rPr>
        <w:t>o</w:t>
      </w:r>
      <w:r w:rsidRPr="004B2498">
        <w:rPr>
          <w:lang w:eastAsia="fr-FR" w:bidi="fr-FR"/>
        </w:rPr>
        <w:t>nal sur l’environnement ; pourtant, le pays ne dispose pas d’un programme national de développement [...] à titre d’exemple, il n’y a pas d’études permettant d’analyser la co-détermination entre proce</w:t>
      </w:r>
      <w:r w:rsidRPr="004B2498">
        <w:rPr>
          <w:lang w:eastAsia="fr-FR" w:bidi="fr-FR"/>
        </w:rPr>
        <w:t>s</w:t>
      </w:r>
      <w:r w:rsidRPr="004B2498">
        <w:rPr>
          <w:lang w:eastAsia="fr-FR" w:bidi="fr-FR"/>
        </w:rPr>
        <w:t>sus, tels que l’extrême pauvreté et les déséquilibres environnementaux qui ravagent le pays ».</w:t>
      </w:r>
      <w:r w:rsidRPr="004B2498">
        <w:t xml:space="preserve"> </w:t>
      </w:r>
    </w:p>
    <w:p w14:paraId="737AB8CC" w14:textId="77777777" w:rsidR="002F4063" w:rsidRPr="004B2498" w:rsidRDefault="002F4063" w:rsidP="002F4063">
      <w:pPr>
        <w:spacing w:before="120" w:after="120"/>
        <w:jc w:val="both"/>
      </w:pPr>
    </w:p>
    <w:p w14:paraId="46106391" w14:textId="77777777" w:rsidR="002F4063" w:rsidRPr="004B2498" w:rsidRDefault="002F4063" w:rsidP="002F4063">
      <w:pPr>
        <w:spacing w:before="120" w:after="120"/>
        <w:jc w:val="both"/>
      </w:pPr>
      <w:r w:rsidRPr="004B2498">
        <w:t>[151]</w:t>
      </w:r>
    </w:p>
    <w:p w14:paraId="7DC89C72" w14:textId="77777777" w:rsidR="002F4063" w:rsidRPr="004B2498" w:rsidRDefault="002F4063" w:rsidP="002F4063">
      <w:pPr>
        <w:spacing w:before="120" w:after="120"/>
        <w:jc w:val="both"/>
      </w:pPr>
      <w:r w:rsidRPr="004B2498">
        <w:rPr>
          <w:lang w:eastAsia="fr-FR" w:bidi="fr-FR"/>
        </w:rPr>
        <w:t>Autrement dit, ces études ne fournissent pas de résultats visibles.</w:t>
      </w:r>
    </w:p>
    <w:p w14:paraId="1426BB66" w14:textId="77777777" w:rsidR="002F4063" w:rsidRPr="004B2498" w:rsidRDefault="002F4063" w:rsidP="002F4063">
      <w:pPr>
        <w:spacing w:before="120" w:after="120"/>
        <w:jc w:val="both"/>
      </w:pPr>
      <w:r w:rsidRPr="004B2498">
        <w:rPr>
          <w:lang w:eastAsia="fr-FR" w:bidi="fr-FR"/>
        </w:rPr>
        <w:t>On se trouve donc devant un scénario doublement complexe : d’un côté, la population devrait prendre des initiatives en rompant avec des siècles de silence et d’accommodation en face d'autorités qui n'hés</w:t>
      </w:r>
      <w:r w:rsidRPr="004B2498">
        <w:rPr>
          <w:lang w:eastAsia="fr-FR" w:bidi="fr-FR"/>
        </w:rPr>
        <w:t>i</w:t>
      </w:r>
      <w:r w:rsidRPr="004B2498">
        <w:rPr>
          <w:lang w:eastAsia="fr-FR" w:bidi="fr-FR"/>
        </w:rPr>
        <w:t>taient pas à recourir à la force ; de l’autre, l’engagement des comm</w:t>
      </w:r>
      <w:r w:rsidRPr="004B2498">
        <w:rPr>
          <w:lang w:eastAsia="fr-FR" w:bidi="fr-FR"/>
        </w:rPr>
        <w:t>u</w:t>
      </w:r>
      <w:r w:rsidRPr="004B2498">
        <w:rPr>
          <w:lang w:eastAsia="fr-FR" w:bidi="fr-FR"/>
        </w:rPr>
        <w:t xml:space="preserve">nautés dans la gestion des ressources publiques équivaudrait à réduire le pouvoir discrétionnaire des dirigeants et d’une bureaucratie étatique au pouvoir clientéliste (Fedozzi, 2005, </w:t>
      </w:r>
      <w:r w:rsidRPr="004C0845">
        <w:rPr>
          <w:i/>
          <w:iCs/>
        </w:rPr>
        <w:t>apud</w:t>
      </w:r>
      <w:r w:rsidRPr="004B2498">
        <w:rPr>
          <w:lang w:eastAsia="fr-FR" w:bidi="fr-FR"/>
        </w:rPr>
        <w:t xml:space="preserve"> Carrion, 2009). Or, et comme le rappellent très justement Crozier et Friedberg (1977) : « On ne change pas la société par décret. »</w:t>
      </w:r>
    </w:p>
    <w:p w14:paraId="2CF006CE" w14:textId="77777777" w:rsidR="002F4063" w:rsidRPr="004B2498" w:rsidRDefault="002F4063" w:rsidP="002F4063">
      <w:pPr>
        <w:spacing w:before="120" w:after="120"/>
        <w:jc w:val="both"/>
        <w:rPr>
          <w:szCs w:val="24"/>
          <w:lang w:eastAsia="fr-FR" w:bidi="fr-FR"/>
        </w:rPr>
      </w:pPr>
      <w:r>
        <w:rPr>
          <w:szCs w:val="24"/>
          <w:lang w:eastAsia="fr-FR" w:bidi="fr-FR"/>
        </w:rPr>
        <w:br w:type="page"/>
      </w:r>
    </w:p>
    <w:p w14:paraId="0F41E302" w14:textId="77777777" w:rsidR="002F4063" w:rsidRPr="004B2498" w:rsidRDefault="002F4063" w:rsidP="002F4063">
      <w:pPr>
        <w:pStyle w:val="a"/>
      </w:pPr>
      <w:r w:rsidRPr="004B2498">
        <w:t xml:space="preserve">L’influence des stratégies de </w:t>
      </w:r>
      <w:r>
        <w:t>coopération internationale</w:t>
      </w:r>
      <w:r>
        <w:br/>
      </w:r>
      <w:r w:rsidRPr="004B2498">
        <w:t>sur le dév</w:t>
      </w:r>
      <w:r w:rsidRPr="004B2498">
        <w:t>e</w:t>
      </w:r>
      <w:r w:rsidRPr="004B2498">
        <w:t>loppement de la vie associative au Cap-Vert</w:t>
      </w:r>
    </w:p>
    <w:p w14:paraId="6DAE72DB" w14:textId="77777777" w:rsidR="002F4063" w:rsidRPr="004B2498" w:rsidRDefault="002F4063" w:rsidP="002F4063">
      <w:pPr>
        <w:spacing w:before="120" w:after="120"/>
        <w:jc w:val="both"/>
        <w:rPr>
          <w:lang w:eastAsia="fr-FR" w:bidi="fr-FR"/>
        </w:rPr>
      </w:pPr>
    </w:p>
    <w:p w14:paraId="58791F10" w14:textId="77777777" w:rsidR="002F4063" w:rsidRPr="004B2498" w:rsidRDefault="002F4063" w:rsidP="002F4063">
      <w:pPr>
        <w:spacing w:before="120" w:after="120"/>
        <w:jc w:val="both"/>
      </w:pPr>
      <w:r w:rsidRPr="004B2498">
        <w:rPr>
          <w:lang w:eastAsia="fr-FR" w:bidi="fr-FR"/>
        </w:rPr>
        <w:t>Entre la volonté politique de l’État, financé par l’entrée massive de ressources de la coopération internationale décentralisée (provenant surtout de l’Union européenne et des États-Unis) après la fin du rég</w:t>
      </w:r>
      <w:r w:rsidRPr="004B2498">
        <w:rPr>
          <w:lang w:eastAsia="fr-FR" w:bidi="fr-FR"/>
        </w:rPr>
        <w:t>i</w:t>
      </w:r>
      <w:r w:rsidRPr="004B2498">
        <w:rPr>
          <w:lang w:eastAsia="fr-FR" w:bidi="fr-FR"/>
        </w:rPr>
        <w:t xml:space="preserve">me de parti unique et l'urgence des communautés locales en matière de ressources publiques, le Cap-Vert est entré dans une période de grande prolifération des ONG nationales - une période qui a débuté en 1994 et s’est achevée en </w:t>
      </w:r>
      <w:r w:rsidRPr="004B2498">
        <w:t>2001</w:t>
      </w:r>
      <w:r w:rsidRPr="004B2498">
        <w:rPr>
          <w:rStyle w:val="Corpsdutexte2AppleGothic9pt"/>
          <w:rFonts w:ascii="Times New Roman" w:hAnsi="Times New Roman"/>
          <w:b w:val="0"/>
          <w:bCs w:val="0"/>
          <w:color w:val="auto"/>
          <w:sz w:val="28"/>
          <w:lang w:val="fr-CA"/>
        </w:rPr>
        <w:t>.</w:t>
      </w:r>
    </w:p>
    <w:p w14:paraId="39A98B0B" w14:textId="77777777" w:rsidR="002F4063" w:rsidRDefault="002F4063" w:rsidP="002F4063">
      <w:pPr>
        <w:pStyle w:val="Grillecouleur-Accent1"/>
        <w:rPr>
          <w:lang w:eastAsia="fr-FR" w:bidi="fr-FR"/>
        </w:rPr>
      </w:pPr>
    </w:p>
    <w:p w14:paraId="384803DB" w14:textId="77777777" w:rsidR="002F4063" w:rsidRDefault="002F4063" w:rsidP="002F4063">
      <w:pPr>
        <w:pStyle w:val="Grillecouleur-Accent1"/>
        <w:rPr>
          <w:lang w:eastAsia="fr-FR" w:bidi="fr-FR"/>
        </w:rPr>
      </w:pPr>
      <w:r w:rsidRPr="004B2498">
        <w:rPr>
          <w:lang w:eastAsia="fr-FR" w:bidi="fr-FR"/>
        </w:rPr>
        <w:t>« La dynamique a changé complètement. Il y a eu un très grand so</w:t>
      </w:r>
      <w:r w:rsidRPr="004B2498">
        <w:rPr>
          <w:lang w:eastAsia="fr-FR" w:bidi="fr-FR"/>
        </w:rPr>
        <w:t>u</w:t>
      </w:r>
      <w:r w:rsidRPr="004B2498">
        <w:rPr>
          <w:lang w:eastAsia="fr-FR" w:bidi="fr-FR"/>
        </w:rPr>
        <w:t>tien pour la formation d’ONG grâce à l’ouverture de la coopération déce</w:t>
      </w:r>
      <w:r w:rsidRPr="004B2498">
        <w:rPr>
          <w:lang w:eastAsia="fr-FR" w:bidi="fr-FR"/>
        </w:rPr>
        <w:t>n</w:t>
      </w:r>
      <w:r w:rsidRPr="004B2498">
        <w:rPr>
          <w:lang w:eastAsia="fr-FR" w:bidi="fr-FR"/>
        </w:rPr>
        <w:t>tralisée dans les années 1990, les ONG mettaient en place un cycle de d</w:t>
      </w:r>
      <w:r w:rsidRPr="004B2498">
        <w:rPr>
          <w:lang w:eastAsia="fr-FR" w:bidi="fr-FR"/>
        </w:rPr>
        <w:t>é</w:t>
      </w:r>
      <w:r w:rsidRPr="004B2498">
        <w:rPr>
          <w:lang w:eastAsia="fr-FR" w:bidi="fr-FR"/>
        </w:rPr>
        <w:t>veloppement de niveau local avec les villes et le go</w:t>
      </w:r>
      <w:r w:rsidRPr="004B2498">
        <w:rPr>
          <w:lang w:eastAsia="fr-FR" w:bidi="fr-FR"/>
        </w:rPr>
        <w:t>u</w:t>
      </w:r>
      <w:r w:rsidRPr="004B2498">
        <w:rPr>
          <w:lang w:eastAsia="fr-FR" w:bidi="fr-FR"/>
        </w:rPr>
        <w:t>vernement [...] Tout cela accompagne le changement du cadre polit</w:t>
      </w:r>
      <w:r w:rsidRPr="004B2498">
        <w:rPr>
          <w:lang w:eastAsia="fr-FR" w:bidi="fr-FR"/>
        </w:rPr>
        <w:t>i</w:t>
      </w:r>
      <w:r w:rsidRPr="004B2498">
        <w:rPr>
          <w:lang w:eastAsia="fr-FR" w:bidi="fr-FR"/>
        </w:rPr>
        <w:t>que</w:t>
      </w:r>
      <w:r>
        <w:rPr>
          <w:lang w:eastAsia="fr-FR" w:bidi="fr-FR"/>
        </w:rPr>
        <w:t> </w:t>
      </w:r>
      <w:r>
        <w:rPr>
          <w:rStyle w:val="Appelnotedebasdep"/>
          <w:lang w:eastAsia="fr-FR" w:bidi="fr-FR"/>
        </w:rPr>
        <w:footnoteReference w:id="111"/>
      </w:r>
      <w:r w:rsidRPr="004B2498">
        <w:rPr>
          <w:lang w:eastAsia="fr-FR" w:bidi="fr-FR"/>
        </w:rPr>
        <w:t>. »</w:t>
      </w:r>
    </w:p>
    <w:p w14:paraId="3DC8C0C0" w14:textId="77777777" w:rsidR="002F4063" w:rsidRPr="004B2498" w:rsidRDefault="002F4063" w:rsidP="002F4063">
      <w:pPr>
        <w:pStyle w:val="Grillecouleur-Accent1"/>
      </w:pPr>
    </w:p>
    <w:p w14:paraId="59975792" w14:textId="77777777" w:rsidR="002F4063" w:rsidRPr="004B2498" w:rsidRDefault="002F4063" w:rsidP="002F4063">
      <w:pPr>
        <w:spacing w:before="120" w:after="120"/>
        <w:jc w:val="both"/>
      </w:pPr>
      <w:r w:rsidRPr="004B2498">
        <w:rPr>
          <w:lang w:eastAsia="fr-FR" w:bidi="fr-FR"/>
        </w:rPr>
        <w:t>L’attentat de septembre 2001 contre les tours new-yorkaises a e</w:t>
      </w:r>
      <w:r w:rsidRPr="004B2498">
        <w:rPr>
          <w:lang w:eastAsia="fr-FR" w:bidi="fr-FR"/>
        </w:rPr>
        <w:t>n</w:t>
      </w:r>
      <w:r w:rsidRPr="004B2498">
        <w:rPr>
          <w:lang w:eastAsia="fr-FR" w:bidi="fr-FR"/>
        </w:rPr>
        <w:t>traîné un changement brusque dans la politique de coopération inte</w:t>
      </w:r>
      <w:r w:rsidRPr="004B2498">
        <w:rPr>
          <w:lang w:eastAsia="fr-FR" w:bidi="fr-FR"/>
        </w:rPr>
        <w:t>r</w:t>
      </w:r>
      <w:r w:rsidRPr="004B2498">
        <w:rPr>
          <w:lang w:eastAsia="fr-FR" w:bidi="fr-FR"/>
        </w:rPr>
        <w:t>nationale pour le développement. Et le Cap-Vert n’a pas été épargné : le volume des ressources traditionnellement reçu à titre d’aide intern</w:t>
      </w:r>
      <w:r w:rsidRPr="004B2498">
        <w:rPr>
          <w:lang w:eastAsia="fr-FR" w:bidi="fr-FR"/>
        </w:rPr>
        <w:t>a</w:t>
      </w:r>
      <w:r w:rsidRPr="004B2498">
        <w:rPr>
          <w:lang w:eastAsia="fr-FR" w:bidi="fr-FR"/>
        </w:rPr>
        <w:t>tionale fut revu à la baisse. En outre, les ressources n’étaient plus g</w:t>
      </w:r>
      <w:r w:rsidRPr="004B2498">
        <w:rPr>
          <w:lang w:eastAsia="fr-FR" w:bidi="fr-FR"/>
        </w:rPr>
        <w:t>é</w:t>
      </w:r>
      <w:r w:rsidRPr="004B2498">
        <w:rPr>
          <w:lang w:eastAsia="fr-FR" w:bidi="fr-FR"/>
        </w:rPr>
        <w:t>rées directement par les ONG et les agences internationales pour les projets sociaux locaux, elles étaient désormais centralisées au niveau de l’État. S’achevait ainsi une période de près de dix ans de financ</w:t>
      </w:r>
      <w:r w:rsidRPr="004B2498">
        <w:rPr>
          <w:lang w:eastAsia="fr-FR" w:bidi="fr-FR"/>
        </w:rPr>
        <w:t>e</w:t>
      </w:r>
      <w:r w:rsidRPr="004B2498">
        <w:rPr>
          <w:lang w:eastAsia="fr-FR" w:bidi="fr-FR"/>
        </w:rPr>
        <w:t>ment direct de projets et d’initiatives de la société civile locale nai</w:t>
      </w:r>
      <w:r w:rsidRPr="004B2498">
        <w:rPr>
          <w:lang w:eastAsia="fr-FR" w:bidi="fr-FR"/>
        </w:rPr>
        <w:t>s</w:t>
      </w:r>
      <w:r w:rsidRPr="004B2498">
        <w:rPr>
          <w:lang w:eastAsia="fr-FR" w:bidi="fr-FR"/>
        </w:rPr>
        <w:t>sante.</w:t>
      </w:r>
    </w:p>
    <w:p w14:paraId="1E07635E" w14:textId="77777777" w:rsidR="002F4063" w:rsidRPr="004B2498" w:rsidRDefault="002F4063" w:rsidP="002F4063">
      <w:pPr>
        <w:spacing w:before="120" w:after="120"/>
        <w:jc w:val="both"/>
      </w:pPr>
      <w:r w:rsidRPr="004B2498">
        <w:rPr>
          <w:lang w:eastAsia="fr-FR" w:bidi="fr-FR"/>
        </w:rPr>
        <w:t>En raison du caractère institutionnaliste de cette nouvelle stratégie de coopération internationale (Devin, 2002), seul un petit nombre d’organisations sociales capverdiennes, reconnues par les gouvern</w:t>
      </w:r>
      <w:r w:rsidRPr="004B2498">
        <w:rPr>
          <w:lang w:eastAsia="fr-FR" w:bidi="fr-FR"/>
        </w:rPr>
        <w:t>e</w:t>
      </w:r>
      <w:r w:rsidRPr="004B2498">
        <w:rPr>
          <w:lang w:eastAsia="fr-FR" w:bidi="fr-FR"/>
        </w:rPr>
        <w:t>ments étrangers parce qu’alignées sur le plan du gouvernement central et respectant</w:t>
      </w:r>
      <w:r w:rsidRPr="004B2498">
        <w:t xml:space="preserve"> [152]</w:t>
      </w:r>
      <w:r>
        <w:t xml:space="preserve"> </w:t>
      </w:r>
      <w:r w:rsidRPr="004B2498">
        <w:rPr>
          <w:lang w:eastAsia="fr-FR" w:bidi="fr-FR"/>
        </w:rPr>
        <w:t>les objectifs du millénaire pour le développement, parvenaient d</w:t>
      </w:r>
      <w:r w:rsidRPr="004B2498">
        <w:rPr>
          <w:lang w:eastAsia="fr-FR" w:bidi="fr-FR"/>
        </w:rPr>
        <w:t>é</w:t>
      </w:r>
      <w:r w:rsidRPr="004B2498">
        <w:rPr>
          <w:lang w:eastAsia="fr-FR" w:bidi="fr-FR"/>
        </w:rPr>
        <w:t>sormais à accéder directement à quelques ressources internationales.</w:t>
      </w:r>
    </w:p>
    <w:p w14:paraId="1C7BD322" w14:textId="77777777" w:rsidR="002F4063" w:rsidRPr="004B2498" w:rsidRDefault="002F4063" w:rsidP="002F4063">
      <w:pPr>
        <w:spacing w:before="120" w:after="120"/>
        <w:jc w:val="both"/>
      </w:pPr>
      <w:r w:rsidRPr="004B2498">
        <w:rPr>
          <w:lang w:eastAsia="fr-FR" w:bidi="fr-FR"/>
        </w:rPr>
        <w:t>Cependant, pour maintenir un contact direct avec le secteur ass</w:t>
      </w:r>
      <w:r w:rsidRPr="004B2498">
        <w:rPr>
          <w:lang w:eastAsia="fr-FR" w:bidi="fr-FR"/>
        </w:rPr>
        <w:t>o</w:t>
      </w:r>
      <w:r w:rsidRPr="004B2498">
        <w:rPr>
          <w:lang w:eastAsia="fr-FR" w:bidi="fr-FR"/>
        </w:rPr>
        <w:t>ciatif et la société locale, les gouvernements de plusieurs pays étra</w:t>
      </w:r>
      <w:r w:rsidRPr="004B2498">
        <w:rPr>
          <w:lang w:eastAsia="fr-FR" w:bidi="fr-FR"/>
        </w:rPr>
        <w:t>n</w:t>
      </w:r>
      <w:r w:rsidRPr="004B2498">
        <w:rPr>
          <w:lang w:eastAsia="fr-FR" w:bidi="fr-FR"/>
        </w:rPr>
        <w:t>gers participant à l’aide au développement du Cap-Vert se sont servis de leurs représentations diplomatiques (ambassades) pour financer des petits projets qui ne remettaient pas en cause l’ordre socio-politico-économique souhaité par eux. Grâce à cela, les puissances hégémon</w:t>
      </w:r>
      <w:r w:rsidRPr="004B2498">
        <w:rPr>
          <w:lang w:eastAsia="fr-FR" w:bidi="fr-FR"/>
        </w:rPr>
        <w:t>i</w:t>
      </w:r>
      <w:r w:rsidRPr="004B2498">
        <w:rPr>
          <w:lang w:eastAsia="fr-FR" w:bidi="fr-FR"/>
        </w:rPr>
        <w:t>ques s’assuraient de l’empathie et de l’engagement de fidélité des gouvernements comme du peuple. Des gouvernements, parce qu’une gestion centralisée des ressources leur conférait légitimité et pouvoir pour gouverner. Du peuple, pour qui recevoir une source extra de re</w:t>
      </w:r>
      <w:r w:rsidRPr="004B2498">
        <w:rPr>
          <w:lang w:eastAsia="fr-FR" w:bidi="fr-FR"/>
        </w:rPr>
        <w:t>s</w:t>
      </w:r>
      <w:r w:rsidRPr="004B2498">
        <w:rPr>
          <w:lang w:eastAsia="fr-FR" w:bidi="fr-FR"/>
        </w:rPr>
        <w:t>sources représentait un « souffle » d’autonomie.</w:t>
      </w:r>
    </w:p>
    <w:p w14:paraId="555F8BDA" w14:textId="77777777" w:rsidR="002F4063" w:rsidRPr="004B2498" w:rsidRDefault="002F4063" w:rsidP="002F4063">
      <w:pPr>
        <w:spacing w:before="120" w:after="120"/>
        <w:jc w:val="both"/>
      </w:pPr>
      <w:r w:rsidRPr="004B2498">
        <w:rPr>
          <w:lang w:eastAsia="fr-FR" w:bidi="fr-FR"/>
        </w:rPr>
        <w:t>Comme le souligne l’une des personnes interrogées, les autorités capverdiennes sont reconnaissantes à la communauté internationale de prendre en compte ses efforts de gestion du pays à travers la politique actuelle de coopération internationale. Une politique de type instit</w:t>
      </w:r>
      <w:r w:rsidRPr="004B2498">
        <w:rPr>
          <w:lang w:eastAsia="fr-FR" w:bidi="fr-FR"/>
        </w:rPr>
        <w:t>u</w:t>
      </w:r>
      <w:r w:rsidRPr="004B2498">
        <w:rPr>
          <w:lang w:eastAsia="fr-FR" w:bidi="fr-FR"/>
        </w:rPr>
        <w:t>tionnaliste, calquée sur le renforcement de la capacité de l’État. Mais un réalisme politique, caractéristique du multilatér</w:t>
      </w:r>
      <w:r w:rsidRPr="004B2498">
        <w:rPr>
          <w:lang w:eastAsia="fr-FR" w:bidi="fr-FR"/>
        </w:rPr>
        <w:t>a</w:t>
      </w:r>
      <w:r w:rsidRPr="004B2498">
        <w:rPr>
          <w:lang w:eastAsia="fr-FR" w:bidi="fr-FR"/>
        </w:rPr>
        <w:t>lisme, de l’assujettissement des pays où le pouvoir politique est moins impo</w:t>
      </w:r>
      <w:r w:rsidRPr="004B2498">
        <w:rPr>
          <w:lang w:eastAsia="fr-FR" w:bidi="fr-FR"/>
        </w:rPr>
        <w:t>r</w:t>
      </w:r>
      <w:r w:rsidRPr="004B2498">
        <w:rPr>
          <w:lang w:eastAsia="fr-FR" w:bidi="fr-FR"/>
        </w:rPr>
        <w:t>tant que celui de ceux qui partagent l’hégémonie mondiale et te</w:t>
      </w:r>
      <w:r w:rsidRPr="004B2498">
        <w:rPr>
          <w:lang w:eastAsia="fr-FR" w:bidi="fr-FR"/>
        </w:rPr>
        <w:t>n</w:t>
      </w:r>
      <w:r w:rsidRPr="004B2498">
        <w:rPr>
          <w:lang w:eastAsia="fr-FR" w:bidi="fr-FR"/>
        </w:rPr>
        <w:t>tent de garder le contrôle de la gouvernance transnationale (Badie, 2009).</w:t>
      </w:r>
    </w:p>
    <w:p w14:paraId="4D85157E" w14:textId="77777777" w:rsidR="002F4063" w:rsidRPr="004B2498" w:rsidRDefault="002F4063" w:rsidP="002F4063">
      <w:pPr>
        <w:spacing w:before="120" w:after="120"/>
        <w:jc w:val="both"/>
      </w:pPr>
      <w:r w:rsidRPr="004B2498">
        <w:rPr>
          <w:lang w:eastAsia="fr-FR" w:bidi="fr-FR"/>
        </w:rPr>
        <w:t>Sur la base de ces différents éléments (changement brusque, gra</w:t>
      </w:r>
      <w:r w:rsidRPr="004B2498">
        <w:rPr>
          <w:lang w:eastAsia="fr-FR" w:bidi="fr-FR"/>
        </w:rPr>
        <w:t>n</w:t>
      </w:r>
      <w:r w:rsidRPr="004B2498">
        <w:rPr>
          <w:lang w:eastAsia="fr-FR" w:bidi="fr-FR"/>
        </w:rPr>
        <w:t>de dépendance du secteur associatif vis-à-vis des ressources étrang</w:t>
      </w:r>
      <w:r w:rsidRPr="004B2498">
        <w:rPr>
          <w:lang w:eastAsia="fr-FR" w:bidi="fr-FR"/>
        </w:rPr>
        <w:t>è</w:t>
      </w:r>
      <w:r w:rsidRPr="004B2498">
        <w:rPr>
          <w:lang w:eastAsia="fr-FR" w:bidi="fr-FR"/>
        </w:rPr>
        <w:t>res et de l’État, inexistence d’une structure administrative et d’un corps fonctionnel capable de rendre compte des investissements p</w:t>
      </w:r>
      <w:r w:rsidRPr="004B2498">
        <w:rPr>
          <w:lang w:eastAsia="fr-FR" w:bidi="fr-FR"/>
        </w:rPr>
        <w:t>u</w:t>
      </w:r>
      <w:r w:rsidRPr="004B2498">
        <w:rPr>
          <w:lang w:eastAsia="fr-FR" w:bidi="fr-FR"/>
        </w:rPr>
        <w:t>blics dans le domaine du social, ambiguïté de la politique de l’Aide), on peut supposer que cette forte croissance du secteur répond avant tout à une politique de transfert des responsabilités pour les organis</w:t>
      </w:r>
      <w:r w:rsidRPr="004B2498">
        <w:rPr>
          <w:lang w:eastAsia="fr-FR" w:bidi="fr-FR"/>
        </w:rPr>
        <w:t>a</w:t>
      </w:r>
      <w:r w:rsidRPr="004B2498">
        <w:rPr>
          <w:lang w:eastAsia="fr-FR" w:bidi="fr-FR"/>
        </w:rPr>
        <w:t>tions sociales du pays, plutôt qu’à une consolidation de la société civ</w:t>
      </w:r>
      <w:r w:rsidRPr="004B2498">
        <w:rPr>
          <w:lang w:eastAsia="fr-FR" w:bidi="fr-FR"/>
        </w:rPr>
        <w:t>i</w:t>
      </w:r>
      <w:r w:rsidRPr="004B2498">
        <w:rPr>
          <w:lang w:eastAsia="fr-FR" w:bidi="fr-FR"/>
        </w:rPr>
        <w:t>le locale. Et les orientations de cette politique ne seraient pas souv</w:t>
      </w:r>
      <w:r w:rsidRPr="004B2498">
        <w:rPr>
          <w:lang w:eastAsia="fr-FR" w:bidi="fr-FR"/>
        </w:rPr>
        <w:t>e</w:t>
      </w:r>
      <w:r w:rsidRPr="004B2498">
        <w:rPr>
          <w:lang w:eastAsia="fr-FR" w:bidi="fr-FR"/>
        </w:rPr>
        <w:t>rainement définies par l’État capverdien, mais orchestrées par les puissances et agences internationales responsables de la gouvernance transnationale du monde.</w:t>
      </w:r>
    </w:p>
    <w:p w14:paraId="059660D0" w14:textId="77777777" w:rsidR="002F4063" w:rsidRPr="004B2498" w:rsidRDefault="002F4063" w:rsidP="002F4063">
      <w:pPr>
        <w:spacing w:before="120" w:after="120"/>
        <w:jc w:val="both"/>
      </w:pPr>
      <w:r w:rsidRPr="004B2498">
        <w:rPr>
          <w:lang w:eastAsia="fr-FR" w:bidi="fr-FR"/>
        </w:rPr>
        <w:t>Par conséquent, l’utilisation récurrente par les gestionnaires des ONG capverdiennes de l’expression « société civile » ne serait pas synonyme du mûrissement d’un espace social de lutte, de contest</w:t>
      </w:r>
      <w:r w:rsidRPr="004B2498">
        <w:rPr>
          <w:lang w:eastAsia="fr-FR" w:bidi="fr-FR"/>
        </w:rPr>
        <w:t>a</w:t>
      </w:r>
      <w:r w:rsidRPr="004B2498">
        <w:rPr>
          <w:lang w:eastAsia="fr-FR" w:bidi="fr-FR"/>
        </w:rPr>
        <w:t>tion, de débat et de revendications façonné par les forces historiques mais, conformément à l’hypothèse soulevée par Bayart (2006), de la « mondialisation » du terme société civile.</w:t>
      </w:r>
    </w:p>
    <w:p w14:paraId="750CBD76" w14:textId="77777777" w:rsidR="002F4063" w:rsidRPr="004B2498" w:rsidRDefault="002F4063" w:rsidP="002F4063">
      <w:pPr>
        <w:spacing w:before="120" w:after="120"/>
        <w:jc w:val="both"/>
      </w:pPr>
      <w:r w:rsidRPr="004B2498">
        <w:rPr>
          <w:lang w:eastAsia="fr-FR" w:bidi="fr-FR"/>
        </w:rPr>
        <w:t>Il convient également de souligner que depuis son accession au rang de pays à développement moyen en 2008, le Cap-Vert a cessé d’être considéré comme un pays prioritaire pour un ensemble de concours et de programmes de l’Aide internationale au développ</w:t>
      </w:r>
      <w:r w:rsidRPr="004B2498">
        <w:rPr>
          <w:lang w:eastAsia="fr-FR" w:bidi="fr-FR"/>
        </w:rPr>
        <w:t>e</w:t>
      </w:r>
      <w:r w:rsidRPr="004B2498">
        <w:rPr>
          <w:lang w:eastAsia="fr-FR" w:bidi="fr-FR"/>
        </w:rPr>
        <w:t>ment. Un des exemples est le fonds</w:t>
      </w:r>
      <w:r w:rsidRPr="004B2498">
        <w:t xml:space="preserve"> [153]</w:t>
      </w:r>
      <w:r>
        <w:t xml:space="preserve"> </w:t>
      </w:r>
      <w:r w:rsidRPr="004B2498">
        <w:rPr>
          <w:lang w:eastAsia="fr-FR" w:bidi="fr-FR"/>
        </w:rPr>
        <w:t>permanent que le gouve</w:t>
      </w:r>
      <w:r w:rsidRPr="004B2498">
        <w:rPr>
          <w:lang w:eastAsia="fr-FR" w:bidi="fr-FR"/>
        </w:rPr>
        <w:t>r</w:t>
      </w:r>
      <w:r w:rsidRPr="004B2498">
        <w:rPr>
          <w:lang w:eastAsia="fr-FR" w:bidi="fr-FR"/>
        </w:rPr>
        <w:t>nement belge attribuait aux associ</w:t>
      </w:r>
      <w:r w:rsidRPr="004B2498">
        <w:rPr>
          <w:lang w:eastAsia="fr-FR" w:bidi="fr-FR"/>
        </w:rPr>
        <w:t>a</w:t>
      </w:r>
      <w:r w:rsidRPr="004B2498">
        <w:rPr>
          <w:lang w:eastAsia="fr-FR" w:bidi="fr-FR"/>
        </w:rPr>
        <w:t>tions communautaires de base pour des activités de consolidation, form</w:t>
      </w:r>
      <w:r w:rsidRPr="004B2498">
        <w:rPr>
          <w:lang w:eastAsia="fr-FR" w:bidi="fr-FR"/>
        </w:rPr>
        <w:t>a</w:t>
      </w:r>
      <w:r w:rsidRPr="004B2498">
        <w:rPr>
          <w:lang w:eastAsia="fr-FR" w:bidi="fr-FR"/>
        </w:rPr>
        <w:t>tion et promotion d’emploi et de revenu. Pourtant jugé vital pour la survie de ces organisations, il a été supprimé quand le pays est devenu un pays à « développement moyen » ou, comme le suggèrent ironiquement certains des interloc</w:t>
      </w:r>
      <w:r w:rsidRPr="004B2498">
        <w:rPr>
          <w:lang w:eastAsia="fr-FR" w:bidi="fr-FR"/>
        </w:rPr>
        <w:t>u</w:t>
      </w:r>
      <w:r w:rsidRPr="004B2498">
        <w:rPr>
          <w:lang w:eastAsia="fr-FR" w:bidi="fr-FR"/>
        </w:rPr>
        <w:t>teurs, un pays au « revenu moyen ». Si la nouvelle politique de coop</w:t>
      </w:r>
      <w:r w:rsidRPr="004B2498">
        <w:rPr>
          <w:lang w:eastAsia="fr-FR" w:bidi="fr-FR"/>
        </w:rPr>
        <w:t>é</w:t>
      </w:r>
      <w:r w:rsidRPr="004B2498">
        <w:rPr>
          <w:lang w:eastAsia="fr-FR" w:bidi="fr-FR"/>
        </w:rPr>
        <w:t>ration internationale re</w:t>
      </w:r>
      <w:r w:rsidRPr="004B2498">
        <w:rPr>
          <w:lang w:eastAsia="fr-FR" w:bidi="fr-FR"/>
        </w:rPr>
        <w:t>n</w:t>
      </w:r>
      <w:r w:rsidRPr="004B2498">
        <w:rPr>
          <w:lang w:eastAsia="fr-FR" w:bidi="fr-FR"/>
        </w:rPr>
        <w:t>force l’État en tant qu’institution, il ne fait aucun doute qu’elle contr</w:t>
      </w:r>
      <w:r w:rsidRPr="004B2498">
        <w:rPr>
          <w:lang w:eastAsia="fr-FR" w:bidi="fr-FR"/>
        </w:rPr>
        <w:t>i</w:t>
      </w:r>
      <w:r w:rsidRPr="004B2498">
        <w:rPr>
          <w:lang w:eastAsia="fr-FR" w:bidi="fr-FR"/>
        </w:rPr>
        <w:t>bue aussi bien directement qu’indirectement à une politique clientéliste, dont les pr</w:t>
      </w:r>
      <w:r w:rsidRPr="004B2498">
        <w:rPr>
          <w:lang w:eastAsia="fr-FR" w:bidi="fr-FR"/>
        </w:rPr>
        <w:t>a</w:t>
      </w:r>
      <w:r w:rsidRPr="004B2498">
        <w:rPr>
          <w:lang w:eastAsia="fr-FR" w:bidi="fr-FR"/>
        </w:rPr>
        <w:t>tiques affaiblissent la société civile au lieu de la cons</w:t>
      </w:r>
      <w:r w:rsidRPr="004B2498">
        <w:rPr>
          <w:lang w:eastAsia="fr-FR" w:bidi="fr-FR"/>
        </w:rPr>
        <w:t>o</w:t>
      </w:r>
      <w:r w:rsidRPr="004B2498">
        <w:rPr>
          <w:lang w:eastAsia="fr-FR" w:bidi="fr-FR"/>
        </w:rPr>
        <w:t>lider ; de fait, dans certains pays la société civile est plutôt perçue comme une entr</w:t>
      </w:r>
      <w:r w:rsidRPr="004B2498">
        <w:rPr>
          <w:lang w:eastAsia="fr-FR" w:bidi="fr-FR"/>
        </w:rPr>
        <w:t>a</w:t>
      </w:r>
      <w:r w:rsidRPr="004B2498">
        <w:rPr>
          <w:lang w:eastAsia="fr-FR" w:bidi="fr-FR"/>
        </w:rPr>
        <w:t>ve (Badie, 2008) que comme une source de dévelo</w:t>
      </w:r>
      <w:r w:rsidRPr="004B2498">
        <w:rPr>
          <w:lang w:eastAsia="fr-FR" w:bidi="fr-FR"/>
        </w:rPr>
        <w:t>p</w:t>
      </w:r>
      <w:r w:rsidRPr="004B2498">
        <w:rPr>
          <w:lang w:eastAsia="fr-FR" w:bidi="fr-FR"/>
        </w:rPr>
        <w:t>pement (Putman, 2002).</w:t>
      </w:r>
    </w:p>
    <w:p w14:paraId="04CD5706" w14:textId="77777777" w:rsidR="002F4063" w:rsidRPr="004B2498" w:rsidRDefault="002F4063" w:rsidP="002F4063">
      <w:pPr>
        <w:spacing w:before="120" w:after="120"/>
        <w:jc w:val="both"/>
      </w:pPr>
      <w:r w:rsidRPr="004B2498">
        <w:rPr>
          <w:lang w:eastAsia="fr-FR" w:bidi="fr-FR"/>
        </w:rPr>
        <w:t>Consciente que le pays perdait ses financeurs traditionnels, la pl</w:t>
      </w:r>
      <w:r w:rsidRPr="004B2498">
        <w:rPr>
          <w:lang w:eastAsia="fr-FR" w:bidi="fr-FR"/>
        </w:rPr>
        <w:t>a</w:t>
      </w:r>
      <w:r w:rsidRPr="004B2498">
        <w:rPr>
          <w:lang w:eastAsia="fr-FR" w:bidi="fr-FR"/>
        </w:rPr>
        <w:t>te-forme d’ONG capverdienne organisa en 2008 une rencontre entre les plus hautes autorités du pays et près de 30 ONG du Nord œuvrant dans les pays du Sud et ayant accès aux fonds de l’Union européenne et à d’autres aides internationales.</w:t>
      </w:r>
    </w:p>
    <w:p w14:paraId="54903E18" w14:textId="77777777" w:rsidR="002F4063" w:rsidRPr="004B2498" w:rsidRDefault="002F4063" w:rsidP="002F4063">
      <w:pPr>
        <w:spacing w:before="120" w:after="120"/>
        <w:jc w:val="both"/>
      </w:pPr>
      <w:r w:rsidRPr="004B2498">
        <w:rPr>
          <w:lang w:eastAsia="fr-FR" w:bidi="fr-FR"/>
        </w:rPr>
        <w:t>Parmi ces ONG internationales, certaines intervenaient ou étaient déjà intervenues dans le pays, d’autres étaient envisagées comme des partenaires potentiels futurs. L’objectif de la rencontre était de prése</w:t>
      </w:r>
      <w:r w:rsidRPr="004B2498">
        <w:rPr>
          <w:lang w:eastAsia="fr-FR" w:bidi="fr-FR"/>
        </w:rPr>
        <w:t>n</w:t>
      </w:r>
      <w:r w:rsidRPr="004B2498">
        <w:rPr>
          <w:lang w:eastAsia="fr-FR" w:bidi="fr-FR"/>
        </w:rPr>
        <w:t>ter la réalité associative locale aux invités internationaux, ses potenti</w:t>
      </w:r>
      <w:r w:rsidRPr="004B2498">
        <w:rPr>
          <w:lang w:eastAsia="fr-FR" w:bidi="fr-FR"/>
        </w:rPr>
        <w:t>a</w:t>
      </w:r>
      <w:r w:rsidRPr="004B2498">
        <w:rPr>
          <w:lang w:eastAsia="fr-FR" w:bidi="fr-FR"/>
        </w:rPr>
        <w:t>lités, ses défis, les alliances et les opportunités existantes, mais aussi de tenter de faire pression sur l’État pour qu’il s’engage davantage en matière de financement des activités sociales.</w:t>
      </w:r>
    </w:p>
    <w:p w14:paraId="3CAB1269" w14:textId="77777777" w:rsidR="002F4063" w:rsidRPr="004B2498" w:rsidRDefault="002F4063" w:rsidP="002F4063">
      <w:pPr>
        <w:spacing w:before="120" w:after="120"/>
        <w:jc w:val="both"/>
      </w:pPr>
      <w:r w:rsidRPr="004B2498">
        <w:rPr>
          <w:lang w:eastAsia="fr-FR" w:bidi="fr-FR"/>
        </w:rPr>
        <w:t>Lors du discours d’ouverture, le premier ministre capverdien a mis l’accent d’une part sur l’importance de la contribution de « la société civile organisée » pour le niveau de développement atteint par le pays, et qualifié ses membres de « partenaires incontournables pour le dév</w:t>
      </w:r>
      <w:r w:rsidRPr="004B2498">
        <w:rPr>
          <w:lang w:eastAsia="fr-FR" w:bidi="fr-FR"/>
        </w:rPr>
        <w:t>e</w:t>
      </w:r>
      <w:r w:rsidRPr="004B2498">
        <w:rPr>
          <w:lang w:eastAsia="fr-FR" w:bidi="fr-FR"/>
        </w:rPr>
        <w:t>loppement du pays ». D’autre part, il s’est engagé à défendre la cré</w:t>
      </w:r>
      <w:r w:rsidRPr="004B2498">
        <w:rPr>
          <w:lang w:eastAsia="fr-FR" w:bidi="fr-FR"/>
        </w:rPr>
        <w:t>a</w:t>
      </w:r>
      <w:r w:rsidRPr="004B2498">
        <w:rPr>
          <w:lang w:eastAsia="fr-FR" w:bidi="fr-FR"/>
        </w:rPr>
        <w:t>tion d’une catégorie dans le budget général pour le financement de l’action non gouvernementale de développement du Cap-Vert. Pour ce faire, il a demandé au secteur associatif local de lui présenter un pr</w:t>
      </w:r>
      <w:r w:rsidRPr="004B2498">
        <w:rPr>
          <w:lang w:eastAsia="fr-FR" w:bidi="fr-FR"/>
        </w:rPr>
        <w:t>o</w:t>
      </w:r>
      <w:r w:rsidRPr="004B2498">
        <w:rPr>
          <w:lang w:eastAsia="fr-FR" w:bidi="fr-FR"/>
        </w:rPr>
        <w:t>jet. Pourtant, en juin 2010 la proposition n’avait pas encore été dép</w:t>
      </w:r>
      <w:r w:rsidRPr="004B2498">
        <w:rPr>
          <w:lang w:eastAsia="fr-FR" w:bidi="fr-FR"/>
        </w:rPr>
        <w:t>o</w:t>
      </w:r>
      <w:r w:rsidRPr="004B2498">
        <w:rPr>
          <w:lang w:eastAsia="fr-FR" w:bidi="fr-FR"/>
        </w:rPr>
        <w:t>sée. Questionné sur ce point, le représentant de la plate-forme local d’ONG nous a répondu : « Comme il s’agit d’une période préélector</w:t>
      </w:r>
      <w:r w:rsidRPr="004B2498">
        <w:rPr>
          <w:lang w:eastAsia="fr-FR" w:bidi="fr-FR"/>
        </w:rPr>
        <w:t>a</w:t>
      </w:r>
      <w:r w:rsidRPr="004B2498">
        <w:rPr>
          <w:lang w:eastAsia="fr-FR" w:bidi="fr-FR"/>
        </w:rPr>
        <w:t>le, avec dans six mois les élections présidentielles, le moment n’est pas le meilleur</w:t>
      </w:r>
      <w:r>
        <w:rPr>
          <w:lang w:eastAsia="fr-FR" w:bidi="fr-FR"/>
        </w:rPr>
        <w:t> </w:t>
      </w:r>
      <w:r>
        <w:rPr>
          <w:rStyle w:val="Appelnotedebasdep"/>
          <w:lang w:eastAsia="fr-FR" w:bidi="fr-FR"/>
        </w:rPr>
        <w:footnoteReference w:id="112"/>
      </w:r>
      <w:r w:rsidRPr="004B2498">
        <w:rPr>
          <w:lang w:eastAsia="fr-FR" w:bidi="fr-FR"/>
        </w:rPr>
        <w:t>. »</w:t>
      </w:r>
    </w:p>
    <w:p w14:paraId="09EE0B02" w14:textId="77777777" w:rsidR="002F4063" w:rsidRPr="004B2498" w:rsidRDefault="002F4063" w:rsidP="002F4063">
      <w:pPr>
        <w:spacing w:before="120" w:after="120"/>
        <w:jc w:val="both"/>
      </w:pPr>
      <w:r w:rsidRPr="004B2498">
        <w:rPr>
          <w:lang w:eastAsia="fr-FR" w:bidi="fr-FR"/>
        </w:rPr>
        <w:t>Si l’on analyse l’attente du secteur social exprimée à travers le di</w:t>
      </w:r>
      <w:r w:rsidRPr="004B2498">
        <w:rPr>
          <w:lang w:eastAsia="fr-FR" w:bidi="fr-FR"/>
        </w:rPr>
        <w:t>s</w:t>
      </w:r>
      <w:r w:rsidRPr="004B2498">
        <w:rPr>
          <w:lang w:eastAsia="fr-FR" w:bidi="fr-FR"/>
        </w:rPr>
        <w:t>cours du secrétaire général de la plate-forme d’ONG du Cap-Vert et les témoignages recueillis des coordinateurs du secteur associatif l</w:t>
      </w:r>
      <w:r w:rsidRPr="004B2498">
        <w:rPr>
          <w:lang w:eastAsia="fr-FR" w:bidi="fr-FR"/>
        </w:rPr>
        <w:t>o</w:t>
      </w:r>
      <w:r w:rsidRPr="004B2498">
        <w:rPr>
          <w:lang w:eastAsia="fr-FR" w:bidi="fr-FR"/>
        </w:rPr>
        <w:t>cal, on</w:t>
      </w:r>
      <w:r w:rsidRPr="004B2498">
        <w:t xml:space="preserve"> [154]</w:t>
      </w:r>
      <w:r>
        <w:t xml:space="preserve"> </w:t>
      </w:r>
      <w:r w:rsidRPr="004B2498">
        <w:rPr>
          <w:lang w:eastAsia="fr-FR" w:bidi="fr-FR"/>
        </w:rPr>
        <w:t>s’aperçoit qu’ils privilégient le rôle de l’État en tant qu’organisateur et bailleur de fonds du secteur associatif. Le secteur ne se perçoit donc pas comme un secteur autonome, mais comme un prolongement de l’État, responsable de la mise en place d’activités conformes à une vision du développement conçue dans le cadre de la coopération internationale et inscrite dans le plan national de dévelo</w:t>
      </w:r>
      <w:r w:rsidRPr="004B2498">
        <w:rPr>
          <w:lang w:eastAsia="fr-FR" w:bidi="fr-FR"/>
        </w:rPr>
        <w:t>p</w:t>
      </w:r>
      <w:r w:rsidRPr="004B2498">
        <w:rPr>
          <w:lang w:eastAsia="fr-FR" w:bidi="fr-FR"/>
        </w:rPr>
        <w:t xml:space="preserve">pement du pays. Un tel point de vue est partagé par les </w:t>
      </w:r>
      <w:r w:rsidRPr="00841759">
        <w:rPr>
          <w:i/>
        </w:rPr>
        <w:t>leaders</w:t>
      </w:r>
      <w:r w:rsidRPr="004B2498">
        <w:rPr>
          <w:lang w:eastAsia="fr-FR" w:bidi="fr-FR"/>
        </w:rPr>
        <w:t xml:space="preserve"> polit</w:t>
      </w:r>
      <w:r w:rsidRPr="004B2498">
        <w:rPr>
          <w:lang w:eastAsia="fr-FR" w:bidi="fr-FR"/>
        </w:rPr>
        <w:t>i</w:t>
      </w:r>
      <w:r w:rsidRPr="004B2498">
        <w:rPr>
          <w:lang w:eastAsia="fr-FR" w:bidi="fr-FR"/>
        </w:rPr>
        <w:t>ques du pays, qui se réservent le droit de choisir de manière discr</w:t>
      </w:r>
      <w:r w:rsidRPr="004B2498">
        <w:rPr>
          <w:lang w:eastAsia="fr-FR" w:bidi="fr-FR"/>
        </w:rPr>
        <w:t>é</w:t>
      </w:r>
      <w:r w:rsidRPr="004B2498">
        <w:rPr>
          <w:lang w:eastAsia="fr-FR" w:bidi="fr-FR"/>
        </w:rPr>
        <w:t>tionnaire, conformément aux intérêts politiques des partis et au co</w:t>
      </w:r>
      <w:r w:rsidRPr="004B2498">
        <w:rPr>
          <w:lang w:eastAsia="fr-FR" w:bidi="fr-FR"/>
        </w:rPr>
        <w:t>m</w:t>
      </w:r>
      <w:r w:rsidRPr="004B2498">
        <w:rPr>
          <w:lang w:eastAsia="fr-FR" w:bidi="fr-FR"/>
        </w:rPr>
        <w:t>portement du secteur, les organisations qui bénéficieront de ressou</w:t>
      </w:r>
      <w:r w:rsidRPr="004B2498">
        <w:rPr>
          <w:lang w:eastAsia="fr-FR" w:bidi="fr-FR"/>
        </w:rPr>
        <w:t>r</w:t>
      </w:r>
      <w:r w:rsidRPr="004B2498">
        <w:rPr>
          <w:lang w:eastAsia="fr-FR" w:bidi="fr-FR"/>
        </w:rPr>
        <w:t>ces.</w:t>
      </w:r>
    </w:p>
    <w:p w14:paraId="0C28FC6F" w14:textId="77777777" w:rsidR="002F4063" w:rsidRPr="004B2498" w:rsidRDefault="002F4063" w:rsidP="002F4063">
      <w:pPr>
        <w:spacing w:before="120" w:after="120"/>
        <w:jc w:val="both"/>
      </w:pPr>
      <w:r w:rsidRPr="004B2498">
        <w:rPr>
          <w:lang w:eastAsia="fr-FR" w:bidi="fr-FR"/>
        </w:rPr>
        <w:t>D’un autre côté, les administrateurs des ONG qui ont accepté d’aborder le processus de distribution des ressources de la coopération internationale pour le développement sont tous d’accord sur le fait que le gouvernement ne se base sur aucun critère pour choisir les organ</w:t>
      </w:r>
      <w:r w:rsidRPr="004B2498">
        <w:rPr>
          <w:lang w:eastAsia="fr-FR" w:bidi="fr-FR"/>
        </w:rPr>
        <w:t>i</w:t>
      </w:r>
      <w:r w:rsidRPr="004B2498">
        <w:rPr>
          <w:lang w:eastAsia="fr-FR" w:bidi="fr-FR"/>
        </w:rPr>
        <w:t>sations sociales bénéficiaires ni pour contrôler l’utilisation qui est fa</w:t>
      </w:r>
      <w:r w:rsidRPr="004B2498">
        <w:rPr>
          <w:lang w:eastAsia="fr-FR" w:bidi="fr-FR"/>
        </w:rPr>
        <w:t>i</w:t>
      </w:r>
      <w:r w:rsidRPr="004B2498">
        <w:rPr>
          <w:lang w:eastAsia="fr-FR" w:bidi="fr-FR"/>
        </w:rPr>
        <w:t xml:space="preserve">te des ressources. Et d’après eux, les dirigeants des ONG qui s’identifient au parti politique au pouvoir reçoivent davantage d’argent public que ceux qui ne disposent pas de la même capacité de </w:t>
      </w:r>
      <w:r w:rsidRPr="004B2498">
        <w:t>lobbying</w:t>
      </w:r>
      <w:r w:rsidRPr="004B2498">
        <w:rPr>
          <w:lang w:eastAsia="fr-FR" w:bidi="fr-FR"/>
        </w:rPr>
        <w:t xml:space="preserve"> politique.</w:t>
      </w:r>
    </w:p>
    <w:p w14:paraId="1B68E45A" w14:textId="77777777" w:rsidR="002F4063" w:rsidRPr="004B2498" w:rsidRDefault="002F4063" w:rsidP="002F4063">
      <w:pPr>
        <w:spacing w:before="120" w:after="120"/>
        <w:jc w:val="both"/>
      </w:pPr>
      <w:r w:rsidRPr="004B2498">
        <w:rPr>
          <w:lang w:eastAsia="fr-FR" w:bidi="fr-FR"/>
        </w:rPr>
        <w:t>En réalité, il ne s’agit pas d’une absence de « critères ». Le critère est le clientélisme, avec pour base l’affiliation du dirigeant de l’organisation sociale à un parti politique. Ceux qui sont dans ce cas ont un accès privilégié et reçoivent la plus grosse part du gâteau dest</w:t>
      </w:r>
      <w:r w:rsidRPr="004B2498">
        <w:rPr>
          <w:lang w:eastAsia="fr-FR" w:bidi="fr-FR"/>
        </w:rPr>
        <w:t>i</w:t>
      </w:r>
      <w:r w:rsidRPr="004B2498">
        <w:rPr>
          <w:lang w:eastAsia="fr-FR" w:bidi="fr-FR"/>
        </w:rPr>
        <w:t>né au financement des activités sociales menées dans le pays.</w:t>
      </w:r>
    </w:p>
    <w:p w14:paraId="220D02C0" w14:textId="77777777" w:rsidR="002F4063" w:rsidRPr="004B2498" w:rsidRDefault="002F4063" w:rsidP="002F4063">
      <w:pPr>
        <w:spacing w:before="120" w:after="120"/>
        <w:jc w:val="both"/>
      </w:pPr>
      <w:r w:rsidRPr="004B2498">
        <w:rPr>
          <w:lang w:eastAsia="fr-FR" w:bidi="fr-FR"/>
        </w:rPr>
        <w:t xml:space="preserve">Le </w:t>
      </w:r>
      <w:r w:rsidRPr="004B2498">
        <w:t>boom</w:t>
      </w:r>
      <w:r w:rsidRPr="004B2498">
        <w:rPr>
          <w:lang w:eastAsia="fr-FR" w:bidi="fr-FR"/>
        </w:rPr>
        <w:t xml:space="preserve"> des ONG survenu dans les années 1990 et le début du troisième millénaire au Cap-Vert ne seraient pas le résultat d’une m</w:t>
      </w:r>
      <w:r w:rsidRPr="004B2498">
        <w:rPr>
          <w:lang w:eastAsia="fr-FR" w:bidi="fr-FR"/>
        </w:rPr>
        <w:t>a</w:t>
      </w:r>
      <w:r w:rsidRPr="004B2498">
        <w:rPr>
          <w:lang w:eastAsia="fr-FR" w:bidi="fr-FR"/>
        </w:rPr>
        <w:t>nifestation autonome et indépendante de la société, mais le fruit d’une convergence perverse d’un ensemble de facteurs : un État qui souhaite se décharger de la gestion administrative du développement local  ; des puissances étrangères qui, en centralisant l’aide, fournissent à l’État les conditions matérielles d’un troc politique pour imposer sa volonté au peuple ; et une population civile dominée par des siècles d’assujettissement politique, d’abord avec le régime colonial portugais puis sous le joug du régime soviétique. Une population obligée de s’adapter ou, selon la lecture qui en est faite, de « s’associer ».</w:t>
      </w:r>
    </w:p>
    <w:p w14:paraId="682F401C" w14:textId="77777777" w:rsidR="002F4063" w:rsidRPr="004B2498" w:rsidRDefault="002F4063" w:rsidP="002F4063">
      <w:pPr>
        <w:spacing w:before="120" w:after="120"/>
        <w:jc w:val="both"/>
      </w:pPr>
      <w:r w:rsidRPr="004B2498">
        <w:rPr>
          <w:lang w:eastAsia="fr-FR" w:bidi="fr-FR"/>
        </w:rPr>
        <w:t>Ces éléments montrent que la dynamique associative capverdienne se constitue davantage comme un prolongement, une extension de l’État. Autrement dit, comme un processus sans soutien effectif au sein de la société locale. On comprend alors mieux le sens des propos du dirigeant de l’ONG Diaspora Solidária lorsqu’il affirme que « les associations capverdiennes réellement actives ne dépassent sans doute pas les 20%</w:t>
      </w:r>
      <w:r>
        <w:rPr>
          <w:lang w:eastAsia="fr-FR" w:bidi="fr-FR"/>
        </w:rPr>
        <w:t> </w:t>
      </w:r>
      <w:r>
        <w:rPr>
          <w:rStyle w:val="Appelnotedebasdep"/>
          <w:lang w:eastAsia="fr-FR" w:bidi="fr-FR"/>
        </w:rPr>
        <w:footnoteReference w:id="113"/>
      </w:r>
      <w:r w:rsidRPr="004B2498">
        <w:rPr>
          <w:lang w:eastAsia="fr-FR" w:bidi="fr-FR"/>
        </w:rPr>
        <w:t> ». Même si elles</w:t>
      </w:r>
      <w:r>
        <w:t xml:space="preserve"> </w:t>
      </w:r>
      <w:r w:rsidRPr="004B2498">
        <w:t>[155]</w:t>
      </w:r>
      <w:r>
        <w:t xml:space="preserve"> </w:t>
      </w:r>
      <w:r w:rsidRPr="004B2498">
        <w:rPr>
          <w:lang w:eastAsia="fr-FR" w:bidi="fr-FR"/>
        </w:rPr>
        <w:t>effectuent des travaux sociaux dans le bon sens du terme, ces org</w:t>
      </w:r>
      <w:r w:rsidRPr="004B2498">
        <w:rPr>
          <w:lang w:eastAsia="fr-FR" w:bidi="fr-FR"/>
        </w:rPr>
        <w:t>a</w:t>
      </w:r>
      <w:r w:rsidRPr="004B2498">
        <w:rPr>
          <w:lang w:eastAsia="fr-FR" w:bidi="fr-FR"/>
        </w:rPr>
        <w:t>nisations ne sont pas suffisamment enracinées dans la société locale.</w:t>
      </w:r>
    </w:p>
    <w:p w14:paraId="77BB737F" w14:textId="77777777" w:rsidR="002F4063" w:rsidRPr="004B2498" w:rsidRDefault="002F4063" w:rsidP="002F4063">
      <w:pPr>
        <w:spacing w:before="120" w:after="120"/>
        <w:jc w:val="both"/>
      </w:pPr>
      <w:r w:rsidRPr="004B2498">
        <w:rPr>
          <w:lang w:eastAsia="fr-FR" w:bidi="fr-FR"/>
        </w:rPr>
        <w:t>En versant directement à l’État les ressources destinées aux initi</w:t>
      </w:r>
      <w:r w:rsidRPr="004B2498">
        <w:rPr>
          <w:lang w:eastAsia="fr-FR" w:bidi="fr-FR"/>
        </w:rPr>
        <w:t>a</w:t>
      </w:r>
      <w:r w:rsidRPr="004B2498">
        <w:rPr>
          <w:lang w:eastAsia="fr-FR" w:bidi="fr-FR"/>
        </w:rPr>
        <w:t>tives locales, la politique de coopération internationale a - de même que le programme Delivering As One -, un effet pernicieux : elle r</w:t>
      </w:r>
      <w:r w:rsidRPr="004B2498">
        <w:rPr>
          <w:lang w:eastAsia="fr-FR" w:bidi="fr-FR"/>
        </w:rPr>
        <w:t>é</w:t>
      </w:r>
      <w:r w:rsidRPr="004B2498">
        <w:rPr>
          <w:lang w:eastAsia="fr-FR" w:bidi="fr-FR"/>
        </w:rPr>
        <w:t>duit encore l’autonomie déjà limitée de la société locale, mais en plus la soumet presque totalement à la volonté de l’État et des dirigeants qui exercent un pouvoir discriminatoire.</w:t>
      </w:r>
    </w:p>
    <w:p w14:paraId="6D4ABC9B" w14:textId="77777777" w:rsidR="002F4063" w:rsidRPr="004B2498" w:rsidRDefault="002F4063" w:rsidP="002F4063">
      <w:pPr>
        <w:spacing w:before="120" w:after="120"/>
        <w:jc w:val="both"/>
      </w:pPr>
      <w:r w:rsidRPr="004B2498">
        <w:rPr>
          <w:lang w:eastAsia="fr-FR" w:bidi="fr-FR"/>
        </w:rPr>
        <w:t xml:space="preserve">La pratique encore très populaire en milieu rural du </w:t>
      </w:r>
      <w:r w:rsidRPr="004C0845">
        <w:rPr>
          <w:i/>
        </w:rPr>
        <w:t>Djunta-mon</w:t>
      </w:r>
      <w:r w:rsidRPr="004B2498">
        <w:rPr>
          <w:lang w:eastAsia="fr-FR" w:bidi="fr-FR"/>
        </w:rPr>
        <w:t xml:space="preserve"> indique que la société locale peut faire preuve de capacités d’organisation, pourtant on lui demande de jouer un rôle secondaire et d’adhérer à un projet qui ne vient même pas de l’État. Cette situation atteint les principes d’« autonomie » et de consolidation de la « société civile » qui orientent le discours des agences internationales tels que l’ONU, la Banque mondiale et le Fonds monétaire internati</w:t>
      </w:r>
      <w:r w:rsidRPr="004B2498">
        <w:rPr>
          <w:lang w:eastAsia="fr-FR" w:bidi="fr-FR"/>
        </w:rPr>
        <w:t>o</w:t>
      </w:r>
      <w:r w:rsidRPr="004B2498">
        <w:rPr>
          <w:lang w:eastAsia="fr-FR" w:bidi="fr-FR"/>
        </w:rPr>
        <w:t xml:space="preserve">nal. D’autre part, elle renvoie à l’analyse de Borges (2003) sur le sens du terme </w:t>
      </w:r>
      <w:r w:rsidRPr="00841759">
        <w:rPr>
          <w:i/>
        </w:rPr>
        <w:t>empowerment</w:t>
      </w:r>
      <w:r w:rsidRPr="004B2498">
        <w:rPr>
          <w:lang w:eastAsia="fr-FR" w:bidi="fr-FR"/>
        </w:rPr>
        <w:t xml:space="preserve"> sous l’égide des agences de coopération inte</w:t>
      </w:r>
      <w:r w:rsidRPr="004B2498">
        <w:rPr>
          <w:lang w:eastAsia="fr-FR" w:bidi="fr-FR"/>
        </w:rPr>
        <w:t>r</w:t>
      </w:r>
      <w:r w:rsidRPr="004B2498">
        <w:rPr>
          <w:lang w:eastAsia="fr-FR" w:bidi="fr-FR"/>
        </w:rPr>
        <w:t>nationale. En somme, une fausse autonomie, une autonomie privée de souveraineté, si tant est que cela existe.</w:t>
      </w:r>
    </w:p>
    <w:p w14:paraId="67326EAF" w14:textId="77777777" w:rsidR="002F4063" w:rsidRPr="004B2498" w:rsidRDefault="002F4063" w:rsidP="002F4063">
      <w:pPr>
        <w:spacing w:before="120" w:after="120"/>
        <w:jc w:val="both"/>
      </w:pPr>
      <w:r w:rsidRPr="004B2498">
        <w:rPr>
          <w:lang w:eastAsia="fr-FR" w:bidi="fr-FR"/>
        </w:rPr>
        <w:t>La forte présence d’ONG au Cap-Vert ne doit donc pas être confondue avec la consolidation de la société civile locale, qui est une caractéristique essentielle pour la réalisation d’un projet politique au sens gramscien du terme, librement élu et représentatif de l’imaginaire, des traditions historiques et de la société locale. En conséquence, affirmer que la dynamique associative capverdienne contribue à la démocratisation du pays revient à adopter une vision du monde où le projet politique est prisonnier des idéaux de l’« esprit du capitalisme » (Boltanski et Chiapello, 1999) qui, comme tout le mo</w:t>
      </w:r>
      <w:r w:rsidRPr="004B2498">
        <w:rPr>
          <w:lang w:eastAsia="fr-FR" w:bidi="fr-FR"/>
        </w:rPr>
        <w:t>n</w:t>
      </w:r>
      <w:r w:rsidRPr="004B2498">
        <w:rPr>
          <w:lang w:eastAsia="fr-FR" w:bidi="fr-FR"/>
        </w:rPr>
        <w:t>de le sait, est rejeté par les mouvements altermondialistes.</w:t>
      </w:r>
    </w:p>
    <w:p w14:paraId="14CD0A77" w14:textId="77777777" w:rsidR="002F4063" w:rsidRPr="004B2498" w:rsidRDefault="002F4063" w:rsidP="002F4063">
      <w:pPr>
        <w:spacing w:before="120" w:after="120"/>
        <w:jc w:val="both"/>
      </w:pPr>
      <w:r w:rsidRPr="004B2498">
        <w:rPr>
          <w:lang w:eastAsia="fr-FR" w:bidi="fr-FR"/>
        </w:rPr>
        <w:t>Néanmoins, cette interprétation diffère de celle du secrétaire gén</w:t>
      </w:r>
      <w:r w:rsidRPr="004B2498">
        <w:rPr>
          <w:lang w:eastAsia="fr-FR" w:bidi="fr-FR"/>
        </w:rPr>
        <w:t>é</w:t>
      </w:r>
      <w:r w:rsidRPr="004B2498">
        <w:rPr>
          <w:lang w:eastAsia="fr-FR" w:bidi="fr-FR"/>
        </w:rPr>
        <w:t>ral de la plate-forme d’ONG du Cap-Vert. D'après lui, la nouvelle stratégie de coopération centralisée représenterait une « grande oppo</w:t>
      </w:r>
      <w:r w:rsidRPr="004B2498">
        <w:rPr>
          <w:lang w:eastAsia="fr-FR" w:bidi="fr-FR"/>
        </w:rPr>
        <w:t>r</w:t>
      </w:r>
      <w:r w:rsidRPr="004B2498">
        <w:rPr>
          <w:lang w:eastAsia="fr-FR" w:bidi="fr-FR"/>
        </w:rPr>
        <w:t>tunité » pour les communautés, et en particulier pour les associations communautaires de base qui auraient la chance d’établir leurs priorités et d’assumer leur propre développement.</w:t>
      </w:r>
    </w:p>
    <w:p w14:paraId="1917375F" w14:textId="77777777" w:rsidR="002F4063" w:rsidRPr="004B2498" w:rsidRDefault="002F4063" w:rsidP="002F4063">
      <w:pPr>
        <w:spacing w:before="120" w:after="120"/>
        <w:jc w:val="both"/>
      </w:pPr>
      <w:r w:rsidRPr="004B2498">
        <w:rPr>
          <w:lang w:eastAsia="fr-FR" w:bidi="fr-FR"/>
        </w:rPr>
        <w:t>Il est intéressant d’observer qu’à un autre moment celui-ci remet en question la légitimité des indicateurs utilisés par les agences inte</w:t>
      </w:r>
      <w:r w:rsidRPr="004B2498">
        <w:rPr>
          <w:lang w:eastAsia="fr-FR" w:bidi="fr-FR"/>
        </w:rPr>
        <w:t>r</w:t>
      </w:r>
      <w:r w:rsidRPr="004B2498">
        <w:rPr>
          <w:lang w:eastAsia="fr-FR" w:bidi="fr-FR"/>
        </w:rPr>
        <w:t>nationales pour classer le pays dans la catégorie « pays à développ</w:t>
      </w:r>
      <w:r w:rsidRPr="004B2498">
        <w:rPr>
          <w:lang w:eastAsia="fr-FR" w:bidi="fr-FR"/>
        </w:rPr>
        <w:t>e</w:t>
      </w:r>
      <w:r w:rsidRPr="004B2498">
        <w:rPr>
          <w:lang w:eastAsia="fr-FR" w:bidi="fr-FR"/>
        </w:rPr>
        <w:t>ment moyen ». De son point de vue, cette classification ne correspond pas à la situation réelle de la population. Si dans un premier temps il affirme que « le pays a fait un bond en avant et que la société doit a</w:t>
      </w:r>
      <w:r w:rsidRPr="004B2498">
        <w:rPr>
          <w:lang w:eastAsia="fr-FR" w:bidi="fr-FR"/>
        </w:rPr>
        <w:t>c</w:t>
      </w:r>
      <w:r w:rsidRPr="004B2498">
        <w:rPr>
          <w:lang w:eastAsia="fr-FR" w:bidi="fr-FR"/>
        </w:rPr>
        <w:t>compagner cette avancée », dans un second temps il émet une critique sur les indicateurs d’évaluation.</w:t>
      </w:r>
    </w:p>
    <w:p w14:paraId="2AB3FD92" w14:textId="77777777" w:rsidR="002F4063" w:rsidRPr="004B2498" w:rsidRDefault="002F4063" w:rsidP="002F4063">
      <w:pPr>
        <w:spacing w:before="120" w:after="120"/>
        <w:jc w:val="both"/>
      </w:pPr>
      <w:r w:rsidRPr="004B2498">
        <w:t>[156]</w:t>
      </w:r>
    </w:p>
    <w:p w14:paraId="56139D82" w14:textId="77777777" w:rsidR="002F4063" w:rsidRPr="004B2498" w:rsidRDefault="002F4063" w:rsidP="002F4063">
      <w:pPr>
        <w:spacing w:before="120" w:after="120"/>
        <w:jc w:val="both"/>
      </w:pPr>
      <w:r w:rsidRPr="004B2498">
        <w:rPr>
          <w:lang w:eastAsia="fr-FR" w:bidi="fr-FR"/>
        </w:rPr>
        <w:t>Ces données vont dans le même sens que l’observation de Ruckert (2008, p. 97) sur la cooptation idéologique des agences internation</w:t>
      </w:r>
      <w:r w:rsidRPr="004B2498">
        <w:rPr>
          <w:lang w:eastAsia="fr-FR" w:bidi="fr-FR"/>
        </w:rPr>
        <w:t>a</w:t>
      </w:r>
      <w:r w:rsidRPr="004B2498">
        <w:rPr>
          <w:lang w:eastAsia="fr-FR" w:bidi="fr-FR"/>
        </w:rPr>
        <w:t>les, dont l’Organisation de coopération et de développement écon</w:t>
      </w:r>
      <w:r w:rsidRPr="004B2498">
        <w:rPr>
          <w:lang w:eastAsia="fr-FR" w:bidi="fr-FR"/>
        </w:rPr>
        <w:t>o</w:t>
      </w:r>
      <w:r w:rsidRPr="004B2498">
        <w:rPr>
          <w:lang w:eastAsia="fr-FR" w:bidi="fr-FR"/>
        </w:rPr>
        <w:t>mique (OCDE) serait un exemple :</w:t>
      </w:r>
    </w:p>
    <w:p w14:paraId="498E6B67" w14:textId="77777777" w:rsidR="002F4063" w:rsidRDefault="002F4063" w:rsidP="002F4063">
      <w:pPr>
        <w:pStyle w:val="Grillecouleur-Accent1"/>
        <w:rPr>
          <w:lang w:eastAsia="fr-FR" w:bidi="fr-FR"/>
        </w:rPr>
      </w:pPr>
    </w:p>
    <w:p w14:paraId="77BB2CD3" w14:textId="77777777" w:rsidR="002F4063" w:rsidRPr="004B2498" w:rsidRDefault="002F4063" w:rsidP="002F4063">
      <w:pPr>
        <w:pStyle w:val="Grillecouleur-Accent1"/>
      </w:pPr>
      <w:r w:rsidRPr="004B2498">
        <w:rPr>
          <w:lang w:eastAsia="fr-FR" w:bidi="fr-FR"/>
        </w:rPr>
        <w:t>« Comme partie de ce processus, l’OCDE diffuse des idées et des structures de connaissance partagées, et promeut des points de vue conformes [à ses propres objectifs politiques] sur la manière dont do</w:t>
      </w:r>
      <w:r w:rsidRPr="004B2498">
        <w:rPr>
          <w:lang w:eastAsia="fr-FR" w:bidi="fr-FR"/>
        </w:rPr>
        <w:t>i</w:t>
      </w:r>
      <w:r w:rsidRPr="004B2498">
        <w:rPr>
          <w:lang w:eastAsia="fr-FR" w:bidi="fr-FR"/>
        </w:rPr>
        <w:t>vent être traités les problèmes politiques, participant ainsi à la form</w:t>
      </w:r>
      <w:r w:rsidRPr="004B2498">
        <w:rPr>
          <w:lang w:eastAsia="fr-FR" w:bidi="fr-FR"/>
        </w:rPr>
        <w:t>a</w:t>
      </w:r>
      <w:r w:rsidRPr="004B2498">
        <w:rPr>
          <w:lang w:eastAsia="fr-FR" w:bidi="fr-FR"/>
        </w:rPr>
        <w:t>tion de consensus [...] et d’un espace pour la construction de significations inte</w:t>
      </w:r>
      <w:r w:rsidRPr="004B2498">
        <w:rPr>
          <w:lang w:eastAsia="fr-FR" w:bidi="fr-FR"/>
        </w:rPr>
        <w:t>r</w:t>
      </w:r>
      <w:r w:rsidRPr="004B2498">
        <w:rPr>
          <w:lang w:eastAsia="fr-FR" w:bidi="fr-FR"/>
        </w:rPr>
        <w:t>subjectives. »</w:t>
      </w:r>
    </w:p>
    <w:p w14:paraId="62B395C2" w14:textId="77777777" w:rsidR="002F4063" w:rsidRPr="004B2498" w:rsidRDefault="002F4063" w:rsidP="002F4063">
      <w:pPr>
        <w:spacing w:before="120" w:after="120"/>
        <w:jc w:val="both"/>
        <w:rPr>
          <w:szCs w:val="24"/>
          <w:lang w:eastAsia="fr-FR" w:bidi="fr-FR"/>
        </w:rPr>
      </w:pPr>
    </w:p>
    <w:p w14:paraId="1E851E1A" w14:textId="77777777" w:rsidR="002F4063" w:rsidRPr="004B2498" w:rsidRDefault="002F4063" w:rsidP="002F4063">
      <w:pPr>
        <w:pStyle w:val="a"/>
      </w:pPr>
      <w:r w:rsidRPr="004B2498">
        <w:t>G</w:t>
      </w:r>
      <w:r>
        <w:t>lobalisation et développement :</w:t>
      </w:r>
      <w:r>
        <w:br/>
      </w:r>
      <w:r w:rsidRPr="004B2498">
        <w:t>un rêve démocratique ?</w:t>
      </w:r>
    </w:p>
    <w:p w14:paraId="73E09120" w14:textId="77777777" w:rsidR="002F4063" w:rsidRPr="004B2498" w:rsidRDefault="002F4063" w:rsidP="002F4063">
      <w:pPr>
        <w:spacing w:before="120" w:after="120"/>
        <w:jc w:val="both"/>
        <w:rPr>
          <w:lang w:eastAsia="fr-FR" w:bidi="fr-FR"/>
        </w:rPr>
      </w:pPr>
    </w:p>
    <w:p w14:paraId="092C75FC" w14:textId="77777777" w:rsidR="002F4063" w:rsidRPr="004B2498" w:rsidRDefault="002F4063" w:rsidP="002F4063">
      <w:pPr>
        <w:spacing w:before="120" w:after="120"/>
        <w:jc w:val="both"/>
      </w:pPr>
      <w:r w:rsidRPr="004B2498">
        <w:rPr>
          <w:lang w:eastAsia="fr-FR" w:bidi="fr-FR"/>
        </w:rPr>
        <w:t>Fruit d’un projet de recherche dont la problématique a dû être r</w:t>
      </w:r>
      <w:r w:rsidRPr="004B2498">
        <w:rPr>
          <w:lang w:eastAsia="fr-FR" w:bidi="fr-FR"/>
        </w:rPr>
        <w:t>e</w:t>
      </w:r>
      <w:r w:rsidRPr="004B2498">
        <w:rPr>
          <w:lang w:eastAsia="fr-FR" w:bidi="fr-FR"/>
        </w:rPr>
        <w:t>vue dans le parcours épistémologique, le présent texte met l’accent sur l’inadéquation de paradigmes explicatifs exogènes pour interpréter la réalité des pays du Sud, et plus spécifiquement des pays dépendants du système de coopération internationale.</w:t>
      </w:r>
    </w:p>
    <w:p w14:paraId="09B6F3AE" w14:textId="77777777" w:rsidR="002F4063" w:rsidRPr="004B2498" w:rsidRDefault="002F4063" w:rsidP="002F4063">
      <w:pPr>
        <w:spacing w:before="120" w:after="120"/>
        <w:jc w:val="both"/>
      </w:pPr>
      <w:r w:rsidRPr="004B2498">
        <w:rPr>
          <w:lang w:eastAsia="fr-FR" w:bidi="fr-FR"/>
        </w:rPr>
        <w:t>Comprendre cela a entraîné une remise en question du modèle d’analyse précédemment utilisé pour l’étude de la réalité brésilienne. Si le Brésil présente certaines caractéristiques d’un pays de la « modernité périphérique », il diffère fondamentalement du Cap-Vert en plusieurs autres dimensions.</w:t>
      </w:r>
    </w:p>
    <w:p w14:paraId="4AAF175A" w14:textId="77777777" w:rsidR="002F4063" w:rsidRPr="004B2498" w:rsidRDefault="002F4063" w:rsidP="002F4063">
      <w:pPr>
        <w:spacing w:before="120" w:after="120"/>
        <w:jc w:val="both"/>
      </w:pPr>
      <w:r w:rsidRPr="004B2498">
        <w:rPr>
          <w:lang w:eastAsia="fr-FR" w:bidi="fr-FR"/>
        </w:rPr>
        <w:t>Au Cap-Vert, les tensions entre les dites « organisations non go</w:t>
      </w:r>
      <w:r w:rsidRPr="004B2498">
        <w:rPr>
          <w:lang w:eastAsia="fr-FR" w:bidi="fr-FR"/>
        </w:rPr>
        <w:t>u</w:t>
      </w:r>
      <w:r w:rsidRPr="004B2498">
        <w:rPr>
          <w:lang w:eastAsia="fr-FR" w:bidi="fr-FR"/>
        </w:rPr>
        <w:t>vernementales » locales et l’État ne sont pas le reflet d’une dispute pour un projet politique. Il s’agit au contraire d’une dispute pour obt</w:t>
      </w:r>
      <w:r w:rsidRPr="004B2498">
        <w:rPr>
          <w:lang w:eastAsia="fr-FR" w:bidi="fr-FR"/>
        </w:rPr>
        <w:t>e</w:t>
      </w:r>
      <w:r w:rsidRPr="004B2498">
        <w:rPr>
          <w:lang w:eastAsia="fr-FR" w:bidi="fr-FR"/>
        </w:rPr>
        <w:t>nir des ressources de la part des politiciens au pouvoir.</w:t>
      </w:r>
    </w:p>
    <w:p w14:paraId="3A1FB9ED" w14:textId="77777777" w:rsidR="002F4063" w:rsidRPr="004B2498" w:rsidRDefault="002F4063" w:rsidP="002F4063">
      <w:pPr>
        <w:spacing w:before="120" w:after="120"/>
        <w:jc w:val="both"/>
      </w:pPr>
      <w:r w:rsidRPr="004B2498">
        <w:rPr>
          <w:lang w:eastAsia="fr-FR" w:bidi="fr-FR"/>
        </w:rPr>
        <w:t>Cette discorde apparaît sous forme de revendications envers l’État, à qui l’on demande de faire preuve de transparence au niveau du pr</w:t>
      </w:r>
      <w:r w:rsidRPr="004B2498">
        <w:rPr>
          <w:lang w:eastAsia="fr-FR" w:bidi="fr-FR"/>
        </w:rPr>
        <w:t>o</w:t>
      </w:r>
      <w:r w:rsidRPr="004B2498">
        <w:rPr>
          <w:lang w:eastAsia="fr-FR" w:bidi="fr-FR"/>
        </w:rPr>
        <w:t>cessus de concession et de gestion des ressources publiques destinées au secteur associatif.</w:t>
      </w:r>
    </w:p>
    <w:p w14:paraId="6E2C97F4" w14:textId="77777777" w:rsidR="002F4063" w:rsidRPr="004B2498" w:rsidRDefault="002F4063" w:rsidP="002F4063">
      <w:pPr>
        <w:spacing w:before="120" w:after="120"/>
        <w:jc w:val="both"/>
      </w:pPr>
      <w:r w:rsidRPr="004B2498">
        <w:rPr>
          <w:lang w:eastAsia="fr-FR" w:bidi="fr-FR"/>
        </w:rPr>
        <w:t>Par ailleurs, il faut tenir compte de la fragilité institutionnelle de la plupart des ONG locales analysées, qui ont du mal à faire face aux questions de gestion-administration. Et vu que le secteur associatif n’a aucune représentation parlementaire (et rien n’est prévu dans ce sens), il est plus facile de comprendre pourquoi les dirigeants des ONG ca</w:t>
      </w:r>
      <w:r w:rsidRPr="004B2498">
        <w:rPr>
          <w:lang w:eastAsia="fr-FR" w:bidi="fr-FR"/>
        </w:rPr>
        <w:t>p</w:t>
      </w:r>
      <w:r w:rsidRPr="004B2498">
        <w:rPr>
          <w:lang w:eastAsia="fr-FR" w:bidi="fr-FR"/>
        </w:rPr>
        <w:t>verdiennes n’ont toujours pas relevé le défi qui leur avait été lancé en 2008 par le gouvernement, à savoir formuler un plan pour le financ</w:t>
      </w:r>
      <w:r w:rsidRPr="004B2498">
        <w:rPr>
          <w:lang w:eastAsia="fr-FR" w:bidi="fr-FR"/>
        </w:rPr>
        <w:t>e</w:t>
      </w:r>
      <w:r w:rsidRPr="004B2498">
        <w:rPr>
          <w:lang w:eastAsia="fr-FR" w:bidi="fr-FR"/>
        </w:rPr>
        <w:t>ment de leurs activités.</w:t>
      </w:r>
    </w:p>
    <w:p w14:paraId="3FCE6A32" w14:textId="77777777" w:rsidR="002F4063" w:rsidRPr="004B2498" w:rsidRDefault="002F4063" w:rsidP="002F4063">
      <w:pPr>
        <w:spacing w:before="120" w:after="120"/>
        <w:jc w:val="both"/>
      </w:pPr>
      <w:r w:rsidRPr="004B2498">
        <w:rPr>
          <w:lang w:eastAsia="fr-FR" w:bidi="fr-FR"/>
        </w:rPr>
        <w:t>En contrôlant politiquement la plate-forme d’ONG, l’État capve</w:t>
      </w:r>
      <w:r w:rsidRPr="004B2498">
        <w:rPr>
          <w:lang w:eastAsia="fr-FR" w:bidi="fr-FR"/>
        </w:rPr>
        <w:t>r</w:t>
      </w:r>
      <w:r w:rsidRPr="004B2498">
        <w:rPr>
          <w:lang w:eastAsia="fr-FR" w:bidi="fr-FR"/>
        </w:rPr>
        <w:t>dien maintient sous son contrôle la dynamique du secteur associatif, sans autonomie politique et financièrement dépendant. Cette dépe</w:t>
      </w:r>
      <w:r w:rsidRPr="004B2498">
        <w:rPr>
          <w:lang w:eastAsia="fr-FR" w:bidi="fr-FR"/>
        </w:rPr>
        <w:t>n</w:t>
      </w:r>
      <w:r w:rsidRPr="004B2498">
        <w:rPr>
          <w:lang w:eastAsia="fr-FR" w:bidi="fr-FR"/>
        </w:rPr>
        <w:t>dance s’est aggravée avec la centralisation sur le plan étatique des re</w:t>
      </w:r>
      <w:r w:rsidRPr="004B2498">
        <w:rPr>
          <w:lang w:eastAsia="fr-FR" w:bidi="fr-FR"/>
        </w:rPr>
        <w:t>s</w:t>
      </w:r>
      <w:r w:rsidRPr="004B2498">
        <w:rPr>
          <w:lang w:eastAsia="fr-FR" w:bidi="fr-FR"/>
        </w:rPr>
        <w:t>sources de la</w:t>
      </w:r>
      <w:r>
        <w:t xml:space="preserve"> </w:t>
      </w:r>
      <w:r w:rsidRPr="004B2498">
        <w:t>[157]</w:t>
      </w:r>
      <w:r>
        <w:t xml:space="preserve"> </w:t>
      </w:r>
      <w:r w:rsidRPr="004B2498">
        <w:rPr>
          <w:lang w:eastAsia="fr-FR" w:bidi="fr-FR"/>
        </w:rPr>
        <w:t>coopération internationale, au grand dam des ONG qui ne les r</w:t>
      </w:r>
      <w:r w:rsidRPr="004B2498">
        <w:rPr>
          <w:lang w:eastAsia="fr-FR" w:bidi="fr-FR"/>
        </w:rPr>
        <w:t>e</w:t>
      </w:r>
      <w:r w:rsidRPr="004B2498">
        <w:rPr>
          <w:lang w:eastAsia="fr-FR" w:bidi="fr-FR"/>
        </w:rPr>
        <w:t>çoivent plus directement.</w:t>
      </w:r>
    </w:p>
    <w:p w14:paraId="6CCCD20F" w14:textId="77777777" w:rsidR="002F4063" w:rsidRPr="004B2498" w:rsidRDefault="002F4063" w:rsidP="002F4063">
      <w:pPr>
        <w:spacing w:before="120" w:after="120"/>
        <w:jc w:val="both"/>
      </w:pPr>
      <w:r w:rsidRPr="004B2498">
        <w:rPr>
          <w:lang w:eastAsia="fr-FR" w:bidi="fr-FR"/>
        </w:rPr>
        <w:t xml:space="preserve">Par rapport au programme </w:t>
      </w:r>
      <w:r w:rsidRPr="004C0845">
        <w:rPr>
          <w:i/>
        </w:rPr>
        <w:t>Delivery As One</w:t>
      </w:r>
      <w:r w:rsidRPr="004B2498">
        <w:t xml:space="preserve"> -</w:t>
      </w:r>
      <w:r w:rsidRPr="004B2498">
        <w:rPr>
          <w:lang w:eastAsia="fr-FR" w:bidi="fr-FR"/>
        </w:rPr>
        <w:t xml:space="preserve"> même si l’objectif de l’ONU était, en centralisant les ressources, de garantir une « bonne gouvernance » des aides internationales investies dans le pays -, le fait que l’État ne tienne pas compte des élus locaux (</w:t>
      </w:r>
      <w:r w:rsidRPr="00841759">
        <w:rPr>
          <w:i/>
        </w:rPr>
        <w:t>dixit</w:t>
      </w:r>
      <w:r w:rsidRPr="004B2498">
        <w:rPr>
          <w:lang w:eastAsia="fr-FR" w:bidi="fr-FR"/>
        </w:rPr>
        <w:t xml:space="preserve"> le représentant du pouvoir local interrogé) mine l’institution démocratique elle-même.</w:t>
      </w:r>
    </w:p>
    <w:p w14:paraId="08A377BF" w14:textId="77777777" w:rsidR="002F4063" w:rsidRPr="004B2498" w:rsidRDefault="002F4063" w:rsidP="002F4063">
      <w:pPr>
        <w:spacing w:before="120" w:after="120"/>
        <w:jc w:val="both"/>
      </w:pPr>
      <w:r w:rsidRPr="004B2498">
        <w:rPr>
          <w:lang w:eastAsia="fr-FR" w:bidi="fr-FR"/>
        </w:rPr>
        <w:t>À l’encontre du discours onusien, ce programme contribuerait d</w:t>
      </w:r>
      <w:r w:rsidRPr="004B2498">
        <w:rPr>
          <w:lang w:eastAsia="fr-FR" w:bidi="fr-FR"/>
        </w:rPr>
        <w:t>a</w:t>
      </w:r>
      <w:r w:rsidRPr="004B2498">
        <w:rPr>
          <w:lang w:eastAsia="fr-FR" w:bidi="fr-FR"/>
        </w:rPr>
        <w:t>vantage à maintenir le rôle centralisateur d’un État et, conséque</w:t>
      </w:r>
      <w:r w:rsidRPr="004B2498">
        <w:rPr>
          <w:lang w:eastAsia="fr-FR" w:bidi="fr-FR"/>
        </w:rPr>
        <w:t>m</w:t>
      </w:r>
      <w:r w:rsidRPr="004B2498">
        <w:rPr>
          <w:lang w:eastAsia="fr-FR" w:bidi="fr-FR"/>
        </w:rPr>
        <w:t>ment, une culture politique clientéliste. Il est donc possible de supp</w:t>
      </w:r>
      <w:r w:rsidRPr="004B2498">
        <w:rPr>
          <w:lang w:eastAsia="fr-FR" w:bidi="fr-FR"/>
        </w:rPr>
        <w:t>o</w:t>
      </w:r>
      <w:r w:rsidRPr="004B2498">
        <w:rPr>
          <w:lang w:eastAsia="fr-FR" w:bidi="fr-FR"/>
        </w:rPr>
        <w:t xml:space="preserve">ser que le </w:t>
      </w:r>
      <w:r w:rsidRPr="004C0845">
        <w:rPr>
          <w:i/>
        </w:rPr>
        <w:t>Delivery As One</w:t>
      </w:r>
      <w:r w:rsidRPr="004B2498">
        <w:t xml:space="preserve"> </w:t>
      </w:r>
      <w:r w:rsidRPr="004B2498">
        <w:rPr>
          <w:lang w:eastAsia="fr-FR" w:bidi="fr-FR"/>
        </w:rPr>
        <w:t>favorise la bureaucratisation des rapports État/Société plutôt que la consolidation de la société civile locale nai</w:t>
      </w:r>
      <w:r w:rsidRPr="004B2498">
        <w:rPr>
          <w:lang w:eastAsia="fr-FR" w:bidi="fr-FR"/>
        </w:rPr>
        <w:t>s</w:t>
      </w:r>
      <w:r w:rsidRPr="004B2498">
        <w:rPr>
          <w:lang w:eastAsia="fr-FR" w:bidi="fr-FR"/>
        </w:rPr>
        <w:t>sante.</w:t>
      </w:r>
    </w:p>
    <w:p w14:paraId="02359C41" w14:textId="77777777" w:rsidR="002F4063" w:rsidRPr="004B2498" w:rsidRDefault="002F4063" w:rsidP="002F4063">
      <w:pPr>
        <w:spacing w:before="120" w:after="120"/>
        <w:jc w:val="both"/>
      </w:pPr>
      <w:r w:rsidRPr="004B2498">
        <w:rPr>
          <w:lang w:eastAsia="fr-FR" w:bidi="fr-FR"/>
        </w:rPr>
        <w:t>Enfin, il ne faut pas perdre de vue l’orientation néolibérale de la politique économique qui se met en place au Cap-Vert avec le soutien des pays du « Nord » et de l’ONU. La distance entre l’État et la soci</w:t>
      </w:r>
      <w:r w:rsidRPr="004B2498">
        <w:rPr>
          <w:lang w:eastAsia="fr-FR" w:bidi="fr-FR"/>
        </w:rPr>
        <w:t>é</w:t>
      </w:r>
      <w:r w:rsidRPr="004B2498">
        <w:rPr>
          <w:lang w:eastAsia="fr-FR" w:bidi="fr-FR"/>
        </w:rPr>
        <w:t>té augmente, et cette distanciation de l’État est indirectement respo</w:t>
      </w:r>
      <w:r w:rsidRPr="004B2498">
        <w:rPr>
          <w:lang w:eastAsia="fr-FR" w:bidi="fr-FR"/>
        </w:rPr>
        <w:t>n</w:t>
      </w:r>
      <w:r w:rsidRPr="004B2498">
        <w:rPr>
          <w:lang w:eastAsia="fr-FR" w:bidi="fr-FR"/>
        </w:rPr>
        <w:t>sable de l’affaiblissement des institutions et de l’émergence d’expressions de nouvelles manifestations de violence. Un processus auquel la str</w:t>
      </w:r>
      <w:r w:rsidRPr="004B2498">
        <w:rPr>
          <w:lang w:eastAsia="fr-FR" w:bidi="fr-FR"/>
        </w:rPr>
        <w:t>a</w:t>
      </w:r>
      <w:r w:rsidRPr="004B2498">
        <w:rPr>
          <w:lang w:eastAsia="fr-FR" w:bidi="fr-FR"/>
        </w:rPr>
        <w:t xml:space="preserve">tégie adoptée pour l’implantation du programme onusien </w:t>
      </w:r>
      <w:r w:rsidRPr="004C0845">
        <w:rPr>
          <w:i/>
        </w:rPr>
        <w:t>Delivery As One</w:t>
      </w:r>
      <w:r w:rsidRPr="004B2498">
        <w:rPr>
          <w:lang w:eastAsia="fr-FR" w:bidi="fr-FR"/>
        </w:rPr>
        <w:t xml:space="preserve"> serait aussi en train de contribuer par inadvertance.</w:t>
      </w:r>
    </w:p>
    <w:p w14:paraId="5DB81020" w14:textId="77777777" w:rsidR="002F4063" w:rsidRPr="004B2498" w:rsidRDefault="002F4063" w:rsidP="002F4063">
      <w:pPr>
        <w:spacing w:before="120" w:after="120"/>
        <w:jc w:val="both"/>
        <w:rPr>
          <w:rStyle w:val="En-tte2Petitesmajuscules"/>
          <w:smallCaps w:val="0"/>
          <w:color w:val="auto"/>
        </w:rPr>
      </w:pPr>
    </w:p>
    <w:p w14:paraId="794F8366" w14:textId="77777777" w:rsidR="002F4063" w:rsidRPr="004B2498" w:rsidRDefault="002F4063" w:rsidP="002F4063">
      <w:pPr>
        <w:pStyle w:val="a"/>
      </w:pPr>
      <w:r w:rsidRPr="004C0845">
        <w:t>Références bibliographiques</w:t>
      </w:r>
    </w:p>
    <w:p w14:paraId="7A70E6D9" w14:textId="77777777" w:rsidR="002F4063" w:rsidRPr="004C0845" w:rsidRDefault="002F4063" w:rsidP="002F4063">
      <w:pPr>
        <w:spacing w:before="120" w:after="120"/>
        <w:jc w:val="both"/>
      </w:pPr>
    </w:p>
    <w:p w14:paraId="58550A57" w14:textId="77777777" w:rsidR="002F4063" w:rsidRPr="004B2498" w:rsidRDefault="002F4063" w:rsidP="002F4063">
      <w:pPr>
        <w:spacing w:before="120" w:after="120"/>
        <w:jc w:val="both"/>
      </w:pPr>
      <w:r w:rsidRPr="004C0845">
        <w:t xml:space="preserve">ABÈLES </w:t>
      </w:r>
      <w:r w:rsidRPr="004B2498">
        <w:t xml:space="preserve">Marc, 2008 : </w:t>
      </w:r>
      <w:r w:rsidRPr="00841759">
        <w:rPr>
          <w:i/>
        </w:rPr>
        <w:t>Anthropologie de la Globalisation</w:t>
      </w:r>
      <w:r w:rsidRPr="004B2498">
        <w:t>. Paris, Payot.</w:t>
      </w:r>
    </w:p>
    <w:p w14:paraId="517AA104" w14:textId="77777777" w:rsidR="002F4063" w:rsidRPr="004B2498" w:rsidRDefault="002F4063" w:rsidP="002F4063">
      <w:pPr>
        <w:spacing w:before="120" w:after="120"/>
        <w:jc w:val="both"/>
      </w:pPr>
      <w:r w:rsidRPr="004B2498">
        <w:t xml:space="preserve">ANJOS José Carlos, 2003 : “Elites nacionais e a conformação do Estado em Cabo Verde”, </w:t>
      </w:r>
      <w:r w:rsidRPr="00841759">
        <w:rPr>
          <w:i/>
        </w:rPr>
        <w:t>Estudos Afro-asiáticos</w:t>
      </w:r>
      <w:r w:rsidRPr="004B2498">
        <w:t>, vol. 25, N. 3, p. 579-596.</w:t>
      </w:r>
    </w:p>
    <w:p w14:paraId="6880087E" w14:textId="77777777" w:rsidR="002F4063" w:rsidRPr="004B2498" w:rsidRDefault="002F4063" w:rsidP="002F4063">
      <w:pPr>
        <w:spacing w:before="120" w:after="120"/>
        <w:jc w:val="both"/>
      </w:pPr>
      <w:r w:rsidRPr="004C0845">
        <w:t xml:space="preserve">Badie </w:t>
      </w:r>
      <w:r w:rsidRPr="004B2498">
        <w:t xml:space="preserve">Bertrand : 2009 : </w:t>
      </w:r>
      <w:r w:rsidRPr="00841759">
        <w:rPr>
          <w:i/>
        </w:rPr>
        <w:t>O Diplomata e o Intruso : a entrada das sociedades na arena internacional</w:t>
      </w:r>
      <w:r w:rsidRPr="004B2498">
        <w:t>, Salvador, EDUFBA.</w:t>
      </w:r>
    </w:p>
    <w:p w14:paraId="12D2B526" w14:textId="77777777" w:rsidR="002F4063" w:rsidRPr="004B2498" w:rsidRDefault="002F4063" w:rsidP="002F4063">
      <w:pPr>
        <w:spacing w:before="120" w:after="120"/>
        <w:jc w:val="both"/>
      </w:pPr>
      <w:r w:rsidRPr="004C0845">
        <w:t xml:space="preserve">Ball </w:t>
      </w:r>
      <w:r w:rsidRPr="004B2498">
        <w:t>Stephen J., 2004 : Dossier “Globalização e Educação : prec</w:t>
      </w:r>
      <w:r w:rsidRPr="004B2498">
        <w:t>a</w:t>
      </w:r>
      <w:r w:rsidRPr="004B2498">
        <w:t>rização do Trabalho Docente. Performatividade, Privatização e o P</w:t>
      </w:r>
      <w:r>
        <w:t>ó</w:t>
      </w:r>
      <w:r w:rsidRPr="004B2498">
        <w:t xml:space="preserve">s-Estado do Bem-Estar”. In : </w:t>
      </w:r>
      <w:r w:rsidRPr="00841759">
        <w:rPr>
          <w:i/>
        </w:rPr>
        <w:t>Educação e Sociedade</w:t>
      </w:r>
      <w:r w:rsidRPr="004B2498">
        <w:t xml:space="preserve">. Campinas, vol. 25, n° 89, p. 1105-1126, Sept-Déc. Disponible sur le site : </w:t>
      </w:r>
      <w:hyperlink r:id="rId23" w:history="1">
        <w:r w:rsidRPr="004C0845">
          <w:t>www.scielo.br/pdf/es/v25n89/22613.pdf</w:t>
        </w:r>
      </w:hyperlink>
      <w:r w:rsidRPr="004B2498">
        <w:t>, consulté le 15 juillet 2009.</w:t>
      </w:r>
    </w:p>
    <w:p w14:paraId="387C3172" w14:textId="77777777" w:rsidR="002F4063" w:rsidRPr="004B2498" w:rsidRDefault="002F4063" w:rsidP="002F4063">
      <w:pPr>
        <w:spacing w:before="120" w:after="120"/>
        <w:jc w:val="both"/>
      </w:pPr>
      <w:r w:rsidRPr="004B2498">
        <w:t xml:space="preserve">BAYART Jean-François, 1986 : “Civil Society in Africa”. In : CABAL Patrick (Org.) : </w:t>
      </w:r>
      <w:r w:rsidRPr="00841759">
        <w:rPr>
          <w:i/>
        </w:rPr>
        <w:t>Political Domination in Africa. Reflections on the Limits of Power</w:t>
      </w:r>
      <w:r w:rsidRPr="004B2498">
        <w:t>. Cambrige, Cambridge University Press.</w:t>
      </w:r>
    </w:p>
    <w:p w14:paraId="0F81B690" w14:textId="77777777" w:rsidR="002F4063" w:rsidRPr="004B2498" w:rsidRDefault="002F4063" w:rsidP="002F4063">
      <w:pPr>
        <w:spacing w:before="120" w:after="120"/>
        <w:jc w:val="both"/>
      </w:pPr>
      <w:r w:rsidRPr="004C0845">
        <w:t xml:space="preserve">BOLTANSKI Luc, CHIAPELLO </w:t>
      </w:r>
      <w:r w:rsidRPr="004B2498">
        <w:t xml:space="preserve">Ève, 1999 : </w:t>
      </w:r>
      <w:r w:rsidRPr="00841759">
        <w:rPr>
          <w:i/>
        </w:rPr>
        <w:t>Le Nouvel Esprit du Capitali</w:t>
      </w:r>
      <w:r w:rsidRPr="00841759">
        <w:rPr>
          <w:i/>
        </w:rPr>
        <w:t>s</w:t>
      </w:r>
      <w:r w:rsidRPr="00841759">
        <w:rPr>
          <w:i/>
        </w:rPr>
        <w:t>me</w:t>
      </w:r>
      <w:r w:rsidRPr="004B2498">
        <w:t>, Paris, Gallimard.</w:t>
      </w:r>
    </w:p>
    <w:p w14:paraId="7E45651C" w14:textId="77777777" w:rsidR="002F4063" w:rsidRPr="004B2498" w:rsidRDefault="002F4063" w:rsidP="002F4063">
      <w:pPr>
        <w:spacing w:before="120" w:after="120"/>
        <w:jc w:val="both"/>
      </w:pPr>
      <w:r w:rsidRPr="004B2498">
        <w:t>[158]</w:t>
      </w:r>
    </w:p>
    <w:p w14:paraId="4744E938" w14:textId="77777777" w:rsidR="002F4063" w:rsidRPr="004B2498" w:rsidRDefault="002F4063" w:rsidP="002F4063">
      <w:pPr>
        <w:spacing w:before="120" w:after="120"/>
        <w:jc w:val="both"/>
      </w:pPr>
      <w:r w:rsidRPr="004B2498">
        <w:t xml:space="preserve">BORGES André, 2003 : “Govemança e Politica educacional : a agenda recente do Banco Mundial”. </w:t>
      </w:r>
      <w:r w:rsidRPr="00261227">
        <w:rPr>
          <w:i/>
        </w:rPr>
        <w:t>Revista Brasileira de Ciências Sociais</w:t>
      </w:r>
      <w:r w:rsidRPr="004B2498">
        <w:t>. Vol. 18, n° 52, p. 125-138.</w:t>
      </w:r>
    </w:p>
    <w:p w14:paraId="39B3E189" w14:textId="77777777" w:rsidR="002F4063" w:rsidRPr="004B2498" w:rsidRDefault="002F4063" w:rsidP="002F4063">
      <w:pPr>
        <w:spacing w:before="120" w:after="120"/>
        <w:jc w:val="both"/>
      </w:pPr>
      <w:r w:rsidRPr="004B2498">
        <w:t xml:space="preserve">BOURDIEU Pierre, 2001 : </w:t>
      </w:r>
      <w:r w:rsidRPr="00261227">
        <w:rPr>
          <w:i/>
        </w:rPr>
        <w:t>Langage et pouvoir symbolique</w:t>
      </w:r>
      <w:r w:rsidRPr="004B2498">
        <w:t>, Paris, Seuil, collection « Points/Essais ».</w:t>
      </w:r>
    </w:p>
    <w:p w14:paraId="44E01697" w14:textId="77777777" w:rsidR="002F4063" w:rsidRPr="004B2498" w:rsidRDefault="002F4063" w:rsidP="002F4063">
      <w:pPr>
        <w:spacing w:before="120" w:after="120"/>
        <w:jc w:val="both"/>
      </w:pPr>
      <w:r w:rsidRPr="004C0845">
        <w:t xml:space="preserve">Cap-Vert </w:t>
      </w:r>
      <w:r w:rsidRPr="004B2498">
        <w:t xml:space="preserve">- </w:t>
      </w:r>
      <w:r w:rsidRPr="004C0845">
        <w:t xml:space="preserve">République du Cap-Vert, </w:t>
      </w:r>
      <w:r w:rsidRPr="004B2498">
        <w:t>2009 : Site Officiel du go</w:t>
      </w:r>
      <w:r w:rsidRPr="004B2498">
        <w:t>u</w:t>
      </w:r>
      <w:r w:rsidRPr="004B2498">
        <w:t>vern</w:t>
      </w:r>
      <w:r w:rsidRPr="004B2498">
        <w:t>e</w:t>
      </w:r>
      <w:r w:rsidRPr="004B2498">
        <w:t xml:space="preserve">ment du Cap-Vert : </w:t>
      </w:r>
      <w:hyperlink r:id="rId24" w:history="1">
        <w:r w:rsidRPr="004C0845">
          <w:t>www.govemo.cv</w:t>
        </w:r>
      </w:hyperlink>
      <w:r w:rsidRPr="004B2498">
        <w:t>, consulté le 5 mars 2009.</w:t>
      </w:r>
    </w:p>
    <w:p w14:paraId="63CF862E" w14:textId="77777777" w:rsidR="002F4063" w:rsidRPr="004B2498" w:rsidRDefault="002F4063" w:rsidP="002F4063">
      <w:pPr>
        <w:spacing w:before="120" w:after="120"/>
        <w:jc w:val="both"/>
      </w:pPr>
      <w:r w:rsidRPr="004C0845">
        <w:t xml:space="preserve">Carrion Machado </w:t>
      </w:r>
      <w:r w:rsidRPr="004B2498">
        <w:t>Rosinha, 2009 : “Cooperação e Conflito em R</w:t>
      </w:r>
      <w:r w:rsidRPr="004B2498">
        <w:t>e</w:t>
      </w:r>
      <w:r w:rsidRPr="004B2498">
        <w:t>des de Economia Solidária : Em Análise Razões do Insucesso do Pr</w:t>
      </w:r>
      <w:r w:rsidRPr="004B2498">
        <w:t>o</w:t>
      </w:r>
      <w:r w:rsidRPr="004B2498">
        <w:t>jeto de Implantação da Central de Comercialização de Residuos Sól</w:t>
      </w:r>
      <w:r w:rsidRPr="004B2498">
        <w:t>i</w:t>
      </w:r>
      <w:r w:rsidRPr="004B2498">
        <w:t xml:space="preserve">dos em Porto Alegre”. Cadernos EBAPE. BR, v. 7, n° 4, artigo 2, Rio de Janeiro, décembre, p. 548-557. Texte disponible sur le site : </w:t>
      </w:r>
      <w:hyperlink r:id="rId25" w:history="1">
        <w:r w:rsidRPr="004C0845">
          <w:t>www.cbape.fgv.br/cadernosebape/asp/dsp_lst_artigos_edicao.asp ?codcd=76</w:t>
        </w:r>
      </w:hyperlink>
    </w:p>
    <w:p w14:paraId="2B5B7F0F" w14:textId="77777777" w:rsidR="002F4063" w:rsidRPr="004B2498" w:rsidRDefault="002F4063" w:rsidP="002F4063">
      <w:pPr>
        <w:spacing w:before="120" w:after="120"/>
        <w:jc w:val="both"/>
      </w:pPr>
      <w:r w:rsidRPr="004C0845">
        <w:t xml:space="preserve">Carrion machado </w:t>
      </w:r>
      <w:r w:rsidRPr="004B2498">
        <w:t>Rosinha, 2009b : “Pobreza e Participaçâo : dec</w:t>
      </w:r>
      <w:r w:rsidRPr="004B2498">
        <w:t>i</w:t>
      </w:r>
      <w:r w:rsidRPr="004B2498">
        <w:t>frame ou te devoro”. Actes du XI Colloque International sur le Po</w:t>
      </w:r>
      <w:r w:rsidRPr="004B2498">
        <w:t>u</w:t>
      </w:r>
      <w:r w:rsidRPr="004B2498">
        <w:t>voir Local. Salvador, Universidade Federal da Bahia, du 10 au 14 d</w:t>
      </w:r>
      <w:r w:rsidRPr="004B2498">
        <w:t>é</w:t>
      </w:r>
      <w:r w:rsidRPr="004B2498">
        <w:t>cembre. CD ROM.</w:t>
      </w:r>
    </w:p>
    <w:p w14:paraId="70262EF3" w14:textId="77777777" w:rsidR="002F4063" w:rsidRPr="004B2498" w:rsidRDefault="002F4063" w:rsidP="002F4063">
      <w:pPr>
        <w:spacing w:before="120" w:after="120"/>
        <w:jc w:val="both"/>
      </w:pPr>
      <w:r w:rsidRPr="004B2498">
        <w:t>CARTIER-BRESSON Jean, 2000 : « La Banque mondiale, la co</w:t>
      </w:r>
      <w:r w:rsidRPr="004B2498">
        <w:t>r</w:t>
      </w:r>
      <w:r w:rsidRPr="004B2498">
        <w:t xml:space="preserve">ruption et la gouvernance », </w:t>
      </w:r>
      <w:r w:rsidRPr="00261227">
        <w:rPr>
          <w:i/>
        </w:rPr>
        <w:t>Revue Tiers Monde</w:t>
      </w:r>
      <w:r w:rsidRPr="004B2498">
        <w:t>, n° 161, janvier-mars, p. 1-17. “</w:t>
      </w:r>
      <w:hyperlink r:id="rId26" w:history="1">
        <w:r w:rsidRPr="004C0845">
          <w:t>www.kerbabel.c3ed.uvsq.fr/Documents/REVC-FIC-DEGR</w:t>
        </w:r>
      </w:hyperlink>
      <w:r w:rsidRPr="004B2498">
        <w:t xml:space="preserve"> 1-C3ED- 20041207-00002.pdf, consulté le 21 novembre 2008.</w:t>
      </w:r>
    </w:p>
    <w:p w14:paraId="03E40B94" w14:textId="77777777" w:rsidR="002F4063" w:rsidRPr="004B2498" w:rsidRDefault="002F4063" w:rsidP="002F4063">
      <w:pPr>
        <w:spacing w:before="120" w:after="120"/>
        <w:jc w:val="both"/>
      </w:pPr>
      <w:r w:rsidRPr="004B2498">
        <w:t xml:space="preserve">CROZIER Michel, </w:t>
      </w:r>
      <w:r w:rsidRPr="004C0845">
        <w:t xml:space="preserve">Friedberg </w:t>
      </w:r>
      <w:r w:rsidRPr="004B2498">
        <w:t xml:space="preserve">Erhard, 1977 : </w:t>
      </w:r>
      <w:r w:rsidRPr="00261227">
        <w:rPr>
          <w:i/>
        </w:rPr>
        <w:t>L’Acteur et le syst</w:t>
      </w:r>
      <w:r w:rsidRPr="00261227">
        <w:rPr>
          <w:i/>
        </w:rPr>
        <w:t>è</w:t>
      </w:r>
      <w:r w:rsidRPr="00261227">
        <w:rPr>
          <w:i/>
        </w:rPr>
        <w:t>me</w:t>
      </w:r>
      <w:r w:rsidRPr="004B2498">
        <w:t>, Paris, Seuil.</w:t>
      </w:r>
    </w:p>
    <w:p w14:paraId="5E9CE470" w14:textId="77777777" w:rsidR="002F4063" w:rsidRPr="004B2498" w:rsidRDefault="002F4063" w:rsidP="002F4063">
      <w:pPr>
        <w:spacing w:before="120" w:after="120"/>
        <w:jc w:val="both"/>
      </w:pPr>
      <w:r w:rsidRPr="004B2498">
        <w:t>Declaraçào de Paris sobre a eficacia da ajuda ao DESENVOLV</w:t>
      </w:r>
      <w:r w:rsidRPr="004B2498">
        <w:t>I</w:t>
      </w:r>
      <w:r w:rsidRPr="004B2498">
        <w:t>MENTO : APROPRIAÇÀO, HARMONIZ</w:t>
      </w:r>
      <w:r w:rsidRPr="004B2498">
        <w:t>A</w:t>
      </w:r>
      <w:r w:rsidRPr="004B2498">
        <w:t>ÇÀO, ALINHAMENTO, RESULTADOS E RESPONSABILIDADE MUTUA, 2005 : Paris, 28 de Fevereiro- 2 de Março de 2005. Consu</w:t>
      </w:r>
      <w:r w:rsidRPr="004B2498">
        <w:t>l</w:t>
      </w:r>
      <w:r w:rsidRPr="004B2498">
        <w:t xml:space="preserve">tado em 25 setembro 2010. </w:t>
      </w:r>
      <w:hyperlink r:id="rId27" w:history="1">
        <w:r w:rsidRPr="004C0845">
          <w:t>http://www.oecd.org/dataoecd/56/41/38604403.pdf</w:t>
        </w:r>
      </w:hyperlink>
    </w:p>
    <w:p w14:paraId="43F474F4" w14:textId="77777777" w:rsidR="002F4063" w:rsidRPr="004B2498" w:rsidRDefault="002F4063" w:rsidP="002F4063">
      <w:pPr>
        <w:spacing w:before="120" w:after="120"/>
        <w:jc w:val="both"/>
      </w:pPr>
      <w:r w:rsidRPr="004B2498">
        <w:t xml:space="preserve">DELIVERING AS ONE : Nações Unidas Cabo Verde : unidos na acção. Consultado em 12 de dezembro 2010. </w:t>
      </w:r>
      <w:hyperlink r:id="rId28" w:history="1">
        <w:r w:rsidRPr="004C0845">
          <w:t>www.un.cv</w:t>
        </w:r>
      </w:hyperlink>
    </w:p>
    <w:p w14:paraId="14378D6F" w14:textId="77777777" w:rsidR="002F4063" w:rsidRPr="004B2498" w:rsidRDefault="002F4063" w:rsidP="002F4063">
      <w:pPr>
        <w:spacing w:before="120" w:after="120"/>
        <w:jc w:val="both"/>
      </w:pPr>
      <w:r w:rsidRPr="004B2498">
        <w:t xml:space="preserve">DEVIN Guillaume, 2002 : </w:t>
      </w:r>
      <w:r w:rsidRPr="00261227">
        <w:rPr>
          <w:i/>
        </w:rPr>
        <w:t>Sociologie des relations internation</w:t>
      </w:r>
      <w:r w:rsidRPr="00261227">
        <w:rPr>
          <w:i/>
        </w:rPr>
        <w:t>a</w:t>
      </w:r>
      <w:r w:rsidRPr="00261227">
        <w:rPr>
          <w:i/>
        </w:rPr>
        <w:t>les</w:t>
      </w:r>
      <w:r w:rsidRPr="004B2498">
        <w:t>, Paris, La Découverte &amp; Syros, Collection « Repères », 335 p.</w:t>
      </w:r>
    </w:p>
    <w:p w14:paraId="3239982B" w14:textId="77777777" w:rsidR="002F4063" w:rsidRPr="004B2498" w:rsidRDefault="002F4063" w:rsidP="002F4063">
      <w:pPr>
        <w:spacing w:before="120" w:after="120"/>
        <w:jc w:val="both"/>
      </w:pPr>
      <w:r w:rsidRPr="004B2498">
        <w:t>DUBOIS Jean-Luc &amp; MAHIEU François Régis, 2009 : « Sen, l</w:t>
      </w:r>
      <w:r w:rsidRPr="004B2498">
        <w:t>i</w:t>
      </w:r>
      <w:r w:rsidRPr="004B2498">
        <w:t xml:space="preserve">berté et pratiques du développement », </w:t>
      </w:r>
      <w:r w:rsidRPr="00261227">
        <w:rPr>
          <w:i/>
        </w:rPr>
        <w:t>Revue Tiers Monde</w:t>
      </w:r>
      <w:r w:rsidRPr="004B2498">
        <w:t xml:space="preserve">, n° 198, avril-juin, </w:t>
      </w:r>
      <w:r w:rsidRPr="004C0845">
        <w:t xml:space="preserve">p. </w:t>
      </w:r>
      <w:r w:rsidRPr="004B2498">
        <w:t>438-454.</w:t>
      </w:r>
    </w:p>
    <w:p w14:paraId="668F6FFA" w14:textId="77777777" w:rsidR="002F4063" w:rsidRPr="004B2498" w:rsidRDefault="002F4063" w:rsidP="002F4063">
      <w:pPr>
        <w:spacing w:before="120" w:after="120"/>
        <w:jc w:val="both"/>
      </w:pPr>
      <w:r w:rsidRPr="004B2498">
        <w:t>ÉVORA Iolanda Maria Alves, 2001 : “Cooperativa : politica de Estado ou cotidiano ? O caso de Cabo Verde”. Cadernos de Psicologia Social do Trabalho, 2000-2001, vol. 3/4, p. 9-30.</w:t>
      </w:r>
    </w:p>
    <w:p w14:paraId="27C7B92A" w14:textId="77777777" w:rsidR="002F4063" w:rsidRPr="004B2498" w:rsidRDefault="002F4063" w:rsidP="002F4063">
      <w:pPr>
        <w:spacing w:before="120" w:after="120"/>
        <w:jc w:val="both"/>
      </w:pPr>
      <w:r w:rsidRPr="004C0845">
        <w:t xml:space="preserve">FUK.UYAMA, Francis, </w:t>
      </w:r>
      <w:r w:rsidRPr="004B2498">
        <w:t>2000 [1999] : A grande ruptura : a natur</w:t>
      </w:r>
      <w:r w:rsidRPr="004B2498">
        <w:t>e</w:t>
      </w:r>
      <w:r w:rsidRPr="004B2498">
        <w:t>za hum</w:t>
      </w:r>
      <w:r w:rsidRPr="004B2498">
        <w:t>a</w:t>
      </w:r>
      <w:r w:rsidRPr="004B2498">
        <w:t xml:space="preserve">na e a reconstituição da ordem social. </w:t>
      </w:r>
      <w:r w:rsidRPr="004C0845">
        <w:t>Rio de Janeiro, Rocco.</w:t>
      </w:r>
    </w:p>
    <w:p w14:paraId="341756F3" w14:textId="77777777" w:rsidR="002F4063" w:rsidRPr="004B2498" w:rsidRDefault="002F4063" w:rsidP="002F4063">
      <w:pPr>
        <w:spacing w:before="120" w:after="120"/>
        <w:jc w:val="both"/>
      </w:pPr>
      <w:r w:rsidRPr="004B2498">
        <w:t>[159]</w:t>
      </w:r>
    </w:p>
    <w:p w14:paraId="7E6F882F" w14:textId="77777777" w:rsidR="002F4063" w:rsidRPr="004B2498" w:rsidRDefault="002F4063" w:rsidP="002F4063">
      <w:pPr>
        <w:spacing w:before="120" w:after="120"/>
        <w:jc w:val="both"/>
      </w:pPr>
      <w:r w:rsidRPr="004C0845">
        <w:t xml:space="preserve">Guia das </w:t>
      </w:r>
      <w:r w:rsidRPr="004B2498">
        <w:t xml:space="preserve">ONG’S de </w:t>
      </w:r>
      <w:r w:rsidRPr="004C0845">
        <w:t xml:space="preserve">Cabo </w:t>
      </w:r>
      <w:r w:rsidRPr="004B2498">
        <w:t>Verde, 2007 : Praia, Cabo Verde. 2007. Cd rom.</w:t>
      </w:r>
    </w:p>
    <w:p w14:paraId="17C86019" w14:textId="77777777" w:rsidR="002F4063" w:rsidRPr="004B2498" w:rsidRDefault="002F4063" w:rsidP="002F4063">
      <w:pPr>
        <w:spacing w:before="120" w:after="120"/>
        <w:jc w:val="both"/>
      </w:pPr>
      <w:r w:rsidRPr="004B2498">
        <w:t xml:space="preserve">HERMET Guy, 2005 : « La gouvernance serait-elle le nom de l’après-démocratie ? L’inlassable quête du pluralisme limité », in HERMET Guy, </w:t>
      </w:r>
      <w:r w:rsidRPr="004C0845">
        <w:t xml:space="preserve">Kazancigil </w:t>
      </w:r>
      <w:r w:rsidRPr="004B2498">
        <w:t xml:space="preserve">Ali &amp; </w:t>
      </w:r>
      <w:r w:rsidRPr="004C0845">
        <w:t xml:space="preserve">Prud’homme </w:t>
      </w:r>
      <w:r w:rsidRPr="004B2498">
        <w:t xml:space="preserve">Jean-François (Orgs.), </w:t>
      </w:r>
      <w:r w:rsidRPr="00261227">
        <w:rPr>
          <w:i/>
        </w:rPr>
        <w:t>La Gouvernance : un concept et ses applications</w:t>
      </w:r>
      <w:r w:rsidRPr="004B2498">
        <w:t>, Paris, Ka</w:t>
      </w:r>
      <w:r w:rsidRPr="004B2498">
        <w:t>r</w:t>
      </w:r>
      <w:r w:rsidRPr="004B2498">
        <w:t>thala, p. 17-47.</w:t>
      </w:r>
    </w:p>
    <w:p w14:paraId="7D1B5DA5" w14:textId="77777777" w:rsidR="002F4063" w:rsidRPr="004B2498" w:rsidRDefault="002F4063" w:rsidP="002F4063">
      <w:pPr>
        <w:spacing w:before="120" w:after="120"/>
        <w:jc w:val="both"/>
      </w:pPr>
      <w:r w:rsidRPr="004B2498">
        <w:t>MOLON DA Silva Francielle ; Carrion Rosinha M., 2007 : “O D</w:t>
      </w:r>
      <w:r w:rsidRPr="004B2498">
        <w:t>e</w:t>
      </w:r>
      <w:r w:rsidRPr="004B2498">
        <w:t>safio da Sustentabilidade Conforme Percebido por Organizações S</w:t>
      </w:r>
      <w:r w:rsidRPr="004B2498">
        <w:t>o</w:t>
      </w:r>
      <w:r w:rsidRPr="004B2498">
        <w:t xml:space="preserve">ciais : Um Estudo Exploratório”. In : </w:t>
      </w:r>
      <w:r w:rsidRPr="004C0845">
        <w:rPr>
          <w:iCs/>
        </w:rPr>
        <w:t>VI CONFERENCIA REGI</w:t>
      </w:r>
      <w:r w:rsidRPr="004C0845">
        <w:rPr>
          <w:iCs/>
        </w:rPr>
        <w:t>O</w:t>
      </w:r>
      <w:r w:rsidRPr="004C0845">
        <w:rPr>
          <w:iCs/>
        </w:rPr>
        <w:t>NAL DE ISTR PARA America Latina Y EL Caribe.</w:t>
      </w:r>
      <w:r w:rsidRPr="004B2498">
        <w:t xml:space="preserve"> 8 al 11 novie</w:t>
      </w:r>
      <w:r w:rsidRPr="004B2498">
        <w:t>m</w:t>
      </w:r>
      <w:r w:rsidRPr="004B2498">
        <w:t>bre de 2007, Salvador de Bahia, Brasil. Organizan : ISTR y CIAGS/UFBA, p. 16.</w:t>
      </w:r>
    </w:p>
    <w:p w14:paraId="1DE4767C" w14:textId="77777777" w:rsidR="002F4063" w:rsidRPr="004B2498" w:rsidRDefault="002F4063" w:rsidP="002F4063">
      <w:pPr>
        <w:spacing w:before="120" w:after="120"/>
        <w:jc w:val="both"/>
      </w:pPr>
      <w:r w:rsidRPr="004B2498">
        <w:t>NEAVE G., 1988 : “On the cultivation of quality, efficiency and enterprise : an overview of recent trends in higher education in We</w:t>
      </w:r>
      <w:r w:rsidRPr="004B2498">
        <w:t>s</w:t>
      </w:r>
      <w:r w:rsidRPr="004B2498">
        <w:t xml:space="preserve">tern Europe 1986-1988”. </w:t>
      </w:r>
      <w:r w:rsidRPr="00261227">
        <w:rPr>
          <w:i/>
        </w:rPr>
        <w:t>European Journal of Education</w:t>
      </w:r>
      <w:r w:rsidRPr="004B2498">
        <w:t>, 23 (1-2), p. 7-23.</w:t>
      </w:r>
    </w:p>
    <w:p w14:paraId="60A22A1E" w14:textId="77777777" w:rsidR="002F4063" w:rsidRPr="004B2498" w:rsidRDefault="002F4063" w:rsidP="002F4063">
      <w:pPr>
        <w:spacing w:before="120" w:after="120"/>
        <w:jc w:val="both"/>
      </w:pPr>
      <w:r w:rsidRPr="004C0845">
        <w:t xml:space="preserve">PUTNAM </w:t>
      </w:r>
      <w:r w:rsidRPr="004B2498">
        <w:t xml:space="preserve">R. D., 2002 : </w:t>
      </w:r>
      <w:r w:rsidRPr="00261227">
        <w:rPr>
          <w:i/>
        </w:rPr>
        <w:t>Comunidade e Democracia : a experiê</w:t>
      </w:r>
      <w:r w:rsidRPr="00261227">
        <w:rPr>
          <w:i/>
        </w:rPr>
        <w:t>n</w:t>
      </w:r>
      <w:r w:rsidRPr="00261227">
        <w:rPr>
          <w:i/>
        </w:rPr>
        <w:t>cia da Itália moderna</w:t>
      </w:r>
      <w:r w:rsidRPr="004B2498">
        <w:t>. 3e éd., Rio de Janeiro, FGV.</w:t>
      </w:r>
    </w:p>
    <w:p w14:paraId="4836AE25" w14:textId="77777777" w:rsidR="002F4063" w:rsidRPr="004B2498" w:rsidRDefault="002F4063" w:rsidP="002F4063">
      <w:pPr>
        <w:spacing w:before="120" w:after="120"/>
        <w:jc w:val="both"/>
      </w:pPr>
      <w:r w:rsidRPr="004C0845">
        <w:t xml:space="preserve">Ramos Barbosa Monteiro </w:t>
      </w:r>
      <w:r w:rsidRPr="004B2498">
        <w:t>et al., 2010 : “Prática dos Principes Coop</w:t>
      </w:r>
      <w:r w:rsidRPr="004B2498">
        <w:t>e</w:t>
      </w:r>
      <w:r w:rsidRPr="004B2498">
        <w:t>rativistas : um Estudo de Caso na Cooperativa Adalzisa Moniz em Cabo Verde”. Travail présenté lors de la IVe Rencontre n</w:t>
      </w:r>
      <w:r w:rsidRPr="004B2498">
        <w:t>a</w:t>
      </w:r>
      <w:r w:rsidRPr="004B2498">
        <w:t>tionale de chercheurs en gestion sociale, gestion sociale et gestion publique : I</w:t>
      </w:r>
      <w:r w:rsidRPr="004B2498">
        <w:t>n</w:t>
      </w:r>
      <w:r w:rsidRPr="004B2498">
        <w:t>terfaces et Délimitations. Du 27 au 29 mai 2010, Lavras, p. 1-17.</w:t>
      </w:r>
    </w:p>
    <w:p w14:paraId="74C394D5" w14:textId="77777777" w:rsidR="002F4063" w:rsidRPr="004B2498" w:rsidRDefault="002F4063" w:rsidP="002F4063">
      <w:pPr>
        <w:spacing w:before="120" w:after="120"/>
        <w:jc w:val="both"/>
      </w:pPr>
      <w:r w:rsidRPr="004B2498">
        <w:t xml:space="preserve">RUCKERT Arne, 2008 : “Making Neo-Gramscian Sense of the Developement Assistance Committeee : towards an Inclusive Neo-Liberal World Development Order”. In : MAHON Rianne &amp; MCBRIDE Stephen. </w:t>
      </w:r>
      <w:r w:rsidRPr="00261227">
        <w:rPr>
          <w:i/>
        </w:rPr>
        <w:t>The OECD and Transnational Governance</w:t>
      </w:r>
      <w:r w:rsidRPr="004B2498">
        <w:t>. The University of British Columbia (UBC) Press, Columbia, p. 93-113.</w:t>
      </w:r>
    </w:p>
    <w:p w14:paraId="0E31B5F4" w14:textId="77777777" w:rsidR="002F4063" w:rsidRPr="004B2498" w:rsidRDefault="002F4063" w:rsidP="002F4063">
      <w:pPr>
        <w:spacing w:before="120" w:after="120"/>
        <w:jc w:val="both"/>
      </w:pPr>
      <w:r w:rsidRPr="004C0845">
        <w:t xml:space="preserve">SOUSA SANTOS </w:t>
      </w:r>
      <w:r w:rsidRPr="004B2498">
        <w:t xml:space="preserve">Boaventura, 2008 : </w:t>
      </w:r>
      <w:r w:rsidRPr="00261227">
        <w:rPr>
          <w:i/>
        </w:rPr>
        <w:t>A Gramática do tempo : para uma nova cultura politica</w:t>
      </w:r>
      <w:r w:rsidRPr="004B2498">
        <w:t>. São Paulo, Cortez, 2e éd.</w:t>
      </w:r>
    </w:p>
    <w:p w14:paraId="241E0DCF" w14:textId="77777777" w:rsidR="002F4063" w:rsidRPr="004B2498" w:rsidRDefault="002F4063" w:rsidP="002F4063">
      <w:pPr>
        <w:spacing w:before="120" w:after="120"/>
        <w:jc w:val="both"/>
      </w:pPr>
      <w:r w:rsidRPr="004B2498">
        <w:t>SOUZA Jessé, 2006 : “A Gramática Social da Desigualdade Bras</w:t>
      </w:r>
      <w:r w:rsidRPr="004B2498">
        <w:t>i</w:t>
      </w:r>
      <w:r w:rsidRPr="004B2498">
        <w:t xml:space="preserve">leira”. In : SOUZA Jessé (Org.) </w:t>
      </w:r>
      <w:r w:rsidRPr="00A61F1D">
        <w:rPr>
          <w:i/>
        </w:rPr>
        <w:t>A Invisibilidade da Desigualdade Brasileira</w:t>
      </w:r>
      <w:r w:rsidRPr="004B2498">
        <w:t>. Belo Horizonte, UFMG, p. 23-53.</w:t>
      </w:r>
    </w:p>
    <w:p w14:paraId="30049292" w14:textId="77777777" w:rsidR="002F4063" w:rsidRPr="004B2498" w:rsidRDefault="002F4063" w:rsidP="002F4063">
      <w:pPr>
        <w:spacing w:before="120" w:after="120"/>
        <w:jc w:val="both"/>
      </w:pPr>
      <w:r w:rsidRPr="004C0845">
        <w:t xml:space="preserve">SPINK </w:t>
      </w:r>
      <w:r w:rsidRPr="004B2498">
        <w:t xml:space="preserve">Mary &amp; </w:t>
      </w:r>
      <w:r w:rsidRPr="004C0845">
        <w:t xml:space="preserve">SPINK </w:t>
      </w:r>
      <w:r w:rsidRPr="004B2498">
        <w:t xml:space="preserve">Peter, 2006 : “Introduçâo”. In : </w:t>
      </w:r>
      <w:r w:rsidRPr="004C0845">
        <w:t xml:space="preserve">SPINK </w:t>
      </w:r>
      <w:r w:rsidRPr="004B2498">
        <w:t xml:space="preserve">Mary &amp; </w:t>
      </w:r>
      <w:r w:rsidRPr="004C0845">
        <w:t xml:space="preserve">SPINK </w:t>
      </w:r>
      <w:r w:rsidRPr="004B2498">
        <w:t>Peter (orgs.) : Práticas Cotidianas e Naturalização da Desigua</w:t>
      </w:r>
      <w:r w:rsidRPr="004B2498">
        <w:t>l</w:t>
      </w:r>
      <w:r w:rsidRPr="004B2498">
        <w:t xml:space="preserve">dade : uma semana de noticia nos jornais. </w:t>
      </w:r>
      <w:r w:rsidRPr="004C0845">
        <w:t>S</w:t>
      </w:r>
      <w:r w:rsidRPr="004B2498">
        <w:t>ã</w:t>
      </w:r>
      <w:r w:rsidRPr="004C0845">
        <w:t xml:space="preserve">o </w:t>
      </w:r>
      <w:r w:rsidRPr="004B2498">
        <w:t>Paulo, Cortez, p. 7-16.</w:t>
      </w:r>
    </w:p>
    <w:p w14:paraId="3A77B2BF" w14:textId="77777777" w:rsidR="002F4063" w:rsidRPr="004B2498" w:rsidRDefault="002F4063" w:rsidP="002F4063">
      <w:pPr>
        <w:spacing w:before="120" w:after="120"/>
        <w:jc w:val="both"/>
      </w:pPr>
      <w:r w:rsidRPr="004B2498">
        <w:t xml:space="preserve">TAVARES DOS Santos J. V., 2009 : </w:t>
      </w:r>
      <w:r w:rsidRPr="00A61F1D">
        <w:rPr>
          <w:i/>
          <w:iCs/>
        </w:rPr>
        <w:t>Violência e Conflitualidades</w:t>
      </w:r>
      <w:r w:rsidRPr="004C0845">
        <w:rPr>
          <w:iCs/>
        </w:rPr>
        <w:t>.</w:t>
      </w:r>
      <w:r w:rsidRPr="004B2498">
        <w:t xml:space="preserve"> Porto Alegre, Tomo Editorial.</w:t>
      </w:r>
    </w:p>
    <w:p w14:paraId="1D111CB6" w14:textId="77777777" w:rsidR="002F4063" w:rsidRPr="004B2498" w:rsidRDefault="002F4063" w:rsidP="002F4063">
      <w:pPr>
        <w:spacing w:before="120" w:after="120"/>
        <w:jc w:val="both"/>
      </w:pPr>
      <w:r w:rsidRPr="004C0845">
        <w:t xml:space="preserve">Taylor </w:t>
      </w:r>
      <w:r w:rsidRPr="004B2498">
        <w:t xml:space="preserve">Charles, 1989 : </w:t>
      </w:r>
      <w:r w:rsidRPr="00A61F1D">
        <w:rPr>
          <w:i/>
        </w:rPr>
        <w:t>Sources of the self : the making of the m</w:t>
      </w:r>
      <w:r w:rsidRPr="00A61F1D">
        <w:rPr>
          <w:i/>
        </w:rPr>
        <w:t>o</w:t>
      </w:r>
      <w:r w:rsidRPr="00A61F1D">
        <w:rPr>
          <w:i/>
        </w:rPr>
        <w:t>dern identity</w:t>
      </w:r>
      <w:r w:rsidRPr="004B2498">
        <w:t>. Cambridge, Harward Press.</w:t>
      </w:r>
    </w:p>
    <w:p w14:paraId="348724FF" w14:textId="77777777" w:rsidR="002F4063" w:rsidRPr="004B2498" w:rsidRDefault="002F4063" w:rsidP="002F4063">
      <w:pPr>
        <w:spacing w:before="120" w:after="120"/>
        <w:jc w:val="both"/>
      </w:pPr>
      <w:r w:rsidRPr="004B2498">
        <w:t>[160]</w:t>
      </w:r>
    </w:p>
    <w:p w14:paraId="3FA30AED" w14:textId="77777777" w:rsidR="002F4063" w:rsidRPr="004B2498" w:rsidRDefault="002F4063" w:rsidP="002F4063">
      <w:pPr>
        <w:spacing w:before="120" w:after="120"/>
        <w:jc w:val="both"/>
      </w:pPr>
      <w:r w:rsidRPr="004C0845">
        <w:t xml:space="preserve">Wickramasinghe </w:t>
      </w:r>
      <w:r w:rsidRPr="004B2498">
        <w:t xml:space="preserve">Nira, 2005 : “The Idea of Civil Society in the South Imaginings, Transplants, Designs”. In : </w:t>
      </w:r>
      <w:r w:rsidRPr="00A61F1D">
        <w:rPr>
          <w:i/>
        </w:rPr>
        <w:t>Science and Soci</w:t>
      </w:r>
      <w:r w:rsidRPr="00A61F1D">
        <w:rPr>
          <w:i/>
        </w:rPr>
        <w:t>e</w:t>
      </w:r>
      <w:r w:rsidRPr="00A61F1D">
        <w:rPr>
          <w:i/>
        </w:rPr>
        <w:t>ty</w:t>
      </w:r>
      <w:r w:rsidRPr="004B2498">
        <w:t>, vol. 69, n° 3 juillet, p. 458-486.</w:t>
      </w:r>
    </w:p>
    <w:p w14:paraId="6CE6FA17" w14:textId="77777777" w:rsidR="002F4063" w:rsidRPr="004B2498" w:rsidRDefault="002F4063" w:rsidP="002F4063">
      <w:pPr>
        <w:pStyle w:val="p"/>
        <w:rPr>
          <w:lang w:eastAsia="fr-FR" w:bidi="fr-FR"/>
        </w:rPr>
      </w:pPr>
      <w:r w:rsidRPr="004B2498">
        <w:br w:type="page"/>
      </w:r>
      <w:r w:rsidRPr="004B2498">
        <w:rPr>
          <w:lang w:eastAsia="fr-FR" w:bidi="fr-FR"/>
        </w:rPr>
        <w:t>[161]</w:t>
      </w:r>
    </w:p>
    <w:p w14:paraId="741535F2" w14:textId="77777777" w:rsidR="002F4063" w:rsidRPr="004B2498" w:rsidRDefault="002F4063" w:rsidP="002F4063">
      <w:pPr>
        <w:jc w:val="both"/>
      </w:pPr>
    </w:p>
    <w:p w14:paraId="6CC36CD6" w14:textId="77777777" w:rsidR="002F4063" w:rsidRPr="004B2498" w:rsidRDefault="002F4063" w:rsidP="002F4063">
      <w:pPr>
        <w:jc w:val="both"/>
      </w:pPr>
    </w:p>
    <w:p w14:paraId="20334B8D" w14:textId="77777777" w:rsidR="002F4063" w:rsidRPr="002C57DA" w:rsidRDefault="002F4063" w:rsidP="002F4063">
      <w:pPr>
        <w:spacing w:after="120"/>
        <w:ind w:firstLine="0"/>
        <w:jc w:val="center"/>
        <w:rPr>
          <w:b/>
          <w:sz w:val="24"/>
        </w:rPr>
      </w:pPr>
      <w:bookmarkStart w:id="12" w:name="Enjeux_sc_soc_pt_2_texte_2"/>
      <w:r w:rsidRPr="002C57DA">
        <w:rPr>
          <w:b/>
          <w:sz w:val="24"/>
        </w:rPr>
        <w:t>Enjeux épistémologiques et idéologiques</w:t>
      </w:r>
      <w:r w:rsidRPr="002C57DA">
        <w:rPr>
          <w:b/>
          <w:sz w:val="24"/>
        </w:rPr>
        <w:br/>
        <w:t>de la globalisation pour les sciences sociales.</w:t>
      </w:r>
    </w:p>
    <w:p w14:paraId="6AE612CC" w14:textId="77777777" w:rsidR="002F4063" w:rsidRPr="00386FE1" w:rsidRDefault="002F4063" w:rsidP="002F4063">
      <w:pPr>
        <w:spacing w:after="120"/>
        <w:ind w:firstLine="0"/>
        <w:jc w:val="center"/>
        <w:rPr>
          <w:sz w:val="24"/>
        </w:rPr>
      </w:pPr>
      <w:r>
        <w:rPr>
          <w:sz w:val="24"/>
        </w:rPr>
        <w:t>Deuxième</w:t>
      </w:r>
      <w:r w:rsidRPr="00386FE1">
        <w:rPr>
          <w:sz w:val="24"/>
        </w:rPr>
        <w:t xml:space="preserve"> partie : </w:t>
      </w:r>
      <w:r>
        <w:rPr>
          <w:sz w:val="24"/>
        </w:rPr>
        <w:t>Acteurs et actrices</w:t>
      </w:r>
    </w:p>
    <w:p w14:paraId="176C0D41" w14:textId="77777777" w:rsidR="002F4063" w:rsidRPr="00386FE1" w:rsidRDefault="002F4063" w:rsidP="002F4063">
      <w:pPr>
        <w:pStyle w:val="Titreniveau1"/>
      </w:pPr>
      <w:r>
        <w:t>2</w:t>
      </w:r>
    </w:p>
    <w:p w14:paraId="274534E1" w14:textId="77777777" w:rsidR="002F4063" w:rsidRPr="004B2498" w:rsidRDefault="002F4063" w:rsidP="002F4063">
      <w:pPr>
        <w:pStyle w:val="Titreniveau2"/>
      </w:pPr>
      <w:r w:rsidRPr="004B2498">
        <w:t>“</w:t>
      </w:r>
      <w:r>
        <w:t>RENDRE COMPTE</w:t>
      </w:r>
      <w:r>
        <w:br/>
        <w:t>DES ENGAG</w:t>
      </w:r>
      <w:r>
        <w:t>E</w:t>
      </w:r>
      <w:r>
        <w:t>MENTS, INTERROGER</w:t>
      </w:r>
      <w:r>
        <w:br/>
        <w:t>LA SOCI</w:t>
      </w:r>
      <w:r>
        <w:t>O</w:t>
      </w:r>
      <w:r>
        <w:t>LOGIE DE L’ACTION</w:t>
      </w:r>
      <w:r>
        <w:br/>
        <w:t>COLLECT</w:t>
      </w:r>
      <w:r>
        <w:t>I</w:t>
      </w:r>
      <w:r>
        <w:t>VE.</w:t>
      </w:r>
      <w:r w:rsidRPr="004B2498">
        <w:t>”</w:t>
      </w:r>
    </w:p>
    <w:bookmarkEnd w:id="12"/>
    <w:p w14:paraId="250A7368" w14:textId="77777777" w:rsidR="002F4063" w:rsidRDefault="002F4063" w:rsidP="002F4063">
      <w:pPr>
        <w:jc w:val="both"/>
        <w:rPr>
          <w:szCs w:val="36"/>
        </w:rPr>
      </w:pPr>
    </w:p>
    <w:p w14:paraId="1CFA2431" w14:textId="77777777" w:rsidR="002F4063" w:rsidRPr="004B2498" w:rsidRDefault="002F4063" w:rsidP="002F4063">
      <w:pPr>
        <w:jc w:val="both"/>
        <w:rPr>
          <w:szCs w:val="36"/>
        </w:rPr>
      </w:pPr>
    </w:p>
    <w:p w14:paraId="434B233F" w14:textId="77777777" w:rsidR="002F4063" w:rsidRPr="004B2498" w:rsidRDefault="002F4063" w:rsidP="002F4063">
      <w:pPr>
        <w:pStyle w:val="suite"/>
      </w:pPr>
      <w:r>
        <w:rPr>
          <w:szCs w:val="24"/>
          <w:lang w:eastAsia="fr-FR" w:bidi="fr-FR"/>
        </w:rPr>
        <w:t>Pia V. RIUS </w:t>
      </w:r>
      <w:r>
        <w:rPr>
          <w:rStyle w:val="Appelnotedebasdep"/>
          <w:b w:val="0"/>
        </w:rPr>
        <w:footnoteReference w:customMarkFollows="1" w:id="114"/>
        <w:t>*</w:t>
      </w:r>
    </w:p>
    <w:p w14:paraId="3494119D" w14:textId="77777777" w:rsidR="002F4063" w:rsidRPr="004B2498" w:rsidRDefault="002F4063" w:rsidP="002F4063">
      <w:pPr>
        <w:spacing w:before="120" w:after="120"/>
        <w:jc w:val="both"/>
        <w:rPr>
          <w:lang w:eastAsia="fr-FR" w:bidi="fr-FR"/>
        </w:rPr>
      </w:pPr>
    </w:p>
    <w:p w14:paraId="2F7472D4" w14:textId="77777777" w:rsidR="002F4063" w:rsidRPr="002C57DA" w:rsidRDefault="002F4063" w:rsidP="002F4063">
      <w:pPr>
        <w:ind w:right="90" w:firstLine="0"/>
        <w:jc w:val="both"/>
        <w:rPr>
          <w:sz w:val="24"/>
        </w:rPr>
      </w:pPr>
      <w:hyperlink w:anchor="sommaire" w:history="1">
        <w:r w:rsidRPr="002C57DA">
          <w:rPr>
            <w:rStyle w:val="Hyperlien"/>
            <w:sz w:val="24"/>
          </w:rPr>
          <w:t>Retour au sommaire</w:t>
        </w:r>
      </w:hyperlink>
    </w:p>
    <w:p w14:paraId="2165EABC" w14:textId="77777777" w:rsidR="002F4063" w:rsidRPr="004B2498" w:rsidRDefault="002F4063" w:rsidP="002F4063">
      <w:pPr>
        <w:spacing w:before="120" w:after="120"/>
        <w:jc w:val="both"/>
      </w:pPr>
      <w:r w:rsidRPr="004B2498">
        <w:rPr>
          <w:lang w:eastAsia="fr-FR" w:bidi="fr-FR"/>
        </w:rPr>
        <w:t>Nombreux sont ceux qui s’intéressent aux processus de mobilis</w:t>
      </w:r>
      <w:r w:rsidRPr="004B2498">
        <w:rPr>
          <w:lang w:eastAsia="fr-FR" w:bidi="fr-FR"/>
        </w:rPr>
        <w:t>a</w:t>
      </w:r>
      <w:r w:rsidRPr="004B2498">
        <w:rPr>
          <w:lang w:eastAsia="fr-FR" w:bidi="fr-FR"/>
        </w:rPr>
        <w:t>tion qui se sont produits en Argentine, à partir des années 1990. Une visibilité inattendue a fait de la crise argentine de 2001 un cas d’étude exemplaire des réactions des populations contre les tran</w:t>
      </w:r>
      <w:r w:rsidRPr="004B2498">
        <w:rPr>
          <w:lang w:eastAsia="fr-FR" w:bidi="fr-FR"/>
        </w:rPr>
        <w:t>s</w:t>
      </w:r>
      <w:r w:rsidRPr="004B2498">
        <w:rPr>
          <w:lang w:eastAsia="fr-FR" w:bidi="fr-FR"/>
        </w:rPr>
        <w:t>formations concernant certaines modalités d’intervention de l’État, notamment celles recommandées par des institutions mult</w:t>
      </w:r>
      <w:r w:rsidRPr="004B2498">
        <w:rPr>
          <w:lang w:eastAsia="fr-FR" w:bidi="fr-FR"/>
        </w:rPr>
        <w:t>i</w:t>
      </w:r>
      <w:r w:rsidRPr="004B2498">
        <w:rPr>
          <w:lang w:eastAsia="fr-FR" w:bidi="fr-FR"/>
        </w:rPr>
        <w:t>latérales comme la Banque mondiale et le FMI dans toute l’Amérique latine, et ailleurs. Comment les sciences sociales pe</w:t>
      </w:r>
      <w:r w:rsidRPr="004B2498">
        <w:rPr>
          <w:lang w:eastAsia="fr-FR" w:bidi="fr-FR"/>
        </w:rPr>
        <w:t>u</w:t>
      </w:r>
      <w:r w:rsidRPr="004B2498">
        <w:rPr>
          <w:lang w:eastAsia="fr-FR" w:bidi="fr-FR"/>
        </w:rPr>
        <w:t>vent-elles nous fournir des clés pertinentes pour la compréhension de ces périodes de boulevers</w:t>
      </w:r>
      <w:r w:rsidRPr="004B2498">
        <w:rPr>
          <w:lang w:eastAsia="fr-FR" w:bidi="fr-FR"/>
        </w:rPr>
        <w:t>e</w:t>
      </w:r>
      <w:r w:rsidRPr="004B2498">
        <w:rPr>
          <w:lang w:eastAsia="fr-FR" w:bidi="fr-FR"/>
        </w:rPr>
        <w:t>ment ?</w:t>
      </w:r>
    </w:p>
    <w:p w14:paraId="5DEAFF38" w14:textId="77777777" w:rsidR="002F4063" w:rsidRPr="004B2498" w:rsidRDefault="002F4063" w:rsidP="002F4063">
      <w:pPr>
        <w:spacing w:before="120" w:after="120"/>
        <w:jc w:val="both"/>
      </w:pPr>
      <w:r w:rsidRPr="004B2498">
        <w:rPr>
          <w:lang w:eastAsia="fr-FR" w:bidi="fr-FR"/>
        </w:rPr>
        <w:t xml:space="preserve">Durant notre recherche sur les organisations de </w:t>
      </w:r>
      <w:r w:rsidRPr="00B63934">
        <w:rPr>
          <w:i/>
        </w:rPr>
        <w:t>desocupados</w:t>
      </w:r>
      <w:r>
        <w:t> </w:t>
      </w:r>
      <w:r>
        <w:rPr>
          <w:rStyle w:val="Appelnotedebasdep"/>
        </w:rPr>
        <w:footnoteReference w:id="115"/>
      </w:r>
      <w:r w:rsidRPr="004B2498">
        <w:rPr>
          <w:lang w:eastAsia="fr-FR" w:bidi="fr-FR"/>
        </w:rPr>
        <w:t>, dont nous traiterons dans ce chapitre, nous avons pu assister à pl</w:t>
      </w:r>
      <w:r w:rsidRPr="004B2498">
        <w:rPr>
          <w:lang w:eastAsia="fr-FR" w:bidi="fr-FR"/>
        </w:rPr>
        <w:t>u</w:t>
      </w:r>
      <w:r w:rsidRPr="004B2498">
        <w:rPr>
          <w:lang w:eastAsia="fr-FR" w:bidi="fr-FR"/>
        </w:rPr>
        <w:t>sieurs conférences ayant pour invités leurs dirigeants, nota</w:t>
      </w:r>
      <w:r w:rsidRPr="004B2498">
        <w:rPr>
          <w:lang w:eastAsia="fr-FR" w:bidi="fr-FR"/>
        </w:rPr>
        <w:t>m</w:t>
      </w:r>
      <w:r w:rsidRPr="004B2498">
        <w:rPr>
          <w:lang w:eastAsia="fr-FR" w:bidi="fr-FR"/>
        </w:rPr>
        <w:t>ment à Paris, à la Maison de l’Amérique latine où une avocate, chargée des plaintes sur les violations des droits de l’homme en Argentine pendant le dernier régime militaire (1976-1983), présentait le parcours héro</w:t>
      </w:r>
      <w:r w:rsidRPr="004B2498">
        <w:rPr>
          <w:lang w:eastAsia="fr-FR" w:bidi="fr-FR"/>
        </w:rPr>
        <w:t>ï</w:t>
      </w:r>
      <w:r w:rsidRPr="004B2498">
        <w:rPr>
          <w:lang w:eastAsia="fr-FR" w:bidi="fr-FR"/>
        </w:rPr>
        <w:t xml:space="preserve">que de l’un de ces résistants d’alors, devenu syndicaliste puis </w:t>
      </w:r>
      <w:r w:rsidRPr="004B2498">
        <w:t>piquet</w:t>
      </w:r>
      <w:r w:rsidRPr="004B2498">
        <w:t>e</w:t>
      </w:r>
      <w:r w:rsidRPr="004B2498">
        <w:t>ro</w:t>
      </w:r>
      <w:r w:rsidRPr="004B2498">
        <w:rPr>
          <w:lang w:eastAsia="fr-FR" w:bidi="fr-FR"/>
        </w:rPr>
        <w:t xml:space="preserve"> en 2003. Ce dernier s’est empressé de</w:t>
      </w:r>
      <w:r w:rsidRPr="004B2498">
        <w:t xml:space="preserve"> [162]</w:t>
      </w:r>
      <w:r>
        <w:t xml:space="preserve"> </w:t>
      </w:r>
      <w:r w:rsidRPr="004B2498">
        <w:rPr>
          <w:lang w:eastAsia="fr-FR" w:bidi="fr-FR"/>
        </w:rPr>
        <w:t>recadrer cette présent</w:t>
      </w:r>
      <w:r w:rsidRPr="004B2498">
        <w:rPr>
          <w:lang w:eastAsia="fr-FR" w:bidi="fr-FR"/>
        </w:rPr>
        <w:t>a</w:t>
      </w:r>
      <w:r w:rsidRPr="004B2498">
        <w:rPr>
          <w:lang w:eastAsia="fr-FR" w:bidi="fr-FR"/>
        </w:rPr>
        <w:t>tion pour expliquer que son organisation agit dans des quartiers so</w:t>
      </w:r>
      <w:r w:rsidRPr="004B2498">
        <w:rPr>
          <w:lang w:eastAsia="fr-FR" w:bidi="fr-FR"/>
        </w:rPr>
        <w:t>u</w:t>
      </w:r>
      <w:r w:rsidRPr="004B2498">
        <w:rPr>
          <w:lang w:eastAsia="fr-FR" w:bidi="fr-FR"/>
        </w:rPr>
        <w:t>mis à la précarité, où les habitants sont à l’origine des projets d’accès à l’eau potable, à l’électricité ou encore de l’organisation de la colle</w:t>
      </w:r>
      <w:r w:rsidRPr="004B2498">
        <w:rPr>
          <w:lang w:eastAsia="fr-FR" w:bidi="fr-FR"/>
        </w:rPr>
        <w:t>c</w:t>
      </w:r>
      <w:r w:rsidRPr="004B2498">
        <w:rPr>
          <w:lang w:eastAsia="fr-FR" w:bidi="fr-FR"/>
        </w:rPr>
        <w:t>te des déchets ménagers.</w:t>
      </w:r>
    </w:p>
    <w:p w14:paraId="1B4DE7C7" w14:textId="77777777" w:rsidR="002F4063" w:rsidRPr="004B2498" w:rsidRDefault="002F4063" w:rsidP="002F4063">
      <w:pPr>
        <w:spacing w:before="120" w:after="120"/>
        <w:jc w:val="both"/>
      </w:pPr>
      <w:r w:rsidRPr="004B2498">
        <w:rPr>
          <w:lang w:eastAsia="fr-FR" w:bidi="fr-FR"/>
        </w:rPr>
        <w:t>Quelqu’un dans le public s’est inquiété de la nécessité d’élaborer un « programme politique » qu’il ne faudrait pas confondre avec l'a</w:t>
      </w:r>
      <w:r w:rsidRPr="004B2498">
        <w:rPr>
          <w:lang w:eastAsia="fr-FR" w:bidi="fr-FR"/>
        </w:rPr>
        <w:t>c</w:t>
      </w:r>
      <w:r w:rsidRPr="004B2498">
        <w:rPr>
          <w:lang w:eastAsia="fr-FR" w:bidi="fr-FR"/>
        </w:rPr>
        <w:t>tion territoriale dont les outils sont différents : or reprocher aux me</w:t>
      </w:r>
      <w:r w:rsidRPr="004B2498">
        <w:rPr>
          <w:lang w:eastAsia="fr-FR" w:bidi="fr-FR"/>
        </w:rPr>
        <w:t>m</w:t>
      </w:r>
      <w:r w:rsidRPr="004B2498">
        <w:rPr>
          <w:lang w:eastAsia="fr-FR" w:bidi="fr-FR"/>
        </w:rPr>
        <w:t>bres et aux militants leur incapacité à résister à la globalisation du c</w:t>
      </w:r>
      <w:r w:rsidRPr="004B2498">
        <w:rPr>
          <w:lang w:eastAsia="fr-FR" w:bidi="fr-FR"/>
        </w:rPr>
        <w:t>a</w:t>
      </w:r>
      <w:r w:rsidRPr="004B2498">
        <w:rPr>
          <w:lang w:eastAsia="fr-FR" w:bidi="fr-FR"/>
        </w:rPr>
        <w:t>pitalisme, ou les réduire à la seule condition d’assistés de la politique sociale risque de négliger les capacités de négociation acquises et d</w:t>
      </w:r>
      <w:r w:rsidRPr="004B2498">
        <w:rPr>
          <w:lang w:eastAsia="fr-FR" w:bidi="fr-FR"/>
        </w:rPr>
        <w:t>é</w:t>
      </w:r>
      <w:r w:rsidRPr="004B2498">
        <w:rPr>
          <w:lang w:eastAsia="fr-FR" w:bidi="fr-FR"/>
        </w:rPr>
        <w:t>veloppées au cours de l’action, de faire oublier la relative maîtrise de la situation de la part des populations mobilisées ainsi que leur capac</w:t>
      </w:r>
      <w:r w:rsidRPr="004B2498">
        <w:rPr>
          <w:lang w:eastAsia="fr-FR" w:bidi="fr-FR"/>
        </w:rPr>
        <w:t>i</w:t>
      </w:r>
      <w:r w:rsidRPr="004B2498">
        <w:rPr>
          <w:lang w:eastAsia="fr-FR" w:bidi="fr-FR"/>
        </w:rPr>
        <w:t>té à présenter leurs actions en termes de droit.</w:t>
      </w:r>
    </w:p>
    <w:p w14:paraId="16C18E5E" w14:textId="77777777" w:rsidR="002F4063" w:rsidRPr="004B2498" w:rsidRDefault="002F4063" w:rsidP="002F4063">
      <w:pPr>
        <w:spacing w:before="120" w:after="120"/>
        <w:jc w:val="both"/>
      </w:pPr>
      <w:r w:rsidRPr="004B2498">
        <w:rPr>
          <w:lang w:eastAsia="fr-FR" w:bidi="fr-FR"/>
        </w:rPr>
        <w:t xml:space="preserve">L’écart entre ce que l’on peut demander aux </w:t>
      </w:r>
      <w:r w:rsidRPr="000D52EC">
        <w:rPr>
          <w:i/>
        </w:rPr>
        <w:t>piqueteros</w:t>
      </w:r>
      <w:r w:rsidRPr="004B2498">
        <w:rPr>
          <w:lang w:eastAsia="fr-FR" w:bidi="fr-FR"/>
        </w:rPr>
        <w:t>, héros d’une révolution nouvelle, et le reproche fait aux militants de se ca</w:t>
      </w:r>
      <w:r w:rsidRPr="004B2498">
        <w:rPr>
          <w:lang w:eastAsia="fr-FR" w:bidi="fr-FR"/>
        </w:rPr>
        <w:t>n</w:t>
      </w:r>
      <w:r w:rsidRPr="004B2498">
        <w:rPr>
          <w:lang w:eastAsia="fr-FR" w:bidi="fr-FR"/>
        </w:rPr>
        <w:t>tonner « au travail social » semble relever d’une vision fant</w:t>
      </w:r>
      <w:r w:rsidRPr="004B2498">
        <w:rPr>
          <w:lang w:eastAsia="fr-FR" w:bidi="fr-FR"/>
        </w:rPr>
        <w:t>o</w:t>
      </w:r>
      <w:r w:rsidRPr="004B2498">
        <w:rPr>
          <w:lang w:eastAsia="fr-FR" w:bidi="fr-FR"/>
        </w:rPr>
        <w:t>matique qui rejoint ces deux extrêmes </w:t>
      </w:r>
      <w:r>
        <w:rPr>
          <w:rStyle w:val="Appelnotedebasdep"/>
          <w:lang w:eastAsia="fr-FR" w:bidi="fr-FR"/>
        </w:rPr>
        <w:footnoteReference w:id="116"/>
      </w:r>
      <w:r w:rsidRPr="004B2498">
        <w:rPr>
          <w:lang w:eastAsia="fr-FR" w:bidi="fr-FR"/>
        </w:rPr>
        <w:t>. Dans cette vision, puisqu’ils ne r</w:t>
      </w:r>
      <w:r w:rsidRPr="004B2498">
        <w:rPr>
          <w:lang w:eastAsia="fr-FR" w:bidi="fr-FR"/>
        </w:rPr>
        <w:t>é</w:t>
      </w:r>
      <w:r w:rsidRPr="004B2498">
        <w:rPr>
          <w:lang w:eastAsia="fr-FR" w:bidi="fr-FR"/>
        </w:rPr>
        <w:t>ussissent pas à incarner la révolution, ils demeurent en dehors du pol</w:t>
      </w:r>
      <w:r w:rsidRPr="004B2498">
        <w:rPr>
          <w:lang w:eastAsia="fr-FR" w:bidi="fr-FR"/>
        </w:rPr>
        <w:t>i</w:t>
      </w:r>
      <w:r w:rsidRPr="004B2498">
        <w:rPr>
          <w:lang w:eastAsia="fr-FR" w:bidi="fr-FR"/>
        </w:rPr>
        <w:t>tique. Pedro, l’un des membres célibataires du MTD </w:t>
      </w:r>
      <w:r>
        <w:rPr>
          <w:rStyle w:val="Appelnotedebasdep"/>
          <w:lang w:eastAsia="fr-FR" w:bidi="fr-FR"/>
        </w:rPr>
        <w:footnoteReference w:id="117"/>
      </w:r>
      <w:r w:rsidRPr="004B2498">
        <w:rPr>
          <w:lang w:eastAsia="fr-FR" w:bidi="fr-FR"/>
        </w:rPr>
        <w:t xml:space="preserve"> étudié, cons</w:t>
      </w:r>
      <w:r w:rsidRPr="004B2498">
        <w:rPr>
          <w:lang w:eastAsia="fr-FR" w:bidi="fr-FR"/>
        </w:rPr>
        <w:t>a</w:t>
      </w:r>
      <w:r w:rsidRPr="004B2498">
        <w:rPr>
          <w:lang w:eastAsia="fr-FR" w:bidi="fr-FR"/>
        </w:rPr>
        <w:t>cre son engagement à la construction d’espaces de fonctionnement pr</w:t>
      </w:r>
      <w:r w:rsidRPr="004B2498">
        <w:rPr>
          <w:lang w:eastAsia="fr-FR" w:bidi="fr-FR"/>
        </w:rPr>
        <w:t>o</w:t>
      </w:r>
      <w:r w:rsidRPr="004B2498">
        <w:rPr>
          <w:lang w:eastAsia="fr-FR" w:bidi="fr-FR"/>
        </w:rPr>
        <w:t>pres au collectif afin de pouvoir « être chez soi », objectif qui est plus difficilement atteint lorsque les activités sont réalisées dans des espaces familiaux mis à disp</w:t>
      </w:r>
      <w:r w:rsidRPr="004B2498">
        <w:rPr>
          <w:lang w:eastAsia="fr-FR" w:bidi="fr-FR"/>
        </w:rPr>
        <w:t>o</w:t>
      </w:r>
      <w:r w:rsidRPr="004B2498">
        <w:rPr>
          <w:lang w:eastAsia="fr-FR" w:bidi="fr-FR"/>
        </w:rPr>
        <w:t>sition par les membres. Cet engagement est difficilement saisissable à partir d’un regard de surplomb conce</w:t>
      </w:r>
      <w:r w:rsidRPr="004B2498">
        <w:rPr>
          <w:lang w:eastAsia="fr-FR" w:bidi="fr-FR"/>
        </w:rPr>
        <w:t>n</w:t>
      </w:r>
      <w:r w:rsidRPr="004B2498">
        <w:rPr>
          <w:lang w:eastAsia="fr-FR" w:bidi="fr-FR"/>
        </w:rPr>
        <w:t>tré sur la seule opp</w:t>
      </w:r>
      <w:r w:rsidRPr="004B2498">
        <w:rPr>
          <w:lang w:eastAsia="fr-FR" w:bidi="fr-FR"/>
        </w:rPr>
        <w:t>o</w:t>
      </w:r>
      <w:r w:rsidRPr="004B2498">
        <w:rPr>
          <w:lang w:eastAsia="fr-FR" w:bidi="fr-FR"/>
        </w:rPr>
        <w:t>sition aux « réformes néolibérales », et pourtant il apparaît co</w:t>
      </w:r>
      <w:r w:rsidRPr="004B2498">
        <w:rPr>
          <w:lang w:eastAsia="fr-FR" w:bidi="fr-FR"/>
        </w:rPr>
        <w:t>m</w:t>
      </w:r>
      <w:r w:rsidRPr="004B2498">
        <w:rPr>
          <w:lang w:eastAsia="fr-FR" w:bidi="fr-FR"/>
        </w:rPr>
        <w:t>me fondamental aux yeux des membres des collectifs. En effet, quand les activités ont lieu dans des cuisines, des salles à ma</w:t>
      </w:r>
      <w:r w:rsidRPr="004B2498">
        <w:rPr>
          <w:lang w:eastAsia="fr-FR" w:bidi="fr-FR"/>
        </w:rPr>
        <w:t>n</w:t>
      </w:r>
      <w:r w:rsidRPr="004B2498">
        <w:rPr>
          <w:lang w:eastAsia="fr-FR" w:bidi="fr-FR"/>
        </w:rPr>
        <w:t>ger ou des jardins particuliers, si certains membres ne se sentent pas gênés, ce n’est pas le sentiment de tous les autres et, comme P</w:t>
      </w:r>
      <w:r w:rsidRPr="004B2498">
        <w:rPr>
          <w:lang w:eastAsia="fr-FR" w:bidi="fr-FR"/>
        </w:rPr>
        <w:t>e</w:t>
      </w:r>
      <w:r w:rsidRPr="004B2498">
        <w:rPr>
          <w:lang w:eastAsia="fr-FR" w:bidi="fr-FR"/>
        </w:rPr>
        <w:t>dro, beaucoup s’investissent dans la création d’un « lieu pour le MTD », appartenant au collectif, pour pouvoir se sentir « chez soi ». Ces d</w:t>
      </w:r>
      <w:r w:rsidRPr="004B2498">
        <w:rPr>
          <w:lang w:eastAsia="fr-FR" w:bidi="fr-FR"/>
        </w:rPr>
        <w:t>i</w:t>
      </w:r>
      <w:r w:rsidRPr="004B2498">
        <w:rPr>
          <w:lang w:eastAsia="fr-FR" w:bidi="fr-FR"/>
        </w:rPr>
        <w:t>mensions de l’engagement sont souvent délaissées comme non polit</w:t>
      </w:r>
      <w:r w:rsidRPr="004B2498">
        <w:rPr>
          <w:lang w:eastAsia="fr-FR" w:bidi="fr-FR"/>
        </w:rPr>
        <w:t>i</w:t>
      </w:r>
      <w:r w:rsidRPr="004B2498">
        <w:rPr>
          <w:lang w:eastAsia="fr-FR" w:bidi="fr-FR"/>
        </w:rPr>
        <w:t>ques par des études qui adoptent une division entre domaine privé et public où le premier, relevant du seul « travail social », n’est pas art</w:t>
      </w:r>
      <w:r w:rsidRPr="004B2498">
        <w:rPr>
          <w:lang w:eastAsia="fr-FR" w:bidi="fr-FR"/>
        </w:rPr>
        <w:t>i</w:t>
      </w:r>
      <w:r w:rsidRPr="004B2498">
        <w:rPr>
          <w:lang w:eastAsia="fr-FR" w:bidi="fr-FR"/>
        </w:rPr>
        <w:t>culé au second.</w:t>
      </w:r>
    </w:p>
    <w:p w14:paraId="1A7F7428" w14:textId="77777777" w:rsidR="002F4063" w:rsidRPr="004B2498" w:rsidRDefault="002F4063" w:rsidP="002F4063">
      <w:pPr>
        <w:spacing w:before="120" w:after="120"/>
        <w:jc w:val="both"/>
      </w:pPr>
      <w:r w:rsidRPr="004B2498">
        <w:t>[163]</w:t>
      </w:r>
    </w:p>
    <w:p w14:paraId="2697EB5D" w14:textId="77777777" w:rsidR="002F4063" w:rsidRPr="004B2498" w:rsidRDefault="002F4063" w:rsidP="002F4063">
      <w:pPr>
        <w:spacing w:before="120" w:after="120"/>
        <w:jc w:val="both"/>
      </w:pPr>
      <w:r w:rsidRPr="004B2498">
        <w:rPr>
          <w:lang w:eastAsia="fr-FR" w:bidi="fr-FR"/>
        </w:rPr>
        <w:t>Orientées par la réalisation d’une cartographie politique, les études sont circonscrites aux positionnements des dirigeants et reportent à jamais l’expérience des membres. Afin de procéder à des distinctions plus précises nous rendrons compte de plusieurs formes d’appartenance à l’intérieur d’un groupe de membres des organis</w:t>
      </w:r>
      <w:r w:rsidRPr="004B2498">
        <w:rPr>
          <w:lang w:eastAsia="fr-FR" w:bidi="fr-FR"/>
        </w:rPr>
        <w:t>a</w:t>
      </w:r>
      <w:r w:rsidRPr="004B2498">
        <w:rPr>
          <w:lang w:eastAsia="fr-FR" w:bidi="fr-FR"/>
        </w:rPr>
        <w:t xml:space="preserve">tions de </w:t>
      </w:r>
      <w:r w:rsidRPr="000D52EC">
        <w:rPr>
          <w:i/>
        </w:rPr>
        <w:t>desocupados</w:t>
      </w:r>
      <w:r w:rsidRPr="004B2498">
        <w:rPr>
          <w:lang w:eastAsia="fr-FR" w:bidi="fr-FR"/>
        </w:rPr>
        <w:t xml:space="preserve"> à partir d’un regard de l’action en train de se faire. Nous montrerons ainsi comment l’expérience du chômage et sa confrontation avec les choix offerts aux </w:t>
      </w:r>
      <w:r w:rsidRPr="004B2498">
        <w:t>desocup</w:t>
      </w:r>
      <w:r w:rsidRPr="004B2498">
        <w:t>a</w:t>
      </w:r>
      <w:r w:rsidRPr="004B2498">
        <w:t xml:space="preserve">dos </w:t>
      </w:r>
      <w:r w:rsidRPr="004B2498">
        <w:rPr>
          <w:lang w:eastAsia="fr-FR" w:bidi="fr-FR"/>
        </w:rPr>
        <w:t>considérés comme socialement légitimes permettent de co</w:t>
      </w:r>
      <w:r w:rsidRPr="004B2498">
        <w:rPr>
          <w:lang w:eastAsia="fr-FR" w:bidi="fr-FR"/>
        </w:rPr>
        <w:t>m</w:t>
      </w:r>
      <w:r w:rsidRPr="004B2498">
        <w:rPr>
          <w:lang w:eastAsia="fr-FR" w:bidi="fr-FR"/>
        </w:rPr>
        <w:t xml:space="preserve">prendre l’engagement progressif (mais non linéaire) dans un MTD. L’analyse des discours médiatiques permet de retracer la manière d’appréhender l’irruption des organisations de </w:t>
      </w:r>
      <w:r w:rsidRPr="000D52EC">
        <w:rPr>
          <w:i/>
        </w:rPr>
        <w:t>desocupados</w:t>
      </w:r>
      <w:r w:rsidRPr="004B2498">
        <w:rPr>
          <w:lang w:eastAsia="fr-FR" w:bidi="fr-FR"/>
        </w:rPr>
        <w:t xml:space="preserve"> dans l’espace public. E</w:t>
      </w:r>
      <w:r w:rsidRPr="004B2498">
        <w:rPr>
          <w:lang w:eastAsia="fr-FR" w:bidi="fr-FR"/>
        </w:rPr>
        <w:t>l</w:t>
      </w:r>
      <w:r w:rsidRPr="004B2498">
        <w:rPr>
          <w:lang w:eastAsia="fr-FR" w:bidi="fr-FR"/>
        </w:rPr>
        <w:t>le nous permettra de comprendre la mise à l’épreuve permanente de ces organisations ainsi que les p</w:t>
      </w:r>
      <w:r w:rsidRPr="004B2498">
        <w:rPr>
          <w:lang w:eastAsia="fr-FR" w:bidi="fr-FR"/>
        </w:rPr>
        <w:t>o</w:t>
      </w:r>
      <w:r w:rsidRPr="004B2498">
        <w:rPr>
          <w:lang w:eastAsia="fr-FR" w:bidi="fr-FR"/>
        </w:rPr>
        <w:t>sitionnements sociologiques qui, hantés par un scénario que rend illégitime toute protestation, penchent pour un récit incliné à l’héroïsation des actions collectives. Enfin, nous reviendrons sur nos propres découvertes, à partir d’une analyse de l’action située afin de comprendre l’engagement au sein des org</w:t>
      </w:r>
      <w:r w:rsidRPr="004B2498">
        <w:rPr>
          <w:lang w:eastAsia="fr-FR" w:bidi="fr-FR"/>
        </w:rPr>
        <w:t>a</w:t>
      </w:r>
      <w:r w:rsidRPr="004B2498">
        <w:rPr>
          <w:lang w:eastAsia="fr-FR" w:bidi="fr-FR"/>
        </w:rPr>
        <w:t xml:space="preserve">nisations de </w:t>
      </w:r>
      <w:r w:rsidRPr="000D52EC">
        <w:rPr>
          <w:i/>
        </w:rPr>
        <w:t>d</w:t>
      </w:r>
      <w:r w:rsidRPr="000D52EC">
        <w:rPr>
          <w:i/>
        </w:rPr>
        <w:t>e</w:t>
      </w:r>
      <w:r w:rsidRPr="000D52EC">
        <w:rPr>
          <w:i/>
        </w:rPr>
        <w:t>socupados</w:t>
      </w:r>
      <w:r w:rsidRPr="004B2498">
        <w:rPr>
          <w:lang w:eastAsia="fr-FR" w:bidi="fr-FR"/>
        </w:rPr>
        <w:t xml:space="preserve"> comme un processus de constitution d’un horizon commun en tant que référence d’orientation de l’action </w:t>
      </w:r>
      <w:r>
        <w:rPr>
          <w:rStyle w:val="Appelnotedebasdep"/>
          <w:lang w:eastAsia="fr-FR" w:bidi="fr-FR"/>
        </w:rPr>
        <w:footnoteReference w:id="118"/>
      </w:r>
      <w:r w:rsidRPr="004B2498">
        <w:rPr>
          <w:lang w:eastAsia="fr-FR" w:bidi="fr-FR"/>
        </w:rPr>
        <w:t>.</w:t>
      </w:r>
    </w:p>
    <w:p w14:paraId="2D2D178B" w14:textId="77777777" w:rsidR="002F4063" w:rsidRPr="004B2498" w:rsidRDefault="002F4063" w:rsidP="002F4063">
      <w:pPr>
        <w:spacing w:before="120" w:after="120"/>
        <w:jc w:val="both"/>
        <w:rPr>
          <w:szCs w:val="24"/>
          <w:lang w:eastAsia="fr-FR" w:bidi="fr-FR"/>
        </w:rPr>
      </w:pPr>
    </w:p>
    <w:p w14:paraId="35ECF149" w14:textId="77777777" w:rsidR="002F4063" w:rsidRPr="004B2498" w:rsidRDefault="002F4063" w:rsidP="002F4063">
      <w:pPr>
        <w:pStyle w:val="a"/>
      </w:pPr>
      <w:r>
        <w:t>Le point de vue des membres,</w:t>
      </w:r>
      <w:r>
        <w:br/>
      </w:r>
      <w:r w:rsidRPr="004B2498">
        <w:t>une transformation des perspe</w:t>
      </w:r>
      <w:r w:rsidRPr="004B2498">
        <w:t>c</w:t>
      </w:r>
      <w:r w:rsidRPr="004B2498">
        <w:t>tives</w:t>
      </w:r>
    </w:p>
    <w:p w14:paraId="5DF1436D" w14:textId="77777777" w:rsidR="002F4063" w:rsidRPr="004B2498" w:rsidRDefault="002F4063" w:rsidP="002F4063">
      <w:pPr>
        <w:spacing w:before="120" w:after="120"/>
        <w:jc w:val="both"/>
        <w:rPr>
          <w:lang w:eastAsia="fr-FR" w:bidi="fr-FR"/>
        </w:rPr>
      </w:pPr>
    </w:p>
    <w:p w14:paraId="0BB4987F" w14:textId="77777777" w:rsidR="002F4063" w:rsidRPr="004B2498" w:rsidRDefault="002F4063" w:rsidP="002F4063">
      <w:pPr>
        <w:spacing w:before="120" w:after="120"/>
        <w:jc w:val="both"/>
      </w:pPr>
      <w:r w:rsidRPr="004B2498">
        <w:rPr>
          <w:lang w:eastAsia="fr-FR" w:bidi="fr-FR"/>
        </w:rPr>
        <w:t>Les actions collectives peuvent être considérées comme des ph</w:t>
      </w:r>
      <w:r w:rsidRPr="004B2498">
        <w:rPr>
          <w:lang w:eastAsia="fr-FR" w:bidi="fr-FR"/>
        </w:rPr>
        <w:t>é</w:t>
      </w:r>
      <w:r w:rsidRPr="004B2498">
        <w:rPr>
          <w:lang w:eastAsia="fr-FR" w:bidi="fr-FR"/>
        </w:rPr>
        <w:t>nomènes qui font partie de la vie ordinaire de toute société démocrat</w:t>
      </w:r>
      <w:r w:rsidRPr="004B2498">
        <w:rPr>
          <w:lang w:eastAsia="fr-FR" w:bidi="fr-FR"/>
        </w:rPr>
        <w:t>i</w:t>
      </w:r>
      <w:r w:rsidRPr="004B2498">
        <w:rPr>
          <w:lang w:eastAsia="fr-FR" w:bidi="fr-FR"/>
        </w:rPr>
        <w:t>que. Néanmoins, certaines interprétations tendent à les considérer comme sources de chaos et de violence. Des concepts comme « acteur collectif » ou « mouvement social » invitent à dépasser une vision n</w:t>
      </w:r>
      <w:r w:rsidRPr="004B2498">
        <w:rPr>
          <w:lang w:eastAsia="fr-FR" w:bidi="fr-FR"/>
        </w:rPr>
        <w:t>é</w:t>
      </w:r>
      <w:r w:rsidRPr="004B2498">
        <w:rPr>
          <w:lang w:eastAsia="fr-FR" w:bidi="fr-FR"/>
        </w:rPr>
        <w:t>gative de la mobilisation sociale </w:t>
      </w:r>
      <w:r>
        <w:rPr>
          <w:rStyle w:val="Appelnotedebasdep"/>
          <w:lang w:eastAsia="fr-FR" w:bidi="fr-FR"/>
        </w:rPr>
        <w:footnoteReference w:id="119"/>
      </w:r>
      <w:r w:rsidRPr="004B2498">
        <w:rPr>
          <w:lang w:eastAsia="fr-FR" w:bidi="fr-FR"/>
        </w:rPr>
        <w:t xml:space="preserve"> des secteurs populaires, vision qui tendrait à nier son caractère politique, notamment lorsqu’elle est pe</w:t>
      </w:r>
      <w:r w:rsidRPr="004B2498">
        <w:rPr>
          <w:lang w:eastAsia="fr-FR" w:bidi="fr-FR"/>
        </w:rPr>
        <w:t>r</w:t>
      </w:r>
      <w:r w:rsidRPr="004B2498">
        <w:rPr>
          <w:lang w:eastAsia="fr-FR" w:bidi="fr-FR"/>
        </w:rPr>
        <w:t>çue comme irrationnelle, issue des classes dangereuses ou infrapolit</w:t>
      </w:r>
      <w:r w:rsidRPr="004B2498">
        <w:rPr>
          <w:lang w:eastAsia="fr-FR" w:bidi="fr-FR"/>
        </w:rPr>
        <w:t>i</w:t>
      </w:r>
      <w:r w:rsidRPr="004B2498">
        <w:rPr>
          <w:lang w:eastAsia="fr-FR" w:bidi="fr-FR"/>
        </w:rPr>
        <w:t>ques </w:t>
      </w:r>
      <w:r>
        <w:rPr>
          <w:rStyle w:val="Appelnotedebasdep"/>
          <w:lang w:eastAsia="fr-FR" w:bidi="fr-FR"/>
        </w:rPr>
        <w:footnoteReference w:id="120"/>
      </w:r>
      <w:r w:rsidRPr="004B2498">
        <w:rPr>
          <w:lang w:eastAsia="fr-FR" w:bidi="fr-FR"/>
        </w:rPr>
        <w:t>. Ces concepts renvoient à des phénomènes hétérogènes et portent en eux d’autres inconv</w:t>
      </w:r>
      <w:r w:rsidRPr="004B2498">
        <w:rPr>
          <w:lang w:eastAsia="fr-FR" w:bidi="fr-FR"/>
        </w:rPr>
        <w:t>é</w:t>
      </w:r>
      <w:r w:rsidRPr="004B2498">
        <w:rPr>
          <w:lang w:eastAsia="fr-FR" w:bidi="fr-FR"/>
        </w:rPr>
        <w:t>nients, notamment la tendance à l’homogénéisation et à la réification des collectifs qui semblent inca</w:t>
      </w:r>
      <w:r w:rsidRPr="004B2498">
        <w:rPr>
          <w:lang w:eastAsia="fr-FR" w:bidi="fr-FR"/>
        </w:rPr>
        <w:t>r</w:t>
      </w:r>
      <w:r w:rsidRPr="004B2498">
        <w:rPr>
          <w:lang w:eastAsia="fr-FR" w:bidi="fr-FR"/>
        </w:rPr>
        <w:t>ner un</w:t>
      </w:r>
      <w:r>
        <w:rPr>
          <w:lang w:eastAsia="fr-FR" w:bidi="fr-FR"/>
        </w:rPr>
        <w:t xml:space="preserve"> </w:t>
      </w:r>
      <w:r w:rsidRPr="004B2498">
        <w:t>[164]</w:t>
      </w:r>
      <w:r>
        <w:t xml:space="preserve"> </w:t>
      </w:r>
      <w:r w:rsidRPr="004B2498">
        <w:rPr>
          <w:lang w:eastAsia="fr-FR" w:bidi="fr-FR"/>
        </w:rPr>
        <w:t>seul objectif politique. Par ailleurs, ces termes ne pa</w:t>
      </w:r>
      <w:r w:rsidRPr="004B2498">
        <w:rPr>
          <w:lang w:eastAsia="fr-FR" w:bidi="fr-FR"/>
        </w:rPr>
        <w:t>r</w:t>
      </w:r>
      <w:r w:rsidRPr="004B2498">
        <w:rPr>
          <w:lang w:eastAsia="fr-FR" w:bidi="fr-FR"/>
        </w:rPr>
        <w:t>viennent pas complètement à surmonter le rapprochement à l’irrationalité qui e</w:t>
      </w:r>
      <w:r w:rsidRPr="004B2498">
        <w:rPr>
          <w:lang w:eastAsia="fr-FR" w:bidi="fr-FR"/>
        </w:rPr>
        <w:t>n</w:t>
      </w:r>
      <w:r w:rsidRPr="004B2498">
        <w:rPr>
          <w:lang w:eastAsia="fr-FR" w:bidi="fr-FR"/>
        </w:rPr>
        <w:t>toure certains comptes rendus. En dépit d’un consensus g</w:t>
      </w:r>
      <w:r w:rsidRPr="004B2498">
        <w:rPr>
          <w:lang w:eastAsia="fr-FR" w:bidi="fr-FR"/>
        </w:rPr>
        <w:t>é</w:t>
      </w:r>
      <w:r w:rsidRPr="004B2498">
        <w:rPr>
          <w:lang w:eastAsia="fr-FR" w:bidi="fr-FR"/>
        </w:rPr>
        <w:t>néralisé sur l’existence de liens et d’objectifs communs parmi les manifestants ainsi que des degrés différents d’organisation, ces images demeurent présentes, notamment dans les chroniques des journaux </w:t>
      </w:r>
      <w:r>
        <w:rPr>
          <w:rStyle w:val="Appelnotedebasdep"/>
          <w:lang w:eastAsia="fr-FR" w:bidi="fr-FR"/>
        </w:rPr>
        <w:footnoteReference w:id="121"/>
      </w:r>
      <w:r w:rsidRPr="004B2498">
        <w:rPr>
          <w:lang w:eastAsia="fr-FR" w:bidi="fr-FR"/>
        </w:rPr>
        <w:t>. Ces mêmes images circulent également au sein des cat</w:t>
      </w:r>
      <w:r w:rsidRPr="004B2498">
        <w:rPr>
          <w:lang w:eastAsia="fr-FR" w:bidi="fr-FR"/>
        </w:rPr>
        <w:t>é</w:t>
      </w:r>
      <w:r w:rsidRPr="004B2498">
        <w:rPr>
          <w:lang w:eastAsia="fr-FR" w:bidi="fr-FR"/>
        </w:rPr>
        <w:t>gories savantes, quand e</w:t>
      </w:r>
      <w:r w:rsidRPr="004B2498">
        <w:rPr>
          <w:lang w:eastAsia="fr-FR" w:bidi="fr-FR"/>
        </w:rPr>
        <w:t>l</w:t>
      </w:r>
      <w:r w:rsidRPr="004B2498">
        <w:rPr>
          <w:lang w:eastAsia="fr-FR" w:bidi="fr-FR"/>
        </w:rPr>
        <w:t>les pointent des effets déstabilisateurs des mobilisations sur le système politique. Elles se retrouvent ég</w:t>
      </w:r>
      <w:r w:rsidRPr="004B2498">
        <w:rPr>
          <w:lang w:eastAsia="fr-FR" w:bidi="fr-FR"/>
        </w:rPr>
        <w:t>a</w:t>
      </w:r>
      <w:r w:rsidRPr="004B2498">
        <w:rPr>
          <w:lang w:eastAsia="fr-FR" w:bidi="fr-FR"/>
        </w:rPr>
        <w:t>lement à plusieurs moments de notre enquête. C’est dire, à quel point il est n</w:t>
      </w:r>
      <w:r w:rsidRPr="004B2498">
        <w:rPr>
          <w:lang w:eastAsia="fr-FR" w:bidi="fr-FR"/>
        </w:rPr>
        <w:t>é</w:t>
      </w:r>
      <w:r w:rsidRPr="004B2498">
        <w:rPr>
          <w:lang w:eastAsia="fr-FR" w:bidi="fr-FR"/>
        </w:rPr>
        <w:t>cessaire de mettre à distance une analyse des mo</w:t>
      </w:r>
      <w:r w:rsidRPr="004B2498">
        <w:rPr>
          <w:lang w:eastAsia="fr-FR" w:bidi="fr-FR"/>
        </w:rPr>
        <w:t>u</w:t>
      </w:r>
      <w:r w:rsidRPr="004B2498">
        <w:rPr>
          <w:lang w:eastAsia="fr-FR" w:bidi="fr-FR"/>
        </w:rPr>
        <w:t xml:space="preserve">vements sociaux vus de l’extérieur. Le terme de </w:t>
      </w:r>
      <w:r w:rsidRPr="00CB5F62">
        <w:rPr>
          <w:i/>
        </w:rPr>
        <w:t>piquetero</w:t>
      </w:r>
      <w:r w:rsidRPr="004B2498">
        <w:rPr>
          <w:lang w:eastAsia="fr-FR" w:bidi="fr-FR"/>
        </w:rPr>
        <w:t xml:space="preserve"> n’échappe pas à cette règle. Comme le résume Marina, une jeune militante du MTD à Berazat</w:t>
      </w:r>
      <w:r w:rsidRPr="004B2498">
        <w:rPr>
          <w:lang w:eastAsia="fr-FR" w:bidi="fr-FR"/>
        </w:rPr>
        <w:t>e</w:t>
      </w:r>
      <w:r w:rsidRPr="004B2498">
        <w:rPr>
          <w:lang w:eastAsia="fr-FR" w:bidi="fr-FR"/>
        </w:rPr>
        <w:t>gui </w:t>
      </w:r>
      <w:r>
        <w:rPr>
          <w:rStyle w:val="Appelnotedebasdep"/>
          <w:lang w:eastAsia="fr-FR" w:bidi="fr-FR"/>
        </w:rPr>
        <w:footnoteReference w:id="122"/>
      </w:r>
      <w:r w:rsidRPr="004B2498">
        <w:rPr>
          <w:lang w:eastAsia="fr-FR" w:bidi="fr-FR"/>
        </w:rPr>
        <w:t>, le regard extérieur, identifié comme celui des médias de co</w:t>
      </w:r>
      <w:r w:rsidRPr="004B2498">
        <w:rPr>
          <w:lang w:eastAsia="fr-FR" w:bidi="fr-FR"/>
        </w:rPr>
        <w:t>m</w:t>
      </w:r>
      <w:r w:rsidRPr="004B2498">
        <w:rPr>
          <w:lang w:eastAsia="fr-FR" w:bidi="fr-FR"/>
        </w:rPr>
        <w:t>munication, ne laisse pas place aux raisons d’agir :</w:t>
      </w:r>
    </w:p>
    <w:p w14:paraId="2A4B0932" w14:textId="77777777" w:rsidR="002F4063" w:rsidRDefault="002F4063" w:rsidP="002F4063">
      <w:pPr>
        <w:pStyle w:val="Grillecouleur-Accent1"/>
        <w:rPr>
          <w:lang w:eastAsia="fr-FR" w:bidi="fr-FR"/>
        </w:rPr>
      </w:pPr>
    </w:p>
    <w:p w14:paraId="1BAC7A77" w14:textId="77777777" w:rsidR="002F4063" w:rsidRDefault="002F4063" w:rsidP="002F4063">
      <w:pPr>
        <w:pStyle w:val="Grillecouleur-Accent1"/>
        <w:rPr>
          <w:lang w:eastAsia="fr-FR" w:bidi="fr-FR"/>
        </w:rPr>
      </w:pPr>
      <w:r w:rsidRPr="004B2498">
        <w:rPr>
          <w:lang w:eastAsia="fr-FR" w:bidi="fr-FR"/>
        </w:rPr>
        <w:t>« Disons qu’au début, je voyais les blocages et tout ça d’un ma</w:t>
      </w:r>
      <w:r w:rsidRPr="004B2498">
        <w:rPr>
          <w:lang w:eastAsia="fr-FR" w:bidi="fr-FR"/>
        </w:rPr>
        <w:t>u</w:t>
      </w:r>
      <w:r w:rsidRPr="004B2498">
        <w:rPr>
          <w:lang w:eastAsia="fr-FR" w:bidi="fr-FR"/>
        </w:rPr>
        <w:t>vais œil parce que mon mari avait un bon travail [...] Quand je les voyais du « dehors » pour moi c’était de la folie, cela n’avait pas ra</w:t>
      </w:r>
      <w:r w:rsidRPr="004B2498">
        <w:rPr>
          <w:lang w:eastAsia="fr-FR" w:bidi="fr-FR"/>
        </w:rPr>
        <w:t>i</w:t>
      </w:r>
      <w:r w:rsidRPr="004B2498">
        <w:rPr>
          <w:lang w:eastAsia="fr-FR" w:bidi="fr-FR"/>
        </w:rPr>
        <w:t>son d’être, on les ignorait. Les voir du « dedans » change : parce que l’on sort lutter pour soi-même, pour ce que l’on veut, pour sa famille, pour avoir quelque ch</w:t>
      </w:r>
      <w:r w:rsidRPr="004B2498">
        <w:rPr>
          <w:lang w:eastAsia="fr-FR" w:bidi="fr-FR"/>
        </w:rPr>
        <w:t>o</w:t>
      </w:r>
      <w:r w:rsidRPr="004B2498">
        <w:rPr>
          <w:lang w:eastAsia="fr-FR" w:bidi="fr-FR"/>
        </w:rPr>
        <w:t xml:space="preserve">se. Voir de l’intérieur et voir de l’extérieur c’est différent. [...] Maintenant les mêmes gens qui te voient à la télé et disent « ceci et cela », t’approchent et te demandent : « Je peux être avec vous ? » Ils te disent « je veux être </w:t>
      </w:r>
      <w:r w:rsidRPr="004B2498">
        <w:t>piquetero ». Piquetero</w:t>
      </w:r>
      <w:r w:rsidRPr="004B2498">
        <w:rPr>
          <w:lang w:eastAsia="fr-FR" w:bidi="fr-FR"/>
        </w:rPr>
        <w:t xml:space="preserve"> c’est un nom que nous a donné le gouvernement, mais nous sommes des personnes comme tout le mo</w:t>
      </w:r>
      <w:r w:rsidRPr="004B2498">
        <w:rPr>
          <w:lang w:eastAsia="fr-FR" w:bidi="fr-FR"/>
        </w:rPr>
        <w:t>n</w:t>
      </w:r>
      <w:r w:rsidRPr="004B2498">
        <w:rPr>
          <w:lang w:eastAsia="fr-FR" w:bidi="fr-FR"/>
        </w:rPr>
        <w:t>de, ordinaires, qui sortons réclamer ce qui nous appartient. Il y a des gens qui s’approchent et te posent cette question. Tu leur e</w:t>
      </w:r>
      <w:r w:rsidRPr="004B2498">
        <w:rPr>
          <w:lang w:eastAsia="fr-FR" w:bidi="fr-FR"/>
        </w:rPr>
        <w:t>x</w:t>
      </w:r>
      <w:r w:rsidRPr="004B2498">
        <w:rPr>
          <w:lang w:eastAsia="fr-FR" w:bidi="fr-FR"/>
        </w:rPr>
        <w:t>pliques, tu leur dis et après on les voit à nos côtés dans les man</w:t>
      </w:r>
      <w:r w:rsidRPr="004B2498">
        <w:rPr>
          <w:lang w:eastAsia="fr-FR" w:bidi="fr-FR"/>
        </w:rPr>
        <w:t>i</w:t>
      </w:r>
      <w:r w:rsidRPr="004B2498">
        <w:rPr>
          <w:lang w:eastAsia="fr-FR" w:bidi="fr-FR"/>
        </w:rPr>
        <w:t>festations </w:t>
      </w:r>
      <w:r>
        <w:rPr>
          <w:rStyle w:val="Appelnotedebasdep"/>
          <w:lang w:eastAsia="fr-FR" w:bidi="fr-FR"/>
        </w:rPr>
        <w:footnoteReference w:id="123"/>
      </w:r>
      <w:r w:rsidRPr="004B2498">
        <w:rPr>
          <w:lang w:eastAsia="fr-FR" w:bidi="fr-FR"/>
        </w:rPr>
        <w:t> »</w:t>
      </w:r>
    </w:p>
    <w:p w14:paraId="42E2DCA8" w14:textId="77777777" w:rsidR="002F4063" w:rsidRPr="004B2498" w:rsidRDefault="002F4063" w:rsidP="002F4063">
      <w:pPr>
        <w:pStyle w:val="Grillecouleur-Accent1"/>
        <w:rPr>
          <w:lang w:eastAsia="fr-FR" w:bidi="fr-FR"/>
        </w:rPr>
      </w:pPr>
    </w:p>
    <w:p w14:paraId="1437E011" w14:textId="77777777" w:rsidR="002F4063" w:rsidRPr="004B2498" w:rsidRDefault="002F4063" w:rsidP="002F4063">
      <w:pPr>
        <w:spacing w:before="120" w:after="120"/>
        <w:jc w:val="both"/>
      </w:pPr>
      <w:r w:rsidRPr="004B2498">
        <w:t>[165]</w:t>
      </w:r>
    </w:p>
    <w:p w14:paraId="3E9BA725" w14:textId="77777777" w:rsidR="002F4063" w:rsidRPr="004B2498" w:rsidRDefault="002F4063" w:rsidP="002F4063">
      <w:pPr>
        <w:spacing w:before="120" w:after="120"/>
        <w:jc w:val="both"/>
      </w:pPr>
      <w:r w:rsidRPr="004B2498">
        <w:rPr>
          <w:lang w:eastAsia="fr-FR" w:bidi="fr-FR"/>
        </w:rPr>
        <w:t>Ces propos, recueillis dans le cadre d’un entretien, peuvent, au premier abord, nous faire songer à une justification plus ou moins or</w:t>
      </w:r>
      <w:r w:rsidRPr="004B2498">
        <w:rPr>
          <w:lang w:eastAsia="fr-FR" w:bidi="fr-FR"/>
        </w:rPr>
        <w:t>i</w:t>
      </w:r>
      <w:r w:rsidRPr="004B2498">
        <w:rPr>
          <w:lang w:eastAsia="fr-FR" w:bidi="fr-FR"/>
        </w:rPr>
        <w:t>ginale de l’activité politique développée au sein du mouvement. Ce que Marina nous apprend de son expérience en tant que me</w:t>
      </w:r>
      <w:r w:rsidRPr="004B2498">
        <w:rPr>
          <w:lang w:eastAsia="fr-FR" w:bidi="fr-FR"/>
        </w:rPr>
        <w:t>m</w:t>
      </w:r>
      <w:r w:rsidRPr="004B2498">
        <w:rPr>
          <w:lang w:eastAsia="fr-FR" w:bidi="fr-FR"/>
        </w:rPr>
        <w:t>bre et militante formée à l’intérieur de l’organisation des travai</w:t>
      </w:r>
      <w:r w:rsidRPr="004B2498">
        <w:rPr>
          <w:lang w:eastAsia="fr-FR" w:bidi="fr-FR"/>
        </w:rPr>
        <w:t>l</w:t>
      </w:r>
      <w:r w:rsidRPr="004B2498">
        <w:rPr>
          <w:lang w:eastAsia="fr-FR" w:bidi="fr-FR"/>
        </w:rPr>
        <w:t>leurs sans emploi (elle n’a aucune expérience militante précéde</w:t>
      </w:r>
      <w:r w:rsidRPr="004B2498">
        <w:rPr>
          <w:lang w:eastAsia="fr-FR" w:bidi="fr-FR"/>
        </w:rPr>
        <w:t>n</w:t>
      </w:r>
      <w:r w:rsidRPr="004B2498">
        <w:rPr>
          <w:lang w:eastAsia="fr-FR" w:bidi="fr-FR"/>
        </w:rPr>
        <w:t>te, ni sociale, ni politique) retient notre intérêt à plusieurs égards. Au départ, son att</w:t>
      </w:r>
      <w:r w:rsidRPr="004B2498">
        <w:rPr>
          <w:lang w:eastAsia="fr-FR" w:bidi="fr-FR"/>
        </w:rPr>
        <w:t>i</w:t>
      </w:r>
      <w:r w:rsidRPr="004B2498">
        <w:rPr>
          <w:lang w:eastAsia="fr-FR" w:bidi="fr-FR"/>
        </w:rPr>
        <w:t xml:space="preserve">tude vis-à-vis du mouvement de </w:t>
      </w:r>
      <w:r w:rsidRPr="00CB5F62">
        <w:rPr>
          <w:i/>
        </w:rPr>
        <w:t>desocupados</w:t>
      </w:r>
      <w:r w:rsidRPr="004B2498">
        <w:rPr>
          <w:lang w:eastAsia="fr-FR" w:bidi="fr-FR"/>
        </w:rPr>
        <w:t xml:space="preserve"> est de le considérer comme relevant de la folie, au-delà de la ra</w:t>
      </w:r>
      <w:r w:rsidRPr="004B2498">
        <w:rPr>
          <w:lang w:eastAsia="fr-FR" w:bidi="fr-FR"/>
        </w:rPr>
        <w:t>i</w:t>
      </w:r>
      <w:r w:rsidRPr="004B2498">
        <w:rPr>
          <w:lang w:eastAsia="fr-FR" w:bidi="fr-FR"/>
        </w:rPr>
        <w:t>son. Puis son discours prend des inflexions qui nous invitent à le comprendre comme une forme d’argumentation permettant non seulement de justifier l’action des MTD, mais aussi de mettre en avant son expérience personnelle et ce qu’elle a impliqué sur sa propre perception des choses, sa transfo</w:t>
      </w:r>
      <w:r w:rsidRPr="004B2498">
        <w:rPr>
          <w:lang w:eastAsia="fr-FR" w:bidi="fr-FR"/>
        </w:rPr>
        <w:t>r</w:t>
      </w:r>
      <w:r w:rsidRPr="004B2498">
        <w:rPr>
          <w:lang w:eastAsia="fr-FR" w:bidi="fr-FR"/>
        </w:rPr>
        <w:t>mation, tout en se ra</w:t>
      </w:r>
      <w:r w:rsidRPr="004B2498">
        <w:rPr>
          <w:lang w:eastAsia="fr-FR" w:bidi="fr-FR"/>
        </w:rPr>
        <w:t>n</w:t>
      </w:r>
      <w:r w:rsidRPr="004B2498">
        <w:rPr>
          <w:lang w:eastAsia="fr-FR" w:bidi="fr-FR"/>
        </w:rPr>
        <w:t>geant parmi les gens ordinaires.</w:t>
      </w:r>
    </w:p>
    <w:p w14:paraId="74680E68" w14:textId="77777777" w:rsidR="002F4063" w:rsidRPr="004B2498" w:rsidRDefault="002F4063" w:rsidP="002F4063">
      <w:pPr>
        <w:spacing w:before="120" w:after="120"/>
        <w:jc w:val="both"/>
      </w:pPr>
      <w:r w:rsidRPr="004B2498">
        <w:rPr>
          <w:lang w:eastAsia="fr-FR" w:bidi="fr-FR"/>
        </w:rPr>
        <w:t>Marina décrit avec, une certaine imprécision, ce qui accomp</w:t>
      </w:r>
      <w:r w:rsidRPr="004B2498">
        <w:rPr>
          <w:lang w:eastAsia="fr-FR" w:bidi="fr-FR"/>
        </w:rPr>
        <w:t>a</w:t>
      </w:r>
      <w:r w:rsidRPr="004B2498">
        <w:rPr>
          <w:lang w:eastAsia="fr-FR" w:bidi="fr-FR"/>
        </w:rPr>
        <w:t>gne la description du point de vue externe, « les blocages et tout cela ». Cette approche est également la grille de lecture des médias qui prend en compte les blocages et non pas les objectifs des « gens ordinaires ». Cette grille s’oppose à l’énumération réitér</w:t>
      </w:r>
      <w:r w:rsidRPr="004B2498">
        <w:rPr>
          <w:lang w:eastAsia="fr-FR" w:bidi="fr-FR"/>
        </w:rPr>
        <w:t>a</w:t>
      </w:r>
      <w:r w:rsidRPr="004B2498">
        <w:rPr>
          <w:lang w:eastAsia="fr-FR" w:bidi="fr-FR"/>
        </w:rPr>
        <w:t>tive des motifs du « vu de l’intérieur » qui permet de concevoir la recherche de travail (deme</w:t>
      </w:r>
      <w:r w:rsidRPr="004B2498">
        <w:rPr>
          <w:lang w:eastAsia="fr-FR" w:bidi="fr-FR"/>
        </w:rPr>
        <w:t>u</w:t>
      </w:r>
      <w:r w:rsidRPr="004B2498">
        <w:rPr>
          <w:lang w:eastAsia="fr-FR" w:bidi="fr-FR"/>
        </w:rPr>
        <w:t>rons, ici, sur cette formulation des acteurs) comme celle d’un bien qui appartient aux personnes qui en sont privées. En particulier, l’expérience du chômage et la pa</w:t>
      </w:r>
      <w:r w:rsidRPr="004B2498">
        <w:rPr>
          <w:lang w:eastAsia="fr-FR" w:bidi="fr-FR"/>
        </w:rPr>
        <w:t>r</w:t>
      </w:r>
      <w:r w:rsidRPr="004B2498">
        <w:rPr>
          <w:lang w:eastAsia="fr-FR" w:bidi="fr-FR"/>
        </w:rPr>
        <w:t>ticipation à l’organisation des sans-emploi s’unissent sous la ba</w:t>
      </w:r>
      <w:r w:rsidRPr="004B2498">
        <w:rPr>
          <w:lang w:eastAsia="fr-FR" w:bidi="fr-FR"/>
        </w:rPr>
        <w:t>n</w:t>
      </w:r>
      <w:r w:rsidRPr="004B2498">
        <w:rPr>
          <w:lang w:eastAsia="fr-FR" w:bidi="fr-FR"/>
        </w:rPr>
        <w:t>nière d’un seul prédicat comme s’il s’agissait d’une disposition naturelle, alors qu’avant de faire partie du MTD, elle était opp</w:t>
      </w:r>
      <w:r w:rsidRPr="004B2498">
        <w:rPr>
          <w:lang w:eastAsia="fr-FR" w:bidi="fr-FR"/>
        </w:rPr>
        <w:t>o</w:t>
      </w:r>
      <w:r w:rsidRPr="004B2498">
        <w:rPr>
          <w:lang w:eastAsia="fr-FR" w:bidi="fr-FR"/>
        </w:rPr>
        <w:t>sée aux manifestations. Ce basculement de point de vue est presque absent chez des dirigeants et militants plus expér</w:t>
      </w:r>
      <w:r w:rsidRPr="004B2498">
        <w:rPr>
          <w:lang w:eastAsia="fr-FR" w:bidi="fr-FR"/>
        </w:rPr>
        <w:t>i</w:t>
      </w:r>
      <w:r w:rsidRPr="004B2498">
        <w:rPr>
          <w:lang w:eastAsia="fr-FR" w:bidi="fr-FR"/>
        </w:rPr>
        <w:t>mentés, souvent les seuls interrogés dans les enquêtes sociologiques.</w:t>
      </w:r>
    </w:p>
    <w:p w14:paraId="56FD8F0F" w14:textId="77777777" w:rsidR="002F4063" w:rsidRPr="004B2498" w:rsidRDefault="002F4063" w:rsidP="002F4063">
      <w:pPr>
        <w:spacing w:before="120" w:after="120"/>
        <w:jc w:val="both"/>
      </w:pPr>
      <w:r w:rsidRPr="004B2498">
        <w:rPr>
          <w:lang w:eastAsia="fr-FR" w:bidi="fr-FR"/>
        </w:rPr>
        <w:t>C’est par exemple l’approche adoptée par Rauber (2002) qui, se basant sur des entretiens avec des dirigeants, retrace le début de ce</w:t>
      </w:r>
      <w:r w:rsidRPr="004B2498">
        <w:rPr>
          <w:lang w:eastAsia="fr-FR" w:bidi="fr-FR"/>
        </w:rPr>
        <w:t>r</w:t>
      </w:r>
      <w:r w:rsidRPr="004B2498">
        <w:rPr>
          <w:lang w:eastAsia="fr-FR" w:bidi="fr-FR"/>
        </w:rPr>
        <w:t xml:space="preserve">taines organisations </w:t>
      </w:r>
      <w:r w:rsidRPr="004B2498">
        <w:t>piqueteras.</w:t>
      </w:r>
      <w:r w:rsidRPr="004B2498">
        <w:rPr>
          <w:lang w:eastAsia="fr-FR" w:bidi="fr-FR"/>
        </w:rPr>
        <w:t xml:space="preserve"> Dans « </w:t>
      </w:r>
      <w:r w:rsidRPr="000D52EC">
        <w:rPr>
          <w:i/>
        </w:rPr>
        <w:t>Piquetes y piqueteros en la Argentina de la crisis</w:t>
      </w:r>
      <w:r w:rsidRPr="000D52EC">
        <w:rPr>
          <w:i/>
          <w:lang w:eastAsia="fr-FR" w:bidi="fr-FR"/>
        </w:rPr>
        <w:t> </w:t>
      </w:r>
      <w:r w:rsidRPr="004B2498">
        <w:rPr>
          <w:lang w:eastAsia="fr-FR" w:bidi="fr-FR"/>
        </w:rPr>
        <w:t xml:space="preserve">», cet auteur considère qu’à partir des blocages de routes se construit une identité </w:t>
      </w:r>
      <w:r w:rsidRPr="000D52EC">
        <w:rPr>
          <w:i/>
        </w:rPr>
        <w:t>piquetera</w:t>
      </w:r>
      <w:r w:rsidRPr="004B2498">
        <w:rPr>
          <w:lang w:eastAsia="fr-FR" w:bidi="fr-FR"/>
        </w:rPr>
        <w:t xml:space="preserve">, en mesure d’effacer les différences entre travailleurs occupés et travailleurs au chômage : « il n’y a plus de chômeurs ni de travailleurs mais des </w:t>
      </w:r>
      <w:r w:rsidRPr="000D52EC">
        <w:rPr>
          <w:i/>
        </w:rPr>
        <w:t>piqueteros</w:t>
      </w:r>
      <w:r w:rsidRPr="004B2498">
        <w:rPr>
          <w:lang w:eastAsia="fr-FR" w:bidi="fr-FR"/>
        </w:rPr>
        <w:t xml:space="preserve"> qui me</w:t>
      </w:r>
      <w:r w:rsidRPr="004B2498">
        <w:rPr>
          <w:lang w:eastAsia="fr-FR" w:bidi="fr-FR"/>
        </w:rPr>
        <w:t>t</w:t>
      </w:r>
      <w:r w:rsidRPr="004B2498">
        <w:rPr>
          <w:lang w:eastAsia="fr-FR" w:bidi="fr-FR"/>
        </w:rPr>
        <w:t>tent en évidence combien la réalité des uns est directement propo</w:t>
      </w:r>
      <w:r w:rsidRPr="004B2498">
        <w:rPr>
          <w:lang w:eastAsia="fr-FR" w:bidi="fr-FR"/>
        </w:rPr>
        <w:t>r</w:t>
      </w:r>
      <w:r w:rsidRPr="004B2498">
        <w:rPr>
          <w:lang w:eastAsia="fr-FR" w:bidi="fr-FR"/>
        </w:rPr>
        <w:t>tionnelle à celle des autres</w:t>
      </w:r>
      <w:r>
        <w:rPr>
          <w:lang w:eastAsia="fr-FR" w:bidi="fr-FR"/>
        </w:rPr>
        <w:t> </w:t>
      </w:r>
      <w:r>
        <w:rPr>
          <w:rStyle w:val="Appelnotedebasdep"/>
          <w:lang w:eastAsia="fr-FR" w:bidi="fr-FR"/>
        </w:rPr>
        <w:footnoteReference w:id="124"/>
      </w:r>
      <w:r w:rsidRPr="004B2498">
        <w:rPr>
          <w:lang w:eastAsia="fr-FR" w:bidi="fr-FR"/>
        </w:rPr>
        <w:t>. » Certes les secteurs salariés en gén</w:t>
      </w:r>
      <w:r w:rsidRPr="004B2498">
        <w:rPr>
          <w:lang w:eastAsia="fr-FR" w:bidi="fr-FR"/>
        </w:rPr>
        <w:t>é</w:t>
      </w:r>
      <w:r w:rsidRPr="004B2498">
        <w:rPr>
          <w:lang w:eastAsia="fr-FR" w:bidi="fr-FR"/>
        </w:rPr>
        <w:t>ral, et en particulier certains syndicats, participent</w:t>
      </w:r>
      <w:r>
        <w:t xml:space="preserve"> </w:t>
      </w:r>
      <w:r w:rsidRPr="004B2498">
        <w:t>[166]</w:t>
      </w:r>
      <w:r>
        <w:t xml:space="preserve"> </w:t>
      </w:r>
      <w:r w:rsidRPr="004B2498">
        <w:rPr>
          <w:lang w:eastAsia="fr-FR" w:bidi="fr-FR"/>
        </w:rPr>
        <w:t xml:space="preserve">aux </w:t>
      </w:r>
      <w:r w:rsidRPr="004B2498">
        <w:t>piquetes.</w:t>
      </w:r>
      <w:r w:rsidRPr="004B2498">
        <w:rPr>
          <w:lang w:eastAsia="fr-FR" w:bidi="fr-FR"/>
        </w:rPr>
        <w:t xml:space="preserve"> Si cette solidarité existe, il semble nécessaire de la situer historiqu</w:t>
      </w:r>
      <w:r w:rsidRPr="004B2498">
        <w:rPr>
          <w:lang w:eastAsia="fr-FR" w:bidi="fr-FR"/>
        </w:rPr>
        <w:t>e</w:t>
      </w:r>
      <w:r w:rsidRPr="004B2498">
        <w:rPr>
          <w:lang w:eastAsia="fr-FR" w:bidi="fr-FR"/>
        </w:rPr>
        <w:t>ment afin d’éviter un glissement vers un récit romant</w:t>
      </w:r>
      <w:r w:rsidRPr="004B2498">
        <w:rPr>
          <w:lang w:eastAsia="fr-FR" w:bidi="fr-FR"/>
        </w:rPr>
        <w:t>i</w:t>
      </w:r>
      <w:r w:rsidRPr="004B2498">
        <w:rPr>
          <w:lang w:eastAsia="fr-FR" w:bidi="fr-FR"/>
        </w:rPr>
        <w:t>que incapable de nous informer sur les conditions précises de ces a</w:t>
      </w:r>
      <w:r w:rsidRPr="004B2498">
        <w:rPr>
          <w:lang w:eastAsia="fr-FR" w:bidi="fr-FR"/>
        </w:rPr>
        <w:t>l</w:t>
      </w:r>
      <w:r w:rsidRPr="004B2498">
        <w:rPr>
          <w:lang w:eastAsia="fr-FR" w:bidi="fr-FR"/>
        </w:rPr>
        <w:t>liances qui ne sont pas reconduites indéfiniment. De même, ces stratégies ne sont pas to</w:t>
      </w:r>
      <w:r w:rsidRPr="004B2498">
        <w:rPr>
          <w:lang w:eastAsia="fr-FR" w:bidi="fr-FR"/>
        </w:rPr>
        <w:t>u</w:t>
      </w:r>
      <w:r w:rsidRPr="004B2498">
        <w:rPr>
          <w:lang w:eastAsia="fr-FR" w:bidi="fr-FR"/>
        </w:rPr>
        <w:t xml:space="preserve">jours accompagnées de l’adhésion des membres qui demeurent confrontés aux attentes de l’espace local. Comme le signale Marina, les </w:t>
      </w:r>
      <w:r w:rsidRPr="004B2498">
        <w:t>vecinos </w:t>
      </w:r>
      <w:r>
        <w:rPr>
          <w:rStyle w:val="Appelnotedebasdep"/>
        </w:rPr>
        <w:footnoteReference w:id="125"/>
      </w:r>
      <w:r w:rsidRPr="004B2498">
        <w:rPr>
          <w:lang w:eastAsia="fr-FR" w:bidi="fr-FR"/>
        </w:rPr>
        <w:t xml:space="preserve"> disent « ceci et cela » et la particip</w:t>
      </w:r>
      <w:r w:rsidRPr="004B2498">
        <w:rPr>
          <w:lang w:eastAsia="fr-FR" w:bidi="fr-FR"/>
        </w:rPr>
        <w:t>a</w:t>
      </w:r>
      <w:r w:rsidRPr="004B2498">
        <w:rPr>
          <w:lang w:eastAsia="fr-FR" w:bidi="fr-FR"/>
        </w:rPr>
        <w:t>tion à ces collectifs demeure suspecte d’être « de la folie » même si certains proches pe</w:t>
      </w:r>
      <w:r w:rsidRPr="004B2498">
        <w:rPr>
          <w:lang w:eastAsia="fr-FR" w:bidi="fr-FR"/>
        </w:rPr>
        <w:t>u</w:t>
      </w:r>
      <w:r w:rsidRPr="004B2498">
        <w:rPr>
          <w:lang w:eastAsia="fr-FR" w:bidi="fr-FR"/>
        </w:rPr>
        <w:t>vent ensuite s’intéressera ce qui se passe au sein du MTD et s’y joi</w:t>
      </w:r>
      <w:r w:rsidRPr="004B2498">
        <w:rPr>
          <w:lang w:eastAsia="fr-FR" w:bidi="fr-FR"/>
        </w:rPr>
        <w:t>n</w:t>
      </w:r>
      <w:r w:rsidRPr="004B2498">
        <w:rPr>
          <w:lang w:eastAsia="fr-FR" w:bidi="fr-FR"/>
        </w:rPr>
        <w:t>dre.</w:t>
      </w:r>
    </w:p>
    <w:p w14:paraId="58662636" w14:textId="77777777" w:rsidR="002F4063" w:rsidRPr="004B2498" w:rsidRDefault="002F4063" w:rsidP="002F4063">
      <w:pPr>
        <w:spacing w:before="120" w:after="120"/>
        <w:jc w:val="both"/>
      </w:pPr>
      <w:r w:rsidRPr="004B2498">
        <w:rPr>
          <w:lang w:eastAsia="fr-FR" w:bidi="fr-FR"/>
        </w:rPr>
        <w:t>D’autres enquêtes, centrées sur l’émergence d’un nouvel a</w:t>
      </w:r>
      <w:r w:rsidRPr="004B2498">
        <w:rPr>
          <w:lang w:eastAsia="fr-FR" w:bidi="fr-FR"/>
        </w:rPr>
        <w:t>c</w:t>
      </w:r>
      <w:r w:rsidRPr="004B2498">
        <w:rPr>
          <w:lang w:eastAsia="fr-FR" w:bidi="fr-FR"/>
        </w:rPr>
        <w:t>teur, tentent de saisir les innovations apportées, ou supposées a</w:t>
      </w:r>
      <w:r w:rsidRPr="004B2498">
        <w:rPr>
          <w:lang w:eastAsia="fr-FR" w:bidi="fr-FR"/>
        </w:rPr>
        <w:t>p</w:t>
      </w:r>
      <w:r w:rsidRPr="004B2498">
        <w:rPr>
          <w:lang w:eastAsia="fr-FR" w:bidi="fr-FR"/>
        </w:rPr>
        <w:t>portées, par les différentes organisations : ce qui véhicule un certain optimi</w:t>
      </w:r>
      <w:r w:rsidRPr="004B2498">
        <w:rPr>
          <w:lang w:eastAsia="fr-FR" w:bidi="fr-FR"/>
        </w:rPr>
        <w:t>s</w:t>
      </w:r>
      <w:r w:rsidRPr="004B2498">
        <w:rPr>
          <w:lang w:eastAsia="fr-FR" w:bidi="fr-FR"/>
        </w:rPr>
        <w:t>me, ancré souvent dans la définition même de mouvement social </w:t>
      </w:r>
      <w:r>
        <w:rPr>
          <w:rStyle w:val="Appelnotedebasdep"/>
          <w:lang w:eastAsia="fr-FR" w:bidi="fr-FR"/>
        </w:rPr>
        <w:footnoteReference w:id="126"/>
      </w:r>
      <w:r w:rsidRPr="004B2498">
        <w:rPr>
          <w:lang w:eastAsia="fr-FR" w:bidi="fr-FR"/>
        </w:rPr>
        <w:t>. In</w:t>
      </w:r>
      <w:r w:rsidRPr="004B2498">
        <w:rPr>
          <w:lang w:eastAsia="fr-FR" w:bidi="fr-FR"/>
        </w:rPr>
        <w:t>i</w:t>
      </w:r>
      <w:r w:rsidRPr="004B2498">
        <w:rPr>
          <w:lang w:eastAsia="fr-FR" w:bidi="fr-FR"/>
        </w:rPr>
        <w:t>go Carrera et Maria Celia Cotarelo (2003) rapprochent le blocage des routes à d’autres formes de protestations comme la grève. Ces a</w:t>
      </w:r>
      <w:r w:rsidRPr="004B2498">
        <w:rPr>
          <w:lang w:eastAsia="fr-FR" w:bidi="fr-FR"/>
        </w:rPr>
        <w:t>u</w:t>
      </w:r>
      <w:r w:rsidRPr="004B2498">
        <w:rPr>
          <w:lang w:eastAsia="fr-FR" w:bidi="fr-FR"/>
        </w:rPr>
        <w:t>teurs signalent que ces deux formes d’action collective seraient org</w:t>
      </w:r>
      <w:r w:rsidRPr="004B2498">
        <w:rPr>
          <w:lang w:eastAsia="fr-FR" w:bidi="fr-FR"/>
        </w:rPr>
        <w:t>a</w:t>
      </w:r>
      <w:r w:rsidRPr="004B2498">
        <w:rPr>
          <w:lang w:eastAsia="fr-FR" w:bidi="fr-FR"/>
        </w:rPr>
        <w:t>nisées par « des catégories économiques (salariés, entrepreneurs, etc.) ou s</w:t>
      </w:r>
      <w:r w:rsidRPr="004B2498">
        <w:rPr>
          <w:lang w:eastAsia="fr-FR" w:bidi="fr-FR"/>
        </w:rPr>
        <w:t>o</w:t>
      </w:r>
      <w:r w:rsidRPr="004B2498">
        <w:rPr>
          <w:lang w:eastAsia="fr-FR" w:bidi="fr-FR"/>
        </w:rPr>
        <w:t>ciales traditionnelles (étudiants) ». L’analyse s’appuie sur un corpus recueilli dans la presse nationale qui permet aux auteurs d’affirmer qu’« un tiers des blocages ne sont faits que par des travai</w:t>
      </w:r>
      <w:r w:rsidRPr="004B2498">
        <w:rPr>
          <w:lang w:eastAsia="fr-FR" w:bidi="fr-FR"/>
        </w:rPr>
        <w:t>l</w:t>
      </w:r>
      <w:r w:rsidRPr="004B2498">
        <w:rPr>
          <w:lang w:eastAsia="fr-FR" w:bidi="fr-FR"/>
        </w:rPr>
        <w:t>leurs, c’est-à-dire des salariés ou des travailleurs au chômage » (p. 80). Selon ces auteurs, il ne s’agirait donc pas d’un nouvel acteur s</w:t>
      </w:r>
      <w:r w:rsidRPr="004B2498">
        <w:rPr>
          <w:lang w:eastAsia="fr-FR" w:bidi="fr-FR"/>
        </w:rPr>
        <w:t>o</w:t>
      </w:r>
      <w:r w:rsidRPr="004B2498">
        <w:rPr>
          <w:lang w:eastAsia="fr-FR" w:bidi="fr-FR"/>
        </w:rPr>
        <w:t>cial : l’analyse permet d’intégrer travailleurs « avec et sans emploi » dans l’action mais seulement au moment de l’action collective. En effet, l’étude, par la méthode proposée (recueil à partir de la presse écrite) reprend la seule dimension de visibilité politique. En so</w:t>
      </w:r>
      <w:r w:rsidRPr="004B2498">
        <w:rPr>
          <w:lang w:eastAsia="fr-FR" w:bidi="fr-FR"/>
        </w:rPr>
        <w:t>m</w:t>
      </w:r>
      <w:r w:rsidRPr="004B2498">
        <w:rPr>
          <w:lang w:eastAsia="fr-FR" w:bidi="fr-FR"/>
        </w:rPr>
        <w:t>me, si certains articles soulignent la nouveauté de ces acteurs, d’autres l’inscrivent dans la logique propre des protestations du monde du tr</w:t>
      </w:r>
      <w:r w:rsidRPr="004B2498">
        <w:rPr>
          <w:lang w:eastAsia="fr-FR" w:bidi="fr-FR"/>
        </w:rPr>
        <w:t>a</w:t>
      </w:r>
      <w:r w:rsidRPr="004B2498">
        <w:rPr>
          <w:lang w:eastAsia="fr-FR" w:bidi="fr-FR"/>
        </w:rPr>
        <w:t>vail et, plus spécifiquement, des revendications de classe. La proxim</w:t>
      </w:r>
      <w:r w:rsidRPr="004B2498">
        <w:rPr>
          <w:lang w:eastAsia="fr-FR" w:bidi="fr-FR"/>
        </w:rPr>
        <w:t>i</w:t>
      </w:r>
      <w:r w:rsidRPr="004B2498">
        <w:rPr>
          <w:lang w:eastAsia="fr-FR" w:bidi="fr-FR"/>
        </w:rPr>
        <w:t>té de ceux qui c</w:t>
      </w:r>
      <w:r w:rsidRPr="004B2498">
        <w:rPr>
          <w:lang w:eastAsia="fr-FR" w:bidi="fr-FR"/>
        </w:rPr>
        <w:t>ô</w:t>
      </w:r>
      <w:r w:rsidRPr="004B2498">
        <w:rPr>
          <w:lang w:eastAsia="fr-FR" w:bidi="fr-FR"/>
        </w:rPr>
        <w:t>toient les différents groupes ne semble pas à même de questionner les dynamiques internes aux groupes dont la complex</w:t>
      </w:r>
      <w:r w:rsidRPr="004B2498">
        <w:rPr>
          <w:lang w:eastAsia="fr-FR" w:bidi="fr-FR"/>
        </w:rPr>
        <w:t>i</w:t>
      </w:r>
      <w:r w:rsidRPr="004B2498">
        <w:rPr>
          <w:lang w:eastAsia="fr-FR" w:bidi="fr-FR"/>
        </w:rPr>
        <w:t>té n’est pas suff</w:t>
      </w:r>
      <w:r w:rsidRPr="004B2498">
        <w:rPr>
          <w:lang w:eastAsia="fr-FR" w:bidi="fr-FR"/>
        </w:rPr>
        <w:t>i</w:t>
      </w:r>
      <w:r w:rsidRPr="004B2498">
        <w:rPr>
          <w:lang w:eastAsia="fr-FR" w:bidi="fr-FR"/>
        </w:rPr>
        <w:t>samment explicitée. La distance de ceux qui cultivent un regard extérieur ne semble pas offrir de meilleurs outils pour re</w:t>
      </w:r>
      <w:r w:rsidRPr="004B2498">
        <w:rPr>
          <w:lang w:eastAsia="fr-FR" w:bidi="fr-FR"/>
        </w:rPr>
        <w:t>n</w:t>
      </w:r>
      <w:r w:rsidRPr="004B2498">
        <w:rPr>
          <w:lang w:eastAsia="fr-FR" w:bidi="fr-FR"/>
        </w:rPr>
        <w:t>dre compte de l’engagement pluriel des membres (et non membres) dans l’espace local car elle ne se produit pas après le passage par les dynamiques intérieures des groupes. Suivant une approche d’ensemble de la pr</w:t>
      </w:r>
      <w:r w:rsidRPr="004B2498">
        <w:rPr>
          <w:lang w:eastAsia="fr-FR" w:bidi="fr-FR"/>
        </w:rPr>
        <w:t>o</w:t>
      </w:r>
      <w:r w:rsidRPr="004B2498">
        <w:rPr>
          <w:lang w:eastAsia="fr-FR" w:bidi="fr-FR"/>
        </w:rPr>
        <w:t>testation, l’article de Manero (2003) souligne la montée de la violence dans la contestation : « les conflits sociaux, bien qu’ils n’aillent pas ju</w:t>
      </w:r>
      <w:r w:rsidRPr="004B2498">
        <w:rPr>
          <w:lang w:eastAsia="fr-FR" w:bidi="fr-FR"/>
        </w:rPr>
        <w:t>s</w:t>
      </w:r>
      <w:r w:rsidRPr="004B2498">
        <w:rPr>
          <w:lang w:eastAsia="fr-FR" w:bidi="fr-FR"/>
        </w:rPr>
        <w:t>qu’à</w:t>
      </w:r>
      <w:r>
        <w:t xml:space="preserve"> </w:t>
      </w:r>
      <w:r w:rsidRPr="004B2498">
        <w:t>[167]</w:t>
      </w:r>
      <w:r>
        <w:t xml:space="preserve"> </w:t>
      </w:r>
      <w:r w:rsidRPr="004B2498">
        <w:rPr>
          <w:lang w:eastAsia="fr-FR" w:bidi="fr-FR"/>
        </w:rPr>
        <w:t>la violence organisée, se sont doublés d’une violence que l’on pe</w:t>
      </w:r>
      <w:r w:rsidRPr="004B2498">
        <w:rPr>
          <w:lang w:eastAsia="fr-FR" w:bidi="fr-FR"/>
        </w:rPr>
        <w:t>n</w:t>
      </w:r>
      <w:r w:rsidRPr="004B2498">
        <w:rPr>
          <w:lang w:eastAsia="fr-FR" w:bidi="fr-FR"/>
        </w:rPr>
        <w:t>sait éradiquée depuis l’instauration de la démocratie. Les formes, l’esthétique d’un des a</w:t>
      </w:r>
      <w:r w:rsidRPr="004B2498">
        <w:rPr>
          <w:lang w:eastAsia="fr-FR" w:bidi="fr-FR"/>
        </w:rPr>
        <w:t>c</w:t>
      </w:r>
      <w:r w:rsidRPr="004B2498">
        <w:rPr>
          <w:lang w:eastAsia="fr-FR" w:bidi="fr-FR"/>
        </w:rPr>
        <w:t>teurs principaux, les « piqueteros », ont été forgées dans la résistance aux programmes d’ajustement des années quatre-vingt-dix </w:t>
      </w:r>
      <w:r>
        <w:rPr>
          <w:rStyle w:val="Appelnotedebasdep"/>
          <w:lang w:eastAsia="fr-FR" w:bidi="fr-FR"/>
        </w:rPr>
        <w:footnoteReference w:id="127"/>
      </w:r>
      <w:r w:rsidRPr="004B2498">
        <w:rPr>
          <w:lang w:eastAsia="fr-FR" w:bidi="fr-FR"/>
        </w:rPr>
        <w:t> » Les études consid</w:t>
      </w:r>
      <w:r w:rsidRPr="004B2498">
        <w:rPr>
          <w:lang w:eastAsia="fr-FR" w:bidi="fr-FR"/>
        </w:rPr>
        <w:t>é</w:t>
      </w:r>
      <w:r w:rsidRPr="004B2498">
        <w:rPr>
          <w:lang w:eastAsia="fr-FR" w:bidi="fr-FR"/>
        </w:rPr>
        <w:t>rant d’emblée les collectifs comme des mouvements opposés aux réformes néolibérales, ne re</w:t>
      </w:r>
      <w:r w:rsidRPr="004B2498">
        <w:rPr>
          <w:lang w:eastAsia="fr-FR" w:bidi="fr-FR"/>
        </w:rPr>
        <w:t>n</w:t>
      </w:r>
      <w:r w:rsidRPr="004B2498">
        <w:rPr>
          <w:lang w:eastAsia="fr-FR" w:bidi="fr-FR"/>
        </w:rPr>
        <w:t>dent pas compte du fait que pour les membres eux-mêmes, leur participation est l’objet de diff</w:t>
      </w:r>
      <w:r w:rsidRPr="004B2498">
        <w:rPr>
          <w:lang w:eastAsia="fr-FR" w:bidi="fr-FR"/>
        </w:rPr>
        <w:t>é</w:t>
      </w:r>
      <w:r w:rsidRPr="004B2498">
        <w:rPr>
          <w:lang w:eastAsia="fr-FR" w:bidi="fr-FR"/>
        </w:rPr>
        <w:t>rents positionnements et de la transform</w:t>
      </w:r>
      <w:r w:rsidRPr="004B2498">
        <w:rPr>
          <w:lang w:eastAsia="fr-FR" w:bidi="fr-FR"/>
        </w:rPr>
        <w:t>a</w:t>
      </w:r>
      <w:r w:rsidRPr="004B2498">
        <w:rPr>
          <w:lang w:eastAsia="fr-FR" w:bidi="fr-FR"/>
        </w:rPr>
        <w:t>tion de leurs perceptions.</w:t>
      </w:r>
    </w:p>
    <w:p w14:paraId="61D4D7CE" w14:textId="77777777" w:rsidR="002F4063" w:rsidRPr="004B2498" w:rsidRDefault="002F4063" w:rsidP="002F4063">
      <w:pPr>
        <w:spacing w:before="120" w:after="120"/>
        <w:jc w:val="both"/>
      </w:pPr>
      <w:r w:rsidRPr="004B2498">
        <w:rPr>
          <w:lang w:eastAsia="fr-FR" w:bidi="fr-FR"/>
        </w:rPr>
        <w:t>Bien davantage qu’à la justification politique de l’action colle</w:t>
      </w:r>
      <w:r w:rsidRPr="004B2498">
        <w:rPr>
          <w:lang w:eastAsia="fr-FR" w:bidi="fr-FR"/>
        </w:rPr>
        <w:t>c</w:t>
      </w:r>
      <w:r w:rsidRPr="004B2498">
        <w:rPr>
          <w:lang w:eastAsia="fr-FR" w:bidi="fr-FR"/>
        </w:rPr>
        <w:t>tive, Marina semble se référer à elle-même, à son expérience, à son pa</w:t>
      </w:r>
      <w:r w:rsidRPr="004B2498">
        <w:rPr>
          <w:lang w:eastAsia="fr-FR" w:bidi="fr-FR"/>
        </w:rPr>
        <w:t>r</w:t>
      </w:r>
      <w:r w:rsidRPr="004B2498">
        <w:rPr>
          <w:lang w:eastAsia="fr-FR" w:bidi="fr-FR"/>
        </w:rPr>
        <w:t>cours et au changement de perception opéré. Le « voir de l’intérieur » permet de rendre compte d’un investissement pe</w:t>
      </w:r>
      <w:r w:rsidRPr="004B2498">
        <w:rPr>
          <w:lang w:eastAsia="fr-FR" w:bidi="fr-FR"/>
        </w:rPr>
        <w:t>r</w:t>
      </w:r>
      <w:r w:rsidRPr="004B2498">
        <w:rPr>
          <w:lang w:eastAsia="fr-FR" w:bidi="fr-FR"/>
        </w:rPr>
        <w:t>sonnel qui déborde une interprétation des calculs stratégiques et imprègne les choix de la vie quotidienne. Le voir « de l’intérieur » permet de rendre compte des distinctions valables dans l’action pour les membres en même temps que des orientations politiques des organisations qui font partie d’une enquête militante nécessa</w:t>
      </w:r>
      <w:r w:rsidRPr="004B2498">
        <w:rPr>
          <w:lang w:eastAsia="fr-FR" w:bidi="fr-FR"/>
        </w:rPr>
        <w:t>i</w:t>
      </w:r>
      <w:r w:rsidRPr="004B2498">
        <w:rPr>
          <w:lang w:eastAsia="fr-FR" w:bidi="fr-FR"/>
        </w:rPr>
        <w:t>re pour tracer une cartographie des positionnements publics, le jeu de différenciation et des alliances </w:t>
      </w:r>
      <w:r>
        <w:rPr>
          <w:rStyle w:val="Appelnotedebasdep"/>
          <w:lang w:eastAsia="fr-FR" w:bidi="fr-FR"/>
        </w:rPr>
        <w:footnoteReference w:id="128"/>
      </w:r>
      <w:r w:rsidRPr="004B2498">
        <w:rPr>
          <w:lang w:eastAsia="fr-FR" w:bidi="fr-FR"/>
        </w:rPr>
        <w:t xml:space="preserve">. Finalement, le recours à la télévision apparaît comme une allégorie qui synthétise le point de vue extérieur et apparaît comme une formule qui dénonce ce qui est faux et en même temps explique sa validité pour ses </w:t>
      </w:r>
      <w:r w:rsidRPr="004B2498">
        <w:t>vec</w:t>
      </w:r>
      <w:r w:rsidRPr="004B2498">
        <w:t>i</w:t>
      </w:r>
      <w:r w:rsidRPr="004B2498">
        <w:t>nos.</w:t>
      </w:r>
    </w:p>
    <w:p w14:paraId="3D67F325" w14:textId="77777777" w:rsidR="002F4063" w:rsidRPr="004B2498" w:rsidRDefault="002F4063" w:rsidP="002F4063">
      <w:pPr>
        <w:spacing w:before="120" w:after="120"/>
        <w:jc w:val="both"/>
      </w:pPr>
      <w:r w:rsidRPr="004B2498">
        <w:rPr>
          <w:lang w:eastAsia="fr-FR" w:bidi="fr-FR"/>
        </w:rPr>
        <w:t>Les termes de Marina véhiculent une intuition qui concerne plus précisément le problème de l’irrationalité de l’action collect</w:t>
      </w:r>
      <w:r w:rsidRPr="004B2498">
        <w:rPr>
          <w:lang w:eastAsia="fr-FR" w:bidi="fr-FR"/>
        </w:rPr>
        <w:t>i</w:t>
      </w:r>
      <w:r w:rsidRPr="004B2498">
        <w:rPr>
          <w:lang w:eastAsia="fr-FR" w:bidi="fr-FR"/>
        </w:rPr>
        <w:t xml:space="preserve">ve. La « folie », nous dit elle, associée aux organisations de </w:t>
      </w:r>
      <w:r w:rsidRPr="000D52EC">
        <w:rPr>
          <w:i/>
        </w:rPr>
        <w:t>des</w:t>
      </w:r>
      <w:r w:rsidRPr="000D52EC">
        <w:rPr>
          <w:i/>
        </w:rPr>
        <w:t>o</w:t>
      </w:r>
      <w:r w:rsidRPr="000D52EC">
        <w:rPr>
          <w:i/>
        </w:rPr>
        <w:t>cupados</w:t>
      </w:r>
      <w:r w:rsidRPr="004B2498">
        <w:t>,</w:t>
      </w:r>
      <w:r w:rsidRPr="004B2498">
        <w:rPr>
          <w:lang w:eastAsia="fr-FR" w:bidi="fr-FR"/>
        </w:rPr>
        <w:t xml:space="preserve"> relève d’un regard à distance qui ne tient pas compte d’une forme de savoir acquis par l’expérience. D’ailleurs « la f</w:t>
      </w:r>
      <w:r w:rsidRPr="004B2498">
        <w:rPr>
          <w:lang w:eastAsia="fr-FR" w:bidi="fr-FR"/>
        </w:rPr>
        <w:t>o</w:t>
      </w:r>
      <w:r w:rsidRPr="004B2498">
        <w:rPr>
          <w:lang w:eastAsia="fr-FR" w:bidi="fr-FR"/>
        </w:rPr>
        <w:t>lie » est associée à l’imprécision du regard extérieur « les blocages et tout cela ». C’est cette expérience, et non seulement les raisons énumérées, qui fait d’elle une personne ordinaire, normale pou</w:t>
      </w:r>
      <w:r w:rsidRPr="004B2498">
        <w:rPr>
          <w:lang w:eastAsia="fr-FR" w:bidi="fr-FR"/>
        </w:rPr>
        <w:t>r</w:t>
      </w:r>
      <w:r w:rsidRPr="004B2498">
        <w:rPr>
          <w:lang w:eastAsia="fr-FR" w:bidi="fr-FR"/>
        </w:rPr>
        <w:t>rions-nous dire, et donc raisonnable. Cette réponse nous invite à dépasser les premières i</w:t>
      </w:r>
      <w:r w:rsidRPr="004B2498">
        <w:rPr>
          <w:lang w:eastAsia="fr-FR" w:bidi="fr-FR"/>
        </w:rPr>
        <w:t>m</w:t>
      </w:r>
      <w:r w:rsidRPr="004B2498">
        <w:rPr>
          <w:lang w:eastAsia="fr-FR" w:bidi="fr-FR"/>
        </w:rPr>
        <w:t xml:space="preserve">pressions qui pourraient nous conduire à considérer les </w:t>
      </w:r>
      <w:r w:rsidRPr="000D52EC">
        <w:rPr>
          <w:i/>
        </w:rPr>
        <w:t>piquetes</w:t>
      </w:r>
      <w:r w:rsidRPr="004B2498">
        <w:rPr>
          <w:lang w:eastAsia="fr-FR" w:bidi="fr-FR"/>
        </w:rPr>
        <w:t xml:space="preserve"> des organisations de </w:t>
      </w:r>
      <w:r w:rsidRPr="000D52EC">
        <w:rPr>
          <w:i/>
        </w:rPr>
        <w:t>desocupados</w:t>
      </w:r>
      <w:r w:rsidRPr="004B2498">
        <w:rPr>
          <w:lang w:eastAsia="fr-FR" w:bidi="fr-FR"/>
        </w:rPr>
        <w:t xml:space="preserve"> comme traduisant l’absence de coh</w:t>
      </w:r>
      <w:r w:rsidRPr="004B2498">
        <w:rPr>
          <w:lang w:eastAsia="fr-FR" w:bidi="fr-FR"/>
        </w:rPr>
        <w:t>é</w:t>
      </w:r>
      <w:r w:rsidRPr="004B2498">
        <w:rPr>
          <w:lang w:eastAsia="fr-FR" w:bidi="fr-FR"/>
        </w:rPr>
        <w:t>sion sociale, l’anomie, le non-sens </w:t>
      </w:r>
      <w:r>
        <w:rPr>
          <w:rStyle w:val="Appelnotedebasdep"/>
          <w:lang w:eastAsia="fr-FR" w:bidi="fr-FR"/>
        </w:rPr>
        <w:footnoteReference w:id="129"/>
      </w:r>
      <w:r w:rsidRPr="004B2498">
        <w:rPr>
          <w:lang w:eastAsia="fr-FR" w:bidi="fr-FR"/>
        </w:rPr>
        <w:t>.</w:t>
      </w:r>
    </w:p>
    <w:p w14:paraId="57E7AF34" w14:textId="77777777" w:rsidR="002F4063" w:rsidRPr="004B2498" w:rsidRDefault="002F4063" w:rsidP="002F4063">
      <w:pPr>
        <w:spacing w:before="120" w:after="120"/>
        <w:jc w:val="both"/>
      </w:pPr>
      <w:r w:rsidRPr="004B2498">
        <w:rPr>
          <w:lang w:eastAsia="fr-FR" w:bidi="fr-FR"/>
        </w:rPr>
        <w:t>En accord avec les avertissements qui nous exhortent à ne pas voir dans la mobilisation sociale un phénomène nécessairement vertueux (Escobar et</w:t>
      </w:r>
      <w:r>
        <w:t xml:space="preserve"> </w:t>
      </w:r>
      <w:r w:rsidRPr="004B2498">
        <w:t>[168]</w:t>
      </w:r>
      <w:r>
        <w:t xml:space="preserve"> </w:t>
      </w:r>
      <w:r w:rsidRPr="004B2498">
        <w:rPr>
          <w:lang w:eastAsia="fr-FR" w:bidi="fr-FR"/>
        </w:rPr>
        <w:t>Alvarez, 1992 ; Fraser, 2004), notre démarche consiste à mettre en rapport les catégories sociologiques avec l’expérience des acteurs afin de tester leur validité, de les préciser ai</w:t>
      </w:r>
      <w:r w:rsidRPr="004B2498">
        <w:rPr>
          <w:lang w:eastAsia="fr-FR" w:bidi="fr-FR"/>
        </w:rPr>
        <w:t>n</w:t>
      </w:r>
      <w:r w:rsidRPr="004B2498">
        <w:rPr>
          <w:lang w:eastAsia="fr-FR" w:bidi="fr-FR"/>
        </w:rPr>
        <w:t>si que d’éviter un usage ethnocentrique à partir duquel les mobilis</w:t>
      </w:r>
      <w:r w:rsidRPr="004B2498">
        <w:rPr>
          <w:lang w:eastAsia="fr-FR" w:bidi="fr-FR"/>
        </w:rPr>
        <w:t>a</w:t>
      </w:r>
      <w:r w:rsidRPr="004B2498">
        <w:rPr>
          <w:lang w:eastAsia="fr-FR" w:bidi="fr-FR"/>
        </w:rPr>
        <w:t>tions des se</w:t>
      </w:r>
      <w:r w:rsidRPr="004B2498">
        <w:rPr>
          <w:lang w:eastAsia="fr-FR" w:bidi="fr-FR"/>
        </w:rPr>
        <w:t>c</w:t>
      </w:r>
      <w:r w:rsidRPr="004B2498">
        <w:rPr>
          <w:lang w:eastAsia="fr-FR" w:bidi="fr-FR"/>
        </w:rPr>
        <w:t>teurs populaires se verraient définies par leur caractère prépolit</w:t>
      </w:r>
      <w:r w:rsidRPr="004B2498">
        <w:rPr>
          <w:lang w:eastAsia="fr-FR" w:bidi="fr-FR"/>
        </w:rPr>
        <w:t>i</w:t>
      </w:r>
      <w:r w:rsidRPr="004B2498">
        <w:rPr>
          <w:lang w:eastAsia="fr-FR" w:bidi="fr-FR"/>
        </w:rPr>
        <w:t>que.</w:t>
      </w:r>
    </w:p>
    <w:p w14:paraId="6E3932C8" w14:textId="77777777" w:rsidR="002F4063" w:rsidRPr="004B2498" w:rsidRDefault="002F4063" w:rsidP="002F4063">
      <w:pPr>
        <w:spacing w:before="120" w:after="120"/>
        <w:jc w:val="both"/>
        <w:rPr>
          <w:szCs w:val="24"/>
          <w:lang w:eastAsia="fr-FR" w:bidi="fr-FR"/>
        </w:rPr>
      </w:pPr>
      <w:r>
        <w:rPr>
          <w:szCs w:val="24"/>
          <w:lang w:eastAsia="fr-FR" w:bidi="fr-FR"/>
        </w:rPr>
        <w:br w:type="page"/>
      </w:r>
    </w:p>
    <w:p w14:paraId="235E1B25" w14:textId="77777777" w:rsidR="002F4063" w:rsidRPr="004B2498" w:rsidRDefault="002F4063" w:rsidP="002F4063">
      <w:pPr>
        <w:pStyle w:val="a"/>
      </w:pPr>
      <w:r>
        <w:t>L’expérience du chômage :</w:t>
      </w:r>
      <w:r>
        <w:br/>
      </w:r>
      <w:r w:rsidRPr="004B2498">
        <w:t>quels repères pour y répondre ?</w:t>
      </w:r>
    </w:p>
    <w:p w14:paraId="6C4410E9" w14:textId="77777777" w:rsidR="002F4063" w:rsidRPr="004B2498" w:rsidRDefault="002F4063" w:rsidP="002F4063">
      <w:pPr>
        <w:spacing w:before="120" w:after="120"/>
        <w:jc w:val="both"/>
        <w:rPr>
          <w:lang w:eastAsia="fr-FR" w:bidi="fr-FR"/>
        </w:rPr>
      </w:pPr>
    </w:p>
    <w:p w14:paraId="0A49BCE0" w14:textId="77777777" w:rsidR="002F4063" w:rsidRPr="004B2498" w:rsidRDefault="002F4063" w:rsidP="002F4063">
      <w:pPr>
        <w:spacing w:before="120" w:after="120"/>
        <w:jc w:val="both"/>
      </w:pPr>
      <w:r w:rsidRPr="004B2498">
        <w:rPr>
          <w:lang w:eastAsia="fr-FR" w:bidi="fr-FR"/>
        </w:rPr>
        <w:t>Les catégories sociologiques circulent dans l’espace social et se présentent dans le récit de Marina sous la forme d’un positionn</w:t>
      </w:r>
      <w:r w:rsidRPr="004B2498">
        <w:rPr>
          <w:lang w:eastAsia="fr-FR" w:bidi="fr-FR"/>
        </w:rPr>
        <w:t>e</w:t>
      </w:r>
      <w:r w:rsidRPr="004B2498">
        <w:rPr>
          <w:lang w:eastAsia="fr-FR" w:bidi="fr-FR"/>
        </w:rPr>
        <w:t>ment dont nous pouvons dégager au premier abord trois éléments. D’abord sa propre situation, le constat du chômage et des moi</w:t>
      </w:r>
      <w:r w:rsidRPr="004B2498">
        <w:rPr>
          <w:lang w:eastAsia="fr-FR" w:bidi="fr-FR"/>
        </w:rPr>
        <w:t>n</w:t>
      </w:r>
      <w:r w:rsidRPr="004B2498">
        <w:rPr>
          <w:lang w:eastAsia="fr-FR" w:bidi="fr-FR"/>
        </w:rPr>
        <w:t>dres possibilités d’agir face à celui-ci, les voies ordinaires de r</w:t>
      </w:r>
      <w:r w:rsidRPr="004B2498">
        <w:rPr>
          <w:lang w:eastAsia="fr-FR" w:bidi="fr-FR"/>
        </w:rPr>
        <w:t>e</w:t>
      </w:r>
      <w:r w:rsidRPr="004B2498">
        <w:rPr>
          <w:lang w:eastAsia="fr-FR" w:bidi="fr-FR"/>
        </w:rPr>
        <w:t>cherche d’un emploi ne fonctionnant pas. Le basculement dans le chômage, c’est la perte du travail de son mari et la perte des repères quant aux démarches ju</w:t>
      </w:r>
      <w:r w:rsidRPr="004B2498">
        <w:rPr>
          <w:lang w:eastAsia="fr-FR" w:bidi="fr-FR"/>
        </w:rPr>
        <w:t>s</w:t>
      </w:r>
      <w:r w:rsidRPr="004B2498">
        <w:rPr>
          <w:lang w:eastAsia="fr-FR" w:bidi="fr-FR"/>
        </w:rPr>
        <w:t>qu’alors valables pour retrouver du travail.</w:t>
      </w:r>
    </w:p>
    <w:p w14:paraId="49DF8529" w14:textId="77777777" w:rsidR="002F4063" w:rsidRPr="004B2498" w:rsidRDefault="002F4063" w:rsidP="002F4063">
      <w:pPr>
        <w:spacing w:before="120" w:after="120"/>
        <w:jc w:val="both"/>
      </w:pPr>
      <w:r w:rsidRPr="004B2498">
        <w:rPr>
          <w:lang w:eastAsia="fr-FR" w:bidi="fr-FR"/>
        </w:rPr>
        <w:t>Ce constat s’accompagne de l’action : elle se tourne vers les org</w:t>
      </w:r>
      <w:r w:rsidRPr="004B2498">
        <w:rPr>
          <w:lang w:eastAsia="fr-FR" w:bidi="fr-FR"/>
        </w:rPr>
        <w:t>a</w:t>
      </w:r>
      <w:r w:rsidRPr="004B2498">
        <w:rPr>
          <w:lang w:eastAsia="fr-FR" w:bidi="fr-FR"/>
        </w:rPr>
        <w:t xml:space="preserve">nisations de </w:t>
      </w:r>
      <w:r w:rsidRPr="004B2498">
        <w:t>desocupados.</w:t>
      </w:r>
      <w:r w:rsidRPr="004B2498">
        <w:rPr>
          <w:lang w:eastAsia="fr-FR" w:bidi="fr-FR"/>
        </w:rPr>
        <w:t xml:space="preserve"> Intimement liée à l’action, une év</w:t>
      </w:r>
      <w:r w:rsidRPr="004B2498">
        <w:rPr>
          <w:lang w:eastAsia="fr-FR" w:bidi="fr-FR"/>
        </w:rPr>
        <w:t>a</w:t>
      </w:r>
      <w:r w:rsidRPr="004B2498">
        <w:rPr>
          <w:lang w:eastAsia="fr-FR" w:bidi="fr-FR"/>
        </w:rPr>
        <w:t>luation intervient alors dans son récit. L’action contestataire est jugée du d</w:t>
      </w:r>
      <w:r w:rsidRPr="004B2498">
        <w:rPr>
          <w:lang w:eastAsia="fr-FR" w:bidi="fr-FR"/>
        </w:rPr>
        <w:t>e</w:t>
      </w:r>
      <w:r w:rsidRPr="004B2498">
        <w:rPr>
          <w:lang w:eastAsia="fr-FR" w:bidi="fr-FR"/>
        </w:rPr>
        <w:t>hors et du dedans du groupe. En adoptant le point de vue extérieur, Marina reconnaît les alternatives socialement lég</w:t>
      </w:r>
      <w:r w:rsidRPr="004B2498">
        <w:rPr>
          <w:lang w:eastAsia="fr-FR" w:bidi="fr-FR"/>
        </w:rPr>
        <w:t>i</w:t>
      </w:r>
      <w:r w:rsidRPr="004B2498">
        <w:rPr>
          <w:lang w:eastAsia="fr-FR" w:bidi="fr-FR"/>
        </w:rPr>
        <w:t>times disponibles. Elle tente de soumettre son choix aux critères légitimes et de le ra</w:t>
      </w:r>
      <w:r w:rsidRPr="004B2498">
        <w:rPr>
          <w:lang w:eastAsia="fr-FR" w:bidi="fr-FR"/>
        </w:rPr>
        <w:t>p</w:t>
      </w:r>
      <w:r w:rsidRPr="004B2498">
        <w:rPr>
          <w:lang w:eastAsia="fr-FR" w:bidi="fr-FR"/>
        </w:rPr>
        <w:t>procher de ce que souhaitent les gens ordinaires - puisqu’elle consid</w:t>
      </w:r>
      <w:r w:rsidRPr="004B2498">
        <w:rPr>
          <w:lang w:eastAsia="fr-FR" w:bidi="fr-FR"/>
        </w:rPr>
        <w:t>è</w:t>
      </w:r>
      <w:r w:rsidRPr="004B2498">
        <w:rPr>
          <w:lang w:eastAsia="fr-FR" w:bidi="fr-FR"/>
        </w:rPr>
        <w:t>re en faire partie -, de ce qui est dans leur droit. Néanmoins, elle r</w:t>
      </w:r>
      <w:r w:rsidRPr="004B2498">
        <w:rPr>
          <w:lang w:eastAsia="fr-FR" w:bidi="fr-FR"/>
        </w:rPr>
        <w:t>e</w:t>
      </w:r>
      <w:r w:rsidRPr="004B2498">
        <w:rPr>
          <w:lang w:eastAsia="fr-FR" w:bidi="fr-FR"/>
        </w:rPr>
        <w:t>connaît que, sans point de vue de l’intérieur, son choix demeure contraire en principe aux mœurs des gens ordinaires ; elle stigmatise la violence, l’irrationalité et le risque qui en découle de s’inscrire en dehors des frontières du social. Ce jugement elle ne le distingue pre</w:t>
      </w:r>
      <w:r w:rsidRPr="004B2498">
        <w:rPr>
          <w:lang w:eastAsia="fr-FR" w:bidi="fr-FR"/>
        </w:rPr>
        <w:t>s</w:t>
      </w:r>
      <w:r w:rsidRPr="004B2498">
        <w:rPr>
          <w:lang w:eastAsia="fr-FR" w:bidi="fr-FR"/>
        </w:rPr>
        <w:t>que pas du fait de s’engager dans l’action ; connaître le chômage et se tourner vers un MTD, c’est déjà le voir de l’intérieur. En somme, cette évalu</w:t>
      </w:r>
      <w:r w:rsidRPr="004B2498">
        <w:rPr>
          <w:lang w:eastAsia="fr-FR" w:bidi="fr-FR"/>
        </w:rPr>
        <w:t>a</w:t>
      </w:r>
      <w:r w:rsidRPr="004B2498">
        <w:rPr>
          <w:lang w:eastAsia="fr-FR" w:bidi="fr-FR"/>
        </w:rPr>
        <w:t>tion opère un dédoublement dans lequel elle prend pour fait la rupture sociale associée à la contestation. Marina peut rendre compte de cette inconformité par le fait de son expérience. Néa</w:t>
      </w:r>
      <w:r w:rsidRPr="004B2498">
        <w:rPr>
          <w:lang w:eastAsia="fr-FR" w:bidi="fr-FR"/>
        </w:rPr>
        <w:t>n</w:t>
      </w:r>
      <w:r w:rsidRPr="004B2498">
        <w:rPr>
          <w:lang w:eastAsia="fr-FR" w:bidi="fr-FR"/>
        </w:rPr>
        <w:t xml:space="preserve">moins dans sa reformulation, c’est un changement de perspective qui ne modifie pas son objectif ultime de « lutter </w:t>
      </w:r>
      <w:r w:rsidRPr="004B2498">
        <w:t>pour soi-même,</w:t>
      </w:r>
      <w:r w:rsidRPr="004B2498">
        <w:rPr>
          <w:lang w:eastAsia="fr-FR" w:bidi="fr-FR"/>
        </w:rPr>
        <w:t xml:space="preserve"> pour ce que l’on veut, pour sa famille, pour avoir quelque chose ».</w:t>
      </w:r>
    </w:p>
    <w:p w14:paraId="1F04610B" w14:textId="77777777" w:rsidR="002F4063" w:rsidRPr="004B2498" w:rsidRDefault="002F4063" w:rsidP="002F4063">
      <w:pPr>
        <w:spacing w:before="120" w:after="120"/>
        <w:jc w:val="both"/>
      </w:pPr>
      <w:r w:rsidRPr="004B2498">
        <w:rPr>
          <w:lang w:eastAsia="fr-FR" w:bidi="fr-FR"/>
        </w:rPr>
        <w:t>Un troisième élément est celui d’essayer de rapprocher son choix de celui des gens ordinaires. Il s’agit alors d’établir une c</w:t>
      </w:r>
      <w:r w:rsidRPr="004B2498">
        <w:rPr>
          <w:lang w:eastAsia="fr-FR" w:bidi="fr-FR"/>
        </w:rPr>
        <w:t>a</w:t>
      </w:r>
      <w:r w:rsidRPr="004B2498">
        <w:rPr>
          <w:lang w:eastAsia="fr-FR" w:bidi="fr-FR"/>
        </w:rPr>
        <w:t>tégorisation qui rendrait du même coup l’alternative des MTD légitime. Cette te</w:t>
      </w:r>
      <w:r w:rsidRPr="004B2498">
        <w:rPr>
          <w:lang w:eastAsia="fr-FR" w:bidi="fr-FR"/>
        </w:rPr>
        <w:t>n</w:t>
      </w:r>
      <w:r w:rsidRPr="004B2498">
        <w:rPr>
          <w:lang w:eastAsia="fr-FR" w:bidi="fr-FR"/>
        </w:rPr>
        <w:t xml:space="preserve">tative prend en considération l’hostilité affichée à l’égard des actions violentes et l’image que peuvent donner les organisations de </w:t>
      </w:r>
      <w:r w:rsidRPr="000D52EC">
        <w:rPr>
          <w:i/>
        </w:rPr>
        <w:t>desoc</w:t>
      </w:r>
      <w:r w:rsidRPr="000D52EC">
        <w:rPr>
          <w:i/>
        </w:rPr>
        <w:t>u</w:t>
      </w:r>
      <w:r w:rsidRPr="000D52EC">
        <w:rPr>
          <w:i/>
        </w:rPr>
        <w:t>pados via</w:t>
      </w:r>
      <w:r w:rsidRPr="004B2498">
        <w:rPr>
          <w:lang w:eastAsia="fr-FR" w:bidi="fr-FR"/>
        </w:rPr>
        <w:t xml:space="preserve"> la modalité</w:t>
      </w:r>
      <w:r>
        <w:t xml:space="preserve"> </w:t>
      </w:r>
      <w:r w:rsidRPr="004B2498">
        <w:t>[169]</w:t>
      </w:r>
      <w:r>
        <w:t xml:space="preserve"> </w:t>
      </w:r>
      <w:r w:rsidRPr="004B2498">
        <w:rPr>
          <w:lang w:eastAsia="fr-FR" w:bidi="fr-FR"/>
        </w:rPr>
        <w:t xml:space="preserve">d’action qui est la leur et les identifie comme </w:t>
      </w:r>
      <w:r w:rsidRPr="000D52EC">
        <w:rPr>
          <w:i/>
        </w:rPr>
        <w:t>piqueteros</w:t>
      </w:r>
      <w:r>
        <w:t> </w:t>
      </w:r>
      <w:r>
        <w:rPr>
          <w:rStyle w:val="Appelnotedebasdep"/>
        </w:rPr>
        <w:footnoteReference w:id="130"/>
      </w:r>
      <w:r w:rsidRPr="004B2498">
        <w:rPr>
          <w:lang w:eastAsia="fr-FR" w:bidi="fr-FR"/>
        </w:rPr>
        <w:t xml:space="preserve">. Elle refuse alors le terme de </w:t>
      </w:r>
      <w:r w:rsidRPr="000D52EC">
        <w:rPr>
          <w:i/>
        </w:rPr>
        <w:t>piquetero</w:t>
      </w:r>
      <w:r w:rsidRPr="004B2498">
        <w:t>.</w:t>
      </w:r>
      <w:r w:rsidRPr="004B2498">
        <w:rPr>
          <w:lang w:eastAsia="fr-FR" w:bidi="fr-FR"/>
        </w:rPr>
        <w:t xml:space="preserve"> Elle le recadre comme constit</w:t>
      </w:r>
      <w:r w:rsidRPr="004B2498">
        <w:rPr>
          <w:lang w:eastAsia="fr-FR" w:bidi="fr-FR"/>
        </w:rPr>
        <w:t>u</w:t>
      </w:r>
      <w:r w:rsidRPr="004B2498">
        <w:rPr>
          <w:lang w:eastAsia="fr-FR" w:bidi="fr-FR"/>
        </w:rPr>
        <w:t>tif du regard extérieur, une dénomination, nous dit-elle, imposée de l’extérieur par le gouvernement. En dépit de ce refus, elle dév</w:t>
      </w:r>
      <w:r w:rsidRPr="004B2498">
        <w:rPr>
          <w:lang w:eastAsia="fr-FR" w:bidi="fr-FR"/>
        </w:rPr>
        <w:t>e</w:t>
      </w:r>
      <w:r w:rsidRPr="004B2498">
        <w:rPr>
          <w:lang w:eastAsia="fr-FR" w:bidi="fr-FR"/>
        </w:rPr>
        <w:t>loppe une fierté, celle d’apprendre, d’expliquer aux gens qui s’y intéressent le point de vue interne. Sa fierté consiste à obtenir leur accord, quand ils finissent par se joindre au collectif.</w:t>
      </w:r>
    </w:p>
    <w:p w14:paraId="060BB319" w14:textId="77777777" w:rsidR="002F4063" w:rsidRPr="004B2498" w:rsidRDefault="002F4063" w:rsidP="002F4063">
      <w:pPr>
        <w:spacing w:before="120" w:after="120"/>
        <w:jc w:val="both"/>
      </w:pPr>
      <w:r w:rsidRPr="004B2498">
        <w:rPr>
          <w:lang w:eastAsia="fr-FR" w:bidi="fr-FR"/>
        </w:rPr>
        <w:t>Cet extrait n’est pas exceptionnel, nous l’avons déjà dit, néa</w:t>
      </w:r>
      <w:r w:rsidRPr="004B2498">
        <w:rPr>
          <w:lang w:eastAsia="fr-FR" w:bidi="fr-FR"/>
        </w:rPr>
        <w:t>n</w:t>
      </w:r>
      <w:r w:rsidRPr="004B2498">
        <w:rPr>
          <w:lang w:eastAsia="fr-FR" w:bidi="fr-FR"/>
        </w:rPr>
        <w:t>moins les récits des membres sont rarement présents dans les comptes re</w:t>
      </w:r>
      <w:r w:rsidRPr="004B2498">
        <w:rPr>
          <w:lang w:eastAsia="fr-FR" w:bidi="fr-FR"/>
        </w:rPr>
        <w:t>n</w:t>
      </w:r>
      <w:r w:rsidRPr="004B2498">
        <w:rPr>
          <w:lang w:eastAsia="fr-FR" w:bidi="fr-FR"/>
        </w:rPr>
        <w:t>dus, limités aux orientations politiques promues par des dirigeants. Son analyse nous permet ainsi de constater la pe</w:t>
      </w:r>
      <w:r w:rsidRPr="004B2498">
        <w:rPr>
          <w:lang w:eastAsia="fr-FR" w:bidi="fr-FR"/>
        </w:rPr>
        <w:t>r</w:t>
      </w:r>
      <w:r w:rsidRPr="004B2498">
        <w:rPr>
          <w:lang w:eastAsia="fr-FR" w:bidi="fr-FR"/>
        </w:rPr>
        <w:t>tinence de considérer l’expérience des membres pour nous aider à éviter tant les écueils du regard extérieur, de surplomb ou ra</w:t>
      </w:r>
      <w:r w:rsidRPr="004B2498">
        <w:rPr>
          <w:lang w:eastAsia="fr-FR" w:bidi="fr-FR"/>
        </w:rPr>
        <w:t>p</w:t>
      </w:r>
      <w:r w:rsidRPr="004B2498">
        <w:rPr>
          <w:lang w:eastAsia="fr-FR" w:bidi="fr-FR"/>
        </w:rPr>
        <w:t>prochant les actions collectives de la folie, autant que l’adhésion et la reproduction des postures milita</w:t>
      </w:r>
      <w:r w:rsidRPr="004B2498">
        <w:rPr>
          <w:lang w:eastAsia="fr-FR" w:bidi="fr-FR"/>
        </w:rPr>
        <w:t>n</w:t>
      </w:r>
      <w:r w:rsidRPr="004B2498">
        <w:rPr>
          <w:lang w:eastAsia="fr-FR" w:bidi="fr-FR"/>
        </w:rPr>
        <w:t>tes comme une personnalis</w:t>
      </w:r>
      <w:r w:rsidRPr="004B2498">
        <w:rPr>
          <w:lang w:eastAsia="fr-FR" w:bidi="fr-FR"/>
        </w:rPr>
        <w:t>a</w:t>
      </w:r>
      <w:r w:rsidRPr="004B2498">
        <w:rPr>
          <w:lang w:eastAsia="fr-FR" w:bidi="fr-FR"/>
        </w:rPr>
        <w:t>tion des intérêts du collectif. Dans son récit le regard extérieur est celui de la presse.</w:t>
      </w:r>
    </w:p>
    <w:p w14:paraId="09E2803B" w14:textId="77777777" w:rsidR="002F4063" w:rsidRPr="004B2498" w:rsidRDefault="002F4063" w:rsidP="002F4063">
      <w:pPr>
        <w:spacing w:before="120" w:after="120"/>
        <w:jc w:val="both"/>
        <w:rPr>
          <w:szCs w:val="24"/>
          <w:lang w:eastAsia="fr-FR" w:bidi="fr-FR"/>
        </w:rPr>
      </w:pPr>
    </w:p>
    <w:p w14:paraId="515E091C" w14:textId="77777777" w:rsidR="002F4063" w:rsidRPr="004B2498" w:rsidRDefault="002F4063" w:rsidP="002F4063">
      <w:pPr>
        <w:pStyle w:val="a"/>
      </w:pPr>
      <w:r w:rsidRPr="004B2498">
        <w:t>Que dit la presse au juste ?</w:t>
      </w:r>
    </w:p>
    <w:p w14:paraId="1F90616C" w14:textId="77777777" w:rsidR="002F4063" w:rsidRPr="004B2498" w:rsidRDefault="002F4063" w:rsidP="002F4063">
      <w:pPr>
        <w:spacing w:before="120" w:after="120"/>
        <w:jc w:val="both"/>
        <w:rPr>
          <w:lang w:eastAsia="fr-FR" w:bidi="fr-FR"/>
        </w:rPr>
      </w:pPr>
    </w:p>
    <w:p w14:paraId="00F63572" w14:textId="77777777" w:rsidR="002F4063" w:rsidRPr="004B2498" w:rsidRDefault="002F4063" w:rsidP="002F4063">
      <w:pPr>
        <w:spacing w:before="120" w:after="120"/>
        <w:jc w:val="both"/>
      </w:pPr>
      <w:r w:rsidRPr="004B2498">
        <w:rPr>
          <w:lang w:eastAsia="fr-FR" w:bidi="fr-FR"/>
        </w:rPr>
        <w:t>Une analyse longitudinale de la couverture des journaux n</w:t>
      </w:r>
      <w:r w:rsidRPr="004B2498">
        <w:rPr>
          <w:lang w:eastAsia="fr-FR" w:bidi="fr-FR"/>
        </w:rPr>
        <w:t>a</w:t>
      </w:r>
      <w:r w:rsidRPr="004B2498">
        <w:rPr>
          <w:lang w:eastAsia="fr-FR" w:bidi="fr-FR"/>
        </w:rPr>
        <w:t xml:space="preserve">tionaux sur les mobilisations des différentes organisations </w:t>
      </w:r>
      <w:r w:rsidRPr="00CB5F62">
        <w:rPr>
          <w:i/>
        </w:rPr>
        <w:t>piquet</w:t>
      </w:r>
      <w:r w:rsidRPr="00CB5F62">
        <w:rPr>
          <w:i/>
        </w:rPr>
        <w:t>e</w:t>
      </w:r>
      <w:r w:rsidRPr="00CB5F62">
        <w:rPr>
          <w:i/>
        </w:rPr>
        <w:t>ras</w:t>
      </w:r>
      <w:r w:rsidRPr="004B2498">
        <w:t>,</w:t>
      </w:r>
      <w:r w:rsidRPr="004B2498">
        <w:rPr>
          <w:lang w:eastAsia="fr-FR" w:bidi="fr-FR"/>
        </w:rPr>
        <w:t xml:space="preserve"> nous permet de constater l’absence des objectifs énoncés par les manife</w:t>
      </w:r>
      <w:r w:rsidRPr="004B2498">
        <w:rPr>
          <w:lang w:eastAsia="fr-FR" w:bidi="fr-FR"/>
        </w:rPr>
        <w:t>s</w:t>
      </w:r>
      <w:r w:rsidRPr="004B2498">
        <w:rPr>
          <w:lang w:eastAsia="fr-FR" w:bidi="fr-FR"/>
        </w:rPr>
        <w:t>tants, ce qui tend à renforcer l’image de la protestation comme que</w:t>
      </w:r>
      <w:r w:rsidRPr="004B2498">
        <w:rPr>
          <w:lang w:eastAsia="fr-FR" w:bidi="fr-FR"/>
        </w:rPr>
        <w:t>l</w:t>
      </w:r>
      <w:r w:rsidRPr="004B2498">
        <w:rPr>
          <w:lang w:eastAsia="fr-FR" w:bidi="fr-FR"/>
        </w:rPr>
        <w:t>que chose d’insensé (Rius, 2006 </w:t>
      </w:r>
      <w:r>
        <w:rPr>
          <w:rStyle w:val="Appelnotedebasdep"/>
          <w:lang w:eastAsia="fr-FR" w:bidi="fr-FR"/>
        </w:rPr>
        <w:footnoteReference w:id="131"/>
      </w:r>
      <w:r w:rsidRPr="004B2498">
        <w:rPr>
          <w:lang w:eastAsia="fr-FR" w:bidi="fr-FR"/>
        </w:rPr>
        <w:t>). Au moment de la plus large m</w:t>
      </w:r>
      <w:r w:rsidRPr="004B2498">
        <w:rPr>
          <w:lang w:eastAsia="fr-FR" w:bidi="fr-FR"/>
        </w:rPr>
        <w:t>o</w:t>
      </w:r>
      <w:r w:rsidRPr="004B2498">
        <w:rPr>
          <w:lang w:eastAsia="fr-FR" w:bidi="fr-FR"/>
        </w:rPr>
        <w:t xml:space="preserve">bilisation, courant 2002, dans le journal </w:t>
      </w:r>
      <w:r w:rsidRPr="000D52EC">
        <w:rPr>
          <w:i/>
        </w:rPr>
        <w:t>La N</w:t>
      </w:r>
      <w:r w:rsidRPr="000D52EC">
        <w:rPr>
          <w:i/>
        </w:rPr>
        <w:t>a</w:t>
      </w:r>
      <w:r w:rsidRPr="000D52EC">
        <w:rPr>
          <w:i/>
        </w:rPr>
        <w:t>ción</w:t>
      </w:r>
      <w:r>
        <w:t> </w:t>
      </w:r>
      <w:r>
        <w:rPr>
          <w:rStyle w:val="Appelnotedebasdep"/>
        </w:rPr>
        <w:footnoteReference w:id="132"/>
      </w:r>
      <w:r w:rsidRPr="004B2498">
        <w:rPr>
          <w:lang w:eastAsia="fr-FR" w:bidi="fr-FR"/>
        </w:rPr>
        <w:t xml:space="preserve">, les nouvelles des organisations de </w:t>
      </w:r>
      <w:r w:rsidRPr="00CB5F62">
        <w:rPr>
          <w:i/>
        </w:rPr>
        <w:t>desocupados</w:t>
      </w:r>
      <w:r w:rsidRPr="004B2498">
        <w:t xml:space="preserve"> </w:t>
      </w:r>
      <w:r w:rsidRPr="004B2498">
        <w:rPr>
          <w:lang w:eastAsia="fr-FR" w:bidi="fr-FR"/>
        </w:rPr>
        <w:t>côtoient la « Réforme politique » et la discussion sur le budget tantôt au parlement tantôt au sein du po</w:t>
      </w:r>
      <w:r w:rsidRPr="004B2498">
        <w:rPr>
          <w:lang w:eastAsia="fr-FR" w:bidi="fr-FR"/>
        </w:rPr>
        <w:t>u</w:t>
      </w:r>
      <w:r w:rsidRPr="004B2498">
        <w:rPr>
          <w:lang w:eastAsia="fr-FR" w:bidi="fr-FR"/>
        </w:rPr>
        <w:t>voir exécutif, soulignant ainsi la vis</w:t>
      </w:r>
      <w:r w:rsidRPr="004B2498">
        <w:rPr>
          <w:lang w:eastAsia="fr-FR" w:bidi="fr-FR"/>
        </w:rPr>
        <w:t>i</w:t>
      </w:r>
      <w:r w:rsidRPr="004B2498">
        <w:rPr>
          <w:lang w:eastAsia="fr-FR" w:bidi="fr-FR"/>
        </w:rPr>
        <w:t>bilité acquise par ces groupes. Notons que tant dans la section « Politique économique » que dans celle d’« Économie », certaines informations sont</w:t>
      </w:r>
      <w:r>
        <w:t xml:space="preserve"> </w:t>
      </w:r>
      <w:r w:rsidRPr="004B2498">
        <w:t>[170]</w:t>
      </w:r>
      <w:r>
        <w:t xml:space="preserve"> </w:t>
      </w:r>
      <w:r w:rsidRPr="004B2498">
        <w:rPr>
          <w:lang w:eastAsia="fr-FR" w:bidi="fr-FR"/>
        </w:rPr>
        <w:t>interconne</w:t>
      </w:r>
      <w:r w:rsidRPr="004B2498">
        <w:rPr>
          <w:lang w:eastAsia="fr-FR" w:bidi="fr-FR"/>
        </w:rPr>
        <w:t>c</w:t>
      </w:r>
      <w:r w:rsidRPr="004B2498">
        <w:rPr>
          <w:lang w:eastAsia="fr-FR" w:bidi="fr-FR"/>
        </w:rPr>
        <w:t>tées, ce qui permet de lire la section comme une unité. L’article intit</w:t>
      </w:r>
      <w:r w:rsidRPr="004B2498">
        <w:rPr>
          <w:lang w:eastAsia="fr-FR" w:bidi="fr-FR"/>
        </w:rPr>
        <w:t>u</w:t>
      </w:r>
      <w:r w:rsidRPr="004B2498">
        <w:rPr>
          <w:lang w:eastAsia="fr-FR" w:bidi="fr-FR"/>
        </w:rPr>
        <w:t>lé « Les piqueteros de la CCC [Corriente Clasista y Convativa] du</w:t>
      </w:r>
      <w:r w:rsidRPr="004B2498">
        <w:rPr>
          <w:lang w:eastAsia="fr-FR" w:bidi="fr-FR"/>
        </w:rPr>
        <w:t>r</w:t>
      </w:r>
      <w:r w:rsidRPr="004B2498">
        <w:rPr>
          <w:lang w:eastAsia="fr-FR" w:bidi="fr-FR"/>
        </w:rPr>
        <w:t>cissent la confrontation </w:t>
      </w:r>
      <w:r>
        <w:rPr>
          <w:rStyle w:val="Appelnotedebasdep"/>
          <w:lang w:eastAsia="fr-FR" w:bidi="fr-FR"/>
        </w:rPr>
        <w:footnoteReference w:id="133"/>
      </w:r>
      <w:r w:rsidRPr="004B2498">
        <w:rPr>
          <w:lang w:eastAsia="fr-FR" w:bidi="fr-FR"/>
        </w:rPr>
        <w:t> » face à un autre intitulé « De la contest</w:t>
      </w:r>
      <w:r w:rsidRPr="004B2498">
        <w:rPr>
          <w:lang w:eastAsia="fr-FR" w:bidi="fr-FR"/>
        </w:rPr>
        <w:t>a</w:t>
      </w:r>
      <w:r w:rsidRPr="004B2498">
        <w:rPr>
          <w:lang w:eastAsia="fr-FR" w:bidi="fr-FR"/>
        </w:rPr>
        <w:t>tion aux acquis précis </w:t>
      </w:r>
      <w:r>
        <w:rPr>
          <w:rStyle w:val="Appelnotedebasdep"/>
          <w:lang w:eastAsia="fr-FR" w:bidi="fr-FR"/>
        </w:rPr>
        <w:footnoteReference w:id="134"/>
      </w:r>
      <w:r w:rsidRPr="004B2498">
        <w:rPr>
          <w:lang w:eastAsia="fr-FR" w:bidi="fr-FR"/>
        </w:rPr>
        <w:t> » (où le journaliste explique les a</w:t>
      </w:r>
      <w:r w:rsidRPr="004B2498">
        <w:rPr>
          <w:lang w:eastAsia="fr-FR" w:bidi="fr-FR"/>
        </w:rPr>
        <w:t>c</w:t>
      </w:r>
      <w:r w:rsidRPr="004B2498">
        <w:rPr>
          <w:lang w:eastAsia="fr-FR" w:bidi="fr-FR"/>
        </w:rPr>
        <w:t xml:space="preserve">tions des associations à but non lucratif) font partie de ce rapport à l’intérieur des sections du journal. L’opposition se fait ici entre confrontation et action. Les manifestations des </w:t>
      </w:r>
      <w:r w:rsidRPr="000D52EC">
        <w:rPr>
          <w:i/>
        </w:rPr>
        <w:t>piqueteros</w:t>
      </w:r>
      <w:r w:rsidRPr="004B2498">
        <w:rPr>
          <w:lang w:eastAsia="fr-FR" w:bidi="fr-FR"/>
        </w:rPr>
        <w:t xml:space="preserve"> apparai</w:t>
      </w:r>
      <w:r w:rsidRPr="004B2498">
        <w:rPr>
          <w:lang w:eastAsia="fr-FR" w:bidi="fr-FR"/>
        </w:rPr>
        <w:t>s</w:t>
      </w:r>
      <w:r w:rsidRPr="004B2498">
        <w:rPr>
          <w:lang w:eastAsia="fr-FR" w:bidi="fr-FR"/>
        </w:rPr>
        <w:t>sent comme des confrontations inutiles sans résultats positifs, tandis que les ONG, sans protestation, amèneraient des initiatives ou tentat</w:t>
      </w:r>
      <w:r w:rsidRPr="004B2498">
        <w:rPr>
          <w:lang w:eastAsia="fr-FR" w:bidi="fr-FR"/>
        </w:rPr>
        <w:t>i</w:t>
      </w:r>
      <w:r w:rsidRPr="004B2498">
        <w:rPr>
          <w:lang w:eastAsia="fr-FR" w:bidi="fr-FR"/>
        </w:rPr>
        <w:t>ves de solution. Or les actions des ONG évoquées sont financées par des allocations go</w:t>
      </w:r>
      <w:r w:rsidRPr="004B2498">
        <w:rPr>
          <w:lang w:eastAsia="fr-FR" w:bidi="fr-FR"/>
        </w:rPr>
        <w:t>u</w:t>
      </w:r>
      <w:r w:rsidRPr="004B2498">
        <w:rPr>
          <w:lang w:eastAsia="fr-FR" w:bidi="fr-FR"/>
        </w:rPr>
        <w:t xml:space="preserve">vernementales, les mêmes que celles autogérées par les MTD. En somme le contraste entre </w:t>
      </w:r>
      <w:r w:rsidRPr="00CB5F62">
        <w:rPr>
          <w:i/>
        </w:rPr>
        <w:t>contestation</w:t>
      </w:r>
      <w:r w:rsidRPr="004B2498">
        <w:t xml:space="preserve"> </w:t>
      </w:r>
      <w:r w:rsidRPr="004B2498">
        <w:rPr>
          <w:lang w:eastAsia="fr-FR" w:bidi="fr-FR"/>
        </w:rPr>
        <w:t xml:space="preserve">et </w:t>
      </w:r>
      <w:r w:rsidRPr="00CB5F62">
        <w:rPr>
          <w:i/>
        </w:rPr>
        <w:t>action</w:t>
      </w:r>
      <w:r w:rsidRPr="004B2498">
        <w:rPr>
          <w:lang w:eastAsia="fr-FR" w:bidi="fr-FR"/>
        </w:rPr>
        <w:t xml:space="preserve">, tel que le présente le quotidien dans la même page à travers les titres, ne fait qu’exprimer sa position face à deux types d’actions différentes dont une seule, celle des ONG, est considérée comme légitime et telle est l’interprétation fournie au lecteur de </w:t>
      </w:r>
      <w:r w:rsidRPr="000D52EC">
        <w:rPr>
          <w:i/>
        </w:rPr>
        <w:t>La Nación</w:t>
      </w:r>
      <w:r w:rsidRPr="004B2498">
        <w:t>.</w:t>
      </w:r>
      <w:r w:rsidRPr="004B2498">
        <w:rPr>
          <w:lang w:eastAsia="fr-FR" w:bidi="fr-FR"/>
        </w:rPr>
        <w:t xml:space="preserve"> Ce qui implique que durcir une pos</w:t>
      </w:r>
      <w:r w:rsidRPr="004B2498">
        <w:rPr>
          <w:lang w:eastAsia="fr-FR" w:bidi="fr-FR"/>
        </w:rPr>
        <w:t>i</w:t>
      </w:r>
      <w:r w:rsidRPr="004B2498">
        <w:rPr>
          <w:lang w:eastAsia="fr-FR" w:bidi="fr-FR"/>
        </w:rPr>
        <w:t>tion vis-à-vis du gouvernement ne produirait que des ennuis inutiles. Ce contraste rejoint le constat sur le rôle des ONG comme vecteurs de normes de conduite gl</w:t>
      </w:r>
      <w:r w:rsidRPr="004B2498">
        <w:rPr>
          <w:lang w:eastAsia="fr-FR" w:bidi="fr-FR"/>
        </w:rPr>
        <w:t>o</w:t>
      </w:r>
      <w:r w:rsidRPr="004B2498">
        <w:rPr>
          <w:lang w:eastAsia="fr-FR" w:bidi="fr-FR"/>
        </w:rPr>
        <w:t>bale (Hours, 2003).</w:t>
      </w:r>
    </w:p>
    <w:p w14:paraId="006CF54A" w14:textId="77777777" w:rsidR="002F4063" w:rsidRPr="004B2498" w:rsidRDefault="002F4063" w:rsidP="002F4063">
      <w:pPr>
        <w:spacing w:before="120" w:after="120"/>
        <w:jc w:val="both"/>
      </w:pPr>
      <w:r w:rsidRPr="004B2498">
        <w:rPr>
          <w:lang w:eastAsia="fr-FR" w:bidi="fr-FR"/>
        </w:rPr>
        <w:t xml:space="preserve">Voyons maintenant la une de </w:t>
      </w:r>
      <w:r w:rsidRPr="000D52EC">
        <w:rPr>
          <w:i/>
        </w:rPr>
        <w:t>La Nación</w:t>
      </w:r>
      <w:r w:rsidRPr="004B2498">
        <w:t xml:space="preserve"> </w:t>
      </w:r>
      <w:r w:rsidRPr="004B2498">
        <w:rPr>
          <w:lang w:eastAsia="fr-FR" w:bidi="fr-FR"/>
        </w:rPr>
        <w:t>quand elle montre les o</w:t>
      </w:r>
      <w:r w:rsidRPr="004B2498">
        <w:rPr>
          <w:lang w:eastAsia="fr-FR" w:bidi="fr-FR"/>
        </w:rPr>
        <w:t>r</w:t>
      </w:r>
      <w:r w:rsidRPr="004B2498">
        <w:rPr>
          <w:lang w:eastAsia="fr-FR" w:bidi="fr-FR"/>
        </w:rPr>
        <w:t xml:space="preserve">ganisations de </w:t>
      </w:r>
      <w:r w:rsidRPr="004B2498">
        <w:t>desocupados.</w:t>
      </w:r>
      <w:r w:rsidRPr="004B2498">
        <w:rPr>
          <w:lang w:eastAsia="fr-FR" w:bidi="fr-FR"/>
        </w:rPr>
        <w:t xml:space="preserve"> Pendant la période analysée, les organis</w:t>
      </w:r>
      <w:r w:rsidRPr="004B2498">
        <w:rPr>
          <w:lang w:eastAsia="fr-FR" w:bidi="fr-FR"/>
        </w:rPr>
        <w:t>a</w:t>
      </w:r>
      <w:r w:rsidRPr="004B2498">
        <w:rPr>
          <w:lang w:eastAsia="fr-FR" w:bidi="fr-FR"/>
        </w:rPr>
        <w:t xml:space="preserve">tions </w:t>
      </w:r>
      <w:r w:rsidRPr="004B2498">
        <w:t>piqueteras</w:t>
      </w:r>
      <w:r w:rsidRPr="004B2498">
        <w:rPr>
          <w:lang w:eastAsia="fr-FR" w:bidi="fr-FR"/>
        </w:rPr>
        <w:t xml:space="preserve"> ne feront la une qu’une seule fois et exceptionnell</w:t>
      </w:r>
      <w:r w:rsidRPr="004B2498">
        <w:rPr>
          <w:lang w:eastAsia="fr-FR" w:bidi="fr-FR"/>
        </w:rPr>
        <w:t>e</w:t>
      </w:r>
      <w:r w:rsidRPr="004B2498">
        <w:rPr>
          <w:lang w:eastAsia="fr-FR" w:bidi="fr-FR"/>
        </w:rPr>
        <w:t>ment le 12 février 2002 sous l’avant-titre « Les deux faces d’une jou</w:t>
      </w:r>
      <w:r w:rsidRPr="004B2498">
        <w:rPr>
          <w:lang w:eastAsia="fr-FR" w:bidi="fr-FR"/>
        </w:rPr>
        <w:t>r</w:t>
      </w:r>
      <w:r w:rsidRPr="004B2498">
        <w:rPr>
          <w:lang w:eastAsia="fr-FR" w:bidi="fr-FR"/>
        </w:rPr>
        <w:t xml:space="preserve">née atypique » </w:t>
      </w:r>
      <w:r w:rsidRPr="004B2498">
        <w:t>(</w:t>
      </w:r>
      <w:r w:rsidRPr="000D52EC">
        <w:rPr>
          <w:i/>
        </w:rPr>
        <w:t>Las dos caras de una jornada atipica</w:t>
      </w:r>
      <w:r w:rsidRPr="004B2498">
        <w:t>)</w:t>
      </w:r>
      <w:r w:rsidRPr="004B2498">
        <w:rPr>
          <w:lang w:eastAsia="fr-FR" w:bidi="fr-FR"/>
        </w:rPr>
        <w:t xml:space="preserve"> et le titre « </w:t>
      </w:r>
      <w:r w:rsidRPr="000D52EC">
        <w:rPr>
          <w:i/>
          <w:lang w:eastAsia="fr-FR" w:bidi="fr-FR"/>
        </w:rPr>
        <w:t xml:space="preserve">De la City aux </w:t>
      </w:r>
      <w:r w:rsidRPr="000D52EC">
        <w:rPr>
          <w:i/>
        </w:rPr>
        <w:t>piquetes</w:t>
      </w:r>
      <w:r w:rsidRPr="000D52EC">
        <w:rPr>
          <w:i/>
          <w:lang w:eastAsia="fr-FR" w:bidi="fr-FR"/>
        </w:rPr>
        <w:t> </w:t>
      </w:r>
      <w:r w:rsidRPr="004B2498">
        <w:rPr>
          <w:lang w:eastAsia="fr-FR" w:bidi="fr-FR"/>
        </w:rPr>
        <w:t xml:space="preserve">» </w:t>
      </w:r>
      <w:r w:rsidRPr="004B2498">
        <w:t>(</w:t>
      </w:r>
      <w:r w:rsidRPr="000D52EC">
        <w:rPr>
          <w:i/>
        </w:rPr>
        <w:t>De la City a los piquetes</w:t>
      </w:r>
      <w:r w:rsidRPr="004B2498">
        <w:t>).</w:t>
      </w:r>
      <w:r w:rsidRPr="004B2498">
        <w:rPr>
          <w:lang w:eastAsia="fr-FR" w:bidi="fr-FR"/>
        </w:rPr>
        <w:t xml:space="preserve"> Plus précis</w:t>
      </w:r>
      <w:r w:rsidRPr="004B2498">
        <w:rPr>
          <w:lang w:eastAsia="fr-FR" w:bidi="fr-FR"/>
        </w:rPr>
        <w:t>é</w:t>
      </w:r>
      <w:r w:rsidRPr="004B2498">
        <w:rPr>
          <w:lang w:eastAsia="fr-FR" w:bidi="fr-FR"/>
        </w:rPr>
        <w:t xml:space="preserve">ment, le journal propose une analyse hyperbolique dans laquelle les </w:t>
      </w:r>
      <w:r w:rsidRPr="000D52EC">
        <w:rPr>
          <w:i/>
        </w:rPr>
        <w:t>piquetes</w:t>
      </w:r>
      <w:r w:rsidRPr="004B2498">
        <w:rPr>
          <w:lang w:eastAsia="fr-FR" w:bidi="fr-FR"/>
        </w:rPr>
        <w:t xml:space="preserve"> sont dotés du même pouvoir que la City f</w:t>
      </w:r>
      <w:r w:rsidRPr="004B2498">
        <w:rPr>
          <w:lang w:eastAsia="fr-FR" w:bidi="fr-FR"/>
        </w:rPr>
        <w:t>i</w:t>
      </w:r>
      <w:r w:rsidRPr="004B2498">
        <w:rPr>
          <w:lang w:eastAsia="fr-FR" w:bidi="fr-FR"/>
        </w:rPr>
        <w:t xml:space="preserve">nancière, celui d’immobiliser le pays. Plus tard les deux nouvelles seront développées séparément dans la section </w:t>
      </w:r>
      <w:r w:rsidRPr="000D52EC">
        <w:rPr>
          <w:i/>
        </w:rPr>
        <w:t>Politique économique</w:t>
      </w:r>
      <w:r w:rsidRPr="004B2498">
        <w:rPr>
          <w:lang w:eastAsia="fr-FR" w:bidi="fr-FR"/>
        </w:rPr>
        <w:t xml:space="preserve"> et commentées re</w:t>
      </w:r>
      <w:r w:rsidRPr="004B2498">
        <w:rPr>
          <w:lang w:eastAsia="fr-FR" w:bidi="fr-FR"/>
        </w:rPr>
        <w:t>s</w:t>
      </w:r>
      <w:r w:rsidRPr="004B2498">
        <w:rPr>
          <w:lang w:eastAsia="fr-FR" w:bidi="fr-FR"/>
        </w:rPr>
        <w:t xml:space="preserve">pectivement dans </w:t>
      </w:r>
      <w:r w:rsidRPr="004B2498">
        <w:t>Information générale </w:t>
      </w:r>
      <w:r>
        <w:rPr>
          <w:rStyle w:val="Appelnotedebasdep"/>
        </w:rPr>
        <w:footnoteReference w:id="135"/>
      </w:r>
      <w:r w:rsidRPr="004B2498">
        <w:t>.</w:t>
      </w:r>
      <w:r w:rsidRPr="004B2498">
        <w:rPr>
          <w:lang w:eastAsia="fr-FR" w:bidi="fr-FR"/>
        </w:rPr>
        <w:t xml:space="preserve"> Cette place dans le journal montre déjà que l’équivalence n’est que superficielle. Nous constatons que si dans </w:t>
      </w:r>
      <w:r w:rsidRPr="000D52EC">
        <w:rPr>
          <w:i/>
        </w:rPr>
        <w:t>La Nación</w:t>
      </w:r>
      <w:r w:rsidRPr="004B2498">
        <w:rPr>
          <w:lang w:eastAsia="fr-FR" w:bidi="fr-FR"/>
        </w:rPr>
        <w:t xml:space="preserve"> les </w:t>
      </w:r>
      <w:r w:rsidRPr="004B2498">
        <w:t>piqueteros</w:t>
      </w:r>
      <w:r w:rsidRPr="004B2498">
        <w:rPr>
          <w:lang w:eastAsia="fr-FR" w:bidi="fr-FR"/>
        </w:rPr>
        <w:t xml:space="preserve"> font la une, c’est pour surdime</w:t>
      </w:r>
      <w:r w:rsidRPr="004B2498">
        <w:rPr>
          <w:lang w:eastAsia="fr-FR" w:bidi="fr-FR"/>
        </w:rPr>
        <w:t>n</w:t>
      </w:r>
      <w:r w:rsidRPr="004B2498">
        <w:rPr>
          <w:lang w:eastAsia="fr-FR" w:bidi="fr-FR"/>
        </w:rPr>
        <w:t>sionner la situation de blocage produite comme si elle était équivale</w:t>
      </w:r>
      <w:r w:rsidRPr="004B2498">
        <w:rPr>
          <w:lang w:eastAsia="fr-FR" w:bidi="fr-FR"/>
        </w:rPr>
        <w:t>n</w:t>
      </w:r>
      <w:r w:rsidRPr="004B2498">
        <w:rPr>
          <w:lang w:eastAsia="fr-FR" w:bidi="fr-FR"/>
        </w:rPr>
        <w:t>te à l’arrêt de la City financière. Cette tonalité paraît encore plus ma</w:t>
      </w:r>
      <w:r w:rsidRPr="004B2498">
        <w:rPr>
          <w:lang w:eastAsia="fr-FR" w:bidi="fr-FR"/>
        </w:rPr>
        <w:t>r</w:t>
      </w:r>
      <w:r w:rsidRPr="004B2498">
        <w:rPr>
          <w:lang w:eastAsia="fr-FR" w:bidi="fr-FR"/>
        </w:rPr>
        <w:t>quée dans le texte d’opinion développé à l’intérieur du journal et r</w:t>
      </w:r>
      <w:r w:rsidRPr="004B2498">
        <w:rPr>
          <w:lang w:eastAsia="fr-FR" w:bidi="fr-FR"/>
        </w:rPr>
        <w:t>é</w:t>
      </w:r>
      <w:r w:rsidRPr="004B2498">
        <w:rPr>
          <w:lang w:eastAsia="fr-FR" w:bidi="fr-FR"/>
        </w:rPr>
        <w:t>sumé ainsi par le journaliste : « Tout simplement, encore une démon</w:t>
      </w:r>
      <w:r w:rsidRPr="004B2498">
        <w:rPr>
          <w:lang w:eastAsia="fr-FR" w:bidi="fr-FR"/>
        </w:rPr>
        <w:t>s</w:t>
      </w:r>
      <w:r w:rsidRPr="004B2498">
        <w:rPr>
          <w:lang w:eastAsia="fr-FR" w:bidi="fr-FR"/>
        </w:rPr>
        <w:t>tration de</w:t>
      </w:r>
      <w:r w:rsidRPr="004B2498">
        <w:t xml:space="preserve"> [171]</w:t>
      </w:r>
      <w:r>
        <w:t xml:space="preserve"> </w:t>
      </w:r>
      <w:r w:rsidRPr="004B2498">
        <w:rPr>
          <w:lang w:eastAsia="fr-FR" w:bidi="fr-FR"/>
        </w:rPr>
        <w:t>force </w:t>
      </w:r>
      <w:r>
        <w:rPr>
          <w:rStyle w:val="Appelnotedebasdep"/>
          <w:lang w:eastAsia="fr-FR" w:bidi="fr-FR"/>
        </w:rPr>
        <w:footnoteReference w:id="136"/>
      </w:r>
      <w:r w:rsidRPr="004B2498">
        <w:rPr>
          <w:lang w:eastAsia="fr-FR" w:bidi="fr-FR"/>
        </w:rPr>
        <w:t xml:space="preserve">. » Nous constatons que, si dans </w:t>
      </w:r>
      <w:r w:rsidRPr="000D52EC">
        <w:rPr>
          <w:i/>
        </w:rPr>
        <w:t>La Nación</w:t>
      </w:r>
      <w:r w:rsidRPr="004B2498">
        <w:rPr>
          <w:lang w:eastAsia="fr-FR" w:bidi="fr-FR"/>
        </w:rPr>
        <w:t xml:space="preserve">, les </w:t>
      </w:r>
      <w:r w:rsidRPr="000D52EC">
        <w:rPr>
          <w:i/>
        </w:rPr>
        <w:t>piquet</w:t>
      </w:r>
      <w:r w:rsidRPr="000D52EC">
        <w:rPr>
          <w:i/>
        </w:rPr>
        <w:t>e</w:t>
      </w:r>
      <w:r w:rsidRPr="000D52EC">
        <w:rPr>
          <w:i/>
        </w:rPr>
        <w:t>ros</w:t>
      </w:r>
      <w:r w:rsidRPr="004B2498">
        <w:rPr>
          <w:lang w:eastAsia="fr-FR" w:bidi="fr-FR"/>
        </w:rPr>
        <w:t xml:space="preserve"> font la une, c’est pour surdimensionner le blocage dans une période de forte instabilité.</w:t>
      </w:r>
    </w:p>
    <w:p w14:paraId="6F0AC510" w14:textId="77777777" w:rsidR="002F4063" w:rsidRPr="004B2498" w:rsidRDefault="002F4063" w:rsidP="002F4063">
      <w:pPr>
        <w:spacing w:before="120" w:after="120"/>
        <w:jc w:val="both"/>
      </w:pPr>
      <w:r w:rsidRPr="004B2498">
        <w:rPr>
          <w:lang w:eastAsia="fr-FR" w:bidi="fr-FR"/>
        </w:rPr>
        <w:t>Les objectifs des manifestations sont exclus des analyses d’opinion. Ce qui permet au journaliste Gallo de discréditer cette fo</w:t>
      </w:r>
      <w:r w:rsidRPr="004B2498">
        <w:rPr>
          <w:lang w:eastAsia="fr-FR" w:bidi="fr-FR"/>
        </w:rPr>
        <w:t>r</w:t>
      </w:r>
      <w:r w:rsidRPr="004B2498">
        <w:rPr>
          <w:lang w:eastAsia="fr-FR" w:bidi="fr-FR"/>
        </w:rPr>
        <w:t>me de protestation, comme si elle n’avait ni raison d’être, ni justific</w:t>
      </w:r>
      <w:r w:rsidRPr="004B2498">
        <w:rPr>
          <w:lang w:eastAsia="fr-FR" w:bidi="fr-FR"/>
        </w:rPr>
        <w:t>a</w:t>
      </w:r>
      <w:r w:rsidRPr="004B2498">
        <w:rPr>
          <w:lang w:eastAsia="fr-FR" w:bidi="fr-FR"/>
        </w:rPr>
        <w:t>tion : il conforte ainsi ses propres hypothèses d’interprétation et la manifestation apparaît comme une démonstration de force opportuni</w:t>
      </w:r>
      <w:r w:rsidRPr="004B2498">
        <w:rPr>
          <w:lang w:eastAsia="fr-FR" w:bidi="fr-FR"/>
        </w:rPr>
        <w:t>s</w:t>
      </w:r>
      <w:r w:rsidRPr="004B2498">
        <w:rPr>
          <w:lang w:eastAsia="fr-FR" w:bidi="fr-FR"/>
        </w:rPr>
        <w:t>te. De ce fait, les journaux sont pris en compte comme sources d’information - sans qu’on les considère pour autant comme une e</w:t>
      </w:r>
      <w:r w:rsidRPr="004B2498">
        <w:rPr>
          <w:lang w:eastAsia="fr-FR" w:bidi="fr-FR"/>
        </w:rPr>
        <w:t>x</w:t>
      </w:r>
      <w:r w:rsidRPr="004B2498">
        <w:rPr>
          <w:lang w:eastAsia="fr-FR" w:bidi="fr-FR"/>
        </w:rPr>
        <w:t xml:space="preserve">pression unique -, et contribuent dans notre analyse à saisir le contexte social et politique dont émergent les organisations de </w:t>
      </w:r>
      <w:r w:rsidRPr="004B2498">
        <w:t>desocupados</w:t>
      </w:r>
    </w:p>
    <w:p w14:paraId="0B36F076" w14:textId="77777777" w:rsidR="002F4063" w:rsidRPr="004B2498" w:rsidRDefault="002F4063" w:rsidP="002F4063">
      <w:pPr>
        <w:spacing w:before="120" w:after="120"/>
        <w:jc w:val="both"/>
        <w:rPr>
          <w:szCs w:val="24"/>
          <w:lang w:eastAsia="fr-FR" w:bidi="fr-FR"/>
        </w:rPr>
      </w:pPr>
      <w:r>
        <w:rPr>
          <w:szCs w:val="24"/>
          <w:lang w:eastAsia="fr-FR" w:bidi="fr-FR"/>
        </w:rPr>
        <w:br w:type="page"/>
      </w:r>
    </w:p>
    <w:p w14:paraId="55B38A8D" w14:textId="77777777" w:rsidR="002F4063" w:rsidRPr="004B2498" w:rsidRDefault="002F4063" w:rsidP="002F4063">
      <w:pPr>
        <w:pStyle w:val="a"/>
      </w:pPr>
      <w:r w:rsidRPr="004B2498">
        <w:t>La parole des dirigeants :</w:t>
      </w:r>
      <w:r>
        <w:br/>
      </w:r>
      <w:r w:rsidRPr="004B2498">
        <w:t>rengagement dans la sphère publ</w:t>
      </w:r>
      <w:r w:rsidRPr="004B2498">
        <w:t>i</w:t>
      </w:r>
      <w:r w:rsidRPr="004B2498">
        <w:t>que</w:t>
      </w:r>
    </w:p>
    <w:p w14:paraId="63D71917" w14:textId="77777777" w:rsidR="002F4063" w:rsidRPr="004B2498" w:rsidRDefault="002F4063" w:rsidP="002F4063">
      <w:pPr>
        <w:spacing w:before="120" w:after="120"/>
        <w:jc w:val="both"/>
        <w:rPr>
          <w:lang w:eastAsia="fr-FR" w:bidi="fr-FR"/>
        </w:rPr>
      </w:pPr>
    </w:p>
    <w:p w14:paraId="4DEA6757" w14:textId="77777777" w:rsidR="002F4063" w:rsidRPr="004B2498" w:rsidRDefault="002F4063" w:rsidP="002F4063">
      <w:pPr>
        <w:spacing w:before="120" w:after="120"/>
        <w:jc w:val="both"/>
      </w:pPr>
      <w:r w:rsidRPr="004B2498">
        <w:rPr>
          <w:lang w:eastAsia="fr-FR" w:bidi="fr-FR"/>
        </w:rPr>
        <w:t>Dans son ouvrage sur les théories de l’action collective, Daniel C</w:t>
      </w:r>
      <w:r w:rsidRPr="004B2498">
        <w:rPr>
          <w:lang w:eastAsia="fr-FR" w:bidi="fr-FR"/>
        </w:rPr>
        <w:t>e</w:t>
      </w:r>
      <w:r w:rsidRPr="004B2498">
        <w:rPr>
          <w:lang w:eastAsia="fr-FR" w:bidi="fr-FR"/>
        </w:rPr>
        <w:t>faï (2007) fait dialoguer les traditions de la sociologie française et américaine dans le traitement des phénomènes collectifs. Il pa</w:t>
      </w:r>
      <w:r w:rsidRPr="004B2498">
        <w:rPr>
          <w:lang w:eastAsia="fr-FR" w:bidi="fr-FR"/>
        </w:rPr>
        <w:t>r</w:t>
      </w:r>
      <w:r w:rsidRPr="004B2498">
        <w:rPr>
          <w:lang w:eastAsia="fr-FR" w:bidi="fr-FR"/>
        </w:rPr>
        <w:t>vient de la sorte à montrer les multiples définitions opérationne</w:t>
      </w:r>
      <w:r w:rsidRPr="004B2498">
        <w:rPr>
          <w:lang w:eastAsia="fr-FR" w:bidi="fr-FR"/>
        </w:rPr>
        <w:t>l</w:t>
      </w:r>
      <w:r w:rsidRPr="004B2498">
        <w:rPr>
          <w:lang w:eastAsia="fr-FR" w:bidi="fr-FR"/>
        </w:rPr>
        <w:t>les autour de « l’action collective ». L’auteur nous livre un tableau des différe</w:t>
      </w:r>
      <w:r w:rsidRPr="004B2498">
        <w:rPr>
          <w:lang w:eastAsia="fr-FR" w:bidi="fr-FR"/>
        </w:rPr>
        <w:t>n</w:t>
      </w:r>
      <w:r w:rsidRPr="004B2498">
        <w:rPr>
          <w:lang w:eastAsia="fr-FR" w:bidi="fr-FR"/>
        </w:rPr>
        <w:t>tes approches dans lequel chacun des tenants postule des objets emp</w:t>
      </w:r>
      <w:r w:rsidRPr="004B2498">
        <w:rPr>
          <w:lang w:eastAsia="fr-FR" w:bidi="fr-FR"/>
        </w:rPr>
        <w:t>i</w:t>
      </w:r>
      <w:r w:rsidRPr="004B2498">
        <w:rPr>
          <w:lang w:eastAsia="fr-FR" w:bidi="fr-FR"/>
        </w:rPr>
        <w:t>riques divers. Un des problèmes notamment susc</w:t>
      </w:r>
      <w:r w:rsidRPr="004B2498">
        <w:rPr>
          <w:lang w:eastAsia="fr-FR" w:bidi="fr-FR"/>
        </w:rPr>
        <w:t>i</w:t>
      </w:r>
      <w:r w:rsidRPr="004B2498">
        <w:rPr>
          <w:lang w:eastAsia="fr-FR" w:bidi="fr-FR"/>
        </w:rPr>
        <w:t>tés par les diverses approches consiste en la tendance à privilégier une série de phénom</w:t>
      </w:r>
      <w:r w:rsidRPr="004B2498">
        <w:rPr>
          <w:lang w:eastAsia="fr-FR" w:bidi="fr-FR"/>
        </w:rPr>
        <w:t>è</w:t>
      </w:r>
      <w:r w:rsidRPr="004B2498">
        <w:rPr>
          <w:lang w:eastAsia="fr-FR" w:bidi="fr-FR"/>
        </w:rPr>
        <w:t>nes et à en laisser d’autres de côté. Nota</w:t>
      </w:r>
      <w:r w:rsidRPr="004B2498">
        <w:rPr>
          <w:lang w:eastAsia="fr-FR" w:bidi="fr-FR"/>
        </w:rPr>
        <w:t>m</w:t>
      </w:r>
      <w:r w:rsidRPr="004B2498">
        <w:rPr>
          <w:lang w:eastAsia="fr-FR" w:bidi="fr-FR"/>
        </w:rPr>
        <w:t>ment l’étude des rumeurs, présente au début des analyses sur le « comportement collectif », est laissée de côté au profit des études des organisations comme des e</w:t>
      </w:r>
      <w:r w:rsidRPr="004B2498">
        <w:rPr>
          <w:lang w:eastAsia="fr-FR" w:bidi="fr-FR"/>
        </w:rPr>
        <w:t>n</w:t>
      </w:r>
      <w:r w:rsidRPr="004B2498">
        <w:rPr>
          <w:lang w:eastAsia="fr-FR" w:bidi="fr-FR"/>
        </w:rPr>
        <w:t>treprises engendrant des problèmes publics. Mais cette position pou</w:t>
      </w:r>
      <w:r w:rsidRPr="004B2498">
        <w:rPr>
          <w:lang w:eastAsia="fr-FR" w:bidi="fr-FR"/>
        </w:rPr>
        <w:t>s</w:t>
      </w:r>
      <w:r w:rsidRPr="004B2498">
        <w:rPr>
          <w:lang w:eastAsia="fr-FR" w:bidi="fr-FR"/>
        </w:rPr>
        <w:t>sée à l’extrême tend à pr</w:t>
      </w:r>
      <w:r w:rsidRPr="004B2498">
        <w:rPr>
          <w:lang w:eastAsia="fr-FR" w:bidi="fr-FR"/>
        </w:rPr>
        <w:t>o</w:t>
      </w:r>
      <w:r w:rsidRPr="004B2498">
        <w:rPr>
          <w:lang w:eastAsia="fr-FR" w:bidi="fr-FR"/>
        </w:rPr>
        <w:t>duire un réductionnisme économiciste. En revanche, dans une perspective culturaliste, les ressources des organ</w:t>
      </w:r>
      <w:r w:rsidRPr="004B2498">
        <w:rPr>
          <w:lang w:eastAsia="fr-FR" w:bidi="fr-FR"/>
        </w:rPr>
        <w:t>i</w:t>
      </w:r>
      <w:r w:rsidRPr="004B2498">
        <w:rPr>
          <w:lang w:eastAsia="fr-FR" w:bidi="fr-FR"/>
        </w:rPr>
        <w:t>sations ou les opportunités politiques sont tout d’abord interprétées par des a</w:t>
      </w:r>
      <w:r w:rsidRPr="004B2498">
        <w:rPr>
          <w:lang w:eastAsia="fr-FR" w:bidi="fr-FR"/>
        </w:rPr>
        <w:t>c</w:t>
      </w:r>
      <w:r w:rsidRPr="004B2498">
        <w:rPr>
          <w:lang w:eastAsia="fr-FR" w:bidi="fr-FR"/>
        </w:rPr>
        <w:t>teurs qui dans les pratiques et les cultures adoptent certaines re</w:t>
      </w:r>
      <w:r w:rsidRPr="004B2498">
        <w:rPr>
          <w:lang w:eastAsia="fr-FR" w:bidi="fr-FR"/>
        </w:rPr>
        <w:t>s</w:t>
      </w:r>
      <w:r w:rsidRPr="004B2498">
        <w:rPr>
          <w:lang w:eastAsia="fr-FR" w:bidi="fr-FR"/>
        </w:rPr>
        <w:t>sources comme telles. Autrement dit, les ressources ne sont pas des données objectives qui expliqueraient l’émergence de l’action colle</w:t>
      </w:r>
      <w:r w:rsidRPr="004B2498">
        <w:rPr>
          <w:lang w:eastAsia="fr-FR" w:bidi="fr-FR"/>
        </w:rPr>
        <w:t>c</w:t>
      </w:r>
      <w:r w:rsidRPr="004B2498">
        <w:rPr>
          <w:lang w:eastAsia="fr-FR" w:bidi="fr-FR"/>
        </w:rPr>
        <w:t>tive mais prennent cette dimension selon les moments hist</w:t>
      </w:r>
      <w:r w:rsidRPr="004B2498">
        <w:rPr>
          <w:lang w:eastAsia="fr-FR" w:bidi="fr-FR"/>
        </w:rPr>
        <w:t>o</w:t>
      </w:r>
      <w:r w:rsidRPr="004B2498">
        <w:rPr>
          <w:lang w:eastAsia="fr-FR" w:bidi="fr-FR"/>
        </w:rPr>
        <w:t>riques et les groupes concernés.</w:t>
      </w:r>
    </w:p>
    <w:p w14:paraId="348B423B" w14:textId="77777777" w:rsidR="002F4063" w:rsidRPr="004B2498" w:rsidRDefault="002F4063" w:rsidP="002F4063">
      <w:pPr>
        <w:spacing w:before="120" w:after="120"/>
        <w:jc w:val="both"/>
      </w:pPr>
      <w:r w:rsidRPr="004B2498">
        <w:rPr>
          <w:lang w:eastAsia="fr-FR" w:bidi="fr-FR"/>
        </w:rPr>
        <w:t xml:space="preserve">Dans les études sur les organisations de </w:t>
      </w:r>
      <w:r w:rsidRPr="000D52EC">
        <w:rPr>
          <w:i/>
        </w:rPr>
        <w:t>desocupados</w:t>
      </w:r>
      <w:r w:rsidRPr="004B2498">
        <w:t>,</w:t>
      </w:r>
      <w:r w:rsidRPr="004B2498">
        <w:rPr>
          <w:lang w:eastAsia="fr-FR" w:bidi="fr-FR"/>
        </w:rPr>
        <w:t xml:space="preserve"> l’ensemble des analyses se penche sur la visibilité des mobilisations de rues comme un moment décisif. Néanmoins, comme nous l’avons constaté, elles ne peuvent pas rendre compte des multiples modalités d’engagement à l’œuvre et</w:t>
      </w:r>
      <w:r>
        <w:t xml:space="preserve"> </w:t>
      </w:r>
      <w:r w:rsidRPr="004B2498">
        <w:t>[172]</w:t>
      </w:r>
      <w:r>
        <w:t xml:space="preserve"> </w:t>
      </w:r>
      <w:r w:rsidRPr="004B2498">
        <w:rPr>
          <w:lang w:eastAsia="fr-FR" w:bidi="fr-FR"/>
        </w:rPr>
        <w:t>donnent lieu à des analyses binaires, privilégiant le moment du conflit. Ces approches ne restituent pas la complexité des phénomènes étudiés, ni les transformations et hésit</w:t>
      </w:r>
      <w:r w:rsidRPr="004B2498">
        <w:rPr>
          <w:lang w:eastAsia="fr-FR" w:bidi="fr-FR"/>
        </w:rPr>
        <w:t>a</w:t>
      </w:r>
      <w:r w:rsidRPr="004B2498">
        <w:rPr>
          <w:lang w:eastAsia="fr-FR" w:bidi="fr-FR"/>
        </w:rPr>
        <w:t>tions qui sont au cœur des m</w:t>
      </w:r>
      <w:r w:rsidRPr="004B2498">
        <w:rPr>
          <w:lang w:eastAsia="fr-FR" w:bidi="fr-FR"/>
        </w:rPr>
        <w:t>o</w:t>
      </w:r>
      <w:r w:rsidRPr="004B2498">
        <w:rPr>
          <w:lang w:eastAsia="fr-FR" w:bidi="fr-FR"/>
        </w:rPr>
        <w:t>dalités d’engagement des membres. En effet, elles construisent l’objet d’étude en procédant à une focalisation qui élimine d’emblée l’interrogation sur l’engagement. Néanmoins leur importance dans la définition des stratégies de présentation publ</w:t>
      </w:r>
      <w:r w:rsidRPr="004B2498">
        <w:rPr>
          <w:lang w:eastAsia="fr-FR" w:bidi="fr-FR"/>
        </w:rPr>
        <w:t>i</w:t>
      </w:r>
      <w:r w:rsidRPr="004B2498">
        <w:rPr>
          <w:lang w:eastAsia="fr-FR" w:bidi="fr-FR"/>
        </w:rPr>
        <w:t>que, d’expression du conflit et de mobilisation des groupes mérite une analyse détaillée. Sur le ton d’une évidence, un dir</w:t>
      </w:r>
      <w:r w:rsidRPr="004B2498">
        <w:rPr>
          <w:lang w:eastAsia="fr-FR" w:bidi="fr-FR"/>
        </w:rPr>
        <w:t>i</w:t>
      </w:r>
      <w:r w:rsidRPr="004B2498">
        <w:rPr>
          <w:lang w:eastAsia="fr-FR" w:bidi="fr-FR"/>
        </w:rPr>
        <w:t>geant de La Verón émet un pronostic sur le résultat des élections présidentielles en mai 2003 :</w:t>
      </w:r>
    </w:p>
    <w:p w14:paraId="5D78B22A" w14:textId="77777777" w:rsidR="002F4063" w:rsidRDefault="002F4063" w:rsidP="002F4063">
      <w:pPr>
        <w:pStyle w:val="Grillecouleur-Accent1"/>
        <w:rPr>
          <w:lang w:eastAsia="fr-FR" w:bidi="fr-FR"/>
        </w:rPr>
      </w:pPr>
    </w:p>
    <w:p w14:paraId="7A57E233" w14:textId="77777777" w:rsidR="002F4063" w:rsidRDefault="002F4063" w:rsidP="002F4063">
      <w:pPr>
        <w:pStyle w:val="Grillecouleur-Accent1"/>
        <w:rPr>
          <w:lang w:eastAsia="fr-FR" w:bidi="fr-FR"/>
        </w:rPr>
      </w:pPr>
      <w:r w:rsidRPr="004B2498">
        <w:rPr>
          <w:lang w:eastAsia="fr-FR" w:bidi="fr-FR"/>
        </w:rPr>
        <w:t xml:space="preserve">La seule chose que l’establishment a préparée pour </w:t>
      </w:r>
      <w:r w:rsidRPr="004B2498">
        <w:t>nous</w:t>
      </w:r>
      <w:r w:rsidRPr="004B2498">
        <w:rPr>
          <w:lang w:eastAsia="fr-FR" w:bidi="fr-FR"/>
        </w:rPr>
        <w:t xml:space="preserve"> c’est le bâton </w:t>
      </w:r>
      <w:r w:rsidRPr="004B2498">
        <w:t>[</w:t>
      </w:r>
      <w:r w:rsidRPr="000D52EC">
        <w:rPr>
          <w:i/>
        </w:rPr>
        <w:t>el garrote</w:t>
      </w:r>
      <w:r w:rsidRPr="004B2498">
        <w:rPr>
          <w:lang w:eastAsia="fr-FR" w:bidi="fr-FR"/>
        </w:rPr>
        <w:t xml:space="preserve">]. Cela, on le sait déjà. Certains [candidats] le feront plus vite et d’autres plus lentement mais c’est cela qui nous attend. C’est pour cela que nous nous mobilisons. Tout d’abord, par solidarité avec les </w:t>
      </w:r>
      <w:r w:rsidRPr="004B2498">
        <w:t>compan</w:t>
      </w:r>
      <w:r w:rsidRPr="004B2498">
        <w:t>e</w:t>
      </w:r>
      <w:r w:rsidRPr="004B2498">
        <w:t>ros.</w:t>
      </w:r>
      <w:r w:rsidRPr="004B2498">
        <w:rPr>
          <w:lang w:eastAsia="fr-FR" w:bidi="fr-FR"/>
        </w:rPr>
        <w:t xml:space="preserve"> Mais aussi parce nous savons bien que si l’on touche </w:t>
      </w:r>
      <w:r w:rsidRPr="004B2498">
        <w:t>un des nôtres, nous sommes tous touchés.</w:t>
      </w:r>
      <w:r w:rsidRPr="004B2498">
        <w:rPr>
          <w:lang w:eastAsia="fr-FR" w:bidi="fr-FR"/>
        </w:rPr>
        <w:t xml:space="preserve"> Ces choses [la r</w:t>
      </w:r>
      <w:r w:rsidRPr="004B2498">
        <w:rPr>
          <w:lang w:eastAsia="fr-FR" w:bidi="fr-FR"/>
        </w:rPr>
        <w:t>é</w:t>
      </w:r>
      <w:r w:rsidRPr="004B2498">
        <w:rPr>
          <w:lang w:eastAsia="fr-FR" w:bidi="fr-FR"/>
        </w:rPr>
        <w:t>pression] tu ne peux pas les laisser passer, autrement elles se général</w:t>
      </w:r>
      <w:r w:rsidRPr="004B2498">
        <w:rPr>
          <w:lang w:eastAsia="fr-FR" w:bidi="fr-FR"/>
        </w:rPr>
        <w:t>i</w:t>
      </w:r>
      <w:r w:rsidRPr="004B2498">
        <w:rPr>
          <w:lang w:eastAsia="fr-FR" w:bidi="fr-FR"/>
        </w:rPr>
        <w:t>sent</w:t>
      </w:r>
      <w:r>
        <w:rPr>
          <w:lang w:eastAsia="fr-FR" w:bidi="fr-FR"/>
        </w:rPr>
        <w:t> </w:t>
      </w:r>
      <w:r>
        <w:rPr>
          <w:rStyle w:val="Appelnotedebasdep"/>
          <w:lang w:eastAsia="fr-FR" w:bidi="fr-FR"/>
        </w:rPr>
        <w:footnoteReference w:id="137"/>
      </w:r>
      <w:r w:rsidRPr="004B2498">
        <w:rPr>
          <w:lang w:eastAsia="fr-FR" w:bidi="fr-FR"/>
        </w:rPr>
        <w:t>.</w:t>
      </w:r>
    </w:p>
    <w:p w14:paraId="188DC2C7" w14:textId="77777777" w:rsidR="002F4063" w:rsidRPr="004B2498" w:rsidRDefault="002F4063" w:rsidP="002F4063">
      <w:pPr>
        <w:pStyle w:val="Grillecouleur-Accent1"/>
      </w:pPr>
    </w:p>
    <w:p w14:paraId="117616B3" w14:textId="77777777" w:rsidR="002F4063" w:rsidRPr="004B2498" w:rsidRDefault="002F4063" w:rsidP="002F4063">
      <w:pPr>
        <w:spacing w:before="120" w:after="120"/>
        <w:jc w:val="both"/>
      </w:pPr>
      <w:r w:rsidRPr="004B2498">
        <w:rPr>
          <w:lang w:eastAsia="fr-FR" w:bidi="fr-FR"/>
        </w:rPr>
        <w:t>Ces moments privilégiés de conflit rendent effectivement vis</w:t>
      </w:r>
      <w:r w:rsidRPr="004B2498">
        <w:rPr>
          <w:lang w:eastAsia="fr-FR" w:bidi="fr-FR"/>
        </w:rPr>
        <w:t>i</w:t>
      </w:r>
      <w:r w:rsidRPr="004B2498">
        <w:rPr>
          <w:lang w:eastAsia="fr-FR" w:bidi="fr-FR"/>
        </w:rPr>
        <w:t>ble un « nous » fort, presque physique, résumé par la formule : « si l'on touche à l’un des nôtres, on nous touche tous », en répo</w:t>
      </w:r>
      <w:r w:rsidRPr="004B2498">
        <w:rPr>
          <w:lang w:eastAsia="fr-FR" w:bidi="fr-FR"/>
        </w:rPr>
        <w:t>n</w:t>
      </w:r>
      <w:r w:rsidRPr="004B2498">
        <w:rPr>
          <w:lang w:eastAsia="fr-FR" w:bidi="fr-FR"/>
        </w:rPr>
        <w:t>se à l’agression physique. Dans le slogan, la réaction est presque organ</w:t>
      </w:r>
      <w:r w:rsidRPr="004B2498">
        <w:rPr>
          <w:lang w:eastAsia="fr-FR" w:bidi="fr-FR"/>
        </w:rPr>
        <w:t>i</w:t>
      </w:r>
      <w:r w:rsidRPr="004B2498">
        <w:rPr>
          <w:lang w:eastAsia="fr-FR" w:bidi="fr-FR"/>
        </w:rPr>
        <w:t>que, évoquant une identité entre l’individu et le collectif, la partie et le tout, les membres et le corps. Les mobilisations en opposition à la r</w:t>
      </w:r>
      <w:r w:rsidRPr="004B2498">
        <w:rPr>
          <w:lang w:eastAsia="fr-FR" w:bidi="fr-FR"/>
        </w:rPr>
        <w:t>é</w:t>
      </w:r>
      <w:r w:rsidRPr="004B2498">
        <w:rPr>
          <w:lang w:eastAsia="fr-FR" w:bidi="fr-FR"/>
        </w:rPr>
        <w:t>pression policière, forte et parfois meurtrière, subie par les organis</w:t>
      </w:r>
      <w:r w:rsidRPr="004B2498">
        <w:rPr>
          <w:lang w:eastAsia="fr-FR" w:bidi="fr-FR"/>
        </w:rPr>
        <w:t>a</w:t>
      </w:r>
      <w:r w:rsidRPr="004B2498">
        <w:rPr>
          <w:lang w:eastAsia="fr-FR" w:bidi="fr-FR"/>
        </w:rPr>
        <w:t xml:space="preserve">tions de </w:t>
      </w:r>
      <w:r w:rsidRPr="000D52EC">
        <w:rPr>
          <w:i/>
        </w:rPr>
        <w:t>desocupados</w:t>
      </w:r>
      <w:r w:rsidRPr="004B2498">
        <w:rPr>
          <w:lang w:eastAsia="fr-FR" w:bidi="fr-FR"/>
        </w:rPr>
        <w:t xml:space="preserve"> à différents moments, reço</w:t>
      </w:r>
      <w:r w:rsidRPr="004B2498">
        <w:rPr>
          <w:lang w:eastAsia="fr-FR" w:bidi="fr-FR"/>
        </w:rPr>
        <w:t>i</w:t>
      </w:r>
      <w:r w:rsidRPr="004B2498">
        <w:rPr>
          <w:lang w:eastAsia="fr-FR" w:bidi="fr-FR"/>
        </w:rPr>
        <w:t>vent également le soutien des organisations des droits de l’homme dont on connaît l’importance dans l’avènement de la démocratie en Argentine </w:t>
      </w:r>
      <w:r>
        <w:rPr>
          <w:rStyle w:val="Appelnotedebasdep"/>
          <w:lang w:eastAsia="fr-FR" w:bidi="fr-FR"/>
        </w:rPr>
        <w:footnoteReference w:id="138"/>
      </w:r>
      <w:r w:rsidRPr="004B2498">
        <w:rPr>
          <w:lang w:eastAsia="fr-FR" w:bidi="fr-FR"/>
        </w:rPr>
        <w:t>. Ces agressions exigent des groupes une solidarité et une cohésion plus grandes, capables de mettre entre parenth</w:t>
      </w:r>
      <w:r w:rsidRPr="004B2498">
        <w:rPr>
          <w:lang w:eastAsia="fr-FR" w:bidi="fr-FR"/>
        </w:rPr>
        <w:t>è</w:t>
      </w:r>
      <w:r w:rsidRPr="004B2498">
        <w:rPr>
          <w:lang w:eastAsia="fr-FR" w:bidi="fr-FR"/>
        </w:rPr>
        <w:t xml:space="preserve">ses les tensions possibles. Ce regard militant est souvent repris par les analyses sociologiques qui y voient l’émergence d’une « identité </w:t>
      </w:r>
      <w:r w:rsidRPr="000D52EC">
        <w:rPr>
          <w:i/>
        </w:rPr>
        <w:t>piquetera </w:t>
      </w:r>
      <w:r w:rsidRPr="004B2498">
        <w:t>»</w:t>
      </w:r>
      <w:r w:rsidRPr="004B2498">
        <w:rPr>
          <w:lang w:eastAsia="fr-FR" w:bidi="fr-FR"/>
        </w:rPr>
        <w:t xml:space="preserve"> à partir des pos</w:t>
      </w:r>
      <w:r w:rsidRPr="004B2498">
        <w:rPr>
          <w:lang w:eastAsia="fr-FR" w:bidi="fr-FR"/>
        </w:rPr>
        <w:t>i</w:t>
      </w:r>
      <w:r w:rsidRPr="004B2498">
        <w:rPr>
          <w:lang w:eastAsia="fr-FR" w:bidi="fr-FR"/>
        </w:rPr>
        <w:t xml:space="preserve">tionnements politiques des dirigeants. C’est le cas notamment de l’enquête exhaustive, </w:t>
      </w:r>
      <w:r w:rsidRPr="000D52EC">
        <w:rPr>
          <w:i/>
        </w:rPr>
        <w:t>Entre la ruta y el barrio</w:t>
      </w:r>
      <w:r w:rsidRPr="004B2498">
        <w:rPr>
          <w:lang w:eastAsia="fr-FR" w:bidi="fr-FR"/>
        </w:rPr>
        <w:t xml:space="preserve"> (Svampa et Pereyra, 2003 et 2004) consacrée à l’étude et à la comparaison des organis</w:t>
      </w:r>
      <w:r w:rsidRPr="004B2498">
        <w:rPr>
          <w:lang w:eastAsia="fr-FR" w:bidi="fr-FR"/>
        </w:rPr>
        <w:t>a</w:t>
      </w:r>
      <w:r w:rsidRPr="004B2498">
        <w:rPr>
          <w:lang w:eastAsia="fr-FR" w:bidi="fr-FR"/>
        </w:rPr>
        <w:t xml:space="preserve">tions </w:t>
      </w:r>
      <w:r w:rsidRPr="004B2498">
        <w:t>piqueteras.</w:t>
      </w:r>
      <w:r w:rsidRPr="004B2498">
        <w:rPr>
          <w:lang w:eastAsia="fr-FR" w:bidi="fr-FR"/>
        </w:rPr>
        <w:t xml:space="preserve"> L’expérience des membres ordinaires occupe une place seconda</w:t>
      </w:r>
      <w:r w:rsidRPr="004B2498">
        <w:rPr>
          <w:lang w:eastAsia="fr-FR" w:bidi="fr-FR"/>
        </w:rPr>
        <w:t>i</w:t>
      </w:r>
      <w:r w:rsidRPr="004B2498">
        <w:rPr>
          <w:lang w:eastAsia="fr-FR" w:bidi="fr-FR"/>
        </w:rPr>
        <w:t xml:space="preserve">re dans leur analyse. Les mots du dirigeant « si l’on touche </w:t>
      </w:r>
      <w:r w:rsidRPr="000D52EC">
        <w:rPr>
          <w:i/>
        </w:rPr>
        <w:t>un des nôtres, nous sommes tous touchés </w:t>
      </w:r>
      <w:r w:rsidRPr="004B2498">
        <w:t>»</w:t>
      </w:r>
      <w:r>
        <w:t xml:space="preserve"> </w:t>
      </w:r>
      <w:r w:rsidRPr="004B2498">
        <w:t>[173]</w:t>
      </w:r>
      <w:r>
        <w:t xml:space="preserve"> </w:t>
      </w:r>
      <w:r w:rsidRPr="004B2498">
        <w:rPr>
          <w:lang w:eastAsia="fr-FR" w:bidi="fr-FR"/>
        </w:rPr>
        <w:t>peuvent su</w:t>
      </w:r>
      <w:r w:rsidRPr="004B2498">
        <w:rPr>
          <w:lang w:eastAsia="fr-FR" w:bidi="fr-FR"/>
        </w:rPr>
        <w:t>g</w:t>
      </w:r>
      <w:r w:rsidRPr="004B2498">
        <w:rPr>
          <w:lang w:eastAsia="fr-FR" w:bidi="fr-FR"/>
        </w:rPr>
        <w:t xml:space="preserve">gérer l’existence d’une </w:t>
      </w:r>
      <w:r w:rsidRPr="00CB5F62">
        <w:rPr>
          <w:i/>
          <w:lang w:eastAsia="fr-FR" w:bidi="fr-FR"/>
        </w:rPr>
        <w:t>identité</w:t>
      </w:r>
      <w:r w:rsidRPr="004B2498">
        <w:rPr>
          <w:lang w:eastAsia="fr-FR" w:bidi="fr-FR"/>
        </w:rPr>
        <w:t xml:space="preserve"> </w:t>
      </w:r>
      <w:r w:rsidRPr="000D52EC">
        <w:rPr>
          <w:i/>
        </w:rPr>
        <w:t>piquetera</w:t>
      </w:r>
      <w:r w:rsidRPr="004B2498">
        <w:rPr>
          <w:lang w:eastAsia="fr-FR" w:bidi="fr-FR"/>
        </w:rPr>
        <w:t xml:space="preserve"> univ</w:t>
      </w:r>
      <w:r w:rsidRPr="004B2498">
        <w:rPr>
          <w:lang w:eastAsia="fr-FR" w:bidi="fr-FR"/>
        </w:rPr>
        <w:t>o</w:t>
      </w:r>
      <w:r w:rsidRPr="004B2498">
        <w:rPr>
          <w:lang w:eastAsia="fr-FR" w:bidi="fr-FR"/>
        </w:rPr>
        <w:t>que ; néanmoins il s’agit d’un point de vue situé qui exige un positionnement sans amb</w:t>
      </w:r>
      <w:r w:rsidRPr="004B2498">
        <w:rPr>
          <w:lang w:eastAsia="fr-FR" w:bidi="fr-FR"/>
        </w:rPr>
        <w:t>i</w:t>
      </w:r>
      <w:r w:rsidRPr="004B2498">
        <w:rPr>
          <w:lang w:eastAsia="fr-FR" w:bidi="fr-FR"/>
        </w:rPr>
        <w:t xml:space="preserve">guïté de sa part : un dirigeant </w:t>
      </w:r>
      <w:r w:rsidRPr="000D52EC">
        <w:rPr>
          <w:i/>
        </w:rPr>
        <w:t>piquetero</w:t>
      </w:r>
      <w:r w:rsidRPr="004B2498">
        <w:rPr>
          <w:lang w:eastAsia="fr-FR" w:bidi="fr-FR"/>
        </w:rPr>
        <w:t xml:space="preserve"> vient d’être emprisonné, la répression politique se doit d’être condamnée sans nuances, d’autant plus qu’il s’agit d’un dirigeant des régions pionni</w:t>
      </w:r>
      <w:r w:rsidRPr="004B2498">
        <w:rPr>
          <w:lang w:eastAsia="fr-FR" w:bidi="fr-FR"/>
        </w:rPr>
        <w:t>è</w:t>
      </w:r>
      <w:r w:rsidRPr="004B2498">
        <w:rPr>
          <w:lang w:eastAsia="fr-FR" w:bidi="fr-FR"/>
        </w:rPr>
        <w:t xml:space="preserve">res dans l’utilisation des </w:t>
      </w:r>
      <w:r w:rsidRPr="000D52EC">
        <w:rPr>
          <w:i/>
        </w:rPr>
        <w:t>piquetes</w:t>
      </w:r>
      <w:r w:rsidRPr="004B2498">
        <w:t>,</w:t>
      </w:r>
      <w:r w:rsidRPr="004B2498">
        <w:rPr>
          <w:lang w:eastAsia="fr-FR" w:bidi="fr-FR"/>
        </w:rPr>
        <w:t xml:space="preserve"> un modèle pour leur développement post</w:t>
      </w:r>
      <w:r w:rsidRPr="004B2498">
        <w:rPr>
          <w:lang w:eastAsia="fr-FR" w:bidi="fr-FR"/>
        </w:rPr>
        <w:t>é</w:t>
      </w:r>
      <w:r w:rsidRPr="004B2498">
        <w:rPr>
          <w:lang w:eastAsia="fr-FR" w:bidi="fr-FR"/>
        </w:rPr>
        <w:t>rieur dans la banlieue de Buenos Aires </w:t>
      </w:r>
      <w:r>
        <w:rPr>
          <w:rStyle w:val="Appelnotedebasdep"/>
          <w:lang w:eastAsia="fr-FR" w:bidi="fr-FR"/>
        </w:rPr>
        <w:footnoteReference w:id="139"/>
      </w:r>
      <w:r w:rsidRPr="004B2498">
        <w:rPr>
          <w:lang w:eastAsia="fr-FR" w:bidi="fr-FR"/>
        </w:rPr>
        <w:t xml:space="preserve">. L’affirmation d’une </w:t>
      </w:r>
      <w:r w:rsidRPr="000D52EC">
        <w:rPr>
          <w:i/>
        </w:rPr>
        <w:t>ident</w:t>
      </w:r>
      <w:r w:rsidRPr="000D52EC">
        <w:rPr>
          <w:i/>
        </w:rPr>
        <w:t>i</w:t>
      </w:r>
      <w:r w:rsidRPr="000D52EC">
        <w:rPr>
          <w:i/>
        </w:rPr>
        <w:t>té piquetera</w:t>
      </w:r>
      <w:r w:rsidRPr="004B2498">
        <w:rPr>
          <w:lang w:eastAsia="fr-FR" w:bidi="fr-FR"/>
        </w:rPr>
        <w:t xml:space="preserve"> puise là ses origines. Cette interprétation est renfo</w:t>
      </w:r>
      <w:r w:rsidRPr="004B2498">
        <w:rPr>
          <w:lang w:eastAsia="fr-FR" w:bidi="fr-FR"/>
        </w:rPr>
        <w:t>r</w:t>
      </w:r>
      <w:r w:rsidRPr="004B2498">
        <w:rPr>
          <w:lang w:eastAsia="fr-FR" w:bidi="fr-FR"/>
        </w:rPr>
        <w:t>cée par les choix méthodolog</w:t>
      </w:r>
      <w:r w:rsidRPr="004B2498">
        <w:rPr>
          <w:lang w:eastAsia="fr-FR" w:bidi="fr-FR"/>
        </w:rPr>
        <w:t>i</w:t>
      </w:r>
      <w:r w:rsidRPr="004B2498">
        <w:rPr>
          <w:lang w:eastAsia="fr-FR" w:bidi="fr-FR"/>
        </w:rPr>
        <w:t>ques privilégiant les moments de conflits et les paroles des dir</w:t>
      </w:r>
      <w:r w:rsidRPr="004B2498">
        <w:rPr>
          <w:lang w:eastAsia="fr-FR" w:bidi="fr-FR"/>
        </w:rPr>
        <w:t>i</w:t>
      </w:r>
      <w:r w:rsidRPr="004B2498">
        <w:rPr>
          <w:lang w:eastAsia="fr-FR" w:bidi="fr-FR"/>
        </w:rPr>
        <w:t>geants. Cette affirmation nous l’avons constatée lors des mobilisations où les cha</w:t>
      </w:r>
      <w:r w:rsidRPr="004B2498">
        <w:rPr>
          <w:lang w:eastAsia="fr-FR" w:bidi="fr-FR"/>
        </w:rPr>
        <w:t>n</w:t>
      </w:r>
      <w:r w:rsidRPr="004B2498">
        <w:rPr>
          <w:lang w:eastAsia="fr-FR" w:bidi="fr-FR"/>
        </w:rPr>
        <w:t xml:space="preserve">sons et les discours s’approprient ce nom de </w:t>
      </w:r>
      <w:r w:rsidRPr="000D52EC">
        <w:rPr>
          <w:i/>
        </w:rPr>
        <w:t>piquetero</w:t>
      </w:r>
      <w:r w:rsidRPr="004B2498">
        <w:rPr>
          <w:lang w:eastAsia="fr-FR" w:bidi="fr-FR"/>
        </w:rPr>
        <w:t xml:space="preserve"> avec fierté. Lorsque nous repérons en revanche les us</w:t>
      </w:r>
      <w:r w:rsidRPr="004B2498">
        <w:rPr>
          <w:lang w:eastAsia="fr-FR" w:bidi="fr-FR"/>
        </w:rPr>
        <w:t>a</w:t>
      </w:r>
      <w:r w:rsidRPr="004B2498">
        <w:rPr>
          <w:lang w:eastAsia="fr-FR" w:bidi="fr-FR"/>
        </w:rPr>
        <w:t>ges multiples du pronom « nous », il devient po</w:t>
      </w:r>
      <w:r w:rsidRPr="004B2498">
        <w:rPr>
          <w:lang w:eastAsia="fr-FR" w:bidi="fr-FR"/>
        </w:rPr>
        <w:t>s</w:t>
      </w:r>
      <w:r w:rsidRPr="004B2498">
        <w:rPr>
          <w:lang w:eastAsia="fr-FR" w:bidi="fr-FR"/>
        </w:rPr>
        <w:t>sible de constater des degrés d’appartenance modulés en fonction des contextes, soulignés en raison des enjeux de conflit avec le gouve</w:t>
      </w:r>
      <w:r w:rsidRPr="004B2498">
        <w:rPr>
          <w:lang w:eastAsia="fr-FR" w:bidi="fr-FR"/>
        </w:rPr>
        <w:t>r</w:t>
      </w:r>
      <w:r w:rsidRPr="004B2498">
        <w:rPr>
          <w:lang w:eastAsia="fr-FR" w:bidi="fr-FR"/>
        </w:rPr>
        <w:t>nement national et de la nécessité d’exprimer une solidarité accrue face au risque de général</w:t>
      </w:r>
      <w:r w:rsidRPr="004B2498">
        <w:rPr>
          <w:lang w:eastAsia="fr-FR" w:bidi="fr-FR"/>
        </w:rPr>
        <w:t>i</w:t>
      </w:r>
      <w:r w:rsidRPr="004B2498">
        <w:rPr>
          <w:lang w:eastAsia="fr-FR" w:bidi="fr-FR"/>
        </w:rPr>
        <w:t>sation de la répression policière. Une perspective m</w:t>
      </w:r>
      <w:r w:rsidRPr="004B2498">
        <w:rPr>
          <w:lang w:eastAsia="fr-FR" w:bidi="fr-FR"/>
        </w:rPr>
        <w:t>i</w:t>
      </w:r>
      <w:r w:rsidRPr="004B2498">
        <w:rPr>
          <w:lang w:eastAsia="fr-FR" w:bidi="fr-FR"/>
        </w:rPr>
        <w:t>crosociologique permet par exemple de situer la parole des dirigeants ainsi que d’observer les multiples util</w:t>
      </w:r>
      <w:r w:rsidRPr="004B2498">
        <w:rPr>
          <w:lang w:eastAsia="fr-FR" w:bidi="fr-FR"/>
        </w:rPr>
        <w:t>i</w:t>
      </w:r>
      <w:r w:rsidRPr="004B2498">
        <w:rPr>
          <w:lang w:eastAsia="fr-FR" w:bidi="fr-FR"/>
        </w:rPr>
        <w:t>sations du pronom « nous » localisées et certainement pas homogènes </w:t>
      </w:r>
      <w:r>
        <w:rPr>
          <w:rStyle w:val="Appelnotedebasdep"/>
          <w:lang w:eastAsia="fr-FR" w:bidi="fr-FR"/>
        </w:rPr>
        <w:footnoteReference w:id="140"/>
      </w:r>
      <w:r w:rsidRPr="004B2498">
        <w:rPr>
          <w:lang w:eastAsia="fr-FR" w:bidi="fr-FR"/>
        </w:rPr>
        <w:t>.</w:t>
      </w:r>
    </w:p>
    <w:p w14:paraId="7A5192A9" w14:textId="77777777" w:rsidR="002F4063" w:rsidRPr="004B2498" w:rsidRDefault="002F4063" w:rsidP="002F4063">
      <w:pPr>
        <w:spacing w:before="120" w:after="120"/>
        <w:jc w:val="both"/>
      </w:pPr>
      <w:r w:rsidRPr="004B2498">
        <w:rPr>
          <w:lang w:eastAsia="fr-FR" w:bidi="fr-FR"/>
        </w:rPr>
        <w:t>L’ensemble de cette littérature montre les enjeux politiques des o</w:t>
      </w:r>
      <w:r w:rsidRPr="004B2498">
        <w:rPr>
          <w:lang w:eastAsia="fr-FR" w:bidi="fr-FR"/>
        </w:rPr>
        <w:t>r</w:t>
      </w:r>
      <w:r w:rsidRPr="004B2498">
        <w:rPr>
          <w:lang w:eastAsia="fr-FR" w:bidi="fr-FR"/>
        </w:rPr>
        <w:t>ganisations, ou plutôt une conception du politique </w:t>
      </w:r>
      <w:r>
        <w:rPr>
          <w:rStyle w:val="Appelnotedebasdep"/>
          <w:lang w:eastAsia="fr-FR" w:bidi="fr-FR"/>
        </w:rPr>
        <w:footnoteReference w:id="141"/>
      </w:r>
      <w:r w:rsidRPr="004B2498">
        <w:rPr>
          <w:lang w:eastAsia="fr-FR" w:bidi="fr-FR"/>
        </w:rPr>
        <w:t xml:space="preserve"> qui se tr</w:t>
      </w:r>
      <w:r w:rsidRPr="004B2498">
        <w:rPr>
          <w:lang w:eastAsia="fr-FR" w:bidi="fr-FR"/>
        </w:rPr>
        <w:t>a</w:t>
      </w:r>
      <w:r w:rsidRPr="004B2498">
        <w:rPr>
          <w:lang w:eastAsia="fr-FR" w:bidi="fr-FR"/>
        </w:rPr>
        <w:t>duit dans la place privilégiée occupée par les dirigeants et « référents</w:t>
      </w:r>
      <w:r>
        <w:rPr>
          <w:lang w:eastAsia="fr-FR" w:bidi="fr-FR"/>
        </w:rPr>
        <w:t> </w:t>
      </w:r>
      <w:r>
        <w:rPr>
          <w:rStyle w:val="Appelnotedebasdep"/>
          <w:lang w:eastAsia="fr-FR" w:bidi="fr-FR"/>
        </w:rPr>
        <w:footnoteReference w:id="142"/>
      </w:r>
      <w:r w:rsidRPr="004B2498">
        <w:rPr>
          <w:lang w:eastAsia="fr-FR" w:bidi="fr-FR"/>
        </w:rPr>
        <w:t> » dans ces récits. Dans ces travaux, les actions collectives sont anal</w:t>
      </w:r>
      <w:r w:rsidRPr="004B2498">
        <w:rPr>
          <w:lang w:eastAsia="fr-FR" w:bidi="fr-FR"/>
        </w:rPr>
        <w:t>y</w:t>
      </w:r>
      <w:r w:rsidRPr="004B2498">
        <w:rPr>
          <w:lang w:eastAsia="fr-FR" w:bidi="fr-FR"/>
        </w:rPr>
        <w:t>sées sans prendre en compte les articulations su</w:t>
      </w:r>
      <w:r w:rsidRPr="004B2498">
        <w:rPr>
          <w:lang w:eastAsia="fr-FR" w:bidi="fr-FR"/>
        </w:rPr>
        <w:t>p</w:t>
      </w:r>
      <w:r w:rsidRPr="004B2498">
        <w:rPr>
          <w:lang w:eastAsia="fr-FR" w:bidi="fr-FR"/>
        </w:rPr>
        <w:t>posées non politiques sur lesquelles elles prennent appui, nota</w:t>
      </w:r>
      <w:r w:rsidRPr="004B2498">
        <w:rPr>
          <w:lang w:eastAsia="fr-FR" w:bidi="fr-FR"/>
        </w:rPr>
        <w:t>m</w:t>
      </w:r>
      <w:r w:rsidRPr="004B2498">
        <w:rPr>
          <w:lang w:eastAsia="fr-FR" w:bidi="fr-FR"/>
        </w:rPr>
        <w:t>ment les réseaux familiaux et de quartier. Dans nos recherches, le traitement des objectifs polit</w:t>
      </w:r>
      <w:r w:rsidRPr="004B2498">
        <w:rPr>
          <w:lang w:eastAsia="fr-FR" w:bidi="fr-FR"/>
        </w:rPr>
        <w:t>i</w:t>
      </w:r>
      <w:r w:rsidRPr="004B2498">
        <w:rPr>
          <w:lang w:eastAsia="fr-FR" w:bidi="fr-FR"/>
        </w:rPr>
        <w:t>ques par les membres des</w:t>
      </w:r>
      <w:r>
        <w:t xml:space="preserve"> </w:t>
      </w:r>
      <w:r w:rsidRPr="004B2498">
        <w:t>[174]</w:t>
      </w:r>
      <w:r>
        <w:t xml:space="preserve"> </w:t>
      </w:r>
      <w:r w:rsidRPr="004B2498">
        <w:rPr>
          <w:lang w:eastAsia="fr-FR" w:bidi="fr-FR"/>
        </w:rPr>
        <w:t>organisations est pluriel. Us sont mis en rapport avec des objectifs personnels et familiaux, comme le soul</w:t>
      </w:r>
      <w:r w:rsidRPr="004B2498">
        <w:rPr>
          <w:lang w:eastAsia="fr-FR" w:bidi="fr-FR"/>
        </w:rPr>
        <w:t>i</w:t>
      </w:r>
      <w:r w:rsidRPr="004B2498">
        <w:rPr>
          <w:lang w:eastAsia="fr-FR" w:bidi="fr-FR"/>
        </w:rPr>
        <w:t>gnait Marina dans son récit. Car comment comprendre l’</w:t>
      </w:r>
      <w:r w:rsidRPr="000D52EC">
        <w:rPr>
          <w:i/>
        </w:rPr>
        <w:t>émergence</w:t>
      </w:r>
      <w:r w:rsidRPr="004B2498">
        <w:rPr>
          <w:lang w:eastAsia="fr-FR" w:bidi="fr-FR"/>
        </w:rPr>
        <w:t xml:space="preserve"> de l’action collective sans re</w:t>
      </w:r>
      <w:r w:rsidRPr="004B2498">
        <w:rPr>
          <w:lang w:eastAsia="fr-FR" w:bidi="fr-FR"/>
        </w:rPr>
        <w:t>n</w:t>
      </w:r>
      <w:r w:rsidRPr="004B2498">
        <w:rPr>
          <w:lang w:eastAsia="fr-FR" w:bidi="fr-FR"/>
        </w:rPr>
        <w:t>dre visibles les appuis qui, eux, demeurent imme</w:t>
      </w:r>
      <w:r w:rsidRPr="004B2498">
        <w:rPr>
          <w:lang w:eastAsia="fr-FR" w:bidi="fr-FR"/>
        </w:rPr>
        <w:t>r</w:t>
      </w:r>
      <w:r w:rsidRPr="004B2498">
        <w:rPr>
          <w:lang w:eastAsia="fr-FR" w:bidi="fr-FR"/>
        </w:rPr>
        <w:t>gés ? Identifier les liens sur lesquels ces phénomènes reposent : restent-ils immuables lorsque le moment vient de passer à l’engagement ? Comment rendre compte des engagements et de leur évolution sans caricaturer les membres engagés en membres purement volontaristes, sortis de nulle part, opportunistes ou déserteurs ? R</w:t>
      </w:r>
      <w:r w:rsidRPr="004B2498">
        <w:rPr>
          <w:lang w:eastAsia="fr-FR" w:bidi="fr-FR"/>
        </w:rPr>
        <w:t>é</w:t>
      </w:r>
      <w:r w:rsidRPr="004B2498">
        <w:rPr>
          <w:lang w:eastAsia="fr-FR" w:bidi="fr-FR"/>
        </w:rPr>
        <w:t>pondre à ces interrogations n</w:t>
      </w:r>
      <w:r w:rsidRPr="004B2498">
        <w:rPr>
          <w:lang w:eastAsia="fr-FR" w:bidi="fr-FR"/>
        </w:rPr>
        <w:t>é</w:t>
      </w:r>
      <w:r w:rsidRPr="004B2498">
        <w:rPr>
          <w:lang w:eastAsia="fr-FR" w:bidi="fr-FR"/>
        </w:rPr>
        <w:t xml:space="preserve">cessite d’abandonner l’acteur collectif comme un </w:t>
      </w:r>
      <w:r w:rsidRPr="004B2498">
        <w:t>a priori</w:t>
      </w:r>
      <w:r w:rsidRPr="004B2498">
        <w:rPr>
          <w:lang w:eastAsia="fr-FR" w:bidi="fr-FR"/>
        </w:rPr>
        <w:t xml:space="preserve"> de l’enquête et comme seul objet d’analyse pour le questionner dans l’action.</w:t>
      </w:r>
    </w:p>
    <w:p w14:paraId="26746218" w14:textId="77777777" w:rsidR="002F4063" w:rsidRPr="004B2498" w:rsidRDefault="002F4063" w:rsidP="002F4063">
      <w:pPr>
        <w:spacing w:before="120" w:after="120"/>
        <w:jc w:val="both"/>
      </w:pPr>
      <w:r w:rsidRPr="004B2498">
        <w:rPr>
          <w:lang w:eastAsia="fr-FR" w:bidi="fr-FR"/>
        </w:rPr>
        <w:t>Notre point de départ était un questionnement classique et le tou</w:t>
      </w:r>
      <w:r w:rsidRPr="004B2498">
        <w:rPr>
          <w:lang w:eastAsia="fr-FR" w:bidi="fr-FR"/>
        </w:rPr>
        <w:t>r</w:t>
      </w:r>
      <w:r w:rsidRPr="004B2498">
        <w:rPr>
          <w:lang w:eastAsia="fr-FR" w:bidi="fr-FR"/>
        </w:rPr>
        <w:t>nant décisif fut de nous apercevoir que la comparaison entre militants et supposés non militants (souvent considérés comme bénéficiaires), observés dans le même milieu social, transformait la compréhension de l’ensemble du domaine d’investigation. Il s’est alors agi de dév</w:t>
      </w:r>
      <w:r w:rsidRPr="004B2498">
        <w:rPr>
          <w:lang w:eastAsia="fr-FR" w:bidi="fr-FR"/>
        </w:rPr>
        <w:t>e</w:t>
      </w:r>
      <w:r w:rsidRPr="004B2498">
        <w:rPr>
          <w:lang w:eastAsia="fr-FR" w:bidi="fr-FR"/>
        </w:rPr>
        <w:t>lopper une démarche où l’analyse s’appuierait sur les distinctions pe</w:t>
      </w:r>
      <w:r w:rsidRPr="004B2498">
        <w:rPr>
          <w:lang w:eastAsia="fr-FR" w:bidi="fr-FR"/>
        </w:rPr>
        <w:t>r</w:t>
      </w:r>
      <w:r w:rsidRPr="004B2498">
        <w:rPr>
          <w:lang w:eastAsia="fr-FR" w:bidi="fr-FR"/>
        </w:rPr>
        <w:t>çues en cours d’enquête </w:t>
      </w:r>
      <w:r>
        <w:rPr>
          <w:rStyle w:val="Appelnotedebasdep"/>
          <w:lang w:eastAsia="fr-FR" w:bidi="fr-FR"/>
        </w:rPr>
        <w:footnoteReference w:id="143"/>
      </w:r>
      <w:r w:rsidRPr="004B2498">
        <w:rPr>
          <w:lang w:eastAsia="fr-FR" w:bidi="fr-FR"/>
        </w:rPr>
        <w:t>. L’importance attribuée ici à l’expérience personnelle des acteurs nous a donc amenée à procéder à une observ</w:t>
      </w:r>
      <w:r w:rsidRPr="004B2498">
        <w:rPr>
          <w:lang w:eastAsia="fr-FR" w:bidi="fr-FR"/>
        </w:rPr>
        <w:t>a</w:t>
      </w:r>
      <w:r w:rsidRPr="004B2498">
        <w:rPr>
          <w:lang w:eastAsia="fr-FR" w:bidi="fr-FR"/>
        </w:rPr>
        <w:t>tion de ces travai</w:t>
      </w:r>
      <w:r w:rsidRPr="004B2498">
        <w:rPr>
          <w:lang w:eastAsia="fr-FR" w:bidi="fr-FR"/>
        </w:rPr>
        <w:t>l</w:t>
      </w:r>
      <w:r w:rsidRPr="004B2498">
        <w:rPr>
          <w:lang w:eastAsia="fr-FR" w:bidi="fr-FR"/>
        </w:rPr>
        <w:t>leurs sans emploi dans la dynamique quotidienne, au sein de leurs organisations et dans leurs quartiers. Au cours de notre enquête, les catégories dichotomiques se sont avéré des approxim</w:t>
      </w:r>
      <w:r w:rsidRPr="004B2498">
        <w:rPr>
          <w:lang w:eastAsia="fr-FR" w:bidi="fr-FR"/>
        </w:rPr>
        <w:t>a</w:t>
      </w:r>
      <w:r w:rsidRPr="004B2498">
        <w:rPr>
          <w:lang w:eastAsia="fr-FR" w:bidi="fr-FR"/>
        </w:rPr>
        <w:t>tions trop schématiques pour bien comprendre les phénomènes obse</w:t>
      </w:r>
      <w:r w:rsidRPr="004B2498">
        <w:rPr>
          <w:lang w:eastAsia="fr-FR" w:bidi="fr-FR"/>
        </w:rPr>
        <w:t>r</w:t>
      </w:r>
      <w:r w:rsidRPr="004B2498">
        <w:rPr>
          <w:lang w:eastAsia="fr-FR" w:bidi="fr-FR"/>
        </w:rPr>
        <w:t>vés. Elles ont été rendues inopérantes par les acteurs eux-mêmes qui nous confiaient leurs pensées et leurs douleurs les plus intimes (perte d’un bébé, d’un enfant, dépression). Les questions que nous abordions ne correspondaient pas à celles qu’ils se posaient. Nous étions arrivés avec des interrogations sur l’action collective et ils nous ont imposé un cadre complètement différent où ils ne séparaient pas leur mobil</w:t>
      </w:r>
      <w:r w:rsidRPr="004B2498">
        <w:rPr>
          <w:lang w:eastAsia="fr-FR" w:bidi="fr-FR"/>
        </w:rPr>
        <w:t>i</w:t>
      </w:r>
      <w:r w:rsidRPr="004B2498">
        <w:rPr>
          <w:lang w:eastAsia="fr-FR" w:bidi="fr-FR"/>
        </w:rPr>
        <w:t>sation des questions d’organisation de leur vie personnelle et famili</w:t>
      </w:r>
      <w:r w:rsidRPr="004B2498">
        <w:rPr>
          <w:lang w:eastAsia="fr-FR" w:bidi="fr-FR"/>
        </w:rPr>
        <w:t>a</w:t>
      </w:r>
      <w:r w:rsidRPr="004B2498">
        <w:rPr>
          <w:lang w:eastAsia="fr-FR" w:bidi="fr-FR"/>
        </w:rPr>
        <w:t>le, de la justice : à leurs yeux, il n’y avait pas de cloisons entre vie privée et vie publique. Pour basculer de nos catégories vers les leurs, il était indispensable de passer par leurs récits, dans le face-à-face avec le sociologue. Ceci nous a conduite à restituer des phénomènes peu présents dans la littér</w:t>
      </w:r>
      <w:r w:rsidRPr="004B2498">
        <w:rPr>
          <w:lang w:eastAsia="fr-FR" w:bidi="fr-FR"/>
        </w:rPr>
        <w:t>a</w:t>
      </w:r>
      <w:r w:rsidRPr="004B2498">
        <w:rPr>
          <w:lang w:eastAsia="fr-FR" w:bidi="fr-FR"/>
        </w:rPr>
        <w:t>ture et pourtant liés par nos interlocuteurs, au cœur même de leurs récits, au sens du juste qui a motivé leur mob</w:t>
      </w:r>
      <w:r w:rsidRPr="004B2498">
        <w:rPr>
          <w:lang w:eastAsia="fr-FR" w:bidi="fr-FR"/>
        </w:rPr>
        <w:t>i</w:t>
      </w:r>
      <w:r w:rsidRPr="004B2498">
        <w:rPr>
          <w:lang w:eastAsia="fr-FR" w:bidi="fr-FR"/>
        </w:rPr>
        <w:t xml:space="preserve">lisation. Au lieu de les construire </w:t>
      </w:r>
      <w:r w:rsidRPr="000D52EC">
        <w:rPr>
          <w:i/>
        </w:rPr>
        <w:t>a priori</w:t>
      </w:r>
      <w:r w:rsidRPr="004B2498">
        <w:rPr>
          <w:lang w:eastAsia="fr-FR" w:bidi="fr-FR"/>
        </w:rPr>
        <w:t>, les limites de notre terrain se sont établies au cours des interactions qui donnaient sens aux act</w:t>
      </w:r>
      <w:r w:rsidRPr="004B2498">
        <w:rPr>
          <w:lang w:eastAsia="fr-FR" w:bidi="fr-FR"/>
        </w:rPr>
        <w:t>i</w:t>
      </w:r>
      <w:r w:rsidRPr="004B2498">
        <w:rPr>
          <w:lang w:eastAsia="fr-FR" w:bidi="fr-FR"/>
        </w:rPr>
        <w:t>vités développées. Dès lors, l’observation classiquement centrée sur les</w:t>
      </w:r>
      <w:r w:rsidRPr="004B2498">
        <w:t xml:space="preserve"> [175]</w:t>
      </w:r>
      <w:r>
        <w:t xml:space="preserve"> </w:t>
      </w:r>
      <w:r w:rsidRPr="004B2498">
        <w:rPr>
          <w:lang w:eastAsia="fr-FR" w:bidi="fr-FR"/>
        </w:rPr>
        <w:t>dirigeants et les militants, débordait leurs seuls cas pour i</w:t>
      </w:r>
      <w:r w:rsidRPr="004B2498">
        <w:rPr>
          <w:lang w:eastAsia="fr-FR" w:bidi="fr-FR"/>
        </w:rPr>
        <w:t>n</w:t>
      </w:r>
      <w:r w:rsidRPr="004B2498">
        <w:rPr>
          <w:lang w:eastAsia="fr-FR" w:bidi="fr-FR"/>
        </w:rPr>
        <w:t>cl</w:t>
      </w:r>
      <w:r w:rsidRPr="004B2498">
        <w:rPr>
          <w:lang w:eastAsia="fr-FR" w:bidi="fr-FR"/>
        </w:rPr>
        <w:t>u</w:t>
      </w:r>
      <w:r w:rsidRPr="004B2498">
        <w:rPr>
          <w:lang w:eastAsia="fr-FR" w:bidi="fr-FR"/>
        </w:rPr>
        <w:t>re les membres et leurs proches non-membres.</w:t>
      </w:r>
    </w:p>
    <w:p w14:paraId="59E40091" w14:textId="77777777" w:rsidR="002F4063" w:rsidRPr="004B2498" w:rsidRDefault="002F4063" w:rsidP="002F4063">
      <w:pPr>
        <w:spacing w:before="120" w:after="120"/>
        <w:jc w:val="both"/>
      </w:pPr>
      <w:r w:rsidRPr="004B2498">
        <w:rPr>
          <w:lang w:eastAsia="fr-FR" w:bidi="fr-FR"/>
        </w:rPr>
        <w:t>Les moments de négociation ainsi que les moments de coordin</w:t>
      </w:r>
      <w:r w:rsidRPr="004B2498">
        <w:rPr>
          <w:lang w:eastAsia="fr-FR" w:bidi="fr-FR"/>
        </w:rPr>
        <w:t>a</w:t>
      </w:r>
      <w:r w:rsidRPr="004B2498">
        <w:rPr>
          <w:lang w:eastAsia="fr-FR" w:bidi="fr-FR"/>
        </w:rPr>
        <w:t>tion avec les autorités apparaissent dans le quotidien des org</w:t>
      </w:r>
      <w:r w:rsidRPr="004B2498">
        <w:rPr>
          <w:lang w:eastAsia="fr-FR" w:bidi="fr-FR"/>
        </w:rPr>
        <w:t>a</w:t>
      </w:r>
      <w:r w:rsidRPr="004B2498">
        <w:rPr>
          <w:lang w:eastAsia="fr-FR" w:bidi="fr-FR"/>
        </w:rPr>
        <w:t xml:space="preserve">nisations mais aussi des </w:t>
      </w:r>
      <w:r w:rsidRPr="004B2498">
        <w:t>vecinos</w:t>
      </w:r>
      <w:r w:rsidRPr="004B2498">
        <w:rPr>
          <w:lang w:eastAsia="fr-FR" w:bidi="fr-FR"/>
        </w:rPr>
        <w:t xml:space="preserve"> et des membres de la famille qui n’appartiennent pas à ces groupes. Les objectifs et motivations des membres sont divers et fluctuants. Ils nous montrent la néce</w:t>
      </w:r>
      <w:r w:rsidRPr="004B2498">
        <w:rPr>
          <w:lang w:eastAsia="fr-FR" w:bidi="fr-FR"/>
        </w:rPr>
        <w:t>s</w:t>
      </w:r>
      <w:r w:rsidRPr="004B2498">
        <w:rPr>
          <w:lang w:eastAsia="fr-FR" w:bidi="fr-FR"/>
        </w:rPr>
        <w:t>sité d’explorer les modalités dans lesquelles un « nous » cohabite avec de simples coordinations des « je ». L’émergence triompha</w:t>
      </w:r>
      <w:r w:rsidRPr="004B2498">
        <w:rPr>
          <w:lang w:eastAsia="fr-FR" w:bidi="fr-FR"/>
        </w:rPr>
        <w:t>n</w:t>
      </w:r>
      <w:r w:rsidRPr="004B2498">
        <w:rPr>
          <w:lang w:eastAsia="fr-FR" w:bidi="fr-FR"/>
        </w:rPr>
        <w:t>te de l’acteur collectif laisse place à des accords temporaires to</w:t>
      </w:r>
      <w:r w:rsidRPr="004B2498">
        <w:rPr>
          <w:lang w:eastAsia="fr-FR" w:bidi="fr-FR"/>
        </w:rPr>
        <w:t>u</w:t>
      </w:r>
      <w:r w:rsidRPr="004B2498">
        <w:rPr>
          <w:lang w:eastAsia="fr-FR" w:bidi="fr-FR"/>
        </w:rPr>
        <w:t>jours susceptibles d’être revisités.</w:t>
      </w:r>
    </w:p>
    <w:p w14:paraId="1AF6B051" w14:textId="77777777" w:rsidR="002F4063" w:rsidRPr="004B2498" w:rsidRDefault="002F4063" w:rsidP="002F4063">
      <w:pPr>
        <w:spacing w:before="120" w:after="120"/>
        <w:jc w:val="both"/>
        <w:rPr>
          <w:szCs w:val="24"/>
          <w:lang w:eastAsia="fr-FR" w:bidi="fr-FR"/>
        </w:rPr>
      </w:pPr>
    </w:p>
    <w:p w14:paraId="04D6CDA6" w14:textId="77777777" w:rsidR="002F4063" w:rsidRPr="004B2498" w:rsidRDefault="002F4063" w:rsidP="002F4063">
      <w:pPr>
        <w:pStyle w:val="a"/>
      </w:pPr>
      <w:r w:rsidRPr="004B2498">
        <w:t>L’exemple d’une délibération insatisfaisante :</w:t>
      </w:r>
      <w:r w:rsidRPr="004B2498">
        <w:br/>
        <w:t>Carmen « ne peut plus continuer »</w:t>
      </w:r>
    </w:p>
    <w:p w14:paraId="3F9C11F3" w14:textId="77777777" w:rsidR="002F4063" w:rsidRPr="004B2498" w:rsidRDefault="002F4063" w:rsidP="002F4063">
      <w:pPr>
        <w:spacing w:before="120" w:after="120"/>
        <w:jc w:val="both"/>
        <w:rPr>
          <w:lang w:eastAsia="fr-FR" w:bidi="fr-FR"/>
        </w:rPr>
      </w:pPr>
    </w:p>
    <w:p w14:paraId="61697D67" w14:textId="77777777" w:rsidR="002F4063" w:rsidRPr="004B2498" w:rsidRDefault="002F4063" w:rsidP="002F4063">
      <w:pPr>
        <w:spacing w:before="120" w:after="120"/>
        <w:jc w:val="both"/>
      </w:pPr>
      <w:r w:rsidRPr="004B2498">
        <w:rPr>
          <w:lang w:eastAsia="fr-FR" w:bidi="fr-FR"/>
        </w:rPr>
        <w:t>Comme nous l’avons signalé, les espaces de décision et de fon</w:t>
      </w:r>
      <w:r w:rsidRPr="004B2498">
        <w:rPr>
          <w:lang w:eastAsia="fr-FR" w:bidi="fr-FR"/>
        </w:rPr>
        <w:t>c</w:t>
      </w:r>
      <w:r w:rsidRPr="004B2498">
        <w:rPr>
          <w:lang w:eastAsia="fr-FR" w:bidi="fr-FR"/>
        </w:rPr>
        <w:t>tionnement des organisations se superposent aux lieux de vie f</w:t>
      </w:r>
      <w:r w:rsidRPr="004B2498">
        <w:rPr>
          <w:lang w:eastAsia="fr-FR" w:bidi="fr-FR"/>
        </w:rPr>
        <w:t>a</w:t>
      </w:r>
      <w:r w:rsidRPr="004B2498">
        <w:rPr>
          <w:lang w:eastAsia="fr-FR" w:bidi="fr-FR"/>
        </w:rPr>
        <w:t>miliale et aux rapports entre membres et non-membres (ou encore des me</w:t>
      </w:r>
      <w:r w:rsidRPr="004B2498">
        <w:rPr>
          <w:lang w:eastAsia="fr-FR" w:bidi="fr-FR"/>
        </w:rPr>
        <w:t>m</w:t>
      </w:r>
      <w:r w:rsidRPr="004B2498">
        <w:rPr>
          <w:lang w:eastAsia="fr-FR" w:bidi="fr-FR"/>
        </w:rPr>
        <w:t>bres des catégories en évolution). À l’intérieur des collectifs, les i</w:t>
      </w:r>
      <w:r w:rsidRPr="004B2498">
        <w:rPr>
          <w:lang w:eastAsia="fr-FR" w:bidi="fr-FR"/>
        </w:rPr>
        <w:t>n</w:t>
      </w:r>
      <w:r w:rsidRPr="004B2498">
        <w:rPr>
          <w:lang w:eastAsia="fr-FR" w:bidi="fr-FR"/>
        </w:rPr>
        <w:t>vestissements sont évalués au fur et à mesure que le temps passe. La distribution inégale des responsabilités pose pr</w:t>
      </w:r>
      <w:r w:rsidRPr="004B2498">
        <w:rPr>
          <w:lang w:eastAsia="fr-FR" w:bidi="fr-FR"/>
        </w:rPr>
        <w:t>o</w:t>
      </w:r>
      <w:r w:rsidRPr="004B2498">
        <w:rPr>
          <w:lang w:eastAsia="fr-FR" w:bidi="fr-FR"/>
        </w:rPr>
        <w:t>blème, en particulier lorsqu’elle est visible pour les membres de la famille :</w:t>
      </w:r>
    </w:p>
    <w:p w14:paraId="26FCC85D" w14:textId="77777777" w:rsidR="002F4063" w:rsidRDefault="002F4063" w:rsidP="002F4063">
      <w:pPr>
        <w:pStyle w:val="Grillecouleur-Accent1"/>
      </w:pPr>
    </w:p>
    <w:p w14:paraId="4A9F597F" w14:textId="77777777" w:rsidR="002F4063" w:rsidRPr="004B2498" w:rsidRDefault="002F4063" w:rsidP="002F4063">
      <w:pPr>
        <w:pStyle w:val="Grillecouleur-Accent1"/>
      </w:pPr>
      <w:r w:rsidRPr="00966437">
        <w:t xml:space="preserve">Carmen. </w:t>
      </w:r>
      <w:r w:rsidRPr="004B2498">
        <w:rPr>
          <w:lang w:eastAsia="fr-FR" w:bidi="fr-FR"/>
        </w:rPr>
        <w:t>— En décembre, j’ai fermé la cantine. Elle a été o</w:t>
      </w:r>
      <w:r w:rsidRPr="004B2498">
        <w:rPr>
          <w:lang w:eastAsia="fr-FR" w:bidi="fr-FR"/>
        </w:rPr>
        <w:t>u</w:t>
      </w:r>
      <w:r w:rsidRPr="004B2498">
        <w:rPr>
          <w:lang w:eastAsia="fr-FR" w:bidi="fr-FR"/>
        </w:rPr>
        <w:t>verte chez Marina. Et bon, alors je l’ai fermée...</w:t>
      </w:r>
    </w:p>
    <w:p w14:paraId="5E394270" w14:textId="77777777" w:rsidR="002F4063" w:rsidRPr="004B2498" w:rsidRDefault="002F4063" w:rsidP="002F4063">
      <w:pPr>
        <w:pStyle w:val="Grillecouleur-Accent1"/>
      </w:pPr>
      <w:r w:rsidRPr="004B2498">
        <w:t>Pia.</w:t>
      </w:r>
      <w:r w:rsidRPr="004B2498">
        <w:rPr>
          <w:lang w:eastAsia="fr-FR" w:bidi="fr-FR"/>
        </w:rPr>
        <w:t xml:space="preserve"> — Quand tu as parlé à Julia, qu’est-ce que tu lui as dit ?</w:t>
      </w:r>
    </w:p>
    <w:p w14:paraId="55B6B2B4" w14:textId="77777777" w:rsidR="002F4063" w:rsidRPr="004B2498" w:rsidRDefault="002F4063" w:rsidP="002F4063">
      <w:pPr>
        <w:pStyle w:val="Grillecouleur-Accent1"/>
      </w:pPr>
      <w:r w:rsidRPr="004B2498">
        <w:rPr>
          <w:lang w:eastAsia="fr-FR" w:bidi="fr-FR"/>
        </w:rPr>
        <w:t xml:space="preserve">C. — Que je ne pouvais pas continuer, que je n’y arrivais pas avec </w:t>
      </w:r>
      <w:r w:rsidRPr="004B2498">
        <w:t xml:space="preserve">les </w:t>
      </w:r>
      <w:r w:rsidRPr="00966437">
        <w:rPr>
          <w:i/>
        </w:rPr>
        <w:t>dépenses</w:t>
      </w:r>
      <w:r w:rsidRPr="004B2498">
        <w:t xml:space="preserve">. </w:t>
      </w:r>
      <w:r w:rsidRPr="004B2498">
        <w:rPr>
          <w:lang w:eastAsia="fr-FR" w:bidi="fr-FR"/>
        </w:rPr>
        <w:t>Et bon, Julia connaissait mes problèmes parce que j’avais disc</w:t>
      </w:r>
      <w:r w:rsidRPr="004B2498">
        <w:rPr>
          <w:lang w:eastAsia="fr-FR" w:bidi="fr-FR"/>
        </w:rPr>
        <w:t>u</w:t>
      </w:r>
      <w:r w:rsidRPr="004B2498">
        <w:rPr>
          <w:lang w:eastAsia="fr-FR" w:bidi="fr-FR"/>
        </w:rPr>
        <w:t xml:space="preserve">té avec elle avant, eh... </w:t>
      </w:r>
      <w:r w:rsidRPr="00966437">
        <w:rPr>
          <w:i/>
        </w:rPr>
        <w:t>les problèmes avec mon mari</w:t>
      </w:r>
      <w:r w:rsidRPr="004B2498">
        <w:rPr>
          <w:lang w:eastAsia="fr-FR" w:bidi="fr-FR"/>
        </w:rPr>
        <w:t xml:space="preserve"> et tout cela. Bon, J</w:t>
      </w:r>
      <w:r w:rsidRPr="004B2498">
        <w:rPr>
          <w:lang w:eastAsia="fr-FR" w:bidi="fr-FR"/>
        </w:rPr>
        <w:t>u</w:t>
      </w:r>
      <w:r w:rsidRPr="004B2498">
        <w:rPr>
          <w:lang w:eastAsia="fr-FR" w:bidi="fr-FR"/>
        </w:rPr>
        <w:t xml:space="preserve">lia savait et on a continué quand même un moment. Jusqu’au moment où je lui ai dit : « je ne peux plus continuer. » Et c’était fini. C’était trop. Les </w:t>
      </w:r>
      <w:r w:rsidRPr="004B2498">
        <w:t>problèmes internes</w:t>
      </w:r>
      <w:r w:rsidRPr="004B2498">
        <w:rPr>
          <w:lang w:eastAsia="fr-FR" w:bidi="fr-FR"/>
        </w:rPr>
        <w:t xml:space="preserve"> étaient de plus en plus importants. [...] Ici, on faisait tout, les r</w:t>
      </w:r>
      <w:r w:rsidRPr="004B2498">
        <w:rPr>
          <w:lang w:eastAsia="fr-FR" w:bidi="fr-FR"/>
        </w:rPr>
        <w:t>é</w:t>
      </w:r>
      <w:r w:rsidRPr="004B2498">
        <w:rPr>
          <w:lang w:eastAsia="fr-FR" w:bidi="fr-FR"/>
        </w:rPr>
        <w:t>unions des responsables, la répartition des colis. Tout. Moi, ce que je me demandais c’est : comment était-il possible que l’on ne pui</w:t>
      </w:r>
      <w:r w:rsidRPr="004B2498">
        <w:rPr>
          <w:lang w:eastAsia="fr-FR" w:bidi="fr-FR"/>
        </w:rPr>
        <w:t>s</w:t>
      </w:r>
      <w:r w:rsidRPr="004B2498">
        <w:rPr>
          <w:lang w:eastAsia="fr-FR" w:bidi="fr-FR"/>
        </w:rPr>
        <w:t xml:space="preserve">se pas m’aider pour les dépenses [du local] ? Imagine-toi, si </w:t>
      </w:r>
      <w:r w:rsidRPr="004B2498">
        <w:t>La Verón</w:t>
      </w:r>
      <w:r w:rsidRPr="004B2498">
        <w:rPr>
          <w:lang w:eastAsia="fr-FR" w:bidi="fr-FR"/>
        </w:rPr>
        <w:t xml:space="preserve"> déc</w:t>
      </w:r>
      <w:r w:rsidRPr="004B2498">
        <w:rPr>
          <w:lang w:eastAsia="fr-FR" w:bidi="fr-FR"/>
        </w:rPr>
        <w:t>i</w:t>
      </w:r>
      <w:r w:rsidRPr="004B2498">
        <w:rPr>
          <w:lang w:eastAsia="fr-FR" w:bidi="fr-FR"/>
        </w:rPr>
        <w:t>dait de louer un local, pe</w:t>
      </w:r>
      <w:r w:rsidRPr="004B2498">
        <w:rPr>
          <w:lang w:eastAsia="fr-FR" w:bidi="fr-FR"/>
        </w:rPr>
        <w:t>r</w:t>
      </w:r>
      <w:r w:rsidRPr="004B2498">
        <w:rPr>
          <w:lang w:eastAsia="fr-FR" w:bidi="fr-FR"/>
        </w:rPr>
        <w:t>sonne ne va leur prêter un local comme moi je leur prêtais.</w:t>
      </w:r>
    </w:p>
    <w:p w14:paraId="5CF2926F" w14:textId="77777777" w:rsidR="002F4063" w:rsidRPr="004B2498" w:rsidRDefault="002F4063" w:rsidP="002F4063">
      <w:pPr>
        <w:pStyle w:val="Grillecouleur-Accent1"/>
      </w:pPr>
      <w:r w:rsidRPr="004B2498">
        <w:rPr>
          <w:lang w:eastAsia="fr-FR" w:bidi="fr-FR"/>
        </w:rPr>
        <w:t>P. — L’autre jour, quand il y a eu la répartition des colis [...] j’ai eu l’impression que les gens rentraient et sortaient. Ils ne se sentaient pas chez eux.</w:t>
      </w:r>
    </w:p>
    <w:p w14:paraId="60E88D81" w14:textId="77777777" w:rsidR="002F4063" w:rsidRPr="004B2498" w:rsidRDefault="002F4063" w:rsidP="002F4063">
      <w:pPr>
        <w:pStyle w:val="Grillecouleur-Accent1"/>
      </w:pPr>
      <w:r w:rsidRPr="004B2498">
        <w:rPr>
          <w:lang w:eastAsia="fr-FR" w:bidi="fr-FR"/>
        </w:rPr>
        <w:t>C. — C’est que là c’est une maison de famille. [...] c’est chez une des compañeras, il y a seulement la distribution des colis, on n’y fait pas de réunions </w:t>
      </w:r>
      <w:r>
        <w:rPr>
          <w:rStyle w:val="Appelnotedebasdep"/>
          <w:lang w:eastAsia="fr-FR" w:bidi="fr-FR"/>
        </w:rPr>
        <w:footnoteReference w:id="144"/>
      </w:r>
      <w:r w:rsidRPr="004B2498">
        <w:rPr>
          <w:lang w:eastAsia="fr-FR" w:bidi="fr-FR"/>
        </w:rPr>
        <w:t>.</w:t>
      </w:r>
    </w:p>
    <w:p w14:paraId="54897E41" w14:textId="77777777" w:rsidR="002F4063" w:rsidRPr="004B2498" w:rsidRDefault="002F4063" w:rsidP="002F4063">
      <w:pPr>
        <w:spacing w:before="120" w:after="120"/>
        <w:jc w:val="both"/>
      </w:pPr>
    </w:p>
    <w:p w14:paraId="39BD6F23" w14:textId="77777777" w:rsidR="002F4063" w:rsidRPr="004B2498" w:rsidRDefault="002F4063" w:rsidP="002F4063">
      <w:pPr>
        <w:spacing w:before="120" w:after="120"/>
        <w:jc w:val="both"/>
      </w:pPr>
      <w:r w:rsidRPr="004B2498">
        <w:t>[176]</w:t>
      </w:r>
    </w:p>
    <w:p w14:paraId="335D5E4B" w14:textId="77777777" w:rsidR="002F4063" w:rsidRPr="004B2498" w:rsidRDefault="002F4063" w:rsidP="002F4063">
      <w:pPr>
        <w:spacing w:before="120" w:after="120"/>
        <w:jc w:val="both"/>
      </w:pPr>
      <w:r w:rsidRPr="004B2498">
        <w:rPr>
          <w:lang w:eastAsia="fr-FR" w:bidi="fr-FR"/>
        </w:rPr>
        <w:t>Plusieurs tensions affleurent dans ce récit en ce qui concerne la distinction entre public et privé, la manière dont le privé est i</w:t>
      </w:r>
      <w:r w:rsidRPr="004B2498">
        <w:rPr>
          <w:lang w:eastAsia="fr-FR" w:bidi="fr-FR"/>
        </w:rPr>
        <w:t>n</w:t>
      </w:r>
      <w:r w:rsidRPr="004B2498">
        <w:rPr>
          <w:lang w:eastAsia="fr-FR" w:bidi="fr-FR"/>
        </w:rPr>
        <w:t>troduit dans l’explication et l’identification d’un intérêt commun : les diff</w:t>
      </w:r>
      <w:r w:rsidRPr="004B2498">
        <w:rPr>
          <w:lang w:eastAsia="fr-FR" w:bidi="fr-FR"/>
        </w:rPr>
        <w:t>i</w:t>
      </w:r>
      <w:r w:rsidRPr="004B2498">
        <w:rPr>
          <w:lang w:eastAsia="fr-FR" w:bidi="fr-FR"/>
        </w:rPr>
        <w:t xml:space="preserve">cultés du groupe pour trouver un lieu, dont nous avons déjà mentionné les enjeux pour le progrès des intérêts collectifs, traversent le récit. La cantine qui passe d’une maison à une autre, les activités qui ont lieu chez différents </w:t>
      </w:r>
      <w:r w:rsidRPr="00966437">
        <w:rPr>
          <w:i/>
        </w:rPr>
        <w:t>companeros</w:t>
      </w:r>
      <w:r>
        <w:t> </w:t>
      </w:r>
      <w:r>
        <w:rPr>
          <w:rStyle w:val="Appelnotedebasdep"/>
        </w:rPr>
        <w:footnoteReference w:id="145"/>
      </w:r>
      <w:r w:rsidRPr="004B2498">
        <w:rPr>
          <w:lang w:eastAsia="fr-FR" w:bidi="fr-FR"/>
        </w:rPr>
        <w:t>, sont autant de difficultés rencontrées dans le développement du groupe. D’autres éléments retiennent ég</w:t>
      </w:r>
      <w:r w:rsidRPr="004B2498">
        <w:rPr>
          <w:lang w:eastAsia="fr-FR" w:bidi="fr-FR"/>
        </w:rPr>
        <w:t>a</w:t>
      </w:r>
      <w:r w:rsidRPr="004B2498">
        <w:rPr>
          <w:lang w:eastAsia="fr-FR" w:bidi="fr-FR"/>
        </w:rPr>
        <w:t>lement notre attention : la di</w:t>
      </w:r>
      <w:r w:rsidRPr="004B2498">
        <w:rPr>
          <w:lang w:eastAsia="fr-FR" w:bidi="fr-FR"/>
        </w:rPr>
        <w:t>s</w:t>
      </w:r>
      <w:r w:rsidRPr="004B2498">
        <w:rPr>
          <w:lang w:eastAsia="fr-FR" w:bidi="fr-FR"/>
        </w:rPr>
        <w:t xml:space="preserve">cussion sur le groupe de </w:t>
      </w:r>
      <w:r w:rsidRPr="00966437">
        <w:rPr>
          <w:i/>
        </w:rPr>
        <w:t>desocupados</w:t>
      </w:r>
      <w:r w:rsidRPr="004B2498">
        <w:rPr>
          <w:lang w:eastAsia="fr-FR" w:bidi="fr-FR"/>
        </w:rPr>
        <w:t xml:space="preserve"> à l’intérieur du foyer ; une certaine hésitation dans la manière de poser le problème, s’agit-il du problème des </w:t>
      </w:r>
      <w:r w:rsidRPr="004B2498">
        <w:t>dépenses</w:t>
      </w:r>
      <w:r w:rsidRPr="004B2498">
        <w:rPr>
          <w:lang w:eastAsia="fr-FR" w:bidi="fr-FR"/>
        </w:rPr>
        <w:t xml:space="preserve"> ou de problèmes </w:t>
      </w:r>
      <w:r w:rsidRPr="00966437">
        <w:rPr>
          <w:i/>
        </w:rPr>
        <w:t>i</w:t>
      </w:r>
      <w:r w:rsidRPr="00966437">
        <w:rPr>
          <w:i/>
        </w:rPr>
        <w:t>n</w:t>
      </w:r>
      <w:r w:rsidRPr="00966437">
        <w:rPr>
          <w:i/>
        </w:rPr>
        <w:t>ternes</w:t>
      </w:r>
      <w:r w:rsidRPr="004B2498">
        <w:rPr>
          <w:lang w:eastAsia="fr-FR" w:bidi="fr-FR"/>
        </w:rPr>
        <w:t xml:space="preserve">, comme le désaccord de son mari ? L’ensemble produit une distance que Carmen installe entre elle et </w:t>
      </w:r>
      <w:r w:rsidRPr="00966437">
        <w:rPr>
          <w:i/>
          <w:lang w:eastAsia="fr-FR" w:bidi="fr-FR"/>
        </w:rPr>
        <w:t>La Ver</w:t>
      </w:r>
      <w:r w:rsidRPr="00966437">
        <w:rPr>
          <w:i/>
        </w:rPr>
        <w:t>ó</w:t>
      </w:r>
      <w:r w:rsidRPr="00966437">
        <w:rPr>
          <w:i/>
          <w:lang w:eastAsia="fr-FR" w:bidi="fr-FR"/>
        </w:rPr>
        <w:t>n</w:t>
      </w:r>
      <w:r w:rsidRPr="004B2498">
        <w:rPr>
          <w:lang w:eastAsia="fr-FR" w:bidi="fr-FR"/>
        </w:rPr>
        <w:t xml:space="preserve"> et finalement, la distinction entre le local et la maison de famille. L’épuisement de Ca</w:t>
      </w:r>
      <w:r w:rsidRPr="004B2498">
        <w:rPr>
          <w:lang w:eastAsia="fr-FR" w:bidi="fr-FR"/>
        </w:rPr>
        <w:t>r</w:t>
      </w:r>
      <w:r w:rsidRPr="004B2498">
        <w:rPr>
          <w:lang w:eastAsia="fr-FR" w:bidi="fr-FR"/>
        </w:rPr>
        <w:t>men, « je ne peux plus continuer », semble évoquer l’impossibilité de faire coïncider les besoins du groupe et ceux de son foyer. Si cela apparaissait possible au début, Carmen le perçoit comme un déseng</w:t>
      </w:r>
      <w:r w:rsidRPr="004B2498">
        <w:rPr>
          <w:lang w:eastAsia="fr-FR" w:bidi="fr-FR"/>
        </w:rPr>
        <w:t>a</w:t>
      </w:r>
      <w:r w:rsidRPr="004B2498">
        <w:rPr>
          <w:lang w:eastAsia="fr-FR" w:bidi="fr-FR"/>
        </w:rPr>
        <w:t xml:space="preserve">gement de la part du collectif, </w:t>
      </w:r>
      <w:r w:rsidRPr="004B2498">
        <w:t>La Verón</w:t>
      </w:r>
      <w:r w:rsidRPr="004B2498">
        <w:rPr>
          <w:lang w:eastAsia="fr-FR" w:bidi="fr-FR"/>
        </w:rPr>
        <w:t> : « comment cela est-il poss</w:t>
      </w:r>
      <w:r w:rsidRPr="004B2498">
        <w:rPr>
          <w:lang w:eastAsia="fr-FR" w:bidi="fr-FR"/>
        </w:rPr>
        <w:t>i</w:t>
      </w:r>
      <w:r w:rsidRPr="004B2498">
        <w:rPr>
          <w:lang w:eastAsia="fr-FR" w:bidi="fr-FR"/>
        </w:rPr>
        <w:t>ble ? » lâchait-elle. Ces tensions font de l’engagement de Carmen un investissement excessif.</w:t>
      </w:r>
    </w:p>
    <w:p w14:paraId="1FF72F27" w14:textId="77777777" w:rsidR="002F4063" w:rsidRPr="004B2498" w:rsidRDefault="002F4063" w:rsidP="002F4063">
      <w:pPr>
        <w:spacing w:before="120" w:after="120"/>
        <w:jc w:val="both"/>
      </w:pPr>
      <w:r w:rsidRPr="004B2498">
        <w:rPr>
          <w:lang w:eastAsia="fr-FR" w:bidi="fr-FR"/>
        </w:rPr>
        <w:t>Pendant un moment, Carmen a fait coexister les deux intérêts mais ces compromis - qu’elle ne semblait pas vivre alors comme tels - re</w:t>
      </w:r>
      <w:r w:rsidRPr="004B2498">
        <w:rPr>
          <w:lang w:eastAsia="fr-FR" w:bidi="fr-FR"/>
        </w:rPr>
        <w:t>n</w:t>
      </w:r>
      <w:r w:rsidRPr="004B2498">
        <w:rPr>
          <w:lang w:eastAsia="fr-FR" w:bidi="fr-FR"/>
        </w:rPr>
        <w:t>contrent une limite qu’elle exprime au moyen de l’étonnement ou de l’incrédulité. Carmen se détache et refuse alors de continuer à perdre le bénéfice que sa famille pourrait retirer du loyer de son local au pr</w:t>
      </w:r>
      <w:r w:rsidRPr="004B2498">
        <w:rPr>
          <w:lang w:eastAsia="fr-FR" w:bidi="fr-FR"/>
        </w:rPr>
        <w:t>o</w:t>
      </w:r>
      <w:r w:rsidRPr="004B2498">
        <w:rPr>
          <w:lang w:eastAsia="fr-FR" w:bidi="fr-FR"/>
        </w:rPr>
        <w:t>fit du MTD. L’équilibre qu’elle « fait tenir » entre les besoins de sa famille et ceux du MTD d</w:t>
      </w:r>
      <w:r w:rsidRPr="004B2498">
        <w:rPr>
          <w:lang w:eastAsia="fr-FR" w:bidi="fr-FR"/>
        </w:rPr>
        <w:t>e</w:t>
      </w:r>
      <w:r w:rsidRPr="004B2498">
        <w:rPr>
          <w:lang w:eastAsia="fr-FR" w:bidi="fr-FR"/>
        </w:rPr>
        <w:t>vient</w:t>
      </w:r>
      <w:r>
        <w:t xml:space="preserve"> </w:t>
      </w:r>
      <w:r w:rsidRPr="004B2498">
        <w:t>[177]</w:t>
      </w:r>
      <w:r>
        <w:t xml:space="preserve"> </w:t>
      </w:r>
      <w:r w:rsidRPr="004B2498">
        <w:rPr>
          <w:lang w:eastAsia="fr-FR" w:bidi="fr-FR"/>
        </w:rPr>
        <w:t>apparent, visible lorsqu’il ne tient plus. Carmen rencontre des pr</w:t>
      </w:r>
      <w:r w:rsidRPr="004B2498">
        <w:rPr>
          <w:lang w:eastAsia="fr-FR" w:bidi="fr-FR"/>
        </w:rPr>
        <w:t>o</w:t>
      </w:r>
      <w:r w:rsidRPr="004B2498">
        <w:rPr>
          <w:lang w:eastAsia="fr-FR" w:bidi="fr-FR"/>
        </w:rPr>
        <w:t>blèmes avec son mari à cause de l’affectation du local et de son util</w:t>
      </w:r>
      <w:r w:rsidRPr="004B2498">
        <w:rPr>
          <w:lang w:eastAsia="fr-FR" w:bidi="fr-FR"/>
        </w:rPr>
        <w:t>i</w:t>
      </w:r>
      <w:r w:rsidRPr="004B2498">
        <w:rPr>
          <w:lang w:eastAsia="fr-FR" w:bidi="fr-FR"/>
        </w:rPr>
        <w:t>sation comme lieu de centralisation des activités de Berazategui. Une utilisation permanente qui ne se r</w:t>
      </w:r>
      <w:r w:rsidRPr="004B2498">
        <w:rPr>
          <w:lang w:eastAsia="fr-FR" w:bidi="fr-FR"/>
        </w:rPr>
        <w:t>é</w:t>
      </w:r>
      <w:r w:rsidRPr="004B2498">
        <w:rPr>
          <w:lang w:eastAsia="fr-FR" w:bidi="fr-FR"/>
        </w:rPr>
        <w:t>duit pas à la seule prestation de la cantine. Il s’agit d’une utilisation qui rend poss</w:t>
      </w:r>
      <w:r w:rsidRPr="004B2498">
        <w:rPr>
          <w:lang w:eastAsia="fr-FR" w:bidi="fr-FR"/>
        </w:rPr>
        <w:t>i</w:t>
      </w:r>
      <w:r w:rsidRPr="004B2498">
        <w:rPr>
          <w:lang w:eastAsia="fr-FR" w:bidi="fr-FR"/>
        </w:rPr>
        <w:t>ble la centralisation des activités de gestion - « toutes les r</w:t>
      </w:r>
      <w:r w:rsidRPr="004B2498">
        <w:rPr>
          <w:lang w:eastAsia="fr-FR" w:bidi="fr-FR"/>
        </w:rPr>
        <w:t>é</w:t>
      </w:r>
      <w:r w:rsidRPr="004B2498">
        <w:rPr>
          <w:lang w:eastAsia="fr-FR" w:bidi="fr-FR"/>
        </w:rPr>
        <w:t>unions » en un seul lieu. Ce qui permet la rencontre des uns et des autres et une certaine appropriation des lieux. Le prêt du local est une pratique courante, mais la comparaison entre un prêt et un loyer pe</w:t>
      </w:r>
      <w:r w:rsidRPr="004B2498">
        <w:rPr>
          <w:lang w:eastAsia="fr-FR" w:bidi="fr-FR"/>
        </w:rPr>
        <w:t>r</w:t>
      </w:r>
      <w:r w:rsidRPr="004B2498">
        <w:rPr>
          <w:lang w:eastAsia="fr-FR" w:bidi="fr-FR"/>
        </w:rPr>
        <w:t>met à Carmen de souligner le ma</w:t>
      </w:r>
      <w:r w:rsidRPr="004B2498">
        <w:rPr>
          <w:lang w:eastAsia="fr-FR" w:bidi="fr-FR"/>
        </w:rPr>
        <w:t>n</w:t>
      </w:r>
      <w:r w:rsidRPr="004B2498">
        <w:rPr>
          <w:lang w:eastAsia="fr-FR" w:bidi="fr-FR"/>
        </w:rPr>
        <w:t xml:space="preserve">que à gagner résultant de ce prêt. Carmen produit une différenciation. Elle considère ce prêt avec un regard de propriétaire et refuse de faire sien le rôle de membre du MTD. Elle prête le local à </w:t>
      </w:r>
      <w:r w:rsidRPr="00966437">
        <w:rPr>
          <w:i/>
        </w:rPr>
        <w:t>La Verón</w:t>
      </w:r>
      <w:r w:rsidRPr="004B2498">
        <w:rPr>
          <w:lang w:eastAsia="fr-FR" w:bidi="fr-FR"/>
        </w:rPr>
        <w:t>, le r</w:t>
      </w:r>
      <w:r w:rsidRPr="004B2498">
        <w:rPr>
          <w:lang w:eastAsia="fr-FR" w:bidi="fr-FR"/>
        </w:rPr>
        <w:t>é</w:t>
      </w:r>
      <w:r w:rsidRPr="004B2498">
        <w:rPr>
          <w:lang w:eastAsia="fr-FR" w:bidi="fr-FR"/>
        </w:rPr>
        <w:t>seau d’organisations auquel appartient le MTD de Berazategui. Mais quelle est la place qu’elle s’attribue ?</w:t>
      </w:r>
    </w:p>
    <w:p w14:paraId="68D89EB7" w14:textId="77777777" w:rsidR="002F4063" w:rsidRPr="004B2498" w:rsidRDefault="002F4063" w:rsidP="002F4063">
      <w:pPr>
        <w:spacing w:before="120" w:after="120"/>
        <w:jc w:val="both"/>
      </w:pPr>
      <w:r w:rsidRPr="004B2498">
        <w:rPr>
          <w:lang w:eastAsia="fr-FR" w:bidi="fr-FR"/>
        </w:rPr>
        <w:t>Evoquant la situation du local, elle réfute l’usage d’un « nous » susceptible de l’inclure comme usagère du local pour lui préférer le « ils ». Elle se désolidarise, du moins temporairement, de son appart</w:t>
      </w:r>
      <w:r w:rsidRPr="004B2498">
        <w:rPr>
          <w:lang w:eastAsia="fr-FR" w:bidi="fr-FR"/>
        </w:rPr>
        <w:t>e</w:t>
      </w:r>
      <w:r w:rsidRPr="004B2498">
        <w:rPr>
          <w:lang w:eastAsia="fr-FR" w:bidi="fr-FR"/>
        </w:rPr>
        <w:t>nance au groupe. La limite qu’elle introduit à son eng</w:t>
      </w:r>
      <w:r w:rsidRPr="004B2498">
        <w:rPr>
          <w:lang w:eastAsia="fr-FR" w:bidi="fr-FR"/>
        </w:rPr>
        <w:t>a</w:t>
      </w:r>
      <w:r w:rsidRPr="004B2498">
        <w:rPr>
          <w:lang w:eastAsia="fr-FR" w:bidi="fr-FR"/>
        </w:rPr>
        <w:t>gement brise sa référence à l’</w:t>
      </w:r>
      <w:r w:rsidRPr="005B1E9C">
        <w:rPr>
          <w:i/>
        </w:rPr>
        <w:t>in-group</w:t>
      </w:r>
      <w:r>
        <w:t> </w:t>
      </w:r>
      <w:r>
        <w:rPr>
          <w:rStyle w:val="Appelnotedebasdep"/>
        </w:rPr>
        <w:footnoteReference w:id="146"/>
      </w:r>
      <w:r w:rsidRPr="004B2498">
        <w:rPr>
          <w:lang w:eastAsia="fr-FR" w:bidi="fr-FR"/>
        </w:rPr>
        <w:t xml:space="preserve"> et elle se considère ext</w:t>
      </w:r>
      <w:r w:rsidRPr="004B2498">
        <w:rPr>
          <w:lang w:eastAsia="fr-FR" w:bidi="fr-FR"/>
        </w:rPr>
        <w:t>é</w:t>
      </w:r>
      <w:r w:rsidRPr="004B2498">
        <w:rPr>
          <w:lang w:eastAsia="fr-FR" w:bidi="fr-FR"/>
        </w:rPr>
        <w:t xml:space="preserve">rieure au groupe. Elle évoque le fonctionnement du groupe sans s’inclure avec le « nous », sans partager l’horizon commun de </w:t>
      </w:r>
      <w:r w:rsidRPr="00966437">
        <w:rPr>
          <w:i/>
        </w:rPr>
        <w:t>La Verón</w:t>
      </w:r>
      <w:r w:rsidRPr="004B2498">
        <w:rPr>
          <w:lang w:eastAsia="fr-FR" w:bidi="fr-FR"/>
        </w:rPr>
        <w:t>. D’après son récit, ce n’est ni à elle ni à son quartier de r</w:t>
      </w:r>
      <w:r w:rsidRPr="004B2498">
        <w:rPr>
          <w:lang w:eastAsia="fr-FR" w:bidi="fr-FR"/>
        </w:rPr>
        <w:t>é</w:t>
      </w:r>
      <w:r w:rsidRPr="004B2498">
        <w:rPr>
          <w:lang w:eastAsia="fr-FR" w:bidi="fr-FR"/>
        </w:rPr>
        <w:t xml:space="preserve">soudre le problème ou de récolter des fonds, une pratique qu’elle connaît et trouve inefficace. Elle se limite à rapporter le problème à la déléguée qui siège au sein de l’instance plus large de </w:t>
      </w:r>
      <w:r w:rsidRPr="00966437">
        <w:rPr>
          <w:i/>
        </w:rPr>
        <w:t>La V</w:t>
      </w:r>
      <w:r w:rsidRPr="00966437">
        <w:rPr>
          <w:i/>
        </w:rPr>
        <w:t>e</w:t>
      </w:r>
      <w:r w:rsidRPr="00966437">
        <w:rPr>
          <w:i/>
        </w:rPr>
        <w:t>rón</w:t>
      </w:r>
      <w:r w:rsidRPr="004B2498">
        <w:rPr>
          <w:lang w:eastAsia="fr-FR" w:bidi="fr-FR"/>
        </w:rPr>
        <w:t xml:space="preserve">, la </w:t>
      </w:r>
      <w:r w:rsidRPr="00966437">
        <w:rPr>
          <w:i/>
        </w:rPr>
        <w:t>mesa</w:t>
      </w:r>
      <w:r>
        <w:t> </w:t>
      </w:r>
      <w:r>
        <w:rPr>
          <w:rStyle w:val="Appelnotedebasdep"/>
        </w:rPr>
        <w:footnoteReference w:id="147"/>
      </w:r>
      <w:r w:rsidRPr="004B2498">
        <w:rPr>
          <w:lang w:eastAsia="fr-FR" w:bidi="fr-FR"/>
        </w:rPr>
        <w:t xml:space="preserve">. Dans ce cas précis, la distance introduite semble exprimer le désaccord de Carmen à l’égard de la réponse de Julia retournant la résolution du problème du financement du local aux membres du quartier. </w:t>
      </w:r>
      <w:r w:rsidRPr="004B2498">
        <w:t>L’</w:t>
      </w:r>
      <w:r w:rsidRPr="00966437">
        <w:rPr>
          <w:i/>
        </w:rPr>
        <w:t>in-group</w:t>
      </w:r>
      <w:r w:rsidRPr="00966437">
        <w:rPr>
          <w:i/>
          <w:lang w:eastAsia="fr-FR" w:bidi="fr-FR"/>
        </w:rPr>
        <w:t xml:space="preserve"> </w:t>
      </w:r>
      <w:r w:rsidRPr="004B2498">
        <w:rPr>
          <w:lang w:eastAsia="fr-FR" w:bidi="fr-FR"/>
        </w:rPr>
        <w:t>dans l</w:t>
      </w:r>
      <w:r w:rsidRPr="004B2498">
        <w:rPr>
          <w:lang w:eastAsia="fr-FR" w:bidi="fr-FR"/>
        </w:rPr>
        <w:t>e</w:t>
      </w:r>
      <w:r w:rsidRPr="004B2498">
        <w:rPr>
          <w:lang w:eastAsia="fr-FR" w:bidi="fr-FR"/>
        </w:rPr>
        <w:t>quel se place Carmen se limite en ce moment au quartier.</w:t>
      </w:r>
    </w:p>
    <w:p w14:paraId="594DD17C" w14:textId="77777777" w:rsidR="002F4063" w:rsidRPr="004B2498" w:rsidRDefault="002F4063" w:rsidP="002F4063">
      <w:pPr>
        <w:spacing w:before="120" w:after="120"/>
        <w:jc w:val="both"/>
      </w:pPr>
      <w:r w:rsidRPr="004B2498">
        <w:rPr>
          <w:lang w:eastAsia="fr-FR" w:bidi="fr-FR"/>
        </w:rPr>
        <w:t xml:space="preserve">Le concept schützien de </w:t>
      </w:r>
      <w:r w:rsidRPr="00966437">
        <w:rPr>
          <w:i/>
        </w:rPr>
        <w:t>in-group</w:t>
      </w:r>
      <w:r w:rsidRPr="004B2498">
        <w:rPr>
          <w:lang w:eastAsia="fr-FR" w:bidi="fr-FR"/>
        </w:rPr>
        <w:t>, limité à des situations préc</w:t>
      </w:r>
      <w:r w:rsidRPr="004B2498">
        <w:rPr>
          <w:lang w:eastAsia="fr-FR" w:bidi="fr-FR"/>
        </w:rPr>
        <w:t>i</w:t>
      </w:r>
      <w:r w:rsidRPr="004B2498">
        <w:rPr>
          <w:lang w:eastAsia="fr-FR" w:bidi="fr-FR"/>
        </w:rPr>
        <w:t xml:space="preserve">ses, permet-il de saisir le détachement de Carmen (à l’appui de sa famille ou exhorté par celle-ci) à l’égard d’un monde de situations collectives dans lequel les problèmes communs aux membres du MTD n’émergent qu’au sein d’un horizon commun évoqué sur le mode de la lutte envers l’adversité et le </w:t>
      </w:r>
      <w:r w:rsidRPr="00966437">
        <w:rPr>
          <w:i/>
        </w:rPr>
        <w:t>compañerismo</w:t>
      </w:r>
      <w:r w:rsidRPr="004B2498">
        <w:rPr>
          <w:lang w:eastAsia="fr-FR" w:bidi="fr-FR"/>
        </w:rPr>
        <w:t xml:space="preserve"> entre les membres. Les appartenances se révèlent situées dans des contextes précis en fon</w:t>
      </w:r>
      <w:r w:rsidRPr="004B2498">
        <w:rPr>
          <w:lang w:eastAsia="fr-FR" w:bidi="fr-FR"/>
        </w:rPr>
        <w:t>c</w:t>
      </w:r>
      <w:r w:rsidRPr="004B2498">
        <w:rPr>
          <w:lang w:eastAsia="fr-FR" w:bidi="fr-FR"/>
        </w:rPr>
        <w:t>tion de leur pertinence pour l’action sans supposer une position ide</w:t>
      </w:r>
      <w:r w:rsidRPr="004B2498">
        <w:rPr>
          <w:lang w:eastAsia="fr-FR" w:bidi="fr-FR"/>
        </w:rPr>
        <w:t>n</w:t>
      </w:r>
      <w:r w:rsidRPr="004B2498">
        <w:rPr>
          <w:lang w:eastAsia="fr-FR" w:bidi="fr-FR"/>
        </w:rPr>
        <w:t>tique des membres ni leur accord permanent avec les décisions des dirigeants. L’étude des références à cet h</w:t>
      </w:r>
      <w:r w:rsidRPr="004B2498">
        <w:rPr>
          <w:lang w:eastAsia="fr-FR" w:bidi="fr-FR"/>
        </w:rPr>
        <w:t>o</w:t>
      </w:r>
      <w:r w:rsidRPr="004B2498">
        <w:rPr>
          <w:lang w:eastAsia="fr-FR" w:bidi="fr-FR"/>
        </w:rPr>
        <w:t>rizon commun</w:t>
      </w:r>
      <w:r>
        <w:t xml:space="preserve"> </w:t>
      </w:r>
      <w:r w:rsidRPr="004B2498">
        <w:t>[178]</w:t>
      </w:r>
      <w:r>
        <w:t xml:space="preserve"> </w:t>
      </w:r>
      <w:r w:rsidRPr="004B2498">
        <w:rPr>
          <w:lang w:eastAsia="fr-FR" w:bidi="fr-FR"/>
        </w:rPr>
        <w:t>permet ainsi d'éviter les risques d’une vision homogène des MTD. Quand cet horizon commun joue pleinement, les mêmes activités sont dévelo</w:t>
      </w:r>
      <w:r w:rsidRPr="004B2498">
        <w:rPr>
          <w:lang w:eastAsia="fr-FR" w:bidi="fr-FR"/>
        </w:rPr>
        <w:t>p</w:t>
      </w:r>
      <w:r w:rsidRPr="004B2498">
        <w:rPr>
          <w:lang w:eastAsia="fr-FR" w:bidi="fr-FR"/>
        </w:rPr>
        <w:t>pées autrement, comme un processus de partage des diff</w:t>
      </w:r>
      <w:r w:rsidRPr="004B2498">
        <w:rPr>
          <w:lang w:eastAsia="fr-FR" w:bidi="fr-FR"/>
        </w:rPr>
        <w:t>i</w:t>
      </w:r>
      <w:r w:rsidRPr="004B2498">
        <w:rPr>
          <w:lang w:eastAsia="fr-FR" w:bidi="fr-FR"/>
        </w:rPr>
        <w:t>cultés et des solidarités dans lequel le « nous » dépasse la co-présence des me</w:t>
      </w:r>
      <w:r w:rsidRPr="004B2498">
        <w:rPr>
          <w:lang w:eastAsia="fr-FR" w:bidi="fr-FR"/>
        </w:rPr>
        <w:t>m</w:t>
      </w:r>
      <w:r w:rsidRPr="004B2498">
        <w:rPr>
          <w:lang w:eastAsia="fr-FR" w:bidi="fr-FR"/>
        </w:rPr>
        <w:t>bres dans un même lieu. Ce « nous », plus fort, évoque la coordination à partir d’un langage partagé et d’un pari composé de confiance m</w:t>
      </w:r>
      <w:r w:rsidRPr="004B2498">
        <w:rPr>
          <w:lang w:eastAsia="fr-FR" w:bidi="fr-FR"/>
        </w:rPr>
        <w:t>u</w:t>
      </w:r>
      <w:r w:rsidRPr="004B2498">
        <w:rPr>
          <w:lang w:eastAsia="fr-FR" w:bidi="fr-FR"/>
        </w:rPr>
        <w:t>tuelle </w:t>
      </w:r>
      <w:r>
        <w:rPr>
          <w:rStyle w:val="Appelnotedebasdep"/>
          <w:lang w:eastAsia="fr-FR" w:bidi="fr-FR"/>
        </w:rPr>
        <w:footnoteReference w:id="148"/>
      </w:r>
      <w:r w:rsidRPr="004B2498">
        <w:rPr>
          <w:lang w:eastAsia="fr-FR" w:bidi="fr-FR"/>
        </w:rPr>
        <w:t>. Une forme d’égalité s’établit entre tous ceux qui sont cons</w:t>
      </w:r>
      <w:r w:rsidRPr="004B2498">
        <w:rPr>
          <w:lang w:eastAsia="fr-FR" w:bidi="fr-FR"/>
        </w:rPr>
        <w:t>i</w:t>
      </w:r>
      <w:r w:rsidRPr="004B2498">
        <w:rPr>
          <w:lang w:eastAsia="fr-FR" w:bidi="fr-FR"/>
        </w:rPr>
        <w:t xml:space="preserve">dérés comme des </w:t>
      </w:r>
      <w:r w:rsidRPr="00966437">
        <w:rPr>
          <w:i/>
        </w:rPr>
        <w:t>compañeros</w:t>
      </w:r>
      <w:r w:rsidRPr="004B2498">
        <w:rPr>
          <w:lang w:eastAsia="fr-FR" w:bidi="fr-FR"/>
        </w:rPr>
        <w:t xml:space="preserve"> dans un seul et même st</w:t>
      </w:r>
      <w:r w:rsidRPr="004B2498">
        <w:rPr>
          <w:lang w:eastAsia="fr-FR" w:bidi="fr-FR"/>
        </w:rPr>
        <w:t>a</w:t>
      </w:r>
      <w:r w:rsidRPr="004B2498">
        <w:rPr>
          <w:lang w:eastAsia="fr-FR" w:bidi="fr-FR"/>
        </w:rPr>
        <w:t xml:space="preserve">tut. Dans une maison de famille, les membres, bien que se connaissant tous, bien que s’y rendant régulièrement, tout en reconnaissant l’effort des </w:t>
      </w:r>
      <w:r w:rsidRPr="00966437">
        <w:rPr>
          <w:i/>
        </w:rPr>
        <w:t>co</w:t>
      </w:r>
      <w:r w:rsidRPr="00966437">
        <w:rPr>
          <w:i/>
        </w:rPr>
        <w:t>m</w:t>
      </w:r>
      <w:r w:rsidRPr="00966437">
        <w:rPr>
          <w:i/>
        </w:rPr>
        <w:t>pañeros</w:t>
      </w:r>
      <w:r w:rsidRPr="004B2498">
        <w:rPr>
          <w:lang w:eastAsia="fr-FR" w:bidi="fr-FR"/>
        </w:rPr>
        <w:t xml:space="preserve"> qui pr</w:t>
      </w:r>
      <w:r w:rsidRPr="004B2498">
        <w:rPr>
          <w:lang w:eastAsia="fr-FR" w:bidi="fr-FR"/>
        </w:rPr>
        <w:t>ê</w:t>
      </w:r>
      <w:r w:rsidRPr="004B2498">
        <w:rPr>
          <w:lang w:eastAsia="fr-FR" w:bidi="fr-FR"/>
        </w:rPr>
        <w:t>tent une partie de leur maison à cette fin, l’horizon commun semble au contraire fragilisé ou peine à se constru</w:t>
      </w:r>
      <w:r w:rsidRPr="004B2498">
        <w:rPr>
          <w:lang w:eastAsia="fr-FR" w:bidi="fr-FR"/>
        </w:rPr>
        <w:t>i</w:t>
      </w:r>
      <w:r w:rsidRPr="004B2498">
        <w:rPr>
          <w:lang w:eastAsia="fr-FR" w:bidi="fr-FR"/>
        </w:rPr>
        <w:t xml:space="preserve">re. Les membres peuvent être « bien accueillis » mais se doivent de respecter la maison de leur </w:t>
      </w:r>
      <w:r w:rsidRPr="00966437">
        <w:rPr>
          <w:i/>
        </w:rPr>
        <w:t>compañero</w:t>
      </w:r>
      <w:r w:rsidRPr="004B2498">
        <w:rPr>
          <w:lang w:eastAsia="fr-FR" w:bidi="fr-FR"/>
        </w:rPr>
        <w:t xml:space="preserve"> et retournent à leurs occup</w:t>
      </w:r>
      <w:r w:rsidRPr="004B2498">
        <w:rPr>
          <w:lang w:eastAsia="fr-FR" w:bidi="fr-FR"/>
        </w:rPr>
        <w:t>a</w:t>
      </w:r>
      <w:r w:rsidRPr="004B2498">
        <w:rPr>
          <w:lang w:eastAsia="fr-FR" w:bidi="fr-FR"/>
        </w:rPr>
        <w:t>tions, une fois l’activité accomplie.</w:t>
      </w:r>
    </w:p>
    <w:p w14:paraId="196A5751" w14:textId="77777777" w:rsidR="002F4063" w:rsidRPr="004B2498" w:rsidRDefault="002F4063" w:rsidP="002F4063">
      <w:pPr>
        <w:spacing w:before="120" w:after="120"/>
        <w:jc w:val="both"/>
      </w:pPr>
      <w:r w:rsidRPr="004B2498">
        <w:rPr>
          <w:lang w:eastAsia="fr-FR" w:bidi="fr-FR"/>
        </w:rPr>
        <w:t>Certains publics peuvent être signalés comme « faibles » en fon</w:t>
      </w:r>
      <w:r w:rsidRPr="004B2498">
        <w:rPr>
          <w:lang w:eastAsia="fr-FR" w:bidi="fr-FR"/>
        </w:rPr>
        <w:t>c</w:t>
      </w:r>
      <w:r w:rsidRPr="004B2498">
        <w:rPr>
          <w:lang w:eastAsia="fr-FR" w:bidi="fr-FR"/>
        </w:rPr>
        <w:t>tion notamment de leur capacité à avoir recours à un argument unive</w:t>
      </w:r>
      <w:r w:rsidRPr="004B2498">
        <w:rPr>
          <w:lang w:eastAsia="fr-FR" w:bidi="fr-FR"/>
        </w:rPr>
        <w:t>r</w:t>
      </w:r>
      <w:r w:rsidRPr="004B2498">
        <w:rPr>
          <w:lang w:eastAsia="fr-FR" w:bidi="fr-FR"/>
        </w:rPr>
        <w:t>salisable (Eliasoph, 2003). Dans la discussion entre Carmen et la d</w:t>
      </w:r>
      <w:r w:rsidRPr="004B2498">
        <w:rPr>
          <w:lang w:eastAsia="fr-FR" w:bidi="fr-FR"/>
        </w:rPr>
        <w:t>é</w:t>
      </w:r>
      <w:r w:rsidRPr="004B2498">
        <w:rPr>
          <w:lang w:eastAsia="fr-FR" w:bidi="fr-FR"/>
        </w:rPr>
        <w:t>léguée Julia cet argument fait défaut. Les dépe</w:t>
      </w:r>
      <w:r w:rsidRPr="004B2498">
        <w:rPr>
          <w:lang w:eastAsia="fr-FR" w:bidi="fr-FR"/>
        </w:rPr>
        <w:t>n</w:t>
      </w:r>
      <w:r w:rsidRPr="004B2498">
        <w:rPr>
          <w:lang w:eastAsia="fr-FR" w:bidi="fr-FR"/>
        </w:rPr>
        <w:t>ses occasionnées par l’usage du local ne sont pas toujours couve</w:t>
      </w:r>
      <w:r w:rsidRPr="004B2498">
        <w:rPr>
          <w:lang w:eastAsia="fr-FR" w:bidi="fr-FR"/>
        </w:rPr>
        <w:t>r</w:t>
      </w:r>
      <w:r w:rsidRPr="004B2498">
        <w:rPr>
          <w:lang w:eastAsia="fr-FR" w:bidi="fr-FR"/>
        </w:rPr>
        <w:t>tes par le fond collectif, surtout lorsqu’il survient un dommage au local. Le problème, tel qu’il est posé par Julia, laisse Carmen comme seule intermédiaire face aux tensions entre l’intérêt du groupe de quartier - avoir un local où réal</w:t>
      </w:r>
      <w:r w:rsidRPr="004B2498">
        <w:rPr>
          <w:lang w:eastAsia="fr-FR" w:bidi="fr-FR"/>
        </w:rPr>
        <w:t>i</w:t>
      </w:r>
      <w:r w:rsidRPr="004B2498">
        <w:rPr>
          <w:lang w:eastAsia="fr-FR" w:bidi="fr-FR"/>
        </w:rPr>
        <w:t>ser toutes les activités nécessaires à moindre frais -, et celui de sa f</w:t>
      </w:r>
      <w:r w:rsidRPr="004B2498">
        <w:rPr>
          <w:lang w:eastAsia="fr-FR" w:bidi="fr-FR"/>
        </w:rPr>
        <w:t>a</w:t>
      </w:r>
      <w:r w:rsidRPr="004B2498">
        <w:rPr>
          <w:lang w:eastAsia="fr-FR" w:bidi="fr-FR"/>
        </w:rPr>
        <w:t>mille - profiter du local pour percevoir un loyer. Elle se sent abando</w:t>
      </w:r>
      <w:r w:rsidRPr="004B2498">
        <w:rPr>
          <w:lang w:eastAsia="fr-FR" w:bidi="fr-FR"/>
        </w:rPr>
        <w:t>n</w:t>
      </w:r>
      <w:r w:rsidRPr="004B2498">
        <w:rPr>
          <w:lang w:eastAsia="fr-FR" w:bidi="fr-FR"/>
        </w:rPr>
        <w:t xml:space="preserve">née, reproche l’absence de </w:t>
      </w:r>
      <w:r w:rsidRPr="005B1E9C">
        <w:rPr>
          <w:i/>
        </w:rPr>
        <w:t>compañerismo</w:t>
      </w:r>
      <w:r w:rsidRPr="004B2498">
        <w:rPr>
          <w:lang w:eastAsia="fr-FR" w:bidi="fr-FR"/>
        </w:rPr>
        <w:t xml:space="preserve"> et, au bout d’un certain temps, finit par se convaincre de la nécessité de « fermer la cantine ». Cette analyse permet de situer l'appartenance au groupe en fonction des multiples modalités d’adhésion des membres. Il ne s’agit pas de nier la capacité d’agir ensemble. Elle est rendue évidente lorsque l’horizon commun se déploie dans l’action, et plus particulièr</w:t>
      </w:r>
      <w:r w:rsidRPr="004B2498">
        <w:rPr>
          <w:lang w:eastAsia="fr-FR" w:bidi="fr-FR"/>
        </w:rPr>
        <w:t>e</w:t>
      </w:r>
      <w:r w:rsidRPr="004B2498">
        <w:rPr>
          <w:lang w:eastAsia="fr-FR" w:bidi="fr-FR"/>
        </w:rPr>
        <w:t>ment dans les actions de rue et lors de moments de haute tension avec les autorités. Dans ces circonstances, l’horizon commun de l’</w:t>
      </w:r>
      <w:r w:rsidRPr="00966437">
        <w:rPr>
          <w:i/>
        </w:rPr>
        <w:t>in-group</w:t>
      </w:r>
      <w:r w:rsidRPr="00966437">
        <w:rPr>
          <w:i/>
          <w:lang w:eastAsia="fr-FR" w:bidi="fr-FR"/>
        </w:rPr>
        <w:t xml:space="preserve"> </w:t>
      </w:r>
      <w:r w:rsidRPr="004B2498">
        <w:rPr>
          <w:lang w:eastAsia="fr-FR" w:bidi="fr-FR"/>
        </w:rPr>
        <w:t xml:space="preserve">joue pleinement et peut même inclure d’autres mouvements des </w:t>
      </w:r>
      <w:r w:rsidRPr="00966437">
        <w:rPr>
          <w:i/>
        </w:rPr>
        <w:t>des</w:t>
      </w:r>
      <w:r w:rsidRPr="00966437">
        <w:rPr>
          <w:i/>
        </w:rPr>
        <w:t>o</w:t>
      </w:r>
      <w:r w:rsidRPr="00966437">
        <w:rPr>
          <w:i/>
        </w:rPr>
        <w:t>cupados</w:t>
      </w:r>
      <w:r w:rsidRPr="004B2498">
        <w:t>,</w:t>
      </w:r>
      <w:r w:rsidRPr="004B2498">
        <w:rPr>
          <w:lang w:eastAsia="fr-FR" w:bidi="fr-FR"/>
        </w:rPr>
        <w:t xml:space="preserve"> des syndicats ou des associations de droits de l’homme. Néa</w:t>
      </w:r>
      <w:r w:rsidRPr="004B2498">
        <w:rPr>
          <w:lang w:eastAsia="fr-FR" w:bidi="fr-FR"/>
        </w:rPr>
        <w:t>n</w:t>
      </w:r>
      <w:r w:rsidRPr="004B2498">
        <w:rPr>
          <w:lang w:eastAsia="fr-FR" w:bidi="fr-FR"/>
        </w:rPr>
        <w:t>moins il n’est ni acquis ni linéaire et peut être remis en cause par des tensions locales que la délibération ne réussit pas toujours à d</w:t>
      </w:r>
      <w:r w:rsidRPr="004B2498">
        <w:rPr>
          <w:lang w:eastAsia="fr-FR" w:bidi="fr-FR"/>
        </w:rPr>
        <w:t>é</w:t>
      </w:r>
      <w:r w:rsidRPr="004B2498">
        <w:rPr>
          <w:lang w:eastAsia="fr-FR" w:bidi="fr-FR"/>
        </w:rPr>
        <w:t>nuer.</w:t>
      </w:r>
    </w:p>
    <w:p w14:paraId="1FA48D07" w14:textId="77777777" w:rsidR="002F4063" w:rsidRPr="004B2498" w:rsidRDefault="002F4063" w:rsidP="002F4063">
      <w:pPr>
        <w:spacing w:before="120" w:after="120"/>
        <w:jc w:val="both"/>
      </w:pPr>
      <w:r w:rsidRPr="004B2498">
        <w:rPr>
          <w:lang w:eastAsia="fr-FR" w:bidi="fr-FR"/>
        </w:rPr>
        <w:t>La tension entre les « problèmes internes » de Carmen et le b</w:t>
      </w:r>
      <w:r w:rsidRPr="004B2498">
        <w:rPr>
          <w:lang w:eastAsia="fr-FR" w:bidi="fr-FR"/>
        </w:rPr>
        <w:t>e</w:t>
      </w:r>
      <w:r w:rsidRPr="004B2498">
        <w:rPr>
          <w:lang w:eastAsia="fr-FR" w:bidi="fr-FR"/>
        </w:rPr>
        <w:t>soin d’un local pour le groupe n’a pas été traitée dans le cadre d’une a</w:t>
      </w:r>
      <w:r w:rsidRPr="004B2498">
        <w:rPr>
          <w:lang w:eastAsia="fr-FR" w:bidi="fr-FR"/>
        </w:rPr>
        <w:t>s</w:t>
      </w:r>
      <w:r w:rsidRPr="004B2498">
        <w:rPr>
          <w:lang w:eastAsia="fr-FR" w:bidi="fr-FR"/>
        </w:rPr>
        <w:t>semblée. La discussion se déroule dans l’espace de discussion des d</w:t>
      </w:r>
      <w:r w:rsidRPr="004B2498">
        <w:rPr>
          <w:lang w:eastAsia="fr-FR" w:bidi="fr-FR"/>
        </w:rPr>
        <w:t>é</w:t>
      </w:r>
      <w:r w:rsidRPr="004B2498">
        <w:rPr>
          <w:lang w:eastAsia="fr-FR" w:bidi="fr-FR"/>
        </w:rPr>
        <w:t>légués. Tout d’abord</w:t>
      </w:r>
      <w:r w:rsidRPr="004B2498">
        <w:t xml:space="preserve"> [179]</w:t>
      </w:r>
      <w:r>
        <w:t xml:space="preserve"> </w:t>
      </w:r>
      <w:r w:rsidRPr="004B2498">
        <w:rPr>
          <w:lang w:eastAsia="fr-FR" w:bidi="fr-FR"/>
        </w:rPr>
        <w:t>les discussions concernent Carmen et J</w:t>
      </w:r>
      <w:r w:rsidRPr="004B2498">
        <w:rPr>
          <w:lang w:eastAsia="fr-FR" w:bidi="fr-FR"/>
        </w:rPr>
        <w:t>u</w:t>
      </w:r>
      <w:r w:rsidRPr="004B2498">
        <w:rPr>
          <w:lang w:eastAsia="fr-FR" w:bidi="fr-FR"/>
        </w:rPr>
        <w:t>lia, la déléguée. Les dél</w:t>
      </w:r>
      <w:r w:rsidRPr="004B2498">
        <w:rPr>
          <w:lang w:eastAsia="fr-FR" w:bidi="fr-FR"/>
        </w:rPr>
        <w:t>é</w:t>
      </w:r>
      <w:r w:rsidRPr="004B2498">
        <w:rPr>
          <w:lang w:eastAsia="fr-FR" w:bidi="fr-FR"/>
        </w:rPr>
        <w:t>gués sont plus enclins à s’exprimer en face-à-face même si les enjeux concernent tout le groupe. Si l’on revient sur la décision de Carmen de ne plus continuer le fonctionnement de la cantine - c’est en particulier le thème de l’entretien qui déclenche son expl</w:t>
      </w:r>
      <w:r w:rsidRPr="004B2498">
        <w:rPr>
          <w:lang w:eastAsia="fr-FR" w:bidi="fr-FR"/>
        </w:rPr>
        <w:t>i</w:t>
      </w:r>
      <w:r w:rsidRPr="004B2498">
        <w:rPr>
          <w:lang w:eastAsia="fr-FR" w:bidi="fr-FR"/>
        </w:rPr>
        <w:t>cation mais sa décision concerne, plus globalement, le prêt de son local au groupe -, on con</w:t>
      </w:r>
      <w:r w:rsidRPr="004B2498">
        <w:rPr>
          <w:lang w:eastAsia="fr-FR" w:bidi="fr-FR"/>
        </w:rPr>
        <w:t>s</w:t>
      </w:r>
      <w:r w:rsidRPr="004B2498">
        <w:rPr>
          <w:lang w:eastAsia="fr-FR" w:bidi="fr-FR"/>
        </w:rPr>
        <w:t>tate qu’une décision est formulée en trois temps. Carmen affronte en face-à-face d’abord la déléguée. Elle lui explique les difficultés qui sont les siennes de continuer à gérer les « problèmes internes ». Les échanges, dans les coulisses des réunions, attestent de la proximité comme moyen d’accéder à la parole bien que l’inégalité affecte les relations entre les membres. Malgré ses hésit</w:t>
      </w:r>
      <w:r w:rsidRPr="004B2498">
        <w:rPr>
          <w:lang w:eastAsia="fr-FR" w:bidi="fr-FR"/>
        </w:rPr>
        <w:t>a</w:t>
      </w:r>
      <w:r w:rsidRPr="004B2498">
        <w:rPr>
          <w:lang w:eastAsia="fr-FR" w:bidi="fr-FR"/>
        </w:rPr>
        <w:t>tions, Carmen exprime les difficultés du groupe et les problèmes au</w:t>
      </w:r>
      <w:r w:rsidRPr="004B2498">
        <w:rPr>
          <w:lang w:eastAsia="fr-FR" w:bidi="fr-FR"/>
        </w:rPr>
        <w:t>x</w:t>
      </w:r>
      <w:r w:rsidRPr="004B2498">
        <w:rPr>
          <w:lang w:eastAsia="fr-FR" w:bidi="fr-FR"/>
        </w:rPr>
        <w:t>quels elle est confrontée. Julia lui explique à son tour les possibilités oui s’offrent à elle, notamment la récolte des fonds avec ses camar</w:t>
      </w:r>
      <w:r w:rsidRPr="004B2498">
        <w:rPr>
          <w:lang w:eastAsia="fr-FR" w:bidi="fr-FR"/>
        </w:rPr>
        <w:t>a</w:t>
      </w:r>
      <w:r w:rsidRPr="004B2498">
        <w:rPr>
          <w:lang w:eastAsia="fr-FR" w:bidi="fr-FR"/>
        </w:rPr>
        <w:t>des</w:t>
      </w:r>
      <w:r>
        <w:rPr>
          <w:lang w:eastAsia="fr-FR" w:bidi="fr-FR"/>
        </w:rPr>
        <w:t> </w:t>
      </w:r>
      <w:r>
        <w:rPr>
          <w:rStyle w:val="Appelnotedebasdep"/>
          <w:lang w:eastAsia="fr-FR" w:bidi="fr-FR"/>
        </w:rPr>
        <w:footnoteReference w:id="149"/>
      </w:r>
      <w:r w:rsidRPr="004B2498">
        <w:rPr>
          <w:lang w:eastAsia="fr-FR" w:bidi="fr-FR"/>
        </w:rPr>
        <w:t>. Autrement dit, r</w:t>
      </w:r>
      <w:r w:rsidRPr="004B2498">
        <w:rPr>
          <w:lang w:eastAsia="fr-FR" w:bidi="fr-FR"/>
        </w:rPr>
        <w:t>é</w:t>
      </w:r>
      <w:r w:rsidRPr="004B2498">
        <w:rPr>
          <w:lang w:eastAsia="fr-FR" w:bidi="fr-FR"/>
        </w:rPr>
        <w:t xml:space="preserve">soudre le problème au sein du quartier sans faire appel au réseau plus large de </w:t>
      </w:r>
      <w:r w:rsidRPr="00966437">
        <w:rPr>
          <w:i/>
        </w:rPr>
        <w:t>La Verón</w:t>
      </w:r>
      <w:r w:rsidRPr="004B2498">
        <w:t>.</w:t>
      </w:r>
      <w:r w:rsidRPr="004B2498">
        <w:rPr>
          <w:lang w:eastAsia="fr-FR" w:bidi="fr-FR"/>
        </w:rPr>
        <w:t xml:space="preserve"> S’ensuit une discussion entre les déléguées, l’objectif étant de trouver un espace de réunion et de travail alternatif. À la fin, les activités sont dispersées entre pl</w:t>
      </w:r>
      <w:r w:rsidRPr="004B2498">
        <w:rPr>
          <w:lang w:eastAsia="fr-FR" w:bidi="fr-FR"/>
        </w:rPr>
        <w:t>u</w:t>
      </w:r>
      <w:r w:rsidRPr="004B2498">
        <w:rPr>
          <w:lang w:eastAsia="fr-FR" w:bidi="fr-FR"/>
        </w:rPr>
        <w:t>sieurs maisons, dans certaines d’entre elles, on procède à la distrib</w:t>
      </w:r>
      <w:r w:rsidRPr="004B2498">
        <w:rPr>
          <w:lang w:eastAsia="fr-FR" w:bidi="fr-FR"/>
        </w:rPr>
        <w:t>u</w:t>
      </w:r>
      <w:r w:rsidRPr="004B2498">
        <w:rPr>
          <w:lang w:eastAsia="fr-FR" w:bidi="fr-FR"/>
        </w:rPr>
        <w:t>tion des colis alimenta</w:t>
      </w:r>
      <w:r w:rsidRPr="004B2498">
        <w:rPr>
          <w:lang w:eastAsia="fr-FR" w:bidi="fr-FR"/>
        </w:rPr>
        <w:t>i</w:t>
      </w:r>
      <w:r w:rsidRPr="004B2498">
        <w:rPr>
          <w:lang w:eastAsia="fr-FR" w:bidi="fr-FR"/>
        </w:rPr>
        <w:t>res</w:t>
      </w:r>
      <w:r>
        <w:rPr>
          <w:lang w:eastAsia="fr-FR" w:bidi="fr-FR"/>
        </w:rPr>
        <w:t> </w:t>
      </w:r>
      <w:r>
        <w:rPr>
          <w:rStyle w:val="Appelnotedebasdep"/>
          <w:lang w:eastAsia="fr-FR" w:bidi="fr-FR"/>
        </w:rPr>
        <w:footnoteReference w:id="150"/>
      </w:r>
      <w:r w:rsidRPr="004B2498">
        <w:rPr>
          <w:lang w:eastAsia="fr-FR" w:bidi="fr-FR"/>
        </w:rPr>
        <w:t>, dans une autre, on installe la cantine, etc. Les membres ont des capacités d’intervention qui diffèrent, pe</w:t>
      </w:r>
      <w:r w:rsidRPr="004B2498">
        <w:rPr>
          <w:lang w:eastAsia="fr-FR" w:bidi="fr-FR"/>
        </w:rPr>
        <w:t>u</w:t>
      </w:r>
      <w:r w:rsidRPr="004B2498">
        <w:rPr>
          <w:lang w:eastAsia="fr-FR" w:bidi="fr-FR"/>
        </w:rPr>
        <w:t>vent se voir plus ou moins contraints de mettre à disposition un e</w:t>
      </w:r>
      <w:r w:rsidRPr="004B2498">
        <w:rPr>
          <w:lang w:eastAsia="fr-FR" w:bidi="fr-FR"/>
        </w:rPr>
        <w:t>n</w:t>
      </w:r>
      <w:r w:rsidRPr="004B2498">
        <w:rPr>
          <w:lang w:eastAsia="fr-FR" w:bidi="fr-FR"/>
        </w:rPr>
        <w:t>droit pour le groupe, chez eux, provisoirement ou à plus long terme, mais l’activité ne semble pas pouvoir s’y poursuivre contre leur v</w:t>
      </w:r>
      <w:r w:rsidRPr="004B2498">
        <w:rPr>
          <w:lang w:eastAsia="fr-FR" w:bidi="fr-FR"/>
        </w:rPr>
        <w:t>o</w:t>
      </w:r>
      <w:r w:rsidRPr="004B2498">
        <w:rPr>
          <w:lang w:eastAsia="fr-FR" w:bidi="fr-FR"/>
        </w:rPr>
        <w:t>lonté. Pour comprendre cette décision, l’examen de l’espace de la r</w:t>
      </w:r>
      <w:r w:rsidRPr="004B2498">
        <w:rPr>
          <w:lang w:eastAsia="fr-FR" w:bidi="fr-FR"/>
        </w:rPr>
        <w:t>é</w:t>
      </w:r>
      <w:r w:rsidRPr="004B2498">
        <w:rPr>
          <w:lang w:eastAsia="fr-FR" w:bidi="fr-FR"/>
        </w:rPr>
        <w:t>union des délégués s’avère insuffisant. Celle-ci semble plutôt conne</w:t>
      </w:r>
      <w:r w:rsidRPr="004B2498">
        <w:rPr>
          <w:lang w:eastAsia="fr-FR" w:bidi="fr-FR"/>
        </w:rPr>
        <w:t>c</w:t>
      </w:r>
      <w:r w:rsidRPr="004B2498">
        <w:rPr>
          <w:lang w:eastAsia="fr-FR" w:bidi="fr-FR"/>
        </w:rPr>
        <w:t>tée dans un circuit, la réunion des délégués apparaissant comme l’occasion pour la discussion ouverte et la cristallisation - temporaire - de cette décision. Le retrait - relatif - de Carmen donne à la résolution du problème commun l’apparence d’un échec. Le local n’a pas été durablement remplacé par un autre lieu équivalent, capable de faire naître les formes de sociabilité que l’on a vu se développer, liées à l’existence d’« un lieu propre », un « chez soi » appartenant aux org</w:t>
      </w:r>
      <w:r w:rsidRPr="004B2498">
        <w:rPr>
          <w:lang w:eastAsia="fr-FR" w:bidi="fr-FR"/>
        </w:rPr>
        <w:t>a</w:t>
      </w:r>
      <w:r w:rsidRPr="004B2498">
        <w:rPr>
          <w:lang w:eastAsia="fr-FR" w:bidi="fr-FR"/>
        </w:rPr>
        <w:t>nisations. Carmen d</w:t>
      </w:r>
      <w:r w:rsidRPr="004B2498">
        <w:rPr>
          <w:lang w:eastAsia="fr-FR" w:bidi="fr-FR"/>
        </w:rPr>
        <w:t>e</w:t>
      </w:r>
      <w:r w:rsidRPr="004B2498">
        <w:rPr>
          <w:lang w:eastAsia="fr-FR" w:bidi="fr-FR"/>
        </w:rPr>
        <w:t xml:space="preserve">meure néanmoins un membre à part entière et participe notamment à l’activité du « goûter », réalisée chez une </w:t>
      </w:r>
      <w:r w:rsidRPr="00966437">
        <w:rPr>
          <w:i/>
        </w:rPr>
        <w:t>co</w:t>
      </w:r>
      <w:r w:rsidRPr="00966437">
        <w:rPr>
          <w:i/>
        </w:rPr>
        <w:t>m</w:t>
      </w:r>
      <w:r w:rsidRPr="00966437">
        <w:rPr>
          <w:i/>
        </w:rPr>
        <w:t>parera</w:t>
      </w:r>
      <w:r w:rsidRPr="004B2498">
        <w:t>,</w:t>
      </w:r>
      <w:r w:rsidRPr="004B2498">
        <w:rPr>
          <w:lang w:eastAsia="fr-FR" w:bidi="fr-FR"/>
        </w:rPr>
        <w:t xml:space="preserve"> ainsi qu’à des assemblées et à la mobilisation collective.</w:t>
      </w:r>
    </w:p>
    <w:p w14:paraId="06C30DC7" w14:textId="77777777" w:rsidR="002F4063" w:rsidRPr="004B2498" w:rsidRDefault="002F4063" w:rsidP="002F4063">
      <w:pPr>
        <w:spacing w:before="120" w:after="120"/>
        <w:jc w:val="both"/>
      </w:pPr>
      <w:r w:rsidRPr="004B2498">
        <w:t>[180]</w:t>
      </w:r>
    </w:p>
    <w:p w14:paraId="03F442AB" w14:textId="77777777" w:rsidR="002F4063" w:rsidRPr="004B2498" w:rsidRDefault="002F4063" w:rsidP="002F4063">
      <w:pPr>
        <w:spacing w:before="120" w:after="120"/>
        <w:jc w:val="both"/>
      </w:pPr>
    </w:p>
    <w:p w14:paraId="4CAE5683" w14:textId="77777777" w:rsidR="002F4063" w:rsidRPr="004B2498" w:rsidRDefault="002F4063" w:rsidP="002F4063">
      <w:pPr>
        <w:pStyle w:val="a"/>
      </w:pPr>
      <w:r w:rsidRPr="004B2498">
        <w:t>Le partage de la vie ordinair</w:t>
      </w:r>
      <w:r>
        <w:t>e</w:t>
      </w:r>
      <w:r>
        <w:br/>
      </w:r>
      <w:r w:rsidRPr="004B2498">
        <w:t>comme une implication indispens</w:t>
      </w:r>
      <w:r w:rsidRPr="004B2498">
        <w:t>a</w:t>
      </w:r>
      <w:r w:rsidRPr="004B2498">
        <w:t>ble</w:t>
      </w:r>
    </w:p>
    <w:p w14:paraId="5739C8DD" w14:textId="77777777" w:rsidR="002F4063" w:rsidRPr="004B2498" w:rsidRDefault="002F4063" w:rsidP="002F4063">
      <w:pPr>
        <w:spacing w:before="120" w:after="120"/>
        <w:jc w:val="both"/>
        <w:rPr>
          <w:lang w:eastAsia="fr-FR" w:bidi="fr-FR"/>
        </w:rPr>
      </w:pPr>
    </w:p>
    <w:p w14:paraId="5EDBA7FD" w14:textId="77777777" w:rsidR="002F4063" w:rsidRPr="004B2498" w:rsidRDefault="002F4063" w:rsidP="002F4063">
      <w:pPr>
        <w:spacing w:before="120" w:after="120"/>
        <w:jc w:val="both"/>
      </w:pPr>
      <w:r w:rsidRPr="004B2498">
        <w:rPr>
          <w:lang w:eastAsia="fr-FR" w:bidi="fr-FR"/>
        </w:rPr>
        <w:t>La participation à la vie ordinaire des enquêtés implique un travail complexe de la part du sociologue : en effet, bien que celui-ci n’y soit pas intégré en tant que membre, sa place dans le groupe est parfois ambiguë parce qu’il y participe. Mais la confiance qu’il y a acquise lui permet de devenir un véhicule d’information et de se rapprocher des expériences vécues par les membres. Au cours de nos travaux de te</w:t>
      </w:r>
      <w:r w:rsidRPr="004B2498">
        <w:rPr>
          <w:lang w:eastAsia="fr-FR" w:bidi="fr-FR"/>
        </w:rPr>
        <w:t>r</w:t>
      </w:r>
      <w:r w:rsidRPr="004B2498">
        <w:rPr>
          <w:lang w:eastAsia="fr-FR" w:bidi="fr-FR"/>
        </w:rPr>
        <w:t>rain, cette méthodologie d’enquête s’est av</w:t>
      </w:r>
      <w:r w:rsidRPr="004B2498">
        <w:rPr>
          <w:lang w:eastAsia="fr-FR" w:bidi="fr-FR"/>
        </w:rPr>
        <w:t>é</w:t>
      </w:r>
      <w:r w:rsidRPr="004B2498">
        <w:rPr>
          <w:lang w:eastAsia="fr-FR" w:bidi="fr-FR"/>
        </w:rPr>
        <w:t>ré comme une possibilité d’interaction avec les membres auprès desquels nous avons pris pa</w:t>
      </w:r>
      <w:r w:rsidRPr="004B2498">
        <w:rPr>
          <w:lang w:eastAsia="fr-FR" w:bidi="fr-FR"/>
        </w:rPr>
        <w:t>r</w:t>
      </w:r>
      <w:r w:rsidRPr="004B2498">
        <w:rPr>
          <w:lang w:eastAsia="fr-FR" w:bidi="fr-FR"/>
        </w:rPr>
        <w:t>fois la place de l’interrogé </w:t>
      </w:r>
      <w:r>
        <w:rPr>
          <w:rStyle w:val="Appelnotedebasdep"/>
          <w:lang w:eastAsia="fr-FR" w:bidi="fr-FR"/>
        </w:rPr>
        <w:footnoteReference w:id="151"/>
      </w:r>
      <w:r w:rsidRPr="004B2498">
        <w:rPr>
          <w:lang w:eastAsia="fr-FR" w:bidi="fr-FR"/>
        </w:rPr>
        <w:t>. Au fur et à mesure que notre présence sur le terrain était perçue comme non problématique, nous avons été soll</w:t>
      </w:r>
      <w:r w:rsidRPr="004B2498">
        <w:rPr>
          <w:lang w:eastAsia="fr-FR" w:bidi="fr-FR"/>
        </w:rPr>
        <w:t>i</w:t>
      </w:r>
      <w:r w:rsidRPr="004B2498">
        <w:rPr>
          <w:lang w:eastAsia="fr-FR" w:bidi="fr-FR"/>
        </w:rPr>
        <w:t>citée pour participer à des activités et nous sommes laissée « affecter » (Favret-Saada, 1990) par ces interpellations : certaines d’ordre pratique - comme a</w:t>
      </w:r>
      <w:r w:rsidRPr="004B2498">
        <w:rPr>
          <w:lang w:eastAsia="fr-FR" w:bidi="fr-FR"/>
        </w:rPr>
        <w:t>p</w:t>
      </w:r>
      <w:r w:rsidRPr="004B2498">
        <w:rPr>
          <w:lang w:eastAsia="fr-FR" w:bidi="fr-FR"/>
        </w:rPr>
        <w:t>porter un cahier, écrire une lettre, aider un enfant à faire ses d</w:t>
      </w:r>
      <w:r w:rsidRPr="004B2498">
        <w:rPr>
          <w:lang w:eastAsia="fr-FR" w:bidi="fr-FR"/>
        </w:rPr>
        <w:t>e</w:t>
      </w:r>
      <w:r w:rsidRPr="004B2498">
        <w:rPr>
          <w:lang w:eastAsia="fr-FR" w:bidi="fr-FR"/>
        </w:rPr>
        <w:t>voirs -, d’autres (plus polémiques selon une conception positiviste de l’objectivité scientifique) concernant nos points de vue sur des sujets de discussion au sein des réunions et des assemblées. Loin de nuire à la qualité de notre recherche, ces sollicit</w:t>
      </w:r>
      <w:r w:rsidRPr="004B2498">
        <w:rPr>
          <w:lang w:eastAsia="fr-FR" w:bidi="fr-FR"/>
        </w:rPr>
        <w:t>a</w:t>
      </w:r>
      <w:r w:rsidRPr="004B2498">
        <w:rPr>
          <w:lang w:eastAsia="fr-FR" w:bidi="fr-FR"/>
        </w:rPr>
        <w:t>tions nous ont permis d’être admise à l’intérieur des groupes. Tout au long de ce travail de terrain, nous serons amenée à occuper tour à tour pl</w:t>
      </w:r>
      <w:r w:rsidRPr="004B2498">
        <w:rPr>
          <w:lang w:eastAsia="fr-FR" w:bidi="fr-FR"/>
        </w:rPr>
        <w:t>u</w:t>
      </w:r>
      <w:r w:rsidRPr="004B2498">
        <w:rPr>
          <w:lang w:eastAsia="fr-FR" w:bidi="fr-FR"/>
        </w:rPr>
        <w:t xml:space="preserve">sieurs positions, y compris celle d’une </w:t>
      </w:r>
      <w:r w:rsidRPr="00966437">
        <w:rPr>
          <w:i/>
        </w:rPr>
        <w:t>comparera </w:t>
      </w:r>
      <w:r w:rsidRPr="004B2498">
        <w:t>!</w:t>
      </w:r>
    </w:p>
    <w:p w14:paraId="2BC88FB8" w14:textId="77777777" w:rsidR="002F4063" w:rsidRPr="004B2498" w:rsidRDefault="002F4063" w:rsidP="002F4063">
      <w:pPr>
        <w:spacing w:before="120" w:after="120"/>
        <w:jc w:val="both"/>
      </w:pPr>
      <w:r w:rsidRPr="004B2498">
        <w:rPr>
          <w:lang w:eastAsia="fr-FR" w:bidi="fr-FR"/>
        </w:rPr>
        <w:t>L’anthropologue Jeanne Favret-Saada (1994 : 16-17) soul</w:t>
      </w:r>
      <w:r w:rsidRPr="004B2498">
        <w:rPr>
          <w:lang w:eastAsia="fr-FR" w:bidi="fr-FR"/>
        </w:rPr>
        <w:t>i</w:t>
      </w:r>
      <w:r w:rsidRPr="004B2498">
        <w:rPr>
          <w:lang w:eastAsia="fr-FR" w:bidi="fr-FR"/>
        </w:rPr>
        <w:t>gne l’importance de prendre au sérieux les aspects affectifs de toute rel</w:t>
      </w:r>
      <w:r w:rsidRPr="004B2498">
        <w:rPr>
          <w:lang w:eastAsia="fr-FR" w:bidi="fr-FR"/>
        </w:rPr>
        <w:t>a</w:t>
      </w:r>
      <w:r w:rsidRPr="004B2498">
        <w:rPr>
          <w:lang w:eastAsia="fr-FR" w:bidi="fr-FR"/>
        </w:rPr>
        <w:t>tion. Elle nous invite à considérer les émotions comme des a</w:t>
      </w:r>
      <w:r w:rsidRPr="004B2498">
        <w:rPr>
          <w:lang w:eastAsia="fr-FR" w:bidi="fr-FR"/>
        </w:rPr>
        <w:t>s</w:t>
      </w:r>
      <w:r w:rsidRPr="004B2498">
        <w:rPr>
          <w:lang w:eastAsia="fr-FR" w:bidi="fr-FR"/>
        </w:rPr>
        <w:t>pects ou des dimensions d’une relation qui ne peut être ni exclusivement r</w:t>
      </w:r>
      <w:r w:rsidRPr="004B2498">
        <w:rPr>
          <w:lang w:eastAsia="fr-FR" w:bidi="fr-FR"/>
        </w:rPr>
        <w:t>a</w:t>
      </w:r>
      <w:r w:rsidRPr="004B2498">
        <w:rPr>
          <w:lang w:eastAsia="fr-FR" w:bidi="fr-FR"/>
        </w:rPr>
        <w:t>tionnelle ni exclusivement affective </w:t>
      </w:r>
      <w:r>
        <w:rPr>
          <w:rStyle w:val="Appelnotedebasdep"/>
          <w:lang w:eastAsia="fr-FR" w:bidi="fr-FR"/>
        </w:rPr>
        <w:footnoteReference w:id="152"/>
      </w:r>
      <w:r w:rsidRPr="004B2498">
        <w:rPr>
          <w:lang w:eastAsia="fr-FR" w:bidi="fr-FR"/>
        </w:rPr>
        <w:t>. Le traitement de la catég</w:t>
      </w:r>
      <w:r w:rsidRPr="004B2498">
        <w:rPr>
          <w:lang w:eastAsia="fr-FR" w:bidi="fr-FR"/>
        </w:rPr>
        <w:t>o</w:t>
      </w:r>
      <w:r w:rsidRPr="004B2498">
        <w:rPr>
          <w:lang w:eastAsia="fr-FR" w:bidi="fr-FR"/>
        </w:rPr>
        <w:t>rie de l’affect ou de l’émotion comme une catégorie illégitime app</w:t>
      </w:r>
      <w:r w:rsidRPr="004B2498">
        <w:rPr>
          <w:lang w:eastAsia="fr-FR" w:bidi="fr-FR"/>
        </w:rPr>
        <w:t>a</w:t>
      </w:r>
      <w:r w:rsidRPr="004B2498">
        <w:rPr>
          <w:lang w:eastAsia="fr-FR" w:bidi="fr-FR"/>
        </w:rPr>
        <w:t>raît dans l’emploi des termes « populaire » ou encore « subversion de l’ordre social ». Ces réflexions nous ont permis de rendre compte au cours de notre enquête de la parole des me</w:t>
      </w:r>
      <w:r w:rsidRPr="004B2498">
        <w:rPr>
          <w:lang w:eastAsia="fr-FR" w:bidi="fr-FR"/>
        </w:rPr>
        <w:t>m</w:t>
      </w:r>
      <w:r w:rsidRPr="004B2498">
        <w:rPr>
          <w:lang w:eastAsia="fr-FR" w:bidi="fr-FR"/>
        </w:rPr>
        <w:t>bres qui n’est pas toujours formalisée sous l’effet de l’expérience militante. Le risque était, d’une part, de déduire une absence de pertinence politique dans les propos des intervenants, cantonnés dans des « problèmes internes » ou des motivations personnelles telle l’impuissance face à la mort d’un e</w:t>
      </w:r>
      <w:r w:rsidRPr="004B2498">
        <w:rPr>
          <w:lang w:eastAsia="fr-FR" w:bidi="fr-FR"/>
        </w:rPr>
        <w:t>n</w:t>
      </w:r>
      <w:r w:rsidRPr="004B2498">
        <w:rPr>
          <w:lang w:eastAsia="fr-FR" w:bidi="fr-FR"/>
        </w:rPr>
        <w:t>fant. D’autre part, le ri</w:t>
      </w:r>
      <w:r w:rsidRPr="004B2498">
        <w:rPr>
          <w:lang w:eastAsia="fr-FR" w:bidi="fr-FR"/>
        </w:rPr>
        <w:t>s</w:t>
      </w:r>
      <w:r w:rsidRPr="004B2498">
        <w:rPr>
          <w:lang w:eastAsia="fr-FR" w:bidi="fr-FR"/>
        </w:rPr>
        <w:t>que, également fort, comme nous l’avons vu, d’occulter les dime</w:t>
      </w:r>
      <w:r w:rsidRPr="004B2498">
        <w:rPr>
          <w:lang w:eastAsia="fr-FR" w:bidi="fr-FR"/>
        </w:rPr>
        <w:t>n</w:t>
      </w:r>
      <w:r w:rsidRPr="004B2498">
        <w:rPr>
          <w:lang w:eastAsia="fr-FR" w:bidi="fr-FR"/>
        </w:rPr>
        <w:t>sions affectives, de les renvoyer au domestique, à la sphère privée, espace séparé de l’espace public ou situé du côté de l’« impensable ».</w:t>
      </w:r>
    </w:p>
    <w:p w14:paraId="483E5485" w14:textId="77777777" w:rsidR="002F4063" w:rsidRPr="004B2498" w:rsidRDefault="002F4063" w:rsidP="002F4063">
      <w:pPr>
        <w:spacing w:before="120" w:after="120"/>
        <w:jc w:val="both"/>
      </w:pPr>
      <w:r>
        <w:br w:type="page"/>
      </w:r>
      <w:r w:rsidRPr="004B2498">
        <w:t>[181]</w:t>
      </w:r>
    </w:p>
    <w:p w14:paraId="1A3D4185" w14:textId="77777777" w:rsidR="002F4063" w:rsidRPr="004B2498" w:rsidRDefault="002F4063" w:rsidP="002F4063">
      <w:pPr>
        <w:spacing w:before="120" w:after="120"/>
        <w:jc w:val="both"/>
        <w:rPr>
          <w:lang w:eastAsia="fr-FR" w:bidi="fr-FR"/>
        </w:rPr>
      </w:pPr>
      <w:r w:rsidRPr="004B2498">
        <w:rPr>
          <w:lang w:eastAsia="fr-FR" w:bidi="fr-FR"/>
        </w:rPr>
        <w:t xml:space="preserve">Les conférences des dirigeants </w:t>
      </w:r>
      <w:r w:rsidRPr="004B2498">
        <w:t>piqueteros</w:t>
      </w:r>
      <w:r w:rsidRPr="004B2498">
        <w:rPr>
          <w:lang w:eastAsia="fr-FR" w:bidi="fr-FR"/>
        </w:rPr>
        <w:t xml:space="preserve"> auxquelles nous avons assisté à Paris ont toujours pu compter sur l'accueil entho</w:t>
      </w:r>
      <w:r w:rsidRPr="004B2498">
        <w:rPr>
          <w:lang w:eastAsia="fr-FR" w:bidi="fr-FR"/>
        </w:rPr>
        <w:t>u</w:t>
      </w:r>
      <w:r w:rsidRPr="004B2498">
        <w:rPr>
          <w:lang w:eastAsia="fr-FR" w:bidi="fr-FR"/>
        </w:rPr>
        <w:t xml:space="preserve">siaste d’un public militant diversifié capable de remplir les salles, de s’enflammer au cours du débat et, même pour certains d’entre eux, de s’engager dans des réseaux de solidarité internationale de soutien des initiatives populaires. Certains seront partis avec la certitude qu’un </w:t>
      </w:r>
      <w:r w:rsidRPr="00966437">
        <w:rPr>
          <w:i/>
        </w:rPr>
        <w:t>autre monde est possible</w:t>
      </w:r>
      <w:r w:rsidRPr="004B2498">
        <w:rPr>
          <w:lang w:eastAsia="fr-FR" w:bidi="fr-FR"/>
        </w:rPr>
        <w:t xml:space="preserve"> face à la globalisation néolibérale. D’autres, au contraire, auront été déçus par une « action sociale » soumise à la gestion de la précarité. Loin de ce regard à distance, le partage de leur vie quot</w:t>
      </w:r>
      <w:r w:rsidRPr="004B2498">
        <w:rPr>
          <w:lang w:eastAsia="fr-FR" w:bidi="fr-FR"/>
        </w:rPr>
        <w:t>i</w:t>
      </w:r>
      <w:r w:rsidRPr="004B2498">
        <w:rPr>
          <w:lang w:eastAsia="fr-FR" w:bidi="fr-FR"/>
        </w:rPr>
        <w:t>dienne s’est avéré un outil nécessaire pour comprendre les modalités de participation et de compréhension du politique des membres en fonction de leur expérience vécue sans les transformer en héros ni les réduire au rôle de marionnettes asservies aux seuls besoins matériels.</w:t>
      </w:r>
    </w:p>
    <w:p w14:paraId="3B073E91" w14:textId="77777777" w:rsidR="002F4063" w:rsidRPr="004B2498" w:rsidRDefault="002F4063" w:rsidP="002F4063">
      <w:pPr>
        <w:spacing w:before="120" w:after="120"/>
        <w:jc w:val="both"/>
      </w:pPr>
    </w:p>
    <w:p w14:paraId="1FF823CF" w14:textId="77777777" w:rsidR="002F4063" w:rsidRPr="004B2498" w:rsidRDefault="002F4063" w:rsidP="002F4063">
      <w:pPr>
        <w:pStyle w:val="a"/>
      </w:pPr>
      <w:r w:rsidRPr="004B2498">
        <w:t>Références bibliographiques</w:t>
      </w:r>
    </w:p>
    <w:p w14:paraId="0D827B98" w14:textId="77777777" w:rsidR="002F4063" w:rsidRPr="004B2498" w:rsidRDefault="002F4063" w:rsidP="002F4063">
      <w:pPr>
        <w:spacing w:before="120" w:after="120"/>
        <w:jc w:val="both"/>
      </w:pPr>
    </w:p>
    <w:p w14:paraId="61CC1CF4" w14:textId="77777777" w:rsidR="002F4063" w:rsidRPr="004B2498" w:rsidRDefault="002F4063" w:rsidP="002F4063">
      <w:pPr>
        <w:spacing w:before="120" w:after="120"/>
        <w:jc w:val="both"/>
      </w:pPr>
      <w:r w:rsidRPr="004B2498">
        <w:t>ACU</w:t>
      </w:r>
      <w:r>
        <w:t>Ñ</w:t>
      </w:r>
      <w:r w:rsidRPr="004B2498">
        <w:t xml:space="preserve">A </w:t>
      </w:r>
      <w:r w:rsidRPr="004B2498">
        <w:rPr>
          <w:lang w:eastAsia="fr-FR" w:bidi="fr-FR"/>
        </w:rPr>
        <w:t xml:space="preserve">Carlos H. et </w:t>
      </w:r>
      <w:r w:rsidRPr="004B2498">
        <w:t xml:space="preserve">SMULOVITZ </w:t>
      </w:r>
      <w:r w:rsidRPr="004B2498">
        <w:rPr>
          <w:lang w:eastAsia="fr-FR" w:bidi="fr-FR"/>
        </w:rPr>
        <w:t>Catalina, 1995 : “Militares en la transición Argentina : del gobiemo a la subordinación constituci</w:t>
      </w:r>
      <w:r w:rsidRPr="004B2498">
        <w:rPr>
          <w:lang w:eastAsia="fr-FR" w:bidi="fr-FR"/>
        </w:rPr>
        <w:t>o</w:t>
      </w:r>
      <w:r w:rsidRPr="004B2498">
        <w:rPr>
          <w:lang w:eastAsia="fr-FR" w:bidi="fr-FR"/>
        </w:rPr>
        <w:t xml:space="preserve">nal” en </w:t>
      </w:r>
      <w:r w:rsidRPr="004B2498">
        <w:t>ACU</w:t>
      </w:r>
      <w:r>
        <w:t>Ñ</w:t>
      </w:r>
      <w:r w:rsidRPr="004B2498">
        <w:t xml:space="preserve">A </w:t>
      </w:r>
      <w:r w:rsidRPr="004B2498">
        <w:rPr>
          <w:lang w:eastAsia="fr-FR" w:bidi="fr-FR"/>
        </w:rPr>
        <w:t xml:space="preserve">H. Carlos, </w:t>
      </w:r>
      <w:r w:rsidRPr="004B2498">
        <w:rPr>
          <w:rStyle w:val="Corpsdutexte29ptPetitesmajuscules"/>
          <w:smallCaps w:val="0"/>
          <w:color w:val="auto"/>
          <w:sz w:val="28"/>
        </w:rPr>
        <w:t xml:space="preserve">GONZALEZ Bombal </w:t>
      </w:r>
      <w:r w:rsidRPr="004B2498">
        <w:rPr>
          <w:lang w:eastAsia="fr-FR" w:bidi="fr-FR"/>
        </w:rPr>
        <w:t xml:space="preserve">Inès, </w:t>
      </w:r>
      <w:r w:rsidRPr="004B2498">
        <w:t xml:space="preserve">JELIN </w:t>
      </w:r>
      <w:r w:rsidRPr="004B2498">
        <w:rPr>
          <w:lang w:eastAsia="fr-FR" w:bidi="fr-FR"/>
        </w:rPr>
        <w:t>Eliz</w:t>
      </w:r>
      <w:r w:rsidRPr="004B2498">
        <w:rPr>
          <w:lang w:eastAsia="fr-FR" w:bidi="fr-FR"/>
        </w:rPr>
        <w:t>a</w:t>
      </w:r>
      <w:r w:rsidRPr="004B2498">
        <w:rPr>
          <w:lang w:eastAsia="fr-FR" w:bidi="fr-FR"/>
        </w:rPr>
        <w:t xml:space="preserve">beth, </w:t>
      </w:r>
      <w:r w:rsidRPr="004B2498">
        <w:rPr>
          <w:rStyle w:val="Corpsdutexte29ptPetitesmajuscules"/>
          <w:smallCaps w:val="0"/>
          <w:color w:val="auto"/>
          <w:sz w:val="28"/>
        </w:rPr>
        <w:t xml:space="preserve">Landi </w:t>
      </w:r>
      <w:r w:rsidRPr="004B2498">
        <w:rPr>
          <w:lang w:eastAsia="fr-FR" w:bidi="fr-FR"/>
        </w:rPr>
        <w:t xml:space="preserve">Oscar, </w:t>
      </w:r>
      <w:r w:rsidRPr="004B2498">
        <w:t xml:space="preserve">QUEVEDO </w:t>
      </w:r>
      <w:r w:rsidRPr="004B2498">
        <w:rPr>
          <w:lang w:eastAsia="fr-FR" w:bidi="fr-FR"/>
        </w:rPr>
        <w:t xml:space="preserve">Luis Alberto, </w:t>
      </w:r>
      <w:r w:rsidRPr="004B2498">
        <w:t xml:space="preserve">SMULOVITZ </w:t>
      </w:r>
      <w:r w:rsidRPr="004B2498">
        <w:rPr>
          <w:lang w:eastAsia="fr-FR" w:bidi="fr-FR"/>
        </w:rPr>
        <w:t xml:space="preserve">Catalina </w:t>
      </w:r>
      <w:r w:rsidRPr="004B2498">
        <w:t xml:space="preserve">y VACHIERI </w:t>
      </w:r>
      <w:r w:rsidRPr="004B2498">
        <w:rPr>
          <w:lang w:eastAsia="fr-FR" w:bidi="fr-FR"/>
        </w:rPr>
        <w:t xml:space="preserve">Adriana : </w:t>
      </w:r>
      <w:r w:rsidRPr="00741140">
        <w:rPr>
          <w:i/>
        </w:rPr>
        <w:t>Juicio, Castigos y Memorias : Derechos H</w:t>
      </w:r>
      <w:r w:rsidRPr="00741140">
        <w:rPr>
          <w:i/>
        </w:rPr>
        <w:t>u</w:t>
      </w:r>
      <w:r w:rsidRPr="00741140">
        <w:rPr>
          <w:i/>
        </w:rPr>
        <w:t>manos y Justicia en la politica argentina</w:t>
      </w:r>
      <w:r w:rsidRPr="004B2498">
        <w:t>,</w:t>
      </w:r>
      <w:r w:rsidRPr="004B2498">
        <w:rPr>
          <w:lang w:eastAsia="fr-FR" w:bidi="fr-FR"/>
        </w:rPr>
        <w:t xml:space="preserve"> Buenos Aires : Nueva V</w:t>
      </w:r>
      <w:r w:rsidRPr="004B2498">
        <w:rPr>
          <w:lang w:eastAsia="fr-FR" w:bidi="fr-FR"/>
        </w:rPr>
        <w:t>i</w:t>
      </w:r>
      <w:r w:rsidRPr="004B2498">
        <w:rPr>
          <w:lang w:eastAsia="fr-FR" w:bidi="fr-FR"/>
        </w:rPr>
        <w:t>sion.</w:t>
      </w:r>
    </w:p>
    <w:p w14:paraId="6E7FB952" w14:textId="77777777" w:rsidR="002F4063" w:rsidRPr="004B2498" w:rsidRDefault="002F4063" w:rsidP="002F4063">
      <w:pPr>
        <w:spacing w:before="120" w:after="120"/>
        <w:jc w:val="both"/>
        <w:rPr>
          <w:lang w:eastAsia="fr-FR" w:bidi="fr-FR"/>
        </w:rPr>
      </w:pPr>
      <w:r w:rsidRPr="00966437">
        <w:t xml:space="preserve">Anheier </w:t>
      </w:r>
      <w:r w:rsidRPr="004B2498">
        <w:rPr>
          <w:lang w:eastAsia="fr-FR" w:bidi="fr-FR"/>
        </w:rPr>
        <w:t xml:space="preserve">H., </w:t>
      </w:r>
      <w:r w:rsidRPr="00966437">
        <w:t xml:space="preserve">Glasius </w:t>
      </w:r>
      <w:r w:rsidRPr="004B2498">
        <w:rPr>
          <w:lang w:eastAsia="fr-FR" w:bidi="fr-FR"/>
        </w:rPr>
        <w:t xml:space="preserve">M., </w:t>
      </w:r>
      <w:r w:rsidRPr="00966437">
        <w:t xml:space="preserve">Kaldor </w:t>
      </w:r>
      <w:r w:rsidRPr="004B2498">
        <w:rPr>
          <w:lang w:eastAsia="fr-FR" w:bidi="fr-FR"/>
        </w:rPr>
        <w:t xml:space="preserve">M. (eds.), 2006 : </w:t>
      </w:r>
      <w:r w:rsidRPr="00741140">
        <w:rPr>
          <w:i/>
          <w:lang w:eastAsia="fr-FR" w:bidi="fr-FR"/>
        </w:rPr>
        <w:t>Global Civil S</w:t>
      </w:r>
      <w:r w:rsidRPr="00741140">
        <w:rPr>
          <w:i/>
          <w:lang w:eastAsia="fr-FR" w:bidi="fr-FR"/>
        </w:rPr>
        <w:t>o</w:t>
      </w:r>
      <w:r w:rsidRPr="00741140">
        <w:rPr>
          <w:i/>
          <w:lang w:eastAsia="fr-FR" w:bidi="fr-FR"/>
        </w:rPr>
        <w:t>ciety 2006/2007</w:t>
      </w:r>
      <w:r w:rsidRPr="004B2498">
        <w:rPr>
          <w:lang w:eastAsia="fr-FR" w:bidi="fr-FR"/>
        </w:rPr>
        <w:t>, London, Sage.</w:t>
      </w:r>
    </w:p>
    <w:p w14:paraId="34F56238" w14:textId="77777777" w:rsidR="002F4063" w:rsidRPr="004B2498" w:rsidRDefault="002F4063" w:rsidP="002F4063">
      <w:pPr>
        <w:spacing w:before="120" w:after="120"/>
        <w:jc w:val="both"/>
        <w:rPr>
          <w:lang w:eastAsia="fr-FR" w:bidi="fr-FR"/>
        </w:rPr>
      </w:pPr>
      <w:r w:rsidRPr="004B2498">
        <w:rPr>
          <w:lang w:eastAsia="fr-FR" w:bidi="fr-FR"/>
        </w:rPr>
        <w:t>CARRERA Inigo Nicolas et COTARELO Maria Celia, 2003 : “Reestructuración productivas y formas de protesta social en la A</w:t>
      </w:r>
      <w:r w:rsidRPr="004B2498">
        <w:rPr>
          <w:lang w:eastAsia="fr-FR" w:bidi="fr-FR"/>
        </w:rPr>
        <w:t>r</w:t>
      </w:r>
      <w:r w:rsidRPr="004B2498">
        <w:rPr>
          <w:lang w:eastAsia="fr-FR" w:bidi="fr-FR"/>
        </w:rPr>
        <w:t xml:space="preserve">gentina”, in De LA GARZA TOLEDO Raül (ed.) : </w:t>
      </w:r>
      <w:r w:rsidRPr="00741140">
        <w:rPr>
          <w:i/>
          <w:lang w:eastAsia="fr-FR" w:bidi="fr-FR"/>
        </w:rPr>
        <w:t>Restruct</w:t>
      </w:r>
      <w:r w:rsidRPr="00741140">
        <w:rPr>
          <w:i/>
          <w:lang w:eastAsia="fr-FR" w:bidi="fr-FR"/>
        </w:rPr>
        <w:t>u</w:t>
      </w:r>
      <w:r w:rsidRPr="00741140">
        <w:rPr>
          <w:i/>
          <w:lang w:eastAsia="fr-FR" w:bidi="fr-FR"/>
        </w:rPr>
        <w:t>ración Productiva, Mercado de Trabajo y sindicatos en America Latina</w:t>
      </w:r>
      <w:r w:rsidRPr="004B2498">
        <w:rPr>
          <w:lang w:eastAsia="fr-FR" w:bidi="fr-FR"/>
        </w:rPr>
        <w:t xml:space="preserve">, CLACSO ; </w:t>
      </w:r>
      <w:hyperlink r:id="rId29" w:history="1">
        <w:r w:rsidRPr="00966437">
          <w:rPr>
            <w:lang w:eastAsia="fr-FR" w:bidi="fr-FR"/>
          </w:rPr>
          <w:t>http://www.clacso.Org/trabajo2/3.pdf</w:t>
        </w:r>
      </w:hyperlink>
      <w:r w:rsidRPr="004B2498">
        <w:rPr>
          <w:lang w:eastAsia="fr-FR" w:bidi="fr-FR"/>
        </w:rPr>
        <w:t>, 27-08-00.</w:t>
      </w:r>
    </w:p>
    <w:p w14:paraId="44C5D9AE" w14:textId="77777777" w:rsidR="002F4063" w:rsidRPr="004B2498" w:rsidRDefault="002F4063" w:rsidP="002F4063">
      <w:pPr>
        <w:spacing w:before="120" w:after="120"/>
        <w:jc w:val="both"/>
        <w:rPr>
          <w:lang w:eastAsia="fr-FR" w:bidi="fr-FR"/>
        </w:rPr>
      </w:pPr>
      <w:r w:rsidRPr="00966437">
        <w:t xml:space="preserve">CEFAI </w:t>
      </w:r>
      <w:r w:rsidRPr="004B2498">
        <w:rPr>
          <w:lang w:eastAsia="fr-FR" w:bidi="fr-FR"/>
        </w:rPr>
        <w:t xml:space="preserve">Daniel, 2007 : </w:t>
      </w:r>
      <w:r w:rsidRPr="00741140">
        <w:rPr>
          <w:i/>
          <w:lang w:eastAsia="fr-FR" w:bidi="fr-FR"/>
        </w:rPr>
        <w:t>Pourquoi se mobilise-t-on ? Les théories de l’action collective</w:t>
      </w:r>
      <w:r w:rsidRPr="004B2498">
        <w:rPr>
          <w:lang w:eastAsia="fr-FR" w:bidi="fr-FR"/>
        </w:rPr>
        <w:t>, Paris, La Découverte-MAUSS.</w:t>
      </w:r>
    </w:p>
    <w:p w14:paraId="753CD228" w14:textId="77777777" w:rsidR="002F4063" w:rsidRPr="004B2498" w:rsidRDefault="002F4063" w:rsidP="002F4063">
      <w:pPr>
        <w:spacing w:before="120" w:after="120"/>
        <w:jc w:val="both"/>
        <w:rPr>
          <w:lang w:eastAsia="fr-FR" w:bidi="fr-FR"/>
        </w:rPr>
      </w:pPr>
      <w:r w:rsidRPr="004B2498">
        <w:rPr>
          <w:lang w:eastAsia="fr-FR" w:bidi="fr-FR"/>
        </w:rPr>
        <w:t>COUSO Claudia, 2006 : Perspectivas y puntos de vista de los int</w:t>
      </w:r>
      <w:r w:rsidRPr="004B2498">
        <w:rPr>
          <w:lang w:eastAsia="fr-FR" w:bidi="fr-FR"/>
        </w:rPr>
        <w:t>e</w:t>
      </w:r>
      <w:r w:rsidRPr="004B2498">
        <w:rPr>
          <w:lang w:eastAsia="fr-FR" w:bidi="fr-FR"/>
        </w:rPr>
        <w:t>grantes de los Movimientos de Desocupados del Gran Buenos Aires (2002-2004), Tesis del Magister Scientae en Metodologia de la Inve</w:t>
      </w:r>
      <w:r w:rsidRPr="004B2498">
        <w:rPr>
          <w:lang w:eastAsia="fr-FR" w:bidi="fr-FR"/>
        </w:rPr>
        <w:t>s</w:t>
      </w:r>
      <w:r w:rsidRPr="004B2498">
        <w:rPr>
          <w:lang w:eastAsia="fr-FR" w:bidi="fr-FR"/>
        </w:rPr>
        <w:t>tigaciôn de la Universidad Nacional de Entre Rios.</w:t>
      </w:r>
    </w:p>
    <w:p w14:paraId="39574297" w14:textId="77777777" w:rsidR="002F4063" w:rsidRPr="004B2498" w:rsidRDefault="002F4063" w:rsidP="002F4063">
      <w:pPr>
        <w:spacing w:before="120" w:after="120"/>
        <w:jc w:val="both"/>
        <w:rPr>
          <w:lang w:eastAsia="fr-FR" w:bidi="fr-FR"/>
        </w:rPr>
      </w:pPr>
      <w:r w:rsidRPr="004B2498">
        <w:rPr>
          <w:lang w:eastAsia="fr-FR" w:bidi="fr-FR"/>
        </w:rPr>
        <w:t>Dl MARCO Graciela, 2007 : « Justice sociale et droits liés au ge</w:t>
      </w:r>
      <w:r w:rsidRPr="004B2498">
        <w:rPr>
          <w:lang w:eastAsia="fr-FR" w:bidi="fr-FR"/>
        </w:rPr>
        <w:t>n</w:t>
      </w:r>
      <w:r w:rsidRPr="004B2498">
        <w:rPr>
          <w:lang w:eastAsia="fr-FR" w:bidi="fr-FR"/>
        </w:rPr>
        <w:t xml:space="preserve">re », </w:t>
      </w:r>
      <w:r w:rsidRPr="00741140">
        <w:rPr>
          <w:i/>
          <w:lang w:eastAsia="fr-FR" w:bidi="fr-FR"/>
        </w:rPr>
        <w:t>Revue internationale des sciences sociales</w:t>
      </w:r>
      <w:r w:rsidRPr="004B2498">
        <w:rPr>
          <w:lang w:eastAsia="fr-FR" w:bidi="fr-FR"/>
        </w:rPr>
        <w:t>, n° 191, p. 51-64.</w:t>
      </w:r>
    </w:p>
    <w:p w14:paraId="63A270A6" w14:textId="77777777" w:rsidR="002F4063" w:rsidRPr="004B2498" w:rsidRDefault="002F4063" w:rsidP="002F4063">
      <w:pPr>
        <w:spacing w:before="120" w:after="120"/>
        <w:jc w:val="both"/>
        <w:rPr>
          <w:lang w:eastAsia="fr-FR" w:bidi="fr-FR"/>
        </w:rPr>
      </w:pPr>
      <w:r w:rsidRPr="00966437">
        <w:t xml:space="preserve">Escobar </w:t>
      </w:r>
      <w:r w:rsidRPr="004B2498">
        <w:rPr>
          <w:lang w:eastAsia="fr-FR" w:bidi="fr-FR"/>
        </w:rPr>
        <w:t xml:space="preserve">A., </w:t>
      </w:r>
      <w:r w:rsidRPr="00966437">
        <w:t xml:space="preserve">Alvarez </w:t>
      </w:r>
      <w:r w:rsidRPr="004B2498">
        <w:rPr>
          <w:lang w:eastAsia="fr-FR" w:bidi="fr-FR"/>
        </w:rPr>
        <w:t xml:space="preserve">S.E. (eds.), 1992 : </w:t>
      </w:r>
      <w:r w:rsidRPr="00340C87">
        <w:rPr>
          <w:i/>
          <w:lang w:eastAsia="fr-FR" w:bidi="fr-FR"/>
        </w:rPr>
        <w:t>The Making of Social Mo</w:t>
      </w:r>
      <w:r w:rsidRPr="00340C87">
        <w:rPr>
          <w:i/>
          <w:lang w:eastAsia="fr-FR" w:bidi="fr-FR"/>
        </w:rPr>
        <w:t>u</w:t>
      </w:r>
      <w:r w:rsidRPr="00340C87">
        <w:rPr>
          <w:i/>
          <w:lang w:eastAsia="fr-FR" w:bidi="fr-FR"/>
        </w:rPr>
        <w:t>vements in Latin America : Identity, Strategy, and Democracy</w:t>
      </w:r>
      <w:r w:rsidRPr="004B2498">
        <w:rPr>
          <w:lang w:eastAsia="fr-FR" w:bidi="fr-FR"/>
        </w:rPr>
        <w:t>. Bou</w:t>
      </w:r>
      <w:r w:rsidRPr="004B2498">
        <w:rPr>
          <w:lang w:eastAsia="fr-FR" w:bidi="fr-FR"/>
        </w:rPr>
        <w:t>l</w:t>
      </w:r>
      <w:r w:rsidRPr="004B2498">
        <w:rPr>
          <w:lang w:eastAsia="fr-FR" w:bidi="fr-FR"/>
        </w:rPr>
        <w:t>der, CO, Westview.</w:t>
      </w:r>
    </w:p>
    <w:p w14:paraId="69C86951" w14:textId="77777777" w:rsidR="002F4063" w:rsidRPr="004B2498" w:rsidRDefault="002F4063" w:rsidP="002F4063">
      <w:pPr>
        <w:spacing w:before="120" w:after="120"/>
        <w:jc w:val="both"/>
        <w:rPr>
          <w:lang w:eastAsia="fr-FR" w:bidi="fr-FR"/>
        </w:rPr>
      </w:pPr>
      <w:r w:rsidRPr="004B2498">
        <w:rPr>
          <w:lang w:eastAsia="fr-FR" w:bidi="fr-FR"/>
        </w:rPr>
        <w:t>[182]</w:t>
      </w:r>
    </w:p>
    <w:p w14:paraId="487D4089" w14:textId="77777777" w:rsidR="002F4063" w:rsidRPr="004B2498" w:rsidRDefault="002F4063" w:rsidP="002F4063">
      <w:pPr>
        <w:spacing w:before="120" w:after="120"/>
        <w:jc w:val="both"/>
        <w:rPr>
          <w:lang w:eastAsia="fr-FR" w:bidi="fr-FR"/>
        </w:rPr>
      </w:pPr>
      <w:r w:rsidRPr="004B2498">
        <w:rPr>
          <w:lang w:eastAsia="fr-FR" w:bidi="fr-FR"/>
        </w:rPr>
        <w:t xml:space="preserve">Favret-Saada Jeanne, 1990 : « Être affecté », </w:t>
      </w:r>
      <w:r w:rsidRPr="00340C87">
        <w:rPr>
          <w:i/>
          <w:lang w:eastAsia="fr-FR" w:bidi="fr-FR"/>
        </w:rPr>
        <w:t>Gradhiva</w:t>
      </w:r>
      <w:r w:rsidRPr="004B2498">
        <w:rPr>
          <w:lang w:eastAsia="fr-FR" w:bidi="fr-FR"/>
        </w:rPr>
        <w:t>, n° 8, p. 3-9.</w:t>
      </w:r>
    </w:p>
    <w:p w14:paraId="0821A822" w14:textId="77777777" w:rsidR="002F4063" w:rsidRPr="004B2498" w:rsidRDefault="002F4063" w:rsidP="002F4063">
      <w:pPr>
        <w:spacing w:before="120" w:after="120"/>
        <w:jc w:val="both"/>
        <w:rPr>
          <w:lang w:eastAsia="fr-FR" w:bidi="fr-FR"/>
        </w:rPr>
      </w:pPr>
      <w:r w:rsidRPr="00966437">
        <w:t xml:space="preserve">Feuoo </w:t>
      </w:r>
      <w:r w:rsidRPr="004B2498">
        <w:rPr>
          <w:lang w:eastAsia="fr-FR" w:bidi="fr-FR"/>
        </w:rPr>
        <w:t xml:space="preserve">Maria del Carmen con Nari Marcela Alejandra, 1994 (2e ed.) : “Women and Democracy in Argentina”, en JAQUETTE Jane S. : </w:t>
      </w:r>
      <w:r w:rsidRPr="00340C87">
        <w:rPr>
          <w:i/>
          <w:lang w:eastAsia="fr-FR" w:bidi="fr-FR"/>
        </w:rPr>
        <w:t>The Women’s movement in Latin America, Participation and D</w:t>
      </w:r>
      <w:r w:rsidRPr="00340C87">
        <w:rPr>
          <w:i/>
          <w:lang w:eastAsia="fr-FR" w:bidi="fr-FR"/>
        </w:rPr>
        <w:t>e</w:t>
      </w:r>
      <w:r w:rsidRPr="00340C87">
        <w:rPr>
          <w:i/>
          <w:lang w:eastAsia="fr-FR" w:bidi="fr-FR"/>
        </w:rPr>
        <w:t>mocracy</w:t>
      </w:r>
      <w:r w:rsidRPr="004B2498">
        <w:rPr>
          <w:lang w:eastAsia="fr-FR" w:bidi="fr-FR"/>
        </w:rPr>
        <w:t>, Oxford : Westview Press.</w:t>
      </w:r>
    </w:p>
    <w:p w14:paraId="0E3BC419" w14:textId="77777777" w:rsidR="002F4063" w:rsidRPr="004B2498" w:rsidRDefault="002F4063" w:rsidP="002F4063">
      <w:pPr>
        <w:spacing w:before="120" w:after="120"/>
        <w:jc w:val="both"/>
        <w:rPr>
          <w:lang w:eastAsia="fr-FR" w:bidi="fr-FR"/>
        </w:rPr>
      </w:pPr>
      <w:r w:rsidRPr="004B2498">
        <w:rPr>
          <w:lang w:eastAsia="fr-FR" w:bidi="fr-FR"/>
        </w:rPr>
        <w:t>FlLLIEULE Olivier, 1993 : « Conscience politique, persuasion et mobilisation des engagements. L’exemple du syndicat des ch</w:t>
      </w:r>
      <w:r w:rsidRPr="004B2498">
        <w:rPr>
          <w:lang w:eastAsia="fr-FR" w:bidi="fr-FR"/>
        </w:rPr>
        <w:t>ô</w:t>
      </w:r>
      <w:r w:rsidRPr="004B2498">
        <w:rPr>
          <w:lang w:eastAsia="fr-FR" w:bidi="fr-FR"/>
        </w:rPr>
        <w:t xml:space="preserve">meurs, 1983-1989 », in FlLLIEULE Olivier : </w:t>
      </w:r>
      <w:r w:rsidRPr="00340C87">
        <w:rPr>
          <w:i/>
          <w:lang w:eastAsia="fr-FR" w:bidi="fr-FR"/>
        </w:rPr>
        <w:t>Sociologie de la pr</w:t>
      </w:r>
      <w:r w:rsidRPr="00340C87">
        <w:rPr>
          <w:i/>
          <w:lang w:eastAsia="fr-FR" w:bidi="fr-FR"/>
        </w:rPr>
        <w:t>o</w:t>
      </w:r>
      <w:r w:rsidRPr="00340C87">
        <w:rPr>
          <w:i/>
          <w:lang w:eastAsia="fr-FR" w:bidi="fr-FR"/>
        </w:rPr>
        <w:t>testation</w:t>
      </w:r>
      <w:r w:rsidRPr="004B2498">
        <w:rPr>
          <w:lang w:eastAsia="fr-FR" w:bidi="fr-FR"/>
        </w:rPr>
        <w:t>, Paris, L’Harmattan.</w:t>
      </w:r>
    </w:p>
    <w:p w14:paraId="25DE98D9" w14:textId="77777777" w:rsidR="002F4063" w:rsidRPr="004B2498" w:rsidRDefault="002F4063" w:rsidP="002F4063">
      <w:pPr>
        <w:spacing w:before="120" w:after="120"/>
        <w:jc w:val="both"/>
        <w:rPr>
          <w:lang w:eastAsia="fr-FR" w:bidi="fr-FR"/>
        </w:rPr>
      </w:pPr>
      <w:r w:rsidRPr="00966437">
        <w:t xml:space="preserve">FRASER </w:t>
      </w:r>
      <w:r w:rsidRPr="004B2498">
        <w:rPr>
          <w:lang w:eastAsia="fr-FR" w:bidi="fr-FR"/>
        </w:rPr>
        <w:t xml:space="preserve">Nancy, 2005 : </w:t>
      </w:r>
      <w:r w:rsidRPr="00340C87">
        <w:rPr>
          <w:i/>
          <w:lang w:eastAsia="fr-FR" w:bidi="fr-FR"/>
        </w:rPr>
        <w:t>Qu’est-ce que la justice sociale ? Reco</w:t>
      </w:r>
      <w:r w:rsidRPr="00340C87">
        <w:rPr>
          <w:i/>
          <w:lang w:eastAsia="fr-FR" w:bidi="fr-FR"/>
        </w:rPr>
        <w:t>n</w:t>
      </w:r>
      <w:r w:rsidRPr="00340C87">
        <w:rPr>
          <w:i/>
          <w:lang w:eastAsia="fr-FR" w:bidi="fr-FR"/>
        </w:rPr>
        <w:t>nai</w:t>
      </w:r>
      <w:r w:rsidRPr="00340C87">
        <w:rPr>
          <w:i/>
          <w:lang w:eastAsia="fr-FR" w:bidi="fr-FR"/>
        </w:rPr>
        <w:t>s</w:t>
      </w:r>
      <w:r w:rsidRPr="00340C87">
        <w:rPr>
          <w:i/>
          <w:lang w:eastAsia="fr-FR" w:bidi="fr-FR"/>
        </w:rPr>
        <w:t>sance et redistribution</w:t>
      </w:r>
      <w:r w:rsidRPr="004B2498">
        <w:rPr>
          <w:lang w:eastAsia="fr-FR" w:bidi="fr-FR"/>
        </w:rPr>
        <w:t>, Paris, La Découverte.</w:t>
      </w:r>
    </w:p>
    <w:p w14:paraId="679A8549" w14:textId="77777777" w:rsidR="002F4063" w:rsidRPr="004B2498" w:rsidRDefault="002F4063" w:rsidP="002F4063">
      <w:pPr>
        <w:spacing w:before="120" w:after="120"/>
        <w:jc w:val="both"/>
        <w:rPr>
          <w:lang w:eastAsia="fr-FR" w:bidi="fr-FR"/>
        </w:rPr>
      </w:pPr>
      <w:r w:rsidRPr="004B2498">
        <w:rPr>
          <w:lang w:eastAsia="fr-FR" w:bidi="fr-FR"/>
        </w:rPr>
        <w:t>GRIMSON A. et PEREYRA S., 2010 : “La Argentina en la encr</w:t>
      </w:r>
      <w:r w:rsidRPr="004B2498">
        <w:rPr>
          <w:lang w:eastAsia="fr-FR" w:bidi="fr-FR"/>
        </w:rPr>
        <w:t>u</w:t>
      </w:r>
      <w:r w:rsidRPr="004B2498">
        <w:rPr>
          <w:lang w:eastAsia="fr-FR" w:bidi="fr-FR"/>
        </w:rPr>
        <w:t>cijada de la globalizacion. Los alcances y los limites de las formas de militancia y activismo transnaciona !” in HERNA</w:t>
      </w:r>
      <w:r w:rsidRPr="004B2498">
        <w:rPr>
          <w:lang w:eastAsia="fr-FR" w:bidi="fr-FR"/>
        </w:rPr>
        <w:t>N</w:t>
      </w:r>
      <w:r w:rsidRPr="004B2498">
        <w:rPr>
          <w:lang w:eastAsia="fr-FR" w:bidi="fr-FR"/>
        </w:rPr>
        <w:t xml:space="preserve">DEZ Valeria (comp.) : </w:t>
      </w:r>
      <w:r w:rsidRPr="00340C87">
        <w:rPr>
          <w:i/>
          <w:lang w:eastAsia="fr-FR" w:bidi="fr-FR"/>
        </w:rPr>
        <w:t>Trabajo, conflictos y dinero en un mundo globalizado</w:t>
      </w:r>
      <w:r w:rsidRPr="004B2498">
        <w:rPr>
          <w:lang w:eastAsia="fr-FR" w:bidi="fr-FR"/>
        </w:rPr>
        <w:t>, Bu</w:t>
      </w:r>
      <w:r w:rsidRPr="004B2498">
        <w:rPr>
          <w:lang w:eastAsia="fr-FR" w:bidi="fr-FR"/>
        </w:rPr>
        <w:t>e</w:t>
      </w:r>
      <w:r w:rsidRPr="004B2498">
        <w:rPr>
          <w:lang w:eastAsia="fr-FR" w:bidi="fr-FR"/>
        </w:rPr>
        <w:t>nos Aires, Ed. Biblos.</w:t>
      </w:r>
    </w:p>
    <w:p w14:paraId="2DF83429" w14:textId="77777777" w:rsidR="002F4063" w:rsidRPr="004B2498" w:rsidRDefault="002F4063" w:rsidP="002F4063">
      <w:pPr>
        <w:spacing w:before="120" w:after="120"/>
        <w:jc w:val="both"/>
        <w:rPr>
          <w:lang w:eastAsia="fr-FR" w:bidi="fr-FR"/>
        </w:rPr>
      </w:pPr>
      <w:r w:rsidRPr="004B2498">
        <w:rPr>
          <w:lang w:eastAsia="fr-FR" w:bidi="fr-FR"/>
        </w:rPr>
        <w:t>HÉRIARD DUBREUIL Bertrand, 2007 : « Une crise sans repr</w:t>
      </w:r>
      <w:r w:rsidRPr="004B2498">
        <w:rPr>
          <w:lang w:eastAsia="fr-FR" w:bidi="fr-FR"/>
        </w:rPr>
        <w:t>é</w:t>
      </w:r>
      <w:r w:rsidRPr="004B2498">
        <w:rPr>
          <w:lang w:eastAsia="fr-FR" w:bidi="fr-FR"/>
        </w:rPr>
        <w:t xml:space="preserve">sentants », CERAS, revue </w:t>
      </w:r>
      <w:r w:rsidRPr="00340C87">
        <w:rPr>
          <w:i/>
          <w:lang w:eastAsia="fr-FR" w:bidi="fr-FR"/>
        </w:rPr>
        <w:t>Projet</w:t>
      </w:r>
      <w:r w:rsidRPr="004B2498">
        <w:rPr>
          <w:lang w:eastAsia="fr-FR" w:bidi="fr-FR"/>
        </w:rPr>
        <w:t xml:space="preserve"> n° 299, juillet. URL : </w:t>
      </w:r>
      <w:hyperlink w:history="1">
        <w:r w:rsidRPr="00966437">
          <w:t xml:space="preserve">http://www.ceras- </w:t>
        </w:r>
        <w:r w:rsidRPr="00966437">
          <w:rPr>
            <w:lang w:eastAsia="fr-FR" w:bidi="fr-FR"/>
          </w:rPr>
          <w:t>projet.com/index.</w:t>
        </w:r>
        <w:r w:rsidRPr="00966437">
          <w:t>php ?id=2384</w:t>
        </w:r>
      </w:hyperlink>
      <w:r w:rsidRPr="004B2498">
        <w:rPr>
          <w:lang w:eastAsia="fr-FR" w:bidi="fr-FR"/>
        </w:rPr>
        <w:t>.</w:t>
      </w:r>
    </w:p>
    <w:p w14:paraId="25F5DF4A" w14:textId="77777777" w:rsidR="002F4063" w:rsidRPr="004B2498" w:rsidRDefault="002F4063" w:rsidP="002F4063">
      <w:pPr>
        <w:spacing w:before="120" w:after="120"/>
        <w:jc w:val="both"/>
        <w:rPr>
          <w:lang w:eastAsia="fr-FR" w:bidi="fr-FR"/>
        </w:rPr>
      </w:pPr>
      <w:r w:rsidRPr="00966437">
        <w:t xml:space="preserve">HERNANDEZ </w:t>
      </w:r>
      <w:r w:rsidRPr="004B2498">
        <w:rPr>
          <w:lang w:eastAsia="fr-FR" w:bidi="fr-FR"/>
        </w:rPr>
        <w:t xml:space="preserve">Valeria (comp.), 2010 : </w:t>
      </w:r>
      <w:r w:rsidRPr="00340C87">
        <w:rPr>
          <w:i/>
          <w:lang w:eastAsia="fr-FR" w:bidi="fr-FR"/>
        </w:rPr>
        <w:t>Trabajo, conflictos y din</w:t>
      </w:r>
      <w:r w:rsidRPr="00340C87">
        <w:rPr>
          <w:i/>
          <w:lang w:eastAsia="fr-FR" w:bidi="fr-FR"/>
        </w:rPr>
        <w:t>e</w:t>
      </w:r>
      <w:r w:rsidRPr="00340C87">
        <w:rPr>
          <w:i/>
          <w:lang w:eastAsia="fr-FR" w:bidi="fr-FR"/>
        </w:rPr>
        <w:t>ro en un mundo globalizado</w:t>
      </w:r>
      <w:r w:rsidRPr="004B2498">
        <w:rPr>
          <w:lang w:eastAsia="fr-FR" w:bidi="fr-FR"/>
        </w:rPr>
        <w:t>, Buenos Aires, Ed. Biblos.</w:t>
      </w:r>
    </w:p>
    <w:p w14:paraId="6483DDEA" w14:textId="77777777" w:rsidR="002F4063" w:rsidRPr="004B2498" w:rsidRDefault="002F4063" w:rsidP="002F4063">
      <w:pPr>
        <w:spacing w:before="120" w:after="120"/>
        <w:jc w:val="both"/>
        <w:rPr>
          <w:lang w:eastAsia="fr-FR" w:bidi="fr-FR"/>
        </w:rPr>
      </w:pPr>
      <w:r w:rsidRPr="00966437">
        <w:t xml:space="preserve">HIRSCHMAN </w:t>
      </w:r>
      <w:r w:rsidRPr="004B2498">
        <w:rPr>
          <w:lang w:eastAsia="fr-FR" w:bidi="fr-FR"/>
        </w:rPr>
        <w:t xml:space="preserve">Alberto., 1970 : </w:t>
      </w:r>
      <w:r w:rsidRPr="00340C87">
        <w:rPr>
          <w:i/>
          <w:lang w:eastAsia="fr-FR" w:bidi="fr-FR"/>
        </w:rPr>
        <w:t>Exit, voice and royalty. Responses to decline in firms, organisation and States</w:t>
      </w:r>
      <w:r w:rsidRPr="004B2498">
        <w:rPr>
          <w:lang w:eastAsia="fr-FR" w:bidi="fr-FR"/>
        </w:rPr>
        <w:t>, Harvard Un</w:t>
      </w:r>
      <w:r w:rsidRPr="004B2498">
        <w:rPr>
          <w:lang w:eastAsia="fr-FR" w:bidi="fr-FR"/>
        </w:rPr>
        <w:t>i</w:t>
      </w:r>
      <w:r w:rsidRPr="004B2498">
        <w:rPr>
          <w:lang w:eastAsia="fr-FR" w:bidi="fr-FR"/>
        </w:rPr>
        <w:t>versity Press, Massachusetts, Londres.</w:t>
      </w:r>
    </w:p>
    <w:p w14:paraId="31E55784" w14:textId="77777777" w:rsidR="002F4063" w:rsidRPr="004B2498" w:rsidRDefault="002F4063" w:rsidP="002F4063">
      <w:pPr>
        <w:spacing w:before="120" w:after="120"/>
        <w:jc w:val="both"/>
        <w:rPr>
          <w:lang w:eastAsia="fr-FR" w:bidi="fr-FR"/>
        </w:rPr>
      </w:pPr>
      <w:r w:rsidRPr="004B2498">
        <w:rPr>
          <w:lang w:eastAsia="fr-FR" w:bidi="fr-FR"/>
        </w:rPr>
        <w:t xml:space="preserve">HOURS Bernard, 2003 : « Les ONG : outils et contestation de la globalisation », </w:t>
      </w:r>
      <w:r w:rsidRPr="00340C87">
        <w:rPr>
          <w:i/>
          <w:lang w:eastAsia="fr-FR" w:bidi="fr-FR"/>
        </w:rPr>
        <w:t>Journal des Anthropologues</w:t>
      </w:r>
      <w:r w:rsidRPr="004B2498">
        <w:rPr>
          <w:lang w:eastAsia="fr-FR" w:bidi="fr-FR"/>
        </w:rPr>
        <w:t>, n° 94-95, p. 13-22.</w:t>
      </w:r>
    </w:p>
    <w:p w14:paraId="465B1FF2" w14:textId="77777777" w:rsidR="002F4063" w:rsidRPr="004B2498" w:rsidRDefault="002F4063" w:rsidP="002F4063">
      <w:pPr>
        <w:spacing w:before="120" w:after="120"/>
        <w:jc w:val="both"/>
        <w:rPr>
          <w:lang w:eastAsia="fr-FR" w:bidi="fr-FR"/>
        </w:rPr>
      </w:pPr>
      <w:r w:rsidRPr="00966437">
        <w:t xml:space="preserve">Jelin </w:t>
      </w:r>
      <w:r w:rsidRPr="004B2498">
        <w:rPr>
          <w:lang w:eastAsia="fr-FR" w:bidi="fr-FR"/>
        </w:rPr>
        <w:t>Elizabeth, 2007 : « À propos du global et du local : les mo</w:t>
      </w:r>
      <w:r w:rsidRPr="004B2498">
        <w:rPr>
          <w:lang w:eastAsia="fr-FR" w:bidi="fr-FR"/>
        </w:rPr>
        <w:t>u</w:t>
      </w:r>
      <w:r w:rsidRPr="004B2498">
        <w:rPr>
          <w:lang w:eastAsia="fr-FR" w:bidi="fr-FR"/>
        </w:rPr>
        <w:t>vements sociaux et l’action collective » in HERNANDEZ Val</w:t>
      </w:r>
      <w:r w:rsidRPr="004B2498">
        <w:rPr>
          <w:lang w:eastAsia="fr-FR" w:bidi="fr-FR"/>
        </w:rPr>
        <w:t>e</w:t>
      </w:r>
      <w:r w:rsidRPr="004B2498">
        <w:rPr>
          <w:lang w:eastAsia="fr-FR" w:bidi="fr-FR"/>
        </w:rPr>
        <w:t xml:space="preserve">ria, OULD AHMED Pépita, </w:t>
      </w:r>
      <w:r w:rsidRPr="00966437">
        <w:t xml:space="preserve">Papail </w:t>
      </w:r>
      <w:r w:rsidRPr="004B2498">
        <w:rPr>
          <w:lang w:eastAsia="fr-FR" w:bidi="fr-FR"/>
        </w:rPr>
        <w:t xml:space="preserve">Jean, PHÉLINAS Pascale : </w:t>
      </w:r>
      <w:r w:rsidRPr="00340C87">
        <w:rPr>
          <w:i/>
          <w:lang w:eastAsia="fr-FR" w:bidi="fr-FR"/>
        </w:rPr>
        <w:t>Turbule</w:t>
      </w:r>
      <w:r w:rsidRPr="00340C87">
        <w:rPr>
          <w:i/>
          <w:lang w:eastAsia="fr-FR" w:bidi="fr-FR"/>
        </w:rPr>
        <w:t>n</w:t>
      </w:r>
      <w:r w:rsidRPr="00340C87">
        <w:rPr>
          <w:i/>
          <w:lang w:eastAsia="fr-FR" w:bidi="fr-FR"/>
        </w:rPr>
        <w:t>ces monétaires et sociales. L’Amérique latine dans une perspe</w:t>
      </w:r>
      <w:r w:rsidRPr="00340C87">
        <w:rPr>
          <w:i/>
          <w:lang w:eastAsia="fr-FR" w:bidi="fr-FR"/>
        </w:rPr>
        <w:t>c</w:t>
      </w:r>
      <w:r w:rsidRPr="00340C87">
        <w:rPr>
          <w:i/>
          <w:lang w:eastAsia="fr-FR" w:bidi="fr-FR"/>
        </w:rPr>
        <w:t>tive comparée</w:t>
      </w:r>
      <w:r w:rsidRPr="004B2498">
        <w:rPr>
          <w:lang w:eastAsia="fr-FR" w:bidi="fr-FR"/>
        </w:rPr>
        <w:t>, Paris, L’Harmattan.</w:t>
      </w:r>
    </w:p>
    <w:p w14:paraId="30E55B36" w14:textId="77777777" w:rsidR="002F4063" w:rsidRPr="004B2498" w:rsidRDefault="002F4063" w:rsidP="002F4063">
      <w:pPr>
        <w:spacing w:before="120" w:after="120"/>
        <w:jc w:val="both"/>
        <w:rPr>
          <w:lang w:eastAsia="fr-FR" w:bidi="fr-FR"/>
        </w:rPr>
      </w:pPr>
      <w:r w:rsidRPr="004B2498">
        <w:rPr>
          <w:lang w:eastAsia="fr-FR" w:bidi="fr-FR"/>
        </w:rPr>
        <w:t>JELIN Elizabeth, 2005 : “Los derechos humanos entre el Est</w:t>
      </w:r>
      <w:r w:rsidRPr="004B2498">
        <w:rPr>
          <w:lang w:eastAsia="fr-FR" w:bidi="fr-FR"/>
        </w:rPr>
        <w:t>a</w:t>
      </w:r>
      <w:r w:rsidRPr="004B2498">
        <w:rPr>
          <w:lang w:eastAsia="fr-FR" w:bidi="fr-FR"/>
        </w:rPr>
        <w:t xml:space="preserve">do y la sociedad’’, en SURIANO Juan (ed.) : </w:t>
      </w:r>
      <w:r w:rsidRPr="00340C87">
        <w:rPr>
          <w:i/>
          <w:lang w:eastAsia="fr-FR" w:bidi="fr-FR"/>
        </w:rPr>
        <w:t>Dictadura y dem</w:t>
      </w:r>
      <w:r w:rsidRPr="00340C87">
        <w:rPr>
          <w:i/>
          <w:lang w:eastAsia="fr-FR" w:bidi="fr-FR"/>
        </w:rPr>
        <w:t>o</w:t>
      </w:r>
      <w:r w:rsidRPr="00340C87">
        <w:rPr>
          <w:i/>
          <w:lang w:eastAsia="fr-FR" w:bidi="fr-FR"/>
        </w:rPr>
        <w:t>cracia (1976-2001), Nueva Historia Argentina</w:t>
      </w:r>
      <w:r w:rsidRPr="004B2498">
        <w:rPr>
          <w:lang w:eastAsia="fr-FR" w:bidi="fr-FR"/>
        </w:rPr>
        <w:t>, Tomo X, Buenos Aires : S</w:t>
      </w:r>
      <w:r w:rsidRPr="004B2498">
        <w:rPr>
          <w:lang w:eastAsia="fr-FR" w:bidi="fr-FR"/>
        </w:rPr>
        <w:t>u</w:t>
      </w:r>
      <w:r w:rsidRPr="004B2498">
        <w:rPr>
          <w:lang w:eastAsia="fr-FR" w:bidi="fr-FR"/>
        </w:rPr>
        <w:t>damericana.</w:t>
      </w:r>
    </w:p>
    <w:p w14:paraId="69E8E75A" w14:textId="77777777" w:rsidR="002F4063" w:rsidRPr="004B2498" w:rsidRDefault="002F4063" w:rsidP="002F4063">
      <w:pPr>
        <w:spacing w:before="120" w:after="120"/>
        <w:jc w:val="both"/>
        <w:rPr>
          <w:lang w:eastAsia="fr-FR" w:bidi="fr-FR"/>
        </w:rPr>
      </w:pPr>
      <w:r w:rsidRPr="004B2498">
        <w:rPr>
          <w:lang w:eastAsia="fr-FR" w:bidi="fr-FR"/>
        </w:rPr>
        <w:t>JELIN Elizabeth, 1986 : “Otros Silencios, otras voces : el tie</w:t>
      </w:r>
      <w:r w:rsidRPr="004B2498">
        <w:rPr>
          <w:lang w:eastAsia="fr-FR" w:bidi="fr-FR"/>
        </w:rPr>
        <w:t>m</w:t>
      </w:r>
      <w:r w:rsidRPr="004B2498">
        <w:rPr>
          <w:lang w:eastAsia="fr-FR" w:bidi="fr-FR"/>
        </w:rPr>
        <w:t>po de la democratizaciôn en la Argentina” en CALDERÓN Fe</w:t>
      </w:r>
      <w:r w:rsidRPr="004B2498">
        <w:rPr>
          <w:lang w:eastAsia="fr-FR" w:bidi="fr-FR"/>
        </w:rPr>
        <w:t>r</w:t>
      </w:r>
      <w:r w:rsidRPr="004B2498">
        <w:rPr>
          <w:lang w:eastAsia="fr-FR" w:bidi="fr-FR"/>
        </w:rPr>
        <w:t xml:space="preserve">nando : </w:t>
      </w:r>
      <w:r w:rsidRPr="00340C87">
        <w:rPr>
          <w:i/>
          <w:lang w:eastAsia="fr-FR" w:bidi="fr-FR"/>
        </w:rPr>
        <w:t>Los movimientos sociales ante la crisis</w:t>
      </w:r>
      <w:r w:rsidRPr="004B2498">
        <w:rPr>
          <w:lang w:eastAsia="fr-FR" w:bidi="fr-FR"/>
        </w:rPr>
        <w:t>, Buenos Aires : Universidad de las Naciones Unidas.</w:t>
      </w:r>
    </w:p>
    <w:p w14:paraId="27006580" w14:textId="77777777" w:rsidR="002F4063" w:rsidRPr="004B2498" w:rsidRDefault="002F4063" w:rsidP="002F4063">
      <w:pPr>
        <w:spacing w:before="120" w:after="120"/>
        <w:jc w:val="both"/>
        <w:rPr>
          <w:lang w:eastAsia="fr-FR" w:bidi="fr-FR"/>
        </w:rPr>
      </w:pPr>
      <w:r w:rsidRPr="004B2498">
        <w:rPr>
          <w:lang w:eastAsia="fr-FR" w:bidi="fr-FR"/>
        </w:rPr>
        <w:t>LAUFER Rubén, SPIGUEL Claudio, 1999 : “Las ‘puebladas’ a</w:t>
      </w:r>
      <w:r w:rsidRPr="004B2498">
        <w:rPr>
          <w:lang w:eastAsia="fr-FR" w:bidi="fr-FR"/>
        </w:rPr>
        <w:t>r</w:t>
      </w:r>
      <w:r w:rsidRPr="004B2498">
        <w:rPr>
          <w:lang w:eastAsia="fr-FR" w:bidi="fr-FR"/>
        </w:rPr>
        <w:t xml:space="preserve">gentinas a partir del ‘santiagazo’ de 1993”, in </w:t>
      </w:r>
      <w:r w:rsidRPr="00966437">
        <w:t xml:space="preserve">LOPEZ Maya </w:t>
      </w:r>
      <w:r w:rsidRPr="004B2498">
        <w:rPr>
          <w:lang w:eastAsia="fr-FR" w:bidi="fr-FR"/>
        </w:rPr>
        <w:t>Margar</w:t>
      </w:r>
      <w:r w:rsidRPr="004B2498">
        <w:rPr>
          <w:lang w:eastAsia="fr-FR" w:bidi="fr-FR"/>
        </w:rPr>
        <w:t>i</w:t>
      </w:r>
      <w:r w:rsidRPr="004B2498">
        <w:rPr>
          <w:lang w:eastAsia="fr-FR" w:bidi="fr-FR"/>
        </w:rPr>
        <w:t xml:space="preserve">ta (ed.) : </w:t>
      </w:r>
      <w:r w:rsidRPr="00340C87">
        <w:rPr>
          <w:i/>
          <w:lang w:eastAsia="fr-FR" w:bidi="fr-FR"/>
        </w:rPr>
        <w:t>Lucha</w:t>
      </w:r>
      <w:r>
        <w:rPr>
          <w:lang w:eastAsia="fr-FR" w:bidi="fr-FR"/>
        </w:rPr>
        <w:t xml:space="preserve"> </w:t>
      </w:r>
      <w:r w:rsidRPr="004B2498">
        <w:rPr>
          <w:lang w:eastAsia="fr-FR" w:bidi="fr-FR"/>
        </w:rPr>
        <w:t>[183]</w:t>
      </w:r>
      <w:r>
        <w:rPr>
          <w:lang w:eastAsia="fr-FR" w:bidi="fr-FR"/>
        </w:rPr>
        <w:t xml:space="preserve"> </w:t>
      </w:r>
      <w:r w:rsidRPr="00340C87">
        <w:rPr>
          <w:i/>
          <w:lang w:eastAsia="fr-FR" w:bidi="fr-FR"/>
        </w:rPr>
        <w:t>popular Democracia y neo-liberalismo : prote</w:t>
      </w:r>
      <w:r w:rsidRPr="00340C87">
        <w:rPr>
          <w:i/>
          <w:lang w:eastAsia="fr-FR" w:bidi="fr-FR"/>
        </w:rPr>
        <w:t>s</w:t>
      </w:r>
      <w:r w:rsidRPr="00340C87">
        <w:rPr>
          <w:i/>
          <w:lang w:eastAsia="fr-FR" w:bidi="fr-FR"/>
        </w:rPr>
        <w:t>ta popular en America Latina en los anos del ajuste</w:t>
      </w:r>
      <w:r w:rsidRPr="004B2498">
        <w:rPr>
          <w:lang w:eastAsia="fr-FR" w:bidi="fr-FR"/>
        </w:rPr>
        <w:t>, Venezuela, Nu</w:t>
      </w:r>
      <w:r w:rsidRPr="004B2498">
        <w:rPr>
          <w:lang w:eastAsia="fr-FR" w:bidi="fr-FR"/>
        </w:rPr>
        <w:t>e</w:t>
      </w:r>
      <w:r w:rsidRPr="004B2498">
        <w:rPr>
          <w:lang w:eastAsia="fr-FR" w:bidi="fr-FR"/>
        </w:rPr>
        <w:t>va Sociedad.</w:t>
      </w:r>
    </w:p>
    <w:p w14:paraId="5542B85D" w14:textId="77777777" w:rsidR="002F4063" w:rsidRPr="004B2498" w:rsidRDefault="002F4063" w:rsidP="002F4063">
      <w:pPr>
        <w:spacing w:before="120" w:after="120"/>
        <w:jc w:val="both"/>
        <w:rPr>
          <w:lang w:eastAsia="fr-FR" w:bidi="fr-FR"/>
        </w:rPr>
      </w:pPr>
      <w:r w:rsidRPr="004B2498">
        <w:rPr>
          <w:lang w:eastAsia="fr-FR" w:bidi="fr-FR"/>
        </w:rPr>
        <w:t xml:space="preserve">LEFORT Claude, 1983 : « La question démocratique », in Le </w:t>
      </w:r>
      <w:r w:rsidRPr="00340C87">
        <w:rPr>
          <w:i/>
          <w:lang w:eastAsia="fr-FR" w:bidi="fr-FR"/>
        </w:rPr>
        <w:t>r</w:t>
      </w:r>
      <w:r w:rsidRPr="00340C87">
        <w:rPr>
          <w:i/>
          <w:lang w:eastAsia="fr-FR" w:bidi="fr-FR"/>
        </w:rPr>
        <w:t>e</w:t>
      </w:r>
      <w:r w:rsidRPr="00340C87">
        <w:rPr>
          <w:i/>
          <w:lang w:eastAsia="fr-FR" w:bidi="fr-FR"/>
        </w:rPr>
        <w:t>trait du politique</w:t>
      </w:r>
      <w:r w:rsidRPr="004B2498">
        <w:rPr>
          <w:lang w:eastAsia="fr-FR" w:bidi="fr-FR"/>
        </w:rPr>
        <w:t>, Paris, Galilée.</w:t>
      </w:r>
    </w:p>
    <w:p w14:paraId="7BA7B1F5" w14:textId="77777777" w:rsidR="002F4063" w:rsidRPr="004B2498" w:rsidRDefault="002F4063" w:rsidP="002F4063">
      <w:pPr>
        <w:spacing w:before="120" w:after="120"/>
        <w:jc w:val="both"/>
        <w:rPr>
          <w:lang w:eastAsia="fr-FR" w:bidi="fr-FR"/>
        </w:rPr>
      </w:pPr>
      <w:r w:rsidRPr="00966437">
        <w:t xml:space="preserve">LENGUITA </w:t>
      </w:r>
      <w:r w:rsidRPr="004B2498">
        <w:rPr>
          <w:lang w:eastAsia="fr-FR" w:bidi="fr-FR"/>
        </w:rPr>
        <w:t>Paula, 2002 : Los desafios teóricos de la « identidad p</w:t>
      </w:r>
      <w:r w:rsidRPr="004B2498">
        <w:rPr>
          <w:lang w:eastAsia="fr-FR" w:bidi="fr-FR"/>
        </w:rPr>
        <w:t>i</w:t>
      </w:r>
      <w:r w:rsidRPr="004B2498">
        <w:rPr>
          <w:lang w:eastAsia="fr-FR" w:bidi="fr-FR"/>
        </w:rPr>
        <w:t>quetera », CEIL-PIETTE-CONICET.</w:t>
      </w:r>
    </w:p>
    <w:p w14:paraId="6B62EC9A" w14:textId="77777777" w:rsidR="002F4063" w:rsidRPr="004B2498" w:rsidRDefault="002F4063" w:rsidP="002F4063">
      <w:pPr>
        <w:spacing w:before="120" w:after="120"/>
        <w:jc w:val="both"/>
        <w:rPr>
          <w:lang w:eastAsia="fr-FR" w:bidi="fr-FR"/>
        </w:rPr>
      </w:pPr>
      <w:r w:rsidRPr="004B2498">
        <w:rPr>
          <w:lang w:eastAsia="fr-FR" w:bidi="fr-FR"/>
        </w:rPr>
        <w:t xml:space="preserve">LUZZI Mariana, 2007 : « L’épargne en question : l’expérience des épargnants pendant la crise économique argentine (2001-2002) » in HERNANDEZ Valeria, </w:t>
      </w:r>
      <w:r w:rsidRPr="00966437">
        <w:t xml:space="preserve">Ould Ahmed </w:t>
      </w:r>
      <w:r w:rsidRPr="004B2498">
        <w:rPr>
          <w:lang w:eastAsia="fr-FR" w:bidi="fr-FR"/>
        </w:rPr>
        <w:t xml:space="preserve">Pépita, </w:t>
      </w:r>
      <w:r w:rsidRPr="00966437">
        <w:t xml:space="preserve">Papail </w:t>
      </w:r>
      <w:r w:rsidRPr="004B2498">
        <w:rPr>
          <w:lang w:eastAsia="fr-FR" w:bidi="fr-FR"/>
        </w:rPr>
        <w:t xml:space="preserve">Jean, </w:t>
      </w:r>
      <w:r w:rsidRPr="00966437">
        <w:t xml:space="preserve">PhÉLINAS </w:t>
      </w:r>
      <w:r w:rsidRPr="004B2498">
        <w:rPr>
          <w:lang w:eastAsia="fr-FR" w:bidi="fr-FR"/>
        </w:rPr>
        <w:t xml:space="preserve">Pascale : </w:t>
      </w:r>
      <w:r w:rsidRPr="00340C87">
        <w:rPr>
          <w:i/>
          <w:lang w:eastAsia="fr-FR" w:bidi="fr-FR"/>
        </w:rPr>
        <w:t>Turbulences monétaires et sociales. L’Amérique l</w:t>
      </w:r>
      <w:r w:rsidRPr="00340C87">
        <w:rPr>
          <w:i/>
          <w:lang w:eastAsia="fr-FR" w:bidi="fr-FR"/>
        </w:rPr>
        <w:t>a</w:t>
      </w:r>
      <w:r w:rsidRPr="00340C87">
        <w:rPr>
          <w:i/>
          <w:lang w:eastAsia="fr-FR" w:bidi="fr-FR"/>
        </w:rPr>
        <w:t>tine dans une perspective comparée</w:t>
      </w:r>
      <w:r w:rsidRPr="004B2498">
        <w:rPr>
          <w:lang w:eastAsia="fr-FR" w:bidi="fr-FR"/>
        </w:rPr>
        <w:t>, Paris, L’Harmattan.</w:t>
      </w:r>
    </w:p>
    <w:p w14:paraId="4D1BBFAA" w14:textId="77777777" w:rsidR="002F4063" w:rsidRPr="004B2498" w:rsidRDefault="002F4063" w:rsidP="002F4063">
      <w:pPr>
        <w:spacing w:before="120" w:after="120"/>
        <w:jc w:val="both"/>
        <w:rPr>
          <w:lang w:eastAsia="fr-FR" w:bidi="fr-FR"/>
        </w:rPr>
      </w:pPr>
      <w:r w:rsidRPr="00966437">
        <w:t xml:space="preserve">MANERO </w:t>
      </w:r>
      <w:r w:rsidRPr="004B2498">
        <w:rPr>
          <w:lang w:eastAsia="fr-FR" w:bidi="fr-FR"/>
        </w:rPr>
        <w:t xml:space="preserve">Edgardo, 2003 : </w:t>
      </w:r>
      <w:r w:rsidRPr="00340C87">
        <w:rPr>
          <w:i/>
          <w:lang w:eastAsia="fr-FR" w:bidi="fr-FR"/>
        </w:rPr>
        <w:t>Argentine : Chronique de morts a</w:t>
      </w:r>
      <w:r w:rsidRPr="00340C87">
        <w:rPr>
          <w:i/>
          <w:lang w:eastAsia="fr-FR" w:bidi="fr-FR"/>
        </w:rPr>
        <w:t>n</w:t>
      </w:r>
      <w:r w:rsidRPr="00340C87">
        <w:rPr>
          <w:i/>
          <w:lang w:eastAsia="fr-FR" w:bidi="fr-FR"/>
        </w:rPr>
        <w:t>noncées</w:t>
      </w:r>
      <w:r w:rsidRPr="004B2498">
        <w:rPr>
          <w:lang w:eastAsia="fr-FR" w:bidi="fr-FR"/>
        </w:rPr>
        <w:t xml:space="preserve">, in </w:t>
      </w:r>
      <w:r w:rsidRPr="00340C87">
        <w:rPr>
          <w:i/>
          <w:lang w:eastAsia="fr-FR" w:bidi="fr-FR"/>
        </w:rPr>
        <w:t>Observatorio Argentino</w:t>
      </w:r>
      <w:r w:rsidRPr="004B2498">
        <w:rPr>
          <w:lang w:eastAsia="fr-FR" w:bidi="fr-FR"/>
        </w:rPr>
        <w:t xml:space="preserve">. </w:t>
      </w:r>
      <w:hyperlink r:id="rId30" w:history="1">
        <w:r w:rsidRPr="00966437">
          <w:rPr>
            <w:lang w:eastAsia="fr-FR" w:bidi="fr-FR"/>
          </w:rPr>
          <w:t>www.argentinaobs.org</w:t>
        </w:r>
      </w:hyperlink>
      <w:r w:rsidRPr="004B2498">
        <w:rPr>
          <w:lang w:eastAsia="fr-FR" w:bidi="fr-FR"/>
        </w:rPr>
        <w:t>.</w:t>
      </w:r>
    </w:p>
    <w:p w14:paraId="3C94B001" w14:textId="77777777" w:rsidR="002F4063" w:rsidRPr="004B2498" w:rsidRDefault="002F4063" w:rsidP="002F4063">
      <w:pPr>
        <w:spacing w:before="120" w:after="120"/>
        <w:jc w:val="both"/>
        <w:rPr>
          <w:lang w:eastAsia="fr-FR" w:bidi="fr-FR"/>
        </w:rPr>
      </w:pPr>
      <w:r w:rsidRPr="004B2498">
        <w:rPr>
          <w:lang w:eastAsia="fr-FR" w:bidi="fr-FR"/>
        </w:rPr>
        <w:t xml:space="preserve">NEVEU Eric, 2002 : </w:t>
      </w:r>
      <w:r w:rsidRPr="00340C87">
        <w:rPr>
          <w:i/>
          <w:lang w:eastAsia="fr-FR" w:bidi="fr-FR"/>
        </w:rPr>
        <w:t>Sociologie des mouvements sociaux</w:t>
      </w:r>
      <w:r w:rsidRPr="004B2498">
        <w:rPr>
          <w:lang w:eastAsia="fr-FR" w:bidi="fr-FR"/>
        </w:rPr>
        <w:t>, Paris, La Découverte.</w:t>
      </w:r>
    </w:p>
    <w:p w14:paraId="2F30E8A3" w14:textId="77777777" w:rsidR="002F4063" w:rsidRPr="004B2498" w:rsidRDefault="002F4063" w:rsidP="002F4063">
      <w:pPr>
        <w:spacing w:before="120" w:after="120"/>
        <w:jc w:val="both"/>
        <w:rPr>
          <w:lang w:eastAsia="fr-FR" w:bidi="fr-FR"/>
        </w:rPr>
      </w:pPr>
      <w:r w:rsidRPr="004B2498">
        <w:rPr>
          <w:lang w:eastAsia="fr-FR" w:bidi="fr-FR"/>
        </w:rPr>
        <w:t xml:space="preserve">QUIROS Julietta, 2009 : “Ser piquetero, estar con los piqueteros. Hacia una etnografia descentrada d los movimientos como objeto de anâlisis”, in Grimberg Mabel, Fernandez Alvarez Maria, Carvalho Rosa Marcelo (eds.) : </w:t>
      </w:r>
      <w:r w:rsidRPr="00340C87">
        <w:rPr>
          <w:i/>
          <w:lang w:eastAsia="fr-FR" w:bidi="fr-FR"/>
        </w:rPr>
        <w:t>Estado y movimientos sociales : estudios etn</w:t>
      </w:r>
      <w:r w:rsidRPr="00340C87">
        <w:rPr>
          <w:i/>
          <w:lang w:eastAsia="fr-FR" w:bidi="fr-FR"/>
        </w:rPr>
        <w:t>o</w:t>
      </w:r>
      <w:r w:rsidRPr="00340C87">
        <w:rPr>
          <w:i/>
          <w:lang w:eastAsia="fr-FR" w:bidi="fr-FR"/>
        </w:rPr>
        <w:t>grâjicos en Argentina y Brasil</w:t>
      </w:r>
      <w:r w:rsidRPr="004B2498">
        <w:rPr>
          <w:lang w:eastAsia="fr-FR" w:bidi="fr-FR"/>
        </w:rPr>
        <w:t>, Buenos Aires, Antropofagia, 208.</w:t>
      </w:r>
    </w:p>
    <w:p w14:paraId="025979A1" w14:textId="77777777" w:rsidR="002F4063" w:rsidRPr="004B2498" w:rsidRDefault="002F4063" w:rsidP="002F4063">
      <w:pPr>
        <w:spacing w:before="120" w:after="120"/>
        <w:jc w:val="both"/>
        <w:rPr>
          <w:lang w:eastAsia="fr-FR" w:bidi="fr-FR"/>
        </w:rPr>
      </w:pPr>
      <w:r w:rsidRPr="004B2498">
        <w:rPr>
          <w:lang w:eastAsia="fr-FR" w:bidi="fr-FR"/>
        </w:rPr>
        <w:t xml:space="preserve">Rauber Isabel, 2002 : </w:t>
      </w:r>
      <w:r w:rsidRPr="00340C87">
        <w:rPr>
          <w:i/>
          <w:lang w:eastAsia="fr-FR" w:bidi="fr-FR"/>
        </w:rPr>
        <w:t>Piquetes y piqueteros en la Argentina de la crisis</w:t>
      </w:r>
      <w:r w:rsidRPr="004B2498">
        <w:rPr>
          <w:lang w:eastAsia="fr-FR" w:bidi="fr-FR"/>
        </w:rPr>
        <w:t xml:space="preserve">, 34 p. Site Internet : </w:t>
      </w:r>
      <w:hyperlink r:id="rId31" w:history="1">
        <w:r w:rsidRPr="00966437">
          <w:rPr>
            <w:lang w:eastAsia="fr-FR" w:bidi="fr-FR"/>
          </w:rPr>
          <w:t>http://www.rebelion.org/docs/4859.pdf</w:t>
        </w:r>
      </w:hyperlink>
    </w:p>
    <w:p w14:paraId="3D9BC2BF" w14:textId="77777777" w:rsidR="002F4063" w:rsidRPr="004B2498" w:rsidRDefault="002F4063" w:rsidP="002F4063">
      <w:pPr>
        <w:spacing w:before="120" w:after="120"/>
        <w:jc w:val="both"/>
        <w:rPr>
          <w:lang w:eastAsia="fr-FR" w:bidi="fr-FR"/>
        </w:rPr>
      </w:pPr>
      <w:r w:rsidRPr="004B2498">
        <w:rPr>
          <w:lang w:eastAsia="fr-FR" w:bidi="fr-FR"/>
        </w:rPr>
        <w:t xml:space="preserve">RlUS Pia V., 2007 : « Entre travail et activité. Le mouvement des piqueteros en Argentine », </w:t>
      </w:r>
      <w:r w:rsidRPr="00340C87">
        <w:rPr>
          <w:i/>
          <w:lang w:eastAsia="fr-FR" w:bidi="fr-FR"/>
        </w:rPr>
        <w:t>Autrepart</w:t>
      </w:r>
      <w:r w:rsidRPr="004B2498">
        <w:rPr>
          <w:lang w:eastAsia="fr-FR" w:bidi="fr-FR"/>
        </w:rPr>
        <w:t>, n° 43, IRD-Armand Colin p. 41-55.</w:t>
      </w:r>
    </w:p>
    <w:p w14:paraId="1B8AE824" w14:textId="77777777" w:rsidR="002F4063" w:rsidRPr="004B2498" w:rsidRDefault="002F4063" w:rsidP="002F4063">
      <w:pPr>
        <w:spacing w:before="120" w:after="120"/>
        <w:jc w:val="both"/>
        <w:rPr>
          <w:lang w:eastAsia="fr-FR" w:bidi="fr-FR"/>
        </w:rPr>
      </w:pPr>
      <w:r w:rsidRPr="00966437">
        <w:t xml:space="preserve">SCHÜTZ </w:t>
      </w:r>
      <w:r w:rsidRPr="004B2498">
        <w:rPr>
          <w:lang w:eastAsia="fr-FR" w:bidi="fr-FR"/>
        </w:rPr>
        <w:t xml:space="preserve">Alfred, 1987 : </w:t>
      </w:r>
      <w:r w:rsidRPr="00340C87">
        <w:rPr>
          <w:i/>
          <w:lang w:eastAsia="fr-FR" w:bidi="fr-FR"/>
        </w:rPr>
        <w:t>Le chercheur et le quotidien. Phénoménol</w:t>
      </w:r>
      <w:r w:rsidRPr="00340C87">
        <w:rPr>
          <w:i/>
          <w:lang w:eastAsia="fr-FR" w:bidi="fr-FR"/>
        </w:rPr>
        <w:t>o</w:t>
      </w:r>
      <w:r w:rsidRPr="00340C87">
        <w:rPr>
          <w:i/>
          <w:lang w:eastAsia="fr-FR" w:bidi="fr-FR"/>
        </w:rPr>
        <w:t>gie des sciences sociales</w:t>
      </w:r>
      <w:r w:rsidRPr="004B2498">
        <w:rPr>
          <w:lang w:eastAsia="fr-FR" w:bidi="fr-FR"/>
        </w:rPr>
        <w:t>, Paris, Méridiens-Klincksieck, p. 286.</w:t>
      </w:r>
    </w:p>
    <w:p w14:paraId="3AF873E3" w14:textId="77777777" w:rsidR="002F4063" w:rsidRPr="004B2498" w:rsidRDefault="002F4063" w:rsidP="002F4063">
      <w:pPr>
        <w:spacing w:before="120" w:after="120"/>
        <w:jc w:val="both"/>
        <w:rPr>
          <w:lang w:eastAsia="fr-FR" w:bidi="fr-FR"/>
        </w:rPr>
      </w:pPr>
      <w:r w:rsidRPr="004B2498">
        <w:rPr>
          <w:lang w:eastAsia="fr-FR" w:bidi="fr-FR"/>
        </w:rPr>
        <w:t>SVAMPA Maristella et PEREYRA Sébastian, 2004 : « Les dime</w:t>
      </w:r>
      <w:r w:rsidRPr="004B2498">
        <w:rPr>
          <w:lang w:eastAsia="fr-FR" w:bidi="fr-FR"/>
        </w:rPr>
        <w:t>n</w:t>
      </w:r>
      <w:r w:rsidRPr="004B2498">
        <w:rPr>
          <w:lang w:eastAsia="fr-FR" w:bidi="fr-FR"/>
        </w:rPr>
        <w:t xml:space="preserve">sions de l’expérience piquetera : tensions et cadres communs dans l’organisation et la mobilisation des chômeurs en Argentine », </w:t>
      </w:r>
      <w:r w:rsidRPr="00340C87">
        <w:rPr>
          <w:i/>
          <w:lang w:eastAsia="fr-FR" w:bidi="fr-FR"/>
        </w:rPr>
        <w:t>Revue Tiers Monde</w:t>
      </w:r>
      <w:r w:rsidRPr="004B2498">
        <w:rPr>
          <w:lang w:eastAsia="fr-FR" w:bidi="fr-FR"/>
        </w:rPr>
        <w:t>, vol. XLV, n° 178, avril-juin, p. 419-441.</w:t>
      </w:r>
    </w:p>
    <w:p w14:paraId="688297E4" w14:textId="77777777" w:rsidR="002F4063" w:rsidRPr="004B2498" w:rsidRDefault="002F4063" w:rsidP="002F4063">
      <w:pPr>
        <w:spacing w:before="120" w:after="120"/>
        <w:jc w:val="both"/>
        <w:rPr>
          <w:lang w:eastAsia="fr-FR" w:bidi="fr-FR"/>
        </w:rPr>
      </w:pPr>
      <w:r w:rsidRPr="00966437">
        <w:t xml:space="preserve">SVAMPA </w:t>
      </w:r>
      <w:r w:rsidRPr="004B2498">
        <w:rPr>
          <w:lang w:eastAsia="fr-FR" w:bidi="fr-FR"/>
        </w:rPr>
        <w:t xml:space="preserve">Maristella et </w:t>
      </w:r>
      <w:r w:rsidRPr="00966437">
        <w:t xml:space="preserve">PEREYRA </w:t>
      </w:r>
      <w:r w:rsidRPr="004B2498">
        <w:rPr>
          <w:lang w:eastAsia="fr-FR" w:bidi="fr-FR"/>
        </w:rPr>
        <w:t xml:space="preserve">Sébastian, 2003 : </w:t>
      </w:r>
      <w:r w:rsidRPr="00340C87">
        <w:rPr>
          <w:i/>
          <w:lang w:eastAsia="fr-FR" w:bidi="fr-FR"/>
        </w:rPr>
        <w:t>Entre la ruta y el Barrio. La experiencia de las organizaciones piqueteras</w:t>
      </w:r>
      <w:r w:rsidRPr="004B2498">
        <w:rPr>
          <w:lang w:eastAsia="fr-FR" w:bidi="fr-FR"/>
        </w:rPr>
        <w:t>, Buenos A</w:t>
      </w:r>
      <w:r w:rsidRPr="004B2498">
        <w:rPr>
          <w:lang w:eastAsia="fr-FR" w:bidi="fr-FR"/>
        </w:rPr>
        <w:t>i</w:t>
      </w:r>
      <w:r w:rsidRPr="004B2498">
        <w:rPr>
          <w:lang w:eastAsia="fr-FR" w:bidi="fr-FR"/>
        </w:rPr>
        <w:t xml:space="preserve">res, Editorial Biblos. </w:t>
      </w:r>
    </w:p>
    <w:p w14:paraId="7509EA27" w14:textId="77777777" w:rsidR="002F4063" w:rsidRPr="004B2498" w:rsidRDefault="002F4063" w:rsidP="002F4063">
      <w:pPr>
        <w:spacing w:before="120" w:after="120"/>
        <w:jc w:val="both"/>
        <w:rPr>
          <w:lang w:eastAsia="fr-FR" w:bidi="fr-FR"/>
        </w:rPr>
      </w:pPr>
    </w:p>
    <w:p w14:paraId="1868E2B1" w14:textId="77777777" w:rsidR="002F4063" w:rsidRPr="004B2498" w:rsidRDefault="002F4063" w:rsidP="002F4063">
      <w:pPr>
        <w:pStyle w:val="p"/>
      </w:pPr>
      <w:r w:rsidRPr="004B2498">
        <w:t>[184]</w:t>
      </w:r>
    </w:p>
    <w:p w14:paraId="0ACD51FB" w14:textId="77777777" w:rsidR="002F4063" w:rsidRPr="004B2498" w:rsidRDefault="002F4063" w:rsidP="002F4063">
      <w:pPr>
        <w:pStyle w:val="p"/>
      </w:pPr>
      <w:r w:rsidRPr="004B2498">
        <w:br w:type="page"/>
        <w:t>[185]</w:t>
      </w:r>
    </w:p>
    <w:p w14:paraId="01CECE13" w14:textId="77777777" w:rsidR="002F4063" w:rsidRPr="004B2498" w:rsidRDefault="002F4063" w:rsidP="002F4063">
      <w:pPr>
        <w:jc w:val="both"/>
      </w:pPr>
    </w:p>
    <w:p w14:paraId="75C451BE" w14:textId="77777777" w:rsidR="002F4063" w:rsidRPr="004B2498" w:rsidRDefault="002F4063" w:rsidP="002F4063">
      <w:pPr>
        <w:jc w:val="both"/>
      </w:pPr>
    </w:p>
    <w:p w14:paraId="0780D1A0" w14:textId="77777777" w:rsidR="002F4063" w:rsidRPr="002C57DA" w:rsidRDefault="002F4063" w:rsidP="002F4063">
      <w:pPr>
        <w:spacing w:after="120"/>
        <w:ind w:firstLine="0"/>
        <w:jc w:val="center"/>
        <w:rPr>
          <w:b/>
          <w:sz w:val="24"/>
        </w:rPr>
      </w:pPr>
      <w:bookmarkStart w:id="13" w:name="Enjeux_sc_soc_pt_2_texte_3"/>
      <w:r w:rsidRPr="002C57DA">
        <w:rPr>
          <w:b/>
          <w:sz w:val="24"/>
        </w:rPr>
        <w:t>Enjeux épistémologiques et idéologiques</w:t>
      </w:r>
      <w:r w:rsidRPr="002C57DA">
        <w:rPr>
          <w:b/>
          <w:sz w:val="24"/>
        </w:rPr>
        <w:br/>
        <w:t>de la globalisation pour les sciences sociales.</w:t>
      </w:r>
    </w:p>
    <w:p w14:paraId="73F6AB62" w14:textId="77777777" w:rsidR="002F4063" w:rsidRPr="00386FE1" w:rsidRDefault="002F4063" w:rsidP="002F4063">
      <w:pPr>
        <w:spacing w:after="120"/>
        <w:ind w:firstLine="0"/>
        <w:jc w:val="center"/>
        <w:rPr>
          <w:sz w:val="24"/>
        </w:rPr>
      </w:pPr>
      <w:r>
        <w:rPr>
          <w:sz w:val="24"/>
        </w:rPr>
        <w:t>Deuxième</w:t>
      </w:r>
      <w:r w:rsidRPr="00386FE1">
        <w:rPr>
          <w:sz w:val="24"/>
        </w:rPr>
        <w:t xml:space="preserve"> partie : </w:t>
      </w:r>
      <w:r>
        <w:rPr>
          <w:sz w:val="24"/>
        </w:rPr>
        <w:t>Acteurs et actrices</w:t>
      </w:r>
    </w:p>
    <w:p w14:paraId="5919BAA6" w14:textId="77777777" w:rsidR="002F4063" w:rsidRPr="00386FE1" w:rsidRDefault="002F4063" w:rsidP="002F4063">
      <w:pPr>
        <w:pStyle w:val="Titreniveau1"/>
      </w:pPr>
      <w:r>
        <w:t>3</w:t>
      </w:r>
    </w:p>
    <w:p w14:paraId="4B1A4972" w14:textId="77777777" w:rsidR="002F4063" w:rsidRPr="004B2498" w:rsidRDefault="002F4063" w:rsidP="002F4063">
      <w:pPr>
        <w:pStyle w:val="Titreniveau2"/>
      </w:pPr>
      <w:r w:rsidRPr="004B2498">
        <w:t>“</w:t>
      </w:r>
      <w:r>
        <w:t>INTERNET : UN OUTIL</w:t>
      </w:r>
      <w:r>
        <w:br/>
        <w:t>DE LÉGITIMATION POUR</w:t>
      </w:r>
      <w:r>
        <w:br/>
        <w:t>LES H</w:t>
      </w:r>
      <w:r>
        <w:t>O</w:t>
      </w:r>
      <w:r>
        <w:t>MOSEXUELS</w:t>
      </w:r>
      <w:r>
        <w:br/>
        <w:t>CANTONAIS</w:t>
      </w:r>
      <w:r w:rsidRPr="004B2498">
        <w:t>”</w:t>
      </w:r>
    </w:p>
    <w:bookmarkEnd w:id="13"/>
    <w:p w14:paraId="4A807DC5" w14:textId="77777777" w:rsidR="002F4063" w:rsidRDefault="002F4063" w:rsidP="002F4063">
      <w:pPr>
        <w:jc w:val="both"/>
        <w:rPr>
          <w:szCs w:val="36"/>
        </w:rPr>
      </w:pPr>
    </w:p>
    <w:p w14:paraId="3E65C2DC" w14:textId="77777777" w:rsidR="002F4063" w:rsidRPr="004B2498" w:rsidRDefault="002F4063" w:rsidP="002F4063">
      <w:pPr>
        <w:jc w:val="both"/>
        <w:rPr>
          <w:szCs w:val="36"/>
        </w:rPr>
      </w:pPr>
    </w:p>
    <w:p w14:paraId="60F15906" w14:textId="77777777" w:rsidR="002F4063" w:rsidRPr="004B2498" w:rsidRDefault="002F4063" w:rsidP="002F4063">
      <w:pPr>
        <w:pStyle w:val="suite"/>
      </w:pPr>
      <w:r w:rsidRPr="004B2498">
        <w:rPr>
          <w:lang w:eastAsia="fr-FR" w:bidi="fr-FR"/>
        </w:rPr>
        <w:t>Wenjing Guo</w:t>
      </w:r>
    </w:p>
    <w:p w14:paraId="25F1129F" w14:textId="77777777" w:rsidR="002F4063" w:rsidRPr="004B2498" w:rsidRDefault="002F4063" w:rsidP="002F4063">
      <w:pPr>
        <w:spacing w:before="120" w:after="120"/>
        <w:jc w:val="both"/>
        <w:rPr>
          <w:lang w:eastAsia="fr-FR" w:bidi="fr-FR"/>
        </w:rPr>
      </w:pPr>
    </w:p>
    <w:p w14:paraId="2C6436A1" w14:textId="77777777" w:rsidR="002F4063" w:rsidRPr="002C57DA" w:rsidRDefault="002F4063" w:rsidP="002F4063">
      <w:pPr>
        <w:ind w:right="90" w:firstLine="0"/>
        <w:jc w:val="both"/>
        <w:rPr>
          <w:sz w:val="24"/>
        </w:rPr>
      </w:pPr>
      <w:hyperlink w:anchor="sommaire" w:history="1">
        <w:r w:rsidRPr="002C57DA">
          <w:rPr>
            <w:rStyle w:val="Hyperlien"/>
            <w:sz w:val="24"/>
          </w:rPr>
          <w:t>Retour au sommaire</w:t>
        </w:r>
      </w:hyperlink>
    </w:p>
    <w:p w14:paraId="1B90824D" w14:textId="77777777" w:rsidR="002F4063" w:rsidRPr="004B2498" w:rsidRDefault="002F4063" w:rsidP="002F4063">
      <w:pPr>
        <w:spacing w:before="120" w:after="120"/>
        <w:jc w:val="both"/>
      </w:pPr>
      <w:r w:rsidRPr="004B2498">
        <w:rPr>
          <w:lang w:eastAsia="fr-FR" w:bidi="fr-FR"/>
        </w:rPr>
        <w:t>Internet, conçu comme une technologie de communication, est d</w:t>
      </w:r>
      <w:r w:rsidRPr="004B2498">
        <w:rPr>
          <w:lang w:eastAsia="fr-FR" w:bidi="fr-FR"/>
        </w:rPr>
        <w:t>e</w:t>
      </w:r>
      <w:r w:rsidRPr="004B2498">
        <w:rPr>
          <w:lang w:eastAsia="fr-FR" w:bidi="fr-FR"/>
        </w:rPr>
        <w:t>venu un espace de communication de « liberté » absolue, et compte désormais, à travers la globalisation, parmi les nouveaux objets de la discipline anthropologique entre autres. Miroir et reflet de la société réelle il est souvent instrumentalisé par les différents acteurs sociaux et politiques. La possibilité de construire une communication de mu</w:t>
      </w:r>
      <w:r w:rsidRPr="004B2498">
        <w:rPr>
          <w:lang w:eastAsia="fr-FR" w:bidi="fr-FR"/>
        </w:rPr>
        <w:t>l</w:t>
      </w:r>
      <w:r w:rsidRPr="004B2498">
        <w:rPr>
          <w:lang w:eastAsia="fr-FR" w:bidi="fr-FR"/>
        </w:rPr>
        <w:t>titude, à tout moment et à tous les niveaux, en particulier avec l’usage d’Internet sur les téléphones portables, en fait un instrument i</w:t>
      </w:r>
      <w:r w:rsidRPr="004B2498">
        <w:rPr>
          <w:lang w:eastAsia="fr-FR" w:bidi="fr-FR"/>
        </w:rPr>
        <w:t>n</w:t>
      </w:r>
      <w:r w:rsidRPr="004B2498">
        <w:rPr>
          <w:lang w:eastAsia="fr-FR" w:bidi="fr-FR"/>
        </w:rPr>
        <w:t>contournable pour comprendre les logiques et les représentations des acteurs sociaux et politiques. La contradiction entre le « libre accès » à Internet et la limite à ce « libre accès » révèle les logiques sociales et politiques dans le contexte de la globalisation et de l’économie de marché. De nos jours, les activités économiques, culturelles, polit</w:t>
      </w:r>
      <w:r w:rsidRPr="004B2498">
        <w:rPr>
          <w:lang w:eastAsia="fr-FR" w:bidi="fr-FR"/>
        </w:rPr>
        <w:t>i</w:t>
      </w:r>
      <w:r w:rsidRPr="004B2498">
        <w:rPr>
          <w:lang w:eastAsia="fr-FR" w:bidi="fr-FR"/>
        </w:rPr>
        <w:t>ques et sociales se structurent par et autour d’Internet. Alors que dans la vie réelle, les acteurs sont imbriqués dans un réseau de nœuds s</w:t>
      </w:r>
      <w:r w:rsidRPr="004B2498">
        <w:rPr>
          <w:lang w:eastAsia="fr-FR" w:bidi="fr-FR"/>
        </w:rPr>
        <w:t>o</w:t>
      </w:r>
      <w:r w:rsidRPr="004B2498">
        <w:rPr>
          <w:lang w:eastAsia="fr-FR" w:bidi="fr-FR"/>
        </w:rPr>
        <w:t>ciaux interconnectés, sur la Toile dite « virtuelle », les fils de ces r</w:t>
      </w:r>
      <w:r w:rsidRPr="004B2498">
        <w:rPr>
          <w:lang w:eastAsia="fr-FR" w:bidi="fr-FR"/>
        </w:rPr>
        <w:t>é</w:t>
      </w:r>
      <w:r w:rsidRPr="004B2498">
        <w:rPr>
          <w:lang w:eastAsia="fr-FR" w:bidi="fr-FR"/>
        </w:rPr>
        <w:t>seaux s’entrelacent suivant une tout autre logique. Cette mutation structurelle entraîne autant de nouvelles possibilités que de nouveaux problèmes.</w:t>
      </w:r>
    </w:p>
    <w:p w14:paraId="11E38636" w14:textId="77777777" w:rsidR="002F4063" w:rsidRPr="004B2498" w:rsidRDefault="002F4063" w:rsidP="002F4063">
      <w:pPr>
        <w:spacing w:before="120" w:after="120"/>
        <w:jc w:val="both"/>
      </w:pPr>
      <w:r w:rsidRPr="004B2498">
        <w:rPr>
          <w:lang w:eastAsia="fr-FR" w:bidi="fr-FR"/>
        </w:rPr>
        <w:t>Face à la modernisation et à l’expansion généralisée de l’économie de marché, la Chine se situe de façon paradoxale : d’un côté, le po</w:t>
      </w:r>
      <w:r w:rsidRPr="004B2498">
        <w:rPr>
          <w:lang w:eastAsia="fr-FR" w:bidi="fr-FR"/>
        </w:rPr>
        <w:t>u</w:t>
      </w:r>
      <w:r w:rsidRPr="004B2498">
        <w:rPr>
          <w:lang w:eastAsia="fr-FR" w:bidi="fr-FR"/>
        </w:rPr>
        <w:t>voir politique prend en compte l’importance des nouvelles technol</w:t>
      </w:r>
      <w:r w:rsidRPr="004B2498">
        <w:rPr>
          <w:lang w:eastAsia="fr-FR" w:bidi="fr-FR"/>
        </w:rPr>
        <w:t>o</w:t>
      </w:r>
      <w:r w:rsidRPr="004B2498">
        <w:rPr>
          <w:lang w:eastAsia="fr-FR" w:bidi="fr-FR"/>
        </w:rPr>
        <w:t>gies considérées comme moteur de la croissance économique et des échanges globaux, et les instrumentalise au service de l’État-parti ; de l’autre, il redoute la circulation des informations, accélérée par l’usage d’Internet, notamment la généralisation des accès à Internet par tél</w:t>
      </w:r>
      <w:r w:rsidRPr="004B2498">
        <w:rPr>
          <w:lang w:eastAsia="fr-FR" w:bidi="fr-FR"/>
        </w:rPr>
        <w:t>é</w:t>
      </w:r>
      <w:r w:rsidRPr="004B2498">
        <w:rPr>
          <w:lang w:eastAsia="fr-FR" w:bidi="fr-FR"/>
        </w:rPr>
        <w:t>phones portables.</w:t>
      </w:r>
      <w:r w:rsidRPr="004B2498">
        <w:t xml:space="preserve"> [186]</w:t>
      </w:r>
      <w:r>
        <w:t xml:space="preserve"> </w:t>
      </w:r>
      <w:r w:rsidRPr="004B2498">
        <w:rPr>
          <w:lang w:eastAsia="fr-FR" w:bidi="fr-FR"/>
        </w:rPr>
        <w:t>Cette diffusion affaiblit potentiellement le contrôle politique de l'État-parti. Un système de contrôle des différe</w:t>
      </w:r>
      <w:r w:rsidRPr="004B2498">
        <w:rPr>
          <w:lang w:eastAsia="fr-FR" w:bidi="fr-FR"/>
        </w:rPr>
        <w:t>n</w:t>
      </w:r>
      <w:r w:rsidRPr="004B2498">
        <w:rPr>
          <w:lang w:eastAsia="fr-FR" w:bidi="fr-FR"/>
        </w:rPr>
        <w:t>tes sphères sur Inte</w:t>
      </w:r>
      <w:r w:rsidRPr="004B2498">
        <w:rPr>
          <w:lang w:eastAsia="fr-FR" w:bidi="fr-FR"/>
        </w:rPr>
        <w:t>r</w:t>
      </w:r>
      <w:r w:rsidRPr="004B2498">
        <w:rPr>
          <w:lang w:eastAsia="fr-FR" w:bidi="fr-FR"/>
        </w:rPr>
        <w:t>net en Chine est ainsi mis en œuvre — projet du « bouclier d’or » — par le ministère de la Sécurité publique en 2006. Ces censures po</w:t>
      </w:r>
      <w:r w:rsidRPr="004B2498">
        <w:rPr>
          <w:lang w:eastAsia="fr-FR" w:bidi="fr-FR"/>
        </w:rPr>
        <w:t>r</w:t>
      </w:r>
      <w:r w:rsidRPr="004B2498">
        <w:rPr>
          <w:lang w:eastAsia="fr-FR" w:bidi="fr-FR"/>
        </w:rPr>
        <w:t xml:space="preserve">tent le nom de </w:t>
      </w:r>
      <w:r w:rsidRPr="004B2498">
        <w:t xml:space="preserve">Great Firewall </w:t>
      </w:r>
      <w:r w:rsidRPr="004B2498">
        <w:rPr>
          <w:lang w:eastAsia="fr-FR" w:bidi="fr-FR"/>
        </w:rPr>
        <w:t>(la Grande Muraille de pare-feu</w:t>
      </w:r>
      <w:r>
        <w:rPr>
          <w:lang w:eastAsia="fr-FR" w:bidi="fr-FR"/>
        </w:rPr>
        <w:t> </w:t>
      </w:r>
      <w:r>
        <w:rPr>
          <w:rStyle w:val="Appelnotedebasdep"/>
          <w:lang w:eastAsia="fr-FR" w:bidi="fr-FR"/>
        </w:rPr>
        <w:footnoteReference w:id="153"/>
      </w:r>
      <w:r w:rsidRPr="004B2498">
        <w:rPr>
          <w:lang w:eastAsia="fr-FR" w:bidi="fr-FR"/>
        </w:rPr>
        <w:t>). Les m</w:t>
      </w:r>
      <w:r w:rsidRPr="004B2498">
        <w:rPr>
          <w:lang w:eastAsia="fr-FR" w:bidi="fr-FR"/>
        </w:rPr>
        <w:t>a</w:t>
      </w:r>
      <w:r w:rsidRPr="004B2498">
        <w:rPr>
          <w:lang w:eastAsia="fr-FR" w:bidi="fr-FR"/>
        </w:rPr>
        <w:t>nipulations de logiciels pour franchir cette grande muraille « virtuelle » sur Internet sont désignées par l’expression « grimper au mur » ou « franchir le mur ». Une nouvelle sémantique autour de cette « muraille » est ainsi créée par les internautes chinois. Les sites « dangereux et avec une mauvaise intention » sont censurés par le Pa</w:t>
      </w:r>
      <w:r w:rsidRPr="004B2498">
        <w:rPr>
          <w:lang w:eastAsia="fr-FR" w:bidi="fr-FR"/>
        </w:rPr>
        <w:t>r</w:t>
      </w:r>
      <w:r w:rsidRPr="004B2498">
        <w:rPr>
          <w:lang w:eastAsia="fr-FR" w:bidi="fr-FR"/>
        </w:rPr>
        <w:t xml:space="preserve">ti pour construire « une société harmonieuse ». Ainsi l’expression « être harmonisé » </w:t>
      </w:r>
      <w:r w:rsidRPr="004B2498">
        <w:t>(</w:t>
      </w:r>
      <w:r w:rsidRPr="001125D4">
        <w:rPr>
          <w:i/>
        </w:rPr>
        <w:t>bei he xie</w:t>
      </w:r>
      <w:r w:rsidRPr="004B2498">
        <w:rPr>
          <w:lang w:eastAsia="fr-FR" w:bidi="fr-FR"/>
        </w:rPr>
        <w:t>) est devenue synonyme de « être cens</w:t>
      </w:r>
      <w:r w:rsidRPr="004B2498">
        <w:rPr>
          <w:lang w:eastAsia="fr-FR" w:bidi="fr-FR"/>
        </w:rPr>
        <w:t>u</w:t>
      </w:r>
      <w:r w:rsidRPr="004B2498">
        <w:rPr>
          <w:lang w:eastAsia="fr-FR" w:bidi="fr-FR"/>
        </w:rPr>
        <w:t>ré ». Et l’usage d’un nom comme verbe en indicatif passif devient la mode chez les internautes pour exprimer leurs mécontent</w:t>
      </w:r>
      <w:r w:rsidRPr="004B2498">
        <w:rPr>
          <w:lang w:eastAsia="fr-FR" w:bidi="fr-FR"/>
        </w:rPr>
        <w:t>e</w:t>
      </w:r>
      <w:r w:rsidRPr="004B2498">
        <w:rPr>
          <w:lang w:eastAsia="fr-FR" w:bidi="fr-FR"/>
        </w:rPr>
        <w:t>ments.</w:t>
      </w:r>
    </w:p>
    <w:p w14:paraId="60A08EF8" w14:textId="77777777" w:rsidR="002F4063" w:rsidRPr="004B2498" w:rsidRDefault="002F4063" w:rsidP="002F4063">
      <w:pPr>
        <w:spacing w:before="120" w:after="120"/>
        <w:jc w:val="both"/>
      </w:pPr>
      <w:r w:rsidRPr="004B2498">
        <w:rPr>
          <w:lang w:eastAsia="fr-FR" w:bidi="fr-FR"/>
        </w:rPr>
        <w:t>En Chine comme ailleurs, le « cercle » des homosexuels est exclu des normes sociales dominantes. L’homosexualité a été supprimée de la liste officielle des maladies mentales de l’Association de psychi</w:t>
      </w:r>
      <w:r w:rsidRPr="004B2498">
        <w:rPr>
          <w:lang w:eastAsia="fr-FR" w:bidi="fr-FR"/>
        </w:rPr>
        <w:t>a</w:t>
      </w:r>
      <w:r w:rsidRPr="004B2498">
        <w:rPr>
          <w:lang w:eastAsia="fr-FR" w:bidi="fr-FR"/>
        </w:rPr>
        <w:t>trie des États-Unis en 1973, de celle de l’Unesco en 1990 et seul</w:t>
      </w:r>
      <w:r w:rsidRPr="004B2498">
        <w:rPr>
          <w:lang w:eastAsia="fr-FR" w:bidi="fr-FR"/>
        </w:rPr>
        <w:t>e</w:t>
      </w:r>
      <w:r w:rsidRPr="004B2498">
        <w:rPr>
          <w:lang w:eastAsia="fr-FR" w:bidi="fr-FR"/>
        </w:rPr>
        <w:t>ment en 2001 pour l’Association de psychiatrie en Chine. Le terme « cercle », utilisé ici pour désigner le groupe social des homosexuels, est le mot chinois utilisé par les acteurs eux-mêmes, notamment ceux que nous avons pu rencontrer à Canton. Les gens rencontrés se réuni</w:t>
      </w:r>
      <w:r w:rsidRPr="004B2498">
        <w:rPr>
          <w:lang w:eastAsia="fr-FR" w:bidi="fr-FR"/>
        </w:rPr>
        <w:t>s</w:t>
      </w:r>
      <w:r w:rsidRPr="004B2498">
        <w:rPr>
          <w:lang w:eastAsia="fr-FR" w:bidi="fr-FR"/>
        </w:rPr>
        <w:t>sent autour d’une association, créée sur Internet, d’où le choix de ce terme « cercle » afin d’éviter dans ce cas précis la cohérence de la n</w:t>
      </w:r>
      <w:r w:rsidRPr="004B2498">
        <w:rPr>
          <w:lang w:eastAsia="fr-FR" w:bidi="fr-FR"/>
        </w:rPr>
        <w:t>o</w:t>
      </w:r>
      <w:r w:rsidRPr="004B2498">
        <w:rPr>
          <w:lang w:eastAsia="fr-FR" w:bidi="fr-FR"/>
        </w:rPr>
        <w:t>tion anthropologique de groupe social. Les membres de ce « cercle » se connaissent d’abord à travers Internet, puis réussissent à « s’incarner » dans une association d’homosexuels à Canton. Ils exi</w:t>
      </w:r>
      <w:r w:rsidRPr="004B2498">
        <w:rPr>
          <w:lang w:eastAsia="fr-FR" w:bidi="fr-FR"/>
        </w:rPr>
        <w:t>s</w:t>
      </w:r>
      <w:r w:rsidRPr="004B2498">
        <w:rPr>
          <w:lang w:eastAsia="fr-FR" w:bidi="fr-FR"/>
        </w:rPr>
        <w:t>tent en tant que groupe sur Internet, d’où l’existence d’un « groupe social abstrait </w:t>
      </w:r>
      <w:r>
        <w:rPr>
          <w:rStyle w:val="Appelnotedebasdep"/>
          <w:lang w:eastAsia="fr-FR" w:bidi="fr-FR"/>
        </w:rPr>
        <w:footnoteReference w:id="154"/>
      </w:r>
      <w:r w:rsidRPr="004B2498">
        <w:rPr>
          <w:lang w:eastAsia="fr-FR" w:bidi="fr-FR"/>
        </w:rPr>
        <w:t> », mais également dans la vie réelle. Les hom</w:t>
      </w:r>
      <w:r w:rsidRPr="004B2498">
        <w:rPr>
          <w:lang w:eastAsia="fr-FR" w:bidi="fr-FR"/>
        </w:rPr>
        <w:t>o</w:t>
      </w:r>
      <w:r w:rsidRPr="004B2498">
        <w:rPr>
          <w:lang w:eastAsia="fr-FR" w:bidi="fr-FR"/>
        </w:rPr>
        <w:t>sexuels qui participent à l’association se regroupent autour d’une se</w:t>
      </w:r>
      <w:r w:rsidRPr="004B2498">
        <w:rPr>
          <w:lang w:eastAsia="fr-FR" w:bidi="fr-FR"/>
        </w:rPr>
        <w:t>u</w:t>
      </w:r>
      <w:r w:rsidRPr="004B2498">
        <w:rPr>
          <w:lang w:eastAsia="fr-FR" w:bidi="fr-FR"/>
        </w:rPr>
        <w:t>le pe</w:t>
      </w:r>
      <w:r w:rsidRPr="004B2498">
        <w:rPr>
          <w:lang w:eastAsia="fr-FR" w:bidi="fr-FR"/>
        </w:rPr>
        <w:t>r</w:t>
      </w:r>
      <w:r w:rsidRPr="004B2498">
        <w:rPr>
          <w:lang w:eastAsia="fr-FR" w:bidi="fr-FR"/>
        </w:rPr>
        <w:t>sonne, mère modèle et héroïque, et le « cercle » est composé par des morceaux et des fragments de connaissances, d’où les caractérist</w:t>
      </w:r>
      <w:r w:rsidRPr="004B2498">
        <w:rPr>
          <w:lang w:eastAsia="fr-FR" w:bidi="fr-FR"/>
        </w:rPr>
        <w:t>i</w:t>
      </w:r>
      <w:r w:rsidRPr="004B2498">
        <w:rPr>
          <w:lang w:eastAsia="fr-FR" w:bidi="fr-FR"/>
        </w:rPr>
        <w:t>ques qui lui sont attribuées : ouvert, instable et fragile, dans une forme embryonnaire d’association, plutôt « familiale ». C’est à travers les pa</w:t>
      </w:r>
      <w:r w:rsidRPr="004B2498">
        <w:rPr>
          <w:lang w:eastAsia="fr-FR" w:bidi="fr-FR"/>
        </w:rPr>
        <w:t>r</w:t>
      </w:r>
      <w:r w:rsidRPr="004B2498">
        <w:rPr>
          <w:lang w:eastAsia="fr-FR" w:bidi="fr-FR"/>
        </w:rPr>
        <w:t>cours biographiques des acteurs sociaux locaux de cette association d’homosexuels à Canton que nous montrerons l’articulation entre les normes globales et la construction de l’existence</w:t>
      </w:r>
      <w:r>
        <w:t xml:space="preserve"> </w:t>
      </w:r>
      <w:r w:rsidRPr="004B2498">
        <w:t>[187]</w:t>
      </w:r>
      <w:r>
        <w:t xml:space="preserve"> </w:t>
      </w:r>
      <w:r w:rsidRPr="004B2498">
        <w:rPr>
          <w:lang w:eastAsia="fr-FR" w:bidi="fr-FR"/>
        </w:rPr>
        <w:t>individuelle et collective par Internet dans un champ sociopolit</w:t>
      </w:r>
      <w:r w:rsidRPr="004B2498">
        <w:rPr>
          <w:lang w:eastAsia="fr-FR" w:bidi="fr-FR"/>
        </w:rPr>
        <w:t>i</w:t>
      </w:r>
      <w:r w:rsidRPr="004B2498">
        <w:rPr>
          <w:lang w:eastAsia="fr-FR" w:bidi="fr-FR"/>
        </w:rPr>
        <w:t>que. L’enjeu ici sera d’analyser le rôle d’Internet dans les processus de construction d’une identité marginalisée, individuelle et collective, ainsi que les représe</w:t>
      </w:r>
      <w:r w:rsidRPr="004B2498">
        <w:rPr>
          <w:lang w:eastAsia="fr-FR" w:bidi="fr-FR"/>
        </w:rPr>
        <w:t>n</w:t>
      </w:r>
      <w:r w:rsidRPr="004B2498">
        <w:rPr>
          <w:lang w:eastAsia="fr-FR" w:bidi="fr-FR"/>
        </w:rPr>
        <w:t>tations des acteurs sociaux locaux eux-mêmes sur cet espace de co</w:t>
      </w:r>
      <w:r w:rsidRPr="004B2498">
        <w:rPr>
          <w:lang w:eastAsia="fr-FR" w:bidi="fr-FR"/>
        </w:rPr>
        <w:t>m</w:t>
      </w:r>
      <w:r w:rsidRPr="004B2498">
        <w:rPr>
          <w:lang w:eastAsia="fr-FR" w:bidi="fr-FR"/>
        </w:rPr>
        <w:t>munication global.</w:t>
      </w:r>
    </w:p>
    <w:p w14:paraId="0A99B9A2" w14:textId="77777777" w:rsidR="002F4063" w:rsidRPr="004B2498" w:rsidRDefault="002F4063" w:rsidP="002F4063">
      <w:pPr>
        <w:spacing w:before="120" w:after="120"/>
        <w:jc w:val="both"/>
        <w:rPr>
          <w:szCs w:val="24"/>
          <w:lang w:eastAsia="fr-FR" w:bidi="fr-FR"/>
        </w:rPr>
      </w:pPr>
    </w:p>
    <w:p w14:paraId="467320CB" w14:textId="77777777" w:rsidR="002F4063" w:rsidRPr="004B2498" w:rsidRDefault="002F4063" w:rsidP="002F4063">
      <w:pPr>
        <w:pStyle w:val="a"/>
      </w:pPr>
      <w:r w:rsidRPr="004B2498">
        <w:t>Une association pour les parents</w:t>
      </w:r>
      <w:r w:rsidRPr="004B2498">
        <w:br/>
        <w:t>et les amis des homosexuels et leur « mère »</w:t>
      </w:r>
    </w:p>
    <w:p w14:paraId="49BDD447" w14:textId="77777777" w:rsidR="002F4063" w:rsidRPr="004B2498" w:rsidRDefault="002F4063" w:rsidP="002F4063">
      <w:pPr>
        <w:spacing w:before="120" w:after="120"/>
        <w:jc w:val="both"/>
        <w:rPr>
          <w:lang w:eastAsia="fr-FR" w:bidi="fr-FR"/>
        </w:rPr>
      </w:pPr>
    </w:p>
    <w:p w14:paraId="12857B0B" w14:textId="77777777" w:rsidR="002F4063" w:rsidRPr="004B2498" w:rsidRDefault="002F4063" w:rsidP="002F4063">
      <w:pPr>
        <w:spacing w:before="120" w:after="120"/>
        <w:jc w:val="both"/>
      </w:pPr>
      <w:r w:rsidRPr="004B2498">
        <w:rPr>
          <w:lang w:eastAsia="fr-FR" w:bidi="fr-FR"/>
        </w:rPr>
        <w:t>Appelons l’association étudiée pour les parents et les amis des h</w:t>
      </w:r>
      <w:r w:rsidRPr="004B2498">
        <w:rPr>
          <w:lang w:eastAsia="fr-FR" w:bidi="fr-FR"/>
        </w:rPr>
        <w:t>o</w:t>
      </w:r>
      <w:r w:rsidRPr="004B2498">
        <w:rPr>
          <w:lang w:eastAsia="fr-FR" w:bidi="fr-FR"/>
        </w:rPr>
        <w:t>mosexuels FPAH - Famille, parents, amis des homosexuels. Cette a</w:t>
      </w:r>
      <w:r w:rsidRPr="004B2498">
        <w:rPr>
          <w:lang w:eastAsia="fr-FR" w:bidi="fr-FR"/>
        </w:rPr>
        <w:t>s</w:t>
      </w:r>
      <w:r w:rsidRPr="004B2498">
        <w:rPr>
          <w:lang w:eastAsia="fr-FR" w:bidi="fr-FR"/>
        </w:rPr>
        <w:t>sociation, basée à Canton est créée en 2008 par une femme, connue comme « » Maman Shang » dans le « cercle » des homosexuels en Chine. Son fils unique, « homosexuel », est le premier dans ce groupe marginalisé à avoir été présenté, avec sa mère, dans plusieurs pr</w:t>
      </w:r>
      <w:r w:rsidRPr="004B2498">
        <w:rPr>
          <w:lang w:eastAsia="fr-FR" w:bidi="fr-FR"/>
        </w:rPr>
        <w:t>o</w:t>
      </w:r>
      <w:r w:rsidRPr="004B2498">
        <w:rPr>
          <w:lang w:eastAsia="fr-FR" w:bidi="fr-FR"/>
        </w:rPr>
        <w:t>grammes de télévision, distribués dans toute la Chine, où l’on expl</w:t>
      </w:r>
      <w:r w:rsidRPr="004B2498">
        <w:rPr>
          <w:lang w:eastAsia="fr-FR" w:bidi="fr-FR"/>
        </w:rPr>
        <w:t>i</w:t>
      </w:r>
      <w:r w:rsidRPr="004B2498">
        <w:rPr>
          <w:lang w:eastAsia="fr-FR" w:bidi="fr-FR"/>
        </w:rPr>
        <w:t>quait son itinéraire et son histoire quant à sa « sortie du placard</w:t>
      </w:r>
      <w:r>
        <w:rPr>
          <w:lang w:eastAsia="fr-FR" w:bidi="fr-FR"/>
        </w:rPr>
        <w:t> </w:t>
      </w:r>
      <w:r>
        <w:rPr>
          <w:rStyle w:val="Appelnotedebasdep"/>
          <w:lang w:eastAsia="fr-FR" w:bidi="fr-FR"/>
        </w:rPr>
        <w:footnoteReference w:id="155"/>
      </w:r>
      <w:r w:rsidRPr="004B2498">
        <w:rPr>
          <w:lang w:eastAsia="fr-FR" w:bidi="fr-FR"/>
        </w:rPr>
        <w:t> ».</w:t>
      </w:r>
    </w:p>
    <w:p w14:paraId="25CE00E8" w14:textId="77777777" w:rsidR="002F4063" w:rsidRPr="004B2498" w:rsidRDefault="002F4063" w:rsidP="002F4063">
      <w:pPr>
        <w:spacing w:before="120" w:after="120"/>
        <w:jc w:val="both"/>
      </w:pPr>
      <w:r w:rsidRPr="004B2498">
        <w:rPr>
          <w:lang w:eastAsia="fr-FR" w:bidi="fr-FR"/>
        </w:rPr>
        <w:t>Madame Shang est issue d’une famille révolutionnaire maoïste : ses parents sont devenus membres du parti communiste chinois à Hongkong en 1936, bien avant la fondation de la République popula</w:t>
      </w:r>
      <w:r w:rsidRPr="004B2498">
        <w:rPr>
          <w:lang w:eastAsia="fr-FR" w:bidi="fr-FR"/>
        </w:rPr>
        <w:t>i</w:t>
      </w:r>
      <w:r w:rsidRPr="004B2498">
        <w:rPr>
          <w:lang w:eastAsia="fr-FR" w:bidi="fr-FR"/>
        </w:rPr>
        <w:t>re de Chine. Elle a travaillé comme éditrice dans un magazine sur la littérature au niveau provincial du Guangdong. Fille d’un couple de hauts cadres, elle a rejoint les gardes rouges </w:t>
      </w:r>
      <w:r>
        <w:rPr>
          <w:rStyle w:val="Appelnotedebasdep"/>
          <w:lang w:eastAsia="fr-FR" w:bidi="fr-FR"/>
        </w:rPr>
        <w:footnoteReference w:id="156"/>
      </w:r>
      <w:r w:rsidRPr="004B2498">
        <w:rPr>
          <w:lang w:eastAsia="fr-FR" w:bidi="fr-FR"/>
        </w:rPr>
        <w:t xml:space="preserve"> en 1966, suite à l’appel de la révolution culturelle. Au début, ses parents étaient « pour cette révolution », et « tous les étudiants étaient censés la rejoindre ». Comme beaucoup de « jeunes éduqués », elle a été envoyée, deux ans après, à la campagne dans une région montagnarde au nord de la pr</w:t>
      </w:r>
      <w:r w:rsidRPr="004B2498">
        <w:rPr>
          <w:lang w:eastAsia="fr-FR" w:bidi="fr-FR"/>
        </w:rPr>
        <w:t>o</w:t>
      </w:r>
      <w:r w:rsidRPr="004B2498">
        <w:rPr>
          <w:lang w:eastAsia="fr-FR" w:bidi="fr-FR"/>
        </w:rPr>
        <w:t>vince du Guangdong où elle est restée dix ans, ses six frères et sœurs étant placés dans d’autres régions. Au même moment, son père était emprisonné, séparé de sa femme ; cette dernière, également jetée en prison dans une autre ville est devenue folle et y est restée jusqu’à sa mort. Madame Shang apprécie « l’esprit ouvert » de sa famille et de ses parents qui ont « lutté pour l’égalité et une société harmonieuse » durant toute leur vie. Le fait que son mari soit un « orphelin » vietn</w:t>
      </w:r>
      <w:r w:rsidRPr="004B2498">
        <w:rPr>
          <w:lang w:eastAsia="fr-FR" w:bidi="fr-FR"/>
        </w:rPr>
        <w:t>a</w:t>
      </w:r>
      <w:r w:rsidRPr="004B2498">
        <w:rPr>
          <w:lang w:eastAsia="fr-FR" w:bidi="fr-FR"/>
        </w:rPr>
        <w:t>mien, issu d’une grande famille chinoise de médecins au Vietnam et qu’il ait choisi, à l’âge de seize ans, de venir en Chine pour la « construction du communisme » est, selon elle, l’une des raisons qui explique pourquoi il ne pousse pas leur fils au mariage pour avoir un enfant, tant désiré pour la lignée patrilinéaire. Avant son premier e</w:t>
      </w:r>
      <w:r w:rsidRPr="004B2498">
        <w:rPr>
          <w:lang w:eastAsia="fr-FR" w:bidi="fr-FR"/>
        </w:rPr>
        <w:t>n</w:t>
      </w:r>
      <w:r w:rsidRPr="004B2498">
        <w:rPr>
          <w:lang w:eastAsia="fr-FR" w:bidi="fr-FR"/>
        </w:rPr>
        <w:t>tretien à la télévision, Madame Shang s’est réclamée de l’approbation de</w:t>
      </w:r>
      <w:r>
        <w:t xml:space="preserve"> </w:t>
      </w:r>
      <w:r w:rsidRPr="004B2498">
        <w:t>[188]</w:t>
      </w:r>
      <w:r>
        <w:t xml:space="preserve"> </w:t>
      </w:r>
      <w:r w:rsidRPr="004B2498">
        <w:rPr>
          <w:lang w:eastAsia="fr-FR" w:bidi="fr-FR"/>
        </w:rPr>
        <w:t>son père : bien que ne pouvant plus l’interroger (il est décédé en 1994), mais connaissant son sentiment de « responsabilité » envers la société, elle pense qu’il approuverait la décision qu’elle a prise de témoigner sur l’histoire de son fils à la télévision et trouverait la déma</w:t>
      </w:r>
      <w:r w:rsidRPr="004B2498">
        <w:rPr>
          <w:lang w:eastAsia="fr-FR" w:bidi="fr-FR"/>
        </w:rPr>
        <w:t>r</w:t>
      </w:r>
      <w:r w:rsidRPr="004B2498">
        <w:rPr>
          <w:lang w:eastAsia="fr-FR" w:bidi="fr-FR"/>
        </w:rPr>
        <w:t>che « intéressante ». Ce sentiment de responsabilité, partagé par son fils, « courageux et conscient de sa responsabilité sociale », est une autre raison qu’elle avance pour justifier sa présence sur le pl</w:t>
      </w:r>
      <w:r w:rsidRPr="004B2498">
        <w:rPr>
          <w:lang w:eastAsia="fr-FR" w:bidi="fr-FR"/>
        </w:rPr>
        <w:t>a</w:t>
      </w:r>
      <w:r w:rsidRPr="004B2498">
        <w:rPr>
          <w:lang w:eastAsia="fr-FR" w:bidi="fr-FR"/>
        </w:rPr>
        <w:t>teau en tant que modèle de mère courageuse. Un statut, producteur d’identité lui est conféré à la suite de ce programme : « Maman des hom</w:t>
      </w:r>
      <w:r w:rsidRPr="004B2498">
        <w:rPr>
          <w:lang w:eastAsia="fr-FR" w:bidi="fr-FR"/>
        </w:rPr>
        <w:t>o</w:t>
      </w:r>
      <w:r w:rsidRPr="004B2498">
        <w:rPr>
          <w:lang w:eastAsia="fr-FR" w:bidi="fr-FR"/>
        </w:rPr>
        <w:t>sexuels</w:t>
      </w:r>
      <w:r>
        <w:rPr>
          <w:lang w:eastAsia="fr-FR" w:bidi="fr-FR"/>
        </w:rPr>
        <w:t> </w:t>
      </w:r>
      <w:r>
        <w:rPr>
          <w:rStyle w:val="Appelnotedebasdep"/>
          <w:lang w:eastAsia="fr-FR" w:bidi="fr-FR"/>
        </w:rPr>
        <w:footnoteReference w:id="157"/>
      </w:r>
      <w:r w:rsidRPr="004B2498">
        <w:rPr>
          <w:lang w:eastAsia="fr-FR" w:bidi="fr-FR"/>
        </w:rPr>
        <w:t> ».</w:t>
      </w:r>
    </w:p>
    <w:p w14:paraId="6B0588B0" w14:textId="77777777" w:rsidR="002F4063" w:rsidRPr="004B2498" w:rsidRDefault="002F4063" w:rsidP="002F4063">
      <w:pPr>
        <w:spacing w:before="120" w:after="120"/>
        <w:jc w:val="both"/>
      </w:pPr>
      <w:r w:rsidRPr="004B2498">
        <w:rPr>
          <w:lang w:eastAsia="fr-FR" w:bidi="fr-FR"/>
        </w:rPr>
        <w:t>« Révolutionnaire », intellectuelle, bien éduquée, l’esprit ouvert, elle est appelée « » Maman Shang » par les gens de leur « cercle ». Elle ne cherche pas à cacher son identité derrière l’anonymat, mais au contraire, utilise son vrai nom dans tous les domaines « ayant peur qu’on ne connaisse pas « Maman Shang » ». Elle opte pour la strat</w:t>
      </w:r>
      <w:r w:rsidRPr="004B2498">
        <w:rPr>
          <w:lang w:eastAsia="fr-FR" w:bidi="fr-FR"/>
        </w:rPr>
        <w:t>é</w:t>
      </w:r>
      <w:r w:rsidRPr="004B2498">
        <w:rPr>
          <w:lang w:eastAsia="fr-FR" w:bidi="fr-FR"/>
        </w:rPr>
        <w:t>gie de faire connaître et réfléchir sur les sujets concernant l’homosexualité et représente l’image d’une « mère héroïne », modèle idéal de parent aux yeux des gens de son association, voire de manière générale de l’ensemble des homosexuels en Chine. Personnage médi</w:t>
      </w:r>
      <w:r w:rsidRPr="004B2498">
        <w:rPr>
          <w:lang w:eastAsia="fr-FR" w:bidi="fr-FR"/>
        </w:rPr>
        <w:t>a</w:t>
      </w:r>
      <w:r w:rsidRPr="004B2498">
        <w:rPr>
          <w:lang w:eastAsia="fr-FR" w:bidi="fr-FR"/>
        </w:rPr>
        <w:t>tique et médiatisé, elle est aussi bien un modèle dans la presse trad</w:t>
      </w:r>
      <w:r w:rsidRPr="004B2498">
        <w:rPr>
          <w:lang w:eastAsia="fr-FR" w:bidi="fr-FR"/>
        </w:rPr>
        <w:t>i</w:t>
      </w:r>
      <w:r w:rsidRPr="004B2498">
        <w:rPr>
          <w:lang w:eastAsia="fr-FR" w:bidi="fr-FR"/>
        </w:rPr>
        <w:t>tionnelle que sur Internet.</w:t>
      </w:r>
    </w:p>
    <w:p w14:paraId="4E59C1EC" w14:textId="77777777" w:rsidR="002F4063" w:rsidRPr="004B2498" w:rsidRDefault="002F4063" w:rsidP="002F4063">
      <w:pPr>
        <w:spacing w:before="120" w:after="120"/>
        <w:jc w:val="both"/>
      </w:pPr>
      <w:r w:rsidRPr="004B2498">
        <w:rPr>
          <w:lang w:eastAsia="fr-FR" w:bidi="fr-FR"/>
        </w:rPr>
        <w:t>En 2006, après plusieurs programmes de la télévision, elle se lance sur Internet, où elle crée son blog, suite aux conseils d’un ami de son fils </w:t>
      </w:r>
      <w:r>
        <w:rPr>
          <w:rStyle w:val="Appelnotedebasdep"/>
          <w:lang w:eastAsia="fr-FR" w:bidi="fr-FR"/>
        </w:rPr>
        <w:footnoteReference w:id="158"/>
      </w:r>
      <w:r w:rsidRPr="004B2498">
        <w:rPr>
          <w:lang w:eastAsia="fr-FR" w:bidi="fr-FR"/>
        </w:rPr>
        <w:t>, Junwei, qui a également créé un site sur l’homosexualité avec un système de « </w:t>
      </w:r>
      <w:r w:rsidRPr="004B2498">
        <w:t>login in</w:t>
      </w:r>
      <w:r w:rsidRPr="004B2498">
        <w:rPr>
          <w:lang w:eastAsia="fr-FR" w:bidi="fr-FR"/>
        </w:rPr>
        <w:t xml:space="preserve"> (se connecter) avec nos vraies coordo</w:t>
      </w:r>
      <w:r w:rsidRPr="004B2498">
        <w:rPr>
          <w:lang w:eastAsia="fr-FR" w:bidi="fr-FR"/>
        </w:rPr>
        <w:t>n</w:t>
      </w:r>
      <w:r w:rsidRPr="004B2498">
        <w:rPr>
          <w:lang w:eastAsia="fr-FR" w:bidi="fr-FR"/>
        </w:rPr>
        <w:t>nées », qui casse ainsi le côté anonyme d’Internet. Ce blog est devenu le repère et le phare de beaucoup de gens dits « homosexuels » en Chine. Elle s’est lancée sans aucune connaissance informatique et son blog s’est rapidement fait connaître dans la communauté homosexue</w:t>
      </w:r>
      <w:r w:rsidRPr="004B2498">
        <w:rPr>
          <w:lang w:eastAsia="fr-FR" w:bidi="fr-FR"/>
        </w:rPr>
        <w:t>l</w:t>
      </w:r>
      <w:r w:rsidRPr="004B2498">
        <w:rPr>
          <w:lang w:eastAsia="fr-FR" w:bidi="fr-FR"/>
        </w:rPr>
        <w:t>le en Chine grâce à cet ami Junwei, dont le blog, déjà très connu et fréquenté, présente « Maman Shang » comme parent modèle. Elle poste sur son blog les activités de leur association et leur participation aux activités concernant l’homosexualité, mais également des témo</w:t>
      </w:r>
      <w:r w:rsidRPr="004B2498">
        <w:rPr>
          <w:lang w:eastAsia="fr-FR" w:bidi="fr-FR"/>
        </w:rPr>
        <w:t>i</w:t>
      </w:r>
      <w:r w:rsidRPr="004B2498">
        <w:rPr>
          <w:lang w:eastAsia="fr-FR" w:bidi="fr-FR"/>
        </w:rPr>
        <w:t>gnages sur elle-même ou des histoires personnelles racontées par des gens concernés, souvent jeunes et confus sur leur identité d'hom</w:t>
      </w:r>
      <w:r w:rsidRPr="004B2498">
        <w:rPr>
          <w:lang w:eastAsia="fr-FR" w:bidi="fr-FR"/>
        </w:rPr>
        <w:t>o</w:t>
      </w:r>
      <w:r w:rsidRPr="004B2498">
        <w:rPr>
          <w:lang w:eastAsia="fr-FR" w:bidi="fr-FR"/>
        </w:rPr>
        <w:t xml:space="preserve">sexuel. Elle a aussi ouvert une </w:t>
      </w:r>
      <w:r w:rsidRPr="006C76D9">
        <w:rPr>
          <w:i/>
        </w:rPr>
        <w:t>hotline</w:t>
      </w:r>
      <w:r w:rsidRPr="004B2498">
        <w:rPr>
          <w:lang w:eastAsia="fr-FR" w:bidi="fr-FR"/>
        </w:rPr>
        <w:t xml:space="preserve"> au service de ceux qui ont b</w:t>
      </w:r>
      <w:r w:rsidRPr="004B2498">
        <w:rPr>
          <w:lang w:eastAsia="fr-FR" w:bidi="fr-FR"/>
        </w:rPr>
        <w:t>e</w:t>
      </w:r>
      <w:r w:rsidRPr="004B2498">
        <w:rPr>
          <w:lang w:eastAsia="fr-FR" w:bidi="fr-FR"/>
        </w:rPr>
        <w:t>soin de ses conseils et de raconter leur histoire, un autre moyen pour elle de recueillir des témoignages.</w:t>
      </w:r>
    </w:p>
    <w:p w14:paraId="6471497B" w14:textId="77777777" w:rsidR="002F4063" w:rsidRPr="004B2498" w:rsidRDefault="002F4063" w:rsidP="002F4063">
      <w:pPr>
        <w:spacing w:before="120" w:after="120"/>
        <w:jc w:val="both"/>
      </w:pPr>
      <w:r w:rsidRPr="004B2498">
        <w:t>[189]</w:t>
      </w:r>
    </w:p>
    <w:p w14:paraId="691CF036" w14:textId="77777777" w:rsidR="002F4063" w:rsidRPr="004B2498" w:rsidRDefault="002F4063" w:rsidP="002F4063">
      <w:pPr>
        <w:spacing w:before="120" w:after="120"/>
        <w:jc w:val="both"/>
      </w:pPr>
      <w:r w:rsidRPr="004B2498">
        <w:rPr>
          <w:lang w:eastAsia="fr-FR" w:bidi="fr-FR"/>
        </w:rPr>
        <w:t>Deux ans après, elle a senti le besoin de créer une structure autre qu’un blog sur Internet, parce que « si les parents (des homosexuels) cultivés peuvent aller voir ce blog, la plupart des parents ne vont pas sur Internet ». Aussi dit-elle « peu de parents nous voient réellement, ils ne connaissent pas l’existence des autres homosexuels mais un</w:t>
      </w:r>
      <w:r w:rsidRPr="004B2498">
        <w:rPr>
          <w:lang w:eastAsia="fr-FR" w:bidi="fr-FR"/>
        </w:rPr>
        <w:t>i</w:t>
      </w:r>
      <w:r w:rsidRPr="004B2498">
        <w:rPr>
          <w:lang w:eastAsia="fr-FR" w:bidi="fr-FR"/>
        </w:rPr>
        <w:t>quement leur enfant ». C’est Junwei qui a écrit l’article annonçant la création de la FPAH en insistant sur l’accès aux droits des hom</w:t>
      </w:r>
      <w:r w:rsidRPr="004B2498">
        <w:rPr>
          <w:lang w:eastAsia="fr-FR" w:bidi="fr-FR"/>
        </w:rPr>
        <w:t>o</w:t>
      </w:r>
      <w:r w:rsidRPr="004B2498">
        <w:rPr>
          <w:lang w:eastAsia="fr-FR" w:bidi="fr-FR"/>
        </w:rPr>
        <w:t>sexuels. La date du 28 juin pour la publication de cet article n’a pas été choisie par hasard, mais en mémoire des émeutes de Stonewall </w:t>
      </w:r>
      <w:r>
        <w:rPr>
          <w:rStyle w:val="Appelnotedebasdep"/>
          <w:lang w:eastAsia="fr-FR" w:bidi="fr-FR"/>
        </w:rPr>
        <w:footnoteReference w:id="159"/>
      </w:r>
      <w:r w:rsidRPr="004B2498">
        <w:rPr>
          <w:lang w:eastAsia="fr-FR" w:bidi="fr-FR"/>
        </w:rPr>
        <w:t xml:space="preserve"> à New York qui ont eu lieu le 28 juin 1969. La création de cette ass</w:t>
      </w:r>
      <w:r w:rsidRPr="004B2498">
        <w:rPr>
          <w:lang w:eastAsia="fr-FR" w:bidi="fr-FR"/>
        </w:rPr>
        <w:t>o</w:t>
      </w:r>
      <w:r w:rsidRPr="004B2498">
        <w:rPr>
          <w:lang w:eastAsia="fr-FR" w:bidi="fr-FR"/>
        </w:rPr>
        <w:t>ciation, faite sans l’accord des autorités, n’est pas annoncée dans la presse, mais uniquement sur son blog où elle a reçu de nouveau le soutien des internautes qui laissent des commentaires favorables à cet évènement. Cependant certains ont montré leur inquiétude sur le futur de l’association en étant conscients du « long chemin » à parcourir. La plupart des associations homosexuelles en Chine sont, selon elle, ra</w:t>
      </w:r>
      <w:r w:rsidRPr="004B2498">
        <w:rPr>
          <w:lang w:eastAsia="fr-FR" w:bidi="fr-FR"/>
        </w:rPr>
        <w:t>t</w:t>
      </w:r>
      <w:r w:rsidRPr="004B2498">
        <w:rPr>
          <w:lang w:eastAsia="fr-FR" w:bidi="fr-FR"/>
        </w:rPr>
        <w:t>tachées aux organismes gouvernementaux, à différents niveaux, et rares sont celles enregistrées au bureau des Affaires civiles. La sienne est rattachée au Centre de contrôle et de prévention des maladies (Center for Disease Control and Prévention) du gouvernement. Le mot « homosexuel » qui figure dans le nom de leur association apparaît « peu discret », « trop embarrassant » pour certains mais « scientifique, direct et impliquant une certaine reconnaissance de l’identité homosexuelle » selon elle. Comme sa mise en avant dans la presse avec son vrai nom, l’enjeu est d’attirer l’attention des médias et celle du gouvernement, lesquelles sont nécessaires pour le dévelo</w:t>
      </w:r>
      <w:r w:rsidRPr="004B2498">
        <w:rPr>
          <w:lang w:eastAsia="fr-FR" w:bidi="fr-FR"/>
        </w:rPr>
        <w:t>p</w:t>
      </w:r>
      <w:r w:rsidRPr="004B2498">
        <w:rPr>
          <w:lang w:eastAsia="fr-FR" w:bidi="fr-FR"/>
        </w:rPr>
        <w:t>pement de l’association. Il s’agit d’aider les homosexuels, leur famille et leurs amis, à faire connaître cette « communauté » discriminée et stigmatisée, au nom de l’idée que « l’amour est le plus bel arc-en-ciel », titre qu’elle a donné à son livre.</w:t>
      </w:r>
    </w:p>
    <w:p w14:paraId="1638437A" w14:textId="77777777" w:rsidR="002F4063" w:rsidRPr="004B2498" w:rsidRDefault="002F4063" w:rsidP="002F4063">
      <w:pPr>
        <w:spacing w:before="120" w:after="120"/>
        <w:jc w:val="both"/>
      </w:pPr>
      <w:r w:rsidRPr="004B2498">
        <w:rPr>
          <w:lang w:eastAsia="fr-FR" w:bidi="fr-FR"/>
        </w:rPr>
        <w:t>En s’accrochant à la cause nationale (avec le gouvernement) et i</w:t>
      </w:r>
      <w:r w:rsidRPr="004B2498">
        <w:rPr>
          <w:lang w:eastAsia="fr-FR" w:bidi="fr-FR"/>
        </w:rPr>
        <w:t>n</w:t>
      </w:r>
      <w:r w:rsidRPr="004B2498">
        <w:rPr>
          <w:lang w:eastAsia="fr-FR" w:bidi="fr-FR"/>
        </w:rPr>
        <w:t>ternationale de lutte contre le SIDA, l’association a organisé sa pr</w:t>
      </w:r>
      <w:r w:rsidRPr="004B2498">
        <w:rPr>
          <w:lang w:eastAsia="fr-FR" w:bidi="fr-FR"/>
        </w:rPr>
        <w:t>e</w:t>
      </w:r>
      <w:r w:rsidRPr="004B2498">
        <w:rPr>
          <w:lang w:eastAsia="fr-FR" w:bidi="fr-FR"/>
        </w:rPr>
        <w:t>mière activité en distribuant des brochures sur le SIDA, des préserv</w:t>
      </w:r>
      <w:r w:rsidRPr="004B2498">
        <w:rPr>
          <w:lang w:eastAsia="fr-FR" w:bidi="fr-FR"/>
        </w:rPr>
        <w:t>a</w:t>
      </w:r>
      <w:r w:rsidRPr="004B2498">
        <w:rPr>
          <w:lang w:eastAsia="fr-FR" w:bidi="fr-FR"/>
        </w:rPr>
        <w:t xml:space="preserve">tifs, etc. dans un parc où se réunissent fréquemment des homosexuels. Dans le cadre de la lutte contre le SIDA, cette association </w:t>
      </w:r>
      <w:r w:rsidRPr="006C76D9">
        <w:rPr>
          <w:i/>
        </w:rPr>
        <w:t>gra</w:t>
      </w:r>
      <w:r w:rsidRPr="006C76D9">
        <w:rPr>
          <w:i/>
        </w:rPr>
        <w:t>s</w:t>
      </w:r>
      <w:r w:rsidRPr="006C76D9">
        <w:rPr>
          <w:i/>
        </w:rPr>
        <w:t>sroot</w:t>
      </w:r>
      <w:r>
        <w:t> </w:t>
      </w:r>
      <w:r>
        <w:rPr>
          <w:rStyle w:val="Appelnotedebasdep"/>
        </w:rPr>
        <w:footnoteReference w:id="160"/>
      </w:r>
      <w:r w:rsidRPr="004B2498">
        <w:rPr>
          <w:lang w:eastAsia="fr-FR" w:bidi="fr-FR"/>
        </w:rPr>
        <w:t xml:space="preserve"> a remporté des prix, attribués par des fondations internation</w:t>
      </w:r>
      <w:r w:rsidRPr="004B2498">
        <w:rPr>
          <w:lang w:eastAsia="fr-FR" w:bidi="fr-FR"/>
        </w:rPr>
        <w:t>a</w:t>
      </w:r>
      <w:r w:rsidRPr="004B2498">
        <w:rPr>
          <w:lang w:eastAsia="fr-FR" w:bidi="fr-FR"/>
        </w:rPr>
        <w:t>les et des chaînes de télévision, en concurrence avec d’autres établi</w:t>
      </w:r>
      <w:r w:rsidRPr="004B2498">
        <w:rPr>
          <w:lang w:eastAsia="fr-FR" w:bidi="fr-FR"/>
        </w:rPr>
        <w:t>s</w:t>
      </w:r>
      <w:r w:rsidRPr="004B2498">
        <w:rPr>
          <w:lang w:eastAsia="fr-FR" w:bidi="fr-FR"/>
        </w:rPr>
        <w:t>sements publics, ONG et associations de</w:t>
      </w:r>
      <w:r>
        <w:t xml:space="preserve"> </w:t>
      </w:r>
      <w:r w:rsidRPr="004B2498">
        <w:t>[190]</w:t>
      </w:r>
      <w:r>
        <w:t xml:space="preserve"> </w:t>
      </w:r>
      <w:r w:rsidRPr="004B2498">
        <w:rPr>
          <w:lang w:eastAsia="fr-FR" w:bidi="fr-FR"/>
        </w:rPr>
        <w:t>diverses natures. Une partie de son financement vient des projets de lutte contre le SIDA, financés par les gouvernements locaux ch</w:t>
      </w:r>
      <w:r w:rsidRPr="004B2498">
        <w:rPr>
          <w:lang w:eastAsia="fr-FR" w:bidi="fr-FR"/>
        </w:rPr>
        <w:t>i</w:t>
      </w:r>
      <w:r w:rsidRPr="004B2498">
        <w:rPr>
          <w:lang w:eastAsia="fr-FR" w:bidi="fr-FR"/>
        </w:rPr>
        <w:t xml:space="preserve">nois, les institutions et les fondations internationales, etc. Alors que le financement des colloques pour les parents, la famille et les amis des homosexuels, les salaires et le maintien du service de </w:t>
      </w:r>
      <w:r w:rsidRPr="001125D4">
        <w:rPr>
          <w:i/>
        </w:rPr>
        <w:t>hotline</w:t>
      </w:r>
      <w:r w:rsidRPr="004B2498">
        <w:rPr>
          <w:lang w:eastAsia="fr-FR" w:bidi="fr-FR"/>
        </w:rPr>
        <w:t xml:space="preserve"> proviennent d’une association amér</w:t>
      </w:r>
      <w:r w:rsidRPr="004B2498">
        <w:rPr>
          <w:lang w:eastAsia="fr-FR" w:bidi="fr-FR"/>
        </w:rPr>
        <w:t>i</w:t>
      </w:r>
      <w:r w:rsidRPr="004B2498">
        <w:rPr>
          <w:lang w:eastAsia="fr-FR" w:bidi="fr-FR"/>
        </w:rPr>
        <w:t>caine qui a pour objectif de soutenir ég</w:t>
      </w:r>
      <w:r w:rsidRPr="004B2498">
        <w:rPr>
          <w:lang w:eastAsia="fr-FR" w:bidi="fr-FR"/>
        </w:rPr>
        <w:t>a</w:t>
      </w:r>
      <w:r w:rsidRPr="004B2498">
        <w:rPr>
          <w:lang w:eastAsia="fr-FR" w:bidi="fr-FR"/>
        </w:rPr>
        <w:t>lement la lutte contre le SIDA en Chine, association elle-même créée par un Sino-Américain « homosexuel ».</w:t>
      </w:r>
    </w:p>
    <w:p w14:paraId="07815C77" w14:textId="77777777" w:rsidR="002F4063" w:rsidRPr="004B2498" w:rsidRDefault="002F4063" w:rsidP="002F4063">
      <w:pPr>
        <w:spacing w:before="120" w:after="120"/>
        <w:jc w:val="both"/>
      </w:pPr>
      <w:r w:rsidRPr="004B2498">
        <w:rPr>
          <w:lang w:eastAsia="fr-FR" w:bidi="fr-FR"/>
        </w:rPr>
        <w:t>L’atmosphère de « famille » et les services pour les homosexuels et leur entourage ont attiré des membres des quatre coins de la Chine mais motivé peu de parents et d’amis. Sur la liste d’une centaine de membres en Chine dont une quarantaine à Canton, seule une dizaine participe régulièrement à leurs activités à Canton.</w:t>
      </w:r>
    </w:p>
    <w:p w14:paraId="08C4FD1A" w14:textId="77777777" w:rsidR="002F4063" w:rsidRPr="004B2498" w:rsidRDefault="002F4063" w:rsidP="002F4063">
      <w:pPr>
        <w:spacing w:before="120" w:after="120"/>
        <w:jc w:val="both"/>
      </w:pPr>
      <w:r w:rsidRPr="004B2498">
        <w:rPr>
          <w:lang w:eastAsia="fr-FR" w:bidi="fr-FR"/>
        </w:rPr>
        <w:t xml:space="preserve">C’est au cours de l’une de leurs activités habituelles de rencontre - celle de </w:t>
      </w:r>
      <w:r w:rsidRPr="001125D4">
        <w:rPr>
          <w:i/>
        </w:rPr>
        <w:t>online</w:t>
      </w:r>
      <w:r w:rsidRPr="004B2498">
        <w:rPr>
          <w:lang w:eastAsia="fr-FR" w:bidi="fr-FR"/>
        </w:rPr>
        <w:t xml:space="preserve"> à </w:t>
      </w:r>
      <w:r w:rsidRPr="001125D4">
        <w:rPr>
          <w:i/>
        </w:rPr>
        <w:t>offline</w:t>
      </w:r>
      <w:r>
        <w:t> </w:t>
      </w:r>
      <w:r>
        <w:rPr>
          <w:rStyle w:val="Appelnotedebasdep"/>
        </w:rPr>
        <w:footnoteReference w:id="161"/>
      </w:r>
      <w:r w:rsidRPr="004B2498">
        <w:rPr>
          <w:lang w:eastAsia="fr-FR" w:bidi="fr-FR"/>
        </w:rPr>
        <w:t xml:space="preserve"> — que nous avons pu prendre les coordo</w:t>
      </w:r>
      <w:r w:rsidRPr="004B2498">
        <w:rPr>
          <w:lang w:eastAsia="fr-FR" w:bidi="fr-FR"/>
        </w:rPr>
        <w:t>n</w:t>
      </w:r>
      <w:r w:rsidRPr="004B2498">
        <w:rPr>
          <w:lang w:eastAsia="fr-FR" w:bidi="fr-FR"/>
        </w:rPr>
        <w:t>nées des membres présents pour mener nos futures enquêtes. La re</w:t>
      </w:r>
      <w:r w:rsidRPr="004B2498">
        <w:rPr>
          <w:lang w:eastAsia="fr-FR" w:bidi="fr-FR"/>
        </w:rPr>
        <w:t>n</w:t>
      </w:r>
      <w:r w:rsidRPr="004B2498">
        <w:rPr>
          <w:lang w:eastAsia="fr-FR" w:bidi="fr-FR"/>
        </w:rPr>
        <w:t>contre avait lieu dans un parc situé au nord-est de Canton ; nous nous sommes réunis à l’entrée du parc où plusieurs parapluies/parasols de couleur arc-en-ciel ont été ouverts et déposés par terre. La revendic</w:t>
      </w:r>
      <w:r w:rsidRPr="004B2498">
        <w:rPr>
          <w:lang w:eastAsia="fr-FR" w:bidi="fr-FR"/>
        </w:rPr>
        <w:t>a</w:t>
      </w:r>
      <w:r w:rsidRPr="004B2498">
        <w:rPr>
          <w:lang w:eastAsia="fr-FR" w:bidi="fr-FR"/>
        </w:rPr>
        <w:t>tion des homosexuels s’exprime à travers nombre de détails symbol</w:t>
      </w:r>
      <w:r w:rsidRPr="004B2498">
        <w:rPr>
          <w:lang w:eastAsia="fr-FR" w:bidi="fr-FR"/>
        </w:rPr>
        <w:t>i</w:t>
      </w:r>
      <w:r w:rsidRPr="004B2498">
        <w:rPr>
          <w:lang w:eastAsia="fr-FR" w:bidi="fr-FR"/>
        </w:rPr>
        <w:t>ques et l’usage de ces symboles d’homosexualité est accentué dans les activités où des participants portent un foulard, un chapeau ou un sac à dos de couleur arc-en-ciel ; mais ils s’habillent de la même manière dans leur vie privée. Les participants portaient chacun un carton de couleur différente, indiquant leur situation amoureuse (célibataire ou en couple), avec un chiffre indiquant l’ordre d’arrivée, ce qui perme</w:t>
      </w:r>
      <w:r w:rsidRPr="004B2498">
        <w:rPr>
          <w:lang w:eastAsia="fr-FR" w:bidi="fr-FR"/>
        </w:rPr>
        <w:t>t</w:t>
      </w:r>
      <w:r w:rsidRPr="004B2498">
        <w:rPr>
          <w:lang w:eastAsia="fr-FR" w:bidi="fr-FR"/>
        </w:rPr>
        <w:t>tait de connaître le nombre de présents. Plusieurs activistes sont e</w:t>
      </w:r>
      <w:r w:rsidRPr="004B2498">
        <w:rPr>
          <w:lang w:eastAsia="fr-FR" w:bidi="fr-FR"/>
        </w:rPr>
        <w:t>m</w:t>
      </w:r>
      <w:r w:rsidRPr="004B2498">
        <w:rPr>
          <w:lang w:eastAsia="fr-FR" w:bidi="fr-FR"/>
        </w:rPr>
        <w:t>ployés ou bénévoles dans d’autres associations ou ONG d’homosexuels à Canton. La coopération entre ces associations est, selon eux, « très bonne et pas en concurrence vicieuse comme dans certaines villes ». Après une promenade permettant aux gens de parler librement à ceux avec lesquels ils avaient envie de faire connaissance, nous sommes arrivés dans un grand Plazza au bord du lac. Les organ</w:t>
      </w:r>
      <w:r w:rsidRPr="004B2498">
        <w:rPr>
          <w:lang w:eastAsia="fr-FR" w:bidi="fr-FR"/>
        </w:rPr>
        <w:t>i</w:t>
      </w:r>
      <w:r w:rsidRPr="004B2498">
        <w:rPr>
          <w:lang w:eastAsia="fr-FR" w:bidi="fr-FR"/>
        </w:rPr>
        <w:t>sateurs ont commencé à répartir les membres participants en plusieurs groupes pour jouer en équipes. Ces jeux, « sauter à la corde », chanter et danser, ont attiré un public qui s’est réuni autour d’eux, notamment plusieurs employés du service de sécurité du parc qui regardaient de loin sur leur vélo. Étant donné que ce groupe se comportait « correctement » sans troubler l’ordre public, le</w:t>
      </w:r>
      <w:r>
        <w:t xml:space="preserve"> </w:t>
      </w:r>
      <w:r w:rsidRPr="004B2498">
        <w:t>[191]</w:t>
      </w:r>
      <w:r>
        <w:t xml:space="preserve"> </w:t>
      </w:r>
      <w:r w:rsidRPr="004B2498">
        <w:rPr>
          <w:lang w:eastAsia="fr-FR" w:bidi="fr-FR"/>
        </w:rPr>
        <w:t>service de séc</w:t>
      </w:r>
      <w:r w:rsidRPr="004B2498">
        <w:rPr>
          <w:lang w:eastAsia="fr-FR" w:bidi="fr-FR"/>
        </w:rPr>
        <w:t>u</w:t>
      </w:r>
      <w:r w:rsidRPr="004B2498">
        <w:rPr>
          <w:lang w:eastAsia="fr-FR" w:bidi="fr-FR"/>
        </w:rPr>
        <w:t>rité les a laissés tranquilles jusqu’à leur départ. E</w:t>
      </w:r>
      <w:r w:rsidRPr="004B2498">
        <w:rPr>
          <w:lang w:eastAsia="fr-FR" w:bidi="fr-FR"/>
        </w:rPr>
        <w:t>n</w:t>
      </w:r>
      <w:r w:rsidRPr="004B2498">
        <w:rPr>
          <w:lang w:eastAsia="fr-FR" w:bidi="fr-FR"/>
        </w:rPr>
        <w:t>suite le groupe s’est retrouvé dans un restaurant en face du parc où les discussions et les échanges se sont poursuivis à table, manière de communication strat</w:t>
      </w:r>
      <w:r w:rsidRPr="004B2498">
        <w:rPr>
          <w:lang w:eastAsia="fr-FR" w:bidi="fr-FR"/>
        </w:rPr>
        <w:t>é</w:t>
      </w:r>
      <w:r w:rsidRPr="004B2498">
        <w:rPr>
          <w:lang w:eastAsia="fr-FR" w:bidi="fr-FR"/>
        </w:rPr>
        <w:t>gique souvent utilisée par les Chinois pour les rencontres, les discu</w:t>
      </w:r>
      <w:r w:rsidRPr="004B2498">
        <w:rPr>
          <w:lang w:eastAsia="fr-FR" w:bidi="fr-FR"/>
        </w:rPr>
        <w:t>s</w:t>
      </w:r>
      <w:r w:rsidRPr="004B2498">
        <w:rPr>
          <w:lang w:eastAsia="fr-FR" w:bidi="fr-FR"/>
        </w:rPr>
        <w:t>sions, les négociations, etc. dans les domaines professionnels et/ou personnels. Il s’agit d’une forme très discrète et efficace de réunion par rapport à une réunion qui se tiendrait dans un endroit formel ou public (bureau ou parc par exemple). Cette dernière forme de réunion en effet attire fortement l’attention du service de s</w:t>
      </w:r>
      <w:r w:rsidRPr="004B2498">
        <w:rPr>
          <w:lang w:eastAsia="fr-FR" w:bidi="fr-FR"/>
        </w:rPr>
        <w:t>é</w:t>
      </w:r>
      <w:r w:rsidRPr="004B2498">
        <w:rPr>
          <w:lang w:eastAsia="fr-FR" w:bidi="fr-FR"/>
        </w:rPr>
        <w:t>curité sur place quand le nombre des participants dépasse la limite j</w:t>
      </w:r>
      <w:r w:rsidRPr="004B2498">
        <w:rPr>
          <w:lang w:eastAsia="fr-FR" w:bidi="fr-FR"/>
        </w:rPr>
        <w:t>u</w:t>
      </w:r>
      <w:r w:rsidRPr="004B2498">
        <w:rPr>
          <w:lang w:eastAsia="fr-FR" w:bidi="fr-FR"/>
        </w:rPr>
        <w:t>gée dangereuse pour « l’ordre et la sécurité du public ainsi que la stabilité de la soci</w:t>
      </w:r>
      <w:r w:rsidRPr="004B2498">
        <w:rPr>
          <w:lang w:eastAsia="fr-FR" w:bidi="fr-FR"/>
        </w:rPr>
        <w:t>é</w:t>
      </w:r>
      <w:r w:rsidRPr="004B2498">
        <w:rPr>
          <w:lang w:eastAsia="fr-FR" w:bidi="fr-FR"/>
        </w:rPr>
        <w:t>té ». La surveillance, voire l’intervention, seront m</w:t>
      </w:r>
      <w:r w:rsidRPr="004B2498">
        <w:rPr>
          <w:lang w:eastAsia="fr-FR" w:bidi="fr-FR"/>
        </w:rPr>
        <w:t>i</w:t>
      </w:r>
      <w:r w:rsidRPr="004B2498">
        <w:rPr>
          <w:lang w:eastAsia="fr-FR" w:bidi="fr-FR"/>
        </w:rPr>
        <w:t>ses en œuvre afin d’étouffer dans le berceau ces éléments jugés « déstabilisants ». Mais la réunion d’un groupe, même d’une centaine de personnes, voire plus, semble toujours normale et banale quand il s’agit d’un repas co</w:t>
      </w:r>
      <w:r w:rsidRPr="004B2498">
        <w:rPr>
          <w:lang w:eastAsia="fr-FR" w:bidi="fr-FR"/>
        </w:rPr>
        <w:t>l</w:t>
      </w:r>
      <w:r w:rsidRPr="004B2498">
        <w:rPr>
          <w:lang w:eastAsia="fr-FR" w:bidi="fr-FR"/>
        </w:rPr>
        <w:t>lectif, surtout à l’occasion des grandes fêtes, telle que la fête des m</w:t>
      </w:r>
      <w:r w:rsidRPr="004B2498">
        <w:rPr>
          <w:lang w:eastAsia="fr-FR" w:bidi="fr-FR"/>
        </w:rPr>
        <w:t>è</w:t>
      </w:r>
      <w:r w:rsidRPr="004B2498">
        <w:rPr>
          <w:lang w:eastAsia="fr-FR" w:bidi="fr-FR"/>
        </w:rPr>
        <w:t>res dans le cas évoqué. Cinq tables rondes ont réuni une cinquantaine de personnes dont la moitié ont laissé leurs coordonnées sur les p</w:t>
      </w:r>
      <w:r w:rsidRPr="004B2498">
        <w:rPr>
          <w:lang w:eastAsia="fr-FR" w:bidi="fr-FR"/>
        </w:rPr>
        <w:t>a</w:t>
      </w:r>
      <w:r w:rsidRPr="004B2498">
        <w:rPr>
          <w:lang w:eastAsia="fr-FR" w:bidi="fr-FR"/>
        </w:rPr>
        <w:t>piers que nous avons fait circuler. Deux jeunes hommes nous ont contactés discrètement après le repas pour prendre un RDV avec nous. À l’occasion de la fête des mères, « » Maman Shang » a reçu un bo</w:t>
      </w:r>
      <w:r w:rsidRPr="004B2498">
        <w:rPr>
          <w:lang w:eastAsia="fr-FR" w:bidi="fr-FR"/>
        </w:rPr>
        <w:t>u</w:t>
      </w:r>
      <w:r w:rsidRPr="004B2498">
        <w:rPr>
          <w:lang w:eastAsia="fr-FR" w:bidi="fr-FR"/>
        </w:rPr>
        <w:t>quet de fleurs au début de la journée et un ancien fonctionnaire du b</w:t>
      </w:r>
      <w:r w:rsidRPr="004B2498">
        <w:rPr>
          <w:lang w:eastAsia="fr-FR" w:bidi="fr-FR"/>
        </w:rPr>
        <w:t>u</w:t>
      </w:r>
      <w:r w:rsidRPr="004B2498">
        <w:rPr>
          <w:lang w:eastAsia="fr-FR" w:bidi="fr-FR"/>
        </w:rPr>
        <w:t>reau des Arts a chanté pour elle une chanson intitulée « La mère » à la fin du repas collectif.</w:t>
      </w:r>
    </w:p>
    <w:p w14:paraId="082E86F2" w14:textId="77777777" w:rsidR="002F4063" w:rsidRPr="004B2498" w:rsidRDefault="002F4063" w:rsidP="002F4063">
      <w:pPr>
        <w:spacing w:before="120" w:after="120"/>
        <w:jc w:val="both"/>
      </w:pPr>
      <w:r w:rsidRPr="004B2498">
        <w:rPr>
          <w:lang w:eastAsia="fr-FR" w:bidi="fr-FR"/>
        </w:rPr>
        <w:t>Cette sorte de rencontre, dans un parc ou dans l’espace privé d’un karaoké, à l’occasion de fêtes ou non, est l’une des activités princip</w:t>
      </w:r>
      <w:r w:rsidRPr="004B2498">
        <w:rPr>
          <w:lang w:eastAsia="fr-FR" w:bidi="fr-FR"/>
        </w:rPr>
        <w:t>a</w:t>
      </w:r>
      <w:r w:rsidRPr="004B2498">
        <w:rPr>
          <w:lang w:eastAsia="fr-FR" w:bidi="fr-FR"/>
        </w:rPr>
        <w:t>les de la FPAH. Les participants sont conscients que la plupart vie</w:t>
      </w:r>
      <w:r w:rsidRPr="004B2498">
        <w:rPr>
          <w:lang w:eastAsia="fr-FR" w:bidi="fr-FR"/>
        </w:rPr>
        <w:t>n</w:t>
      </w:r>
      <w:r w:rsidRPr="004B2498">
        <w:rPr>
          <w:lang w:eastAsia="fr-FR" w:bidi="fr-FR"/>
        </w:rPr>
        <w:t>nent pour « rencontrer quelqu’un » et d’une certaine manière, la FPAH joue un rôle d’agence « matrimoniale » et ne s’en cache pas. Citons une fête de « fiançailles » à Canton : celui que nous appell</w:t>
      </w:r>
      <w:r w:rsidRPr="004B2498">
        <w:rPr>
          <w:lang w:eastAsia="fr-FR" w:bidi="fr-FR"/>
        </w:rPr>
        <w:t>e</w:t>
      </w:r>
      <w:r w:rsidRPr="004B2498">
        <w:rPr>
          <w:lang w:eastAsia="fr-FR" w:bidi="fr-FR"/>
        </w:rPr>
        <w:t>rons Jianguo, a contacté Kangping, après avoir lu l’histoire de son f</w:t>
      </w:r>
      <w:r w:rsidRPr="004B2498">
        <w:rPr>
          <w:lang w:eastAsia="fr-FR" w:bidi="fr-FR"/>
        </w:rPr>
        <w:t>u</w:t>
      </w:r>
      <w:r w:rsidRPr="004B2498">
        <w:rPr>
          <w:lang w:eastAsia="fr-FR" w:bidi="fr-FR"/>
        </w:rPr>
        <w:t xml:space="preserve">tur fiancé sur le blog de « » Maman Shang ». Après trois mois de </w:t>
      </w:r>
      <w:r w:rsidRPr="006C76D9">
        <w:rPr>
          <w:i/>
        </w:rPr>
        <w:t>chat</w:t>
      </w:r>
      <w:r w:rsidRPr="004B2498">
        <w:rPr>
          <w:lang w:eastAsia="fr-FR" w:bidi="fr-FR"/>
        </w:rPr>
        <w:t xml:space="preserve"> sur QQ </w:t>
      </w:r>
      <w:r>
        <w:rPr>
          <w:rStyle w:val="Appelnotedebasdep"/>
          <w:lang w:eastAsia="fr-FR" w:bidi="fr-FR"/>
        </w:rPr>
        <w:footnoteReference w:id="162"/>
      </w:r>
      <w:r w:rsidRPr="004B2498">
        <w:rPr>
          <w:lang w:eastAsia="fr-FR" w:bidi="fr-FR"/>
        </w:rPr>
        <w:t>, Kangping a décidé de quitter sa ville et de rejoindre Jia</w:t>
      </w:r>
      <w:r w:rsidRPr="004B2498">
        <w:rPr>
          <w:lang w:eastAsia="fr-FR" w:bidi="fr-FR"/>
        </w:rPr>
        <w:t>n</w:t>
      </w:r>
      <w:r w:rsidRPr="004B2498">
        <w:rPr>
          <w:lang w:eastAsia="fr-FR" w:bidi="fr-FR"/>
        </w:rPr>
        <w:t>guo à Canton. Neuf mois après, à l’occasion du deuxième congrès de re</w:t>
      </w:r>
      <w:r w:rsidRPr="004B2498">
        <w:rPr>
          <w:lang w:eastAsia="fr-FR" w:bidi="fr-FR"/>
        </w:rPr>
        <w:t>n</w:t>
      </w:r>
      <w:r w:rsidRPr="004B2498">
        <w:rPr>
          <w:lang w:eastAsia="fr-FR" w:bidi="fr-FR"/>
        </w:rPr>
        <w:t xml:space="preserve">contres des parents de la FPAH à la fin du mois de juin </w:t>
      </w:r>
      <w:r w:rsidRPr="004B2498">
        <w:t xml:space="preserve">2010, </w:t>
      </w:r>
      <w:r w:rsidRPr="004B2498">
        <w:rPr>
          <w:lang w:eastAsia="fr-FR" w:bidi="fr-FR"/>
        </w:rPr>
        <w:t>« Maman Shang » donne la main de l’un à l’autre pendant leur fête de « fiançailles ». Elle se réclame ainsi et donne l’image d’une mère pour tous les « enfants ». Cette fête est l’apogée de ce congrès et un article important dans le journal local, distribué dans la province, voire d’autres régions, est consacré entièrement à ce couple. La mise en scène de leur « réussite » comme modèle d’amour homosexuel, co</w:t>
      </w:r>
      <w:r w:rsidRPr="004B2498">
        <w:rPr>
          <w:lang w:eastAsia="fr-FR" w:bidi="fr-FR"/>
        </w:rPr>
        <w:t>m</w:t>
      </w:r>
      <w:r w:rsidRPr="004B2498">
        <w:rPr>
          <w:lang w:eastAsia="fr-FR" w:bidi="fr-FR"/>
        </w:rPr>
        <w:t>me couple</w:t>
      </w:r>
      <w:r>
        <w:t xml:space="preserve"> </w:t>
      </w:r>
      <w:r w:rsidRPr="004B2498">
        <w:t>[192]</w:t>
      </w:r>
      <w:r>
        <w:t xml:space="preserve"> </w:t>
      </w:r>
      <w:r w:rsidRPr="004B2498">
        <w:rPr>
          <w:lang w:eastAsia="fr-FR" w:bidi="fr-FR"/>
        </w:rPr>
        <w:t>homosexuel, « encourage » ceux qui s’identifient comme « homosexuels », et sont en partie motivés pour trouver un comp</w:t>
      </w:r>
      <w:r w:rsidRPr="004B2498">
        <w:rPr>
          <w:lang w:eastAsia="fr-FR" w:bidi="fr-FR"/>
        </w:rPr>
        <w:t>a</w:t>
      </w:r>
      <w:r w:rsidRPr="004B2498">
        <w:rPr>
          <w:lang w:eastAsia="fr-FR" w:bidi="fr-FR"/>
        </w:rPr>
        <w:t>gnon à rejoindre l’association FPAH. « Maman Shang », en tant que « marieuse » donne son accord en représentant les parents du couple. La reconnaissance par « la famille » de l’existence de l’individu et du couple en tant qu’homosexuels est donc acquise. Les normes de genre, d’égalité et des droits de l'homme s’articulent avec la revendication d’une existence individuelle et collective, à travers une association d’homosexuels créée par une « mère » porteuse des causes internationales, lesquelles sont aussi un enjeu sur la scène n</w:t>
      </w:r>
      <w:r w:rsidRPr="004B2498">
        <w:rPr>
          <w:lang w:eastAsia="fr-FR" w:bidi="fr-FR"/>
        </w:rPr>
        <w:t>a</w:t>
      </w:r>
      <w:r w:rsidRPr="004B2498">
        <w:rPr>
          <w:lang w:eastAsia="fr-FR" w:bidi="fr-FR"/>
        </w:rPr>
        <w:t>tionale pour le gouvernement chinois : la lutte contre le SIDA. C’est dans le cadre de cette cause globale que la communauté homosexuelle en Chine peut disposer d’un espace sociopolitique par où passe sa r</w:t>
      </w:r>
      <w:r w:rsidRPr="004B2498">
        <w:rPr>
          <w:lang w:eastAsia="fr-FR" w:bidi="fr-FR"/>
        </w:rPr>
        <w:t>e</w:t>
      </w:r>
      <w:r w:rsidRPr="004B2498">
        <w:rPr>
          <w:lang w:eastAsia="fr-FR" w:bidi="fr-FR"/>
        </w:rPr>
        <w:t>vendication p</w:t>
      </w:r>
      <w:r w:rsidRPr="004B2498">
        <w:rPr>
          <w:lang w:eastAsia="fr-FR" w:bidi="fr-FR"/>
        </w:rPr>
        <w:t>o</w:t>
      </w:r>
      <w:r w:rsidRPr="004B2498">
        <w:rPr>
          <w:lang w:eastAsia="fr-FR" w:bidi="fr-FR"/>
        </w:rPr>
        <w:t>litique.</w:t>
      </w:r>
    </w:p>
    <w:p w14:paraId="7BFBA3BD" w14:textId="77777777" w:rsidR="002F4063" w:rsidRPr="004B2498" w:rsidRDefault="002F4063" w:rsidP="002F4063">
      <w:pPr>
        <w:spacing w:before="120" w:after="120"/>
        <w:jc w:val="both"/>
        <w:rPr>
          <w:szCs w:val="24"/>
          <w:lang w:eastAsia="fr-FR" w:bidi="fr-FR"/>
        </w:rPr>
      </w:pPr>
      <w:r>
        <w:rPr>
          <w:szCs w:val="24"/>
          <w:lang w:eastAsia="fr-FR" w:bidi="fr-FR"/>
        </w:rPr>
        <w:br w:type="page"/>
      </w:r>
    </w:p>
    <w:p w14:paraId="7FC581D7" w14:textId="77777777" w:rsidR="002F4063" w:rsidRPr="004B2498" w:rsidRDefault="002F4063" w:rsidP="002F4063">
      <w:pPr>
        <w:pStyle w:val="a"/>
      </w:pPr>
      <w:r w:rsidRPr="004B2498">
        <w:t>Un mil</w:t>
      </w:r>
      <w:r>
        <w:t>itant « homosexuel »</w:t>
      </w:r>
      <w:r>
        <w:br/>
      </w:r>
      <w:r w:rsidRPr="004B2498">
        <w:t>pour les droits de tous les citoyens ?</w:t>
      </w:r>
    </w:p>
    <w:p w14:paraId="571322CB" w14:textId="77777777" w:rsidR="002F4063" w:rsidRPr="004B2498" w:rsidRDefault="002F4063" w:rsidP="002F4063">
      <w:pPr>
        <w:spacing w:before="120" w:after="120"/>
        <w:jc w:val="both"/>
        <w:rPr>
          <w:lang w:eastAsia="fr-FR" w:bidi="fr-FR"/>
        </w:rPr>
      </w:pPr>
    </w:p>
    <w:p w14:paraId="142AB22C" w14:textId="77777777" w:rsidR="002F4063" w:rsidRPr="004B2498" w:rsidRDefault="002F4063" w:rsidP="002F4063">
      <w:pPr>
        <w:spacing w:before="120" w:after="120"/>
        <w:jc w:val="both"/>
      </w:pPr>
      <w:r w:rsidRPr="004B2498">
        <w:rPr>
          <w:lang w:eastAsia="fr-FR" w:bidi="fr-FR"/>
        </w:rPr>
        <w:t>Allons d’abord chez Junwei, travailleur bénévole et militant actif de cette association. Fils de paysans montagnards de la région révol</w:t>
      </w:r>
      <w:r w:rsidRPr="004B2498">
        <w:rPr>
          <w:lang w:eastAsia="fr-FR" w:bidi="fr-FR"/>
        </w:rPr>
        <w:t>u</w:t>
      </w:r>
      <w:r w:rsidRPr="004B2498">
        <w:rPr>
          <w:lang w:eastAsia="fr-FR" w:bidi="fr-FR"/>
        </w:rPr>
        <w:t>tionnaire maoïste, il possède sa propre entreprise de logistique et son propre appartement à côté de la Montagne Baiyun </w:t>
      </w:r>
      <w:r>
        <w:rPr>
          <w:rStyle w:val="Appelnotedebasdep"/>
          <w:lang w:eastAsia="fr-FR" w:bidi="fr-FR"/>
        </w:rPr>
        <w:footnoteReference w:id="163"/>
      </w:r>
      <w:r w:rsidRPr="004B2498">
        <w:rPr>
          <w:lang w:eastAsia="fr-FR" w:bidi="fr-FR"/>
        </w:rPr>
        <w:t xml:space="preserve"> à Canton. Après une formation professionnelle d’élevage des vers à soie et trois ans de travail, il a décidé de tout quitter et d’aller à Canton avec son ex-ami, dont les parents sont aussi paysans. Il a essayé de concentrer son di</w:t>
      </w:r>
      <w:r w:rsidRPr="004B2498">
        <w:rPr>
          <w:lang w:eastAsia="fr-FR" w:bidi="fr-FR"/>
        </w:rPr>
        <w:t>s</w:t>
      </w:r>
      <w:r w:rsidRPr="004B2498">
        <w:rPr>
          <w:lang w:eastAsia="fr-FR" w:bidi="fr-FR"/>
        </w:rPr>
        <w:t>cours sur le sujet d’Internet sans vouloir trop parler de son itinéraire et de sa famille, sa mère étant morte d’un cancer. Il conteste le système éducatif en donnant l’exemple de son ex-ami, qui, après avoir passé une dizaine d’années avec Junwei, l’a quitté pour épouser une fille en 2008 en alléguant que « seule la vie avec une femme et des enfants est harmonieuse et heureuse ». Il est pour Junwei « un cas d’échec de l’éducation, qui ne lui a pas donné la capacité de réfléchir de manière indépendante », notamment quand il considère l’union entre deux êtres comme quelque chose qui ne peut s’appliquer à deux personnes de même sexe. Ainsi, il s’inscrit dans les normes sociales traditionne</w:t>
      </w:r>
      <w:r w:rsidRPr="004B2498">
        <w:rPr>
          <w:lang w:eastAsia="fr-FR" w:bidi="fr-FR"/>
        </w:rPr>
        <w:t>l</w:t>
      </w:r>
      <w:r w:rsidRPr="004B2498">
        <w:rPr>
          <w:lang w:eastAsia="fr-FR" w:bidi="fr-FR"/>
        </w:rPr>
        <w:t xml:space="preserve">les. Quant à la vie heureuse, Junwei pense que « le mariage n’apporte pas forcément ça ». Les rapports entre les enfants et les parents sont aussi mis en cause : l’amour des parents est en effet « petit et égoïste » s’il ne franchit pas la porte de la famille. Les enfants sont souvent considérés comme « une propriété privée » des parents et </w:t>
      </w:r>
      <w:r w:rsidRPr="001125D4">
        <w:rPr>
          <w:i/>
        </w:rPr>
        <w:t>vice versa</w:t>
      </w:r>
      <w:r w:rsidRPr="004B2498">
        <w:t>.</w:t>
      </w:r>
      <w:r w:rsidRPr="004B2498">
        <w:rPr>
          <w:lang w:eastAsia="fr-FR" w:bidi="fr-FR"/>
        </w:rPr>
        <w:t xml:space="preserve"> Les changements de situation amoureuse des parents sont ainsi bl</w:t>
      </w:r>
      <w:r w:rsidRPr="004B2498">
        <w:rPr>
          <w:lang w:eastAsia="fr-FR" w:bidi="fr-FR"/>
        </w:rPr>
        <w:t>o</w:t>
      </w:r>
      <w:r w:rsidRPr="004B2498">
        <w:rPr>
          <w:lang w:eastAsia="fr-FR" w:bidi="fr-FR"/>
        </w:rPr>
        <w:t>qués par les enfants qui considèrent le mariage du troisième âge comme quelque chose de « pas bien » et se posent la question : « comment vont-ils s’occuper des petits-enfants s’ils (les</w:t>
      </w:r>
      <w:r>
        <w:t xml:space="preserve"> </w:t>
      </w:r>
      <w:r w:rsidRPr="004B2498">
        <w:t>[193]</w:t>
      </w:r>
      <w:r>
        <w:t xml:space="preserve"> </w:t>
      </w:r>
      <w:r w:rsidRPr="004B2498">
        <w:rPr>
          <w:lang w:eastAsia="fr-FR" w:bidi="fr-FR"/>
        </w:rPr>
        <w:t>p</w:t>
      </w:r>
      <w:r w:rsidRPr="004B2498">
        <w:rPr>
          <w:lang w:eastAsia="fr-FR" w:bidi="fr-FR"/>
        </w:rPr>
        <w:t>a</w:t>
      </w:r>
      <w:r w:rsidRPr="004B2498">
        <w:rPr>
          <w:lang w:eastAsia="fr-FR" w:bidi="fr-FR"/>
        </w:rPr>
        <w:t>rents) sont remariés » ? Cette idée de « propriété privée</w:t>
      </w:r>
      <w:r>
        <w:rPr>
          <w:lang w:eastAsia="fr-FR" w:bidi="fr-FR"/>
        </w:rPr>
        <w:t> </w:t>
      </w:r>
      <w:r>
        <w:rPr>
          <w:rStyle w:val="Appelnotedebasdep"/>
          <w:lang w:eastAsia="fr-FR" w:bidi="fr-FR"/>
        </w:rPr>
        <w:footnoteReference w:id="164"/>
      </w:r>
      <w:r w:rsidRPr="004B2498">
        <w:rPr>
          <w:lang w:eastAsia="fr-FR" w:bidi="fr-FR"/>
        </w:rPr>
        <w:t> » fon</w:t>
      </w:r>
      <w:r w:rsidRPr="004B2498">
        <w:rPr>
          <w:lang w:eastAsia="fr-FR" w:bidi="fr-FR"/>
        </w:rPr>
        <w:t>c</w:t>
      </w:r>
      <w:r w:rsidRPr="004B2498">
        <w:rPr>
          <w:lang w:eastAsia="fr-FR" w:bidi="fr-FR"/>
        </w:rPr>
        <w:t>tionne dans les deux sens. Ces réflexions lui ont été inspirées, précise-t-il, par sa « sexualité » qui le pousse à réfléchir à la place des autres, par exemple les gens qui vivent à la campagne et sont contre le mari</w:t>
      </w:r>
      <w:r w:rsidRPr="004B2498">
        <w:rPr>
          <w:lang w:eastAsia="fr-FR" w:bidi="fr-FR"/>
        </w:rPr>
        <w:t>a</w:t>
      </w:r>
      <w:r w:rsidRPr="004B2498">
        <w:rPr>
          <w:lang w:eastAsia="fr-FR" w:bidi="fr-FR"/>
        </w:rPr>
        <w:t xml:space="preserve">ge quand on est « vieux ». </w:t>
      </w:r>
      <w:r w:rsidRPr="001125D4">
        <w:rPr>
          <w:i/>
        </w:rPr>
        <w:t>A contrario</w:t>
      </w:r>
      <w:r w:rsidRPr="004B2498">
        <w:rPr>
          <w:lang w:eastAsia="fr-FR" w:bidi="fr-FR"/>
        </w:rPr>
        <w:t>, il est content que, suite au d</w:t>
      </w:r>
      <w:r w:rsidRPr="004B2498">
        <w:rPr>
          <w:lang w:eastAsia="fr-FR" w:bidi="fr-FR"/>
        </w:rPr>
        <w:t>é</w:t>
      </w:r>
      <w:r w:rsidRPr="004B2498">
        <w:rPr>
          <w:lang w:eastAsia="fr-FR" w:bidi="fr-FR"/>
        </w:rPr>
        <w:t>cès de sa mère, son père ait trouvé une compagne à son âge. S</w:t>
      </w:r>
      <w:r w:rsidRPr="004B2498">
        <w:rPr>
          <w:lang w:eastAsia="fr-FR" w:bidi="fr-FR"/>
        </w:rPr>
        <w:t>e</w:t>
      </w:r>
      <w:r w:rsidRPr="004B2498">
        <w:rPr>
          <w:lang w:eastAsia="fr-FR" w:bidi="fr-FR"/>
        </w:rPr>
        <w:t>lon lui, l’accord des parents sur la relation amoureuse des enfants ne relève pas de la sexualité, mais d’un « problème de communication entre eux et du manque de confiance de l’un envers l’autre ». En r</w:t>
      </w:r>
      <w:r w:rsidRPr="004B2498">
        <w:rPr>
          <w:lang w:eastAsia="fr-FR" w:bidi="fr-FR"/>
        </w:rPr>
        <w:t>é</w:t>
      </w:r>
      <w:r w:rsidRPr="004B2498">
        <w:rPr>
          <w:lang w:eastAsia="fr-FR" w:bidi="fr-FR"/>
        </w:rPr>
        <w:t>solvant ce rapport social avec sa sœur et son père, qui s’inquiète to</w:t>
      </w:r>
      <w:r w:rsidRPr="004B2498">
        <w:rPr>
          <w:lang w:eastAsia="fr-FR" w:bidi="fr-FR"/>
        </w:rPr>
        <w:t>u</w:t>
      </w:r>
      <w:r w:rsidRPr="004B2498">
        <w:rPr>
          <w:lang w:eastAsia="fr-FR" w:bidi="fr-FR"/>
        </w:rPr>
        <w:t>jours de sa vie quand il sera vieux, il a réussi sa « sortie du placard ». Sa vie « indépendante et heureuse » a mis fin au débat quant à son mariage. La reconnaissance de la presse et de la télévision lui a attr</w:t>
      </w:r>
      <w:r w:rsidRPr="004B2498">
        <w:rPr>
          <w:lang w:eastAsia="fr-FR" w:bidi="fr-FR"/>
        </w:rPr>
        <w:t>i</w:t>
      </w:r>
      <w:r w:rsidRPr="004B2498">
        <w:rPr>
          <w:lang w:eastAsia="fr-FR" w:bidi="fr-FR"/>
        </w:rPr>
        <w:t>bué un rôle nouveau.</w:t>
      </w:r>
    </w:p>
    <w:p w14:paraId="4501EF17" w14:textId="77777777" w:rsidR="002F4063" w:rsidRPr="004B2498" w:rsidRDefault="002F4063" w:rsidP="002F4063">
      <w:pPr>
        <w:spacing w:before="120" w:after="120"/>
        <w:jc w:val="both"/>
      </w:pPr>
      <w:r w:rsidRPr="004B2498">
        <w:rPr>
          <w:lang w:eastAsia="fr-FR" w:bidi="fr-FR"/>
        </w:rPr>
        <w:t xml:space="preserve">Porteur d’un discours sur la société civile et la liberté d’expression, il a créé en avril 2009 son site </w:t>
      </w:r>
      <w:r w:rsidRPr="001125D4">
        <w:rPr>
          <w:i/>
        </w:rPr>
        <w:t>SNS</w:t>
      </w:r>
      <w:r w:rsidRPr="004B2498">
        <w:rPr>
          <w:lang w:eastAsia="fr-FR" w:bidi="fr-FR"/>
        </w:rPr>
        <w:t xml:space="preserve"> dont le système de </w:t>
      </w:r>
      <w:r w:rsidRPr="001125D4">
        <w:rPr>
          <w:i/>
        </w:rPr>
        <w:t>login in</w:t>
      </w:r>
      <w:r w:rsidRPr="004B2498">
        <w:rPr>
          <w:lang w:eastAsia="fr-FR" w:bidi="fr-FR"/>
        </w:rPr>
        <w:t xml:space="preserve"> exige l’identité réelle des utilisateurs. Ce site, qui a été ouvert suite au su</w:t>
      </w:r>
      <w:r w:rsidRPr="004B2498">
        <w:rPr>
          <w:lang w:eastAsia="fr-FR" w:bidi="fr-FR"/>
        </w:rPr>
        <w:t>c</w:t>
      </w:r>
      <w:r w:rsidRPr="004B2498">
        <w:rPr>
          <w:lang w:eastAsia="fr-FR" w:bidi="fr-FR"/>
        </w:rPr>
        <w:t>cès de son blog personnel, créé en 2005, est déjà très fréquenté - « un des trois premiers blogs les plus visités dans leur cercle » — par les internautes avant le blog de Madame Shang. L’idée que « cette mère est courageuse et magnifique [...] il faut qu’elle fasse quelque chose » les a amenés bien plus loin qu’à un blog de « mère vedette » sur la Toile. Avec plus de dix ans d’expérience d’internaute, Junwei peut témoigner des évolutions d’Internet en Chine : depuis l’époque où ses frais d’accès à Internet lui coûtaient 750 yuans par mois, avec un fa</w:t>
      </w:r>
      <w:r w:rsidRPr="004B2498">
        <w:rPr>
          <w:lang w:eastAsia="fr-FR" w:bidi="fr-FR"/>
        </w:rPr>
        <w:t>i</w:t>
      </w:r>
      <w:r w:rsidRPr="004B2498">
        <w:rPr>
          <w:lang w:eastAsia="fr-FR" w:bidi="fr-FR"/>
        </w:rPr>
        <w:t>ble débit, jusqu’à l’époque d’accès à la fibre optique pour moins de la moitié du prix mentionné. Il a été impressionné par le « recul » d’Internet en Chine à partir de la seconde moitié de l’année 2009 après la création de son site, qui lui coûte 130 000 yuans par an. La création de ce nouveau site témoigne de la réduction de l’espace de liberté d’expression sur la Toile et de la montée des obstacles pour créer un site privé. L’enregistrement de son site lui a d’abord été ref</w:t>
      </w:r>
      <w:r w:rsidRPr="004B2498">
        <w:rPr>
          <w:lang w:eastAsia="fr-FR" w:bidi="fr-FR"/>
        </w:rPr>
        <w:t>u</w:t>
      </w:r>
      <w:r w:rsidRPr="004B2498">
        <w:rPr>
          <w:lang w:eastAsia="fr-FR" w:bidi="fr-FR"/>
        </w:rPr>
        <w:t>sé par le bureau de gestion des sites, simplement parce qu’il est « homosexuel ». Cette identité est tellement « sensible » que l’autorité « n’allumait le feu vert » qu’à condition que Junwei bloque, sur son futur site, la possibilité pour les internautes de laisser un commentaire à la fin d’un article, en ajoutant : « Le miniblog </w:t>
      </w:r>
      <w:r>
        <w:rPr>
          <w:rStyle w:val="Appelnotedebasdep"/>
          <w:lang w:eastAsia="fr-FR" w:bidi="fr-FR"/>
        </w:rPr>
        <w:footnoteReference w:id="165"/>
      </w:r>
      <w:r w:rsidRPr="004B2498">
        <w:rPr>
          <w:lang w:eastAsia="fr-FR" w:bidi="fr-FR"/>
        </w:rPr>
        <w:t xml:space="preserve"> des hom</w:t>
      </w:r>
      <w:r w:rsidRPr="004B2498">
        <w:rPr>
          <w:lang w:eastAsia="fr-FR" w:bidi="fr-FR"/>
        </w:rPr>
        <w:t>o</w:t>
      </w:r>
      <w:r w:rsidRPr="004B2498">
        <w:rPr>
          <w:lang w:eastAsia="fr-FR" w:bidi="fr-FR"/>
        </w:rPr>
        <w:t>sexuels ? Non ! » Selon lui, la raison pour laquelle le contrôle sur</w:t>
      </w:r>
      <w:r>
        <w:t xml:space="preserve"> </w:t>
      </w:r>
      <w:r w:rsidRPr="004B2498">
        <w:t>[194]</w:t>
      </w:r>
      <w:r>
        <w:t xml:space="preserve"> </w:t>
      </w:r>
      <w:r w:rsidRPr="004B2498">
        <w:rPr>
          <w:lang w:eastAsia="fr-FR" w:bidi="fr-FR"/>
        </w:rPr>
        <w:t>Internet en Chine devient de plus en plus sévère, pour les initi</w:t>
      </w:r>
      <w:r w:rsidRPr="004B2498">
        <w:rPr>
          <w:lang w:eastAsia="fr-FR" w:bidi="fr-FR"/>
        </w:rPr>
        <w:t>a</w:t>
      </w:r>
      <w:r w:rsidRPr="004B2498">
        <w:rPr>
          <w:lang w:eastAsia="fr-FR" w:bidi="fr-FR"/>
        </w:rPr>
        <w:t>teurs privés des sites, c’est que les « capitaux de pouvoir et de pui</w:t>
      </w:r>
      <w:r w:rsidRPr="004B2498">
        <w:rPr>
          <w:lang w:eastAsia="fr-FR" w:bidi="fr-FR"/>
        </w:rPr>
        <w:t>s</w:t>
      </w:r>
      <w:r w:rsidRPr="004B2498">
        <w:rPr>
          <w:lang w:eastAsia="fr-FR" w:bidi="fr-FR"/>
        </w:rPr>
        <w:t>sance </w:t>
      </w:r>
      <w:r>
        <w:rPr>
          <w:rStyle w:val="Appelnotedebasdep"/>
          <w:lang w:eastAsia="fr-FR" w:bidi="fr-FR"/>
        </w:rPr>
        <w:footnoteReference w:id="166"/>
      </w:r>
      <w:r w:rsidRPr="004B2498">
        <w:rPr>
          <w:lang w:eastAsia="fr-FR" w:bidi="fr-FR"/>
        </w:rPr>
        <w:t xml:space="preserve"> » entrent sur le marché d’Internet à cause de sa rentabilité énorme </w:t>
      </w:r>
      <w:r>
        <w:rPr>
          <w:rStyle w:val="Appelnotedebasdep"/>
          <w:lang w:eastAsia="fr-FR" w:bidi="fr-FR"/>
        </w:rPr>
        <w:footnoteReference w:id="167"/>
      </w:r>
      <w:r w:rsidRPr="004B2498">
        <w:rPr>
          <w:lang w:eastAsia="fr-FR" w:bidi="fr-FR"/>
        </w:rPr>
        <w:t>.</w:t>
      </w:r>
    </w:p>
    <w:p w14:paraId="763E2C87" w14:textId="77777777" w:rsidR="002F4063" w:rsidRPr="004B2498" w:rsidRDefault="002F4063" w:rsidP="002F4063">
      <w:pPr>
        <w:spacing w:before="120" w:after="120"/>
        <w:jc w:val="both"/>
      </w:pPr>
      <w:r w:rsidRPr="004B2498">
        <w:rPr>
          <w:lang w:eastAsia="fr-FR" w:bidi="fr-FR"/>
        </w:rPr>
        <w:t>Face à la prise en main d’Internet par « un gouvernement de ge</w:t>
      </w:r>
      <w:r w:rsidRPr="004B2498">
        <w:rPr>
          <w:lang w:eastAsia="fr-FR" w:bidi="fr-FR"/>
        </w:rPr>
        <w:t>s</w:t>
      </w:r>
      <w:r w:rsidRPr="004B2498">
        <w:rPr>
          <w:lang w:eastAsia="fr-FR" w:bidi="fr-FR"/>
        </w:rPr>
        <w:t>tion et de contrôle », qui, au lieu de laisser Internet « servir le pe</w:t>
      </w:r>
      <w:r w:rsidRPr="004B2498">
        <w:rPr>
          <w:lang w:eastAsia="fr-FR" w:bidi="fr-FR"/>
        </w:rPr>
        <w:t>u</w:t>
      </w:r>
      <w:r w:rsidRPr="004B2498">
        <w:rPr>
          <w:lang w:eastAsia="fr-FR" w:bidi="fr-FR"/>
        </w:rPr>
        <w:t>ple », met en place une gouvernance de type capitaliste reposant sur le pouvoir du Parti et la croissance économique, Junwei conteste la fon</w:t>
      </w:r>
      <w:r w:rsidRPr="004B2498">
        <w:rPr>
          <w:lang w:eastAsia="fr-FR" w:bidi="fr-FR"/>
        </w:rPr>
        <w:t>c</w:t>
      </w:r>
      <w:r w:rsidRPr="004B2498">
        <w:rPr>
          <w:lang w:eastAsia="fr-FR" w:bidi="fr-FR"/>
        </w:rPr>
        <w:t>tion de ce gouvernement qui n’est pas au service du peuple, il critique le contrôle exercé sur la circulation des informations et insiste sur la nécessité du développement d’une société civile. Par manque d’un « sentiment de sécurité », le gouvernement filtre les informations et impose son discours de « </w:t>
      </w:r>
      <w:r w:rsidRPr="001125D4">
        <w:rPr>
          <w:i/>
        </w:rPr>
        <w:t>marketing</w:t>
      </w:r>
      <w:r w:rsidRPr="004B2498">
        <w:rPr>
          <w:lang w:eastAsia="fr-FR" w:bidi="fr-FR"/>
        </w:rPr>
        <w:t xml:space="preserve"> de la réputation </w:t>
      </w:r>
      <w:r>
        <w:rPr>
          <w:rStyle w:val="Appelnotedebasdep"/>
          <w:lang w:eastAsia="fr-FR" w:bidi="fr-FR"/>
        </w:rPr>
        <w:footnoteReference w:id="168"/>
      </w:r>
      <w:r w:rsidRPr="004B2498">
        <w:rPr>
          <w:lang w:eastAsia="fr-FR" w:bidi="fr-FR"/>
        </w:rPr>
        <w:t> » aux frais du peuple. Junwei résume l’idée en prononçant le nom du parti des ci</w:t>
      </w:r>
      <w:r w:rsidRPr="004B2498">
        <w:rPr>
          <w:lang w:eastAsia="fr-FR" w:bidi="fr-FR"/>
        </w:rPr>
        <w:t>n</w:t>
      </w:r>
      <w:r w:rsidRPr="004B2498">
        <w:rPr>
          <w:lang w:eastAsia="fr-FR" w:bidi="fr-FR"/>
        </w:rPr>
        <w:t>quante centimes</w:t>
      </w:r>
      <w:r>
        <w:rPr>
          <w:lang w:eastAsia="fr-FR" w:bidi="fr-FR"/>
        </w:rPr>
        <w:t> </w:t>
      </w:r>
      <w:r>
        <w:rPr>
          <w:rStyle w:val="Appelnotedebasdep"/>
          <w:lang w:eastAsia="fr-FR" w:bidi="fr-FR"/>
        </w:rPr>
        <w:footnoteReference w:id="169"/>
      </w:r>
      <w:r w:rsidRPr="004B2498">
        <w:rPr>
          <w:lang w:eastAsia="fr-FR" w:bidi="fr-FR"/>
        </w:rPr>
        <w:t xml:space="preserve"> </w:t>
      </w:r>
      <w:r w:rsidRPr="004B2498">
        <w:t>(</w:t>
      </w:r>
      <w:r w:rsidRPr="001125D4">
        <w:rPr>
          <w:i/>
        </w:rPr>
        <w:t>wu mao dang</w:t>
      </w:r>
      <w:r w:rsidRPr="004B2498">
        <w:t>)</w:t>
      </w:r>
      <w:r w:rsidRPr="004B2498">
        <w:rPr>
          <w:lang w:eastAsia="fr-FR" w:bidi="fr-FR"/>
        </w:rPr>
        <w:t xml:space="preserve"> internautes recrutés par les autor</w:t>
      </w:r>
      <w:r w:rsidRPr="004B2498">
        <w:rPr>
          <w:lang w:eastAsia="fr-FR" w:bidi="fr-FR"/>
        </w:rPr>
        <w:t>i</w:t>
      </w:r>
      <w:r w:rsidRPr="004B2498">
        <w:rPr>
          <w:lang w:eastAsia="fr-FR" w:bidi="fr-FR"/>
        </w:rPr>
        <w:t>tés, les établissements ou les entreprises pour promouvoir la réput</w:t>
      </w:r>
      <w:r w:rsidRPr="004B2498">
        <w:rPr>
          <w:lang w:eastAsia="fr-FR" w:bidi="fr-FR"/>
        </w:rPr>
        <w:t>a</w:t>
      </w:r>
      <w:r w:rsidRPr="004B2498">
        <w:rPr>
          <w:lang w:eastAsia="fr-FR" w:bidi="fr-FR"/>
        </w:rPr>
        <w:t>tion de ces employeurs ou compromettre celle des concurrents. Selon lui, to</w:t>
      </w:r>
      <w:r w:rsidRPr="004B2498">
        <w:rPr>
          <w:lang w:eastAsia="fr-FR" w:bidi="fr-FR"/>
        </w:rPr>
        <w:t>u</w:t>
      </w:r>
      <w:r w:rsidRPr="004B2498">
        <w:rPr>
          <w:lang w:eastAsia="fr-FR" w:bidi="fr-FR"/>
        </w:rPr>
        <w:t>tes les politiques actuelles concernant Internet sont issues d’idées vendues par des « gens puissants et au pouvoir ». La dispar</w:t>
      </w:r>
      <w:r w:rsidRPr="004B2498">
        <w:rPr>
          <w:lang w:eastAsia="fr-FR" w:bidi="fr-FR"/>
        </w:rPr>
        <w:t>i</w:t>
      </w:r>
      <w:r w:rsidRPr="004B2498">
        <w:rPr>
          <w:lang w:eastAsia="fr-FR" w:bidi="fr-FR"/>
        </w:rPr>
        <w:t>tion de la « diversité sociale » sur Internet est pour lui un des signes du « recul d’Internet » — « Internet s’éloigne du peuple (de plus en plus difficile de mettre en ligne son propre site) » ; dépourvu de vital</w:t>
      </w:r>
      <w:r w:rsidRPr="004B2498">
        <w:rPr>
          <w:lang w:eastAsia="fr-FR" w:bidi="fr-FR"/>
        </w:rPr>
        <w:t>i</w:t>
      </w:r>
      <w:r w:rsidRPr="004B2498">
        <w:rPr>
          <w:lang w:eastAsia="fr-FR" w:bidi="fr-FR"/>
        </w:rPr>
        <w:t>té et de créativité, il ne produit plus que des copies d’idées empru</w:t>
      </w:r>
      <w:r w:rsidRPr="004B2498">
        <w:rPr>
          <w:lang w:eastAsia="fr-FR" w:bidi="fr-FR"/>
        </w:rPr>
        <w:t>n</w:t>
      </w:r>
      <w:r w:rsidRPr="004B2498">
        <w:rPr>
          <w:lang w:eastAsia="fr-FR" w:bidi="fr-FR"/>
        </w:rPr>
        <w:t xml:space="preserve">tées aux pays étrangers. Un autre signe est le recul de la liberté d’expression sur la Toile. La campagne de </w:t>
      </w:r>
      <w:r w:rsidRPr="001125D4">
        <w:rPr>
          <w:i/>
        </w:rPr>
        <w:t>sao huang da fei</w:t>
      </w:r>
      <w:r w:rsidRPr="004B2498">
        <w:rPr>
          <w:lang w:eastAsia="fr-FR" w:bidi="fr-FR"/>
        </w:rPr>
        <w:t xml:space="preserve"> (balayer l’obscénité et lutter contre l’inégalité </w:t>
      </w:r>
      <w:r>
        <w:rPr>
          <w:rStyle w:val="Appelnotedebasdep"/>
          <w:lang w:eastAsia="fr-FR" w:bidi="fr-FR"/>
        </w:rPr>
        <w:footnoteReference w:id="170"/>
      </w:r>
      <w:r w:rsidRPr="004B2498">
        <w:rPr>
          <w:lang w:eastAsia="fr-FR" w:bidi="fr-FR"/>
        </w:rPr>
        <w:t>) a en réalité « pour objectif de lutter contre ce qui n’est pas correct politiquement sous prétexte d’obscénité ». Le mot « peuple » est un « mot/concept vide et faux » parce que « si l’autorité</w:t>
      </w:r>
      <w:r>
        <w:t xml:space="preserve"> </w:t>
      </w:r>
      <w:r w:rsidRPr="004B2498">
        <w:t>[195]</w:t>
      </w:r>
      <w:r>
        <w:t xml:space="preserve"> </w:t>
      </w:r>
      <w:r w:rsidRPr="004B2498">
        <w:rPr>
          <w:lang w:eastAsia="fr-FR" w:bidi="fr-FR"/>
        </w:rPr>
        <w:t>dit que tu es le peuple, tu l’es ; si le Pa</w:t>
      </w:r>
      <w:r w:rsidRPr="004B2498">
        <w:rPr>
          <w:lang w:eastAsia="fr-FR" w:bidi="fr-FR"/>
        </w:rPr>
        <w:t>r</w:t>
      </w:r>
      <w:r w:rsidRPr="004B2498">
        <w:rPr>
          <w:lang w:eastAsia="fr-FR" w:bidi="fr-FR"/>
        </w:rPr>
        <w:t>ti dit que tu ne l’es pas, tu ne l’es pas », explique-t-il. Tout en gardant l’espoir qu’Internet finira quand même par contribuer au développ</w:t>
      </w:r>
      <w:r w:rsidRPr="004B2498">
        <w:rPr>
          <w:lang w:eastAsia="fr-FR" w:bidi="fr-FR"/>
        </w:rPr>
        <w:t>e</w:t>
      </w:r>
      <w:r w:rsidRPr="004B2498">
        <w:rPr>
          <w:lang w:eastAsia="fr-FR" w:bidi="fr-FR"/>
        </w:rPr>
        <w:t>ment de la société civile, Junwei est bien conscient que le contrôle sur les organismes ou les organisations de la société civile est appliqué non seulement dans la vie « réelle » mais aussi sur Internet.</w:t>
      </w:r>
    </w:p>
    <w:p w14:paraId="4A3F3BD1" w14:textId="77777777" w:rsidR="002F4063" w:rsidRPr="004B2498" w:rsidRDefault="002F4063" w:rsidP="002F4063">
      <w:pPr>
        <w:spacing w:before="120" w:after="120"/>
        <w:jc w:val="both"/>
      </w:pPr>
      <w:r w:rsidRPr="004B2498">
        <w:rPr>
          <w:lang w:eastAsia="fr-FR" w:bidi="fr-FR"/>
        </w:rPr>
        <w:t>Internaute en Chine depuis dix ans, ce fils cadet </w:t>
      </w:r>
      <w:r>
        <w:rPr>
          <w:rStyle w:val="Appelnotedebasdep"/>
          <w:lang w:eastAsia="fr-FR" w:bidi="fr-FR"/>
        </w:rPr>
        <w:footnoteReference w:id="171"/>
      </w:r>
      <w:r w:rsidRPr="004B2498">
        <w:rPr>
          <w:lang w:eastAsia="fr-FR" w:bidi="fr-FR"/>
        </w:rPr>
        <w:t xml:space="preserve"> nous ramène au sujet incontournable de la censure en se référant au fait que certains sites, populaires dans le monde entier, sont censurés en Chine, tels </w:t>
      </w:r>
      <w:r w:rsidRPr="003C1FB0">
        <w:rPr>
          <w:i/>
        </w:rPr>
        <w:t>Google</w:t>
      </w:r>
      <w:r w:rsidRPr="003C1FB0">
        <w:rPr>
          <w:i/>
          <w:lang w:eastAsia="fr-FR" w:bidi="fr-FR"/>
        </w:rPr>
        <w:t xml:space="preserve">, </w:t>
      </w:r>
      <w:r w:rsidRPr="003C1FB0">
        <w:rPr>
          <w:i/>
        </w:rPr>
        <w:t>Twitter, Youtube, Facebook</w:t>
      </w:r>
      <w:r w:rsidRPr="004B2498">
        <w:rPr>
          <w:lang w:eastAsia="fr-FR" w:bidi="fr-FR"/>
        </w:rPr>
        <w:t>, etc. Le filtrage à différents n</w:t>
      </w:r>
      <w:r w:rsidRPr="004B2498">
        <w:rPr>
          <w:lang w:eastAsia="fr-FR" w:bidi="fr-FR"/>
        </w:rPr>
        <w:t>i</w:t>
      </w:r>
      <w:r w:rsidRPr="004B2498">
        <w:rPr>
          <w:lang w:eastAsia="fr-FR" w:bidi="fr-FR"/>
        </w:rPr>
        <w:t>veaux a, selon lui, fait perdre au peuple la capacité de « réfléchir en toute indépendance : c’est comme à l’université, c’est horrible ». Le fait que beaucoup de gens ne réfléchissent pas et ne se forgent pas une opinion propre lui fait penser à la possibilité d’un retour à la révol</w:t>
      </w:r>
      <w:r w:rsidRPr="004B2498">
        <w:rPr>
          <w:lang w:eastAsia="fr-FR" w:bidi="fr-FR"/>
        </w:rPr>
        <w:t>u</w:t>
      </w:r>
      <w:r w:rsidRPr="004B2498">
        <w:rPr>
          <w:lang w:eastAsia="fr-FR" w:bidi="fr-FR"/>
        </w:rPr>
        <w:t>tion culturelle. Faute d’une capacité de réflexion indépendante, selon lui, l’émotion nationaliste dans la population est prête à tout moment à se revitaliser pour n’importe quelle cause et à n’importe quel prix. Dans beaucoup de cas, la discussion sur Internet de différentes affa</w:t>
      </w:r>
      <w:r w:rsidRPr="004B2498">
        <w:rPr>
          <w:lang w:eastAsia="fr-FR" w:bidi="fr-FR"/>
        </w:rPr>
        <w:t>i</w:t>
      </w:r>
      <w:r w:rsidRPr="004B2498">
        <w:rPr>
          <w:lang w:eastAsia="fr-FR" w:bidi="fr-FR"/>
        </w:rPr>
        <w:t>res d’actualité a tendance à simplifier les conflits et à se retourner contre un seul individu ou une seule entreprise comme bouc émissa</w:t>
      </w:r>
      <w:r w:rsidRPr="004B2498">
        <w:rPr>
          <w:lang w:eastAsia="fr-FR" w:bidi="fr-FR"/>
        </w:rPr>
        <w:t>i</w:t>
      </w:r>
      <w:r w:rsidRPr="004B2498">
        <w:rPr>
          <w:lang w:eastAsia="fr-FR" w:bidi="fr-FR"/>
        </w:rPr>
        <w:t>re. Pour Junwei c’est loin d’être une solution mais constitue un pr</w:t>
      </w:r>
      <w:r w:rsidRPr="004B2498">
        <w:rPr>
          <w:lang w:eastAsia="fr-FR" w:bidi="fr-FR"/>
        </w:rPr>
        <w:t>o</w:t>
      </w:r>
      <w:r w:rsidRPr="004B2498">
        <w:rPr>
          <w:lang w:eastAsia="fr-FR" w:bidi="fr-FR"/>
        </w:rPr>
        <w:t>blème dangereux pour la société, et à son avis, il vaudrait mieux réfl</w:t>
      </w:r>
      <w:r w:rsidRPr="004B2498">
        <w:rPr>
          <w:lang w:eastAsia="fr-FR" w:bidi="fr-FR"/>
        </w:rPr>
        <w:t>é</w:t>
      </w:r>
      <w:r w:rsidRPr="004B2498">
        <w:rPr>
          <w:lang w:eastAsia="fr-FR" w:bidi="fr-FR"/>
        </w:rPr>
        <w:t>chir sur les causes des problèmes sociaux et politiques.</w:t>
      </w:r>
    </w:p>
    <w:p w14:paraId="76E695AB" w14:textId="77777777" w:rsidR="002F4063" w:rsidRPr="004B2498" w:rsidRDefault="002F4063" w:rsidP="002F4063">
      <w:pPr>
        <w:spacing w:before="120" w:after="120"/>
        <w:jc w:val="both"/>
      </w:pPr>
      <w:r w:rsidRPr="004B2498">
        <w:rPr>
          <w:lang w:eastAsia="fr-FR" w:bidi="fr-FR"/>
        </w:rPr>
        <w:t>Le contraste entre la « grande voix » des homosexuels sur Internet et « pas de voix » dans la vie « réelle » révèle le refoulement de ce groupe discriminé et marginalisé dans la société. Les normes et le pouvoir politique réduisent au maximum le canal de la voix publique, en particulier celui des homosexuels. En même temps, dans un monde dit « virtuel » bien des gens de pratique sexuelle minoritaire ont réussi à construire leur vie et leur identité individuelle et collective en tant qu’« homosexuels ». L’homosexualité n’est pas illégale en Chine mais elle a été considérée officiellement comme un « désordre psychiatr</w:t>
      </w:r>
      <w:r w:rsidRPr="004B2498">
        <w:rPr>
          <w:lang w:eastAsia="fr-FR" w:bidi="fr-FR"/>
        </w:rPr>
        <w:t>i</w:t>
      </w:r>
      <w:r w:rsidRPr="004B2498">
        <w:rPr>
          <w:lang w:eastAsia="fr-FR" w:bidi="fr-FR"/>
        </w:rPr>
        <w:t>que » jusqu’au 21 avril 2001. Souvent le sujet de l’homosexualité est non seulement tabou mais aussi diabolisé dans la presse dominante. Cette situation incite Junwei à se faire entendre et à se justifier sur I</w:t>
      </w:r>
      <w:r w:rsidRPr="004B2498">
        <w:rPr>
          <w:lang w:eastAsia="fr-FR" w:bidi="fr-FR"/>
        </w:rPr>
        <w:t>n</w:t>
      </w:r>
      <w:r w:rsidRPr="004B2498">
        <w:rPr>
          <w:lang w:eastAsia="fr-FR" w:bidi="fr-FR"/>
        </w:rPr>
        <w:t>ternet, car, dit-il, dans la presse traditionnelle, y compris au début de l’usage d’Internet où une communication interactive n’était pas poss</w:t>
      </w:r>
      <w:r w:rsidRPr="004B2498">
        <w:rPr>
          <w:lang w:eastAsia="fr-FR" w:bidi="fr-FR"/>
        </w:rPr>
        <w:t>i</w:t>
      </w:r>
      <w:r w:rsidRPr="004B2498">
        <w:rPr>
          <w:lang w:eastAsia="fr-FR" w:bidi="fr-FR"/>
        </w:rPr>
        <w:t>ble, « on n’avait à lire que ce que ce qu’on avait écrit </w:t>
      </w:r>
      <w:r>
        <w:rPr>
          <w:rStyle w:val="Appelnotedebasdep"/>
          <w:lang w:eastAsia="fr-FR" w:bidi="fr-FR"/>
        </w:rPr>
        <w:footnoteReference w:id="172"/>
      </w:r>
      <w:r w:rsidRPr="004B2498">
        <w:rPr>
          <w:lang w:eastAsia="fr-FR" w:bidi="fr-FR"/>
        </w:rPr>
        <w:t> ». Le sent</w:t>
      </w:r>
      <w:r w:rsidRPr="004B2498">
        <w:rPr>
          <w:lang w:eastAsia="fr-FR" w:bidi="fr-FR"/>
        </w:rPr>
        <w:t>i</w:t>
      </w:r>
      <w:r w:rsidRPr="004B2498">
        <w:rPr>
          <w:lang w:eastAsia="fr-FR" w:bidi="fr-FR"/>
        </w:rPr>
        <w:t>ment de solitude, d’isolement et de confusion sur la sexualité que Junwei ressentait avant de trouver sa communauté sur la Toile n’est pas un</w:t>
      </w:r>
      <w:r>
        <w:t xml:space="preserve"> </w:t>
      </w:r>
      <w:r w:rsidRPr="004B2498">
        <w:t>[196]</w:t>
      </w:r>
      <w:r>
        <w:t xml:space="preserve"> </w:t>
      </w:r>
      <w:r w:rsidRPr="004B2498">
        <w:rPr>
          <w:lang w:eastAsia="fr-FR" w:bidi="fr-FR"/>
        </w:rPr>
        <w:t>cas particulier. C’est un sentiment très partagé par les autres pe</w:t>
      </w:r>
      <w:r w:rsidRPr="004B2498">
        <w:rPr>
          <w:lang w:eastAsia="fr-FR" w:bidi="fr-FR"/>
        </w:rPr>
        <w:t>r</w:t>
      </w:r>
      <w:r w:rsidRPr="004B2498">
        <w:rPr>
          <w:lang w:eastAsia="fr-FR" w:bidi="fr-FR"/>
        </w:rPr>
        <w:t>sonnes rencontrées dans l’association de Madame Shang.</w:t>
      </w:r>
    </w:p>
    <w:p w14:paraId="0708ABAC" w14:textId="77777777" w:rsidR="002F4063" w:rsidRPr="004B2498" w:rsidRDefault="002F4063" w:rsidP="002F4063">
      <w:pPr>
        <w:spacing w:before="120" w:after="120"/>
        <w:jc w:val="both"/>
      </w:pPr>
      <w:r w:rsidRPr="004B2498">
        <w:rPr>
          <w:lang w:eastAsia="fr-FR" w:bidi="fr-FR"/>
        </w:rPr>
        <w:t>Au début de ses expériences sur Internet, Junwei était satisfait de son site, son premier site, où il a trouvé des informations sur l’homosexualité et rencontré les premiers amis de leur cercle. Il ne connaissait pas « la grandeur de ce monde » pendant cette période qu’il appelle le « printemps d’Internet ». C’est une période où les s</w:t>
      </w:r>
      <w:r w:rsidRPr="004B2498">
        <w:rPr>
          <w:lang w:eastAsia="fr-FR" w:bidi="fr-FR"/>
        </w:rPr>
        <w:t>i</w:t>
      </w:r>
      <w:r w:rsidRPr="004B2498">
        <w:rPr>
          <w:lang w:eastAsia="fr-FR" w:bidi="fr-FR"/>
        </w:rPr>
        <w:t>tes, comme « les moutons lâchés dans la prairie », ont connu sur tous les sujets la prospérité et un développement rapide. De 1999 à 2003, c’est l’ère de la « révolution d’Internet » et Junwei passe d’internaute passif, lecteur, qui « avalait tout ce qu’on lui donnait », à quelqu’un qui n’hésite pas à tout contester. Par exemple : sa position militante de leader activiste dans la lutte qu’il a menée durant sept ans pour les droits des propriétaires dans le quartier où il habite  ; l’affiche en bas de chez lui qui manifeste le désaccord des propriétaires à la fermeture de la salle conviviale destinée aux activités vient de son idée. Il affi</w:t>
      </w:r>
      <w:r w:rsidRPr="004B2498">
        <w:rPr>
          <w:lang w:eastAsia="fr-FR" w:bidi="fr-FR"/>
        </w:rPr>
        <w:t>r</w:t>
      </w:r>
      <w:r w:rsidRPr="004B2498">
        <w:rPr>
          <w:lang w:eastAsia="fr-FR" w:bidi="fr-FR"/>
        </w:rPr>
        <w:t>me le rôle irremplaçable et incontournable d’Internet dans son itin</w:t>
      </w:r>
      <w:r w:rsidRPr="004B2498">
        <w:rPr>
          <w:lang w:eastAsia="fr-FR" w:bidi="fr-FR"/>
        </w:rPr>
        <w:t>é</w:t>
      </w:r>
      <w:r w:rsidRPr="004B2498">
        <w:rPr>
          <w:lang w:eastAsia="fr-FR" w:bidi="fr-FR"/>
        </w:rPr>
        <w:t>raire, depuis la prise de conscience de son identité « homosexuelle » à ses droits de « citoyen » et précise : « une grande partie de l’éducation à la citoyenneté que j’ai reçue m’est venue des sources sur Internet. Internet m’a introduit à la citoyenneté, Internet m’a libéré, moi et mon cœur. » 2005 marque le début de l’essor des blogs en Chine, l’ère Web 2.0. Il y participe activement avec l’ouverture de son blog. C’est un Internet interactif, où il peut offrir et enrichir les informations, e</w:t>
      </w:r>
      <w:r w:rsidRPr="004B2498">
        <w:rPr>
          <w:lang w:eastAsia="fr-FR" w:bidi="fr-FR"/>
        </w:rPr>
        <w:t>x</w:t>
      </w:r>
      <w:r w:rsidRPr="004B2498">
        <w:rPr>
          <w:lang w:eastAsia="fr-FR" w:bidi="fr-FR"/>
        </w:rPr>
        <w:t>primer ses propres points de vue « sans filtrage », où les internautes passent d’une position « on ne lisait que ce que tu nous montrais » à « moi aussi je montre aux autres ce que je veux ». Jusqu’alors, sur les sites homosexuels, les internautes ne faisaient que lire les articles et photos postés alors qu’avec l’ère Web 2.0, ils affirment leurs avis, leurs pensées et affichent leurs façons de réfléchir. Parallèlement, Junwei nous fait remarquer que le nombre de « sorties du placard » a augmenté et que de plus en plus de gens de leur cercle ne cherchent plus à se déguiser, à se cacher derrière l’anonymat sur Internet.</w:t>
      </w:r>
    </w:p>
    <w:p w14:paraId="72AEA459" w14:textId="77777777" w:rsidR="002F4063" w:rsidRPr="004B2498" w:rsidRDefault="002F4063" w:rsidP="002F4063">
      <w:pPr>
        <w:spacing w:before="120" w:after="120"/>
        <w:jc w:val="both"/>
      </w:pPr>
      <w:r w:rsidRPr="004B2498">
        <w:rPr>
          <w:lang w:eastAsia="fr-FR" w:bidi="fr-FR"/>
        </w:rPr>
        <w:t>Avec l’arrivée de « l’ère Web 3.0</w:t>
      </w:r>
      <w:r>
        <w:rPr>
          <w:lang w:eastAsia="fr-FR" w:bidi="fr-FR"/>
        </w:rPr>
        <w:t> </w:t>
      </w:r>
      <w:r>
        <w:rPr>
          <w:rStyle w:val="Appelnotedebasdep"/>
          <w:lang w:eastAsia="fr-FR" w:bidi="fr-FR"/>
        </w:rPr>
        <w:footnoteReference w:id="173"/>
      </w:r>
      <w:r w:rsidRPr="004B2498">
        <w:rPr>
          <w:lang w:eastAsia="fr-FR" w:bidi="fr-FR"/>
        </w:rPr>
        <w:t> », Junwei va appliquer sa v</w:t>
      </w:r>
      <w:r w:rsidRPr="004B2498">
        <w:rPr>
          <w:lang w:eastAsia="fr-FR" w:bidi="fr-FR"/>
        </w:rPr>
        <w:t>o</w:t>
      </w:r>
      <w:r w:rsidRPr="004B2498">
        <w:rPr>
          <w:lang w:eastAsia="fr-FR" w:bidi="fr-FR"/>
        </w:rPr>
        <w:t>lonté et son action de « grimper au mur », franchir la Grande Muraille de Pare-feu. Le miniblog a transformé le mode de diffusion des i</w:t>
      </w:r>
      <w:r w:rsidRPr="004B2498">
        <w:rPr>
          <w:lang w:eastAsia="fr-FR" w:bidi="fr-FR"/>
        </w:rPr>
        <w:t>n</w:t>
      </w:r>
      <w:r w:rsidRPr="004B2498">
        <w:rPr>
          <w:lang w:eastAsia="fr-FR" w:bidi="fr-FR"/>
        </w:rPr>
        <w:t xml:space="preserve">formations sur Internet. Un simple </w:t>
      </w:r>
      <w:r w:rsidRPr="004B2498">
        <w:t>plugin</w:t>
      </w:r>
      <w:r w:rsidRPr="004B2498">
        <w:rPr>
          <w:lang w:eastAsia="fr-FR" w:bidi="fr-FR"/>
        </w:rPr>
        <w:t xml:space="preserve"> peut permettre de mettre à jour </w:t>
      </w:r>
      <w:r w:rsidRPr="001125D4">
        <w:rPr>
          <w:i/>
        </w:rPr>
        <w:t>Twitter</w:t>
      </w:r>
      <w:r w:rsidRPr="004B2498">
        <w:rPr>
          <w:lang w:eastAsia="fr-FR" w:bidi="fr-FR"/>
        </w:rPr>
        <w:t xml:space="preserve">, </w:t>
      </w:r>
      <w:r w:rsidRPr="001125D4">
        <w:rPr>
          <w:i/>
        </w:rPr>
        <w:t>Facebook</w:t>
      </w:r>
      <w:r w:rsidRPr="004B2498">
        <w:rPr>
          <w:lang w:eastAsia="fr-FR" w:bidi="fr-FR"/>
        </w:rPr>
        <w:t xml:space="preserve">, </w:t>
      </w:r>
      <w:r w:rsidRPr="001125D4">
        <w:rPr>
          <w:i/>
        </w:rPr>
        <w:t>MSN</w:t>
      </w:r>
      <w:r w:rsidRPr="004B2498">
        <w:rPr>
          <w:lang w:eastAsia="fr-FR" w:bidi="fr-FR"/>
        </w:rPr>
        <w:t xml:space="preserve"> et d’autres sites ou logiciels équivalents par messages instantanés, e-mail ou un simple texto SMS </w:t>
      </w:r>
      <w:r w:rsidRPr="001125D4">
        <w:rPr>
          <w:i/>
        </w:rPr>
        <w:t>via</w:t>
      </w:r>
      <w:r w:rsidRPr="004B2498">
        <w:rPr>
          <w:lang w:eastAsia="fr-FR" w:bidi="fr-FR"/>
        </w:rPr>
        <w:t xml:space="preserve"> le tél</w:t>
      </w:r>
      <w:r w:rsidRPr="004B2498">
        <w:rPr>
          <w:lang w:eastAsia="fr-FR" w:bidi="fr-FR"/>
        </w:rPr>
        <w:t>é</w:t>
      </w:r>
      <w:r w:rsidRPr="004B2498">
        <w:rPr>
          <w:lang w:eastAsia="fr-FR" w:bidi="fr-FR"/>
        </w:rPr>
        <w:t>phone portable. Il conteste l’efficacité du</w:t>
      </w:r>
      <w:r>
        <w:t xml:space="preserve"> </w:t>
      </w:r>
      <w:r w:rsidRPr="004B2498">
        <w:t>[197]</w:t>
      </w:r>
      <w:r>
        <w:t xml:space="preserve"> </w:t>
      </w:r>
      <w:r w:rsidRPr="004B2498">
        <w:rPr>
          <w:lang w:eastAsia="fr-FR" w:bidi="fr-FR"/>
        </w:rPr>
        <w:t>contrôle d’Internet par le gouvernement chinois qui met en œuvre la censure par « supprimer, étouffer et bloquer ». L’impossibilité de tout contrôler vient aussi, dans son argument, du fait que « tout le monde est maintenant la sou</w:t>
      </w:r>
      <w:r w:rsidRPr="004B2498">
        <w:rPr>
          <w:lang w:eastAsia="fr-FR" w:bidi="fr-FR"/>
        </w:rPr>
        <w:t>r</w:t>
      </w:r>
      <w:r w:rsidRPr="004B2498">
        <w:rPr>
          <w:lang w:eastAsia="fr-FR" w:bidi="fr-FR"/>
        </w:rPr>
        <w:t>ce de ces informations », et que la vite</w:t>
      </w:r>
      <w:r w:rsidRPr="004B2498">
        <w:rPr>
          <w:lang w:eastAsia="fr-FR" w:bidi="fr-FR"/>
        </w:rPr>
        <w:t>s</w:t>
      </w:r>
      <w:r w:rsidRPr="004B2498">
        <w:rPr>
          <w:lang w:eastAsia="fr-FR" w:bidi="fr-FR"/>
        </w:rPr>
        <w:t xml:space="preserve">se géométrique fait de cette ère Web 3.0 « une source inépuisable d’informations et une force de changements sociaux ». Il passe chaque jour au moins 2 heures sur </w:t>
      </w:r>
      <w:r w:rsidRPr="001125D4">
        <w:rPr>
          <w:i/>
        </w:rPr>
        <w:t>Twitter</w:t>
      </w:r>
      <w:r w:rsidRPr="004B2498">
        <w:t xml:space="preserve"> </w:t>
      </w:r>
      <w:r w:rsidRPr="004B2498">
        <w:rPr>
          <w:lang w:eastAsia="fr-FR" w:bidi="fr-FR"/>
        </w:rPr>
        <w:t xml:space="preserve">en « prêtant ses compétences à la construction de l’ère du </w:t>
      </w:r>
      <w:r w:rsidRPr="004B2498">
        <w:t>m</w:t>
      </w:r>
      <w:r w:rsidRPr="004B2498">
        <w:t>i</w:t>
      </w:r>
      <w:r w:rsidRPr="004B2498">
        <w:t>niblog</w:t>
      </w:r>
      <w:r w:rsidRPr="004B2498">
        <w:rPr>
          <w:lang w:eastAsia="fr-FR" w:bidi="fr-FR"/>
        </w:rPr>
        <w:t xml:space="preserve"> », qui est aussi le titre de l’un de ses articles sur son blog. Pour lui, franchir la </w:t>
      </w:r>
      <w:r w:rsidRPr="001125D4">
        <w:rPr>
          <w:i/>
        </w:rPr>
        <w:t>Great Firewall</w:t>
      </w:r>
      <w:r w:rsidRPr="004B2498">
        <w:rPr>
          <w:lang w:eastAsia="fr-FR" w:bidi="fr-FR"/>
        </w:rPr>
        <w:t xml:space="preserve"> est aussi un « devoir quotidien », car il s’agit d’éviter que toutes ses informations proviennent d’une source en position de « monopole ». Le discours officiel est insupportable pour lui et il cherche toujours à entendre les voix des autres. Il me</w:t>
      </w:r>
      <w:r w:rsidRPr="004B2498">
        <w:rPr>
          <w:lang w:eastAsia="fr-FR" w:bidi="fr-FR"/>
        </w:rPr>
        <w:t>n</w:t>
      </w:r>
      <w:r w:rsidRPr="004B2498">
        <w:rPr>
          <w:lang w:eastAsia="fr-FR" w:bidi="fr-FR"/>
        </w:rPr>
        <w:t xml:space="preserve">tionne un site américain censuré en Chine - </w:t>
      </w:r>
      <w:r w:rsidRPr="001125D4">
        <w:rPr>
          <w:i/>
          <w:lang w:bidi="en-US"/>
        </w:rPr>
        <w:t>Boxun.com</w:t>
      </w:r>
      <w:r w:rsidRPr="004B2498">
        <w:rPr>
          <w:lang w:bidi="en-US"/>
        </w:rPr>
        <w:t xml:space="preserve"> </w:t>
      </w:r>
      <w:r w:rsidRPr="004B2498">
        <w:rPr>
          <w:lang w:eastAsia="fr-FR" w:bidi="fr-FR"/>
        </w:rPr>
        <w:t>- qui regroupe les informations venues de différents côtés et souvent jugées « dangereuses » par les autorités chinoises, mais « vraies » par un grand nombre d’internautes. Ils manifestent ainsi leur mécontentement envers l’autorité chinoise, qui selon lui « sous-estime l’intelligence et la capacité de jugement du peuple chinois ».</w:t>
      </w:r>
    </w:p>
    <w:p w14:paraId="30E3D362" w14:textId="77777777" w:rsidR="002F4063" w:rsidRPr="004B2498" w:rsidRDefault="002F4063" w:rsidP="002F4063">
      <w:pPr>
        <w:spacing w:before="120" w:after="120"/>
        <w:jc w:val="both"/>
      </w:pPr>
      <w:r w:rsidRPr="004B2498">
        <w:rPr>
          <w:lang w:eastAsia="fr-FR" w:bidi="fr-FR"/>
        </w:rPr>
        <w:t>L’idée de fonder une association pour les parents, la famille et les amis des homosexuels vient d’une discussion entre Junwei, Mme Shang et un père chinois américain dont le fils est homosexuel. Bien auparavant, Junwei avait mis en contact Mme Shang et une fondation hongkongaise d’homosexuels, que nous appellerons Intellaction, dont il est aussi un bénévole actif et connaît le fondateur. C’est par le r</w:t>
      </w:r>
      <w:r w:rsidRPr="004B2498">
        <w:rPr>
          <w:lang w:eastAsia="fr-FR" w:bidi="fr-FR"/>
        </w:rPr>
        <w:t>é</w:t>
      </w:r>
      <w:r w:rsidRPr="004B2498">
        <w:rPr>
          <w:lang w:eastAsia="fr-FR" w:bidi="fr-FR"/>
        </w:rPr>
        <w:t>seau d’Intellaction que nous avons pu rencontrer Mme Shang. Les b</w:t>
      </w:r>
      <w:r w:rsidRPr="004B2498">
        <w:rPr>
          <w:lang w:eastAsia="fr-FR" w:bidi="fr-FR"/>
        </w:rPr>
        <w:t>u</w:t>
      </w:r>
      <w:r w:rsidRPr="004B2498">
        <w:rPr>
          <w:lang w:eastAsia="fr-FR" w:bidi="fr-FR"/>
        </w:rPr>
        <w:t>reaux d’Intellaction couvrent les trois métropoles </w:t>
      </w:r>
      <w:r>
        <w:rPr>
          <w:rStyle w:val="Appelnotedebasdep"/>
          <w:lang w:eastAsia="fr-FR" w:bidi="fr-FR"/>
        </w:rPr>
        <w:footnoteReference w:id="174"/>
      </w:r>
      <w:r w:rsidRPr="004B2498">
        <w:rPr>
          <w:lang w:eastAsia="fr-FR" w:bidi="fr-FR"/>
        </w:rPr>
        <w:t xml:space="preserve"> de Chine, ainsi que plusieurs villes de la province du Henan pour un service de lutte contre le SIDA, les soins aux enfants séropositifs ou aux orphelins dont les parents étaient contaminés. Une partie du budget d’Intellaction vient du projet de l’Unesco et du projet de coopération entre le gouvernement chinois et une grande fondation américaine i</w:t>
      </w:r>
      <w:r w:rsidRPr="004B2498">
        <w:rPr>
          <w:lang w:eastAsia="fr-FR" w:bidi="fr-FR"/>
        </w:rPr>
        <w:t>n</w:t>
      </w:r>
      <w:r w:rsidRPr="004B2498">
        <w:rPr>
          <w:lang w:eastAsia="fr-FR" w:bidi="fr-FR"/>
        </w:rPr>
        <w:t>ternationale. Junwei met l’accent sur l’importance de la construction d’une « communauté » et la participation de cette « communauté » dans la société. Junwei cherche ainsi à « concrétiser » leur comm</w:t>
      </w:r>
      <w:r w:rsidRPr="004B2498">
        <w:rPr>
          <w:lang w:eastAsia="fr-FR" w:bidi="fr-FR"/>
        </w:rPr>
        <w:t>u</w:t>
      </w:r>
      <w:r w:rsidRPr="004B2498">
        <w:rPr>
          <w:lang w:eastAsia="fr-FR" w:bidi="fr-FR"/>
        </w:rPr>
        <w:t>nauté sur Internet en aidant les amis de leur « cercle » à trouver un logement dans son quartier. Pour lui, leur « communauté » doit aussi exister concrètement et physiquement, à commencer au niveau micr</w:t>
      </w:r>
      <w:r w:rsidRPr="004B2498">
        <w:rPr>
          <w:lang w:eastAsia="fr-FR" w:bidi="fr-FR"/>
        </w:rPr>
        <w:t>o</w:t>
      </w:r>
      <w:r w:rsidRPr="004B2498">
        <w:rPr>
          <w:lang w:eastAsia="fr-FR" w:bidi="fr-FR"/>
        </w:rPr>
        <w:t>local, par son quartier qu’il connaît bien (ex. les appartements disp</w:t>
      </w:r>
      <w:r w:rsidRPr="004B2498">
        <w:rPr>
          <w:lang w:eastAsia="fr-FR" w:bidi="fr-FR"/>
        </w:rPr>
        <w:t>o</w:t>
      </w:r>
      <w:r w:rsidRPr="004B2498">
        <w:rPr>
          <w:lang w:eastAsia="fr-FR" w:bidi="fr-FR"/>
        </w:rPr>
        <w:t>nibles à louer) et où les loyers sont raisonnables par rapport au centre-ville.</w:t>
      </w:r>
    </w:p>
    <w:p w14:paraId="2F31238E" w14:textId="77777777" w:rsidR="002F4063" w:rsidRPr="004B2498" w:rsidRDefault="002F4063" w:rsidP="002F4063">
      <w:pPr>
        <w:spacing w:before="120" w:after="120"/>
        <w:jc w:val="both"/>
      </w:pPr>
      <w:r w:rsidRPr="004B2498">
        <w:rPr>
          <w:lang w:eastAsia="fr-FR" w:bidi="fr-FR"/>
        </w:rPr>
        <w:t>Dans la société chinoise, comme ailleurs, les groupes minoritaires exclus des normes sociales dominantes souffrent toujours de discrim</w:t>
      </w:r>
      <w:r w:rsidRPr="004B2498">
        <w:rPr>
          <w:lang w:eastAsia="fr-FR" w:bidi="fr-FR"/>
        </w:rPr>
        <w:t>i</w:t>
      </w:r>
      <w:r w:rsidRPr="004B2498">
        <w:rPr>
          <w:lang w:eastAsia="fr-FR" w:bidi="fr-FR"/>
        </w:rPr>
        <w:t>nation et de</w:t>
      </w:r>
      <w:r>
        <w:t xml:space="preserve"> </w:t>
      </w:r>
      <w:r w:rsidRPr="004B2498">
        <w:t>[198]</w:t>
      </w:r>
      <w:r>
        <w:t xml:space="preserve"> </w:t>
      </w:r>
      <w:r w:rsidRPr="004B2498">
        <w:rPr>
          <w:lang w:eastAsia="fr-FR" w:bidi="fr-FR"/>
        </w:rPr>
        <w:t>traitements inégalitaires dans tous les domaines. Les changements apportés par les nouvelles technologies sont très a</w:t>
      </w:r>
      <w:r w:rsidRPr="004B2498">
        <w:rPr>
          <w:lang w:eastAsia="fr-FR" w:bidi="fr-FR"/>
        </w:rPr>
        <w:t>p</w:t>
      </w:r>
      <w:r w:rsidRPr="004B2498">
        <w:rPr>
          <w:lang w:eastAsia="fr-FR" w:bidi="fr-FR"/>
        </w:rPr>
        <w:t>préciés et font imaginer aux acteurs militants comme Junwei, un mouvement, voire un bouleversement sociopolitique, rendu possible avec l’impulsion et la circulation des informations sur Internet, et c’est ainsi qu’une soci</w:t>
      </w:r>
      <w:r w:rsidRPr="004B2498">
        <w:rPr>
          <w:lang w:eastAsia="fr-FR" w:bidi="fr-FR"/>
        </w:rPr>
        <w:t>é</w:t>
      </w:r>
      <w:r w:rsidRPr="004B2498">
        <w:rPr>
          <w:lang w:eastAsia="fr-FR" w:bidi="fr-FR"/>
        </w:rPr>
        <w:t>té « meilleure, paisible, égalitaire et libre » naîtra.</w:t>
      </w:r>
    </w:p>
    <w:p w14:paraId="0B2DC6F8" w14:textId="77777777" w:rsidR="002F4063" w:rsidRPr="004B2498" w:rsidRDefault="002F4063" w:rsidP="002F4063">
      <w:pPr>
        <w:spacing w:before="120" w:after="120"/>
        <w:jc w:val="both"/>
      </w:pPr>
      <w:r w:rsidRPr="004B2498">
        <w:rPr>
          <w:lang w:eastAsia="fr-FR" w:bidi="fr-FR"/>
        </w:rPr>
        <w:t>Le discours de Junwei, qui se définit fermement et fièrement h</w:t>
      </w:r>
      <w:r w:rsidRPr="004B2498">
        <w:rPr>
          <w:lang w:eastAsia="fr-FR" w:bidi="fr-FR"/>
        </w:rPr>
        <w:t>o</w:t>
      </w:r>
      <w:r w:rsidRPr="004B2498">
        <w:rPr>
          <w:lang w:eastAsia="fr-FR" w:bidi="fr-FR"/>
        </w:rPr>
        <w:t>mosexuel, porte sur la liberté d’expression et les droits à la citoyenn</w:t>
      </w:r>
      <w:r w:rsidRPr="004B2498">
        <w:rPr>
          <w:lang w:eastAsia="fr-FR" w:bidi="fr-FR"/>
        </w:rPr>
        <w:t>e</w:t>
      </w:r>
      <w:r w:rsidRPr="004B2498">
        <w:rPr>
          <w:lang w:eastAsia="fr-FR" w:bidi="fr-FR"/>
        </w:rPr>
        <w:t>té. Il cherche à s’intégrer et faire intégrer aussi les groupes sociaux minoritaires et marginalisés auxquels il appartient, en suivant un pa</w:t>
      </w:r>
      <w:r w:rsidRPr="004B2498">
        <w:rPr>
          <w:lang w:eastAsia="fr-FR" w:bidi="fr-FR"/>
        </w:rPr>
        <w:t>r</w:t>
      </w:r>
      <w:r w:rsidRPr="004B2498">
        <w:rPr>
          <w:lang w:eastAsia="fr-FR" w:bidi="fr-FR"/>
        </w:rPr>
        <w:t>cours de militance générale. Sa contestation des rapports sociaux et politiques (la famille ; les parents et les enfants ; le système éducatif ; le mariage ; la liberté d’expression et autres droits des citoyens, etc.) vient d’abord de ses réflexions et de la construction de son ide</w:t>
      </w:r>
      <w:r w:rsidRPr="004B2498">
        <w:rPr>
          <w:lang w:eastAsia="fr-FR" w:bidi="fr-FR"/>
        </w:rPr>
        <w:t>n</w:t>
      </w:r>
      <w:r w:rsidRPr="004B2498">
        <w:rPr>
          <w:lang w:eastAsia="fr-FR" w:bidi="fr-FR"/>
        </w:rPr>
        <w:t>tité d’homosexuel, de la réappropriation des normes globales et global</w:t>
      </w:r>
      <w:r w:rsidRPr="004B2498">
        <w:rPr>
          <w:lang w:eastAsia="fr-FR" w:bidi="fr-FR"/>
        </w:rPr>
        <w:t>i</w:t>
      </w:r>
      <w:r w:rsidRPr="004B2498">
        <w:rPr>
          <w:lang w:eastAsia="fr-FR" w:bidi="fr-FR"/>
        </w:rPr>
        <w:t>sées tels que la citoyenneté, la société civile, la liberté d’expression et la démocratie importées en Chine avec l’économie de marché. La ce</w:t>
      </w:r>
      <w:r w:rsidRPr="004B2498">
        <w:rPr>
          <w:lang w:eastAsia="fr-FR" w:bidi="fr-FR"/>
        </w:rPr>
        <w:t>n</w:t>
      </w:r>
      <w:r w:rsidRPr="004B2498">
        <w:rPr>
          <w:lang w:eastAsia="fr-FR" w:bidi="fr-FR"/>
        </w:rPr>
        <w:t>sure et le contrôle sur la Toile des autorités chinoises sont « peu po</w:t>
      </w:r>
      <w:r w:rsidRPr="004B2498">
        <w:rPr>
          <w:lang w:eastAsia="fr-FR" w:bidi="fr-FR"/>
        </w:rPr>
        <w:t>s</w:t>
      </w:r>
      <w:r w:rsidRPr="004B2498">
        <w:rPr>
          <w:lang w:eastAsia="fr-FR" w:bidi="fr-FR"/>
        </w:rPr>
        <w:t>sibles » dans les yeux de Junwei et alimentent son discours de reve</w:t>
      </w:r>
      <w:r w:rsidRPr="004B2498">
        <w:rPr>
          <w:lang w:eastAsia="fr-FR" w:bidi="fr-FR"/>
        </w:rPr>
        <w:t>n</w:t>
      </w:r>
      <w:r w:rsidRPr="004B2498">
        <w:rPr>
          <w:lang w:eastAsia="fr-FR" w:bidi="fr-FR"/>
        </w:rPr>
        <w:t>dication des droits citoyens, de liberté d’expression et de la constru</w:t>
      </w:r>
      <w:r w:rsidRPr="004B2498">
        <w:rPr>
          <w:lang w:eastAsia="fr-FR" w:bidi="fr-FR"/>
        </w:rPr>
        <w:t>c</w:t>
      </w:r>
      <w:r w:rsidRPr="004B2498">
        <w:rPr>
          <w:lang w:eastAsia="fr-FR" w:bidi="fr-FR"/>
        </w:rPr>
        <w:t>tion d’une société civile. Avec une bonne maîtrise informatique et une compréhension de la logique et de l’articulation sur Internet, Ju</w:t>
      </w:r>
      <w:r w:rsidRPr="004B2498">
        <w:rPr>
          <w:lang w:eastAsia="fr-FR" w:bidi="fr-FR"/>
        </w:rPr>
        <w:t>n</w:t>
      </w:r>
      <w:r w:rsidRPr="004B2498">
        <w:rPr>
          <w:lang w:eastAsia="fr-FR" w:bidi="fr-FR"/>
        </w:rPr>
        <w:t>wei utilise la Toile comme un outil et fait passer les internautes, a</w:t>
      </w:r>
      <w:r w:rsidRPr="004B2498">
        <w:rPr>
          <w:lang w:eastAsia="fr-FR" w:bidi="fr-FR"/>
        </w:rPr>
        <w:t>u</w:t>
      </w:r>
      <w:r w:rsidRPr="004B2498">
        <w:rPr>
          <w:lang w:eastAsia="fr-FR" w:bidi="fr-FR"/>
        </w:rPr>
        <w:t>tour de lui et Madame Shang, du stade de « groupe abstrait » à un « groupe social concret</w:t>
      </w:r>
      <w:r>
        <w:rPr>
          <w:lang w:eastAsia="fr-FR" w:bidi="fr-FR"/>
        </w:rPr>
        <w:t> </w:t>
      </w:r>
      <w:r>
        <w:rPr>
          <w:rStyle w:val="Appelnotedebasdep"/>
          <w:lang w:eastAsia="fr-FR" w:bidi="fr-FR"/>
        </w:rPr>
        <w:footnoteReference w:id="175"/>
      </w:r>
      <w:r w:rsidRPr="004B2498">
        <w:rPr>
          <w:lang w:eastAsia="fr-FR" w:bidi="fr-FR"/>
        </w:rPr>
        <w:t> » qui revendique une existence sociale et politique. I</w:t>
      </w:r>
      <w:r w:rsidRPr="004B2498">
        <w:rPr>
          <w:lang w:eastAsia="fr-FR" w:bidi="fr-FR"/>
        </w:rPr>
        <w:t>n</w:t>
      </w:r>
      <w:r w:rsidRPr="004B2498">
        <w:rPr>
          <w:lang w:eastAsia="fr-FR" w:bidi="fr-FR"/>
        </w:rPr>
        <w:t>ternet est donc un instrument et un levier dans leur quête d’existence et la construction de leur identité. Mais il est également une scène sur laquelle les rapports sociaux et politiques s’articulent avec une autre logique conçue et limitée par le contexte social, polit</w:t>
      </w:r>
      <w:r w:rsidRPr="004B2498">
        <w:rPr>
          <w:lang w:eastAsia="fr-FR" w:bidi="fr-FR"/>
        </w:rPr>
        <w:t>i</w:t>
      </w:r>
      <w:r w:rsidRPr="004B2498">
        <w:rPr>
          <w:lang w:eastAsia="fr-FR" w:bidi="fr-FR"/>
        </w:rPr>
        <w:t>que et culturel de la globalisation.</w:t>
      </w:r>
    </w:p>
    <w:p w14:paraId="7636DD66" w14:textId="77777777" w:rsidR="002F4063" w:rsidRPr="004B2498" w:rsidRDefault="002F4063" w:rsidP="002F4063">
      <w:pPr>
        <w:spacing w:before="120" w:after="120"/>
        <w:jc w:val="both"/>
        <w:rPr>
          <w:szCs w:val="24"/>
          <w:lang w:eastAsia="fr-FR" w:bidi="fr-FR"/>
        </w:rPr>
      </w:pPr>
    </w:p>
    <w:p w14:paraId="31D892EF" w14:textId="77777777" w:rsidR="002F4063" w:rsidRPr="004B2498" w:rsidRDefault="002F4063" w:rsidP="002F4063">
      <w:pPr>
        <w:pStyle w:val="a"/>
      </w:pPr>
      <w:r w:rsidRPr="004B2498">
        <w:t>De</w:t>
      </w:r>
      <w:r>
        <w:t>ux volontaires :</w:t>
      </w:r>
      <w:r>
        <w:br/>
      </w:r>
      <w:r w:rsidRPr="004B2498">
        <w:t>collègues comme compagnons d’armes</w:t>
      </w:r>
    </w:p>
    <w:p w14:paraId="5C899E7C" w14:textId="77777777" w:rsidR="002F4063" w:rsidRPr="004B2498" w:rsidRDefault="002F4063" w:rsidP="002F4063">
      <w:pPr>
        <w:spacing w:before="120" w:after="120"/>
        <w:jc w:val="both"/>
        <w:rPr>
          <w:lang w:eastAsia="fr-FR" w:bidi="fr-FR"/>
        </w:rPr>
      </w:pPr>
    </w:p>
    <w:p w14:paraId="2691D5B6" w14:textId="77777777" w:rsidR="002F4063" w:rsidRPr="004B2498" w:rsidRDefault="002F4063" w:rsidP="002F4063">
      <w:pPr>
        <w:spacing w:before="120" w:after="120"/>
        <w:jc w:val="both"/>
      </w:pPr>
      <w:r w:rsidRPr="004B2498">
        <w:rPr>
          <w:lang w:eastAsia="fr-FR" w:bidi="fr-FR"/>
        </w:rPr>
        <w:t>Présentons ici deux collègues, Lingyu et Zhiheng venus d’une a</w:t>
      </w:r>
      <w:r w:rsidRPr="004B2498">
        <w:rPr>
          <w:lang w:eastAsia="fr-FR" w:bidi="fr-FR"/>
        </w:rPr>
        <w:t>u</w:t>
      </w:r>
      <w:r w:rsidRPr="004B2498">
        <w:rPr>
          <w:lang w:eastAsia="fr-FR" w:bidi="fr-FR"/>
        </w:rPr>
        <w:t>tre ville en voiture pour l’entretien. Lors de notre discussion téléph</w:t>
      </w:r>
      <w:r w:rsidRPr="004B2498">
        <w:rPr>
          <w:lang w:eastAsia="fr-FR" w:bidi="fr-FR"/>
        </w:rPr>
        <w:t>o</w:t>
      </w:r>
      <w:r w:rsidRPr="004B2498">
        <w:rPr>
          <w:lang w:eastAsia="fr-FR" w:bidi="fr-FR"/>
        </w:rPr>
        <w:t>nique pour fixer le rendez-vous, ils n’ont pas voulu préciser qu’ils h</w:t>
      </w:r>
      <w:r w:rsidRPr="004B2498">
        <w:rPr>
          <w:lang w:eastAsia="fr-FR" w:bidi="fr-FR"/>
        </w:rPr>
        <w:t>a</w:t>
      </w:r>
      <w:r w:rsidRPr="004B2498">
        <w:rPr>
          <w:lang w:eastAsia="fr-FR" w:bidi="fr-FR"/>
        </w:rPr>
        <w:t>bitaient dans une ville à deux heures de route de Canton. Ils ont préc</w:t>
      </w:r>
      <w:r w:rsidRPr="004B2498">
        <w:rPr>
          <w:lang w:eastAsia="fr-FR" w:bidi="fr-FR"/>
        </w:rPr>
        <w:t>i</w:t>
      </w:r>
      <w:r w:rsidRPr="004B2498">
        <w:rPr>
          <w:lang w:eastAsia="fr-FR" w:bidi="fr-FR"/>
        </w:rPr>
        <w:t>sé que, travaillant dans la même entreprise et ne pouvant pas quitter leur poste pendant la semaine pour une raison que leurs collègues sont censés ignorer, il était plus facile pour eux de venir ensemble. Zh</w:t>
      </w:r>
      <w:r w:rsidRPr="004B2498">
        <w:rPr>
          <w:lang w:eastAsia="fr-FR" w:bidi="fr-FR"/>
        </w:rPr>
        <w:t>i</w:t>
      </w:r>
      <w:r w:rsidRPr="004B2498">
        <w:rPr>
          <w:lang w:eastAsia="fr-FR" w:bidi="fr-FR"/>
        </w:rPr>
        <w:t>heng est arrivé le premier sur les lieux de notre rendez-vous ;</w:t>
      </w:r>
      <w:r>
        <w:t xml:space="preserve"> </w:t>
      </w:r>
      <w:r w:rsidRPr="004B2498">
        <w:t>[199]</w:t>
      </w:r>
      <w:r w:rsidRPr="004B2498">
        <w:rPr>
          <w:lang w:eastAsia="fr-FR" w:bidi="fr-FR"/>
        </w:rPr>
        <w:t xml:space="preserve"> Lingyu nous rejoindra plus tard. Zhiheng a donc eu l’occasion de pa</w:t>
      </w:r>
      <w:r w:rsidRPr="004B2498">
        <w:rPr>
          <w:lang w:eastAsia="fr-FR" w:bidi="fr-FR"/>
        </w:rPr>
        <w:t>r</w:t>
      </w:r>
      <w:r w:rsidRPr="004B2498">
        <w:rPr>
          <w:lang w:eastAsia="fr-FR" w:bidi="fr-FR"/>
        </w:rPr>
        <w:t>ler de son histoire seul. Néanmoins, la présence de Lingyu, n’entravera pas la discussion. Leur complicité naît d’une am</w:t>
      </w:r>
      <w:r w:rsidRPr="004B2498">
        <w:rPr>
          <w:lang w:eastAsia="fr-FR" w:bidi="fr-FR"/>
        </w:rPr>
        <w:t>i</w:t>
      </w:r>
      <w:r w:rsidRPr="004B2498">
        <w:rPr>
          <w:lang w:eastAsia="fr-FR" w:bidi="fr-FR"/>
        </w:rPr>
        <w:t>tié de plus de treize ans, de leur vécu commun dans la recherche d’une vie qui s’inscrive dans le processus d’une construction identitaire hom</w:t>
      </w:r>
      <w:r w:rsidRPr="004B2498">
        <w:rPr>
          <w:lang w:eastAsia="fr-FR" w:bidi="fr-FR"/>
        </w:rPr>
        <w:t>o</w:t>
      </w:r>
      <w:r w:rsidRPr="004B2498">
        <w:rPr>
          <w:lang w:eastAsia="fr-FR" w:bidi="fr-FR"/>
        </w:rPr>
        <w:t>sexuelle. L’un et l’autre se sont exprimés chacun leur tour durant une vingtaine de minutes, chacun seul, en l’absence de l’autre. Leurs na</w:t>
      </w:r>
      <w:r w:rsidRPr="004B2498">
        <w:rPr>
          <w:lang w:eastAsia="fr-FR" w:bidi="fr-FR"/>
        </w:rPr>
        <w:t>r</w:t>
      </w:r>
      <w:r w:rsidRPr="004B2498">
        <w:rPr>
          <w:lang w:eastAsia="fr-FR" w:bidi="fr-FR"/>
        </w:rPr>
        <w:t>rations qui se complètent, préparent la suite de l’entretien avec bea</w:t>
      </w:r>
      <w:r w:rsidRPr="004B2498">
        <w:rPr>
          <w:lang w:eastAsia="fr-FR" w:bidi="fr-FR"/>
        </w:rPr>
        <w:t>u</w:t>
      </w:r>
      <w:r w:rsidRPr="004B2498">
        <w:rPr>
          <w:lang w:eastAsia="fr-FR" w:bidi="fr-FR"/>
        </w:rPr>
        <w:t>coup de sincérité. L’entretien porte sur l’évolution d’Internet et l’organisation des activités de la FPAH ainsi que sur leur itinéraire personnel.</w:t>
      </w:r>
    </w:p>
    <w:p w14:paraId="43C078B7" w14:textId="77777777" w:rsidR="002F4063" w:rsidRPr="004B2498" w:rsidRDefault="002F4063" w:rsidP="002F4063">
      <w:pPr>
        <w:spacing w:before="120" w:after="120"/>
        <w:jc w:val="both"/>
      </w:pPr>
      <w:r w:rsidRPr="004B2498">
        <w:rPr>
          <w:lang w:eastAsia="fr-FR" w:bidi="fr-FR"/>
        </w:rPr>
        <w:t>Approchant tous deux la quarantaine, ils ont donc échappé à la p</w:t>
      </w:r>
      <w:r w:rsidRPr="004B2498">
        <w:rPr>
          <w:lang w:eastAsia="fr-FR" w:bidi="fr-FR"/>
        </w:rPr>
        <w:t>o</w:t>
      </w:r>
      <w:r w:rsidRPr="004B2498">
        <w:rPr>
          <w:lang w:eastAsia="fr-FR" w:bidi="fr-FR"/>
        </w:rPr>
        <w:t>litique de l’enfant unique qui débute à la fin des années 1970 ; ils sont tous deux les fils aînés d’une famille de militaires, avec un père tr</w:t>
      </w:r>
      <w:r w:rsidRPr="004B2498">
        <w:rPr>
          <w:lang w:eastAsia="fr-FR" w:bidi="fr-FR"/>
        </w:rPr>
        <w:t>a</w:t>
      </w:r>
      <w:r w:rsidRPr="004B2498">
        <w:rPr>
          <w:lang w:eastAsia="fr-FR" w:bidi="fr-FR"/>
        </w:rPr>
        <w:t>vaillant dans l’armée et une mère tenant un rôle traditionnel. Leur seul frère est relativement plus « proche » de leurs parents. Commençons d’abord par Zhiheng qui dans son histoire revient souvent sur certains épisodes de son itinéraire amoureux. Souriant et chaleureux, il est v</w:t>
      </w:r>
      <w:r w:rsidRPr="004B2498">
        <w:rPr>
          <w:lang w:eastAsia="fr-FR" w:bidi="fr-FR"/>
        </w:rPr>
        <w:t>e</w:t>
      </w:r>
      <w:r w:rsidRPr="004B2498">
        <w:rPr>
          <w:lang w:eastAsia="fr-FR" w:bidi="fr-FR"/>
        </w:rPr>
        <w:t>nu d’une autre province du Sud-Est de la Chine et a quitté sa ville pour le Guangdong il y a dix ans. Son arrivée fait suite à la rupture, peu de temps avant le mariage, avec sa fiancée avec qui il est resté six ans. Fils « sage et bien aimé », il a suivi le « conseil » de son père quant à son choix pour sa spécialité à l’école technique professionne</w:t>
      </w:r>
      <w:r w:rsidRPr="004B2498">
        <w:rPr>
          <w:lang w:eastAsia="fr-FR" w:bidi="fr-FR"/>
        </w:rPr>
        <w:t>l</w:t>
      </w:r>
      <w:r w:rsidRPr="004B2498">
        <w:rPr>
          <w:lang w:eastAsia="fr-FR" w:bidi="fr-FR"/>
        </w:rPr>
        <w:t>le (en mécanique), de la même manière que toute la famille a suivi le père d’une ville à l’autre. Fils cadet d’une famille de paysans, le père de Zhiheng a perdu son père avant sa naissance, et il est le seul parmi ses six frères et sœurs à avoir réussi à quitter son village en s’engageant dans l’armée à l’âge de dix-huit ans. Sa future femme, fille de petits commerçants, suit son mari dans son unité de travail un an après la naissance de Zhiheng. Zhiheng laissera passer un an avant de pouvoir raconter à sa mère la raison pour laquelle il a décidé de rompre avec sa fiancée et d’annuler le mariage, et sa fiancée n’arrive pas à croire que son futur mari la quitte pour « un homme et non une femme ».</w:t>
      </w:r>
    </w:p>
    <w:p w14:paraId="49E3D6E7" w14:textId="77777777" w:rsidR="002F4063" w:rsidRPr="004B2498" w:rsidRDefault="002F4063" w:rsidP="002F4063">
      <w:pPr>
        <w:spacing w:before="120" w:after="120"/>
        <w:jc w:val="both"/>
      </w:pPr>
      <w:r w:rsidRPr="004B2498">
        <w:rPr>
          <w:lang w:eastAsia="fr-FR" w:bidi="fr-FR"/>
        </w:rPr>
        <w:t>Faute d’argent, les parents de Lingyu l’ont confié à sa grand-mère jusqu’à l’âge de neuf ans. Pensionnaire à l’école secondaire et au l</w:t>
      </w:r>
      <w:r w:rsidRPr="004B2498">
        <w:rPr>
          <w:lang w:eastAsia="fr-FR" w:bidi="fr-FR"/>
        </w:rPr>
        <w:t>y</w:t>
      </w:r>
      <w:r w:rsidRPr="004B2498">
        <w:rPr>
          <w:lang w:eastAsia="fr-FR" w:bidi="fr-FR"/>
        </w:rPr>
        <w:t>cée, Lingyu a passé peu de temps avec ses parents. Il a été envoyé au Pérou et en Argentine après le bac en 1990 par ses parents, enrichis grâce à la réforme économique, pour continuer ses études « pour son bien et son avenir », comme le lui a expliqué son père. Suite à la r</w:t>
      </w:r>
      <w:r w:rsidRPr="004B2498">
        <w:rPr>
          <w:lang w:eastAsia="fr-FR" w:bidi="fr-FR"/>
        </w:rPr>
        <w:t>é</w:t>
      </w:r>
      <w:r w:rsidRPr="004B2498">
        <w:rPr>
          <w:lang w:eastAsia="fr-FR" w:bidi="fr-FR"/>
        </w:rPr>
        <w:t>pression de Tian’an Men en 1989, son inscription dans une université canadienne a été annulée et il a ainsi passé cinq ans en Amérique du Sud où ont débuté ses expériences d’internaute et où il a entrepris sa quête de reconnaissance en tant qu’homosexuel. Son père, fils cadet de pêcheurs, a quitté l’armée et est devenu cadre dans une joint-venture, qu’il a rachetée en 1997, après avoir</w:t>
      </w:r>
      <w:r>
        <w:t xml:space="preserve"> </w:t>
      </w:r>
      <w:r w:rsidRPr="004B2498">
        <w:t>[200]</w:t>
      </w:r>
      <w:r>
        <w:t xml:space="preserve"> </w:t>
      </w:r>
      <w:r w:rsidRPr="004B2498">
        <w:rPr>
          <w:lang w:eastAsia="fr-FR" w:bidi="fr-FR"/>
        </w:rPr>
        <w:t>occupé un poste au bureau du service du travail dans sa ville natale. Sa mère, fille a</w:t>
      </w:r>
      <w:r w:rsidRPr="004B2498">
        <w:rPr>
          <w:lang w:eastAsia="fr-FR" w:bidi="fr-FR"/>
        </w:rPr>
        <w:t>î</w:t>
      </w:r>
      <w:r w:rsidRPr="004B2498">
        <w:rPr>
          <w:lang w:eastAsia="fr-FR" w:bidi="fr-FR"/>
        </w:rPr>
        <w:t xml:space="preserve">née de petits boulangers, s’acquitte bien de son rôle traditionnel de « femme bonne » et « bonne mère » tout en travaillant d’abord comme ouvrière, puis comme administrative dans le même bureau du service du travail, </w:t>
      </w:r>
      <w:r w:rsidRPr="001125D4">
        <w:rPr>
          <w:i/>
        </w:rPr>
        <w:t>dan wei</w:t>
      </w:r>
      <w:r w:rsidRPr="004B2498">
        <w:rPr>
          <w:lang w:eastAsia="fr-FR" w:bidi="fr-FR"/>
        </w:rPr>
        <w:t xml:space="preserve"> (unité de travail) que son mari. Lingyu avance pl</w:t>
      </w:r>
      <w:r w:rsidRPr="004B2498">
        <w:rPr>
          <w:lang w:eastAsia="fr-FR" w:bidi="fr-FR"/>
        </w:rPr>
        <w:t>u</w:t>
      </w:r>
      <w:r w:rsidRPr="004B2498">
        <w:rPr>
          <w:lang w:eastAsia="fr-FR" w:bidi="fr-FR"/>
        </w:rPr>
        <w:t>sieurs raisons à son orientation sexuelle : tout d’abord il passait « trop de temps » auprès de sa mère à la maison et à l’usine, où il n’y avait quasiment que des ouvrières, il a été élevé par sa grand-mère, il y a un cousin homosexuel dans la famille, et son prénom est « un peu fém</w:t>
      </w:r>
      <w:r w:rsidRPr="004B2498">
        <w:rPr>
          <w:lang w:eastAsia="fr-FR" w:bidi="fr-FR"/>
        </w:rPr>
        <w:t>i</w:t>
      </w:r>
      <w:r w:rsidRPr="004B2498">
        <w:rPr>
          <w:lang w:eastAsia="fr-FR" w:bidi="fr-FR"/>
        </w:rPr>
        <w:t>nin ». Il dit avoir ouvert les yeux « à l’étranger » où « les gens ont l’esprit ouvert ». Là-bas, il a retrouvé la « communauté » homosexue</w:t>
      </w:r>
      <w:r w:rsidRPr="004B2498">
        <w:rPr>
          <w:lang w:eastAsia="fr-FR" w:bidi="fr-FR"/>
        </w:rPr>
        <w:t>l</w:t>
      </w:r>
      <w:r w:rsidRPr="004B2498">
        <w:rPr>
          <w:lang w:eastAsia="fr-FR" w:bidi="fr-FR"/>
        </w:rPr>
        <w:t xml:space="preserve">le </w:t>
      </w:r>
      <w:r w:rsidRPr="004B2498">
        <w:t>via</w:t>
      </w:r>
      <w:r w:rsidRPr="004B2498">
        <w:rPr>
          <w:lang w:eastAsia="fr-FR" w:bidi="fr-FR"/>
        </w:rPr>
        <w:t xml:space="preserve"> le réseau d’un ami, dont le frère est homosexuel. Et cela dans une Amérique du Sud, qui était « conservatrice » dans les années 1990 et où il n’y avait pas beaucoup d’homosexuels qui « sortaient du pl</w:t>
      </w:r>
      <w:r w:rsidRPr="004B2498">
        <w:rPr>
          <w:lang w:eastAsia="fr-FR" w:bidi="fr-FR"/>
        </w:rPr>
        <w:t>a</w:t>
      </w:r>
      <w:r w:rsidRPr="004B2498">
        <w:rPr>
          <w:lang w:eastAsia="fr-FR" w:bidi="fr-FR"/>
        </w:rPr>
        <w:t>card », dit-il. Par rapport à la Chine, cette image de « l’étranger » r</w:t>
      </w:r>
      <w:r w:rsidRPr="004B2498">
        <w:rPr>
          <w:lang w:eastAsia="fr-FR" w:bidi="fr-FR"/>
        </w:rPr>
        <w:t>e</w:t>
      </w:r>
      <w:r w:rsidRPr="004B2498">
        <w:rPr>
          <w:lang w:eastAsia="fr-FR" w:bidi="fr-FR"/>
        </w:rPr>
        <w:t>présente un univers plus « ouvert » et plus « gentil ». Cette division entre « nous » et « eux » apparaît souvent dans les entretiens que nous avons faits, en partic</w:t>
      </w:r>
      <w:r w:rsidRPr="004B2498">
        <w:rPr>
          <w:lang w:eastAsia="fr-FR" w:bidi="fr-FR"/>
        </w:rPr>
        <w:t>u</w:t>
      </w:r>
      <w:r w:rsidRPr="004B2498">
        <w:rPr>
          <w:lang w:eastAsia="fr-FR" w:bidi="fr-FR"/>
        </w:rPr>
        <w:t>lier quand il s’agit de la liberté, des droits, de la justice et de la dém</w:t>
      </w:r>
      <w:r w:rsidRPr="004B2498">
        <w:rPr>
          <w:lang w:eastAsia="fr-FR" w:bidi="fr-FR"/>
        </w:rPr>
        <w:t>o</w:t>
      </w:r>
      <w:r w:rsidRPr="004B2498">
        <w:rPr>
          <w:lang w:eastAsia="fr-FR" w:bidi="fr-FR"/>
        </w:rPr>
        <w:t>cratie. Contrairement à l’image construite de « l’étranger » dans les pays dits occidentaux, celle construite en Chine par ces acteurs repr</w:t>
      </w:r>
      <w:r w:rsidRPr="004B2498">
        <w:rPr>
          <w:lang w:eastAsia="fr-FR" w:bidi="fr-FR"/>
        </w:rPr>
        <w:t>é</w:t>
      </w:r>
      <w:r w:rsidRPr="004B2498">
        <w:rPr>
          <w:lang w:eastAsia="fr-FR" w:bidi="fr-FR"/>
        </w:rPr>
        <w:t>sente un modèle de vie « meilleure » suivant la logique des discours globalisés occidentaux : esprit ouvert, liberté, droits sociaux, justice et démocratie.</w:t>
      </w:r>
    </w:p>
    <w:p w14:paraId="44B82E44" w14:textId="77777777" w:rsidR="002F4063" w:rsidRPr="004B2498" w:rsidRDefault="002F4063" w:rsidP="002F4063">
      <w:pPr>
        <w:spacing w:before="120" w:after="120"/>
        <w:jc w:val="both"/>
      </w:pPr>
      <w:r w:rsidRPr="004B2498">
        <w:rPr>
          <w:lang w:eastAsia="fr-FR" w:bidi="fr-FR"/>
        </w:rPr>
        <w:t>Le profil de Lingyu, étudiant à l’étranger, et la profession de Zh</w:t>
      </w:r>
      <w:r w:rsidRPr="004B2498">
        <w:rPr>
          <w:lang w:eastAsia="fr-FR" w:bidi="fr-FR"/>
        </w:rPr>
        <w:t>i</w:t>
      </w:r>
      <w:r w:rsidRPr="004B2498">
        <w:rPr>
          <w:lang w:eastAsia="fr-FR" w:bidi="fr-FR"/>
        </w:rPr>
        <w:t xml:space="preserve">heng, « master » d’un système d’information de télécommunications chinois, les poussent à explorer le monde d’Internet dès l’ouverture de son accès à la population chinoise continentale (1996). C’est sur l'un des premiers sites d’homosexualité en Chine que Lingyu et Zhiheng font connaissance. Ce site de </w:t>
      </w:r>
      <w:r w:rsidRPr="004B2498">
        <w:t>chatroom</w:t>
      </w:r>
      <w:r w:rsidRPr="004B2498">
        <w:rPr>
          <w:lang w:eastAsia="fr-FR" w:bidi="fr-FR"/>
        </w:rPr>
        <w:t xml:space="preserve"> leur permet de « rencontrer » et de « parler » avec des gens des quatre coins de la Chine. Zhiheng, qui se trouvait « seul et bizarre » avant d’avoir « parlé » avec les gens rencontrés sur ces sites, a dès lors le sentiment de « trouver sa fami</w:t>
      </w:r>
      <w:r w:rsidRPr="004B2498">
        <w:rPr>
          <w:lang w:eastAsia="fr-FR" w:bidi="fr-FR"/>
        </w:rPr>
        <w:t>l</w:t>
      </w:r>
      <w:r w:rsidRPr="004B2498">
        <w:rPr>
          <w:lang w:eastAsia="fr-FR" w:bidi="fr-FR"/>
        </w:rPr>
        <w:t>le » sur les sites qu’il fréquente. Cependant, il souligne que les inte</w:t>
      </w:r>
      <w:r w:rsidRPr="004B2498">
        <w:rPr>
          <w:lang w:eastAsia="fr-FR" w:bidi="fr-FR"/>
        </w:rPr>
        <w:t>r</w:t>
      </w:r>
      <w:r w:rsidRPr="004B2498">
        <w:rPr>
          <w:lang w:eastAsia="fr-FR" w:bidi="fr-FR"/>
        </w:rPr>
        <w:t xml:space="preserve">nautes sur le </w:t>
      </w:r>
      <w:r w:rsidRPr="001125D4">
        <w:rPr>
          <w:i/>
        </w:rPr>
        <w:t>chatroom</w:t>
      </w:r>
      <w:r w:rsidRPr="004B2498">
        <w:rPr>
          <w:lang w:eastAsia="fr-FR" w:bidi="fr-FR"/>
        </w:rPr>
        <w:t xml:space="preserve"> s’enfuiraient et se cacheraient immédiatement s’ils venaient à découvrir que leurs correspondants habitent ou vie</w:t>
      </w:r>
      <w:r w:rsidRPr="004B2498">
        <w:rPr>
          <w:lang w:eastAsia="fr-FR" w:bidi="fr-FR"/>
        </w:rPr>
        <w:t>n</w:t>
      </w:r>
      <w:r w:rsidRPr="004B2498">
        <w:rPr>
          <w:lang w:eastAsia="fr-FR" w:bidi="fr-FR"/>
        </w:rPr>
        <w:t>nent de la même ville. Cette « famille » sans frontières de l’espace numérique ne peut être famille que lorsque ses membres sont loin les uns des autres et séparés par les frontières géopolitiques de leur im</w:t>
      </w:r>
      <w:r w:rsidRPr="004B2498">
        <w:rPr>
          <w:lang w:eastAsia="fr-FR" w:bidi="fr-FR"/>
        </w:rPr>
        <w:t>a</w:t>
      </w:r>
      <w:r w:rsidRPr="004B2498">
        <w:rPr>
          <w:lang w:eastAsia="fr-FR" w:bidi="fr-FR"/>
        </w:rPr>
        <w:t>ginaire. C’est après avoir découvert ces sites pionniers et sa sexualité que Zhiheng a décidé de quitter sa fiancée. Comme ils ont vécu et su</w:t>
      </w:r>
      <w:r w:rsidRPr="004B2498">
        <w:rPr>
          <w:lang w:eastAsia="fr-FR" w:bidi="fr-FR"/>
        </w:rPr>
        <w:t>i</w:t>
      </w:r>
      <w:r w:rsidRPr="004B2498">
        <w:rPr>
          <w:lang w:eastAsia="fr-FR" w:bidi="fr-FR"/>
        </w:rPr>
        <w:t>vi l'histoire d’Internet en Chine, ils peuvent tous deux, dans leur narr</w:t>
      </w:r>
      <w:r w:rsidRPr="004B2498">
        <w:rPr>
          <w:lang w:eastAsia="fr-FR" w:bidi="fr-FR"/>
        </w:rPr>
        <w:t>a</w:t>
      </w:r>
      <w:r w:rsidRPr="004B2498">
        <w:rPr>
          <w:lang w:eastAsia="fr-FR" w:bidi="fr-FR"/>
        </w:rPr>
        <w:t>tion à la fois lisse et complémentaire, bien préciser tant les détails techniques que leur sentiment personnel sur l’évolution des sites. No</w:t>
      </w:r>
      <w:r w:rsidRPr="004B2498">
        <w:rPr>
          <w:lang w:eastAsia="fr-FR" w:bidi="fr-FR"/>
        </w:rPr>
        <w:t>s</w:t>
      </w:r>
      <w:r w:rsidRPr="004B2498">
        <w:rPr>
          <w:lang w:eastAsia="fr-FR" w:bidi="fr-FR"/>
        </w:rPr>
        <w:t>talgiques, ils ne retrouvent plus dans l’atmosphère générale des sites Internet ce sentiment de « pureté, confiance,</w:t>
      </w:r>
      <w:r>
        <w:t xml:space="preserve"> </w:t>
      </w:r>
      <w:r w:rsidRPr="004B2498">
        <w:t>[201]</w:t>
      </w:r>
      <w:r>
        <w:t xml:space="preserve"> </w:t>
      </w:r>
      <w:r w:rsidRPr="004B2498">
        <w:rPr>
          <w:lang w:eastAsia="fr-FR" w:bidi="fr-FR"/>
        </w:rPr>
        <w:t>sincérité, famille et responsabilité » qu’ils ont connu  ; désormais on ne trouve plus que « méfiance, audace, irresponsabilité, violence et sexe », surtout sur les sites homosexuels. Il est vrai, précisent-ils, qu’à cette époque, les i</w:t>
      </w:r>
      <w:r w:rsidRPr="004B2498">
        <w:rPr>
          <w:lang w:eastAsia="fr-FR" w:bidi="fr-FR"/>
        </w:rPr>
        <w:t>n</w:t>
      </w:r>
      <w:r w:rsidRPr="004B2498">
        <w:rPr>
          <w:lang w:eastAsia="fr-FR" w:bidi="fr-FR"/>
        </w:rPr>
        <w:t>ternautes étaient minoritaires : ils venaient soit de couches sociales assez aisées, soit, en raison du coût des matériaux informatiques et des connaissances numériques exigées, ils avaient un niveau d’éducation élevé ou étaient spécialisés en informatique. Ces conditions limitées permettent de comprendre et de contextualiser ce</w:t>
      </w:r>
      <w:r w:rsidRPr="004B2498">
        <w:rPr>
          <w:lang w:eastAsia="fr-FR" w:bidi="fr-FR"/>
        </w:rPr>
        <w:t>t</w:t>
      </w:r>
      <w:r w:rsidRPr="004B2498">
        <w:rPr>
          <w:lang w:eastAsia="fr-FR" w:bidi="fr-FR"/>
        </w:rPr>
        <w:t>te atmosphère de jardin d’Éden imaginaire dans un monde numérique et abstrait où les participants sont bien réels. De surcroît, la distance géographique, r</w:t>
      </w:r>
      <w:r w:rsidRPr="004B2498">
        <w:rPr>
          <w:lang w:eastAsia="fr-FR" w:bidi="fr-FR"/>
        </w:rPr>
        <w:t>é</w:t>
      </w:r>
      <w:r w:rsidRPr="004B2498">
        <w:rPr>
          <w:lang w:eastAsia="fr-FR" w:bidi="fr-FR"/>
        </w:rPr>
        <w:t>elle et/ou imaginaire, rassurait les internautes et les émancipait de la peur et de l’angoisse d’être, dans la vie réelle, dévo</w:t>
      </w:r>
      <w:r w:rsidRPr="004B2498">
        <w:rPr>
          <w:lang w:eastAsia="fr-FR" w:bidi="fr-FR"/>
        </w:rPr>
        <w:t>i</w:t>
      </w:r>
      <w:r w:rsidRPr="004B2498">
        <w:rPr>
          <w:lang w:eastAsia="fr-FR" w:bidi="fr-FR"/>
        </w:rPr>
        <w:t>lés comme des homosexuels, des personnes considérées comme « différentes et anormales ».</w:t>
      </w:r>
    </w:p>
    <w:p w14:paraId="68D3B214" w14:textId="77777777" w:rsidR="002F4063" w:rsidRPr="004B2498" w:rsidRDefault="002F4063" w:rsidP="002F4063">
      <w:pPr>
        <w:spacing w:before="120" w:after="120"/>
        <w:jc w:val="both"/>
      </w:pPr>
      <w:r w:rsidRPr="004B2498">
        <w:rPr>
          <w:lang w:eastAsia="fr-FR" w:bidi="fr-FR"/>
        </w:rPr>
        <w:t>« Nous n’allons pas changer et on est sûrs (de leur sexualité) » ; fermes et sûrs, Zhiheng et Lingyu sont « sortis du placard » pour leurs frères et mères la même année, en 2002. À travers la phrase citée ci-dessus, ils affirment leur sexualité et leur engagement l’un envers l’autre. Cet engagement réciproque, la tolérance et la compréhension montrées par les membres de leurs familles, le silence de leurs pères qui ont pris connaissance de leur sexualité par leurs mères et l’espace de liberté dont ils jouissent au sein de leurs familles en ce qui conce</w:t>
      </w:r>
      <w:r w:rsidRPr="004B2498">
        <w:rPr>
          <w:lang w:eastAsia="fr-FR" w:bidi="fr-FR"/>
        </w:rPr>
        <w:t>r</w:t>
      </w:r>
      <w:r w:rsidRPr="004B2498">
        <w:rPr>
          <w:lang w:eastAsia="fr-FR" w:bidi="fr-FR"/>
        </w:rPr>
        <w:t>ne le mariage, favorisent une solidarité pertinente et une complicité cohérente dans leur relation interpersonnelle. L’entretien nous amène à une discussion ouverte et franche sur la FPAH. Ils commencent leurs critiques par une expression chinoise utilisée quand quelqu’un de nouveau dans un groupe veut commenter une affaire du groupe : « On est nouveau, il y a des choses/paroles... on ne sait pas si on doit les dire ou non », en particulier parce que « c’est difficile de s’intégrer dans cette grande famille ». Le sentiment de « famille » était pour Zhiheng beaucoup plus palpable sur les premiers sites</w:t>
      </w:r>
      <w:r w:rsidRPr="004B2498">
        <w:t>/</w:t>
      </w:r>
      <w:r w:rsidRPr="001125D4">
        <w:rPr>
          <w:i/>
        </w:rPr>
        <w:t>chatrooms</w:t>
      </w:r>
      <w:r w:rsidRPr="004B2498">
        <w:rPr>
          <w:lang w:eastAsia="fr-FR" w:bidi="fr-FR"/>
        </w:rPr>
        <w:t xml:space="preserve"> h</w:t>
      </w:r>
      <w:r w:rsidRPr="004B2498">
        <w:rPr>
          <w:lang w:eastAsia="fr-FR" w:bidi="fr-FR"/>
        </w:rPr>
        <w:t>o</w:t>
      </w:r>
      <w:r w:rsidRPr="004B2498">
        <w:rPr>
          <w:lang w:eastAsia="fr-FR" w:bidi="fr-FR"/>
        </w:rPr>
        <w:t xml:space="preserve">mosexuels qu’il avait visités que dans la « grande famille » de « Maman Shang ». Dans les </w:t>
      </w:r>
      <w:r w:rsidRPr="001125D4">
        <w:rPr>
          <w:i/>
        </w:rPr>
        <w:t>chatrooms</w:t>
      </w:r>
      <w:r w:rsidRPr="004B2498">
        <w:rPr>
          <w:lang w:eastAsia="fr-FR" w:bidi="fr-FR"/>
        </w:rPr>
        <w:t xml:space="preserve"> en question, les internautes se trouvaient sur un pied d’égalité, se respectaient, et pouvaient partager, parler « sans tabou » sur tous les sujets : vie sentimentale, travail, etc. Alors que la « grande famille », réunie par une mère symbolique, n’a pas réussi à intégrer tous les membres : parler d’une conversation sans tabou alors que certains n’osent même pas dire bonjour aux autres... ! Cette distance interpersonnelle échappe souvent aux organisateurs et aux animateurs de la FPAH. C’est ainsi qu’un animateur, dans une rencontre d’amour dans un lieu public, s’est fâché contre les partic</w:t>
      </w:r>
      <w:r w:rsidRPr="004B2498">
        <w:rPr>
          <w:lang w:eastAsia="fr-FR" w:bidi="fr-FR"/>
        </w:rPr>
        <w:t>i</w:t>
      </w:r>
      <w:r w:rsidRPr="004B2498">
        <w:rPr>
          <w:lang w:eastAsia="fr-FR" w:bidi="fr-FR"/>
        </w:rPr>
        <w:t>pants « homosexuels » parce qu’aucun ne voulait se présenter devant un microphone face à un public qui réunissait participants actifs et visiteurs, simples curieux ou participants masqués. Effectivement, ce</w:t>
      </w:r>
      <w:r w:rsidRPr="004B2498">
        <w:rPr>
          <w:lang w:eastAsia="fr-FR" w:bidi="fr-FR"/>
        </w:rPr>
        <w:t>r</w:t>
      </w:r>
      <w:r w:rsidRPr="004B2498">
        <w:rPr>
          <w:lang w:eastAsia="fr-FR" w:bidi="fr-FR"/>
        </w:rPr>
        <w:t>tains</w:t>
      </w:r>
      <w:r w:rsidRPr="004B2498">
        <w:t xml:space="preserve"> [202]</w:t>
      </w:r>
      <w:r>
        <w:t xml:space="preserve"> </w:t>
      </w:r>
      <w:r w:rsidRPr="004B2498">
        <w:rPr>
          <w:lang w:eastAsia="fr-FR" w:bidi="fr-FR"/>
        </w:rPr>
        <w:t>participants, cachés parmi les spectateurs, n’ont pas osé entrer dans le cercle des participants actifs, « comme la journée au parc » ajoute Lingyu.</w:t>
      </w:r>
    </w:p>
    <w:p w14:paraId="1C639F21" w14:textId="77777777" w:rsidR="002F4063" w:rsidRPr="004B2498" w:rsidRDefault="002F4063" w:rsidP="002F4063">
      <w:pPr>
        <w:spacing w:before="120" w:after="120"/>
        <w:jc w:val="both"/>
      </w:pPr>
      <w:r w:rsidRPr="004B2498">
        <w:rPr>
          <w:lang w:eastAsia="fr-FR" w:bidi="fr-FR"/>
        </w:rPr>
        <w:t>Tous les deux « bénévoles », ils ne savent pas quels sont exact</w:t>
      </w:r>
      <w:r w:rsidRPr="004B2498">
        <w:rPr>
          <w:lang w:eastAsia="fr-FR" w:bidi="fr-FR"/>
        </w:rPr>
        <w:t>e</w:t>
      </w:r>
      <w:r w:rsidRPr="004B2498">
        <w:rPr>
          <w:lang w:eastAsia="fr-FR" w:bidi="fr-FR"/>
        </w:rPr>
        <w:t>ment leurs tâches/devoirs ni ce qu’ils peuvent faire pour l’association : insistons une fois encore sur la distance qui sépare leur ville et Ca</w:t>
      </w:r>
      <w:r w:rsidRPr="004B2498">
        <w:rPr>
          <w:lang w:eastAsia="fr-FR" w:bidi="fr-FR"/>
        </w:rPr>
        <w:t>n</w:t>
      </w:r>
      <w:r w:rsidRPr="004B2498">
        <w:rPr>
          <w:lang w:eastAsia="fr-FR" w:bidi="fr-FR"/>
        </w:rPr>
        <w:t>ton. Inscrits sur la liste pendant les activités de la FPAH, ils sont d</w:t>
      </w:r>
      <w:r w:rsidRPr="004B2498">
        <w:rPr>
          <w:lang w:eastAsia="fr-FR" w:bidi="fr-FR"/>
        </w:rPr>
        <w:t>e</w:t>
      </w:r>
      <w:r w:rsidRPr="004B2498">
        <w:rPr>
          <w:lang w:eastAsia="fr-FR" w:bidi="fr-FR"/>
        </w:rPr>
        <w:t>venus « bénévoles » et les deux seuls dans leur ville. Sans règles ni structures, « l’association aura du mal à exister, sans parler de son d</w:t>
      </w:r>
      <w:r w:rsidRPr="004B2498">
        <w:rPr>
          <w:lang w:eastAsia="fr-FR" w:bidi="fr-FR"/>
        </w:rPr>
        <w:t>é</w:t>
      </w:r>
      <w:r w:rsidRPr="004B2498">
        <w:rPr>
          <w:lang w:eastAsia="fr-FR" w:bidi="fr-FR"/>
        </w:rPr>
        <w:t>veloppement et de son élargissement », dit Zhiheng. Ce dernier et Lingyu sont déçus par les conflits personnels : deux volontaires se sont disputés dans le groupe des volontaires de la FPAH sur l’espace QQ de l’association. Et leur déception lors de la journée au parc s’est accrue du sentiment d’être exclus dans les conversations à la table où ils se sont trouvés avec un petit groupe de volontaires activistes, qui se connaissent très bien et sont employés ou anciens employés d’associations homosexuelles à Canton. La conversation ouverte par Zhiheng et Lingyu a été ignorée par ce petit groupe et les autres me</w:t>
      </w:r>
      <w:r w:rsidRPr="004B2498">
        <w:rPr>
          <w:lang w:eastAsia="fr-FR" w:bidi="fr-FR"/>
        </w:rPr>
        <w:t>m</w:t>
      </w:r>
      <w:r w:rsidRPr="004B2498">
        <w:rPr>
          <w:lang w:eastAsia="fr-FR" w:bidi="fr-FR"/>
        </w:rPr>
        <w:t>bres présents sont restés passifs et silencieux. La difficulté de parler ou de prendre une photo avec la fondatrice, qui est toujours en train de discuter, d’orienter et de consoler quelqu’un, forge et renforce leur sentiment d’être « à l’extérieur » malgré leur volonté d’intégration à cette « grande famille ». Les participants venant d’autres villes co</w:t>
      </w:r>
      <w:r w:rsidRPr="004B2498">
        <w:rPr>
          <w:lang w:eastAsia="fr-FR" w:bidi="fr-FR"/>
        </w:rPr>
        <w:t>m</w:t>
      </w:r>
      <w:r w:rsidRPr="004B2498">
        <w:rPr>
          <w:lang w:eastAsia="fr-FR" w:bidi="fr-FR"/>
        </w:rPr>
        <w:t xml:space="preserve">me Zhiheng et Lingyu sont majoritaires dans les activités. Suivant la même logique que les internautes du </w:t>
      </w:r>
      <w:r w:rsidRPr="003C1FB0">
        <w:rPr>
          <w:i/>
        </w:rPr>
        <w:t>chatroom</w:t>
      </w:r>
      <w:r w:rsidRPr="004B2498">
        <w:rPr>
          <w:lang w:eastAsia="fr-FR" w:bidi="fr-FR"/>
        </w:rPr>
        <w:t xml:space="preserve"> déjà évoqués, les i</w:t>
      </w:r>
      <w:r w:rsidRPr="004B2498">
        <w:rPr>
          <w:lang w:eastAsia="fr-FR" w:bidi="fr-FR"/>
        </w:rPr>
        <w:t>n</w:t>
      </w:r>
      <w:r w:rsidRPr="004B2498">
        <w:rPr>
          <w:lang w:eastAsia="fr-FR" w:bidi="fr-FR"/>
        </w:rPr>
        <w:t>ternautes/participants de ce cercle, celui de l’association et celui des homosexuels en Chine évitent systématiquement les activités organ</w:t>
      </w:r>
      <w:r w:rsidRPr="004B2498">
        <w:rPr>
          <w:lang w:eastAsia="fr-FR" w:bidi="fr-FR"/>
        </w:rPr>
        <w:t>i</w:t>
      </w:r>
      <w:r w:rsidRPr="004B2498">
        <w:rPr>
          <w:lang w:eastAsia="fr-FR" w:bidi="fr-FR"/>
        </w:rPr>
        <w:t>sées dans leur ville. Cependant, certains des participants que nous avons rencontrés habitent ou sont originaires de Canton, tel Manli, dont nous parlerons plus loin.</w:t>
      </w:r>
    </w:p>
    <w:p w14:paraId="34DC841D" w14:textId="77777777" w:rsidR="002F4063" w:rsidRPr="004B2498" w:rsidRDefault="002F4063" w:rsidP="002F4063">
      <w:pPr>
        <w:spacing w:before="120" w:after="120"/>
        <w:jc w:val="both"/>
      </w:pPr>
      <w:r w:rsidRPr="004B2498">
        <w:rPr>
          <w:lang w:eastAsia="fr-FR" w:bidi="fr-FR"/>
        </w:rPr>
        <w:t>Cet esprit d’« audace » sur Internet est rappelé par Zhiheng et Li</w:t>
      </w:r>
      <w:r w:rsidRPr="004B2498">
        <w:rPr>
          <w:lang w:eastAsia="fr-FR" w:bidi="fr-FR"/>
        </w:rPr>
        <w:t>n</w:t>
      </w:r>
      <w:r w:rsidRPr="004B2498">
        <w:rPr>
          <w:lang w:eastAsia="fr-FR" w:bidi="fr-FR"/>
        </w:rPr>
        <w:t>gyu. Ils distinguent dans l’évolution d’Internet en Chine plusieurs d</w:t>
      </w:r>
      <w:r w:rsidRPr="004B2498">
        <w:rPr>
          <w:lang w:eastAsia="fr-FR" w:bidi="fr-FR"/>
        </w:rPr>
        <w:t>a</w:t>
      </w:r>
      <w:r w:rsidRPr="004B2498">
        <w:rPr>
          <w:lang w:eastAsia="fr-FR" w:bidi="fr-FR"/>
        </w:rPr>
        <w:t>tes dont les années 2002 et 2005. Celle-là marque une expansion g</w:t>
      </w:r>
      <w:r w:rsidRPr="004B2498">
        <w:rPr>
          <w:lang w:eastAsia="fr-FR" w:bidi="fr-FR"/>
        </w:rPr>
        <w:t>é</w:t>
      </w:r>
      <w:r w:rsidRPr="004B2498">
        <w:rPr>
          <w:lang w:eastAsia="fr-FR" w:bidi="fr-FR"/>
        </w:rPr>
        <w:t>nérale des ordinateurs et d’Internet en Chine - la connexion coûtait 10 yuans par heure. Cette génération d’internautes est « issue de la classe moyenne » ; « ils ne s’inquiétaient pas de la vie mais ils n’étaient pas satisfaits de leur vie de « l’esprit », ajoutent Zhiheng et Lingyu. Ils continuent leurs remarques : les internautes de cette génération, de l’année 2002, « ne pouvaient pas parler à leurs parents donc ils lai</w:t>
      </w:r>
      <w:r w:rsidRPr="004B2498">
        <w:rPr>
          <w:lang w:eastAsia="fr-FR" w:bidi="fr-FR"/>
        </w:rPr>
        <w:t>s</w:t>
      </w:r>
      <w:r w:rsidRPr="004B2498">
        <w:rPr>
          <w:lang w:eastAsia="fr-FR" w:bidi="fr-FR"/>
        </w:rPr>
        <w:t>saient couler leurs émotions sur Internet sans penser aux conséque</w:t>
      </w:r>
      <w:r w:rsidRPr="004B2498">
        <w:rPr>
          <w:lang w:eastAsia="fr-FR" w:bidi="fr-FR"/>
        </w:rPr>
        <w:t>n</w:t>
      </w:r>
      <w:r w:rsidRPr="004B2498">
        <w:rPr>
          <w:lang w:eastAsia="fr-FR" w:bidi="fr-FR"/>
        </w:rPr>
        <w:t>ces, ils parlaient de ce qu’ils voulaient, sans tabou ». En 2005, la s</w:t>
      </w:r>
      <w:r w:rsidRPr="004B2498">
        <w:rPr>
          <w:lang w:eastAsia="fr-FR" w:bidi="fr-FR"/>
        </w:rPr>
        <w:t>i</w:t>
      </w:r>
      <w:r w:rsidRPr="004B2498">
        <w:rPr>
          <w:lang w:eastAsia="fr-FR" w:bidi="fr-FR"/>
        </w:rPr>
        <w:t>tuation devient la suivante : « les internautes craignent que les autres ne sachent pas (qu’ils s’identifient comme homosexuels) ». Pour Zh</w:t>
      </w:r>
      <w:r w:rsidRPr="004B2498">
        <w:rPr>
          <w:lang w:eastAsia="fr-FR" w:bidi="fr-FR"/>
        </w:rPr>
        <w:t>i</w:t>
      </w:r>
      <w:r w:rsidRPr="004B2498">
        <w:rPr>
          <w:lang w:eastAsia="fr-FR" w:bidi="fr-FR"/>
        </w:rPr>
        <w:t>heng et Lingyu, cet acte est désormais une manière de « devenir connu ». L’identité homosexuelle, médiatisée, est pour certains inte</w:t>
      </w:r>
      <w:r w:rsidRPr="004B2498">
        <w:rPr>
          <w:lang w:eastAsia="fr-FR" w:bidi="fr-FR"/>
        </w:rPr>
        <w:t>r</w:t>
      </w:r>
      <w:r w:rsidRPr="004B2498">
        <w:rPr>
          <w:lang w:eastAsia="fr-FR" w:bidi="fr-FR"/>
        </w:rPr>
        <w:t>nautes, un outil pour attirer l’attention et devenir célèbre, sur les sites comme dans la vie</w:t>
      </w:r>
      <w:r>
        <w:t xml:space="preserve"> </w:t>
      </w:r>
      <w:r w:rsidRPr="004B2498">
        <w:t>[203]</w:t>
      </w:r>
      <w:r>
        <w:t xml:space="preserve"> </w:t>
      </w:r>
      <w:r w:rsidRPr="004B2498">
        <w:rPr>
          <w:lang w:eastAsia="fr-FR" w:bidi="fr-FR"/>
        </w:rPr>
        <w:t>« réelle ». Le fait que certains la prennent comme un levier, voire un « jouet » déçoit Zhiheng et Lingyu, ainsi que les internautes de leur génération, qui ne veulent plus retourner sur les sites homosexuels « à partir de 2004 ou 2005 », précise Zh</w:t>
      </w:r>
      <w:r w:rsidRPr="004B2498">
        <w:rPr>
          <w:lang w:eastAsia="fr-FR" w:bidi="fr-FR"/>
        </w:rPr>
        <w:t>i</w:t>
      </w:r>
      <w:r w:rsidRPr="004B2498">
        <w:rPr>
          <w:lang w:eastAsia="fr-FR" w:bidi="fr-FR"/>
        </w:rPr>
        <w:t>heng. Ce dernier a voulu retro</w:t>
      </w:r>
      <w:r w:rsidRPr="004B2498">
        <w:rPr>
          <w:lang w:eastAsia="fr-FR" w:bidi="fr-FR"/>
        </w:rPr>
        <w:t>u</w:t>
      </w:r>
      <w:r w:rsidRPr="004B2498">
        <w:rPr>
          <w:lang w:eastAsia="fr-FR" w:bidi="fr-FR"/>
        </w:rPr>
        <w:t xml:space="preserve">ver « le sentiment comme avant » et il est retourné dans les </w:t>
      </w:r>
      <w:r w:rsidRPr="004B2498">
        <w:t>ch</w:t>
      </w:r>
      <w:r w:rsidRPr="004B2498">
        <w:t>a</w:t>
      </w:r>
      <w:r w:rsidRPr="004B2498">
        <w:t>trooms</w:t>
      </w:r>
      <w:r w:rsidRPr="004B2498">
        <w:rPr>
          <w:lang w:eastAsia="fr-FR" w:bidi="fr-FR"/>
        </w:rPr>
        <w:t>, mais personne parmi leurs vieux amis rencontrés sur les sites ne veut plus y aller avec lui, ils préfèrent rester sur QQ. Cette fréque</w:t>
      </w:r>
      <w:r w:rsidRPr="004B2498">
        <w:rPr>
          <w:lang w:eastAsia="fr-FR" w:bidi="fr-FR"/>
        </w:rPr>
        <w:t>n</w:t>
      </w:r>
      <w:r w:rsidRPr="004B2498">
        <w:rPr>
          <w:lang w:eastAsia="fr-FR" w:bidi="fr-FR"/>
        </w:rPr>
        <w:t>tation réduite sur les sites homosexuels, qui à l’époque représentaient « la famille » pour Zhiheng, voire la « coupure » ou la « rupture », s’inscrit aussi dans leur usage d’Internet. Depuis 2004, Lingyu n’utilise plus Internet que pour son travail et son côté pratique : che</w:t>
      </w:r>
      <w:r w:rsidRPr="004B2498">
        <w:rPr>
          <w:lang w:eastAsia="fr-FR" w:bidi="fr-FR"/>
        </w:rPr>
        <w:t>r</w:t>
      </w:r>
      <w:r w:rsidRPr="004B2498">
        <w:rPr>
          <w:lang w:eastAsia="fr-FR" w:bidi="fr-FR"/>
        </w:rPr>
        <w:t xml:space="preserve">cher des informations </w:t>
      </w:r>
      <w:r w:rsidRPr="004B2498">
        <w:t>via</w:t>
      </w:r>
      <w:r w:rsidRPr="004B2498">
        <w:rPr>
          <w:lang w:eastAsia="fr-FR" w:bidi="fr-FR"/>
        </w:rPr>
        <w:t xml:space="preserve"> les moteurs de recherche principalement. Quant à Zhiheng, il a « coupé » avec son habitude d’utiliser Internet « pour le contact avec les gens » à partir de 2004. Pour eux, ils ont « vécu » et savent ce qui s’est passé, ce qui se passe et va se passer, « avant, maintenant et dans l’avenir ». Aux yeux de Zhiheng, Internet a joué un rôle d’outil et d’instrument, lui a servi à « explorer », à « connaître » son identité d’homosexuel, à faire circ</w:t>
      </w:r>
      <w:r w:rsidRPr="004B2498">
        <w:rPr>
          <w:lang w:eastAsia="fr-FR" w:bidi="fr-FR"/>
        </w:rPr>
        <w:t>u</w:t>
      </w:r>
      <w:r w:rsidRPr="004B2498">
        <w:rPr>
          <w:lang w:eastAsia="fr-FR" w:bidi="fr-FR"/>
        </w:rPr>
        <w:t>ler des inform</w:t>
      </w:r>
      <w:r w:rsidRPr="004B2498">
        <w:rPr>
          <w:lang w:eastAsia="fr-FR" w:bidi="fr-FR"/>
        </w:rPr>
        <w:t>a</w:t>
      </w:r>
      <w:r w:rsidRPr="004B2498">
        <w:rPr>
          <w:lang w:eastAsia="fr-FR" w:bidi="fr-FR"/>
        </w:rPr>
        <w:t>tions, à la quête de connaissances et à la mise en réseau des interna</w:t>
      </w:r>
      <w:r w:rsidRPr="004B2498">
        <w:rPr>
          <w:lang w:eastAsia="fr-FR" w:bidi="fr-FR"/>
        </w:rPr>
        <w:t>u</w:t>
      </w:r>
      <w:r w:rsidRPr="004B2498">
        <w:rPr>
          <w:lang w:eastAsia="fr-FR" w:bidi="fr-FR"/>
        </w:rPr>
        <w:t>tes. Après qu’il ait rempli sa mission, Internet n’a plus de rôle primordial dans leur existence et la scène du théâtre a déjà cha</w:t>
      </w:r>
      <w:r w:rsidRPr="004B2498">
        <w:rPr>
          <w:lang w:eastAsia="fr-FR" w:bidi="fr-FR"/>
        </w:rPr>
        <w:t>n</w:t>
      </w:r>
      <w:r w:rsidRPr="004B2498">
        <w:rPr>
          <w:lang w:eastAsia="fr-FR" w:bidi="fr-FR"/>
        </w:rPr>
        <w:t>gé. Conce</w:t>
      </w:r>
      <w:r w:rsidRPr="004B2498">
        <w:rPr>
          <w:lang w:eastAsia="fr-FR" w:bidi="fr-FR"/>
        </w:rPr>
        <w:t>r</w:t>
      </w:r>
      <w:r w:rsidRPr="004B2498">
        <w:rPr>
          <w:lang w:eastAsia="fr-FR" w:bidi="fr-FR"/>
        </w:rPr>
        <w:t>nant la muraille technique imposée par le gouvernement chinois, Li</w:t>
      </w:r>
      <w:r w:rsidRPr="004B2498">
        <w:rPr>
          <w:lang w:eastAsia="fr-FR" w:bidi="fr-FR"/>
        </w:rPr>
        <w:t>n</w:t>
      </w:r>
      <w:r w:rsidRPr="004B2498">
        <w:rPr>
          <w:lang w:eastAsia="fr-FR" w:bidi="fr-FR"/>
        </w:rPr>
        <w:t>gyu et Zhiheng participent à la tâche de la manipulation logicielle pour franchir cette frontière informatique et politique. La manipul</w:t>
      </w:r>
      <w:r w:rsidRPr="004B2498">
        <w:rPr>
          <w:lang w:eastAsia="fr-FR" w:bidi="fr-FR"/>
        </w:rPr>
        <w:t>a</w:t>
      </w:r>
      <w:r w:rsidRPr="004B2498">
        <w:rPr>
          <w:lang w:eastAsia="fr-FR" w:bidi="fr-FR"/>
        </w:rPr>
        <w:t xml:space="preserve">tion de </w:t>
      </w:r>
      <w:r w:rsidRPr="001125D4">
        <w:rPr>
          <w:i/>
        </w:rPr>
        <w:t>fan qiang</w:t>
      </w:r>
      <w:r w:rsidRPr="004B2498">
        <w:t xml:space="preserve"> -</w:t>
      </w:r>
      <w:r w:rsidRPr="004B2498">
        <w:rPr>
          <w:lang w:eastAsia="fr-FR" w:bidi="fr-FR"/>
        </w:rPr>
        <w:t xml:space="preserve"> grimper au </w:t>
      </w:r>
      <w:r w:rsidRPr="001125D4">
        <w:rPr>
          <w:i/>
        </w:rPr>
        <w:t>Great Firewall</w:t>
      </w:r>
      <w:r w:rsidRPr="004B2498">
        <w:t xml:space="preserve"> -</w:t>
      </w:r>
      <w:r w:rsidRPr="004B2498">
        <w:rPr>
          <w:lang w:eastAsia="fr-FR" w:bidi="fr-FR"/>
        </w:rPr>
        <w:t xml:space="preserve"> n’est plus qu’un acte de curiosité pour eux et ils « n’ont pas besoin » de cons</w:t>
      </w:r>
      <w:r w:rsidRPr="004B2498">
        <w:rPr>
          <w:lang w:eastAsia="fr-FR" w:bidi="fr-FR"/>
        </w:rPr>
        <w:t>a</w:t>
      </w:r>
      <w:r w:rsidRPr="004B2498">
        <w:rPr>
          <w:lang w:eastAsia="fr-FR" w:bidi="fr-FR"/>
        </w:rPr>
        <w:t>crer « leur temps et leur énergie » à chercher des informations qu’ils peuvent trouver à travers d’autres canaux que les sites censurés. De plus, on n’y trouve souvent que des « choses similaires » à ce qu’ils ont déjà « trop lu » à l’époque. Cette manipulation n’était pas une priorité dans leur usage d’Internet avant 2004 et leur semble encore moins néce</w:t>
      </w:r>
      <w:r w:rsidRPr="004B2498">
        <w:rPr>
          <w:lang w:eastAsia="fr-FR" w:bidi="fr-FR"/>
        </w:rPr>
        <w:t>s</w:t>
      </w:r>
      <w:r w:rsidRPr="004B2498">
        <w:rPr>
          <w:lang w:eastAsia="fr-FR" w:bidi="fr-FR"/>
        </w:rPr>
        <w:t>saire aujourd’hui. La prise de conscience de la censure ne conduit donc pas automatiquement au sentiment d’être « embêté » ni à un sentiment d’injustice, ni même à parler de revendications polit</w:t>
      </w:r>
      <w:r w:rsidRPr="004B2498">
        <w:rPr>
          <w:lang w:eastAsia="fr-FR" w:bidi="fr-FR"/>
        </w:rPr>
        <w:t>i</w:t>
      </w:r>
      <w:r w:rsidRPr="004B2498">
        <w:rPr>
          <w:lang w:eastAsia="fr-FR" w:bidi="fr-FR"/>
        </w:rPr>
        <w:t>ques pour la liberté d’expression, comme Junwei.</w:t>
      </w:r>
    </w:p>
    <w:p w14:paraId="0AC51F2F" w14:textId="77777777" w:rsidR="002F4063" w:rsidRPr="004B2498" w:rsidRDefault="002F4063" w:rsidP="002F4063">
      <w:pPr>
        <w:spacing w:before="120" w:after="120"/>
        <w:jc w:val="both"/>
      </w:pPr>
      <w:r w:rsidRPr="004B2498">
        <w:rPr>
          <w:lang w:eastAsia="fr-FR" w:bidi="fr-FR"/>
        </w:rPr>
        <w:t xml:space="preserve">Revenons sur l’association FPAH. Le flux et la mobilité de ses membres ne leur permettent pas de s’intégrer à l’association. Cette dispersion fait de cette structure l’association d’une seule personne - « Maman Shang », qui supervise tout : son blog, la </w:t>
      </w:r>
      <w:r w:rsidRPr="001125D4">
        <w:rPr>
          <w:i/>
        </w:rPr>
        <w:t>hotline</w:t>
      </w:r>
      <w:r w:rsidRPr="004B2498">
        <w:rPr>
          <w:lang w:eastAsia="fr-FR" w:bidi="fr-FR"/>
        </w:rPr>
        <w:t>, l’organisation des activités (rencontres et réunions des parents, débats, rencontres, projections de films, et éducation sur le SIDA, etc.). Le comptable est le seul qui soit présent à toutes les activités, il est volo</w:t>
      </w:r>
      <w:r w:rsidRPr="004B2498">
        <w:rPr>
          <w:lang w:eastAsia="fr-FR" w:bidi="fr-FR"/>
        </w:rPr>
        <w:t>n</w:t>
      </w:r>
      <w:r w:rsidRPr="004B2498">
        <w:rPr>
          <w:lang w:eastAsia="fr-FR" w:bidi="fr-FR"/>
        </w:rPr>
        <w:t>taire et « hétérosexuel », précise Lingyu. Les contraintes géograph</w:t>
      </w:r>
      <w:r w:rsidRPr="004B2498">
        <w:rPr>
          <w:lang w:eastAsia="fr-FR" w:bidi="fr-FR"/>
        </w:rPr>
        <w:t>i</w:t>
      </w:r>
      <w:r w:rsidRPr="004B2498">
        <w:rPr>
          <w:lang w:eastAsia="fr-FR" w:bidi="fr-FR"/>
        </w:rPr>
        <w:t>ques et politiques limitent les activités de cette association à Guan</w:t>
      </w:r>
      <w:r w:rsidRPr="004B2498">
        <w:rPr>
          <w:lang w:eastAsia="fr-FR" w:bidi="fr-FR"/>
        </w:rPr>
        <w:t>g</w:t>
      </w:r>
      <w:r w:rsidRPr="004B2498">
        <w:rPr>
          <w:lang w:eastAsia="fr-FR" w:bidi="fr-FR"/>
        </w:rPr>
        <w:t>zhou. Mais cela va bientôt changer. En octobre 2010, le troisième congrès de la rencontre des parents, activité principale et emblémat</w:t>
      </w:r>
      <w:r w:rsidRPr="004B2498">
        <w:rPr>
          <w:lang w:eastAsia="fr-FR" w:bidi="fr-FR"/>
        </w:rPr>
        <w:t>i</w:t>
      </w:r>
      <w:r w:rsidRPr="004B2498">
        <w:rPr>
          <w:lang w:eastAsia="fr-FR" w:bidi="fr-FR"/>
        </w:rPr>
        <w:t>que de la</w:t>
      </w:r>
      <w:r>
        <w:t xml:space="preserve"> </w:t>
      </w:r>
      <w:r w:rsidRPr="004B2498">
        <w:t>[204]</w:t>
      </w:r>
      <w:r>
        <w:t xml:space="preserve"> </w:t>
      </w:r>
      <w:r w:rsidRPr="004B2498">
        <w:rPr>
          <w:lang w:eastAsia="fr-FR" w:bidi="fr-FR"/>
        </w:rPr>
        <w:t>visibilité de cette association, a eu lieu à Pékin. Cette rencontre, qui s’est faite en coopération avec un centre homosexuel de lutte contre le SIDA de Pékin, lequel vient de se jumeler à une ass</w:t>
      </w:r>
      <w:r w:rsidRPr="004B2498">
        <w:rPr>
          <w:lang w:eastAsia="fr-FR" w:bidi="fr-FR"/>
        </w:rPr>
        <w:t>o</w:t>
      </w:r>
      <w:r w:rsidRPr="004B2498">
        <w:rPr>
          <w:lang w:eastAsia="fr-FR" w:bidi="fr-FR"/>
        </w:rPr>
        <w:t>ciation d'homosexuels de Los Angeles mondialement connue, a réussi à pre</w:t>
      </w:r>
      <w:r w:rsidRPr="004B2498">
        <w:rPr>
          <w:lang w:eastAsia="fr-FR" w:bidi="fr-FR"/>
        </w:rPr>
        <w:t>n</w:t>
      </w:r>
      <w:r w:rsidRPr="004B2498">
        <w:rPr>
          <w:lang w:eastAsia="fr-FR" w:bidi="fr-FR"/>
        </w:rPr>
        <w:t>dre de l’ampleur sur la scène nationale et internationale avec la pr</w:t>
      </w:r>
      <w:r w:rsidRPr="004B2498">
        <w:rPr>
          <w:lang w:eastAsia="fr-FR" w:bidi="fr-FR"/>
        </w:rPr>
        <w:t>é</w:t>
      </w:r>
      <w:r w:rsidRPr="004B2498">
        <w:rPr>
          <w:lang w:eastAsia="fr-FR" w:bidi="fr-FR"/>
        </w:rPr>
        <w:t>sence d’experts du travail social américains ainsi que des parents et de leurs enfants venus du Canada et des États-Unis. L’importance pr</w:t>
      </w:r>
      <w:r w:rsidRPr="004B2498">
        <w:rPr>
          <w:lang w:eastAsia="fr-FR" w:bidi="fr-FR"/>
        </w:rPr>
        <w:t>i</w:t>
      </w:r>
      <w:r w:rsidRPr="004B2498">
        <w:rPr>
          <w:lang w:eastAsia="fr-FR" w:bidi="fr-FR"/>
        </w:rPr>
        <w:t>se par la FPAH peut aussi s’observer dans le milieu universitaire. Les normes globales, à travers les ONG ou associations locales, s’incarnent et s’articulent dans la vie individuelle des acteurs locaux. En même temps, l’association locale cherche une reconnaissance n</w:t>
      </w:r>
      <w:r w:rsidRPr="004B2498">
        <w:rPr>
          <w:lang w:eastAsia="fr-FR" w:bidi="fr-FR"/>
        </w:rPr>
        <w:t>a</w:t>
      </w:r>
      <w:r w:rsidRPr="004B2498">
        <w:rPr>
          <w:lang w:eastAsia="fr-FR" w:bidi="fr-FR"/>
        </w:rPr>
        <w:t>tionale et internationale en s’appropriant les normes globalisées et en s’intégrant aux organismes du gouvernement, aux associations ou ONG qui ont un statut politiquement et socialement reconnu. La cause personnelle devient donc la cause de tous, et « Maman Shang » est ainsi projetée sur la scène symbolique, sur Internet et dans la vie s</w:t>
      </w:r>
      <w:r w:rsidRPr="004B2498">
        <w:rPr>
          <w:lang w:eastAsia="fr-FR" w:bidi="fr-FR"/>
        </w:rPr>
        <w:t>o</w:t>
      </w:r>
      <w:r w:rsidRPr="004B2498">
        <w:rPr>
          <w:lang w:eastAsia="fr-FR" w:bidi="fr-FR"/>
        </w:rPr>
        <w:t>ciopolitique, pour la recherche d’une existence individuelle et colle</w:t>
      </w:r>
      <w:r w:rsidRPr="004B2498">
        <w:rPr>
          <w:lang w:eastAsia="fr-FR" w:bidi="fr-FR"/>
        </w:rPr>
        <w:t>c</w:t>
      </w:r>
      <w:r w:rsidRPr="004B2498">
        <w:rPr>
          <w:lang w:eastAsia="fr-FR" w:bidi="fr-FR"/>
        </w:rPr>
        <w:t>tive dans le cadre des normes globales.</w:t>
      </w:r>
    </w:p>
    <w:p w14:paraId="474A0EF6" w14:textId="77777777" w:rsidR="002F4063" w:rsidRPr="004B2498" w:rsidRDefault="002F4063" w:rsidP="002F4063">
      <w:pPr>
        <w:spacing w:before="120" w:after="120"/>
        <w:jc w:val="both"/>
        <w:rPr>
          <w:szCs w:val="24"/>
          <w:lang w:eastAsia="fr-FR" w:bidi="fr-FR"/>
        </w:rPr>
      </w:pPr>
    </w:p>
    <w:p w14:paraId="7F2CD8BE" w14:textId="77777777" w:rsidR="002F4063" w:rsidRPr="004B2498" w:rsidRDefault="002F4063" w:rsidP="002F4063">
      <w:pPr>
        <w:pStyle w:val="a"/>
      </w:pPr>
      <w:r w:rsidRPr="004B2498">
        <w:t>Le couple comme modèle</w:t>
      </w:r>
    </w:p>
    <w:p w14:paraId="7683E802" w14:textId="77777777" w:rsidR="002F4063" w:rsidRPr="004B2498" w:rsidRDefault="002F4063" w:rsidP="002F4063">
      <w:pPr>
        <w:spacing w:before="120" w:after="120"/>
        <w:jc w:val="both"/>
        <w:rPr>
          <w:lang w:eastAsia="fr-FR" w:bidi="fr-FR"/>
        </w:rPr>
      </w:pPr>
    </w:p>
    <w:p w14:paraId="3D687FA6" w14:textId="77777777" w:rsidR="002F4063" w:rsidRPr="004B2498" w:rsidRDefault="002F4063" w:rsidP="002F4063">
      <w:pPr>
        <w:spacing w:before="120" w:after="120"/>
        <w:jc w:val="both"/>
      </w:pPr>
      <w:r w:rsidRPr="004B2498">
        <w:rPr>
          <w:lang w:eastAsia="fr-FR" w:bidi="fr-FR"/>
        </w:rPr>
        <w:t>Rencontrons maintenant deux jeunes filles, Xiao et Yanlan, en couple depuis 2005. Approchant la trentaine, elles sont le seul couple présent durant la journée de rencontre de la FPAH. Cheveux courts, lunettes de forme rectangulaire noires, Yanlan est vêtue d’une tenue hip-hop et son sac à dos noir lui donne une allure de citadine. À ses côtés, Xiao reste souriante, une main dans celle de Yanlan, l’autre t</w:t>
      </w:r>
      <w:r w:rsidRPr="004B2498">
        <w:rPr>
          <w:lang w:eastAsia="fr-FR" w:bidi="fr-FR"/>
        </w:rPr>
        <w:t>e</w:t>
      </w:r>
      <w:r w:rsidRPr="004B2498">
        <w:rPr>
          <w:lang w:eastAsia="fr-FR" w:bidi="fr-FR"/>
        </w:rPr>
        <w:t>nant son sac à main. Durant l’entretien, la narration et les commenta</w:t>
      </w:r>
      <w:r w:rsidRPr="004B2498">
        <w:rPr>
          <w:lang w:eastAsia="fr-FR" w:bidi="fr-FR"/>
        </w:rPr>
        <w:t>i</w:t>
      </w:r>
      <w:r w:rsidRPr="004B2498">
        <w:rPr>
          <w:lang w:eastAsia="fr-FR" w:bidi="fr-FR"/>
        </w:rPr>
        <w:t>res de l’une et l’autre s’enchaînent et se complètent dans la complic</w:t>
      </w:r>
      <w:r w:rsidRPr="004B2498">
        <w:rPr>
          <w:lang w:eastAsia="fr-FR" w:bidi="fr-FR"/>
        </w:rPr>
        <w:t>i</w:t>
      </w:r>
      <w:r w:rsidRPr="004B2498">
        <w:rPr>
          <w:lang w:eastAsia="fr-FR" w:bidi="fr-FR"/>
        </w:rPr>
        <w:t>té. Yanlan a d’abord pris la parole avec un discours sur la discrimin</w:t>
      </w:r>
      <w:r w:rsidRPr="004B2498">
        <w:rPr>
          <w:lang w:eastAsia="fr-FR" w:bidi="fr-FR"/>
        </w:rPr>
        <w:t>a</w:t>
      </w:r>
      <w:r w:rsidRPr="004B2498">
        <w:rPr>
          <w:lang w:eastAsia="fr-FR" w:bidi="fr-FR"/>
        </w:rPr>
        <w:t>tion des homosexuels :</w:t>
      </w:r>
    </w:p>
    <w:p w14:paraId="6CF5E4EF" w14:textId="77777777" w:rsidR="002F4063" w:rsidRDefault="002F4063" w:rsidP="002F4063">
      <w:pPr>
        <w:pStyle w:val="Grillecouleur-Accent1"/>
        <w:rPr>
          <w:lang w:eastAsia="fr-FR" w:bidi="fr-FR"/>
        </w:rPr>
      </w:pPr>
    </w:p>
    <w:p w14:paraId="305C98AA" w14:textId="77777777" w:rsidR="002F4063" w:rsidRDefault="002F4063" w:rsidP="002F4063">
      <w:pPr>
        <w:pStyle w:val="Grillecouleur-Accent1"/>
        <w:rPr>
          <w:lang w:eastAsia="fr-FR" w:bidi="fr-FR"/>
        </w:rPr>
      </w:pPr>
      <w:r w:rsidRPr="004B2498">
        <w:rPr>
          <w:lang w:eastAsia="fr-FR" w:bidi="fr-FR"/>
        </w:rPr>
        <w:t>« En Chine, la discrimination est partout très grave. L’attitude officie</w:t>
      </w:r>
      <w:r w:rsidRPr="004B2498">
        <w:rPr>
          <w:lang w:eastAsia="fr-FR" w:bidi="fr-FR"/>
        </w:rPr>
        <w:t>l</w:t>
      </w:r>
      <w:r w:rsidRPr="004B2498">
        <w:rPr>
          <w:lang w:eastAsia="fr-FR" w:bidi="fr-FR"/>
        </w:rPr>
        <w:t>le est assez tolérante, la presse est devenue moins péjorative et n</w:t>
      </w:r>
      <w:r w:rsidRPr="004B2498">
        <w:rPr>
          <w:lang w:eastAsia="fr-FR" w:bidi="fr-FR"/>
        </w:rPr>
        <w:t>é</w:t>
      </w:r>
      <w:r w:rsidRPr="004B2498">
        <w:rPr>
          <w:lang w:eastAsia="fr-FR" w:bidi="fr-FR"/>
        </w:rPr>
        <w:t>gative mais dans le peuple et le public, la discrimination est grande, car ils ne connaissent pas vraiment ce cercle et ils croient aux rumeurs et aux stéré</w:t>
      </w:r>
      <w:r w:rsidRPr="004B2498">
        <w:rPr>
          <w:lang w:eastAsia="fr-FR" w:bidi="fr-FR"/>
        </w:rPr>
        <w:t>o</w:t>
      </w:r>
      <w:r w:rsidRPr="004B2498">
        <w:rPr>
          <w:lang w:eastAsia="fr-FR" w:bidi="fr-FR"/>
        </w:rPr>
        <w:t>types... ils pensent qu’on fait n’importe quoi entre nous, que les garçons homosexuels sont tous féminins et qu’on n’est pas des gens bien. »</w:t>
      </w:r>
    </w:p>
    <w:p w14:paraId="6B5984B3" w14:textId="77777777" w:rsidR="002F4063" w:rsidRPr="004B2498" w:rsidRDefault="002F4063" w:rsidP="002F4063">
      <w:pPr>
        <w:pStyle w:val="Grillecouleur-Accent1"/>
      </w:pPr>
    </w:p>
    <w:p w14:paraId="6444CA26" w14:textId="77777777" w:rsidR="002F4063" w:rsidRPr="004B2498" w:rsidRDefault="002F4063" w:rsidP="002F4063">
      <w:pPr>
        <w:spacing w:before="120" w:after="120"/>
        <w:jc w:val="both"/>
      </w:pPr>
      <w:r w:rsidRPr="004B2498">
        <w:rPr>
          <w:lang w:eastAsia="fr-FR" w:bidi="fr-FR"/>
        </w:rPr>
        <w:t>Sympathique et décidée, elle poursuit l’entretien tout en affirmant le rôle de « Maman Shang », qui légitime notre présence à la journée au parc et sans laquelle nous n’aurions pu faire cet entretien. Elles ont décidé de laisser leurs coordonnées - un numéro de portable sous leurs noms - après que « Maman Shang » nous ait présentée comme doct</w:t>
      </w:r>
      <w:r w:rsidRPr="004B2498">
        <w:rPr>
          <w:lang w:eastAsia="fr-FR" w:bidi="fr-FR"/>
        </w:rPr>
        <w:t>o</w:t>
      </w:r>
      <w:r w:rsidRPr="004B2498">
        <w:rPr>
          <w:lang w:eastAsia="fr-FR" w:bidi="fr-FR"/>
        </w:rPr>
        <w:t>rante venue de France. Quoique ne connaissant pas les recherches d’anthropologie, elles sont contentes de pouvoir y contribuer et de communiquer sincèrement leurs sentiments.</w:t>
      </w:r>
    </w:p>
    <w:p w14:paraId="3E0C0F36" w14:textId="77777777" w:rsidR="002F4063" w:rsidRPr="004B2498" w:rsidRDefault="002F4063" w:rsidP="002F4063">
      <w:pPr>
        <w:spacing w:before="120" w:after="120"/>
        <w:jc w:val="both"/>
      </w:pPr>
      <w:r w:rsidRPr="004B2498">
        <w:t>[205]</w:t>
      </w:r>
    </w:p>
    <w:p w14:paraId="6FB06AAC" w14:textId="77777777" w:rsidR="002F4063" w:rsidRPr="004B2498" w:rsidRDefault="002F4063" w:rsidP="002F4063">
      <w:pPr>
        <w:spacing w:before="120" w:after="120"/>
        <w:jc w:val="both"/>
      </w:pPr>
      <w:r w:rsidRPr="004B2498">
        <w:rPr>
          <w:lang w:eastAsia="fr-FR" w:bidi="fr-FR"/>
        </w:rPr>
        <w:t>« L’activité » au cours de laquelle nous les avons rencontrées est la quatrième « activité » collective de la FPAH à laquelle elles partic</w:t>
      </w:r>
      <w:r w:rsidRPr="004B2498">
        <w:rPr>
          <w:lang w:eastAsia="fr-FR" w:bidi="fr-FR"/>
        </w:rPr>
        <w:t>i</w:t>
      </w:r>
      <w:r w:rsidRPr="004B2498">
        <w:rPr>
          <w:lang w:eastAsia="fr-FR" w:bidi="fr-FR"/>
        </w:rPr>
        <w:t>pent. Elles trouvent cette journée écoulée « comme ci-comme ça » en la comparant avec les trois premières, en particulier la deuxième - rencontre des parents - après laquelle Yanlan était tellement « chaude dans la tête », touchée et motivée, qu’elle a « failli parler de son hi</w:t>
      </w:r>
      <w:r w:rsidRPr="004B2498">
        <w:rPr>
          <w:lang w:eastAsia="fr-FR" w:bidi="fr-FR"/>
        </w:rPr>
        <w:t>s</w:t>
      </w:r>
      <w:r w:rsidRPr="004B2498">
        <w:rPr>
          <w:lang w:eastAsia="fr-FR" w:bidi="fr-FR"/>
        </w:rPr>
        <w:t>toire à sa famille », précise Xiao. À part « le miracle » des huit filles présentes dans la journée au parc et au repas, l’activité du parc « n’a pas assez de contenu malgré le grand nombre des participants » et il n’y a pas assez de temps pour que les participants puissent se parler car ils marchent tout le temps pendant les activités. De plus, « les hommes participent avec un but, ils veulent rencontrer quelqu’un ». Elles sont « un peu déçues, comme beaucoup de gens », qui n’« osent pas le dire ». Ce sentiment de déception largement partagé est tout à fait perceptible dans le vocabulaire des autres participants que nous avons rencontrés. Cette déception est considérée comme une cons</w:t>
      </w:r>
      <w:r w:rsidRPr="004B2498">
        <w:rPr>
          <w:lang w:eastAsia="fr-FR" w:bidi="fr-FR"/>
        </w:rPr>
        <w:t>é</w:t>
      </w:r>
      <w:r w:rsidRPr="004B2498">
        <w:rPr>
          <w:lang w:eastAsia="fr-FR" w:bidi="fr-FR"/>
        </w:rPr>
        <w:t xml:space="preserve">quence d’une organisation « pas très professionnelle », selon elles, parce que cette organisation est « en fin du compte, </w:t>
      </w:r>
      <w:r w:rsidRPr="003C1FB0">
        <w:rPr>
          <w:i/>
        </w:rPr>
        <w:t>grassroot</w:t>
      </w:r>
      <w:r w:rsidRPr="003C1FB0">
        <w:rPr>
          <w:i/>
          <w:lang w:eastAsia="fr-FR" w:bidi="fr-FR"/>
        </w:rPr>
        <w:t> </w:t>
      </w:r>
      <w:r w:rsidRPr="004B2498">
        <w:rPr>
          <w:lang w:eastAsia="fr-FR" w:bidi="fr-FR"/>
        </w:rPr>
        <w:t>».</w:t>
      </w:r>
    </w:p>
    <w:p w14:paraId="5DF94371" w14:textId="77777777" w:rsidR="002F4063" w:rsidRPr="004B2498" w:rsidRDefault="002F4063" w:rsidP="002F4063">
      <w:pPr>
        <w:spacing w:before="120" w:after="120"/>
        <w:jc w:val="both"/>
      </w:pPr>
      <w:r w:rsidRPr="004B2498">
        <w:rPr>
          <w:lang w:eastAsia="fr-FR" w:bidi="fr-FR"/>
        </w:rPr>
        <w:t>Xiao, cantonaise, est la fille aînée d’une famille « riche ». Son père possède une usine de meubles en bois et sa mère travaille dans le c</w:t>
      </w:r>
      <w:r w:rsidRPr="004B2498">
        <w:rPr>
          <w:lang w:eastAsia="fr-FR" w:bidi="fr-FR"/>
        </w:rPr>
        <w:t>o</w:t>
      </w:r>
      <w:r w:rsidRPr="004B2498">
        <w:rPr>
          <w:lang w:eastAsia="fr-FR" w:bidi="fr-FR"/>
        </w:rPr>
        <w:t>mité du quartier appartenant au Parti. Elle sait très bien qu’elle n’est pas un enfant désiré car ses parents voulaient un fils, qu’ils auront en 1989, huit ans après la naissance de Xiao. Yanlan, au contraire, était supposée être le deuxième et dernier enfant après son frère. Mais un accident contraceptif a amené à la famille un nouveau garçon, un coup de « chance », selon Yanlan, pour la famille. Ce frère cadet, déjà m</w:t>
      </w:r>
      <w:r w:rsidRPr="004B2498">
        <w:rPr>
          <w:lang w:eastAsia="fr-FR" w:bidi="fr-FR"/>
        </w:rPr>
        <w:t>a</w:t>
      </w:r>
      <w:r w:rsidRPr="004B2498">
        <w:rPr>
          <w:lang w:eastAsia="fr-FR" w:bidi="fr-FR"/>
        </w:rPr>
        <w:t>rié, fonctionnaire et procureur, est à ses yeux un modèle de l’homme parfait : « bon mari, bon père et bon fils ». Quand elle dit « chanceux », ce sont ses deux frères qu’elle désigne comme « chanceux » : « Heureusement ils ont deux fils, si c’était un fils un</w:t>
      </w:r>
      <w:r w:rsidRPr="004B2498">
        <w:rPr>
          <w:lang w:eastAsia="fr-FR" w:bidi="fr-FR"/>
        </w:rPr>
        <w:t>i</w:t>
      </w:r>
      <w:r w:rsidRPr="004B2498">
        <w:rPr>
          <w:lang w:eastAsia="fr-FR" w:bidi="fr-FR"/>
        </w:rPr>
        <w:t>que, il va souffrir ! Il y a beaucoup d’homosexuels qui sont fils un</w:t>
      </w:r>
      <w:r w:rsidRPr="004B2498">
        <w:rPr>
          <w:lang w:eastAsia="fr-FR" w:bidi="fr-FR"/>
        </w:rPr>
        <w:t>i</w:t>
      </w:r>
      <w:r w:rsidRPr="004B2498">
        <w:rPr>
          <w:lang w:eastAsia="fr-FR" w:bidi="fr-FR"/>
        </w:rPr>
        <w:t>ques dans leur famille et ils souffrent énormément et amèrement. » Fille d’un propriétaire foncier condamné pendant le mouvement de réforme agraire, la mère de Yanlan n’a pas pu aller à l’école à cause de sa « mauvaise origine </w:t>
      </w:r>
      <w:r>
        <w:rPr>
          <w:rStyle w:val="Appelnotedebasdep"/>
          <w:lang w:eastAsia="fr-FR" w:bidi="fr-FR"/>
        </w:rPr>
        <w:footnoteReference w:id="176"/>
      </w:r>
      <w:r w:rsidRPr="004B2498">
        <w:rPr>
          <w:lang w:eastAsia="fr-FR" w:bidi="fr-FR"/>
        </w:rPr>
        <w:t> », dit-elle, « elle reste dans les champs, c’est une paysanne ». Comme sa femme, le père de Yanlan est issu d’une famille de propriétaires fonciers. Paysan à la campagne, il vit avec ses parents sous le même toit, selon le modèle traditionnel. L’histoire de la famille de Yanlan montre bien comment</w:t>
      </w:r>
      <w:r w:rsidRPr="004B2498">
        <w:t xml:space="preserve"> [206]</w:t>
      </w:r>
      <w:r>
        <w:t xml:space="preserve"> </w:t>
      </w:r>
      <w:r w:rsidRPr="004B2498">
        <w:rPr>
          <w:lang w:eastAsia="fr-FR" w:bidi="fr-FR"/>
        </w:rPr>
        <w:t>l’histoire de la Chine populaire est une histoire de bouleve</w:t>
      </w:r>
      <w:r w:rsidRPr="004B2498">
        <w:rPr>
          <w:lang w:eastAsia="fr-FR" w:bidi="fr-FR"/>
        </w:rPr>
        <w:t>r</w:t>
      </w:r>
      <w:r w:rsidRPr="004B2498">
        <w:rPr>
          <w:lang w:eastAsia="fr-FR" w:bidi="fr-FR"/>
        </w:rPr>
        <w:t>sements et de changements. Dans ce contexte, la famille de Yanlan a rejoint la classe des paysans. Yanlan en éprouve un sentiment d’injustice et elle dit elle-même qu’elle est une « jeune en colère</w:t>
      </w:r>
      <w:r>
        <w:rPr>
          <w:lang w:eastAsia="fr-FR" w:bidi="fr-FR"/>
        </w:rPr>
        <w:t> </w:t>
      </w:r>
      <w:r>
        <w:rPr>
          <w:rStyle w:val="Appelnotedebasdep"/>
          <w:lang w:eastAsia="fr-FR" w:bidi="fr-FR"/>
        </w:rPr>
        <w:footnoteReference w:id="177"/>
      </w:r>
      <w:r w:rsidRPr="004B2498">
        <w:rPr>
          <w:lang w:eastAsia="fr-FR" w:bidi="fr-FR"/>
        </w:rPr>
        <w:t> ». À la fin de l’entretien, elle s’est lancée sur le thème de l’injustice en parlant des frais liés à l’utilisation du lecteur de carte bancaire. Dans leur échoppe de vêtements, elles se sont rendu compte que les frais différaient entre les commerçants : elles payaient 2% d’autres 1%. Elles ont fini par protester, mais en vain. Ensuite, Xiao explique que « les règles ne sont faites que pour une partie des gens, les autres sont toujours des cas exceptionnels ». Avec émotion, Yanlan résume : « La justice manque partout en Chine ! » et « il n’y a pas d’autres pays comme la Chine ». Bien qu’elle soit consciente que ces paroles pr</w:t>
      </w:r>
      <w:r w:rsidRPr="004B2498">
        <w:rPr>
          <w:lang w:eastAsia="fr-FR" w:bidi="fr-FR"/>
        </w:rPr>
        <w:t>o</w:t>
      </w:r>
      <w:r w:rsidRPr="004B2498">
        <w:rPr>
          <w:lang w:eastAsia="fr-FR" w:bidi="fr-FR"/>
        </w:rPr>
        <w:t>noncées « ne sont pas favorables à l’harmonie de la société », froissée et révoltée, elle ne peut retenir les mots qui sortent de sa bouche : « s’il y avait une just</w:t>
      </w:r>
      <w:r w:rsidRPr="004B2498">
        <w:rPr>
          <w:lang w:eastAsia="fr-FR" w:bidi="fr-FR"/>
        </w:rPr>
        <w:t>i</w:t>
      </w:r>
      <w:r w:rsidRPr="004B2498">
        <w:rPr>
          <w:lang w:eastAsia="fr-FR" w:bidi="fr-FR"/>
        </w:rPr>
        <w:t>ce, même si on ne mange pas à notre faim, il n’y aurait ni méconte</w:t>
      </w:r>
      <w:r w:rsidRPr="004B2498">
        <w:rPr>
          <w:lang w:eastAsia="fr-FR" w:bidi="fr-FR"/>
        </w:rPr>
        <w:t>n</w:t>
      </w:r>
      <w:r w:rsidRPr="004B2498">
        <w:rPr>
          <w:lang w:eastAsia="fr-FR" w:bidi="fr-FR"/>
        </w:rPr>
        <w:t>tements ni rancunes. Mais l’injustice subsiste pa</w:t>
      </w:r>
      <w:r w:rsidRPr="004B2498">
        <w:rPr>
          <w:lang w:eastAsia="fr-FR" w:bidi="fr-FR"/>
        </w:rPr>
        <w:t>r</w:t>
      </w:r>
      <w:r w:rsidRPr="004B2498">
        <w:rPr>
          <w:lang w:eastAsia="fr-FR" w:bidi="fr-FR"/>
        </w:rPr>
        <w:t>tout ! » Rappelons que les parents de Xiao ont dû payer une amende pour la naissance de leur deuxième enfant, mais au lieu de 20 000 yuans, ils n’en ont payé que 2 000 parce que le responsable du bureau de planning familial était un bon ami de sa mère. Le réseau fait le c</w:t>
      </w:r>
      <w:r w:rsidRPr="004B2498">
        <w:rPr>
          <w:lang w:eastAsia="fr-FR" w:bidi="fr-FR"/>
        </w:rPr>
        <w:t>a</w:t>
      </w:r>
      <w:r w:rsidRPr="004B2498">
        <w:rPr>
          <w:lang w:eastAsia="fr-FR" w:bidi="fr-FR"/>
        </w:rPr>
        <w:t>pital social, ce qui rend l’ascension sociale très difficile pour ceux qui viennent des co</w:t>
      </w:r>
      <w:r w:rsidRPr="004B2498">
        <w:rPr>
          <w:lang w:eastAsia="fr-FR" w:bidi="fr-FR"/>
        </w:rPr>
        <w:t>u</w:t>
      </w:r>
      <w:r w:rsidRPr="004B2498">
        <w:rPr>
          <w:lang w:eastAsia="fr-FR" w:bidi="fr-FR"/>
        </w:rPr>
        <w:t>ches sociales inférieures. Ainsi la « mauvaise orig</w:t>
      </w:r>
      <w:r w:rsidRPr="004B2498">
        <w:rPr>
          <w:lang w:eastAsia="fr-FR" w:bidi="fr-FR"/>
        </w:rPr>
        <w:t>i</w:t>
      </w:r>
      <w:r w:rsidRPr="004B2498">
        <w:rPr>
          <w:lang w:eastAsia="fr-FR" w:bidi="fr-FR"/>
        </w:rPr>
        <w:t>ne » s’hérite malgré le niveau d’éducation.</w:t>
      </w:r>
    </w:p>
    <w:p w14:paraId="3E9D22BD" w14:textId="77777777" w:rsidR="002F4063" w:rsidRPr="004B2498" w:rsidRDefault="002F4063" w:rsidP="002F4063">
      <w:pPr>
        <w:spacing w:before="120" w:after="120"/>
        <w:jc w:val="both"/>
      </w:pPr>
      <w:r w:rsidRPr="004B2498">
        <w:rPr>
          <w:lang w:eastAsia="fr-FR" w:bidi="fr-FR"/>
        </w:rPr>
        <w:t xml:space="preserve">Xiao et Yanlan se sont rencontrées en 2005 sur un </w:t>
      </w:r>
      <w:r w:rsidRPr="00F53740">
        <w:rPr>
          <w:i/>
        </w:rPr>
        <w:t>chatroom</w:t>
      </w:r>
      <w:r w:rsidRPr="004B2498">
        <w:rPr>
          <w:lang w:eastAsia="fr-FR" w:bidi="fr-FR"/>
        </w:rPr>
        <w:t xml:space="preserve"> sur la Toile et se sont vues pour la première fois à traverse la webcam, l</w:t>
      </w:r>
      <w:r w:rsidRPr="004B2498">
        <w:rPr>
          <w:lang w:eastAsia="fr-FR" w:bidi="fr-FR"/>
        </w:rPr>
        <w:t>a</w:t>
      </w:r>
      <w:r w:rsidRPr="004B2498">
        <w:rPr>
          <w:lang w:eastAsia="fr-FR" w:bidi="fr-FR"/>
        </w:rPr>
        <w:t xml:space="preserve">quelle est « interdite maintenant par l'État car certains internautes l’utilisaient pour des danses obscènes », explique Yanlan. Xiao et Yanlan, formées respectivement aux beaux-arts et en comptabilité, vivaient géographiquement aux deux extrémités de la Chine : Xiao dans le Sud-Est, à Canton, et Yanlan dans la Province du Gansu au nord-ouest de la Chine. Après quatre mois de </w:t>
      </w:r>
      <w:r w:rsidRPr="00F53740">
        <w:rPr>
          <w:i/>
        </w:rPr>
        <w:t>chat</w:t>
      </w:r>
      <w:r w:rsidRPr="004B2498">
        <w:rPr>
          <w:lang w:eastAsia="fr-FR" w:bidi="fr-FR"/>
        </w:rPr>
        <w:t xml:space="preserve"> sur Internet, pour voir Xiao, Yanlan a décidé de se rendre à Canton, ville où elle s’était jurée de ne jamais venir à cause de l’urbanisation et de l’industrialisation « désagréables ». Cet acte de rompre avec une vie antérieure et de partir dans une autre ville pour trouver l’amour ou pour d’autres raisons se retrouve chez de nombreux individus re</w:t>
      </w:r>
      <w:r w:rsidRPr="004B2498">
        <w:rPr>
          <w:lang w:eastAsia="fr-FR" w:bidi="fr-FR"/>
        </w:rPr>
        <w:t>n</w:t>
      </w:r>
      <w:r w:rsidRPr="004B2498">
        <w:rPr>
          <w:lang w:eastAsia="fr-FR" w:bidi="fr-FR"/>
        </w:rPr>
        <w:t>contrés, notamment dans les trajectoires biographiques de Kangping, de Junwei, de Zhiheng et ici de Yanlan. Leur rencontre a changé la vie de Yanlan, qui</w:t>
      </w:r>
      <w:r>
        <w:t xml:space="preserve"> </w:t>
      </w:r>
      <w:r w:rsidRPr="004B2498">
        <w:t>[207]</w:t>
      </w:r>
      <w:r>
        <w:t xml:space="preserve"> </w:t>
      </w:r>
      <w:r w:rsidRPr="004B2498">
        <w:rPr>
          <w:lang w:eastAsia="fr-FR" w:bidi="fr-FR"/>
        </w:rPr>
        <w:t>auparavant pensait se marier, en raison de la pression familiale. Au Nouvel An chinois de l’année 2006, Xiao est allée chez Yanlan qui l’a présentée à sa famille comme une « amie ». C’est après cette visite que Yanlan a décidé de raconter leur histoire à ses deux frères pour tester un peu leur réaction. Son frère cadet, ho</w:t>
      </w:r>
      <w:r w:rsidRPr="004B2498">
        <w:rPr>
          <w:lang w:eastAsia="fr-FR" w:bidi="fr-FR"/>
        </w:rPr>
        <w:t>m</w:t>
      </w:r>
      <w:r w:rsidRPr="004B2498">
        <w:rPr>
          <w:lang w:eastAsia="fr-FR" w:bidi="fr-FR"/>
        </w:rPr>
        <w:t>me « parfait », a pris le ton d’un procureur pour lui demander d’« arrêter son cheval au bord de l’abîme ». Pour Yanlan, son frère a réagi comme si elle avait « offensé sa religion ». En revanche, son fr</w:t>
      </w:r>
      <w:r w:rsidRPr="004B2498">
        <w:rPr>
          <w:lang w:eastAsia="fr-FR" w:bidi="fr-FR"/>
        </w:rPr>
        <w:t>è</w:t>
      </w:r>
      <w:r w:rsidRPr="004B2498">
        <w:rPr>
          <w:lang w:eastAsia="fr-FR" w:bidi="fr-FR"/>
        </w:rPr>
        <w:t>re aîné, homme d’affaires, a montré une certaine « compréhension » et une certaine tolérance tout en essayant de la persuader de rencontrer davantage d’hommes, de traiter « cette maladie » et surtout de « ne jamais commettre de choses illégales ». Quant à Xiao, elle n’ose pas dire la « vérité » à sa famille mais simplement présente Yanlan co</w:t>
      </w:r>
      <w:r w:rsidRPr="004B2498">
        <w:rPr>
          <w:lang w:eastAsia="fr-FR" w:bidi="fr-FR"/>
        </w:rPr>
        <w:t>m</w:t>
      </w:r>
      <w:r w:rsidRPr="004B2498">
        <w:rPr>
          <w:lang w:eastAsia="fr-FR" w:bidi="fr-FR"/>
        </w:rPr>
        <w:t>me une bonne « amie », qui sera considérée comme « rassurante » pour son père. Les amis de Xiao connaissent leur relation amoureuse, qui n’était pas considérée comme une relation sérieuse au début, ta</w:t>
      </w:r>
      <w:r w:rsidRPr="004B2498">
        <w:rPr>
          <w:lang w:eastAsia="fr-FR" w:bidi="fr-FR"/>
        </w:rPr>
        <w:t>n</w:t>
      </w:r>
      <w:r w:rsidRPr="004B2498">
        <w:rPr>
          <w:lang w:eastAsia="fr-FR" w:bidi="fr-FR"/>
        </w:rPr>
        <w:t>dis que l’entourage de Ya</w:t>
      </w:r>
      <w:r w:rsidRPr="004B2498">
        <w:rPr>
          <w:lang w:eastAsia="fr-FR" w:bidi="fr-FR"/>
        </w:rPr>
        <w:t>n</w:t>
      </w:r>
      <w:r w:rsidRPr="004B2498">
        <w:rPr>
          <w:lang w:eastAsia="fr-FR" w:bidi="fr-FR"/>
        </w:rPr>
        <w:t>lan ne connaît Xiao que comme une « amie ».</w:t>
      </w:r>
    </w:p>
    <w:p w14:paraId="2D4A7A96" w14:textId="77777777" w:rsidR="002F4063" w:rsidRPr="004B2498" w:rsidRDefault="002F4063" w:rsidP="002F4063">
      <w:pPr>
        <w:spacing w:before="120" w:after="120"/>
        <w:jc w:val="both"/>
      </w:pPr>
      <w:r w:rsidRPr="004B2498">
        <w:rPr>
          <w:lang w:eastAsia="fr-FR" w:bidi="fr-FR"/>
        </w:rPr>
        <w:t>Internet, « marieur » de ce couple, représente deux mondes diff</w:t>
      </w:r>
      <w:r w:rsidRPr="004B2498">
        <w:rPr>
          <w:lang w:eastAsia="fr-FR" w:bidi="fr-FR"/>
        </w:rPr>
        <w:t>é</w:t>
      </w:r>
      <w:r w:rsidRPr="004B2498">
        <w:rPr>
          <w:lang w:eastAsia="fr-FR" w:bidi="fr-FR"/>
        </w:rPr>
        <w:t>rents pour Yanlan. Au début de son aventure d’internaute, Internet était un monde « très grand, très libre et miraculeux », qui rendait le monde réel « plus petit ». Internet est un monde sans lequel « un grand nombre d’affinités prédestinées seraient passées inaperçues de l’une et de l’autre... Beaucoup de gens mènent une vie qui n’est pas celle qu’ils veulent ! » Un monde sans Internet pour Yanlan aurait été « horrible » : elle aurait pensé qu’elle avait « une maladie inconnue », mais « tout s’est réglé » après qu’elle ait navigué sur Internet. Internet est un outil qui met en réseau toutes sortes de représentations et pe</w:t>
      </w:r>
      <w:r w:rsidRPr="004B2498">
        <w:rPr>
          <w:lang w:eastAsia="fr-FR" w:bidi="fr-FR"/>
        </w:rPr>
        <w:t>r</w:t>
      </w:r>
      <w:r w:rsidRPr="004B2498">
        <w:rPr>
          <w:lang w:eastAsia="fr-FR" w:bidi="fr-FR"/>
        </w:rPr>
        <w:t>met aux internautes de trouver un sens aux contradictions de leur vie. En contrôlant les informations qu’Intemet délivre au moment de la recherche des internautes, les politiques ralentissent, bloquent ou a</w:t>
      </w:r>
      <w:r w:rsidRPr="004B2498">
        <w:rPr>
          <w:lang w:eastAsia="fr-FR" w:bidi="fr-FR"/>
        </w:rPr>
        <w:t>c</w:t>
      </w:r>
      <w:r w:rsidRPr="004B2498">
        <w:rPr>
          <w:lang w:eastAsia="fr-FR" w:bidi="fr-FR"/>
        </w:rPr>
        <w:t>célèrent le processus de construction de leur existence individuelle et collective. C’est plus tard que Yanlan a découvert qu’« Internet n’est pas aussi grand ni libre que ça » et a pris conscience de l’existence de toutes les limites invisibles sur Internet, notamment celles de ne po</w:t>
      </w:r>
      <w:r w:rsidRPr="004B2498">
        <w:rPr>
          <w:lang w:eastAsia="fr-FR" w:bidi="fr-FR"/>
        </w:rPr>
        <w:t>u</w:t>
      </w:r>
      <w:r w:rsidRPr="004B2498">
        <w:rPr>
          <w:lang w:eastAsia="fr-FR" w:bidi="fr-FR"/>
        </w:rPr>
        <w:t>voir lire tout ce qu’elle souhaite, les articles pouvant « disparaître ». Après une réflexion de quelques secondes, elle ajoute que « c’est peut-être seulement Internet en Chine qui est comme ça ». L’idée que les autres pays sont différents de la Chine, que la Chine est le seul pays où il y ait autant d’injustices et de limites sur Internet, vient chez elle de l’idéalisation des pays étrangers et du mécontentement acc</w:t>
      </w:r>
      <w:r w:rsidRPr="004B2498">
        <w:rPr>
          <w:lang w:eastAsia="fr-FR" w:bidi="fr-FR"/>
        </w:rPr>
        <w:t>u</w:t>
      </w:r>
      <w:r w:rsidRPr="004B2498">
        <w:rPr>
          <w:lang w:eastAsia="fr-FR" w:bidi="fr-FR"/>
        </w:rPr>
        <w:t>mulé sans exutoire pour manifester contre les injustices subies. En nous regardant, et adoptant une attitude culturaliste, elle nous consei</w:t>
      </w:r>
      <w:r w:rsidRPr="004B2498">
        <w:rPr>
          <w:lang w:eastAsia="fr-FR" w:bidi="fr-FR"/>
        </w:rPr>
        <w:t>l</w:t>
      </w:r>
      <w:r w:rsidRPr="004B2498">
        <w:rPr>
          <w:lang w:eastAsia="fr-FR" w:bidi="fr-FR"/>
        </w:rPr>
        <w:t>le de « ne pas revenir en Chine » après</w:t>
      </w:r>
      <w:r>
        <w:t xml:space="preserve"> </w:t>
      </w:r>
      <w:r w:rsidRPr="004B2498">
        <w:t>[208]</w:t>
      </w:r>
      <w:r>
        <w:t xml:space="preserve"> </w:t>
      </w:r>
      <w:r w:rsidRPr="004B2498">
        <w:rPr>
          <w:lang w:eastAsia="fr-FR" w:bidi="fr-FR"/>
        </w:rPr>
        <w:t>avoir fini nos recherches en France </w:t>
      </w:r>
      <w:r>
        <w:rPr>
          <w:rStyle w:val="Appelnotedebasdep"/>
          <w:lang w:eastAsia="fr-FR" w:bidi="fr-FR"/>
        </w:rPr>
        <w:footnoteReference w:id="178"/>
      </w:r>
      <w:r w:rsidRPr="004B2498">
        <w:rPr>
          <w:lang w:eastAsia="fr-FR" w:bidi="fr-FR"/>
        </w:rPr>
        <w:t>. Elle ajoute que « les inte</w:t>
      </w:r>
      <w:r w:rsidRPr="004B2498">
        <w:rPr>
          <w:lang w:eastAsia="fr-FR" w:bidi="fr-FR"/>
        </w:rPr>
        <w:t>r</w:t>
      </w:r>
      <w:r w:rsidRPr="004B2498">
        <w:rPr>
          <w:lang w:eastAsia="fr-FR" w:bidi="fr-FR"/>
        </w:rPr>
        <w:t>nautes sont de moins en moins « courageux » et n’osent pas dire ce qu’ils pensent », sans voir que ce silence ne sert qu’à donner une image harmonieuse de la société ch</w:t>
      </w:r>
      <w:r w:rsidRPr="004B2498">
        <w:rPr>
          <w:lang w:eastAsia="fr-FR" w:bidi="fr-FR"/>
        </w:rPr>
        <w:t>i</w:t>
      </w:r>
      <w:r w:rsidRPr="004B2498">
        <w:rPr>
          <w:lang w:eastAsia="fr-FR" w:bidi="fr-FR"/>
        </w:rPr>
        <w:t>noise. Xiao, comme elle, est con</w:t>
      </w:r>
      <w:r w:rsidRPr="004B2498">
        <w:rPr>
          <w:lang w:eastAsia="fr-FR" w:bidi="fr-FR"/>
        </w:rPr>
        <w:t>s</w:t>
      </w:r>
      <w:r w:rsidRPr="004B2498">
        <w:rPr>
          <w:lang w:eastAsia="fr-FR" w:bidi="fr-FR"/>
        </w:rPr>
        <w:t>ciente que les commentaires peuvent être supprimés si le contenu ne convient pas au « cadre » politique, mais Xiao se contente du fait qu’on a « au moins la liberté de laisser un commentaire ».</w:t>
      </w:r>
    </w:p>
    <w:p w14:paraId="1D4DA2BD" w14:textId="77777777" w:rsidR="002F4063" w:rsidRPr="004B2498" w:rsidRDefault="002F4063" w:rsidP="002F4063">
      <w:pPr>
        <w:spacing w:before="120" w:after="120"/>
        <w:jc w:val="both"/>
      </w:pPr>
      <w:r w:rsidRPr="004B2498">
        <w:rPr>
          <w:lang w:eastAsia="fr-FR" w:bidi="fr-FR"/>
        </w:rPr>
        <w:t>Depuis la création des blogs, on a non seulement la possibilité de laisser un commentaire, mais aussi celle de mettre en ligne des repr</w:t>
      </w:r>
      <w:r w:rsidRPr="004B2498">
        <w:rPr>
          <w:lang w:eastAsia="fr-FR" w:bidi="fr-FR"/>
        </w:rPr>
        <w:t>é</w:t>
      </w:r>
      <w:r w:rsidRPr="004B2498">
        <w:rPr>
          <w:lang w:eastAsia="fr-FR" w:bidi="fr-FR"/>
        </w:rPr>
        <w:t>sentations de soi avec ses propres textes, photos, vidéos, etc. Xiao v</w:t>
      </w:r>
      <w:r w:rsidRPr="004B2498">
        <w:rPr>
          <w:lang w:eastAsia="fr-FR" w:bidi="fr-FR"/>
        </w:rPr>
        <w:t>i</w:t>
      </w:r>
      <w:r w:rsidRPr="004B2498">
        <w:rPr>
          <w:lang w:eastAsia="fr-FR" w:bidi="fr-FR"/>
        </w:rPr>
        <w:t xml:space="preserve">site peu les sites homosexuels et lorsqu’elle navigue sur ceux-ci c’est simplement pour voir les articles, les photos, les vidéos etc. sur la vie quotidienne, en particulier celle des couples homosexuels. Ce sont les blogs de couples s’identifiant comme homosexuels qu’elles suivent toutes les deux. Elles connaissent les histoires et l’itinéraire des </w:t>
      </w:r>
      <w:r w:rsidRPr="003C1FB0">
        <w:rPr>
          <w:i/>
        </w:rPr>
        <w:t>blo</w:t>
      </w:r>
      <w:r w:rsidRPr="003C1FB0">
        <w:rPr>
          <w:i/>
        </w:rPr>
        <w:t>g</w:t>
      </w:r>
      <w:r w:rsidRPr="003C1FB0">
        <w:rPr>
          <w:i/>
        </w:rPr>
        <w:t>gers</w:t>
      </w:r>
      <w:r w:rsidRPr="004B2498">
        <w:t>,</w:t>
      </w:r>
      <w:r w:rsidRPr="004B2498">
        <w:rPr>
          <w:lang w:eastAsia="fr-FR" w:bidi="fr-FR"/>
        </w:rPr>
        <w:t xml:space="preserve"> qu’elles n’ont jamais rencontrés réellement tout en sachant que certains blogs dits écrits par les homosexuels sont en fait écrits par de « faux » homosexuels. Les blogs, ces journaux personnels, mais « non-intimes », sont le théâtre où les </w:t>
      </w:r>
      <w:r w:rsidRPr="00F53740">
        <w:rPr>
          <w:i/>
        </w:rPr>
        <w:t>bloggers</w:t>
      </w:r>
      <w:r w:rsidRPr="004B2498">
        <w:rPr>
          <w:lang w:eastAsia="fr-FR" w:bidi="fr-FR"/>
        </w:rPr>
        <w:t xml:space="preserve"> mettent leur vie quot</w:t>
      </w:r>
      <w:r w:rsidRPr="004B2498">
        <w:rPr>
          <w:lang w:eastAsia="fr-FR" w:bidi="fr-FR"/>
        </w:rPr>
        <w:t>i</w:t>
      </w:r>
      <w:r w:rsidRPr="004B2498">
        <w:rPr>
          <w:lang w:eastAsia="fr-FR" w:bidi="fr-FR"/>
        </w:rPr>
        <w:t>dienne dite « réelle » en scène, expriment leur point de vue personnel etc. sans savoir exactement qui sont les spectateurs de leur vie fanta</w:t>
      </w:r>
      <w:r w:rsidRPr="004B2498">
        <w:rPr>
          <w:lang w:eastAsia="fr-FR" w:bidi="fr-FR"/>
        </w:rPr>
        <w:t>s</w:t>
      </w:r>
      <w:r w:rsidRPr="004B2498">
        <w:rPr>
          <w:lang w:eastAsia="fr-FR" w:bidi="fr-FR"/>
        </w:rPr>
        <w:t>matique et imaginaire dans l’espace numérique. Puisque Xiao et Ya</w:t>
      </w:r>
      <w:r w:rsidRPr="004B2498">
        <w:rPr>
          <w:lang w:eastAsia="fr-FR" w:bidi="fr-FR"/>
        </w:rPr>
        <w:t>n</w:t>
      </w:r>
      <w:r w:rsidRPr="004B2498">
        <w:rPr>
          <w:lang w:eastAsia="fr-FR" w:bidi="fr-FR"/>
        </w:rPr>
        <w:t>lan ont envie de « connaître la vie des autres » : la vie de couples dits homosexuels illustrée sur les blogs qu’elles suivent leur permet de savoir « comment vivent dans la vie quotidienne les autres hom</w:t>
      </w:r>
      <w:r w:rsidRPr="004B2498">
        <w:rPr>
          <w:lang w:eastAsia="fr-FR" w:bidi="fr-FR"/>
        </w:rPr>
        <w:t>o</w:t>
      </w:r>
      <w:r w:rsidRPr="004B2498">
        <w:rPr>
          <w:lang w:eastAsia="fr-FR" w:bidi="fr-FR"/>
        </w:rPr>
        <w:t>sexuels, vrais ou faux ». Et c’est ce côté vie quotidienne qui donne l’illusion à Xiao et Yanlan que cette scène idéelle est crédible, réelle et surtout correspond à leur vision imaginaire de la vie idéale du co</w:t>
      </w:r>
      <w:r w:rsidRPr="004B2498">
        <w:rPr>
          <w:lang w:eastAsia="fr-FR" w:bidi="fr-FR"/>
        </w:rPr>
        <w:t>u</w:t>
      </w:r>
      <w:r w:rsidRPr="004B2498">
        <w:rPr>
          <w:lang w:eastAsia="fr-FR" w:bidi="fr-FR"/>
        </w:rPr>
        <w:t>ple homosexuel. Le fait qu’« on voit beaucoup de couples, qui s’aiment tellement au début et qui après à peine un mois où deux, se séparent et abandonnent leur blog » rend encore plus « vraie » et fi</w:t>
      </w:r>
      <w:r w:rsidRPr="004B2498">
        <w:rPr>
          <w:lang w:eastAsia="fr-FR" w:bidi="fr-FR"/>
        </w:rPr>
        <w:t>a</w:t>
      </w:r>
      <w:r w:rsidRPr="004B2498">
        <w:rPr>
          <w:lang w:eastAsia="fr-FR" w:bidi="fr-FR"/>
        </w:rPr>
        <w:t>ble cette mise en scène de la vie de tous les jours sur l’espace numér</w:t>
      </w:r>
      <w:r w:rsidRPr="004B2498">
        <w:rPr>
          <w:lang w:eastAsia="fr-FR" w:bidi="fr-FR"/>
        </w:rPr>
        <w:t>i</w:t>
      </w:r>
      <w:r w:rsidRPr="004B2498">
        <w:rPr>
          <w:lang w:eastAsia="fr-FR" w:bidi="fr-FR"/>
        </w:rPr>
        <w:t>que. Enfin, l’existence flagrante d’autres couples homosexuels pro</w:t>
      </w:r>
      <w:r w:rsidRPr="004B2498">
        <w:rPr>
          <w:lang w:eastAsia="fr-FR" w:bidi="fr-FR"/>
        </w:rPr>
        <w:t>u</w:t>
      </w:r>
      <w:r w:rsidRPr="004B2498">
        <w:rPr>
          <w:lang w:eastAsia="fr-FR" w:bidi="fr-FR"/>
        </w:rPr>
        <w:t>vée par les blogs ajoute une pierre dans leur construction personnelle et dans celle de leur couple d’identité homosexuelle.</w:t>
      </w:r>
    </w:p>
    <w:p w14:paraId="4668E2C2" w14:textId="77777777" w:rsidR="002F4063" w:rsidRPr="004B2498" w:rsidRDefault="002F4063" w:rsidP="002F4063">
      <w:pPr>
        <w:spacing w:before="120" w:after="120"/>
        <w:jc w:val="both"/>
      </w:pPr>
      <w:r w:rsidRPr="004B2498">
        <w:rPr>
          <w:lang w:eastAsia="fr-FR" w:bidi="fr-FR"/>
        </w:rPr>
        <w:t>Comme beaucoup de couples dans leur « cercle », elles ont leur blog depuis 2006. Elles y décrivent leur vie quotidienne, comme d’autres. Leur blog était peu fréquenté, « personne n’y venait et le v</w:t>
      </w:r>
      <w:r w:rsidRPr="004B2498">
        <w:rPr>
          <w:lang w:eastAsia="fr-FR" w:bidi="fr-FR"/>
        </w:rPr>
        <w:t>i</w:t>
      </w:r>
      <w:r w:rsidRPr="004B2498">
        <w:rPr>
          <w:lang w:eastAsia="fr-FR" w:bidi="fr-FR"/>
        </w:rPr>
        <w:t>sitait ». Après que « Maman Shang » ait posté l’article où elles avaient raconté leur histoire sur son blog, avec un lien dirigé vers leur blog, les visites ont afflué. Cet article elles l’ont écrit elles-mêmes à la d</w:t>
      </w:r>
      <w:r w:rsidRPr="004B2498">
        <w:rPr>
          <w:lang w:eastAsia="fr-FR" w:bidi="fr-FR"/>
        </w:rPr>
        <w:t>e</w:t>
      </w:r>
      <w:r w:rsidRPr="004B2498">
        <w:rPr>
          <w:lang w:eastAsia="fr-FR" w:bidi="fr-FR"/>
        </w:rPr>
        <w:t>mande de la fondatrice après leur premier</w:t>
      </w:r>
      <w:r>
        <w:t xml:space="preserve"> </w:t>
      </w:r>
      <w:r w:rsidRPr="004B2498">
        <w:t>[209]</w:t>
      </w:r>
      <w:r>
        <w:t xml:space="preserve"> </w:t>
      </w:r>
      <w:r w:rsidRPr="004B2498">
        <w:rPr>
          <w:lang w:eastAsia="fr-FR" w:bidi="fr-FR"/>
        </w:rPr>
        <w:t xml:space="preserve">contact téléphonique. Elles avaient trouvé le blog et le numéro de </w:t>
      </w:r>
      <w:r w:rsidRPr="004B2498">
        <w:t>hotline</w:t>
      </w:r>
      <w:r w:rsidRPr="004B2498">
        <w:rPr>
          <w:lang w:eastAsia="fr-FR" w:bidi="fr-FR"/>
        </w:rPr>
        <w:t xml:space="preserve"> de « Maman Shang » sur le moteur de recherche chinois - </w:t>
      </w:r>
      <w:r w:rsidRPr="004B2498">
        <w:t>Ba</w:t>
      </w:r>
      <w:r w:rsidRPr="004B2498">
        <w:t>i</w:t>
      </w:r>
      <w:r w:rsidRPr="004B2498">
        <w:t>du -</w:t>
      </w:r>
      <w:r w:rsidRPr="004B2498">
        <w:rPr>
          <w:lang w:eastAsia="fr-FR" w:bidi="fr-FR"/>
        </w:rPr>
        <w:t xml:space="preserve"> après avoir vu le programme de « Maman Shang » à la télévision. Elles sont devenues elles-mêmes le modèle du couple idéal qu’elles poursuivent depuis toujours sur les blogs. Cette figure du couple m</w:t>
      </w:r>
      <w:r w:rsidRPr="004B2498">
        <w:rPr>
          <w:lang w:eastAsia="fr-FR" w:bidi="fr-FR"/>
        </w:rPr>
        <w:t>o</w:t>
      </w:r>
      <w:r w:rsidRPr="004B2498">
        <w:rPr>
          <w:lang w:eastAsia="fr-FR" w:bidi="fr-FR"/>
        </w:rPr>
        <w:t>dèle signalée par « Maman Shang », qui a éclairé et orienté deux e</w:t>
      </w:r>
      <w:r w:rsidRPr="004B2498">
        <w:rPr>
          <w:lang w:eastAsia="fr-FR" w:bidi="fr-FR"/>
        </w:rPr>
        <w:t>n</w:t>
      </w:r>
      <w:r w:rsidRPr="004B2498">
        <w:rPr>
          <w:lang w:eastAsia="fr-FR" w:bidi="fr-FR"/>
        </w:rPr>
        <w:t>fants perdus vers la « famille » fonde une double légitimité : celle de Madame Shang, et de l’association qu’elle incarne, qui a mis en ligne « la preuve du co</w:t>
      </w:r>
      <w:r w:rsidRPr="004B2498">
        <w:rPr>
          <w:lang w:eastAsia="fr-FR" w:bidi="fr-FR"/>
        </w:rPr>
        <w:t>u</w:t>
      </w:r>
      <w:r w:rsidRPr="004B2498">
        <w:rPr>
          <w:lang w:eastAsia="fr-FR" w:bidi="fr-FR"/>
        </w:rPr>
        <w:t>ple homosexuel »  ; et celle du couple que forment Yanlan et Xiao, avec la reconnaissance de leur couple, en tant que f</w:t>
      </w:r>
      <w:r w:rsidRPr="004B2498">
        <w:rPr>
          <w:lang w:eastAsia="fr-FR" w:bidi="fr-FR"/>
        </w:rPr>
        <w:t>i</w:t>
      </w:r>
      <w:r w:rsidRPr="004B2498">
        <w:rPr>
          <w:lang w:eastAsia="fr-FR" w:bidi="fr-FR"/>
        </w:rPr>
        <w:t>gure héroïque qui produit et conduit vers la production d’une existe</w:t>
      </w:r>
      <w:r w:rsidRPr="004B2498">
        <w:rPr>
          <w:lang w:eastAsia="fr-FR" w:bidi="fr-FR"/>
        </w:rPr>
        <w:t>n</w:t>
      </w:r>
      <w:r w:rsidRPr="004B2498">
        <w:rPr>
          <w:lang w:eastAsia="fr-FR" w:bidi="fr-FR"/>
        </w:rPr>
        <w:t>ce collective des homosexuels.</w:t>
      </w:r>
    </w:p>
    <w:p w14:paraId="40D00BDC" w14:textId="77777777" w:rsidR="002F4063" w:rsidRPr="004B2498" w:rsidRDefault="002F4063" w:rsidP="002F4063">
      <w:pPr>
        <w:spacing w:before="120" w:after="120"/>
        <w:jc w:val="both"/>
      </w:pPr>
      <w:r w:rsidRPr="004B2498">
        <w:rPr>
          <w:lang w:eastAsia="fr-FR" w:bidi="fr-FR"/>
        </w:rPr>
        <w:t>Paradoxalement, dans la vie réelle, Yanlan et Xiao entretiennent peu de contacts avec les gens qu’elles rencontrent dans les activités du « cercle » telles que la journée de « Maman Shang ». Elles ne che</w:t>
      </w:r>
      <w:r w:rsidRPr="004B2498">
        <w:rPr>
          <w:lang w:eastAsia="fr-FR" w:bidi="fr-FR"/>
        </w:rPr>
        <w:t>r</w:t>
      </w:r>
      <w:r w:rsidRPr="004B2498">
        <w:rPr>
          <w:lang w:eastAsia="fr-FR" w:bidi="fr-FR"/>
        </w:rPr>
        <w:t>chent pas à rencontrer d’autres « homosexuels » ni à participer à tous les genres d’activités organisées pour les gens de ce cercle  ; elles pensent qu’elles sont « comme les autres » et que leur vie « n’est pas différente de celle des hétérosexuels ». D’un côté, elles veulent se manifester comme un modèle de couple homosexuel sur Internet, sur leur blog, et éventuellement dans les activités collectives de « Maman Shang »  ; de l’autre, elles vivent dans leur monde et s’identifient comme un couple ordinaire et « normal » par rapport aux normes s</w:t>
      </w:r>
      <w:r w:rsidRPr="004B2498">
        <w:rPr>
          <w:lang w:eastAsia="fr-FR" w:bidi="fr-FR"/>
        </w:rPr>
        <w:t>o</w:t>
      </w:r>
      <w:r w:rsidRPr="004B2498">
        <w:rPr>
          <w:lang w:eastAsia="fr-FR" w:bidi="fr-FR"/>
        </w:rPr>
        <w:t>ciales quand il s’agit de rencontres en privé, de participer aux activités d’autres organisations. Cette contradiction montre bien l’articulation entre la production d’une existence individuelle et de couple et la r</w:t>
      </w:r>
      <w:r w:rsidRPr="004B2498">
        <w:rPr>
          <w:lang w:eastAsia="fr-FR" w:bidi="fr-FR"/>
        </w:rPr>
        <w:t>e</w:t>
      </w:r>
      <w:r w:rsidRPr="004B2498">
        <w:rPr>
          <w:lang w:eastAsia="fr-FR" w:bidi="fr-FR"/>
        </w:rPr>
        <w:t>connaissance des autres. Pour elles, il suffit d’être heureux pour que les autres les acceptent comme un couple car « les belles paroles et les jolis slogans ne comptent pas ». En s’accrochant à la FPAH, elles ont trouvé leur place en tant que couple dans le cercle de « Maman Shang » mais devenues un modèle, elles ont été instrumentalisées par le discours et la mise en avant sur la scène collective, voire nationale de « Maman Shang ». Elles sont donc en pleine contradiction avec leur vision du bonheur. Selon Yanlan, après cet article publié sur le blog de « Maman Shang », « les gens viennent visiter » leur blog. « Avant nous menions une vie quotidienne simple, mais après ça, on a dû passer du blog à la vie réelle », ajoute Xiao. Le fait que leur blog était peu fréquenté impliquait un certain anonymat dans la mesure où elles pouvaient mener une vie quotidienne « simple ». Cela révèle to</w:t>
      </w:r>
      <w:r w:rsidRPr="004B2498">
        <w:rPr>
          <w:lang w:eastAsia="fr-FR" w:bidi="fr-FR"/>
        </w:rPr>
        <w:t>u</w:t>
      </w:r>
      <w:r w:rsidRPr="004B2498">
        <w:rPr>
          <w:lang w:eastAsia="fr-FR" w:bidi="fr-FR"/>
        </w:rPr>
        <w:t>te la force et l’impact de la popularité et de la reconnaissance « abstraite » dans la vie quotidienne. La reconnaissance des autres et la construction de leur identité d’homosexuelle individuelle et de co</w:t>
      </w:r>
      <w:r w:rsidRPr="004B2498">
        <w:rPr>
          <w:lang w:eastAsia="fr-FR" w:bidi="fr-FR"/>
        </w:rPr>
        <w:t>u</w:t>
      </w:r>
      <w:r w:rsidRPr="004B2498">
        <w:rPr>
          <w:lang w:eastAsia="fr-FR" w:bidi="fr-FR"/>
        </w:rPr>
        <w:t>ple ont en partie mis fin à leur « vie quotidienne simple », qui n’est plus ni simple, ni paisible. La sensibilité de Yanlan à l'injustice l’amène à se focaliser sur tous les cas sociaux d’injustice qu’elle peut lire sur Internet. La « mauvaise origine » de ses parents, son</w:t>
      </w:r>
      <w:r w:rsidRPr="004B2498">
        <w:t xml:space="preserve"> [210]</w:t>
      </w:r>
      <w:r>
        <w:t xml:space="preserve"> </w:t>
      </w:r>
      <w:r w:rsidRPr="004B2498">
        <w:rPr>
          <w:lang w:eastAsia="fr-FR" w:bidi="fr-FR"/>
        </w:rPr>
        <w:t>v</w:t>
      </w:r>
      <w:r w:rsidRPr="004B2498">
        <w:rPr>
          <w:lang w:eastAsia="fr-FR" w:bidi="fr-FR"/>
        </w:rPr>
        <w:t>é</w:t>
      </w:r>
      <w:r w:rsidRPr="004B2498">
        <w:rPr>
          <w:lang w:eastAsia="fr-FR" w:bidi="fr-FR"/>
        </w:rPr>
        <w:t>cu comme homosexuelle et petite commerçante sans capital s</w:t>
      </w:r>
      <w:r w:rsidRPr="004B2498">
        <w:rPr>
          <w:lang w:eastAsia="fr-FR" w:bidi="fr-FR"/>
        </w:rPr>
        <w:t>o</w:t>
      </w:r>
      <w:r w:rsidRPr="004B2498">
        <w:rPr>
          <w:lang w:eastAsia="fr-FR" w:bidi="fr-FR"/>
        </w:rPr>
        <w:t>cial et politique ni réseau interpersonnel lié au pouvoir la renvoient à l’engagement dépolitisé d’un discours sur l’égalité, la justice et la l</w:t>
      </w:r>
      <w:r w:rsidRPr="004B2498">
        <w:rPr>
          <w:lang w:eastAsia="fr-FR" w:bidi="fr-FR"/>
        </w:rPr>
        <w:t>i</w:t>
      </w:r>
      <w:r w:rsidRPr="004B2498">
        <w:rPr>
          <w:lang w:eastAsia="fr-FR" w:bidi="fr-FR"/>
        </w:rPr>
        <w:t>berté d’expression sur Internet, bien moins activiste militant que celui de Junwei.</w:t>
      </w:r>
    </w:p>
    <w:p w14:paraId="0863D988" w14:textId="77777777" w:rsidR="002F4063" w:rsidRPr="004B2498" w:rsidRDefault="002F4063" w:rsidP="002F4063">
      <w:pPr>
        <w:spacing w:before="120" w:after="120"/>
        <w:jc w:val="both"/>
        <w:rPr>
          <w:szCs w:val="24"/>
          <w:lang w:eastAsia="fr-FR" w:bidi="fr-FR"/>
        </w:rPr>
      </w:pPr>
    </w:p>
    <w:p w14:paraId="799CEB61" w14:textId="77777777" w:rsidR="002F4063" w:rsidRPr="004B2498" w:rsidRDefault="002F4063" w:rsidP="002F4063">
      <w:pPr>
        <w:pStyle w:val="a"/>
      </w:pPr>
      <w:r w:rsidRPr="004B2498">
        <w:t>En quête d’existence</w:t>
      </w:r>
    </w:p>
    <w:p w14:paraId="13FED231" w14:textId="77777777" w:rsidR="002F4063" w:rsidRPr="004B2498" w:rsidRDefault="002F4063" w:rsidP="002F4063">
      <w:pPr>
        <w:spacing w:before="120" w:after="120"/>
        <w:jc w:val="both"/>
        <w:rPr>
          <w:lang w:eastAsia="fr-FR" w:bidi="fr-FR"/>
        </w:rPr>
      </w:pPr>
    </w:p>
    <w:p w14:paraId="31D24F49" w14:textId="77777777" w:rsidR="002F4063" w:rsidRPr="004B2498" w:rsidRDefault="002F4063" w:rsidP="002F4063">
      <w:pPr>
        <w:spacing w:before="120" w:after="120"/>
        <w:jc w:val="both"/>
      </w:pPr>
      <w:r w:rsidRPr="004B2498">
        <w:rPr>
          <w:lang w:eastAsia="fr-FR" w:bidi="fr-FR"/>
        </w:rPr>
        <w:t>Regardons maintenant Manli, jeune fille de 26 ans, d’origine ca</w:t>
      </w:r>
      <w:r w:rsidRPr="004B2498">
        <w:rPr>
          <w:lang w:eastAsia="fr-FR" w:bidi="fr-FR"/>
        </w:rPr>
        <w:t>n</w:t>
      </w:r>
      <w:r w:rsidRPr="004B2498">
        <w:rPr>
          <w:lang w:eastAsia="fr-FR" w:bidi="fr-FR"/>
        </w:rPr>
        <w:t>tonaise, diplômée de Bachelor en psychologie en 2007. Fille unique, elle est devenue conseillère en assurances en 2009 après un essai en tant qu’assistante de Taekwondo et un an de formation en bande de</w:t>
      </w:r>
      <w:r w:rsidRPr="004B2498">
        <w:rPr>
          <w:lang w:eastAsia="fr-FR" w:bidi="fr-FR"/>
        </w:rPr>
        <w:t>s</w:t>
      </w:r>
      <w:r w:rsidRPr="004B2498">
        <w:rPr>
          <w:lang w:eastAsia="fr-FR" w:bidi="fr-FR"/>
        </w:rPr>
        <w:t>sinée. Ce travail, rémunéré selon le nombre de contrats d’assurances qu’elle vend, lui crée des tensions professionnelles, familiales, pe</w:t>
      </w:r>
      <w:r w:rsidRPr="004B2498">
        <w:rPr>
          <w:lang w:eastAsia="fr-FR" w:bidi="fr-FR"/>
        </w:rPr>
        <w:t>r</w:t>
      </w:r>
      <w:r w:rsidRPr="004B2498">
        <w:rPr>
          <w:lang w:eastAsia="fr-FR" w:bidi="fr-FR"/>
        </w:rPr>
        <w:t>sonnelles et interpersonnelles. Très « mal vu », ce travail est considéré comme de l’escroquerie, en particulier par sa famille et ses amis, pi</w:t>
      </w:r>
      <w:r w:rsidRPr="004B2498">
        <w:rPr>
          <w:lang w:eastAsia="fr-FR" w:bidi="fr-FR"/>
        </w:rPr>
        <w:t>é</w:t>
      </w:r>
      <w:r w:rsidRPr="004B2498">
        <w:rPr>
          <w:lang w:eastAsia="fr-FR" w:bidi="fr-FR"/>
        </w:rPr>
        <w:t>gés et coincés dans la relation familiale et amicale car ils ne peuvent refuser quand elle essaie de leur vendre une assurance. Pour des ra</w:t>
      </w:r>
      <w:r w:rsidRPr="004B2498">
        <w:rPr>
          <w:lang w:eastAsia="fr-FR" w:bidi="fr-FR"/>
        </w:rPr>
        <w:t>i</w:t>
      </w:r>
      <w:r w:rsidRPr="004B2498">
        <w:rPr>
          <w:lang w:eastAsia="fr-FR" w:bidi="fr-FR"/>
        </w:rPr>
        <w:t>sons financières, elle ne peut pas partir en Angleterre poursuivre ses études et habite chez ses parents. Sa mère, comptable retraitée d’une usine d’électroménager à Canton, vient d’une famille de « mauvaise origine ». Ses parents sont issus d’une « grande famille » chrétienne dont certains membres vivaient outre-mer, ce qui leur a valu d’être critiqués durant la révolution culturelle. Le père, fils aîné d’une fami</w:t>
      </w:r>
      <w:r w:rsidRPr="004B2498">
        <w:rPr>
          <w:lang w:eastAsia="fr-FR" w:bidi="fr-FR"/>
        </w:rPr>
        <w:t>l</w:t>
      </w:r>
      <w:r w:rsidRPr="004B2498">
        <w:rPr>
          <w:lang w:eastAsia="fr-FR" w:bidi="fr-FR"/>
        </w:rPr>
        <w:t>le de petits commerçants en riz possède un petit commerce où il tr</w:t>
      </w:r>
      <w:r w:rsidRPr="004B2498">
        <w:rPr>
          <w:lang w:eastAsia="fr-FR" w:bidi="fr-FR"/>
        </w:rPr>
        <w:t>a</w:t>
      </w:r>
      <w:r w:rsidRPr="004B2498">
        <w:rPr>
          <w:lang w:eastAsia="fr-FR" w:bidi="fr-FR"/>
        </w:rPr>
        <w:t>vaille à son compte comme designer et décorateur d’intérieur. Manli nous expliquera qu’il n’est pas très présent dans la vie familiale. Il a de plus en plus de difficultés pour gagner sa vie à cause de son âge, jugé comme un signe d’inefficacité par ses clients. Calme, douce et bien élevée dans sa manière de parler et de se comporter, Manli s’entend mal avec son père, qui est rarement satisfait des choix de sa fille. La période de l’adolescence a été particulièrement difficile pour Manli. Elle nous explique que la présence de son père, quo</w:t>
      </w:r>
      <w:r w:rsidRPr="004B2498">
        <w:rPr>
          <w:lang w:eastAsia="fr-FR" w:bidi="fr-FR"/>
        </w:rPr>
        <w:t>i</w:t>
      </w:r>
      <w:r w:rsidRPr="004B2498">
        <w:rPr>
          <w:lang w:eastAsia="fr-FR" w:bidi="fr-FR"/>
        </w:rPr>
        <w:t>qu’épisodique dans la sphère familiale, est source de conflits et de d</w:t>
      </w:r>
      <w:r w:rsidRPr="004B2498">
        <w:rPr>
          <w:lang w:eastAsia="fr-FR" w:bidi="fr-FR"/>
        </w:rPr>
        <w:t>é</w:t>
      </w:r>
      <w:r w:rsidRPr="004B2498">
        <w:rPr>
          <w:lang w:eastAsia="fr-FR" w:bidi="fr-FR"/>
        </w:rPr>
        <w:t>saccords profonds entre eux deux. Manli supporte mal la présence de son père, elle n’arrive pas à « s’adapter » à ces instants ensemble.</w:t>
      </w:r>
    </w:p>
    <w:p w14:paraId="6C3860CF" w14:textId="77777777" w:rsidR="002F4063" w:rsidRPr="004B2498" w:rsidRDefault="002F4063" w:rsidP="002F4063">
      <w:pPr>
        <w:spacing w:before="120" w:after="120"/>
        <w:jc w:val="both"/>
      </w:pPr>
      <w:r w:rsidRPr="004B2498">
        <w:rPr>
          <w:lang w:eastAsia="fr-FR" w:bidi="fr-FR"/>
        </w:rPr>
        <w:t xml:space="preserve">Équipée d’un ordinateur et d’un accès à Internet dès 2000, elle n’a effectué sa première enquête sur l’homosexualité sur Internet qu’à partir de 2002. Cette enquête l’a menée à la « communauté » où elle a connu des amis avec qui elle garde peu de contacts maintenant. C’est ainsi qu’elle a découvert le </w:t>
      </w:r>
      <w:r w:rsidRPr="004B2498">
        <w:t>blog</w:t>
      </w:r>
      <w:r w:rsidRPr="004B2498">
        <w:rPr>
          <w:lang w:eastAsia="fr-FR" w:bidi="fr-FR"/>
        </w:rPr>
        <w:t xml:space="preserve"> de « Maman Shang », qui est « toujours positive et optimiste », et elle le suit régulièrement depuis. Ce n’est qu’en 2010 qu’elle se rend pour la première fois aux activités de la FPAH. Parce que c’est un moment où elle se sent « plus stable », du fait qu’elle a terminé ses études et commence à travailler. Con</w:t>
      </w:r>
      <w:r w:rsidRPr="004B2498">
        <w:rPr>
          <w:lang w:eastAsia="fr-FR" w:bidi="fr-FR"/>
        </w:rPr>
        <w:t>s</w:t>
      </w:r>
      <w:r w:rsidRPr="004B2498">
        <w:rPr>
          <w:lang w:eastAsia="fr-FR" w:bidi="fr-FR"/>
        </w:rPr>
        <w:t>ciente de son affection amoureuse pour les filles quand elle était au lycée (2000-2003), elle n’est pas prête à raconter son</w:t>
      </w:r>
      <w:r>
        <w:t xml:space="preserve"> </w:t>
      </w:r>
      <w:r w:rsidRPr="004B2498">
        <w:t>[211]</w:t>
      </w:r>
      <w:r>
        <w:t xml:space="preserve"> </w:t>
      </w:r>
      <w:r w:rsidRPr="004B2498">
        <w:rPr>
          <w:lang w:eastAsia="fr-FR" w:bidi="fr-FR"/>
        </w:rPr>
        <w:t>« histoire » à ses parents, parce que dit-elle « la situation financière n’est pas très bonne » et « ce n’est pas facile de le dire ». Cependant, suite à la lecture des récits de « sortie du placard » à leurs parents, présentés par « Maman Shang », elle pense que sa sortie à elle sera mieux réussie si elle prépare ses parents.</w:t>
      </w:r>
    </w:p>
    <w:p w14:paraId="49E6D55E" w14:textId="77777777" w:rsidR="002F4063" w:rsidRPr="004B2498" w:rsidRDefault="002F4063" w:rsidP="002F4063">
      <w:pPr>
        <w:spacing w:before="120" w:after="120"/>
        <w:jc w:val="both"/>
      </w:pPr>
      <w:r w:rsidRPr="004B2498">
        <w:rPr>
          <w:lang w:eastAsia="fr-FR" w:bidi="fr-FR"/>
        </w:rPr>
        <w:t>Face aux questions de ses parents sur ses relations amoureuses, elle sent que la pression augmente de plus en plus, comme pour beaucoup de jeunes Chinois de son âge. Elle a envie de rencontrer des « amies », mais cela est « difficile ». Parce que « dès qu’on entre dans la vie pr</w:t>
      </w:r>
      <w:r w:rsidRPr="004B2498">
        <w:rPr>
          <w:lang w:eastAsia="fr-FR" w:bidi="fr-FR"/>
        </w:rPr>
        <w:t>o</w:t>
      </w:r>
      <w:r w:rsidRPr="004B2498">
        <w:rPr>
          <w:lang w:eastAsia="fr-FR" w:bidi="fr-FR"/>
        </w:rPr>
        <w:t>fessionnelle, on n’a pas le temps d’aller rencontrer les gens ». Malgré cette tension et sa volonté, elle n’a jamais essayé de rencontre sur I</w:t>
      </w:r>
      <w:r w:rsidRPr="004B2498">
        <w:rPr>
          <w:lang w:eastAsia="fr-FR" w:bidi="fr-FR"/>
        </w:rPr>
        <w:t>n</w:t>
      </w:r>
      <w:r w:rsidRPr="004B2498">
        <w:rPr>
          <w:lang w:eastAsia="fr-FR" w:bidi="fr-FR"/>
        </w:rPr>
        <w:t>ternet, car cela est « bizarre » et la démarche de chercher à rencontrer quelqu’un « n’est pas naturelle ». Elle sent qu’« uniquement quelques sites peuvent faire ça », de plus ce n’est « pas fiable ». Sa contestation des sites de rencontre et des rencontres « pas naturelles » traduisent une peur et une méfiance face à Internet. Internet est pour elle une pl</w:t>
      </w:r>
      <w:r w:rsidRPr="004B2498">
        <w:rPr>
          <w:lang w:eastAsia="fr-FR" w:bidi="fr-FR"/>
        </w:rPr>
        <w:t>a</w:t>
      </w:r>
      <w:r w:rsidRPr="004B2498">
        <w:rPr>
          <w:lang w:eastAsia="fr-FR" w:bidi="fr-FR"/>
        </w:rPr>
        <w:t>teforme d’informations, dont elle est « dépendante »  ; elle trouve cet outil pratique et qu’il est difficile de vivre sans dès qu’on s’est habitué à son usage fréquent. Sans Internet, elle « se sent coupée du monde ». Elle cherche à lire des informations « positives », c’est pourquoi elle apprécie le côté « positif et optimiste » véhiculé par « Maman Shang ». Manli voit dans ces textes lus sur la Toile et dans le discours de « Maman Shang » une sorte de reconnaissance dont elle a fort</w:t>
      </w:r>
      <w:r w:rsidRPr="004B2498">
        <w:rPr>
          <w:lang w:eastAsia="fr-FR" w:bidi="fr-FR"/>
        </w:rPr>
        <w:t>e</w:t>
      </w:r>
      <w:r w:rsidRPr="004B2498">
        <w:rPr>
          <w:lang w:eastAsia="fr-FR" w:bidi="fr-FR"/>
        </w:rPr>
        <w:t>ment besoin. « Dépendance » et méfiance à l’égard d’Internet caract</w:t>
      </w:r>
      <w:r w:rsidRPr="004B2498">
        <w:rPr>
          <w:lang w:eastAsia="fr-FR" w:bidi="fr-FR"/>
        </w:rPr>
        <w:t>é</w:t>
      </w:r>
      <w:r w:rsidRPr="004B2498">
        <w:rPr>
          <w:lang w:eastAsia="fr-FR" w:bidi="fr-FR"/>
        </w:rPr>
        <w:t>risent son attitude : Internet est un véhicule vide, un monde irréel et rempli de différentes représentations, dont celles qui encouragent Manli et celles dont elle se méfie. Ce type de communication permet à Manli de construire son existence individuelle et de chercher sa r</w:t>
      </w:r>
      <w:r w:rsidRPr="004B2498">
        <w:rPr>
          <w:lang w:eastAsia="fr-FR" w:bidi="fr-FR"/>
        </w:rPr>
        <w:t>e</w:t>
      </w:r>
      <w:r w:rsidRPr="004B2498">
        <w:rPr>
          <w:lang w:eastAsia="fr-FR" w:bidi="fr-FR"/>
        </w:rPr>
        <w:t xml:space="preserve">connaissance en tant qu’homosexuelle. Les modèles d’homosexuels sur le blog de « Maman Shang », sont légitimés non seulement par elle, mais aussi par sa popularité et le nombre de visites sur son blog. Manli y voit une mise en scène de la vie en tant qu’homosexuel sur Internet, comme cela a pu être le cas pour Yanlan. Dans le contexte de la globalisation des normes, ce rapport d’offre et de demande d’existence et de reconnaissance permet </w:t>
      </w:r>
      <w:r w:rsidRPr="00F53740">
        <w:rPr>
          <w:i/>
        </w:rPr>
        <w:t>in fine</w:t>
      </w:r>
      <w:r w:rsidRPr="004B2498">
        <w:rPr>
          <w:lang w:eastAsia="fr-FR" w:bidi="fr-FR"/>
        </w:rPr>
        <w:t xml:space="preserve"> à la FPAH d’avoir une légitimité et une reconnaissance d’elle-même et de la communauté d’homosexuels sur le plan national et international.</w:t>
      </w:r>
    </w:p>
    <w:p w14:paraId="37944DD7" w14:textId="77777777" w:rsidR="002F4063" w:rsidRPr="004B2498" w:rsidRDefault="002F4063" w:rsidP="002F4063">
      <w:pPr>
        <w:spacing w:before="120" w:after="120"/>
        <w:jc w:val="both"/>
        <w:rPr>
          <w:szCs w:val="24"/>
          <w:lang w:eastAsia="fr-FR" w:bidi="fr-FR"/>
        </w:rPr>
      </w:pPr>
    </w:p>
    <w:p w14:paraId="4F7B1103" w14:textId="77777777" w:rsidR="002F4063" w:rsidRPr="004B2498" w:rsidRDefault="002F4063" w:rsidP="002F4063">
      <w:pPr>
        <w:pStyle w:val="a"/>
      </w:pPr>
      <w:r w:rsidRPr="004B2498">
        <w:t>Conclusion</w:t>
      </w:r>
    </w:p>
    <w:p w14:paraId="3F488D1C" w14:textId="77777777" w:rsidR="002F4063" w:rsidRPr="004B2498" w:rsidRDefault="002F4063" w:rsidP="002F4063">
      <w:pPr>
        <w:spacing w:before="120" w:after="120"/>
        <w:jc w:val="both"/>
        <w:rPr>
          <w:lang w:eastAsia="fr-FR" w:bidi="fr-FR"/>
        </w:rPr>
      </w:pPr>
    </w:p>
    <w:p w14:paraId="5D5A5006" w14:textId="77777777" w:rsidR="002F4063" w:rsidRPr="004B2498" w:rsidRDefault="002F4063" w:rsidP="002F4063">
      <w:pPr>
        <w:spacing w:before="120" w:after="120"/>
        <w:jc w:val="both"/>
      </w:pPr>
      <w:r w:rsidRPr="004B2498">
        <w:rPr>
          <w:lang w:eastAsia="fr-FR" w:bidi="fr-FR"/>
        </w:rPr>
        <w:t>La question du genre est au centre des normes globales et la femme mise en scène comme héroïne médiatique est un outil politique de la globalisation. Au nom de la lutte contre le SIDA, les homosexuels en Chine ont obtenu un espace sociopolitique et idéologique, limité et réduit, et rattachent leur combat à cette lutte globalisée. À partir de l’importation des normes globales</w:t>
      </w:r>
      <w:r>
        <w:t xml:space="preserve"> </w:t>
      </w:r>
      <w:r w:rsidRPr="004B2498">
        <w:t>[212]</w:t>
      </w:r>
      <w:r>
        <w:t xml:space="preserve"> </w:t>
      </w:r>
      <w:r w:rsidRPr="004B2498">
        <w:rPr>
          <w:lang w:eastAsia="fr-FR" w:bidi="fr-FR"/>
        </w:rPr>
        <w:t>et de la représentation de l’homosexualité, les acteurs sociaux créent des représentations et des interprétations d’eux-mêmes, de leurs familles, de leur « cercle », mais aussi des rapports sociaux, de la s</w:t>
      </w:r>
      <w:r w:rsidRPr="004B2498">
        <w:rPr>
          <w:lang w:eastAsia="fr-FR" w:bidi="fr-FR"/>
        </w:rPr>
        <w:t>o</w:t>
      </w:r>
      <w:r w:rsidRPr="004B2498">
        <w:rPr>
          <w:lang w:eastAsia="fr-FR" w:bidi="fr-FR"/>
        </w:rPr>
        <w:t>ciété et de la politique.</w:t>
      </w:r>
    </w:p>
    <w:p w14:paraId="6CBCE2C0" w14:textId="77777777" w:rsidR="002F4063" w:rsidRPr="004B2498" w:rsidRDefault="002F4063" w:rsidP="002F4063">
      <w:pPr>
        <w:spacing w:before="120" w:after="120"/>
        <w:jc w:val="both"/>
      </w:pPr>
      <w:r w:rsidRPr="004B2498">
        <w:rPr>
          <w:lang w:eastAsia="fr-FR" w:bidi="fr-FR"/>
        </w:rPr>
        <w:t xml:space="preserve">Les biographies ci-dessus montrent bien la représentation de soi que les acteurs font d’eux-mêmes en tant qu’« homosexuels » dans les rapports sociaux, ainsi que l’articulation d’une dimension </w:t>
      </w:r>
      <w:r w:rsidRPr="004B2498">
        <w:t xml:space="preserve">à </w:t>
      </w:r>
      <w:r w:rsidRPr="004B2498">
        <w:rPr>
          <w:lang w:eastAsia="fr-FR" w:bidi="fr-FR"/>
        </w:rPr>
        <w:t>la fois m</w:t>
      </w:r>
      <w:r w:rsidRPr="004B2498">
        <w:rPr>
          <w:lang w:eastAsia="fr-FR" w:bidi="fr-FR"/>
        </w:rPr>
        <w:t>i</w:t>
      </w:r>
      <w:r w:rsidRPr="004B2498">
        <w:rPr>
          <w:lang w:eastAsia="fr-FR" w:bidi="fr-FR"/>
        </w:rPr>
        <w:t xml:space="preserve">crosociale et globale </w:t>
      </w:r>
      <w:r w:rsidRPr="004B2498">
        <w:t xml:space="preserve">à </w:t>
      </w:r>
      <w:r w:rsidRPr="004B2498">
        <w:rPr>
          <w:lang w:eastAsia="fr-FR" w:bidi="fr-FR"/>
        </w:rPr>
        <w:t xml:space="preserve">travers le rôle d’un mode de communication social et politique - Internet. Cet espace de communication global joue un rôle très important et conduit </w:t>
      </w:r>
      <w:r w:rsidRPr="004B2498">
        <w:t xml:space="preserve">à </w:t>
      </w:r>
      <w:r w:rsidRPr="004B2498">
        <w:rPr>
          <w:lang w:eastAsia="fr-FR" w:bidi="fr-FR"/>
        </w:rPr>
        <w:t>une prise de conscience de la repr</w:t>
      </w:r>
      <w:r w:rsidRPr="004B2498">
        <w:rPr>
          <w:lang w:eastAsia="fr-FR" w:bidi="fr-FR"/>
        </w:rPr>
        <w:t>é</w:t>
      </w:r>
      <w:r w:rsidRPr="004B2498">
        <w:rPr>
          <w:lang w:eastAsia="fr-FR" w:bidi="fr-FR"/>
        </w:rPr>
        <w:t>sentation de soi dans la sexualité, à un engagement dans la constru</w:t>
      </w:r>
      <w:r w:rsidRPr="004B2498">
        <w:rPr>
          <w:lang w:eastAsia="fr-FR" w:bidi="fr-FR"/>
        </w:rPr>
        <w:t>c</w:t>
      </w:r>
      <w:r w:rsidRPr="004B2498">
        <w:rPr>
          <w:lang w:eastAsia="fr-FR" w:bidi="fr-FR"/>
        </w:rPr>
        <w:t xml:space="preserve">tion d’une existence individuelle et collective, et </w:t>
      </w:r>
      <w:r w:rsidRPr="004B2498">
        <w:t xml:space="preserve">à </w:t>
      </w:r>
      <w:r w:rsidRPr="004B2498">
        <w:rPr>
          <w:lang w:eastAsia="fr-FR" w:bidi="fr-FR"/>
        </w:rPr>
        <w:t xml:space="preserve">la mise en œuvre d’une structure qui vise à la quête d’existence d’un groupe social marginalisé sur le plan national et global. Créée </w:t>
      </w:r>
      <w:r w:rsidRPr="004B2498">
        <w:t xml:space="preserve">à </w:t>
      </w:r>
      <w:r w:rsidRPr="004B2498">
        <w:rPr>
          <w:lang w:eastAsia="fr-FR" w:bidi="fr-FR"/>
        </w:rPr>
        <w:t>partir du blog d’une mère héroïque, apparue sur la scène médiatique à travers la presse mais également médiatisée sur sa propre scène par sa propre comm</w:t>
      </w:r>
      <w:r w:rsidRPr="004B2498">
        <w:rPr>
          <w:lang w:eastAsia="fr-FR" w:bidi="fr-FR"/>
        </w:rPr>
        <w:t>u</w:t>
      </w:r>
      <w:r w:rsidRPr="004B2498">
        <w:rPr>
          <w:lang w:eastAsia="fr-FR" w:bidi="fr-FR"/>
        </w:rPr>
        <w:t>nauté et son association, l’association FPAH, comme toutes les autres, est un appareil de gouvernance globale de l’État-parti. Elle a été lég</w:t>
      </w:r>
      <w:r w:rsidRPr="004B2498">
        <w:rPr>
          <w:lang w:eastAsia="fr-FR" w:bidi="fr-FR"/>
        </w:rPr>
        <w:t>i</w:t>
      </w:r>
      <w:r w:rsidRPr="004B2498">
        <w:rPr>
          <w:lang w:eastAsia="fr-FR" w:bidi="fr-FR"/>
        </w:rPr>
        <w:t>timée par son engagement dans la cause globale de la lutte contre le SIDA en rejoignant l’autorité chinoise et les institutions internation</w:t>
      </w:r>
      <w:r w:rsidRPr="004B2498">
        <w:rPr>
          <w:lang w:eastAsia="fr-FR" w:bidi="fr-FR"/>
        </w:rPr>
        <w:t>a</w:t>
      </w:r>
      <w:r w:rsidRPr="004B2498">
        <w:rPr>
          <w:lang w:eastAsia="fr-FR" w:bidi="fr-FR"/>
        </w:rPr>
        <w:t>les, mais également par la fréquentation et le soutien des internautes au blog initial, celui de « Maman Shang », dont la reconnaissance est née de sa réputation dans la presse et sur Internet. Les membres de cette association, ont découvert l’existence sur Internet, dans un mo</w:t>
      </w:r>
      <w:r w:rsidRPr="004B2498">
        <w:rPr>
          <w:lang w:eastAsia="fr-FR" w:bidi="fr-FR"/>
        </w:rPr>
        <w:t>n</w:t>
      </w:r>
      <w:r w:rsidRPr="004B2498">
        <w:rPr>
          <w:lang w:eastAsia="fr-FR" w:bidi="fr-FR"/>
        </w:rPr>
        <w:t>de de représentations construit par les internautes, où ils peuvent eux-mêmes mettre en cause leur sexualité dans leur intimité. Le blog de « Maman Shang », comme une sorte d’aimant attire l’attention des internautes « homosexuels » en quête de leur existence, en les regro</w:t>
      </w:r>
      <w:r w:rsidRPr="004B2498">
        <w:rPr>
          <w:lang w:eastAsia="fr-FR" w:bidi="fr-FR"/>
        </w:rPr>
        <w:t>u</w:t>
      </w:r>
      <w:r w:rsidRPr="004B2498">
        <w:rPr>
          <w:lang w:eastAsia="fr-FR" w:bidi="fr-FR"/>
        </w:rPr>
        <w:t xml:space="preserve">pant dans une association il leur attribue une reconnaissance et une appartenance « familiale » que beaucoup n’ont pas trouvée au sein de leur famille à cause d’une sexualité considérée comme anormale. La mise en réseau des connaissances sur Internet, à travers les blogs, les sites et les </w:t>
      </w:r>
      <w:r w:rsidRPr="004B2498">
        <w:t>chat</w:t>
      </w:r>
      <w:r w:rsidRPr="004B2498">
        <w:rPr>
          <w:lang w:eastAsia="fr-FR" w:bidi="fr-FR"/>
        </w:rPr>
        <w:t>s interpersonnels, introduit dans la vie réelle de ces a</w:t>
      </w:r>
      <w:r w:rsidRPr="004B2498">
        <w:rPr>
          <w:lang w:eastAsia="fr-FR" w:bidi="fr-FR"/>
        </w:rPr>
        <w:t>c</w:t>
      </w:r>
      <w:r w:rsidRPr="004B2498">
        <w:rPr>
          <w:lang w:eastAsia="fr-FR" w:bidi="fr-FR"/>
        </w:rPr>
        <w:t>teurs et accélère dans un « espace idéel de communication </w:t>
      </w:r>
      <w:r>
        <w:rPr>
          <w:rStyle w:val="Appelnotedebasdep"/>
          <w:lang w:eastAsia="fr-FR" w:bidi="fr-FR"/>
        </w:rPr>
        <w:footnoteReference w:id="179"/>
      </w:r>
      <w:r w:rsidRPr="004B2498">
        <w:rPr>
          <w:lang w:eastAsia="fr-FR" w:bidi="fr-FR"/>
        </w:rPr>
        <w:t> » le processus de la construction d’existence en tant qu’homosexuel, l</w:t>
      </w:r>
      <w:r w:rsidRPr="004B2498">
        <w:rPr>
          <w:lang w:eastAsia="fr-FR" w:bidi="fr-FR"/>
        </w:rPr>
        <w:t>e</w:t>
      </w:r>
      <w:r w:rsidRPr="004B2498">
        <w:rPr>
          <w:lang w:eastAsia="fr-FR" w:bidi="fr-FR"/>
        </w:rPr>
        <w:t>quel n’est pas imaginable avant la naissance d’Internet.</w:t>
      </w:r>
    </w:p>
    <w:p w14:paraId="2553C129" w14:textId="77777777" w:rsidR="002F4063" w:rsidRPr="004B2498" w:rsidRDefault="002F4063" w:rsidP="002F4063">
      <w:pPr>
        <w:spacing w:before="120" w:after="120"/>
        <w:jc w:val="both"/>
      </w:pPr>
    </w:p>
    <w:p w14:paraId="1925FA78" w14:textId="77777777" w:rsidR="002F4063" w:rsidRPr="004B2498" w:rsidRDefault="002F4063" w:rsidP="002F4063">
      <w:pPr>
        <w:pStyle w:val="p"/>
        <w:rPr>
          <w:lang w:eastAsia="fr-FR" w:bidi="fr-FR"/>
        </w:rPr>
      </w:pPr>
      <w:r w:rsidRPr="004B2498">
        <w:br w:type="page"/>
      </w:r>
      <w:r w:rsidRPr="004B2498">
        <w:rPr>
          <w:lang w:eastAsia="fr-FR" w:bidi="fr-FR"/>
        </w:rPr>
        <w:t>[213]</w:t>
      </w:r>
    </w:p>
    <w:p w14:paraId="61068663" w14:textId="77777777" w:rsidR="002F4063" w:rsidRPr="004B2498" w:rsidRDefault="002F4063" w:rsidP="002F4063">
      <w:pPr>
        <w:jc w:val="both"/>
      </w:pPr>
    </w:p>
    <w:p w14:paraId="525E7807" w14:textId="77777777" w:rsidR="002F4063" w:rsidRDefault="002F4063" w:rsidP="002F4063">
      <w:pPr>
        <w:jc w:val="both"/>
      </w:pPr>
    </w:p>
    <w:p w14:paraId="0D2F8C3F" w14:textId="77777777" w:rsidR="002F4063" w:rsidRPr="004B2498" w:rsidRDefault="002F4063" w:rsidP="002F4063">
      <w:pPr>
        <w:jc w:val="both"/>
      </w:pPr>
    </w:p>
    <w:p w14:paraId="74240F58" w14:textId="77777777" w:rsidR="002F4063" w:rsidRPr="002C57DA" w:rsidRDefault="002F4063" w:rsidP="002F4063">
      <w:pPr>
        <w:spacing w:after="120"/>
        <w:ind w:firstLine="0"/>
        <w:jc w:val="center"/>
        <w:rPr>
          <w:b/>
          <w:sz w:val="24"/>
        </w:rPr>
      </w:pPr>
      <w:bookmarkStart w:id="14" w:name="Enjeux_sc_soc_pt_2_texte_4"/>
      <w:r w:rsidRPr="002C57DA">
        <w:rPr>
          <w:b/>
          <w:sz w:val="24"/>
        </w:rPr>
        <w:t>Enjeux épistémologiques et idéologiques</w:t>
      </w:r>
      <w:r w:rsidRPr="002C57DA">
        <w:rPr>
          <w:b/>
          <w:sz w:val="24"/>
        </w:rPr>
        <w:br/>
        <w:t>de la globalisation pour les sciences sociales.</w:t>
      </w:r>
    </w:p>
    <w:p w14:paraId="266DA798" w14:textId="77777777" w:rsidR="002F4063" w:rsidRPr="00386FE1" w:rsidRDefault="002F4063" w:rsidP="002F4063">
      <w:pPr>
        <w:spacing w:after="120"/>
        <w:ind w:firstLine="0"/>
        <w:jc w:val="center"/>
        <w:rPr>
          <w:sz w:val="24"/>
        </w:rPr>
      </w:pPr>
      <w:r>
        <w:rPr>
          <w:sz w:val="24"/>
        </w:rPr>
        <w:t>Deuxième</w:t>
      </w:r>
      <w:r w:rsidRPr="00386FE1">
        <w:rPr>
          <w:sz w:val="24"/>
        </w:rPr>
        <w:t xml:space="preserve"> partie : </w:t>
      </w:r>
      <w:r>
        <w:rPr>
          <w:sz w:val="24"/>
        </w:rPr>
        <w:t>Acteurs et actrices</w:t>
      </w:r>
    </w:p>
    <w:p w14:paraId="57C3392D" w14:textId="77777777" w:rsidR="002F4063" w:rsidRPr="00386FE1" w:rsidRDefault="002F4063" w:rsidP="002F4063">
      <w:pPr>
        <w:pStyle w:val="Titreniveau1"/>
      </w:pPr>
      <w:r>
        <w:t>4</w:t>
      </w:r>
    </w:p>
    <w:p w14:paraId="77754DB5" w14:textId="77777777" w:rsidR="002F4063" w:rsidRPr="004B2498" w:rsidRDefault="002F4063" w:rsidP="002F4063">
      <w:pPr>
        <w:pStyle w:val="Titreniveau2"/>
      </w:pPr>
      <w:r w:rsidRPr="004B2498">
        <w:t>“</w:t>
      </w:r>
      <w:r>
        <w:t>L’IMPORTATION</w:t>
      </w:r>
      <w:r>
        <w:br/>
        <w:t xml:space="preserve">DES </w:t>
      </w:r>
      <w:r w:rsidRPr="00183AD6">
        <w:rPr>
          <w:i/>
        </w:rPr>
        <w:t>GENDER STUDIES</w:t>
      </w:r>
      <w:r>
        <w:br/>
        <w:t>À CANTON (CHINE) :</w:t>
      </w:r>
      <w:r>
        <w:br/>
        <w:t>USAGES PERSONNELS,</w:t>
      </w:r>
      <w:r>
        <w:br/>
        <w:t>COLLECTIFS ET POLITIQUES.</w:t>
      </w:r>
      <w:r w:rsidRPr="004B2498">
        <w:t>”</w:t>
      </w:r>
    </w:p>
    <w:bookmarkEnd w:id="14"/>
    <w:p w14:paraId="6A331B34" w14:textId="77777777" w:rsidR="002F4063" w:rsidRDefault="002F4063" w:rsidP="002F4063">
      <w:pPr>
        <w:jc w:val="both"/>
        <w:rPr>
          <w:szCs w:val="36"/>
        </w:rPr>
      </w:pPr>
    </w:p>
    <w:p w14:paraId="45A77CDF" w14:textId="77777777" w:rsidR="002F4063" w:rsidRPr="004B2498" w:rsidRDefault="002F4063" w:rsidP="002F4063">
      <w:pPr>
        <w:jc w:val="both"/>
        <w:rPr>
          <w:szCs w:val="36"/>
        </w:rPr>
      </w:pPr>
    </w:p>
    <w:p w14:paraId="456E4ED4" w14:textId="77777777" w:rsidR="002F4063" w:rsidRPr="004B2498" w:rsidRDefault="002F4063" w:rsidP="002F4063">
      <w:pPr>
        <w:pStyle w:val="suite"/>
      </w:pPr>
      <w:r w:rsidRPr="004B2498">
        <w:rPr>
          <w:lang w:eastAsia="fr-FR" w:bidi="fr-FR"/>
        </w:rPr>
        <w:t>Monique SELIM</w:t>
      </w:r>
    </w:p>
    <w:p w14:paraId="33D2F05C" w14:textId="77777777" w:rsidR="002F4063" w:rsidRPr="004B2498" w:rsidRDefault="002F4063" w:rsidP="002F4063">
      <w:pPr>
        <w:spacing w:before="120" w:after="120"/>
        <w:jc w:val="both"/>
        <w:rPr>
          <w:lang w:eastAsia="fr-FR" w:bidi="fr-FR"/>
        </w:rPr>
      </w:pPr>
    </w:p>
    <w:p w14:paraId="3E5BCEFE" w14:textId="77777777" w:rsidR="002F4063" w:rsidRPr="002C57DA" w:rsidRDefault="002F4063" w:rsidP="002F4063">
      <w:pPr>
        <w:ind w:right="90" w:firstLine="0"/>
        <w:jc w:val="both"/>
        <w:rPr>
          <w:sz w:val="24"/>
        </w:rPr>
      </w:pPr>
      <w:hyperlink w:anchor="sommaire" w:history="1">
        <w:r w:rsidRPr="002C57DA">
          <w:rPr>
            <w:rStyle w:val="Hyperlien"/>
            <w:sz w:val="24"/>
          </w:rPr>
          <w:t>Retour au sommaire</w:t>
        </w:r>
      </w:hyperlink>
    </w:p>
    <w:p w14:paraId="6320AA62" w14:textId="77777777" w:rsidR="002F4063" w:rsidRPr="004B2498" w:rsidRDefault="002F4063" w:rsidP="002F4063">
      <w:pPr>
        <w:spacing w:before="120" w:after="120"/>
        <w:jc w:val="both"/>
      </w:pPr>
      <w:r w:rsidRPr="004B2498">
        <w:rPr>
          <w:lang w:eastAsia="fr-FR" w:bidi="fr-FR"/>
        </w:rPr>
        <w:t>Issues des États-Unis et désormais bien implantées dans les unive</w:t>
      </w:r>
      <w:r w:rsidRPr="004B2498">
        <w:rPr>
          <w:lang w:eastAsia="fr-FR" w:bidi="fr-FR"/>
        </w:rPr>
        <w:t>r</w:t>
      </w:r>
      <w:r w:rsidRPr="004B2498">
        <w:rPr>
          <w:lang w:eastAsia="fr-FR" w:bidi="fr-FR"/>
        </w:rPr>
        <w:t xml:space="preserve">sités européennes, avec quelque retard néanmoins en France, les </w:t>
      </w:r>
      <w:r w:rsidRPr="00E869CE">
        <w:rPr>
          <w:i/>
        </w:rPr>
        <w:t>ge</w:t>
      </w:r>
      <w:r w:rsidRPr="00E869CE">
        <w:rPr>
          <w:i/>
        </w:rPr>
        <w:t>n</w:t>
      </w:r>
      <w:r w:rsidRPr="00E869CE">
        <w:rPr>
          <w:i/>
        </w:rPr>
        <w:t>der studies</w:t>
      </w:r>
      <w:r w:rsidRPr="004B2498">
        <w:rPr>
          <w:lang w:eastAsia="fr-FR" w:bidi="fr-FR"/>
        </w:rPr>
        <w:t xml:space="preserve"> se présentent en Chine comme un objet scientifique, idé</w:t>
      </w:r>
      <w:r w:rsidRPr="004B2498">
        <w:rPr>
          <w:lang w:eastAsia="fr-FR" w:bidi="fr-FR"/>
        </w:rPr>
        <w:t>o</w:t>
      </w:r>
      <w:r w:rsidRPr="004B2498">
        <w:rPr>
          <w:lang w:eastAsia="fr-FR" w:bidi="fr-FR"/>
        </w:rPr>
        <w:t>logique et politique nouveau, potentiellement perturbant pour l’État-Parti. En effet, dans le contexte de la globalisation du capitalisme la perspective de genre s’affirme comme une norme centrale de gouve</w:t>
      </w:r>
      <w:r w:rsidRPr="004B2498">
        <w:rPr>
          <w:lang w:eastAsia="fr-FR" w:bidi="fr-FR"/>
        </w:rPr>
        <w:t>r</w:t>
      </w:r>
      <w:r w:rsidRPr="004B2498">
        <w:rPr>
          <w:lang w:eastAsia="fr-FR" w:bidi="fr-FR"/>
        </w:rPr>
        <w:t>nance, débouchant sur des programmes de développement intellectuel, social et économique diversifiés selon les pays visés et leurs régimes, par exemple islamiques, antérieurement ou présentement communi</w:t>
      </w:r>
      <w:r w:rsidRPr="004B2498">
        <w:rPr>
          <w:lang w:eastAsia="fr-FR" w:bidi="fr-FR"/>
        </w:rPr>
        <w:t>s</w:t>
      </w:r>
      <w:r w:rsidRPr="004B2498">
        <w:rPr>
          <w:lang w:eastAsia="fr-FR" w:bidi="fr-FR"/>
        </w:rPr>
        <w:t>tes comme la Chine. Ces opérations qui ne sont jamais « neutres » ont une dimension politique plus ou moins voilée, discrète ou affichée. Que les femmes, d’une manière générale et historique soient une voie de pénétration privilégiée des sociétés ciblées se comprend aisément, en raison de leur condition dominée : cette position subordonnée i</w:t>
      </w:r>
      <w:r w:rsidRPr="004B2498">
        <w:rPr>
          <w:lang w:eastAsia="fr-FR" w:bidi="fr-FR"/>
        </w:rPr>
        <w:t>m</w:t>
      </w:r>
      <w:r w:rsidRPr="004B2498">
        <w:rPr>
          <w:lang w:eastAsia="fr-FR" w:bidi="fr-FR"/>
        </w:rPr>
        <w:t>plique un accès plus facile et une ouverture plus grande à des mess</w:t>
      </w:r>
      <w:r w:rsidRPr="004B2498">
        <w:rPr>
          <w:lang w:eastAsia="fr-FR" w:bidi="fr-FR"/>
        </w:rPr>
        <w:t>a</w:t>
      </w:r>
      <w:r w:rsidRPr="004B2498">
        <w:rPr>
          <w:lang w:eastAsia="fr-FR" w:bidi="fr-FR"/>
        </w:rPr>
        <w:t>ges exogènes, en Particulier lorsqu’ils concernent directement leur sexe. S’en prendre aux femmes - à leur corps, à leur esprit a d’ailleurs toujours été une arme de guerre et de conquête en quelque sorte ban</w:t>
      </w:r>
      <w:r w:rsidRPr="004B2498">
        <w:rPr>
          <w:lang w:eastAsia="fr-FR" w:bidi="fr-FR"/>
        </w:rPr>
        <w:t>a</w:t>
      </w:r>
      <w:r w:rsidRPr="004B2498">
        <w:rPr>
          <w:lang w:eastAsia="fr-FR" w:bidi="fr-FR"/>
        </w:rPr>
        <w:t>le, révélant le caractère imaginaire de propriété sociale, collective, nationale et aujourd’hui globale - des femmes.</w:t>
      </w:r>
    </w:p>
    <w:p w14:paraId="77354FB5" w14:textId="77777777" w:rsidR="002F4063" w:rsidRPr="004B2498" w:rsidRDefault="002F4063" w:rsidP="002F4063">
      <w:pPr>
        <w:spacing w:before="120" w:after="120"/>
        <w:jc w:val="both"/>
      </w:pPr>
      <w:r w:rsidRPr="004B2498">
        <w:rPr>
          <w:lang w:eastAsia="fr-FR" w:bidi="fr-FR"/>
        </w:rPr>
        <w:t>Nous nous pencherons ici sur les logiques de réception, de réa</w:t>
      </w:r>
      <w:r w:rsidRPr="004B2498">
        <w:rPr>
          <w:lang w:eastAsia="fr-FR" w:bidi="fr-FR"/>
        </w:rPr>
        <w:t>p</w:t>
      </w:r>
      <w:r w:rsidRPr="004B2498">
        <w:rPr>
          <w:lang w:eastAsia="fr-FR" w:bidi="fr-FR"/>
        </w:rPr>
        <w:t xml:space="preserve">propriation et de mise en œuvre des </w:t>
      </w:r>
      <w:r w:rsidRPr="00F53740">
        <w:rPr>
          <w:i/>
        </w:rPr>
        <w:t>gender studies</w:t>
      </w:r>
      <w:r w:rsidRPr="004B2498">
        <w:rPr>
          <w:lang w:eastAsia="fr-FR" w:bidi="fr-FR"/>
        </w:rPr>
        <w:t xml:space="preserve"> chez des femmes universitaires de statuts hiérarchiques divers à Canton. Nous partons de deux hypothèses corollaires : d’une part, que ces logiques sont sp</w:t>
      </w:r>
      <w:r w:rsidRPr="004B2498">
        <w:rPr>
          <w:lang w:eastAsia="fr-FR" w:bidi="fr-FR"/>
        </w:rPr>
        <w:t>é</w:t>
      </w:r>
      <w:r w:rsidRPr="004B2498">
        <w:rPr>
          <w:lang w:eastAsia="fr-FR" w:bidi="fr-FR"/>
        </w:rPr>
        <w:t>cifiques, en réponse à la singularité du contexte politique, social, culturel et symbolique ;</w:t>
      </w:r>
      <w:r w:rsidRPr="004B2498">
        <w:t xml:space="preserve"> [214]</w:t>
      </w:r>
      <w:r>
        <w:t xml:space="preserve"> </w:t>
      </w:r>
      <w:r w:rsidRPr="004B2498">
        <w:rPr>
          <w:lang w:eastAsia="fr-FR" w:bidi="fr-FR"/>
        </w:rPr>
        <w:t>d’autre part, que l’entendement partic</w:t>
      </w:r>
      <w:r w:rsidRPr="004B2498">
        <w:rPr>
          <w:lang w:eastAsia="fr-FR" w:bidi="fr-FR"/>
        </w:rPr>
        <w:t>u</w:t>
      </w:r>
      <w:r w:rsidRPr="004B2498">
        <w:rPr>
          <w:lang w:eastAsia="fr-FR" w:bidi="fr-FR"/>
        </w:rPr>
        <w:t xml:space="preserve">lier des </w:t>
      </w:r>
      <w:r w:rsidRPr="00E869CE">
        <w:rPr>
          <w:i/>
        </w:rPr>
        <w:t>gender studies</w:t>
      </w:r>
      <w:r w:rsidRPr="004B2498">
        <w:rPr>
          <w:lang w:eastAsia="fr-FR" w:bidi="fr-FR"/>
        </w:rPr>
        <w:t xml:space="preserve"> de ces femmes peut être fort éloigné du sens premier des auteures des textes, pour de multiples raisons parmi le</w:t>
      </w:r>
      <w:r w:rsidRPr="004B2498">
        <w:rPr>
          <w:lang w:eastAsia="fr-FR" w:bidi="fr-FR"/>
        </w:rPr>
        <w:t>s</w:t>
      </w:r>
      <w:r w:rsidRPr="004B2498">
        <w:rPr>
          <w:lang w:eastAsia="fr-FR" w:bidi="fr-FR"/>
        </w:rPr>
        <w:t>quelles la traduction en chinois et la compilation d’extraits potentie</w:t>
      </w:r>
      <w:r w:rsidRPr="004B2498">
        <w:rPr>
          <w:lang w:eastAsia="fr-FR" w:bidi="fr-FR"/>
        </w:rPr>
        <w:t>l</w:t>
      </w:r>
      <w:r w:rsidRPr="004B2498">
        <w:rPr>
          <w:lang w:eastAsia="fr-FR" w:bidi="fr-FR"/>
        </w:rPr>
        <w:t>lement arbitraire sont impo</w:t>
      </w:r>
      <w:r w:rsidRPr="004B2498">
        <w:rPr>
          <w:lang w:eastAsia="fr-FR" w:bidi="fr-FR"/>
        </w:rPr>
        <w:t>r</w:t>
      </w:r>
      <w:r w:rsidRPr="004B2498">
        <w:rPr>
          <w:lang w:eastAsia="fr-FR" w:bidi="fr-FR"/>
        </w:rPr>
        <w:t xml:space="preserve">tantes. L’aspect initiatique, de révélation « scientifique » que revêtent les </w:t>
      </w:r>
      <w:r w:rsidRPr="00183AD6">
        <w:rPr>
          <w:i/>
        </w:rPr>
        <w:t>gender studies</w:t>
      </w:r>
      <w:r w:rsidRPr="004B2498">
        <w:rPr>
          <w:lang w:eastAsia="fr-FR" w:bidi="fr-FR"/>
        </w:rPr>
        <w:t xml:space="preserve"> est immédiat pour l’ensemble des femmes re</w:t>
      </w:r>
      <w:r w:rsidRPr="004B2498">
        <w:rPr>
          <w:lang w:eastAsia="fr-FR" w:bidi="fr-FR"/>
        </w:rPr>
        <w:t>n</w:t>
      </w:r>
      <w:r w:rsidRPr="004B2498">
        <w:rPr>
          <w:lang w:eastAsia="fr-FR" w:bidi="fr-FR"/>
        </w:rPr>
        <w:t>contrées et débouche, compte tenu de la volonté de contrôle monop</w:t>
      </w:r>
      <w:r w:rsidRPr="004B2498">
        <w:rPr>
          <w:lang w:eastAsia="fr-FR" w:bidi="fr-FR"/>
        </w:rPr>
        <w:t>o</w:t>
      </w:r>
      <w:r w:rsidRPr="004B2498">
        <w:rPr>
          <w:lang w:eastAsia="fr-FR" w:bidi="fr-FR"/>
        </w:rPr>
        <w:t>liste du gouvernement et de ses habitudes de suspicion, sur une confrontation politique rapide, inesquivable et peu prévue par la maj</w:t>
      </w:r>
      <w:r w:rsidRPr="004B2498">
        <w:rPr>
          <w:lang w:eastAsia="fr-FR" w:bidi="fr-FR"/>
        </w:rPr>
        <w:t>o</w:t>
      </w:r>
      <w:r w:rsidRPr="004B2498">
        <w:rPr>
          <w:lang w:eastAsia="fr-FR" w:bidi="fr-FR"/>
        </w:rPr>
        <w:t xml:space="preserve">rité d’entre elles. Le politique est donc dans ce cas précis au cœur de l’importation idéologique et cognitive des </w:t>
      </w:r>
      <w:r w:rsidRPr="00183AD6">
        <w:rPr>
          <w:i/>
        </w:rPr>
        <w:t>ge</w:t>
      </w:r>
      <w:r w:rsidRPr="00183AD6">
        <w:rPr>
          <w:i/>
        </w:rPr>
        <w:t>n</w:t>
      </w:r>
      <w:r w:rsidRPr="00183AD6">
        <w:rPr>
          <w:i/>
        </w:rPr>
        <w:t>der studies</w:t>
      </w:r>
      <w:r w:rsidRPr="004B2498">
        <w:t>,</w:t>
      </w:r>
      <w:r w:rsidRPr="004B2498">
        <w:rPr>
          <w:lang w:eastAsia="fr-FR" w:bidi="fr-FR"/>
        </w:rPr>
        <w:t xml:space="preserve"> à la fois dans les modes de subjectivation des actrices et dans le tissu des ra</w:t>
      </w:r>
      <w:r w:rsidRPr="004B2498">
        <w:rPr>
          <w:lang w:eastAsia="fr-FR" w:bidi="fr-FR"/>
        </w:rPr>
        <w:t>p</w:t>
      </w:r>
      <w:r w:rsidRPr="004B2498">
        <w:rPr>
          <w:lang w:eastAsia="fr-FR" w:bidi="fr-FR"/>
        </w:rPr>
        <w:t>ports sociaux où elles s’inscrivent. C’est pourquoi il constitue l’épicentre d’une fresque d’emprises contrastées sur des sujets acc</w:t>
      </w:r>
      <w:r w:rsidRPr="004B2498">
        <w:rPr>
          <w:lang w:eastAsia="fr-FR" w:bidi="fr-FR"/>
        </w:rPr>
        <w:t>é</w:t>
      </w:r>
      <w:r w:rsidRPr="004B2498">
        <w:rPr>
          <w:lang w:eastAsia="fr-FR" w:bidi="fr-FR"/>
        </w:rPr>
        <w:t>dant à une nouvelle conscience de leur existence sociale et personnelle en rupture plus ou moins grande avec le socle des croya</w:t>
      </w:r>
      <w:r w:rsidRPr="004B2498">
        <w:rPr>
          <w:lang w:eastAsia="fr-FR" w:bidi="fr-FR"/>
        </w:rPr>
        <w:t>n</w:t>
      </w:r>
      <w:r w:rsidRPr="004B2498">
        <w:rPr>
          <w:lang w:eastAsia="fr-FR" w:bidi="fr-FR"/>
        </w:rPr>
        <w:t>ces et des dogmes qui soutenaient leur vie. L’émergence d’une repr</w:t>
      </w:r>
      <w:r w:rsidRPr="004B2498">
        <w:rPr>
          <w:lang w:eastAsia="fr-FR" w:bidi="fr-FR"/>
        </w:rPr>
        <w:t>é</w:t>
      </w:r>
      <w:r w:rsidRPr="004B2498">
        <w:rPr>
          <w:lang w:eastAsia="fr-FR" w:bidi="fr-FR"/>
        </w:rPr>
        <w:t>sentation de soi inédite, entraînant une autre vision de la société env</w:t>
      </w:r>
      <w:r w:rsidRPr="004B2498">
        <w:rPr>
          <w:lang w:eastAsia="fr-FR" w:bidi="fr-FR"/>
        </w:rPr>
        <w:t>i</w:t>
      </w:r>
      <w:r w:rsidRPr="004B2498">
        <w:rPr>
          <w:lang w:eastAsia="fr-FR" w:bidi="fr-FR"/>
        </w:rPr>
        <w:t>ronnante sur laquelle nous focaliserons l’attention, donne à observer une scène t</w:t>
      </w:r>
      <w:r w:rsidRPr="004B2498">
        <w:rPr>
          <w:lang w:eastAsia="fr-FR" w:bidi="fr-FR"/>
        </w:rPr>
        <w:t>y</w:t>
      </w:r>
      <w:r w:rsidRPr="004B2498">
        <w:rPr>
          <w:lang w:eastAsia="fr-FR" w:bidi="fr-FR"/>
        </w:rPr>
        <w:t>pique du monde présent, à la fois locale et globale. Son décryptage - qui prend sens dans une optique comparative avec d’autres pays, comme l’Ouzbékistan par exemple, a pour objectif de mieux cerner différents visages de la fabrique de la globalisation dans le cadre de laquelle les producteurs et les médiateurs des connaissa</w:t>
      </w:r>
      <w:r w:rsidRPr="004B2498">
        <w:rPr>
          <w:lang w:eastAsia="fr-FR" w:bidi="fr-FR"/>
        </w:rPr>
        <w:t>n</w:t>
      </w:r>
      <w:r w:rsidRPr="004B2498">
        <w:rPr>
          <w:lang w:eastAsia="fr-FR" w:bidi="fr-FR"/>
        </w:rPr>
        <w:t>ces jouent un rôle notable.</w:t>
      </w:r>
    </w:p>
    <w:p w14:paraId="533FD85A" w14:textId="77777777" w:rsidR="002F4063" w:rsidRPr="004B2498" w:rsidRDefault="002F4063" w:rsidP="002F4063">
      <w:pPr>
        <w:spacing w:before="120" w:after="120"/>
        <w:jc w:val="both"/>
      </w:pPr>
      <w:r w:rsidRPr="004B2498">
        <w:rPr>
          <w:lang w:eastAsia="fr-FR" w:bidi="fr-FR"/>
        </w:rPr>
        <w:t xml:space="preserve">Le petit cercle de femmes qui, à Canton, s’est arrimé aux </w:t>
      </w:r>
      <w:r w:rsidRPr="00E869CE">
        <w:rPr>
          <w:i/>
        </w:rPr>
        <w:t>gender studies</w:t>
      </w:r>
      <w:r w:rsidRPr="004B2498">
        <w:t xml:space="preserve"> </w:t>
      </w:r>
      <w:r w:rsidRPr="004B2498">
        <w:rPr>
          <w:lang w:eastAsia="fr-FR" w:bidi="fr-FR"/>
        </w:rPr>
        <w:t>pousse ainsi l’anthropologue à repenser sa démarche méthod</w:t>
      </w:r>
      <w:r w:rsidRPr="004B2498">
        <w:rPr>
          <w:lang w:eastAsia="fr-FR" w:bidi="fr-FR"/>
        </w:rPr>
        <w:t>o</w:t>
      </w:r>
      <w:r w:rsidRPr="004B2498">
        <w:rPr>
          <w:lang w:eastAsia="fr-FR" w:bidi="fr-FR"/>
        </w:rPr>
        <w:t>logique face à une interconnaissance dont les ports d’attache sont e</w:t>
      </w:r>
      <w:r w:rsidRPr="004B2498">
        <w:rPr>
          <w:lang w:eastAsia="fr-FR" w:bidi="fr-FR"/>
        </w:rPr>
        <w:t>x</w:t>
      </w:r>
      <w:r w:rsidRPr="004B2498">
        <w:rPr>
          <w:lang w:eastAsia="fr-FR" w:bidi="fr-FR"/>
        </w:rPr>
        <w:t>térieurs, globalisés et numérisés, et dont les liens internes sont néb</w:t>
      </w:r>
      <w:r w:rsidRPr="004B2498">
        <w:rPr>
          <w:lang w:eastAsia="fr-FR" w:bidi="fr-FR"/>
        </w:rPr>
        <w:t>u</w:t>
      </w:r>
      <w:r w:rsidRPr="004B2498">
        <w:rPr>
          <w:lang w:eastAsia="fr-FR" w:bidi="fr-FR"/>
        </w:rPr>
        <w:t>leux. La notion de groupe social, chère à l’anthropologue, paraît ici peu adéquate et c’est pourquoi, faute de mieux, nous utilisons le terme imprécis de cercle en évitant celui potentiellement péjoratif d’agrégat ou encore celui de groupuscule. Ce petit cercle, ouvert, fluide, fragile s’est offert à l’investigation anthropologique sur un mode d’autant plus aisé que ses actrices se percevaient en marge de ce qu’on décrit en Chine comme le « courant dominant » (</w:t>
      </w:r>
      <w:r w:rsidRPr="00183AD6">
        <w:rPr>
          <w:i/>
        </w:rPr>
        <w:t>zhu liu</w:t>
      </w:r>
      <w:r w:rsidRPr="004B2498">
        <w:rPr>
          <w:lang w:eastAsia="fr-FR" w:bidi="fr-FR"/>
        </w:rPr>
        <w:t>) et en quête de r</w:t>
      </w:r>
      <w:r w:rsidRPr="004B2498">
        <w:rPr>
          <w:lang w:eastAsia="fr-FR" w:bidi="fr-FR"/>
        </w:rPr>
        <w:t>e</w:t>
      </w:r>
      <w:r w:rsidRPr="004B2498">
        <w:rPr>
          <w:lang w:eastAsia="fr-FR" w:bidi="fr-FR"/>
        </w:rPr>
        <w:t>connaissance. L’accueil fut donc très chaleureux et les entretiens, e</w:t>
      </w:r>
      <w:r w:rsidRPr="004B2498">
        <w:rPr>
          <w:lang w:eastAsia="fr-FR" w:bidi="fr-FR"/>
        </w:rPr>
        <w:t>m</w:t>
      </w:r>
      <w:r w:rsidRPr="004B2498">
        <w:rPr>
          <w:lang w:eastAsia="fr-FR" w:bidi="fr-FR"/>
        </w:rPr>
        <w:t>prunts d’une sincérité touchante, témoignaient d’un grand désir de parole sur soi, articulant spontanément travail, couple, famille, société et politique. Nous nous sommes prêtés à ces épanchements limitant au maximum questions et réorientations des narrations.</w:t>
      </w:r>
    </w:p>
    <w:p w14:paraId="535BC970" w14:textId="77777777" w:rsidR="002F4063" w:rsidRPr="004B2498" w:rsidRDefault="002F4063" w:rsidP="002F4063">
      <w:pPr>
        <w:spacing w:before="120" w:after="120"/>
        <w:jc w:val="both"/>
        <w:rPr>
          <w:szCs w:val="24"/>
          <w:lang w:eastAsia="fr-FR" w:bidi="fr-FR"/>
        </w:rPr>
      </w:pPr>
    </w:p>
    <w:p w14:paraId="034BB83D" w14:textId="77777777" w:rsidR="002F4063" w:rsidRPr="004B2498" w:rsidRDefault="002F4063" w:rsidP="002F4063">
      <w:pPr>
        <w:pStyle w:val="a"/>
      </w:pPr>
      <w:r w:rsidRPr="004B2498">
        <w:t>Un petit cercle hétérogène</w:t>
      </w:r>
    </w:p>
    <w:p w14:paraId="0AE7BAE1" w14:textId="77777777" w:rsidR="002F4063" w:rsidRPr="004B2498" w:rsidRDefault="002F4063" w:rsidP="002F4063">
      <w:pPr>
        <w:spacing w:before="120" w:after="120"/>
        <w:jc w:val="both"/>
        <w:rPr>
          <w:lang w:eastAsia="fr-FR" w:bidi="fr-FR"/>
        </w:rPr>
      </w:pPr>
    </w:p>
    <w:p w14:paraId="76F8FE7D" w14:textId="77777777" w:rsidR="002F4063" w:rsidRPr="004B2498" w:rsidRDefault="002F4063" w:rsidP="002F4063">
      <w:pPr>
        <w:spacing w:before="120" w:after="120"/>
        <w:jc w:val="both"/>
      </w:pPr>
      <w:r w:rsidRPr="004B2498">
        <w:rPr>
          <w:lang w:eastAsia="fr-FR" w:bidi="fr-FR"/>
        </w:rPr>
        <w:t xml:space="preserve">Dans le champ universitaire de Canton, une quinzaine de femmes auxquelles s’ajoutent leurs étudiantes véhiculent et transmettent les </w:t>
      </w:r>
      <w:r w:rsidRPr="004B2498">
        <w:t>gender studies</w:t>
      </w:r>
      <w:r w:rsidRPr="004B2498">
        <w:rPr>
          <w:lang w:eastAsia="fr-FR" w:bidi="fr-FR"/>
        </w:rPr>
        <w:t xml:space="preserve"> en s’appuyant sur différents types de pivots ; elles se répartissent</w:t>
      </w:r>
      <w:r>
        <w:t xml:space="preserve"> </w:t>
      </w:r>
      <w:r w:rsidRPr="004B2498">
        <w:t>[215]</w:t>
      </w:r>
      <w:r>
        <w:t xml:space="preserve"> </w:t>
      </w:r>
      <w:r w:rsidRPr="004B2498">
        <w:rPr>
          <w:lang w:eastAsia="fr-FR" w:bidi="fr-FR"/>
        </w:rPr>
        <w:t>dans trois universités de haute ou de moindre rép</w:t>
      </w:r>
      <w:r w:rsidRPr="004B2498">
        <w:rPr>
          <w:lang w:eastAsia="fr-FR" w:bidi="fr-FR"/>
        </w:rPr>
        <w:t>u</w:t>
      </w:r>
      <w:r w:rsidRPr="004B2498">
        <w:rPr>
          <w:lang w:eastAsia="fr-FR" w:bidi="fr-FR"/>
        </w:rPr>
        <w:t>tation et dans deux départements au sein de la plus prestigieuse des trois ; elles se voient relayées par deux « associations universitaires » qui - avec l’autorisation de l’organisation des jeunes sous tutelle du parti communiste - rassemblent des étudiants très actifs ; comme to</w:t>
      </w:r>
      <w:r w:rsidRPr="004B2498">
        <w:rPr>
          <w:lang w:eastAsia="fr-FR" w:bidi="fr-FR"/>
        </w:rPr>
        <w:t>u</w:t>
      </w:r>
      <w:r w:rsidRPr="004B2498">
        <w:rPr>
          <w:lang w:eastAsia="fr-FR" w:bidi="fr-FR"/>
        </w:rPr>
        <w:t>jours ces associations universitaires constituent des bassins de mobil</w:t>
      </w:r>
      <w:r w:rsidRPr="004B2498">
        <w:rPr>
          <w:lang w:eastAsia="fr-FR" w:bidi="fr-FR"/>
        </w:rPr>
        <w:t>i</w:t>
      </w:r>
      <w:r w:rsidRPr="004B2498">
        <w:rPr>
          <w:lang w:eastAsia="fr-FR" w:bidi="fr-FR"/>
        </w:rPr>
        <w:t>sation r</w:t>
      </w:r>
      <w:r w:rsidRPr="004B2498">
        <w:rPr>
          <w:lang w:eastAsia="fr-FR" w:bidi="fr-FR"/>
        </w:rPr>
        <w:t>e</w:t>
      </w:r>
      <w:r w:rsidRPr="004B2498">
        <w:rPr>
          <w:lang w:eastAsia="fr-FR" w:bidi="fr-FR"/>
        </w:rPr>
        <w:t>marquables dans tous les domaines : environnement, droits, etc. Cinq centres, réseaux, forums de recherche étayent de surcroît ce cercle de femmes en relations fréquentes les unes avec les autres, o</w:t>
      </w:r>
      <w:r w:rsidRPr="004B2498">
        <w:rPr>
          <w:lang w:eastAsia="fr-FR" w:bidi="fr-FR"/>
        </w:rPr>
        <w:t>r</w:t>
      </w:r>
      <w:r w:rsidRPr="004B2498">
        <w:rPr>
          <w:lang w:eastAsia="fr-FR" w:bidi="fr-FR"/>
        </w:rPr>
        <w:t>ganisant des actions ponctuelles, des évènements artistiques, culturels, théâtraux, des manifestations publiques. Les financements auxquels les femmes accèdent renvoient à des projets et des soutiens de diff</w:t>
      </w:r>
      <w:r w:rsidRPr="004B2498">
        <w:rPr>
          <w:lang w:eastAsia="fr-FR" w:bidi="fr-FR"/>
        </w:rPr>
        <w:t>é</w:t>
      </w:r>
      <w:r w:rsidRPr="004B2498">
        <w:rPr>
          <w:lang w:eastAsia="fr-FR" w:bidi="fr-FR"/>
        </w:rPr>
        <w:t>rentes natures : un centre de recherche est dans l’une des universités l’émanation ind</w:t>
      </w:r>
      <w:r w:rsidRPr="004B2498">
        <w:rPr>
          <w:lang w:eastAsia="fr-FR" w:bidi="fr-FR"/>
        </w:rPr>
        <w:t>i</w:t>
      </w:r>
      <w:r w:rsidRPr="004B2498">
        <w:rPr>
          <w:lang w:eastAsia="fr-FR" w:bidi="fr-FR"/>
        </w:rPr>
        <w:t>recte du syndicat de l’université, un autre est orienté sur les droits juridiques, un réseau scientifique a été créé avec les su</w:t>
      </w:r>
      <w:r w:rsidRPr="004B2498">
        <w:rPr>
          <w:lang w:eastAsia="fr-FR" w:bidi="fr-FR"/>
        </w:rPr>
        <w:t>b</w:t>
      </w:r>
      <w:r w:rsidRPr="004B2498">
        <w:rPr>
          <w:lang w:eastAsia="fr-FR" w:bidi="fr-FR"/>
        </w:rPr>
        <w:t>ventions de la fondation Ford, un autre avec celles d’une seconde fo</w:t>
      </w:r>
      <w:r w:rsidRPr="004B2498">
        <w:rPr>
          <w:lang w:eastAsia="fr-FR" w:bidi="fr-FR"/>
        </w:rPr>
        <w:t>n</w:t>
      </w:r>
      <w:r w:rsidRPr="004B2498">
        <w:rPr>
          <w:lang w:eastAsia="fr-FR" w:bidi="fr-FR"/>
        </w:rPr>
        <w:t>dation amér</w:t>
      </w:r>
      <w:r w:rsidRPr="004B2498">
        <w:rPr>
          <w:lang w:eastAsia="fr-FR" w:bidi="fr-FR"/>
        </w:rPr>
        <w:t>i</w:t>
      </w:r>
      <w:r w:rsidRPr="004B2498">
        <w:rPr>
          <w:lang w:eastAsia="fr-FR" w:bidi="fr-FR"/>
        </w:rPr>
        <w:t>caine, enfin un réseau centré sur les médias est apparu depuis peu à l’initiative d’une des femmes. Ces dispositifs précaires et hétéroclites constituent néanmoins un tissu relationnel séduisant pour les étudiants qui s’y intègrent spontanément en proposant leur aide. Les rapports en jeu entre enseignants et étudiants, marqués par la proximité, une affe</w:t>
      </w:r>
      <w:r w:rsidRPr="004B2498">
        <w:rPr>
          <w:lang w:eastAsia="fr-FR" w:bidi="fr-FR"/>
        </w:rPr>
        <w:t>c</w:t>
      </w:r>
      <w:r w:rsidRPr="004B2498">
        <w:rPr>
          <w:lang w:eastAsia="fr-FR" w:bidi="fr-FR"/>
        </w:rPr>
        <w:t>tivité manifeste, un encadrement hiérarchique fort, touchant la vie personnelle de l’étudiant sont des facteurs favor</w:t>
      </w:r>
      <w:r w:rsidRPr="004B2498">
        <w:rPr>
          <w:lang w:eastAsia="fr-FR" w:bidi="fr-FR"/>
        </w:rPr>
        <w:t>a</w:t>
      </w:r>
      <w:r w:rsidRPr="004B2498">
        <w:rPr>
          <w:lang w:eastAsia="fr-FR" w:bidi="fr-FR"/>
        </w:rPr>
        <w:t>bles à une dynam</w:t>
      </w:r>
      <w:r w:rsidRPr="004B2498">
        <w:rPr>
          <w:lang w:eastAsia="fr-FR" w:bidi="fr-FR"/>
        </w:rPr>
        <w:t>i</w:t>
      </w:r>
      <w:r w:rsidRPr="004B2498">
        <w:rPr>
          <w:lang w:eastAsia="fr-FR" w:bidi="fr-FR"/>
        </w:rPr>
        <w:t>que collective.</w:t>
      </w:r>
    </w:p>
    <w:p w14:paraId="4947ED72" w14:textId="77777777" w:rsidR="002F4063" w:rsidRPr="004B2498" w:rsidRDefault="002F4063" w:rsidP="002F4063">
      <w:pPr>
        <w:spacing w:before="120" w:after="120"/>
        <w:jc w:val="both"/>
      </w:pPr>
      <w:r w:rsidRPr="004B2498">
        <w:rPr>
          <w:lang w:eastAsia="fr-FR" w:bidi="fr-FR"/>
        </w:rPr>
        <w:t>Âgées de 30 à près de 60 ans, les femmes rencontrées se positio</w:t>
      </w:r>
      <w:r w:rsidRPr="004B2498">
        <w:rPr>
          <w:lang w:eastAsia="fr-FR" w:bidi="fr-FR"/>
        </w:rPr>
        <w:t>n</w:t>
      </w:r>
      <w:r w:rsidRPr="004B2498">
        <w:rPr>
          <w:lang w:eastAsia="fr-FR" w:bidi="fr-FR"/>
        </w:rPr>
        <w:t xml:space="preserve">nent dans une chaîne de découverte intellectuelle des </w:t>
      </w:r>
      <w:r w:rsidRPr="00183AD6">
        <w:rPr>
          <w:i/>
        </w:rPr>
        <w:t>gender studies</w:t>
      </w:r>
      <w:r w:rsidRPr="004B2498">
        <w:rPr>
          <w:lang w:eastAsia="fr-FR" w:bidi="fr-FR"/>
        </w:rPr>
        <w:t xml:space="preserve"> qui comporte </w:t>
      </w:r>
      <w:r w:rsidRPr="00183AD6">
        <w:rPr>
          <w:i/>
        </w:rPr>
        <w:t>grosso modo</w:t>
      </w:r>
      <w:r w:rsidRPr="004B2498">
        <w:rPr>
          <w:lang w:eastAsia="fr-FR" w:bidi="fr-FR"/>
        </w:rPr>
        <w:t xml:space="preserve"> trois paliers : pour celles dont le statut est le plus élevé un séjour aux USA  ; pour leurs collègues moins gradées, les cours que ces aînées dispensent sur les </w:t>
      </w:r>
      <w:r w:rsidRPr="00183AD6">
        <w:rPr>
          <w:i/>
        </w:rPr>
        <w:t>gender studies</w:t>
      </w:r>
      <w:r w:rsidRPr="004B2498">
        <w:rPr>
          <w:lang w:eastAsia="fr-FR" w:bidi="fr-FR"/>
        </w:rPr>
        <w:t xml:space="preserve"> à Canton et en particulier ceux d’une professeure dont la trajectoire - du parti communiste à la dissidence militante - fait d’elle une figure héroïque et unanimement admirée. Enfin les séjours de doctorat ou les stages financés à Hong Kong exercent pour de jeunes enseignantes et ét</w:t>
      </w:r>
      <w:r w:rsidRPr="004B2498">
        <w:rPr>
          <w:lang w:eastAsia="fr-FR" w:bidi="fr-FR"/>
        </w:rPr>
        <w:t>u</w:t>
      </w:r>
      <w:r w:rsidRPr="004B2498">
        <w:rPr>
          <w:lang w:eastAsia="fr-FR" w:bidi="fr-FR"/>
        </w:rPr>
        <w:t>diantes une influence majeure. La venue de conférenciers étrangers, des commémorations diverses, une multitude de petits évènements sont l’occasion de dîners dans des restaurants modestes des campus universitaires - ou chez des professeurs - où se mêlent dans la joie e</w:t>
      </w:r>
      <w:r w:rsidRPr="004B2498">
        <w:rPr>
          <w:lang w:eastAsia="fr-FR" w:bidi="fr-FR"/>
        </w:rPr>
        <w:t>n</w:t>
      </w:r>
      <w:r w:rsidRPr="004B2498">
        <w:rPr>
          <w:lang w:eastAsia="fr-FR" w:bidi="fr-FR"/>
        </w:rPr>
        <w:t>seignants et étudiants. Dans ces circonstances, l’apparence d’un « groupe » se donne à voir mais elle est vite destituée à l’écoute des actrices en face-à-face qui avouent le caractère plus ou moins lâche des liens entretenus et leur isolement dans les difficultés qu’elles a</w:t>
      </w:r>
      <w:r w:rsidRPr="004B2498">
        <w:rPr>
          <w:lang w:eastAsia="fr-FR" w:bidi="fr-FR"/>
        </w:rPr>
        <w:t>f</w:t>
      </w:r>
      <w:r w:rsidRPr="004B2498">
        <w:rPr>
          <w:lang w:eastAsia="fr-FR" w:bidi="fr-FR"/>
        </w:rPr>
        <w:t>frontent au sein de leur cadre institutionnel avec leurs collègues ma</w:t>
      </w:r>
      <w:r w:rsidRPr="004B2498">
        <w:rPr>
          <w:lang w:eastAsia="fr-FR" w:bidi="fr-FR"/>
        </w:rPr>
        <w:t>s</w:t>
      </w:r>
      <w:r w:rsidRPr="004B2498">
        <w:rPr>
          <w:lang w:eastAsia="fr-FR" w:bidi="fr-FR"/>
        </w:rPr>
        <w:t>culins.</w:t>
      </w:r>
    </w:p>
    <w:p w14:paraId="676D1CA2" w14:textId="77777777" w:rsidR="002F4063" w:rsidRPr="004B2498" w:rsidRDefault="002F4063" w:rsidP="002F4063">
      <w:pPr>
        <w:spacing w:before="120" w:after="120"/>
        <w:jc w:val="both"/>
      </w:pPr>
      <w:r w:rsidRPr="004B2498">
        <w:rPr>
          <w:lang w:eastAsia="fr-FR" w:bidi="fr-FR"/>
        </w:rPr>
        <w:t xml:space="preserve">Le corpus connu par ces femmes des </w:t>
      </w:r>
      <w:r w:rsidRPr="00183AD6">
        <w:rPr>
          <w:i/>
        </w:rPr>
        <w:t>genders studies</w:t>
      </w:r>
      <w:r w:rsidRPr="004B2498">
        <w:rPr>
          <w:lang w:eastAsia="fr-FR" w:bidi="fr-FR"/>
        </w:rPr>
        <w:t xml:space="preserve"> est, notons-le, très éclectique : on y trouve beaucoup d’auteures anglo-saxonnes, américaines en particulier, et quelques françaises (Cixous, Beauvoir, Kristeva) rassemblées</w:t>
      </w:r>
      <w:r w:rsidRPr="004B2498">
        <w:t xml:space="preserve"> [216]</w:t>
      </w:r>
      <w:r>
        <w:t xml:space="preserve"> </w:t>
      </w:r>
      <w:r w:rsidRPr="004B2498">
        <w:rPr>
          <w:lang w:eastAsia="fr-FR" w:bidi="fr-FR"/>
        </w:rPr>
        <w:t>dans des manuels de base. Les diverge</w:t>
      </w:r>
      <w:r w:rsidRPr="004B2498">
        <w:rPr>
          <w:lang w:eastAsia="fr-FR" w:bidi="fr-FR"/>
        </w:rPr>
        <w:t>n</w:t>
      </w:r>
      <w:r w:rsidRPr="004B2498">
        <w:rPr>
          <w:lang w:eastAsia="fr-FR" w:bidi="fr-FR"/>
        </w:rPr>
        <w:t>ces d’orientations - même les plus massives entre féminisme différe</w:t>
      </w:r>
      <w:r w:rsidRPr="004B2498">
        <w:rPr>
          <w:lang w:eastAsia="fr-FR" w:bidi="fr-FR"/>
        </w:rPr>
        <w:t>n</w:t>
      </w:r>
      <w:r w:rsidRPr="004B2498">
        <w:rPr>
          <w:lang w:eastAsia="fr-FR" w:bidi="fr-FR"/>
        </w:rPr>
        <w:t>tialiste et féminisme égal</w:t>
      </w:r>
      <w:r w:rsidRPr="004B2498">
        <w:rPr>
          <w:lang w:eastAsia="fr-FR" w:bidi="fr-FR"/>
        </w:rPr>
        <w:t>i</w:t>
      </w:r>
      <w:r w:rsidRPr="004B2498">
        <w:rPr>
          <w:lang w:eastAsia="fr-FR" w:bidi="fr-FR"/>
        </w:rPr>
        <w:t xml:space="preserve">tariste, matérialiste, etc. - sont largement ignorées et incomprises au profit de la notion de </w:t>
      </w:r>
      <w:r w:rsidRPr="004B2498">
        <w:t>gender,</w:t>
      </w:r>
      <w:r w:rsidRPr="004B2498">
        <w:rPr>
          <w:lang w:eastAsia="fr-FR" w:bidi="fr-FR"/>
        </w:rPr>
        <w:t xml:space="preserve"> souvent util</w:t>
      </w:r>
      <w:r w:rsidRPr="004B2498">
        <w:rPr>
          <w:lang w:eastAsia="fr-FR" w:bidi="fr-FR"/>
        </w:rPr>
        <w:t>i</w:t>
      </w:r>
      <w:r w:rsidRPr="004B2498">
        <w:rPr>
          <w:lang w:eastAsia="fr-FR" w:bidi="fr-FR"/>
        </w:rPr>
        <w:t>sée comme un homonyme de femme, et, dans ce contexte, l’idée du féminisme est extrêmement vague. Les femmes font plus référence à deux courants endogènes, qu’il est malaisé de traduire et encore plus de tenter de faire corre</w:t>
      </w:r>
      <w:r w:rsidRPr="004B2498">
        <w:rPr>
          <w:lang w:eastAsia="fr-FR" w:bidi="fr-FR"/>
        </w:rPr>
        <w:t>s</w:t>
      </w:r>
      <w:r w:rsidRPr="004B2498">
        <w:rPr>
          <w:lang w:eastAsia="fr-FR" w:bidi="fr-FR"/>
        </w:rPr>
        <w:t xml:space="preserve">pondre à une coupure dans les conceptions exogènes du féminisme : « féminisme-pouvoir » </w:t>
      </w:r>
      <w:r w:rsidRPr="004B2498">
        <w:t>(</w:t>
      </w:r>
      <w:r w:rsidRPr="003674B1">
        <w:rPr>
          <w:i/>
        </w:rPr>
        <w:t>nu quan zhu yi</w:t>
      </w:r>
      <w:r w:rsidRPr="004B2498">
        <w:rPr>
          <w:lang w:eastAsia="fr-FR" w:bidi="fr-FR"/>
        </w:rPr>
        <w:t xml:space="preserve">) et « féminisme-féminité » </w:t>
      </w:r>
      <w:r w:rsidRPr="004B2498">
        <w:t>(</w:t>
      </w:r>
      <w:r w:rsidRPr="003674B1">
        <w:rPr>
          <w:i/>
        </w:rPr>
        <w:t>nu xing zhu yi</w:t>
      </w:r>
      <w:r w:rsidRPr="004B2498">
        <w:t>).</w:t>
      </w:r>
      <w:r w:rsidRPr="004B2498">
        <w:rPr>
          <w:lang w:eastAsia="fr-FR" w:bidi="fr-FR"/>
        </w:rPr>
        <w:t xml:space="preserve"> On ne saurait néanmoins dresser une opposition complète entre ces deux courants, qui par ce</w:t>
      </w:r>
      <w:r w:rsidRPr="004B2498">
        <w:rPr>
          <w:lang w:eastAsia="fr-FR" w:bidi="fr-FR"/>
        </w:rPr>
        <w:t>r</w:t>
      </w:r>
      <w:r w:rsidRPr="004B2498">
        <w:rPr>
          <w:lang w:eastAsia="fr-FR" w:bidi="fr-FR"/>
        </w:rPr>
        <w:t>taines femmes semblent bien identifiés, mais par d’autres peu évoc</w:t>
      </w:r>
      <w:r w:rsidRPr="004B2498">
        <w:rPr>
          <w:lang w:eastAsia="fr-FR" w:bidi="fr-FR"/>
        </w:rPr>
        <w:t>a</w:t>
      </w:r>
      <w:r w:rsidRPr="004B2498">
        <w:rPr>
          <w:lang w:eastAsia="fr-FR" w:bidi="fr-FR"/>
        </w:rPr>
        <w:t>teurs et de fait mêlés. Mais le pri</w:t>
      </w:r>
      <w:r w:rsidRPr="004B2498">
        <w:rPr>
          <w:lang w:eastAsia="fr-FR" w:bidi="fr-FR"/>
        </w:rPr>
        <w:t>n</w:t>
      </w:r>
      <w:r w:rsidRPr="004B2498">
        <w:rPr>
          <w:lang w:eastAsia="fr-FR" w:bidi="fr-FR"/>
        </w:rPr>
        <w:t xml:space="preserve">cipal apport des </w:t>
      </w:r>
      <w:r w:rsidRPr="00E869CE">
        <w:rPr>
          <w:i/>
        </w:rPr>
        <w:t>gender studies</w:t>
      </w:r>
      <w:r w:rsidRPr="004B2498">
        <w:rPr>
          <w:lang w:eastAsia="fr-FR" w:bidi="fr-FR"/>
        </w:rPr>
        <w:t xml:space="preserve"> semble être de leur avoir permis de se penser dans une condition s</w:t>
      </w:r>
      <w:r w:rsidRPr="004B2498">
        <w:rPr>
          <w:lang w:eastAsia="fr-FR" w:bidi="fr-FR"/>
        </w:rPr>
        <w:t>o</w:t>
      </w:r>
      <w:r w:rsidRPr="004B2498">
        <w:rPr>
          <w:lang w:eastAsia="fr-FR" w:bidi="fr-FR"/>
        </w:rPr>
        <w:t xml:space="preserve">ciale et politique de femme en Chine, de fait marquée par de sévères inégalités et discriminations repérées dans la famille, l’éducation, le marché du travail, l’emploi, etc. Les </w:t>
      </w:r>
      <w:r w:rsidRPr="00E869CE">
        <w:rPr>
          <w:i/>
        </w:rPr>
        <w:t>gender studies</w:t>
      </w:r>
      <w:r w:rsidRPr="004B2498">
        <w:rPr>
          <w:lang w:eastAsia="fr-FR" w:bidi="fr-FR"/>
        </w:rPr>
        <w:t xml:space="preserve"> créent donc une sorte de déchirure dans le regard que ces femmes portent désormais sur leur présent et leur avenir, au point d’entraîner des remises en ca</w:t>
      </w:r>
      <w:r w:rsidRPr="004B2498">
        <w:rPr>
          <w:lang w:eastAsia="fr-FR" w:bidi="fr-FR"/>
        </w:rPr>
        <w:t>u</w:t>
      </w:r>
      <w:r w:rsidRPr="004B2498">
        <w:rPr>
          <w:lang w:eastAsia="fr-FR" w:bidi="fr-FR"/>
        </w:rPr>
        <w:t>se et des bouleversements irrémédi</w:t>
      </w:r>
      <w:r w:rsidRPr="004B2498">
        <w:rPr>
          <w:lang w:eastAsia="fr-FR" w:bidi="fr-FR"/>
        </w:rPr>
        <w:t>a</w:t>
      </w:r>
      <w:r w:rsidRPr="004B2498">
        <w:rPr>
          <w:lang w:eastAsia="fr-FR" w:bidi="fr-FR"/>
        </w:rPr>
        <w:t>bles. C’est ce que nous proposons au lecteur de découvrir maintenant à travers quelques-unes d’entre elles et tout d’abord celle qui constitue leur référence commune.</w:t>
      </w:r>
    </w:p>
    <w:p w14:paraId="5FF0541B" w14:textId="77777777" w:rsidR="002F4063" w:rsidRPr="004B2498" w:rsidRDefault="002F4063" w:rsidP="002F4063">
      <w:pPr>
        <w:spacing w:before="120" w:after="120"/>
        <w:jc w:val="both"/>
        <w:rPr>
          <w:szCs w:val="24"/>
          <w:lang w:eastAsia="fr-FR" w:bidi="fr-FR"/>
        </w:rPr>
      </w:pPr>
    </w:p>
    <w:p w14:paraId="21D7872C" w14:textId="77777777" w:rsidR="002F4063" w:rsidRPr="004B2498" w:rsidRDefault="002F4063" w:rsidP="002F4063">
      <w:pPr>
        <w:pStyle w:val="a"/>
      </w:pPr>
      <w:r w:rsidRPr="004B2498">
        <w:t>L’initiatrice</w:t>
      </w:r>
    </w:p>
    <w:p w14:paraId="64696405" w14:textId="77777777" w:rsidR="002F4063" w:rsidRPr="004B2498" w:rsidRDefault="002F4063" w:rsidP="002F4063">
      <w:pPr>
        <w:spacing w:before="120" w:after="120"/>
        <w:jc w:val="both"/>
        <w:rPr>
          <w:lang w:eastAsia="fr-FR" w:bidi="fr-FR"/>
        </w:rPr>
      </w:pPr>
    </w:p>
    <w:p w14:paraId="3A2F0722" w14:textId="77777777" w:rsidR="002F4063" w:rsidRPr="004B2498" w:rsidRDefault="002F4063" w:rsidP="002F4063">
      <w:pPr>
        <w:spacing w:before="120" w:after="120"/>
        <w:jc w:val="both"/>
      </w:pPr>
      <w:r w:rsidRPr="004B2498">
        <w:rPr>
          <w:lang w:eastAsia="fr-FR" w:bidi="fr-FR"/>
        </w:rPr>
        <w:t>Nous appellerons Yuting cette femme qui approche de la soixa</w:t>
      </w:r>
      <w:r w:rsidRPr="004B2498">
        <w:rPr>
          <w:lang w:eastAsia="fr-FR" w:bidi="fr-FR"/>
        </w:rPr>
        <w:t>n</w:t>
      </w:r>
      <w:r w:rsidRPr="004B2498">
        <w:rPr>
          <w:lang w:eastAsia="fr-FR" w:bidi="fr-FR"/>
        </w:rPr>
        <w:t xml:space="preserve">taine, enseigne dans la plus prestigieuse des universités de la province, dans le cadre de laquelle elle a implanté les </w:t>
      </w:r>
      <w:r w:rsidRPr="003674B1">
        <w:rPr>
          <w:i/>
        </w:rPr>
        <w:t>gender studies</w:t>
      </w:r>
      <w:r w:rsidRPr="004B2498">
        <w:rPr>
          <w:lang w:eastAsia="fr-FR" w:bidi="fr-FR"/>
        </w:rPr>
        <w:t xml:space="preserve"> au sein de son département</w:t>
      </w:r>
      <w:r>
        <w:rPr>
          <w:lang w:eastAsia="fr-FR" w:bidi="fr-FR"/>
        </w:rPr>
        <w:t> </w:t>
      </w:r>
      <w:r>
        <w:rPr>
          <w:rStyle w:val="Appelnotedebasdep"/>
          <w:lang w:eastAsia="fr-FR" w:bidi="fr-FR"/>
        </w:rPr>
        <w:footnoteReference w:id="180"/>
      </w:r>
      <w:r w:rsidRPr="004B2498">
        <w:rPr>
          <w:lang w:eastAsia="fr-FR" w:bidi="fr-FR"/>
        </w:rPr>
        <w:t>, en faisant une filière allant jusqu’au doctorat. Pe</w:t>
      </w:r>
      <w:r w:rsidRPr="004B2498">
        <w:rPr>
          <w:lang w:eastAsia="fr-FR" w:bidi="fr-FR"/>
        </w:rPr>
        <w:t>r</w:t>
      </w:r>
      <w:r w:rsidRPr="004B2498">
        <w:rPr>
          <w:lang w:eastAsia="fr-FR" w:bidi="fr-FR"/>
        </w:rPr>
        <w:t>sonnage public dont la réputation dépasse largement les frontières de la Chine, cette femme ferme, au regard incisif, est très présente sur Internet et dans les médias. Elle donne de nombreux entretiens et a</w:t>
      </w:r>
      <w:r w:rsidRPr="004B2498">
        <w:rPr>
          <w:lang w:eastAsia="fr-FR" w:bidi="fr-FR"/>
        </w:rPr>
        <w:t>p</w:t>
      </w:r>
      <w:r w:rsidRPr="004B2498">
        <w:rPr>
          <w:lang w:eastAsia="fr-FR" w:bidi="fr-FR"/>
        </w:rPr>
        <w:t>paraît aujourd'hui une des figures de proue de l’activisme pour la d</w:t>
      </w:r>
      <w:r w:rsidRPr="004B2498">
        <w:rPr>
          <w:lang w:eastAsia="fr-FR" w:bidi="fr-FR"/>
        </w:rPr>
        <w:t>é</w:t>
      </w:r>
      <w:r w:rsidRPr="004B2498">
        <w:rPr>
          <w:lang w:eastAsia="fr-FR" w:bidi="fr-FR"/>
        </w:rPr>
        <w:t>fense des droits. Auteure de plusieurs documentaires engagés, sign</w:t>
      </w:r>
      <w:r w:rsidRPr="004B2498">
        <w:rPr>
          <w:lang w:eastAsia="fr-FR" w:bidi="fr-FR"/>
        </w:rPr>
        <w:t>a</w:t>
      </w:r>
      <w:r w:rsidRPr="004B2498">
        <w:rPr>
          <w:lang w:eastAsia="fr-FR" w:bidi="fr-FR"/>
        </w:rPr>
        <w:t xml:space="preserve">taire de la charte 2008, elle s’inscrit dans un </w:t>
      </w:r>
      <w:r w:rsidRPr="003674B1">
        <w:rPr>
          <w:i/>
        </w:rPr>
        <w:t>global feminism project</w:t>
      </w:r>
      <w:r w:rsidRPr="004B2498">
        <w:rPr>
          <w:lang w:eastAsia="fr-FR" w:bidi="fr-FR"/>
        </w:rPr>
        <w:t xml:space="preserve"> dont le site est aux USA et qui rassemble des chercheuses indiennes, polonaises, etc. Ce « féminisme global » - au sens large de mouvance mondiale dans laquelle elle entraîne ses jeunes collègues et ses ét</w:t>
      </w:r>
      <w:r w:rsidRPr="004B2498">
        <w:rPr>
          <w:lang w:eastAsia="fr-FR" w:bidi="fr-FR"/>
        </w:rPr>
        <w:t>u</w:t>
      </w:r>
      <w:r w:rsidRPr="004B2498">
        <w:rPr>
          <w:lang w:eastAsia="fr-FR" w:bidi="fr-FR"/>
        </w:rPr>
        <w:t>diants - se donne à penser comme un nouvel objet anthropologique symptomatique de la globalisation. Il enclenche une série de prises de position à travers avant tout l’apprentissage intellectuel de la notion clé de droit : droits des femmes, droits des migrants, etc. L'hypoth</w:t>
      </w:r>
      <w:r w:rsidRPr="004B2498">
        <w:rPr>
          <w:lang w:eastAsia="fr-FR" w:bidi="fr-FR"/>
        </w:rPr>
        <w:t>è</w:t>
      </w:r>
      <w:r w:rsidRPr="004B2498">
        <w:rPr>
          <w:lang w:eastAsia="fr-FR" w:bidi="fr-FR"/>
        </w:rPr>
        <w:t>se</w:t>
      </w:r>
      <w:r>
        <w:rPr>
          <w:lang w:eastAsia="fr-FR" w:bidi="fr-FR"/>
        </w:rPr>
        <w:t xml:space="preserve"> </w:t>
      </w:r>
      <w:r w:rsidRPr="004B2498">
        <w:t>[217]</w:t>
      </w:r>
      <w:r>
        <w:t xml:space="preserve"> </w:t>
      </w:r>
      <w:r w:rsidRPr="004B2498">
        <w:rPr>
          <w:lang w:eastAsia="fr-FR" w:bidi="fr-FR"/>
        </w:rPr>
        <w:t>idéologique de droits - dans laquelle Alain Ehrenberg repère la g</w:t>
      </w:r>
      <w:r w:rsidRPr="004B2498">
        <w:rPr>
          <w:lang w:eastAsia="fr-FR" w:bidi="fr-FR"/>
        </w:rPr>
        <w:t>e</w:t>
      </w:r>
      <w:r w:rsidRPr="004B2498">
        <w:rPr>
          <w:lang w:eastAsia="fr-FR" w:bidi="fr-FR"/>
        </w:rPr>
        <w:t>nèse de l’individualisme américain, là ou en France s’élève le sujet de la liberté </w:t>
      </w:r>
      <w:r>
        <w:rPr>
          <w:rStyle w:val="Appelnotedebasdep"/>
          <w:lang w:eastAsia="fr-FR" w:bidi="fr-FR"/>
        </w:rPr>
        <w:footnoteReference w:id="181"/>
      </w:r>
      <w:r w:rsidRPr="004B2498">
        <w:rPr>
          <w:lang w:eastAsia="fr-FR" w:bidi="fr-FR"/>
        </w:rPr>
        <w:t xml:space="preserve"> - débouche en Chine sur une révolte générale contre toutes les injustices sociales nées de l’étrange alliance du communi</w:t>
      </w:r>
      <w:r w:rsidRPr="004B2498">
        <w:rPr>
          <w:lang w:eastAsia="fr-FR" w:bidi="fr-FR"/>
        </w:rPr>
        <w:t>s</w:t>
      </w:r>
      <w:r w:rsidRPr="004B2498">
        <w:rPr>
          <w:lang w:eastAsia="fr-FR" w:bidi="fr-FR"/>
        </w:rPr>
        <w:t>me avec le capitalisme et une opposition frontale aux pouvoirs en pl</w:t>
      </w:r>
      <w:r w:rsidRPr="004B2498">
        <w:rPr>
          <w:lang w:eastAsia="fr-FR" w:bidi="fr-FR"/>
        </w:rPr>
        <w:t>a</w:t>
      </w:r>
      <w:r w:rsidRPr="004B2498">
        <w:rPr>
          <w:lang w:eastAsia="fr-FR" w:bidi="fr-FR"/>
        </w:rPr>
        <w:t>ce, à la censure, à la corruption, à l’oppression, à l’étouffement des tentatives de faire éclore vérité et transparence dans des affaires très diverses qui mêlent la police, les édiles du Parti, leurs proches, les forces du ma</w:t>
      </w:r>
      <w:r w:rsidRPr="004B2498">
        <w:rPr>
          <w:lang w:eastAsia="fr-FR" w:bidi="fr-FR"/>
        </w:rPr>
        <w:t>r</w:t>
      </w:r>
      <w:r w:rsidRPr="004B2498">
        <w:rPr>
          <w:lang w:eastAsia="fr-FR" w:bidi="fr-FR"/>
        </w:rPr>
        <w:t>ché, etc. La trajectoire de Yuting est exemplaire de cette démarche qui a abouti pour elle-même à des interdictions de conf</w:t>
      </w:r>
      <w:r w:rsidRPr="004B2498">
        <w:rPr>
          <w:lang w:eastAsia="fr-FR" w:bidi="fr-FR"/>
        </w:rPr>
        <w:t>é</w:t>
      </w:r>
      <w:r w:rsidRPr="004B2498">
        <w:rPr>
          <w:lang w:eastAsia="fr-FR" w:bidi="fr-FR"/>
        </w:rPr>
        <w:t>rence, diverses mesures de restriction de ses activités, une surveillance permanente, le retrait de son passeport, mais dans le même moment une relative pr</w:t>
      </w:r>
      <w:r w:rsidRPr="004B2498">
        <w:rPr>
          <w:lang w:eastAsia="fr-FR" w:bidi="fr-FR"/>
        </w:rPr>
        <w:t>o</w:t>
      </w:r>
      <w:r w:rsidRPr="004B2498">
        <w:rPr>
          <w:lang w:eastAsia="fr-FR" w:bidi="fr-FR"/>
        </w:rPr>
        <w:t>tection des autorités de l’université empêchant son éventuelle arrest</w:t>
      </w:r>
      <w:r w:rsidRPr="004B2498">
        <w:rPr>
          <w:lang w:eastAsia="fr-FR" w:bidi="fr-FR"/>
        </w:rPr>
        <w:t>a</w:t>
      </w:r>
      <w:r w:rsidRPr="004B2498">
        <w:rPr>
          <w:lang w:eastAsia="fr-FR" w:bidi="fr-FR"/>
        </w:rPr>
        <w:t>tion. Yuting invite donc l’observateur à plonger dans la production d’une dissidence à partir de l’articulation de plusieurs lignes majeures saisies dans un long entretien de quatre heures dont elle a elle-même choisi le fil directeur, insistant sur le fait que génér</w:t>
      </w:r>
      <w:r w:rsidRPr="004B2498">
        <w:rPr>
          <w:lang w:eastAsia="fr-FR" w:bidi="fr-FR"/>
        </w:rPr>
        <w:t>a</w:t>
      </w:r>
      <w:r w:rsidRPr="004B2498">
        <w:rPr>
          <w:lang w:eastAsia="fr-FR" w:bidi="fr-FR"/>
        </w:rPr>
        <w:t>lement elle refuse de parler sur un mode trop personnel en raison des questions qui lui sont imposées sur la révolution culturelle. Nous n’en poserons aucune.</w:t>
      </w:r>
    </w:p>
    <w:p w14:paraId="39316BBC" w14:textId="77777777" w:rsidR="002F4063" w:rsidRPr="004B2498" w:rsidRDefault="002F4063" w:rsidP="002F4063">
      <w:pPr>
        <w:spacing w:before="120" w:after="120"/>
        <w:jc w:val="both"/>
      </w:pPr>
      <w:r w:rsidRPr="004B2498">
        <w:rPr>
          <w:lang w:eastAsia="fr-FR" w:bidi="fr-FR"/>
        </w:rPr>
        <w:t>La construction de l’identité, la défense d’un statut par la déno</w:t>
      </w:r>
      <w:r w:rsidRPr="004B2498">
        <w:rPr>
          <w:lang w:eastAsia="fr-FR" w:bidi="fr-FR"/>
        </w:rPr>
        <w:t>n</w:t>
      </w:r>
      <w:r w:rsidRPr="004B2498">
        <w:rPr>
          <w:lang w:eastAsia="fr-FR" w:bidi="fr-FR"/>
        </w:rPr>
        <w:t>ciation et l’accusation de l’autre - qui constituent une scène intérieure typique des dictatures communistes - et surtout la cassure de ce pr</w:t>
      </w:r>
      <w:r w:rsidRPr="004B2498">
        <w:rPr>
          <w:lang w:eastAsia="fr-FR" w:bidi="fr-FR"/>
        </w:rPr>
        <w:t>o</w:t>
      </w:r>
      <w:r w:rsidRPr="004B2498">
        <w:rPr>
          <w:lang w:eastAsia="fr-FR" w:bidi="fr-FR"/>
        </w:rPr>
        <w:t>cessus d’édification de soi émergent de son récit dont nous allons r</w:t>
      </w:r>
      <w:r w:rsidRPr="004B2498">
        <w:rPr>
          <w:lang w:eastAsia="fr-FR" w:bidi="fr-FR"/>
        </w:rPr>
        <w:t>e</w:t>
      </w:r>
      <w:r w:rsidRPr="004B2498">
        <w:rPr>
          <w:lang w:eastAsia="fr-FR" w:bidi="fr-FR"/>
        </w:rPr>
        <w:t>prendre quelques étapes principales.</w:t>
      </w:r>
    </w:p>
    <w:p w14:paraId="37FED09B" w14:textId="77777777" w:rsidR="002F4063" w:rsidRPr="004B2498" w:rsidRDefault="002F4063" w:rsidP="002F4063">
      <w:pPr>
        <w:spacing w:before="120" w:after="120"/>
        <w:jc w:val="both"/>
      </w:pPr>
      <w:r w:rsidRPr="004B2498">
        <w:rPr>
          <w:lang w:eastAsia="fr-FR" w:bidi="fr-FR"/>
        </w:rPr>
        <w:t>Yuting pense que son nom est juif - en liaison avec une migration juive dans la région d’origine de ses grands-parents paternels - et elle mentionne que son frère enseigne le judaïsme dans une université c</w:t>
      </w:r>
      <w:r w:rsidRPr="004B2498">
        <w:rPr>
          <w:lang w:eastAsia="fr-FR" w:bidi="fr-FR"/>
        </w:rPr>
        <w:t>a</w:t>
      </w:r>
      <w:r w:rsidRPr="004B2498">
        <w:rPr>
          <w:lang w:eastAsia="fr-FR" w:bidi="fr-FR"/>
        </w:rPr>
        <w:t>nadienne et s’est reconstruit comme juif, donnant des noms juifs à ses enfants. Elle est issue d’un deuxième mariage de sa mère effectué contre la volonté du père de cette dernière opposé à une alliance avec un homme de statut inférieur et plus jeune. Le père de sa mère était prêt à tuer sa fille qui mourut dans un hôpital psychiatrique. Déposé dans un orphelinat par une mère veuve, le père de Yuting fut « recueilli » avec onze autres garçons par un commandant de l’armée nationaliste qui eut quatre femmes qui lui ont donné d’autres fils. Dans la narration de Yuting ce commandant de l’armée nationaliste qui était aussi vice-gouverneur dans sa province, se révèle être le père de la mère de Yuting qui épousa donc en secondes noces son propre « frère recueilli ». Ce mariage allant à l’encontre de l’ordre paternel, eut une fin tragique puisqu’il conduisit la mère de Yuting à l’errance et à la folie. Une transgression originelle marque les débuts de la vie de Yuting. Le père, né en 1925, formé</w:t>
      </w:r>
      <w:r>
        <w:t xml:space="preserve"> </w:t>
      </w:r>
      <w:r w:rsidRPr="004B2498">
        <w:t>[218]</w:t>
      </w:r>
      <w:r>
        <w:t xml:space="preserve"> </w:t>
      </w:r>
      <w:r w:rsidRPr="004B2498">
        <w:rPr>
          <w:lang w:eastAsia="fr-FR" w:bidi="fr-FR"/>
        </w:rPr>
        <w:t>dans une école militaire, a rejoint ensuite l’armée de libération. Les deux lignées, paternelle comme maternelle, sont donc unifiées en une seule « antirévolutionnaire », et, enfant, Yuting perçoit la différence de sa famille. Son père, angoissé par sa « mauvaise origine », « noire », lui recommande de ne pas se distinguer par la « fierté », et s’inquiète que la réussite brillante de sa fille n’attire l’attention sur elle. Arrive la r</w:t>
      </w:r>
      <w:r w:rsidRPr="004B2498">
        <w:rPr>
          <w:lang w:eastAsia="fr-FR" w:bidi="fr-FR"/>
        </w:rPr>
        <w:t>é</w:t>
      </w:r>
      <w:r w:rsidRPr="004B2498">
        <w:rPr>
          <w:lang w:eastAsia="fr-FR" w:bidi="fr-FR"/>
        </w:rPr>
        <w:t>volution culturelle, la bannière « antirévolutionnaire » placardée sur la maison et sa famille offerte à la vindicte des gardes rouges. L’attitude du père sera déterminante à ce moment précis pour la conduite ult</w:t>
      </w:r>
      <w:r w:rsidRPr="004B2498">
        <w:rPr>
          <w:lang w:eastAsia="fr-FR" w:bidi="fr-FR"/>
        </w:rPr>
        <w:t>é</w:t>
      </w:r>
      <w:r w:rsidRPr="004B2498">
        <w:rPr>
          <w:lang w:eastAsia="fr-FR" w:bidi="fr-FR"/>
        </w:rPr>
        <w:t>rieure de Yuting : le père, rentrant tard des réunions, lui explique qu’elle ne peut rien contre ses origines antirévolutionna</w:t>
      </w:r>
      <w:r w:rsidRPr="004B2498">
        <w:rPr>
          <w:lang w:eastAsia="fr-FR" w:bidi="fr-FR"/>
        </w:rPr>
        <w:t>i</w:t>
      </w:r>
      <w:r w:rsidRPr="004B2498">
        <w:rPr>
          <w:lang w:eastAsia="fr-FR" w:bidi="fr-FR"/>
        </w:rPr>
        <w:t>res qui sont véridiques, qu’en revanche, elle peut choisir sa vie, ce que sa propre génération n’a pu faire. Face à la petite fille de treize ans, il donne ra</w:t>
      </w:r>
      <w:r w:rsidRPr="004B2498">
        <w:rPr>
          <w:lang w:eastAsia="fr-FR" w:bidi="fr-FR"/>
        </w:rPr>
        <w:t>i</w:t>
      </w:r>
      <w:r w:rsidRPr="004B2498">
        <w:rPr>
          <w:lang w:eastAsia="fr-FR" w:bidi="fr-FR"/>
        </w:rPr>
        <w:t>son aux révolutionnaires, l’invite à couper les liens avec sa famille, à ignorer son histoire pour intégrer la « nouvelle société ». Yuting éco</w:t>
      </w:r>
      <w:r w:rsidRPr="004B2498">
        <w:rPr>
          <w:lang w:eastAsia="fr-FR" w:bidi="fr-FR"/>
        </w:rPr>
        <w:t>u</w:t>
      </w:r>
      <w:r w:rsidRPr="004B2498">
        <w:rPr>
          <w:lang w:eastAsia="fr-FR" w:bidi="fr-FR"/>
        </w:rPr>
        <w:t>te son père qui autorise ainsi symboliquement un engagement polit</w:t>
      </w:r>
      <w:r w:rsidRPr="004B2498">
        <w:rPr>
          <w:lang w:eastAsia="fr-FR" w:bidi="fr-FR"/>
        </w:rPr>
        <w:t>i</w:t>
      </w:r>
      <w:r w:rsidRPr="004B2498">
        <w:rPr>
          <w:lang w:eastAsia="fr-FR" w:bidi="fr-FR"/>
        </w:rPr>
        <w:t>que décisif. Elle se fait accepter par les gardes rouges alors qu’elle avait peur d’être rejetée et avec intelligence et énergie, critique et d</w:t>
      </w:r>
      <w:r w:rsidRPr="004B2498">
        <w:rPr>
          <w:lang w:eastAsia="fr-FR" w:bidi="fr-FR"/>
        </w:rPr>
        <w:t>é</w:t>
      </w:r>
      <w:r w:rsidRPr="004B2498">
        <w:rPr>
          <w:lang w:eastAsia="fr-FR" w:bidi="fr-FR"/>
        </w:rPr>
        <w:t>nonce famille et professeurs sur le mode usuel de cette période. C’est sa première pratique de l’accusation. En 1970, à 16 ans, non séle</w:t>
      </w:r>
      <w:r w:rsidRPr="004B2498">
        <w:rPr>
          <w:lang w:eastAsia="fr-FR" w:bidi="fr-FR"/>
        </w:rPr>
        <w:t>c</w:t>
      </w:r>
      <w:r w:rsidRPr="004B2498">
        <w:rPr>
          <w:lang w:eastAsia="fr-FR" w:bidi="fr-FR"/>
        </w:rPr>
        <w:t>tionnée pour reprendre l’école, elle part à la campagne, volontair</w:t>
      </w:r>
      <w:r w:rsidRPr="004B2498">
        <w:rPr>
          <w:lang w:eastAsia="fr-FR" w:bidi="fr-FR"/>
        </w:rPr>
        <w:t>e</w:t>
      </w:r>
      <w:r w:rsidRPr="004B2498">
        <w:rPr>
          <w:lang w:eastAsia="fr-FR" w:bidi="fr-FR"/>
        </w:rPr>
        <w:t>ment, très attirée par le projet de rééducation auprès des paysans. In</w:t>
      </w:r>
      <w:r w:rsidRPr="004B2498">
        <w:rPr>
          <w:lang w:eastAsia="fr-FR" w:bidi="fr-FR"/>
        </w:rPr>
        <w:t>s</w:t>
      </w:r>
      <w:r w:rsidRPr="004B2498">
        <w:rPr>
          <w:lang w:eastAsia="fr-FR" w:bidi="fr-FR"/>
        </w:rPr>
        <w:t>crite dans un groupe d’enfants de professeurs, elle prend la route pour un village de montagne à deux heures de la ville où elle habite. Sur le chemin, des parents offrent un déjeuner, pleurent. L'a</w:t>
      </w:r>
      <w:r w:rsidRPr="004B2498">
        <w:rPr>
          <w:lang w:eastAsia="fr-FR" w:bidi="fr-FR"/>
        </w:rPr>
        <w:t>m</w:t>
      </w:r>
      <w:r w:rsidRPr="004B2498">
        <w:rPr>
          <w:lang w:eastAsia="fr-FR" w:bidi="fr-FR"/>
        </w:rPr>
        <w:t>biance est à la fois dramatique et joyeuse car « c’était la révolution » dit aujourd’hui Yuting. Elle reste quatre ans et demi dans ce village où elle devient institutrice et où elle est très appréciée par les paysans qui acceptent son retour en ville et son inscription au collège, obtenue grâce à une relation amicale du père. En 1976, Mao meurt alors qu’elle est dans sa dernière année de collège. Dénonciations et critiques reprennent, pr</w:t>
      </w:r>
      <w:r w:rsidRPr="004B2498">
        <w:rPr>
          <w:lang w:eastAsia="fr-FR" w:bidi="fr-FR"/>
        </w:rPr>
        <w:t>e</w:t>
      </w:r>
      <w:r w:rsidRPr="004B2498">
        <w:rPr>
          <w:lang w:eastAsia="fr-FR" w:bidi="fr-FR"/>
        </w:rPr>
        <w:t>nant cette fois-ci pour objet le comportement d</w:t>
      </w:r>
      <w:r w:rsidRPr="004B2498">
        <w:rPr>
          <w:lang w:eastAsia="fr-FR" w:bidi="fr-FR"/>
        </w:rPr>
        <w:t>u</w:t>
      </w:r>
      <w:r w:rsidRPr="004B2498">
        <w:rPr>
          <w:lang w:eastAsia="fr-FR" w:bidi="fr-FR"/>
        </w:rPr>
        <w:t>rant la révolution culturelle. Yuting ne comprend pas pourquoi chacun doit faire son autocritique et aimerait fuir au Tibet. Son père l’en d</w:t>
      </w:r>
      <w:r w:rsidRPr="004B2498">
        <w:rPr>
          <w:lang w:eastAsia="fr-FR" w:bidi="fr-FR"/>
        </w:rPr>
        <w:t>é</w:t>
      </w:r>
      <w:r w:rsidRPr="004B2498">
        <w:rPr>
          <w:lang w:eastAsia="fr-FR" w:bidi="fr-FR"/>
        </w:rPr>
        <w:t>tourne et elle est envoyée en 1977 dans un village plus éloigné de montagne comme professeur d’école secondaire, face à des enfants qui refusent d’obéir, d’apprendre. Sur les conseils du secrétaire du Parti qui pousse chacun à rentrer dans une campagne de « critique » qui touche un collègue chargé de l’application d’un programme de promotion des ense</w:t>
      </w:r>
      <w:r w:rsidRPr="004B2498">
        <w:rPr>
          <w:lang w:eastAsia="fr-FR" w:bidi="fr-FR"/>
        </w:rPr>
        <w:t>i</w:t>
      </w:r>
      <w:r w:rsidRPr="004B2498">
        <w:rPr>
          <w:lang w:eastAsia="fr-FR" w:bidi="fr-FR"/>
        </w:rPr>
        <w:t>gnants, elle participe à la mise au pilori d’un autre collègue dont elle est proche, ce qui interdit à ce dernier d’être promu. Avec lucidité, elle analyse aujourd’hui qu’elle a accepté d’accuser cet ami - qui n'a pas compris son attitude - pour ne pas être accusée elle-même, voir remonter son origine familiale négative et, corollairement, être déno</w:t>
      </w:r>
      <w:r w:rsidRPr="004B2498">
        <w:rPr>
          <w:lang w:eastAsia="fr-FR" w:bidi="fr-FR"/>
        </w:rPr>
        <w:t>n</w:t>
      </w:r>
      <w:r w:rsidRPr="004B2498">
        <w:rPr>
          <w:lang w:eastAsia="fr-FR" w:bidi="fr-FR"/>
        </w:rPr>
        <w:t>cée pour avoir été surprise dans la même pièce que son f</w:t>
      </w:r>
      <w:r w:rsidRPr="004B2498">
        <w:rPr>
          <w:lang w:eastAsia="fr-FR" w:bidi="fr-FR"/>
        </w:rPr>
        <w:t>u</w:t>
      </w:r>
      <w:r w:rsidRPr="004B2498">
        <w:rPr>
          <w:lang w:eastAsia="fr-FR" w:bidi="fr-FR"/>
        </w:rPr>
        <w:t>tur mari. Ce second enrôlement</w:t>
      </w:r>
      <w:r>
        <w:t xml:space="preserve"> </w:t>
      </w:r>
      <w:r w:rsidRPr="004B2498">
        <w:t>[219]</w:t>
      </w:r>
      <w:r>
        <w:t xml:space="preserve"> </w:t>
      </w:r>
      <w:r w:rsidRPr="004B2498">
        <w:rPr>
          <w:lang w:eastAsia="fr-FR" w:bidi="fr-FR"/>
        </w:rPr>
        <w:t>volontaire dans une chaîne d’accusations la marque profondément et elle décide de ne plus jamais accepter de d</w:t>
      </w:r>
      <w:r w:rsidRPr="004B2498">
        <w:rPr>
          <w:lang w:eastAsia="fr-FR" w:bidi="fr-FR"/>
        </w:rPr>
        <w:t>é</w:t>
      </w:r>
      <w:r w:rsidRPr="004B2498">
        <w:rPr>
          <w:lang w:eastAsia="fr-FR" w:bidi="fr-FR"/>
        </w:rPr>
        <w:t>noncer sur ordre d’un supérieur. Puis elle prépare l’examen d’entrée à l’université et le réu</w:t>
      </w:r>
      <w:r w:rsidRPr="004B2498">
        <w:rPr>
          <w:lang w:eastAsia="fr-FR" w:bidi="fr-FR"/>
        </w:rPr>
        <w:t>s</w:t>
      </w:r>
      <w:r w:rsidRPr="004B2498">
        <w:rPr>
          <w:lang w:eastAsia="fr-FR" w:bidi="fr-FR"/>
        </w:rPr>
        <w:t>sit.</w:t>
      </w:r>
    </w:p>
    <w:p w14:paraId="4595A4D2" w14:textId="77777777" w:rsidR="002F4063" w:rsidRPr="004B2498" w:rsidRDefault="002F4063" w:rsidP="002F4063">
      <w:pPr>
        <w:spacing w:before="120" w:after="120"/>
        <w:jc w:val="both"/>
      </w:pPr>
      <w:r w:rsidRPr="004B2498">
        <w:rPr>
          <w:lang w:eastAsia="fr-FR" w:bidi="fr-FR"/>
        </w:rPr>
        <w:t>Son futur mari est un ancien garde rouge qui fut très actif et il est, par le père de Yuting, soupçonné d’avoir eu une conduite répréhens</w:t>
      </w:r>
      <w:r w:rsidRPr="004B2498">
        <w:rPr>
          <w:lang w:eastAsia="fr-FR" w:bidi="fr-FR"/>
        </w:rPr>
        <w:t>i</w:t>
      </w:r>
      <w:r w:rsidRPr="004B2498">
        <w:rPr>
          <w:lang w:eastAsia="fr-FR" w:bidi="fr-FR"/>
        </w:rPr>
        <w:t>ble durant la révolution culturelle. L’opposition de son père au mari</w:t>
      </w:r>
      <w:r w:rsidRPr="004B2498">
        <w:rPr>
          <w:lang w:eastAsia="fr-FR" w:bidi="fr-FR"/>
        </w:rPr>
        <w:t>a</w:t>
      </w:r>
      <w:r w:rsidRPr="004B2498">
        <w:rPr>
          <w:lang w:eastAsia="fr-FR" w:bidi="fr-FR"/>
        </w:rPr>
        <w:t>ge la place dans une situation de malaise. En effet, se dessine là un renvoi pervers de la logique accusatrice : si le père a initié l’extraction de Yuting de sa famille en l’autorisant à user de l’accusation à son encontre, l’hypothèse peut être émise qu’il perçoit douloureusement le redoublement de l’accusation que porte intrinsèquement la présence de son gendre qui rouvre les plaies du passé. Néanmoins, émancipée à treize ans par son père, Yuting épouse l’homme de son choix, un o</w:t>
      </w:r>
      <w:r w:rsidRPr="004B2498">
        <w:rPr>
          <w:lang w:eastAsia="fr-FR" w:bidi="fr-FR"/>
        </w:rPr>
        <w:t>u</w:t>
      </w:r>
      <w:r w:rsidRPr="004B2498">
        <w:rPr>
          <w:lang w:eastAsia="fr-FR" w:bidi="fr-FR"/>
        </w:rPr>
        <w:t>vrier qui suivra plus tard une formation universitaire. Le père du mari, membre actif du parti communiste est mort, accusé de trahison, lors de la campagne antidroitiers. L’accusation politique jalonne et faço</w:t>
      </w:r>
      <w:r w:rsidRPr="004B2498">
        <w:rPr>
          <w:lang w:eastAsia="fr-FR" w:bidi="fr-FR"/>
        </w:rPr>
        <w:t>n</w:t>
      </w:r>
      <w:r w:rsidRPr="004B2498">
        <w:rPr>
          <w:lang w:eastAsia="fr-FR" w:bidi="fr-FR"/>
        </w:rPr>
        <w:t>ne la vie de Yuting comme celle de la très grande majorité des Ch</w:t>
      </w:r>
      <w:r w:rsidRPr="004B2498">
        <w:rPr>
          <w:lang w:eastAsia="fr-FR" w:bidi="fr-FR"/>
        </w:rPr>
        <w:t>i</w:t>
      </w:r>
      <w:r w:rsidRPr="004B2498">
        <w:rPr>
          <w:lang w:eastAsia="fr-FR" w:bidi="fr-FR"/>
        </w:rPr>
        <w:t>nois. Mais loin que ses meurtrissures indélébiles soient enfouies et occultées, elles nourrissent chez cette femme une réflexivité aiguë et permanente. En 1989, mère d’un enfant de six ans, préparant son do</w:t>
      </w:r>
      <w:r w:rsidRPr="004B2498">
        <w:rPr>
          <w:lang w:eastAsia="fr-FR" w:bidi="fr-FR"/>
        </w:rPr>
        <w:t>c</w:t>
      </w:r>
      <w:r w:rsidRPr="004B2498">
        <w:rPr>
          <w:lang w:eastAsia="fr-FR" w:bidi="fr-FR"/>
        </w:rPr>
        <w:t>torat, enfin membre du parti communiste après dix années d’échec de sa candidature - encouragées par son père - pour cause de mauvaise origine et instituée dans la recherche académique, elle reste au départ distante du mouvement étudiant qu’elle observe sans le comprendre réellement. L’étiquette d’antirévolutionnaire apposée sur le mouv</w:t>
      </w:r>
      <w:r w:rsidRPr="004B2498">
        <w:rPr>
          <w:lang w:eastAsia="fr-FR" w:bidi="fr-FR"/>
        </w:rPr>
        <w:t>e</w:t>
      </w:r>
      <w:r w:rsidRPr="004B2498">
        <w:rPr>
          <w:lang w:eastAsia="fr-FR" w:bidi="fr-FR"/>
        </w:rPr>
        <w:t xml:space="preserve">ment, puis la venue d’une nouvelle campagne de dénonciations </w:t>
      </w:r>
      <w:r w:rsidRPr="004B2498">
        <w:t>gén</w:t>
      </w:r>
      <w:r w:rsidRPr="004B2498">
        <w:t>é</w:t>
      </w:r>
      <w:r w:rsidRPr="004B2498">
        <w:t xml:space="preserve">ralisées </w:t>
      </w:r>
      <w:r w:rsidRPr="004B2498">
        <w:rPr>
          <w:lang w:eastAsia="fr-FR" w:bidi="fr-FR"/>
        </w:rPr>
        <w:t>portant sur l’éventuelle participation des uns et des autres à des activités subversives font écho à ses expériences antérieures et en contrepartie provoquent sa sympathie pour les étudiants, ce, d’autant plus que certains qui suivaient ses cours ont disparu, comme d’autres enfants de ses collègues. Par ce relatif retournement, elle amorce un rachat de la dette inconsciente qu’elle a contractée lors des deux m</w:t>
      </w:r>
      <w:r w:rsidRPr="004B2498">
        <w:rPr>
          <w:lang w:eastAsia="fr-FR" w:bidi="fr-FR"/>
        </w:rPr>
        <w:t>o</w:t>
      </w:r>
      <w:r w:rsidRPr="004B2498">
        <w:rPr>
          <w:lang w:eastAsia="fr-FR" w:bidi="fr-FR"/>
        </w:rPr>
        <w:t>ments historiques où elle-même a obtempéré aux nécessités de l’accusation.</w:t>
      </w:r>
    </w:p>
    <w:p w14:paraId="18E0F651" w14:textId="77777777" w:rsidR="002F4063" w:rsidRPr="004B2498" w:rsidRDefault="002F4063" w:rsidP="002F4063">
      <w:pPr>
        <w:spacing w:before="120" w:after="120"/>
        <w:jc w:val="both"/>
      </w:pPr>
      <w:r w:rsidRPr="004B2498">
        <w:rPr>
          <w:lang w:eastAsia="fr-FR" w:bidi="fr-FR"/>
        </w:rPr>
        <w:t xml:space="preserve">En 1994, Yuting est nommée professeur et en 2000 elle passe une année sabbatique aux USA, suivant un cours sur les </w:t>
      </w:r>
      <w:r w:rsidRPr="003674B1">
        <w:rPr>
          <w:i/>
        </w:rPr>
        <w:t>gender studies</w:t>
      </w:r>
      <w:r w:rsidRPr="004B2498">
        <w:t>.</w:t>
      </w:r>
      <w:r w:rsidRPr="004B2498">
        <w:rPr>
          <w:lang w:eastAsia="fr-FR" w:bidi="fr-FR"/>
        </w:rPr>
        <w:t xml:space="preserve"> Elle a alors 47 ans, et découvre, émerveillée, une foule de connaissa</w:t>
      </w:r>
      <w:r w:rsidRPr="004B2498">
        <w:rPr>
          <w:lang w:eastAsia="fr-FR" w:bidi="fr-FR"/>
        </w:rPr>
        <w:t>n</w:t>
      </w:r>
      <w:r w:rsidRPr="004B2498">
        <w:rPr>
          <w:lang w:eastAsia="fr-FR" w:bidi="fr-FR"/>
        </w:rPr>
        <w:t>ces inconnues sur les femmes et prend conscience qu’« elle est une femme ». De retour en Chine elle cherche des financements pour monter un forum sur le genre. Sa militance puis sa dissidence - dont nous ne reprendrons pas l’historique - s’inaugurent à ce stade fond</w:t>
      </w:r>
      <w:r w:rsidRPr="004B2498">
        <w:rPr>
          <w:lang w:eastAsia="fr-FR" w:bidi="fr-FR"/>
        </w:rPr>
        <w:t>a</w:t>
      </w:r>
      <w:r w:rsidRPr="004B2498">
        <w:rPr>
          <w:lang w:eastAsia="fr-FR" w:bidi="fr-FR"/>
        </w:rPr>
        <w:t>teur où le signifiant « femme » vient conjoindre ce qui fut et fond</w:t>
      </w:r>
      <w:r w:rsidRPr="004B2498">
        <w:rPr>
          <w:lang w:eastAsia="fr-FR" w:bidi="fr-FR"/>
        </w:rPr>
        <w:t>a</w:t>
      </w:r>
      <w:r w:rsidRPr="004B2498">
        <w:rPr>
          <w:lang w:eastAsia="fr-FR" w:bidi="fr-FR"/>
        </w:rPr>
        <w:t>mentalement reste disjoint par l’ordre politique qu’incarne l’État-Parti. D’un côté le vécu, les émotions, les sentiments qui jaillissent d’une domination politique quotidienne subie personnellement, dans les</w:t>
      </w:r>
      <w:r>
        <w:t xml:space="preserve"> </w:t>
      </w:r>
      <w:r w:rsidRPr="004B2498">
        <w:t>[220]</w:t>
      </w:r>
      <w:r>
        <w:t xml:space="preserve"> </w:t>
      </w:r>
      <w:r w:rsidRPr="004B2498">
        <w:rPr>
          <w:lang w:eastAsia="fr-FR" w:bidi="fr-FR"/>
        </w:rPr>
        <w:t>échanges, les relations affectives, les rapports sociaux, de l’autre les discours, les slogans, l’armature idéologique dans laquelle les i</w:t>
      </w:r>
      <w:r w:rsidRPr="004B2498">
        <w:rPr>
          <w:lang w:eastAsia="fr-FR" w:bidi="fr-FR"/>
        </w:rPr>
        <w:t>n</w:t>
      </w:r>
      <w:r w:rsidRPr="004B2498">
        <w:rPr>
          <w:lang w:eastAsia="fr-FR" w:bidi="fr-FR"/>
        </w:rPr>
        <w:t>dividus édifient leur conformité, les machineries institutionnelles et bureaucratiques, les injonctions, l’oppression hiérarchique. R</w:t>
      </w:r>
      <w:r w:rsidRPr="004B2498">
        <w:rPr>
          <w:lang w:eastAsia="fr-FR" w:bidi="fr-FR"/>
        </w:rPr>
        <w:t>é</w:t>
      </w:r>
      <w:r w:rsidRPr="004B2498">
        <w:rPr>
          <w:lang w:eastAsia="fr-FR" w:bidi="fr-FR"/>
        </w:rPr>
        <w:t>conciliant subjectivité et objectivité scientifique, le signifiant « femme », rapporté du séjour américain, débloque chez Yuting un clivage stru</w:t>
      </w:r>
      <w:r w:rsidRPr="004B2498">
        <w:rPr>
          <w:lang w:eastAsia="fr-FR" w:bidi="fr-FR"/>
        </w:rPr>
        <w:t>c</w:t>
      </w:r>
      <w:r w:rsidRPr="004B2498">
        <w:rPr>
          <w:lang w:eastAsia="fr-FR" w:bidi="fr-FR"/>
        </w:rPr>
        <w:t>turant de son identité, il la fait dévier, sortir de l’itinéraire tout tracé de chercheuse brillante mais respectueuse des limites polit</w:t>
      </w:r>
      <w:r w:rsidRPr="004B2498">
        <w:rPr>
          <w:lang w:eastAsia="fr-FR" w:bidi="fr-FR"/>
        </w:rPr>
        <w:t>i</w:t>
      </w:r>
      <w:r w:rsidRPr="004B2498">
        <w:rPr>
          <w:lang w:eastAsia="fr-FR" w:bidi="fr-FR"/>
        </w:rPr>
        <w:t xml:space="preserve">ques à ne pas dépasser. Yuting prend au pied de la lettre le message des </w:t>
      </w:r>
      <w:r w:rsidRPr="003674B1">
        <w:rPr>
          <w:i/>
        </w:rPr>
        <w:t>gender st</w:t>
      </w:r>
      <w:r w:rsidRPr="003674B1">
        <w:rPr>
          <w:i/>
        </w:rPr>
        <w:t>u</w:t>
      </w:r>
      <w:r w:rsidRPr="003674B1">
        <w:rPr>
          <w:i/>
        </w:rPr>
        <w:t>dies</w:t>
      </w:r>
      <w:r w:rsidRPr="004B2498">
        <w:rPr>
          <w:lang w:eastAsia="fr-FR" w:bidi="fr-FR"/>
        </w:rPr>
        <w:t xml:space="preserve"> à l'américaine : être soi, entièrement soi. Elle y ajoute l’idéal r</w:t>
      </w:r>
      <w:r w:rsidRPr="004B2498">
        <w:rPr>
          <w:lang w:eastAsia="fr-FR" w:bidi="fr-FR"/>
        </w:rPr>
        <w:t>é</w:t>
      </w:r>
      <w:r w:rsidRPr="004B2498">
        <w:rPr>
          <w:lang w:eastAsia="fr-FR" w:bidi="fr-FR"/>
        </w:rPr>
        <w:t>volutionnaire de la Chine des années soixante : faire advenir un mo</w:t>
      </w:r>
      <w:r w:rsidRPr="004B2498">
        <w:rPr>
          <w:lang w:eastAsia="fr-FR" w:bidi="fr-FR"/>
        </w:rPr>
        <w:t>n</w:t>
      </w:r>
      <w:r w:rsidRPr="004B2498">
        <w:rPr>
          <w:lang w:eastAsia="fr-FR" w:bidi="fr-FR"/>
        </w:rPr>
        <w:t>de lisse, parfait, sans injustice. Le mélange est explosif et Yuting part en guerre contre tout ce dont elle est le produit : elle dévisse au sens propre du terme et épouse le personnage de la justici</w:t>
      </w:r>
      <w:r w:rsidRPr="004B2498">
        <w:rPr>
          <w:lang w:eastAsia="fr-FR" w:bidi="fr-FR"/>
        </w:rPr>
        <w:t>è</w:t>
      </w:r>
      <w:r w:rsidRPr="004B2498">
        <w:rPr>
          <w:lang w:eastAsia="fr-FR" w:bidi="fr-FR"/>
        </w:rPr>
        <w:t>re héroïque, e</w:t>
      </w:r>
      <w:r w:rsidRPr="004B2498">
        <w:rPr>
          <w:lang w:eastAsia="fr-FR" w:bidi="fr-FR"/>
        </w:rPr>
        <w:t>m</w:t>
      </w:r>
      <w:r w:rsidRPr="004B2498">
        <w:rPr>
          <w:lang w:eastAsia="fr-FR" w:bidi="fr-FR"/>
        </w:rPr>
        <w:t>brassant cause après cause : migrant tué par les forces de l’ordre, femme violée par le fils d’un notable du Parti, citoyens b</w:t>
      </w:r>
      <w:r w:rsidRPr="004B2498">
        <w:rPr>
          <w:lang w:eastAsia="fr-FR" w:bidi="fr-FR"/>
        </w:rPr>
        <w:t>a</w:t>
      </w:r>
      <w:r w:rsidRPr="004B2498">
        <w:rPr>
          <w:lang w:eastAsia="fr-FR" w:bidi="fr-FR"/>
        </w:rPr>
        <w:t>foués par des élections truquées, citadins expulsés par des investi</w:t>
      </w:r>
      <w:r w:rsidRPr="004B2498">
        <w:rPr>
          <w:lang w:eastAsia="fr-FR" w:bidi="fr-FR"/>
        </w:rPr>
        <w:t>s</w:t>
      </w:r>
      <w:r w:rsidRPr="004B2498">
        <w:rPr>
          <w:lang w:eastAsia="fr-FR" w:bidi="fr-FR"/>
        </w:rPr>
        <w:t>seurs immobiliers inhumains, paysans mourant du sida suite à la cup</w:t>
      </w:r>
      <w:r w:rsidRPr="004B2498">
        <w:rPr>
          <w:lang w:eastAsia="fr-FR" w:bidi="fr-FR"/>
        </w:rPr>
        <w:t>i</w:t>
      </w:r>
      <w:r w:rsidRPr="004B2498">
        <w:rPr>
          <w:lang w:eastAsia="fr-FR" w:bidi="fr-FR"/>
        </w:rPr>
        <w:t>dité des autor</w:t>
      </w:r>
      <w:r w:rsidRPr="004B2498">
        <w:rPr>
          <w:lang w:eastAsia="fr-FR" w:bidi="fr-FR"/>
        </w:rPr>
        <w:t>i</w:t>
      </w:r>
      <w:r w:rsidRPr="004B2498">
        <w:rPr>
          <w:lang w:eastAsia="fr-FR" w:bidi="fr-FR"/>
        </w:rPr>
        <w:t>tés locales, etc. Sa sincérité est absolue, à l’aune d’un engagement avant tout moral qui ne se voit traduit en termes polit</w:t>
      </w:r>
      <w:r w:rsidRPr="004B2498">
        <w:rPr>
          <w:lang w:eastAsia="fr-FR" w:bidi="fr-FR"/>
        </w:rPr>
        <w:t>i</w:t>
      </w:r>
      <w:r w:rsidRPr="004B2498">
        <w:rPr>
          <w:lang w:eastAsia="fr-FR" w:bidi="fr-FR"/>
        </w:rPr>
        <w:t>ques qu’en raison de la rigidité de l’État-Parti. Dans toutes les situ</w:t>
      </w:r>
      <w:r w:rsidRPr="004B2498">
        <w:rPr>
          <w:lang w:eastAsia="fr-FR" w:bidi="fr-FR"/>
        </w:rPr>
        <w:t>a</w:t>
      </w:r>
      <w:r w:rsidRPr="004B2498">
        <w:rPr>
          <w:lang w:eastAsia="fr-FR" w:bidi="fr-FR"/>
        </w:rPr>
        <w:t>tions, l’intellectuelle sacrificielle défend le peuple des faibles, des sans-voix, contre un pouvoir omnipotent, égoïste, menteur et cruel. La scène est naïve, sans nuance : les « masses » spoliées sont authent</w:t>
      </w:r>
      <w:r w:rsidRPr="004B2498">
        <w:rPr>
          <w:lang w:eastAsia="fr-FR" w:bidi="fr-FR"/>
        </w:rPr>
        <w:t>i</w:t>
      </w:r>
      <w:r w:rsidRPr="004B2498">
        <w:rPr>
          <w:lang w:eastAsia="fr-FR" w:bidi="fr-FR"/>
        </w:rPr>
        <w:t>ques et ve</w:t>
      </w:r>
      <w:r w:rsidRPr="004B2498">
        <w:rPr>
          <w:lang w:eastAsia="fr-FR" w:bidi="fr-FR"/>
        </w:rPr>
        <w:t>r</w:t>
      </w:r>
      <w:r w:rsidRPr="004B2498">
        <w:rPr>
          <w:lang w:eastAsia="fr-FR" w:bidi="fr-FR"/>
        </w:rPr>
        <w:t>tueuses, les « puissants », prédateurs, sont répugnants. C’est un décalque de la légende de la révolution à ceci prêt que d</w:t>
      </w:r>
      <w:r w:rsidRPr="004B2498">
        <w:rPr>
          <w:lang w:eastAsia="fr-FR" w:bidi="fr-FR"/>
        </w:rPr>
        <w:t>é</w:t>
      </w:r>
      <w:r w:rsidRPr="004B2498">
        <w:rPr>
          <w:lang w:eastAsia="fr-FR" w:bidi="fr-FR"/>
        </w:rPr>
        <w:t>sormais le Parti tient le rôle des propriétaires terriens exploiteurs des années cinqua</w:t>
      </w:r>
      <w:r w:rsidRPr="004B2498">
        <w:rPr>
          <w:lang w:eastAsia="fr-FR" w:bidi="fr-FR"/>
        </w:rPr>
        <w:t>n</w:t>
      </w:r>
      <w:r w:rsidRPr="004B2498">
        <w:rPr>
          <w:lang w:eastAsia="fr-FR" w:bidi="fr-FR"/>
        </w:rPr>
        <w:t>te. La collusion de plusieurs logiques à des niveaux différents, sous-tend l’effraction faite par le signifiant « femme » dans la vie de Yuting : tout d’abord ce signifiant est profondément indiv</w:t>
      </w:r>
      <w:r w:rsidRPr="004B2498">
        <w:rPr>
          <w:lang w:eastAsia="fr-FR" w:bidi="fr-FR"/>
        </w:rPr>
        <w:t>i</w:t>
      </w:r>
      <w:r w:rsidRPr="004B2498">
        <w:rPr>
          <w:lang w:eastAsia="fr-FR" w:bidi="fr-FR"/>
        </w:rPr>
        <w:t>dualiste, ant</w:t>
      </w:r>
      <w:r w:rsidRPr="004B2498">
        <w:rPr>
          <w:lang w:eastAsia="fr-FR" w:bidi="fr-FR"/>
        </w:rPr>
        <w:t>i</w:t>
      </w:r>
      <w:r w:rsidRPr="004B2498">
        <w:rPr>
          <w:lang w:eastAsia="fr-FR" w:bidi="fr-FR"/>
        </w:rPr>
        <w:t>collectif, apolitique et hors social dans la perspective américaine très bien décrite par Alain Ehrenberg. En tant que tel, il renverse les pri</w:t>
      </w:r>
      <w:r w:rsidRPr="004B2498">
        <w:rPr>
          <w:lang w:eastAsia="fr-FR" w:bidi="fr-FR"/>
        </w:rPr>
        <w:t>n</w:t>
      </w:r>
      <w:r w:rsidRPr="004B2498">
        <w:rPr>
          <w:lang w:eastAsia="fr-FR" w:bidi="fr-FR"/>
        </w:rPr>
        <w:t>cipes qui ont guidé envers et contre tout l’itinéraire de Yuting faisant le choix du collectif, du politique, de la société radie</w:t>
      </w:r>
      <w:r w:rsidRPr="004B2498">
        <w:rPr>
          <w:lang w:eastAsia="fr-FR" w:bidi="fr-FR"/>
        </w:rPr>
        <w:t>u</w:t>
      </w:r>
      <w:r w:rsidRPr="004B2498">
        <w:rPr>
          <w:lang w:eastAsia="fr-FR" w:bidi="fr-FR"/>
        </w:rPr>
        <w:t>se, contre les individus qu’elle a accusés et par-là contre elle-même, ses pulsions spontanées envers sa famille en particulier. Dès lors, en accusant le « pouvoir », l’État, le Parti, et derrière lui tous les repr</w:t>
      </w:r>
      <w:r w:rsidRPr="004B2498">
        <w:rPr>
          <w:lang w:eastAsia="fr-FR" w:bidi="fr-FR"/>
        </w:rPr>
        <w:t>é</w:t>
      </w:r>
      <w:r w:rsidRPr="004B2498">
        <w:rPr>
          <w:lang w:eastAsia="fr-FR" w:bidi="fr-FR"/>
        </w:rPr>
        <w:t>sentants hi</w:t>
      </w:r>
      <w:r w:rsidRPr="004B2498">
        <w:rPr>
          <w:lang w:eastAsia="fr-FR" w:bidi="fr-FR"/>
        </w:rPr>
        <w:t>é</w:t>
      </w:r>
      <w:r w:rsidRPr="004B2498">
        <w:rPr>
          <w:lang w:eastAsia="fr-FR" w:bidi="fr-FR"/>
        </w:rPr>
        <w:t>rarchiques qui l’ont forcée à accuser des inférieurs pour exister, Y</w:t>
      </w:r>
      <w:r w:rsidRPr="004B2498">
        <w:rPr>
          <w:lang w:eastAsia="fr-FR" w:bidi="fr-FR"/>
        </w:rPr>
        <w:t>u</w:t>
      </w:r>
      <w:r w:rsidRPr="004B2498">
        <w:rPr>
          <w:lang w:eastAsia="fr-FR" w:bidi="fr-FR"/>
        </w:rPr>
        <w:t>ting se lave de toute culpabilité. Blanche et non plus « noire », elle se dresse dans un « j’accuse » magistral dont la rés</w:t>
      </w:r>
      <w:r w:rsidRPr="004B2498">
        <w:rPr>
          <w:lang w:eastAsia="fr-FR" w:bidi="fr-FR"/>
        </w:rPr>
        <w:t>o</w:t>
      </w:r>
      <w:r w:rsidRPr="004B2498">
        <w:rPr>
          <w:lang w:eastAsia="fr-FR" w:bidi="fr-FR"/>
        </w:rPr>
        <w:t>nance, pour perso</w:t>
      </w:r>
      <w:r w:rsidRPr="004B2498">
        <w:rPr>
          <w:lang w:eastAsia="fr-FR" w:bidi="fr-FR"/>
        </w:rPr>
        <w:t>n</w:t>
      </w:r>
      <w:r w:rsidRPr="004B2498">
        <w:rPr>
          <w:lang w:eastAsia="fr-FR" w:bidi="fr-FR"/>
        </w:rPr>
        <w:t>nelle qu’elle soit, est immédiatement partagée. Ce « j’accuse », qui incarne une rupture dans l’imaginaire avec le syst</w:t>
      </w:r>
      <w:r w:rsidRPr="004B2498">
        <w:rPr>
          <w:lang w:eastAsia="fr-FR" w:bidi="fr-FR"/>
        </w:rPr>
        <w:t>è</w:t>
      </w:r>
      <w:r w:rsidRPr="004B2498">
        <w:rPr>
          <w:lang w:eastAsia="fr-FR" w:bidi="fr-FR"/>
        </w:rPr>
        <w:t>me des dénonciations, énonce en effet ouvertement un refoulé indige</w:t>
      </w:r>
      <w:r w:rsidRPr="004B2498">
        <w:rPr>
          <w:lang w:eastAsia="fr-FR" w:bidi="fr-FR"/>
        </w:rPr>
        <w:t>s</w:t>
      </w:r>
      <w:r w:rsidRPr="004B2498">
        <w:rPr>
          <w:lang w:eastAsia="fr-FR" w:bidi="fr-FR"/>
        </w:rPr>
        <w:t>te, qui ne passe pas chez d’innombrables hommes et femmes de sa génération, mais aussi plus jeunes qui ont dû faire face à des parents muets, eux-mêmes</w:t>
      </w:r>
      <w:r>
        <w:t xml:space="preserve"> </w:t>
      </w:r>
      <w:r w:rsidRPr="004B2498">
        <w:t>[221]</w:t>
      </w:r>
      <w:r>
        <w:t xml:space="preserve"> </w:t>
      </w:r>
      <w:r w:rsidRPr="004B2498">
        <w:rPr>
          <w:lang w:eastAsia="fr-FR" w:bidi="fr-FR"/>
        </w:rPr>
        <w:t>étouffés par la honte de ce qu’ils ont vu et/ou fait dans les spect</w:t>
      </w:r>
      <w:r w:rsidRPr="004B2498">
        <w:rPr>
          <w:lang w:eastAsia="fr-FR" w:bidi="fr-FR"/>
        </w:rPr>
        <w:t>a</w:t>
      </w:r>
      <w:r w:rsidRPr="004B2498">
        <w:rPr>
          <w:lang w:eastAsia="fr-FR" w:bidi="fr-FR"/>
        </w:rPr>
        <w:t>cles réguliers de l’accusation.</w:t>
      </w:r>
    </w:p>
    <w:p w14:paraId="095635BB" w14:textId="77777777" w:rsidR="002F4063" w:rsidRPr="004B2498" w:rsidRDefault="002F4063" w:rsidP="002F4063">
      <w:pPr>
        <w:spacing w:before="120" w:after="120"/>
        <w:jc w:val="both"/>
      </w:pPr>
      <w:r w:rsidRPr="004B2498">
        <w:rPr>
          <w:lang w:eastAsia="fr-FR" w:bidi="fr-FR"/>
        </w:rPr>
        <w:t>C’est pourquoi Yuting est entourée d’une énorme sympathie dans le champ universitaire de Canton. Son « courage » est unanimement admiré par celles qui, ayant suivi une autre voie, s’en disent incap</w:t>
      </w:r>
      <w:r w:rsidRPr="004B2498">
        <w:rPr>
          <w:lang w:eastAsia="fr-FR" w:bidi="fr-FR"/>
        </w:rPr>
        <w:t>a</w:t>
      </w:r>
      <w:r w:rsidRPr="004B2498">
        <w:rPr>
          <w:lang w:eastAsia="fr-FR" w:bidi="fr-FR"/>
        </w:rPr>
        <w:t>bles, se percevant trop « faibles » ou « lâches ». Sa « force » en fait un modèle inatteignable, inédit, dans l’opposition, mais prenant place de fait dans le long défilé des hérauts qui ont chanté l’histoire glorieuse de la Chine. L’oblation téméraire de cette ancienne directrice du Parti de son département fascine d’autant plus que Yuting incarna plein</w:t>
      </w:r>
      <w:r w:rsidRPr="004B2498">
        <w:rPr>
          <w:lang w:eastAsia="fr-FR" w:bidi="fr-FR"/>
        </w:rPr>
        <w:t>e</w:t>
      </w:r>
      <w:r w:rsidRPr="004B2498">
        <w:rPr>
          <w:lang w:eastAsia="fr-FR" w:bidi="fr-FR"/>
        </w:rPr>
        <w:t>ment la légitimité politique et scientifique. Les autorités universitaires elles-mêmes semblent s’efforcer de la préserver de heurts aux cons</w:t>
      </w:r>
      <w:r w:rsidRPr="004B2498">
        <w:rPr>
          <w:lang w:eastAsia="fr-FR" w:bidi="fr-FR"/>
        </w:rPr>
        <w:t>é</w:t>
      </w:r>
      <w:r w:rsidRPr="004B2498">
        <w:rPr>
          <w:lang w:eastAsia="fr-FR" w:bidi="fr-FR"/>
        </w:rPr>
        <w:t>quences tragiques, lui demandant de s’abstenir de tout commentaire dans des occasions délicates ou de s’éloigner. Yuting paraît ainsi év</w:t>
      </w:r>
      <w:r w:rsidRPr="004B2498">
        <w:rPr>
          <w:lang w:eastAsia="fr-FR" w:bidi="fr-FR"/>
        </w:rPr>
        <w:t>o</w:t>
      </w:r>
      <w:r w:rsidRPr="004B2498">
        <w:rPr>
          <w:lang w:eastAsia="fr-FR" w:bidi="fr-FR"/>
        </w:rPr>
        <w:t>luer dans un espace public ceint par une sorte de courroie de sécurité transparente. Son cas dit « sensible » (</w:t>
      </w:r>
      <w:r w:rsidRPr="003674B1">
        <w:rPr>
          <w:i/>
        </w:rPr>
        <w:t>min gan</w:t>
      </w:r>
      <w:r w:rsidRPr="004B2498">
        <w:t>)</w:t>
      </w:r>
      <w:r w:rsidRPr="004B2498">
        <w:rPr>
          <w:lang w:eastAsia="fr-FR" w:bidi="fr-FR"/>
        </w:rPr>
        <w:t xml:space="preserve"> oblige ses camarades les plus compétentes à prendre sa place dans la mise en œuvre de di</w:t>
      </w:r>
      <w:r w:rsidRPr="004B2498">
        <w:rPr>
          <w:lang w:eastAsia="fr-FR" w:bidi="fr-FR"/>
        </w:rPr>
        <w:t>s</w:t>
      </w:r>
      <w:r w:rsidRPr="004B2498">
        <w:rPr>
          <w:lang w:eastAsia="fr-FR" w:bidi="fr-FR"/>
        </w:rPr>
        <w:t xml:space="preserve">positifs institutionnels de recherche sur les </w:t>
      </w:r>
      <w:r w:rsidRPr="003674B1">
        <w:rPr>
          <w:i/>
        </w:rPr>
        <w:t>gender studies</w:t>
      </w:r>
      <w:r w:rsidRPr="004B2498">
        <w:t>.</w:t>
      </w:r>
      <w:r w:rsidRPr="004B2498">
        <w:rPr>
          <w:lang w:eastAsia="fr-FR" w:bidi="fr-FR"/>
        </w:rPr>
        <w:t xml:space="preserve"> Une solid</w:t>
      </w:r>
      <w:r w:rsidRPr="004B2498">
        <w:rPr>
          <w:lang w:eastAsia="fr-FR" w:bidi="fr-FR"/>
        </w:rPr>
        <w:t>a</w:t>
      </w:r>
      <w:r w:rsidRPr="004B2498">
        <w:rPr>
          <w:lang w:eastAsia="fr-FR" w:bidi="fr-FR"/>
        </w:rPr>
        <w:t>rité certaine se fait jour chez ses collègues proches et plus éloignées en poste dans d’autres universités, telle Hongxia que nous allons maintenant rencontrer.</w:t>
      </w:r>
    </w:p>
    <w:p w14:paraId="4B57F22B" w14:textId="77777777" w:rsidR="002F4063" w:rsidRPr="004B2498" w:rsidRDefault="002F4063" w:rsidP="002F4063">
      <w:pPr>
        <w:spacing w:before="120" w:after="120"/>
        <w:jc w:val="both"/>
        <w:rPr>
          <w:szCs w:val="24"/>
          <w:lang w:eastAsia="fr-FR" w:bidi="fr-FR"/>
        </w:rPr>
      </w:pPr>
    </w:p>
    <w:p w14:paraId="07F22E0C" w14:textId="77777777" w:rsidR="002F4063" w:rsidRPr="004B2498" w:rsidRDefault="002F4063" w:rsidP="002F4063">
      <w:pPr>
        <w:pStyle w:val="a"/>
      </w:pPr>
      <w:r w:rsidRPr="004B2498">
        <w:t>Une avant-garde coopérative ?</w:t>
      </w:r>
    </w:p>
    <w:p w14:paraId="70DD2E57" w14:textId="77777777" w:rsidR="002F4063" w:rsidRPr="004B2498" w:rsidRDefault="002F4063" w:rsidP="002F4063">
      <w:pPr>
        <w:spacing w:before="120" w:after="120"/>
        <w:jc w:val="both"/>
        <w:rPr>
          <w:lang w:eastAsia="fr-FR" w:bidi="fr-FR"/>
        </w:rPr>
      </w:pPr>
    </w:p>
    <w:p w14:paraId="7047B158" w14:textId="77777777" w:rsidR="002F4063" w:rsidRPr="004B2498" w:rsidRDefault="002F4063" w:rsidP="002F4063">
      <w:pPr>
        <w:spacing w:before="120" w:after="120"/>
        <w:jc w:val="both"/>
      </w:pPr>
      <w:r w:rsidRPr="004B2498">
        <w:rPr>
          <w:lang w:eastAsia="fr-FR" w:bidi="fr-FR"/>
        </w:rPr>
        <w:t xml:space="preserve">À peu près du même âge que Yuting, avec laquelle elle entretient une amitié de longue date - toutes deux ayant été ensemble étudiantes en master - Hongxia a elle aussi introduit les </w:t>
      </w:r>
      <w:r w:rsidRPr="003674B1">
        <w:rPr>
          <w:i/>
        </w:rPr>
        <w:t>gender studies</w:t>
      </w:r>
      <w:r w:rsidRPr="004B2498">
        <w:rPr>
          <w:lang w:eastAsia="fr-FR" w:bidi="fr-FR"/>
        </w:rPr>
        <w:t xml:space="preserve"> dans son département qui appartient à une université de moindre prestige que celle où Yuting enseigne, mais cependant de très bonne réputation. Son cours d’éco-féminisme transdisciplinaire est à option et ne peut déboucher ni sur des masters, ni sur des doctorats de </w:t>
      </w:r>
      <w:r w:rsidRPr="003674B1">
        <w:rPr>
          <w:i/>
        </w:rPr>
        <w:t>gender studies</w:t>
      </w:r>
      <w:r w:rsidRPr="004B2498">
        <w:t>.</w:t>
      </w:r>
      <w:r w:rsidRPr="004B2498">
        <w:rPr>
          <w:lang w:eastAsia="fr-FR" w:bidi="fr-FR"/>
        </w:rPr>
        <w:t xml:space="preserve"> Pour elle comme pour Yuting, un séjour de trois ans aux USA fut un déclic et à son retour en Chine elle décide de fonder un centre de r</w:t>
      </w:r>
      <w:r w:rsidRPr="004B2498">
        <w:rPr>
          <w:lang w:eastAsia="fr-FR" w:bidi="fr-FR"/>
        </w:rPr>
        <w:t>e</w:t>
      </w:r>
      <w:r w:rsidRPr="004B2498">
        <w:rPr>
          <w:lang w:eastAsia="fr-FR" w:bidi="fr-FR"/>
        </w:rPr>
        <w:t>cherche sur les femmes. Mais elle rapporte de ce voyage, pourrait-on dire, le signifié « femme » qui la canalisera dans l’ontologie féminine des appareils du Parti, à la différence du signifiant « femme », qui va faire exploser la carrière de Yuting. En déployant les termes de sign</w:t>
      </w:r>
      <w:r w:rsidRPr="004B2498">
        <w:rPr>
          <w:lang w:eastAsia="fr-FR" w:bidi="fr-FR"/>
        </w:rPr>
        <w:t>i</w:t>
      </w:r>
      <w:r w:rsidRPr="004B2498">
        <w:rPr>
          <w:lang w:eastAsia="fr-FR" w:bidi="fr-FR"/>
        </w:rPr>
        <w:t>fiant/signifié « femme », nous mettons l’accent sur la polysémie i</w:t>
      </w:r>
      <w:r w:rsidRPr="004B2498">
        <w:rPr>
          <w:lang w:eastAsia="fr-FR" w:bidi="fr-FR"/>
        </w:rPr>
        <w:t>n</w:t>
      </w:r>
      <w:r w:rsidRPr="004B2498">
        <w:rPr>
          <w:lang w:eastAsia="fr-FR" w:bidi="fr-FR"/>
        </w:rPr>
        <w:t xml:space="preserve">trinsèque des enseignements des </w:t>
      </w:r>
      <w:r w:rsidRPr="003674B1">
        <w:rPr>
          <w:i/>
        </w:rPr>
        <w:t>gender studies</w:t>
      </w:r>
      <w:r w:rsidRPr="004B2498">
        <w:rPr>
          <w:lang w:eastAsia="fr-FR" w:bidi="fr-FR"/>
        </w:rPr>
        <w:t xml:space="preserve"> dans les universités américaines par lesquelles l’une et l’autre sont passées. Corollair</w:t>
      </w:r>
      <w:r w:rsidRPr="004B2498">
        <w:rPr>
          <w:lang w:eastAsia="fr-FR" w:bidi="fr-FR"/>
        </w:rPr>
        <w:t>e</w:t>
      </w:r>
      <w:r w:rsidRPr="004B2498">
        <w:rPr>
          <w:lang w:eastAsia="fr-FR" w:bidi="fr-FR"/>
        </w:rPr>
        <w:t>ment cette polysémie fait rhizome et éclate en de multiples particules agoniques dans son incorporation processuelle chez nos universitaires chinoises. Cette femme, qui se dit immédiatement féministe marxiste entreprend, en effet, de collaborer avec le syndicat qui finance la construction d’un immeuble pour abriter le futur centre. Se revend</w:t>
      </w:r>
      <w:r w:rsidRPr="004B2498">
        <w:rPr>
          <w:lang w:eastAsia="fr-FR" w:bidi="fr-FR"/>
        </w:rPr>
        <w:t>i</w:t>
      </w:r>
      <w:r w:rsidRPr="004B2498">
        <w:rPr>
          <w:lang w:eastAsia="fr-FR" w:bidi="fr-FR"/>
        </w:rPr>
        <w:t>quant du</w:t>
      </w:r>
      <w:r>
        <w:t xml:space="preserve"> </w:t>
      </w:r>
      <w:r w:rsidRPr="004B2498">
        <w:t>[222]</w:t>
      </w:r>
      <w:r>
        <w:t xml:space="preserve"> </w:t>
      </w:r>
      <w:r w:rsidRPr="004B2498">
        <w:rPr>
          <w:lang w:eastAsia="fr-FR" w:bidi="fr-FR"/>
        </w:rPr>
        <w:t xml:space="preserve">« courant principal » </w:t>
      </w:r>
      <w:r w:rsidRPr="004B2498">
        <w:t>(</w:t>
      </w:r>
      <w:r w:rsidRPr="00767F5A">
        <w:rPr>
          <w:i/>
        </w:rPr>
        <w:t>zhu liu</w:t>
      </w:r>
      <w:r w:rsidRPr="004B2498">
        <w:t>),</w:t>
      </w:r>
      <w:r w:rsidRPr="004B2498">
        <w:rPr>
          <w:lang w:eastAsia="fr-FR" w:bidi="fr-FR"/>
        </w:rPr>
        <w:t xml:space="preserve"> elle a gravi l'échelle des responsab</w:t>
      </w:r>
      <w:r w:rsidRPr="004B2498">
        <w:rPr>
          <w:lang w:eastAsia="fr-FR" w:bidi="fr-FR"/>
        </w:rPr>
        <w:t>i</w:t>
      </w:r>
      <w:r w:rsidRPr="004B2498">
        <w:rPr>
          <w:lang w:eastAsia="fr-FR" w:bidi="fr-FR"/>
        </w:rPr>
        <w:t>lités jusqu’au sommet dans l’organisation des femmes de la province - sous tutelle du parti communiste - et elle assure aujourd’hui la prés</w:t>
      </w:r>
      <w:r w:rsidRPr="004B2498">
        <w:rPr>
          <w:lang w:eastAsia="fr-FR" w:bidi="fr-FR"/>
        </w:rPr>
        <w:t>i</w:t>
      </w:r>
      <w:r w:rsidRPr="004B2498">
        <w:rPr>
          <w:lang w:eastAsia="fr-FR" w:bidi="fr-FR"/>
        </w:rPr>
        <w:t>dence de l’association de recherche de l’organisation  ; fière de po</w:t>
      </w:r>
      <w:r w:rsidRPr="004B2498">
        <w:rPr>
          <w:lang w:eastAsia="fr-FR" w:bidi="fr-FR"/>
        </w:rPr>
        <w:t>u</w:t>
      </w:r>
      <w:r w:rsidRPr="004B2498">
        <w:rPr>
          <w:lang w:eastAsia="fr-FR" w:bidi="fr-FR"/>
        </w:rPr>
        <w:t>voir « donner des conseils au gouvernement » et de se mouvoir dans toutes les institutions de l’État, voulant « influencer la société », elle espère ne jamais se retrouver dans les mêmes difficultés que Y</w:t>
      </w:r>
      <w:r w:rsidRPr="004B2498">
        <w:rPr>
          <w:lang w:eastAsia="fr-FR" w:bidi="fr-FR"/>
        </w:rPr>
        <w:t>u</w:t>
      </w:r>
      <w:r w:rsidRPr="004B2498">
        <w:rPr>
          <w:lang w:eastAsia="fr-FR" w:bidi="fr-FR"/>
        </w:rPr>
        <w:t xml:space="preserve">ting, se considère bien moins « courageuse » qu’elle et privilégie sa « sécurité ». Le « féminisme » légal, enchâssé dans l’État-Parti, de cette femme robuste et directe qui a pour stratégie « d’unifier dans la ligne » </w:t>
      </w:r>
      <w:r w:rsidRPr="004B2498">
        <w:t>(</w:t>
      </w:r>
      <w:r w:rsidRPr="003674B1">
        <w:rPr>
          <w:i/>
        </w:rPr>
        <w:t>tong yi zhan xian</w:t>
      </w:r>
      <w:r w:rsidRPr="004B2498">
        <w:t>)</w:t>
      </w:r>
      <w:r w:rsidRPr="004B2498">
        <w:rPr>
          <w:lang w:eastAsia="fr-FR" w:bidi="fr-FR"/>
        </w:rPr>
        <w:t xml:space="preserve"> peut néanmoins être appréhendé comme une avancée intellectuelle. Convaincue que la domination masculine garde en Chine une force immense, y compris dans les universités, que l’évolution est lente et que le combat sera long, Hongxia - qui a en charge la recherche de financements - s’inquiète de sa succession : qui, dans son université, prendra la relève ?</w:t>
      </w:r>
    </w:p>
    <w:p w14:paraId="096B72FC" w14:textId="77777777" w:rsidR="002F4063" w:rsidRPr="004B2498" w:rsidRDefault="002F4063" w:rsidP="002F4063">
      <w:pPr>
        <w:spacing w:before="120" w:after="120"/>
        <w:jc w:val="both"/>
      </w:pPr>
      <w:r w:rsidRPr="004B2498">
        <w:rPr>
          <w:lang w:eastAsia="fr-FR" w:bidi="fr-FR"/>
        </w:rPr>
        <w:t>On comprend son interrogation lorsqu’on écoute sa collègue du département, Xiaomeï, qui enseigne l’éthique, mais on entrevoit aussi que derrière la façade de « femme de fer », stable et sûre d’elle-même qu’offre au regard Hongxia, la quotidienneté dans son université ne comporte pas la tranquillité évoquée et les conflits sont violents. Cette grande jeune femme, Xiaomeï, âgée d’un peu plus de trente ans, mère d’une fille de deux ans, épouse d’un vice-directeur d’un bureau un</w:t>
      </w:r>
      <w:r w:rsidRPr="004B2498">
        <w:rPr>
          <w:lang w:eastAsia="fr-FR" w:bidi="fr-FR"/>
        </w:rPr>
        <w:t>i</w:t>
      </w:r>
      <w:r w:rsidRPr="004B2498">
        <w:rPr>
          <w:lang w:eastAsia="fr-FR" w:bidi="fr-FR"/>
        </w:rPr>
        <w:t>versitaire qui est de surcroît directeur du Parti, avoue une grande confusion intérieure et confie les dilemmes qu’elle affronte pendant de longues heures.</w:t>
      </w:r>
    </w:p>
    <w:p w14:paraId="7A26E451" w14:textId="77777777" w:rsidR="002F4063" w:rsidRPr="004B2498" w:rsidRDefault="002F4063" w:rsidP="002F4063">
      <w:pPr>
        <w:spacing w:before="120" w:after="120"/>
        <w:jc w:val="both"/>
      </w:pPr>
      <w:r w:rsidRPr="004B2498">
        <w:rPr>
          <w:lang w:eastAsia="fr-FR" w:bidi="fr-FR"/>
        </w:rPr>
        <w:t xml:space="preserve">Suivons le fil de sa réflexion qui pointe les écueils, les échecs, un malaise profond et durable. Sa découverte des </w:t>
      </w:r>
      <w:r w:rsidRPr="003674B1">
        <w:rPr>
          <w:i/>
        </w:rPr>
        <w:t>gender studies</w:t>
      </w:r>
      <w:r w:rsidRPr="004B2498">
        <w:rPr>
          <w:lang w:eastAsia="fr-FR" w:bidi="fr-FR"/>
        </w:rPr>
        <w:t xml:space="preserve"> s’inscrit dans le cadre d’un contact avec Yuting dès 2001, période où elle doit choisir un sujet de doctorat. Elle aurait voulu consacrer sa thèse à une thématique féministe mais son directeur, qui n’a jamais entendu parler du féminisme, refuse. En 2003, année du SRAS, elle propose à un in</w:t>
      </w:r>
      <w:r w:rsidRPr="004B2498">
        <w:rPr>
          <w:lang w:eastAsia="fr-FR" w:bidi="fr-FR"/>
        </w:rPr>
        <w:t>s</w:t>
      </w:r>
      <w:r w:rsidRPr="004B2498">
        <w:rPr>
          <w:lang w:eastAsia="fr-FR" w:bidi="fr-FR"/>
        </w:rPr>
        <w:t>titut médical un cours d’ethnique féministe médicale, croyant trouver là une ouverture, qui néanmoins se referme vite. Elle démissionne et jeune docteure cherche un nouveau travail. Elle tente un post-doc sur l’éthique politique féministe dans un institut d’administration polit</w:t>
      </w:r>
      <w:r w:rsidRPr="004B2498">
        <w:rPr>
          <w:lang w:eastAsia="fr-FR" w:bidi="fr-FR"/>
        </w:rPr>
        <w:t>i</w:t>
      </w:r>
      <w:r w:rsidRPr="004B2498">
        <w:rPr>
          <w:lang w:eastAsia="fr-FR" w:bidi="fr-FR"/>
        </w:rPr>
        <w:t>que et sociale mais le qualificatif de féministe est retiré. Elle est enfin recrutée comme professeure associée dans le département ou enseigne Hongxia, et toutes les deux ouvrent un enseignement d’éthique fém</w:t>
      </w:r>
      <w:r w:rsidRPr="004B2498">
        <w:rPr>
          <w:lang w:eastAsia="fr-FR" w:bidi="fr-FR"/>
        </w:rPr>
        <w:t>i</w:t>
      </w:r>
      <w:r w:rsidRPr="004B2498">
        <w:rPr>
          <w:lang w:eastAsia="fr-FR" w:bidi="fr-FR"/>
        </w:rPr>
        <w:t>niste mais le terme de féministe est annulé sans qu’elles en soient pr</w:t>
      </w:r>
      <w:r w:rsidRPr="004B2498">
        <w:rPr>
          <w:lang w:eastAsia="fr-FR" w:bidi="fr-FR"/>
        </w:rPr>
        <w:t>é</w:t>
      </w:r>
      <w:r w:rsidRPr="004B2498">
        <w:rPr>
          <w:lang w:eastAsia="fr-FR" w:bidi="fr-FR"/>
        </w:rPr>
        <w:t>venues et hors de toute procédure administrative. Toutes deux man</w:t>
      </w:r>
      <w:r w:rsidRPr="004B2498">
        <w:rPr>
          <w:lang w:eastAsia="fr-FR" w:bidi="fr-FR"/>
        </w:rPr>
        <w:t>i</w:t>
      </w:r>
      <w:r w:rsidRPr="004B2498">
        <w:rPr>
          <w:lang w:eastAsia="fr-FR" w:bidi="fr-FR"/>
        </w:rPr>
        <w:t>festent leur désaccord sans résultat et Xiaomeï en déplore la cons</w:t>
      </w:r>
      <w:r w:rsidRPr="004B2498">
        <w:rPr>
          <w:lang w:eastAsia="fr-FR" w:bidi="fr-FR"/>
        </w:rPr>
        <w:t>é</w:t>
      </w:r>
      <w:r w:rsidRPr="004B2498">
        <w:rPr>
          <w:lang w:eastAsia="fr-FR" w:bidi="fr-FR"/>
        </w:rPr>
        <w:t>quence : aucun étudiant inscrit travaillant dans une orientation fém</w:t>
      </w:r>
      <w:r w:rsidRPr="004B2498">
        <w:rPr>
          <w:lang w:eastAsia="fr-FR" w:bidi="fr-FR"/>
        </w:rPr>
        <w:t>i</w:t>
      </w:r>
      <w:r w:rsidRPr="004B2498">
        <w:rPr>
          <w:lang w:eastAsia="fr-FR" w:bidi="fr-FR"/>
        </w:rPr>
        <w:t>niste. L’une et l’autre seraient de surcroît désignées par leur collègue avec agressivité comme « ces féministes » dans l’acception « féminisme-pouvoir ».</w:t>
      </w:r>
      <w:r>
        <w:t xml:space="preserve"> </w:t>
      </w:r>
      <w:r w:rsidRPr="004B2498">
        <w:t>[223]</w:t>
      </w:r>
      <w:r w:rsidRPr="004B2498">
        <w:rPr>
          <w:lang w:eastAsia="fr-FR" w:bidi="fr-FR"/>
        </w:rPr>
        <w:t xml:space="preserve"> Xiaomeï, qui tente d’appliquer le </w:t>
      </w:r>
      <w:r w:rsidRPr="003674B1">
        <w:rPr>
          <w:i/>
        </w:rPr>
        <w:t>care</w:t>
      </w:r>
      <w:r w:rsidRPr="004B2498">
        <w:rPr>
          <w:lang w:eastAsia="fr-FR" w:bidi="fr-FR"/>
        </w:rPr>
        <w:t xml:space="preserve"> au contexte chinois - s’appuyant en particulier sur Gilligan - souhait</w:t>
      </w:r>
      <w:r w:rsidRPr="004B2498">
        <w:rPr>
          <w:lang w:eastAsia="fr-FR" w:bidi="fr-FR"/>
        </w:rPr>
        <w:t>e</w:t>
      </w:r>
      <w:r w:rsidRPr="004B2498">
        <w:rPr>
          <w:lang w:eastAsia="fr-FR" w:bidi="fr-FR"/>
        </w:rPr>
        <w:t>rait mettre en place une recherche sur les « mères porteuses » en Ch</w:t>
      </w:r>
      <w:r w:rsidRPr="004B2498">
        <w:rPr>
          <w:lang w:eastAsia="fr-FR" w:bidi="fr-FR"/>
        </w:rPr>
        <w:t>i</w:t>
      </w:r>
      <w:r w:rsidRPr="004B2498">
        <w:rPr>
          <w:lang w:eastAsia="fr-FR" w:bidi="fr-FR"/>
        </w:rPr>
        <w:t>ne du Sud. Le phénomène de la gestion pour autrui est ici principal</w:t>
      </w:r>
      <w:r w:rsidRPr="004B2498">
        <w:rPr>
          <w:lang w:eastAsia="fr-FR" w:bidi="fr-FR"/>
        </w:rPr>
        <w:t>e</w:t>
      </w:r>
      <w:r w:rsidRPr="004B2498">
        <w:rPr>
          <w:lang w:eastAsia="fr-FR" w:bidi="fr-FR"/>
        </w:rPr>
        <w:t>ment destiné à contrer la politique de l’enfant unique par des familles des couches supérieures : des villageoises pauvres sont rémunérées pour assurer une grossesse issue de la réimplantation de l’ovule de la mère fécondé par le père. Le couple paye 400 000 yuans (près de 4 500 €) différents intermédiaires et au bout de la chaîne de produ</w:t>
      </w:r>
      <w:r w:rsidRPr="004B2498">
        <w:rPr>
          <w:lang w:eastAsia="fr-FR" w:bidi="fr-FR"/>
        </w:rPr>
        <w:t>c</w:t>
      </w:r>
      <w:r w:rsidRPr="004B2498">
        <w:rPr>
          <w:lang w:eastAsia="fr-FR" w:bidi="fr-FR"/>
        </w:rPr>
        <w:t>tion de l’enfant la femme reçoit une très faible compensation financi</w:t>
      </w:r>
      <w:r w:rsidRPr="004B2498">
        <w:rPr>
          <w:lang w:eastAsia="fr-FR" w:bidi="fr-FR"/>
        </w:rPr>
        <w:t>è</w:t>
      </w:r>
      <w:r w:rsidRPr="004B2498">
        <w:rPr>
          <w:lang w:eastAsia="fr-FR" w:bidi="fr-FR"/>
        </w:rPr>
        <w:t>re. Xiaomeï juge que ces femmes sont « exploitées » et redoute d’amorcer une étude qui risquerait - outre qu’elle ne sait où trouver des subventions pour la mener - de la stigmatiser. Elle analyse que, d’un côté, si les fonds sont d’origine étrangère, des mobiles politiques les sous-tendent et, de l’autre, que son université ne reconnaît aucune recherche qui ne soit soutenue par un financement chinois, impossible à obtenir sur une telle thématique qui mettrait immédiatement en ca</w:t>
      </w:r>
      <w:r w:rsidRPr="004B2498">
        <w:rPr>
          <w:lang w:eastAsia="fr-FR" w:bidi="fr-FR"/>
        </w:rPr>
        <w:t>u</w:t>
      </w:r>
      <w:r w:rsidRPr="004B2498">
        <w:rPr>
          <w:lang w:eastAsia="fr-FR" w:bidi="fr-FR"/>
        </w:rPr>
        <w:t>se des membres de la classe dominante. Elle avoue une peur de nature politique face aux collègues de son université qui, en outre, n’accordent aucune valeur aux publications de ses chercheurs dans des revues étrangères. Elle redoute un isolement susceptible de ruiner sa carrière. Elle craint d’une part et notamment les dénonciations des étudiants si elle donne des cours de « morale publique » qui sont pe</w:t>
      </w:r>
      <w:r w:rsidRPr="004B2498">
        <w:rPr>
          <w:lang w:eastAsia="fr-FR" w:bidi="fr-FR"/>
        </w:rPr>
        <w:t>r</w:t>
      </w:r>
      <w:r w:rsidRPr="004B2498">
        <w:rPr>
          <w:lang w:eastAsia="fr-FR" w:bidi="fr-FR"/>
        </w:rPr>
        <w:t>çus comme engageant une confrontation politique. D’autre part, une vidéo est installée dans toutes les salles de cours, pour des raisons d</w:t>
      </w:r>
      <w:r w:rsidRPr="004B2498">
        <w:rPr>
          <w:lang w:eastAsia="fr-FR" w:bidi="fr-FR"/>
        </w:rPr>
        <w:t>i</w:t>
      </w:r>
      <w:r w:rsidRPr="004B2498">
        <w:rPr>
          <w:lang w:eastAsia="fr-FR" w:bidi="fr-FR"/>
        </w:rPr>
        <w:t>tes de sécurité, et une preuve accusatrice est donc très facile à fabr</w:t>
      </w:r>
      <w:r w:rsidRPr="004B2498">
        <w:rPr>
          <w:lang w:eastAsia="fr-FR" w:bidi="fr-FR"/>
        </w:rPr>
        <w:t>i</w:t>
      </w:r>
      <w:r w:rsidRPr="004B2498">
        <w:rPr>
          <w:lang w:eastAsia="fr-FR" w:bidi="fr-FR"/>
        </w:rPr>
        <w:t>quer. Elle s’étonne que ses collègues ne ressentent pas comme elle cette censure étouffante, précisant que le contenu de son cours est fixé par le directeur de son département. De son point de vue, trois options se présentent à elle : devenir professeur en restant conforme, se lancer dans des recherches passionnantes mais dangereuses pour son avenir, migrer au Canada. « Je souffre depuis des années, je ne sais pas quoi faire », rumine-t-elle à nos oreilles attentives. La ligne de fuite qu’incarne le Canada, pays pour lequel elle a déposé une demande de visa pose d’autres pr</w:t>
      </w:r>
      <w:r w:rsidRPr="004B2498">
        <w:rPr>
          <w:lang w:eastAsia="fr-FR" w:bidi="fr-FR"/>
        </w:rPr>
        <w:t>o</w:t>
      </w:r>
      <w:r w:rsidRPr="004B2498">
        <w:rPr>
          <w:lang w:eastAsia="fr-FR" w:bidi="fr-FR"/>
        </w:rPr>
        <w:t>blèmes : son mari lui assure une vie aisée avec « villa » et voiture - les deux biens qui caractérisent l’appartenance à la classe supérieure - et considère leur vie réussie et confortable, ne comprenant pas qu’elle ait d’autres aspirations et surtout une volonté de recherche féministe.</w:t>
      </w:r>
    </w:p>
    <w:p w14:paraId="4111EF29" w14:textId="77777777" w:rsidR="002F4063" w:rsidRPr="004B2498" w:rsidRDefault="002F4063" w:rsidP="002F4063">
      <w:pPr>
        <w:spacing w:before="120" w:after="120"/>
        <w:jc w:val="both"/>
      </w:pPr>
      <w:r w:rsidRPr="004B2498">
        <w:rPr>
          <w:lang w:eastAsia="fr-FR" w:bidi="fr-FR"/>
        </w:rPr>
        <w:t>Déchirée de toutes parts entre une multitude de désirs contradicto</w:t>
      </w:r>
      <w:r w:rsidRPr="004B2498">
        <w:rPr>
          <w:lang w:eastAsia="fr-FR" w:bidi="fr-FR"/>
        </w:rPr>
        <w:t>i</w:t>
      </w:r>
      <w:r w:rsidRPr="004B2498">
        <w:rPr>
          <w:lang w:eastAsia="fr-FR" w:bidi="fr-FR"/>
        </w:rPr>
        <w:t>res - dont celui aussi d’éviter à sa fille l’enseignement actuel en Chine que, comme beaucoup de parents, elle juge néfaste - Xiaomeï s’est intégrée dans le petit cercle des femmes où resplendit l’aura de Y</w:t>
      </w:r>
      <w:r w:rsidRPr="004B2498">
        <w:rPr>
          <w:lang w:eastAsia="fr-FR" w:bidi="fr-FR"/>
        </w:rPr>
        <w:t>u</w:t>
      </w:r>
      <w:r w:rsidRPr="004B2498">
        <w:rPr>
          <w:lang w:eastAsia="fr-FR" w:bidi="fr-FR"/>
        </w:rPr>
        <w:t>ting. Mais elle est aussi membre de l’organisation des femmes et elle a tenté une fois - bien sûr sans succès - une jonction entre les deux pôles lors d’une activité publique. Cet</w:t>
      </w:r>
      <w:r>
        <w:t xml:space="preserve"> </w:t>
      </w:r>
      <w:r w:rsidRPr="004B2498">
        <w:t>[224]</w:t>
      </w:r>
      <w:r>
        <w:t xml:space="preserve"> </w:t>
      </w:r>
      <w:r w:rsidRPr="004B2498">
        <w:rPr>
          <w:lang w:eastAsia="fr-FR" w:bidi="fr-FR"/>
        </w:rPr>
        <w:t>écartèlement permanent, sa perception d’une atmosphère de suspicion pesante, induisent un se</w:t>
      </w:r>
      <w:r w:rsidRPr="004B2498">
        <w:rPr>
          <w:lang w:eastAsia="fr-FR" w:bidi="fr-FR"/>
        </w:rPr>
        <w:t>n</w:t>
      </w:r>
      <w:r w:rsidRPr="004B2498">
        <w:rPr>
          <w:lang w:eastAsia="fr-FR" w:bidi="fr-FR"/>
        </w:rPr>
        <w:t>timent de dévalorisation intense chez Xiaoameï qui se voit comme une « mauvaise chercheuse » et culpab</w:t>
      </w:r>
      <w:r w:rsidRPr="004B2498">
        <w:rPr>
          <w:lang w:eastAsia="fr-FR" w:bidi="fr-FR"/>
        </w:rPr>
        <w:t>i</w:t>
      </w:r>
      <w:r w:rsidRPr="004B2498">
        <w:rPr>
          <w:lang w:eastAsia="fr-FR" w:bidi="fr-FR"/>
        </w:rPr>
        <w:t>lise de vouloir indépendance et liberté intellectuelle. Elle s’imagine dans dix ans éventuellement arr</w:t>
      </w:r>
      <w:r w:rsidRPr="004B2498">
        <w:rPr>
          <w:lang w:eastAsia="fr-FR" w:bidi="fr-FR"/>
        </w:rPr>
        <w:t>ê</w:t>
      </w:r>
      <w:r w:rsidRPr="004B2498">
        <w:rPr>
          <w:lang w:eastAsia="fr-FR" w:bidi="fr-FR"/>
        </w:rPr>
        <w:t>tée par la police si elle suit ses choix de recherche et ce scénario sini</w:t>
      </w:r>
      <w:r w:rsidRPr="004B2498">
        <w:rPr>
          <w:lang w:eastAsia="fr-FR" w:bidi="fr-FR"/>
        </w:rPr>
        <w:t>s</w:t>
      </w:r>
      <w:r w:rsidRPr="004B2498">
        <w:rPr>
          <w:lang w:eastAsia="fr-FR" w:bidi="fr-FR"/>
        </w:rPr>
        <w:t>tre accentue encore son indécision. Un courrier électronique récent émanant du vice-directeur de son d</w:t>
      </w:r>
      <w:r w:rsidRPr="004B2498">
        <w:rPr>
          <w:lang w:eastAsia="fr-FR" w:bidi="fr-FR"/>
        </w:rPr>
        <w:t>é</w:t>
      </w:r>
      <w:r w:rsidRPr="004B2498">
        <w:rPr>
          <w:lang w:eastAsia="fr-FR" w:bidi="fr-FR"/>
        </w:rPr>
        <w:t>partement l’a bouleversée. Ce dernier invitait ses collègues masculins à bien apprécier et estimer la valeur de l’apparence des femmes qui présenteraient leur candidature à un recrutement d’enseignante dans le département. Moins de 28 ans étaient requis pour une femme qui d</w:t>
      </w:r>
      <w:r w:rsidRPr="004B2498">
        <w:rPr>
          <w:lang w:eastAsia="fr-FR" w:bidi="fr-FR"/>
        </w:rPr>
        <w:t>e</w:t>
      </w:r>
      <w:r w:rsidRPr="004B2498">
        <w:rPr>
          <w:lang w:eastAsia="fr-FR" w:bidi="fr-FR"/>
        </w:rPr>
        <w:t>vait avoir tous les atouts de la beauté féminine, 35 ans pour un homme. Xiaomeï s’est plainte du c</w:t>
      </w:r>
      <w:r w:rsidRPr="004B2498">
        <w:rPr>
          <w:lang w:eastAsia="fr-FR" w:bidi="fr-FR"/>
        </w:rPr>
        <w:t>a</w:t>
      </w:r>
      <w:r w:rsidRPr="004B2498">
        <w:rPr>
          <w:lang w:eastAsia="fr-FR" w:bidi="fr-FR"/>
        </w:rPr>
        <w:t>ractère discriminatoire, sexiste et i</w:t>
      </w:r>
      <w:r w:rsidRPr="004B2498">
        <w:rPr>
          <w:lang w:eastAsia="fr-FR" w:bidi="fr-FR"/>
        </w:rPr>
        <w:t>n</w:t>
      </w:r>
      <w:r w:rsidRPr="004B2498">
        <w:rPr>
          <w:lang w:eastAsia="fr-FR" w:bidi="fr-FR"/>
        </w:rPr>
        <w:t>famant de cette missive auprès du vice-directeur qui lui a répondu... qu’elle avait un « problème perso</w:t>
      </w:r>
      <w:r w:rsidRPr="004B2498">
        <w:rPr>
          <w:lang w:eastAsia="fr-FR" w:bidi="fr-FR"/>
        </w:rPr>
        <w:t>n</w:t>
      </w:r>
      <w:r w:rsidRPr="004B2498">
        <w:rPr>
          <w:lang w:eastAsia="fr-FR" w:bidi="fr-FR"/>
        </w:rPr>
        <w:t>nel » et qu’elle se mettait à ressembler à son amie Hongxia... et à d</w:t>
      </w:r>
      <w:r w:rsidRPr="004B2498">
        <w:rPr>
          <w:lang w:eastAsia="fr-FR" w:bidi="fr-FR"/>
        </w:rPr>
        <w:t>e</w:t>
      </w:r>
      <w:r w:rsidRPr="004B2498">
        <w:rPr>
          <w:lang w:eastAsia="fr-FR" w:bidi="fr-FR"/>
        </w:rPr>
        <w:t>venir trop « radicale ». Humiliée par cet ancien ami, Xiaomeï s’est recroquevillée et s’est sentie plus perdue que jamais, sans appui affe</w:t>
      </w:r>
      <w:r w:rsidRPr="004B2498">
        <w:rPr>
          <w:lang w:eastAsia="fr-FR" w:bidi="fr-FR"/>
        </w:rPr>
        <w:t>c</w:t>
      </w:r>
      <w:r w:rsidRPr="004B2498">
        <w:rPr>
          <w:lang w:eastAsia="fr-FR" w:bidi="fr-FR"/>
        </w:rPr>
        <w:t>tif conjugal, parental, professionnel. Elle appréhende, sur un plan plus général, un renforcement de l’autoritarisme de l’État, une régression.</w:t>
      </w:r>
    </w:p>
    <w:p w14:paraId="6810DBEC" w14:textId="77777777" w:rsidR="002F4063" w:rsidRPr="004B2498" w:rsidRDefault="002F4063" w:rsidP="002F4063">
      <w:pPr>
        <w:spacing w:before="120" w:after="120"/>
        <w:jc w:val="both"/>
      </w:pPr>
      <w:r w:rsidRPr="004B2498">
        <w:rPr>
          <w:lang w:eastAsia="fr-FR" w:bidi="fr-FR"/>
        </w:rPr>
        <w:t xml:space="preserve">Yuting, Hongxia, Xiaomeï nous font pénétrer dans les arcanes des départements universitaires, opposant une résistance irréfragable - sur les fronts idéologiques, scientifiques, politiques - à l’implantation des </w:t>
      </w:r>
      <w:r w:rsidRPr="004B2498">
        <w:t>gender studies</w:t>
      </w:r>
      <w:r w:rsidRPr="004B2498">
        <w:rPr>
          <w:lang w:eastAsia="fr-FR" w:bidi="fr-FR"/>
        </w:rPr>
        <w:t>, cet objet allogène et suspect qui suscite les fantasmes les plus divers et les plus bruts de destitution du pouvoir - seconda</w:t>
      </w:r>
      <w:r w:rsidRPr="004B2498">
        <w:rPr>
          <w:lang w:eastAsia="fr-FR" w:bidi="fr-FR"/>
        </w:rPr>
        <w:t>i</w:t>
      </w:r>
      <w:r w:rsidRPr="004B2498">
        <w:rPr>
          <w:lang w:eastAsia="fr-FR" w:bidi="fr-FR"/>
        </w:rPr>
        <w:t>rement masculin. Toutes trois offrent une gamme de réactions contra</w:t>
      </w:r>
      <w:r w:rsidRPr="004B2498">
        <w:rPr>
          <w:lang w:eastAsia="fr-FR" w:bidi="fr-FR"/>
        </w:rPr>
        <w:t>s</w:t>
      </w:r>
      <w:r w:rsidRPr="004B2498">
        <w:rPr>
          <w:lang w:eastAsia="fr-FR" w:bidi="fr-FR"/>
        </w:rPr>
        <w:t>tées : affrontement, « entrisme », auto-accusation. Dans le même m</w:t>
      </w:r>
      <w:r w:rsidRPr="004B2498">
        <w:rPr>
          <w:lang w:eastAsia="fr-FR" w:bidi="fr-FR"/>
        </w:rPr>
        <w:t>o</w:t>
      </w:r>
      <w:r w:rsidRPr="004B2498">
        <w:rPr>
          <w:lang w:eastAsia="fr-FR" w:bidi="fr-FR"/>
        </w:rPr>
        <w:t xml:space="preserve">ment, elles s’accrochent aux </w:t>
      </w:r>
      <w:r w:rsidRPr="004B2498">
        <w:t>gender studies -</w:t>
      </w:r>
      <w:r w:rsidRPr="004B2498">
        <w:rPr>
          <w:lang w:eastAsia="fr-FR" w:bidi="fr-FR"/>
        </w:rPr>
        <w:t xml:space="preserve"> plateforme molle et pl</w:t>
      </w:r>
      <w:r w:rsidRPr="004B2498">
        <w:rPr>
          <w:lang w:eastAsia="fr-FR" w:bidi="fr-FR"/>
        </w:rPr>
        <w:t>u</w:t>
      </w:r>
      <w:r w:rsidRPr="004B2498">
        <w:rPr>
          <w:lang w:eastAsia="fr-FR" w:bidi="fr-FR"/>
        </w:rPr>
        <w:t>ridirectio</w:t>
      </w:r>
      <w:r w:rsidRPr="004B2498">
        <w:rPr>
          <w:lang w:eastAsia="fr-FR" w:bidi="fr-FR"/>
        </w:rPr>
        <w:t>n</w:t>
      </w:r>
      <w:r w:rsidRPr="004B2498">
        <w:rPr>
          <w:lang w:eastAsia="fr-FR" w:bidi="fr-FR"/>
        </w:rPr>
        <w:t>nelle - comme à une bouée de sauvetage de leur identité personnelle dans un océan d’orthodoxie collective où elles ont peur de se noyer, de se dissoudre. Les USA, le Canada, figurent l’autre monde dans lequel prend sens leur idée du féminisme, polyvalente, chimér</w:t>
      </w:r>
      <w:r w:rsidRPr="004B2498">
        <w:rPr>
          <w:lang w:eastAsia="fr-FR" w:bidi="fr-FR"/>
        </w:rPr>
        <w:t>i</w:t>
      </w:r>
      <w:r w:rsidRPr="004B2498">
        <w:rPr>
          <w:lang w:eastAsia="fr-FR" w:bidi="fr-FR"/>
        </w:rPr>
        <w:t>que. E</w:t>
      </w:r>
      <w:r w:rsidRPr="004B2498">
        <w:rPr>
          <w:lang w:eastAsia="fr-FR" w:bidi="fr-FR"/>
        </w:rPr>
        <w:t>n</w:t>
      </w:r>
      <w:r w:rsidRPr="004B2498">
        <w:rPr>
          <w:lang w:eastAsia="fr-FR" w:bidi="fr-FR"/>
        </w:rPr>
        <w:t>semble, elles mettent en œuvre des recherches, des réseaux, des év</w:t>
      </w:r>
      <w:r w:rsidRPr="004B2498">
        <w:rPr>
          <w:lang w:eastAsia="fr-FR" w:bidi="fr-FR"/>
        </w:rPr>
        <w:t>è</w:t>
      </w:r>
      <w:r w:rsidRPr="004B2498">
        <w:rPr>
          <w:lang w:eastAsia="fr-FR" w:bidi="fr-FR"/>
        </w:rPr>
        <w:t>nements publics, des manifestations culturelles qui nécessitent des relais. C’est un des rôles de Yanyan vers laquelle nous allons maint</w:t>
      </w:r>
      <w:r w:rsidRPr="004B2498">
        <w:rPr>
          <w:lang w:eastAsia="fr-FR" w:bidi="fr-FR"/>
        </w:rPr>
        <w:t>e</w:t>
      </w:r>
      <w:r w:rsidRPr="004B2498">
        <w:rPr>
          <w:lang w:eastAsia="fr-FR" w:bidi="fr-FR"/>
        </w:rPr>
        <w:t>nant nous tourner.</w:t>
      </w:r>
    </w:p>
    <w:p w14:paraId="69D1D961" w14:textId="77777777" w:rsidR="002F4063" w:rsidRPr="004B2498" w:rsidRDefault="002F4063" w:rsidP="002F4063">
      <w:pPr>
        <w:spacing w:before="120" w:after="120"/>
        <w:jc w:val="both"/>
      </w:pPr>
      <w:r w:rsidRPr="004B2498">
        <w:rPr>
          <w:lang w:eastAsia="fr-FR" w:bidi="fr-FR"/>
        </w:rPr>
        <w:t>Yanyan, une jeune femme de 40 ans, vive et très gaie, est directrice des ressources humaines du Parti dans un institut de formation profe</w:t>
      </w:r>
      <w:r w:rsidRPr="004B2498">
        <w:rPr>
          <w:lang w:eastAsia="fr-FR" w:bidi="fr-FR"/>
        </w:rPr>
        <w:t>s</w:t>
      </w:r>
      <w:r w:rsidRPr="004B2498">
        <w:rPr>
          <w:lang w:eastAsia="fr-FR" w:bidi="fr-FR"/>
        </w:rPr>
        <w:t>sionnelle. Ces compétences politico-administratives sont doublées par un enseignement de « sociologie des femmes » dans un cours à o</w:t>
      </w:r>
      <w:r w:rsidRPr="004B2498">
        <w:rPr>
          <w:lang w:eastAsia="fr-FR" w:bidi="fr-FR"/>
        </w:rPr>
        <w:t>p</w:t>
      </w:r>
      <w:r w:rsidRPr="004B2498">
        <w:rPr>
          <w:lang w:eastAsia="fr-FR" w:bidi="fr-FR"/>
        </w:rPr>
        <w:t>tion. Il s’agit de fait d’expliquer aux jeunes filles qui vont entrer dans le monde du travail, les règles de conduite d’une femme, les bonnes manières pour une femme, bref, tout ce qui concerne une féminité ve</w:t>
      </w:r>
      <w:r w:rsidRPr="004B2498">
        <w:rPr>
          <w:lang w:eastAsia="fr-FR" w:bidi="fr-FR"/>
        </w:rPr>
        <w:t>r</w:t>
      </w:r>
      <w:r w:rsidRPr="004B2498">
        <w:rPr>
          <w:lang w:eastAsia="fr-FR" w:bidi="fr-FR"/>
        </w:rPr>
        <w:t xml:space="preserve">tueuse et de bon aloi représentant dignement la Chine, par exemple dans une </w:t>
      </w:r>
      <w:r w:rsidRPr="003674B1">
        <w:rPr>
          <w:i/>
        </w:rPr>
        <w:t>joint-venture</w:t>
      </w:r>
      <w:r w:rsidRPr="004B2498">
        <w:t>.</w:t>
      </w:r>
      <w:r w:rsidRPr="004B2498">
        <w:rPr>
          <w:lang w:eastAsia="fr-FR" w:bidi="fr-FR"/>
        </w:rPr>
        <w:t xml:space="preserve"> L'attention est</w:t>
      </w:r>
      <w:r>
        <w:t xml:space="preserve"> </w:t>
      </w:r>
      <w:r w:rsidRPr="004B2498">
        <w:t>[225]</w:t>
      </w:r>
      <w:r>
        <w:t xml:space="preserve"> </w:t>
      </w:r>
      <w:r w:rsidRPr="004B2498">
        <w:rPr>
          <w:lang w:eastAsia="fr-FR" w:bidi="fr-FR"/>
        </w:rPr>
        <w:t>portée en particulier dans ce cours sur les différences de compo</w:t>
      </w:r>
      <w:r w:rsidRPr="004B2498">
        <w:rPr>
          <w:lang w:eastAsia="fr-FR" w:bidi="fr-FR"/>
        </w:rPr>
        <w:t>r</w:t>
      </w:r>
      <w:r w:rsidRPr="004B2498">
        <w:rPr>
          <w:lang w:eastAsia="fr-FR" w:bidi="fr-FR"/>
        </w:rPr>
        <w:t>tement qu’une femme chinoise se doit d’avoir face à des étrangers en fonction de leur spécificité culturelle. Yanyan a consacré son master de sociologie à « L’augmentation de l’esprit moral des femmes rurales et le dévelo</w:t>
      </w:r>
      <w:r w:rsidRPr="004B2498">
        <w:rPr>
          <w:lang w:eastAsia="fr-FR" w:bidi="fr-FR"/>
        </w:rPr>
        <w:t>p</w:t>
      </w:r>
      <w:r w:rsidRPr="004B2498">
        <w:rPr>
          <w:lang w:eastAsia="fr-FR" w:bidi="fr-FR"/>
        </w:rPr>
        <w:t>pement du socialisme chinois ». Elle a reçu le prix du meilleur m</w:t>
      </w:r>
      <w:r w:rsidRPr="004B2498">
        <w:rPr>
          <w:lang w:eastAsia="fr-FR" w:bidi="fr-FR"/>
        </w:rPr>
        <w:t>é</w:t>
      </w:r>
      <w:r w:rsidRPr="004B2498">
        <w:rPr>
          <w:lang w:eastAsia="fr-FR" w:bidi="fr-FR"/>
        </w:rPr>
        <w:t>moire de son université mais juge aujourd’hui ce premier travail de recherche « mauvais ». Elle n’a pas été sélectionnée ensuite pour s’inscrire en doctorat et a donc pris le poste administratif qu’elle o</w:t>
      </w:r>
      <w:r w:rsidRPr="004B2498">
        <w:rPr>
          <w:lang w:eastAsia="fr-FR" w:bidi="fr-FR"/>
        </w:rPr>
        <w:t>c</w:t>
      </w:r>
      <w:r w:rsidRPr="004B2498">
        <w:rPr>
          <w:lang w:eastAsia="fr-FR" w:bidi="fr-FR"/>
        </w:rPr>
        <w:t>cupe présentement. Elle considère que dans son université seule l’appartenance au Parti a du poids et fort peu le diplôme. Etudiant dans la même université qu’elle, membre du Parti, mais sans respo</w:t>
      </w:r>
      <w:r w:rsidRPr="004B2498">
        <w:rPr>
          <w:lang w:eastAsia="fr-FR" w:bidi="fr-FR"/>
        </w:rPr>
        <w:t>n</w:t>
      </w:r>
      <w:r w:rsidRPr="004B2498">
        <w:rPr>
          <w:lang w:eastAsia="fr-FR" w:bidi="fr-FR"/>
        </w:rPr>
        <w:t>sabilité, son mari est professeur de sociologie rurale et inscrit en thèse. Elle est née dans une famille « révolutionnaire » ascensionnelle dont elle est fière : père militaire qui a fait la guerre de Corée, mère dire</w:t>
      </w:r>
      <w:r w:rsidRPr="004B2498">
        <w:rPr>
          <w:lang w:eastAsia="fr-FR" w:bidi="fr-FR"/>
        </w:rPr>
        <w:t>c</w:t>
      </w:r>
      <w:r w:rsidRPr="004B2498">
        <w:rPr>
          <w:lang w:eastAsia="fr-FR" w:bidi="fr-FR"/>
        </w:rPr>
        <w:t>trice d’école secondaire, grands-parents paysans. Ses beaux-parents sont fonctionnaires. C’est forte de cette généalogie positive que Y</w:t>
      </w:r>
      <w:r w:rsidRPr="004B2498">
        <w:rPr>
          <w:lang w:eastAsia="fr-FR" w:bidi="fr-FR"/>
        </w:rPr>
        <w:t>a</w:t>
      </w:r>
      <w:r w:rsidRPr="004B2498">
        <w:rPr>
          <w:lang w:eastAsia="fr-FR" w:bidi="fr-FR"/>
        </w:rPr>
        <w:t xml:space="preserve">nyan est devenue, au niveau provincial, responsable depuis trois ans, avec une autre collègue que nous rencontrerons plus tard - d’un </w:t>
      </w:r>
      <w:r w:rsidRPr="003674B1">
        <w:rPr>
          <w:i/>
        </w:rPr>
        <w:t>ge</w:t>
      </w:r>
      <w:r w:rsidRPr="003674B1">
        <w:rPr>
          <w:i/>
        </w:rPr>
        <w:t>n</w:t>
      </w:r>
      <w:r w:rsidRPr="003674B1">
        <w:rPr>
          <w:i/>
        </w:rPr>
        <w:t>der network</w:t>
      </w:r>
      <w:r w:rsidRPr="004B2498">
        <w:t xml:space="preserve"> </w:t>
      </w:r>
      <w:r w:rsidRPr="004B2498">
        <w:rPr>
          <w:lang w:eastAsia="fr-FR" w:bidi="fr-FR"/>
        </w:rPr>
        <w:t>financé par la fondation Ford : 10 000 yuans par an dont 80% d’avance, 20% à la remise du rapport. Ce sont Yuting et Hon</w:t>
      </w:r>
      <w:r w:rsidRPr="004B2498">
        <w:rPr>
          <w:lang w:eastAsia="fr-FR" w:bidi="fr-FR"/>
        </w:rPr>
        <w:t>g</w:t>
      </w:r>
      <w:r w:rsidRPr="004B2498">
        <w:rPr>
          <w:lang w:eastAsia="fr-FR" w:bidi="fr-FR"/>
        </w:rPr>
        <w:t>xia qui le lui ont instamment demandé, considérant que son profil était, dans le plus petit cercle des femmes, le plus approprié pour cette t</w:t>
      </w:r>
      <w:r w:rsidRPr="004B2498">
        <w:rPr>
          <w:lang w:eastAsia="fr-FR" w:bidi="fr-FR"/>
        </w:rPr>
        <w:t>â</w:t>
      </w:r>
      <w:r w:rsidRPr="004B2498">
        <w:rPr>
          <w:lang w:eastAsia="fr-FR" w:bidi="fr-FR"/>
        </w:rPr>
        <w:t xml:space="preserve">che. Une foule de « tampons rouges » est en effet nécessaire car le contrôle est fort sur les subventions étrangères, le Parti étant suspect aux yeux de toutes les </w:t>
      </w:r>
      <w:r w:rsidRPr="00767F5A">
        <w:rPr>
          <w:i/>
        </w:rPr>
        <w:t>gender</w:t>
      </w:r>
      <w:r w:rsidRPr="004B2498">
        <w:t xml:space="preserve"> </w:t>
      </w:r>
      <w:r w:rsidRPr="004B2498">
        <w:rPr>
          <w:lang w:eastAsia="fr-FR" w:bidi="fr-FR"/>
        </w:rPr>
        <w:t xml:space="preserve">de camoufler une opération idéologique de déstabilisation des femmes. Yanyan fait donc « passer » toutes les barrières politiques au projet et dans le même moment elle l’associe à l’organisation des femmes et à des </w:t>
      </w:r>
      <w:r w:rsidRPr="00767F5A">
        <w:rPr>
          <w:i/>
        </w:rPr>
        <w:t>Gongo </w:t>
      </w:r>
      <w:r>
        <w:rPr>
          <w:rStyle w:val="Appelnotedebasdep"/>
        </w:rPr>
        <w:footnoteReference w:id="182"/>
      </w:r>
      <w:r w:rsidRPr="004B2498">
        <w:rPr>
          <w:lang w:eastAsia="fr-FR" w:bidi="fr-FR"/>
        </w:rPr>
        <w:t xml:space="preserve"> dépendantes. « Augmenter le niveau de conscience des femmes au genre » (les deux termes - </w:t>
      </w:r>
      <w:r w:rsidRPr="003674B1">
        <w:rPr>
          <w:i/>
        </w:rPr>
        <w:t>nu xing et xing bie</w:t>
      </w:r>
      <w:r w:rsidRPr="004B2498">
        <w:rPr>
          <w:lang w:eastAsia="fr-FR" w:bidi="fr-FR"/>
        </w:rPr>
        <w:t xml:space="preserve"> - sont équivalents dans la bouche de Y</w:t>
      </w:r>
      <w:r w:rsidRPr="004B2498">
        <w:rPr>
          <w:lang w:eastAsia="fr-FR" w:bidi="fr-FR"/>
        </w:rPr>
        <w:t>a</w:t>
      </w:r>
      <w:r w:rsidRPr="004B2498">
        <w:rPr>
          <w:lang w:eastAsia="fr-FR" w:bidi="fr-FR"/>
        </w:rPr>
        <w:t>nyan) est un des objectifs de Yanyan qui néanmoins reconnaît avec beaucoup de bonne volonté ses contradictions personnelles qui refl</w:t>
      </w:r>
      <w:r w:rsidRPr="004B2498">
        <w:rPr>
          <w:lang w:eastAsia="fr-FR" w:bidi="fr-FR"/>
        </w:rPr>
        <w:t>è</w:t>
      </w:r>
      <w:r w:rsidRPr="004B2498">
        <w:rPr>
          <w:lang w:eastAsia="fr-FR" w:bidi="fr-FR"/>
        </w:rPr>
        <w:t>tent, de son point de vue, celles de l’ensemble des intellectuels, et donc le long chemin que la société doit encore parcourir. Ainsi, elle, son mari, ses beaux-parents, optent sans hésitation, pour la préférence masculine et ses propres parents ont toujours regretté d’avoir donné naissance à trois filles, dit-elle avec sincérité. Elle a un fils de 10 ans, très bon élève, pour lequel elle est prête à vendre son appartement pour lui payer des études à l’étranger : un fils est en effet « une ba</w:t>
      </w:r>
      <w:r w:rsidRPr="004B2498">
        <w:rPr>
          <w:lang w:eastAsia="fr-FR" w:bidi="fr-FR"/>
        </w:rPr>
        <w:t>n</w:t>
      </w:r>
      <w:r w:rsidRPr="004B2498">
        <w:rPr>
          <w:lang w:eastAsia="fr-FR" w:bidi="fr-FR"/>
        </w:rPr>
        <w:t>que de construction, il faut tout faire pour lui, une fille c’est une ba</w:t>
      </w:r>
      <w:r w:rsidRPr="004B2498">
        <w:rPr>
          <w:lang w:eastAsia="fr-FR" w:bidi="fr-FR"/>
        </w:rPr>
        <w:t>n</w:t>
      </w:r>
      <w:r w:rsidRPr="004B2498">
        <w:rPr>
          <w:lang w:eastAsia="fr-FR" w:bidi="fr-FR"/>
        </w:rPr>
        <w:t>que commerciale, tout va venir », s’exclame-t-elle en éclatant</w:t>
      </w:r>
      <w:r w:rsidRPr="004B2498">
        <w:t xml:space="preserve"> </w:t>
      </w:r>
      <w:r w:rsidRPr="004B2498">
        <w:rPr>
          <w:lang w:eastAsia="fr-FR" w:bidi="fr-FR"/>
        </w:rPr>
        <w:t>[226]</w:t>
      </w:r>
      <w:r>
        <w:rPr>
          <w:lang w:eastAsia="fr-FR" w:bidi="fr-FR"/>
        </w:rPr>
        <w:t xml:space="preserve"> </w:t>
      </w:r>
      <w:r w:rsidRPr="004B2498">
        <w:rPr>
          <w:lang w:eastAsia="fr-FR" w:bidi="fr-FR"/>
        </w:rPr>
        <w:t>de rire, ajoutant que lorsque son fils pleure, elle lui comma</w:t>
      </w:r>
      <w:r w:rsidRPr="004B2498">
        <w:rPr>
          <w:lang w:eastAsia="fr-FR" w:bidi="fr-FR"/>
        </w:rPr>
        <w:t>n</w:t>
      </w:r>
      <w:r w:rsidRPr="004B2498">
        <w:rPr>
          <w:lang w:eastAsia="fr-FR" w:bidi="fr-FR"/>
        </w:rPr>
        <w:t>de de ne pas se comporter comme une fille !</w:t>
      </w:r>
    </w:p>
    <w:p w14:paraId="328D469D" w14:textId="77777777" w:rsidR="002F4063" w:rsidRPr="004B2498" w:rsidRDefault="002F4063" w:rsidP="002F4063">
      <w:pPr>
        <w:spacing w:before="120" w:after="120"/>
        <w:jc w:val="both"/>
      </w:pPr>
      <w:r w:rsidRPr="004B2498">
        <w:rPr>
          <w:lang w:eastAsia="fr-FR" w:bidi="fr-FR"/>
        </w:rPr>
        <w:t>La présence de Yanyan dans le petit cercle des femmes, sa collab</w:t>
      </w:r>
      <w:r w:rsidRPr="004B2498">
        <w:rPr>
          <w:lang w:eastAsia="fr-FR" w:bidi="fr-FR"/>
        </w:rPr>
        <w:t>o</w:t>
      </w:r>
      <w:r w:rsidRPr="004B2498">
        <w:rPr>
          <w:lang w:eastAsia="fr-FR" w:bidi="fr-FR"/>
        </w:rPr>
        <w:t>ration active à l’implantation d’un réseau genre - dans un contexte où la dissidence de Yuting pourrait au contraire repousser cette solide membre du Parti aux conceptions traditionnelles des rapports sociaux de sexe - met à nu les enjeux politiques de l’importation de ce nexus idéologique mais surtout le jeu interpersonnel des implications polit</w:t>
      </w:r>
      <w:r w:rsidRPr="004B2498">
        <w:rPr>
          <w:lang w:eastAsia="fr-FR" w:bidi="fr-FR"/>
        </w:rPr>
        <w:t>i</w:t>
      </w:r>
      <w:r w:rsidRPr="004B2498">
        <w:rPr>
          <w:lang w:eastAsia="fr-FR" w:bidi="fr-FR"/>
        </w:rPr>
        <w:t>ques contradictoires qui le soutiennent. C’est dans cette direction que nous avancerons avec Shuwan, la collègue qui, aux côtés de Yanyan, gère le projet financé par la fondation Ford.</w:t>
      </w:r>
    </w:p>
    <w:p w14:paraId="70DACFD8" w14:textId="77777777" w:rsidR="002F4063" w:rsidRPr="004B2498" w:rsidRDefault="002F4063" w:rsidP="002F4063">
      <w:pPr>
        <w:spacing w:before="120" w:after="120"/>
        <w:jc w:val="both"/>
      </w:pPr>
      <w:r w:rsidRPr="004B2498">
        <w:rPr>
          <w:lang w:eastAsia="fr-FR" w:bidi="fr-FR"/>
        </w:rPr>
        <w:t>Shuwan a 42 ans, donne l’impression d’être très sportive et de p</w:t>
      </w:r>
      <w:r w:rsidRPr="004B2498">
        <w:rPr>
          <w:lang w:eastAsia="fr-FR" w:bidi="fr-FR"/>
        </w:rPr>
        <w:t>o</w:t>
      </w:r>
      <w:r w:rsidRPr="004B2498">
        <w:rPr>
          <w:lang w:eastAsia="fr-FR" w:bidi="fr-FR"/>
        </w:rPr>
        <w:t>ser un regard d’une extrême sensibilité sur ses interlocuteurs. Elle e</w:t>
      </w:r>
      <w:r w:rsidRPr="004B2498">
        <w:rPr>
          <w:lang w:eastAsia="fr-FR" w:bidi="fr-FR"/>
        </w:rPr>
        <w:t>n</w:t>
      </w:r>
      <w:r w:rsidRPr="004B2498">
        <w:rPr>
          <w:lang w:eastAsia="fr-FR" w:bidi="fr-FR"/>
        </w:rPr>
        <w:t>seigne, dans un institut universitaire de rang inférieur, le genre dans la littérature et fait de ses cours à option des discussions collectives avec les étudiants sur les problèmes sociaux, les discriminations qui to</w:t>
      </w:r>
      <w:r w:rsidRPr="004B2498">
        <w:rPr>
          <w:lang w:eastAsia="fr-FR" w:bidi="fr-FR"/>
        </w:rPr>
        <w:t>u</w:t>
      </w:r>
      <w:r w:rsidRPr="004B2498">
        <w:rPr>
          <w:lang w:eastAsia="fr-FR" w:bidi="fr-FR"/>
        </w:rPr>
        <w:t>chent les femmes, l’infanticide des petites filles, la répudiation des femmes, etc. Butler, Orlando, Wolf, Beauvoir, le postcolonialisme nourrissent ses cours. Dans son université, elle a monté en 2007 une « association universitaire » consacrée à la lecture, au cinéma, etc. : « Réunion de lecture pour les petites filles » en est l’intitulé apte à tranquilliser l’organisation des jeunes qui exerce sa tutelle sur ces a</w:t>
      </w:r>
      <w:r w:rsidRPr="004B2498">
        <w:rPr>
          <w:lang w:eastAsia="fr-FR" w:bidi="fr-FR"/>
        </w:rPr>
        <w:t>s</w:t>
      </w:r>
      <w:r w:rsidRPr="004B2498">
        <w:rPr>
          <w:lang w:eastAsia="fr-FR" w:bidi="fr-FR"/>
        </w:rPr>
        <w:t>sociations dont les stratégies visent de façon récurrente à construire leur autonomie de pensée, d’action et de mobilisation. « Je suis un bourgeon et j’ai trouvé mon organisation » (</w:t>
      </w:r>
      <w:r w:rsidRPr="003674B1">
        <w:rPr>
          <w:i/>
        </w:rPr>
        <w:t>zu zhi</w:t>
      </w:r>
      <w:r w:rsidRPr="004B2498">
        <w:t>)</w:t>
      </w:r>
      <w:r w:rsidRPr="004B2498">
        <w:rPr>
          <w:lang w:eastAsia="fr-FR" w:bidi="fr-FR"/>
        </w:rPr>
        <w:t xml:space="preserve"> dit-elle en e</w:t>
      </w:r>
      <w:r w:rsidRPr="004B2498">
        <w:rPr>
          <w:lang w:eastAsia="fr-FR" w:bidi="fr-FR"/>
        </w:rPr>
        <w:t>m</w:t>
      </w:r>
      <w:r w:rsidRPr="004B2498">
        <w:rPr>
          <w:lang w:eastAsia="fr-FR" w:bidi="fr-FR"/>
        </w:rPr>
        <w:t>ployant une métaphore guerrière du parti communiste lors de la cla</w:t>
      </w:r>
      <w:r w:rsidRPr="004B2498">
        <w:rPr>
          <w:lang w:eastAsia="fr-FR" w:bidi="fr-FR"/>
        </w:rPr>
        <w:t>n</w:t>
      </w:r>
      <w:r w:rsidRPr="004B2498">
        <w:rPr>
          <w:lang w:eastAsia="fr-FR" w:bidi="fr-FR"/>
        </w:rPr>
        <w:t xml:space="preserve">destinité pour désigner le « féminisme-pouvoir » auquel elle s’identifie. Animée d’autant de respect et d’admiration pour les deux leaders que sont à ses yeux Yuting et Hongxia, elle se décrit, en riant, « courir derrière toutes les deux ». En 1995 elle a obtenu son master dédié à la thématique « Sexe et salut chez </w:t>
      </w:r>
      <w:r w:rsidRPr="009E3DEA">
        <w:rPr>
          <w:i/>
        </w:rPr>
        <w:t>L’amant de Lady Chatte</w:t>
      </w:r>
      <w:r w:rsidRPr="009E3DEA">
        <w:rPr>
          <w:i/>
        </w:rPr>
        <w:t>r</w:t>
      </w:r>
      <w:r w:rsidRPr="009E3DEA">
        <w:rPr>
          <w:i/>
        </w:rPr>
        <w:t>ley</w:t>
      </w:r>
      <w:r w:rsidRPr="009E3DEA">
        <w:rPr>
          <w:i/>
          <w:lang w:eastAsia="fr-FR" w:bidi="fr-FR"/>
        </w:rPr>
        <w:t> </w:t>
      </w:r>
      <w:r w:rsidRPr="004B2498">
        <w:rPr>
          <w:lang w:eastAsia="fr-FR" w:bidi="fr-FR"/>
        </w:rPr>
        <w:t>» et a décidé de rentrer dans la vie professionnelle. Dans sa course à l’emploi, elle est profondément choquée de découvrir des annonces mentionnant le refus d’une femme, elle qui croyait en sa valeur, se voit brutalement dévalorisée par son appartenance de sexe et en perd le sommeil. Cette prise de conscience la ramène à sa naissance et au fait, banal en Chine, qu’elle doit sa naissance à sa grand-mère mate</w:t>
      </w:r>
      <w:r w:rsidRPr="004B2498">
        <w:rPr>
          <w:lang w:eastAsia="fr-FR" w:bidi="fr-FR"/>
        </w:rPr>
        <w:t>r</w:t>
      </w:r>
      <w:r w:rsidRPr="004B2498">
        <w:rPr>
          <w:lang w:eastAsia="fr-FR" w:bidi="fr-FR"/>
        </w:rPr>
        <w:t>nelle - qui avait forcé sa mère à un précédent avortement après la première venue d'une fille - mais croyait repérer cette fois-ci dans la forme du ventre de sa bru, le signe d’un futur garçon, qui serait le tro</w:t>
      </w:r>
      <w:r w:rsidRPr="004B2498">
        <w:rPr>
          <w:lang w:eastAsia="fr-FR" w:bidi="fr-FR"/>
        </w:rPr>
        <w:t>i</w:t>
      </w:r>
      <w:r w:rsidRPr="004B2498">
        <w:rPr>
          <w:lang w:eastAsia="fr-FR" w:bidi="fr-FR"/>
        </w:rPr>
        <w:t>sième enfant ! Mère d’une fille de 10 ans et épouse d’un professeur d’informatique dans la même université où elle enseigne, Shuwan d</w:t>
      </w:r>
      <w:r w:rsidRPr="004B2498">
        <w:rPr>
          <w:lang w:eastAsia="fr-FR" w:bidi="fr-FR"/>
        </w:rPr>
        <w:t>é</w:t>
      </w:r>
      <w:r w:rsidRPr="004B2498">
        <w:rPr>
          <w:lang w:eastAsia="fr-FR" w:bidi="fr-FR"/>
        </w:rPr>
        <w:t>nonce avec force la domination masculine qu’elle resitue dans un c</w:t>
      </w:r>
      <w:r w:rsidRPr="004B2498">
        <w:rPr>
          <w:lang w:eastAsia="fr-FR" w:bidi="fr-FR"/>
        </w:rPr>
        <w:t>a</w:t>
      </w:r>
      <w:r w:rsidRPr="004B2498">
        <w:rPr>
          <w:lang w:eastAsia="fr-FR" w:bidi="fr-FR"/>
        </w:rPr>
        <w:t>dre politique après avoir compris combien elle avait pesé douloure</w:t>
      </w:r>
      <w:r w:rsidRPr="004B2498">
        <w:rPr>
          <w:lang w:eastAsia="fr-FR" w:bidi="fr-FR"/>
        </w:rPr>
        <w:t>u</w:t>
      </w:r>
      <w:r w:rsidRPr="004B2498">
        <w:rPr>
          <w:lang w:eastAsia="fr-FR" w:bidi="fr-FR"/>
        </w:rPr>
        <w:t>sement dans sa vie. Shuwan et Yanyan, bien différentes l’une de</w:t>
      </w:r>
      <w:r>
        <w:rPr>
          <w:lang w:eastAsia="fr-FR" w:bidi="fr-FR"/>
        </w:rPr>
        <w:t xml:space="preserve"> </w:t>
      </w:r>
      <w:r w:rsidRPr="004B2498">
        <w:t>[227]</w:t>
      </w:r>
      <w:r>
        <w:t xml:space="preserve"> </w:t>
      </w:r>
      <w:r w:rsidRPr="004B2498">
        <w:rPr>
          <w:lang w:eastAsia="fr-FR" w:bidi="fr-FR"/>
        </w:rPr>
        <w:t>l’autre, mettent en scène un tandem significatif pour mieux déchi</w:t>
      </w:r>
      <w:r w:rsidRPr="004B2498">
        <w:rPr>
          <w:lang w:eastAsia="fr-FR" w:bidi="fr-FR"/>
        </w:rPr>
        <w:t>f</w:t>
      </w:r>
      <w:r w:rsidRPr="004B2498">
        <w:rPr>
          <w:lang w:eastAsia="fr-FR" w:bidi="fr-FR"/>
        </w:rPr>
        <w:t xml:space="preserve">frer les modes d’implantation des </w:t>
      </w:r>
      <w:r w:rsidRPr="009E3DEA">
        <w:rPr>
          <w:i/>
        </w:rPr>
        <w:t>gender studies</w:t>
      </w:r>
      <w:r w:rsidRPr="009E3DEA">
        <w:rPr>
          <w:i/>
          <w:lang w:eastAsia="fr-FR" w:bidi="fr-FR"/>
        </w:rPr>
        <w:t> </w:t>
      </w:r>
      <w:r w:rsidRPr="004B2498">
        <w:rPr>
          <w:lang w:eastAsia="fr-FR" w:bidi="fr-FR"/>
        </w:rPr>
        <w:t>: alors que l’une se révèle dans tous les domaines, politique et personnel, conventionnelle, l’autre s’écarte de la norme, prête à en découdre pour obtenir l’égalité de statut à laquelle les femmes peuvent prétendre. Leur collaboration dans un projet de la fondation Ford pointe l’importance de membres du Parti pour faire réussir cette aventure de femmes malgré tout « féministes » au sens le plus large du terme. Elle incite consécutiv</w:t>
      </w:r>
      <w:r w:rsidRPr="004B2498">
        <w:rPr>
          <w:lang w:eastAsia="fr-FR" w:bidi="fr-FR"/>
        </w:rPr>
        <w:t>e</w:t>
      </w:r>
      <w:r w:rsidRPr="004B2498">
        <w:rPr>
          <w:lang w:eastAsia="fr-FR" w:bidi="fr-FR"/>
        </w:rPr>
        <w:t>ment à insister sur la pluralité idéologique et intellectuelle des profils de femmes se mouvant dans l’orbite du Parti ou comme Yuting, l’ayant quitté et le combattant. Dans cette pluralité on discerne tout d’abord une transformation sociale réelle témoignant de l’impossibilité pour le Parti de maintenir une emprise rigide sur l’intériorité de ses membres. Comme le dit Yanyan « 90 % des me</w:t>
      </w:r>
      <w:r w:rsidRPr="004B2498">
        <w:rPr>
          <w:lang w:eastAsia="fr-FR" w:bidi="fr-FR"/>
        </w:rPr>
        <w:t>m</w:t>
      </w:r>
      <w:r w:rsidRPr="004B2498">
        <w:rPr>
          <w:lang w:eastAsia="fr-FR" w:bidi="fr-FR"/>
        </w:rPr>
        <w:t>bres ne croient pas au Parti, ce n’est qu’un instrument pour le tr</w:t>
      </w:r>
      <w:r w:rsidRPr="004B2498">
        <w:rPr>
          <w:lang w:eastAsia="fr-FR" w:bidi="fr-FR"/>
        </w:rPr>
        <w:t>a</w:t>
      </w:r>
      <w:r w:rsidRPr="004B2498">
        <w:rPr>
          <w:lang w:eastAsia="fr-FR" w:bidi="fr-FR"/>
        </w:rPr>
        <w:t>vail », comparés aux Chinois, seuls les « Occidentaux », à ses yeux candides, auraient « la force » donnée par la croyance en Dieu avec laquelle le Parti ne pourrait rivaliser.</w:t>
      </w:r>
    </w:p>
    <w:p w14:paraId="1564975E" w14:textId="77777777" w:rsidR="002F4063" w:rsidRPr="004B2498" w:rsidRDefault="002F4063" w:rsidP="002F4063">
      <w:pPr>
        <w:spacing w:before="120" w:after="120"/>
        <w:jc w:val="both"/>
      </w:pPr>
      <w:r w:rsidRPr="004B2498">
        <w:rPr>
          <w:lang w:eastAsia="fr-FR" w:bidi="fr-FR"/>
        </w:rPr>
        <w:t>Cette pluralité enjoint à réfléchir corollairement sur l’autonomisation de ces actrices, dès lors plus réceptives aux influe</w:t>
      </w:r>
      <w:r w:rsidRPr="004B2498">
        <w:rPr>
          <w:lang w:eastAsia="fr-FR" w:bidi="fr-FR"/>
        </w:rPr>
        <w:t>n</w:t>
      </w:r>
      <w:r w:rsidRPr="004B2498">
        <w:rPr>
          <w:lang w:eastAsia="fr-FR" w:bidi="fr-FR"/>
        </w:rPr>
        <w:t xml:space="preserve">ces extérieures. Les </w:t>
      </w:r>
      <w:r w:rsidRPr="009E3DEA">
        <w:rPr>
          <w:i/>
        </w:rPr>
        <w:t>gender studies</w:t>
      </w:r>
      <w:r w:rsidRPr="004B2498">
        <w:t xml:space="preserve"> -</w:t>
      </w:r>
      <w:r w:rsidRPr="004B2498">
        <w:rPr>
          <w:lang w:eastAsia="fr-FR" w:bidi="fr-FR"/>
        </w:rPr>
        <w:t xml:space="preserve"> aussi critiquables soient-elles - mettent en branle une dynamique collective, aux capacités de rasse</w:t>
      </w:r>
      <w:r w:rsidRPr="004B2498">
        <w:rPr>
          <w:lang w:eastAsia="fr-FR" w:bidi="fr-FR"/>
        </w:rPr>
        <w:t>m</w:t>
      </w:r>
      <w:r w:rsidRPr="004B2498">
        <w:rPr>
          <w:lang w:eastAsia="fr-FR" w:bidi="fr-FR"/>
        </w:rPr>
        <w:t>blement et d’unification. De façon indéniable, une brèche, à la fois symbolique et imaginaire, est creusée dans l’ordonnancement hiéra</w:t>
      </w:r>
      <w:r w:rsidRPr="004B2498">
        <w:rPr>
          <w:lang w:eastAsia="fr-FR" w:bidi="fr-FR"/>
        </w:rPr>
        <w:t>r</w:t>
      </w:r>
      <w:r w:rsidRPr="004B2498">
        <w:rPr>
          <w:lang w:eastAsia="fr-FR" w:bidi="fr-FR"/>
        </w:rPr>
        <w:t>chique des rapports sociaux de sexe qui innervent l’édification polit</w:t>
      </w:r>
      <w:r w:rsidRPr="004B2498">
        <w:rPr>
          <w:lang w:eastAsia="fr-FR" w:bidi="fr-FR"/>
        </w:rPr>
        <w:t>i</w:t>
      </w:r>
      <w:r w:rsidRPr="004B2498">
        <w:rPr>
          <w:lang w:eastAsia="fr-FR" w:bidi="fr-FR"/>
        </w:rPr>
        <w:t xml:space="preserve">que de la société. Dans les </w:t>
      </w:r>
      <w:r w:rsidRPr="009E3DEA">
        <w:rPr>
          <w:i/>
        </w:rPr>
        <w:t>genders studies</w:t>
      </w:r>
      <w:r w:rsidRPr="004B2498">
        <w:rPr>
          <w:lang w:eastAsia="fr-FR" w:bidi="fr-FR"/>
        </w:rPr>
        <w:t>, ces femmes, de niveau i</w:t>
      </w:r>
      <w:r w:rsidRPr="004B2498">
        <w:rPr>
          <w:lang w:eastAsia="fr-FR" w:bidi="fr-FR"/>
        </w:rPr>
        <w:t>n</w:t>
      </w:r>
      <w:r w:rsidRPr="004B2498">
        <w:rPr>
          <w:lang w:eastAsia="fr-FR" w:bidi="fr-FR"/>
        </w:rPr>
        <w:t xml:space="preserve">tellectuel varié, trouvent </w:t>
      </w:r>
      <w:r w:rsidRPr="009E3DEA">
        <w:rPr>
          <w:i/>
        </w:rPr>
        <w:t>des mots pour le dire</w:t>
      </w:r>
      <w:r w:rsidRPr="004B2498">
        <w:rPr>
          <w:lang w:eastAsia="fr-FR" w:bidi="fr-FR"/>
        </w:rPr>
        <w:t>, selon la belle et juste formule des années soixante-dix et revisitent leur existence depuis son origine, marquée par le désir univoque d’une filiation patrilinéaire n</w:t>
      </w:r>
      <w:r w:rsidRPr="004B2498">
        <w:rPr>
          <w:lang w:eastAsia="fr-FR" w:bidi="fr-FR"/>
        </w:rPr>
        <w:t>é</w:t>
      </w:r>
      <w:r w:rsidRPr="004B2498">
        <w:rPr>
          <w:lang w:eastAsia="fr-FR" w:bidi="fr-FR"/>
        </w:rPr>
        <w:t xml:space="preserve">gatrice des filles, des femmes, des mères. Une des actions publiques du petit cercle concerne d’ailleurs les </w:t>
      </w:r>
      <w:r w:rsidRPr="009E3DEA">
        <w:rPr>
          <w:i/>
        </w:rPr>
        <w:t>livrets de famille</w:t>
      </w:r>
      <w:r w:rsidRPr="004B2498">
        <w:rPr>
          <w:lang w:eastAsia="fr-FR" w:bidi="fr-FR"/>
        </w:rPr>
        <w:t xml:space="preserve"> dont les fe</w:t>
      </w:r>
      <w:r w:rsidRPr="004B2498">
        <w:rPr>
          <w:lang w:eastAsia="fr-FR" w:bidi="fr-FR"/>
        </w:rPr>
        <w:t>m</w:t>
      </w:r>
      <w:r w:rsidRPr="004B2498">
        <w:rPr>
          <w:lang w:eastAsia="fr-FR" w:bidi="fr-FR"/>
        </w:rPr>
        <w:t>mes sont tout simplement historiquement absentes, véritable trou d’être. Cette entame dans la domination masculine casse la forcl</w:t>
      </w:r>
      <w:r w:rsidRPr="004B2498">
        <w:rPr>
          <w:lang w:eastAsia="fr-FR" w:bidi="fr-FR"/>
        </w:rPr>
        <w:t>u</w:t>
      </w:r>
      <w:r w:rsidRPr="004B2498">
        <w:rPr>
          <w:lang w:eastAsia="fr-FR" w:bidi="fr-FR"/>
        </w:rPr>
        <w:t>sion ; elle pénètre la scène familiale des femmes et dans le même moment effrite inévitablement les soubassements de la société. Elle inscrit une évolution qui est un effet de la globalisation et, d’une ce</w:t>
      </w:r>
      <w:r w:rsidRPr="004B2498">
        <w:rPr>
          <w:lang w:eastAsia="fr-FR" w:bidi="fr-FR"/>
        </w:rPr>
        <w:t>r</w:t>
      </w:r>
      <w:r w:rsidRPr="004B2498">
        <w:rPr>
          <w:lang w:eastAsia="fr-FR" w:bidi="fr-FR"/>
        </w:rPr>
        <w:t xml:space="preserve">taine manière, l’État-Parti n’a pas tort de freiner et de craindre le </w:t>
      </w:r>
      <w:r w:rsidRPr="009E3DEA">
        <w:rPr>
          <w:i/>
        </w:rPr>
        <w:t>gl</w:t>
      </w:r>
      <w:r w:rsidRPr="009E3DEA">
        <w:rPr>
          <w:i/>
        </w:rPr>
        <w:t>o</w:t>
      </w:r>
      <w:r w:rsidRPr="009E3DEA">
        <w:rPr>
          <w:i/>
        </w:rPr>
        <w:t>bal feminism</w:t>
      </w:r>
      <w:r w:rsidRPr="004B2498">
        <w:rPr>
          <w:lang w:eastAsia="fr-FR" w:bidi="fr-FR"/>
        </w:rPr>
        <w:t xml:space="preserve"> car sa marche est imprévisible mais durable et surtout impossible à arrêter.</w:t>
      </w:r>
    </w:p>
    <w:p w14:paraId="4F0FBB67" w14:textId="77777777" w:rsidR="002F4063" w:rsidRPr="004B2498" w:rsidRDefault="002F4063" w:rsidP="002F4063">
      <w:pPr>
        <w:spacing w:before="120" w:after="120"/>
        <w:jc w:val="both"/>
        <w:rPr>
          <w:szCs w:val="24"/>
          <w:lang w:eastAsia="fr-FR" w:bidi="fr-FR"/>
        </w:rPr>
      </w:pPr>
    </w:p>
    <w:p w14:paraId="2995387C" w14:textId="77777777" w:rsidR="002F4063" w:rsidRPr="004B2498" w:rsidRDefault="002F4063" w:rsidP="002F4063">
      <w:pPr>
        <w:pStyle w:val="a"/>
      </w:pPr>
      <w:r w:rsidRPr="004B2498">
        <w:t>Les méandres de la recherche entre affect et politique</w:t>
      </w:r>
    </w:p>
    <w:p w14:paraId="5CA4AD42" w14:textId="77777777" w:rsidR="002F4063" w:rsidRPr="004B2498" w:rsidRDefault="002F4063" w:rsidP="002F4063">
      <w:pPr>
        <w:spacing w:before="120" w:after="120"/>
        <w:jc w:val="both"/>
        <w:rPr>
          <w:lang w:eastAsia="fr-FR" w:bidi="fr-FR"/>
        </w:rPr>
      </w:pPr>
    </w:p>
    <w:p w14:paraId="3497B05E" w14:textId="77777777" w:rsidR="002F4063" w:rsidRPr="004B2498" w:rsidRDefault="002F4063" w:rsidP="002F4063">
      <w:pPr>
        <w:spacing w:before="120" w:after="120"/>
        <w:jc w:val="both"/>
      </w:pPr>
      <w:r w:rsidRPr="004B2498">
        <w:rPr>
          <w:lang w:eastAsia="fr-FR" w:bidi="fr-FR"/>
        </w:rPr>
        <w:t>Huilin enseigne depuis 2007 dans le même département que Y</w:t>
      </w:r>
      <w:r w:rsidRPr="004B2498">
        <w:rPr>
          <w:lang w:eastAsia="fr-FR" w:bidi="fr-FR"/>
        </w:rPr>
        <w:t>u</w:t>
      </w:r>
      <w:r w:rsidRPr="004B2498">
        <w:rPr>
          <w:lang w:eastAsia="fr-FR" w:bidi="fr-FR"/>
        </w:rPr>
        <w:t xml:space="preserve">ting dont elle a été l’étudiante après le séjour de cette dernière aux USA. Son mémoire de master a été dédié à l’écriture féminine. Cette jeune femme calme et sérieuse, grave et appliquée se situe aussi dans une transmission directe des </w:t>
      </w:r>
      <w:r w:rsidRPr="009E3DEA">
        <w:rPr>
          <w:i/>
        </w:rPr>
        <w:t>gender studies</w:t>
      </w:r>
      <w:r w:rsidRPr="004B2498">
        <w:rPr>
          <w:lang w:eastAsia="fr-FR" w:bidi="fr-FR"/>
        </w:rPr>
        <w:t xml:space="preserve"> qu’elle a reçue de Yuting dont elle est très proche à la fois</w:t>
      </w:r>
      <w:r>
        <w:t xml:space="preserve"> </w:t>
      </w:r>
      <w:r w:rsidRPr="004B2498">
        <w:t>[228]</w:t>
      </w:r>
      <w:r>
        <w:t xml:space="preserve"> </w:t>
      </w:r>
      <w:r w:rsidRPr="004B2498">
        <w:rPr>
          <w:lang w:eastAsia="fr-FR" w:bidi="fr-FR"/>
        </w:rPr>
        <w:t>professionnellement et affect</w:t>
      </w:r>
      <w:r w:rsidRPr="004B2498">
        <w:rPr>
          <w:lang w:eastAsia="fr-FR" w:bidi="fr-FR"/>
        </w:rPr>
        <w:t>i</w:t>
      </w:r>
      <w:r w:rsidRPr="004B2498">
        <w:rPr>
          <w:lang w:eastAsia="fr-FR" w:bidi="fr-FR"/>
        </w:rPr>
        <w:t>vement. De surcroît elle la seconde dans beaucoup de ses activités extra-professorales, qui prennent fac</w:t>
      </w:r>
      <w:r w:rsidRPr="004B2498">
        <w:rPr>
          <w:lang w:eastAsia="fr-FR" w:bidi="fr-FR"/>
        </w:rPr>
        <w:t>i</w:t>
      </w:r>
      <w:r w:rsidRPr="004B2498">
        <w:rPr>
          <w:lang w:eastAsia="fr-FR" w:bidi="fr-FR"/>
        </w:rPr>
        <w:t>lement une teneur politique. Elle est partie six mois en Grande-Bretagne pour sa formation scientifique et tente aujourd’hui, avec le soutien d’un financement anglais, de me</w:t>
      </w:r>
      <w:r w:rsidRPr="004B2498">
        <w:rPr>
          <w:lang w:eastAsia="fr-FR" w:bidi="fr-FR"/>
        </w:rPr>
        <w:t>t</w:t>
      </w:r>
      <w:r w:rsidRPr="004B2498">
        <w:rPr>
          <w:lang w:eastAsia="fr-FR" w:bidi="fr-FR"/>
        </w:rPr>
        <w:t>tre en œuvre une recherche sur les femmes. Ne réussissant pas à con</w:t>
      </w:r>
      <w:r w:rsidRPr="004B2498">
        <w:rPr>
          <w:lang w:eastAsia="fr-FR" w:bidi="fr-FR"/>
        </w:rPr>
        <w:t>s</w:t>
      </w:r>
      <w:r w:rsidRPr="004B2498">
        <w:rPr>
          <w:lang w:eastAsia="fr-FR" w:bidi="fr-FR"/>
        </w:rPr>
        <w:t>truire une distance avec ses sujets d’enquête, et par là même à bien circonscrire son objet, Huilin est en forte demande de conseils méth</w:t>
      </w:r>
      <w:r w:rsidRPr="004B2498">
        <w:rPr>
          <w:lang w:eastAsia="fr-FR" w:bidi="fr-FR"/>
        </w:rPr>
        <w:t>o</w:t>
      </w:r>
      <w:r w:rsidRPr="004B2498">
        <w:rPr>
          <w:lang w:eastAsia="fr-FR" w:bidi="fr-FR"/>
        </w:rPr>
        <w:t>dologiques et épistémolog</w:t>
      </w:r>
      <w:r w:rsidRPr="004B2498">
        <w:rPr>
          <w:lang w:eastAsia="fr-FR" w:bidi="fr-FR"/>
        </w:rPr>
        <w:t>i</w:t>
      </w:r>
      <w:r w:rsidRPr="004B2498">
        <w:rPr>
          <w:lang w:eastAsia="fr-FR" w:bidi="fr-FR"/>
        </w:rPr>
        <w:t>ques et je consacrerai plusieurs rencontres à m’efforcer d’éclaircir les soubassements des positions qu’elle so</w:t>
      </w:r>
      <w:r w:rsidRPr="004B2498">
        <w:rPr>
          <w:lang w:eastAsia="fr-FR" w:bidi="fr-FR"/>
        </w:rPr>
        <w:t>u</w:t>
      </w:r>
      <w:r w:rsidRPr="004B2498">
        <w:rPr>
          <w:lang w:eastAsia="fr-FR" w:bidi="fr-FR"/>
        </w:rPr>
        <w:t>haite adopter. Sans entrer dans les détails de la recherche qu’elle m</w:t>
      </w:r>
      <w:r w:rsidRPr="004B2498">
        <w:rPr>
          <w:lang w:eastAsia="fr-FR" w:bidi="fr-FR"/>
        </w:rPr>
        <w:t>è</w:t>
      </w:r>
      <w:r w:rsidRPr="004B2498">
        <w:rPr>
          <w:lang w:eastAsia="fr-FR" w:bidi="fr-FR"/>
        </w:rPr>
        <w:t>ne, soulignons qu’un des enjeux en est de penser les femmes en que</w:t>
      </w:r>
      <w:r w:rsidRPr="004B2498">
        <w:rPr>
          <w:lang w:eastAsia="fr-FR" w:bidi="fr-FR"/>
        </w:rPr>
        <w:t>s</w:t>
      </w:r>
      <w:r w:rsidRPr="004B2498">
        <w:rPr>
          <w:lang w:eastAsia="fr-FR" w:bidi="fr-FR"/>
        </w:rPr>
        <w:t>tion comme victimes ou actrices et de sortir de l’ambiguïté de rel</w:t>
      </w:r>
      <w:r w:rsidRPr="004B2498">
        <w:rPr>
          <w:lang w:eastAsia="fr-FR" w:bidi="fr-FR"/>
        </w:rPr>
        <w:t>a</w:t>
      </w:r>
      <w:r w:rsidRPr="004B2498">
        <w:rPr>
          <w:lang w:eastAsia="fr-FR" w:bidi="fr-FR"/>
        </w:rPr>
        <w:t>tions apparemment « amicales » entre le chercheur et les sujets. De ce point de vue, Huilin reflète exemplairement les difficultés des che</w:t>
      </w:r>
      <w:r w:rsidRPr="004B2498">
        <w:rPr>
          <w:lang w:eastAsia="fr-FR" w:bidi="fr-FR"/>
        </w:rPr>
        <w:t>r</w:t>
      </w:r>
      <w:r w:rsidRPr="004B2498">
        <w:rPr>
          <w:lang w:eastAsia="fr-FR" w:bidi="fr-FR"/>
        </w:rPr>
        <w:t>cheurs chinois à s’attaquer aux conséquences cognitives des cadres des investigations, de leurs rapports internes et du type de commun</w:t>
      </w:r>
      <w:r w:rsidRPr="004B2498">
        <w:rPr>
          <w:lang w:eastAsia="fr-FR" w:bidi="fr-FR"/>
        </w:rPr>
        <w:t>i</w:t>
      </w:r>
      <w:r w:rsidRPr="004B2498">
        <w:rPr>
          <w:lang w:eastAsia="fr-FR" w:bidi="fr-FR"/>
        </w:rPr>
        <w:t>cation qui s’y inscrit. La structure sociale, hiérarchique et politique les pousse à s’identifier à une posture d’« intellectuel » peu remise en cause - que celle-ci soit en accord ou en dissidence avec l’ordre polit</w:t>
      </w:r>
      <w:r w:rsidRPr="004B2498">
        <w:rPr>
          <w:lang w:eastAsia="fr-FR" w:bidi="fr-FR"/>
        </w:rPr>
        <w:t>i</w:t>
      </w:r>
      <w:r w:rsidRPr="004B2498">
        <w:rPr>
          <w:lang w:eastAsia="fr-FR" w:bidi="fr-FR"/>
        </w:rPr>
        <w:t>que régnant - et dans les deux cas un regard simplificateur est posé sur les situations. Mais Hu</w:t>
      </w:r>
      <w:r w:rsidRPr="004B2498">
        <w:rPr>
          <w:lang w:eastAsia="fr-FR" w:bidi="fr-FR"/>
        </w:rPr>
        <w:t>i</w:t>
      </w:r>
      <w:r w:rsidRPr="004B2498">
        <w:rPr>
          <w:lang w:eastAsia="fr-FR" w:bidi="fr-FR"/>
        </w:rPr>
        <w:t>lin illustre surtout cette sorte « d’illumination » que provoque la d</w:t>
      </w:r>
      <w:r w:rsidRPr="004B2498">
        <w:rPr>
          <w:lang w:eastAsia="fr-FR" w:bidi="fr-FR"/>
        </w:rPr>
        <w:t>é</w:t>
      </w:r>
      <w:r w:rsidRPr="004B2498">
        <w:rPr>
          <w:lang w:eastAsia="fr-FR" w:bidi="fr-FR"/>
        </w:rPr>
        <w:t xml:space="preserve">couverte des </w:t>
      </w:r>
      <w:r w:rsidRPr="004B2498">
        <w:t>gender studies</w:t>
      </w:r>
      <w:r w:rsidRPr="004B2498">
        <w:rPr>
          <w:lang w:eastAsia="fr-FR" w:bidi="fr-FR"/>
        </w:rPr>
        <w:t xml:space="preserve"> à travers le cours de Yuting. Cette jeune femme qui dit « qu’avant » elle ne souhaitait qu’être « une bonne m</w:t>
      </w:r>
      <w:r w:rsidRPr="004B2498">
        <w:rPr>
          <w:lang w:eastAsia="fr-FR" w:bidi="fr-FR"/>
        </w:rPr>
        <w:t>è</w:t>
      </w:r>
      <w:r w:rsidRPr="004B2498">
        <w:rPr>
          <w:lang w:eastAsia="fr-FR" w:bidi="fr-FR"/>
        </w:rPr>
        <w:t>re et une bonne épouse », parle d’un « après » où elle appréhende la négativité intrinsèque d’avoir été une fille, et cela tout d’abord pour sa mère : avec froideur, elle pose la « haine » de sa mère à son égard comme la cause d’une « blessure » profonde que Yuting, par ses leçons sur les femmes, l’amène à rega</w:t>
      </w:r>
      <w:r w:rsidRPr="004B2498">
        <w:rPr>
          <w:lang w:eastAsia="fr-FR" w:bidi="fr-FR"/>
        </w:rPr>
        <w:t>r</w:t>
      </w:r>
      <w:r w:rsidRPr="004B2498">
        <w:rPr>
          <w:lang w:eastAsia="fr-FR" w:bidi="fr-FR"/>
        </w:rPr>
        <w:t>der en face et à penser dans toute sa cruauté. Pourtant l’enfance de Huilin a des aspects assez banals lorsqu’elle est replacée dans son contexte social, politique et histor</w:t>
      </w:r>
      <w:r w:rsidRPr="004B2498">
        <w:rPr>
          <w:lang w:eastAsia="fr-FR" w:bidi="fr-FR"/>
        </w:rPr>
        <w:t>i</w:t>
      </w:r>
      <w:r w:rsidRPr="004B2498">
        <w:rPr>
          <w:lang w:eastAsia="fr-FR" w:bidi="fr-FR"/>
        </w:rPr>
        <w:t>que. Comme des millions de petites filles chinoises elle subit les reproches âpres de sa mère pour son a</w:t>
      </w:r>
      <w:r w:rsidRPr="004B2498">
        <w:rPr>
          <w:lang w:eastAsia="fr-FR" w:bidi="fr-FR"/>
        </w:rPr>
        <w:t>p</w:t>
      </w:r>
      <w:r w:rsidRPr="004B2498">
        <w:rPr>
          <w:lang w:eastAsia="fr-FR" w:bidi="fr-FR"/>
        </w:rPr>
        <w:t>partenance sexuée : cette derni</w:t>
      </w:r>
      <w:r w:rsidRPr="004B2498">
        <w:rPr>
          <w:lang w:eastAsia="fr-FR" w:bidi="fr-FR"/>
        </w:rPr>
        <w:t>è</w:t>
      </w:r>
      <w:r w:rsidRPr="004B2498">
        <w:rPr>
          <w:lang w:eastAsia="fr-FR" w:bidi="fr-FR"/>
        </w:rPr>
        <w:t>re - fille de commerçants classés « paysans moyens » - à l’instar de l’immense majorité des mères ch</w:t>
      </w:r>
      <w:r w:rsidRPr="004B2498">
        <w:rPr>
          <w:lang w:eastAsia="fr-FR" w:bidi="fr-FR"/>
        </w:rPr>
        <w:t>i</w:t>
      </w:r>
      <w:r w:rsidRPr="004B2498">
        <w:rPr>
          <w:lang w:eastAsia="fr-FR" w:bidi="fr-FR"/>
        </w:rPr>
        <w:t>noises l’accuse, d’être « une charge, un fardeau » car on ne peut « compter sur une fille qui se marie et ne revient pas ». Le père issu d’une famille de lettrés, fils d’un précepteur possédant des terres, cla</w:t>
      </w:r>
      <w:r w:rsidRPr="004B2498">
        <w:rPr>
          <w:lang w:eastAsia="fr-FR" w:bidi="fr-FR"/>
        </w:rPr>
        <w:t>s</w:t>
      </w:r>
      <w:r w:rsidRPr="004B2498">
        <w:rPr>
          <w:lang w:eastAsia="fr-FR" w:bidi="fr-FR"/>
        </w:rPr>
        <w:t>sé comme « paysan moyen », éprouve comme tant d’autres les cons</w:t>
      </w:r>
      <w:r w:rsidRPr="004B2498">
        <w:rPr>
          <w:lang w:eastAsia="fr-FR" w:bidi="fr-FR"/>
        </w:rPr>
        <w:t>é</w:t>
      </w:r>
      <w:r w:rsidRPr="004B2498">
        <w:rPr>
          <w:lang w:eastAsia="fr-FR" w:bidi="fr-FR"/>
        </w:rPr>
        <w:t>quences de cette « mauvaise origine ». La condition familiale de Hu</w:t>
      </w:r>
      <w:r w:rsidRPr="004B2498">
        <w:rPr>
          <w:lang w:eastAsia="fr-FR" w:bidi="fr-FR"/>
        </w:rPr>
        <w:t>i</w:t>
      </w:r>
      <w:r w:rsidRPr="004B2498">
        <w:rPr>
          <w:lang w:eastAsia="fr-FR" w:bidi="fr-FR"/>
        </w:rPr>
        <w:t>lin a néanmoins la caractéristique d’avoir été fondée sur un mariage tardif du père à 40 ans avec une jeune fe</w:t>
      </w:r>
      <w:r w:rsidRPr="004B2498">
        <w:rPr>
          <w:lang w:eastAsia="fr-FR" w:bidi="fr-FR"/>
        </w:rPr>
        <w:t>m</w:t>
      </w:r>
      <w:r w:rsidRPr="004B2498">
        <w:rPr>
          <w:lang w:eastAsia="fr-FR" w:bidi="fr-FR"/>
        </w:rPr>
        <w:t>me atteinte d’infirmité aux jambes, mariage arrangé et négocié à la suite de celui de la sœur c</w:t>
      </w:r>
      <w:r w:rsidRPr="004B2498">
        <w:rPr>
          <w:lang w:eastAsia="fr-FR" w:bidi="fr-FR"/>
        </w:rPr>
        <w:t>a</w:t>
      </w:r>
      <w:r w:rsidRPr="004B2498">
        <w:rPr>
          <w:lang w:eastAsia="fr-FR" w:bidi="fr-FR"/>
        </w:rPr>
        <w:t>dette du père avec le frère de la mère, pa</w:t>
      </w:r>
      <w:r w:rsidRPr="004B2498">
        <w:rPr>
          <w:lang w:eastAsia="fr-FR" w:bidi="fr-FR"/>
        </w:rPr>
        <w:t>r</w:t>
      </w:r>
      <w:r w:rsidRPr="004B2498">
        <w:rPr>
          <w:lang w:eastAsia="fr-FR" w:bidi="fr-FR"/>
        </w:rPr>
        <w:t>tageant la même infirmité que cette dernière, dans les deux cas résultant d’une injection méd</w:t>
      </w:r>
      <w:r w:rsidRPr="004B2498">
        <w:rPr>
          <w:lang w:eastAsia="fr-FR" w:bidi="fr-FR"/>
        </w:rPr>
        <w:t>i</w:t>
      </w:r>
      <w:r w:rsidRPr="004B2498">
        <w:rPr>
          <w:lang w:eastAsia="fr-FR" w:bidi="fr-FR"/>
        </w:rPr>
        <w:t>camenteuse désastreuse. Du mariage des parents de</w:t>
      </w:r>
      <w:r>
        <w:rPr>
          <w:lang w:eastAsia="fr-FR" w:bidi="fr-FR"/>
        </w:rPr>
        <w:t xml:space="preserve"> </w:t>
      </w:r>
      <w:r w:rsidRPr="004B2498">
        <w:t>[229]</w:t>
      </w:r>
      <w:r>
        <w:t xml:space="preserve"> </w:t>
      </w:r>
      <w:r w:rsidRPr="004B2498">
        <w:rPr>
          <w:lang w:eastAsia="fr-FR" w:bidi="fr-FR"/>
        </w:rPr>
        <w:t>Huilin nai</w:t>
      </w:r>
      <w:r w:rsidRPr="004B2498">
        <w:rPr>
          <w:lang w:eastAsia="fr-FR" w:bidi="fr-FR"/>
        </w:rPr>
        <w:t>s</w:t>
      </w:r>
      <w:r w:rsidRPr="004B2498">
        <w:rPr>
          <w:lang w:eastAsia="fr-FR" w:bidi="fr-FR"/>
        </w:rPr>
        <w:t>sent deux fils et trois filles, maudites par la mère qui fait des tentatives de suicide régulières en refusant de s’alimenter ou en se jetant dans la rivière voisine. Le couple se dispute souvent et la mère accuse le père de « l’échec » de la famille. Huilin fuit donc à 24 ans cette atmosphère délétère en se mariant et croit échapper à son histoire en épousant tous les idéaux régnant de conformité maternelle et conjugale. Le cours que dispense Yuting, les lectures qu’elle reco</w:t>
      </w:r>
      <w:r w:rsidRPr="004B2498">
        <w:rPr>
          <w:lang w:eastAsia="fr-FR" w:bidi="fr-FR"/>
        </w:rPr>
        <w:t>m</w:t>
      </w:r>
      <w:r w:rsidRPr="004B2498">
        <w:rPr>
          <w:lang w:eastAsia="fr-FR" w:bidi="fr-FR"/>
        </w:rPr>
        <w:t>mande sur les femmes, viennent rouvrir la plaie et Huilin réalise qu’elle partage avec la maj</w:t>
      </w:r>
      <w:r w:rsidRPr="004B2498">
        <w:rPr>
          <w:lang w:eastAsia="fr-FR" w:bidi="fr-FR"/>
        </w:rPr>
        <w:t>o</w:t>
      </w:r>
      <w:r w:rsidRPr="004B2498">
        <w:rPr>
          <w:lang w:eastAsia="fr-FR" w:bidi="fr-FR"/>
        </w:rPr>
        <w:t>rité des femmes une dévalorisation pr</w:t>
      </w:r>
      <w:r w:rsidRPr="004B2498">
        <w:rPr>
          <w:lang w:eastAsia="fr-FR" w:bidi="fr-FR"/>
        </w:rPr>
        <w:t>o</w:t>
      </w:r>
      <w:r w:rsidRPr="004B2498">
        <w:rPr>
          <w:lang w:eastAsia="fr-FR" w:bidi="fr-FR"/>
        </w:rPr>
        <w:t>fonde et originelle. Elle prend alors une décision qui semble mue par un objectif prioritaire de rép</w:t>
      </w:r>
      <w:r w:rsidRPr="004B2498">
        <w:rPr>
          <w:lang w:eastAsia="fr-FR" w:bidi="fr-FR"/>
        </w:rPr>
        <w:t>a</w:t>
      </w:r>
      <w:r w:rsidRPr="004B2498">
        <w:rPr>
          <w:lang w:eastAsia="fr-FR" w:bidi="fr-FR"/>
        </w:rPr>
        <w:t>ration : alors que son fils a cinq ans, et compte tenu qu’elle ne peut avoir un second enfant, sauf à perdre son emploi d’enseignante en ra</w:t>
      </w:r>
      <w:r w:rsidRPr="004B2498">
        <w:rPr>
          <w:lang w:eastAsia="fr-FR" w:bidi="fr-FR"/>
        </w:rPr>
        <w:t>i</w:t>
      </w:r>
      <w:r w:rsidRPr="004B2498">
        <w:rPr>
          <w:lang w:eastAsia="fr-FR" w:bidi="fr-FR"/>
        </w:rPr>
        <w:t>son de la politique de l’enfant unique, elle décide d’« adopter » une petite fille de 5 mois qu’elle inscrit sur le livret de famille d’un cousin de son père puisque la démarche adm</w:t>
      </w:r>
      <w:r w:rsidRPr="004B2498">
        <w:rPr>
          <w:lang w:eastAsia="fr-FR" w:bidi="fr-FR"/>
        </w:rPr>
        <w:t>i</w:t>
      </w:r>
      <w:r w:rsidRPr="004B2498">
        <w:rPr>
          <w:lang w:eastAsia="fr-FR" w:bidi="fr-FR"/>
        </w:rPr>
        <w:t>nistrative lui est autant interdite que l’engendrement auquel elle équ</w:t>
      </w:r>
      <w:r w:rsidRPr="004B2498">
        <w:rPr>
          <w:lang w:eastAsia="fr-FR" w:bidi="fr-FR"/>
        </w:rPr>
        <w:t>i</w:t>
      </w:r>
      <w:r w:rsidRPr="004B2498">
        <w:rPr>
          <w:lang w:eastAsia="fr-FR" w:bidi="fr-FR"/>
        </w:rPr>
        <w:t>vaut. Elle se rappelle - alors qu’elle évoque cette décision - qu’une des sœurs de son père, mère de 5 filles, en avait noyé à la naissance une sixième, ce qui l’avait pr</w:t>
      </w:r>
      <w:r w:rsidRPr="004B2498">
        <w:rPr>
          <w:lang w:eastAsia="fr-FR" w:bidi="fr-FR"/>
        </w:rPr>
        <w:t>o</w:t>
      </w:r>
      <w:r w:rsidRPr="004B2498">
        <w:rPr>
          <w:lang w:eastAsia="fr-FR" w:bidi="fr-FR"/>
        </w:rPr>
        <w:t>fondément choquée. La petite fille qu’elle a recueillie et élève comme la sienne à Canton vient d’un village proche du sien dans le Guan</w:t>
      </w:r>
      <w:r w:rsidRPr="004B2498">
        <w:rPr>
          <w:lang w:eastAsia="fr-FR" w:bidi="fr-FR"/>
        </w:rPr>
        <w:t>g</w:t>
      </w:r>
      <w:r w:rsidRPr="004B2498">
        <w:rPr>
          <w:lang w:eastAsia="fr-FR" w:bidi="fr-FR"/>
        </w:rPr>
        <w:t>dong, où une femme âgée récupère toutes les petites filles abando</w:t>
      </w:r>
      <w:r w:rsidRPr="004B2498">
        <w:rPr>
          <w:lang w:eastAsia="fr-FR" w:bidi="fr-FR"/>
        </w:rPr>
        <w:t>n</w:t>
      </w:r>
      <w:r w:rsidRPr="004B2498">
        <w:rPr>
          <w:lang w:eastAsia="fr-FR" w:bidi="fr-FR"/>
        </w:rPr>
        <w:t>nées de la région et les « revend » contre une « enveloppe rouge ». Son mari - fils d’un instituteur et d’une médecin - s’est déclaré sol</w:t>
      </w:r>
      <w:r w:rsidRPr="004B2498">
        <w:rPr>
          <w:lang w:eastAsia="fr-FR" w:bidi="fr-FR"/>
        </w:rPr>
        <w:t>i</w:t>
      </w:r>
      <w:r w:rsidRPr="004B2498">
        <w:rPr>
          <w:lang w:eastAsia="fr-FR" w:bidi="fr-FR"/>
        </w:rPr>
        <w:t>daire du choix de Huilin qui engage leur vie co</w:t>
      </w:r>
      <w:r w:rsidRPr="004B2498">
        <w:rPr>
          <w:lang w:eastAsia="fr-FR" w:bidi="fr-FR"/>
        </w:rPr>
        <w:t>m</w:t>
      </w:r>
      <w:r w:rsidRPr="004B2498">
        <w:rPr>
          <w:lang w:eastAsia="fr-FR" w:bidi="fr-FR"/>
        </w:rPr>
        <w:t>mune.</w:t>
      </w:r>
    </w:p>
    <w:p w14:paraId="3A55D580" w14:textId="77777777" w:rsidR="002F4063" w:rsidRPr="004B2498" w:rsidRDefault="002F4063" w:rsidP="002F4063">
      <w:pPr>
        <w:spacing w:before="120" w:after="120"/>
        <w:jc w:val="both"/>
      </w:pPr>
      <w:r w:rsidRPr="004B2498">
        <w:rPr>
          <w:lang w:eastAsia="fr-FR" w:bidi="fr-FR"/>
        </w:rPr>
        <w:t>L’intérêt du cas de Huilin réside dans les articulations qu’il dévoile entre un cheminement intellectuel et un itinéraire qui, à un moment de prise de conscience intense, bifurque par un acte chargé du sens d’aller à contre-courant des normes qui ont entaillé sa vie dès sa conception. En faisant sienne une petite fille rejetée par ses géniteurs, Huilin dénie toute efficience présente à son propre rejet enfant. Que cette rupture symbolique trouve son creuset dans un enseignement sur le genre se déchiffre dans le cadre de la configuration chinoise actue</w:t>
      </w:r>
      <w:r w:rsidRPr="004B2498">
        <w:rPr>
          <w:lang w:eastAsia="fr-FR" w:bidi="fr-FR"/>
        </w:rPr>
        <w:t>l</w:t>
      </w:r>
      <w:r w:rsidRPr="004B2498">
        <w:rPr>
          <w:lang w:eastAsia="fr-FR" w:bidi="fr-FR"/>
        </w:rPr>
        <w:t>le où les rapports sociaux de sexe ont conservé une grande rigidité tant au plan imaginaire que réel, et cela bien au-delà de l’apparente « liberté » des femmes de se mouvoir dans les différents champs s</w:t>
      </w:r>
      <w:r w:rsidRPr="004B2498">
        <w:rPr>
          <w:lang w:eastAsia="fr-FR" w:bidi="fr-FR"/>
        </w:rPr>
        <w:t>o</w:t>
      </w:r>
      <w:r w:rsidRPr="004B2498">
        <w:rPr>
          <w:lang w:eastAsia="fr-FR" w:bidi="fr-FR"/>
        </w:rPr>
        <w:t>ciaux. Les barrières entre les sexes restent solides et il reste aux fe</w:t>
      </w:r>
      <w:r w:rsidRPr="004B2498">
        <w:rPr>
          <w:lang w:eastAsia="fr-FR" w:bidi="fr-FR"/>
        </w:rPr>
        <w:t>m</w:t>
      </w:r>
      <w:r w:rsidRPr="004B2498">
        <w:rPr>
          <w:lang w:eastAsia="fr-FR" w:bidi="fr-FR"/>
        </w:rPr>
        <w:t>mes à assumer la valeur sociale et affective moindre qui entache leur condition. Réparation, compensation, rébellion, révolte, dissidence affichent leurs liens dans les comportements des femmes et dressent un fil entre subjectivité et politique. Si dans ces agencements toujours possibles, le rôle de Yuting qui est rentrée en dissidence désormais délibérée est ici important et peut faire mouche, de façon plus décis</w:t>
      </w:r>
      <w:r w:rsidRPr="004B2498">
        <w:rPr>
          <w:lang w:eastAsia="fr-FR" w:bidi="fr-FR"/>
        </w:rPr>
        <w:t>i</w:t>
      </w:r>
      <w:r w:rsidRPr="004B2498">
        <w:rPr>
          <w:lang w:eastAsia="fr-FR" w:bidi="fr-FR"/>
        </w:rPr>
        <w:t>ve, il est nécessaire d’insister sur la permanence de la domination p</w:t>
      </w:r>
      <w:r w:rsidRPr="004B2498">
        <w:rPr>
          <w:lang w:eastAsia="fr-FR" w:bidi="fr-FR"/>
        </w:rPr>
        <w:t>o</w:t>
      </w:r>
      <w:r w:rsidRPr="004B2498">
        <w:rPr>
          <w:lang w:eastAsia="fr-FR" w:bidi="fr-FR"/>
        </w:rPr>
        <w:t>litique dans la vie quotidienne des acteurs pour prendre la mesure des lignes de politisation immédiate qui sont susceptibles d’être</w:t>
      </w:r>
      <w:r>
        <w:rPr>
          <w:lang w:eastAsia="fr-FR" w:bidi="fr-FR"/>
        </w:rPr>
        <w:t xml:space="preserve"> </w:t>
      </w:r>
      <w:r w:rsidRPr="004B2498">
        <w:t>[230]</w:t>
      </w:r>
      <w:r>
        <w:t xml:space="preserve"> </w:t>
      </w:r>
      <w:r w:rsidRPr="004B2498">
        <w:rPr>
          <w:lang w:eastAsia="fr-FR" w:bidi="fr-FR"/>
        </w:rPr>
        <w:t>d</w:t>
      </w:r>
      <w:r w:rsidRPr="004B2498">
        <w:rPr>
          <w:lang w:eastAsia="fr-FR" w:bidi="fr-FR"/>
        </w:rPr>
        <w:t>é</w:t>
      </w:r>
      <w:r w:rsidRPr="004B2498">
        <w:rPr>
          <w:lang w:eastAsia="fr-FR" w:bidi="fr-FR"/>
        </w:rPr>
        <w:t>clenchées chez ces femmes rencontrées par des incises de con</w:t>
      </w:r>
      <w:r w:rsidRPr="004B2498">
        <w:rPr>
          <w:lang w:eastAsia="fr-FR" w:bidi="fr-FR"/>
        </w:rPr>
        <w:t>s</w:t>
      </w:r>
      <w:r w:rsidRPr="004B2498">
        <w:rPr>
          <w:lang w:eastAsia="fr-FR" w:bidi="fr-FR"/>
        </w:rPr>
        <w:t>cience totale. Domination politique et domination masculine se reco</w:t>
      </w:r>
      <w:r w:rsidRPr="004B2498">
        <w:rPr>
          <w:lang w:eastAsia="fr-FR" w:bidi="fr-FR"/>
        </w:rPr>
        <w:t>u</w:t>
      </w:r>
      <w:r w:rsidRPr="004B2498">
        <w:rPr>
          <w:lang w:eastAsia="fr-FR" w:bidi="fr-FR"/>
        </w:rPr>
        <w:t>vrent en effet : les dirigeants du Parti sont généralement des hommes qui se conduisent selon les codes en vigueur de domination masculine. En s’élevant brutalement contre la domination masculine à partir d’évènements qui prennent une portée immense, les femmes se heu</w:t>
      </w:r>
      <w:r w:rsidRPr="004B2498">
        <w:rPr>
          <w:lang w:eastAsia="fr-FR" w:bidi="fr-FR"/>
        </w:rPr>
        <w:t>r</w:t>
      </w:r>
      <w:r w:rsidRPr="004B2498">
        <w:rPr>
          <w:lang w:eastAsia="fr-FR" w:bidi="fr-FR"/>
        </w:rPr>
        <w:t>tent sans médiation au pouvoir politique qu’éventuellement elles vont affronter sans même avoir perçu l’ampleur des conséquences polit</w:t>
      </w:r>
      <w:r w:rsidRPr="004B2498">
        <w:rPr>
          <w:lang w:eastAsia="fr-FR" w:bidi="fr-FR"/>
        </w:rPr>
        <w:t>i</w:t>
      </w:r>
      <w:r w:rsidRPr="004B2498">
        <w:rPr>
          <w:lang w:eastAsia="fr-FR" w:bidi="fr-FR"/>
        </w:rPr>
        <w:t>ques de leur conduite. Huilin aux côtés de Yuting soutient ainsi une association universitaire homosexuelle que l’organisation des jeunes sous tutelle du Parti refuse actuellement d’homologuer, considérant qu’elle a terni la réputation de l’université. Par cet acte, Huilin s’est déjà mise en « bordure » des droits admis. Dans le petit cercle, Huilin côtoie aussi Fang qui joue un rôle très actif mais reste prudente. Or</w:t>
      </w:r>
      <w:r w:rsidRPr="004B2498">
        <w:rPr>
          <w:lang w:eastAsia="fr-FR" w:bidi="fr-FR"/>
        </w:rPr>
        <w:t>i</w:t>
      </w:r>
      <w:r w:rsidRPr="004B2498">
        <w:rPr>
          <w:lang w:eastAsia="fr-FR" w:bidi="fr-FR"/>
        </w:rPr>
        <w:t>ginaire de Taïwan, depuis sept ans à Canton, très élégante, cette jeune femme, petite-fille d’un propriétaire terrien dont le fils a fui seul en 49 la Chine communiste, a fait son PHD à l’université de Berkeley sur la « théorie féministe » qu’elle enseigne dans le même département que Yuting et Huilin.</w:t>
      </w:r>
    </w:p>
    <w:p w14:paraId="09EC50B1" w14:textId="77777777" w:rsidR="002F4063" w:rsidRPr="004B2498" w:rsidRDefault="002F4063" w:rsidP="002F4063">
      <w:pPr>
        <w:spacing w:before="120" w:after="120"/>
        <w:jc w:val="both"/>
      </w:pPr>
      <w:r w:rsidRPr="004B2498">
        <w:rPr>
          <w:lang w:eastAsia="fr-FR" w:bidi="fr-FR"/>
        </w:rPr>
        <w:t>Le petit cercle d’universitaires dans lequel nous guidons le lecteur incite à explorer plus avant dans l’intimité des femmes les ponts et les nœuds entre recherche, affect et politique.</w:t>
      </w:r>
    </w:p>
    <w:p w14:paraId="49E04AD3" w14:textId="77777777" w:rsidR="002F4063" w:rsidRPr="004B2498" w:rsidRDefault="002F4063" w:rsidP="002F4063">
      <w:pPr>
        <w:spacing w:before="120" w:after="120"/>
        <w:jc w:val="both"/>
      </w:pPr>
      <w:r w:rsidRPr="004B2498">
        <w:rPr>
          <w:lang w:eastAsia="fr-FR" w:bidi="fr-FR"/>
        </w:rPr>
        <w:t>Dans ce but, passons dans un autre département de la même un</w:t>
      </w:r>
      <w:r w:rsidRPr="004B2498">
        <w:rPr>
          <w:lang w:eastAsia="fr-FR" w:bidi="fr-FR"/>
        </w:rPr>
        <w:t>i</w:t>
      </w:r>
      <w:r w:rsidRPr="004B2498">
        <w:rPr>
          <w:lang w:eastAsia="fr-FR" w:bidi="fr-FR"/>
        </w:rPr>
        <w:t xml:space="preserve">versité où deux jeunes femmes ayant fait leurs études à Hong Kong dans le cadre des </w:t>
      </w:r>
      <w:r w:rsidRPr="00767F5A">
        <w:rPr>
          <w:i/>
        </w:rPr>
        <w:t>gender studies</w:t>
      </w:r>
      <w:r w:rsidRPr="004B2498">
        <w:rPr>
          <w:lang w:eastAsia="fr-FR" w:bidi="fr-FR"/>
        </w:rPr>
        <w:t xml:space="preserve"> viennent d’être recrutées, non pour un enseignement spécifique correspondant à leur formation mais pl</w:t>
      </w:r>
      <w:r w:rsidRPr="004B2498">
        <w:rPr>
          <w:lang w:eastAsia="fr-FR" w:bidi="fr-FR"/>
        </w:rPr>
        <w:t>u</w:t>
      </w:r>
      <w:r w:rsidRPr="004B2498">
        <w:rPr>
          <w:lang w:eastAsia="fr-FR" w:bidi="fr-FR"/>
        </w:rPr>
        <w:t>tôt pour un saupoudrage femme, famille, travail social. Toutes deux ont en commun d’avoir focalisé leur recherche doctorale sur des o</w:t>
      </w:r>
      <w:r w:rsidRPr="004B2498">
        <w:rPr>
          <w:lang w:eastAsia="fr-FR" w:bidi="fr-FR"/>
        </w:rPr>
        <w:t>b</w:t>
      </w:r>
      <w:r w:rsidRPr="004B2498">
        <w:rPr>
          <w:lang w:eastAsia="fr-FR" w:bidi="fr-FR"/>
        </w:rPr>
        <w:t>jets touchant la sexualité : l’une sur les prostituées à Canton et Shen</w:t>
      </w:r>
      <w:r w:rsidRPr="004B2498">
        <w:rPr>
          <w:lang w:eastAsia="fr-FR" w:bidi="fr-FR"/>
        </w:rPr>
        <w:t>z</w:t>
      </w:r>
      <w:r w:rsidRPr="004B2498">
        <w:rPr>
          <w:lang w:eastAsia="fr-FR" w:bidi="fr-FR"/>
        </w:rPr>
        <w:t>hen avec lesquelles elle a vécu selon une méthodologie d’immersion et de relations interpersonnelles développées avec les sujets ; l’autre sur la « nouvelle sexualité des femmes à Shanghai » s’exprimant sur la To</w:t>
      </w:r>
      <w:r w:rsidRPr="004B2498">
        <w:rPr>
          <w:lang w:eastAsia="fr-FR" w:bidi="fr-FR"/>
        </w:rPr>
        <w:t>i</w:t>
      </w:r>
      <w:r w:rsidRPr="004B2498">
        <w:rPr>
          <w:lang w:eastAsia="fr-FR" w:bidi="fr-FR"/>
        </w:rPr>
        <w:t>le. Leur embauche est d’autant plus significative que c’est au nom de la « pornographie » que beaucoup de sites numériques et de produ</w:t>
      </w:r>
      <w:r w:rsidRPr="004B2498">
        <w:rPr>
          <w:lang w:eastAsia="fr-FR" w:bidi="fr-FR"/>
        </w:rPr>
        <w:t>c</w:t>
      </w:r>
      <w:r w:rsidRPr="004B2498">
        <w:rPr>
          <w:lang w:eastAsia="fr-FR" w:bidi="fr-FR"/>
        </w:rPr>
        <w:t>tions culturelles sont censurés par le gouvernement chinois. Leurs tr</w:t>
      </w:r>
      <w:r w:rsidRPr="004B2498">
        <w:rPr>
          <w:lang w:eastAsia="fr-FR" w:bidi="fr-FR"/>
        </w:rPr>
        <w:t>a</w:t>
      </w:r>
      <w:r w:rsidRPr="004B2498">
        <w:rPr>
          <w:lang w:eastAsia="fr-FR" w:bidi="fr-FR"/>
        </w:rPr>
        <w:t>vaux, rédigés en anglais, conséquents, ont pour orientation la volonté de montrer de nouveaux sujets féminins, émancipés et mode</w:t>
      </w:r>
      <w:r w:rsidRPr="004B2498">
        <w:rPr>
          <w:lang w:eastAsia="fr-FR" w:bidi="fr-FR"/>
        </w:rPr>
        <w:t>r</w:t>
      </w:r>
      <w:r w:rsidRPr="004B2498">
        <w:rPr>
          <w:lang w:eastAsia="fr-FR" w:bidi="fr-FR"/>
        </w:rPr>
        <w:t>nes. Ceux-ci apparaissent largement coupés de tout contexte social et l’attention est centrée sur les discours, narrations appréhendées co</w:t>
      </w:r>
      <w:r w:rsidRPr="004B2498">
        <w:rPr>
          <w:lang w:eastAsia="fr-FR" w:bidi="fr-FR"/>
        </w:rPr>
        <w:t>m</w:t>
      </w:r>
      <w:r w:rsidRPr="004B2498">
        <w:rPr>
          <w:lang w:eastAsia="fr-FR" w:bidi="fr-FR"/>
        </w:rPr>
        <w:t>me des faits et des vérités, unilatéraux, sans complexité sous-jacente. Le rapport du sujet à son discours n’est pas imaginé. Par ailleurs l’entretien matériel de la femme par l’homme, chez ces « nouvelles femmes » est conçu comme une évidence et l’idée que gît là une sou</w:t>
      </w:r>
      <w:r w:rsidRPr="004B2498">
        <w:rPr>
          <w:lang w:eastAsia="fr-FR" w:bidi="fr-FR"/>
        </w:rPr>
        <w:t>r</w:t>
      </w:r>
      <w:r w:rsidRPr="004B2498">
        <w:rPr>
          <w:lang w:eastAsia="fr-FR" w:bidi="fr-FR"/>
        </w:rPr>
        <w:t>ce de dépendance et de domination est absente. La liberté/libération est entièrement concentrée sur la sexualité, donnant à voir</w:t>
      </w:r>
      <w:r>
        <w:t xml:space="preserve"> </w:t>
      </w:r>
      <w:r w:rsidRPr="004B2498">
        <w:t>[231]</w:t>
      </w:r>
      <w:r>
        <w:t xml:space="preserve"> </w:t>
      </w:r>
      <w:r w:rsidRPr="004B2498">
        <w:rPr>
          <w:lang w:eastAsia="fr-FR" w:bidi="fr-FR"/>
        </w:rPr>
        <w:t>un étrange mélange de conservatisme quant au statut économique et de consumérisme sexuel, mélange tout à fait adéquat au dévelo</w:t>
      </w:r>
      <w:r w:rsidRPr="004B2498">
        <w:rPr>
          <w:lang w:eastAsia="fr-FR" w:bidi="fr-FR"/>
        </w:rPr>
        <w:t>p</w:t>
      </w:r>
      <w:r w:rsidRPr="004B2498">
        <w:rPr>
          <w:lang w:eastAsia="fr-FR" w:bidi="fr-FR"/>
        </w:rPr>
        <w:t>pement capitaliste.</w:t>
      </w:r>
    </w:p>
    <w:p w14:paraId="3CA36728" w14:textId="77777777" w:rsidR="002F4063" w:rsidRPr="004B2498" w:rsidRDefault="002F4063" w:rsidP="002F4063">
      <w:pPr>
        <w:spacing w:before="120" w:after="120"/>
        <w:jc w:val="both"/>
      </w:pPr>
      <w:r w:rsidRPr="004B2498">
        <w:rPr>
          <w:lang w:eastAsia="fr-FR" w:bidi="fr-FR"/>
        </w:rPr>
        <w:t>La première jeune femme vient d’une famille « révolutionnaire » de professeurs d’université enseignant à l’école du Parti et le père a passé vingt ans à Moscou. De l’histoire familiale de ce dernier elle ne sait rien et se manifeste là encore un trou de connaissances perturbant sur le père qui n’a pas de relation avec sa parentèle. Ne voulant pas entrer au Parti, préférant vivre à l’essai avec l’homme de son cœur que se marier, cette jeune femme de trente ans aurait préféré l’Angleterre, où elle a fait une partie de ses études, à Hong Kong, mais c’est là qu’une bourse lui avait été accordée. Son côtoiement du petit cercle des femmes où rayonne sa dissidente attitrée, témoigne une fois de plus des nébuleuses en jeu et des influences qu’elles véh</w:t>
      </w:r>
      <w:r w:rsidRPr="004B2498">
        <w:rPr>
          <w:lang w:eastAsia="fr-FR" w:bidi="fr-FR"/>
        </w:rPr>
        <w:t>i</w:t>
      </w:r>
      <w:r w:rsidRPr="004B2498">
        <w:rPr>
          <w:lang w:eastAsia="fr-FR" w:bidi="fr-FR"/>
        </w:rPr>
        <w:t>culent, déplaçant ou annihilant potentiellement les frontières de la « correctitude » politique.</w:t>
      </w:r>
    </w:p>
    <w:p w14:paraId="63B92F96" w14:textId="77777777" w:rsidR="002F4063" w:rsidRPr="004B2498" w:rsidRDefault="002F4063" w:rsidP="002F4063">
      <w:pPr>
        <w:spacing w:before="120" w:after="120"/>
        <w:jc w:val="both"/>
      </w:pPr>
      <w:r w:rsidRPr="004B2498">
        <w:rPr>
          <w:lang w:eastAsia="fr-FR" w:bidi="fr-FR"/>
        </w:rPr>
        <w:t>La seconde jeune femme Ruoya, âgée de 40 ans, est mariée avec un entrepreneur qui fait vivre dans une grande aisance matérielle le couple sans enfant, qu’elle présente comme fragile, conflictuel, les deux partenaires étant sur des chemins parallèles. Elle s’affirme « féministe » et supporte mal les manifestations brutales de domin</w:t>
      </w:r>
      <w:r w:rsidRPr="004B2498">
        <w:rPr>
          <w:lang w:eastAsia="fr-FR" w:bidi="fr-FR"/>
        </w:rPr>
        <w:t>a</w:t>
      </w:r>
      <w:r w:rsidRPr="004B2498">
        <w:rPr>
          <w:lang w:eastAsia="fr-FR" w:bidi="fr-FR"/>
        </w:rPr>
        <w:t>tion de son mari, fils de paysans pauvres et décrit comme avide d’argent. Outre son enseignement qu’elle fait bifurquer sur des d</w:t>
      </w:r>
      <w:r w:rsidRPr="004B2498">
        <w:rPr>
          <w:lang w:eastAsia="fr-FR" w:bidi="fr-FR"/>
        </w:rPr>
        <w:t>o</w:t>
      </w:r>
      <w:r w:rsidRPr="004B2498">
        <w:rPr>
          <w:lang w:eastAsia="fr-FR" w:bidi="fr-FR"/>
        </w:rPr>
        <w:t xml:space="preserve">maines sexuels, elle publie régulièrement dans la presse des articles qu’elle dénomme </w:t>
      </w:r>
      <w:r w:rsidRPr="00767F5A">
        <w:rPr>
          <w:i/>
        </w:rPr>
        <w:t>ecosexual text</w:t>
      </w:r>
      <w:r w:rsidRPr="004B2498">
        <w:rPr>
          <w:lang w:eastAsia="fr-FR" w:bidi="fr-FR"/>
        </w:rPr>
        <w:t xml:space="preserve"> et qui sont fondés sur des entretiens approfondis avec un individu, homme ou femme, élaboré en cas r</w:t>
      </w:r>
      <w:r w:rsidRPr="004B2498">
        <w:rPr>
          <w:lang w:eastAsia="fr-FR" w:bidi="fr-FR"/>
        </w:rPr>
        <w:t>e</w:t>
      </w:r>
      <w:r w:rsidRPr="004B2498">
        <w:rPr>
          <w:lang w:eastAsia="fr-FR" w:bidi="fr-FR"/>
        </w:rPr>
        <w:t>présentatif.</w:t>
      </w:r>
    </w:p>
    <w:p w14:paraId="52638753" w14:textId="77777777" w:rsidR="002F4063" w:rsidRPr="004B2498" w:rsidRDefault="002F4063" w:rsidP="002F4063">
      <w:pPr>
        <w:spacing w:before="120" w:after="120"/>
        <w:jc w:val="both"/>
      </w:pPr>
      <w:r w:rsidRPr="004B2498">
        <w:rPr>
          <w:lang w:eastAsia="fr-FR" w:bidi="fr-FR"/>
        </w:rPr>
        <w:t xml:space="preserve">Soulignons que cette percée hongkongaise dans l’importation des </w:t>
      </w:r>
      <w:r w:rsidRPr="004B2498">
        <w:t>gender studies</w:t>
      </w:r>
      <w:r w:rsidRPr="004B2498">
        <w:rPr>
          <w:lang w:eastAsia="fr-FR" w:bidi="fr-FR"/>
        </w:rPr>
        <w:t xml:space="preserve"> à Canton, en s’inscrivant sous l’égide de la sexualité - dans un contexte social qui reste très prude - constitue en tant que telle une interception politique : sans doute moins en raison du lien sexual</w:t>
      </w:r>
      <w:r w:rsidRPr="004B2498">
        <w:rPr>
          <w:lang w:eastAsia="fr-FR" w:bidi="fr-FR"/>
        </w:rPr>
        <w:t>i</w:t>
      </w:r>
      <w:r w:rsidRPr="004B2498">
        <w:rPr>
          <w:lang w:eastAsia="fr-FR" w:bidi="fr-FR"/>
        </w:rPr>
        <w:t>té/pornographie toujours instrumentalisé par l’État-Parti que surtout parce que se voit mis en scène là un droit à une jouissance su</w:t>
      </w:r>
      <w:r w:rsidRPr="004B2498">
        <w:rPr>
          <w:lang w:eastAsia="fr-FR" w:bidi="fr-FR"/>
        </w:rPr>
        <w:t>b</w:t>
      </w:r>
      <w:r w:rsidRPr="004B2498">
        <w:rPr>
          <w:lang w:eastAsia="fr-FR" w:bidi="fr-FR"/>
        </w:rPr>
        <w:t>jective non finalisée, échappant aux armatures de l’efficacité repr</w:t>
      </w:r>
      <w:r w:rsidRPr="004B2498">
        <w:rPr>
          <w:lang w:eastAsia="fr-FR" w:bidi="fr-FR"/>
        </w:rPr>
        <w:t>o</w:t>
      </w:r>
      <w:r w:rsidRPr="004B2498">
        <w:rPr>
          <w:lang w:eastAsia="fr-FR" w:bidi="fr-FR"/>
        </w:rPr>
        <w:t>ductive, économique et politique.</w:t>
      </w:r>
    </w:p>
    <w:p w14:paraId="4F4B6254" w14:textId="77777777" w:rsidR="002F4063" w:rsidRPr="004B2498" w:rsidRDefault="002F4063" w:rsidP="002F4063">
      <w:pPr>
        <w:spacing w:before="120" w:after="120"/>
        <w:jc w:val="both"/>
      </w:pPr>
      <w:r w:rsidRPr="004B2498">
        <w:rPr>
          <w:lang w:eastAsia="fr-FR" w:bidi="fr-FR"/>
        </w:rPr>
        <w:t>Ruoya ainsi ne désire pas elle-même d’enfant même si elle en do</w:t>
      </w:r>
      <w:r w:rsidRPr="004B2498">
        <w:rPr>
          <w:lang w:eastAsia="fr-FR" w:bidi="fr-FR"/>
        </w:rPr>
        <w:t>n</w:t>
      </w:r>
      <w:r w:rsidRPr="004B2498">
        <w:rPr>
          <w:lang w:eastAsia="fr-FR" w:bidi="fr-FR"/>
        </w:rPr>
        <w:t xml:space="preserve">nerait volontiers un à sa belle-famille et à son mari qui le réclament avec ardeur. Mais alors qu’elle a effectué tous les examens médicaux prouvant sa fertilité, son mari se refuse à de tels tests ainsi qu’à des essais de fécondation </w:t>
      </w:r>
      <w:r w:rsidRPr="00767F5A">
        <w:rPr>
          <w:i/>
        </w:rPr>
        <w:t>in vitro</w:t>
      </w:r>
      <w:r w:rsidRPr="004B2498">
        <w:t xml:space="preserve">. </w:t>
      </w:r>
      <w:r w:rsidRPr="004B2498">
        <w:rPr>
          <w:lang w:eastAsia="fr-FR" w:bidi="fr-FR"/>
        </w:rPr>
        <w:t>« Avec mes amis, je me sens normale comme ça » dit Ruoya qui pointe un désaccord profond avec un époux qui s’inscrit dans les normes familiales d’enrichissement en vigueur, ostensibles dans le voisinage du couple qui habite un condominium luxueux à la périphérie de Canton, où, dans les appartements, une p</w:t>
      </w:r>
      <w:r w:rsidRPr="004B2498">
        <w:rPr>
          <w:lang w:eastAsia="fr-FR" w:bidi="fr-FR"/>
        </w:rPr>
        <w:t>e</w:t>
      </w:r>
      <w:r w:rsidRPr="004B2498">
        <w:rPr>
          <w:lang w:eastAsia="fr-FR" w:bidi="fr-FR"/>
        </w:rPr>
        <w:t>tite chambre est prévue pour les grands-parents venus</w:t>
      </w:r>
      <w:r>
        <w:t xml:space="preserve"> </w:t>
      </w:r>
      <w:r w:rsidRPr="004B2498">
        <w:t>[232]</w:t>
      </w:r>
      <w:r>
        <w:t xml:space="preserve"> </w:t>
      </w:r>
      <w:r w:rsidRPr="004B2498">
        <w:rPr>
          <w:lang w:eastAsia="fr-FR" w:bidi="fr-FR"/>
        </w:rPr>
        <w:t>s’occuper de leurs petits-enfants. Sans enfant et sans beaux-parents, passionn</w:t>
      </w:r>
      <w:r w:rsidRPr="004B2498">
        <w:rPr>
          <w:lang w:eastAsia="fr-FR" w:bidi="fr-FR"/>
        </w:rPr>
        <w:t>é</w:t>
      </w:r>
      <w:r w:rsidRPr="004B2498">
        <w:rPr>
          <w:lang w:eastAsia="fr-FR" w:bidi="fr-FR"/>
        </w:rPr>
        <w:t>ment attirée par une écriture d’une sexualité qui s’invente au jour le jour dans la Chine contemporaine, Ruoya évolue dans cet environn</w:t>
      </w:r>
      <w:r w:rsidRPr="004B2498">
        <w:rPr>
          <w:lang w:eastAsia="fr-FR" w:bidi="fr-FR"/>
        </w:rPr>
        <w:t>e</w:t>
      </w:r>
      <w:r w:rsidRPr="004B2498">
        <w:rPr>
          <w:lang w:eastAsia="fr-FR" w:bidi="fr-FR"/>
        </w:rPr>
        <w:t>ment, apparemment sans gêne, toute à la curiosité des subjectivités de ses concitoyens.</w:t>
      </w:r>
    </w:p>
    <w:p w14:paraId="1A080EEE" w14:textId="77777777" w:rsidR="002F4063" w:rsidRPr="004B2498" w:rsidRDefault="002F4063" w:rsidP="002F4063">
      <w:pPr>
        <w:spacing w:before="120" w:after="120"/>
        <w:jc w:val="both"/>
        <w:rPr>
          <w:szCs w:val="24"/>
          <w:lang w:eastAsia="fr-FR" w:bidi="fr-FR"/>
        </w:rPr>
      </w:pPr>
      <w:r>
        <w:rPr>
          <w:szCs w:val="24"/>
          <w:lang w:eastAsia="fr-FR" w:bidi="fr-FR"/>
        </w:rPr>
        <w:br w:type="page"/>
      </w:r>
    </w:p>
    <w:p w14:paraId="42316ED7" w14:textId="77777777" w:rsidR="002F4063" w:rsidRPr="004B2498" w:rsidRDefault="002F4063" w:rsidP="002F4063">
      <w:pPr>
        <w:pStyle w:val="a"/>
      </w:pPr>
      <w:r w:rsidRPr="004B2498">
        <w:t>Médiatisations exploratoires</w:t>
      </w:r>
    </w:p>
    <w:p w14:paraId="7D7618A6" w14:textId="77777777" w:rsidR="002F4063" w:rsidRPr="004B2498" w:rsidRDefault="002F4063" w:rsidP="002F4063">
      <w:pPr>
        <w:spacing w:before="120" w:after="120"/>
        <w:jc w:val="both"/>
        <w:rPr>
          <w:lang w:eastAsia="fr-FR" w:bidi="fr-FR"/>
        </w:rPr>
      </w:pPr>
    </w:p>
    <w:p w14:paraId="369CA3BF" w14:textId="77777777" w:rsidR="002F4063" w:rsidRPr="004B2498" w:rsidRDefault="002F4063" w:rsidP="002F4063">
      <w:pPr>
        <w:spacing w:before="120" w:after="120"/>
        <w:jc w:val="both"/>
      </w:pPr>
      <w:r w:rsidRPr="004B2498">
        <w:rPr>
          <w:lang w:eastAsia="fr-FR" w:bidi="fr-FR"/>
        </w:rPr>
        <w:t>Dans l’orbite du petit cercle de femmes examinées, deux journali</w:t>
      </w:r>
      <w:r w:rsidRPr="004B2498">
        <w:rPr>
          <w:lang w:eastAsia="fr-FR" w:bidi="fr-FR"/>
        </w:rPr>
        <w:t>s</w:t>
      </w:r>
      <w:r w:rsidRPr="004B2498">
        <w:rPr>
          <w:lang w:eastAsia="fr-FR" w:bidi="fr-FR"/>
        </w:rPr>
        <w:t>tes gravitent dont l’une, ancienne présentatrice à la télévision, a pris l’initiative récente de créer un réseau spécifique donnant aux femmes un créneau pour pénétrer dans l’antre principalement masculin des médias. Ce réseau est néanmoins peu actif, faute de temps consacré par sa dizaine de participantes mais surtout en raison - à en croire ses membres - de la surveillance policière qui oblige - pour s’y soustraire - à inscrire les activités en dehors de Canton, hors des regards indi</w:t>
      </w:r>
      <w:r w:rsidRPr="004B2498">
        <w:rPr>
          <w:lang w:eastAsia="fr-FR" w:bidi="fr-FR"/>
        </w:rPr>
        <w:t>s</w:t>
      </w:r>
      <w:r w:rsidRPr="004B2498">
        <w:rPr>
          <w:lang w:eastAsia="fr-FR" w:bidi="fr-FR"/>
        </w:rPr>
        <w:t>crets. Des soutiens financiers ont été obtenus auprès du service cult</w:t>
      </w:r>
      <w:r w:rsidRPr="004B2498">
        <w:rPr>
          <w:lang w:eastAsia="fr-FR" w:bidi="fr-FR"/>
        </w:rPr>
        <w:t>u</w:t>
      </w:r>
      <w:r w:rsidRPr="004B2498">
        <w:rPr>
          <w:lang w:eastAsia="fr-FR" w:bidi="fr-FR"/>
        </w:rPr>
        <w:t>rel britannique et d’Oxfam dont les derniers versements de 100 000 yuans annuels n’ont pas encore été entièrement dépensés. Il s’agit g</w:t>
      </w:r>
      <w:r w:rsidRPr="004B2498">
        <w:rPr>
          <w:lang w:eastAsia="fr-FR" w:bidi="fr-FR"/>
        </w:rPr>
        <w:t>é</w:t>
      </w:r>
      <w:r w:rsidRPr="004B2498">
        <w:rPr>
          <w:lang w:eastAsia="fr-FR" w:bidi="fr-FR"/>
        </w:rPr>
        <w:t>néralement d’organiser, sur le mode usuel, des formations et des at</w:t>
      </w:r>
      <w:r w:rsidRPr="004B2498">
        <w:rPr>
          <w:lang w:eastAsia="fr-FR" w:bidi="fr-FR"/>
        </w:rPr>
        <w:t>e</w:t>
      </w:r>
      <w:r w:rsidRPr="004B2498">
        <w:rPr>
          <w:lang w:eastAsia="fr-FR" w:bidi="fr-FR"/>
        </w:rPr>
        <w:t>liers plus ou moins ouvertement placés sous une thématique femme et/ou féminisme. La suspicion des autorités donne immédiatement une couleur politique à ces petits rassemblements. Les deux journalistes rencontrées se situent à des pôles extrêmes du « motif femme » de ce réseau. La première, qui est désormais engagée dans le montage d’un lieu d’art, se dit très en retrait d’un « féminisme » dont elle avoue ne pas connaître les théorisations. Redoutant une division ho</w:t>
      </w:r>
      <w:r w:rsidRPr="004B2498">
        <w:rPr>
          <w:lang w:eastAsia="fr-FR" w:bidi="fr-FR"/>
        </w:rPr>
        <w:t>m</w:t>
      </w:r>
      <w:r w:rsidRPr="004B2498">
        <w:rPr>
          <w:lang w:eastAsia="fr-FR" w:bidi="fr-FR"/>
        </w:rPr>
        <w:t>mes/femmes, elle se positionne dans un différentialisme et un esse</w:t>
      </w:r>
      <w:r w:rsidRPr="004B2498">
        <w:rPr>
          <w:lang w:eastAsia="fr-FR" w:bidi="fr-FR"/>
        </w:rPr>
        <w:t>n</w:t>
      </w:r>
      <w:r w:rsidRPr="004B2498">
        <w:rPr>
          <w:lang w:eastAsia="fr-FR" w:bidi="fr-FR"/>
        </w:rPr>
        <w:t>tialisme féminin affirmés. La seconde, au contraire, est très combative et élabore un recul analytique sur son itinéraire.</w:t>
      </w:r>
    </w:p>
    <w:p w14:paraId="3242B193" w14:textId="77777777" w:rsidR="002F4063" w:rsidRPr="004B2498" w:rsidRDefault="002F4063" w:rsidP="002F4063">
      <w:pPr>
        <w:spacing w:before="120" w:after="120"/>
        <w:jc w:val="both"/>
      </w:pPr>
      <w:r w:rsidRPr="004B2498">
        <w:rPr>
          <w:lang w:eastAsia="fr-FR" w:bidi="fr-FR"/>
        </w:rPr>
        <w:t>Appelons Meiji cette femme de 40 ans qui travaille dans un groupe de presse réputé pour être le plus ouvert de la Chine et qui revendique l’orientation « féministe-pouvoir », avec une certaine rage. Comme dans beaucoup de cas, qui transcendent continents et aires culturelles, Meiji met en avant la référence du père qui voulait que ses deux filles soient en tout point les égales des garçons : « Tu dois parler et écrire comme un homme », lui disait-il. Fils de paysans très pauvres, le père était devenu cadre après avoir servi sous le drapeau en Corée puis était monté dans l’échelle politico-administrative : fait relativement rare, le père choisit de subir une stérilisation à la place de son épouse, de sa</w:t>
      </w:r>
      <w:r w:rsidRPr="004B2498">
        <w:rPr>
          <w:lang w:eastAsia="fr-FR" w:bidi="fr-FR"/>
        </w:rPr>
        <w:t>n</w:t>
      </w:r>
      <w:r w:rsidRPr="004B2498">
        <w:rPr>
          <w:lang w:eastAsia="fr-FR" w:bidi="fr-FR"/>
        </w:rPr>
        <w:t>té fragile, qui travaillait sur un statut temporaire dans un magasin d’État. Ce père - dont elle loue le sens de la justice et l’honnêteté irr</w:t>
      </w:r>
      <w:r w:rsidRPr="004B2498">
        <w:rPr>
          <w:lang w:eastAsia="fr-FR" w:bidi="fr-FR"/>
        </w:rPr>
        <w:t>é</w:t>
      </w:r>
      <w:r w:rsidRPr="004B2498">
        <w:rPr>
          <w:lang w:eastAsia="fr-FR" w:bidi="fr-FR"/>
        </w:rPr>
        <w:t>prochable - la « forcera » à entrer au Parti, raconte Meiji qui se dit mainten</w:t>
      </w:r>
      <w:r>
        <w:rPr>
          <w:lang w:eastAsia="fr-FR" w:bidi="fr-FR"/>
        </w:rPr>
        <w:t>ant opposée à la politique de l’</w:t>
      </w:r>
      <w:r w:rsidRPr="004B2498">
        <w:rPr>
          <w:lang w:eastAsia="fr-FR" w:bidi="fr-FR"/>
        </w:rPr>
        <w:t>État-Parti. Comme pour Sh</w:t>
      </w:r>
      <w:r w:rsidRPr="004B2498">
        <w:rPr>
          <w:lang w:eastAsia="fr-FR" w:bidi="fr-FR"/>
        </w:rPr>
        <w:t>u</w:t>
      </w:r>
      <w:r w:rsidRPr="004B2498">
        <w:rPr>
          <w:lang w:eastAsia="fr-FR" w:bidi="fr-FR"/>
        </w:rPr>
        <w:t>wan, que le lecteur a déjà rencontrée, le premier choc</w:t>
      </w:r>
      <w:r>
        <w:t xml:space="preserve"> </w:t>
      </w:r>
      <w:r w:rsidRPr="004B2498">
        <w:t>[233]</w:t>
      </w:r>
      <w:r>
        <w:t xml:space="preserve"> </w:t>
      </w:r>
      <w:r w:rsidRPr="004B2498">
        <w:rPr>
          <w:lang w:eastAsia="fr-FR" w:bidi="fr-FR"/>
        </w:rPr>
        <w:t>viendra, après les études universitaires, de la recherche de travail au cours de laquelle Meiji, qui a grandi dans une idéologie égalitari</w:t>
      </w:r>
      <w:r w:rsidRPr="004B2498">
        <w:rPr>
          <w:lang w:eastAsia="fr-FR" w:bidi="fr-FR"/>
        </w:rPr>
        <w:t>s</w:t>
      </w:r>
      <w:r w:rsidRPr="004B2498">
        <w:rPr>
          <w:lang w:eastAsia="fr-FR" w:bidi="fr-FR"/>
        </w:rPr>
        <w:t>te, découvre brutalement l’inégalité homme/femme : « on voulait un homme me</w:t>
      </w:r>
      <w:r w:rsidRPr="004B2498">
        <w:rPr>
          <w:lang w:eastAsia="fr-FR" w:bidi="fr-FR"/>
        </w:rPr>
        <w:t>m</w:t>
      </w:r>
      <w:r w:rsidRPr="004B2498">
        <w:rPr>
          <w:lang w:eastAsia="fr-FR" w:bidi="fr-FR"/>
        </w:rPr>
        <w:t>bre du Parti » et, si elle possède sa carte, il lui manquera toujours cette qualification sexuelle ! En épousant un de ses camar</w:t>
      </w:r>
      <w:r w:rsidRPr="004B2498">
        <w:rPr>
          <w:lang w:eastAsia="fr-FR" w:bidi="fr-FR"/>
        </w:rPr>
        <w:t>a</w:t>
      </w:r>
      <w:r w:rsidRPr="004B2498">
        <w:rPr>
          <w:lang w:eastAsia="fr-FR" w:bidi="fr-FR"/>
        </w:rPr>
        <w:t>des d’études, fils d’un cadre autoritaire et violent, et surtout en étant très rapidement enceinte et en travaillant, Meiji voit son existence transformée ; éco</w:t>
      </w:r>
      <w:r w:rsidRPr="004B2498">
        <w:rPr>
          <w:lang w:eastAsia="fr-FR" w:bidi="fr-FR"/>
        </w:rPr>
        <w:t>u</w:t>
      </w:r>
      <w:r w:rsidRPr="004B2498">
        <w:rPr>
          <w:lang w:eastAsia="fr-FR" w:bidi="fr-FR"/>
        </w:rPr>
        <w:t>tons-la :</w:t>
      </w:r>
    </w:p>
    <w:p w14:paraId="43A3306A" w14:textId="77777777" w:rsidR="002F4063" w:rsidRDefault="002F4063" w:rsidP="002F4063">
      <w:pPr>
        <w:pStyle w:val="Grillecouleur-Accent1"/>
        <w:rPr>
          <w:lang w:eastAsia="fr-FR" w:bidi="fr-FR"/>
        </w:rPr>
      </w:pPr>
    </w:p>
    <w:p w14:paraId="66852E71" w14:textId="77777777" w:rsidR="002F4063" w:rsidRDefault="002F4063" w:rsidP="002F4063">
      <w:pPr>
        <w:pStyle w:val="Grillecouleur-Accent1"/>
        <w:rPr>
          <w:lang w:eastAsia="fr-FR" w:bidi="fr-FR"/>
        </w:rPr>
      </w:pPr>
      <w:r w:rsidRPr="004B2498">
        <w:rPr>
          <w:lang w:eastAsia="fr-FR" w:bidi="fr-FR"/>
        </w:rPr>
        <w:t>« Je n’étais pas prête à tout ça, femme, travailleuse, mère. Pour mon mari l’enfant n’a rien changé. Pour moi, tout a changé, mes am</w:t>
      </w:r>
      <w:r w:rsidRPr="004B2498">
        <w:rPr>
          <w:lang w:eastAsia="fr-FR" w:bidi="fr-FR"/>
        </w:rPr>
        <w:t>i</w:t>
      </w:r>
      <w:r w:rsidRPr="004B2498">
        <w:rPr>
          <w:lang w:eastAsia="fr-FR" w:bidi="fr-FR"/>
        </w:rPr>
        <w:t>tiés, mon travail, mon corps. Pendant vingt ans je me suis pensée comme un ho</w:t>
      </w:r>
      <w:r w:rsidRPr="004B2498">
        <w:rPr>
          <w:lang w:eastAsia="fr-FR" w:bidi="fr-FR"/>
        </w:rPr>
        <w:t>m</w:t>
      </w:r>
      <w:r w:rsidRPr="004B2498">
        <w:rPr>
          <w:lang w:eastAsia="fr-FR" w:bidi="fr-FR"/>
        </w:rPr>
        <w:t>me. Mais en accouchant, en allaitant j’ai subi une f</w:t>
      </w:r>
      <w:r w:rsidRPr="004B2498">
        <w:rPr>
          <w:lang w:eastAsia="fr-FR" w:bidi="fr-FR"/>
        </w:rPr>
        <w:t>é</w:t>
      </w:r>
      <w:r w:rsidRPr="004B2498">
        <w:rPr>
          <w:lang w:eastAsia="fr-FR" w:bidi="fr-FR"/>
        </w:rPr>
        <w:t>minisation que je n’acceptais pas. J’ai lu Simone de Beauvoir qui d</w:t>
      </w:r>
      <w:r w:rsidRPr="004B2498">
        <w:rPr>
          <w:lang w:eastAsia="fr-FR" w:bidi="fr-FR"/>
        </w:rPr>
        <w:t>é</w:t>
      </w:r>
      <w:r w:rsidRPr="004B2498">
        <w:rPr>
          <w:lang w:eastAsia="fr-FR" w:bidi="fr-FR"/>
        </w:rPr>
        <w:t>testait tout ça et je l’ai ressenti comme elle le dit, une chaîne de pr</w:t>
      </w:r>
      <w:r w:rsidRPr="004B2498">
        <w:rPr>
          <w:lang w:eastAsia="fr-FR" w:bidi="fr-FR"/>
        </w:rPr>
        <w:t>o</w:t>
      </w:r>
      <w:r w:rsidRPr="004B2498">
        <w:rPr>
          <w:lang w:eastAsia="fr-FR" w:bidi="fr-FR"/>
        </w:rPr>
        <w:t>duction invisible pour les femmes. Laver le linge qui redevient sale ! Je me sentais seule et j’ai mis des années à combiner moi-même et être une femme, une mère, une épo</w:t>
      </w:r>
      <w:r w:rsidRPr="004B2498">
        <w:rPr>
          <w:lang w:eastAsia="fr-FR" w:bidi="fr-FR"/>
        </w:rPr>
        <w:t>u</w:t>
      </w:r>
      <w:r w:rsidRPr="004B2498">
        <w:rPr>
          <w:lang w:eastAsia="fr-FR" w:bidi="fr-FR"/>
        </w:rPr>
        <w:t>se. Avant je n'avais pas de fa</w:t>
      </w:r>
      <w:r w:rsidRPr="004B2498">
        <w:rPr>
          <w:lang w:eastAsia="fr-FR" w:bidi="fr-FR"/>
        </w:rPr>
        <w:t>r</w:t>
      </w:r>
      <w:r w:rsidRPr="004B2498">
        <w:rPr>
          <w:lang w:eastAsia="fr-FR" w:bidi="fr-FR"/>
        </w:rPr>
        <w:t>deau. »</w:t>
      </w:r>
    </w:p>
    <w:p w14:paraId="1E53A063" w14:textId="77777777" w:rsidR="002F4063" w:rsidRPr="004B2498" w:rsidRDefault="002F4063" w:rsidP="002F4063">
      <w:pPr>
        <w:pStyle w:val="Grillecouleur-Accent1"/>
      </w:pPr>
    </w:p>
    <w:p w14:paraId="093CA8B2" w14:textId="77777777" w:rsidR="002F4063" w:rsidRPr="004B2498" w:rsidRDefault="002F4063" w:rsidP="002F4063">
      <w:pPr>
        <w:spacing w:before="120" w:after="120"/>
        <w:jc w:val="both"/>
      </w:pPr>
      <w:r w:rsidRPr="004B2498">
        <w:rPr>
          <w:lang w:eastAsia="fr-FR" w:bidi="fr-FR"/>
        </w:rPr>
        <w:t>Si son mari devenu professeur d’université, participe pleinement aux tâches domestiques, sur son lieu de travail, Meiji ne cesse de se battre et accuse ses collègues d’un machisme viscéral, citant leur pr</w:t>
      </w:r>
      <w:r w:rsidRPr="004B2498">
        <w:rPr>
          <w:lang w:eastAsia="fr-FR" w:bidi="fr-FR"/>
        </w:rPr>
        <w:t>é</w:t>
      </w:r>
      <w:r w:rsidRPr="004B2498">
        <w:rPr>
          <w:lang w:eastAsia="fr-FR" w:bidi="fr-FR"/>
        </w:rPr>
        <w:t>férence qu’une femme meure ou reste handicapée plutôt que de perdre sa virginité, et les articles qui reprochent aux femmes leur mauvaise conduite en cas de viol ! Sa rencontre avec Yuting la dynamise et les occasions se multiplient pour engager des luttes symboliques concr</w:t>
      </w:r>
      <w:r w:rsidRPr="004B2498">
        <w:rPr>
          <w:lang w:eastAsia="fr-FR" w:bidi="fr-FR"/>
        </w:rPr>
        <w:t>è</w:t>
      </w:r>
      <w:r w:rsidRPr="004B2498">
        <w:rPr>
          <w:lang w:eastAsia="fr-FR" w:bidi="fr-FR"/>
        </w:rPr>
        <w:t>tes. Ainsi, lors d’une sélection d’étudiants, les professeurs abaissent les critères de notes car les candidatures de filles avec une note élevée sont alors trop nombreuses et Meiji tente de faire admettre sans succès qu’il s’agit d’une mesure discriminatoire. Certains de ses articles sont refusés et ses supérieurs hiérarchiques lui expliquent que le féminisme est une critique du communisme et que l’égalité homme/femme est déjà bien trop grande. Dans sa pratique journalistique, pour laquelle elle obtient un revenu mensuel d’environ 10 000 yuans, Meiji fait des enquêtes sur les femmes en milieu rural et ouvrier pour montrer un autre visage de la réalité sociale et pointer, envers et contre tout, une domination masculine irriguant de façon irréfragable tous les champs de la quotidienneté. Les obstacles auxquels se heurte Meiji illustrent avec acuité la dimension intrinsèquement politique du « genre » dans la conjoncture chinoise actuelle. Corollairement ils montrent comment le rapport au politique se déclenche dans les ordonnancements subje</w:t>
      </w:r>
      <w:r w:rsidRPr="004B2498">
        <w:rPr>
          <w:lang w:eastAsia="fr-FR" w:bidi="fr-FR"/>
        </w:rPr>
        <w:t>c</w:t>
      </w:r>
      <w:r w:rsidRPr="004B2498">
        <w:rPr>
          <w:lang w:eastAsia="fr-FR" w:bidi="fr-FR"/>
        </w:rPr>
        <w:t>tifs introduisant des décalages quasi insurmontables entre les régimes idéologiques, idéels, réels. Que ces décalages se formatent à la fois dans les différentiels historiques et généalogiques doit être souligné : une partie de la génération des cadres communistes de la période maoïste tente de coller à la lettre de l’ordre politique, et ce, y compris pour quelques-uns d’entre eux, dans leurs relations familiales.</w:t>
      </w:r>
    </w:p>
    <w:p w14:paraId="77206703" w14:textId="77777777" w:rsidR="002F4063" w:rsidRPr="004B2498" w:rsidRDefault="002F4063" w:rsidP="002F4063">
      <w:pPr>
        <w:spacing w:before="120" w:after="120"/>
        <w:jc w:val="both"/>
      </w:pPr>
      <w:r w:rsidRPr="004B2498">
        <w:t>[234]</w:t>
      </w:r>
    </w:p>
    <w:p w14:paraId="311CE0B1" w14:textId="77777777" w:rsidR="002F4063" w:rsidRPr="004B2498" w:rsidRDefault="002F4063" w:rsidP="002F4063">
      <w:pPr>
        <w:spacing w:before="120" w:after="120"/>
        <w:jc w:val="both"/>
      </w:pPr>
      <w:r w:rsidRPr="004B2498">
        <w:rPr>
          <w:lang w:eastAsia="fr-FR" w:bidi="fr-FR"/>
        </w:rPr>
        <w:t>En revanche pour les couples parents de jeunes enfants a</w:t>
      </w:r>
      <w:r w:rsidRPr="004B2498">
        <w:rPr>
          <w:lang w:eastAsia="fr-FR" w:bidi="fr-FR"/>
        </w:rPr>
        <w:t>u</w:t>
      </w:r>
      <w:r w:rsidRPr="004B2498">
        <w:rPr>
          <w:lang w:eastAsia="fr-FR" w:bidi="fr-FR"/>
        </w:rPr>
        <w:t>jourd’hui, aucun message spécifique ne paraît organiser leurs rapports et comme Yanyan l’a indiqué, la préférence masculine et son cortège d’infériorisations féminines sont un critère reconnu et indispensable.</w:t>
      </w:r>
    </w:p>
    <w:p w14:paraId="3BE4B0DB" w14:textId="77777777" w:rsidR="002F4063" w:rsidRPr="004B2498" w:rsidRDefault="002F4063" w:rsidP="002F4063">
      <w:pPr>
        <w:spacing w:before="120" w:after="120"/>
        <w:jc w:val="both"/>
      </w:pPr>
      <w:r w:rsidRPr="004B2498">
        <w:rPr>
          <w:lang w:eastAsia="fr-FR" w:bidi="fr-FR"/>
        </w:rPr>
        <w:t>Des personnages très hétéroclites se rencontrent et s’apprécient dans le petit cercle qui entoure Yuting et parmi ceux-ci un jeune co</w:t>
      </w:r>
      <w:r w:rsidRPr="004B2498">
        <w:rPr>
          <w:lang w:eastAsia="fr-FR" w:bidi="fr-FR"/>
        </w:rPr>
        <w:t>u</w:t>
      </w:r>
      <w:r w:rsidRPr="004B2498">
        <w:rPr>
          <w:lang w:eastAsia="fr-FR" w:bidi="fr-FR"/>
        </w:rPr>
        <w:t xml:space="preserve">ple d’artistes, qui a vécu sept ans en France, manifeste une activité débordante, organisant de nombreux évènements, </w:t>
      </w:r>
      <w:r w:rsidRPr="006B78AD">
        <w:rPr>
          <w:i/>
        </w:rPr>
        <w:t>happenings</w:t>
      </w:r>
      <w:r w:rsidRPr="004B2498">
        <w:rPr>
          <w:lang w:eastAsia="fr-FR" w:bidi="fr-FR"/>
        </w:rPr>
        <w:t>, pe</w:t>
      </w:r>
      <w:r w:rsidRPr="004B2498">
        <w:rPr>
          <w:lang w:eastAsia="fr-FR" w:bidi="fr-FR"/>
        </w:rPr>
        <w:t>r</w:t>
      </w:r>
      <w:r w:rsidRPr="004B2498">
        <w:rPr>
          <w:lang w:eastAsia="fr-FR" w:bidi="fr-FR"/>
        </w:rPr>
        <w:t>formances de toutes sortes, y compris avec leurs corps. Toutes les o</w:t>
      </w:r>
      <w:r w:rsidRPr="004B2498">
        <w:rPr>
          <w:lang w:eastAsia="fr-FR" w:bidi="fr-FR"/>
        </w:rPr>
        <w:t>c</w:t>
      </w:r>
      <w:r w:rsidRPr="004B2498">
        <w:rPr>
          <w:lang w:eastAsia="fr-FR" w:bidi="fr-FR"/>
        </w:rPr>
        <w:t>casions sont saisies : enfants morts sous les décombres des écoles du Sichuan lors du tremblement de terre, expulsions aux périphéries de Canton suite aux investissements immobiliers, etc. Le pouvoir est continuellement défié, l’affrontement est recherché et la jouissance de la provocation illumine la vie de ce joyeux couple depuis son retour en Chine : l’opposition politique est assumée avec conscience et nou</w:t>
      </w:r>
      <w:r w:rsidRPr="004B2498">
        <w:rPr>
          <w:lang w:eastAsia="fr-FR" w:bidi="fr-FR"/>
        </w:rPr>
        <w:t>r</w:t>
      </w:r>
      <w:r w:rsidRPr="004B2498">
        <w:rPr>
          <w:lang w:eastAsia="fr-FR" w:bidi="fr-FR"/>
        </w:rPr>
        <w:t xml:space="preserve">rie par le sentiment de la liberté éprouvée en France et </w:t>
      </w:r>
      <w:r w:rsidRPr="006B78AD">
        <w:rPr>
          <w:i/>
        </w:rPr>
        <w:t>a contrario</w:t>
      </w:r>
      <w:r w:rsidRPr="004B2498">
        <w:rPr>
          <w:lang w:eastAsia="fr-FR" w:bidi="fr-FR"/>
        </w:rPr>
        <w:t xml:space="preserve"> de l’oppression et de la censure insupportable du gouvernement chinois. Le jeune homme est issu d’une lignée très représentative des effets des conjonctures politiques successives : un arrière-grand-père fortuné décrit comme « assassiné par les communistes », un grand-père pr</w:t>
      </w:r>
      <w:r w:rsidRPr="004B2498">
        <w:rPr>
          <w:lang w:eastAsia="fr-FR" w:bidi="fr-FR"/>
        </w:rPr>
        <w:t>é</w:t>
      </w:r>
      <w:r w:rsidRPr="004B2498">
        <w:rPr>
          <w:lang w:eastAsia="fr-FR" w:bidi="fr-FR"/>
        </w:rPr>
        <w:t>cepteur en ville, un père déplacé en milieu rural, instituteur, une mère paysanne dans un hameau de haute montagne d’une centaine d’habitants, des frères et sœurs restés paysans. Il est le seul enfant à poursuivre des études supérieures, après avoir bénéficié d’un pr</w:t>
      </w:r>
      <w:r w:rsidRPr="004B2498">
        <w:rPr>
          <w:lang w:eastAsia="fr-FR" w:bidi="fr-FR"/>
        </w:rPr>
        <w:t>o</w:t>
      </w:r>
      <w:r w:rsidRPr="004B2498">
        <w:rPr>
          <w:lang w:eastAsia="fr-FR" w:bidi="fr-FR"/>
        </w:rPr>
        <w:t xml:space="preserve">gramme public d’aide à l’éducation des paysans (« espoir » </w:t>
      </w:r>
      <w:r w:rsidRPr="006B78AD">
        <w:rPr>
          <w:i/>
        </w:rPr>
        <w:t>xi wang gong cheng</w:t>
      </w:r>
      <w:r w:rsidRPr="004B2498">
        <w:t>).</w:t>
      </w:r>
      <w:r w:rsidRPr="004B2498">
        <w:rPr>
          <w:lang w:eastAsia="fr-FR" w:bidi="fr-FR"/>
        </w:rPr>
        <w:t xml:space="preserve"> La jeune fille vient d’une famille de fonctionnaires aisés et son parcours est linéaire et sage jusqu’à sa rencontre avec son futur époux et compagnon d’art qui, dit-elle, lui a montré « la vraie vie ». Pour tous les deux, et de par leur posture critique, l’art, la vie, l’action, ne forment qu’un et ils tentent de concrétiser cette orientation dans leur pratique professionnelle d’enseignants. Pour eux, la lutte contre la domination masculine à laquelle ils participent avec ferveur et inve</w:t>
      </w:r>
      <w:r w:rsidRPr="004B2498">
        <w:rPr>
          <w:lang w:eastAsia="fr-FR" w:bidi="fr-FR"/>
        </w:rPr>
        <w:t>n</w:t>
      </w:r>
      <w:r w:rsidRPr="004B2498">
        <w:rPr>
          <w:lang w:eastAsia="fr-FR" w:bidi="fr-FR"/>
        </w:rPr>
        <w:t>tivité (attaquant violence domestique, fête des mères, etc.), se greffant sur toutes les initiatives de membres du petit cercle, constitue une o</w:t>
      </w:r>
      <w:r w:rsidRPr="004B2498">
        <w:rPr>
          <w:lang w:eastAsia="fr-FR" w:bidi="fr-FR"/>
        </w:rPr>
        <w:t>p</w:t>
      </w:r>
      <w:r w:rsidRPr="004B2498">
        <w:rPr>
          <w:lang w:eastAsia="fr-FR" w:bidi="fr-FR"/>
        </w:rPr>
        <w:t>portunité particulière d’un engagement politique délibéré contre l'État-Parti et toutes les injustices : qui les conduit à frôler les dernières lim</w:t>
      </w:r>
      <w:r w:rsidRPr="004B2498">
        <w:rPr>
          <w:lang w:eastAsia="fr-FR" w:bidi="fr-FR"/>
        </w:rPr>
        <w:t>i</w:t>
      </w:r>
      <w:r w:rsidRPr="004B2498">
        <w:rPr>
          <w:lang w:eastAsia="fr-FR" w:bidi="fr-FR"/>
        </w:rPr>
        <w:t>tes avant une répression inévitable. Leur présence dans ce petit cercle donne corps à des glissements et des oscillations plus ou moins pe</w:t>
      </w:r>
      <w:r w:rsidRPr="004B2498">
        <w:rPr>
          <w:lang w:eastAsia="fr-FR" w:bidi="fr-FR"/>
        </w:rPr>
        <w:t>r</w:t>
      </w:r>
      <w:r w:rsidRPr="004B2498">
        <w:rPr>
          <w:lang w:eastAsia="fr-FR" w:bidi="fr-FR"/>
        </w:rPr>
        <w:t>ceptibles vers une distanciation avec les normes en vigueur de condu</w:t>
      </w:r>
      <w:r w:rsidRPr="004B2498">
        <w:rPr>
          <w:lang w:eastAsia="fr-FR" w:bidi="fr-FR"/>
        </w:rPr>
        <w:t>i</w:t>
      </w:r>
      <w:r w:rsidRPr="004B2498">
        <w:rPr>
          <w:lang w:eastAsia="fr-FR" w:bidi="fr-FR"/>
        </w:rPr>
        <w:t>te et de pensée. Ces partenaires de vie et d’art sont une pièce dans un jeu de fabrique d’une déviance politique processuelle, personnelle et collective dont nous poursuivons l’examen à travers l’incorporation du signifiant globalisé « genre » dans le petit groupe universitaire composé majoritairement de femmes, mais intégrant des hommes qui sont ou non leurs compagnons.</w:t>
      </w:r>
    </w:p>
    <w:p w14:paraId="4F619122" w14:textId="77777777" w:rsidR="002F4063" w:rsidRPr="004B2498" w:rsidRDefault="002F4063" w:rsidP="002F4063">
      <w:pPr>
        <w:spacing w:before="120" w:after="120"/>
        <w:jc w:val="both"/>
      </w:pPr>
      <w:r w:rsidRPr="004B2498">
        <w:t>[235]</w:t>
      </w:r>
    </w:p>
    <w:p w14:paraId="6D099B71" w14:textId="77777777" w:rsidR="002F4063" w:rsidRPr="004B2498" w:rsidRDefault="002F4063" w:rsidP="002F4063">
      <w:pPr>
        <w:spacing w:before="120" w:after="120"/>
        <w:jc w:val="both"/>
      </w:pPr>
      <w:r w:rsidRPr="004B2498">
        <w:rPr>
          <w:lang w:eastAsia="fr-FR" w:bidi="fr-FR"/>
        </w:rPr>
        <w:t>Pour achever cette pérégrination mesurons maintenant son ancrage parmi les étudiants.</w:t>
      </w:r>
    </w:p>
    <w:p w14:paraId="249D32F1" w14:textId="77777777" w:rsidR="002F4063" w:rsidRPr="004B2498" w:rsidRDefault="002F4063" w:rsidP="002F4063">
      <w:pPr>
        <w:spacing w:before="120" w:after="120"/>
        <w:jc w:val="both"/>
        <w:rPr>
          <w:szCs w:val="24"/>
          <w:lang w:eastAsia="fr-FR" w:bidi="fr-FR"/>
        </w:rPr>
      </w:pPr>
    </w:p>
    <w:p w14:paraId="3DB808D0" w14:textId="77777777" w:rsidR="002F4063" w:rsidRPr="004B2498" w:rsidRDefault="002F4063" w:rsidP="002F4063">
      <w:pPr>
        <w:pStyle w:val="a"/>
      </w:pPr>
      <w:r w:rsidRPr="004B2498">
        <w:t>Échos étudiants</w:t>
      </w:r>
    </w:p>
    <w:p w14:paraId="5836F56B" w14:textId="77777777" w:rsidR="002F4063" w:rsidRPr="004B2498" w:rsidRDefault="002F4063" w:rsidP="002F4063">
      <w:pPr>
        <w:spacing w:before="120" w:after="120"/>
        <w:jc w:val="both"/>
        <w:rPr>
          <w:lang w:eastAsia="fr-FR" w:bidi="fr-FR"/>
        </w:rPr>
      </w:pPr>
    </w:p>
    <w:p w14:paraId="4F71EC40" w14:textId="77777777" w:rsidR="002F4063" w:rsidRPr="004B2498" w:rsidRDefault="002F4063" w:rsidP="002F4063">
      <w:pPr>
        <w:spacing w:before="120" w:after="120"/>
        <w:jc w:val="both"/>
      </w:pPr>
      <w:r w:rsidRPr="004B2498">
        <w:rPr>
          <w:lang w:eastAsia="fr-FR" w:bidi="fr-FR"/>
        </w:rPr>
        <w:t>Nombreux sont les étudiants qui circulent autour du petit cercle de femmes et le succès des cours de Yuting est remarquable. La profe</w:t>
      </w:r>
      <w:r w:rsidRPr="004B2498">
        <w:rPr>
          <w:lang w:eastAsia="fr-FR" w:bidi="fr-FR"/>
        </w:rPr>
        <w:t>s</w:t>
      </w:r>
      <w:r w:rsidRPr="004B2498">
        <w:rPr>
          <w:lang w:eastAsia="fr-FR" w:bidi="fr-FR"/>
        </w:rPr>
        <w:t>seure dissidente semble être, pour une partie d’entre eux, une figure identificatoire qui fonctionne comme une autorisation symbolique à franchir tous les interdits, culturels, intellectuels, existentiels. Son a</w:t>
      </w:r>
      <w:r w:rsidRPr="004B2498">
        <w:rPr>
          <w:lang w:eastAsia="fr-FR" w:bidi="fr-FR"/>
        </w:rPr>
        <w:t>u</w:t>
      </w:r>
      <w:r w:rsidRPr="004B2498">
        <w:rPr>
          <w:lang w:eastAsia="fr-FR" w:bidi="fr-FR"/>
        </w:rPr>
        <w:t>torité et son poids sur les jeunes esprits paraissent immenses, et ce, d’autant plus que des femmes de profils différents entourent Yuting de leurs attentions. L’ensemble est doté aux yeux des étudiants d’une s</w:t>
      </w:r>
      <w:r w:rsidRPr="004B2498">
        <w:rPr>
          <w:lang w:eastAsia="fr-FR" w:bidi="fr-FR"/>
        </w:rPr>
        <w:t>o</w:t>
      </w:r>
      <w:r w:rsidRPr="004B2498">
        <w:rPr>
          <w:lang w:eastAsia="fr-FR" w:bidi="fr-FR"/>
        </w:rPr>
        <w:t>lidité et d’une résistance sans nul doute bien supérieures à la réalité. S’offre là un modèle individuel, mais aussi de collectif, sur le mode usuel en Chine, de construction et de mise en scène politique de m</w:t>
      </w:r>
      <w:r w:rsidRPr="004B2498">
        <w:rPr>
          <w:lang w:eastAsia="fr-FR" w:bidi="fr-FR"/>
        </w:rPr>
        <w:t>o</w:t>
      </w:r>
      <w:r w:rsidRPr="004B2498">
        <w:rPr>
          <w:lang w:eastAsia="fr-FR" w:bidi="fr-FR"/>
        </w:rPr>
        <w:t>dèles traçant le chemin et générant l’enthousiasme. Donnons en pr</w:t>
      </w:r>
      <w:r w:rsidRPr="004B2498">
        <w:rPr>
          <w:lang w:eastAsia="fr-FR" w:bidi="fr-FR"/>
        </w:rPr>
        <w:t>e</w:t>
      </w:r>
      <w:r w:rsidRPr="004B2498">
        <w:rPr>
          <w:lang w:eastAsia="fr-FR" w:bidi="fr-FR"/>
        </w:rPr>
        <w:t>mier l’exemple de Tingting : issue d’une famille paysanne, elle vient de terminer ses quatre premières années d’université au cours desque</w:t>
      </w:r>
      <w:r w:rsidRPr="004B2498">
        <w:rPr>
          <w:lang w:eastAsia="fr-FR" w:bidi="fr-FR"/>
        </w:rPr>
        <w:t>l</w:t>
      </w:r>
      <w:r w:rsidRPr="004B2498">
        <w:rPr>
          <w:lang w:eastAsia="fr-FR" w:bidi="fr-FR"/>
        </w:rPr>
        <w:t>les elle s’est beaucoup dépensée dans une association universitaire. Avant de s’inscrire en master, elle souhaite s’engager dans la vie act</w:t>
      </w:r>
      <w:r w:rsidRPr="004B2498">
        <w:rPr>
          <w:lang w:eastAsia="fr-FR" w:bidi="fr-FR"/>
        </w:rPr>
        <w:t>i</w:t>
      </w:r>
      <w:r w:rsidRPr="004B2498">
        <w:rPr>
          <w:lang w:eastAsia="fr-FR" w:bidi="fr-FR"/>
        </w:rPr>
        <w:t>ve et, alors qu’elle assumait volontairement la communication interne au petit cercle, la journaliste qui se prépare à prendre la direction d’un lieu d’art lui a proposé de l’embaucher. Vive et souriante, Tingting s’est très investie dans ses tâches de liaison entre les femmes et elle désigne le réseau de celles d’entre elles orientées sur les médias co</w:t>
      </w:r>
      <w:r w:rsidRPr="004B2498">
        <w:rPr>
          <w:lang w:eastAsia="fr-FR" w:bidi="fr-FR"/>
        </w:rPr>
        <w:t>m</w:t>
      </w:r>
      <w:r w:rsidRPr="004B2498">
        <w:rPr>
          <w:lang w:eastAsia="fr-FR" w:bidi="fr-FR"/>
        </w:rPr>
        <w:t>me « notre ONG » alors même que Yuting par exemple parle de « groupe informel ». Étudiante de Yuting dans ses cours, obligatoires comme optionnels, Tingting dit avoir compris que « le féminisme est une pratique autant qu’une théorie », dont elle met en avant l’énorme influence sur la direction qu’elle donne depuis à sa vie : « j’ai grandi avec l’ONG de femmes » dit-elle, en poursuivant : « l’ONG est co</w:t>
      </w:r>
      <w:r w:rsidRPr="004B2498">
        <w:rPr>
          <w:lang w:eastAsia="fr-FR" w:bidi="fr-FR"/>
        </w:rPr>
        <w:t>m</w:t>
      </w:r>
      <w:r w:rsidRPr="004B2498">
        <w:rPr>
          <w:lang w:eastAsia="fr-FR" w:bidi="fr-FR"/>
        </w:rPr>
        <w:t>me ma famille, car je suis la plus jeune, elles prennent soin de moi et je ne veux plus rentrer dans mon village. Je veux rester avec elles. » Sans hésitation, Tingting se reconnaît dans la revendication féministe associée au pouvoir, repoussant les autres voies « trop douces » à son avis.</w:t>
      </w:r>
    </w:p>
    <w:p w14:paraId="6081400B" w14:textId="77777777" w:rsidR="002F4063" w:rsidRPr="004B2498" w:rsidRDefault="002F4063" w:rsidP="002F4063">
      <w:pPr>
        <w:spacing w:before="120" w:after="120"/>
        <w:jc w:val="both"/>
      </w:pPr>
      <w:r w:rsidRPr="004B2498">
        <w:rPr>
          <w:lang w:eastAsia="fr-FR" w:bidi="fr-FR"/>
        </w:rPr>
        <w:t>Il en va de même pour Meilin, étudiante de doctorat sous la dire</w:t>
      </w:r>
      <w:r w:rsidRPr="004B2498">
        <w:rPr>
          <w:lang w:eastAsia="fr-FR" w:bidi="fr-FR"/>
        </w:rPr>
        <w:t>c</w:t>
      </w:r>
      <w:r w:rsidRPr="004B2498">
        <w:rPr>
          <w:lang w:eastAsia="fr-FR" w:bidi="fr-FR"/>
        </w:rPr>
        <w:t>tion de Yuting. Sa recherche porte sur les images de femmes en milieu urbain et rural et dans leurs migrations, au sein du cinéma chinois des années trente. Elle a consacré son master aux films de Catherine Brei</w:t>
      </w:r>
      <w:r w:rsidRPr="004B2498">
        <w:rPr>
          <w:lang w:eastAsia="fr-FR" w:bidi="fr-FR"/>
        </w:rPr>
        <w:t>l</w:t>
      </w:r>
      <w:r w:rsidRPr="004B2498">
        <w:rPr>
          <w:lang w:eastAsia="fr-FR" w:bidi="fr-FR"/>
        </w:rPr>
        <w:t xml:space="preserve">lat. Meilin a lu Cixous, Kristeva, Irrigaray et connaît bien la théorie </w:t>
      </w:r>
      <w:r w:rsidRPr="00767F5A">
        <w:rPr>
          <w:i/>
        </w:rPr>
        <w:t>queer</w:t>
      </w:r>
      <w:r w:rsidRPr="00767F5A">
        <w:rPr>
          <w:i/>
          <w:lang w:eastAsia="fr-FR" w:bidi="fr-FR"/>
        </w:rPr>
        <w:t> </w:t>
      </w:r>
      <w:r w:rsidRPr="004B2498">
        <w:rPr>
          <w:lang w:eastAsia="fr-FR" w:bidi="fr-FR"/>
        </w:rPr>
        <w:t>; la jeune fille se destine à devenir professeur d’université. Pour elle, être féministe c’est aussi repenser l’ensemble du monde, de la réalité et être « attentionné aux autres, aux faibles surtout ». Issue d’une famille lettrée depuis trois générations, avec une grand-mère maternelle enseignante de lycée, Meilin déborde</w:t>
      </w:r>
      <w:r>
        <w:t xml:space="preserve"> </w:t>
      </w:r>
      <w:r w:rsidRPr="004B2498">
        <w:t>[236]</w:t>
      </w:r>
      <w:r>
        <w:t xml:space="preserve"> </w:t>
      </w:r>
      <w:r w:rsidRPr="004B2498">
        <w:rPr>
          <w:lang w:eastAsia="fr-FR" w:bidi="fr-FR"/>
        </w:rPr>
        <w:t>d’admiration pour Yuting qu’elle met sur un piédestal inatteign</w:t>
      </w:r>
      <w:r w:rsidRPr="004B2498">
        <w:rPr>
          <w:lang w:eastAsia="fr-FR" w:bidi="fr-FR"/>
        </w:rPr>
        <w:t>a</w:t>
      </w:r>
      <w:r w:rsidRPr="004B2498">
        <w:rPr>
          <w:lang w:eastAsia="fr-FR" w:bidi="fr-FR"/>
        </w:rPr>
        <w:t>ble : Yuting, à ses yeux, outre son intelligence mordante, a toutes les qualités de la fém</w:t>
      </w:r>
      <w:r w:rsidRPr="004B2498">
        <w:rPr>
          <w:lang w:eastAsia="fr-FR" w:bidi="fr-FR"/>
        </w:rPr>
        <w:t>i</w:t>
      </w:r>
      <w:r w:rsidRPr="004B2498">
        <w:rPr>
          <w:lang w:eastAsia="fr-FR" w:bidi="fr-FR"/>
        </w:rPr>
        <w:t>nité, émotions, goût des fleurs, etc. « C’est aussi juste une femme » dit-elle avec retenue et affection.</w:t>
      </w:r>
    </w:p>
    <w:p w14:paraId="5982DC4E" w14:textId="77777777" w:rsidR="002F4063" w:rsidRPr="004B2498" w:rsidRDefault="002F4063" w:rsidP="002F4063">
      <w:pPr>
        <w:spacing w:before="120" w:after="120"/>
        <w:jc w:val="both"/>
        <w:rPr>
          <w:szCs w:val="24"/>
          <w:lang w:eastAsia="fr-FR" w:bidi="fr-FR"/>
        </w:rPr>
      </w:pPr>
      <w:r>
        <w:rPr>
          <w:szCs w:val="24"/>
          <w:lang w:eastAsia="fr-FR" w:bidi="fr-FR"/>
        </w:rPr>
        <w:br w:type="page"/>
      </w:r>
    </w:p>
    <w:p w14:paraId="0C4A9546" w14:textId="77777777" w:rsidR="002F4063" w:rsidRPr="004B2498" w:rsidRDefault="002F4063" w:rsidP="002F4063">
      <w:pPr>
        <w:pStyle w:val="a"/>
      </w:pPr>
      <w:r w:rsidRPr="004B2498">
        <w:t>Un signifiant vide à l’excès</w:t>
      </w:r>
    </w:p>
    <w:p w14:paraId="244D585A" w14:textId="77777777" w:rsidR="002F4063" w:rsidRPr="004B2498" w:rsidRDefault="002F4063" w:rsidP="002F4063">
      <w:pPr>
        <w:spacing w:before="120" w:after="120"/>
        <w:jc w:val="both"/>
        <w:rPr>
          <w:lang w:eastAsia="fr-FR" w:bidi="fr-FR"/>
        </w:rPr>
      </w:pPr>
    </w:p>
    <w:p w14:paraId="464337D5" w14:textId="77777777" w:rsidR="002F4063" w:rsidRPr="004B2498" w:rsidRDefault="002F4063" w:rsidP="002F4063">
      <w:pPr>
        <w:spacing w:before="120" w:after="120"/>
        <w:jc w:val="both"/>
      </w:pPr>
      <w:r w:rsidRPr="004B2498">
        <w:rPr>
          <w:lang w:eastAsia="fr-FR" w:bidi="fr-FR"/>
        </w:rPr>
        <w:t xml:space="preserve">Après avoir pénétré le petit univers des femmes intellectuelles qui se sont saisi des </w:t>
      </w:r>
      <w:r w:rsidRPr="004B2498">
        <w:t>gender studies,</w:t>
      </w:r>
      <w:r w:rsidRPr="004B2498">
        <w:rPr>
          <w:lang w:eastAsia="fr-FR" w:bidi="fr-FR"/>
        </w:rPr>
        <w:t xml:space="preserve"> le lecteur ne peut qu’être frappé par la spécificité de leurs représentations de ce champ scientifique auquel, de surcroît, elles n’ont qu’un accès partiel - des bribes. Le véritable retournement du regard que provoque chez elles une connaissance largement biaisée et tronquée de ce domaine d’études impose d'insi</w:t>
      </w:r>
      <w:r w:rsidRPr="004B2498">
        <w:rPr>
          <w:lang w:eastAsia="fr-FR" w:bidi="fr-FR"/>
        </w:rPr>
        <w:t>s</w:t>
      </w:r>
      <w:r w:rsidRPr="004B2498">
        <w:rPr>
          <w:lang w:eastAsia="fr-FR" w:bidi="fr-FR"/>
        </w:rPr>
        <w:t>ter sur la dominance du contenant sur le contenu, du signifiant sur le signifié quant au genre en premier lieu, et en second son importation à Canton qui dresse un contexte particulier. C’est en effet dans cette ville, à la pointe de la croissance industrielle chinoise, que la presse connaît la plus grande liberté d’expression et que beaucoup de polit</w:t>
      </w:r>
      <w:r w:rsidRPr="004B2498">
        <w:rPr>
          <w:lang w:eastAsia="fr-FR" w:bidi="fr-FR"/>
        </w:rPr>
        <w:t>i</w:t>
      </w:r>
      <w:r w:rsidRPr="004B2498">
        <w:rPr>
          <w:lang w:eastAsia="fr-FR" w:bidi="fr-FR"/>
        </w:rPr>
        <w:t>ques et de mouvements sociaux débutent. À titre d’exemple, notons que récemment, après le début de la crise financière en 2008, les sala</w:t>
      </w:r>
      <w:r w:rsidRPr="004B2498">
        <w:rPr>
          <w:lang w:eastAsia="fr-FR" w:bidi="fr-FR"/>
        </w:rPr>
        <w:t>i</w:t>
      </w:r>
      <w:r w:rsidRPr="004B2498">
        <w:rPr>
          <w:lang w:eastAsia="fr-FR" w:bidi="fr-FR"/>
        </w:rPr>
        <w:t>res ouvriers sont ainsi régulièrement augmentés tout d’abord dans la province du Guangdong. Mais dans le même moment la règle de l’enfant unique semble fort peu respectée et nombreuses sont les f</w:t>
      </w:r>
      <w:r w:rsidRPr="004B2498">
        <w:rPr>
          <w:lang w:eastAsia="fr-FR" w:bidi="fr-FR"/>
        </w:rPr>
        <w:t>a</w:t>
      </w:r>
      <w:r w:rsidRPr="004B2498">
        <w:rPr>
          <w:lang w:eastAsia="fr-FR" w:bidi="fr-FR"/>
        </w:rPr>
        <w:t>milles qui continuent à refuser que la légitimité de leur préférence masculine concerne l’État. De tous âges, femmes mûres, jeunes fe</w:t>
      </w:r>
      <w:r w:rsidRPr="004B2498">
        <w:rPr>
          <w:lang w:eastAsia="fr-FR" w:bidi="fr-FR"/>
        </w:rPr>
        <w:t>m</w:t>
      </w:r>
      <w:r w:rsidRPr="004B2498">
        <w:rPr>
          <w:lang w:eastAsia="fr-FR" w:bidi="fr-FR"/>
        </w:rPr>
        <w:t>mes, jeunes filles, de tous statuts, professeures, journalistes, débuta</w:t>
      </w:r>
      <w:r w:rsidRPr="004B2498">
        <w:rPr>
          <w:lang w:eastAsia="fr-FR" w:bidi="fr-FR"/>
        </w:rPr>
        <w:t>n</w:t>
      </w:r>
      <w:r w:rsidRPr="004B2498">
        <w:rPr>
          <w:lang w:eastAsia="fr-FR" w:bidi="fr-FR"/>
        </w:rPr>
        <w:t>tes dans leurs carrières ou au contraire au statut élevé, étudiantes, to</w:t>
      </w:r>
      <w:r w:rsidRPr="004B2498">
        <w:rPr>
          <w:lang w:eastAsia="fr-FR" w:bidi="fr-FR"/>
        </w:rPr>
        <w:t>u</w:t>
      </w:r>
      <w:r w:rsidRPr="004B2498">
        <w:rPr>
          <w:lang w:eastAsia="fr-FR" w:bidi="fr-FR"/>
        </w:rPr>
        <w:t xml:space="preserve">tes parlent avec des mots différents d’un chambardement complet de leur vision, introduit par l’information des </w:t>
      </w:r>
      <w:r w:rsidRPr="00767F5A">
        <w:rPr>
          <w:i/>
        </w:rPr>
        <w:t>gender studies</w:t>
      </w:r>
      <w:r w:rsidRPr="00767F5A">
        <w:rPr>
          <w:i/>
          <w:lang w:eastAsia="fr-FR" w:bidi="fr-FR"/>
        </w:rPr>
        <w:t> </w:t>
      </w:r>
      <w:r w:rsidRPr="004B2498">
        <w:rPr>
          <w:lang w:eastAsia="fr-FR" w:bidi="fr-FR"/>
        </w:rPr>
        <w:t>: d’elles-mêmes, de leur histoire familiale, de la société, du politique. Le po</w:t>
      </w:r>
      <w:r w:rsidRPr="004B2498">
        <w:rPr>
          <w:lang w:eastAsia="fr-FR" w:bidi="fr-FR"/>
        </w:rPr>
        <w:t>u</w:t>
      </w:r>
      <w:r w:rsidRPr="004B2498">
        <w:rPr>
          <w:lang w:eastAsia="fr-FR" w:bidi="fr-FR"/>
        </w:rPr>
        <w:t>voir de l’État-Parti en ressort immédiatement attaqué par ce nouveau regard porté sur le monde. Le signifiant genre véhicule ainsi en lui-même comme une forme d’excès et, pour l'anthropologue, c’est la di</w:t>
      </w:r>
      <w:r w:rsidRPr="004B2498">
        <w:rPr>
          <w:lang w:eastAsia="fr-FR" w:bidi="fr-FR"/>
        </w:rPr>
        <w:t>s</w:t>
      </w:r>
      <w:r w:rsidRPr="004B2498">
        <w:rPr>
          <w:lang w:eastAsia="fr-FR" w:bidi="fr-FR"/>
        </w:rPr>
        <w:t>tance qui se creuse sous son nom entre l’outil de gouvernance globale qu’il incarne et son redéploiement par les actrices dans une remise en cause de l’efficience totalisante des structures de domination qui se décline aussi sous l'angle de la dualité sexuelle. S’installe un vide e</w:t>
      </w:r>
      <w:r w:rsidRPr="004B2498">
        <w:rPr>
          <w:lang w:eastAsia="fr-FR" w:bidi="fr-FR"/>
        </w:rPr>
        <w:t>n</w:t>
      </w:r>
      <w:r w:rsidRPr="004B2498">
        <w:rPr>
          <w:lang w:eastAsia="fr-FR" w:bidi="fr-FR"/>
        </w:rPr>
        <w:t>tre l’instrument gestionnaire du capitalisme globalisé - qui contient en lui-même la perspective d’une éradication de tout État-Parti comm</w:t>
      </w:r>
      <w:r w:rsidRPr="004B2498">
        <w:rPr>
          <w:lang w:eastAsia="fr-FR" w:bidi="fr-FR"/>
        </w:rPr>
        <w:t>u</w:t>
      </w:r>
      <w:r w:rsidRPr="004B2498">
        <w:rPr>
          <w:lang w:eastAsia="fr-FR" w:bidi="fr-FR"/>
        </w:rPr>
        <w:t>niste - et l’authenticité des femmes qui entrent en lutte plus ou moins discrètement, dans leur intériorité, ou ouvertement contre le gouve</w:t>
      </w:r>
      <w:r w:rsidRPr="004B2498">
        <w:rPr>
          <w:lang w:eastAsia="fr-FR" w:bidi="fr-FR"/>
        </w:rPr>
        <w:t>r</w:t>
      </w:r>
      <w:r w:rsidRPr="004B2498">
        <w:rPr>
          <w:lang w:eastAsia="fr-FR" w:bidi="fr-FR"/>
        </w:rPr>
        <w:t>nement chinois après avoir découvert en quelque sorte incidemment une accumulation d’injustices et de malversations qui débutent avec leur propre appartenance sexuée mais s’étendent à l’ensemble de l’édifice sociopolitique, démasqué. Ce trou</w:t>
      </w:r>
      <w:r>
        <w:t xml:space="preserve"> </w:t>
      </w:r>
      <w:r w:rsidRPr="004B2498">
        <w:t>[237]</w:t>
      </w:r>
      <w:r>
        <w:t xml:space="preserve"> </w:t>
      </w:r>
      <w:r w:rsidRPr="004B2498">
        <w:rPr>
          <w:lang w:eastAsia="fr-FR" w:bidi="fr-FR"/>
        </w:rPr>
        <w:t>impensé de part et d’autre fait lien et amorce une communication dont le petit cercle des femmes étudiées témoigne.</w:t>
      </w:r>
    </w:p>
    <w:p w14:paraId="1BC1B6A1" w14:textId="77777777" w:rsidR="002F4063" w:rsidRPr="004B2498" w:rsidRDefault="002F4063" w:rsidP="002F4063">
      <w:pPr>
        <w:spacing w:before="120" w:after="120"/>
        <w:jc w:val="both"/>
      </w:pPr>
      <w:r w:rsidRPr="004B2498">
        <w:rPr>
          <w:lang w:eastAsia="fr-FR" w:bidi="fr-FR"/>
        </w:rPr>
        <w:t>Dans cette optique, c’est la dimension à la fois microsociale et gl</w:t>
      </w:r>
      <w:r w:rsidRPr="004B2498">
        <w:rPr>
          <w:lang w:eastAsia="fr-FR" w:bidi="fr-FR"/>
        </w:rPr>
        <w:t>o</w:t>
      </w:r>
      <w:r w:rsidRPr="004B2498">
        <w:rPr>
          <w:lang w:eastAsia="fr-FR" w:bidi="fr-FR"/>
        </w:rPr>
        <w:t>bale du mode de communication initié de cette façon, qui constitue le fait le plus significatif au présent mais aussi au futur. Ce mode de communication, dans ses paramètres globaux, ne peut en effet que se développer, brisant les arguments de la spécificité culturelle chinoise et l’inadaptation actuelle de la population à un régime dit « démocratique ». Dans cette configuration, le signifiant genre part</w:t>
      </w:r>
      <w:r w:rsidRPr="004B2498">
        <w:rPr>
          <w:lang w:eastAsia="fr-FR" w:bidi="fr-FR"/>
        </w:rPr>
        <w:t>i</w:t>
      </w:r>
      <w:r w:rsidRPr="004B2498">
        <w:rPr>
          <w:lang w:eastAsia="fr-FR" w:bidi="fr-FR"/>
        </w:rPr>
        <w:t>cipe d’une logique générale qui - aux doubles niveaux des subjectiv</w:t>
      </w:r>
      <w:r w:rsidRPr="004B2498">
        <w:rPr>
          <w:lang w:eastAsia="fr-FR" w:bidi="fr-FR"/>
        </w:rPr>
        <w:t>i</w:t>
      </w:r>
      <w:r w:rsidRPr="004B2498">
        <w:rPr>
          <w:lang w:eastAsia="fr-FR" w:bidi="fr-FR"/>
        </w:rPr>
        <w:t>tés et de leurs productions collectives - institue des normes globales économiques et politiques, sexuelles et morales. Que le partage de ces normes et l’entreprise de normalisation des États qui les sous-tendent se traduisent par des miettes de retombées sur les conditions d’existence des femmes se révèle contingent dans ce scénario et ne perturbe pas l’avancée d’un agenda porté par les organisations inte</w:t>
      </w:r>
      <w:r w:rsidRPr="004B2498">
        <w:rPr>
          <w:lang w:eastAsia="fr-FR" w:bidi="fr-FR"/>
        </w:rPr>
        <w:t>r</w:t>
      </w:r>
      <w:r w:rsidRPr="004B2498">
        <w:rPr>
          <w:lang w:eastAsia="fr-FR" w:bidi="fr-FR"/>
        </w:rPr>
        <w:t>nationales.</w:t>
      </w:r>
    </w:p>
    <w:p w14:paraId="71880691" w14:textId="77777777" w:rsidR="002F4063" w:rsidRPr="004B2498" w:rsidRDefault="002F4063" w:rsidP="002F4063">
      <w:pPr>
        <w:spacing w:before="120" w:after="120"/>
        <w:jc w:val="both"/>
      </w:pPr>
      <w:r w:rsidRPr="004B2498">
        <w:rPr>
          <w:lang w:eastAsia="fr-FR" w:bidi="fr-FR"/>
        </w:rPr>
        <w:t>En revanche, l’ingénuité des femmes reste entière et peu importe finalement qu’elles soient les dupes de cette histoire, en Chine comme ailleurs, dans les démocraties d’ancienne industrialisation où des in</w:t>
      </w:r>
      <w:r w:rsidRPr="004B2498">
        <w:rPr>
          <w:lang w:eastAsia="fr-FR" w:bidi="fr-FR"/>
        </w:rPr>
        <w:t>é</w:t>
      </w:r>
      <w:r w:rsidRPr="004B2498">
        <w:rPr>
          <w:lang w:eastAsia="fr-FR" w:bidi="fr-FR"/>
        </w:rPr>
        <w:t>galités flagrantes subsistent entre les sexes dans tous les domaines, se nourrissent des dites « réformes » et alimentent ainsi l’expansion du capitalisme sous sa forme financiarisée actuelle.</w:t>
      </w:r>
      <w:r w:rsidRPr="004B2498">
        <w:t xml:space="preserve"> </w:t>
      </w:r>
    </w:p>
    <w:p w14:paraId="0A70DED7" w14:textId="77777777" w:rsidR="002F4063" w:rsidRPr="004B2498" w:rsidRDefault="002F4063" w:rsidP="002F4063">
      <w:pPr>
        <w:spacing w:before="120" w:after="120"/>
        <w:jc w:val="both"/>
      </w:pPr>
    </w:p>
    <w:p w14:paraId="2721A2D1" w14:textId="77777777" w:rsidR="002F4063" w:rsidRPr="004B2498" w:rsidRDefault="002F4063" w:rsidP="002F4063">
      <w:pPr>
        <w:pStyle w:val="p"/>
      </w:pPr>
      <w:r w:rsidRPr="004B2498">
        <w:t>[238]</w:t>
      </w:r>
    </w:p>
    <w:p w14:paraId="506FF50E" w14:textId="77777777" w:rsidR="002F4063" w:rsidRPr="004B2498" w:rsidRDefault="002F4063" w:rsidP="002F4063">
      <w:pPr>
        <w:pStyle w:val="p"/>
      </w:pPr>
      <w:r w:rsidRPr="004B2498">
        <w:br w:type="page"/>
        <w:t>[239]</w:t>
      </w:r>
    </w:p>
    <w:p w14:paraId="7218FEB6" w14:textId="77777777" w:rsidR="002F4063" w:rsidRDefault="002F4063" w:rsidP="002F4063">
      <w:pPr>
        <w:jc w:val="both"/>
      </w:pPr>
    </w:p>
    <w:p w14:paraId="43F08A26" w14:textId="77777777" w:rsidR="002F4063" w:rsidRPr="004B2498" w:rsidRDefault="002F4063" w:rsidP="002F4063">
      <w:pPr>
        <w:jc w:val="both"/>
      </w:pPr>
    </w:p>
    <w:p w14:paraId="7DF09B5C" w14:textId="77777777" w:rsidR="002F4063" w:rsidRPr="002C57DA" w:rsidRDefault="002F4063" w:rsidP="002F4063">
      <w:pPr>
        <w:spacing w:after="120"/>
        <w:ind w:firstLine="0"/>
        <w:jc w:val="center"/>
        <w:rPr>
          <w:b/>
          <w:sz w:val="24"/>
        </w:rPr>
      </w:pPr>
      <w:bookmarkStart w:id="15" w:name="Enjeux_sc_soc_pt_2_texte_5"/>
      <w:r w:rsidRPr="002C57DA">
        <w:rPr>
          <w:b/>
          <w:sz w:val="24"/>
        </w:rPr>
        <w:t>Enjeux épistémologiques et idéologiques</w:t>
      </w:r>
      <w:r w:rsidRPr="002C57DA">
        <w:rPr>
          <w:b/>
          <w:sz w:val="24"/>
        </w:rPr>
        <w:br/>
        <w:t>de la globalisation pour les sciences sociales.</w:t>
      </w:r>
    </w:p>
    <w:p w14:paraId="1285042C" w14:textId="77777777" w:rsidR="002F4063" w:rsidRPr="00386FE1" w:rsidRDefault="002F4063" w:rsidP="002F4063">
      <w:pPr>
        <w:spacing w:after="120"/>
        <w:ind w:firstLine="0"/>
        <w:jc w:val="center"/>
        <w:rPr>
          <w:sz w:val="24"/>
        </w:rPr>
      </w:pPr>
      <w:r>
        <w:rPr>
          <w:sz w:val="24"/>
        </w:rPr>
        <w:t>Deuxième</w:t>
      </w:r>
      <w:r w:rsidRPr="00386FE1">
        <w:rPr>
          <w:sz w:val="24"/>
        </w:rPr>
        <w:t xml:space="preserve"> partie : </w:t>
      </w:r>
      <w:r>
        <w:rPr>
          <w:sz w:val="24"/>
        </w:rPr>
        <w:t>Acteurs et actrices</w:t>
      </w:r>
    </w:p>
    <w:p w14:paraId="13FDC741" w14:textId="77777777" w:rsidR="002F4063" w:rsidRPr="00386FE1" w:rsidRDefault="002F4063" w:rsidP="002F4063">
      <w:pPr>
        <w:pStyle w:val="Titreniveau1"/>
      </w:pPr>
      <w:r>
        <w:t>5</w:t>
      </w:r>
    </w:p>
    <w:p w14:paraId="09D1D618" w14:textId="77777777" w:rsidR="002F4063" w:rsidRPr="004B2498" w:rsidRDefault="002F4063" w:rsidP="002F4063">
      <w:pPr>
        <w:pStyle w:val="Titreniveau2"/>
      </w:pPr>
      <w:r w:rsidRPr="004B2498">
        <w:t>“</w:t>
      </w:r>
      <w:r>
        <w:t>FILLES À ÉLIMINER</w:t>
      </w:r>
      <w:r>
        <w:br/>
        <w:t>AU VIETNAM ?</w:t>
      </w:r>
      <w:r w:rsidRPr="004B2498">
        <w:t>”</w:t>
      </w:r>
    </w:p>
    <w:bookmarkEnd w:id="15"/>
    <w:p w14:paraId="520F0327" w14:textId="77777777" w:rsidR="002F4063" w:rsidRDefault="002F4063" w:rsidP="002F4063">
      <w:pPr>
        <w:jc w:val="both"/>
        <w:rPr>
          <w:szCs w:val="36"/>
        </w:rPr>
      </w:pPr>
    </w:p>
    <w:p w14:paraId="24F8BDFF" w14:textId="77777777" w:rsidR="002F4063" w:rsidRPr="004B2498" w:rsidRDefault="002F4063" w:rsidP="002F4063">
      <w:pPr>
        <w:jc w:val="both"/>
        <w:rPr>
          <w:szCs w:val="36"/>
        </w:rPr>
      </w:pPr>
    </w:p>
    <w:p w14:paraId="759D9668" w14:textId="77777777" w:rsidR="002F4063" w:rsidRPr="004B2498" w:rsidRDefault="002F4063" w:rsidP="002F4063">
      <w:pPr>
        <w:pStyle w:val="suite"/>
      </w:pPr>
      <w:r>
        <w:rPr>
          <w:szCs w:val="24"/>
          <w:lang w:eastAsia="fr-FR" w:bidi="fr-FR"/>
        </w:rPr>
        <w:t>Angelica L.L. WEHRLI </w:t>
      </w:r>
      <w:r>
        <w:rPr>
          <w:rStyle w:val="Appelnotedebasdep"/>
          <w:b w:val="0"/>
        </w:rPr>
        <w:footnoteReference w:customMarkFollows="1" w:id="183"/>
        <w:t>*</w:t>
      </w:r>
    </w:p>
    <w:p w14:paraId="39A00B84" w14:textId="77777777" w:rsidR="002F4063" w:rsidRPr="004B2498" w:rsidRDefault="002F4063" w:rsidP="002F4063">
      <w:pPr>
        <w:spacing w:before="120" w:after="120"/>
        <w:jc w:val="both"/>
      </w:pPr>
    </w:p>
    <w:p w14:paraId="4BE6AAFB" w14:textId="77777777" w:rsidR="002F4063" w:rsidRPr="00890E94" w:rsidRDefault="002F4063" w:rsidP="002F4063">
      <w:pPr>
        <w:spacing w:before="120" w:after="120"/>
        <w:ind w:left="2160"/>
        <w:jc w:val="both"/>
        <w:rPr>
          <w:sz w:val="24"/>
        </w:rPr>
      </w:pPr>
      <w:r w:rsidRPr="00890E94">
        <w:rPr>
          <w:sz w:val="24"/>
        </w:rPr>
        <w:t>« </w:t>
      </w:r>
      <w:r w:rsidRPr="00890E94">
        <w:rPr>
          <w:color w:val="000090"/>
          <w:sz w:val="24"/>
          <w:lang w:eastAsia="fr-FR" w:bidi="fr-FR"/>
        </w:rPr>
        <w:t xml:space="preserve">Môt trãm </w:t>
      </w:r>
      <w:r>
        <w:rPr>
          <w:color w:val="000090"/>
          <w:sz w:val="24"/>
          <w:lang w:eastAsia="fr-FR" w:bidi="fr-FR"/>
        </w:rPr>
        <w:t>c</w:t>
      </w:r>
      <w:r w:rsidRPr="00890E94">
        <w:rPr>
          <w:color w:val="000090"/>
          <w:sz w:val="24"/>
          <w:lang w:eastAsia="fr-FR" w:bidi="fr-FR"/>
        </w:rPr>
        <w:t>on gái không bàng m</w:t>
      </w:r>
      <w:r>
        <w:rPr>
          <w:color w:val="000090"/>
          <w:sz w:val="24"/>
          <w:lang w:eastAsia="fr-FR" w:bidi="fr-FR"/>
        </w:rPr>
        <w:t>ó</w:t>
      </w:r>
      <w:r w:rsidRPr="00890E94">
        <w:rPr>
          <w:color w:val="000090"/>
          <w:sz w:val="24"/>
          <w:lang w:eastAsia="fr-FR" w:bidi="fr-FR"/>
        </w:rPr>
        <w:t>t d</w:t>
      </w:r>
      <w:r>
        <w:rPr>
          <w:color w:val="000090"/>
          <w:sz w:val="24"/>
          <w:lang w:eastAsia="fr-FR" w:bidi="fr-FR"/>
        </w:rPr>
        <w:t>á</w:t>
      </w:r>
      <w:r w:rsidRPr="00890E94">
        <w:rPr>
          <w:color w:val="000090"/>
          <w:sz w:val="24"/>
          <w:lang w:eastAsia="fr-FR" w:bidi="fr-FR"/>
        </w:rPr>
        <w:t>i con trai</w:t>
      </w:r>
      <w:r w:rsidRPr="00890E94">
        <w:rPr>
          <w:color w:val="000090"/>
          <w:sz w:val="24"/>
        </w:rPr>
        <w:t> </w:t>
      </w:r>
      <w:r w:rsidRPr="00890E94">
        <w:rPr>
          <w:sz w:val="24"/>
        </w:rPr>
        <w:t>»</w:t>
      </w:r>
      <w:r>
        <w:rPr>
          <w:sz w:val="24"/>
        </w:rPr>
        <w:br/>
      </w:r>
      <w:r w:rsidRPr="00890E94">
        <w:rPr>
          <w:sz w:val="24"/>
          <w:lang w:eastAsia="fr-FR" w:bidi="fr-FR"/>
        </w:rPr>
        <w:t>(Cent filles n’égalent pas le testicule d’un garçon)</w:t>
      </w:r>
    </w:p>
    <w:p w14:paraId="6B3A4BD4" w14:textId="77777777" w:rsidR="002F4063" w:rsidRPr="00890E94" w:rsidRDefault="002F4063" w:rsidP="002F4063">
      <w:pPr>
        <w:spacing w:before="120" w:after="120"/>
        <w:ind w:left="2160"/>
        <w:jc w:val="right"/>
        <w:rPr>
          <w:sz w:val="24"/>
        </w:rPr>
      </w:pPr>
      <w:r w:rsidRPr="00890E94">
        <w:rPr>
          <w:sz w:val="24"/>
          <w:lang w:eastAsia="fr-FR" w:bidi="fr-FR"/>
        </w:rPr>
        <w:t>Proverbe vietnamien</w:t>
      </w:r>
    </w:p>
    <w:p w14:paraId="367BEC64" w14:textId="77777777" w:rsidR="002F4063" w:rsidRPr="004B2498" w:rsidRDefault="002F4063" w:rsidP="002F4063">
      <w:pPr>
        <w:spacing w:before="120" w:after="120"/>
        <w:jc w:val="both"/>
        <w:rPr>
          <w:lang w:eastAsia="fr-FR" w:bidi="fr-FR"/>
        </w:rPr>
      </w:pPr>
    </w:p>
    <w:p w14:paraId="4B289337" w14:textId="77777777" w:rsidR="002F4063" w:rsidRPr="002C57DA" w:rsidRDefault="002F4063" w:rsidP="002F4063">
      <w:pPr>
        <w:ind w:right="90" w:firstLine="0"/>
        <w:jc w:val="both"/>
        <w:rPr>
          <w:sz w:val="24"/>
        </w:rPr>
      </w:pPr>
      <w:hyperlink w:anchor="sommaire" w:history="1">
        <w:r w:rsidRPr="002C57DA">
          <w:rPr>
            <w:rStyle w:val="Hyperlien"/>
            <w:sz w:val="24"/>
          </w:rPr>
          <w:t>Retour au sommaire</w:t>
        </w:r>
      </w:hyperlink>
    </w:p>
    <w:p w14:paraId="6EA48B7B" w14:textId="77777777" w:rsidR="002F4063" w:rsidRPr="004B2498" w:rsidRDefault="002F4063" w:rsidP="002F4063">
      <w:pPr>
        <w:spacing w:before="120" w:after="120"/>
        <w:jc w:val="both"/>
      </w:pPr>
      <w:r w:rsidRPr="004B2498">
        <w:rPr>
          <w:lang w:eastAsia="fr-FR" w:bidi="fr-FR"/>
        </w:rPr>
        <w:t>Notre but est de voir comment, au Vietnam, les avortements séle</w:t>
      </w:r>
      <w:r w:rsidRPr="004B2498">
        <w:rPr>
          <w:lang w:eastAsia="fr-FR" w:bidi="fr-FR"/>
        </w:rPr>
        <w:t>c</w:t>
      </w:r>
      <w:r w:rsidRPr="004B2498">
        <w:rPr>
          <w:lang w:eastAsia="fr-FR" w:bidi="fr-FR"/>
        </w:rPr>
        <w:t>tifs basés sur le sexe </w:t>
      </w:r>
      <w:r>
        <w:rPr>
          <w:rStyle w:val="Appelnotedebasdep"/>
          <w:lang w:eastAsia="fr-FR" w:bidi="fr-FR"/>
        </w:rPr>
        <w:footnoteReference w:id="184"/>
      </w:r>
      <w:r w:rsidRPr="004B2498">
        <w:rPr>
          <w:lang w:eastAsia="fr-FR" w:bidi="fr-FR"/>
        </w:rPr>
        <w:t xml:space="preserve"> reproduisent les inégalités et comment les di</w:t>
      </w:r>
      <w:r w:rsidRPr="004B2498">
        <w:rPr>
          <w:lang w:eastAsia="fr-FR" w:bidi="fr-FR"/>
        </w:rPr>
        <w:t>s</w:t>
      </w:r>
      <w:r w:rsidRPr="004B2498">
        <w:rPr>
          <w:lang w:eastAsia="fr-FR" w:bidi="fr-FR"/>
        </w:rPr>
        <w:t>cours et les normes globales et locales qui prônent l’égalité des genres entrent en conflit avec les idéaux confucianistes</w:t>
      </w:r>
      <w:r>
        <w:rPr>
          <w:lang w:eastAsia="fr-FR" w:bidi="fr-FR"/>
        </w:rPr>
        <w:t> </w:t>
      </w:r>
      <w:r>
        <w:rPr>
          <w:rStyle w:val="Appelnotedebasdep"/>
          <w:lang w:eastAsia="fr-FR" w:bidi="fr-FR"/>
        </w:rPr>
        <w:footnoteReference w:id="185"/>
      </w:r>
      <w:r w:rsidRPr="004B2498">
        <w:rPr>
          <w:lang w:eastAsia="fr-FR" w:bidi="fr-FR"/>
        </w:rPr>
        <w:t xml:space="preserve"> et patril</w:t>
      </w:r>
      <w:r w:rsidRPr="004B2498">
        <w:rPr>
          <w:lang w:eastAsia="fr-FR" w:bidi="fr-FR"/>
        </w:rPr>
        <w:t>i</w:t>
      </w:r>
      <w:r w:rsidRPr="004B2498">
        <w:rPr>
          <w:lang w:eastAsia="fr-FR" w:bidi="fr-FR"/>
        </w:rPr>
        <w:t>néaires qui soulignent l’importance d’avoir « au moins » un fils, sexe « idéal ».</w:t>
      </w:r>
    </w:p>
    <w:p w14:paraId="3987DA1B" w14:textId="77777777" w:rsidR="002F4063" w:rsidRPr="004B2498" w:rsidRDefault="002F4063" w:rsidP="002F4063">
      <w:pPr>
        <w:spacing w:before="120" w:after="120"/>
        <w:jc w:val="both"/>
      </w:pPr>
      <w:r w:rsidRPr="004B2498">
        <w:rPr>
          <w:lang w:eastAsia="fr-FR" w:bidi="fr-FR"/>
        </w:rPr>
        <w:t>L’intérêt de la situation vietnamienne réside dans la transformation qu’a connue le pays depuis l’instauration des réformes économiques marquées par l’ouverture au marché capitaliste global (localement d</w:t>
      </w:r>
      <w:r w:rsidRPr="004B2498">
        <w:rPr>
          <w:lang w:eastAsia="fr-FR" w:bidi="fr-FR"/>
        </w:rPr>
        <w:t>é</w:t>
      </w:r>
      <w:r w:rsidRPr="004B2498">
        <w:rPr>
          <w:lang w:eastAsia="fr-FR" w:bidi="fr-FR"/>
        </w:rPr>
        <w:t>nommé Dói Mói) en 1986. C’est à partir du recensement de la popul</w:t>
      </w:r>
      <w:r w:rsidRPr="004B2498">
        <w:rPr>
          <w:lang w:eastAsia="fr-FR" w:bidi="fr-FR"/>
        </w:rPr>
        <w:t>a</w:t>
      </w:r>
      <w:r w:rsidRPr="004B2498">
        <w:rPr>
          <w:lang w:eastAsia="fr-FR" w:bidi="fr-FR"/>
        </w:rPr>
        <w:t xml:space="preserve">tion effectué en 1999 que plusieurs chercheurs (Guilmoto </w:t>
      </w:r>
      <w:r w:rsidRPr="004B2498">
        <w:t>et al.,</w:t>
      </w:r>
      <w:r w:rsidRPr="004B2498">
        <w:rPr>
          <w:lang w:eastAsia="fr-FR" w:bidi="fr-FR"/>
        </w:rPr>
        <w:t xml:space="preserve"> 2009) constatent un déséquilibre dans les naissances, indiquant qu’il y aurait plus de garçons que de filles (110/100</w:t>
      </w:r>
      <w:r>
        <w:rPr>
          <w:lang w:eastAsia="fr-FR" w:bidi="fr-FR"/>
        </w:rPr>
        <w:t> </w:t>
      </w:r>
      <w:r>
        <w:rPr>
          <w:rStyle w:val="Appelnotedebasdep"/>
          <w:lang w:eastAsia="fr-FR" w:bidi="fr-FR"/>
        </w:rPr>
        <w:footnoteReference w:id="186"/>
      </w:r>
      <w:r w:rsidRPr="004B2498">
        <w:rPr>
          <w:lang w:eastAsia="fr-FR" w:bidi="fr-FR"/>
        </w:rPr>
        <w:t> : GSO, 2007). Dès 2006, le sexe ratio a commencé à augmenter rapidement : de 109,8 en 2006 jusqu’à 112,1 en 2008 et 110,5 en 2009 (GSO, 2010 : 63). Dans le Delta du Fleuve Rouge, au Nord du Vietnam - il a</w:t>
      </w:r>
      <w:r w:rsidRPr="004B2498">
        <w:t xml:space="preserve"> </w:t>
      </w:r>
      <w:r>
        <w:t xml:space="preserve"> </w:t>
      </w:r>
      <w:r w:rsidRPr="004B2498">
        <w:t>[240]</w:t>
      </w:r>
      <w:r>
        <w:t xml:space="preserve"> </w:t>
      </w:r>
      <w:r w:rsidRPr="004B2498">
        <w:rPr>
          <w:lang w:eastAsia="fr-FR" w:bidi="fr-FR"/>
        </w:rPr>
        <w:t>même atteint 115,3 en 2009 (GSO, 2010 : 63). Ces chiffes mo</w:t>
      </w:r>
      <w:r w:rsidRPr="004B2498">
        <w:rPr>
          <w:lang w:eastAsia="fr-FR" w:bidi="fr-FR"/>
        </w:rPr>
        <w:t>n</w:t>
      </w:r>
      <w:r w:rsidRPr="004B2498">
        <w:rPr>
          <w:lang w:eastAsia="fr-FR" w:bidi="fr-FR"/>
        </w:rPr>
        <w:t>trent qu’il est peu probable que ce phénomène s’inverse prochain</w:t>
      </w:r>
      <w:r w:rsidRPr="004B2498">
        <w:rPr>
          <w:lang w:eastAsia="fr-FR" w:bidi="fr-FR"/>
        </w:rPr>
        <w:t>e</w:t>
      </w:r>
      <w:r w:rsidRPr="004B2498">
        <w:rPr>
          <w:lang w:eastAsia="fr-FR" w:bidi="fr-FR"/>
        </w:rPr>
        <w:t>ment. Si ce processus se poursuit, le déséquilibre des sexes provoqu</w:t>
      </w:r>
      <w:r w:rsidRPr="004B2498">
        <w:rPr>
          <w:lang w:eastAsia="fr-FR" w:bidi="fr-FR"/>
        </w:rPr>
        <w:t>e</w:t>
      </w:r>
      <w:r w:rsidRPr="004B2498">
        <w:rPr>
          <w:lang w:eastAsia="fr-FR" w:bidi="fr-FR"/>
        </w:rPr>
        <w:t>ra des difficultés pour les jeunes gens d’aujourd’hui de trouver une femme dans l’avenir (UNFPA, 2010, 2008). Par ailleurs, il pose déjà des problèmes aux parents confrontés à la décision d’opérer des avo</w:t>
      </w:r>
      <w:r w:rsidRPr="004B2498">
        <w:rPr>
          <w:lang w:eastAsia="fr-FR" w:bidi="fr-FR"/>
        </w:rPr>
        <w:t>r</w:t>
      </w:r>
      <w:r w:rsidRPr="004B2498">
        <w:rPr>
          <w:lang w:eastAsia="fr-FR" w:bidi="fr-FR"/>
        </w:rPr>
        <w:t>tements sélectifs de filles remettant en cause l’hypothèse d’une « égalité » entre femmes et hommes.</w:t>
      </w:r>
    </w:p>
    <w:p w14:paraId="2BC7115B" w14:textId="77777777" w:rsidR="002F4063" w:rsidRPr="004B2498" w:rsidRDefault="002F4063" w:rsidP="002F4063">
      <w:pPr>
        <w:spacing w:before="120" w:after="120"/>
        <w:jc w:val="both"/>
      </w:pPr>
      <w:r w:rsidRPr="004B2498">
        <w:rPr>
          <w:lang w:eastAsia="fr-FR" w:bidi="fr-FR"/>
        </w:rPr>
        <w:t>Notons que l’avortement des filles est aussi répandu en Inde, en Chine, en Corée du Sud et à Taïwan (Senn, 1990) où le déséquilibre des sexes apparaît dès les années 1980 (Attané et Guilmoto, 2007). Comment ce phénomène au Vietnam est-il à la fois le produit des transformations économiques commencées en 1986 et le reflet de la patrilinéarité dominante de la société vietnamienne ?</w:t>
      </w:r>
    </w:p>
    <w:p w14:paraId="0EF197D8" w14:textId="77777777" w:rsidR="002F4063" w:rsidRPr="004B2498" w:rsidRDefault="002F4063" w:rsidP="002F4063">
      <w:pPr>
        <w:spacing w:before="120" w:after="120"/>
        <w:jc w:val="both"/>
      </w:pPr>
      <w:r w:rsidRPr="004B2498">
        <w:rPr>
          <w:lang w:eastAsia="fr-FR" w:bidi="fr-FR"/>
        </w:rPr>
        <w:t>La politique restrictive des « deux enfants » ne s’applique au Vie</w:t>
      </w:r>
      <w:r w:rsidRPr="004B2498">
        <w:rPr>
          <w:lang w:eastAsia="fr-FR" w:bidi="fr-FR"/>
        </w:rPr>
        <w:t>t</w:t>
      </w:r>
      <w:r w:rsidRPr="004B2498">
        <w:rPr>
          <w:lang w:eastAsia="fr-FR" w:bidi="fr-FR"/>
        </w:rPr>
        <w:t xml:space="preserve">nam que pour les </w:t>
      </w:r>
      <w:r w:rsidRPr="004B2498">
        <w:t>Kinh</w:t>
      </w:r>
      <w:r w:rsidRPr="004B2498">
        <w:rPr>
          <w:lang w:eastAsia="fr-FR" w:bidi="fr-FR"/>
        </w:rPr>
        <w:t xml:space="preserve"> majoritaires. Mes recherches </w:t>
      </w:r>
      <w:r>
        <w:rPr>
          <w:rStyle w:val="Appelnotedebasdep"/>
          <w:lang w:eastAsia="fr-FR" w:bidi="fr-FR"/>
        </w:rPr>
        <w:footnoteReference w:id="187"/>
      </w:r>
      <w:r w:rsidRPr="004B2498">
        <w:rPr>
          <w:lang w:eastAsia="fr-FR" w:bidi="fr-FR"/>
        </w:rPr>
        <w:t xml:space="preserve"> ont été conduites à Nam Dinh et à Hanoï, dans le Delta du Fleuve Rouge r</w:t>
      </w:r>
      <w:r w:rsidRPr="004B2498">
        <w:rPr>
          <w:lang w:eastAsia="fr-FR" w:bidi="fr-FR"/>
        </w:rPr>
        <w:t>é</w:t>
      </w:r>
      <w:r w:rsidRPr="004B2498">
        <w:rPr>
          <w:lang w:eastAsia="fr-FR" w:bidi="fr-FR"/>
        </w:rPr>
        <w:t>gion qui se caractérise par le sexe ratio le plus haut du pays (voir t</w:t>
      </w:r>
      <w:r w:rsidRPr="004B2498">
        <w:rPr>
          <w:lang w:eastAsia="fr-FR" w:bidi="fr-FR"/>
        </w:rPr>
        <w:t>a</w:t>
      </w:r>
      <w:r w:rsidRPr="004B2498">
        <w:rPr>
          <w:lang w:eastAsia="fr-FR" w:bidi="fr-FR"/>
        </w:rPr>
        <w:t>bleau) ce qui fait référence à une interprétation rigide des obligations dites trad</w:t>
      </w:r>
      <w:r w:rsidRPr="004B2498">
        <w:rPr>
          <w:lang w:eastAsia="fr-FR" w:bidi="fr-FR"/>
        </w:rPr>
        <w:t>i</w:t>
      </w:r>
      <w:r w:rsidRPr="004B2498">
        <w:rPr>
          <w:lang w:eastAsia="fr-FR" w:bidi="fr-FR"/>
        </w:rPr>
        <w:t>tionnelles.</w:t>
      </w:r>
    </w:p>
    <w:p w14:paraId="655AED64" w14:textId="77777777" w:rsidR="002F4063" w:rsidRPr="004B2498" w:rsidRDefault="002F4063" w:rsidP="002F4063">
      <w:pPr>
        <w:spacing w:before="120" w:after="120"/>
        <w:jc w:val="both"/>
      </w:pPr>
      <w:r w:rsidRPr="004B2498">
        <w:rPr>
          <w:lang w:eastAsia="fr-FR" w:bidi="fr-FR"/>
        </w:rPr>
        <w:t>Contrairement à l’hypothèse que les avortements de fœtus féminins seraient consécutifs aux réformes économiques, il faut souligner l’existence de méthodes coutumières pour favoriser la naissance d’un garçon. Les formes d’avortement sélectif contemporaines reflètent donc, comme un miroir, les inégalités de genre existantes, mais qui étaient moins visibles auparavant. Nous montrerons d’ailleurs co</w:t>
      </w:r>
      <w:r w:rsidRPr="004B2498">
        <w:rPr>
          <w:lang w:eastAsia="fr-FR" w:bidi="fr-FR"/>
        </w:rPr>
        <w:t>m</w:t>
      </w:r>
      <w:r w:rsidRPr="004B2498">
        <w:rPr>
          <w:lang w:eastAsia="fr-FR" w:bidi="fr-FR"/>
        </w:rPr>
        <w:t>ment l’inégalité se reproduit sur la base de l’avortement des fœtus f</w:t>
      </w:r>
      <w:r w:rsidRPr="004B2498">
        <w:rPr>
          <w:lang w:eastAsia="fr-FR" w:bidi="fr-FR"/>
        </w:rPr>
        <w:t>é</w:t>
      </w:r>
      <w:r w:rsidRPr="004B2498">
        <w:rPr>
          <w:lang w:eastAsia="fr-FR" w:bidi="fr-FR"/>
        </w:rPr>
        <w:t>minins et comment la structure de la société vietnamienne reste fort</w:t>
      </w:r>
      <w:r w:rsidRPr="004B2498">
        <w:rPr>
          <w:lang w:eastAsia="fr-FR" w:bidi="fr-FR"/>
        </w:rPr>
        <w:t>e</w:t>
      </w:r>
      <w:r w:rsidRPr="004B2498">
        <w:rPr>
          <w:lang w:eastAsia="fr-FR" w:bidi="fr-FR"/>
        </w:rPr>
        <w:t>ment basée sur des réseaux sociaux familiaux, commerciaux, religieux et d’amitié. Cette interdépendance exerce une pression sur les normes ou actions « non traditionnelles » ou dites déviantes. Notre propos est centré sur les contradictions idéologiques qui se manifestent entre des normes endogènes favorisant un héritier mâle - même si cela implique un avortement féminin - et les discours guidés par des normes glob</w:t>
      </w:r>
      <w:r w:rsidRPr="004B2498">
        <w:rPr>
          <w:lang w:eastAsia="fr-FR" w:bidi="fr-FR"/>
        </w:rPr>
        <w:t>a</w:t>
      </w:r>
      <w:r w:rsidRPr="004B2498">
        <w:rPr>
          <w:lang w:eastAsia="fr-FR" w:bidi="fr-FR"/>
        </w:rPr>
        <w:t>les envisageant une égalité des genres : qui et pour quelles raisons avorter ? Et, théoriquement, comment la domination d’un groupe sur un autre se légitime-t-elle ? Ce qu’on observe, non seulement au Vie</w:t>
      </w:r>
      <w:r w:rsidRPr="004B2498">
        <w:rPr>
          <w:lang w:eastAsia="fr-FR" w:bidi="fr-FR"/>
        </w:rPr>
        <w:t>t</w:t>
      </w:r>
      <w:r w:rsidRPr="004B2498">
        <w:rPr>
          <w:lang w:eastAsia="fr-FR" w:bidi="fr-FR"/>
        </w:rPr>
        <w:t>nam, mais globalement.</w:t>
      </w:r>
      <w:r w:rsidRPr="004B2498">
        <w:t xml:space="preserve"> </w:t>
      </w:r>
    </w:p>
    <w:p w14:paraId="6C5210CF" w14:textId="77777777" w:rsidR="002F4063" w:rsidRPr="004B2498" w:rsidRDefault="002F4063" w:rsidP="002F4063">
      <w:pPr>
        <w:spacing w:before="120" w:after="120"/>
        <w:jc w:val="both"/>
      </w:pPr>
      <w:r w:rsidRPr="004B2498">
        <w:br w:type="page"/>
        <w:t>[241]</w:t>
      </w:r>
    </w:p>
    <w:p w14:paraId="235BBC3A" w14:textId="77777777" w:rsidR="002F4063" w:rsidRPr="004B2498" w:rsidRDefault="002F4063" w:rsidP="002F4063">
      <w:pPr>
        <w:spacing w:before="120" w:after="120"/>
        <w:jc w:val="both"/>
        <w:rPr>
          <w:szCs w:val="2"/>
        </w:rPr>
      </w:pPr>
    </w:p>
    <w:p w14:paraId="1150CD9F" w14:textId="77777777" w:rsidR="002F4063" w:rsidRPr="006B78AD" w:rsidRDefault="002F4063" w:rsidP="002F4063">
      <w:pPr>
        <w:pStyle w:val="figtitre"/>
      </w:pPr>
      <w:r w:rsidRPr="006B78AD">
        <w:t>FIGURE 4.4</w:t>
      </w:r>
    </w:p>
    <w:p w14:paraId="63ED0A5A" w14:textId="77777777" w:rsidR="002F4063" w:rsidRPr="004B2498" w:rsidRDefault="002F4063" w:rsidP="002F4063">
      <w:pPr>
        <w:pStyle w:val="figtitrest"/>
      </w:pPr>
      <w:r w:rsidRPr="004B2498">
        <w:t>Sex ratio at birth by socio-economic region, 2009</w:t>
      </w:r>
    </w:p>
    <w:p w14:paraId="17B30460" w14:textId="77777777" w:rsidR="002F4063" w:rsidRPr="004B2498" w:rsidRDefault="003D1285" w:rsidP="002F4063">
      <w:pPr>
        <w:pStyle w:val="fig"/>
        <w:rPr>
          <w:lang w:eastAsia="fr-FR" w:bidi="fr-FR"/>
        </w:rPr>
      </w:pPr>
      <w:r>
        <w:rPr>
          <w:noProof/>
          <w:lang w:eastAsia="fr-FR" w:bidi="fr-FR"/>
        </w:rPr>
        <w:drawing>
          <wp:inline distT="0" distB="0" distL="0" distR="0" wp14:anchorId="0F80866F" wp14:editId="50B2073F">
            <wp:extent cx="5295900" cy="28194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95900" cy="2819400"/>
                    </a:xfrm>
                    <a:prstGeom prst="rect">
                      <a:avLst/>
                    </a:prstGeom>
                    <a:noFill/>
                    <a:ln>
                      <a:noFill/>
                    </a:ln>
                  </pic:spPr>
                </pic:pic>
              </a:graphicData>
            </a:graphic>
          </wp:inline>
        </w:drawing>
      </w:r>
    </w:p>
    <w:p w14:paraId="49BB9D02" w14:textId="77777777" w:rsidR="002F4063" w:rsidRPr="00A306D0" w:rsidRDefault="002F4063" w:rsidP="002F4063">
      <w:pPr>
        <w:pStyle w:val="figst"/>
      </w:pPr>
      <w:r w:rsidRPr="00A306D0">
        <w:t>Source : GENERAL STATIST1CS OFFICE OF VIETNAM (2010 : 63)</w:t>
      </w:r>
    </w:p>
    <w:p w14:paraId="3D83302A" w14:textId="77777777" w:rsidR="002F4063" w:rsidRPr="004B2498" w:rsidRDefault="002F4063" w:rsidP="002F4063">
      <w:pPr>
        <w:spacing w:before="120" w:after="120"/>
        <w:jc w:val="both"/>
        <w:rPr>
          <w:szCs w:val="2"/>
        </w:rPr>
      </w:pPr>
    </w:p>
    <w:p w14:paraId="6CDB9E50" w14:textId="77777777" w:rsidR="002F4063" w:rsidRPr="004B2498" w:rsidRDefault="002F4063" w:rsidP="002F4063">
      <w:pPr>
        <w:pStyle w:val="a"/>
      </w:pPr>
      <w:r w:rsidRPr="004B2498">
        <w:t>Les femmes vietnamiennes dans le contexte patrilocal</w:t>
      </w:r>
    </w:p>
    <w:p w14:paraId="405541D9" w14:textId="77777777" w:rsidR="002F4063" w:rsidRPr="004B2498" w:rsidRDefault="002F4063" w:rsidP="002F4063">
      <w:pPr>
        <w:spacing w:before="120" w:after="120"/>
        <w:jc w:val="both"/>
        <w:rPr>
          <w:lang w:eastAsia="fr-FR" w:bidi="fr-FR"/>
        </w:rPr>
      </w:pPr>
    </w:p>
    <w:p w14:paraId="21CBF322" w14:textId="77777777" w:rsidR="002F4063" w:rsidRPr="004B2498" w:rsidRDefault="002F4063" w:rsidP="002F4063">
      <w:pPr>
        <w:spacing w:before="120" w:after="120"/>
        <w:jc w:val="both"/>
      </w:pPr>
      <w:r w:rsidRPr="004B2498">
        <w:rPr>
          <w:lang w:eastAsia="fr-FR" w:bidi="fr-FR"/>
        </w:rPr>
        <w:t>L’analyse des avortements féminins sélectifs fait émerger la que</w:t>
      </w:r>
      <w:r w:rsidRPr="004B2498">
        <w:rPr>
          <w:lang w:eastAsia="fr-FR" w:bidi="fr-FR"/>
        </w:rPr>
        <w:t>s</w:t>
      </w:r>
      <w:r w:rsidRPr="004B2498">
        <w:rPr>
          <w:lang w:eastAsia="fr-FR" w:bidi="fr-FR"/>
        </w:rPr>
        <w:t>tion de savoir si l’importance d’avoir « au moins » un garçon a une longue tradition au Vietnam. Les historiens débattent de l’existence ou non de parties du Vietnam autrefois structurées d’une manière matr</w:t>
      </w:r>
      <w:r w:rsidRPr="004B2498">
        <w:rPr>
          <w:lang w:eastAsia="fr-FR" w:bidi="fr-FR"/>
        </w:rPr>
        <w:t>i</w:t>
      </w:r>
      <w:r w:rsidRPr="004B2498">
        <w:rPr>
          <w:lang w:eastAsia="fr-FR" w:bidi="fr-FR"/>
        </w:rPr>
        <w:t>linéaire et matrilocale accordant des droits plus particuliers aux fe</w:t>
      </w:r>
      <w:r w:rsidRPr="004B2498">
        <w:rPr>
          <w:lang w:eastAsia="fr-FR" w:bidi="fr-FR"/>
        </w:rPr>
        <w:t>m</w:t>
      </w:r>
      <w:r w:rsidRPr="004B2498">
        <w:rPr>
          <w:lang w:eastAsia="fr-FR" w:bidi="fr-FR"/>
        </w:rPr>
        <w:t>mes (Wilcox, 2005) : une histoire comme celle des sœurs Trung, ret</w:t>
      </w:r>
      <w:r w:rsidRPr="004B2498">
        <w:rPr>
          <w:lang w:eastAsia="fr-FR" w:bidi="fr-FR"/>
        </w:rPr>
        <w:t>e</w:t>
      </w:r>
      <w:r w:rsidRPr="004B2498">
        <w:rPr>
          <w:lang w:eastAsia="fr-FR" w:bidi="fr-FR"/>
        </w:rPr>
        <w:t>nue par la mémoire collective jusqu’à nos jours, est exemplaire en ce sens </w:t>
      </w:r>
      <w:r>
        <w:rPr>
          <w:rStyle w:val="Appelnotedebasdep"/>
          <w:lang w:eastAsia="fr-FR" w:bidi="fr-FR"/>
        </w:rPr>
        <w:footnoteReference w:id="188"/>
      </w:r>
      <w:r w:rsidRPr="004B2498">
        <w:rPr>
          <w:lang w:eastAsia="fr-FR" w:bidi="fr-FR"/>
        </w:rPr>
        <w:t>.</w:t>
      </w:r>
    </w:p>
    <w:p w14:paraId="283B15E7" w14:textId="77777777" w:rsidR="002F4063" w:rsidRPr="004B2498" w:rsidRDefault="002F4063" w:rsidP="002F4063">
      <w:pPr>
        <w:spacing w:before="120" w:after="120"/>
        <w:jc w:val="both"/>
      </w:pPr>
      <w:r w:rsidRPr="004B2498">
        <w:rPr>
          <w:lang w:eastAsia="fr-FR" w:bidi="fr-FR"/>
        </w:rPr>
        <w:t xml:space="preserve">Si on considère les structures dominantes du groupe </w:t>
      </w:r>
      <w:r w:rsidRPr="00A306D0">
        <w:rPr>
          <w:i/>
        </w:rPr>
        <w:t>Kinh</w:t>
      </w:r>
      <w:r w:rsidRPr="004B2498">
        <w:rPr>
          <w:lang w:eastAsia="fr-FR" w:bidi="fr-FR"/>
        </w:rPr>
        <w:t xml:space="preserve"> major</w:t>
      </w:r>
      <w:r w:rsidRPr="004B2498">
        <w:rPr>
          <w:lang w:eastAsia="fr-FR" w:bidi="fr-FR"/>
        </w:rPr>
        <w:t>i</w:t>
      </w:r>
      <w:r w:rsidRPr="004B2498">
        <w:rPr>
          <w:lang w:eastAsia="fr-FR" w:bidi="fr-FR"/>
        </w:rPr>
        <w:t>taire dans la société vietnamienne, il devient clair que l’importance de la résidence patrilocale, comme structure principale des relations s</w:t>
      </w:r>
      <w:r w:rsidRPr="004B2498">
        <w:rPr>
          <w:lang w:eastAsia="fr-FR" w:bidi="fr-FR"/>
        </w:rPr>
        <w:t>o</w:t>
      </w:r>
      <w:r w:rsidRPr="004B2498">
        <w:rPr>
          <w:lang w:eastAsia="fr-FR" w:bidi="fr-FR"/>
        </w:rPr>
        <w:t>ciales, a une longue et forte tradition (Cadière, 1930 ; Gourou, 1936 ; Hours et Selim, 2003 ; Phan Ke Binh ; 1980 ; Phan Ti Dac, 1966 : 18-24). Le Thi Van Hue constate que, en fonction de ces convictions, les femmes et les filles ne participaient pas aux discussions et ne v</w:t>
      </w:r>
      <w:r w:rsidRPr="004B2498">
        <w:rPr>
          <w:lang w:eastAsia="fr-FR" w:bidi="fr-FR"/>
        </w:rPr>
        <w:t>o</w:t>
      </w:r>
      <w:r w:rsidRPr="004B2498">
        <w:rPr>
          <w:lang w:eastAsia="fr-FR" w:bidi="fr-FR"/>
        </w:rPr>
        <w:t>taient pas dans les affaires du village. Malgré leur contribution sign</w:t>
      </w:r>
      <w:r w:rsidRPr="004B2498">
        <w:rPr>
          <w:lang w:eastAsia="fr-FR" w:bidi="fr-FR"/>
        </w:rPr>
        <w:t>i</w:t>
      </w:r>
      <w:r w:rsidRPr="004B2498">
        <w:rPr>
          <w:lang w:eastAsia="fr-FR" w:bidi="fr-FR"/>
        </w:rPr>
        <w:t>fiante au travail (2004 : 38-39), elles</w:t>
      </w:r>
      <w:r w:rsidRPr="004B2498">
        <w:t xml:space="preserve"> [242]</w:t>
      </w:r>
      <w:r>
        <w:t xml:space="preserve"> </w:t>
      </w:r>
      <w:r w:rsidRPr="004B2498">
        <w:rPr>
          <w:lang w:eastAsia="fr-FR" w:bidi="fr-FR"/>
        </w:rPr>
        <w:t>dépendaient des membres masculins de leurs familles. La situation des femmes en général n’a pas changé pendant l’occupation française. Les femmes travaillaient, au même titre que les hommes - par exe</w:t>
      </w:r>
      <w:r w:rsidRPr="004B2498">
        <w:rPr>
          <w:lang w:eastAsia="fr-FR" w:bidi="fr-FR"/>
        </w:rPr>
        <w:t>m</w:t>
      </w:r>
      <w:r w:rsidRPr="004B2498">
        <w:rPr>
          <w:lang w:eastAsia="fr-FR" w:bidi="fr-FR"/>
        </w:rPr>
        <w:t>ple construire des digues - mais avec une rémunération moindre (Le Thi Van Hue, 2004 : 47). Pendant la réforme des territoires et la période de collectivisation, quelques a</w:t>
      </w:r>
      <w:r w:rsidRPr="004B2498">
        <w:rPr>
          <w:lang w:eastAsia="fr-FR" w:bidi="fr-FR"/>
        </w:rPr>
        <w:t>u</w:t>
      </w:r>
      <w:r w:rsidRPr="004B2498">
        <w:rPr>
          <w:lang w:eastAsia="fr-FR" w:bidi="fr-FR"/>
        </w:rPr>
        <w:t>teurs affirment qu’au sein du pa</w:t>
      </w:r>
      <w:r w:rsidRPr="004B2498">
        <w:rPr>
          <w:lang w:eastAsia="fr-FR" w:bidi="fr-FR"/>
        </w:rPr>
        <w:t>r</w:t>
      </w:r>
      <w:r w:rsidRPr="004B2498">
        <w:rPr>
          <w:lang w:eastAsia="fr-FR" w:bidi="fr-FR"/>
        </w:rPr>
        <w:t>ti communiste (Kleinen, 1999 : 150 : Nguyen Khac Vien, 1970), lors de l’introduction des « nouvelles v</w:t>
      </w:r>
      <w:r w:rsidRPr="004B2498">
        <w:rPr>
          <w:lang w:eastAsia="fr-FR" w:bidi="fr-FR"/>
        </w:rPr>
        <w:t>a</w:t>
      </w:r>
      <w:r w:rsidRPr="004B2498">
        <w:rPr>
          <w:lang w:eastAsia="fr-FR" w:bidi="fr-FR"/>
        </w:rPr>
        <w:t>leurs familiales », les relations e</w:t>
      </w:r>
      <w:r w:rsidRPr="004B2498">
        <w:rPr>
          <w:lang w:eastAsia="fr-FR" w:bidi="fr-FR"/>
        </w:rPr>
        <w:t>n</w:t>
      </w:r>
      <w:r w:rsidRPr="004B2498">
        <w:rPr>
          <w:lang w:eastAsia="fr-FR" w:bidi="fr-FR"/>
        </w:rPr>
        <w:t>tre les genres étaient débattues. En effet le parti communiste reco</w:t>
      </w:r>
      <w:r w:rsidRPr="004B2498">
        <w:rPr>
          <w:lang w:eastAsia="fr-FR" w:bidi="fr-FR"/>
        </w:rPr>
        <w:t>n</w:t>
      </w:r>
      <w:r w:rsidRPr="004B2498">
        <w:rPr>
          <w:lang w:eastAsia="fr-FR" w:bidi="fr-FR"/>
        </w:rPr>
        <w:t>naissait les femmes comme des « esclaves des esclaves », comme les membres les plus exploités d’une société opprimée. Leur émancip</w:t>
      </w:r>
      <w:r w:rsidRPr="004B2498">
        <w:rPr>
          <w:lang w:eastAsia="fr-FR" w:bidi="fr-FR"/>
        </w:rPr>
        <w:t>a</w:t>
      </w:r>
      <w:r w:rsidRPr="004B2498">
        <w:rPr>
          <w:lang w:eastAsia="fr-FR" w:bidi="fr-FR"/>
        </w:rPr>
        <w:t>tion fut donc explicitement liée à la lutte des Vietnamiens contre la domination féodale et capit</w:t>
      </w:r>
      <w:r w:rsidRPr="004B2498">
        <w:rPr>
          <w:lang w:eastAsia="fr-FR" w:bidi="fr-FR"/>
        </w:rPr>
        <w:t>a</w:t>
      </w:r>
      <w:r w:rsidRPr="004B2498">
        <w:rPr>
          <w:lang w:eastAsia="fr-FR" w:bidi="fr-FR"/>
        </w:rPr>
        <w:t>liste (Marr, 1981).</w:t>
      </w:r>
    </w:p>
    <w:p w14:paraId="7DC3FB62" w14:textId="77777777" w:rsidR="002F4063" w:rsidRPr="004B2498" w:rsidRDefault="002F4063" w:rsidP="002F4063">
      <w:pPr>
        <w:spacing w:before="120" w:after="120"/>
        <w:jc w:val="both"/>
      </w:pPr>
      <w:r w:rsidRPr="004B2498">
        <w:rPr>
          <w:lang w:eastAsia="fr-FR" w:bidi="fr-FR"/>
        </w:rPr>
        <w:t>La guerre entre les États-Unis et le Vietnam, qui avait entraîné l’absence de la majorité des hommes incorporés militairement, menait à une redéfinition du statut et du rôle des femmes. Le Thi Van Hue (2004) présume que les relations « traditionnelles » ont été remplacées par des valeurs nouvelles et que les femmes ne sont pas retournées à leur place, la guerre terminée (Le Thi Van Hue, 2004 : 103). Mes r</w:t>
      </w:r>
      <w:r w:rsidRPr="004B2498">
        <w:rPr>
          <w:lang w:eastAsia="fr-FR" w:bidi="fr-FR"/>
        </w:rPr>
        <w:t>e</w:t>
      </w:r>
      <w:r w:rsidRPr="004B2498">
        <w:rPr>
          <w:lang w:eastAsia="fr-FR" w:bidi="fr-FR"/>
        </w:rPr>
        <w:t>cherches, qui se basent sur plus de 200 entretiens qualitatifs et histo</w:t>
      </w:r>
      <w:r w:rsidRPr="004B2498">
        <w:rPr>
          <w:lang w:eastAsia="fr-FR" w:bidi="fr-FR"/>
        </w:rPr>
        <w:t>i</w:t>
      </w:r>
      <w:r w:rsidRPr="004B2498">
        <w:rPr>
          <w:lang w:eastAsia="fr-FR" w:bidi="fr-FR"/>
        </w:rPr>
        <w:t>res orales, montrent qu’un changement tellement radical correspond plutôt à un idéal qu’à l’expérience vécue des femmes (et des ho</w:t>
      </w:r>
      <w:r w:rsidRPr="004B2498">
        <w:rPr>
          <w:lang w:eastAsia="fr-FR" w:bidi="fr-FR"/>
        </w:rPr>
        <w:t>m</w:t>
      </w:r>
      <w:r w:rsidRPr="004B2498">
        <w:rPr>
          <w:lang w:eastAsia="fr-FR" w:bidi="fr-FR"/>
        </w:rPr>
        <w:t>mes) : la majorité des personnes interviewées y affirme que l’idéal basé sur les convictions socialistes de Ho Chi Minh consistait à établir une égalité des sexes - partager les tâches domestiques et attribuer des privilèges d’une manière plus égalitaire - mais qu'en réalité les stru</w:t>
      </w:r>
      <w:r w:rsidRPr="004B2498">
        <w:rPr>
          <w:lang w:eastAsia="fr-FR" w:bidi="fr-FR"/>
        </w:rPr>
        <w:t>c</w:t>
      </w:r>
      <w:r w:rsidRPr="004B2498">
        <w:rPr>
          <w:lang w:eastAsia="fr-FR" w:bidi="fr-FR"/>
        </w:rPr>
        <w:t>tures patrilinéaires étaient réintégrées dès que les hommes rentraient de la guerre </w:t>
      </w:r>
      <w:r>
        <w:rPr>
          <w:rStyle w:val="Appelnotedebasdep"/>
          <w:lang w:eastAsia="fr-FR" w:bidi="fr-FR"/>
        </w:rPr>
        <w:footnoteReference w:id="189"/>
      </w:r>
      <w:r w:rsidRPr="004B2498">
        <w:rPr>
          <w:lang w:eastAsia="fr-FR" w:bidi="fr-FR"/>
        </w:rPr>
        <w:t>.</w:t>
      </w:r>
    </w:p>
    <w:p w14:paraId="628FCED8" w14:textId="77777777" w:rsidR="002F4063" w:rsidRPr="004B2498" w:rsidRDefault="002F4063" w:rsidP="002F4063">
      <w:pPr>
        <w:spacing w:before="120" w:after="120"/>
        <w:jc w:val="both"/>
      </w:pPr>
      <w:r w:rsidRPr="004B2498">
        <w:rPr>
          <w:lang w:eastAsia="fr-FR" w:bidi="fr-FR"/>
        </w:rPr>
        <w:t>La patrilinéarité, et dans un certain sens la structure patriarcale, impliquait que les femmes avaient moins de droits que les hommes : cela ne correspondait pas à une dévalorisation des femmes en général, parce que leur statut et leurs droits à l’héritage ont varié au cours des siècles, en fonction des régions et des classes (Insun Yu, 1999 ; Ta Van Tai, 1981 ; Wilcox, 2005). Néanmoins, Bélanger assure que « tout écrit portant sur la famille vietnamienne dite traditionnelle a</w:t>
      </w:r>
      <w:r w:rsidRPr="004B2498">
        <w:rPr>
          <w:lang w:eastAsia="fr-FR" w:bidi="fr-FR"/>
        </w:rPr>
        <w:t>f</w:t>
      </w:r>
      <w:r w:rsidRPr="004B2498">
        <w:rPr>
          <w:lang w:eastAsia="fr-FR" w:bidi="fr-FR"/>
        </w:rPr>
        <w:t>firme la valeur supérieure du fils par rapport à celle de la fille » (2005 : 287).</w:t>
      </w:r>
    </w:p>
    <w:p w14:paraId="41FF1234" w14:textId="77777777" w:rsidR="002F4063" w:rsidRPr="004B2498" w:rsidRDefault="002F4063" w:rsidP="002F4063">
      <w:pPr>
        <w:spacing w:before="120" w:after="120"/>
        <w:jc w:val="both"/>
      </w:pPr>
      <w:r w:rsidRPr="004B2498">
        <w:t>[243]</w:t>
      </w:r>
    </w:p>
    <w:p w14:paraId="716A37A5" w14:textId="77777777" w:rsidR="002F4063" w:rsidRPr="004B2498" w:rsidRDefault="002F4063" w:rsidP="002F4063">
      <w:pPr>
        <w:spacing w:before="120" w:after="120"/>
        <w:jc w:val="both"/>
      </w:pPr>
    </w:p>
    <w:p w14:paraId="12E59E38" w14:textId="77777777" w:rsidR="002F4063" w:rsidRPr="004B2498" w:rsidRDefault="002F4063" w:rsidP="002F4063">
      <w:pPr>
        <w:pStyle w:val="a"/>
      </w:pPr>
      <w:r w:rsidRPr="004B2498">
        <w:t>L’avortement des filles :</w:t>
      </w:r>
      <w:r w:rsidRPr="004B2498">
        <w:br/>
        <w:t>un phénomène consécutif à l’ouverture au marché ?</w:t>
      </w:r>
    </w:p>
    <w:p w14:paraId="0DF385C4" w14:textId="77777777" w:rsidR="002F4063" w:rsidRPr="004B2498" w:rsidRDefault="002F4063" w:rsidP="002F4063">
      <w:pPr>
        <w:spacing w:before="120" w:after="120"/>
        <w:jc w:val="both"/>
        <w:rPr>
          <w:lang w:eastAsia="fr-FR" w:bidi="fr-FR"/>
        </w:rPr>
      </w:pPr>
    </w:p>
    <w:p w14:paraId="525F6540" w14:textId="77777777" w:rsidR="002F4063" w:rsidRPr="004B2498" w:rsidRDefault="002F4063" w:rsidP="002F4063">
      <w:pPr>
        <w:spacing w:before="120" w:after="120"/>
        <w:jc w:val="both"/>
      </w:pPr>
      <w:r w:rsidRPr="004B2498">
        <w:rPr>
          <w:lang w:eastAsia="fr-FR" w:bidi="fr-FR"/>
        </w:rPr>
        <w:t>Comme plusieurs chercheurs l’indiquent, l’avortement des filles est fortement lié aux convictions patrilocales, qui favorisent l’importance d’un fils (Bélanger, 2006).</w:t>
      </w:r>
    </w:p>
    <w:p w14:paraId="30BC392B" w14:textId="77777777" w:rsidR="002F4063" w:rsidRPr="004B2498" w:rsidRDefault="002F4063" w:rsidP="002F4063">
      <w:pPr>
        <w:spacing w:before="120" w:after="120"/>
        <w:jc w:val="both"/>
      </w:pPr>
      <w:r w:rsidRPr="004B2498">
        <w:rPr>
          <w:lang w:eastAsia="fr-FR" w:bidi="fr-FR"/>
        </w:rPr>
        <w:t>Au cours des siècles, le Vietnam a été impliqué dans de nombre</w:t>
      </w:r>
      <w:r w:rsidRPr="004B2498">
        <w:rPr>
          <w:lang w:eastAsia="fr-FR" w:bidi="fr-FR"/>
        </w:rPr>
        <w:t>u</w:t>
      </w:r>
      <w:r w:rsidRPr="004B2498">
        <w:rPr>
          <w:lang w:eastAsia="fr-FR" w:bidi="fr-FR"/>
        </w:rPr>
        <w:t>ses guerres, et ce jusqu’à la fin des années 1970, rendant la continuité dans les statistiques difficile ou même impossible pendant les derni</w:t>
      </w:r>
      <w:r w:rsidRPr="004B2498">
        <w:rPr>
          <w:lang w:eastAsia="fr-FR" w:bidi="fr-FR"/>
        </w:rPr>
        <w:t>è</w:t>
      </w:r>
      <w:r w:rsidRPr="004B2498">
        <w:rPr>
          <w:lang w:eastAsia="fr-FR" w:bidi="fr-FR"/>
        </w:rPr>
        <w:t>res décennies. Sanjek (1990) affirme que la guerre froide a interrompu les recherches de terrain des anthropologues et sociologues de l’Ouest dans la plupart des pays socialistes. Il n’y a pas, ou peu, de données quantitatives disponibles mesurant le nombre d’avortements féminins et masculins, ni de statistiques susceptibles d’indiquer si les nouvelles nées recevaient les mêmes soins (par exemple en termes de nourriture ou de vaccination). Mais il est important de noter que l’infanticide féminin - comme dans certaines régions de l’Inde ou en Chine - n’existe pas dans la tradition vietnamienne (Bélanger, 2005 : 294).</w:t>
      </w:r>
    </w:p>
    <w:p w14:paraId="3FE9F632" w14:textId="77777777" w:rsidR="002F4063" w:rsidRPr="004B2498" w:rsidRDefault="002F4063" w:rsidP="002F4063">
      <w:pPr>
        <w:spacing w:before="120" w:after="120"/>
        <w:jc w:val="both"/>
      </w:pPr>
      <w:r w:rsidRPr="004B2498">
        <w:rPr>
          <w:lang w:eastAsia="fr-FR" w:bidi="fr-FR"/>
        </w:rPr>
        <w:t>Dès les années 1960, jusqu’à douze semaines et parfois plus, les avortements sont légaux au Vietnam. En fait le Vietnam se range - comme un autre pays (post-) socialiste, Cuba - parmi les pays aux taux d’avortement les plus élevés : en moyenne 2.5 par femme (Hen</w:t>
      </w:r>
      <w:r w:rsidRPr="004B2498">
        <w:rPr>
          <w:lang w:eastAsia="fr-FR" w:bidi="fr-FR"/>
        </w:rPr>
        <w:t>s</w:t>
      </w:r>
      <w:r w:rsidRPr="004B2498">
        <w:rPr>
          <w:lang w:eastAsia="fr-FR" w:bidi="fr-FR"/>
        </w:rPr>
        <w:t xml:space="preserve">haw </w:t>
      </w:r>
      <w:r w:rsidRPr="004B2498">
        <w:t>et al.,</w:t>
      </w:r>
      <w:r w:rsidRPr="004B2498">
        <w:rPr>
          <w:lang w:eastAsia="fr-FR" w:bidi="fr-FR"/>
        </w:rPr>
        <w:t xml:space="preserve"> 1999). Pourtant, et selon la loi vietnamienne, les avort</w:t>
      </w:r>
      <w:r w:rsidRPr="004B2498">
        <w:rPr>
          <w:lang w:eastAsia="fr-FR" w:bidi="fr-FR"/>
        </w:rPr>
        <w:t>e</w:t>
      </w:r>
      <w:r w:rsidRPr="004B2498">
        <w:rPr>
          <w:lang w:eastAsia="fr-FR" w:bidi="fr-FR"/>
        </w:rPr>
        <w:t xml:space="preserve">ments basés sur le choix du sexe de l’enfant et toutes les techniques prénatales pour l’identifier sont officiellement interdits (loi sur la </w:t>
      </w:r>
      <w:r w:rsidRPr="00FD4D5A">
        <w:rPr>
          <w:i/>
        </w:rPr>
        <w:t>Gender Equality</w:t>
      </w:r>
      <w:r w:rsidRPr="004B2498">
        <w:rPr>
          <w:lang w:eastAsia="fr-FR" w:bidi="fr-FR"/>
        </w:rPr>
        <w:t xml:space="preserve"> de décembre 2006). Néanmoins, plusieurs cliniques et même quelques pharmacies proposent la technique des ultrasons et tous les parents curieux du sexe de leur enfant peuvent l’utiliser.</w:t>
      </w:r>
    </w:p>
    <w:p w14:paraId="0D96B243" w14:textId="77777777" w:rsidR="002F4063" w:rsidRPr="004B2498" w:rsidRDefault="002F4063" w:rsidP="002F4063">
      <w:pPr>
        <w:spacing w:before="120" w:after="120"/>
        <w:jc w:val="both"/>
      </w:pPr>
      <w:r w:rsidRPr="004B2498">
        <w:rPr>
          <w:lang w:eastAsia="fr-FR" w:bidi="fr-FR"/>
        </w:rPr>
        <w:t>La recherche de Gammeltoft (1999) affirme que les avortements étaient très répandus dès les années 1960 et qu’ils étaient souvent ut</w:t>
      </w:r>
      <w:r w:rsidRPr="004B2498">
        <w:rPr>
          <w:lang w:eastAsia="fr-FR" w:bidi="fr-FR"/>
        </w:rPr>
        <w:t>i</w:t>
      </w:r>
      <w:r w:rsidRPr="004B2498">
        <w:rPr>
          <w:lang w:eastAsia="fr-FR" w:bidi="fr-FR"/>
        </w:rPr>
        <w:t>lisés comme contraception. D’un côté, elle explique ce fait par le manque de contraceptifs chimiques et mécaniques, et de l’autre, par le refus des hommes d’utiliser des condoms. Mes recherches confirment qu’auparavant, si les avortements étaient souvent pratiqués, ils ne c</w:t>
      </w:r>
      <w:r w:rsidRPr="004B2498">
        <w:rPr>
          <w:lang w:eastAsia="fr-FR" w:bidi="fr-FR"/>
        </w:rPr>
        <w:t>i</w:t>
      </w:r>
      <w:r w:rsidRPr="004B2498">
        <w:rPr>
          <w:lang w:eastAsia="fr-FR" w:bidi="fr-FR"/>
        </w:rPr>
        <w:t>blaient pas seulement les filles mais aussi les garçons, et, qu’avant les réformes économiques, les avortements étaient courants pour contr</w:t>
      </w:r>
      <w:r w:rsidRPr="004B2498">
        <w:rPr>
          <w:lang w:eastAsia="fr-FR" w:bidi="fr-FR"/>
        </w:rPr>
        <w:t>ô</w:t>
      </w:r>
      <w:r w:rsidRPr="004B2498">
        <w:rPr>
          <w:lang w:eastAsia="fr-FR" w:bidi="fr-FR"/>
        </w:rPr>
        <w:t>ler le nombre, mais pas nécessairement le sexe des enfants.</w:t>
      </w:r>
    </w:p>
    <w:p w14:paraId="69415C80" w14:textId="77777777" w:rsidR="002F4063" w:rsidRPr="004B2498" w:rsidRDefault="002F4063" w:rsidP="002F4063">
      <w:pPr>
        <w:spacing w:before="120" w:after="120"/>
        <w:jc w:val="both"/>
      </w:pPr>
      <w:r w:rsidRPr="004B2498">
        <w:rPr>
          <w:lang w:eastAsia="fr-FR" w:bidi="fr-FR"/>
        </w:rPr>
        <w:t>Traditionnellement, des croyances et des procédés promettant la naissance d’un fils étaient répandus au Vietnam. La transmission orale de « recettes » garantissant la naissance d’un fils est dès les années 1990 répertoriée par de nombreuses publications. À côté des positions sexuelles,</w:t>
      </w:r>
      <w:r>
        <w:t xml:space="preserve"> </w:t>
      </w:r>
      <w:r w:rsidRPr="004B2498">
        <w:t>[244]</w:t>
      </w:r>
      <w:r>
        <w:t xml:space="preserve"> </w:t>
      </w:r>
      <w:r w:rsidRPr="004B2498">
        <w:rPr>
          <w:lang w:eastAsia="fr-FR" w:bidi="fr-FR"/>
        </w:rPr>
        <w:t>des recommandations - ou prohibitions - d’aliments appropriés </w:t>
      </w:r>
      <w:r>
        <w:rPr>
          <w:rStyle w:val="Appelnotedebasdep"/>
          <w:lang w:eastAsia="fr-FR" w:bidi="fr-FR"/>
        </w:rPr>
        <w:footnoteReference w:id="190"/>
      </w:r>
      <w:r w:rsidRPr="004B2498">
        <w:rPr>
          <w:lang w:eastAsia="fr-FR" w:bidi="fr-FR"/>
        </w:rPr>
        <w:t>, des jours spécifiques sont proposés pour favoriser la conception d’un garçon ou d’une fille. Dans le cas où les futurs p</w:t>
      </w:r>
      <w:r w:rsidRPr="004B2498">
        <w:rPr>
          <w:lang w:eastAsia="fr-FR" w:bidi="fr-FR"/>
        </w:rPr>
        <w:t>a</w:t>
      </w:r>
      <w:r w:rsidRPr="004B2498">
        <w:rPr>
          <w:lang w:eastAsia="fr-FR" w:bidi="fr-FR"/>
        </w:rPr>
        <w:t>rents ne se fieraient pas à leurs propres calculs, le recours à un devin ou une devineresse est souvent encouragé : il s’agit d’un phénomène très répandu et p</w:t>
      </w:r>
      <w:r w:rsidRPr="004B2498">
        <w:rPr>
          <w:lang w:eastAsia="fr-FR" w:bidi="fr-FR"/>
        </w:rPr>
        <w:t>u</w:t>
      </w:r>
      <w:r w:rsidRPr="004B2498">
        <w:rPr>
          <w:lang w:eastAsia="fr-FR" w:bidi="fr-FR"/>
        </w:rPr>
        <w:t>bliquement pratiqué (p. ex. Selim, 2003a ; 2003b). Bien que le succès de tous ces procédés reste discutable, il est clair que les parents qui souhaitent un fils sont guidés par ces croyances, lesquelles soulignent en outre l’importance de l’effort individuel : alors qu’avant les années quatre-vingt-dix, « l’incapacité » à suivre ces règles était considérée comme l’erreur des parents (et surtout des femmes) et/ou identifiée au mauvais sort transmis des vies passées, les techniques d’aujourd’hui redirigent la responsabilité sur la volonté des parents d’avoir un fils ou pas.</w:t>
      </w:r>
    </w:p>
    <w:p w14:paraId="0B868221" w14:textId="77777777" w:rsidR="002F4063" w:rsidRPr="004B2498" w:rsidRDefault="002F4063" w:rsidP="002F4063">
      <w:pPr>
        <w:spacing w:before="120" w:after="120"/>
        <w:jc w:val="both"/>
      </w:pPr>
      <w:r w:rsidRPr="004B2498">
        <w:rPr>
          <w:lang w:eastAsia="fr-FR" w:bidi="fr-FR"/>
        </w:rPr>
        <w:t>Au début des années quatre-vingt la politique de limitation des naissances à deux enfants est introduite. Bien que cette loi n’ait pas été strictement appliquée - comme des statistiques locales et nation</w:t>
      </w:r>
      <w:r w:rsidRPr="004B2498">
        <w:rPr>
          <w:lang w:eastAsia="fr-FR" w:bidi="fr-FR"/>
        </w:rPr>
        <w:t>a</w:t>
      </w:r>
      <w:r w:rsidRPr="004B2498">
        <w:rPr>
          <w:lang w:eastAsia="fr-FR" w:bidi="fr-FR"/>
        </w:rPr>
        <w:t>les le démontrent - la fertilité est passée d’environ 6 enfants en 1970 à 2,3 en 1999 (National Committee for Population and Family Planning 1999, Bélanger, 2005). En 2009 la moyenne des enfants se réduisait même à 2,03 enfants (1,87 dans les zones urbaines et 2,14 dans les zones rurales), ce qui correspondait au plan idéal du gouvernement (GOS, 2010 : 62 </w:t>
      </w:r>
      <w:r>
        <w:rPr>
          <w:rStyle w:val="Appelnotedebasdep"/>
          <w:lang w:eastAsia="fr-FR" w:bidi="fr-FR"/>
        </w:rPr>
        <w:footnoteReference w:id="191"/>
      </w:r>
      <w:r w:rsidRPr="004B2498">
        <w:rPr>
          <w:lang w:eastAsia="fr-FR" w:bidi="fr-FR"/>
        </w:rPr>
        <w:t>) : une croissance de la population suffisante pour garantir le nombre de travailleurs indispensables au marché tout en prévenant un « boom » des nouveau-nés considéré comme un indic</w:t>
      </w:r>
      <w:r w:rsidRPr="004B2498">
        <w:rPr>
          <w:lang w:eastAsia="fr-FR" w:bidi="fr-FR"/>
        </w:rPr>
        <w:t>a</w:t>
      </w:r>
      <w:r w:rsidRPr="004B2498">
        <w:rPr>
          <w:lang w:eastAsia="fr-FR" w:bidi="fr-FR"/>
        </w:rPr>
        <w:t>teur, qui ralentirait le développement du pays. Cette loi a augmenté la probabilité d’avortement sélectif pour un fœtus féminin.</w:t>
      </w:r>
    </w:p>
    <w:p w14:paraId="423AE77B" w14:textId="77777777" w:rsidR="002F4063" w:rsidRPr="004B2498" w:rsidRDefault="002F4063" w:rsidP="002F4063">
      <w:pPr>
        <w:spacing w:before="120" w:after="120"/>
        <w:jc w:val="both"/>
        <w:rPr>
          <w:szCs w:val="24"/>
          <w:lang w:eastAsia="fr-FR" w:bidi="fr-FR"/>
        </w:rPr>
      </w:pPr>
    </w:p>
    <w:p w14:paraId="68CF3C10" w14:textId="77777777" w:rsidR="002F4063" w:rsidRPr="004B2498" w:rsidRDefault="002F4063" w:rsidP="002F4063">
      <w:pPr>
        <w:pStyle w:val="a"/>
      </w:pPr>
      <w:r w:rsidRPr="004B2498">
        <w:t>Le confucianisme et le culte des ancêtres</w:t>
      </w:r>
    </w:p>
    <w:p w14:paraId="71401E9B" w14:textId="77777777" w:rsidR="002F4063" w:rsidRPr="004B2498" w:rsidRDefault="002F4063" w:rsidP="002F4063">
      <w:pPr>
        <w:spacing w:before="120" w:after="120"/>
        <w:jc w:val="both"/>
        <w:rPr>
          <w:lang w:eastAsia="fr-FR" w:bidi="fr-FR"/>
        </w:rPr>
      </w:pPr>
    </w:p>
    <w:p w14:paraId="43E3169F" w14:textId="77777777" w:rsidR="002F4063" w:rsidRPr="004B2498" w:rsidRDefault="002F4063" w:rsidP="002F4063">
      <w:pPr>
        <w:spacing w:before="120" w:after="120"/>
        <w:jc w:val="both"/>
      </w:pPr>
      <w:r w:rsidRPr="004B2498">
        <w:rPr>
          <w:lang w:eastAsia="fr-FR" w:bidi="fr-FR"/>
        </w:rPr>
        <w:t>Nonobstant les décennies où le pays, socialiste, était officiellement athée, le culte des ancêtres</w:t>
      </w:r>
      <w:r>
        <w:rPr>
          <w:lang w:eastAsia="fr-FR" w:bidi="fr-FR"/>
        </w:rPr>
        <w:t> </w:t>
      </w:r>
      <w:r>
        <w:rPr>
          <w:rStyle w:val="Appelnotedebasdep"/>
          <w:lang w:eastAsia="fr-FR" w:bidi="fr-FR"/>
        </w:rPr>
        <w:footnoteReference w:id="192"/>
      </w:r>
      <w:r w:rsidRPr="004B2498">
        <w:rPr>
          <w:lang w:eastAsia="fr-FR" w:bidi="fr-FR"/>
        </w:rPr>
        <w:t xml:space="preserve"> est resté très répandu au Vietnam. Bien que la majorité des Vietnamiennes se déclarent officiellement athées, nombre d'entre elles</w:t>
      </w:r>
      <w:r>
        <w:t xml:space="preserve"> </w:t>
      </w:r>
      <w:r w:rsidRPr="004B2498">
        <w:t>[245]</w:t>
      </w:r>
      <w:r>
        <w:t xml:space="preserve"> </w:t>
      </w:r>
      <w:r w:rsidRPr="004B2498">
        <w:rPr>
          <w:lang w:eastAsia="fr-FR" w:bidi="fr-FR"/>
        </w:rPr>
        <w:t>s’identifient avec une ou plusieurs formes de culte ou de religion. Selon mes observations, plus de 95% des pe</w:t>
      </w:r>
      <w:r w:rsidRPr="004B2498">
        <w:rPr>
          <w:lang w:eastAsia="fr-FR" w:bidi="fr-FR"/>
        </w:rPr>
        <w:t>r</w:t>
      </w:r>
      <w:r w:rsidRPr="004B2498">
        <w:rPr>
          <w:lang w:eastAsia="fr-FR" w:bidi="fr-FR"/>
        </w:rPr>
        <w:t>sonnes vivant dans le Delta du Fleuve Rouge pratiquent le culte des ancêtres. Comme dans d’autres parties de l’Asie du Sud-Ouest, le culte des ancêtres a une longue tradition : il existait bien avant le confucianisme auquel il a été ultérieurement intégré comme élément essentiel.</w:t>
      </w:r>
    </w:p>
    <w:p w14:paraId="79E7A468" w14:textId="77777777" w:rsidR="002F4063" w:rsidRPr="004B2498" w:rsidRDefault="002F4063" w:rsidP="002F4063">
      <w:pPr>
        <w:spacing w:before="120" w:after="120"/>
        <w:jc w:val="both"/>
      </w:pPr>
      <w:r w:rsidRPr="004B2498">
        <w:rPr>
          <w:lang w:eastAsia="fr-FR" w:bidi="fr-FR"/>
        </w:rPr>
        <w:t>Selon les statistiques officielles, au début du XXI</w:t>
      </w:r>
      <w:r w:rsidRPr="00FD4D5A">
        <w:rPr>
          <w:vertAlign w:val="superscript"/>
          <w:lang w:eastAsia="fr-FR" w:bidi="fr-FR"/>
        </w:rPr>
        <w:t>e</w:t>
      </w:r>
      <w:r w:rsidRPr="004B2498">
        <w:rPr>
          <w:lang w:eastAsia="fr-FR" w:bidi="fr-FR"/>
        </w:rPr>
        <w:t xml:space="preserve"> siècle, la maj</w:t>
      </w:r>
      <w:r w:rsidRPr="004B2498">
        <w:rPr>
          <w:lang w:eastAsia="fr-FR" w:bidi="fr-FR"/>
        </w:rPr>
        <w:t>o</w:t>
      </w:r>
      <w:r w:rsidRPr="004B2498">
        <w:rPr>
          <w:lang w:eastAsia="fr-FR" w:bidi="fr-FR"/>
        </w:rPr>
        <w:t>rité des personnes se déclarait athée (environ 70 millions), suivie des bouddhistes (environ 12 millions), des catholiques (environ 6,5 mi</w:t>
      </w:r>
      <w:r w:rsidRPr="004B2498">
        <w:rPr>
          <w:lang w:eastAsia="fr-FR" w:bidi="fr-FR"/>
        </w:rPr>
        <w:t>l</w:t>
      </w:r>
      <w:r w:rsidRPr="004B2498">
        <w:rPr>
          <w:lang w:eastAsia="fr-FR" w:bidi="fr-FR"/>
        </w:rPr>
        <w:t>lions), des cao dai (2,5 millions), des hoa hoa (1,5 million), des pr</w:t>
      </w:r>
      <w:r w:rsidRPr="004B2498">
        <w:rPr>
          <w:lang w:eastAsia="fr-FR" w:bidi="fr-FR"/>
        </w:rPr>
        <w:t>o</w:t>
      </w:r>
      <w:r w:rsidRPr="004B2498">
        <w:rPr>
          <w:lang w:eastAsia="fr-FR" w:bidi="fr-FR"/>
        </w:rPr>
        <w:t>testants (environ 1 million) et d’autres (2 millions : Baan Ton Giao Chinh Phu ; Govermental Committee for Religious Affairs, 2007). Bien que la liberté de culte soit officielle et que les membres du parti communiste aient eux aussi le droit de pratiquer leur propre religion, cette liberté est plutôt restrictive à l’égard des croyances catholiques, ce qui s’explique principalement par des raisons historiques. Cons</w:t>
      </w:r>
      <w:r w:rsidRPr="004B2498">
        <w:rPr>
          <w:lang w:eastAsia="fr-FR" w:bidi="fr-FR"/>
        </w:rPr>
        <w:t>é</w:t>
      </w:r>
      <w:r w:rsidRPr="004B2498">
        <w:rPr>
          <w:lang w:eastAsia="fr-FR" w:bidi="fr-FR"/>
        </w:rPr>
        <w:t>quemment quelques membres du parti communiste cachent leur foi catholique pour ne pas être exclus du Parti et afin de garantir un av</w:t>
      </w:r>
      <w:r w:rsidRPr="004B2498">
        <w:rPr>
          <w:lang w:eastAsia="fr-FR" w:bidi="fr-FR"/>
        </w:rPr>
        <w:t>e</w:t>
      </w:r>
      <w:r w:rsidRPr="004B2498">
        <w:rPr>
          <w:lang w:eastAsia="fr-FR" w:bidi="fr-FR"/>
        </w:rPr>
        <w:t>nir meilleur à leurs enfants </w:t>
      </w:r>
      <w:r>
        <w:rPr>
          <w:rStyle w:val="Appelnotedebasdep"/>
          <w:lang w:eastAsia="fr-FR" w:bidi="fr-FR"/>
        </w:rPr>
        <w:footnoteReference w:id="193"/>
      </w:r>
      <w:r w:rsidRPr="004B2498">
        <w:rPr>
          <w:lang w:eastAsia="fr-FR" w:bidi="fr-FR"/>
        </w:rPr>
        <w:t xml:space="preserve"> (Informations collectées de 2004 à 2010).</w:t>
      </w:r>
    </w:p>
    <w:p w14:paraId="469B1108" w14:textId="77777777" w:rsidR="002F4063" w:rsidRPr="004B2498" w:rsidRDefault="002F4063" w:rsidP="002F4063">
      <w:pPr>
        <w:spacing w:before="120" w:after="120"/>
        <w:jc w:val="both"/>
      </w:pPr>
      <w:r w:rsidRPr="004B2498">
        <w:rPr>
          <w:lang w:eastAsia="fr-FR" w:bidi="fr-FR"/>
        </w:rPr>
        <w:t xml:space="preserve">La manière dont le culte des ancêtres </w:t>
      </w:r>
      <w:r w:rsidRPr="004B2498">
        <w:t>(</w:t>
      </w:r>
      <w:r w:rsidRPr="00A306D0">
        <w:rPr>
          <w:i/>
        </w:rPr>
        <w:t>Nôi d</w:t>
      </w:r>
      <w:r>
        <w:rPr>
          <w:i/>
        </w:rPr>
        <w:t>õ</w:t>
      </w:r>
      <w:r w:rsidRPr="00A306D0">
        <w:rPr>
          <w:i/>
        </w:rPr>
        <w:t>i tông duòng</w:t>
      </w:r>
      <w:r w:rsidRPr="004B2498">
        <w:t>,</w:t>
      </w:r>
      <w:r w:rsidRPr="004B2498">
        <w:rPr>
          <w:lang w:eastAsia="fr-FR" w:bidi="fr-FR"/>
        </w:rPr>
        <w:t xml:space="preserve"> la continu</w:t>
      </w:r>
      <w:r w:rsidRPr="004B2498">
        <w:rPr>
          <w:lang w:eastAsia="fr-FR" w:bidi="fr-FR"/>
        </w:rPr>
        <w:t>i</w:t>
      </w:r>
      <w:r w:rsidRPr="004B2498">
        <w:rPr>
          <w:lang w:eastAsia="fr-FR" w:bidi="fr-FR"/>
        </w:rPr>
        <w:t>té de la filière familiale) est pratiqué - depuis les offrandes et les dons à la rigueur avec laquelle il est observé - varie dans les d</w:t>
      </w:r>
      <w:r w:rsidRPr="004B2498">
        <w:rPr>
          <w:lang w:eastAsia="fr-FR" w:bidi="fr-FR"/>
        </w:rPr>
        <w:t>é</w:t>
      </w:r>
      <w:r w:rsidRPr="004B2498">
        <w:rPr>
          <w:lang w:eastAsia="fr-FR" w:bidi="fr-FR"/>
        </w:rPr>
        <w:t>tails : la forme, comme la valeur économique et symbolique, qui lui sont attr</w:t>
      </w:r>
      <w:r w:rsidRPr="004B2498">
        <w:rPr>
          <w:lang w:eastAsia="fr-FR" w:bidi="fr-FR"/>
        </w:rPr>
        <w:t>i</w:t>
      </w:r>
      <w:r w:rsidRPr="004B2498">
        <w:rPr>
          <w:lang w:eastAsia="fr-FR" w:bidi="fr-FR"/>
        </w:rPr>
        <w:t>buées dépendent non seulement des contextes socio-économiques de chaque famille, mais aussi de leurs croyances.</w:t>
      </w:r>
    </w:p>
    <w:p w14:paraId="45E9456F" w14:textId="77777777" w:rsidR="002F4063" w:rsidRPr="004B2498" w:rsidRDefault="002F4063" w:rsidP="002F4063">
      <w:pPr>
        <w:spacing w:before="120" w:after="120"/>
        <w:jc w:val="both"/>
      </w:pPr>
      <w:r w:rsidRPr="004B2498">
        <w:rPr>
          <w:lang w:eastAsia="fr-FR" w:bidi="fr-FR"/>
        </w:rPr>
        <w:t>Jusqu’à nos jours le confucianisme structure la société parce qu’il inclut de manière virtuelle tous ses membres dans un réseau mutuel de droits et de privilèges. Le culte des ancêtres est un élément central du confucianisme, et, selon les convictions « traditionnelles », il ne peut être pratiqué que par un fils. Le culte garantit le bien-être des parents et de la parenté dans l’au-delà et donc la continuation de la patriliné</w:t>
      </w:r>
      <w:r w:rsidRPr="004B2498">
        <w:rPr>
          <w:lang w:eastAsia="fr-FR" w:bidi="fr-FR"/>
        </w:rPr>
        <w:t>a</w:t>
      </w:r>
      <w:r w:rsidRPr="004B2498">
        <w:rPr>
          <w:lang w:eastAsia="fr-FR" w:bidi="fr-FR"/>
        </w:rPr>
        <w:t>rité. Comme les bouddhistes, la majorité </w:t>
      </w:r>
      <w:r>
        <w:rPr>
          <w:rStyle w:val="Appelnotedebasdep"/>
          <w:lang w:eastAsia="fr-FR" w:bidi="fr-FR"/>
        </w:rPr>
        <w:footnoteReference w:id="194"/>
      </w:r>
      <w:r w:rsidRPr="004B2498">
        <w:rPr>
          <w:lang w:eastAsia="fr-FR" w:bidi="fr-FR"/>
        </w:rPr>
        <w:t xml:space="preserve"> des catholiques vietn</w:t>
      </w:r>
      <w:r w:rsidRPr="004B2498">
        <w:rPr>
          <w:lang w:eastAsia="fr-FR" w:bidi="fr-FR"/>
        </w:rPr>
        <w:t>a</w:t>
      </w:r>
      <w:r w:rsidRPr="004B2498">
        <w:rPr>
          <w:lang w:eastAsia="fr-FR" w:bidi="fr-FR"/>
        </w:rPr>
        <w:t>miens croient en l’importance du culte des ancêtres. Après le deuxi</w:t>
      </w:r>
      <w:r w:rsidRPr="004B2498">
        <w:rPr>
          <w:lang w:eastAsia="fr-FR" w:bidi="fr-FR"/>
        </w:rPr>
        <w:t>è</w:t>
      </w:r>
      <w:r w:rsidRPr="004B2498">
        <w:rPr>
          <w:lang w:eastAsia="fr-FR" w:bidi="fr-FR"/>
        </w:rPr>
        <w:t>me concile du Vatican, ils ont même reçu le droit exclusif parmi les c</w:t>
      </w:r>
      <w:r w:rsidRPr="004B2498">
        <w:rPr>
          <w:lang w:eastAsia="fr-FR" w:bidi="fr-FR"/>
        </w:rPr>
        <w:t>a</w:t>
      </w:r>
      <w:r w:rsidRPr="004B2498">
        <w:rPr>
          <w:lang w:eastAsia="fr-FR" w:bidi="fr-FR"/>
        </w:rPr>
        <w:t>tholiques de pratiquer le culte des ancêtres.</w:t>
      </w:r>
    </w:p>
    <w:p w14:paraId="211991E3" w14:textId="77777777" w:rsidR="002F4063" w:rsidRPr="004B2498" w:rsidRDefault="002F4063" w:rsidP="002F4063">
      <w:pPr>
        <w:spacing w:before="120" w:after="120"/>
        <w:jc w:val="both"/>
      </w:pPr>
      <w:r w:rsidRPr="004B2498">
        <w:t>[246]</w:t>
      </w:r>
    </w:p>
    <w:p w14:paraId="6CFE6DC8" w14:textId="77777777" w:rsidR="002F4063" w:rsidRPr="004B2498" w:rsidRDefault="002F4063" w:rsidP="002F4063">
      <w:pPr>
        <w:spacing w:before="120" w:after="120"/>
        <w:jc w:val="both"/>
      </w:pPr>
      <w:r w:rsidRPr="004B2498">
        <w:rPr>
          <w:lang w:eastAsia="fr-FR" w:bidi="fr-FR"/>
        </w:rPr>
        <w:t>La pierre angulaire du confucianisme correspond à trois oblig</w:t>
      </w:r>
      <w:r w:rsidRPr="004B2498">
        <w:rPr>
          <w:lang w:eastAsia="fr-FR" w:bidi="fr-FR"/>
        </w:rPr>
        <w:t>a</w:t>
      </w:r>
      <w:r w:rsidRPr="004B2498">
        <w:rPr>
          <w:lang w:eastAsia="fr-FR" w:bidi="fr-FR"/>
        </w:rPr>
        <w:t xml:space="preserve">tions qui diffèrent selon les genres et les générations. Tandis que les hommes doivent respecter le souverain </w:t>
      </w:r>
      <w:r w:rsidRPr="004B2498">
        <w:t>(</w:t>
      </w:r>
      <w:r w:rsidRPr="00A306D0">
        <w:rPr>
          <w:i/>
        </w:rPr>
        <w:t>quân</w:t>
      </w:r>
      <w:r w:rsidRPr="004B2498">
        <w:t>),</w:t>
      </w:r>
      <w:r w:rsidRPr="004B2498">
        <w:rPr>
          <w:lang w:eastAsia="fr-FR" w:bidi="fr-FR"/>
        </w:rPr>
        <w:t xml:space="preserve"> le professeur </w:t>
      </w:r>
      <w:r w:rsidRPr="004B2498">
        <w:t>(</w:t>
      </w:r>
      <w:r w:rsidRPr="00A306D0">
        <w:rPr>
          <w:i/>
        </w:rPr>
        <w:t>su</w:t>
      </w:r>
      <w:r w:rsidRPr="004B2498">
        <w:t>)</w:t>
      </w:r>
      <w:r w:rsidRPr="004B2498">
        <w:rPr>
          <w:lang w:eastAsia="fr-FR" w:bidi="fr-FR"/>
        </w:rPr>
        <w:t xml:space="preserve"> et le père </w:t>
      </w:r>
      <w:r w:rsidRPr="004B2498">
        <w:t>(</w:t>
      </w:r>
      <w:r w:rsidRPr="00A306D0">
        <w:rPr>
          <w:i/>
        </w:rPr>
        <w:t>phu</w:t>
      </w:r>
      <w:r w:rsidRPr="004B2498">
        <w:t>),</w:t>
      </w:r>
      <w:r w:rsidRPr="004B2498">
        <w:rPr>
          <w:lang w:eastAsia="fr-FR" w:bidi="fr-FR"/>
        </w:rPr>
        <w:t xml:space="preserve"> les femmes doivent, depuis leur naissance et jusqu’à leur mort - d’une manière ou d’une autre - obéir aux époux de la parenté. Les filles doivent obéir à leur père ; dès qu’elles sont mariées à leur époux et quand elles sont veuves à leur fils aîné : un fait qui inconte</w:t>
      </w:r>
      <w:r w:rsidRPr="004B2498">
        <w:rPr>
          <w:lang w:eastAsia="fr-FR" w:bidi="fr-FR"/>
        </w:rPr>
        <w:t>s</w:t>
      </w:r>
      <w:r w:rsidRPr="004B2498">
        <w:rPr>
          <w:lang w:eastAsia="fr-FR" w:bidi="fr-FR"/>
        </w:rPr>
        <w:t>tablement renforce la domination masculine et la hiérarchie patril</w:t>
      </w:r>
      <w:r w:rsidRPr="004B2498">
        <w:rPr>
          <w:lang w:eastAsia="fr-FR" w:bidi="fr-FR"/>
        </w:rPr>
        <w:t>i</w:t>
      </w:r>
      <w:r w:rsidRPr="004B2498">
        <w:rPr>
          <w:lang w:eastAsia="fr-FR" w:bidi="fr-FR"/>
        </w:rPr>
        <w:t>néaire. Outre ces obligations, le confucianisme exige d’elles quatre vertus, qui sont formulées d’une manière assez générale, mais qui ont également pour but de définir le comportement adéquat et docile des femmes dans l’attitude (</w:t>
      </w:r>
      <w:r w:rsidRPr="00A306D0">
        <w:rPr>
          <w:i/>
        </w:rPr>
        <w:t>hanh</w:t>
      </w:r>
      <w:r w:rsidRPr="004B2498">
        <w:rPr>
          <w:lang w:eastAsia="fr-FR" w:bidi="fr-FR"/>
        </w:rPr>
        <w:t>), le langage (</w:t>
      </w:r>
      <w:r w:rsidRPr="00A306D0">
        <w:rPr>
          <w:i/>
        </w:rPr>
        <w:t>ngon</w:t>
      </w:r>
      <w:r w:rsidRPr="004B2498">
        <w:rPr>
          <w:lang w:eastAsia="fr-FR" w:bidi="fr-FR"/>
        </w:rPr>
        <w:t>), le travail (</w:t>
      </w:r>
      <w:r w:rsidRPr="00A306D0">
        <w:rPr>
          <w:i/>
        </w:rPr>
        <w:t>cong</w:t>
      </w:r>
      <w:r w:rsidRPr="004B2498">
        <w:rPr>
          <w:lang w:eastAsia="fr-FR" w:bidi="fr-FR"/>
        </w:rPr>
        <w:t>) et l’apparence (</w:t>
      </w:r>
      <w:r w:rsidRPr="00A306D0">
        <w:rPr>
          <w:i/>
        </w:rPr>
        <w:t>dung</w:t>
      </w:r>
      <w:r w:rsidRPr="004B2498">
        <w:rPr>
          <w:lang w:eastAsia="fr-FR" w:bidi="fr-FR"/>
        </w:rPr>
        <w:t>).</w:t>
      </w:r>
    </w:p>
    <w:p w14:paraId="77C673F6" w14:textId="77777777" w:rsidR="002F4063" w:rsidRPr="004B2498" w:rsidRDefault="002F4063" w:rsidP="002F4063">
      <w:pPr>
        <w:spacing w:before="120" w:after="120"/>
        <w:jc w:val="both"/>
      </w:pPr>
      <w:r w:rsidRPr="004B2498">
        <w:rPr>
          <w:lang w:eastAsia="fr-FR" w:bidi="fr-FR"/>
        </w:rPr>
        <w:t>Bourdieu a montré, dans ses travaux sur la société kabyle, co</w:t>
      </w:r>
      <w:r w:rsidRPr="004B2498">
        <w:rPr>
          <w:lang w:eastAsia="fr-FR" w:bidi="fr-FR"/>
        </w:rPr>
        <w:t>m</w:t>
      </w:r>
      <w:r w:rsidRPr="004B2498">
        <w:rPr>
          <w:lang w:eastAsia="fr-FR" w:bidi="fr-FR"/>
        </w:rPr>
        <w:t>ment le comportement moralement « correct » des femmes se disti</w:t>
      </w:r>
      <w:r w:rsidRPr="004B2498">
        <w:rPr>
          <w:lang w:eastAsia="fr-FR" w:bidi="fr-FR"/>
        </w:rPr>
        <w:t>n</w:t>
      </w:r>
      <w:r w:rsidRPr="004B2498">
        <w:rPr>
          <w:lang w:eastAsia="fr-FR" w:bidi="fr-FR"/>
        </w:rPr>
        <w:t>guait de celui des hommes par une série d’actions et de tenues qui re</w:t>
      </w:r>
      <w:r w:rsidRPr="004B2498">
        <w:rPr>
          <w:lang w:eastAsia="fr-FR" w:bidi="fr-FR"/>
        </w:rPr>
        <w:t>n</w:t>
      </w:r>
      <w:r w:rsidRPr="004B2498">
        <w:rPr>
          <w:lang w:eastAsia="fr-FR" w:bidi="fr-FR"/>
        </w:rPr>
        <w:t>forçait leur position socio-économique inférieure (2000). Selon le c</w:t>
      </w:r>
      <w:r w:rsidRPr="004B2498">
        <w:rPr>
          <w:lang w:eastAsia="fr-FR" w:bidi="fr-FR"/>
        </w:rPr>
        <w:t>o</w:t>
      </w:r>
      <w:r w:rsidRPr="004B2498">
        <w:rPr>
          <w:lang w:eastAsia="fr-FR" w:bidi="fr-FR"/>
        </w:rPr>
        <w:t>de de la société kabyle, il n’était pas permis aux femmes de se montrer directement aux yeux des hommes ; elles étaient tenues de marcher derrière l'homme, penchées en avant, alors que les hommes ma</w:t>
      </w:r>
      <w:r w:rsidRPr="004B2498">
        <w:rPr>
          <w:lang w:eastAsia="fr-FR" w:bidi="fr-FR"/>
        </w:rPr>
        <w:t>r</w:t>
      </w:r>
      <w:r w:rsidRPr="004B2498">
        <w:rPr>
          <w:lang w:eastAsia="fr-FR" w:bidi="fr-FR"/>
        </w:rPr>
        <w:t>chaient sûrs d’eux-mêmes et droits </w:t>
      </w:r>
      <w:r>
        <w:rPr>
          <w:rStyle w:val="Appelnotedebasdep"/>
          <w:lang w:eastAsia="fr-FR" w:bidi="fr-FR"/>
        </w:rPr>
        <w:footnoteReference w:id="195"/>
      </w:r>
      <w:r w:rsidRPr="004B2498">
        <w:rPr>
          <w:lang w:eastAsia="fr-FR" w:bidi="fr-FR"/>
        </w:rPr>
        <w:t>. Bien qu’une telle rigueur et une telle opposition de comport</w:t>
      </w:r>
      <w:r w:rsidRPr="004B2498">
        <w:rPr>
          <w:lang w:eastAsia="fr-FR" w:bidi="fr-FR"/>
        </w:rPr>
        <w:t>e</w:t>
      </w:r>
      <w:r w:rsidRPr="004B2498">
        <w:rPr>
          <w:lang w:eastAsia="fr-FR" w:bidi="fr-FR"/>
        </w:rPr>
        <w:t>ment entre hommes et femmes ne soit pas, ou ne soit plus, répandue dans la société vietnamienne au début du XXIe siècle - et ne l’était peut-être même pas pour la société kab</w:t>
      </w:r>
      <w:r w:rsidRPr="004B2498">
        <w:rPr>
          <w:lang w:eastAsia="fr-FR" w:bidi="fr-FR"/>
        </w:rPr>
        <w:t>y</w:t>
      </w:r>
      <w:r w:rsidRPr="004B2498">
        <w:rPr>
          <w:lang w:eastAsia="fr-FR" w:bidi="fr-FR"/>
        </w:rPr>
        <w:t>le, comme quelques critiques l’ont noté - les vertus confucianistes ont également pour but de définir des comportements idéaux entre ho</w:t>
      </w:r>
      <w:r w:rsidRPr="004B2498">
        <w:rPr>
          <w:lang w:eastAsia="fr-FR" w:bidi="fr-FR"/>
        </w:rPr>
        <w:t>m</w:t>
      </w:r>
      <w:r w:rsidRPr="004B2498">
        <w:rPr>
          <w:lang w:eastAsia="fr-FR" w:bidi="fr-FR"/>
        </w:rPr>
        <w:t>mes et femmes. Ngo Thi Ngan Binh (2004 : 47-73) a analysé co</w:t>
      </w:r>
      <w:r w:rsidRPr="004B2498">
        <w:rPr>
          <w:lang w:eastAsia="fr-FR" w:bidi="fr-FR"/>
        </w:rPr>
        <w:t>m</w:t>
      </w:r>
      <w:r w:rsidRPr="004B2498">
        <w:rPr>
          <w:lang w:eastAsia="fr-FR" w:bidi="fr-FR"/>
        </w:rPr>
        <w:t>ment et dans quelle mesure ces comportements ont changé et démo</w:t>
      </w:r>
      <w:r w:rsidRPr="004B2498">
        <w:rPr>
          <w:lang w:eastAsia="fr-FR" w:bidi="fr-FR"/>
        </w:rPr>
        <w:t>n</w:t>
      </w:r>
      <w:r w:rsidRPr="004B2498">
        <w:rPr>
          <w:lang w:eastAsia="fr-FR" w:bidi="fr-FR"/>
        </w:rPr>
        <w:t>tre, que moins strictement ils sont respectés, plus les femmes jouissent de liberté, ce qui leur permet en outre un investissement professionnel.</w:t>
      </w:r>
    </w:p>
    <w:p w14:paraId="135B8A33" w14:textId="77777777" w:rsidR="002F4063" w:rsidRPr="004B2498" w:rsidRDefault="002F4063" w:rsidP="002F4063">
      <w:pPr>
        <w:spacing w:before="120" w:after="120"/>
        <w:jc w:val="both"/>
      </w:pPr>
      <w:r w:rsidRPr="004B2498">
        <w:rPr>
          <w:lang w:eastAsia="fr-FR" w:bidi="fr-FR"/>
        </w:rPr>
        <w:t>Dès les réformes économiques, les quatre vertus et les trois imp</w:t>
      </w:r>
      <w:r w:rsidRPr="004B2498">
        <w:rPr>
          <w:lang w:eastAsia="fr-FR" w:bidi="fr-FR"/>
        </w:rPr>
        <w:t>é</w:t>
      </w:r>
      <w:r w:rsidRPr="004B2498">
        <w:rPr>
          <w:lang w:eastAsia="fr-FR" w:bidi="fr-FR"/>
        </w:rPr>
        <w:t>ratifs d’obéissance sont à nouveau considérés comme des valeurs « traditionnelles » et « vietnamiennes ».</w:t>
      </w:r>
    </w:p>
    <w:p w14:paraId="39D1744F" w14:textId="77777777" w:rsidR="002F4063" w:rsidRPr="004B2498" w:rsidRDefault="002F4063" w:rsidP="002F4063">
      <w:pPr>
        <w:spacing w:before="120" w:after="120"/>
        <w:jc w:val="both"/>
      </w:pPr>
      <w:r w:rsidRPr="004B2498">
        <w:rPr>
          <w:lang w:eastAsia="fr-FR" w:bidi="fr-FR"/>
        </w:rPr>
        <w:t>Les termes « traditionnel » et « moderne » ne seront pas utilisés ici dans un sens normatif, mais en sachant que parfois les mêmes normes et les mêmes valeurs peuvent être identifiées comme modernes ou comme traditionnelles. Nguyen-Vo illustre par exemple comment, avant l’ouverture au marché, les femmes qui travaillaient dans le se</w:t>
      </w:r>
      <w:r w:rsidRPr="004B2498">
        <w:rPr>
          <w:lang w:eastAsia="fr-FR" w:bidi="fr-FR"/>
        </w:rPr>
        <w:t>c</w:t>
      </w:r>
      <w:r w:rsidRPr="004B2498">
        <w:rPr>
          <w:lang w:eastAsia="fr-FR" w:bidi="fr-FR"/>
        </w:rPr>
        <w:t>teur formel de l’État étaient perçues comme « modernes » et le di</w:t>
      </w:r>
      <w:r w:rsidRPr="004B2498">
        <w:rPr>
          <w:lang w:eastAsia="fr-FR" w:bidi="fr-FR"/>
        </w:rPr>
        <w:t>s</w:t>
      </w:r>
      <w:r w:rsidRPr="004B2498">
        <w:rPr>
          <w:lang w:eastAsia="fr-FR" w:bidi="fr-FR"/>
        </w:rPr>
        <w:t>cours officiel saluait leurs</w:t>
      </w:r>
      <w:r>
        <w:t xml:space="preserve"> </w:t>
      </w:r>
      <w:r w:rsidRPr="004B2498">
        <w:t>[247]</w:t>
      </w:r>
      <w:r>
        <w:t xml:space="preserve"> </w:t>
      </w:r>
      <w:r w:rsidRPr="004B2498">
        <w:rPr>
          <w:lang w:eastAsia="fr-FR" w:bidi="fr-FR"/>
        </w:rPr>
        <w:t>valeurs progressistes, dites modernes. Par contre, après ces réformes, les discours officiels tendent à refo</w:t>
      </w:r>
      <w:r w:rsidRPr="004B2498">
        <w:rPr>
          <w:lang w:eastAsia="fr-FR" w:bidi="fr-FR"/>
        </w:rPr>
        <w:t>r</w:t>
      </w:r>
      <w:r w:rsidRPr="004B2498">
        <w:rPr>
          <w:lang w:eastAsia="fr-FR" w:bidi="fr-FR"/>
        </w:rPr>
        <w:t>muler les valeurs des femmes travaillant dans les mêmes secteurs s</w:t>
      </w:r>
      <w:r w:rsidRPr="004B2498">
        <w:rPr>
          <w:lang w:eastAsia="fr-FR" w:bidi="fr-FR"/>
        </w:rPr>
        <w:t>e</w:t>
      </w:r>
      <w:r w:rsidRPr="004B2498">
        <w:rPr>
          <w:lang w:eastAsia="fr-FR" w:bidi="fr-FR"/>
        </w:rPr>
        <w:t>lon la « tradition » : soumission, travail et obéissance en conformité avec les idéaux confucianistes. L’interprétation des actions et des v</w:t>
      </w:r>
      <w:r w:rsidRPr="004B2498">
        <w:rPr>
          <w:lang w:eastAsia="fr-FR" w:bidi="fr-FR"/>
        </w:rPr>
        <w:t>a</w:t>
      </w:r>
      <w:r w:rsidRPr="004B2498">
        <w:rPr>
          <w:lang w:eastAsia="fr-FR" w:bidi="fr-FR"/>
        </w:rPr>
        <w:t>leurs se transforme donc en fon</w:t>
      </w:r>
      <w:r w:rsidRPr="004B2498">
        <w:rPr>
          <w:lang w:eastAsia="fr-FR" w:bidi="fr-FR"/>
        </w:rPr>
        <w:t>c</w:t>
      </w:r>
      <w:r w:rsidRPr="004B2498">
        <w:rPr>
          <w:lang w:eastAsia="fr-FR" w:bidi="fr-FR"/>
        </w:rPr>
        <w:t>tion du point de vue : de « modernes » à « traditionnelles » et vice-versa (Nguyen-Vo, 2008 ; 2006).</w:t>
      </w:r>
    </w:p>
    <w:p w14:paraId="3367D3DD" w14:textId="77777777" w:rsidR="002F4063" w:rsidRPr="004B2498" w:rsidRDefault="002F4063" w:rsidP="002F4063">
      <w:pPr>
        <w:spacing w:before="120" w:after="120"/>
        <w:jc w:val="both"/>
        <w:rPr>
          <w:szCs w:val="24"/>
          <w:lang w:eastAsia="fr-FR" w:bidi="fr-FR"/>
        </w:rPr>
      </w:pPr>
    </w:p>
    <w:p w14:paraId="3137A4F8" w14:textId="77777777" w:rsidR="002F4063" w:rsidRPr="004B2498" w:rsidRDefault="002F4063" w:rsidP="002F4063">
      <w:pPr>
        <w:pStyle w:val="a"/>
      </w:pPr>
      <w:r w:rsidRPr="004B2498">
        <w:t>L’obligation d’avoir « au moins » un fils</w:t>
      </w:r>
      <w:r>
        <w:br/>
      </w:r>
      <w:r w:rsidRPr="004B2498">
        <w:t>- ou des raisons pour avo</w:t>
      </w:r>
      <w:r w:rsidRPr="004B2498">
        <w:t>r</w:t>
      </w:r>
      <w:r w:rsidRPr="004B2498">
        <w:t>ter des filles</w:t>
      </w:r>
    </w:p>
    <w:p w14:paraId="3EC09636" w14:textId="77777777" w:rsidR="002F4063" w:rsidRPr="004B2498" w:rsidRDefault="002F4063" w:rsidP="002F4063">
      <w:pPr>
        <w:spacing w:before="120" w:after="120"/>
        <w:jc w:val="both"/>
        <w:rPr>
          <w:lang w:eastAsia="fr-FR" w:bidi="fr-FR"/>
        </w:rPr>
      </w:pPr>
    </w:p>
    <w:p w14:paraId="7D4F6078" w14:textId="77777777" w:rsidR="002F4063" w:rsidRPr="004B2498" w:rsidRDefault="002F4063" w:rsidP="002F4063">
      <w:pPr>
        <w:spacing w:before="120" w:after="120"/>
        <w:jc w:val="both"/>
      </w:pPr>
      <w:r w:rsidRPr="004B2498">
        <w:rPr>
          <w:lang w:eastAsia="fr-FR" w:bidi="fr-FR"/>
        </w:rPr>
        <w:t>Les motivations pour utiliser les mécanismes du planning familial, afin d’avoir au moins un fils incluent les convictions traditionnelles selon lesquelles les garçons sont essentiels pour garantir la continuité avec les ancêtres, donc le bien-être des parents dès qu’ils seront dans l’au-delà. L’anthropologue Rydstrom a démontré dans sa recherche sur la socialisation des filles au Vietnam, que le corps masculin sy</w:t>
      </w:r>
      <w:r w:rsidRPr="004B2498">
        <w:rPr>
          <w:lang w:eastAsia="fr-FR" w:bidi="fr-FR"/>
        </w:rPr>
        <w:t>m</w:t>
      </w:r>
      <w:r w:rsidRPr="004B2498">
        <w:rPr>
          <w:lang w:eastAsia="fr-FR" w:bidi="fr-FR"/>
        </w:rPr>
        <w:t>bolise « continuité et honneur » (1998) et que le nom de la famille s’inscrit sur le corps du garçon. Le fils est donc perçu comme indi</w:t>
      </w:r>
      <w:r w:rsidRPr="004B2498">
        <w:rPr>
          <w:lang w:eastAsia="fr-FR" w:bidi="fr-FR"/>
        </w:rPr>
        <w:t>s</w:t>
      </w:r>
      <w:r w:rsidRPr="004B2498">
        <w:rPr>
          <w:lang w:eastAsia="fr-FR" w:bidi="fr-FR"/>
        </w:rPr>
        <w:t>pensable pour garantir la continuité patrilinéaire. L’importance d’avoir un fils reste dominante malgré les discours omniprésents pr</w:t>
      </w:r>
      <w:r w:rsidRPr="004B2498">
        <w:rPr>
          <w:lang w:eastAsia="fr-FR" w:bidi="fr-FR"/>
        </w:rPr>
        <w:t>ô</w:t>
      </w:r>
      <w:r w:rsidRPr="004B2498">
        <w:rPr>
          <w:lang w:eastAsia="fr-FR" w:bidi="fr-FR"/>
        </w:rPr>
        <w:t>nant l’égalité des genres.</w:t>
      </w:r>
    </w:p>
    <w:p w14:paraId="6934C70A" w14:textId="77777777" w:rsidR="002F4063" w:rsidRPr="004B2498" w:rsidRDefault="002F4063" w:rsidP="002F4063">
      <w:pPr>
        <w:spacing w:before="120" w:after="120"/>
        <w:jc w:val="both"/>
      </w:pPr>
      <w:r w:rsidRPr="004B2498">
        <w:rPr>
          <w:lang w:eastAsia="fr-FR" w:bidi="fr-FR"/>
        </w:rPr>
        <w:t>Comment expliquer les avortements basés sur le sexe - officiell</w:t>
      </w:r>
      <w:r w:rsidRPr="004B2498">
        <w:rPr>
          <w:lang w:eastAsia="fr-FR" w:bidi="fr-FR"/>
        </w:rPr>
        <w:t>e</w:t>
      </w:r>
      <w:r w:rsidRPr="004B2498">
        <w:rPr>
          <w:lang w:eastAsia="fr-FR" w:bidi="fr-FR"/>
        </w:rPr>
        <w:t>ment illégaux - et qui correspondent à une inégalité prénatale ? L’obligation d’avoir un fils ne signifie pas nécessairement que les fi</w:t>
      </w:r>
      <w:r w:rsidRPr="004B2498">
        <w:rPr>
          <w:lang w:eastAsia="fr-FR" w:bidi="fr-FR"/>
        </w:rPr>
        <w:t>l</w:t>
      </w:r>
      <w:r w:rsidRPr="004B2498">
        <w:rPr>
          <w:lang w:eastAsia="fr-FR" w:bidi="fr-FR"/>
        </w:rPr>
        <w:t>les seront supprimées. Cependant l’obligation étatique de limiter le nombre d’enfants a favorisé des stratégies qui ont mené à ce déséqu</w:t>
      </w:r>
      <w:r w:rsidRPr="004B2498">
        <w:rPr>
          <w:lang w:eastAsia="fr-FR" w:bidi="fr-FR"/>
        </w:rPr>
        <w:t>i</w:t>
      </w:r>
      <w:r w:rsidRPr="004B2498">
        <w:rPr>
          <w:lang w:eastAsia="fr-FR" w:bidi="fr-FR"/>
        </w:rPr>
        <w:t>libre pour différentes raisons.</w:t>
      </w:r>
    </w:p>
    <w:p w14:paraId="28C4B6C2" w14:textId="77777777" w:rsidR="002F4063" w:rsidRPr="004B2498" w:rsidRDefault="002F4063" w:rsidP="002F4063">
      <w:pPr>
        <w:spacing w:before="120" w:after="120"/>
        <w:jc w:val="both"/>
      </w:pPr>
      <w:r w:rsidRPr="004B2498">
        <w:rPr>
          <w:lang w:eastAsia="fr-FR" w:bidi="fr-FR"/>
        </w:rPr>
        <w:t>Des raisons « traditionnelles » : elles s’expliquent par l’aspiration à garantir la continuité de la filière patrilocale, patrilinéaire et, comme Bélanger le note, patriarcale (2005 : 288). Des raisons idéologiques, y compris religieuses, basées sur la conviction que seuls les garçons sont aptes (ou, selon les croyances : légitimes) à pratiquer les rites f</w:t>
      </w:r>
      <w:r w:rsidRPr="004B2498">
        <w:rPr>
          <w:lang w:eastAsia="fr-FR" w:bidi="fr-FR"/>
        </w:rPr>
        <w:t>u</w:t>
      </w:r>
      <w:r w:rsidRPr="004B2498">
        <w:rPr>
          <w:lang w:eastAsia="fr-FR" w:bidi="fr-FR"/>
        </w:rPr>
        <w:t>néraires et encore plus important, à perpétuer le culte des ancêtres, afin de garantir le bien-être des défunts </w:t>
      </w:r>
      <w:r>
        <w:rPr>
          <w:rStyle w:val="Appelnotedebasdep"/>
          <w:lang w:eastAsia="fr-FR" w:bidi="fr-FR"/>
        </w:rPr>
        <w:footnoteReference w:id="196"/>
      </w:r>
      <w:r w:rsidRPr="004B2498">
        <w:rPr>
          <w:lang w:eastAsia="fr-FR" w:bidi="fr-FR"/>
        </w:rPr>
        <w:t> : prières et réunions mais également offrandes matérielles. Certains aliments, de l’alcool, des cigarettes ou des objets </w:t>
      </w:r>
      <w:r>
        <w:rPr>
          <w:rStyle w:val="Appelnotedebasdep"/>
          <w:lang w:eastAsia="fr-FR" w:bidi="fr-FR"/>
        </w:rPr>
        <w:footnoteReference w:id="197"/>
      </w:r>
      <w:r w:rsidRPr="004B2498">
        <w:rPr>
          <w:lang w:eastAsia="fr-FR" w:bidi="fr-FR"/>
        </w:rPr>
        <w:t xml:space="preserve"> désignés sur</w:t>
      </w:r>
      <w:r>
        <w:t xml:space="preserve"> </w:t>
      </w:r>
      <w:r w:rsidRPr="004B2498">
        <w:t>[248]</w:t>
      </w:r>
      <w:r>
        <w:t xml:space="preserve"> </w:t>
      </w:r>
      <w:r w:rsidRPr="004B2498">
        <w:rPr>
          <w:lang w:eastAsia="fr-FR" w:bidi="fr-FR"/>
        </w:rPr>
        <w:t>papier sont présentés devant l’autel des ancêtres avant d’être brûlés pour ainsi les rejoindre dans l’au-delà. L’analyse montre que du Nord au Sud il n’y a pas de consensus sur les raisons de ces offrandes : un premier groupe de pe</w:t>
      </w:r>
      <w:r w:rsidRPr="004B2498">
        <w:rPr>
          <w:lang w:eastAsia="fr-FR" w:bidi="fr-FR"/>
        </w:rPr>
        <w:t>r</w:t>
      </w:r>
      <w:r w:rsidRPr="004B2498">
        <w:rPr>
          <w:lang w:eastAsia="fr-FR" w:bidi="fr-FR"/>
        </w:rPr>
        <w:t>sonnes croit que les offrandes aux morts sont nécessaires pour qu’ils puissent se développer dans l’au-delà et acqu</w:t>
      </w:r>
      <w:r w:rsidRPr="004B2498">
        <w:rPr>
          <w:lang w:eastAsia="fr-FR" w:bidi="fr-FR"/>
        </w:rPr>
        <w:t>é</w:t>
      </w:r>
      <w:r w:rsidRPr="004B2498">
        <w:rPr>
          <w:lang w:eastAsia="fr-FR" w:bidi="fr-FR"/>
        </w:rPr>
        <w:t>rir un statut plus élevé ; le second groupe est convaincu que c’est uniquement grâce à ces o</w:t>
      </w:r>
      <w:r w:rsidRPr="004B2498">
        <w:rPr>
          <w:lang w:eastAsia="fr-FR" w:bidi="fr-FR"/>
        </w:rPr>
        <w:t>f</w:t>
      </w:r>
      <w:r w:rsidRPr="004B2498">
        <w:rPr>
          <w:lang w:eastAsia="fr-FR" w:bidi="fr-FR"/>
        </w:rPr>
        <w:t>frandes que les morts seront capables et disp</w:t>
      </w:r>
      <w:r w:rsidRPr="004B2498">
        <w:rPr>
          <w:lang w:eastAsia="fr-FR" w:bidi="fr-FR"/>
        </w:rPr>
        <w:t>o</w:t>
      </w:r>
      <w:r w:rsidRPr="004B2498">
        <w:rPr>
          <w:lang w:eastAsia="fr-FR" w:bidi="fr-FR"/>
        </w:rPr>
        <w:t>sés à aider ou protéger les vivants - plus on offre aux morts, plus on en bénéficie soi-même.</w:t>
      </w:r>
    </w:p>
    <w:p w14:paraId="1DA3E813" w14:textId="77777777" w:rsidR="002F4063" w:rsidRPr="004B2498" w:rsidRDefault="002F4063" w:rsidP="002F4063">
      <w:pPr>
        <w:spacing w:before="120" w:after="120"/>
        <w:jc w:val="both"/>
      </w:pPr>
      <w:r w:rsidRPr="004B2498">
        <w:rPr>
          <w:lang w:eastAsia="fr-FR" w:bidi="fr-FR"/>
        </w:rPr>
        <w:t>Ces réflexions font référence à un investissement rationnel qui a</w:t>
      </w:r>
      <w:r w:rsidRPr="004B2498">
        <w:rPr>
          <w:lang w:eastAsia="fr-FR" w:bidi="fr-FR"/>
        </w:rPr>
        <w:t>s</w:t>
      </w:r>
      <w:r w:rsidRPr="004B2498">
        <w:rPr>
          <w:lang w:eastAsia="fr-FR" w:bidi="fr-FR"/>
        </w:rPr>
        <w:t>pire à garantir un avenir meilleur. Le second groupe, celui qui croit que les morts pourront protéger les vivants en échange d’offrandes et de sacrifices, correspond aux personnes qui accordent le plus d’importance au fait d’avoir un fils et qui par conséquent montreront moins ou aucun scrupule vis-à-vis des avortements féminins.</w:t>
      </w:r>
    </w:p>
    <w:p w14:paraId="340AF233" w14:textId="77777777" w:rsidR="002F4063" w:rsidRPr="004B2498" w:rsidRDefault="002F4063" w:rsidP="002F4063">
      <w:pPr>
        <w:spacing w:before="120" w:after="120"/>
        <w:jc w:val="both"/>
      </w:pPr>
      <w:r w:rsidRPr="004B2498">
        <w:rPr>
          <w:lang w:eastAsia="fr-FR" w:bidi="fr-FR"/>
        </w:rPr>
        <w:t>Au Vietnam, la patrilinéarité et aussi la patrilocalité demeurent très répandues. On attend donc communément d'un fils qu’il prenne soin de ses parents dans leur troisième âge, tâche qui revient surtout à sa femme.</w:t>
      </w:r>
    </w:p>
    <w:p w14:paraId="22FA6B71" w14:textId="77777777" w:rsidR="002F4063" w:rsidRPr="004B2498" w:rsidRDefault="002F4063" w:rsidP="002F4063">
      <w:pPr>
        <w:spacing w:before="120" w:after="120"/>
        <w:jc w:val="both"/>
      </w:pPr>
      <w:r w:rsidRPr="004B2498">
        <w:rPr>
          <w:lang w:eastAsia="fr-FR" w:bidi="fr-FR"/>
        </w:rPr>
        <w:t>La pression sociale reste puissante, malgré les changements s</w:t>
      </w:r>
      <w:r w:rsidRPr="004B2498">
        <w:rPr>
          <w:lang w:eastAsia="fr-FR" w:bidi="fr-FR"/>
        </w:rPr>
        <w:t>o</w:t>
      </w:r>
      <w:r w:rsidRPr="004B2498">
        <w:rPr>
          <w:lang w:eastAsia="fr-FR" w:bidi="fr-FR"/>
        </w:rPr>
        <w:t>cioéconomiques intervenus ces dernières années. Les femmes qui ont intériorisé leur statut « inférieur » préfèrent un garçon. En effet dès qu'une femme vietnamienne accouche d’un garçon, son statut s’améliore considérablement ; et même si son époux choisissait dans le futur de s’engager publiquement dans des affaires extraconjugales, sa pos</w:t>
      </w:r>
      <w:r w:rsidRPr="004B2498">
        <w:rPr>
          <w:lang w:eastAsia="fr-FR" w:bidi="fr-FR"/>
        </w:rPr>
        <w:t>i</w:t>
      </w:r>
      <w:r w:rsidRPr="004B2498">
        <w:rPr>
          <w:lang w:eastAsia="fr-FR" w:bidi="fr-FR"/>
        </w:rPr>
        <w:t>tion resterait stable : en accord avec les règles patrilocales - car c’est son corps qui a assuré la patrilinéarité - elle aurait la possibilité de continuer à vivre chez ses beaux-parents. L’accouchement d’un garçon garantit donc une plus grande stabilité au sens économique et social. D’un autre côté, l’intériorisation de ces valeurs - les femmes elles-mêmes sont convaincues que la valeur d’un garçon surpasse ce</w:t>
      </w:r>
      <w:r w:rsidRPr="004B2498">
        <w:rPr>
          <w:lang w:eastAsia="fr-FR" w:bidi="fr-FR"/>
        </w:rPr>
        <w:t>l</w:t>
      </w:r>
      <w:r w:rsidRPr="004B2498">
        <w:rPr>
          <w:lang w:eastAsia="fr-FR" w:bidi="fr-FR"/>
        </w:rPr>
        <w:t>le d’une fille - peut les amener, pour des raisons parfois contradicto</w:t>
      </w:r>
      <w:r w:rsidRPr="004B2498">
        <w:rPr>
          <w:lang w:eastAsia="fr-FR" w:bidi="fr-FR"/>
        </w:rPr>
        <w:t>i</w:t>
      </w:r>
      <w:r w:rsidRPr="004B2498">
        <w:rPr>
          <w:lang w:eastAsia="fr-FR" w:bidi="fr-FR"/>
        </w:rPr>
        <w:t>res, à préférer avorter, pour éviter par exemple de reproduire leur sort inférieur </w:t>
      </w:r>
      <w:r>
        <w:rPr>
          <w:rStyle w:val="Appelnotedebasdep"/>
          <w:lang w:eastAsia="fr-FR" w:bidi="fr-FR"/>
        </w:rPr>
        <w:footnoteReference w:id="198"/>
      </w:r>
      <w:r w:rsidRPr="004B2498">
        <w:rPr>
          <w:lang w:eastAsia="fr-FR" w:bidi="fr-FR"/>
        </w:rPr>
        <w:t>. En outre, les femmes qui acceptent activement le syst</w:t>
      </w:r>
      <w:r w:rsidRPr="004B2498">
        <w:rPr>
          <w:lang w:eastAsia="fr-FR" w:bidi="fr-FR"/>
        </w:rPr>
        <w:t>è</w:t>
      </w:r>
      <w:r w:rsidRPr="004B2498">
        <w:rPr>
          <w:lang w:eastAsia="fr-FR" w:bidi="fr-FR"/>
        </w:rPr>
        <w:t>me patr</w:t>
      </w:r>
      <w:r w:rsidRPr="004B2498">
        <w:rPr>
          <w:lang w:eastAsia="fr-FR" w:bidi="fr-FR"/>
        </w:rPr>
        <w:t>i</w:t>
      </w:r>
      <w:r w:rsidRPr="004B2498">
        <w:rPr>
          <w:lang w:eastAsia="fr-FR" w:bidi="fr-FR"/>
        </w:rPr>
        <w:t>linéaire en assumant sa légitimation sont plus estimées que celles qui le mettent en question en refusant de le reproduire - au sens propre du terme. Ce cercle, dans lequel les opprimés ou les personnes qui sou</w:t>
      </w:r>
      <w:r w:rsidRPr="004B2498">
        <w:rPr>
          <w:lang w:eastAsia="fr-FR" w:bidi="fr-FR"/>
        </w:rPr>
        <w:t>f</w:t>
      </w:r>
      <w:r w:rsidRPr="004B2498">
        <w:rPr>
          <w:lang w:eastAsia="fr-FR" w:bidi="fr-FR"/>
        </w:rPr>
        <w:t>frent de discriminations les reproduisent, est bien connu.</w:t>
      </w:r>
    </w:p>
    <w:p w14:paraId="7BF88A84" w14:textId="77777777" w:rsidR="002F4063" w:rsidRPr="004B2498" w:rsidRDefault="002F4063" w:rsidP="002F4063">
      <w:pPr>
        <w:spacing w:before="120" w:after="120"/>
        <w:jc w:val="both"/>
      </w:pPr>
      <w:r w:rsidRPr="004B2498">
        <w:t>[249]</w:t>
      </w:r>
    </w:p>
    <w:p w14:paraId="08E6DA33" w14:textId="77777777" w:rsidR="002F4063" w:rsidRPr="004B2498" w:rsidRDefault="002F4063" w:rsidP="002F4063">
      <w:pPr>
        <w:spacing w:before="120" w:after="120"/>
        <w:jc w:val="both"/>
      </w:pPr>
      <w:r w:rsidRPr="004B2498">
        <w:rPr>
          <w:lang w:eastAsia="fr-FR" w:bidi="fr-FR"/>
        </w:rPr>
        <w:t>Mais une fois ces raisons exposées qui légitiment l’importance d’un fils, une question surgit : comment les avortements sont-ils lég</w:t>
      </w:r>
      <w:r w:rsidRPr="004B2498">
        <w:rPr>
          <w:lang w:eastAsia="fr-FR" w:bidi="fr-FR"/>
        </w:rPr>
        <w:t>i</w:t>
      </w:r>
      <w:r w:rsidRPr="004B2498">
        <w:rPr>
          <w:lang w:eastAsia="fr-FR" w:bidi="fr-FR"/>
        </w:rPr>
        <w:t>timés au niveau local ?</w:t>
      </w:r>
    </w:p>
    <w:p w14:paraId="1B4D8DE7" w14:textId="77777777" w:rsidR="002F4063" w:rsidRPr="004B2498" w:rsidRDefault="002F4063" w:rsidP="002F4063">
      <w:pPr>
        <w:spacing w:before="120" w:after="120"/>
        <w:jc w:val="both"/>
        <w:rPr>
          <w:szCs w:val="24"/>
          <w:lang w:eastAsia="fr-FR" w:bidi="fr-FR"/>
        </w:rPr>
      </w:pPr>
    </w:p>
    <w:p w14:paraId="09499350" w14:textId="77777777" w:rsidR="002F4063" w:rsidRPr="004B2498" w:rsidRDefault="002F4063" w:rsidP="002F4063">
      <w:pPr>
        <w:pStyle w:val="a"/>
      </w:pPr>
      <w:r w:rsidRPr="004B2498">
        <w:t>Le tabou des avortements</w:t>
      </w:r>
    </w:p>
    <w:p w14:paraId="66A526F9" w14:textId="77777777" w:rsidR="002F4063" w:rsidRPr="004B2498" w:rsidRDefault="002F4063" w:rsidP="002F4063">
      <w:pPr>
        <w:spacing w:before="120" w:after="120"/>
        <w:jc w:val="both"/>
        <w:rPr>
          <w:lang w:eastAsia="fr-FR" w:bidi="fr-FR"/>
        </w:rPr>
      </w:pPr>
    </w:p>
    <w:p w14:paraId="68D50029" w14:textId="77777777" w:rsidR="002F4063" w:rsidRPr="004B2498" w:rsidRDefault="002F4063" w:rsidP="002F4063">
      <w:pPr>
        <w:spacing w:before="120" w:after="120"/>
        <w:jc w:val="both"/>
      </w:pPr>
      <w:r w:rsidRPr="004B2498">
        <w:rPr>
          <w:lang w:eastAsia="fr-FR" w:bidi="fr-FR"/>
        </w:rPr>
        <w:t>Chaque société a ses thèmes tabous et tandis que certains tabous sont universels, d’autres varient de pays en pays. Au Vietnam, les questions concernant l’âge, le statut familial et le nombre d’enfants ne représentent pas un tabou comme dans d’autres sociétés. Elles sont socialement acceptées et même attendues... et indispensables pour s’adresser correctement à son interlocuteur en vietnamien.</w:t>
      </w:r>
    </w:p>
    <w:p w14:paraId="4E741FB4" w14:textId="77777777" w:rsidR="002F4063" w:rsidRPr="004B2498" w:rsidRDefault="002F4063" w:rsidP="002F4063">
      <w:pPr>
        <w:spacing w:before="120" w:after="120"/>
        <w:jc w:val="both"/>
      </w:pPr>
      <w:r w:rsidRPr="004B2498">
        <w:rPr>
          <w:lang w:eastAsia="fr-FR" w:bidi="fr-FR"/>
        </w:rPr>
        <w:t>Comment expliquer que la plupart des personnes interviewées aient nié la prédominance des avortements sélectifs de filles et même prétendu que, les deux sexes ayant la même valeur, ceci rendrait ces avortements insignifiants ?</w:t>
      </w:r>
    </w:p>
    <w:p w14:paraId="57F10B10" w14:textId="77777777" w:rsidR="002F4063" w:rsidRPr="004B2498" w:rsidRDefault="002F4063" w:rsidP="002F4063">
      <w:pPr>
        <w:spacing w:before="120" w:after="120"/>
        <w:jc w:val="both"/>
      </w:pPr>
      <w:r w:rsidRPr="004B2498">
        <w:rPr>
          <w:lang w:eastAsia="fr-FR" w:bidi="fr-FR"/>
        </w:rPr>
        <w:t>Le fait de taire ou prétendre que même des cas publiquement connus représentent des exceptions suggère un thème tabou. En a</w:t>
      </w:r>
      <w:r w:rsidRPr="004B2498">
        <w:rPr>
          <w:lang w:eastAsia="fr-FR" w:bidi="fr-FR"/>
        </w:rPr>
        <w:t>c</w:t>
      </w:r>
      <w:r w:rsidRPr="004B2498">
        <w:rPr>
          <w:lang w:eastAsia="fr-FR" w:bidi="fr-FR"/>
        </w:rPr>
        <w:t>cord avec ces stratégies pour voiler le phénomène, des discours l</w:t>
      </w:r>
      <w:r w:rsidRPr="004B2498">
        <w:rPr>
          <w:lang w:eastAsia="fr-FR" w:bidi="fr-FR"/>
        </w:rPr>
        <w:t>o</w:t>
      </w:r>
      <w:r w:rsidRPr="004B2498">
        <w:rPr>
          <w:lang w:eastAsia="fr-FR" w:bidi="fr-FR"/>
        </w:rPr>
        <w:t>caux, prédominants dans plusieurs champs sociaux, prétendent que la disproportion entre le nombre des naissances masculines et féminines serait le produit d’un changement de nourriture, d’une faiblesse « naturelle », héréditaire des filles, qui conduirait à des avortements spontanés ou qui serait provoquée par des raisons « supranaturelles », favorisant un plus grand nombre de naissances de garçons que de fi</w:t>
      </w:r>
      <w:r w:rsidRPr="004B2498">
        <w:rPr>
          <w:lang w:eastAsia="fr-FR" w:bidi="fr-FR"/>
        </w:rPr>
        <w:t>l</w:t>
      </w:r>
      <w:r w:rsidRPr="004B2498">
        <w:rPr>
          <w:lang w:eastAsia="fr-FR" w:bidi="fr-FR"/>
        </w:rPr>
        <w:t>les - un fait qui s’inversera prochainement </w:t>
      </w:r>
      <w:r>
        <w:rPr>
          <w:rStyle w:val="Appelnotedebasdep"/>
          <w:lang w:eastAsia="fr-FR" w:bidi="fr-FR"/>
        </w:rPr>
        <w:footnoteReference w:id="199"/>
      </w:r>
      <w:r w:rsidRPr="004B2498">
        <w:rPr>
          <w:lang w:eastAsia="fr-FR" w:bidi="fr-FR"/>
        </w:rPr>
        <w:t>. Or, selon les statist</w:t>
      </w:r>
      <w:r w:rsidRPr="004B2498">
        <w:rPr>
          <w:lang w:eastAsia="fr-FR" w:bidi="fr-FR"/>
        </w:rPr>
        <w:t>i</w:t>
      </w:r>
      <w:r w:rsidRPr="004B2498">
        <w:rPr>
          <w:lang w:eastAsia="fr-FR" w:bidi="fr-FR"/>
        </w:rPr>
        <w:t>ques et à l’inverse de ces explications, dès que les parents connaissent le sexe, surtout quand leur premier enfant est une fille, on constate les avortements de filles chez le deuxième enfant.</w:t>
      </w:r>
    </w:p>
    <w:p w14:paraId="55425A60" w14:textId="77777777" w:rsidR="002F4063" w:rsidRPr="004B2498" w:rsidRDefault="002F4063" w:rsidP="002F4063">
      <w:pPr>
        <w:spacing w:before="120" w:after="120"/>
        <w:jc w:val="both"/>
      </w:pPr>
      <w:r w:rsidRPr="004B2498">
        <w:rPr>
          <w:lang w:eastAsia="fr-FR" w:bidi="fr-FR"/>
        </w:rPr>
        <w:t>Dès qu’on entrait dans une relation plus confiante, la négation in</w:t>
      </w:r>
      <w:r w:rsidRPr="004B2498">
        <w:rPr>
          <w:lang w:eastAsia="fr-FR" w:bidi="fr-FR"/>
        </w:rPr>
        <w:t>i</w:t>
      </w:r>
      <w:r w:rsidRPr="004B2498">
        <w:rPr>
          <w:lang w:eastAsia="fr-FR" w:bidi="fr-FR"/>
        </w:rPr>
        <w:t>tiale de ce phénomène ainsi que les discours qui le dissimulaient fa</w:t>
      </w:r>
      <w:r w:rsidRPr="004B2498">
        <w:rPr>
          <w:lang w:eastAsia="fr-FR" w:bidi="fr-FR"/>
        </w:rPr>
        <w:t>i</w:t>
      </w:r>
      <w:r w:rsidRPr="004B2498">
        <w:rPr>
          <w:lang w:eastAsia="fr-FR" w:bidi="fr-FR"/>
        </w:rPr>
        <w:t>saient place à l’exposé de cas. Plus les questions pénétraient cette z</w:t>
      </w:r>
      <w:r w:rsidRPr="004B2498">
        <w:rPr>
          <w:lang w:eastAsia="fr-FR" w:bidi="fr-FR"/>
        </w:rPr>
        <w:t>o</w:t>
      </w:r>
      <w:r w:rsidRPr="004B2498">
        <w:rPr>
          <w:lang w:eastAsia="fr-FR" w:bidi="fr-FR"/>
        </w:rPr>
        <w:t>ne d’ombre, plus détaillés étaient les cas décrits. Les questions sur les avortements en général </w:t>
      </w:r>
      <w:r>
        <w:rPr>
          <w:rStyle w:val="Appelnotedebasdep"/>
          <w:lang w:eastAsia="fr-FR" w:bidi="fr-FR"/>
        </w:rPr>
        <w:footnoteReference w:id="200"/>
      </w:r>
      <w:r w:rsidRPr="004B2498">
        <w:rPr>
          <w:lang w:eastAsia="fr-FR" w:bidi="fr-FR"/>
        </w:rPr>
        <w:t xml:space="preserve"> et celles ciblées sur les filles évoquaient des sentiments</w:t>
      </w:r>
      <w:r>
        <w:t xml:space="preserve"> </w:t>
      </w:r>
      <w:r w:rsidRPr="004B2498">
        <w:t>[250]</w:t>
      </w:r>
      <w:r>
        <w:t xml:space="preserve"> </w:t>
      </w:r>
      <w:r w:rsidRPr="004B2498">
        <w:rPr>
          <w:lang w:eastAsia="fr-FR" w:bidi="fr-FR"/>
        </w:rPr>
        <w:t>contradictoires, ce qui se traduisait souvent par un silence ou une négation plutôt agressive. Les raisons pour nier ce fait social peuvent être la honte de mettre fin à une vie - bien que dans d’autres contextes, comme à Cuba, les avortements n’impliquent so</w:t>
      </w:r>
      <w:r w:rsidRPr="004B2498">
        <w:rPr>
          <w:lang w:eastAsia="fr-FR" w:bidi="fr-FR"/>
        </w:rPr>
        <w:t>u</w:t>
      </w:r>
      <w:r w:rsidRPr="004B2498">
        <w:rPr>
          <w:lang w:eastAsia="fr-FR" w:bidi="fr-FR"/>
        </w:rPr>
        <w:t>vent aucune forme de « mauvaise conscience » (Wehrli, 2009) - ou l’inégalité prénatale que suppose l’avortement des filles pour la soci</w:t>
      </w:r>
      <w:r w:rsidRPr="004B2498">
        <w:rPr>
          <w:lang w:eastAsia="fr-FR" w:bidi="fr-FR"/>
        </w:rPr>
        <w:t>é</w:t>
      </w:r>
      <w:r w:rsidRPr="004B2498">
        <w:rPr>
          <w:lang w:eastAsia="fr-FR" w:bidi="fr-FR"/>
        </w:rPr>
        <w:t>té. De nombreuses personnes opinaient qu’il était injuste d’avorter de filles en se rapp</w:t>
      </w:r>
      <w:r w:rsidRPr="004B2498">
        <w:rPr>
          <w:lang w:eastAsia="fr-FR" w:bidi="fr-FR"/>
        </w:rPr>
        <w:t>e</w:t>
      </w:r>
      <w:r w:rsidRPr="004B2498">
        <w:rPr>
          <w:lang w:eastAsia="fr-FR" w:bidi="fr-FR"/>
        </w:rPr>
        <w:t>lant les difficultés éprouvées par celles qui l’avaient fait volontair</w:t>
      </w:r>
      <w:r w:rsidRPr="004B2498">
        <w:rPr>
          <w:lang w:eastAsia="fr-FR" w:bidi="fr-FR"/>
        </w:rPr>
        <w:t>e</w:t>
      </w:r>
      <w:r w:rsidRPr="004B2498">
        <w:rPr>
          <w:lang w:eastAsia="fr-FR" w:bidi="fr-FR"/>
        </w:rPr>
        <w:t>ment et celles qui s’y étaient vues obligées. Presque tout le monde est au courant de l’obligation implicite selon laquelle on « doit le faire », même si on n’est pas d’accord. La balance entre une action personne</w:t>
      </w:r>
      <w:r w:rsidRPr="004B2498">
        <w:rPr>
          <w:lang w:eastAsia="fr-FR" w:bidi="fr-FR"/>
        </w:rPr>
        <w:t>l</w:t>
      </w:r>
      <w:r w:rsidRPr="004B2498">
        <w:rPr>
          <w:lang w:eastAsia="fr-FR" w:bidi="fr-FR"/>
        </w:rPr>
        <w:t>le et volontaire et une action contrainte se reflète dans la langue vietnamienne, qui différencie les actes effectués d’une m</w:t>
      </w:r>
      <w:r w:rsidRPr="004B2498">
        <w:rPr>
          <w:lang w:eastAsia="fr-FR" w:bidi="fr-FR"/>
        </w:rPr>
        <w:t>a</w:t>
      </w:r>
      <w:r w:rsidRPr="004B2498">
        <w:rPr>
          <w:lang w:eastAsia="fr-FR" w:bidi="fr-FR"/>
        </w:rPr>
        <w:t>nière volontaire ou forcée - un fait significatif pour comprendre les obligations menant à des avortements.</w:t>
      </w:r>
    </w:p>
    <w:p w14:paraId="6D91EE7D" w14:textId="77777777" w:rsidR="002F4063" w:rsidRPr="004B2498" w:rsidRDefault="002F4063" w:rsidP="002F4063">
      <w:pPr>
        <w:spacing w:before="120" w:after="120"/>
        <w:jc w:val="both"/>
      </w:pPr>
      <w:r w:rsidRPr="004B2498">
        <w:rPr>
          <w:lang w:eastAsia="fr-FR" w:bidi="fr-FR"/>
        </w:rPr>
        <w:t>Pourtant il ne faut pas tomber dans le « piège occidental » et im</w:t>
      </w:r>
      <w:r w:rsidRPr="004B2498">
        <w:rPr>
          <w:lang w:eastAsia="fr-FR" w:bidi="fr-FR"/>
        </w:rPr>
        <w:t>a</w:t>
      </w:r>
      <w:r w:rsidRPr="004B2498">
        <w:rPr>
          <w:lang w:eastAsia="fr-FR" w:bidi="fr-FR"/>
        </w:rPr>
        <w:t>giner l’existence d’un consensus selon lequel les avortements basés sur le sexe seraient considérés comme injustes par tout le monde. Il est vrai que les personnes qui soutiennent les avortements sélectifs pour préserver le culte essayaient d’abord de le dissimuler. Par contre le fait que ces avortements ne soient pas permis officiellement n’était pas responsable du tabou.</w:t>
      </w:r>
    </w:p>
    <w:p w14:paraId="1277148B" w14:textId="77777777" w:rsidR="002F4063" w:rsidRPr="004B2498" w:rsidRDefault="002F4063" w:rsidP="002F4063">
      <w:pPr>
        <w:spacing w:before="120" w:after="120"/>
        <w:jc w:val="both"/>
        <w:rPr>
          <w:szCs w:val="24"/>
          <w:lang w:eastAsia="fr-FR" w:bidi="fr-FR"/>
        </w:rPr>
      </w:pPr>
    </w:p>
    <w:p w14:paraId="7D5BD7F5" w14:textId="77777777" w:rsidR="002F4063" w:rsidRPr="004B2498" w:rsidRDefault="002F4063" w:rsidP="002F4063">
      <w:pPr>
        <w:pStyle w:val="a"/>
      </w:pPr>
      <w:r w:rsidRPr="004B2498">
        <w:t>La famille « idéale » :</w:t>
      </w:r>
      <w:r>
        <w:br/>
      </w:r>
      <w:r w:rsidRPr="004B2498">
        <w:t>entre sanctions et obligations</w:t>
      </w:r>
    </w:p>
    <w:p w14:paraId="4778CC70" w14:textId="77777777" w:rsidR="002F4063" w:rsidRPr="004B2498" w:rsidRDefault="002F4063" w:rsidP="002F4063">
      <w:pPr>
        <w:spacing w:before="120" w:after="120"/>
        <w:jc w:val="both"/>
        <w:rPr>
          <w:lang w:eastAsia="fr-FR" w:bidi="fr-FR"/>
        </w:rPr>
      </w:pPr>
    </w:p>
    <w:p w14:paraId="0047B70A" w14:textId="77777777" w:rsidR="002F4063" w:rsidRPr="004B2498" w:rsidRDefault="002F4063" w:rsidP="002F4063">
      <w:pPr>
        <w:spacing w:before="120" w:after="120"/>
        <w:jc w:val="both"/>
      </w:pPr>
      <w:r w:rsidRPr="004B2498">
        <w:rPr>
          <w:lang w:eastAsia="fr-FR" w:bidi="fr-FR"/>
        </w:rPr>
        <w:t>En accord avec la politique familiale qui régule leur nombre, les parents n’ont le droit d’avoir qu’un ou deux enfants. Du niveau nati</w:t>
      </w:r>
      <w:r w:rsidRPr="004B2498">
        <w:rPr>
          <w:lang w:eastAsia="fr-FR" w:bidi="fr-FR"/>
        </w:rPr>
        <w:t>o</w:t>
      </w:r>
      <w:r w:rsidRPr="004B2498">
        <w:rPr>
          <w:lang w:eastAsia="fr-FR" w:bidi="fr-FR"/>
        </w:rPr>
        <w:t>nal, régional, municipal jusqu’au niveau des unités des groupes de population, des statistiques sont dressées afin de voir la composition des familles. Afin de garantir le succès du planning étatique (GOS, 2010 : 63-64), diverses formes de sanctions sont prévues pour les f</w:t>
      </w:r>
      <w:r w:rsidRPr="004B2498">
        <w:rPr>
          <w:lang w:eastAsia="fr-FR" w:bidi="fr-FR"/>
        </w:rPr>
        <w:t>a</w:t>
      </w:r>
      <w:r w:rsidRPr="004B2498">
        <w:rPr>
          <w:lang w:eastAsia="fr-FR" w:bidi="fr-FR"/>
        </w:rPr>
        <w:t>milles qui ne se limitent pas à deux enfants. L’importance du respect qu’on accorde à cette politique devient évidente à travers l’enregistrement détaillé dans une section particulière du nombre de femmes qui ont plus de deux enfants.</w:t>
      </w:r>
    </w:p>
    <w:p w14:paraId="5A459FA5" w14:textId="77777777" w:rsidR="002F4063" w:rsidRPr="004B2498" w:rsidRDefault="002F4063" w:rsidP="002F4063">
      <w:pPr>
        <w:spacing w:before="120" w:after="120"/>
        <w:jc w:val="both"/>
      </w:pPr>
      <w:r w:rsidRPr="004B2498">
        <w:rPr>
          <w:lang w:eastAsia="fr-FR" w:bidi="fr-FR"/>
        </w:rPr>
        <w:t>Si les sanctions pour les personnes qui ne sont pas directement employées par l’État se traduisent principalement par des amendes monétaires et impliquent - en fonction du contexte - des discrimin</w:t>
      </w:r>
      <w:r w:rsidRPr="004B2498">
        <w:rPr>
          <w:lang w:eastAsia="fr-FR" w:bidi="fr-FR"/>
        </w:rPr>
        <w:t>a</w:t>
      </w:r>
      <w:r w:rsidRPr="004B2498">
        <w:rPr>
          <w:lang w:eastAsia="fr-FR" w:bidi="fr-FR"/>
        </w:rPr>
        <w:t>tions sociales, elles ont des conséquences plus graves pour les e</w:t>
      </w:r>
      <w:r w:rsidRPr="004B2498">
        <w:rPr>
          <w:lang w:eastAsia="fr-FR" w:bidi="fr-FR"/>
        </w:rPr>
        <w:t>m</w:t>
      </w:r>
      <w:r w:rsidRPr="004B2498">
        <w:rPr>
          <w:lang w:eastAsia="fr-FR" w:bidi="fr-FR"/>
        </w:rPr>
        <w:t>ployés de l’État. Les membres du parti communiste, les employés c</w:t>
      </w:r>
      <w:r w:rsidRPr="004B2498">
        <w:rPr>
          <w:lang w:eastAsia="fr-FR" w:bidi="fr-FR"/>
        </w:rPr>
        <w:t>i</w:t>
      </w:r>
      <w:r w:rsidRPr="004B2498">
        <w:rPr>
          <w:lang w:eastAsia="fr-FR" w:bidi="fr-FR"/>
        </w:rPr>
        <w:t>vils et aussi les ouvriers des usines étatiques perdent en général leur poste ou sont exclus du parti communiste dès qu’ils ont plus de deux enfants (voir aussi Hours et Selim, 2003 ; 626).</w:t>
      </w:r>
    </w:p>
    <w:p w14:paraId="3C0A72CE" w14:textId="77777777" w:rsidR="002F4063" w:rsidRPr="004B2498" w:rsidRDefault="002F4063" w:rsidP="002F4063">
      <w:pPr>
        <w:spacing w:before="120" w:after="120"/>
        <w:jc w:val="both"/>
      </w:pPr>
      <w:r w:rsidRPr="004B2498">
        <w:rPr>
          <w:lang w:eastAsia="fr-FR" w:bidi="fr-FR"/>
        </w:rPr>
        <w:t>Prenons le cas de personnes travaillant comme gardiens de nuit, dans les usines textiles ou comme femmes de ménage, donc dans des professions situées à un niveau « inférieur » du travail. Selon leurs explications, le « mauvais sort de n’avoir que des filles » a provoqué la pitié puis la</w:t>
      </w:r>
      <w:r>
        <w:t xml:space="preserve"> </w:t>
      </w:r>
      <w:r w:rsidRPr="004B2498">
        <w:t>[251]</w:t>
      </w:r>
      <w:r>
        <w:t xml:space="preserve"> </w:t>
      </w:r>
      <w:r w:rsidRPr="004B2498">
        <w:rPr>
          <w:lang w:eastAsia="fr-FR" w:bidi="fr-FR"/>
        </w:rPr>
        <w:t>« bonté » de leurs employeurs qui ne les ont pas licenciés. On pouvait voir qu’ils avaient tous honte et évitaient de pa</w:t>
      </w:r>
      <w:r w:rsidRPr="004B2498">
        <w:rPr>
          <w:lang w:eastAsia="fr-FR" w:bidi="fr-FR"/>
        </w:rPr>
        <w:t>r</w:t>
      </w:r>
      <w:r w:rsidRPr="004B2498">
        <w:rPr>
          <w:lang w:eastAsia="fr-FR" w:bidi="fr-FR"/>
        </w:rPr>
        <w:t>ler de leur situ</w:t>
      </w:r>
      <w:r w:rsidRPr="004B2498">
        <w:rPr>
          <w:lang w:eastAsia="fr-FR" w:bidi="fr-FR"/>
        </w:rPr>
        <w:t>a</w:t>
      </w:r>
      <w:r w:rsidRPr="004B2498">
        <w:rPr>
          <w:lang w:eastAsia="fr-FR" w:bidi="fr-FR"/>
        </w:rPr>
        <w:t>tion familiale avec leurs collègues de travail. Entre 1980 et 1990 il n’était pas exceptionnel de voir des personnes ayant plus de deux e</w:t>
      </w:r>
      <w:r w:rsidRPr="004B2498">
        <w:rPr>
          <w:lang w:eastAsia="fr-FR" w:bidi="fr-FR"/>
        </w:rPr>
        <w:t>n</w:t>
      </w:r>
      <w:r w:rsidRPr="004B2498">
        <w:rPr>
          <w:lang w:eastAsia="fr-FR" w:bidi="fr-FR"/>
        </w:rPr>
        <w:t>fants garder leur emploi si elles occupaient des postes subalternes. Mais leur avancement professionnel devenait improbable, ce qui co</w:t>
      </w:r>
      <w:r w:rsidRPr="004B2498">
        <w:rPr>
          <w:lang w:eastAsia="fr-FR" w:bidi="fr-FR"/>
        </w:rPr>
        <w:t>r</w:t>
      </w:r>
      <w:r w:rsidRPr="004B2498">
        <w:rPr>
          <w:lang w:eastAsia="fr-FR" w:bidi="fr-FR"/>
        </w:rPr>
        <w:t>respondait à une sanction indirecte. Par contre les membres du parti communiste subissaient des sanctions directes et n’avaient pas le droit d’avoir plus de deux enfants, indépendamment du sexe de l’enfant. Dès qu’un couple, qui aspire à faire carrière dans le domaine étatique, a une fille pour premier enfant, l’option de régler le sexe du deuxième devient évidente pour la majorité. Les statistiques montrent que les motivations et sanctions liées au planning familial sont plus strict</w:t>
      </w:r>
      <w:r w:rsidRPr="004B2498">
        <w:rPr>
          <w:lang w:eastAsia="fr-FR" w:bidi="fr-FR"/>
        </w:rPr>
        <w:t>e</w:t>
      </w:r>
      <w:r w:rsidRPr="004B2498">
        <w:rPr>
          <w:lang w:eastAsia="fr-FR" w:bidi="fr-FR"/>
        </w:rPr>
        <w:t>ment pratiquées en 2009 qu’en 2005, bien que des exceptions cont</w:t>
      </w:r>
      <w:r w:rsidRPr="004B2498">
        <w:rPr>
          <w:lang w:eastAsia="fr-FR" w:bidi="fr-FR"/>
        </w:rPr>
        <w:t>i</w:t>
      </w:r>
      <w:r w:rsidRPr="004B2498">
        <w:rPr>
          <w:lang w:eastAsia="fr-FR" w:bidi="fr-FR"/>
        </w:rPr>
        <w:t>nuent à exister. Le nombre des femmes avec plus de deux enfants a diminué pour passer de 20,8% en 2005 à 16,1% en 2009 (GOS, 2010 : 64). Néanmoins, il y a des parents, qui décident d’avoir plus de deux enfants, surtout si les deux premiers sont des filles. Selon les st</w:t>
      </w:r>
      <w:r w:rsidRPr="004B2498">
        <w:rPr>
          <w:lang w:eastAsia="fr-FR" w:bidi="fr-FR"/>
        </w:rPr>
        <w:t>a</w:t>
      </w:r>
      <w:r w:rsidRPr="004B2498">
        <w:rPr>
          <w:lang w:eastAsia="fr-FR" w:bidi="fr-FR"/>
        </w:rPr>
        <w:t>tistiques, la probabilité d’avoir un garçon comme troisième ou qu</w:t>
      </w:r>
      <w:r w:rsidRPr="004B2498">
        <w:rPr>
          <w:lang w:eastAsia="fr-FR" w:bidi="fr-FR"/>
        </w:rPr>
        <w:t>a</w:t>
      </w:r>
      <w:r w:rsidRPr="004B2498">
        <w:rPr>
          <w:lang w:eastAsia="fr-FR" w:bidi="fr-FR"/>
        </w:rPr>
        <w:t>trième enfant est actuellement deux fois plus haute pour les femmes qui n’ont pas encore de fils (60%) que pour les autres mères (30%) (UNFP 2009 : 21). Ces chiffres prouvent que les avortements jouent un rôle primordial.</w:t>
      </w:r>
    </w:p>
    <w:p w14:paraId="77E32658" w14:textId="77777777" w:rsidR="002F4063" w:rsidRPr="004B2498" w:rsidRDefault="002F4063" w:rsidP="002F4063">
      <w:pPr>
        <w:spacing w:before="120" w:after="120"/>
        <w:jc w:val="both"/>
      </w:pPr>
      <w:r w:rsidRPr="004B2498">
        <w:rPr>
          <w:lang w:eastAsia="fr-FR" w:bidi="fr-FR"/>
        </w:rPr>
        <w:t>Les sanctions mentionnées auparavant ne s’appliquent que partie</w:t>
      </w:r>
      <w:r w:rsidRPr="004B2498">
        <w:rPr>
          <w:lang w:eastAsia="fr-FR" w:bidi="fr-FR"/>
        </w:rPr>
        <w:t>l</w:t>
      </w:r>
      <w:r w:rsidRPr="004B2498">
        <w:rPr>
          <w:lang w:eastAsia="fr-FR" w:bidi="fr-FR"/>
        </w:rPr>
        <w:t>lement aux personnes, qui ont leur propre affaire - depuis le petit commerce familial jusqu’aux entreprises de plus de cent employeurs. Ces personnes doivent acquitter une somme de « compensation » a</w:t>
      </w:r>
      <w:r w:rsidRPr="004B2498">
        <w:rPr>
          <w:lang w:eastAsia="fr-FR" w:bidi="fr-FR"/>
        </w:rPr>
        <w:t>u</w:t>
      </w:r>
      <w:r w:rsidRPr="004B2498">
        <w:rPr>
          <w:lang w:eastAsia="fr-FR" w:bidi="fr-FR"/>
        </w:rPr>
        <w:t>près des autorités locales, mais ne perdent généralement pas leur sou</w:t>
      </w:r>
      <w:r w:rsidRPr="004B2498">
        <w:rPr>
          <w:lang w:eastAsia="fr-FR" w:bidi="fr-FR"/>
        </w:rPr>
        <w:t>r</w:t>
      </w:r>
      <w:r w:rsidRPr="004B2498">
        <w:rPr>
          <w:lang w:eastAsia="fr-FR" w:bidi="fr-FR"/>
        </w:rPr>
        <w:t>ce de revenu. En fonction des autorités, du statut de la famille, de leur capital socioéconomique (dans le sens de Bourdieu, 1985 ; 1983), le montant de la compensation - ou selon l’opinion de la majorité de mes interlocuteurs la forme de corruption - est négocié. Par conséquent, les sanctions dépendent des relations établies sur place et si elles ne pr</w:t>
      </w:r>
      <w:r w:rsidRPr="004B2498">
        <w:rPr>
          <w:lang w:eastAsia="fr-FR" w:bidi="fr-FR"/>
        </w:rPr>
        <w:t>é</w:t>
      </w:r>
      <w:r w:rsidRPr="004B2498">
        <w:rPr>
          <w:lang w:eastAsia="fr-FR" w:bidi="fr-FR"/>
        </w:rPr>
        <w:t>sentent aucun problème pour les uns, d’autres se voient redevables de sommes monétaires colossales. Les compensations vont des petits c</w:t>
      </w:r>
      <w:r w:rsidRPr="004B2498">
        <w:rPr>
          <w:lang w:eastAsia="fr-FR" w:bidi="fr-FR"/>
        </w:rPr>
        <w:t>a</w:t>
      </w:r>
      <w:r w:rsidRPr="004B2498">
        <w:rPr>
          <w:lang w:eastAsia="fr-FR" w:bidi="fr-FR"/>
        </w:rPr>
        <w:t>deaux jusqu’à plusieurs millions de dongs vietnamiens, équivalant à plusieurs milliers de dollars US.</w:t>
      </w:r>
    </w:p>
    <w:p w14:paraId="6042F22E" w14:textId="77777777" w:rsidR="002F4063" w:rsidRPr="004B2498" w:rsidRDefault="002F4063" w:rsidP="002F4063">
      <w:pPr>
        <w:spacing w:before="120" w:after="120"/>
        <w:jc w:val="both"/>
      </w:pPr>
      <w:r w:rsidRPr="004B2498">
        <w:rPr>
          <w:lang w:eastAsia="fr-FR" w:bidi="fr-FR"/>
        </w:rPr>
        <w:t>Ces sanctions, répandues et portées à la connaissance publique, v</w:t>
      </w:r>
      <w:r w:rsidRPr="004B2498">
        <w:rPr>
          <w:lang w:eastAsia="fr-FR" w:bidi="fr-FR"/>
        </w:rPr>
        <w:t>a</w:t>
      </w:r>
      <w:r w:rsidRPr="004B2498">
        <w:rPr>
          <w:lang w:eastAsia="fr-FR" w:bidi="fr-FR"/>
        </w:rPr>
        <w:t>rient légèrement en fonction du sexe du troisième enfant. En accord avec les convictions confucianistes décrites auparavant, la majorité des personnes comprennent ou même soutiennent, de manière explic</w:t>
      </w:r>
      <w:r w:rsidRPr="004B2498">
        <w:rPr>
          <w:lang w:eastAsia="fr-FR" w:bidi="fr-FR"/>
        </w:rPr>
        <w:t>i</w:t>
      </w:r>
      <w:r w:rsidRPr="004B2498">
        <w:rPr>
          <w:lang w:eastAsia="fr-FR" w:bidi="fr-FR"/>
        </w:rPr>
        <w:t>te ou implicite, la décision d’avoir un troisième enfant si les deux premiers sont des filles. Dans ce cas, la rupture avec la règle étatique est mieux acceptée, parce que les familles aspirent à respecter et ainsi à reproduire la « tradition ». Même</w:t>
      </w:r>
      <w:r>
        <w:t xml:space="preserve"> </w:t>
      </w:r>
      <w:r w:rsidRPr="004B2498">
        <w:t>[252]</w:t>
      </w:r>
      <w:r>
        <w:t xml:space="preserve"> </w:t>
      </w:r>
      <w:r w:rsidRPr="004B2498">
        <w:rPr>
          <w:lang w:eastAsia="fr-FR" w:bidi="fr-FR"/>
        </w:rPr>
        <w:t>les autorités « sympathisent » dans de tels cas, à condition que les parents ne soient pas des salariés de l’État.</w:t>
      </w:r>
    </w:p>
    <w:p w14:paraId="0351C46D" w14:textId="77777777" w:rsidR="002F4063" w:rsidRPr="004B2498" w:rsidRDefault="002F4063" w:rsidP="002F4063">
      <w:pPr>
        <w:spacing w:before="120" w:after="120"/>
        <w:jc w:val="both"/>
      </w:pPr>
      <w:r w:rsidRPr="004B2498">
        <w:rPr>
          <w:lang w:eastAsia="fr-FR" w:bidi="fr-FR"/>
        </w:rPr>
        <w:t>Les familles ayant un troisième enfant après qu’elles aient déjà eu un ou deux garçons constituent des exceptions et se voient confrontées à des sanctions plus sévères et des amendes plus fortes. Il serait int</w:t>
      </w:r>
      <w:r w:rsidRPr="004B2498">
        <w:rPr>
          <w:lang w:eastAsia="fr-FR" w:bidi="fr-FR"/>
        </w:rPr>
        <w:t>é</w:t>
      </w:r>
      <w:r w:rsidRPr="004B2498">
        <w:rPr>
          <w:lang w:eastAsia="fr-FR" w:bidi="fr-FR"/>
        </w:rPr>
        <w:t>ressant d’analyser statistiquement ce fait au niveau de la société en général. Ce mécanisme de tolérance ainsi que l’importance des rel</w:t>
      </w:r>
      <w:r w:rsidRPr="004B2498">
        <w:rPr>
          <w:lang w:eastAsia="fr-FR" w:bidi="fr-FR"/>
        </w:rPr>
        <w:t>a</w:t>
      </w:r>
      <w:r w:rsidRPr="004B2498">
        <w:rPr>
          <w:lang w:eastAsia="fr-FR" w:bidi="fr-FR"/>
        </w:rPr>
        <w:t>tions établies devient très évident si on tient compte du phénomène de l'adoption. L’adoption d’un troisième enfant n’est pas encore répa</w:t>
      </w:r>
      <w:r w:rsidRPr="004B2498">
        <w:rPr>
          <w:lang w:eastAsia="fr-FR" w:bidi="fr-FR"/>
        </w:rPr>
        <w:t>n</w:t>
      </w:r>
      <w:r w:rsidRPr="004B2498">
        <w:rPr>
          <w:lang w:eastAsia="fr-FR" w:bidi="fr-FR"/>
        </w:rPr>
        <w:t>due et correspond principalement à un privilège des cadres du parti communiste. Elle permet aux familles qui n’ont pas d’enfant mâle de répondre à deux idéaux : celui d’une famille de dimension réduite</w:t>
      </w:r>
      <w:r>
        <w:rPr>
          <w:lang w:eastAsia="fr-FR" w:bidi="fr-FR"/>
        </w:rPr>
        <w:t> </w:t>
      </w:r>
      <w:r>
        <w:rPr>
          <w:rStyle w:val="Appelnotedebasdep"/>
          <w:lang w:eastAsia="fr-FR" w:bidi="fr-FR"/>
        </w:rPr>
        <w:footnoteReference w:id="201"/>
      </w:r>
      <w:r w:rsidRPr="004B2498">
        <w:rPr>
          <w:lang w:eastAsia="fr-FR" w:bidi="fr-FR"/>
        </w:rPr>
        <w:t xml:space="preserve"> et celui de la tradition confucéenne. Les enfants adoptés viennent princ</w:t>
      </w:r>
      <w:r w:rsidRPr="004B2498">
        <w:rPr>
          <w:lang w:eastAsia="fr-FR" w:bidi="fr-FR"/>
        </w:rPr>
        <w:t>i</w:t>
      </w:r>
      <w:r w:rsidRPr="004B2498">
        <w:rPr>
          <w:lang w:eastAsia="fr-FR" w:bidi="fr-FR"/>
        </w:rPr>
        <w:t>palement de familles pauvres ayant déjà un ou plusieurs fils, et sont, bien sûr, de sexe masculin.</w:t>
      </w:r>
    </w:p>
    <w:p w14:paraId="72E94AC8" w14:textId="77777777" w:rsidR="002F4063" w:rsidRPr="004B2498" w:rsidRDefault="002F4063" w:rsidP="002F4063">
      <w:pPr>
        <w:spacing w:before="120" w:after="120"/>
        <w:jc w:val="both"/>
        <w:rPr>
          <w:szCs w:val="24"/>
          <w:lang w:eastAsia="fr-FR" w:bidi="fr-FR"/>
        </w:rPr>
      </w:pPr>
      <w:r>
        <w:rPr>
          <w:szCs w:val="24"/>
          <w:lang w:eastAsia="fr-FR" w:bidi="fr-FR"/>
        </w:rPr>
        <w:br w:type="page"/>
      </w:r>
    </w:p>
    <w:p w14:paraId="7AE6DBE8" w14:textId="77777777" w:rsidR="002F4063" w:rsidRPr="004B2498" w:rsidRDefault="002F4063" w:rsidP="002F4063">
      <w:pPr>
        <w:pStyle w:val="a"/>
      </w:pPr>
      <w:r w:rsidRPr="004B2498">
        <w:t>Les jeux et blagues qui renforcent les règles</w:t>
      </w:r>
    </w:p>
    <w:p w14:paraId="058F50CA" w14:textId="77777777" w:rsidR="002F4063" w:rsidRPr="004B2498" w:rsidRDefault="002F4063" w:rsidP="002F4063">
      <w:pPr>
        <w:spacing w:before="120" w:after="120"/>
        <w:jc w:val="both"/>
        <w:rPr>
          <w:lang w:eastAsia="fr-FR" w:bidi="fr-FR"/>
        </w:rPr>
      </w:pPr>
    </w:p>
    <w:p w14:paraId="661B1273" w14:textId="77777777" w:rsidR="002F4063" w:rsidRPr="004B2498" w:rsidRDefault="002F4063" w:rsidP="002F4063">
      <w:pPr>
        <w:spacing w:before="120" w:after="120"/>
        <w:jc w:val="both"/>
      </w:pPr>
      <w:r w:rsidRPr="004B2498">
        <w:rPr>
          <w:lang w:eastAsia="fr-FR" w:bidi="fr-FR"/>
        </w:rPr>
        <w:t>L’idéal familial se traduit à travers des blagues ou certaines formes de jeu. Les jeux renforcent les règles et d’une certaine manière repr</w:t>
      </w:r>
      <w:r w:rsidRPr="004B2498">
        <w:rPr>
          <w:lang w:eastAsia="fr-FR" w:bidi="fr-FR"/>
        </w:rPr>
        <w:t>o</w:t>
      </w:r>
      <w:r w:rsidRPr="004B2498">
        <w:rPr>
          <w:lang w:eastAsia="fr-FR" w:bidi="fr-FR"/>
        </w:rPr>
        <w:t>duisent la structure de la société, ainsi que l’idéologie dominante (Bourdieu, 2000 [1972]). Ces règles, fortement enracinées dans la s</w:t>
      </w:r>
      <w:r w:rsidRPr="004B2498">
        <w:rPr>
          <w:lang w:eastAsia="fr-FR" w:bidi="fr-FR"/>
        </w:rPr>
        <w:t>o</w:t>
      </w:r>
      <w:r w:rsidRPr="004B2498">
        <w:rPr>
          <w:lang w:eastAsia="fr-FR" w:bidi="fr-FR"/>
        </w:rPr>
        <w:t>ciété, sont ridiculisées de manière comique, ce qui nous permet de r</w:t>
      </w:r>
      <w:r w:rsidRPr="004B2498">
        <w:rPr>
          <w:lang w:eastAsia="fr-FR" w:bidi="fr-FR"/>
        </w:rPr>
        <w:t>e</w:t>
      </w:r>
      <w:r w:rsidRPr="004B2498">
        <w:rPr>
          <w:lang w:eastAsia="fr-FR" w:bidi="fr-FR"/>
        </w:rPr>
        <w:t>constituer les règles officielles. Cette phase liminale se caractérise aussi par des parodies, qui peuvent mettre en question les relations de pouvoir (Butler, 1999 [1990] ; 1997 ; 1993).</w:t>
      </w:r>
    </w:p>
    <w:p w14:paraId="379FA10A" w14:textId="77777777" w:rsidR="002F4063" w:rsidRPr="004B2498" w:rsidRDefault="002F4063" w:rsidP="002F4063">
      <w:pPr>
        <w:spacing w:before="120" w:after="120"/>
        <w:jc w:val="both"/>
      </w:pPr>
      <w:r w:rsidRPr="004B2498">
        <w:rPr>
          <w:lang w:eastAsia="fr-FR" w:bidi="fr-FR"/>
        </w:rPr>
        <w:t>Je me limiterai à décrire un jeu qui - en relation avec le contexte - est aussi une blague. Très répandu au Nord du Vietnam et également bien connu au Centre et au Sud, il fait référence à l’idéal familial d</w:t>
      </w:r>
      <w:r w:rsidRPr="004B2498">
        <w:rPr>
          <w:lang w:eastAsia="fr-FR" w:bidi="fr-FR"/>
        </w:rPr>
        <w:t>é</w:t>
      </w:r>
      <w:r w:rsidRPr="004B2498">
        <w:rPr>
          <w:lang w:eastAsia="fr-FR" w:bidi="fr-FR"/>
        </w:rPr>
        <w:t>crit auparavant, qu’il s’agit de « gagner ». En jouant, le comique de la situation consiste à ridiculiser les perdants. Les hommes jouent en b</w:t>
      </w:r>
      <w:r w:rsidRPr="004B2498">
        <w:rPr>
          <w:lang w:eastAsia="fr-FR" w:bidi="fr-FR"/>
        </w:rPr>
        <w:t>u</w:t>
      </w:r>
      <w:r w:rsidRPr="004B2498">
        <w:rPr>
          <w:lang w:eastAsia="fr-FR" w:bidi="fr-FR"/>
        </w:rPr>
        <w:t>vant de larges quantités d’alcool ; les femmes jouent également, mais doivent - selon les coutumes observées au Nord du Vietnam - en gén</w:t>
      </w:r>
      <w:r w:rsidRPr="004B2498">
        <w:rPr>
          <w:lang w:eastAsia="fr-FR" w:bidi="fr-FR"/>
        </w:rPr>
        <w:t>é</w:t>
      </w:r>
      <w:r w:rsidRPr="004B2498">
        <w:rPr>
          <w:lang w:eastAsia="fr-FR" w:bidi="fr-FR"/>
        </w:rPr>
        <w:t>ral s’abstenir d’alcool.</w:t>
      </w:r>
    </w:p>
    <w:p w14:paraId="01F1DF9E" w14:textId="77777777" w:rsidR="002F4063" w:rsidRPr="004B2498" w:rsidRDefault="002F4063" w:rsidP="002F4063">
      <w:pPr>
        <w:spacing w:before="120" w:after="120"/>
        <w:jc w:val="both"/>
      </w:pPr>
      <w:r w:rsidRPr="004B2498">
        <w:rPr>
          <w:lang w:eastAsia="fr-FR" w:bidi="fr-FR"/>
        </w:rPr>
        <w:t>À ce jeu, si on a deux enfants, premièrement une fille suivie d’un fils, on gagne dix points. Avec un fils suivi d’une fille, on gagne huit points. Deux garçons et aucune fille rapportent six points, un fils un</w:t>
      </w:r>
      <w:r w:rsidRPr="004B2498">
        <w:rPr>
          <w:lang w:eastAsia="fr-FR" w:bidi="fr-FR"/>
        </w:rPr>
        <w:t>i</w:t>
      </w:r>
      <w:r w:rsidRPr="004B2498">
        <w:rPr>
          <w:lang w:eastAsia="fr-FR" w:bidi="fr-FR"/>
        </w:rPr>
        <w:t>que cinq points ; deux filles et un garçon, ou deux fils et une fille trois points</w:t>
      </w:r>
      <w:r>
        <w:rPr>
          <w:lang w:eastAsia="fr-FR" w:bidi="fr-FR"/>
        </w:rPr>
        <w:t> </w:t>
      </w:r>
      <w:r>
        <w:rPr>
          <w:rStyle w:val="Appelnotedebasdep"/>
          <w:lang w:eastAsia="fr-FR" w:bidi="fr-FR"/>
        </w:rPr>
        <w:footnoteReference w:id="202"/>
      </w:r>
      <w:r w:rsidRPr="004B2498">
        <w:rPr>
          <w:lang w:eastAsia="fr-FR" w:bidi="fr-FR"/>
        </w:rPr>
        <w:t xml:space="preserve"> et tous les autres - c’est-à-dire les parents qui ont une, deux ou trois filles, ainsi que ceux qui</w:t>
      </w:r>
      <w:r>
        <w:t xml:space="preserve"> </w:t>
      </w:r>
      <w:r w:rsidRPr="004B2498">
        <w:t>[253]</w:t>
      </w:r>
      <w:r>
        <w:t xml:space="preserve"> </w:t>
      </w:r>
      <w:r w:rsidRPr="004B2498">
        <w:rPr>
          <w:lang w:eastAsia="fr-FR" w:bidi="fr-FR"/>
        </w:rPr>
        <w:t>n’ont aucun enfant - ne gagn</w:t>
      </w:r>
      <w:r w:rsidRPr="004B2498">
        <w:rPr>
          <w:lang w:eastAsia="fr-FR" w:bidi="fr-FR"/>
        </w:rPr>
        <w:t>e</w:t>
      </w:r>
      <w:r w:rsidRPr="004B2498">
        <w:rPr>
          <w:lang w:eastAsia="fr-FR" w:bidi="fr-FR"/>
        </w:rPr>
        <w:t>ront qu’un point ou, selon les interviewées zéro</w:t>
      </w:r>
      <w:r>
        <w:rPr>
          <w:lang w:eastAsia="fr-FR" w:bidi="fr-FR"/>
        </w:rPr>
        <w:t> </w:t>
      </w:r>
      <w:r>
        <w:rPr>
          <w:rStyle w:val="Appelnotedebasdep"/>
          <w:lang w:eastAsia="fr-FR" w:bidi="fr-FR"/>
        </w:rPr>
        <w:footnoteReference w:id="203"/>
      </w:r>
      <w:r w:rsidRPr="004B2498">
        <w:rPr>
          <w:lang w:eastAsia="fr-FR" w:bidi="fr-FR"/>
        </w:rPr>
        <w:t>. Avoir premièr</w:t>
      </w:r>
      <w:r w:rsidRPr="004B2498">
        <w:rPr>
          <w:lang w:eastAsia="fr-FR" w:bidi="fr-FR"/>
        </w:rPr>
        <w:t>e</w:t>
      </w:r>
      <w:r w:rsidRPr="004B2498">
        <w:rPr>
          <w:lang w:eastAsia="fr-FR" w:bidi="fr-FR"/>
        </w:rPr>
        <w:t>ment une fille est un idéal qui s’explique par la tradition - reflétée dans l’organisation patrilinéaire - où le destin d’une fille consiste avant tout à aider sa mère dans les t</w:t>
      </w:r>
      <w:r w:rsidRPr="004B2498">
        <w:rPr>
          <w:lang w:eastAsia="fr-FR" w:bidi="fr-FR"/>
        </w:rPr>
        <w:t>â</w:t>
      </w:r>
      <w:r w:rsidRPr="004B2498">
        <w:rPr>
          <w:lang w:eastAsia="fr-FR" w:bidi="fr-FR"/>
        </w:rPr>
        <w:t>ches ménagères et à s’occuper de son petit frère.</w:t>
      </w:r>
    </w:p>
    <w:p w14:paraId="371C61DA" w14:textId="77777777" w:rsidR="002F4063" w:rsidRPr="004B2498" w:rsidRDefault="002F4063" w:rsidP="002F4063">
      <w:pPr>
        <w:spacing w:before="120" w:after="120"/>
        <w:jc w:val="both"/>
      </w:pPr>
      <w:r w:rsidRPr="004B2498">
        <w:rPr>
          <w:lang w:eastAsia="fr-FR" w:bidi="fr-FR"/>
        </w:rPr>
        <w:t>Ces jeux qui attribuent des notes aux personnes en fonction de leur degré de conformité avec l’idéal social de la famille renforcent l’importance de la patrilinéarité, et donc l’importance du fils. D’un côté, le déguisement de cette valorisation en jeu réduit la pression s</w:t>
      </w:r>
      <w:r w:rsidRPr="004B2498">
        <w:rPr>
          <w:lang w:eastAsia="fr-FR" w:bidi="fr-FR"/>
        </w:rPr>
        <w:t>o</w:t>
      </w:r>
      <w:r w:rsidRPr="004B2498">
        <w:rPr>
          <w:lang w:eastAsia="fr-FR" w:bidi="fr-FR"/>
        </w:rPr>
        <w:t>ciale et permet aux personnes qui ont perdu de sauvegarder leur image en affirmant qu’ils n’ont pas eu de chance à ce jeu-là mais qu’ils en auront peut-être à d’autres jeux de la vie (par exemple, dans la vie p</w:t>
      </w:r>
      <w:r w:rsidRPr="004B2498">
        <w:rPr>
          <w:lang w:eastAsia="fr-FR" w:bidi="fr-FR"/>
        </w:rPr>
        <w:t>o</w:t>
      </w:r>
      <w:r w:rsidRPr="004B2498">
        <w:rPr>
          <w:lang w:eastAsia="fr-FR" w:bidi="fr-FR"/>
        </w:rPr>
        <w:t>litique ou religieuse). D’un autre côté, le fait que la vaste majorité connaît les règles de ce jeu dans la vie réelle, sans s’y opposer ou les ridiculiser, renforce la validité du jeu et l’orthodoxie. L’analyse illu</w:t>
      </w:r>
      <w:r w:rsidRPr="004B2498">
        <w:rPr>
          <w:lang w:eastAsia="fr-FR" w:bidi="fr-FR"/>
        </w:rPr>
        <w:t>s</w:t>
      </w:r>
      <w:r w:rsidRPr="004B2498">
        <w:rPr>
          <w:lang w:eastAsia="fr-FR" w:bidi="fr-FR"/>
        </w:rPr>
        <w:t>tre le fait que le féminin en soi n’est pas dévalorisé, mais que sa v</w:t>
      </w:r>
      <w:r w:rsidRPr="004B2498">
        <w:rPr>
          <w:lang w:eastAsia="fr-FR" w:bidi="fr-FR"/>
        </w:rPr>
        <w:t>a</w:t>
      </w:r>
      <w:r w:rsidRPr="004B2498">
        <w:rPr>
          <w:lang w:eastAsia="fr-FR" w:bidi="fr-FR"/>
        </w:rPr>
        <w:t>leur se mesure exclusivement combinée au masculin. La valorisation primordiale de l’enfant mâle, évidente dans ce jeu, est bien illustrée aussi dans le proverbe cité au début de ce texte.</w:t>
      </w:r>
    </w:p>
    <w:p w14:paraId="56E2BD8A" w14:textId="77777777" w:rsidR="002F4063" w:rsidRPr="004B2498" w:rsidRDefault="002F4063" w:rsidP="002F4063">
      <w:pPr>
        <w:spacing w:before="120" w:after="120"/>
        <w:jc w:val="both"/>
        <w:rPr>
          <w:szCs w:val="24"/>
          <w:lang w:eastAsia="fr-FR" w:bidi="fr-FR"/>
        </w:rPr>
      </w:pPr>
    </w:p>
    <w:p w14:paraId="538E43B4" w14:textId="77777777" w:rsidR="002F4063" w:rsidRPr="004B2498" w:rsidRDefault="002F4063" w:rsidP="002F4063">
      <w:pPr>
        <w:pStyle w:val="a"/>
      </w:pPr>
      <w:r w:rsidRPr="004B2498">
        <w:t>Les mécanismes qui reproduisent les inégalités</w:t>
      </w:r>
    </w:p>
    <w:p w14:paraId="13C831CD" w14:textId="77777777" w:rsidR="002F4063" w:rsidRPr="004B2498" w:rsidRDefault="002F4063" w:rsidP="002F4063">
      <w:pPr>
        <w:spacing w:before="120" w:after="120"/>
        <w:jc w:val="both"/>
        <w:rPr>
          <w:lang w:eastAsia="fr-FR" w:bidi="fr-FR"/>
        </w:rPr>
      </w:pPr>
    </w:p>
    <w:p w14:paraId="022B3E0C" w14:textId="77777777" w:rsidR="002F4063" w:rsidRPr="004B2498" w:rsidRDefault="002F4063" w:rsidP="002F4063">
      <w:pPr>
        <w:spacing w:before="120" w:after="120"/>
        <w:jc w:val="both"/>
      </w:pPr>
      <w:r w:rsidRPr="004B2498">
        <w:rPr>
          <w:lang w:eastAsia="fr-FR" w:bidi="fr-FR"/>
        </w:rPr>
        <w:t>Au début des années 1990, Sen déclarait déjà que le nombre de « femmes manquantes » atteignait « soixante ou cent millions », ce qui alertait la communauté scientifique et quelques politiciens. R</w:t>
      </w:r>
      <w:r w:rsidRPr="004B2498">
        <w:rPr>
          <w:lang w:eastAsia="fr-FR" w:bidi="fr-FR"/>
        </w:rPr>
        <w:t>é</w:t>
      </w:r>
      <w:r w:rsidRPr="004B2498">
        <w:rPr>
          <w:lang w:eastAsia="fr-FR" w:bidi="fr-FR"/>
        </w:rPr>
        <w:t>cemment ces faits sont aussi discutés au Vietnam : Nguyen Ba Thuy, le ministre de la Santé, constatait par exemple, que le sexe ratio sera de 125 garçons pour 100 filles en 2020, ce qui implique que plus de quatre millions d’hommes ne trouveront pas femme dans les années 2030 si ce déséquilibre n’est pas corrigé. Le gouvernement estime que l’information joue un rôle indispensable pour changer la mentalité dominante, selon laquelle « on respecte les hommes tout en méprisant les femmes » (GOS, 2010 : 64). Le fait d’avorter de filles ne reflète pas seulement une inégalité prénatale, mais indique la probabilité que ces inégalités se reproduisent d’une manière ou d’une autre à travers toutes les périodes de la vie des femmes. Plusieurs chercheurs cra</w:t>
      </w:r>
      <w:r w:rsidRPr="004B2498">
        <w:rPr>
          <w:lang w:eastAsia="fr-FR" w:bidi="fr-FR"/>
        </w:rPr>
        <w:t>i</w:t>
      </w:r>
      <w:r w:rsidRPr="004B2498">
        <w:rPr>
          <w:lang w:eastAsia="fr-FR" w:bidi="fr-FR"/>
        </w:rPr>
        <w:t>gnent par exemple que ce déséquilibre n’amène un risque plus élevé de viol et de prostitution pour les femmes. Un autre thème tabou rés</w:t>
      </w:r>
      <w:r w:rsidRPr="004B2498">
        <w:rPr>
          <w:lang w:eastAsia="fr-FR" w:bidi="fr-FR"/>
        </w:rPr>
        <w:t>i</w:t>
      </w:r>
      <w:r w:rsidRPr="004B2498">
        <w:rPr>
          <w:lang w:eastAsia="fr-FR" w:bidi="fr-FR"/>
        </w:rPr>
        <w:t>derait, selon Le Thi Phuong Mai, dans la violence domestique (1998). La valeur « supérieure du fils » comparée à celle d’une fille est en a</w:t>
      </w:r>
      <w:r w:rsidRPr="004B2498">
        <w:rPr>
          <w:lang w:eastAsia="fr-FR" w:bidi="fr-FR"/>
        </w:rPr>
        <w:t>c</w:t>
      </w:r>
      <w:r w:rsidRPr="004B2498">
        <w:rPr>
          <w:lang w:eastAsia="fr-FR" w:bidi="fr-FR"/>
        </w:rPr>
        <w:t>cord avec la tradition patrilinéaire et se traduit non seulement dans les actes et les</w:t>
      </w:r>
      <w:r>
        <w:t xml:space="preserve"> </w:t>
      </w:r>
      <w:r w:rsidRPr="004B2498">
        <w:t>[254]</w:t>
      </w:r>
      <w:r>
        <w:t xml:space="preserve"> </w:t>
      </w:r>
      <w:r w:rsidRPr="004B2498">
        <w:rPr>
          <w:lang w:eastAsia="fr-FR" w:bidi="fr-FR"/>
        </w:rPr>
        <w:t>stratégies des hommes et des femmes d’aujourd’hui, mais égal</w:t>
      </w:r>
      <w:r w:rsidRPr="004B2498">
        <w:rPr>
          <w:lang w:eastAsia="fr-FR" w:bidi="fr-FR"/>
        </w:rPr>
        <w:t>e</w:t>
      </w:r>
      <w:r w:rsidRPr="004B2498">
        <w:rPr>
          <w:lang w:eastAsia="fr-FR" w:bidi="fr-FR"/>
        </w:rPr>
        <w:t>ment dans les jeux, blagues et proverbes populaires. Par ailleurs le déséquilibre se reflète aussi dans la littérature vietnamienne ou l’on trouve de nombreuses indications sur la malédiction la plus grande qui soit : ne jamais avoir de fils (Nguyen Khac Truong, 1996).</w:t>
      </w:r>
    </w:p>
    <w:p w14:paraId="4FF80B28" w14:textId="77777777" w:rsidR="002F4063" w:rsidRPr="004B2498" w:rsidRDefault="002F4063" w:rsidP="002F4063">
      <w:pPr>
        <w:spacing w:before="120" w:after="120"/>
        <w:jc w:val="both"/>
      </w:pPr>
      <w:r w:rsidRPr="004B2498">
        <w:rPr>
          <w:lang w:eastAsia="fr-FR" w:bidi="fr-FR"/>
        </w:rPr>
        <w:t>Portons notre regard sur les exemples suivants :</w:t>
      </w:r>
    </w:p>
    <w:p w14:paraId="79D0CB3B" w14:textId="77777777" w:rsidR="002F4063" w:rsidRDefault="002F4063" w:rsidP="002F4063">
      <w:pPr>
        <w:pStyle w:val="Grillecouleur-Accent1"/>
        <w:rPr>
          <w:lang w:eastAsia="fr-FR" w:bidi="fr-FR"/>
        </w:rPr>
      </w:pPr>
    </w:p>
    <w:p w14:paraId="5A119523" w14:textId="77777777" w:rsidR="002F4063" w:rsidRPr="004B2498" w:rsidRDefault="002F4063" w:rsidP="002F4063">
      <w:pPr>
        <w:pStyle w:val="Grillecouleur-Accent1"/>
      </w:pPr>
      <w:r w:rsidRPr="004B2498">
        <w:rPr>
          <w:lang w:eastAsia="fr-FR" w:bidi="fr-FR"/>
        </w:rPr>
        <w:t>« Quand ma femme a donné naissance à notre deuxième fille, j’étais content d’embrasser la petite, bien que je savais qu’il ne m’était pas pe</w:t>
      </w:r>
      <w:r w:rsidRPr="004B2498">
        <w:rPr>
          <w:lang w:eastAsia="fr-FR" w:bidi="fr-FR"/>
        </w:rPr>
        <w:t>r</w:t>
      </w:r>
      <w:r w:rsidRPr="004B2498">
        <w:rPr>
          <w:lang w:eastAsia="fr-FR" w:bidi="fr-FR"/>
        </w:rPr>
        <w:t>mis d’avoir un troisième enfant et qu’ainsi je ne pouvais plus espérer a</w:t>
      </w:r>
      <w:r w:rsidRPr="004B2498">
        <w:rPr>
          <w:lang w:eastAsia="fr-FR" w:bidi="fr-FR"/>
        </w:rPr>
        <w:t>s</w:t>
      </w:r>
      <w:r w:rsidRPr="004B2498">
        <w:rPr>
          <w:lang w:eastAsia="fr-FR" w:bidi="fr-FR"/>
        </w:rPr>
        <w:t>sumer mon devoir. Mais la famille ne me comprenait pas du tout. En fait mon père a cessé de parler et de manger pendant trois jours. Il était assis dans sa maison, refusait d’en sortir et pleurait. C’était la première fois que je le voyais pleurer. Le quatrième jour, il m’a parlé en me disant combien il s’apitoyait et dès qu’il se rendait compte que je ne partageais pas ses a</w:t>
      </w:r>
      <w:r w:rsidRPr="004B2498">
        <w:rPr>
          <w:lang w:eastAsia="fr-FR" w:bidi="fr-FR"/>
        </w:rPr>
        <w:t>p</w:t>
      </w:r>
      <w:r w:rsidRPr="004B2498">
        <w:rPr>
          <w:lang w:eastAsia="fr-FR" w:bidi="fr-FR"/>
        </w:rPr>
        <w:t>préhensions, il devenait furieux et m’insultait en répétant qu’il ne co</w:t>
      </w:r>
      <w:r w:rsidRPr="004B2498">
        <w:rPr>
          <w:lang w:eastAsia="fr-FR" w:bidi="fr-FR"/>
        </w:rPr>
        <w:t>m</w:t>
      </w:r>
      <w:r w:rsidRPr="004B2498">
        <w:rPr>
          <w:lang w:eastAsia="fr-FR" w:bidi="fr-FR"/>
        </w:rPr>
        <w:t>prendrait jamais comment je peux continuer ma vie comme ça [...]. En plus, la majorité de mes co</w:t>
      </w:r>
      <w:r w:rsidRPr="004B2498">
        <w:rPr>
          <w:lang w:eastAsia="fr-FR" w:bidi="fr-FR"/>
        </w:rPr>
        <w:t>l</w:t>
      </w:r>
      <w:r w:rsidRPr="004B2498">
        <w:rPr>
          <w:lang w:eastAsia="fr-FR" w:bidi="fr-FR"/>
        </w:rPr>
        <w:t>lègues à l’université, tous des professeurs, hommes et femmes, ne me comprenaient pas, c’était aussi très dur pour moi, je crois que ce fait a même ralenti mon avancement professionnel. À leurs yeux j’avais failli, et comme je ne maudissais ni ma situation ni ma deuxième fille, je ne recevais aucun soutien. Je me sentais très seul et d’une certaine manière, perdu [pause]. Ma femme et moi, nous nous se</w:t>
      </w:r>
      <w:r w:rsidRPr="004B2498">
        <w:rPr>
          <w:lang w:eastAsia="fr-FR" w:bidi="fr-FR"/>
        </w:rPr>
        <w:t>n</w:t>
      </w:r>
      <w:r w:rsidRPr="004B2498">
        <w:rPr>
          <w:lang w:eastAsia="fr-FR" w:bidi="fr-FR"/>
        </w:rPr>
        <w:t>tions très seuls. »</w:t>
      </w:r>
    </w:p>
    <w:p w14:paraId="6F933F8C" w14:textId="77777777" w:rsidR="002F4063" w:rsidRDefault="002F4063" w:rsidP="002F4063">
      <w:pPr>
        <w:pStyle w:val="Grillecouleur-Accent1"/>
        <w:rPr>
          <w:lang w:eastAsia="fr-FR" w:bidi="fr-FR"/>
        </w:rPr>
      </w:pPr>
      <w:r w:rsidRPr="004B2498">
        <w:rPr>
          <w:lang w:eastAsia="fr-FR" w:bidi="fr-FR"/>
        </w:rPr>
        <w:t>[Tuyen T., 55 ans, marié et père de deux filles - 25 et 23 ans, nées avant 1986 - professeur assistant à l’université de Hanoï, membre du parti communiste. Interview conduite à Hanoï, novembre 2010.]</w:t>
      </w:r>
    </w:p>
    <w:p w14:paraId="7EF9C3E9" w14:textId="77777777" w:rsidR="002F4063" w:rsidRPr="004B2498" w:rsidRDefault="002F4063" w:rsidP="002F4063">
      <w:pPr>
        <w:pStyle w:val="Grillecouleur-Accent1"/>
      </w:pPr>
    </w:p>
    <w:p w14:paraId="4EDDAAC5" w14:textId="77777777" w:rsidR="002F4063" w:rsidRPr="004B2498" w:rsidRDefault="002F4063" w:rsidP="002F4063">
      <w:pPr>
        <w:spacing w:before="120" w:after="120"/>
        <w:jc w:val="both"/>
      </w:pPr>
      <w:r w:rsidRPr="004B2498">
        <w:rPr>
          <w:lang w:eastAsia="fr-FR" w:bidi="fr-FR"/>
        </w:rPr>
        <w:t>L’exemple de Tuyen T. révèle qu’individuellement, il est des p</w:t>
      </w:r>
      <w:r w:rsidRPr="004B2498">
        <w:rPr>
          <w:lang w:eastAsia="fr-FR" w:bidi="fr-FR"/>
        </w:rPr>
        <w:t>a</w:t>
      </w:r>
      <w:r w:rsidRPr="004B2498">
        <w:rPr>
          <w:lang w:eastAsia="fr-FR" w:bidi="fr-FR"/>
        </w:rPr>
        <w:t>rents qui se réjouissent d’une naissance, indépendamment du sexe de l’enfant. Du côté de la société, il est frappant de voir comment la p</w:t>
      </w:r>
      <w:r w:rsidRPr="004B2498">
        <w:rPr>
          <w:lang w:eastAsia="fr-FR" w:bidi="fr-FR"/>
        </w:rPr>
        <w:t>a</w:t>
      </w:r>
      <w:r w:rsidRPr="004B2498">
        <w:rPr>
          <w:lang w:eastAsia="fr-FR" w:bidi="fr-FR"/>
        </w:rPr>
        <w:t>renté et, dans le cas de Truyen T. principalement son père, joue les intermédiaires entre la personne et la société. Le père de Truyen T. a</w:t>
      </w:r>
      <w:r w:rsidRPr="004B2498">
        <w:rPr>
          <w:lang w:eastAsia="fr-FR" w:bidi="fr-FR"/>
        </w:rPr>
        <w:t>f</w:t>
      </w:r>
      <w:r w:rsidRPr="004B2498">
        <w:rPr>
          <w:lang w:eastAsia="fr-FR" w:bidi="fr-FR"/>
        </w:rPr>
        <w:t>fiche sa souffrance : refus de participer à la vie quotidienne en s’enfermant dans sa maison, refus de prendre de la nourriture, et la</w:t>
      </w:r>
      <w:r w:rsidRPr="004B2498">
        <w:rPr>
          <w:lang w:eastAsia="fr-FR" w:bidi="fr-FR"/>
        </w:rPr>
        <w:t>r</w:t>
      </w:r>
      <w:r w:rsidRPr="004B2498">
        <w:rPr>
          <w:lang w:eastAsia="fr-FR" w:bidi="fr-FR"/>
        </w:rPr>
        <w:t>mes - un comportement dans la société vietnamienne qui n’est pas considéré comme « masculin ». Ces comportements pourraient être interprétés comme une manifestation destinée au public : il assume la douleur de son fils et lui montre qu’il le soutient. Et dans le même temps, ses manifestations de deuil renforcent la norme collective et correspondent à l’habitus attendu. Dès qu’il se rend compte que son fils ne partage pas sa souffrance, la rupture avec l’obligation filiale devient manifeste pour la deuxième fois. D’une part, Truyen T. ne se conforme pas à l’idéal d’avoir un fils et d’autre part, il n’apprécie pas les comportements et les convictions de son père, ce qui dans le confucianisme implique un manque de respect, parce qu’un fils doit toujours respecter son père. Au niveau de la société, on observe des mécanismes semblables : en dépi</w:t>
      </w:r>
      <w:r>
        <w:rPr>
          <w:lang w:eastAsia="fr-FR" w:bidi="fr-FR"/>
        </w:rPr>
        <w:t xml:space="preserve">t d’un discours socialiste, qui, </w:t>
      </w:r>
      <w:r w:rsidRPr="004B2498">
        <w:t>[255]</w:t>
      </w:r>
      <w:r>
        <w:t xml:space="preserve"> </w:t>
      </w:r>
      <w:r w:rsidRPr="004B2498">
        <w:rPr>
          <w:lang w:eastAsia="fr-FR" w:bidi="fr-FR"/>
        </w:rPr>
        <w:t>officiellement attribue la même valeur aux deux sexes, Truyen T. d</w:t>
      </w:r>
      <w:r w:rsidRPr="004B2498">
        <w:rPr>
          <w:lang w:eastAsia="fr-FR" w:bidi="fr-FR"/>
        </w:rPr>
        <w:t>é</w:t>
      </w:r>
      <w:r w:rsidRPr="004B2498">
        <w:rPr>
          <w:lang w:eastAsia="fr-FR" w:bidi="fr-FR"/>
        </w:rPr>
        <w:t>couvre que ses collègues - tous travaillant en milieu universitaire et appartenant à l’intelligentsia - ne le soutiennent pas non plus.</w:t>
      </w:r>
    </w:p>
    <w:p w14:paraId="28ED1B6A" w14:textId="77777777" w:rsidR="002F4063" w:rsidRPr="004B2498" w:rsidRDefault="002F4063" w:rsidP="002F4063">
      <w:pPr>
        <w:spacing w:before="120" w:after="120"/>
        <w:jc w:val="both"/>
      </w:pPr>
      <w:r w:rsidRPr="004B2498">
        <w:rPr>
          <w:lang w:eastAsia="fr-FR" w:bidi="fr-FR"/>
        </w:rPr>
        <w:t>Truyen T. et sa femme ont failli deux fois dans l’opinion publique : pour ne pas avoir eu de fils et pour ne pas s’être plaints de leur sort. Ces faits les ont placés en dehors de la norme endogène et ont - au moins dans la perception de Truyen - ralenti par suite son avancement professionnel.</w:t>
      </w:r>
    </w:p>
    <w:p w14:paraId="2B416ECD" w14:textId="77777777" w:rsidR="002F4063" w:rsidRPr="004B2498" w:rsidRDefault="002F4063" w:rsidP="002F4063">
      <w:pPr>
        <w:spacing w:before="120" w:after="120"/>
        <w:jc w:val="both"/>
      </w:pPr>
      <w:r w:rsidRPr="004B2498">
        <w:rPr>
          <w:lang w:eastAsia="fr-FR" w:bidi="fr-FR"/>
        </w:rPr>
        <w:t>Du point de vue anthropologique et afin d’aboutir à des concl</w:t>
      </w:r>
      <w:r w:rsidRPr="004B2498">
        <w:rPr>
          <w:lang w:eastAsia="fr-FR" w:bidi="fr-FR"/>
        </w:rPr>
        <w:t>u</w:t>
      </w:r>
      <w:r w:rsidRPr="004B2498">
        <w:rPr>
          <w:lang w:eastAsia="fr-FR" w:bidi="fr-FR"/>
        </w:rPr>
        <w:t>sions épistémologiques, il est significatif de comparer son cas avec celui de Dzung N., issu d’un milieu professionnel et familial sembl</w:t>
      </w:r>
      <w:r w:rsidRPr="004B2498">
        <w:rPr>
          <w:lang w:eastAsia="fr-FR" w:bidi="fr-FR"/>
        </w:rPr>
        <w:t>a</w:t>
      </w:r>
      <w:r w:rsidRPr="004B2498">
        <w:rPr>
          <w:lang w:eastAsia="fr-FR" w:bidi="fr-FR"/>
        </w:rPr>
        <w:t>ble et qui se voit confronté à une situation identique à l’aube du XXIe siècle, presque trente ans plus tard. Dzung N. est lui aussi membre du parti communiste, travaille comme ingénieur dans le secteur étatique et vient également d’une famille dans laquelle les valeurs confuciani</w:t>
      </w:r>
      <w:r w:rsidRPr="004B2498">
        <w:rPr>
          <w:lang w:eastAsia="fr-FR" w:bidi="fr-FR"/>
        </w:rPr>
        <w:t>s</w:t>
      </w:r>
      <w:r w:rsidRPr="004B2498">
        <w:rPr>
          <w:lang w:eastAsia="fr-FR" w:bidi="fr-FR"/>
        </w:rPr>
        <w:t>tes, et donc le culte des ancêtres, sont fortement appréciées. Il se d</w:t>
      </w:r>
      <w:r w:rsidRPr="004B2498">
        <w:rPr>
          <w:lang w:eastAsia="fr-FR" w:bidi="fr-FR"/>
        </w:rPr>
        <w:t>é</w:t>
      </w:r>
      <w:r w:rsidRPr="004B2498">
        <w:rPr>
          <w:lang w:eastAsia="fr-FR" w:bidi="fr-FR"/>
        </w:rPr>
        <w:t>clare officiellement athée.</w:t>
      </w:r>
    </w:p>
    <w:p w14:paraId="08447848" w14:textId="77777777" w:rsidR="002F4063" w:rsidRDefault="002F4063" w:rsidP="002F4063">
      <w:pPr>
        <w:pStyle w:val="Grillecouleur-Accent1"/>
        <w:rPr>
          <w:lang w:eastAsia="fr-FR" w:bidi="fr-FR"/>
        </w:rPr>
      </w:pPr>
    </w:p>
    <w:p w14:paraId="45C71269" w14:textId="77777777" w:rsidR="002F4063" w:rsidRPr="004B2498" w:rsidRDefault="002F4063" w:rsidP="002F4063">
      <w:pPr>
        <w:pStyle w:val="Grillecouleur-Accent1"/>
      </w:pPr>
      <w:r w:rsidRPr="004B2498">
        <w:rPr>
          <w:lang w:eastAsia="fr-FR" w:bidi="fr-FR"/>
        </w:rPr>
        <w:t>AW. - Tu vas devenir père prochainement. As-tu une préférence quant au sexe de ton enfant ?</w:t>
      </w:r>
    </w:p>
    <w:p w14:paraId="011A1F17" w14:textId="77777777" w:rsidR="002F4063" w:rsidRPr="004B2498" w:rsidRDefault="002F4063" w:rsidP="002F4063">
      <w:pPr>
        <w:pStyle w:val="Grillecouleur-Accent1"/>
      </w:pPr>
      <w:r w:rsidRPr="004B2498">
        <w:rPr>
          <w:lang w:eastAsia="fr-FR" w:bidi="fr-FR"/>
        </w:rPr>
        <w:t>DN. - Bon, le sexe du premier enfant n’est pas si important, parce qu’on aura de toute manière une deuxième chance si le premier enfant est une fille. Mais honnêtement ma femme et moi, nous sommes déjà préo</w:t>
      </w:r>
      <w:r w:rsidRPr="004B2498">
        <w:rPr>
          <w:lang w:eastAsia="fr-FR" w:bidi="fr-FR"/>
        </w:rPr>
        <w:t>c</w:t>
      </w:r>
      <w:r w:rsidRPr="004B2498">
        <w:rPr>
          <w:lang w:eastAsia="fr-FR" w:bidi="fr-FR"/>
        </w:rPr>
        <w:t>cupés et nous espérons qu’on aura un garçon, pour être sûrs de pouvoir a</w:t>
      </w:r>
      <w:r w:rsidRPr="004B2498">
        <w:rPr>
          <w:lang w:eastAsia="fr-FR" w:bidi="fr-FR"/>
        </w:rPr>
        <w:t>c</w:t>
      </w:r>
      <w:r w:rsidRPr="004B2498">
        <w:rPr>
          <w:lang w:eastAsia="fr-FR" w:bidi="fr-FR"/>
        </w:rPr>
        <w:t>complir notre devoir. Dans le cas où le premier enfant serait une fille, la pression de nos familles, de nos collègues et même de quelques amis serait très forte [pause]. En plus je n’aimerais pas que ma femme doive avorter. Certaines femmes, et notamment une collaboratrice de mon bureau, sou</w:t>
      </w:r>
      <w:r w:rsidRPr="004B2498">
        <w:rPr>
          <w:lang w:eastAsia="fr-FR" w:bidi="fr-FR"/>
        </w:rPr>
        <w:t>f</w:t>
      </w:r>
      <w:r w:rsidRPr="004B2498">
        <w:rPr>
          <w:lang w:eastAsia="fr-FR" w:bidi="fr-FR"/>
        </w:rPr>
        <w:t>frent ensuite de traumas psychologiques. Mais de toute manière elles se voyaient forcées [d’avorter]. Et dans mon cas, ma famille et ma parenté f</w:t>
      </w:r>
      <w:r w:rsidRPr="004B2498">
        <w:rPr>
          <w:lang w:eastAsia="fr-FR" w:bidi="fr-FR"/>
        </w:rPr>
        <w:t>e</w:t>
      </w:r>
      <w:r w:rsidRPr="004B2498">
        <w:rPr>
          <w:lang w:eastAsia="fr-FR" w:bidi="fr-FR"/>
        </w:rPr>
        <w:t>ront tout pour garantir que je perpétuerai le lignage  ; bien que mon frère ait déjà rempli son devoir, ils l’exigent quand même aussi de moi. Esp</w:t>
      </w:r>
      <w:r w:rsidRPr="004B2498">
        <w:rPr>
          <w:lang w:eastAsia="fr-FR" w:bidi="fr-FR"/>
        </w:rPr>
        <w:t>é</w:t>
      </w:r>
      <w:r w:rsidRPr="004B2498">
        <w:rPr>
          <w:lang w:eastAsia="fr-FR" w:bidi="fr-FR"/>
        </w:rPr>
        <w:t>rons donc qu’on aura de la chance et qu’elle [sa femme] enfantera un ga</w:t>
      </w:r>
      <w:r w:rsidRPr="004B2498">
        <w:rPr>
          <w:lang w:eastAsia="fr-FR" w:bidi="fr-FR"/>
        </w:rPr>
        <w:t>r</w:t>
      </w:r>
      <w:r w:rsidRPr="004B2498">
        <w:rPr>
          <w:lang w:eastAsia="fr-FR" w:bidi="fr-FR"/>
        </w:rPr>
        <w:t>çon.</w:t>
      </w:r>
    </w:p>
    <w:p w14:paraId="622759C5" w14:textId="77777777" w:rsidR="002F4063" w:rsidRDefault="002F4063" w:rsidP="002F4063">
      <w:pPr>
        <w:pStyle w:val="Grillecouleur-Accent1"/>
        <w:rPr>
          <w:lang w:eastAsia="fr-FR" w:bidi="fr-FR"/>
        </w:rPr>
      </w:pPr>
      <w:r w:rsidRPr="004B2498">
        <w:rPr>
          <w:lang w:eastAsia="fr-FR" w:bidi="fr-FR"/>
        </w:rPr>
        <w:t>[Dzung N., 31 ans, récemment marié. Sa femme était enceinte de six semaines, au moment de l’interview conduite à Hanoï en octobre 2010.]</w:t>
      </w:r>
    </w:p>
    <w:p w14:paraId="1AABBF0D" w14:textId="77777777" w:rsidR="002F4063" w:rsidRPr="004B2498" w:rsidRDefault="002F4063" w:rsidP="002F4063">
      <w:pPr>
        <w:pStyle w:val="Grillecouleur-Accent1"/>
      </w:pPr>
    </w:p>
    <w:p w14:paraId="49CD048D" w14:textId="77777777" w:rsidR="002F4063" w:rsidRPr="004B2498" w:rsidRDefault="002F4063" w:rsidP="002F4063">
      <w:pPr>
        <w:spacing w:before="120" w:after="120"/>
        <w:jc w:val="both"/>
      </w:pPr>
      <w:r w:rsidRPr="004B2498">
        <w:rPr>
          <w:lang w:eastAsia="fr-FR" w:bidi="fr-FR"/>
        </w:rPr>
        <w:t>L’exemple de Dzung N. montre clairement que les nombreux m</w:t>
      </w:r>
      <w:r w:rsidRPr="004B2498">
        <w:rPr>
          <w:lang w:eastAsia="fr-FR" w:bidi="fr-FR"/>
        </w:rPr>
        <w:t>é</w:t>
      </w:r>
      <w:r w:rsidRPr="004B2498">
        <w:rPr>
          <w:lang w:eastAsia="fr-FR" w:bidi="fr-FR"/>
        </w:rPr>
        <w:t>canismes impliquant des obligations filiales n’ont pas changé. La pression sociale pour correspondre à l’idéal reste forte et incontest</w:t>
      </w:r>
      <w:r w:rsidRPr="004B2498">
        <w:rPr>
          <w:lang w:eastAsia="fr-FR" w:bidi="fr-FR"/>
        </w:rPr>
        <w:t>a</w:t>
      </w:r>
      <w:r w:rsidRPr="004B2498">
        <w:rPr>
          <w:lang w:eastAsia="fr-FR" w:bidi="fr-FR"/>
        </w:rPr>
        <w:t>blement suscite l’inquiétude des futurs parents. Avec de la chance, ils seront acceptés dans leur milieu social. Sinon, l’avortement semble la seule solution. Le « devoir » de se conformer aux normes endogènes, dites vietnamiennes et confucianistes, admises par la parenté et la s</w:t>
      </w:r>
      <w:r w:rsidRPr="004B2498">
        <w:rPr>
          <w:lang w:eastAsia="fr-FR" w:bidi="fr-FR"/>
        </w:rPr>
        <w:t>o</w:t>
      </w:r>
      <w:r w:rsidRPr="004B2498">
        <w:rPr>
          <w:lang w:eastAsia="fr-FR" w:bidi="fr-FR"/>
        </w:rPr>
        <w:t>ciété, reste donc d’une grande importance pour Dzung N. comme pour nombre de gens, créant ainsi une situation paradoxale : des parents qui, au lieu de se réjouir à l’annonce d’un enfant, s’inquiètent d’abord de son sexe. Pour Dzung N. un refus de se plier</w:t>
      </w:r>
      <w:r>
        <w:t xml:space="preserve"> </w:t>
      </w:r>
      <w:r w:rsidRPr="004B2498">
        <w:t>[256]</w:t>
      </w:r>
      <w:r>
        <w:t xml:space="preserve"> </w:t>
      </w:r>
      <w:r w:rsidRPr="004B2498">
        <w:rPr>
          <w:lang w:eastAsia="fr-FR" w:bidi="fr-FR"/>
        </w:rPr>
        <w:t>à cette norme semble hors de question, bien que les avortements ne soient génér</w:t>
      </w:r>
      <w:r w:rsidRPr="004B2498">
        <w:rPr>
          <w:lang w:eastAsia="fr-FR" w:bidi="fr-FR"/>
        </w:rPr>
        <w:t>a</w:t>
      </w:r>
      <w:r w:rsidRPr="004B2498">
        <w:rPr>
          <w:lang w:eastAsia="fr-FR" w:bidi="fr-FR"/>
        </w:rPr>
        <w:t>lement pas sans répercussions.</w:t>
      </w:r>
    </w:p>
    <w:p w14:paraId="59348337" w14:textId="77777777" w:rsidR="002F4063" w:rsidRPr="004B2498" w:rsidRDefault="002F4063" w:rsidP="002F4063">
      <w:pPr>
        <w:spacing w:before="120" w:after="120"/>
        <w:jc w:val="both"/>
      </w:pPr>
      <w:r w:rsidRPr="004B2498">
        <w:rPr>
          <w:lang w:eastAsia="fr-FR" w:bidi="fr-FR"/>
        </w:rPr>
        <w:t>Ces deux exemples montrent qu’il y a toujours - et qu’il y avait - des parents personnellement heureux de n’avoir qu’une fille malgré le mépris social qui sanctionne ce fait. Ces exemples, caractéristiques, confirment qu’au Vietnam on considère qu’il est normal pour tous les couples mariés d’avoir des enfants et notamment un fils. La volonté individuelle ou du couple semble peu valorisée. L’obligation d’avoir au moins un fils fait partie d’un système complexe qui renforce la p</w:t>
      </w:r>
      <w:r w:rsidRPr="004B2498">
        <w:rPr>
          <w:lang w:eastAsia="fr-FR" w:bidi="fr-FR"/>
        </w:rPr>
        <w:t>a</w:t>
      </w:r>
      <w:r w:rsidRPr="004B2498">
        <w:rPr>
          <w:lang w:eastAsia="fr-FR" w:bidi="fr-FR"/>
        </w:rPr>
        <w:t>trilinéarité et reste officiellement liée aux valeurs perçues comme « véritablement vietnamiennes ». Il est clair que la génération plus jeune ne s’oppose pas à ces valeurs, qu’elle est prête à les respecter. Truyen T. et Dzung N. sont insérés dans des réseaux professionnels et personnels qui se distinguent par une haute conformité aux valeurs « traditionnelles » - un milieu social, qui ne se refuse généralement pas aux obligations filiales et se caractérise par une forte intégration des individus dans divers réseaux sociaux, ce qui se manifeste au n</w:t>
      </w:r>
      <w:r w:rsidRPr="004B2498">
        <w:rPr>
          <w:lang w:eastAsia="fr-FR" w:bidi="fr-FR"/>
        </w:rPr>
        <w:t>i</w:t>
      </w:r>
      <w:r w:rsidRPr="004B2498">
        <w:rPr>
          <w:lang w:eastAsia="fr-FR" w:bidi="fr-FR"/>
        </w:rPr>
        <w:t>veau émotionnel et professionnel.</w:t>
      </w:r>
    </w:p>
    <w:p w14:paraId="4E9AC7B2" w14:textId="77777777" w:rsidR="002F4063" w:rsidRPr="004B2498" w:rsidRDefault="002F4063" w:rsidP="002F4063">
      <w:pPr>
        <w:spacing w:before="120" w:after="120"/>
        <w:jc w:val="both"/>
      </w:pPr>
      <w:r w:rsidRPr="004B2498">
        <w:rPr>
          <w:lang w:eastAsia="fr-FR" w:bidi="fr-FR"/>
        </w:rPr>
        <w:t>Dans un pays où la sécurité sociale n’est pas, ou rarement, dél</w:t>
      </w:r>
      <w:r w:rsidRPr="004B2498">
        <w:rPr>
          <w:lang w:eastAsia="fr-FR" w:bidi="fr-FR"/>
        </w:rPr>
        <w:t>é</w:t>
      </w:r>
      <w:r w:rsidRPr="004B2498">
        <w:rPr>
          <w:lang w:eastAsia="fr-FR" w:bidi="fr-FR"/>
        </w:rPr>
        <w:t>guée à l’État, le soutien de la parenté est extrêmement important (Hours et Selim, 2003) : des raisons socio-économiques justifient la crainte de ne pas avoir suffisamment de moyens pour assurer ses vieux jours, qu’il n’y ait personne pour prendre soin de vous en cas de maladie. Par conséquent, les jeunes générations organisent leur propre vie de façon à pouvoir prendre soin de leurs parents, ce qui amène à une reproduction des mécanismes de genre, car ce sont principalement les femmes qui doivent s’occuper de leurs beaux-parents (Werner, 2009). La tradition pour les jeunes mariés de vivre avec les beaux-parents patrilinéaires, renforce les valeurs et reste un phénomène commun à d’autres pays confucianistes. Depuis le début du XXIe si</w:t>
      </w:r>
      <w:r w:rsidRPr="004B2498">
        <w:rPr>
          <w:lang w:eastAsia="fr-FR" w:bidi="fr-FR"/>
        </w:rPr>
        <w:t>è</w:t>
      </w:r>
      <w:r w:rsidRPr="004B2498">
        <w:rPr>
          <w:lang w:eastAsia="fr-FR" w:bidi="fr-FR"/>
        </w:rPr>
        <w:t>cle, le pourcentage de jeunes familles qui vivent indépendamment des parents est en augmentation. Néanmoins, il est commun que les jeunes s’occupent des parents et le fait de déléguer cette obligation à une a</w:t>
      </w:r>
      <w:r w:rsidRPr="004B2498">
        <w:rPr>
          <w:lang w:eastAsia="fr-FR" w:bidi="fr-FR"/>
        </w:rPr>
        <w:t>u</w:t>
      </w:r>
      <w:r w:rsidRPr="004B2498">
        <w:rPr>
          <w:lang w:eastAsia="fr-FR" w:bidi="fr-FR"/>
        </w:rPr>
        <w:t>tre personne qui en prendra charge professionnellement est social</w:t>
      </w:r>
      <w:r w:rsidRPr="004B2498">
        <w:rPr>
          <w:lang w:eastAsia="fr-FR" w:bidi="fr-FR"/>
        </w:rPr>
        <w:t>e</w:t>
      </w:r>
      <w:r w:rsidRPr="004B2498">
        <w:rPr>
          <w:lang w:eastAsia="fr-FR" w:bidi="fr-FR"/>
        </w:rPr>
        <w:t>ment moins ou pas valorisé du tout. Pourtant la tendance à déléguer cette responsabilité filiale se répand parmi les « nouveaux riches » et dans la classe moyenne émergente. Ce groupe de personnes déclare qu’elles consentent à ce que cette manière d’agir soit aussi employée dans leur cas. Quand le bien-être des parents ne dépendra plus des e</w:t>
      </w:r>
      <w:r w:rsidRPr="004B2498">
        <w:rPr>
          <w:lang w:eastAsia="fr-FR" w:bidi="fr-FR"/>
        </w:rPr>
        <w:t>n</w:t>
      </w:r>
      <w:r w:rsidRPr="004B2498">
        <w:rPr>
          <w:lang w:eastAsia="fr-FR" w:bidi="fr-FR"/>
        </w:rPr>
        <w:t>fants et quand l’héritage ne sera plus transféré aux filles seulement en théorie mais aussi dans la pratique, les préférences pour un enfant m</w:t>
      </w:r>
      <w:r w:rsidRPr="004B2498">
        <w:rPr>
          <w:lang w:eastAsia="fr-FR" w:bidi="fr-FR"/>
        </w:rPr>
        <w:t>â</w:t>
      </w:r>
      <w:r w:rsidRPr="004B2498">
        <w:rPr>
          <w:lang w:eastAsia="fr-FR" w:bidi="fr-FR"/>
        </w:rPr>
        <w:t>le n’auront plus raison d’être. Lorsque ces dynamiques deviendront socialement acceptables, il est probable que la pression sociale effe</w:t>
      </w:r>
      <w:r w:rsidRPr="004B2498">
        <w:rPr>
          <w:lang w:eastAsia="fr-FR" w:bidi="fr-FR"/>
        </w:rPr>
        <w:t>c</w:t>
      </w:r>
      <w:r w:rsidRPr="004B2498">
        <w:rPr>
          <w:lang w:eastAsia="fr-FR" w:bidi="fr-FR"/>
        </w:rPr>
        <w:t>tuée par la « solidarité mécanique » diminuera aussi. Et qu’en sortira une réévaluation des filles.</w:t>
      </w:r>
    </w:p>
    <w:p w14:paraId="22EBD507" w14:textId="77777777" w:rsidR="002F4063" w:rsidRPr="004B2498" w:rsidRDefault="002F4063" w:rsidP="002F4063">
      <w:pPr>
        <w:spacing w:before="120" w:after="120"/>
        <w:jc w:val="both"/>
      </w:pPr>
      <w:r w:rsidRPr="004B2498">
        <w:t>[257]</w:t>
      </w:r>
    </w:p>
    <w:p w14:paraId="4C582D75" w14:textId="77777777" w:rsidR="002F4063" w:rsidRPr="004B2498" w:rsidRDefault="002F4063" w:rsidP="002F4063">
      <w:pPr>
        <w:spacing w:before="120" w:after="120"/>
        <w:jc w:val="both"/>
      </w:pPr>
      <w:r w:rsidRPr="004B2498">
        <w:rPr>
          <w:lang w:eastAsia="fr-FR" w:bidi="fr-FR"/>
        </w:rPr>
        <w:t>Pour prévenir la continuité de ce phénomène dans la société vie</w:t>
      </w:r>
      <w:r w:rsidRPr="004B2498">
        <w:rPr>
          <w:lang w:eastAsia="fr-FR" w:bidi="fr-FR"/>
        </w:rPr>
        <w:t>t</w:t>
      </w:r>
      <w:r w:rsidRPr="004B2498">
        <w:rPr>
          <w:lang w:eastAsia="fr-FR" w:bidi="fr-FR"/>
        </w:rPr>
        <w:t>namienne, il serait peut-être souhaitable d’adopter quelques mesures sociales et juridiques qui garantissent un accès au pouvoir plus égal</w:t>
      </w:r>
      <w:r w:rsidRPr="004B2498">
        <w:rPr>
          <w:lang w:eastAsia="fr-FR" w:bidi="fr-FR"/>
        </w:rPr>
        <w:t>i</w:t>
      </w:r>
      <w:r w:rsidRPr="004B2498">
        <w:rPr>
          <w:lang w:eastAsia="fr-FR" w:bidi="fr-FR"/>
        </w:rPr>
        <w:t>taire. Les sanctions pour les personnes qui avortent des filles ne sont pas une solution, parce qu’on sait déjà - en comparant avec des pays où ils sont interdits - que les avortements ne cesseront pas, mais s’effectueraient, avec davantage de risques pour les femmes, dans le secteur informel ou illégal. En outre la loi vietnamienne s’oppose o</w:t>
      </w:r>
      <w:r w:rsidRPr="004B2498">
        <w:rPr>
          <w:lang w:eastAsia="fr-FR" w:bidi="fr-FR"/>
        </w:rPr>
        <w:t>f</w:t>
      </w:r>
      <w:r w:rsidRPr="004B2498">
        <w:rPr>
          <w:lang w:eastAsia="fr-FR" w:bidi="fr-FR"/>
        </w:rPr>
        <w:t>ficiellement aux avortements basés sur le genre. Si les droits à l’héritage incluent aussi dans la pratique et de manière égalitaire les filles et les fils, les familles qui n’ont que des filles ne perdront pas leurs biens. Cette mesure éliminerait un souci majeur, celui de perdre la propriété. En effet la tradition qui attribue au fils la plus grande pa</w:t>
      </w:r>
      <w:r w:rsidRPr="004B2498">
        <w:rPr>
          <w:lang w:eastAsia="fr-FR" w:bidi="fr-FR"/>
        </w:rPr>
        <w:t>r</w:t>
      </w:r>
      <w:r w:rsidRPr="004B2498">
        <w:rPr>
          <w:lang w:eastAsia="fr-FR" w:bidi="fr-FR"/>
        </w:rPr>
        <w:t>tie des biens de ses parents et surtout les terres, est encore fortement enracinée dans la société. La propriété est un moyen important pour diminuer le risque de pauvreté, comme de nombreuses recherches l’ont montré. Mais en accord avec la tradition patrilocale le risque de perdre la propriété est plus probable pour les femmes.</w:t>
      </w:r>
    </w:p>
    <w:p w14:paraId="6DD4B905" w14:textId="77777777" w:rsidR="002F4063" w:rsidRPr="004B2498" w:rsidRDefault="002F4063" w:rsidP="002F4063">
      <w:pPr>
        <w:spacing w:before="120" w:after="120"/>
        <w:jc w:val="both"/>
        <w:rPr>
          <w:szCs w:val="24"/>
          <w:lang w:eastAsia="fr-FR" w:bidi="fr-FR"/>
        </w:rPr>
      </w:pPr>
    </w:p>
    <w:p w14:paraId="14CAD4A7" w14:textId="77777777" w:rsidR="002F4063" w:rsidRPr="004B2498" w:rsidRDefault="002F4063" w:rsidP="002F4063">
      <w:pPr>
        <w:pStyle w:val="a"/>
      </w:pPr>
      <w:r w:rsidRPr="004B2498">
        <w:t>Le refus d’avorter</w:t>
      </w:r>
    </w:p>
    <w:p w14:paraId="444CCA6F" w14:textId="77777777" w:rsidR="002F4063" w:rsidRPr="004B2498" w:rsidRDefault="002F4063" w:rsidP="002F4063">
      <w:pPr>
        <w:spacing w:before="120" w:after="120"/>
        <w:jc w:val="both"/>
        <w:rPr>
          <w:lang w:eastAsia="fr-FR" w:bidi="fr-FR"/>
        </w:rPr>
      </w:pPr>
    </w:p>
    <w:p w14:paraId="50FECDE7" w14:textId="77777777" w:rsidR="002F4063" w:rsidRPr="004B2498" w:rsidRDefault="002F4063" w:rsidP="002F4063">
      <w:pPr>
        <w:spacing w:before="120" w:after="120"/>
        <w:jc w:val="both"/>
      </w:pPr>
      <w:r w:rsidRPr="004B2498">
        <w:rPr>
          <w:lang w:eastAsia="fr-FR" w:bidi="fr-FR"/>
        </w:rPr>
        <w:t>Bien que la règle des deux enfants soit valide pour toute la popul</w:t>
      </w:r>
      <w:r w:rsidRPr="004B2498">
        <w:rPr>
          <w:lang w:eastAsia="fr-FR" w:bidi="fr-FR"/>
        </w:rPr>
        <w:t>a</w:t>
      </w:r>
      <w:r w:rsidRPr="004B2498">
        <w:rPr>
          <w:lang w:eastAsia="fr-FR" w:bidi="fr-FR"/>
        </w:rPr>
        <w:t xml:space="preserve">tion </w:t>
      </w:r>
      <w:r w:rsidRPr="004B2498">
        <w:t>Kinh</w:t>
      </w:r>
      <w:r w:rsidRPr="004B2498">
        <w:rPr>
          <w:lang w:eastAsia="fr-FR" w:bidi="fr-FR"/>
        </w:rPr>
        <w:t xml:space="preserve"> au Vietnam, mes données montrent qu’il existe des diff</w:t>
      </w:r>
      <w:r w:rsidRPr="004B2498">
        <w:rPr>
          <w:lang w:eastAsia="fr-FR" w:bidi="fr-FR"/>
        </w:rPr>
        <w:t>é</w:t>
      </w:r>
      <w:r w:rsidRPr="004B2498">
        <w:rPr>
          <w:lang w:eastAsia="fr-FR" w:bidi="fr-FR"/>
        </w:rPr>
        <w:t>rences selon les groupes sociaux : les entrepreneurs et les ménages d’artisans indépendants qui travaillent dans le secteur formel ou i</w:t>
      </w:r>
      <w:r w:rsidRPr="004B2498">
        <w:rPr>
          <w:lang w:eastAsia="fr-FR" w:bidi="fr-FR"/>
        </w:rPr>
        <w:t>n</w:t>
      </w:r>
      <w:r w:rsidRPr="004B2498">
        <w:rPr>
          <w:lang w:eastAsia="fr-FR" w:bidi="fr-FR"/>
        </w:rPr>
        <w:t xml:space="preserve">formel (Cling J.-P. </w:t>
      </w:r>
      <w:r w:rsidRPr="004B2498">
        <w:t>et al</w:t>
      </w:r>
      <w:r w:rsidRPr="004B2498">
        <w:rPr>
          <w:lang w:eastAsia="fr-FR" w:bidi="fr-FR"/>
        </w:rPr>
        <w:t>., 2010) ; les personnes qui pensent que les femmes sont capables de perpétuer le culte des ancêtres ; celles qui sont convaincues qu’un avortement basé sur le sexe (ou en général) n’est pas légitime. Parmi ces deux derniers groupes on trouve surtout des personnes qui se présentent comme catholiques.</w:t>
      </w:r>
    </w:p>
    <w:p w14:paraId="5A2DFEFE" w14:textId="77777777" w:rsidR="002F4063" w:rsidRPr="004B2498" w:rsidRDefault="002F4063" w:rsidP="002F4063">
      <w:pPr>
        <w:spacing w:before="120" w:after="120"/>
        <w:jc w:val="both"/>
      </w:pPr>
      <w:r w:rsidRPr="004B2498">
        <w:rPr>
          <w:lang w:eastAsia="fr-FR" w:bidi="fr-FR"/>
        </w:rPr>
        <w:t>Le premier groupe, qui s’oppose partiellement à l’idéologie « traditionnelle », comprend des entrepreneurs de la classe moyenne supérieure et des « riches ». Leur indépendance à l’égard de l’État leur donne la possibilité de poursuivre leurs affaires et ils ont les moyens économiques d’acquitter les sanctions monétaires exigées des autor</w:t>
      </w:r>
      <w:r w:rsidRPr="004B2498">
        <w:rPr>
          <w:lang w:eastAsia="fr-FR" w:bidi="fr-FR"/>
        </w:rPr>
        <w:t>i</w:t>
      </w:r>
      <w:r w:rsidRPr="004B2498">
        <w:rPr>
          <w:lang w:eastAsia="fr-FR" w:bidi="fr-FR"/>
        </w:rPr>
        <w:t>tés locales.</w:t>
      </w:r>
    </w:p>
    <w:p w14:paraId="319C3B94" w14:textId="77777777" w:rsidR="002F4063" w:rsidRPr="004B2498" w:rsidRDefault="002F4063" w:rsidP="002F4063">
      <w:pPr>
        <w:spacing w:before="120" w:after="120"/>
        <w:jc w:val="both"/>
      </w:pPr>
      <w:r w:rsidRPr="004B2498">
        <w:rPr>
          <w:lang w:eastAsia="fr-FR" w:bidi="fr-FR"/>
        </w:rPr>
        <w:t>L’opinion de Luu N. confirme par exemple le rapport entre san</w:t>
      </w:r>
      <w:r w:rsidRPr="004B2498">
        <w:rPr>
          <w:lang w:eastAsia="fr-FR" w:bidi="fr-FR"/>
        </w:rPr>
        <w:t>c</w:t>
      </w:r>
      <w:r w:rsidRPr="004B2498">
        <w:rPr>
          <w:lang w:eastAsia="fr-FR" w:bidi="fr-FR"/>
        </w:rPr>
        <w:t>tions et position individuelle :</w:t>
      </w:r>
    </w:p>
    <w:p w14:paraId="51A6666B" w14:textId="77777777" w:rsidR="002F4063" w:rsidRDefault="002F4063" w:rsidP="002F4063">
      <w:pPr>
        <w:pStyle w:val="Grillecouleur-Accent1"/>
        <w:rPr>
          <w:lang w:eastAsia="fr-FR" w:bidi="fr-FR"/>
        </w:rPr>
      </w:pPr>
    </w:p>
    <w:p w14:paraId="77B405E9" w14:textId="77777777" w:rsidR="002F4063" w:rsidRPr="004B2498" w:rsidRDefault="002F4063" w:rsidP="002F4063">
      <w:pPr>
        <w:pStyle w:val="Grillecouleur-Accent1"/>
      </w:pPr>
      <w:r w:rsidRPr="004B2498">
        <w:rPr>
          <w:lang w:eastAsia="fr-FR" w:bidi="fr-FR"/>
        </w:rPr>
        <w:t>AW. - Quand tu penses à fonder ta propre famille, quel est ton idéal ?</w:t>
      </w:r>
    </w:p>
    <w:p w14:paraId="5053C330" w14:textId="77777777" w:rsidR="002F4063" w:rsidRPr="004B2498" w:rsidRDefault="002F4063" w:rsidP="002F4063">
      <w:pPr>
        <w:pStyle w:val="Grillecouleur-Accent1"/>
      </w:pPr>
      <w:r w:rsidRPr="004B2498">
        <w:rPr>
          <w:lang w:eastAsia="fr-FR" w:bidi="fr-FR"/>
        </w:rPr>
        <w:t>LN. - J’aime les enfants, je les aime beaucoup et j’aimerais en avoir cinq. Au minimum quatre. Ma fiancée est d’accord pour quatre enfants mais j’espère la convaincre d’en avoir cinq.</w:t>
      </w:r>
    </w:p>
    <w:p w14:paraId="3873F8E8" w14:textId="77777777" w:rsidR="002F4063" w:rsidRPr="004B2498" w:rsidRDefault="002F4063" w:rsidP="002F4063">
      <w:pPr>
        <w:pStyle w:val="Grillecouleur-Accent1"/>
      </w:pPr>
      <w:r w:rsidRPr="004B2498">
        <w:rPr>
          <w:lang w:eastAsia="fr-FR" w:bidi="fr-FR"/>
        </w:rPr>
        <w:t>AW. - Est-ce que le sexe des enfants est important pour toi ?</w:t>
      </w:r>
    </w:p>
    <w:p w14:paraId="5420A868" w14:textId="77777777" w:rsidR="002F4063" w:rsidRPr="004B2498" w:rsidRDefault="002F4063" w:rsidP="002F4063">
      <w:pPr>
        <w:pStyle w:val="p"/>
      </w:pPr>
      <w:r w:rsidRPr="004B2498">
        <w:t>[258]</w:t>
      </w:r>
    </w:p>
    <w:p w14:paraId="03E98C9B" w14:textId="77777777" w:rsidR="002F4063" w:rsidRPr="004B2498" w:rsidRDefault="002F4063" w:rsidP="002F4063">
      <w:pPr>
        <w:pStyle w:val="Grillecouleur-Accent1"/>
      </w:pPr>
      <w:r w:rsidRPr="004B2498">
        <w:rPr>
          <w:lang w:eastAsia="fr-FR" w:bidi="fr-FR"/>
        </w:rPr>
        <w:t>LN. - Pour moi le sexe des enfants n’a pas d’importance, j’aime les fi</w:t>
      </w:r>
      <w:r w:rsidRPr="004B2498">
        <w:rPr>
          <w:lang w:eastAsia="fr-FR" w:bidi="fr-FR"/>
        </w:rPr>
        <w:t>l</w:t>
      </w:r>
      <w:r w:rsidRPr="004B2498">
        <w:rPr>
          <w:lang w:eastAsia="fr-FR" w:bidi="fr-FR"/>
        </w:rPr>
        <w:t>les comme les garçons. Mais bien sûr je dois avoir au moins un fils pour respecter notre tradition, c’est une obligation.</w:t>
      </w:r>
    </w:p>
    <w:p w14:paraId="31C3BC39" w14:textId="77777777" w:rsidR="002F4063" w:rsidRPr="004B2498" w:rsidRDefault="002F4063" w:rsidP="002F4063">
      <w:pPr>
        <w:pStyle w:val="Grillecouleur-Accent1"/>
      </w:pPr>
      <w:r w:rsidRPr="004B2498">
        <w:rPr>
          <w:lang w:eastAsia="fr-FR" w:bidi="fr-FR"/>
        </w:rPr>
        <w:t>AW. - Est-ce que la politique des deux enfants ne ferait pas obst</w:t>
      </w:r>
      <w:r w:rsidRPr="004B2498">
        <w:rPr>
          <w:lang w:eastAsia="fr-FR" w:bidi="fr-FR"/>
        </w:rPr>
        <w:t>a</w:t>
      </w:r>
      <w:r w:rsidRPr="004B2498">
        <w:rPr>
          <w:lang w:eastAsia="fr-FR" w:bidi="fr-FR"/>
        </w:rPr>
        <w:t>cle à ta décision d’avoir quatre ou cinq enfants ?</w:t>
      </w:r>
    </w:p>
    <w:p w14:paraId="3D18AD1A" w14:textId="77777777" w:rsidR="002F4063" w:rsidRPr="004B2498" w:rsidRDefault="002F4063" w:rsidP="002F4063">
      <w:pPr>
        <w:pStyle w:val="Grillecouleur-Accent1"/>
      </w:pPr>
      <w:r w:rsidRPr="004B2498">
        <w:rPr>
          <w:lang w:eastAsia="fr-FR" w:bidi="fr-FR"/>
        </w:rPr>
        <w:t>LN. - Non, je suis riche, très riche et comme je n’aspire pas à e</w:t>
      </w:r>
      <w:r w:rsidRPr="004B2498">
        <w:rPr>
          <w:lang w:eastAsia="fr-FR" w:bidi="fr-FR"/>
        </w:rPr>
        <w:t>n</w:t>
      </w:r>
      <w:r w:rsidRPr="004B2498">
        <w:rPr>
          <w:lang w:eastAsia="fr-FR" w:bidi="fr-FR"/>
        </w:rPr>
        <w:t>trer au Parti, il n’est pas important pour moi de respecter cette règle. Même si je dois payer, cela n’a aucune importance pour moi, honn</w:t>
      </w:r>
      <w:r w:rsidRPr="004B2498">
        <w:rPr>
          <w:lang w:eastAsia="fr-FR" w:bidi="fr-FR"/>
        </w:rPr>
        <w:t>ê</w:t>
      </w:r>
      <w:r w:rsidRPr="004B2498">
        <w:rPr>
          <w:lang w:eastAsia="fr-FR" w:bidi="fr-FR"/>
        </w:rPr>
        <w:t>tement pas. En plus je crois que j’aurai plus de temps pour m’occuper de mon business et gagner de l’argent si ma femme est occupée avec les cinq enfants.</w:t>
      </w:r>
    </w:p>
    <w:p w14:paraId="76B5827A" w14:textId="77777777" w:rsidR="002F4063" w:rsidRPr="004B2498" w:rsidRDefault="002F4063" w:rsidP="002F4063">
      <w:pPr>
        <w:pStyle w:val="Grillecouleur-Accent1"/>
      </w:pPr>
      <w:r w:rsidRPr="004B2498">
        <w:rPr>
          <w:lang w:eastAsia="fr-FR" w:bidi="fr-FR"/>
        </w:rPr>
        <w:t>AW. - Et les autorités, ne crains-tu pas qu’avoir cinq enfants pos</w:t>
      </w:r>
      <w:r w:rsidRPr="004B2498">
        <w:rPr>
          <w:lang w:eastAsia="fr-FR" w:bidi="fr-FR"/>
        </w:rPr>
        <w:t>e</w:t>
      </w:r>
      <w:r w:rsidRPr="004B2498">
        <w:rPr>
          <w:lang w:eastAsia="fr-FR" w:bidi="fr-FR"/>
        </w:rPr>
        <w:t>ra des problèmes pour ton business ? Des sanctions, une perte de comma</w:t>
      </w:r>
      <w:r w:rsidRPr="004B2498">
        <w:rPr>
          <w:lang w:eastAsia="fr-FR" w:bidi="fr-FR"/>
        </w:rPr>
        <w:t>n</w:t>
      </w:r>
      <w:r w:rsidRPr="004B2498">
        <w:rPr>
          <w:lang w:eastAsia="fr-FR" w:bidi="fr-FR"/>
        </w:rPr>
        <w:t>des ?</w:t>
      </w:r>
    </w:p>
    <w:p w14:paraId="2C5B7FD4" w14:textId="77777777" w:rsidR="002F4063" w:rsidRPr="004B2498" w:rsidRDefault="002F4063" w:rsidP="002F4063">
      <w:pPr>
        <w:pStyle w:val="Grillecouleur-Accent1"/>
      </w:pPr>
      <w:r w:rsidRPr="004B2498">
        <w:rPr>
          <w:lang w:eastAsia="fr-FR" w:bidi="fr-FR"/>
        </w:rPr>
        <w:t xml:space="preserve">LN. - Non, non pas du tout </w:t>
      </w:r>
      <w:r w:rsidRPr="004B2498">
        <w:t>(sourit).</w:t>
      </w:r>
      <w:r w:rsidRPr="004B2498">
        <w:rPr>
          <w:lang w:eastAsia="fr-FR" w:bidi="fr-FR"/>
        </w:rPr>
        <w:t xml:space="preserve"> Au contraire si tout le inonde sait que si j’ai cinq enfants, tout le monde sait que cela implique pl</w:t>
      </w:r>
      <w:r w:rsidRPr="004B2498">
        <w:rPr>
          <w:lang w:eastAsia="fr-FR" w:bidi="fr-FR"/>
        </w:rPr>
        <w:t>u</w:t>
      </w:r>
      <w:r w:rsidRPr="004B2498">
        <w:rPr>
          <w:lang w:eastAsia="fr-FR" w:bidi="fr-FR"/>
        </w:rPr>
        <w:t>sieurs fois dix mille dollars US pour les autorités  ; cela augmentera même mon pre</w:t>
      </w:r>
      <w:r w:rsidRPr="004B2498">
        <w:rPr>
          <w:lang w:eastAsia="fr-FR" w:bidi="fr-FR"/>
        </w:rPr>
        <w:t>s</w:t>
      </w:r>
      <w:r w:rsidRPr="004B2498">
        <w:rPr>
          <w:lang w:eastAsia="fr-FR" w:bidi="fr-FR"/>
        </w:rPr>
        <w:t>tige comme entrepreneur indépendant, riche et qui a réussi.</w:t>
      </w:r>
    </w:p>
    <w:p w14:paraId="4D43A515" w14:textId="77777777" w:rsidR="002F4063" w:rsidRDefault="002F4063" w:rsidP="002F4063">
      <w:pPr>
        <w:pStyle w:val="Grillecouleur-Accent1"/>
        <w:rPr>
          <w:lang w:eastAsia="fr-FR" w:bidi="fr-FR"/>
        </w:rPr>
      </w:pPr>
      <w:r w:rsidRPr="004B2498">
        <w:rPr>
          <w:lang w:eastAsia="fr-FR" w:bidi="fr-FR"/>
        </w:rPr>
        <w:t>[Luu N., 33 ans, fiancé, commerçant  ; son affaire, créée au Vie</w:t>
      </w:r>
      <w:r w:rsidRPr="004B2498">
        <w:rPr>
          <w:lang w:eastAsia="fr-FR" w:bidi="fr-FR"/>
        </w:rPr>
        <w:t>t</w:t>
      </w:r>
      <w:r w:rsidRPr="004B2498">
        <w:rPr>
          <w:lang w:eastAsia="fr-FR" w:bidi="fr-FR"/>
        </w:rPr>
        <w:t>nam, s’est étendue à plusieurs branches au Sud et au Nord, ainsi qu’à deux branches en Chine  ; dirige plus de cent employés. Interview conduite en septembre 2010 à Hanoï.]</w:t>
      </w:r>
    </w:p>
    <w:p w14:paraId="3720F1E4" w14:textId="77777777" w:rsidR="002F4063" w:rsidRPr="004B2498" w:rsidRDefault="002F4063" w:rsidP="002F4063">
      <w:pPr>
        <w:pStyle w:val="Grillecouleur-Accent1"/>
      </w:pPr>
    </w:p>
    <w:p w14:paraId="05EC9AD0" w14:textId="77777777" w:rsidR="002F4063" w:rsidRPr="004B2498" w:rsidRDefault="002F4063" w:rsidP="002F4063">
      <w:pPr>
        <w:spacing w:before="120" w:after="120"/>
        <w:jc w:val="both"/>
      </w:pPr>
      <w:r w:rsidRPr="004B2498">
        <w:rPr>
          <w:lang w:eastAsia="fr-FR" w:bidi="fr-FR"/>
        </w:rPr>
        <w:t>L’exemple de Luu N. est représentatif de ceux qui accomplissent l’obligation « traditionnelle » à « leur manière », c’est-à-dire en ref</w:t>
      </w:r>
      <w:r w:rsidRPr="004B2498">
        <w:rPr>
          <w:lang w:eastAsia="fr-FR" w:bidi="fr-FR"/>
        </w:rPr>
        <w:t>u</w:t>
      </w:r>
      <w:r w:rsidRPr="004B2498">
        <w:rPr>
          <w:lang w:eastAsia="fr-FR" w:bidi="fr-FR"/>
        </w:rPr>
        <w:t>sant des injonctions de l’ordre étatique qui devraient être valables pour la société entière. Leur capital économique leur permet de se di</w:t>
      </w:r>
      <w:r w:rsidRPr="004B2498">
        <w:rPr>
          <w:lang w:eastAsia="fr-FR" w:bidi="fr-FR"/>
        </w:rPr>
        <w:t>s</w:t>
      </w:r>
      <w:r w:rsidRPr="004B2498">
        <w:rPr>
          <w:lang w:eastAsia="fr-FR" w:bidi="fr-FR"/>
        </w:rPr>
        <w:t>tinguer des autres et d’atteindre leur idéal, bien que d’une manière indirecte : soit en refusant l’avortement, soit en n’aspirant pas à avoir uniquement ou principalement des garçons - comme on peut l’observer avec d’autres personnes. Depuis que le gouvernement vie</w:t>
      </w:r>
      <w:r w:rsidRPr="004B2498">
        <w:rPr>
          <w:lang w:eastAsia="fr-FR" w:bidi="fr-FR"/>
        </w:rPr>
        <w:t>t</w:t>
      </w:r>
      <w:r w:rsidRPr="004B2498">
        <w:rPr>
          <w:lang w:eastAsia="fr-FR" w:bidi="fr-FR"/>
        </w:rPr>
        <w:t>namien n’a pas seulement permis, mais encouragé tout le monde à s’enrichir (Hours et Selim, 2003 : 624), les nouveaux héros vietn</w:t>
      </w:r>
      <w:r w:rsidRPr="004B2498">
        <w:rPr>
          <w:lang w:eastAsia="fr-FR" w:bidi="fr-FR"/>
        </w:rPr>
        <w:t>a</w:t>
      </w:r>
      <w:r w:rsidRPr="004B2498">
        <w:rPr>
          <w:lang w:eastAsia="fr-FR" w:bidi="fr-FR"/>
        </w:rPr>
        <w:t>miens sont officiellement identifiés aux entrepreneurs qui ont réussi. La capacité économique de personnes comme Luu N. leur permet d’acquitter ce qu’exigent les autorités, renforce leur statut social et légitime la poursuite d’une décision personnelle, car elle correspond - grâce au capital accumulé - à un autre idéal étatique. Il est intéressant de remarquer dans certaines couches la tendance à s’opposer à l’avortement, quitte à encourir des sanctions monétaires ou/et acqui</w:t>
      </w:r>
      <w:r w:rsidRPr="004B2498">
        <w:rPr>
          <w:lang w:eastAsia="fr-FR" w:bidi="fr-FR"/>
        </w:rPr>
        <w:t>t</w:t>
      </w:r>
      <w:r w:rsidRPr="004B2498">
        <w:rPr>
          <w:lang w:eastAsia="fr-FR" w:bidi="fr-FR"/>
        </w:rPr>
        <w:t>ter des pots-de-vin aux autorités, une tendance également perçue dans certaines régions de la Chine (Querrien et Selim, 2010 :7).</w:t>
      </w:r>
    </w:p>
    <w:p w14:paraId="60FBCF03" w14:textId="77777777" w:rsidR="002F4063" w:rsidRPr="004B2498" w:rsidRDefault="002F4063" w:rsidP="002F4063">
      <w:pPr>
        <w:spacing w:before="120" w:after="120"/>
        <w:jc w:val="both"/>
      </w:pPr>
      <w:r w:rsidRPr="004B2498">
        <w:rPr>
          <w:lang w:eastAsia="fr-FR" w:bidi="fr-FR"/>
        </w:rPr>
        <w:t>Néanmoins, les personnes de ce premier groupe ne refusent pas complètement la norme alors que celles des deuxième et troisième groupes se caractérisent par une pratique moins rigide du culte des ancêtres. Puisque la majorité des catholiques pratiquent le culte des ancêtres, la question se</w:t>
      </w:r>
      <w:r>
        <w:t xml:space="preserve"> </w:t>
      </w:r>
      <w:r w:rsidRPr="004B2498">
        <w:t>[259]</w:t>
      </w:r>
      <w:r>
        <w:t xml:space="preserve"> </w:t>
      </w:r>
      <w:r w:rsidRPr="004B2498">
        <w:rPr>
          <w:lang w:eastAsia="fr-FR" w:bidi="fr-FR"/>
        </w:rPr>
        <w:t>pose de savoir si la forme presque sy</w:t>
      </w:r>
      <w:r w:rsidRPr="004B2498">
        <w:rPr>
          <w:lang w:eastAsia="fr-FR" w:bidi="fr-FR"/>
        </w:rPr>
        <w:t>n</w:t>
      </w:r>
      <w:r w:rsidRPr="004B2498">
        <w:rPr>
          <w:lang w:eastAsia="fr-FR" w:bidi="fr-FR"/>
        </w:rPr>
        <w:t>crétique des croyances c</w:t>
      </w:r>
      <w:r w:rsidRPr="004B2498">
        <w:rPr>
          <w:lang w:eastAsia="fr-FR" w:bidi="fr-FR"/>
        </w:rPr>
        <w:t>a</w:t>
      </w:r>
      <w:r w:rsidRPr="004B2498">
        <w:rPr>
          <w:lang w:eastAsia="fr-FR" w:bidi="fr-FR"/>
        </w:rPr>
        <w:t>tholiques et la valeur attribuée au culte des ancêtres accordent une te</w:t>
      </w:r>
      <w:r w:rsidRPr="004B2498">
        <w:rPr>
          <w:lang w:eastAsia="fr-FR" w:bidi="fr-FR"/>
        </w:rPr>
        <w:t>l</w:t>
      </w:r>
      <w:r w:rsidRPr="004B2498">
        <w:rPr>
          <w:lang w:eastAsia="fr-FR" w:bidi="fr-FR"/>
        </w:rPr>
        <w:t>le importance à la patrilinéarité. Sont-ils aussi convaincus que les fils sont indispensables pour perpétuer le culte des ancêtres ? Voici comment Phong N. voit la question : en ve</w:t>
      </w:r>
      <w:r w:rsidRPr="004B2498">
        <w:rPr>
          <w:lang w:eastAsia="fr-FR" w:bidi="fr-FR"/>
        </w:rPr>
        <w:t>r</w:t>
      </w:r>
      <w:r w:rsidRPr="004B2498">
        <w:rPr>
          <w:lang w:eastAsia="fr-FR" w:bidi="fr-FR"/>
        </w:rPr>
        <w:t>tu de leur modeste situation économique, son mari et elle ne voulaient pas un deuxième enfant bien que le premier fût une fille. Quand Phong a atteint l’âge de 35 ans, âge qu’elle considérait comme appr</w:t>
      </w:r>
      <w:r w:rsidRPr="004B2498">
        <w:rPr>
          <w:lang w:eastAsia="fr-FR" w:bidi="fr-FR"/>
        </w:rPr>
        <w:t>o</w:t>
      </w:r>
      <w:r w:rsidRPr="004B2498">
        <w:rPr>
          <w:lang w:eastAsia="fr-FR" w:bidi="fr-FR"/>
        </w:rPr>
        <w:t>prié pour avoir un deuxième enfant, sa situation économique était e</w:t>
      </w:r>
      <w:r w:rsidRPr="004B2498">
        <w:rPr>
          <w:lang w:eastAsia="fr-FR" w:bidi="fr-FR"/>
        </w:rPr>
        <w:t>x</w:t>
      </w:r>
      <w:r w:rsidRPr="004B2498">
        <w:rPr>
          <w:lang w:eastAsia="fr-FR" w:bidi="fr-FR"/>
        </w:rPr>
        <w:t>cellente, mais son mari et elle n’ont quand même pas changé d’avis, ce qui a entraîné des incompréhensions et des discriminations soci</w:t>
      </w:r>
      <w:r w:rsidRPr="004B2498">
        <w:rPr>
          <w:lang w:eastAsia="fr-FR" w:bidi="fr-FR"/>
        </w:rPr>
        <w:t>a</w:t>
      </w:r>
      <w:r w:rsidRPr="004B2498">
        <w:rPr>
          <w:lang w:eastAsia="fr-FR" w:bidi="fr-FR"/>
        </w:rPr>
        <w:t>les.</w:t>
      </w:r>
    </w:p>
    <w:p w14:paraId="3741A1CC" w14:textId="77777777" w:rsidR="002F4063" w:rsidRDefault="002F4063" w:rsidP="002F4063">
      <w:pPr>
        <w:pStyle w:val="Grillecouleur-Accent1"/>
        <w:rPr>
          <w:lang w:eastAsia="fr-FR" w:bidi="fr-FR"/>
        </w:rPr>
      </w:pPr>
    </w:p>
    <w:p w14:paraId="6BE8E4AD" w14:textId="77777777" w:rsidR="002F4063" w:rsidRPr="004B2498" w:rsidRDefault="002F4063" w:rsidP="002F4063">
      <w:pPr>
        <w:pStyle w:val="Grillecouleur-Accent1"/>
      </w:pPr>
      <w:r w:rsidRPr="004B2498">
        <w:rPr>
          <w:lang w:eastAsia="fr-FR" w:bidi="fr-FR"/>
        </w:rPr>
        <w:t>PN. - Je ne comprends pas pourquoi presque tout le monde veut abs</w:t>
      </w:r>
      <w:r w:rsidRPr="004B2498">
        <w:rPr>
          <w:lang w:eastAsia="fr-FR" w:bidi="fr-FR"/>
        </w:rPr>
        <w:t>o</w:t>
      </w:r>
      <w:r w:rsidRPr="004B2498">
        <w:rPr>
          <w:lang w:eastAsia="fr-FR" w:bidi="fr-FR"/>
        </w:rPr>
        <w:t>lument avoir un garçon. Je suis convaincue que les hommes et les femmes sont égaux, on l’avoue même dans quelques émissions de la télévision. Je me demande pourquoi il faut avoir un fils.</w:t>
      </w:r>
    </w:p>
    <w:p w14:paraId="6099AB52" w14:textId="77777777" w:rsidR="002F4063" w:rsidRPr="004B2498" w:rsidRDefault="002F4063" w:rsidP="002F4063">
      <w:pPr>
        <w:pStyle w:val="Grillecouleur-Accent1"/>
      </w:pPr>
      <w:r w:rsidRPr="004B2498">
        <w:rPr>
          <w:lang w:eastAsia="fr-FR" w:bidi="fr-FR"/>
        </w:rPr>
        <w:t>AW. - Oui. Certaines personnes l’expliquent par l’importance du culte des ancêtres.</w:t>
      </w:r>
    </w:p>
    <w:p w14:paraId="024E46FA" w14:textId="77777777" w:rsidR="002F4063" w:rsidRPr="004B2498" w:rsidRDefault="002F4063" w:rsidP="002F4063">
      <w:pPr>
        <w:pStyle w:val="Grillecouleur-Accent1"/>
      </w:pPr>
      <w:r w:rsidRPr="004B2498">
        <w:rPr>
          <w:lang w:eastAsia="fr-FR" w:bidi="fr-FR"/>
        </w:rPr>
        <w:t>PN. - Oui, définitivement. Mais je n’ai aucun souci, ma fille en s</w:t>
      </w:r>
      <w:r w:rsidRPr="004B2498">
        <w:rPr>
          <w:lang w:eastAsia="fr-FR" w:bidi="fr-FR"/>
        </w:rPr>
        <w:t>e</w:t>
      </w:r>
      <w:r w:rsidRPr="004B2498">
        <w:rPr>
          <w:lang w:eastAsia="fr-FR" w:bidi="fr-FR"/>
        </w:rPr>
        <w:t>rait capable. Elle est intelligente et je lui montre déjà comment le pr</w:t>
      </w:r>
      <w:r w:rsidRPr="004B2498">
        <w:rPr>
          <w:lang w:eastAsia="fr-FR" w:bidi="fr-FR"/>
        </w:rPr>
        <w:t>a</w:t>
      </w:r>
      <w:r w:rsidRPr="004B2498">
        <w:rPr>
          <w:lang w:eastAsia="fr-FR" w:bidi="fr-FR"/>
        </w:rPr>
        <w:t>tiquer. En outre la famille ne vit pas si loin d’ici [environ 50 km dans une zone rur</w:t>
      </w:r>
      <w:r w:rsidRPr="004B2498">
        <w:rPr>
          <w:lang w:eastAsia="fr-FR" w:bidi="fr-FR"/>
        </w:rPr>
        <w:t>a</w:t>
      </w:r>
      <w:r w:rsidRPr="004B2498">
        <w:rPr>
          <w:lang w:eastAsia="fr-FR" w:bidi="fr-FR"/>
        </w:rPr>
        <w:t>le] et ils pourront toujours l’aider, même après ma mort.</w:t>
      </w:r>
    </w:p>
    <w:p w14:paraId="1005A4AA" w14:textId="77777777" w:rsidR="002F4063" w:rsidRPr="004B2498" w:rsidRDefault="002F4063" w:rsidP="002F4063">
      <w:pPr>
        <w:pStyle w:val="Grillecouleur-Accent1"/>
      </w:pPr>
      <w:r w:rsidRPr="004B2498">
        <w:rPr>
          <w:lang w:eastAsia="fr-FR" w:bidi="fr-FR"/>
        </w:rPr>
        <w:t>AW. - Crois-tu que ta famille, les amis et les voisins acceptent ton choix de ne pas avoir un fils ?</w:t>
      </w:r>
    </w:p>
    <w:p w14:paraId="438AB7F2" w14:textId="77777777" w:rsidR="002F4063" w:rsidRPr="004B2498" w:rsidRDefault="002F4063" w:rsidP="002F4063">
      <w:pPr>
        <w:pStyle w:val="Grillecouleur-Accent1"/>
      </w:pPr>
      <w:r w:rsidRPr="004B2498">
        <w:rPr>
          <w:lang w:eastAsia="fr-FR" w:bidi="fr-FR"/>
        </w:rPr>
        <w:t xml:space="preserve">PN. - Enfin, je crois que la famille le comprend </w:t>
      </w:r>
      <w:r w:rsidRPr="004B2498">
        <w:t>(pause).</w:t>
      </w:r>
      <w:r w:rsidRPr="004B2498">
        <w:rPr>
          <w:lang w:eastAsia="fr-FR" w:bidi="fr-FR"/>
        </w:rPr>
        <w:t xml:space="preserve"> Mais mes vo</w:t>
      </w:r>
      <w:r w:rsidRPr="004B2498">
        <w:rPr>
          <w:lang w:eastAsia="fr-FR" w:bidi="fr-FR"/>
        </w:rPr>
        <w:t>i</w:t>
      </w:r>
      <w:r w:rsidRPr="004B2498">
        <w:rPr>
          <w:lang w:eastAsia="fr-FR" w:bidi="fr-FR"/>
        </w:rPr>
        <w:t xml:space="preserve">sins </w:t>
      </w:r>
      <w:r w:rsidRPr="004B2498">
        <w:t>(pause</w:t>
      </w:r>
      <w:r w:rsidRPr="004B2498">
        <w:rPr>
          <w:lang w:eastAsia="fr-FR" w:bidi="fr-FR"/>
        </w:rPr>
        <w:t>) : récemment ils essayaient tout pour convaincre mon mari et moi de l’importance d’avoir un autre enfant, ce qui signifie bien sûr un garçon. Les commérages étaient presque insupportables et quelques-uns ont même cessé d’acheter des vêtements chez nous, ce qui m’a beaucoup préoccupée. Ils ne le comprennent pas, mais dans les trois dernières a</w:t>
      </w:r>
      <w:r w:rsidRPr="004B2498">
        <w:rPr>
          <w:lang w:eastAsia="fr-FR" w:bidi="fr-FR"/>
        </w:rPr>
        <w:t>n</w:t>
      </w:r>
      <w:r w:rsidRPr="004B2498">
        <w:rPr>
          <w:lang w:eastAsia="fr-FR" w:bidi="fr-FR"/>
        </w:rPr>
        <w:t>nées, ils ont commencé à l’accepter et heureusement ils s’occupent à no</w:t>
      </w:r>
      <w:r w:rsidRPr="004B2498">
        <w:rPr>
          <w:lang w:eastAsia="fr-FR" w:bidi="fr-FR"/>
        </w:rPr>
        <w:t>u</w:t>
      </w:r>
      <w:r w:rsidRPr="004B2498">
        <w:rPr>
          <w:lang w:eastAsia="fr-FR" w:bidi="fr-FR"/>
        </w:rPr>
        <w:t>veau de leurs propres vies.</w:t>
      </w:r>
    </w:p>
    <w:p w14:paraId="3BBF9382" w14:textId="77777777" w:rsidR="002F4063" w:rsidRDefault="002F4063" w:rsidP="002F4063">
      <w:pPr>
        <w:pStyle w:val="Grillecouleur-Accent1"/>
        <w:rPr>
          <w:lang w:eastAsia="fr-FR" w:bidi="fr-FR"/>
        </w:rPr>
      </w:pPr>
      <w:r w:rsidRPr="004B2498">
        <w:rPr>
          <w:lang w:eastAsia="fr-FR" w:bidi="fr-FR"/>
        </w:rPr>
        <w:t>[Phong N., 42 ans, entrepreneure avec une licence légale, mariée, mère d’une fille de 17 ans, catholique, interview menée à Nam Dinh ville, en se</w:t>
      </w:r>
      <w:r w:rsidRPr="004B2498">
        <w:rPr>
          <w:lang w:eastAsia="fr-FR" w:bidi="fr-FR"/>
        </w:rPr>
        <w:t>p</w:t>
      </w:r>
      <w:r w:rsidRPr="004B2498">
        <w:rPr>
          <w:lang w:eastAsia="fr-FR" w:bidi="fr-FR"/>
        </w:rPr>
        <w:t>tembre 2010.]</w:t>
      </w:r>
    </w:p>
    <w:p w14:paraId="3F8ABED7" w14:textId="77777777" w:rsidR="002F4063" w:rsidRPr="004B2498" w:rsidRDefault="002F4063" w:rsidP="002F4063">
      <w:pPr>
        <w:pStyle w:val="Grillecouleur-Accent1"/>
      </w:pPr>
    </w:p>
    <w:p w14:paraId="48C80510" w14:textId="77777777" w:rsidR="002F4063" w:rsidRPr="004B2498" w:rsidRDefault="002F4063" w:rsidP="002F4063">
      <w:pPr>
        <w:spacing w:before="120" w:after="120"/>
        <w:jc w:val="both"/>
      </w:pPr>
      <w:r w:rsidRPr="004B2498">
        <w:rPr>
          <w:lang w:eastAsia="fr-FR" w:bidi="fr-FR"/>
        </w:rPr>
        <w:t>Comme l’illustre l’exemple de Phong N., même les couples qui se contentent de n’avoir qu’une fille subissent une certaine désapprob</w:t>
      </w:r>
      <w:r w:rsidRPr="004B2498">
        <w:rPr>
          <w:lang w:eastAsia="fr-FR" w:bidi="fr-FR"/>
        </w:rPr>
        <w:t>a</w:t>
      </w:r>
      <w:r w:rsidRPr="004B2498">
        <w:rPr>
          <w:lang w:eastAsia="fr-FR" w:bidi="fr-FR"/>
        </w:rPr>
        <w:t>tion sociale, amicale, familiale ou professionnelle. Selon mes données, et comme l’exemple de Truyen l’a illustré auparavant, ce fait n’a pas changé à travers le temps : ni dans la période socialiste, ni après les réformes. Le refus individuel de correspondre à la norme se laisse d</w:t>
      </w:r>
      <w:r w:rsidRPr="004B2498">
        <w:rPr>
          <w:lang w:eastAsia="fr-FR" w:bidi="fr-FR"/>
        </w:rPr>
        <w:t>e</w:t>
      </w:r>
      <w:r w:rsidRPr="004B2498">
        <w:rPr>
          <w:lang w:eastAsia="fr-FR" w:bidi="fr-FR"/>
        </w:rPr>
        <w:t>viner aussi à travers la vie de Phong. Mais alors que la réaction publ</w:t>
      </w:r>
      <w:r w:rsidRPr="004B2498">
        <w:rPr>
          <w:lang w:eastAsia="fr-FR" w:bidi="fr-FR"/>
        </w:rPr>
        <w:t>i</w:t>
      </w:r>
      <w:r w:rsidRPr="004B2498">
        <w:rPr>
          <w:lang w:eastAsia="fr-FR" w:bidi="fr-FR"/>
        </w:rPr>
        <w:t>que face à ce refus est forte et l’expose à des représailles économ</w:t>
      </w:r>
      <w:r w:rsidRPr="004B2498">
        <w:rPr>
          <w:lang w:eastAsia="fr-FR" w:bidi="fr-FR"/>
        </w:rPr>
        <w:t>i</w:t>
      </w:r>
      <w:r w:rsidRPr="004B2498">
        <w:rPr>
          <w:lang w:eastAsia="fr-FR" w:bidi="fr-FR"/>
        </w:rPr>
        <w:t>ques, la parenté de Phong réagit différemment et apparaît comme une sécurité et un appui, ce qui se reflète dans la conviction de Phong s</w:t>
      </w:r>
      <w:r w:rsidRPr="004B2498">
        <w:rPr>
          <w:lang w:eastAsia="fr-FR" w:bidi="fr-FR"/>
        </w:rPr>
        <w:t>e</w:t>
      </w:r>
      <w:r w:rsidRPr="004B2498">
        <w:rPr>
          <w:lang w:eastAsia="fr-FR" w:bidi="fr-FR"/>
        </w:rPr>
        <w:t>lon laquelle la famille soutiendra toujours sa fille dans le sens affectif, spirituel et économique.</w:t>
      </w:r>
    </w:p>
    <w:p w14:paraId="3C77112D" w14:textId="77777777" w:rsidR="002F4063" w:rsidRPr="004B2498" w:rsidRDefault="002F4063" w:rsidP="002F4063">
      <w:pPr>
        <w:spacing w:before="120" w:after="120"/>
        <w:jc w:val="both"/>
      </w:pPr>
      <w:r w:rsidRPr="004B2498">
        <w:t>[260]</w:t>
      </w:r>
    </w:p>
    <w:p w14:paraId="3EDAC76F" w14:textId="77777777" w:rsidR="002F4063" w:rsidRPr="004B2498" w:rsidRDefault="002F4063" w:rsidP="002F4063">
      <w:pPr>
        <w:spacing w:before="120" w:after="120"/>
        <w:jc w:val="both"/>
      </w:pPr>
      <w:r w:rsidRPr="004B2498">
        <w:rPr>
          <w:lang w:eastAsia="fr-FR" w:bidi="fr-FR"/>
        </w:rPr>
        <w:t>Phong est en outre convaincue que les filles ont les mêmes capac</w:t>
      </w:r>
      <w:r w:rsidRPr="004B2498">
        <w:rPr>
          <w:lang w:eastAsia="fr-FR" w:bidi="fr-FR"/>
        </w:rPr>
        <w:t>i</w:t>
      </w:r>
      <w:r w:rsidRPr="004B2498">
        <w:rPr>
          <w:lang w:eastAsia="fr-FR" w:bidi="fr-FR"/>
        </w:rPr>
        <w:t>tés à pratiquer les différents cultes que les garçons. Elle essaie même de justifier sa position minoritaire en se référant aux médias étatiques, l’une des rares sources de soutien public qu’elle connaisse. Pourtant, il est évident que les sanctions envers des nonnes dites déviantes ne se limitent pas à des sanctions monétaires ou à des blagues, mais peuvent entraîner des conséquences existentielles, comme Phong l’a éprouvé quand ses voisins et clients ont cessé de fréquenter son magasin pe</w:t>
      </w:r>
      <w:r w:rsidRPr="004B2498">
        <w:rPr>
          <w:lang w:eastAsia="fr-FR" w:bidi="fr-FR"/>
        </w:rPr>
        <w:t>n</w:t>
      </w:r>
      <w:r w:rsidRPr="004B2498">
        <w:rPr>
          <w:lang w:eastAsia="fr-FR" w:bidi="fr-FR"/>
        </w:rPr>
        <w:t>dant un certain temps car son mari et elle ne se conformaient pas à la norme.</w:t>
      </w:r>
    </w:p>
    <w:p w14:paraId="6A21D03A" w14:textId="77777777" w:rsidR="002F4063" w:rsidRPr="004B2498" w:rsidRDefault="002F4063" w:rsidP="002F4063">
      <w:pPr>
        <w:spacing w:before="120" w:after="120"/>
        <w:jc w:val="both"/>
      </w:pPr>
      <w:r w:rsidRPr="004B2498">
        <w:rPr>
          <w:lang w:eastAsia="fr-FR" w:bidi="fr-FR"/>
        </w:rPr>
        <w:t>Il semble que pour la plupart, nos interlocuteurs catholiques sont d’avis que non seulement les femmes sont capables d’entrer en contact avec les morts et de perpétuer le culte des ancêtres, mais aussi de respecter les rites des funérailles. L’opinion des personnes relevant de ce champ social diffère donc de celle des personnes qui adhèrent strictement au culte des ancêtres dans le sens confucianiste. Par ai</w:t>
      </w:r>
      <w:r w:rsidRPr="004B2498">
        <w:rPr>
          <w:lang w:eastAsia="fr-FR" w:bidi="fr-FR"/>
        </w:rPr>
        <w:t>l</w:t>
      </w:r>
      <w:r w:rsidRPr="004B2498">
        <w:rPr>
          <w:lang w:eastAsia="fr-FR" w:bidi="fr-FR"/>
        </w:rPr>
        <w:t>leurs les personnes de ce groupe ne semblent pas connaître l’incertitude économique quant à leur futur (indépendamment de leur statut économique), même dans le cas où elles n’auraient qu’une fille. Donc malgré la solidarité mécanique et les sanctions du parti comm</w:t>
      </w:r>
      <w:r w:rsidRPr="004B2498">
        <w:rPr>
          <w:lang w:eastAsia="fr-FR" w:bidi="fr-FR"/>
        </w:rPr>
        <w:t>u</w:t>
      </w:r>
      <w:r w:rsidRPr="004B2498">
        <w:rPr>
          <w:lang w:eastAsia="fr-FR" w:bidi="fr-FR"/>
        </w:rPr>
        <w:t>niste, ceux - principalement parmi les entrepreneurs et les personnes qui n’adhèrent pas strictement au dogme sur l’importance d'un fils - échappent à la pression de l’avortement sélectif basé sur le sexe.</w:t>
      </w:r>
    </w:p>
    <w:p w14:paraId="2E3E3848" w14:textId="77777777" w:rsidR="002F4063" w:rsidRPr="004B2498" w:rsidRDefault="002F4063" w:rsidP="002F4063">
      <w:pPr>
        <w:spacing w:before="120" w:after="120"/>
        <w:jc w:val="both"/>
        <w:rPr>
          <w:szCs w:val="24"/>
          <w:lang w:eastAsia="fr-FR" w:bidi="fr-FR"/>
        </w:rPr>
      </w:pPr>
    </w:p>
    <w:p w14:paraId="2401FB9F" w14:textId="77777777" w:rsidR="002F4063" w:rsidRPr="004B2498" w:rsidRDefault="002F4063" w:rsidP="002F4063">
      <w:pPr>
        <w:pStyle w:val="a"/>
      </w:pPr>
      <w:r w:rsidRPr="004B2498">
        <w:t>Conclusion</w:t>
      </w:r>
    </w:p>
    <w:p w14:paraId="7B1ED7F4" w14:textId="77777777" w:rsidR="002F4063" w:rsidRPr="004B2498" w:rsidRDefault="002F4063" w:rsidP="002F4063">
      <w:pPr>
        <w:spacing w:before="120" w:after="120"/>
        <w:jc w:val="both"/>
        <w:rPr>
          <w:lang w:eastAsia="fr-FR" w:bidi="fr-FR"/>
        </w:rPr>
      </w:pPr>
    </w:p>
    <w:p w14:paraId="694F99A2" w14:textId="77777777" w:rsidR="002F4063" w:rsidRPr="004B2498" w:rsidRDefault="002F4063" w:rsidP="002F4063">
      <w:pPr>
        <w:spacing w:before="120" w:after="120"/>
        <w:jc w:val="both"/>
      </w:pPr>
      <w:r w:rsidRPr="004B2498">
        <w:rPr>
          <w:lang w:eastAsia="fr-FR" w:bidi="fr-FR"/>
        </w:rPr>
        <w:t>Pendant la période socialiste, l’égalité des genres correspondait plutôt à un idéal promulgué qu’à la réalité. Dans un contexte global, la discussion sur les avortements sélectifs montre que les femmes, de par leur « nature biologique », sont considérées comme les garantes de la reproduction de la « culture » - ironie ! - reproduction qui (ré) légitime la domination masculine. L’aube du XXI</w:t>
      </w:r>
      <w:r w:rsidRPr="00A306D0">
        <w:rPr>
          <w:vertAlign w:val="superscript"/>
          <w:lang w:eastAsia="fr-FR" w:bidi="fr-FR"/>
        </w:rPr>
        <w:t>e</w:t>
      </w:r>
      <w:r w:rsidRPr="004B2498">
        <w:rPr>
          <w:lang w:eastAsia="fr-FR" w:bidi="fr-FR"/>
        </w:rPr>
        <w:t xml:space="preserve"> siècle voit la renaissance des valeurs « traditionnelles », un phénomène qui ne se limite pas au Vietnam et aux pays « confucianistes » mais qui est bien connu pour d’autres pays postsocialistes, par exemple l’Ouzbékistan (Querrien et Selim, 2010 : 6).</w:t>
      </w:r>
    </w:p>
    <w:p w14:paraId="2DC5CE91" w14:textId="77777777" w:rsidR="002F4063" w:rsidRPr="004B2498" w:rsidRDefault="002F4063" w:rsidP="002F4063">
      <w:pPr>
        <w:spacing w:before="120" w:after="120"/>
        <w:jc w:val="both"/>
      </w:pPr>
      <w:r w:rsidRPr="004B2498">
        <w:rPr>
          <w:lang w:eastAsia="fr-FR" w:bidi="fr-FR"/>
        </w:rPr>
        <w:t>Les avortements reflètent des inégalités de genre, bien enracinées dans la société, mais qui n’étaient pas aussi visibles auparavant. Les régulations prénatales d’aujourd’hui ne sont pas seulement le produit récent des techniques répandues après les réformes économiques : e</w:t>
      </w:r>
      <w:r w:rsidRPr="004B2498">
        <w:rPr>
          <w:lang w:eastAsia="fr-FR" w:bidi="fr-FR"/>
        </w:rPr>
        <w:t>l</w:t>
      </w:r>
      <w:r w:rsidRPr="004B2498">
        <w:rPr>
          <w:lang w:eastAsia="fr-FR" w:bidi="fr-FR"/>
        </w:rPr>
        <w:t>les étaient pratiquées bien auparavant au moyen des techniques et prescriptions traditionnelles - certaines formes de nourriture, cale</w:t>
      </w:r>
      <w:r w:rsidRPr="004B2498">
        <w:rPr>
          <w:lang w:eastAsia="fr-FR" w:bidi="fr-FR"/>
        </w:rPr>
        <w:t>n</w:t>
      </w:r>
      <w:r w:rsidRPr="004B2498">
        <w:rPr>
          <w:lang w:eastAsia="fr-FR" w:bidi="fr-FR"/>
        </w:rPr>
        <w:t>driers ou positions sexuelles - qui visaient toutes à garantir un héritier masculin. On pratiquait aussi « l’échographie d’autrefois », à travers la consultation des devins, qui - selon la croyance de nombreuses Vietnamiennes - sont capables d’identifier le sexe avant la naissance. Il serait intéressant de savoir si, lorsque le devin</w:t>
      </w:r>
      <w:r>
        <w:t xml:space="preserve"> </w:t>
      </w:r>
      <w:r w:rsidRPr="004B2498">
        <w:t>[261]</w:t>
      </w:r>
      <w:r>
        <w:t xml:space="preserve"> </w:t>
      </w:r>
      <w:r w:rsidRPr="004B2498">
        <w:rPr>
          <w:lang w:eastAsia="fr-FR" w:bidi="fr-FR"/>
        </w:rPr>
        <w:t>identifiait un fœtus de sexe féminin </w:t>
      </w:r>
      <w:r>
        <w:rPr>
          <w:rStyle w:val="Appelnotedebasdep"/>
          <w:lang w:eastAsia="fr-FR" w:bidi="fr-FR"/>
        </w:rPr>
        <w:footnoteReference w:id="204"/>
      </w:r>
      <w:r w:rsidRPr="004B2498">
        <w:rPr>
          <w:lang w:eastAsia="fr-FR" w:bidi="fr-FR"/>
        </w:rPr>
        <w:t>, les familles avaient r</w:t>
      </w:r>
      <w:r w:rsidRPr="004B2498">
        <w:rPr>
          <w:lang w:eastAsia="fr-FR" w:bidi="fr-FR"/>
        </w:rPr>
        <w:t>e</w:t>
      </w:r>
      <w:r w:rsidRPr="004B2498">
        <w:rPr>
          <w:lang w:eastAsia="fr-FR" w:bidi="fr-FR"/>
        </w:rPr>
        <w:t>cours à l’avortement ou bien si elles continuaient à avoir des enfants jusqu’à obtenir un garçon.</w:t>
      </w:r>
    </w:p>
    <w:p w14:paraId="18926E0A" w14:textId="77777777" w:rsidR="002F4063" w:rsidRPr="004B2498" w:rsidRDefault="002F4063" w:rsidP="002F4063">
      <w:pPr>
        <w:spacing w:before="120" w:after="120"/>
        <w:jc w:val="both"/>
      </w:pPr>
      <w:r w:rsidRPr="004B2498">
        <w:rPr>
          <w:lang w:eastAsia="fr-FR" w:bidi="fr-FR"/>
        </w:rPr>
        <w:t>Dès 1986, le chiffre des avortements s’est probablement élevé avec la limitation du nombre d’enfants : la politique des « deux enfants » favorise indirectement les avortements sélectifs des filles, parce que les parents aspirent à avoir « au moins » un fils. Pourtant, comme nous l’avons montré, il serait trop facile d’attribuer l’augmentation des avortements à la seule politique des réformes. Cette augmentation, statistiquement visible, est plutôt caractéristique de l’intériorisation des valeurs attribuées aux corps féminins et masculins.</w:t>
      </w:r>
    </w:p>
    <w:p w14:paraId="4494358C" w14:textId="77777777" w:rsidR="002F4063" w:rsidRPr="004B2498" w:rsidRDefault="002F4063" w:rsidP="002F4063">
      <w:pPr>
        <w:spacing w:before="120" w:after="120"/>
        <w:jc w:val="both"/>
      </w:pPr>
      <w:r w:rsidRPr="004B2498">
        <w:rPr>
          <w:lang w:eastAsia="fr-FR" w:bidi="fr-FR"/>
        </w:rPr>
        <w:t>Le refus d’avorter se rencontre surtout parmi ceux qui dépendent le moins de la « solidarité mécanique » : soit parce qu’ils appartiennent à des champs sociaux où l’on n’adhère pas strictement au culte des a</w:t>
      </w:r>
      <w:r w:rsidRPr="004B2498">
        <w:rPr>
          <w:lang w:eastAsia="fr-FR" w:bidi="fr-FR"/>
        </w:rPr>
        <w:t>n</w:t>
      </w:r>
      <w:r w:rsidRPr="004B2498">
        <w:rPr>
          <w:lang w:eastAsia="fr-FR" w:bidi="fr-FR"/>
        </w:rPr>
        <w:t>cêtres, soit parce que leur capital économique leur garantit une certa</w:t>
      </w:r>
      <w:r w:rsidRPr="004B2498">
        <w:rPr>
          <w:lang w:eastAsia="fr-FR" w:bidi="fr-FR"/>
        </w:rPr>
        <w:t>i</w:t>
      </w:r>
      <w:r w:rsidRPr="004B2498">
        <w:rPr>
          <w:lang w:eastAsia="fr-FR" w:bidi="fr-FR"/>
        </w:rPr>
        <w:t>ne indépendance (entrepreneurs de la classe moyenne émergente, nouveaux riches). Paradoxalement l’ambiguïté inhérente de leurs actes se manifeste à travers le respect de la norme traditionnelle et collect</w:t>
      </w:r>
      <w:r w:rsidRPr="004B2498">
        <w:rPr>
          <w:lang w:eastAsia="fr-FR" w:bidi="fr-FR"/>
        </w:rPr>
        <w:t>i</w:t>
      </w:r>
      <w:r w:rsidRPr="004B2498">
        <w:rPr>
          <w:lang w:eastAsia="fr-FR" w:bidi="fr-FR"/>
        </w:rPr>
        <w:t>ve du fils destiné à perpétuer la lignée et leur indifférence envers la politique des deux enfants, ce qui incontestablement renforce leur st</w:t>
      </w:r>
      <w:r w:rsidRPr="004B2498">
        <w:rPr>
          <w:lang w:eastAsia="fr-FR" w:bidi="fr-FR"/>
        </w:rPr>
        <w:t>a</w:t>
      </w:r>
      <w:r w:rsidRPr="004B2498">
        <w:rPr>
          <w:lang w:eastAsia="fr-FR" w:bidi="fr-FR"/>
        </w:rPr>
        <w:t>tut exceptionnel d’entrepreneur. En outre la situation économique des riches entrepreneurs et des ménages qui font partie de la classe moyenne émergente les autorise à jouir d’une certaine liberté dans leurs modes de vies qui leur permet d’adhérer publiquement à des v</w:t>
      </w:r>
      <w:r w:rsidRPr="004B2498">
        <w:rPr>
          <w:lang w:eastAsia="fr-FR" w:bidi="fr-FR"/>
        </w:rPr>
        <w:t>a</w:t>
      </w:r>
      <w:r w:rsidRPr="004B2498">
        <w:rPr>
          <w:lang w:eastAsia="fr-FR" w:bidi="fr-FR"/>
        </w:rPr>
        <w:t>leurs plus égalitaires. Contrairement à la vaste majorité des familles qui pratiquent le culte des ancêtres et croient que sa continuité ne peut être assurée que par un fils, une minorité de non catholiques et la m</w:t>
      </w:r>
      <w:r w:rsidRPr="004B2498">
        <w:rPr>
          <w:lang w:eastAsia="fr-FR" w:bidi="fr-FR"/>
        </w:rPr>
        <w:t>a</w:t>
      </w:r>
      <w:r w:rsidRPr="004B2498">
        <w:rPr>
          <w:lang w:eastAsia="fr-FR" w:bidi="fr-FR"/>
        </w:rPr>
        <w:t>jorité des catholiques interviewés, qui le pratiquent également, croient que les femmes sont aussi aptes à le perpétuer que les hommes. Ils soulignent en outre qu’il est « ridicule » de croire que seuls les ho</w:t>
      </w:r>
      <w:r w:rsidRPr="004B2498">
        <w:rPr>
          <w:lang w:eastAsia="fr-FR" w:bidi="fr-FR"/>
        </w:rPr>
        <w:t>m</w:t>
      </w:r>
      <w:r w:rsidRPr="004B2498">
        <w:rPr>
          <w:lang w:eastAsia="fr-FR" w:bidi="fr-FR"/>
        </w:rPr>
        <w:t>mes ont des capacités spirituelles. Les personnes appartenant à ces trois groupes sont principalement intégrées dans des réseaux sociaux qui soutiennent leurs décisions car elles sont convaincues que l’égalité des genres est un fait non discutable, ce qui rend donc les avortements basés sur le sexe inutiles. Mais la société vietnamienne dans sa maj</w:t>
      </w:r>
      <w:r w:rsidRPr="004B2498">
        <w:rPr>
          <w:lang w:eastAsia="fr-FR" w:bidi="fr-FR"/>
        </w:rPr>
        <w:t>o</w:t>
      </w:r>
      <w:r w:rsidRPr="004B2498">
        <w:rPr>
          <w:lang w:eastAsia="fr-FR" w:bidi="fr-FR"/>
        </w:rPr>
        <w:t>rité ne partage pas ces idées. Les normes globales, qui se basent sur des idéaux de progrès et d’égalité des conditions (Querrien et Selim, 2010 : 2) pour les deux genres entrent en conflit avec les logiques e</w:t>
      </w:r>
      <w:r w:rsidRPr="004B2498">
        <w:rPr>
          <w:lang w:eastAsia="fr-FR" w:bidi="fr-FR"/>
        </w:rPr>
        <w:t>n</w:t>
      </w:r>
      <w:r w:rsidRPr="004B2498">
        <w:rPr>
          <w:lang w:eastAsia="fr-FR" w:bidi="fr-FR"/>
        </w:rPr>
        <w:t>dogènes qui se fondent sur une légitimation « culturelle ». Comme Monique Selim l’analyse pertinemment, la « culture » comme produ</w:t>
      </w:r>
      <w:r w:rsidRPr="004B2498">
        <w:rPr>
          <w:lang w:eastAsia="fr-FR" w:bidi="fr-FR"/>
        </w:rPr>
        <w:t>c</w:t>
      </w:r>
      <w:r w:rsidRPr="004B2498">
        <w:rPr>
          <w:lang w:eastAsia="fr-FR" w:bidi="fr-FR"/>
        </w:rPr>
        <w:t>tion sociale, politique</w:t>
      </w:r>
      <w:r>
        <w:t xml:space="preserve"> </w:t>
      </w:r>
      <w:r w:rsidRPr="004B2498">
        <w:t>[262]</w:t>
      </w:r>
      <w:r>
        <w:t xml:space="preserve"> </w:t>
      </w:r>
      <w:r w:rsidRPr="004B2498">
        <w:rPr>
          <w:lang w:eastAsia="fr-FR" w:bidi="fr-FR"/>
        </w:rPr>
        <w:t>et idéologique est généralement un in</w:t>
      </w:r>
      <w:r w:rsidRPr="004B2498">
        <w:rPr>
          <w:lang w:eastAsia="fr-FR" w:bidi="fr-FR"/>
        </w:rPr>
        <w:t>s</w:t>
      </w:r>
      <w:r w:rsidRPr="004B2498">
        <w:rPr>
          <w:lang w:eastAsia="fr-FR" w:bidi="fr-FR"/>
        </w:rPr>
        <w:t>trument de légitimation des ordres dominants et « c’est au nom de la culture que l’on demande aux gens de rester à leur place dans une s</w:t>
      </w:r>
      <w:r w:rsidRPr="004B2498">
        <w:rPr>
          <w:lang w:eastAsia="fr-FR" w:bidi="fr-FR"/>
        </w:rPr>
        <w:t>o</w:t>
      </w:r>
      <w:r w:rsidRPr="004B2498">
        <w:rPr>
          <w:lang w:eastAsia="fr-FR" w:bidi="fr-FR"/>
        </w:rPr>
        <w:t>ciété donnée ». (Douville et Selim, 2011).</w:t>
      </w:r>
    </w:p>
    <w:p w14:paraId="04D71361" w14:textId="77777777" w:rsidR="002F4063" w:rsidRPr="004B2498" w:rsidRDefault="002F4063" w:rsidP="002F4063">
      <w:pPr>
        <w:spacing w:before="120" w:after="120"/>
        <w:jc w:val="both"/>
      </w:pPr>
      <w:r w:rsidRPr="004B2498">
        <w:rPr>
          <w:lang w:eastAsia="fr-FR" w:bidi="fr-FR"/>
        </w:rPr>
        <w:t>Bien que le Vietnam soit entré dans un processus de modernisation et d’industrialisation qui a mené à une diversification du marché du travail, les relations sociales et la prédominance de la parenté restent décisives pour obtenir un travail ou intégrer le parti communiste (S</w:t>
      </w:r>
      <w:r w:rsidRPr="004B2498">
        <w:rPr>
          <w:lang w:eastAsia="fr-FR" w:bidi="fr-FR"/>
        </w:rPr>
        <w:t>e</w:t>
      </w:r>
      <w:r w:rsidRPr="004B2498">
        <w:rPr>
          <w:lang w:eastAsia="fr-FR" w:bidi="fr-FR"/>
        </w:rPr>
        <w:t>lim, 2006). La dépendance économique exerce donc une forte pre</w:t>
      </w:r>
      <w:r w:rsidRPr="004B2498">
        <w:rPr>
          <w:lang w:eastAsia="fr-FR" w:bidi="fr-FR"/>
        </w:rPr>
        <w:t>s</w:t>
      </w:r>
      <w:r w:rsidRPr="004B2498">
        <w:rPr>
          <w:lang w:eastAsia="fr-FR" w:bidi="fr-FR"/>
        </w:rPr>
        <w:t>sion, qui se caractérise par l’intégration dans de nombreux réseaux sociaux impliquant privilèges et obligations mutuelles. C’est un aspect décisif de la « solidarité mécanique » qui renforce le conformisme et reproduit les valeurs dites traditionnelles.</w:t>
      </w:r>
    </w:p>
    <w:p w14:paraId="4A0F29B5" w14:textId="77777777" w:rsidR="002F4063" w:rsidRPr="004B2498" w:rsidRDefault="002F4063" w:rsidP="002F4063">
      <w:pPr>
        <w:spacing w:before="120" w:after="120"/>
        <w:jc w:val="both"/>
      </w:pPr>
      <w:r w:rsidRPr="004B2498">
        <w:rPr>
          <w:lang w:eastAsia="fr-FR" w:bidi="fr-FR"/>
        </w:rPr>
        <w:t>L’analyse des formes de ces avortements sélectifs fait référence à une variété de discours idéologiques et à leurs contraintes inhérentes, qui s’expliquent par des obligations à se conformer aux idéaux patril</w:t>
      </w:r>
      <w:r w:rsidRPr="004B2498">
        <w:rPr>
          <w:lang w:eastAsia="fr-FR" w:bidi="fr-FR"/>
        </w:rPr>
        <w:t>i</w:t>
      </w:r>
      <w:r w:rsidRPr="004B2498">
        <w:rPr>
          <w:lang w:eastAsia="fr-FR" w:bidi="fr-FR"/>
        </w:rPr>
        <w:t>néaires. Au Vietnam ils sont fortement influencés par les idéaux confucianistes, qui entrent en conflit avec des normes et valeurs env</w:t>
      </w:r>
      <w:r w:rsidRPr="004B2498">
        <w:rPr>
          <w:lang w:eastAsia="fr-FR" w:bidi="fr-FR"/>
        </w:rPr>
        <w:t>i</w:t>
      </w:r>
      <w:r w:rsidRPr="004B2498">
        <w:rPr>
          <w:lang w:eastAsia="fr-FR" w:bidi="fr-FR"/>
        </w:rPr>
        <w:t>sageant une égalité des genres. Dans les prochaines années, il faudrait voir si une prospérité économique croissante incite à rompre la pre</w:t>
      </w:r>
      <w:r w:rsidRPr="004B2498">
        <w:rPr>
          <w:lang w:eastAsia="fr-FR" w:bidi="fr-FR"/>
        </w:rPr>
        <w:t>s</w:t>
      </w:r>
      <w:r w:rsidRPr="004B2498">
        <w:rPr>
          <w:lang w:eastAsia="fr-FR" w:bidi="fr-FR"/>
        </w:rPr>
        <w:t>sion sociale et parentale, qui implique des obligations et privilèges mutuels. Théoriquement, ce processus conduirait à moins d’avortements sélectifs et à une société plus égalitaire : un fait, qui ne dépend pas seulement des hommes mais aussi des femmes.</w:t>
      </w:r>
    </w:p>
    <w:p w14:paraId="42BFEACE" w14:textId="77777777" w:rsidR="002F4063" w:rsidRPr="004B2498" w:rsidRDefault="002F4063" w:rsidP="002F4063">
      <w:pPr>
        <w:spacing w:before="120" w:after="120"/>
        <w:jc w:val="both"/>
        <w:rPr>
          <w:lang w:eastAsia="fr-FR" w:bidi="fr-FR"/>
        </w:rPr>
      </w:pPr>
      <w:r w:rsidRPr="004B2498">
        <w:rPr>
          <w:lang w:eastAsia="fr-FR" w:bidi="fr-FR"/>
        </w:rPr>
        <w:t>L’analyse des changements rapides au niveau socio-économique et des changements plus lents au niveau idéologique montrera les rupt</w:t>
      </w:r>
      <w:r w:rsidRPr="004B2498">
        <w:rPr>
          <w:lang w:eastAsia="fr-FR" w:bidi="fr-FR"/>
        </w:rPr>
        <w:t>u</w:t>
      </w:r>
      <w:r w:rsidRPr="004B2498">
        <w:rPr>
          <w:lang w:eastAsia="fr-FR" w:bidi="fr-FR"/>
        </w:rPr>
        <w:t>res qui s’ouvrent et permettra d’analyser la transformation de la soci</w:t>
      </w:r>
      <w:r w:rsidRPr="004B2498">
        <w:rPr>
          <w:lang w:eastAsia="fr-FR" w:bidi="fr-FR"/>
        </w:rPr>
        <w:t>é</w:t>
      </w:r>
      <w:r w:rsidRPr="004B2498">
        <w:rPr>
          <w:lang w:eastAsia="fr-FR" w:bidi="fr-FR"/>
        </w:rPr>
        <w:t>té (Wehrli, 2010, 2009, 2008).</w:t>
      </w:r>
    </w:p>
    <w:p w14:paraId="579FC9CF" w14:textId="77777777" w:rsidR="002F4063" w:rsidRPr="004B2498" w:rsidRDefault="002F4063" w:rsidP="002F4063">
      <w:pPr>
        <w:spacing w:before="120" w:after="120"/>
        <w:jc w:val="both"/>
      </w:pPr>
    </w:p>
    <w:p w14:paraId="280DF666" w14:textId="77777777" w:rsidR="002F4063" w:rsidRPr="004B2498" w:rsidRDefault="002F4063" w:rsidP="002F4063">
      <w:pPr>
        <w:pStyle w:val="a"/>
      </w:pPr>
      <w:r w:rsidRPr="004B2498">
        <w:t>Références bibliographiques</w:t>
      </w:r>
    </w:p>
    <w:p w14:paraId="3AB2659F" w14:textId="77777777" w:rsidR="002F4063" w:rsidRPr="00A306D0" w:rsidRDefault="002F4063" w:rsidP="002F4063">
      <w:pPr>
        <w:tabs>
          <w:tab w:val="left" w:pos="6660"/>
        </w:tabs>
        <w:spacing w:before="120" w:after="120"/>
        <w:jc w:val="both"/>
      </w:pPr>
    </w:p>
    <w:p w14:paraId="68F151F0" w14:textId="77777777" w:rsidR="002F4063" w:rsidRPr="004B2498" w:rsidRDefault="002F4063" w:rsidP="002F4063">
      <w:pPr>
        <w:spacing w:before="120" w:after="120"/>
        <w:jc w:val="both"/>
        <w:rPr>
          <w:lang w:eastAsia="fr-FR" w:bidi="fr-FR"/>
        </w:rPr>
      </w:pPr>
      <w:r w:rsidRPr="00A306D0">
        <w:t xml:space="preserve">AttanÉ </w:t>
      </w:r>
      <w:r w:rsidRPr="004B2498">
        <w:rPr>
          <w:lang w:eastAsia="fr-FR" w:bidi="fr-FR"/>
        </w:rPr>
        <w:t xml:space="preserve">Isabelle, </w:t>
      </w:r>
      <w:r w:rsidRPr="00A306D0">
        <w:t xml:space="preserve">GuiLMOTO </w:t>
      </w:r>
      <w:r w:rsidRPr="004B2498">
        <w:rPr>
          <w:lang w:eastAsia="fr-FR" w:bidi="fr-FR"/>
        </w:rPr>
        <w:t xml:space="preserve">Christophe, </w:t>
      </w:r>
      <w:r w:rsidRPr="00A306D0">
        <w:t xml:space="preserve">2007 : </w:t>
      </w:r>
      <w:r w:rsidRPr="000548A0">
        <w:rPr>
          <w:i/>
          <w:lang w:eastAsia="fr-FR" w:bidi="fr-FR"/>
        </w:rPr>
        <w:t>Watering the neighbour’s garden. The growing female deficit in Asia</w:t>
      </w:r>
      <w:r w:rsidRPr="004B2498">
        <w:rPr>
          <w:lang w:eastAsia="fr-FR" w:bidi="fr-FR"/>
        </w:rPr>
        <w:t>, Paris, C</w:t>
      </w:r>
      <w:r w:rsidRPr="004B2498">
        <w:rPr>
          <w:lang w:eastAsia="fr-FR" w:bidi="fr-FR"/>
        </w:rPr>
        <w:t>I</w:t>
      </w:r>
      <w:r w:rsidRPr="004B2498">
        <w:rPr>
          <w:lang w:eastAsia="fr-FR" w:bidi="fr-FR"/>
        </w:rPr>
        <w:t>CRED.</w:t>
      </w:r>
    </w:p>
    <w:p w14:paraId="0CE1417A" w14:textId="77777777" w:rsidR="002F4063" w:rsidRPr="004B2498" w:rsidRDefault="002F4063" w:rsidP="002F4063">
      <w:pPr>
        <w:spacing w:before="120" w:after="120"/>
        <w:jc w:val="both"/>
        <w:rPr>
          <w:lang w:eastAsia="fr-FR" w:bidi="fr-FR"/>
        </w:rPr>
      </w:pPr>
      <w:r w:rsidRPr="004B2498">
        <w:rPr>
          <w:lang w:eastAsia="fr-FR" w:bidi="fr-FR"/>
        </w:rPr>
        <w:t>Bélanger Danièle, 2006 : “Indispensable sons : negotiating repr</w:t>
      </w:r>
      <w:r w:rsidRPr="004B2498">
        <w:rPr>
          <w:lang w:eastAsia="fr-FR" w:bidi="fr-FR"/>
        </w:rPr>
        <w:t>o</w:t>
      </w:r>
      <w:r w:rsidRPr="004B2498">
        <w:rPr>
          <w:lang w:eastAsia="fr-FR" w:bidi="fr-FR"/>
        </w:rPr>
        <w:t xml:space="preserve">ductive desires in rural Viet Nam”, </w:t>
      </w:r>
      <w:r w:rsidRPr="000548A0">
        <w:rPr>
          <w:i/>
          <w:lang w:eastAsia="fr-FR" w:bidi="fr-FR"/>
        </w:rPr>
        <w:t>Gender, Place and Culture</w:t>
      </w:r>
      <w:r w:rsidRPr="004B2498">
        <w:rPr>
          <w:lang w:eastAsia="fr-FR" w:bidi="fr-FR"/>
        </w:rPr>
        <w:t>, 13 (3) : 251-265.</w:t>
      </w:r>
    </w:p>
    <w:p w14:paraId="38999E44" w14:textId="77777777" w:rsidR="002F4063" w:rsidRPr="004B2498" w:rsidRDefault="002F4063" w:rsidP="002F4063">
      <w:pPr>
        <w:spacing w:before="120" w:after="120"/>
        <w:jc w:val="both"/>
        <w:rPr>
          <w:lang w:eastAsia="fr-FR" w:bidi="fr-FR"/>
        </w:rPr>
      </w:pPr>
      <w:r w:rsidRPr="004B2498">
        <w:rPr>
          <w:lang w:eastAsia="fr-FR" w:bidi="fr-FR"/>
        </w:rPr>
        <w:t xml:space="preserve">BÉLANGER Danièle, 2005 : « Filles et garçons dans les familles vietnamiennes : égalité et hiérarchie », in : BOUSQUET Gisèle, TAYLOR Nora (éd.). </w:t>
      </w:r>
      <w:r w:rsidRPr="000548A0">
        <w:rPr>
          <w:i/>
          <w:lang w:eastAsia="fr-FR" w:bidi="fr-FR"/>
        </w:rPr>
        <w:t>Le Viêt Nam au féminin. Viêt Nam : Women’s realities</w:t>
      </w:r>
      <w:r w:rsidRPr="004B2498">
        <w:rPr>
          <w:lang w:eastAsia="fr-FR" w:bidi="fr-FR"/>
        </w:rPr>
        <w:t>, Paris, Indes savantes : 287-303.</w:t>
      </w:r>
    </w:p>
    <w:p w14:paraId="78597256" w14:textId="77777777" w:rsidR="002F4063" w:rsidRPr="004B2498" w:rsidRDefault="002F4063" w:rsidP="002F4063">
      <w:pPr>
        <w:spacing w:before="120" w:after="120"/>
        <w:jc w:val="both"/>
        <w:rPr>
          <w:lang w:eastAsia="fr-FR" w:bidi="fr-FR"/>
        </w:rPr>
      </w:pPr>
      <w:r w:rsidRPr="004B2498">
        <w:rPr>
          <w:lang w:eastAsia="fr-FR" w:bidi="fr-FR"/>
        </w:rPr>
        <w:t xml:space="preserve">Bélanger Danièle, Kuuat Thi Hai, Oanh Thi Hai, LlU Jianye, Le hanh Thy, VIET Pham, 2003 : “Are Sex Ratios at Birth Increasing in Vietnam ?”, </w:t>
      </w:r>
      <w:r w:rsidRPr="000548A0">
        <w:rPr>
          <w:i/>
          <w:lang w:eastAsia="fr-FR" w:bidi="fr-FR"/>
        </w:rPr>
        <w:t>Population</w:t>
      </w:r>
      <w:r w:rsidRPr="004B2498">
        <w:rPr>
          <w:lang w:eastAsia="fr-FR" w:bidi="fr-FR"/>
        </w:rPr>
        <w:t>, 58 (2) : 231-250.</w:t>
      </w:r>
    </w:p>
    <w:p w14:paraId="1A845311" w14:textId="77777777" w:rsidR="002F4063" w:rsidRPr="004B2498" w:rsidRDefault="002F4063" w:rsidP="002F4063">
      <w:pPr>
        <w:spacing w:before="120" w:after="120"/>
        <w:jc w:val="both"/>
        <w:rPr>
          <w:lang w:eastAsia="fr-FR" w:bidi="fr-FR"/>
        </w:rPr>
      </w:pPr>
      <w:r w:rsidRPr="004B2498">
        <w:rPr>
          <w:lang w:eastAsia="fr-FR" w:bidi="fr-FR"/>
        </w:rPr>
        <w:t>[263]</w:t>
      </w:r>
    </w:p>
    <w:p w14:paraId="61737689" w14:textId="77777777" w:rsidR="002F4063" w:rsidRPr="004B2498" w:rsidRDefault="002F4063" w:rsidP="002F4063">
      <w:pPr>
        <w:spacing w:before="120" w:after="120"/>
        <w:jc w:val="both"/>
        <w:rPr>
          <w:lang w:eastAsia="fr-FR" w:bidi="fr-FR"/>
        </w:rPr>
      </w:pPr>
      <w:r w:rsidRPr="00A306D0">
        <w:t xml:space="preserve">BÉLANGER </w:t>
      </w:r>
      <w:r w:rsidRPr="004B2498">
        <w:rPr>
          <w:lang w:eastAsia="fr-FR" w:bidi="fr-FR"/>
        </w:rPr>
        <w:t xml:space="preserve">Danièle, 2002 : “Son preference in rural Viet Nam”, </w:t>
      </w:r>
      <w:r w:rsidRPr="000548A0">
        <w:rPr>
          <w:i/>
          <w:lang w:eastAsia="fr-FR" w:bidi="fr-FR"/>
        </w:rPr>
        <w:t>St</w:t>
      </w:r>
      <w:r w:rsidRPr="000548A0">
        <w:rPr>
          <w:i/>
          <w:lang w:eastAsia="fr-FR" w:bidi="fr-FR"/>
        </w:rPr>
        <w:t>u</w:t>
      </w:r>
      <w:r w:rsidRPr="000548A0">
        <w:rPr>
          <w:i/>
          <w:lang w:eastAsia="fr-FR" w:bidi="fr-FR"/>
        </w:rPr>
        <w:t>dies in Family Planning</w:t>
      </w:r>
      <w:r w:rsidRPr="004B2498">
        <w:rPr>
          <w:lang w:eastAsia="fr-FR" w:bidi="fr-FR"/>
        </w:rPr>
        <w:t>, 33 (4) : 321-334.</w:t>
      </w:r>
    </w:p>
    <w:p w14:paraId="25974AED" w14:textId="77777777" w:rsidR="002F4063" w:rsidRPr="004B2498" w:rsidRDefault="002F4063" w:rsidP="002F4063">
      <w:pPr>
        <w:spacing w:before="120" w:after="120"/>
        <w:jc w:val="both"/>
        <w:rPr>
          <w:lang w:eastAsia="fr-FR" w:bidi="fr-FR"/>
        </w:rPr>
      </w:pPr>
      <w:r w:rsidRPr="00A306D0">
        <w:t xml:space="preserve">BOURDIEU </w:t>
      </w:r>
      <w:r w:rsidRPr="004B2498">
        <w:rPr>
          <w:lang w:eastAsia="fr-FR" w:bidi="fr-FR"/>
        </w:rPr>
        <w:t xml:space="preserve">Pierre, 2000 [1972] : </w:t>
      </w:r>
      <w:r w:rsidRPr="000548A0">
        <w:rPr>
          <w:i/>
          <w:lang w:eastAsia="fr-FR" w:bidi="fr-FR"/>
        </w:rPr>
        <w:t>Esquisse d’une théorie de la prat</w:t>
      </w:r>
      <w:r w:rsidRPr="000548A0">
        <w:rPr>
          <w:i/>
          <w:lang w:eastAsia="fr-FR" w:bidi="fr-FR"/>
        </w:rPr>
        <w:t>i</w:t>
      </w:r>
      <w:r w:rsidRPr="000548A0">
        <w:rPr>
          <w:i/>
          <w:lang w:eastAsia="fr-FR" w:bidi="fr-FR"/>
        </w:rPr>
        <w:t>que : Précédé de trois études d’ethnologie kabyle</w:t>
      </w:r>
      <w:r w:rsidRPr="004B2498">
        <w:rPr>
          <w:lang w:eastAsia="fr-FR" w:bidi="fr-FR"/>
        </w:rPr>
        <w:t>, Paris, Éditions du Seuil.</w:t>
      </w:r>
    </w:p>
    <w:p w14:paraId="382221D1" w14:textId="77777777" w:rsidR="002F4063" w:rsidRPr="004B2498" w:rsidRDefault="002F4063" w:rsidP="002F4063">
      <w:pPr>
        <w:spacing w:before="120" w:after="120"/>
        <w:jc w:val="both"/>
        <w:rPr>
          <w:lang w:eastAsia="fr-FR" w:bidi="fr-FR"/>
        </w:rPr>
      </w:pPr>
      <w:r w:rsidRPr="00A306D0">
        <w:t xml:space="preserve">BUTLER </w:t>
      </w:r>
      <w:r w:rsidRPr="004B2498">
        <w:rPr>
          <w:lang w:eastAsia="fr-FR" w:bidi="fr-FR"/>
        </w:rPr>
        <w:t xml:space="preserve">Judith, 1999 [1990] : </w:t>
      </w:r>
      <w:r w:rsidRPr="000548A0">
        <w:rPr>
          <w:i/>
          <w:lang w:eastAsia="fr-FR" w:bidi="fr-FR"/>
        </w:rPr>
        <w:t>Gender Trouble : Feminism and the Subversion of Identity</w:t>
      </w:r>
      <w:r w:rsidRPr="004B2498">
        <w:rPr>
          <w:lang w:eastAsia="fr-FR" w:bidi="fr-FR"/>
        </w:rPr>
        <w:t>, New York, Routledge.</w:t>
      </w:r>
    </w:p>
    <w:p w14:paraId="10781FDA" w14:textId="77777777" w:rsidR="002F4063" w:rsidRPr="004B2498" w:rsidRDefault="002F4063" w:rsidP="002F4063">
      <w:pPr>
        <w:spacing w:before="120" w:after="120"/>
        <w:jc w:val="both"/>
        <w:rPr>
          <w:lang w:eastAsia="fr-FR" w:bidi="fr-FR"/>
        </w:rPr>
      </w:pPr>
      <w:r w:rsidRPr="00A306D0">
        <w:t xml:space="preserve">BUTLER </w:t>
      </w:r>
      <w:r w:rsidRPr="004B2498">
        <w:rPr>
          <w:lang w:eastAsia="fr-FR" w:bidi="fr-FR"/>
        </w:rPr>
        <w:t xml:space="preserve">Judith, 1997 : </w:t>
      </w:r>
      <w:r w:rsidRPr="000548A0">
        <w:rPr>
          <w:i/>
          <w:lang w:eastAsia="fr-FR" w:bidi="fr-FR"/>
        </w:rPr>
        <w:t>The Psychic Life of Power : Theories in Su</w:t>
      </w:r>
      <w:r w:rsidRPr="000548A0">
        <w:rPr>
          <w:i/>
          <w:lang w:eastAsia="fr-FR" w:bidi="fr-FR"/>
        </w:rPr>
        <w:t>b</w:t>
      </w:r>
      <w:r w:rsidRPr="000548A0">
        <w:rPr>
          <w:i/>
          <w:lang w:eastAsia="fr-FR" w:bidi="fr-FR"/>
        </w:rPr>
        <w:t>jection</w:t>
      </w:r>
      <w:r w:rsidRPr="004B2498">
        <w:rPr>
          <w:lang w:eastAsia="fr-FR" w:bidi="fr-FR"/>
        </w:rPr>
        <w:t>, Stanford, Stanford University Press.</w:t>
      </w:r>
    </w:p>
    <w:p w14:paraId="6B6AA843" w14:textId="77777777" w:rsidR="002F4063" w:rsidRPr="004B2498" w:rsidRDefault="002F4063" w:rsidP="002F4063">
      <w:pPr>
        <w:spacing w:before="120" w:after="120"/>
        <w:jc w:val="both"/>
        <w:rPr>
          <w:lang w:eastAsia="fr-FR" w:bidi="fr-FR"/>
        </w:rPr>
      </w:pPr>
      <w:r w:rsidRPr="00A306D0">
        <w:t xml:space="preserve">BUTLER </w:t>
      </w:r>
      <w:r w:rsidRPr="004B2498">
        <w:rPr>
          <w:lang w:eastAsia="fr-FR" w:bidi="fr-FR"/>
        </w:rPr>
        <w:t xml:space="preserve">Judith, 1993 : </w:t>
      </w:r>
      <w:r w:rsidRPr="000548A0">
        <w:rPr>
          <w:i/>
          <w:lang w:eastAsia="fr-FR" w:bidi="fr-FR"/>
        </w:rPr>
        <w:t>Bodies that Matter : On the Discursive Limits of “Sex”,</w:t>
      </w:r>
      <w:r w:rsidRPr="004B2498">
        <w:rPr>
          <w:lang w:eastAsia="fr-FR" w:bidi="fr-FR"/>
        </w:rPr>
        <w:t xml:space="preserve"> New York, London, Routledge.</w:t>
      </w:r>
    </w:p>
    <w:p w14:paraId="75C609C6" w14:textId="77777777" w:rsidR="002F4063" w:rsidRPr="004B2498" w:rsidRDefault="002F4063" w:rsidP="002F4063">
      <w:pPr>
        <w:spacing w:before="120" w:after="120"/>
        <w:jc w:val="both"/>
        <w:rPr>
          <w:lang w:eastAsia="fr-FR" w:bidi="fr-FR"/>
        </w:rPr>
      </w:pPr>
      <w:r w:rsidRPr="004B2498">
        <w:rPr>
          <w:lang w:eastAsia="fr-FR" w:bidi="fr-FR"/>
        </w:rPr>
        <w:t xml:space="preserve">CLING Jean-Pierre, NGUYEN Thi Thu Huyen, </w:t>
      </w:r>
      <w:r w:rsidRPr="00A306D0">
        <w:t xml:space="preserve">NGUYEN Huu </w:t>
      </w:r>
      <w:r w:rsidRPr="004B2498">
        <w:rPr>
          <w:lang w:eastAsia="fr-FR" w:bidi="fr-FR"/>
        </w:rPr>
        <w:t>Chi, PHAN Thi Ngoc Tram, RAZAFINDRAKOTO Mireille, RO</w:t>
      </w:r>
      <w:r w:rsidRPr="004B2498">
        <w:rPr>
          <w:lang w:eastAsia="fr-FR" w:bidi="fr-FR"/>
        </w:rPr>
        <w:t>U</w:t>
      </w:r>
      <w:r w:rsidRPr="004B2498">
        <w:rPr>
          <w:lang w:eastAsia="fr-FR" w:bidi="fr-FR"/>
        </w:rPr>
        <w:t xml:space="preserve">BAUD François, 2010 : </w:t>
      </w:r>
      <w:r w:rsidRPr="000548A0">
        <w:rPr>
          <w:i/>
          <w:lang w:eastAsia="fr-FR" w:bidi="fr-FR"/>
        </w:rPr>
        <w:t>The informal sector in Vietnam. A focus on Hanoï and Ho Chi Minh City</w:t>
      </w:r>
      <w:r w:rsidRPr="004B2498">
        <w:rPr>
          <w:lang w:eastAsia="fr-FR" w:bidi="fr-FR"/>
        </w:rPr>
        <w:t>, Ha Noi, The Gioi Editions.</w:t>
      </w:r>
    </w:p>
    <w:p w14:paraId="4971DF73" w14:textId="77777777" w:rsidR="002F4063" w:rsidRPr="004B2498" w:rsidRDefault="002F4063" w:rsidP="002F4063">
      <w:pPr>
        <w:spacing w:before="120" w:after="120"/>
        <w:jc w:val="both"/>
        <w:rPr>
          <w:lang w:eastAsia="fr-FR" w:bidi="fr-FR"/>
        </w:rPr>
      </w:pPr>
      <w:r w:rsidRPr="004B2498">
        <w:rPr>
          <w:lang w:eastAsia="fr-FR" w:bidi="fr-FR"/>
        </w:rPr>
        <w:t>DOUVILLE Olivier, SELIM Monique, 2011 : « Dialogue entre une anthropologue et un psychanalyste ».</w:t>
      </w:r>
    </w:p>
    <w:p w14:paraId="3096159F" w14:textId="77777777" w:rsidR="002F4063" w:rsidRPr="004B2498" w:rsidRDefault="002F4063" w:rsidP="002F4063">
      <w:pPr>
        <w:spacing w:before="120" w:after="120"/>
        <w:jc w:val="both"/>
        <w:rPr>
          <w:lang w:eastAsia="fr-FR" w:bidi="fr-FR"/>
        </w:rPr>
      </w:pPr>
      <w:hyperlink r:id="rId33" w:history="1">
        <w:r w:rsidRPr="00A306D0">
          <w:rPr>
            <w:lang w:eastAsia="fr-FR" w:bidi="fr-FR"/>
          </w:rPr>
          <w:t xml:space="preserve">http://sites.google.com/site/olivierdouvilleofficiel/articles/objets- </w:t>
        </w:r>
        <w:r w:rsidRPr="00A306D0">
          <w:t>methodes-et-terrains-de-l-anthropologie-et-de-la-clinique</w:t>
        </w:r>
      </w:hyperlink>
      <w:r w:rsidRPr="004B2498">
        <w:rPr>
          <w:lang w:eastAsia="fr-FR" w:bidi="fr-FR"/>
        </w:rPr>
        <w:t>, consulté leht 11.4.2011.</w:t>
      </w:r>
    </w:p>
    <w:p w14:paraId="08C83C3F" w14:textId="77777777" w:rsidR="002F4063" w:rsidRPr="004B2498" w:rsidRDefault="002F4063" w:rsidP="002F4063">
      <w:pPr>
        <w:spacing w:before="120" w:after="120"/>
        <w:jc w:val="both"/>
        <w:rPr>
          <w:lang w:eastAsia="fr-FR" w:bidi="fr-FR"/>
        </w:rPr>
      </w:pPr>
      <w:r w:rsidRPr="00A306D0">
        <w:t xml:space="preserve">FOUCAULT </w:t>
      </w:r>
      <w:r w:rsidRPr="004B2498">
        <w:rPr>
          <w:lang w:eastAsia="fr-FR" w:bidi="fr-FR"/>
        </w:rPr>
        <w:t xml:space="preserve">Michel, 1976-2003 : </w:t>
      </w:r>
      <w:hyperlink r:id="rId34" w:history="1">
        <w:r w:rsidRPr="000548A0">
          <w:rPr>
            <w:rStyle w:val="Hyperlien"/>
            <w:i/>
            <w:lang w:eastAsia="fr-FR" w:bidi="fr-FR"/>
          </w:rPr>
          <w:t>Histoire de la sexualité</w:t>
        </w:r>
      </w:hyperlink>
      <w:r w:rsidRPr="004B2498">
        <w:rPr>
          <w:lang w:eastAsia="fr-FR" w:bidi="fr-FR"/>
        </w:rPr>
        <w:t>, Paris, Ga</w:t>
      </w:r>
      <w:r w:rsidRPr="004B2498">
        <w:rPr>
          <w:lang w:eastAsia="fr-FR" w:bidi="fr-FR"/>
        </w:rPr>
        <w:t>l</w:t>
      </w:r>
      <w:r w:rsidRPr="004B2498">
        <w:rPr>
          <w:lang w:eastAsia="fr-FR" w:bidi="fr-FR"/>
        </w:rPr>
        <w:t>limard.</w:t>
      </w:r>
    </w:p>
    <w:p w14:paraId="04BBFB4E" w14:textId="77777777" w:rsidR="002F4063" w:rsidRPr="004B2498" w:rsidRDefault="002F4063" w:rsidP="002F4063">
      <w:pPr>
        <w:spacing w:before="120" w:after="120"/>
        <w:jc w:val="both"/>
        <w:rPr>
          <w:lang w:eastAsia="fr-FR" w:bidi="fr-FR"/>
        </w:rPr>
      </w:pPr>
      <w:r w:rsidRPr="00A306D0">
        <w:t xml:space="preserve">General Statistics Office of Vietnam, </w:t>
      </w:r>
      <w:r w:rsidRPr="004B2498">
        <w:rPr>
          <w:lang w:eastAsia="fr-FR" w:bidi="fr-FR"/>
        </w:rPr>
        <w:t xml:space="preserve">2010 : </w:t>
      </w:r>
      <w:r w:rsidRPr="000548A0">
        <w:rPr>
          <w:i/>
          <w:lang w:eastAsia="fr-FR" w:bidi="fr-FR"/>
        </w:rPr>
        <w:t>The 2009 Vietnam Population and Housing census : Major findings. Part II : Major fi</w:t>
      </w:r>
      <w:r w:rsidRPr="000548A0">
        <w:rPr>
          <w:i/>
          <w:lang w:eastAsia="fr-FR" w:bidi="fr-FR"/>
        </w:rPr>
        <w:t>n</w:t>
      </w:r>
      <w:r w:rsidRPr="000548A0">
        <w:rPr>
          <w:i/>
          <w:lang w:eastAsia="fr-FR" w:bidi="fr-FR"/>
        </w:rPr>
        <w:t>dings</w:t>
      </w:r>
      <w:r w:rsidRPr="004B2498">
        <w:rPr>
          <w:lang w:eastAsia="fr-FR" w:bidi="fr-FR"/>
        </w:rPr>
        <w:t>. Hanoï.</w:t>
      </w:r>
    </w:p>
    <w:p w14:paraId="3AA49E93" w14:textId="77777777" w:rsidR="002F4063" w:rsidRPr="004B2498" w:rsidRDefault="002F4063" w:rsidP="002F4063">
      <w:pPr>
        <w:spacing w:before="120" w:after="120"/>
        <w:jc w:val="both"/>
        <w:rPr>
          <w:lang w:eastAsia="fr-FR" w:bidi="fr-FR"/>
        </w:rPr>
      </w:pPr>
      <w:r w:rsidRPr="00A306D0">
        <w:t xml:space="preserve">General Statistics Office of Vietnam, </w:t>
      </w:r>
      <w:r w:rsidRPr="004B2498">
        <w:rPr>
          <w:lang w:eastAsia="fr-FR" w:bidi="fr-FR"/>
        </w:rPr>
        <w:t xml:space="preserve">2007 : </w:t>
      </w:r>
      <w:r w:rsidRPr="000548A0">
        <w:rPr>
          <w:i/>
          <w:lang w:eastAsia="fr-FR" w:bidi="fr-FR"/>
        </w:rPr>
        <w:t>The 2006 Pop</w:t>
      </w:r>
      <w:r w:rsidRPr="000548A0">
        <w:rPr>
          <w:i/>
          <w:lang w:eastAsia="fr-FR" w:bidi="fr-FR"/>
        </w:rPr>
        <w:t>u</w:t>
      </w:r>
      <w:r w:rsidRPr="000548A0">
        <w:rPr>
          <w:i/>
          <w:lang w:eastAsia="fr-FR" w:bidi="fr-FR"/>
        </w:rPr>
        <w:t>lation Change, Labour Force and Family Planning Survey. Major Fi</w:t>
      </w:r>
      <w:r w:rsidRPr="000548A0">
        <w:rPr>
          <w:i/>
          <w:lang w:eastAsia="fr-FR" w:bidi="fr-FR"/>
        </w:rPr>
        <w:t>n</w:t>
      </w:r>
      <w:r w:rsidRPr="000548A0">
        <w:rPr>
          <w:i/>
          <w:lang w:eastAsia="fr-FR" w:bidi="fr-FR"/>
        </w:rPr>
        <w:t>dings</w:t>
      </w:r>
      <w:r w:rsidRPr="004B2498">
        <w:rPr>
          <w:lang w:eastAsia="fr-FR" w:bidi="fr-FR"/>
        </w:rPr>
        <w:t>, Ha Noi, Statistical Publishing House.</w:t>
      </w:r>
    </w:p>
    <w:p w14:paraId="586452EE" w14:textId="77777777" w:rsidR="002F4063" w:rsidRPr="004B2498" w:rsidRDefault="002F4063" w:rsidP="002F4063">
      <w:pPr>
        <w:spacing w:before="120" w:after="120"/>
        <w:jc w:val="both"/>
        <w:rPr>
          <w:lang w:eastAsia="fr-FR" w:bidi="fr-FR"/>
        </w:rPr>
      </w:pPr>
      <w:r w:rsidRPr="004B2498">
        <w:rPr>
          <w:lang w:eastAsia="fr-FR" w:bidi="fr-FR"/>
        </w:rPr>
        <w:t xml:space="preserve">GUILMOTO Christophe, HOÀNG Xuyen and VAN Toan Ngo, 2009 : </w:t>
      </w:r>
      <w:r w:rsidRPr="000548A0">
        <w:rPr>
          <w:i/>
          <w:lang w:eastAsia="fr-FR" w:bidi="fr-FR"/>
        </w:rPr>
        <w:t>Increase in the proportion of boys in Viet Nam</w:t>
      </w:r>
      <w:r w:rsidRPr="004B2498">
        <w:rPr>
          <w:lang w:eastAsia="fr-FR" w:bidi="fr-FR"/>
        </w:rPr>
        <w:t>.</w:t>
      </w:r>
    </w:p>
    <w:p w14:paraId="1BCE5306" w14:textId="77777777" w:rsidR="002F4063" w:rsidRPr="004B2498" w:rsidRDefault="002F4063" w:rsidP="002F4063">
      <w:pPr>
        <w:spacing w:before="120" w:after="120"/>
        <w:jc w:val="both"/>
        <w:rPr>
          <w:lang w:eastAsia="fr-FR" w:bidi="fr-FR"/>
        </w:rPr>
      </w:pPr>
      <w:r w:rsidRPr="00A306D0">
        <w:t xml:space="preserve">Henshaw </w:t>
      </w:r>
      <w:r w:rsidRPr="004B2498">
        <w:rPr>
          <w:lang w:eastAsia="fr-FR" w:bidi="fr-FR"/>
        </w:rPr>
        <w:t xml:space="preserve">Stanley, </w:t>
      </w:r>
      <w:r w:rsidRPr="00A306D0">
        <w:t xml:space="preserve">SINGH </w:t>
      </w:r>
      <w:r w:rsidRPr="004B2498">
        <w:rPr>
          <w:lang w:eastAsia="fr-FR" w:bidi="fr-FR"/>
        </w:rPr>
        <w:t xml:space="preserve">Susheela, </w:t>
      </w:r>
      <w:r w:rsidRPr="00A306D0">
        <w:t xml:space="preserve">Haas </w:t>
      </w:r>
      <w:r w:rsidRPr="004B2498">
        <w:rPr>
          <w:lang w:eastAsia="fr-FR" w:bidi="fr-FR"/>
        </w:rPr>
        <w:t xml:space="preserve">Taylor, </w:t>
      </w:r>
      <w:r w:rsidRPr="00A306D0">
        <w:t xml:space="preserve">1999 : </w:t>
      </w:r>
      <w:r w:rsidRPr="004B2498">
        <w:rPr>
          <w:lang w:eastAsia="fr-FR" w:bidi="fr-FR"/>
        </w:rPr>
        <w:t>“The i</w:t>
      </w:r>
      <w:r w:rsidRPr="004B2498">
        <w:rPr>
          <w:lang w:eastAsia="fr-FR" w:bidi="fr-FR"/>
        </w:rPr>
        <w:t>n</w:t>
      </w:r>
      <w:r w:rsidRPr="004B2498">
        <w:rPr>
          <w:lang w:eastAsia="fr-FR" w:bidi="fr-FR"/>
        </w:rPr>
        <w:t xml:space="preserve">cidence of abortion worldwide”, </w:t>
      </w:r>
      <w:r w:rsidRPr="000548A0">
        <w:rPr>
          <w:i/>
          <w:lang w:eastAsia="fr-FR" w:bidi="fr-FR"/>
        </w:rPr>
        <w:t>International family planning per</w:t>
      </w:r>
      <w:r w:rsidRPr="000548A0">
        <w:rPr>
          <w:i/>
          <w:lang w:eastAsia="fr-FR" w:bidi="fr-FR"/>
        </w:rPr>
        <w:t>s</w:t>
      </w:r>
      <w:r w:rsidRPr="000548A0">
        <w:rPr>
          <w:i/>
          <w:lang w:eastAsia="fr-FR" w:bidi="fr-FR"/>
        </w:rPr>
        <w:t>pectives</w:t>
      </w:r>
      <w:r w:rsidRPr="004B2498">
        <w:rPr>
          <w:lang w:eastAsia="fr-FR" w:bidi="fr-FR"/>
        </w:rPr>
        <w:t>, 25 : 30-38.</w:t>
      </w:r>
    </w:p>
    <w:p w14:paraId="5553C97F" w14:textId="77777777" w:rsidR="002F4063" w:rsidRPr="004B2498" w:rsidRDefault="002F4063" w:rsidP="002F4063">
      <w:pPr>
        <w:spacing w:before="120" w:after="120"/>
        <w:jc w:val="both"/>
        <w:rPr>
          <w:lang w:eastAsia="fr-FR" w:bidi="fr-FR"/>
        </w:rPr>
      </w:pPr>
      <w:r w:rsidRPr="00A306D0">
        <w:t xml:space="preserve">HOURS </w:t>
      </w:r>
      <w:r w:rsidRPr="004B2498">
        <w:rPr>
          <w:lang w:eastAsia="fr-FR" w:bidi="fr-FR"/>
        </w:rPr>
        <w:t xml:space="preserve">Bernard, </w:t>
      </w:r>
      <w:r w:rsidRPr="00A306D0">
        <w:t xml:space="preserve">SELIM </w:t>
      </w:r>
      <w:r w:rsidRPr="004B2498">
        <w:rPr>
          <w:lang w:eastAsia="fr-FR" w:bidi="fr-FR"/>
        </w:rPr>
        <w:t xml:space="preserve">Monique, 2003 : « La protection sociale au Vietnam : de la fiction égalitaire à la marchandise », </w:t>
      </w:r>
      <w:r w:rsidRPr="000548A0">
        <w:rPr>
          <w:i/>
          <w:lang w:eastAsia="fr-FR" w:bidi="fr-FR"/>
        </w:rPr>
        <w:t>Tiers Monde</w:t>
      </w:r>
      <w:r w:rsidRPr="004B2498">
        <w:rPr>
          <w:lang w:eastAsia="fr-FR" w:bidi="fr-FR"/>
        </w:rPr>
        <w:t>, 44 (175) : 621-636.</w:t>
      </w:r>
    </w:p>
    <w:p w14:paraId="0A65EF72" w14:textId="77777777" w:rsidR="002F4063" w:rsidRPr="004B2498" w:rsidRDefault="002F4063" w:rsidP="002F4063">
      <w:pPr>
        <w:spacing w:before="120" w:after="120"/>
        <w:jc w:val="both"/>
        <w:rPr>
          <w:lang w:eastAsia="fr-FR" w:bidi="fr-FR"/>
        </w:rPr>
      </w:pPr>
      <w:r w:rsidRPr="004B2498">
        <w:rPr>
          <w:lang w:eastAsia="fr-FR" w:bidi="fr-FR"/>
        </w:rPr>
        <w:t>INSUN Yu, 1999 : “Bilateral social pattern and the status of w</w:t>
      </w:r>
      <w:r w:rsidRPr="004B2498">
        <w:rPr>
          <w:lang w:eastAsia="fr-FR" w:bidi="fr-FR"/>
        </w:rPr>
        <w:t>o</w:t>
      </w:r>
      <w:r w:rsidRPr="004B2498">
        <w:rPr>
          <w:lang w:eastAsia="fr-FR" w:bidi="fr-FR"/>
        </w:rPr>
        <w:t xml:space="preserve">men in traditional Vietnam”, </w:t>
      </w:r>
      <w:r w:rsidRPr="000548A0">
        <w:rPr>
          <w:i/>
          <w:lang w:eastAsia="fr-FR" w:bidi="fr-FR"/>
        </w:rPr>
        <w:t>South East Asia Research</w:t>
      </w:r>
      <w:r w:rsidRPr="004B2498">
        <w:rPr>
          <w:lang w:eastAsia="fr-FR" w:bidi="fr-FR"/>
        </w:rPr>
        <w:t>, 7 (2) : 215-239.</w:t>
      </w:r>
    </w:p>
    <w:p w14:paraId="039FA7E2" w14:textId="77777777" w:rsidR="002F4063" w:rsidRPr="004B2498" w:rsidRDefault="002F4063" w:rsidP="002F4063">
      <w:pPr>
        <w:spacing w:before="120" w:after="120"/>
        <w:jc w:val="both"/>
        <w:rPr>
          <w:lang w:eastAsia="fr-FR" w:bidi="fr-FR"/>
        </w:rPr>
      </w:pPr>
      <w:r w:rsidRPr="004B2498">
        <w:rPr>
          <w:lang w:eastAsia="fr-FR" w:bidi="fr-FR"/>
        </w:rPr>
        <w:t>Le Thi Phuong Mai, 1998 : “Violence and its Consequences for Reproductive Health : The Vietnam Case”, 12 (South and East Asia Regional Working Papers) : 1-60.</w:t>
      </w:r>
    </w:p>
    <w:p w14:paraId="1EF836CF" w14:textId="77777777" w:rsidR="002F4063" w:rsidRPr="004B2498" w:rsidRDefault="002F4063" w:rsidP="002F4063">
      <w:pPr>
        <w:spacing w:before="120" w:after="120"/>
        <w:jc w:val="both"/>
        <w:rPr>
          <w:lang w:eastAsia="fr-FR" w:bidi="fr-FR"/>
        </w:rPr>
      </w:pPr>
      <w:r w:rsidRPr="004B2498">
        <w:rPr>
          <w:lang w:eastAsia="fr-FR" w:bidi="fr-FR"/>
        </w:rPr>
        <w:t>[264]</w:t>
      </w:r>
    </w:p>
    <w:p w14:paraId="335B7566" w14:textId="77777777" w:rsidR="002F4063" w:rsidRPr="004B2498" w:rsidRDefault="002F4063" w:rsidP="002F4063">
      <w:pPr>
        <w:spacing w:before="120" w:after="120"/>
        <w:jc w:val="both"/>
        <w:rPr>
          <w:lang w:eastAsia="fr-FR" w:bidi="fr-FR"/>
        </w:rPr>
      </w:pPr>
      <w:r w:rsidRPr="00A306D0">
        <w:t xml:space="preserve">Ngo </w:t>
      </w:r>
      <w:r w:rsidRPr="004B2498">
        <w:rPr>
          <w:lang w:eastAsia="fr-FR" w:bidi="fr-FR"/>
        </w:rPr>
        <w:t xml:space="preserve">Thi Ngan Binh, 2004 : “The Confucian four feminine virtues (tu duc) : The old versus the new — Ke thua versus phat huy”. in : DRUMMOND Lisa (ed.), </w:t>
      </w:r>
      <w:r w:rsidRPr="00E8188F">
        <w:rPr>
          <w:i/>
          <w:lang w:eastAsia="fr-FR" w:bidi="fr-FR"/>
        </w:rPr>
        <w:t>Gender practices in contemporary Vietnam</w:t>
      </w:r>
      <w:r w:rsidRPr="004B2498">
        <w:rPr>
          <w:lang w:eastAsia="fr-FR" w:bidi="fr-FR"/>
        </w:rPr>
        <w:t>, Copenhagen, NIAS : 47-73.</w:t>
      </w:r>
    </w:p>
    <w:p w14:paraId="56B3877F" w14:textId="77777777" w:rsidR="002F4063" w:rsidRPr="004B2498" w:rsidRDefault="002F4063" w:rsidP="002F4063">
      <w:pPr>
        <w:spacing w:before="120" w:after="120"/>
        <w:jc w:val="both"/>
        <w:rPr>
          <w:lang w:eastAsia="fr-FR" w:bidi="fr-FR"/>
        </w:rPr>
      </w:pPr>
      <w:r w:rsidRPr="004B2498">
        <w:rPr>
          <w:lang w:eastAsia="fr-FR" w:bidi="fr-FR"/>
        </w:rPr>
        <w:t xml:space="preserve">NGUYEN Khac Truong, 1996 : </w:t>
      </w:r>
      <w:r w:rsidRPr="00E8188F">
        <w:rPr>
          <w:i/>
          <w:lang w:eastAsia="fr-FR" w:bidi="fr-FR"/>
        </w:rPr>
        <w:t>Des fantômes et des hommes</w:t>
      </w:r>
      <w:r w:rsidRPr="004B2498">
        <w:rPr>
          <w:lang w:eastAsia="fr-FR" w:bidi="fr-FR"/>
        </w:rPr>
        <w:t>, P</w:t>
      </w:r>
      <w:r w:rsidRPr="004B2498">
        <w:rPr>
          <w:lang w:eastAsia="fr-FR" w:bidi="fr-FR"/>
        </w:rPr>
        <w:t>a</w:t>
      </w:r>
      <w:r w:rsidRPr="004B2498">
        <w:rPr>
          <w:lang w:eastAsia="fr-FR" w:bidi="fr-FR"/>
        </w:rPr>
        <w:t>ris, Éditions de l’Aube.</w:t>
      </w:r>
    </w:p>
    <w:p w14:paraId="4061EAE1" w14:textId="77777777" w:rsidR="002F4063" w:rsidRPr="004B2498" w:rsidRDefault="002F4063" w:rsidP="002F4063">
      <w:pPr>
        <w:spacing w:before="120" w:after="120"/>
        <w:jc w:val="both"/>
        <w:rPr>
          <w:lang w:eastAsia="fr-FR" w:bidi="fr-FR"/>
        </w:rPr>
      </w:pPr>
      <w:r w:rsidRPr="004B2498">
        <w:rPr>
          <w:lang w:eastAsia="fr-FR" w:bidi="fr-FR"/>
        </w:rPr>
        <w:t xml:space="preserve">NGUYEN Khac Vien, 1994a : “Enlarged family, lineage, cult of ancestors”, </w:t>
      </w:r>
      <w:r w:rsidRPr="00E8188F">
        <w:rPr>
          <w:i/>
          <w:lang w:eastAsia="fr-FR" w:bidi="fr-FR"/>
        </w:rPr>
        <w:t>Vietnamese Studies</w:t>
      </w:r>
      <w:r w:rsidRPr="004B2498">
        <w:rPr>
          <w:lang w:eastAsia="fr-FR" w:bidi="fr-FR"/>
        </w:rPr>
        <w:t>, 43 (3) : 15-16.</w:t>
      </w:r>
    </w:p>
    <w:p w14:paraId="077C881E" w14:textId="77777777" w:rsidR="002F4063" w:rsidRPr="004B2498" w:rsidRDefault="002F4063" w:rsidP="002F4063">
      <w:pPr>
        <w:spacing w:before="120" w:after="120"/>
        <w:jc w:val="both"/>
        <w:rPr>
          <w:lang w:eastAsia="fr-FR" w:bidi="fr-FR"/>
        </w:rPr>
      </w:pPr>
      <w:r w:rsidRPr="004B2498">
        <w:rPr>
          <w:lang w:eastAsia="fr-FR" w:bidi="fr-FR"/>
        </w:rPr>
        <w:t xml:space="preserve">NGUYEN Thanh Huyen, 1994 : “Ancestor worship : A typical characteristic of the Vietnamese people’s psychic life”, </w:t>
      </w:r>
      <w:r w:rsidRPr="00E8188F">
        <w:rPr>
          <w:i/>
          <w:lang w:eastAsia="fr-FR" w:bidi="fr-FR"/>
        </w:rPr>
        <w:t>Vietnamese Studies</w:t>
      </w:r>
      <w:r w:rsidRPr="004B2498">
        <w:rPr>
          <w:lang w:eastAsia="fr-FR" w:bidi="fr-FR"/>
        </w:rPr>
        <w:t>, 43 (3) : 27-53.</w:t>
      </w:r>
    </w:p>
    <w:p w14:paraId="4F7E9A39" w14:textId="77777777" w:rsidR="002F4063" w:rsidRPr="004B2498" w:rsidRDefault="002F4063" w:rsidP="002F4063">
      <w:pPr>
        <w:spacing w:before="120" w:after="120"/>
        <w:jc w:val="both"/>
        <w:rPr>
          <w:lang w:eastAsia="fr-FR" w:bidi="fr-FR"/>
        </w:rPr>
      </w:pPr>
      <w:r w:rsidRPr="00A306D0">
        <w:t xml:space="preserve">NGUYEN-Vo </w:t>
      </w:r>
      <w:r w:rsidRPr="004B2498">
        <w:rPr>
          <w:lang w:eastAsia="fr-FR" w:bidi="fr-FR"/>
        </w:rPr>
        <w:t xml:space="preserve">Thu-Huong, 2008 : </w:t>
      </w:r>
      <w:r w:rsidRPr="00E8188F">
        <w:rPr>
          <w:i/>
          <w:lang w:eastAsia="fr-FR" w:bidi="fr-FR"/>
        </w:rPr>
        <w:t>The ironies of freedom : sex, culture, and neoliberal governance in Vietnam</w:t>
      </w:r>
      <w:r w:rsidRPr="004B2498">
        <w:rPr>
          <w:lang w:eastAsia="fr-FR" w:bidi="fr-FR"/>
        </w:rPr>
        <w:t>, Seattle, University of Wa</w:t>
      </w:r>
      <w:r w:rsidRPr="004B2498">
        <w:rPr>
          <w:lang w:eastAsia="fr-FR" w:bidi="fr-FR"/>
        </w:rPr>
        <w:t>s</w:t>
      </w:r>
      <w:r w:rsidRPr="004B2498">
        <w:rPr>
          <w:lang w:eastAsia="fr-FR" w:bidi="fr-FR"/>
        </w:rPr>
        <w:t>hington Press.</w:t>
      </w:r>
    </w:p>
    <w:p w14:paraId="46EF66CE" w14:textId="77777777" w:rsidR="002F4063" w:rsidRPr="004B2498" w:rsidRDefault="002F4063" w:rsidP="002F4063">
      <w:pPr>
        <w:spacing w:before="120" w:after="120"/>
        <w:jc w:val="both"/>
        <w:rPr>
          <w:lang w:eastAsia="fr-FR" w:bidi="fr-FR"/>
        </w:rPr>
      </w:pPr>
      <w:r w:rsidRPr="00A306D0">
        <w:t xml:space="preserve">NGUYEN-Vo </w:t>
      </w:r>
      <w:r w:rsidRPr="004B2498">
        <w:rPr>
          <w:lang w:eastAsia="fr-FR" w:bidi="fr-FR"/>
        </w:rPr>
        <w:t>Thu-Huong, 2006 :</w:t>
      </w:r>
      <w:r w:rsidRPr="004B2498">
        <w:rPr>
          <w:lang w:eastAsia="fr-FR" w:bidi="fr-FR"/>
        </w:rPr>
        <w:tab/>
        <w:t>“The Body Wager : Mat</w:t>
      </w:r>
      <w:r w:rsidRPr="004B2498">
        <w:rPr>
          <w:lang w:eastAsia="fr-FR" w:bidi="fr-FR"/>
        </w:rPr>
        <w:t>e</w:t>
      </w:r>
      <w:r w:rsidRPr="004B2498">
        <w:rPr>
          <w:lang w:eastAsia="fr-FR" w:bidi="fr-FR"/>
        </w:rPr>
        <w:t>rialist resignification of Vietnamese women workers”, Gender</w:t>
      </w:r>
      <w:r w:rsidRPr="00E8188F">
        <w:rPr>
          <w:i/>
          <w:lang w:eastAsia="fr-FR" w:bidi="fr-FR"/>
        </w:rPr>
        <w:t>, Place and Culture</w:t>
      </w:r>
      <w:r w:rsidRPr="004B2498">
        <w:rPr>
          <w:lang w:eastAsia="fr-FR" w:bidi="fr-FR"/>
        </w:rPr>
        <w:t>, 13 (3) : 267-281.</w:t>
      </w:r>
    </w:p>
    <w:p w14:paraId="6947CE77" w14:textId="77777777" w:rsidR="002F4063" w:rsidRPr="004B2498" w:rsidRDefault="002F4063" w:rsidP="002F4063">
      <w:pPr>
        <w:spacing w:before="120" w:after="120"/>
        <w:jc w:val="both"/>
        <w:rPr>
          <w:lang w:eastAsia="fr-FR" w:bidi="fr-FR"/>
        </w:rPr>
      </w:pPr>
      <w:r w:rsidRPr="004B2498">
        <w:rPr>
          <w:lang w:eastAsia="fr-FR" w:bidi="fr-FR"/>
        </w:rPr>
        <w:t>PHAN Ke Binh, 1980 [Original : Viet Nam Phong Thuc. 1912 H</w:t>
      </w:r>
      <w:r w:rsidRPr="004B2498">
        <w:rPr>
          <w:lang w:eastAsia="fr-FR" w:bidi="fr-FR"/>
        </w:rPr>
        <w:t>a</w:t>
      </w:r>
      <w:r w:rsidRPr="004B2498">
        <w:rPr>
          <w:lang w:eastAsia="fr-FR" w:bidi="fr-FR"/>
        </w:rPr>
        <w:t xml:space="preserve">noï], </w:t>
      </w:r>
      <w:r w:rsidRPr="00E8188F">
        <w:rPr>
          <w:i/>
          <w:lang w:eastAsia="fr-FR" w:bidi="fr-FR"/>
        </w:rPr>
        <w:t>Mœurs et Coutumes du Vietnam</w:t>
      </w:r>
      <w:r w:rsidRPr="004B2498">
        <w:rPr>
          <w:lang w:eastAsia="fr-FR" w:bidi="fr-FR"/>
        </w:rPr>
        <w:t>, Paris, EFEO.</w:t>
      </w:r>
    </w:p>
    <w:p w14:paraId="02C89F13" w14:textId="77777777" w:rsidR="002F4063" w:rsidRPr="004B2498" w:rsidRDefault="002F4063" w:rsidP="002F4063">
      <w:pPr>
        <w:spacing w:before="120" w:after="120"/>
        <w:jc w:val="both"/>
        <w:rPr>
          <w:lang w:eastAsia="fr-FR" w:bidi="fr-FR"/>
        </w:rPr>
      </w:pPr>
      <w:r w:rsidRPr="004B2498">
        <w:rPr>
          <w:lang w:eastAsia="fr-FR" w:bidi="fr-FR"/>
        </w:rPr>
        <w:t xml:space="preserve">PHAN Thi Dac, 1966 : </w:t>
      </w:r>
      <w:r w:rsidRPr="00E8188F">
        <w:rPr>
          <w:i/>
          <w:lang w:eastAsia="fr-FR" w:bidi="fr-FR"/>
        </w:rPr>
        <w:t>Situation de la personne au Viêt-Nam</w:t>
      </w:r>
      <w:r w:rsidRPr="004B2498">
        <w:rPr>
          <w:lang w:eastAsia="fr-FR" w:bidi="fr-FR"/>
        </w:rPr>
        <w:t>, P</w:t>
      </w:r>
      <w:r w:rsidRPr="004B2498">
        <w:rPr>
          <w:lang w:eastAsia="fr-FR" w:bidi="fr-FR"/>
        </w:rPr>
        <w:t>a</w:t>
      </w:r>
      <w:r w:rsidRPr="004B2498">
        <w:rPr>
          <w:lang w:eastAsia="fr-FR" w:bidi="fr-FR"/>
        </w:rPr>
        <w:t>ris, Centre national de la recherche scientifique.</w:t>
      </w:r>
    </w:p>
    <w:p w14:paraId="658B4855" w14:textId="77777777" w:rsidR="002F4063" w:rsidRPr="004B2498" w:rsidRDefault="002F4063" w:rsidP="002F4063">
      <w:pPr>
        <w:spacing w:before="120" w:after="120"/>
        <w:jc w:val="both"/>
        <w:rPr>
          <w:lang w:eastAsia="fr-FR" w:bidi="fr-FR"/>
        </w:rPr>
      </w:pPr>
      <w:r w:rsidRPr="004B2498">
        <w:rPr>
          <w:lang w:eastAsia="fr-FR" w:bidi="fr-FR"/>
        </w:rPr>
        <w:t xml:space="preserve">QUERRIEN Anne, SELIM Monique, 2010 : « Vers des normes sexuelles globales. Micro et macropolitiques de la dualité sexuelle dans le cadre de la globalisation », </w:t>
      </w:r>
      <w:r w:rsidRPr="00E8188F">
        <w:rPr>
          <w:i/>
          <w:lang w:eastAsia="fr-FR" w:bidi="fr-FR"/>
        </w:rPr>
        <w:t>La Revue</w:t>
      </w:r>
      <w:r w:rsidRPr="004B2498">
        <w:rPr>
          <w:lang w:eastAsia="fr-FR" w:bidi="fr-FR"/>
        </w:rPr>
        <w:t>, 5 : 1-13.</w:t>
      </w:r>
    </w:p>
    <w:p w14:paraId="2B62DA12" w14:textId="77777777" w:rsidR="002F4063" w:rsidRPr="004B2498" w:rsidRDefault="002F4063" w:rsidP="002F4063">
      <w:pPr>
        <w:spacing w:before="120" w:after="120"/>
        <w:jc w:val="both"/>
        <w:rPr>
          <w:lang w:eastAsia="fr-FR" w:bidi="fr-FR"/>
        </w:rPr>
      </w:pPr>
      <w:r w:rsidRPr="004B2498">
        <w:rPr>
          <w:lang w:eastAsia="fr-FR" w:bidi="fr-FR"/>
        </w:rPr>
        <w:t xml:space="preserve">SANJEK Roger, 1990 : “Urban Anthropology in the 1990s : A World View”, </w:t>
      </w:r>
      <w:r w:rsidRPr="00E8188F">
        <w:rPr>
          <w:i/>
          <w:lang w:eastAsia="fr-FR" w:bidi="fr-FR"/>
        </w:rPr>
        <w:t>Annnual Review of Anthropology</w:t>
      </w:r>
      <w:r w:rsidRPr="004B2498">
        <w:rPr>
          <w:lang w:eastAsia="fr-FR" w:bidi="fr-FR"/>
        </w:rPr>
        <w:t>, 19 : 151-186.</w:t>
      </w:r>
    </w:p>
    <w:p w14:paraId="0A54B251" w14:textId="77777777" w:rsidR="002F4063" w:rsidRPr="004B2498" w:rsidRDefault="002F4063" w:rsidP="002F4063">
      <w:pPr>
        <w:spacing w:before="120" w:after="120"/>
        <w:jc w:val="both"/>
        <w:rPr>
          <w:lang w:eastAsia="fr-FR" w:bidi="fr-FR"/>
        </w:rPr>
      </w:pPr>
      <w:r w:rsidRPr="004B2498">
        <w:rPr>
          <w:lang w:eastAsia="fr-FR" w:bidi="fr-FR"/>
        </w:rPr>
        <w:t xml:space="preserve">SEL1M Monique, 2006 : « Légitimations quotidiennes de l’État dans le Vietnam néocommuniste ». </w:t>
      </w:r>
      <w:r w:rsidRPr="00E8188F">
        <w:rPr>
          <w:i/>
          <w:lang w:eastAsia="fr-FR" w:bidi="fr-FR"/>
        </w:rPr>
        <w:t>Journal des anthropologues</w:t>
      </w:r>
      <w:r w:rsidRPr="004B2498">
        <w:rPr>
          <w:lang w:eastAsia="fr-FR" w:bidi="fr-FR"/>
        </w:rPr>
        <w:t xml:space="preserve"> (104-105) : 65-77.</w:t>
      </w:r>
    </w:p>
    <w:p w14:paraId="6E4995BB" w14:textId="77777777" w:rsidR="002F4063" w:rsidRPr="004B2498" w:rsidRDefault="002F4063" w:rsidP="002F4063">
      <w:pPr>
        <w:spacing w:before="120" w:after="120"/>
        <w:jc w:val="both"/>
        <w:rPr>
          <w:lang w:eastAsia="fr-FR" w:bidi="fr-FR"/>
        </w:rPr>
      </w:pPr>
      <w:r w:rsidRPr="00A306D0">
        <w:t xml:space="preserve">SELIM </w:t>
      </w:r>
      <w:r w:rsidRPr="004B2498">
        <w:rPr>
          <w:lang w:eastAsia="fr-FR" w:bidi="fr-FR"/>
        </w:rPr>
        <w:t xml:space="preserve">Monique, 2003a : </w:t>
      </w:r>
      <w:r w:rsidRPr="00E8188F">
        <w:rPr>
          <w:i/>
          <w:lang w:eastAsia="fr-FR" w:bidi="fr-FR"/>
        </w:rPr>
        <w:t>Pouvoirs et marché au Vietnam </w:t>
      </w:r>
      <w:r w:rsidRPr="004B2498">
        <w:rPr>
          <w:lang w:eastAsia="fr-FR" w:bidi="fr-FR"/>
        </w:rPr>
        <w:t xml:space="preserve">: Tome I : </w:t>
      </w:r>
      <w:r w:rsidRPr="00E8188F">
        <w:rPr>
          <w:i/>
          <w:lang w:eastAsia="fr-FR" w:bidi="fr-FR"/>
        </w:rPr>
        <w:t>Le travail et l’argent</w:t>
      </w:r>
      <w:r w:rsidRPr="004B2498">
        <w:rPr>
          <w:lang w:eastAsia="fr-FR" w:bidi="fr-FR"/>
        </w:rPr>
        <w:t xml:space="preserve">. Tome II : </w:t>
      </w:r>
      <w:r w:rsidRPr="00E8188F">
        <w:rPr>
          <w:i/>
          <w:lang w:eastAsia="fr-FR" w:bidi="fr-FR"/>
        </w:rPr>
        <w:t>Les morts et l’État</w:t>
      </w:r>
      <w:r w:rsidRPr="004B2498">
        <w:rPr>
          <w:lang w:eastAsia="fr-FR" w:bidi="fr-FR"/>
        </w:rPr>
        <w:t>, Paris, L’Harmattan.</w:t>
      </w:r>
    </w:p>
    <w:p w14:paraId="18020BA4" w14:textId="77777777" w:rsidR="002F4063" w:rsidRPr="004B2498" w:rsidRDefault="002F4063" w:rsidP="002F4063">
      <w:pPr>
        <w:spacing w:before="120" w:after="120"/>
        <w:jc w:val="both"/>
        <w:rPr>
          <w:lang w:eastAsia="fr-FR" w:bidi="fr-FR"/>
        </w:rPr>
      </w:pPr>
      <w:r w:rsidRPr="004B2498">
        <w:rPr>
          <w:lang w:eastAsia="fr-FR" w:bidi="fr-FR"/>
        </w:rPr>
        <w:t xml:space="preserve">SELIM Monique, 2003b : « Marché des croyances et socialisme de marché au Vietnam », </w:t>
      </w:r>
      <w:r w:rsidRPr="00E8188F">
        <w:rPr>
          <w:i/>
          <w:lang w:eastAsia="fr-FR" w:bidi="fr-FR"/>
        </w:rPr>
        <w:t>Revue Tiers Monde</w:t>
      </w:r>
      <w:r w:rsidRPr="004B2498">
        <w:rPr>
          <w:lang w:eastAsia="fr-FR" w:bidi="fr-FR"/>
        </w:rPr>
        <w:t>, TXLIV 173 : 81-97.</w:t>
      </w:r>
    </w:p>
    <w:p w14:paraId="21854ADA" w14:textId="77777777" w:rsidR="002F4063" w:rsidRPr="004B2498" w:rsidRDefault="002F4063" w:rsidP="002F4063">
      <w:pPr>
        <w:spacing w:before="120" w:after="120"/>
        <w:jc w:val="both"/>
        <w:rPr>
          <w:lang w:eastAsia="fr-FR" w:bidi="fr-FR"/>
        </w:rPr>
      </w:pPr>
      <w:r w:rsidRPr="004B2498">
        <w:rPr>
          <w:lang w:eastAsia="fr-FR" w:bidi="fr-FR"/>
        </w:rPr>
        <w:t>SEN Amartya, 1990 : “More than 100 million women are mi</w:t>
      </w:r>
      <w:r w:rsidRPr="004B2498">
        <w:rPr>
          <w:lang w:eastAsia="fr-FR" w:bidi="fr-FR"/>
        </w:rPr>
        <w:t>s</w:t>
      </w:r>
      <w:r w:rsidRPr="004B2498">
        <w:rPr>
          <w:lang w:eastAsia="fr-FR" w:bidi="fr-FR"/>
        </w:rPr>
        <w:t xml:space="preserve">sing”, </w:t>
      </w:r>
      <w:r w:rsidRPr="00E8188F">
        <w:rPr>
          <w:i/>
          <w:lang w:eastAsia="fr-FR" w:bidi="fr-FR"/>
        </w:rPr>
        <w:t>The New York Review of Books</w:t>
      </w:r>
      <w:r w:rsidRPr="004B2498">
        <w:rPr>
          <w:lang w:eastAsia="fr-FR" w:bidi="fr-FR"/>
        </w:rPr>
        <w:t>, 37 (20) : 1-11.</w:t>
      </w:r>
    </w:p>
    <w:p w14:paraId="1195507C" w14:textId="77777777" w:rsidR="002F4063" w:rsidRPr="004B2498" w:rsidRDefault="002F4063" w:rsidP="002F4063">
      <w:pPr>
        <w:spacing w:before="120" w:after="120"/>
        <w:jc w:val="both"/>
        <w:rPr>
          <w:lang w:eastAsia="fr-FR" w:bidi="fr-FR"/>
        </w:rPr>
      </w:pPr>
      <w:r w:rsidRPr="004B2498">
        <w:rPr>
          <w:lang w:eastAsia="fr-FR" w:bidi="fr-FR"/>
        </w:rPr>
        <w:t xml:space="preserve">Ta Van Tai, 1981 : “The Status of women in traditional Vietnam : A comparison of the code of the Le Dynasty (1428-1788) with the Chinese codes”, </w:t>
      </w:r>
      <w:r w:rsidRPr="00E8188F">
        <w:rPr>
          <w:i/>
          <w:lang w:eastAsia="fr-FR" w:bidi="fr-FR"/>
        </w:rPr>
        <w:t>Journal of Asian History</w:t>
      </w:r>
      <w:r w:rsidRPr="004B2498">
        <w:rPr>
          <w:lang w:eastAsia="fr-FR" w:bidi="fr-FR"/>
        </w:rPr>
        <w:t>, 15 (2) : 97-145.</w:t>
      </w:r>
    </w:p>
    <w:p w14:paraId="283D5CDF" w14:textId="77777777" w:rsidR="002F4063" w:rsidRPr="004B2498" w:rsidRDefault="002F4063" w:rsidP="002F4063">
      <w:pPr>
        <w:spacing w:before="120" w:after="120"/>
        <w:jc w:val="both"/>
        <w:rPr>
          <w:lang w:eastAsia="fr-FR" w:bidi="fr-FR"/>
        </w:rPr>
      </w:pPr>
      <w:r w:rsidRPr="004B2498">
        <w:rPr>
          <w:lang w:eastAsia="fr-FR" w:bidi="fr-FR"/>
        </w:rPr>
        <w:t>[265]</w:t>
      </w:r>
    </w:p>
    <w:p w14:paraId="552096DA" w14:textId="77777777" w:rsidR="002F4063" w:rsidRPr="004B2498" w:rsidRDefault="002F4063" w:rsidP="002F4063">
      <w:pPr>
        <w:spacing w:before="120" w:after="120"/>
        <w:jc w:val="both"/>
        <w:rPr>
          <w:lang w:eastAsia="fr-FR" w:bidi="fr-FR"/>
        </w:rPr>
      </w:pPr>
      <w:r w:rsidRPr="004B2498">
        <w:rPr>
          <w:lang w:eastAsia="fr-FR" w:bidi="fr-FR"/>
        </w:rPr>
        <w:t xml:space="preserve">UNFPA </w:t>
      </w:r>
      <w:r w:rsidRPr="00A306D0">
        <w:t xml:space="preserve">VIET Nam, </w:t>
      </w:r>
      <w:r w:rsidRPr="004B2498">
        <w:rPr>
          <w:lang w:eastAsia="fr-FR" w:bidi="fr-FR"/>
        </w:rPr>
        <w:t xml:space="preserve">2009 : </w:t>
      </w:r>
      <w:r w:rsidRPr="00E8188F">
        <w:rPr>
          <w:i/>
          <w:lang w:eastAsia="fr-FR" w:bidi="fr-FR"/>
        </w:rPr>
        <w:t>Recent Change in the Sex Ratio at Birth in Viet Nam. A Review of Evidence</w:t>
      </w:r>
      <w:r w:rsidRPr="004B2498">
        <w:rPr>
          <w:lang w:eastAsia="fr-FR" w:bidi="fr-FR"/>
        </w:rPr>
        <w:t>.</w:t>
      </w:r>
    </w:p>
    <w:p w14:paraId="5E47F9BE" w14:textId="77777777" w:rsidR="002F4063" w:rsidRPr="004B2498" w:rsidRDefault="002F4063" w:rsidP="002F4063">
      <w:pPr>
        <w:spacing w:before="120" w:after="120"/>
        <w:jc w:val="both"/>
        <w:rPr>
          <w:lang w:eastAsia="fr-FR" w:bidi="fr-FR"/>
        </w:rPr>
      </w:pPr>
      <w:r w:rsidRPr="004B2498">
        <w:rPr>
          <w:lang w:eastAsia="fr-FR" w:bidi="fr-FR"/>
        </w:rPr>
        <w:t xml:space="preserve">UNFPA </w:t>
      </w:r>
      <w:r w:rsidRPr="00A306D0">
        <w:t xml:space="preserve">VIET Nam, </w:t>
      </w:r>
      <w:r w:rsidRPr="004B2498">
        <w:rPr>
          <w:lang w:eastAsia="fr-FR" w:bidi="fr-FR"/>
        </w:rPr>
        <w:t xml:space="preserve">2007 : </w:t>
      </w:r>
      <w:r w:rsidRPr="00E8188F">
        <w:rPr>
          <w:i/>
          <w:lang w:eastAsia="fr-FR" w:bidi="fr-FR"/>
        </w:rPr>
        <w:t>Population Growth in Viet Nam. What the Data from 2006 tell us. With a Focus on the “Sex ratio at Birth ”,</w:t>
      </w:r>
      <w:r w:rsidRPr="004B2498">
        <w:rPr>
          <w:lang w:eastAsia="fr-FR" w:bidi="fr-FR"/>
        </w:rPr>
        <w:t xml:space="preserve"> a booklet published by UNFPA, Ha Noi. United Nations, 2007, World population prospects, The 2006 Revision Population Datahase, United Nations, Population division, </w:t>
      </w:r>
      <w:hyperlink r:id="rId35" w:history="1">
        <w:r w:rsidRPr="00A306D0">
          <w:rPr>
            <w:lang w:eastAsia="fr-FR" w:bidi="fr-FR"/>
          </w:rPr>
          <w:t>http://esa.un.org/</w:t>
        </w:r>
      </w:hyperlink>
      <w:r w:rsidRPr="004B2498">
        <w:rPr>
          <w:lang w:eastAsia="fr-FR" w:bidi="fr-FR"/>
        </w:rPr>
        <w:t>, consulté 11.4.2011.</w:t>
      </w:r>
    </w:p>
    <w:p w14:paraId="0A44D1FB" w14:textId="77777777" w:rsidR="002F4063" w:rsidRPr="004B2498" w:rsidRDefault="002F4063" w:rsidP="002F4063">
      <w:pPr>
        <w:spacing w:before="120" w:after="120"/>
        <w:jc w:val="both"/>
        <w:rPr>
          <w:lang w:eastAsia="fr-FR" w:bidi="fr-FR"/>
        </w:rPr>
      </w:pPr>
      <w:r w:rsidRPr="00A306D0">
        <w:t xml:space="preserve">WEHRLI </w:t>
      </w:r>
      <w:r w:rsidRPr="004B2498">
        <w:rPr>
          <w:lang w:eastAsia="fr-FR" w:bidi="fr-FR"/>
        </w:rPr>
        <w:t xml:space="preserve">Angelica L. L., 2011 : “The First Financial Avalanche of the 21 st Century : Impact on Different Social Classes in Vietnam”, in : </w:t>
      </w:r>
      <w:r w:rsidRPr="00A306D0">
        <w:t xml:space="preserve">SCHUERKENS </w:t>
      </w:r>
      <w:r w:rsidRPr="004B2498">
        <w:rPr>
          <w:lang w:eastAsia="fr-FR" w:bidi="fr-FR"/>
        </w:rPr>
        <w:t xml:space="preserve">Ulrike (ed.), </w:t>
      </w:r>
      <w:r w:rsidRPr="00E8188F">
        <w:rPr>
          <w:i/>
          <w:lang w:eastAsia="fr-FR" w:bidi="fr-FR"/>
        </w:rPr>
        <w:t>Socio-economic outcomes of the global financial crisis</w:t>
      </w:r>
      <w:r w:rsidRPr="004B2498">
        <w:rPr>
          <w:lang w:eastAsia="fr-FR" w:bidi="fr-FR"/>
        </w:rPr>
        <w:t>, New York/London, Routledge.</w:t>
      </w:r>
    </w:p>
    <w:p w14:paraId="0D384980" w14:textId="77777777" w:rsidR="002F4063" w:rsidRPr="004B2498" w:rsidRDefault="002F4063" w:rsidP="002F4063">
      <w:pPr>
        <w:spacing w:before="120" w:after="120"/>
        <w:jc w:val="both"/>
        <w:rPr>
          <w:lang w:eastAsia="fr-FR" w:bidi="fr-FR"/>
        </w:rPr>
      </w:pPr>
      <w:r w:rsidRPr="00A306D0">
        <w:t xml:space="preserve">WEHRLI </w:t>
      </w:r>
      <w:r w:rsidRPr="004B2498">
        <w:rPr>
          <w:lang w:eastAsia="fr-FR" w:bidi="fr-FR"/>
        </w:rPr>
        <w:t xml:space="preserve">Angelica L. L., 2010 : “Ama de casa — A hidden form of entrepreneurial success ? Re-challenging gendered rôles”, </w:t>
      </w:r>
      <w:r w:rsidRPr="00E8188F">
        <w:rPr>
          <w:i/>
          <w:lang w:eastAsia="fr-FR" w:bidi="fr-FR"/>
        </w:rPr>
        <w:t>Internati</w:t>
      </w:r>
      <w:r w:rsidRPr="00E8188F">
        <w:rPr>
          <w:i/>
          <w:lang w:eastAsia="fr-FR" w:bidi="fr-FR"/>
        </w:rPr>
        <w:t>o</w:t>
      </w:r>
      <w:r w:rsidRPr="00E8188F">
        <w:rPr>
          <w:i/>
          <w:lang w:eastAsia="fr-FR" w:bidi="fr-FR"/>
        </w:rPr>
        <w:t>nal Journal of Cuban Studies</w:t>
      </w:r>
      <w:r w:rsidRPr="004B2498">
        <w:rPr>
          <w:lang w:eastAsia="fr-FR" w:bidi="fr-FR"/>
        </w:rPr>
        <w:t>, 2 (1 and 2) : 104-116.</w:t>
      </w:r>
    </w:p>
    <w:p w14:paraId="436879A2" w14:textId="77777777" w:rsidR="002F4063" w:rsidRPr="004B2498" w:rsidRDefault="002F4063" w:rsidP="002F4063">
      <w:pPr>
        <w:spacing w:before="120" w:after="120"/>
        <w:jc w:val="both"/>
        <w:rPr>
          <w:lang w:eastAsia="fr-FR" w:bidi="fr-FR"/>
        </w:rPr>
      </w:pPr>
      <w:r w:rsidRPr="00A306D0">
        <w:t xml:space="preserve">WEHRLI </w:t>
      </w:r>
      <w:r w:rsidRPr="004B2498">
        <w:rPr>
          <w:lang w:eastAsia="fr-FR" w:bidi="fr-FR"/>
        </w:rPr>
        <w:t>Angelica L. L., 2009 : ¡</w:t>
      </w:r>
      <w:r w:rsidRPr="00E8188F">
        <w:rPr>
          <w:i/>
          <w:lang w:eastAsia="fr-FR" w:bidi="fr-FR"/>
        </w:rPr>
        <w:t>Viva la creatividad ! : Strategien zur Existenzsicherung in Zeiten des sozioökonomischen Wandels auf K</w:t>
      </w:r>
      <w:r w:rsidRPr="00E8188F">
        <w:rPr>
          <w:i/>
          <w:lang w:eastAsia="fr-FR" w:bidi="fr-FR"/>
        </w:rPr>
        <w:t>u</w:t>
      </w:r>
      <w:r w:rsidRPr="00E8188F">
        <w:rPr>
          <w:i/>
          <w:lang w:eastAsia="fr-FR" w:bidi="fr-FR"/>
        </w:rPr>
        <w:t>ba</w:t>
      </w:r>
      <w:r w:rsidRPr="004B2498">
        <w:rPr>
          <w:lang w:eastAsia="fr-FR" w:bidi="fr-FR"/>
        </w:rPr>
        <w:t>, Berlin-Münster-Wien-Zürich-London, LIT Verlag.</w:t>
      </w:r>
    </w:p>
    <w:p w14:paraId="1A0F164B" w14:textId="77777777" w:rsidR="002F4063" w:rsidRPr="004B2498" w:rsidRDefault="002F4063" w:rsidP="002F4063">
      <w:pPr>
        <w:spacing w:before="120" w:after="120"/>
        <w:jc w:val="both"/>
        <w:rPr>
          <w:lang w:eastAsia="fr-FR" w:bidi="fr-FR"/>
        </w:rPr>
      </w:pPr>
      <w:r w:rsidRPr="00A306D0">
        <w:t xml:space="preserve">WEHRLI </w:t>
      </w:r>
      <w:r w:rsidRPr="004B2498">
        <w:rPr>
          <w:lang w:eastAsia="fr-FR" w:bidi="fr-FR"/>
        </w:rPr>
        <w:t>Angelica L. L., 2008 : « No es facil ! - Facing daily cha</w:t>
      </w:r>
      <w:r w:rsidRPr="004B2498">
        <w:rPr>
          <w:lang w:eastAsia="fr-FR" w:bidi="fr-FR"/>
        </w:rPr>
        <w:t>l</w:t>
      </w:r>
      <w:r w:rsidRPr="004B2498">
        <w:rPr>
          <w:lang w:eastAsia="fr-FR" w:bidi="fr-FR"/>
        </w:rPr>
        <w:t xml:space="preserve">lenges in Havana, Cuba », </w:t>
      </w:r>
      <w:r w:rsidRPr="00E8188F">
        <w:rPr>
          <w:i/>
          <w:lang w:eastAsia="fr-FR" w:bidi="fr-FR"/>
        </w:rPr>
        <w:t>Revue Autrepart</w:t>
      </w:r>
      <w:r w:rsidRPr="004B2498">
        <w:rPr>
          <w:lang w:eastAsia="fr-FR" w:bidi="fr-FR"/>
        </w:rPr>
        <w:t>, 48 (4) : 73-86.</w:t>
      </w:r>
    </w:p>
    <w:p w14:paraId="4FD6F7F0" w14:textId="77777777" w:rsidR="002F4063" w:rsidRPr="004B2498" w:rsidRDefault="002F4063" w:rsidP="002F4063">
      <w:pPr>
        <w:spacing w:before="120" w:after="120"/>
        <w:jc w:val="both"/>
        <w:rPr>
          <w:lang w:eastAsia="fr-FR" w:bidi="fr-FR"/>
        </w:rPr>
      </w:pPr>
      <w:r w:rsidRPr="00A306D0">
        <w:t xml:space="preserve">WERNER </w:t>
      </w:r>
      <w:r w:rsidRPr="004B2498">
        <w:rPr>
          <w:lang w:eastAsia="fr-FR" w:bidi="fr-FR"/>
        </w:rPr>
        <w:t xml:space="preserve">Jayne, </w:t>
      </w:r>
      <w:r w:rsidRPr="00A306D0">
        <w:t xml:space="preserve">2009 : </w:t>
      </w:r>
      <w:r w:rsidRPr="00E8188F">
        <w:rPr>
          <w:i/>
          <w:lang w:eastAsia="fr-FR" w:bidi="fr-FR"/>
        </w:rPr>
        <w:t>Gender, household and State in post-revolutionary Vietnam</w:t>
      </w:r>
      <w:r w:rsidRPr="004B2498">
        <w:rPr>
          <w:lang w:eastAsia="fr-FR" w:bidi="fr-FR"/>
        </w:rPr>
        <w:t xml:space="preserve">, London, Routledge, 198. </w:t>
      </w:r>
    </w:p>
    <w:p w14:paraId="04F290FA" w14:textId="77777777" w:rsidR="002F4063" w:rsidRPr="004B2498" w:rsidRDefault="002F4063" w:rsidP="002F4063">
      <w:pPr>
        <w:spacing w:before="120" w:after="120"/>
        <w:jc w:val="both"/>
      </w:pPr>
    </w:p>
    <w:p w14:paraId="68B071AD" w14:textId="77777777" w:rsidR="002F4063" w:rsidRPr="004B2498" w:rsidRDefault="002F4063" w:rsidP="002F4063">
      <w:pPr>
        <w:spacing w:before="120" w:after="120"/>
        <w:jc w:val="both"/>
      </w:pPr>
    </w:p>
    <w:p w14:paraId="5405F627" w14:textId="77777777" w:rsidR="002F4063" w:rsidRPr="004B2498" w:rsidRDefault="002F4063" w:rsidP="002F4063">
      <w:pPr>
        <w:pStyle w:val="p"/>
      </w:pPr>
      <w:r w:rsidRPr="004B2498">
        <w:t>[266]</w:t>
      </w:r>
    </w:p>
    <w:p w14:paraId="03C11D20" w14:textId="77777777" w:rsidR="002F4063" w:rsidRPr="004B2498" w:rsidRDefault="002F4063" w:rsidP="002F4063">
      <w:pPr>
        <w:pStyle w:val="p"/>
      </w:pPr>
      <w:r w:rsidRPr="004B2498">
        <w:br w:type="page"/>
        <w:t>[267]</w:t>
      </w:r>
    </w:p>
    <w:p w14:paraId="2286F7C5" w14:textId="77777777" w:rsidR="002F4063" w:rsidRPr="004B2498" w:rsidRDefault="002F4063" w:rsidP="002F4063">
      <w:pPr>
        <w:jc w:val="both"/>
      </w:pPr>
    </w:p>
    <w:p w14:paraId="2EDBFB50" w14:textId="77777777" w:rsidR="002F4063" w:rsidRPr="004B2498" w:rsidRDefault="002F4063" w:rsidP="002F4063">
      <w:pPr>
        <w:jc w:val="both"/>
      </w:pPr>
    </w:p>
    <w:p w14:paraId="4844EF20" w14:textId="77777777" w:rsidR="002F4063" w:rsidRPr="002C57DA" w:rsidRDefault="002F4063" w:rsidP="002F4063">
      <w:pPr>
        <w:spacing w:after="120"/>
        <w:ind w:firstLine="0"/>
        <w:jc w:val="center"/>
        <w:rPr>
          <w:b/>
          <w:sz w:val="24"/>
        </w:rPr>
      </w:pPr>
      <w:bookmarkStart w:id="16" w:name="Enjeux_sc_soc_pt_2_texte_6"/>
      <w:r w:rsidRPr="002C57DA">
        <w:rPr>
          <w:b/>
          <w:sz w:val="24"/>
        </w:rPr>
        <w:t>Enjeux épistémologiques et idéologiques</w:t>
      </w:r>
      <w:r w:rsidRPr="002C57DA">
        <w:rPr>
          <w:b/>
          <w:sz w:val="24"/>
        </w:rPr>
        <w:br/>
        <w:t>de la globalisation pour les sciences sociales.</w:t>
      </w:r>
    </w:p>
    <w:p w14:paraId="179667E8" w14:textId="77777777" w:rsidR="002F4063" w:rsidRPr="00386FE1" w:rsidRDefault="002F4063" w:rsidP="002F4063">
      <w:pPr>
        <w:spacing w:after="120"/>
        <w:ind w:firstLine="0"/>
        <w:jc w:val="center"/>
        <w:rPr>
          <w:sz w:val="24"/>
        </w:rPr>
      </w:pPr>
      <w:r>
        <w:rPr>
          <w:sz w:val="24"/>
        </w:rPr>
        <w:t>Deuxième</w:t>
      </w:r>
      <w:r w:rsidRPr="00386FE1">
        <w:rPr>
          <w:sz w:val="24"/>
        </w:rPr>
        <w:t xml:space="preserve"> partie : </w:t>
      </w:r>
      <w:r>
        <w:rPr>
          <w:sz w:val="24"/>
        </w:rPr>
        <w:t>Acteurs et actrices</w:t>
      </w:r>
    </w:p>
    <w:p w14:paraId="001CFB7D" w14:textId="77777777" w:rsidR="002F4063" w:rsidRPr="00386FE1" w:rsidRDefault="002F4063" w:rsidP="002F4063">
      <w:pPr>
        <w:pStyle w:val="Titreniveau1"/>
      </w:pPr>
      <w:r>
        <w:t>6</w:t>
      </w:r>
    </w:p>
    <w:p w14:paraId="72E89378" w14:textId="77777777" w:rsidR="002F4063" w:rsidRPr="004B2498" w:rsidRDefault="002F4063" w:rsidP="002F4063">
      <w:pPr>
        <w:pStyle w:val="Titreniveau2"/>
      </w:pPr>
      <w:r w:rsidRPr="004B2498">
        <w:t>“</w:t>
      </w:r>
      <w:r>
        <w:t>DU GENRE GLOBALISÉ</w:t>
      </w:r>
      <w:r>
        <w:br/>
        <w:t>À LA MICROPOLITIQUE :</w:t>
      </w:r>
      <w:r>
        <w:br/>
        <w:t>RÉGIMES DE SAVOIRS,</w:t>
      </w:r>
      <w:r>
        <w:br/>
        <w:t>NORMES ET STRATÉGIES</w:t>
      </w:r>
      <w:r>
        <w:br/>
        <w:t>LOCALES AU MEXIQUE.</w:t>
      </w:r>
      <w:r w:rsidRPr="004B2498">
        <w:t>”</w:t>
      </w:r>
    </w:p>
    <w:p w14:paraId="5F6E511D" w14:textId="77777777" w:rsidR="002F4063" w:rsidRDefault="002F4063" w:rsidP="002F4063">
      <w:pPr>
        <w:jc w:val="both"/>
        <w:rPr>
          <w:szCs w:val="36"/>
        </w:rPr>
      </w:pPr>
    </w:p>
    <w:bookmarkEnd w:id="16"/>
    <w:p w14:paraId="262AAAC4" w14:textId="77777777" w:rsidR="002F4063" w:rsidRPr="004B2498" w:rsidRDefault="002F4063" w:rsidP="002F4063">
      <w:pPr>
        <w:jc w:val="both"/>
        <w:rPr>
          <w:szCs w:val="36"/>
        </w:rPr>
      </w:pPr>
    </w:p>
    <w:p w14:paraId="4DE5E3E4" w14:textId="77777777" w:rsidR="002F4063" w:rsidRPr="004B2498" w:rsidRDefault="002F4063" w:rsidP="002F4063">
      <w:pPr>
        <w:pStyle w:val="suite"/>
      </w:pPr>
      <w:r w:rsidRPr="004B2498">
        <w:rPr>
          <w:lang w:eastAsia="fr-FR" w:bidi="fr-FR"/>
        </w:rPr>
        <w:t xml:space="preserve">Mathieu </w:t>
      </w:r>
      <w:r w:rsidRPr="004B2498">
        <w:rPr>
          <w:bCs/>
        </w:rPr>
        <w:t>Caulier</w:t>
      </w:r>
    </w:p>
    <w:p w14:paraId="07646EA2" w14:textId="77777777" w:rsidR="002F4063" w:rsidRPr="004B2498" w:rsidRDefault="002F4063" w:rsidP="002F4063">
      <w:pPr>
        <w:spacing w:before="120" w:after="120"/>
        <w:jc w:val="both"/>
        <w:rPr>
          <w:lang w:eastAsia="fr-FR" w:bidi="fr-FR"/>
        </w:rPr>
      </w:pPr>
    </w:p>
    <w:p w14:paraId="32F4F74C" w14:textId="77777777" w:rsidR="002F4063" w:rsidRPr="002C57DA" w:rsidRDefault="002F4063" w:rsidP="002F4063">
      <w:pPr>
        <w:ind w:right="90" w:firstLine="0"/>
        <w:jc w:val="both"/>
        <w:rPr>
          <w:sz w:val="24"/>
        </w:rPr>
      </w:pPr>
      <w:hyperlink w:anchor="sommaire" w:history="1">
        <w:r w:rsidRPr="002C57DA">
          <w:rPr>
            <w:rStyle w:val="Hyperlien"/>
            <w:sz w:val="24"/>
          </w:rPr>
          <w:t>Retour au sommaire</w:t>
        </w:r>
      </w:hyperlink>
    </w:p>
    <w:p w14:paraId="7ABFEC28" w14:textId="77777777" w:rsidR="002F4063" w:rsidRPr="004B2498" w:rsidRDefault="002F4063" w:rsidP="002F4063">
      <w:pPr>
        <w:spacing w:before="120" w:after="120"/>
        <w:jc w:val="both"/>
      </w:pPr>
      <w:r w:rsidRPr="004B2498">
        <w:rPr>
          <w:lang w:eastAsia="fr-FR" w:bidi="fr-FR"/>
        </w:rPr>
        <w:t>Comment dans un contexte de Beijng + 15 le genre institutionnal</w:t>
      </w:r>
      <w:r w:rsidRPr="004B2498">
        <w:rPr>
          <w:lang w:eastAsia="fr-FR" w:bidi="fr-FR"/>
        </w:rPr>
        <w:t>i</w:t>
      </w:r>
      <w:r w:rsidRPr="004B2498">
        <w:rPr>
          <w:lang w:eastAsia="fr-FR" w:bidi="fr-FR"/>
        </w:rPr>
        <w:t>sé constitue-t-il un savoir global ? Comment l’effort de diffusion, transversalisation et formation au genre se marque-t-il dans le conte</w:t>
      </w:r>
      <w:r w:rsidRPr="004B2498">
        <w:rPr>
          <w:lang w:eastAsia="fr-FR" w:bidi="fr-FR"/>
        </w:rPr>
        <w:t>x</w:t>
      </w:r>
      <w:r w:rsidRPr="004B2498">
        <w:rPr>
          <w:lang w:eastAsia="fr-FR" w:bidi="fr-FR"/>
        </w:rPr>
        <w:t>te latino-américain et plus particulièrement au Mexique ? Qui sont les producteurs, les nœuds d’émission des normes politiques et sociales en vigueur portant sur le genre ? Près de cinq années de travail de te</w:t>
      </w:r>
      <w:r w:rsidRPr="004B2498">
        <w:rPr>
          <w:lang w:eastAsia="fr-FR" w:bidi="fr-FR"/>
        </w:rPr>
        <w:t>r</w:t>
      </w:r>
      <w:r w:rsidRPr="004B2498">
        <w:rPr>
          <w:lang w:eastAsia="fr-FR" w:bidi="fr-FR"/>
        </w:rPr>
        <w:t>rain m’ont apporté les matériaux nécessaires à la complexité des inte</w:t>
      </w:r>
      <w:r w:rsidRPr="004B2498">
        <w:rPr>
          <w:lang w:eastAsia="fr-FR" w:bidi="fr-FR"/>
        </w:rPr>
        <w:t>r</w:t>
      </w:r>
      <w:r w:rsidRPr="004B2498">
        <w:rPr>
          <w:lang w:eastAsia="fr-FR" w:bidi="fr-FR"/>
        </w:rPr>
        <w:t>rogations comme au besoin de présenter des éléments empiriques. Loin de tout discours préconçu sur le genre dans la société mexicaine, le réel empirique du genre, comme savoir et connaissances, apparaît sans cesse produit par des stratégies d’acteurs/actrices et négocié à travers le procès de sous-traitance des politiques publiques. La connaissance et la maîtrise des savoirs genrés proviennent essentie</w:t>
      </w:r>
      <w:r w:rsidRPr="004B2498">
        <w:rPr>
          <w:lang w:eastAsia="fr-FR" w:bidi="fr-FR"/>
        </w:rPr>
        <w:t>l</w:t>
      </w:r>
      <w:r w:rsidRPr="004B2498">
        <w:rPr>
          <w:lang w:eastAsia="fr-FR" w:bidi="fr-FR"/>
        </w:rPr>
        <w:t>lement de deux espaces sociaux, étroitement imbriqués : les univers</w:t>
      </w:r>
      <w:r w:rsidRPr="004B2498">
        <w:rPr>
          <w:lang w:eastAsia="fr-FR" w:bidi="fr-FR"/>
        </w:rPr>
        <w:t>i</w:t>
      </w:r>
      <w:r w:rsidRPr="004B2498">
        <w:rPr>
          <w:lang w:eastAsia="fr-FR" w:bidi="fr-FR"/>
        </w:rPr>
        <w:t>tés et les ONG. Fonctionnant en interaction constante, les centres de recherche et les organisations civiles sont aujourd’hui le lieu de pr</w:t>
      </w:r>
      <w:r w:rsidRPr="004B2498">
        <w:rPr>
          <w:lang w:eastAsia="fr-FR" w:bidi="fr-FR"/>
        </w:rPr>
        <w:t>o</w:t>
      </w:r>
      <w:r w:rsidRPr="004B2498">
        <w:rPr>
          <w:lang w:eastAsia="fr-FR" w:bidi="fr-FR"/>
        </w:rPr>
        <w:t>duction des normes genrées et de contrôle des politiques publiques dans le but d’améliorer l’attention aux femmes et aux « diversités sexuelles ». En tant que régime de connaissance, il sert à améliorer l’attention aux femmes, pauvres ou indigènes, aux minorités sexue</w:t>
      </w:r>
      <w:r w:rsidRPr="004B2498">
        <w:rPr>
          <w:lang w:eastAsia="fr-FR" w:bidi="fr-FR"/>
        </w:rPr>
        <w:t>l</w:t>
      </w:r>
      <w:r w:rsidRPr="004B2498">
        <w:rPr>
          <w:lang w:eastAsia="fr-FR" w:bidi="fr-FR"/>
        </w:rPr>
        <w:t>les, touchées par des MST ou non.</w:t>
      </w:r>
    </w:p>
    <w:p w14:paraId="2FD3BAA9" w14:textId="77777777" w:rsidR="002F4063" w:rsidRPr="004B2498" w:rsidRDefault="002F4063" w:rsidP="002F4063">
      <w:pPr>
        <w:spacing w:before="120" w:after="120"/>
        <w:jc w:val="both"/>
      </w:pPr>
      <w:r w:rsidRPr="004B2498">
        <w:rPr>
          <w:lang w:eastAsia="fr-FR" w:bidi="fr-FR"/>
        </w:rPr>
        <w:t>Le genre « pratique » (au sens de Bourdieu, 1980) des universita</w:t>
      </w:r>
      <w:r w:rsidRPr="004B2498">
        <w:rPr>
          <w:lang w:eastAsia="fr-FR" w:bidi="fr-FR"/>
        </w:rPr>
        <w:t>i</w:t>
      </w:r>
      <w:r w:rsidRPr="004B2498">
        <w:rPr>
          <w:lang w:eastAsia="fr-FR" w:bidi="fr-FR"/>
        </w:rPr>
        <w:t>res comme des ONG s’inscrit ainsi dans une pratique militante de r</w:t>
      </w:r>
      <w:r w:rsidRPr="004B2498">
        <w:rPr>
          <w:lang w:eastAsia="fr-FR" w:bidi="fr-FR"/>
        </w:rPr>
        <w:t>é</w:t>
      </w:r>
      <w:r w:rsidRPr="004B2498">
        <w:rPr>
          <w:lang w:eastAsia="fr-FR" w:bidi="fr-FR"/>
        </w:rPr>
        <w:t>duction des</w:t>
      </w:r>
      <w:r w:rsidRPr="004B2498">
        <w:t xml:space="preserve"> [268]</w:t>
      </w:r>
      <w:r>
        <w:t xml:space="preserve"> </w:t>
      </w:r>
      <w:r w:rsidRPr="004B2498">
        <w:rPr>
          <w:lang w:eastAsia="fr-FR" w:bidi="fr-FR"/>
        </w:rPr>
        <w:t>inégalités, de diminution des violences ou des ri</w:t>
      </w:r>
      <w:r w:rsidRPr="004B2498">
        <w:rPr>
          <w:lang w:eastAsia="fr-FR" w:bidi="fr-FR"/>
        </w:rPr>
        <w:t>s</w:t>
      </w:r>
      <w:r w:rsidRPr="004B2498">
        <w:rPr>
          <w:lang w:eastAsia="fr-FR" w:bidi="fr-FR"/>
        </w:rPr>
        <w:t>ques sanita</w:t>
      </w:r>
      <w:r w:rsidRPr="004B2498">
        <w:rPr>
          <w:lang w:eastAsia="fr-FR" w:bidi="fr-FR"/>
        </w:rPr>
        <w:t>i</w:t>
      </w:r>
      <w:r w:rsidRPr="004B2498">
        <w:rPr>
          <w:lang w:eastAsia="fr-FR" w:bidi="fr-FR"/>
        </w:rPr>
        <w:t>res pour les personnes. Connaissance pratique, en constant arrangement stratégique avec la mise en place des politiques publ</w:t>
      </w:r>
      <w:r w:rsidRPr="004B2498">
        <w:rPr>
          <w:lang w:eastAsia="fr-FR" w:bidi="fr-FR"/>
        </w:rPr>
        <w:t>i</w:t>
      </w:r>
      <w:r w:rsidRPr="004B2498">
        <w:rPr>
          <w:lang w:eastAsia="fr-FR" w:bidi="fr-FR"/>
        </w:rPr>
        <w:t>ques, le genre ne s’impose pas aisément comme norme dans la société mexicaine. Force est pourtant de constater la profonde interpénétr</w:t>
      </w:r>
      <w:r w:rsidRPr="004B2498">
        <w:rPr>
          <w:lang w:eastAsia="fr-FR" w:bidi="fr-FR"/>
        </w:rPr>
        <w:t>a</w:t>
      </w:r>
      <w:r w:rsidRPr="004B2498">
        <w:rPr>
          <w:lang w:eastAsia="fr-FR" w:bidi="fr-FR"/>
        </w:rPr>
        <w:t>tion des milieux mil</w:t>
      </w:r>
      <w:r w:rsidRPr="004B2498">
        <w:rPr>
          <w:lang w:eastAsia="fr-FR" w:bidi="fr-FR"/>
        </w:rPr>
        <w:t>i</w:t>
      </w:r>
      <w:r w:rsidRPr="004B2498">
        <w:rPr>
          <w:lang w:eastAsia="fr-FR" w:bidi="fr-FR"/>
        </w:rPr>
        <w:t>tants et universitaires mexicains et nord-américains, notamment au travers de la médiation des fondations ph</w:t>
      </w:r>
      <w:r w:rsidRPr="004B2498">
        <w:rPr>
          <w:lang w:eastAsia="fr-FR" w:bidi="fr-FR"/>
        </w:rPr>
        <w:t>i</w:t>
      </w:r>
      <w:r w:rsidRPr="004B2498">
        <w:rPr>
          <w:lang w:eastAsia="fr-FR" w:bidi="fr-FR"/>
        </w:rPr>
        <w:t>lanthropiques étasuniennes. Les conférences mondiales du Caire et de Pékin au m</w:t>
      </w:r>
      <w:r w:rsidRPr="004B2498">
        <w:rPr>
          <w:lang w:eastAsia="fr-FR" w:bidi="fr-FR"/>
        </w:rPr>
        <w:t>i</w:t>
      </w:r>
      <w:r w:rsidRPr="004B2498">
        <w:rPr>
          <w:lang w:eastAsia="fr-FR" w:bidi="fr-FR"/>
        </w:rPr>
        <w:t>lieu des années 1990 ont joué un rôle primordial dans la création de réseaux d’ONG et de recherches universitaires centrées sur la santé reproductive et le genre qui ont permis d’intégrer les champs scient</w:t>
      </w:r>
      <w:r w:rsidRPr="004B2498">
        <w:rPr>
          <w:lang w:eastAsia="fr-FR" w:bidi="fr-FR"/>
        </w:rPr>
        <w:t>i</w:t>
      </w:r>
      <w:r w:rsidRPr="004B2498">
        <w:rPr>
          <w:lang w:eastAsia="fr-FR" w:bidi="fr-FR"/>
        </w:rPr>
        <w:t xml:space="preserve">fiques et militants latino-américains à un effort mondial de </w:t>
      </w:r>
      <w:r w:rsidRPr="00A04D21">
        <w:rPr>
          <w:i/>
        </w:rPr>
        <w:t>main</w:t>
      </w:r>
      <w:r w:rsidRPr="00A04D21">
        <w:rPr>
          <w:i/>
        </w:rPr>
        <w:t>s</w:t>
      </w:r>
      <w:r w:rsidRPr="00A04D21">
        <w:rPr>
          <w:i/>
        </w:rPr>
        <w:t>treaming</w:t>
      </w:r>
      <w:r w:rsidRPr="004B2498">
        <w:rPr>
          <w:lang w:eastAsia="fr-FR" w:bidi="fr-FR"/>
        </w:rPr>
        <w:t xml:space="preserve"> du genre dans les politiques publiques. La création d’ONG avait été soutenue mass</w:t>
      </w:r>
      <w:r w:rsidRPr="004B2498">
        <w:rPr>
          <w:lang w:eastAsia="fr-FR" w:bidi="fr-FR"/>
        </w:rPr>
        <w:t>i</w:t>
      </w:r>
      <w:r w:rsidRPr="004B2498">
        <w:rPr>
          <w:lang w:eastAsia="fr-FR" w:bidi="fr-FR"/>
        </w:rPr>
        <w:t>vement par les fonds philanthropiques de la fondation Ford mais aussi d’autres grandes fondations comme les fondations MacArthur ou H</w:t>
      </w:r>
      <w:r w:rsidRPr="004B2498">
        <w:rPr>
          <w:lang w:eastAsia="fr-FR" w:bidi="fr-FR"/>
        </w:rPr>
        <w:t>e</w:t>
      </w:r>
      <w:r w:rsidRPr="004B2498">
        <w:rPr>
          <w:lang w:eastAsia="fr-FR" w:bidi="fr-FR"/>
        </w:rPr>
        <w:t>wlett. La recherche scientifique dans les institutions universitaires les plus prestigieuses fut également f</w:t>
      </w:r>
      <w:r w:rsidRPr="004B2498">
        <w:rPr>
          <w:lang w:eastAsia="fr-FR" w:bidi="fr-FR"/>
        </w:rPr>
        <w:t>i</w:t>
      </w:r>
      <w:r w:rsidRPr="004B2498">
        <w:rPr>
          <w:lang w:eastAsia="fr-FR" w:bidi="fr-FR"/>
        </w:rPr>
        <w:t>nancée à un niveau important pour la production et le développement interdisciplinaires de savoirs genrés clairement liés aux politiques p</w:t>
      </w:r>
      <w:r w:rsidRPr="004B2498">
        <w:rPr>
          <w:lang w:eastAsia="fr-FR" w:bidi="fr-FR"/>
        </w:rPr>
        <w:t>u</w:t>
      </w:r>
      <w:r w:rsidRPr="004B2498">
        <w:rPr>
          <w:lang w:eastAsia="fr-FR" w:bidi="fr-FR"/>
        </w:rPr>
        <w:t>bliques de santé, d’éducation ou à la participation politique (parité). En 2010, les facilités d’accès aux financements internationaux ont ne</w:t>
      </w:r>
      <w:r w:rsidRPr="004B2498">
        <w:rPr>
          <w:lang w:eastAsia="fr-FR" w:bidi="fr-FR"/>
        </w:rPr>
        <w:t>t</w:t>
      </w:r>
      <w:r w:rsidRPr="004B2498">
        <w:rPr>
          <w:lang w:eastAsia="fr-FR" w:bidi="fr-FR"/>
        </w:rPr>
        <w:t>tement diminué et l’effort onusien est en grande partie retombé, situ</w:t>
      </w:r>
      <w:r w:rsidRPr="004B2498">
        <w:rPr>
          <w:lang w:eastAsia="fr-FR" w:bidi="fr-FR"/>
        </w:rPr>
        <w:t>a</w:t>
      </w:r>
      <w:r w:rsidRPr="004B2498">
        <w:rPr>
          <w:lang w:eastAsia="fr-FR" w:bidi="fr-FR"/>
        </w:rPr>
        <w:t>tion observée plus précocement au Chili ou au Brésil (Foweraker, 2001). Dès lors comment le genre, norme et régime de savoir, est-il produit dans un contexte défav</w:t>
      </w:r>
      <w:r w:rsidRPr="004B2498">
        <w:rPr>
          <w:lang w:eastAsia="fr-FR" w:bidi="fr-FR"/>
        </w:rPr>
        <w:t>o</w:t>
      </w:r>
      <w:r w:rsidRPr="004B2498">
        <w:rPr>
          <w:lang w:eastAsia="fr-FR" w:bidi="fr-FR"/>
        </w:rPr>
        <w:t>rable marqué par une réorientation des priorités globales des grandes fond</w:t>
      </w:r>
      <w:r w:rsidRPr="004B2498">
        <w:rPr>
          <w:lang w:eastAsia="fr-FR" w:bidi="fr-FR"/>
        </w:rPr>
        <w:t>a</w:t>
      </w:r>
      <w:r w:rsidRPr="004B2498">
        <w:rPr>
          <w:lang w:eastAsia="fr-FR" w:bidi="fr-FR"/>
        </w:rPr>
        <w:t>tions libérales étasuniennes et des institutions internationales ? Le recours aux administrations provinci</w:t>
      </w:r>
      <w:r w:rsidRPr="004B2498">
        <w:rPr>
          <w:lang w:eastAsia="fr-FR" w:bidi="fr-FR"/>
        </w:rPr>
        <w:t>a</w:t>
      </w:r>
      <w:r w:rsidRPr="004B2498">
        <w:rPr>
          <w:lang w:eastAsia="fr-FR" w:bidi="fr-FR"/>
        </w:rPr>
        <w:t>les et locales devient le seul moyen de survivre. La sous-traitance des tâches d’investigation et de formation de personnels aux savoirs ge</w:t>
      </w:r>
      <w:r w:rsidRPr="004B2498">
        <w:rPr>
          <w:lang w:eastAsia="fr-FR" w:bidi="fr-FR"/>
        </w:rPr>
        <w:t>n</w:t>
      </w:r>
      <w:r w:rsidRPr="004B2498">
        <w:rPr>
          <w:lang w:eastAsia="fr-FR" w:bidi="fr-FR"/>
        </w:rPr>
        <w:t>rés, les tâches principales de nombre</w:t>
      </w:r>
      <w:r w:rsidRPr="004B2498">
        <w:rPr>
          <w:lang w:eastAsia="fr-FR" w:bidi="fr-FR"/>
        </w:rPr>
        <w:t>u</w:t>
      </w:r>
      <w:r w:rsidRPr="004B2498">
        <w:rPr>
          <w:lang w:eastAsia="fr-FR" w:bidi="fr-FR"/>
        </w:rPr>
        <w:t>ses organisations, aujourd’hui fort lointaines des centres de pouvoirs fédéraux et internationaux, sont essentiellement de répondre aux a</w:t>
      </w:r>
      <w:r w:rsidRPr="004B2498">
        <w:rPr>
          <w:lang w:eastAsia="fr-FR" w:bidi="fr-FR"/>
        </w:rPr>
        <w:t>p</w:t>
      </w:r>
      <w:r w:rsidRPr="004B2498">
        <w:rPr>
          <w:lang w:eastAsia="fr-FR" w:bidi="fr-FR"/>
        </w:rPr>
        <w:t>pels lancés par les administrations publiques en matière d’action s</w:t>
      </w:r>
      <w:r w:rsidRPr="004B2498">
        <w:rPr>
          <w:lang w:eastAsia="fr-FR" w:bidi="fr-FR"/>
        </w:rPr>
        <w:t>o</w:t>
      </w:r>
      <w:r w:rsidRPr="004B2498">
        <w:rPr>
          <w:lang w:eastAsia="fr-FR" w:bidi="fr-FR"/>
        </w:rPr>
        <w:t>ciale ou sanitaire. Dans le contexte mexicain de fin d’années 2000, la norme de genre n’est plus aussi r</w:t>
      </w:r>
      <w:r w:rsidRPr="004B2498">
        <w:rPr>
          <w:lang w:eastAsia="fr-FR" w:bidi="fr-FR"/>
        </w:rPr>
        <w:t>i</w:t>
      </w:r>
      <w:r w:rsidRPr="004B2498">
        <w:rPr>
          <w:lang w:eastAsia="fr-FR" w:bidi="fr-FR"/>
        </w:rPr>
        <w:t>gide et relève de négociations, d’arrangements personnels et polit</w:t>
      </w:r>
      <w:r w:rsidRPr="004B2498">
        <w:rPr>
          <w:lang w:eastAsia="fr-FR" w:bidi="fr-FR"/>
        </w:rPr>
        <w:t>i</w:t>
      </w:r>
      <w:r w:rsidRPr="004B2498">
        <w:rPr>
          <w:lang w:eastAsia="fr-FR" w:bidi="fr-FR"/>
        </w:rPr>
        <w:t>ques qui en font une dialectique aux idiosyncrasies uniques suivant les conditions partic</w:t>
      </w:r>
      <w:r w:rsidRPr="004B2498">
        <w:rPr>
          <w:lang w:eastAsia="fr-FR" w:bidi="fr-FR"/>
        </w:rPr>
        <w:t>u</w:t>
      </w:r>
      <w:r w:rsidRPr="004B2498">
        <w:rPr>
          <w:lang w:eastAsia="fr-FR" w:bidi="fr-FR"/>
        </w:rPr>
        <w:t>lières de sa mise en œuvre. Les savoirs genrés sont sélectionnés pour chaque projet et la portée critique et/ou subversive largement cond</w:t>
      </w:r>
      <w:r w:rsidRPr="004B2498">
        <w:rPr>
          <w:lang w:eastAsia="fr-FR" w:bidi="fr-FR"/>
        </w:rPr>
        <w:t>i</w:t>
      </w:r>
      <w:r w:rsidRPr="004B2498">
        <w:rPr>
          <w:lang w:eastAsia="fr-FR" w:bidi="fr-FR"/>
        </w:rPr>
        <w:t>tionnée au besoin d’obtenir de nouveaux contrats. Néanmoins, il ne faudrait pas sombrer dans la critique univoque et imaginer une subordination pleine et entière à un champ politique d</w:t>
      </w:r>
      <w:r w:rsidRPr="004B2498">
        <w:rPr>
          <w:lang w:eastAsia="fr-FR" w:bidi="fr-FR"/>
        </w:rPr>
        <w:t>é</w:t>
      </w:r>
      <w:r w:rsidRPr="004B2498">
        <w:rPr>
          <w:lang w:eastAsia="fr-FR" w:bidi="fr-FR"/>
        </w:rPr>
        <w:t>finissant les normes nationales du genre sans opposition. En matière de genre, les organisations publ</w:t>
      </w:r>
      <w:r w:rsidRPr="004B2498">
        <w:rPr>
          <w:lang w:eastAsia="fr-FR" w:bidi="fr-FR"/>
        </w:rPr>
        <w:t>i</w:t>
      </w:r>
      <w:r w:rsidRPr="004B2498">
        <w:rPr>
          <w:lang w:eastAsia="fr-FR" w:bidi="fr-FR"/>
        </w:rPr>
        <w:t>ques sont ouvertes à l’intégration de l’initiative privée militante ou universitaire et ont développé la sous-traitance face à leur manque p</w:t>
      </w:r>
      <w:r w:rsidRPr="004B2498">
        <w:rPr>
          <w:lang w:eastAsia="fr-FR" w:bidi="fr-FR"/>
        </w:rPr>
        <w:t>a</w:t>
      </w:r>
      <w:r w:rsidRPr="004B2498">
        <w:rPr>
          <w:lang w:eastAsia="fr-FR" w:bidi="fr-FR"/>
        </w:rPr>
        <w:t>tent de maîtrise et d’expertise. La</w:t>
      </w:r>
      <w:r>
        <w:t xml:space="preserve"> </w:t>
      </w:r>
      <w:r w:rsidRPr="004B2498">
        <w:t>[269]</w:t>
      </w:r>
      <w:r>
        <w:t xml:space="preserve"> </w:t>
      </w:r>
      <w:r w:rsidRPr="004B2498">
        <w:rPr>
          <w:lang w:eastAsia="fr-FR" w:bidi="fr-FR"/>
        </w:rPr>
        <w:t>sous-traitance est aussi un choix éminemment économique qui abaisse les coûts de production de politiques publiques.</w:t>
      </w:r>
    </w:p>
    <w:p w14:paraId="68ACB03F" w14:textId="77777777" w:rsidR="002F4063" w:rsidRPr="004B2498" w:rsidRDefault="002F4063" w:rsidP="002F4063">
      <w:pPr>
        <w:spacing w:before="120" w:after="120"/>
        <w:jc w:val="both"/>
      </w:pPr>
      <w:r w:rsidRPr="004B2498">
        <w:rPr>
          <w:lang w:eastAsia="fr-FR" w:bidi="fr-FR"/>
        </w:rPr>
        <w:t>Dans ce chapitre, je souhaite présenter dans un premier temps le genre comme norme exportée dans une phase rapide de globalisation portée par les bailleurs philanthropiques et les institutions internati</w:t>
      </w:r>
      <w:r w:rsidRPr="004B2498">
        <w:rPr>
          <w:lang w:eastAsia="fr-FR" w:bidi="fr-FR"/>
        </w:rPr>
        <w:t>o</w:t>
      </w:r>
      <w:r w:rsidRPr="004B2498">
        <w:rPr>
          <w:lang w:eastAsia="fr-FR" w:bidi="fr-FR"/>
        </w:rPr>
        <w:t>nales pendant les années 1990 et le début du nouveau siècle et co</w:t>
      </w:r>
      <w:r w:rsidRPr="004B2498">
        <w:rPr>
          <w:lang w:eastAsia="fr-FR" w:bidi="fr-FR"/>
        </w:rPr>
        <w:t>m</w:t>
      </w:r>
      <w:r w:rsidRPr="004B2498">
        <w:rPr>
          <w:lang w:eastAsia="fr-FR" w:bidi="fr-FR"/>
        </w:rPr>
        <w:t>ment ces investissements massifs ont subséquemment produit l’explosion des créations d’ONG, de recherches scientifiques et de politiques publiques centrées sur les connaissances genrées. Cette pr</w:t>
      </w:r>
      <w:r w:rsidRPr="004B2498">
        <w:rPr>
          <w:lang w:eastAsia="fr-FR" w:bidi="fr-FR"/>
        </w:rPr>
        <w:t>é</w:t>
      </w:r>
      <w:r w:rsidRPr="004B2498">
        <w:rPr>
          <w:lang w:eastAsia="fr-FR" w:bidi="fr-FR"/>
        </w:rPr>
        <w:t>sentation servira à étayer une recherche plus approfondie des espaces sociaux émetteurs de la norme et producteurs d’interactions dans leur microchamp local. C’est ainsi que j’étudierai les rapports qu’entretient une ONG de province avec son champ local : municipalités, pr</w:t>
      </w:r>
      <w:r w:rsidRPr="004B2498">
        <w:rPr>
          <w:lang w:eastAsia="fr-FR" w:bidi="fr-FR"/>
        </w:rPr>
        <w:t>o</w:t>
      </w:r>
      <w:r w:rsidRPr="004B2498">
        <w:rPr>
          <w:lang w:eastAsia="fr-FR" w:bidi="fr-FR"/>
        </w:rPr>
        <w:t>grammes fédéraux, autres ONG, réseaux nationaux et universités. Nous verrons comment s’élaborent les arrangements avec la norme, comment le sens pratique des actrices et acteurs locaux l’emporte souvent sur l’attachement à la norme nationale défendue par les ONG de la capitale, plus impliquées dans le travail politique et loin des pr</w:t>
      </w:r>
      <w:r w:rsidRPr="004B2498">
        <w:rPr>
          <w:lang w:eastAsia="fr-FR" w:bidi="fr-FR"/>
        </w:rPr>
        <w:t>o</w:t>
      </w:r>
      <w:r w:rsidRPr="004B2498">
        <w:rPr>
          <w:lang w:eastAsia="fr-FR" w:bidi="fr-FR"/>
        </w:rPr>
        <w:t>grammes sociaux. Les régimes de connaissance du genre sont ainsi posés comme situés et imbriqués dans un champ social spécifique au sein duquel ils prennent sens. Quant à la norme globale, elle, apparaît toujours davantage comme l’apanage de riches ONG à portée nation</w:t>
      </w:r>
      <w:r w:rsidRPr="004B2498">
        <w:rPr>
          <w:lang w:eastAsia="fr-FR" w:bidi="fr-FR"/>
        </w:rPr>
        <w:t>a</w:t>
      </w:r>
      <w:r w:rsidRPr="004B2498">
        <w:rPr>
          <w:lang w:eastAsia="fr-FR" w:bidi="fr-FR"/>
        </w:rPr>
        <w:t>le ou internationale, des Nations unies et des universitaires les plus éminents. Enfin, je conclurai sur la complexité d’une définition de la norme globale genrée ; bien qu’elle ait été utilisée, de la fin des a</w:t>
      </w:r>
      <w:r w:rsidRPr="004B2498">
        <w:rPr>
          <w:lang w:eastAsia="fr-FR" w:bidi="fr-FR"/>
        </w:rPr>
        <w:t>n</w:t>
      </w:r>
      <w:r w:rsidRPr="004B2498">
        <w:rPr>
          <w:lang w:eastAsia="fr-FR" w:bidi="fr-FR"/>
        </w:rPr>
        <w:t>nées 1980 aux années 2000, par de nombreuses institutions et groupes, elle s’est diluée dans une décentralisation propice aux arrangements et aux négociations microsociales.</w:t>
      </w:r>
    </w:p>
    <w:p w14:paraId="43F24C55" w14:textId="77777777" w:rsidR="002F4063" w:rsidRPr="004B2498" w:rsidRDefault="002F4063" w:rsidP="002F4063">
      <w:pPr>
        <w:spacing w:before="120" w:after="120"/>
        <w:jc w:val="both"/>
        <w:rPr>
          <w:szCs w:val="24"/>
          <w:lang w:eastAsia="fr-FR" w:bidi="fr-FR"/>
        </w:rPr>
      </w:pPr>
    </w:p>
    <w:p w14:paraId="416744DA" w14:textId="77777777" w:rsidR="002F4063" w:rsidRPr="004B2498" w:rsidRDefault="002F4063" w:rsidP="002F4063">
      <w:pPr>
        <w:pStyle w:val="a"/>
      </w:pPr>
      <w:r w:rsidRPr="004B2498">
        <w:t>La « prise » du genre</w:t>
      </w:r>
      <w:r w:rsidRPr="004B2498">
        <w:br/>
        <w:t>ou comment le genre s’est imposé au Mexique</w:t>
      </w:r>
    </w:p>
    <w:p w14:paraId="31C92F38" w14:textId="77777777" w:rsidR="002F4063" w:rsidRPr="004B2498" w:rsidRDefault="002F4063" w:rsidP="002F4063">
      <w:pPr>
        <w:spacing w:before="120" w:after="120"/>
        <w:jc w:val="both"/>
        <w:rPr>
          <w:lang w:eastAsia="fr-FR" w:bidi="fr-FR"/>
        </w:rPr>
      </w:pPr>
    </w:p>
    <w:p w14:paraId="0E2550E3" w14:textId="77777777" w:rsidR="002F4063" w:rsidRPr="004B2498" w:rsidRDefault="002F4063" w:rsidP="002F4063">
      <w:pPr>
        <w:spacing w:before="120" w:after="120"/>
        <w:jc w:val="both"/>
      </w:pPr>
      <w:r w:rsidRPr="004B2498">
        <w:rPr>
          <w:lang w:eastAsia="fr-FR" w:bidi="fr-FR"/>
        </w:rPr>
        <w:t>Au début des années 1990, la région a vécu la fin de la guerre fro</w:t>
      </w:r>
      <w:r w:rsidRPr="004B2498">
        <w:rPr>
          <w:lang w:eastAsia="fr-FR" w:bidi="fr-FR"/>
        </w:rPr>
        <w:t>i</w:t>
      </w:r>
      <w:r w:rsidRPr="004B2498">
        <w:rPr>
          <w:lang w:eastAsia="fr-FR" w:bidi="fr-FR"/>
        </w:rPr>
        <w:t>de sur le mode conjoint de la démocratisation politique, de la « privatisation » des sociétés latino-américaines et du développement des politiques néolibérales qui ont parachevé le développement d’institutions et opérateurs privés dans quasiment tous les domaines d’action publique. Ce contexte politique a marqué un tournant dans l’ancrage politique des mouvements féministes et des militantes (Ca</w:t>
      </w:r>
      <w:r w:rsidRPr="004B2498">
        <w:rPr>
          <w:lang w:eastAsia="fr-FR" w:bidi="fr-FR"/>
        </w:rPr>
        <w:t>u</w:t>
      </w:r>
      <w:r w:rsidRPr="004B2498">
        <w:rPr>
          <w:lang w:eastAsia="fr-FR" w:bidi="fr-FR"/>
        </w:rPr>
        <w:t>lier, 2010b) et produit des effets immédiats dans l’évolution des mo</w:t>
      </w:r>
      <w:r w:rsidRPr="004B2498">
        <w:rPr>
          <w:lang w:eastAsia="fr-FR" w:bidi="fr-FR"/>
        </w:rPr>
        <w:t>u</w:t>
      </w:r>
      <w:r w:rsidRPr="004B2498">
        <w:rPr>
          <w:lang w:eastAsia="fr-FR" w:bidi="fr-FR"/>
        </w:rPr>
        <w:t>vements féministes dont une portion majoritaire s’est éloignée du marxisme et de la « révolution » après la fin des luttes populaires des années 1980 (Lamas, 2006). La déradicalisation relative des fémini</w:t>
      </w:r>
      <w:r w:rsidRPr="004B2498">
        <w:rPr>
          <w:lang w:eastAsia="fr-FR" w:bidi="fr-FR"/>
        </w:rPr>
        <w:t>s</w:t>
      </w:r>
      <w:r w:rsidRPr="004B2498">
        <w:rPr>
          <w:lang w:eastAsia="fr-FR" w:bidi="fr-FR"/>
        </w:rPr>
        <w:t>mes fut le corollaire d’un mouvement sans précédent d’institutionnalisation du féminisme dans le champ universitaire et de création d’ONG en vue de la préparation des conférences du Caire (1994) et</w:t>
      </w:r>
      <w:r w:rsidRPr="004B2498">
        <w:t xml:space="preserve"> [270]</w:t>
      </w:r>
      <w:r>
        <w:t xml:space="preserve"> </w:t>
      </w:r>
      <w:r w:rsidRPr="004B2498">
        <w:rPr>
          <w:lang w:eastAsia="fr-FR" w:bidi="fr-FR"/>
        </w:rPr>
        <w:t>de Pékin (1995). Ce procès d’institutionnalisation a durablement fractionné les féminismes mexicains et latino-américains (Gargallo 2006 ; Fischer 2001 ; Caulier 2010b).</w:t>
      </w:r>
    </w:p>
    <w:p w14:paraId="489CCA43" w14:textId="77777777" w:rsidR="002F4063" w:rsidRPr="004B2498" w:rsidRDefault="002F4063" w:rsidP="002F4063">
      <w:pPr>
        <w:spacing w:before="120" w:after="120"/>
        <w:jc w:val="both"/>
      </w:pPr>
      <w:r w:rsidRPr="004B2498">
        <w:rPr>
          <w:lang w:eastAsia="fr-FR" w:bidi="fr-FR"/>
        </w:rPr>
        <w:t>Le cycle de conférence piloté par les Nations unies et centré sur la définition de normes en matière d’environnement (Rio de Janeiro, 1992), de population et de santé reproductive (1994) et finalement sur les femmes (Pékin, 1995) a largement contribué à injecter le genre dans la pensée politique latino-américaine et mexicaine. La produ</w:t>
      </w:r>
      <w:r w:rsidRPr="004B2498">
        <w:rPr>
          <w:lang w:eastAsia="fr-FR" w:bidi="fr-FR"/>
        </w:rPr>
        <w:t>c</w:t>
      </w:r>
      <w:r w:rsidRPr="004B2498">
        <w:rPr>
          <w:lang w:eastAsia="fr-FR" w:bidi="fr-FR"/>
        </w:rPr>
        <w:t>tion de politiques de santé publique, comme la législation sur les vi</w:t>
      </w:r>
      <w:r w:rsidRPr="004B2498">
        <w:rPr>
          <w:lang w:eastAsia="fr-FR" w:bidi="fr-FR"/>
        </w:rPr>
        <w:t>o</w:t>
      </w:r>
      <w:r w:rsidRPr="004B2498">
        <w:rPr>
          <w:lang w:eastAsia="fr-FR" w:bidi="fr-FR"/>
        </w:rPr>
        <w:t>lences faites aux femmes, sont devenues des pans sensibles de la pol</w:t>
      </w:r>
      <w:r w:rsidRPr="004B2498">
        <w:rPr>
          <w:lang w:eastAsia="fr-FR" w:bidi="fr-FR"/>
        </w:rPr>
        <w:t>i</w:t>
      </w:r>
      <w:r w:rsidRPr="004B2498">
        <w:rPr>
          <w:lang w:eastAsia="fr-FR" w:bidi="fr-FR"/>
        </w:rPr>
        <w:t xml:space="preserve">tique nationale à mettre en conformité avec des normes internationales en partie inspirées par les </w:t>
      </w:r>
      <w:r w:rsidRPr="004B2498">
        <w:t>gender politics</w:t>
      </w:r>
      <w:r w:rsidRPr="004B2498">
        <w:rPr>
          <w:lang w:eastAsia="fr-FR" w:bidi="fr-FR"/>
        </w:rPr>
        <w:t xml:space="preserve"> des campus nord-américains. Plusieurs dynamiques concomitantes se sont ainsi rencontrées à partir d’une impulsion mondiale portée par les Nations unies, puis des fo</w:t>
      </w:r>
      <w:r w:rsidRPr="004B2498">
        <w:rPr>
          <w:lang w:eastAsia="fr-FR" w:bidi="fr-FR"/>
        </w:rPr>
        <w:t>n</w:t>
      </w:r>
      <w:r w:rsidRPr="004B2498">
        <w:rPr>
          <w:lang w:eastAsia="fr-FR" w:bidi="fr-FR"/>
        </w:rPr>
        <w:t>dations philanthropiques étasuniennes (Ford, MacArthur, Hewlett) et des ONG internationales spécialisées dans les questions de genre (I</w:t>
      </w:r>
      <w:r w:rsidRPr="004B2498">
        <w:rPr>
          <w:lang w:eastAsia="fr-FR" w:bidi="fr-FR"/>
        </w:rPr>
        <w:t>n</w:t>
      </w:r>
      <w:r w:rsidRPr="004B2498">
        <w:rPr>
          <w:lang w:eastAsia="fr-FR" w:bidi="fr-FR"/>
        </w:rPr>
        <w:t>ternational Women’s Health Coalition, Development Action for W</w:t>
      </w:r>
      <w:r w:rsidRPr="004B2498">
        <w:rPr>
          <w:lang w:eastAsia="fr-FR" w:bidi="fr-FR"/>
        </w:rPr>
        <w:t>o</w:t>
      </w:r>
      <w:r w:rsidRPr="004B2498">
        <w:rPr>
          <w:lang w:eastAsia="fr-FR" w:bidi="fr-FR"/>
        </w:rPr>
        <w:t>men Network et Women’s Environment and Development Organiz</w:t>
      </w:r>
      <w:r w:rsidRPr="004B2498">
        <w:rPr>
          <w:lang w:eastAsia="fr-FR" w:bidi="fr-FR"/>
        </w:rPr>
        <w:t>a</w:t>
      </w:r>
      <w:r w:rsidRPr="004B2498">
        <w:rPr>
          <w:lang w:eastAsia="fr-FR" w:bidi="fr-FR"/>
        </w:rPr>
        <w:t>tion), financées par ces mêmes fondations philanthropiques, qui ont largement investi les sommets onusiens pour en faire des lieux de contestation politique et de consensus sur de nouvelles normes de d</w:t>
      </w:r>
      <w:r w:rsidRPr="004B2498">
        <w:rPr>
          <w:lang w:eastAsia="fr-FR" w:bidi="fr-FR"/>
        </w:rPr>
        <w:t>é</w:t>
      </w:r>
      <w:r w:rsidRPr="004B2498">
        <w:rPr>
          <w:lang w:eastAsia="fr-FR" w:bidi="fr-FR"/>
        </w:rPr>
        <w:t>mocratie genrée (Higer, 1999). Largement financées et soutenues dans le processus de Beijing, nombre d’ONG se sont développées sur des problématiques essentiellement féministes - et subséquemment pr</w:t>
      </w:r>
      <w:r w:rsidRPr="004B2498">
        <w:rPr>
          <w:lang w:eastAsia="fr-FR" w:bidi="fr-FR"/>
        </w:rPr>
        <w:t>é</w:t>
      </w:r>
      <w:r w:rsidRPr="004B2498">
        <w:rPr>
          <w:lang w:eastAsia="fr-FR" w:bidi="fr-FR"/>
        </w:rPr>
        <w:t>sentes au sein des universités. Le développement rapide de « la per</w:t>
      </w:r>
      <w:r w:rsidRPr="004B2498">
        <w:rPr>
          <w:lang w:eastAsia="fr-FR" w:bidi="fr-FR"/>
        </w:rPr>
        <w:t>s</w:t>
      </w:r>
      <w:r w:rsidRPr="004B2498">
        <w:rPr>
          <w:lang w:eastAsia="fr-FR" w:bidi="fr-FR"/>
        </w:rPr>
        <w:t>pective de genre » dans les années qui ont suivi le cycle de confére</w:t>
      </w:r>
      <w:r w:rsidRPr="004B2498">
        <w:rPr>
          <w:lang w:eastAsia="fr-FR" w:bidi="fr-FR"/>
        </w:rPr>
        <w:t>n</w:t>
      </w:r>
      <w:r w:rsidRPr="004B2498">
        <w:rPr>
          <w:lang w:eastAsia="fr-FR" w:bidi="fr-FR"/>
        </w:rPr>
        <w:t>ces onusiennes a contribué à marginaliser les problématiques strict</w:t>
      </w:r>
      <w:r w:rsidRPr="004B2498">
        <w:rPr>
          <w:lang w:eastAsia="fr-FR" w:bidi="fr-FR"/>
        </w:rPr>
        <w:t>e</w:t>
      </w:r>
      <w:r w:rsidRPr="004B2498">
        <w:rPr>
          <w:lang w:eastAsia="fr-FR" w:bidi="fr-FR"/>
        </w:rPr>
        <w:t>ment féminines et à rediriger les financements vers de nouveaux types de programmes plus en prise avec le genre, devenu norme de gouve</w:t>
      </w:r>
      <w:r w:rsidRPr="004B2498">
        <w:rPr>
          <w:lang w:eastAsia="fr-FR" w:bidi="fr-FR"/>
        </w:rPr>
        <w:t>r</w:t>
      </w:r>
      <w:r w:rsidRPr="004B2498">
        <w:rPr>
          <w:lang w:eastAsia="fr-FR" w:bidi="fr-FR"/>
        </w:rPr>
        <w:t>nance. Les créations d’ONG furent d’ailleurs nombreuses dans les années qui suivirent Beijing. La décennie 1995-2005 a été une période d’accélération de la participation politique des féministes - notamment au sein du PRD, la gauche au pouvoir à Mexico. De nouveaux agents ont fait leur entrée en saisissant des opportunités de placements inst</w:t>
      </w:r>
      <w:r w:rsidRPr="004B2498">
        <w:rPr>
          <w:lang w:eastAsia="fr-FR" w:bidi="fr-FR"/>
        </w:rPr>
        <w:t>i</w:t>
      </w:r>
      <w:r w:rsidRPr="004B2498">
        <w:rPr>
          <w:lang w:eastAsia="fr-FR" w:bidi="fr-FR"/>
        </w:rPr>
        <w:t>tutionnels dans des branches d’activités essentielles, financées par les bailleurs de fonds internationaux. Les fondations philanthropiques ont continué à jouer l'un des rôles principaux, à la fois dans la transform</w:t>
      </w:r>
      <w:r w:rsidRPr="004B2498">
        <w:rPr>
          <w:lang w:eastAsia="fr-FR" w:bidi="fr-FR"/>
        </w:rPr>
        <w:t>a</w:t>
      </w:r>
      <w:r w:rsidRPr="004B2498">
        <w:rPr>
          <w:lang w:eastAsia="fr-FR" w:bidi="fr-FR"/>
        </w:rPr>
        <w:t>tion des politiques de population et dans le procès de différenciation accélérée du mouvement féministe, bien que ce ne soit qu’un effet collatéral de ces politiques.</w:t>
      </w:r>
    </w:p>
    <w:p w14:paraId="42085637" w14:textId="77777777" w:rsidR="002F4063" w:rsidRPr="004B2498" w:rsidRDefault="002F4063" w:rsidP="002F4063">
      <w:pPr>
        <w:spacing w:before="120" w:after="120"/>
        <w:jc w:val="both"/>
      </w:pPr>
      <w:r w:rsidRPr="004B2498">
        <w:rPr>
          <w:lang w:eastAsia="fr-FR" w:bidi="fr-FR"/>
        </w:rPr>
        <w:t>Mais il y a eu également l’effort féministe de production théorique et de savoirs empiriques destinés à la fois à l’étayage d’un lobbying auprès des administrations politiques et à la consolidation des expre</w:t>
      </w:r>
      <w:r w:rsidRPr="004B2498">
        <w:rPr>
          <w:lang w:eastAsia="fr-FR" w:bidi="fr-FR"/>
        </w:rPr>
        <w:t>s</w:t>
      </w:r>
      <w:r w:rsidRPr="004B2498">
        <w:rPr>
          <w:lang w:eastAsia="fr-FR" w:bidi="fr-FR"/>
        </w:rPr>
        <w:t>sions féministes au sein de la recherche scientifique mexicaine. L’effort de constitution de</w:t>
      </w:r>
      <w:r w:rsidRPr="004B2498">
        <w:t xml:space="preserve"> [271]</w:t>
      </w:r>
      <w:r>
        <w:t xml:space="preserve"> </w:t>
      </w:r>
      <w:r w:rsidRPr="004B2498">
        <w:rPr>
          <w:lang w:eastAsia="fr-FR" w:bidi="fr-FR"/>
        </w:rPr>
        <w:t>centres de recherches sur le genre (Caulier, 2010b) a inscrit dans le paysage des sciences sociales mex</w:t>
      </w:r>
      <w:r w:rsidRPr="004B2498">
        <w:rPr>
          <w:lang w:eastAsia="fr-FR" w:bidi="fr-FR"/>
        </w:rPr>
        <w:t>i</w:t>
      </w:r>
      <w:r w:rsidRPr="004B2498">
        <w:rPr>
          <w:lang w:eastAsia="fr-FR" w:bidi="fr-FR"/>
        </w:rPr>
        <w:t>caines une certaine légitimité, to</w:t>
      </w:r>
      <w:r w:rsidRPr="004B2498">
        <w:rPr>
          <w:lang w:eastAsia="fr-FR" w:bidi="fr-FR"/>
        </w:rPr>
        <w:t>u</w:t>
      </w:r>
      <w:r w:rsidRPr="004B2498">
        <w:rPr>
          <w:lang w:eastAsia="fr-FR" w:bidi="fr-FR"/>
        </w:rPr>
        <w:t xml:space="preserve">jours contestée, des questionnements genrés, s’inscrivant ainsi dans une tendance mondiale marquée par le développement des </w:t>
      </w:r>
      <w:r w:rsidRPr="004B2498">
        <w:t>women’s studies</w:t>
      </w:r>
      <w:r w:rsidRPr="004B2498">
        <w:rPr>
          <w:lang w:eastAsia="fr-FR" w:bidi="fr-FR"/>
        </w:rPr>
        <w:t xml:space="preserve"> et </w:t>
      </w:r>
      <w:r w:rsidRPr="004B2498">
        <w:t>gender studies.</w:t>
      </w:r>
      <w:r w:rsidRPr="004B2498">
        <w:rPr>
          <w:lang w:eastAsia="fr-FR" w:bidi="fr-FR"/>
        </w:rPr>
        <w:t xml:space="preserve"> Les soutiens philanthropiques à cette entreprise furent récurrents et portèrent pr</w:t>
      </w:r>
      <w:r w:rsidRPr="004B2498">
        <w:rPr>
          <w:lang w:eastAsia="fr-FR" w:bidi="fr-FR"/>
        </w:rPr>
        <w:t>e</w:t>
      </w:r>
      <w:r w:rsidRPr="004B2498">
        <w:rPr>
          <w:lang w:eastAsia="fr-FR" w:bidi="fr-FR"/>
        </w:rPr>
        <w:t xml:space="preserve">mièrement sur des institutions prestigieuses comme le </w:t>
      </w:r>
      <w:r w:rsidRPr="004B2498">
        <w:t xml:space="preserve">Colegio de Mexico </w:t>
      </w:r>
      <w:r w:rsidRPr="004B2498">
        <w:rPr>
          <w:lang w:eastAsia="fr-FR" w:bidi="fr-FR"/>
        </w:rPr>
        <w:t>qui furent ciblées pour leur prestige. On a assisté, par le biais de ces financements, à un effort nord-américain de diffusion d’une norme scientifique et participé aux débats intellectuels des campus étasuniens. Ces entreprises philanthropiques ont su rencontrer des a</w:t>
      </w:r>
      <w:r w:rsidRPr="004B2498">
        <w:rPr>
          <w:lang w:eastAsia="fr-FR" w:bidi="fr-FR"/>
        </w:rPr>
        <w:t>c</w:t>
      </w:r>
      <w:r w:rsidRPr="004B2498">
        <w:rPr>
          <w:lang w:eastAsia="fr-FR" w:bidi="fr-FR"/>
        </w:rPr>
        <w:t>trices locales pour les soutenir. C</w:t>
      </w:r>
      <w:r w:rsidRPr="004B2498">
        <w:rPr>
          <w:lang w:eastAsia="fr-FR" w:bidi="fr-FR"/>
        </w:rPr>
        <w:t>e</w:t>
      </w:r>
      <w:r w:rsidRPr="004B2498">
        <w:rPr>
          <w:lang w:eastAsia="fr-FR" w:bidi="fr-FR"/>
        </w:rPr>
        <w:t>pendant, force est de constater que, si les formes institutionnelles nord-américaines et les savoirs genrés se sont diffusés rapidement, la production locale et les interprétations des diverses théories du genre ont fait l’objet de nombreuses adaptations pratiques au Mexique. De plus, comme régimes de savoirs appliqués aux politiques publiques, les savoirs de genre ne sont pas reçus de la même manière au Mexique que dans les pays européens, par exemple. Ils bénéficient d’une large publicité et d’une inflation de discours p</w:t>
      </w:r>
      <w:r w:rsidRPr="004B2498">
        <w:rPr>
          <w:lang w:eastAsia="fr-FR" w:bidi="fr-FR"/>
        </w:rPr>
        <w:t>u</w:t>
      </w:r>
      <w:r w:rsidRPr="004B2498">
        <w:rPr>
          <w:lang w:eastAsia="fr-FR" w:bidi="fr-FR"/>
        </w:rPr>
        <w:t>blics au sein des ministères et des institutions étatiques : d’où leur d</w:t>
      </w:r>
      <w:r w:rsidRPr="004B2498">
        <w:rPr>
          <w:lang w:eastAsia="fr-FR" w:bidi="fr-FR"/>
        </w:rPr>
        <w:t>i</w:t>
      </w:r>
      <w:r w:rsidRPr="004B2498">
        <w:rPr>
          <w:lang w:eastAsia="fr-FR" w:bidi="fr-FR"/>
        </w:rPr>
        <w:t>mension toute symbolique au sein de l’appareil d’État mexicain co</w:t>
      </w:r>
      <w:r w:rsidRPr="004B2498">
        <w:rPr>
          <w:lang w:eastAsia="fr-FR" w:bidi="fr-FR"/>
        </w:rPr>
        <w:t>m</w:t>
      </w:r>
      <w:r w:rsidRPr="004B2498">
        <w:rPr>
          <w:lang w:eastAsia="fr-FR" w:bidi="fr-FR"/>
        </w:rPr>
        <w:t>me signes forts de démocratie et de rattachement à une norme nord-américaine de gouvernance, fo</w:t>
      </w:r>
      <w:r w:rsidRPr="004B2498">
        <w:rPr>
          <w:lang w:eastAsia="fr-FR" w:bidi="fr-FR"/>
        </w:rPr>
        <w:t>n</w:t>
      </w:r>
      <w:r w:rsidRPr="004B2498">
        <w:rPr>
          <w:lang w:eastAsia="fr-FR" w:bidi="fr-FR"/>
        </w:rPr>
        <w:t>dée sur l’intégration des groupes et la représentation des femmes et des minorités ethniques et sexuelles. Le genre, et tous les savoirs qui ont été forgés à partir de cette distinction entre sexe biologique et construction sociale du genre, constitue un ensemble de pratiques et d’épistémês qui ont pénétré profondément le secteur public (bien plus qu’en France, par exemple) et constitue le cœur des savoirs pratiques genrés développés dans le pays.</w:t>
      </w:r>
    </w:p>
    <w:p w14:paraId="54E048B5" w14:textId="77777777" w:rsidR="002F4063" w:rsidRPr="004B2498" w:rsidRDefault="002F4063" w:rsidP="002F4063">
      <w:pPr>
        <w:spacing w:before="120" w:after="120"/>
        <w:jc w:val="both"/>
      </w:pPr>
      <w:r w:rsidRPr="004B2498">
        <w:rPr>
          <w:lang w:eastAsia="fr-FR" w:bidi="fr-FR"/>
        </w:rPr>
        <w:t>C’est d’ailleurs l’ensemble de l’Amérique latine qui a été touché par le soutien au développement des études féministes et par l’aide internationale nécessaire à leur développement. Le Brésil, principale puissance culturelle et scientifique parmi les nations latino-américaines, a connu pendant la dictature militaire, de 1964 à 1983 (Zirbel, 2007) un développement surprenant du féminisme universita</w:t>
      </w:r>
      <w:r w:rsidRPr="004B2498">
        <w:rPr>
          <w:lang w:eastAsia="fr-FR" w:bidi="fr-FR"/>
        </w:rPr>
        <w:t>i</w:t>
      </w:r>
      <w:r w:rsidRPr="004B2498">
        <w:rPr>
          <w:lang w:eastAsia="fr-FR" w:bidi="fr-FR"/>
        </w:rPr>
        <w:t>re et des études sur les femmes, principalement dû à l’indépendance des grandes institutions privées de recherche comme la fondation Ca</w:t>
      </w:r>
      <w:r w:rsidRPr="004B2498">
        <w:rPr>
          <w:lang w:eastAsia="fr-FR" w:bidi="fr-FR"/>
        </w:rPr>
        <w:t>r</w:t>
      </w:r>
      <w:r w:rsidRPr="004B2498">
        <w:rPr>
          <w:lang w:eastAsia="fr-FR" w:bidi="fr-FR"/>
        </w:rPr>
        <w:t>los Chagas (Zirbel, 2007 : 99). La conjonction des questionnements théoriques foucaldiens, de l’année internationale de la femme, de pl</w:t>
      </w:r>
      <w:r w:rsidRPr="004B2498">
        <w:rPr>
          <w:lang w:eastAsia="fr-FR" w:bidi="fr-FR"/>
        </w:rPr>
        <w:t>u</w:t>
      </w:r>
      <w:r w:rsidRPr="004B2498">
        <w:rPr>
          <w:lang w:eastAsia="fr-FR" w:bidi="fr-FR"/>
        </w:rPr>
        <w:t xml:space="preserve">sieurs années de mouvements féministes et de production de </w:t>
      </w:r>
      <w:r w:rsidRPr="004B2498">
        <w:t>telenov</w:t>
      </w:r>
      <w:r w:rsidRPr="004B2498">
        <w:t>e</w:t>
      </w:r>
      <w:r w:rsidRPr="004B2498">
        <w:t>las</w:t>
      </w:r>
      <w:r w:rsidRPr="004B2498">
        <w:rPr>
          <w:lang w:eastAsia="fr-FR" w:bidi="fr-FR"/>
        </w:rPr>
        <w:t xml:space="preserve"> reprenant des thématiques féministes (Corrêa, 2001 : 17) a été pr</w:t>
      </w:r>
      <w:r w:rsidRPr="004B2498">
        <w:rPr>
          <w:lang w:eastAsia="fr-FR" w:bidi="fr-FR"/>
        </w:rPr>
        <w:t>o</w:t>
      </w:r>
      <w:r w:rsidRPr="004B2498">
        <w:rPr>
          <w:lang w:eastAsia="fr-FR" w:bidi="fr-FR"/>
        </w:rPr>
        <w:t>pice au développement des premières revues féministes tout autant qu’à la prolifération des groupes de femmes : Mariza Corrêa</w:t>
      </w:r>
      <w:r>
        <w:t xml:space="preserve"> </w:t>
      </w:r>
      <w:r w:rsidRPr="004B2498">
        <w:t>[272]</w:t>
      </w:r>
      <w:r>
        <w:t xml:space="preserve"> </w:t>
      </w:r>
      <w:r w:rsidRPr="004B2498">
        <w:rPr>
          <w:lang w:eastAsia="fr-FR" w:bidi="fr-FR"/>
        </w:rPr>
        <w:t>parle ainsi de « centaines de groupes » (Corrêa, 2001 : 18). Elle a</w:t>
      </w:r>
      <w:r w:rsidRPr="004B2498">
        <w:rPr>
          <w:lang w:eastAsia="fr-FR" w:bidi="fr-FR"/>
        </w:rPr>
        <w:t>c</w:t>
      </w:r>
      <w:r w:rsidRPr="004B2498">
        <w:rPr>
          <w:lang w:eastAsia="fr-FR" w:bidi="fr-FR"/>
        </w:rPr>
        <w:t>corde également une importance centrale à la fondation Ford </w:t>
      </w:r>
      <w:r>
        <w:rPr>
          <w:rStyle w:val="Appelnotedebasdep"/>
          <w:lang w:eastAsia="fr-FR" w:bidi="fr-FR"/>
        </w:rPr>
        <w:footnoteReference w:id="205"/>
      </w:r>
      <w:r w:rsidRPr="004B2498">
        <w:rPr>
          <w:lang w:eastAsia="fr-FR" w:bidi="fr-FR"/>
        </w:rPr>
        <w:t>. L’Argentine et le Chili ont vécu, sous la surveillance des juntes mil</w:t>
      </w:r>
      <w:r w:rsidRPr="004B2498">
        <w:rPr>
          <w:lang w:eastAsia="fr-FR" w:bidi="fr-FR"/>
        </w:rPr>
        <w:t>i</w:t>
      </w:r>
      <w:r w:rsidRPr="004B2498">
        <w:rPr>
          <w:lang w:eastAsia="fr-FR" w:bidi="fr-FR"/>
        </w:rPr>
        <w:t>taires (Montecino, 1996 ; Bonder, 2001 ; Gil Lozano, 2005) dans les contextes les plus antagoniques aux mouvements féministes. De no</w:t>
      </w:r>
      <w:r w:rsidRPr="004B2498">
        <w:rPr>
          <w:lang w:eastAsia="fr-FR" w:bidi="fr-FR"/>
        </w:rPr>
        <w:t>m</w:t>
      </w:r>
      <w:r w:rsidRPr="004B2498">
        <w:rPr>
          <w:lang w:eastAsia="fr-FR" w:bidi="fr-FR"/>
        </w:rPr>
        <w:t>breux groupes féministes se sont cependant développés dans la cla</w:t>
      </w:r>
      <w:r w:rsidRPr="004B2498">
        <w:rPr>
          <w:lang w:eastAsia="fr-FR" w:bidi="fr-FR"/>
        </w:rPr>
        <w:t>n</w:t>
      </w:r>
      <w:r w:rsidRPr="004B2498">
        <w:rPr>
          <w:lang w:eastAsia="fr-FR" w:bidi="fr-FR"/>
        </w:rPr>
        <w:t>destinité des groupes politiques de gauche. Néanmoins, comme dans le cas brésilien, les structures privées telles que le FLACSO ou les ONG permirent une esquisse de développement des recherches sur les femmes, sous la protection des bailleurs nord-américains (Montecino, 1996 : 1). Il s’agit donc bien d’un mouvement, qui, soutenu par la ph</w:t>
      </w:r>
      <w:r w:rsidRPr="004B2498">
        <w:rPr>
          <w:lang w:eastAsia="fr-FR" w:bidi="fr-FR"/>
        </w:rPr>
        <w:t>i</w:t>
      </w:r>
      <w:r w:rsidRPr="004B2498">
        <w:rPr>
          <w:lang w:eastAsia="fr-FR" w:bidi="fr-FR"/>
        </w:rPr>
        <w:t>lanthropie nord-américaine dans tout le continent a produit des effets d’homogénéisation des savoirs avec un accroissement des échanges entre les divers centres universitaires latino-américains (les principaux étant Mexico, Rio, Sao Paulo et Santiago) mais également avec les campus étasuniens, en tant que centres d’impulsion de l’institutionnalisation des savoirs de genre dans les sciences sociales et les sciences politiques. Il existe une influence certaine et réciproque entre les divers centres de réflexion sur le genre en Amérique latine : chacun répond aux demandes spécifiques des institutions politiques locales mais en sauvegardant, également, une idiosyncrasie « latine », dans la mesure où certaines problématiques, comme la violence soci</w:t>
      </w:r>
      <w:r w:rsidRPr="004B2498">
        <w:rPr>
          <w:lang w:eastAsia="fr-FR" w:bidi="fr-FR"/>
        </w:rPr>
        <w:t>é</w:t>
      </w:r>
      <w:r w:rsidRPr="004B2498">
        <w:rPr>
          <w:lang w:eastAsia="fr-FR" w:bidi="fr-FR"/>
        </w:rPr>
        <w:t>tale ou les peuples indigènes, constituent des thématiques plus spéc</w:t>
      </w:r>
      <w:r w:rsidRPr="004B2498">
        <w:rPr>
          <w:lang w:eastAsia="fr-FR" w:bidi="fr-FR"/>
        </w:rPr>
        <w:t>i</w:t>
      </w:r>
      <w:r w:rsidRPr="004B2498">
        <w:rPr>
          <w:lang w:eastAsia="fr-FR" w:bidi="fr-FR"/>
        </w:rPr>
        <w:t>fiques au sud du Rio Bravo qu’au nord. Nous pouvons observer une intégration rapide des problématiques et des théories du genre produ</w:t>
      </w:r>
      <w:r w:rsidRPr="004B2498">
        <w:rPr>
          <w:lang w:eastAsia="fr-FR" w:bidi="fr-FR"/>
        </w:rPr>
        <w:t>i</w:t>
      </w:r>
      <w:r w:rsidRPr="004B2498">
        <w:rPr>
          <w:lang w:eastAsia="fr-FR" w:bidi="fr-FR"/>
        </w:rPr>
        <w:t>tes aux États-Unis, ainsi qu’un développement scientifique accéléré, depuis une vingtaine d’années dans toute l’Amérique latine, basé sur un modèle institutionnel similaire de « centres ou programmes d’études sur le genre ». Les bases de ces révolutions épistémologiques furent jetées par des militantes et soutenues par des fondations phila</w:t>
      </w:r>
      <w:r w:rsidRPr="004B2498">
        <w:rPr>
          <w:lang w:eastAsia="fr-FR" w:bidi="fr-FR"/>
        </w:rPr>
        <w:t>n</w:t>
      </w:r>
      <w:r w:rsidRPr="004B2498">
        <w:rPr>
          <w:lang w:eastAsia="fr-FR" w:bidi="fr-FR"/>
        </w:rPr>
        <w:t>thropiques nord-américaines mais la réelle explosion du genre en Amérique latine a été consécutive à son intégration aux programmes des institutions internationales, très actives dans la région à la fin des années 1980 et au début des années 1990, notamment à travers la pr</w:t>
      </w:r>
      <w:r w:rsidRPr="004B2498">
        <w:rPr>
          <w:lang w:eastAsia="fr-FR" w:bidi="fr-FR"/>
        </w:rPr>
        <w:t>é</w:t>
      </w:r>
      <w:r w:rsidRPr="004B2498">
        <w:rPr>
          <w:lang w:eastAsia="fr-FR" w:bidi="fr-FR"/>
        </w:rPr>
        <w:t>paration des conférences onusiennes.</w:t>
      </w:r>
    </w:p>
    <w:p w14:paraId="3B522198" w14:textId="77777777" w:rsidR="002F4063" w:rsidRPr="004B2498" w:rsidRDefault="002F4063" w:rsidP="002F4063">
      <w:pPr>
        <w:spacing w:before="120" w:after="120"/>
        <w:jc w:val="both"/>
      </w:pPr>
      <w:r w:rsidRPr="004B2498">
        <w:rPr>
          <w:lang w:eastAsia="fr-FR" w:bidi="fr-FR"/>
        </w:rPr>
        <w:t>Le premier programme de recherche mexicain « sur la femme » fut cependant l’œuvre de féministes radicales sans appuis internationaux. L</w:t>
      </w:r>
      <w:r w:rsidRPr="004B2498">
        <w:t>'area « Mujer, identidad y poder »</w:t>
      </w:r>
      <w:r w:rsidRPr="004B2498">
        <w:rPr>
          <w:lang w:eastAsia="fr-FR" w:bidi="fr-FR"/>
        </w:rPr>
        <w:t xml:space="preserve"> de la UAM-Xochimilco, autre grande</w:t>
      </w:r>
      <w:r>
        <w:t xml:space="preserve"> </w:t>
      </w:r>
      <w:r w:rsidRPr="004B2498">
        <w:t>[273]</w:t>
      </w:r>
      <w:r>
        <w:t xml:space="preserve"> </w:t>
      </w:r>
      <w:r w:rsidRPr="004B2498">
        <w:rPr>
          <w:lang w:eastAsia="fr-FR" w:bidi="fr-FR"/>
        </w:rPr>
        <w:t>université publique de Mexico, fondée en 1982, a repr</w:t>
      </w:r>
      <w:r w:rsidRPr="004B2498">
        <w:rPr>
          <w:lang w:eastAsia="fr-FR" w:bidi="fr-FR"/>
        </w:rPr>
        <w:t>é</w:t>
      </w:r>
      <w:r w:rsidRPr="004B2498">
        <w:rPr>
          <w:lang w:eastAsia="fr-FR" w:bidi="fr-FR"/>
        </w:rPr>
        <w:t>senté le premier véritable signe d’institutionnalisation des études f</w:t>
      </w:r>
      <w:r w:rsidRPr="004B2498">
        <w:rPr>
          <w:lang w:eastAsia="fr-FR" w:bidi="fr-FR"/>
        </w:rPr>
        <w:t>é</w:t>
      </w:r>
      <w:r w:rsidRPr="004B2498">
        <w:rPr>
          <w:lang w:eastAsia="fr-FR" w:bidi="fr-FR"/>
        </w:rPr>
        <w:t>minines au Mexique :</w:t>
      </w:r>
    </w:p>
    <w:p w14:paraId="58DF95E4" w14:textId="77777777" w:rsidR="002F4063" w:rsidRDefault="002F4063" w:rsidP="002F4063">
      <w:pPr>
        <w:pStyle w:val="Grillecouleur-Accent1"/>
        <w:rPr>
          <w:lang w:eastAsia="fr-FR" w:bidi="fr-FR"/>
        </w:rPr>
      </w:pPr>
    </w:p>
    <w:p w14:paraId="14862538" w14:textId="77777777" w:rsidR="002F4063" w:rsidRDefault="002F4063" w:rsidP="002F4063">
      <w:pPr>
        <w:pStyle w:val="Grillecouleur-Accent1"/>
        <w:rPr>
          <w:lang w:eastAsia="fr-FR" w:bidi="fr-FR"/>
        </w:rPr>
      </w:pPr>
      <w:r w:rsidRPr="004B2498">
        <w:rPr>
          <w:lang w:eastAsia="fr-FR" w:bidi="fr-FR"/>
        </w:rPr>
        <w:t>« Au début des années quatre-vingt, en 1982, on a créé le premier pr</w:t>
      </w:r>
      <w:r w:rsidRPr="004B2498">
        <w:rPr>
          <w:lang w:eastAsia="fr-FR" w:bidi="fr-FR"/>
        </w:rPr>
        <w:t>o</w:t>
      </w:r>
      <w:r w:rsidRPr="004B2498">
        <w:rPr>
          <w:lang w:eastAsia="fr-FR" w:bidi="fr-FR"/>
        </w:rPr>
        <w:t xml:space="preserve">gramme, qui n’était pas encore une </w:t>
      </w:r>
      <w:r w:rsidRPr="004B2498">
        <w:t>área.</w:t>
      </w:r>
      <w:r w:rsidRPr="004B2498">
        <w:rPr>
          <w:lang w:eastAsia="fr-FR" w:bidi="fr-FR"/>
        </w:rPr>
        <w:t xml:space="preserve"> On a démarré avec des choses très radicales et en faisant ce qu’on voulait. Le programme était très eng</w:t>
      </w:r>
      <w:r w:rsidRPr="004B2498">
        <w:rPr>
          <w:lang w:eastAsia="fr-FR" w:bidi="fr-FR"/>
        </w:rPr>
        <w:t>a</w:t>
      </w:r>
      <w:r w:rsidRPr="004B2498">
        <w:rPr>
          <w:lang w:eastAsia="fr-FR" w:bidi="fr-FR"/>
        </w:rPr>
        <w:t>gé avec une optique fondamentalement novatrice. « Femme, identité et pouvoir », c’était une chose que personne n’avait encore faite au Mexique et on était le premier programme officiel, un an avant le Colegio de Méx</w:t>
      </w:r>
      <w:r w:rsidRPr="004B2498">
        <w:rPr>
          <w:lang w:eastAsia="fr-FR" w:bidi="fr-FR"/>
        </w:rPr>
        <w:t>i</w:t>
      </w:r>
      <w:r w:rsidRPr="004B2498">
        <w:rPr>
          <w:lang w:eastAsia="fr-FR" w:bidi="fr-FR"/>
        </w:rPr>
        <w:t>co. Beaucoup d’analyses étaient faites depuis la psychologie et la psych</w:t>
      </w:r>
      <w:r w:rsidRPr="004B2498">
        <w:rPr>
          <w:lang w:eastAsia="fr-FR" w:bidi="fr-FR"/>
        </w:rPr>
        <w:t>a</w:t>
      </w:r>
      <w:r w:rsidRPr="004B2498">
        <w:rPr>
          <w:lang w:eastAsia="fr-FR" w:bidi="fr-FR"/>
        </w:rPr>
        <w:t>nalyse. On était également investies dans les conflits sociaux de l’époque, les grèves des couturières, comme l’était le mouvement féministe de l’époque </w:t>
      </w:r>
      <w:r>
        <w:rPr>
          <w:rStyle w:val="Appelnotedebasdep"/>
          <w:lang w:eastAsia="fr-FR" w:bidi="fr-FR"/>
        </w:rPr>
        <w:footnoteReference w:id="206"/>
      </w:r>
      <w:r w:rsidRPr="004B2498">
        <w:rPr>
          <w:lang w:eastAsia="fr-FR" w:bidi="fr-FR"/>
        </w:rPr>
        <w:t>. »</w:t>
      </w:r>
    </w:p>
    <w:p w14:paraId="794EA391" w14:textId="77777777" w:rsidR="002F4063" w:rsidRPr="004B2498" w:rsidRDefault="002F4063" w:rsidP="002F4063">
      <w:pPr>
        <w:pStyle w:val="Grillecouleur-Accent1"/>
      </w:pPr>
    </w:p>
    <w:p w14:paraId="58E5E3CA" w14:textId="77777777" w:rsidR="002F4063" w:rsidRPr="004B2498" w:rsidRDefault="002F4063" w:rsidP="002F4063">
      <w:pPr>
        <w:spacing w:before="120" w:after="120"/>
        <w:jc w:val="both"/>
      </w:pPr>
      <w:r w:rsidRPr="004B2498">
        <w:rPr>
          <w:lang w:eastAsia="fr-FR" w:bidi="fr-FR"/>
        </w:rPr>
        <w:t>Les universitaires engagées de l’UAM-X connurent un grand su</w:t>
      </w:r>
      <w:r w:rsidRPr="004B2498">
        <w:rPr>
          <w:lang w:eastAsia="fr-FR" w:bidi="fr-FR"/>
        </w:rPr>
        <w:t>c</w:t>
      </w:r>
      <w:r w:rsidRPr="004B2498">
        <w:rPr>
          <w:lang w:eastAsia="fr-FR" w:bidi="fr-FR"/>
        </w:rPr>
        <w:t>cès tant leur programme rencontrait les besoins en formation de no</w:t>
      </w:r>
      <w:r w:rsidRPr="004B2498">
        <w:rPr>
          <w:lang w:eastAsia="fr-FR" w:bidi="fr-FR"/>
        </w:rPr>
        <w:t>m</w:t>
      </w:r>
      <w:r w:rsidRPr="004B2498">
        <w:rPr>
          <w:lang w:eastAsia="fr-FR" w:bidi="fr-FR"/>
        </w:rPr>
        <w:t>breuses militantes engagées dans les premières ONG féministes (Lau &amp; del Pilar Cruz, 2005 : 239). Les enseignements se sont cependant largement imprégnés des théories du genre et des évolutions scientif</w:t>
      </w:r>
      <w:r w:rsidRPr="004B2498">
        <w:rPr>
          <w:lang w:eastAsia="fr-FR" w:bidi="fr-FR"/>
        </w:rPr>
        <w:t>i</w:t>
      </w:r>
      <w:r w:rsidRPr="004B2498">
        <w:rPr>
          <w:lang w:eastAsia="fr-FR" w:bidi="fr-FR"/>
        </w:rPr>
        <w:t>ques des années 1990 (Lau &amp; del Pilar Cruz, 2005 : 240). La création du PIEM </w:t>
      </w:r>
      <w:r>
        <w:rPr>
          <w:rStyle w:val="Appelnotedebasdep"/>
          <w:lang w:eastAsia="fr-FR" w:bidi="fr-FR"/>
        </w:rPr>
        <w:footnoteReference w:id="207"/>
      </w:r>
      <w:r w:rsidRPr="004B2498">
        <w:rPr>
          <w:lang w:eastAsia="fr-FR" w:bidi="fr-FR"/>
        </w:rPr>
        <w:t xml:space="preserve"> du </w:t>
      </w:r>
      <w:r w:rsidRPr="004B2498">
        <w:t>Colegio de México</w:t>
      </w:r>
      <w:r w:rsidRPr="004B2498">
        <w:rPr>
          <w:lang w:eastAsia="fr-FR" w:bidi="fr-FR"/>
        </w:rPr>
        <w:t xml:space="preserve"> a constitué un autre jalon d’une i</w:t>
      </w:r>
      <w:r w:rsidRPr="004B2498">
        <w:rPr>
          <w:lang w:eastAsia="fr-FR" w:bidi="fr-FR"/>
        </w:rPr>
        <w:t>m</w:t>
      </w:r>
      <w:r w:rsidRPr="004B2498">
        <w:rPr>
          <w:lang w:eastAsia="fr-FR" w:bidi="fr-FR"/>
        </w:rPr>
        <w:t>portance considérable dans la mesure où elle a pris place dans l’institution de recherche la plus prestigieuse du pays. Ce programme s’est, par contre, largement développé avec l’aide de la fondation Ford, et son rôle dans la diffusion du « genre » comme savoir, bien que postérieur à la posture scientifique des études féministes, fut ce</w:t>
      </w:r>
      <w:r w:rsidRPr="004B2498">
        <w:rPr>
          <w:lang w:eastAsia="fr-FR" w:bidi="fr-FR"/>
        </w:rPr>
        <w:t>r</w:t>
      </w:r>
      <w:r w:rsidRPr="004B2498">
        <w:rPr>
          <w:lang w:eastAsia="fr-FR" w:bidi="fr-FR"/>
        </w:rPr>
        <w:t>tainement essentiel au Mexique. Ce dernier programme de recherche fut en effet doté d’un fond de placement qui servit, et sert encore, à financer les bourses des étudiantes et chercheuses de la Province qui concourent pour y suivre une formation.</w:t>
      </w:r>
    </w:p>
    <w:p w14:paraId="0660AECD" w14:textId="77777777" w:rsidR="002F4063" w:rsidRPr="004B2498" w:rsidRDefault="002F4063" w:rsidP="002F4063">
      <w:pPr>
        <w:spacing w:before="120" w:after="120"/>
        <w:jc w:val="both"/>
      </w:pPr>
      <w:r w:rsidRPr="004B2498">
        <w:rPr>
          <w:lang w:eastAsia="fr-FR" w:bidi="fr-FR"/>
        </w:rPr>
        <w:t>Ces premières années du développement scientifique des études sur les femmes ont marqué profondément les mouvements féministes dans la mesure où les premières ONG qui travaillaient avec les mo</w:t>
      </w:r>
      <w:r w:rsidRPr="004B2498">
        <w:rPr>
          <w:lang w:eastAsia="fr-FR" w:bidi="fr-FR"/>
        </w:rPr>
        <w:t>u</w:t>
      </w:r>
      <w:r w:rsidRPr="004B2498">
        <w:rPr>
          <w:lang w:eastAsia="fr-FR" w:bidi="fr-FR"/>
        </w:rPr>
        <w:t xml:space="preserve">vements populaires de la capitale purent avoir accès à des formations féministes de qualité et créer des liens étroits avec l’activisme social et politique. La question de savoir si les études sur les femmes </w:t>
      </w:r>
      <w:r w:rsidRPr="004B2498">
        <w:t>(</w:t>
      </w:r>
      <w:r w:rsidRPr="00A04D21">
        <w:rPr>
          <w:i/>
        </w:rPr>
        <w:t>études féminines</w:t>
      </w:r>
      <w:r w:rsidRPr="004B2498">
        <w:t xml:space="preserve">) </w:t>
      </w:r>
      <w:r w:rsidRPr="004B2498">
        <w:rPr>
          <w:lang w:eastAsia="fr-FR" w:bidi="fr-FR"/>
        </w:rPr>
        <w:t>remplissaient déjà correctement leurs fonctions de centres de formation et de lieux de légitimation des savoirs féministes reste un débat au sein des féminismes mexicains. De nombreuses auteures au Mexique ont fait part de leur attachement aux études fémin</w:t>
      </w:r>
      <w:r w:rsidRPr="004B2498">
        <w:rPr>
          <w:lang w:eastAsia="fr-FR" w:bidi="fr-FR"/>
        </w:rPr>
        <w:t>i</w:t>
      </w:r>
      <w:r w:rsidRPr="004B2498">
        <w:rPr>
          <w:lang w:eastAsia="fr-FR" w:bidi="fr-FR"/>
        </w:rPr>
        <w:t>nes/féministes comme projet scientifique militant (Goldsmith, 1997 ; Bartra, 1999 &amp; 2000) et ont posé de nombreuses questions sur l’évolution des études sur les femmes, notamment l’emprise instit</w:t>
      </w:r>
      <w:r w:rsidRPr="004B2498">
        <w:rPr>
          <w:lang w:eastAsia="fr-FR" w:bidi="fr-FR"/>
        </w:rPr>
        <w:t>u</w:t>
      </w:r>
      <w:r w:rsidRPr="004B2498">
        <w:rPr>
          <w:lang w:eastAsia="fr-FR" w:bidi="fr-FR"/>
        </w:rPr>
        <w:t>tionnelle du genre qui aurait gommé « la femme » des politiques</w:t>
      </w:r>
      <w:r w:rsidRPr="004B2498">
        <w:t xml:space="preserve"> [274]</w:t>
      </w:r>
      <w:r>
        <w:t xml:space="preserve"> </w:t>
      </w:r>
      <w:r w:rsidRPr="004B2498">
        <w:rPr>
          <w:lang w:eastAsia="fr-FR" w:bidi="fr-FR"/>
        </w:rPr>
        <w:t>publiques comme des cursus universitaires officiels (Goldsmith, 1997 : 30- 33).</w:t>
      </w:r>
    </w:p>
    <w:p w14:paraId="461EAFF6" w14:textId="77777777" w:rsidR="002F4063" w:rsidRPr="004B2498" w:rsidRDefault="002F4063" w:rsidP="002F4063">
      <w:pPr>
        <w:spacing w:before="120" w:after="120"/>
        <w:jc w:val="both"/>
      </w:pPr>
      <w:r w:rsidRPr="004B2498">
        <w:rPr>
          <w:lang w:eastAsia="fr-FR" w:bidi="fr-FR"/>
        </w:rPr>
        <w:t>La légitimité des problématiques de genre au niveau international a, malgré l’opposition de certaines, permis la constitution d’une s</w:t>
      </w:r>
      <w:r w:rsidRPr="004B2498">
        <w:rPr>
          <w:lang w:eastAsia="fr-FR" w:bidi="fr-FR"/>
        </w:rPr>
        <w:t>e</w:t>
      </w:r>
      <w:r w:rsidRPr="004B2498">
        <w:rPr>
          <w:lang w:eastAsia="fr-FR" w:bidi="fr-FR"/>
        </w:rPr>
        <w:t>conde vague de créations de centres de recherches sur le genre, les grandes conférences onusiennes et l'afflux de financements phila</w:t>
      </w:r>
      <w:r w:rsidRPr="004B2498">
        <w:rPr>
          <w:lang w:eastAsia="fr-FR" w:bidi="fr-FR"/>
        </w:rPr>
        <w:t>n</w:t>
      </w:r>
      <w:r w:rsidRPr="004B2498">
        <w:rPr>
          <w:lang w:eastAsia="fr-FR" w:bidi="fr-FR"/>
        </w:rPr>
        <w:t>thropiques nord-américains contribuant à asseoir une légitimité r</w:t>
      </w:r>
      <w:r w:rsidRPr="004B2498">
        <w:rPr>
          <w:lang w:eastAsia="fr-FR" w:bidi="fr-FR"/>
        </w:rPr>
        <w:t>e</w:t>
      </w:r>
      <w:r w:rsidRPr="004B2498">
        <w:rPr>
          <w:lang w:eastAsia="fr-FR" w:bidi="fr-FR"/>
        </w:rPr>
        <w:t>nouvelée de la problématique. Mais cette seconde vague de créations de programmes et centres de recherche s’est faite sous la bannière du genre et la traditionnelle ligne d'investigation des femmes et des ét</w:t>
      </w:r>
      <w:r w:rsidRPr="004B2498">
        <w:rPr>
          <w:lang w:eastAsia="fr-FR" w:bidi="fr-FR"/>
        </w:rPr>
        <w:t>u</w:t>
      </w:r>
      <w:r w:rsidRPr="004B2498">
        <w:rPr>
          <w:lang w:eastAsia="fr-FR" w:bidi="fr-FR"/>
        </w:rPr>
        <w:t>des féministes a dû s’effacer pour laisser place au « genre » comme objet central et postulat théorique fécond des recherches des années 1990. Pourtant, dans bien des cas, les recherches ont continué de po</w:t>
      </w:r>
      <w:r w:rsidRPr="004B2498">
        <w:rPr>
          <w:lang w:eastAsia="fr-FR" w:bidi="fr-FR"/>
        </w:rPr>
        <w:t>r</w:t>
      </w:r>
      <w:r w:rsidRPr="004B2498">
        <w:rPr>
          <w:lang w:eastAsia="fr-FR" w:bidi="fr-FR"/>
        </w:rPr>
        <w:t>ter sur les femmes comme classe sociale de sexe (Lamas, 2001 : 163-175 ; Goldsmith, 1997 ; Ungo, 1993) et le genre a bien souvent été mal employé, ou incomplètement compris, pour légitimer de no</w:t>
      </w:r>
      <w:r w:rsidRPr="004B2498">
        <w:rPr>
          <w:lang w:eastAsia="fr-FR" w:bidi="fr-FR"/>
        </w:rPr>
        <w:t>u</w:t>
      </w:r>
      <w:r w:rsidRPr="004B2498">
        <w:rPr>
          <w:lang w:eastAsia="fr-FR" w:bidi="fr-FR"/>
        </w:rPr>
        <w:t>veaux travaux. La place considérable prise par le genre dans le fém</w:t>
      </w:r>
      <w:r w:rsidRPr="004B2498">
        <w:rPr>
          <w:lang w:eastAsia="fr-FR" w:bidi="fr-FR"/>
        </w:rPr>
        <w:t>i</w:t>
      </w:r>
      <w:r w:rsidRPr="004B2498">
        <w:rPr>
          <w:lang w:eastAsia="fr-FR" w:bidi="fr-FR"/>
        </w:rPr>
        <w:t>nisme académique s’est illustrée dans la création des nouvelles instit</w:t>
      </w:r>
      <w:r w:rsidRPr="004B2498">
        <w:rPr>
          <w:lang w:eastAsia="fr-FR" w:bidi="fr-FR"/>
        </w:rPr>
        <w:t>u</w:t>
      </w:r>
      <w:r w:rsidRPr="004B2498">
        <w:rPr>
          <w:lang w:eastAsia="fr-FR" w:bidi="fr-FR"/>
        </w:rPr>
        <w:t>tions universitaires au Mexique. On comptait ainsi dans les années 2000 plus de vingt-cinq centres ou programmes de recherches sur le genre dans le pays, la plupart dans les principales universités publ</w:t>
      </w:r>
      <w:r w:rsidRPr="004B2498">
        <w:rPr>
          <w:lang w:eastAsia="fr-FR" w:bidi="fr-FR"/>
        </w:rPr>
        <w:t>i</w:t>
      </w:r>
      <w:r w:rsidRPr="004B2498">
        <w:rPr>
          <w:lang w:eastAsia="fr-FR" w:bidi="fr-FR"/>
        </w:rPr>
        <w:t xml:space="preserve">ques mais aussi dans les </w:t>
      </w:r>
      <w:r w:rsidRPr="007776CD">
        <w:rPr>
          <w:i/>
        </w:rPr>
        <w:t>Colegios</w:t>
      </w:r>
      <w:r w:rsidRPr="004B2498">
        <w:t>,</w:t>
      </w:r>
      <w:r w:rsidRPr="004B2498">
        <w:rPr>
          <w:lang w:eastAsia="fr-FR" w:bidi="fr-FR"/>
        </w:rPr>
        <w:t xml:space="preserve"> institutions indépendantes de r</w:t>
      </w:r>
      <w:r w:rsidRPr="004B2498">
        <w:rPr>
          <w:lang w:eastAsia="fr-FR" w:bidi="fr-FR"/>
        </w:rPr>
        <w:t>e</w:t>
      </w:r>
      <w:r w:rsidRPr="004B2498">
        <w:rPr>
          <w:lang w:eastAsia="fr-FR" w:bidi="fr-FR"/>
        </w:rPr>
        <w:t>cherche au niveau des États</w:t>
      </w:r>
      <w:r>
        <w:rPr>
          <w:lang w:eastAsia="fr-FR" w:bidi="fr-FR"/>
        </w:rPr>
        <w:t> </w:t>
      </w:r>
      <w:r>
        <w:rPr>
          <w:rStyle w:val="Appelnotedebasdep"/>
          <w:lang w:eastAsia="fr-FR" w:bidi="fr-FR"/>
        </w:rPr>
        <w:footnoteReference w:id="208"/>
      </w:r>
      <w:r w:rsidRPr="004B2498">
        <w:rPr>
          <w:lang w:eastAsia="fr-FR" w:bidi="fr-FR"/>
        </w:rPr>
        <w:t>. Les « études de genre » ont connu des évolutions similaires, bien que propres à chaque contexte national, dans le reste de l’Amérique latine. La création de centaines d’ONG, l’influence principale des fondations Ford et MacArthur (Alvarez, 1999 ; Caulier, 2009a &amp; 2010a  ; Zirbel, 2007), l’institutionnalisation croissante des féminismes dans les centres de recherches privés ou publics constituent des axes transversaux rendant compte d’une convergence historique des études des femmes/féministes vers les « études du genre » comme formes légitimes de construction scientif</w:t>
      </w:r>
      <w:r w:rsidRPr="004B2498">
        <w:rPr>
          <w:lang w:eastAsia="fr-FR" w:bidi="fr-FR"/>
        </w:rPr>
        <w:t>i</w:t>
      </w:r>
      <w:r w:rsidRPr="004B2498">
        <w:rPr>
          <w:lang w:eastAsia="fr-FR" w:bidi="fr-FR"/>
        </w:rPr>
        <w:t>que et épistémologique au sein des institutions universitaires et go</w:t>
      </w:r>
      <w:r w:rsidRPr="004B2498">
        <w:rPr>
          <w:lang w:eastAsia="fr-FR" w:bidi="fr-FR"/>
        </w:rPr>
        <w:t>u</w:t>
      </w:r>
      <w:r w:rsidRPr="004B2498">
        <w:rPr>
          <w:lang w:eastAsia="fr-FR" w:bidi="fr-FR"/>
        </w:rPr>
        <w:t>vernementales. L’institutionnalisation des études sur les femmes a constitué ainsi non seulement une victoire scientifique des années 1990 mais une longue construction dans les espaces universitaires m</w:t>
      </w:r>
      <w:r w:rsidRPr="004B2498">
        <w:rPr>
          <w:lang w:eastAsia="fr-FR" w:bidi="fr-FR"/>
        </w:rPr>
        <w:t>i</w:t>
      </w:r>
      <w:r w:rsidRPr="004B2498">
        <w:rPr>
          <w:lang w:eastAsia="fr-FR" w:bidi="fr-FR"/>
        </w:rPr>
        <w:t>noritaires des métropoles latino-américaines (les plus vigoureuses étant Mexico, São Paulo et Rio) dès les années 1970. Cependant, les savoirs ont grandement évolué et on ne peut toujours relier les savoirs développés par les sciences sociales militantes féministes des années 1970-1980 et les savoirs de genre qui se sont imposés dans la déce</w:t>
      </w:r>
      <w:r w:rsidRPr="004B2498">
        <w:rPr>
          <w:lang w:eastAsia="fr-FR" w:bidi="fr-FR"/>
        </w:rPr>
        <w:t>n</w:t>
      </w:r>
      <w:r w:rsidRPr="004B2498">
        <w:rPr>
          <w:lang w:eastAsia="fr-FR" w:bidi="fr-FR"/>
        </w:rPr>
        <w:t>nie suivante sous l'impulsion des conférences internationales onusie</w:t>
      </w:r>
      <w:r w:rsidRPr="004B2498">
        <w:rPr>
          <w:lang w:eastAsia="fr-FR" w:bidi="fr-FR"/>
        </w:rPr>
        <w:t>n</w:t>
      </w:r>
      <w:r w:rsidRPr="004B2498">
        <w:rPr>
          <w:lang w:eastAsia="fr-FR" w:bidi="fr-FR"/>
        </w:rPr>
        <w:t>nes et surtout du cycle de</w:t>
      </w:r>
      <w:r w:rsidRPr="004B2498">
        <w:t xml:space="preserve"> [275]</w:t>
      </w:r>
      <w:r>
        <w:t xml:space="preserve"> </w:t>
      </w:r>
      <w:r w:rsidRPr="004B2498">
        <w:rPr>
          <w:lang w:eastAsia="fr-FR" w:bidi="fr-FR"/>
        </w:rPr>
        <w:t>préparation de ces dernières qui a m</w:t>
      </w:r>
      <w:r w:rsidRPr="004B2498">
        <w:rPr>
          <w:lang w:eastAsia="fr-FR" w:bidi="fr-FR"/>
        </w:rPr>
        <w:t>o</w:t>
      </w:r>
      <w:r w:rsidRPr="004B2498">
        <w:rPr>
          <w:lang w:eastAsia="fr-FR" w:bidi="fr-FR"/>
        </w:rPr>
        <w:t>bilisé de nombreuses universitaires pendant deux ans. La reconnai</w:t>
      </w:r>
      <w:r w:rsidRPr="004B2498">
        <w:rPr>
          <w:lang w:eastAsia="fr-FR" w:bidi="fr-FR"/>
        </w:rPr>
        <w:t>s</w:t>
      </w:r>
      <w:r w:rsidRPr="004B2498">
        <w:rPr>
          <w:lang w:eastAsia="fr-FR" w:bidi="fr-FR"/>
        </w:rPr>
        <w:t>sance par les Nations unies et la Banque mondiale des savoirs de ge</w:t>
      </w:r>
      <w:r w:rsidRPr="004B2498">
        <w:rPr>
          <w:lang w:eastAsia="fr-FR" w:bidi="fr-FR"/>
        </w:rPr>
        <w:t>n</w:t>
      </w:r>
      <w:r w:rsidRPr="004B2498">
        <w:rPr>
          <w:lang w:eastAsia="fr-FR" w:bidi="fr-FR"/>
        </w:rPr>
        <w:t>re les a profondément ancrés dans les discours politiques et les m</w:t>
      </w:r>
      <w:r w:rsidRPr="004B2498">
        <w:rPr>
          <w:lang w:eastAsia="fr-FR" w:bidi="fr-FR"/>
        </w:rPr>
        <w:t>é</w:t>
      </w:r>
      <w:r w:rsidRPr="004B2498">
        <w:rPr>
          <w:lang w:eastAsia="fr-FR" w:bidi="fr-FR"/>
        </w:rPr>
        <w:t>thodologies développementali</w:t>
      </w:r>
      <w:r w:rsidRPr="004B2498">
        <w:rPr>
          <w:lang w:eastAsia="fr-FR" w:bidi="fr-FR"/>
        </w:rPr>
        <w:t>s</w:t>
      </w:r>
      <w:r w:rsidRPr="004B2498">
        <w:rPr>
          <w:lang w:eastAsia="fr-FR" w:bidi="fr-FR"/>
        </w:rPr>
        <w:t>tes.</w:t>
      </w:r>
    </w:p>
    <w:p w14:paraId="225140C4" w14:textId="77777777" w:rsidR="002F4063" w:rsidRPr="004B2498" w:rsidRDefault="002F4063" w:rsidP="002F4063">
      <w:pPr>
        <w:spacing w:before="120" w:after="120"/>
        <w:jc w:val="both"/>
      </w:pPr>
      <w:r w:rsidRPr="004B2498">
        <w:rPr>
          <w:lang w:eastAsia="fr-FR" w:bidi="fr-FR"/>
        </w:rPr>
        <w:t>L’adhésion officielle de l’État mexicain à ces normes et à une r</w:t>
      </w:r>
      <w:r w:rsidRPr="004B2498">
        <w:rPr>
          <w:lang w:eastAsia="fr-FR" w:bidi="fr-FR"/>
        </w:rPr>
        <w:t>e</w:t>
      </w:r>
      <w:r w:rsidRPr="004B2498">
        <w:rPr>
          <w:lang w:eastAsia="fr-FR" w:bidi="fr-FR"/>
        </w:rPr>
        <w:t>formulation genrée des politiques publiques a constitué un maillon essentiel du développement et de l’emprise des savoirs de genre au Mexique. Il constitue le troisième jalon essentiel avec la globalisation du genre et son développement académique. Ce que j’ai appelé genre technocratique (Caulier, 2009a &amp; 2010b) constitue une modulation plus discursive et promotionnelle des efforts publics pour intégrer le genre à la législation et aux politiques fédérales. Mais il existe égal</w:t>
      </w:r>
      <w:r w:rsidRPr="004B2498">
        <w:rPr>
          <w:lang w:eastAsia="fr-FR" w:bidi="fr-FR"/>
        </w:rPr>
        <w:t>e</w:t>
      </w:r>
      <w:r w:rsidRPr="004B2498">
        <w:rPr>
          <w:lang w:eastAsia="fr-FR" w:bidi="fr-FR"/>
        </w:rPr>
        <w:t>ment une pratique de ce genre à travers divers arrangements politiques et surtout un accommodement circonstancié des savoirs développés par les sciences sociales ou leur simple négation. Les savoirs de genre sont aujourd’hui unifiés sous leur forme « technocratique » mondiale mais aux niveaux national et local, il existe une pléthore de pratiques qui se réclament des savoirs des sciences sociales sur le genre. Les savoirs technocratiques globalisés sont nombreux : ils s’appliquent à la santé à travers des concepts portant sur l’analyse du genre dans la santé maternelle et reproductive ou sur le microcr</w:t>
      </w:r>
      <w:r w:rsidRPr="004B2498">
        <w:rPr>
          <w:lang w:eastAsia="fr-FR" w:bidi="fr-FR"/>
        </w:rPr>
        <w:t>é</w:t>
      </w:r>
      <w:r w:rsidRPr="004B2498">
        <w:rPr>
          <w:lang w:eastAsia="fr-FR" w:bidi="fr-FR"/>
        </w:rPr>
        <w:t xml:space="preserve">dit. Parmi les plus répandus, on peut citer également le </w:t>
      </w:r>
      <w:r w:rsidRPr="007776CD">
        <w:rPr>
          <w:i/>
        </w:rPr>
        <w:t>gender</w:t>
      </w:r>
      <w:r w:rsidRPr="004B2498">
        <w:t xml:space="preserve"> </w:t>
      </w:r>
      <w:r w:rsidRPr="007776CD">
        <w:rPr>
          <w:i/>
        </w:rPr>
        <w:t>main</w:t>
      </w:r>
      <w:r w:rsidRPr="007776CD">
        <w:rPr>
          <w:i/>
        </w:rPr>
        <w:t>s</w:t>
      </w:r>
      <w:r w:rsidRPr="007776CD">
        <w:rPr>
          <w:i/>
        </w:rPr>
        <w:t>treaming</w:t>
      </w:r>
      <w:r w:rsidRPr="004B2498">
        <w:rPr>
          <w:lang w:eastAsia="fr-FR" w:bidi="fr-FR"/>
        </w:rPr>
        <w:t xml:space="preserve"> qui oscille entre pratique de construction des politiques p</w:t>
      </w:r>
      <w:r w:rsidRPr="004B2498">
        <w:rPr>
          <w:lang w:eastAsia="fr-FR" w:bidi="fr-FR"/>
        </w:rPr>
        <w:t>u</w:t>
      </w:r>
      <w:r w:rsidRPr="004B2498">
        <w:rPr>
          <w:lang w:eastAsia="fr-FR" w:bidi="fr-FR"/>
        </w:rPr>
        <w:t>bliques et savoirs des sciences sociales, notamment des sciences pol</w:t>
      </w:r>
      <w:r w:rsidRPr="004B2498">
        <w:rPr>
          <w:lang w:eastAsia="fr-FR" w:bidi="fr-FR"/>
        </w:rPr>
        <w:t>i</w:t>
      </w:r>
      <w:r w:rsidRPr="004B2498">
        <w:rPr>
          <w:lang w:eastAsia="fr-FR" w:bidi="fr-FR"/>
        </w:rPr>
        <w:t>tiques. Ce dernier concept consiste en l’application d’une méthodol</w:t>
      </w:r>
      <w:r w:rsidRPr="004B2498">
        <w:rPr>
          <w:lang w:eastAsia="fr-FR" w:bidi="fr-FR"/>
        </w:rPr>
        <w:t>o</w:t>
      </w:r>
      <w:r w:rsidRPr="004B2498">
        <w:rPr>
          <w:lang w:eastAsia="fr-FR" w:bidi="fr-FR"/>
        </w:rPr>
        <w:t>gie planificatrice à l’ensemble des politiques publiques, en y insufflant une analyse et une perspective de genre et consiste à diluer le concept dans la phase de programmation des programmes et politiques p</w:t>
      </w:r>
      <w:r w:rsidRPr="004B2498">
        <w:rPr>
          <w:lang w:eastAsia="fr-FR" w:bidi="fr-FR"/>
        </w:rPr>
        <w:t>u</w:t>
      </w:r>
      <w:r w:rsidRPr="004B2498">
        <w:rPr>
          <w:lang w:eastAsia="fr-FR" w:bidi="fr-FR"/>
        </w:rPr>
        <w:t>blics. Ces savoirs se traduisent par de nombreux efforts au niveau l</w:t>
      </w:r>
      <w:r w:rsidRPr="004B2498">
        <w:rPr>
          <w:lang w:eastAsia="fr-FR" w:bidi="fr-FR"/>
        </w:rPr>
        <w:t>o</w:t>
      </w:r>
      <w:r w:rsidRPr="004B2498">
        <w:rPr>
          <w:lang w:eastAsia="fr-FR" w:bidi="fr-FR"/>
        </w:rPr>
        <w:t>cal pour leur donner corps et, tout au moins, les faire exister au sein des programmes p</w:t>
      </w:r>
      <w:r w:rsidRPr="004B2498">
        <w:rPr>
          <w:lang w:eastAsia="fr-FR" w:bidi="fr-FR"/>
        </w:rPr>
        <w:t>u</w:t>
      </w:r>
      <w:r w:rsidRPr="004B2498">
        <w:rPr>
          <w:lang w:eastAsia="fr-FR" w:bidi="fr-FR"/>
        </w:rPr>
        <w:t>blics.</w:t>
      </w:r>
    </w:p>
    <w:p w14:paraId="222E7539" w14:textId="77777777" w:rsidR="002F4063" w:rsidRPr="004B2498" w:rsidRDefault="002F4063" w:rsidP="002F4063">
      <w:pPr>
        <w:spacing w:before="120" w:after="120"/>
        <w:jc w:val="both"/>
        <w:rPr>
          <w:szCs w:val="24"/>
          <w:lang w:eastAsia="fr-FR" w:bidi="fr-FR"/>
        </w:rPr>
      </w:pPr>
    </w:p>
    <w:p w14:paraId="6B53D343" w14:textId="77777777" w:rsidR="002F4063" w:rsidRPr="004B2498" w:rsidRDefault="002F4063" w:rsidP="002F4063">
      <w:pPr>
        <w:pStyle w:val="a"/>
      </w:pPr>
      <w:r w:rsidRPr="004B2498">
        <w:t>La situation nationale des politiques d</w:t>
      </w:r>
      <w:r>
        <w:t>e genre</w:t>
      </w:r>
      <w:r>
        <w:br/>
      </w:r>
      <w:r w:rsidRPr="004B2498">
        <w:t>et leur articulation au local</w:t>
      </w:r>
    </w:p>
    <w:p w14:paraId="09DC9D17" w14:textId="77777777" w:rsidR="002F4063" w:rsidRPr="004B2498" w:rsidRDefault="002F4063" w:rsidP="002F4063">
      <w:pPr>
        <w:spacing w:before="120" w:after="120"/>
        <w:jc w:val="both"/>
        <w:rPr>
          <w:lang w:eastAsia="fr-FR" w:bidi="fr-FR"/>
        </w:rPr>
      </w:pPr>
    </w:p>
    <w:p w14:paraId="6F83369F" w14:textId="77777777" w:rsidR="002F4063" w:rsidRPr="004B2498" w:rsidRDefault="002F4063" w:rsidP="002F4063">
      <w:pPr>
        <w:spacing w:before="120" w:after="120"/>
        <w:jc w:val="both"/>
      </w:pPr>
      <w:r w:rsidRPr="004B2498">
        <w:rPr>
          <w:lang w:eastAsia="fr-FR" w:bidi="fr-FR"/>
        </w:rPr>
        <w:t>L’analyse de l’extrême fragmentation des politiques, entre les d</w:t>
      </w:r>
      <w:r w:rsidRPr="004B2498">
        <w:rPr>
          <w:lang w:eastAsia="fr-FR" w:bidi="fr-FR"/>
        </w:rPr>
        <w:t>i</w:t>
      </w:r>
      <w:r w:rsidRPr="004B2498">
        <w:rPr>
          <w:lang w:eastAsia="fr-FR" w:bidi="fr-FR"/>
        </w:rPr>
        <w:t>vers échelons fédéraux et locaux, s’avère inévitable pour mieux saisir ce que le genre représente dans l’application locale de politique de développement globalisée. Comme cela a été dit précédemment, le niveau fédéral comprend un certain nombre d’institutions qui ont l’obligation légale de développer des programmes de réduction des inégalités entre hommes et femmes ou, tout au moins, d’atténuer les discriminations qui pèsent le plus sur les femmes. Mais, ces instit</w:t>
      </w:r>
      <w:r w:rsidRPr="004B2498">
        <w:rPr>
          <w:lang w:eastAsia="fr-FR" w:bidi="fr-FR"/>
        </w:rPr>
        <w:t>u</w:t>
      </w:r>
      <w:r w:rsidRPr="004B2498">
        <w:rPr>
          <w:lang w:eastAsia="fr-FR" w:bidi="fr-FR"/>
        </w:rPr>
        <w:t>tions, largement entre les mains de la droite conservatrice, sont surtout axées sur des options d’assistance qui omettent de nombreuses catég</w:t>
      </w:r>
      <w:r w:rsidRPr="004B2498">
        <w:rPr>
          <w:lang w:eastAsia="fr-FR" w:bidi="fr-FR"/>
        </w:rPr>
        <w:t>o</w:t>
      </w:r>
      <w:r w:rsidRPr="004B2498">
        <w:rPr>
          <w:lang w:eastAsia="fr-FR" w:bidi="fr-FR"/>
        </w:rPr>
        <w:t>ries de problèmes sociaux dont les principaux sont les problèmes de</w:t>
      </w:r>
      <w:r>
        <w:t xml:space="preserve"> </w:t>
      </w:r>
      <w:r w:rsidRPr="004B2498">
        <w:t>[276]</w:t>
      </w:r>
      <w:r>
        <w:t xml:space="preserve"> </w:t>
      </w:r>
      <w:r w:rsidRPr="004B2498">
        <w:rPr>
          <w:lang w:eastAsia="fr-FR" w:bidi="fr-FR"/>
        </w:rPr>
        <w:t>santé reproductive et sexuelle auxquels les femmes mexicaines sont confrontées. La criminalisation de l’avortement dans les États les plus conservateurs n’a fait l’objet d’aucune critique de la part du go</w:t>
      </w:r>
      <w:r w:rsidRPr="004B2498">
        <w:rPr>
          <w:lang w:eastAsia="fr-FR" w:bidi="fr-FR"/>
        </w:rPr>
        <w:t>u</w:t>
      </w:r>
      <w:r w:rsidRPr="004B2498">
        <w:rPr>
          <w:lang w:eastAsia="fr-FR" w:bidi="fr-FR"/>
        </w:rPr>
        <w:t>vernement fédéral (dont la plupart des membres sont élus de ces m</w:t>
      </w:r>
      <w:r w:rsidRPr="004B2498">
        <w:rPr>
          <w:lang w:eastAsia="fr-FR" w:bidi="fr-FR"/>
        </w:rPr>
        <w:t>ê</w:t>
      </w:r>
      <w:r w:rsidRPr="004B2498">
        <w:rPr>
          <w:lang w:eastAsia="fr-FR" w:bidi="fr-FR"/>
        </w:rPr>
        <w:t>mes États). Mais il existe, et il a déjà existé, des marges de manœuvre certaines au sein des ministères ou d’autres organisations publiques pour développer des approches plus progressistes et articuler des pr</w:t>
      </w:r>
      <w:r w:rsidRPr="004B2498">
        <w:rPr>
          <w:lang w:eastAsia="fr-FR" w:bidi="fr-FR"/>
        </w:rPr>
        <w:t>o</w:t>
      </w:r>
      <w:r w:rsidRPr="004B2498">
        <w:rPr>
          <w:lang w:eastAsia="fr-FR" w:bidi="fr-FR"/>
        </w:rPr>
        <w:t>grammes sociaux en liaison avec les centres universitaires et les ONG spécialisées du « genre » et des problématiques qui y sont incluses.</w:t>
      </w:r>
    </w:p>
    <w:p w14:paraId="17D3659B" w14:textId="77777777" w:rsidR="002F4063" w:rsidRPr="004B2498" w:rsidRDefault="002F4063" w:rsidP="002F4063">
      <w:pPr>
        <w:spacing w:before="120" w:after="120"/>
        <w:jc w:val="both"/>
      </w:pPr>
      <w:r w:rsidRPr="004B2498">
        <w:rPr>
          <w:lang w:eastAsia="fr-FR" w:bidi="fr-FR"/>
        </w:rPr>
        <w:t>À l’époque du PRI (jusqu’en 2000), de nombreuses alliances ont été possibles avec des élus et des fonctionnaires plus proches des mouvements de femmes, parfois eux-mêmes anciens universitaires ou scientifiques. L’arrivée au pouvoir du parti de la droite conservatrice (PAN) a annulé en partie la possibilité de négocier avec une admini</w:t>
      </w:r>
      <w:r w:rsidRPr="004B2498">
        <w:rPr>
          <w:lang w:eastAsia="fr-FR" w:bidi="fr-FR"/>
        </w:rPr>
        <w:t>s</w:t>
      </w:r>
      <w:r w:rsidRPr="004B2498">
        <w:rPr>
          <w:lang w:eastAsia="fr-FR" w:bidi="fr-FR"/>
        </w:rPr>
        <w:t xml:space="preserve">tration aux personnalités et agendas concurrents. Cependant, les zones de contact entre les secteurs prônant une </w:t>
      </w:r>
      <w:r w:rsidRPr="007776CD">
        <w:rPr>
          <w:i/>
        </w:rPr>
        <w:t>perspectiva de género</w:t>
      </w:r>
      <w:r w:rsidRPr="004B2498">
        <w:rPr>
          <w:lang w:eastAsia="fr-FR" w:bidi="fr-FR"/>
        </w:rPr>
        <w:t xml:space="preserve"> et les institutions fédérales n’ont pas pour autant disparu mais demandent un effort de réactualisation constant et des relations plus personnelles avec les fonctionnaires en poste, contrairement aux élus : en effet, le PRI hébergeant une grande variété idéologique, il était possible de s’appuyer sur des allié-e-s au sein de l'administration fédérale :</w:t>
      </w:r>
    </w:p>
    <w:p w14:paraId="23ED97E5" w14:textId="77777777" w:rsidR="002F4063" w:rsidRDefault="002F4063" w:rsidP="002F4063">
      <w:pPr>
        <w:pStyle w:val="Grillecouleur-Accent1"/>
        <w:rPr>
          <w:lang w:eastAsia="fr-FR" w:bidi="fr-FR"/>
        </w:rPr>
      </w:pPr>
    </w:p>
    <w:p w14:paraId="6CE8E296" w14:textId="77777777" w:rsidR="002F4063" w:rsidRDefault="002F4063" w:rsidP="002F4063">
      <w:pPr>
        <w:pStyle w:val="Grillecouleur-Accent1"/>
        <w:rPr>
          <w:lang w:eastAsia="fr-FR" w:bidi="fr-FR"/>
        </w:rPr>
      </w:pPr>
      <w:r w:rsidRPr="004B2498">
        <w:rPr>
          <w:lang w:eastAsia="fr-FR" w:bidi="fr-FR"/>
        </w:rPr>
        <w:t>« Tu sais, j’ai vu arriver le premier programme de formation des pr</w:t>
      </w:r>
      <w:r w:rsidRPr="004B2498">
        <w:rPr>
          <w:lang w:eastAsia="fr-FR" w:bidi="fr-FR"/>
        </w:rPr>
        <w:t>o</w:t>
      </w:r>
      <w:r w:rsidRPr="004B2498">
        <w:rPr>
          <w:lang w:eastAsia="fr-FR" w:bidi="fr-FR"/>
        </w:rPr>
        <w:t>fesseurs en matière d’éducation sexuelle, à la fin des années soixante-dix, c’était un grand moment, un chamboulement. J’étais au CONAPO [en tant que « bras armé » de la nouvelle politique de pop</w:t>
      </w:r>
      <w:r w:rsidRPr="004B2498">
        <w:rPr>
          <w:lang w:eastAsia="fr-FR" w:bidi="fr-FR"/>
        </w:rPr>
        <w:t>u</w:t>
      </w:r>
      <w:r w:rsidRPr="004B2498">
        <w:rPr>
          <w:lang w:eastAsia="fr-FR" w:bidi="fr-FR"/>
        </w:rPr>
        <w:t>lation, antinataliste, le CONAPO avait en charge de tonner les maîtres et professeurs en matière d'éducation sexuelle] et on savait que notre livre irait dans les écoles de province... Et malgré l’opposition de l’Eglise et d’associations de parents, le programme a continué sa route. C’était une époque incroyable, les a</w:t>
      </w:r>
      <w:r w:rsidRPr="004B2498">
        <w:rPr>
          <w:lang w:eastAsia="fr-FR" w:bidi="fr-FR"/>
        </w:rPr>
        <w:t>n</w:t>
      </w:r>
      <w:r w:rsidRPr="004B2498">
        <w:rPr>
          <w:lang w:eastAsia="fr-FR" w:bidi="fr-FR"/>
        </w:rPr>
        <w:t>nées soixante-dix, et l’effort a continué jusqu'en 1994, mais après le pr</w:t>
      </w:r>
      <w:r w:rsidRPr="004B2498">
        <w:rPr>
          <w:lang w:eastAsia="fr-FR" w:bidi="fr-FR"/>
        </w:rPr>
        <w:t>o</w:t>
      </w:r>
      <w:r w:rsidRPr="004B2498">
        <w:rPr>
          <w:lang w:eastAsia="fr-FR" w:bidi="fr-FR"/>
        </w:rPr>
        <w:t>gramme est passé de l’éducation à la santé parce que le ministère était moins frileux. Et le chaos est venu avec Fox et depuis, plutôt que d’aller de l’avant, on essaie surtout de ne pas reculer. On est plus dans une post</w:t>
      </w:r>
      <w:r w:rsidRPr="004B2498">
        <w:rPr>
          <w:lang w:eastAsia="fr-FR" w:bidi="fr-FR"/>
        </w:rPr>
        <w:t>u</w:t>
      </w:r>
      <w:r w:rsidRPr="004B2498">
        <w:rPr>
          <w:lang w:eastAsia="fr-FR" w:bidi="fr-FR"/>
        </w:rPr>
        <w:t>re de défense des acquis. Tu sais, ils veulent souvent supprimer les progra</w:t>
      </w:r>
      <w:r w:rsidRPr="004B2498">
        <w:rPr>
          <w:lang w:eastAsia="fr-FR" w:bidi="fr-FR"/>
        </w:rPr>
        <w:t>m</w:t>
      </w:r>
      <w:r w:rsidRPr="004B2498">
        <w:rPr>
          <w:lang w:eastAsia="fr-FR" w:bidi="fr-FR"/>
        </w:rPr>
        <w:t>mes progressistes en matière de santé ou d’éducation sexuelle, mais les organisations civiles sont là pour l’empêcher. Et maintenant la SEP [l’éducation publique] n’est pas restée à droite, mais la santé y a basculé. Je crois qu’on va pouvoir en faire plus en éducation qu’en santé. Donc ce sexennat est l’inverse de ce que nous connaissions avant [avec Julio Frenk comme secrétaire de la Santé, apprécié des féministes], L’Institut des je</w:t>
      </w:r>
      <w:r w:rsidRPr="004B2498">
        <w:rPr>
          <w:lang w:eastAsia="fr-FR" w:bidi="fr-FR"/>
        </w:rPr>
        <w:t>u</w:t>
      </w:r>
      <w:r w:rsidRPr="004B2498">
        <w:rPr>
          <w:lang w:eastAsia="fr-FR" w:bidi="fr-FR"/>
        </w:rPr>
        <w:t>nes est aussi aux mains du PAN. Donc nous allons jouer notre carte avec la SEp. » (Gabriela Rodriguez, ONG Afluentes, 2007)</w:t>
      </w:r>
    </w:p>
    <w:p w14:paraId="3D498FC0" w14:textId="77777777" w:rsidR="002F4063" w:rsidRPr="004B2498" w:rsidRDefault="002F4063" w:rsidP="002F4063">
      <w:pPr>
        <w:pStyle w:val="Grillecouleur-Accent1"/>
      </w:pPr>
    </w:p>
    <w:p w14:paraId="4A1C8AF2" w14:textId="77777777" w:rsidR="002F4063" w:rsidRPr="004B2498" w:rsidRDefault="002F4063" w:rsidP="002F4063">
      <w:pPr>
        <w:spacing w:before="120" w:after="120"/>
        <w:jc w:val="both"/>
      </w:pPr>
      <w:r w:rsidRPr="004B2498">
        <w:rPr>
          <w:lang w:eastAsia="fr-FR" w:bidi="fr-FR"/>
        </w:rPr>
        <w:t>Une autre militante d'ONG exprimait, deux années auparavant, le positionnement de son organisation par rapport au ministère de la Sa</w:t>
      </w:r>
      <w:r w:rsidRPr="004B2498">
        <w:rPr>
          <w:lang w:eastAsia="fr-FR" w:bidi="fr-FR"/>
        </w:rPr>
        <w:t>n</w:t>
      </w:r>
      <w:r w:rsidRPr="004B2498">
        <w:rPr>
          <w:lang w:eastAsia="fr-FR" w:bidi="fr-FR"/>
        </w:rPr>
        <w:t>té, qui fut un soutien stable des organisations travaillant sur les pr</w:t>
      </w:r>
      <w:r w:rsidRPr="004B2498">
        <w:rPr>
          <w:lang w:eastAsia="fr-FR" w:bidi="fr-FR"/>
        </w:rPr>
        <w:t>o</w:t>
      </w:r>
      <w:r w:rsidRPr="004B2498">
        <w:rPr>
          <w:lang w:eastAsia="fr-FR" w:bidi="fr-FR"/>
        </w:rPr>
        <w:t>grammes</w:t>
      </w:r>
      <w:r w:rsidRPr="004B2498">
        <w:t xml:space="preserve"> [277]</w:t>
      </w:r>
      <w:r>
        <w:t xml:space="preserve"> </w:t>
      </w:r>
      <w:r w:rsidRPr="004B2498">
        <w:rPr>
          <w:lang w:eastAsia="fr-FR" w:bidi="fr-FR"/>
        </w:rPr>
        <w:t>sociaux « depuis une perspective de genre », et illu</w:t>
      </w:r>
      <w:r w:rsidRPr="004B2498">
        <w:rPr>
          <w:lang w:eastAsia="fr-FR" w:bidi="fr-FR"/>
        </w:rPr>
        <w:t>s</w:t>
      </w:r>
      <w:r w:rsidRPr="004B2498">
        <w:rPr>
          <w:lang w:eastAsia="fr-FR" w:bidi="fr-FR"/>
        </w:rPr>
        <w:t>trait le poids des ouvertures au sein de certaines branches de l’action publ</w:t>
      </w:r>
      <w:r w:rsidRPr="004B2498">
        <w:rPr>
          <w:lang w:eastAsia="fr-FR" w:bidi="fr-FR"/>
        </w:rPr>
        <w:t>i</w:t>
      </w:r>
      <w:r w:rsidRPr="004B2498">
        <w:rPr>
          <w:lang w:eastAsia="fr-FR" w:bidi="fr-FR"/>
        </w:rPr>
        <w:t>que et leur impact sur la possibilité de développement d’actions publ</w:t>
      </w:r>
      <w:r w:rsidRPr="004B2498">
        <w:rPr>
          <w:lang w:eastAsia="fr-FR" w:bidi="fr-FR"/>
        </w:rPr>
        <w:t>i</w:t>
      </w:r>
      <w:r w:rsidRPr="004B2498">
        <w:rPr>
          <w:lang w:eastAsia="fr-FR" w:bidi="fr-FR"/>
        </w:rPr>
        <w:t>ques-privées, en réalité largement privées mais financées et sous-traitées par les instituts publics :</w:t>
      </w:r>
    </w:p>
    <w:p w14:paraId="440B49B8" w14:textId="77777777" w:rsidR="002F4063" w:rsidRDefault="002F4063" w:rsidP="002F4063">
      <w:pPr>
        <w:pStyle w:val="Grillecouleur-Accent1"/>
        <w:rPr>
          <w:lang w:eastAsia="fr-FR" w:bidi="fr-FR"/>
        </w:rPr>
      </w:pPr>
    </w:p>
    <w:p w14:paraId="0017EF97" w14:textId="77777777" w:rsidR="002F4063" w:rsidRDefault="002F4063" w:rsidP="002F4063">
      <w:pPr>
        <w:pStyle w:val="Grillecouleur-Accent1"/>
        <w:rPr>
          <w:lang w:eastAsia="fr-FR" w:bidi="fr-FR"/>
        </w:rPr>
      </w:pPr>
      <w:r w:rsidRPr="004B2498">
        <w:rPr>
          <w:lang w:eastAsia="fr-FR" w:bidi="fr-FR"/>
        </w:rPr>
        <w:t>« À travers ce thème [la mortalité maternelle], l’organisation a pu re</w:t>
      </w:r>
      <w:r w:rsidRPr="004B2498">
        <w:rPr>
          <w:lang w:eastAsia="fr-FR" w:bidi="fr-FR"/>
        </w:rPr>
        <w:t>n</w:t>
      </w:r>
      <w:r w:rsidRPr="004B2498">
        <w:rPr>
          <w:lang w:eastAsia="fr-FR" w:bidi="fr-FR"/>
        </w:rPr>
        <w:t>trer dans le mouvement féministe et avoir beaucoup de liens avec les inst</w:t>
      </w:r>
      <w:r w:rsidRPr="004B2498">
        <w:rPr>
          <w:lang w:eastAsia="fr-FR" w:bidi="fr-FR"/>
        </w:rPr>
        <w:t>i</w:t>
      </w:r>
      <w:r w:rsidRPr="004B2498">
        <w:rPr>
          <w:lang w:eastAsia="fr-FR" w:bidi="fr-FR"/>
        </w:rPr>
        <w:t>tutions publiques et des ONG locales. Et ça n’a pas posé de problèmes, parce que nous sommes venues très humblement proposer une collabor</w:t>
      </w:r>
      <w:r w:rsidRPr="004B2498">
        <w:rPr>
          <w:lang w:eastAsia="fr-FR" w:bidi="fr-FR"/>
        </w:rPr>
        <w:t>a</w:t>
      </w:r>
      <w:r w:rsidRPr="004B2498">
        <w:rPr>
          <w:lang w:eastAsia="fr-FR" w:bidi="fr-FR"/>
        </w:rPr>
        <w:t>tion avec des chercheuses féministes qui sont celles qui savent... Avec la fin du régime priste, les ONG se sont plus rappr</w:t>
      </w:r>
      <w:r w:rsidRPr="004B2498">
        <w:rPr>
          <w:lang w:eastAsia="fr-FR" w:bidi="fr-FR"/>
        </w:rPr>
        <w:t>o</w:t>
      </w:r>
      <w:r w:rsidRPr="004B2498">
        <w:rPr>
          <w:lang w:eastAsia="fr-FR" w:bidi="fr-FR"/>
        </w:rPr>
        <w:t>chées du gouvernement et notamment la Secretaria de salud, qui est un interlocuteur naturel. Dans certains milieux, des personnes avec une perspective féministe sont e</w:t>
      </w:r>
      <w:r w:rsidRPr="004B2498">
        <w:rPr>
          <w:lang w:eastAsia="fr-FR" w:bidi="fr-FR"/>
        </w:rPr>
        <w:t>n</w:t>
      </w:r>
      <w:r w:rsidRPr="004B2498">
        <w:rPr>
          <w:lang w:eastAsia="fr-FR" w:bidi="fr-FR"/>
        </w:rPr>
        <w:t xml:space="preserve">trées et ouvrent des espaces. Au sein du ministère </w:t>
      </w:r>
      <w:r w:rsidRPr="004B2498">
        <w:t>[Secretaria de Salud],</w:t>
      </w:r>
      <w:r w:rsidRPr="004B2498">
        <w:rPr>
          <w:lang w:eastAsia="fr-FR" w:bidi="fr-FR"/>
        </w:rPr>
        <w:t xml:space="preserve"> on a créé une entité autonome qui se nomme le Centre national pour l’équité de genre et de santé repr</w:t>
      </w:r>
      <w:r w:rsidRPr="004B2498">
        <w:rPr>
          <w:lang w:eastAsia="fr-FR" w:bidi="fr-FR"/>
        </w:rPr>
        <w:t>o</w:t>
      </w:r>
      <w:r w:rsidRPr="004B2498">
        <w:rPr>
          <w:lang w:eastAsia="fr-FR" w:bidi="fr-FR"/>
        </w:rPr>
        <w:t>ductive qui possède trois aires d’intervention. Cette entité est présidée par une femme qui a une trajectoire reconnue au sein du mouvement féministe. On ne peut plus dire : « je ne veux pas di</w:t>
      </w:r>
      <w:r w:rsidRPr="004B2498">
        <w:rPr>
          <w:lang w:eastAsia="fr-FR" w:bidi="fr-FR"/>
        </w:rPr>
        <w:t>s</w:t>
      </w:r>
      <w:r w:rsidRPr="004B2498">
        <w:rPr>
          <w:lang w:eastAsia="fr-FR" w:bidi="fr-FR"/>
        </w:rPr>
        <w:t>cuter avec le go</w:t>
      </w:r>
      <w:r w:rsidRPr="004B2498">
        <w:rPr>
          <w:lang w:eastAsia="fr-FR" w:bidi="fr-FR"/>
        </w:rPr>
        <w:t>u</w:t>
      </w:r>
      <w:r w:rsidRPr="004B2498">
        <w:rPr>
          <w:lang w:eastAsia="fr-FR" w:bidi="fr-FR"/>
        </w:rPr>
        <w:t>vernement », parce qu’il y a des gens à l’intérieur qui t’invitent, qui sont prêts à travailler avec toi. C’est un gouvernement de droite, très à droite et cependant, il y a un espace progressiste dans les in</w:t>
      </w:r>
      <w:r w:rsidRPr="004B2498">
        <w:rPr>
          <w:lang w:eastAsia="fr-FR" w:bidi="fr-FR"/>
        </w:rPr>
        <w:t>s</w:t>
      </w:r>
      <w:r w:rsidRPr="004B2498">
        <w:rPr>
          <w:lang w:eastAsia="fr-FR" w:bidi="fr-FR"/>
        </w:rPr>
        <w:t>tit</w:t>
      </w:r>
      <w:r w:rsidRPr="004B2498">
        <w:rPr>
          <w:lang w:eastAsia="fr-FR" w:bidi="fr-FR"/>
        </w:rPr>
        <w:t>u</w:t>
      </w:r>
      <w:r w:rsidRPr="004B2498">
        <w:rPr>
          <w:lang w:eastAsia="fr-FR" w:bidi="fr-FR"/>
        </w:rPr>
        <w:t>tions. » (Daniela Diaz, organisation Fundar, 2005)</w:t>
      </w:r>
    </w:p>
    <w:p w14:paraId="314F1BDE" w14:textId="77777777" w:rsidR="002F4063" w:rsidRPr="004B2498" w:rsidRDefault="002F4063" w:rsidP="002F4063">
      <w:pPr>
        <w:pStyle w:val="Grillecouleur-Accent1"/>
      </w:pPr>
    </w:p>
    <w:p w14:paraId="42ECED57" w14:textId="77777777" w:rsidR="002F4063" w:rsidRPr="004B2498" w:rsidRDefault="002F4063" w:rsidP="002F4063">
      <w:pPr>
        <w:spacing w:before="120" w:after="120"/>
        <w:jc w:val="both"/>
      </w:pPr>
      <w:r w:rsidRPr="004B2498">
        <w:rPr>
          <w:lang w:eastAsia="fr-FR" w:bidi="fr-FR"/>
        </w:rPr>
        <w:t>Les politiques de population passées avaient permis d’ambitieux programmes d’éducation sexuelle et un développement également plus libéral des politiques de santé centrées sur un plus grand accès à la contraception et aux soins. Il ne faut cependant pas oublier que ces progrès se sont produits dans un cadre général de contrôle antinataliste et que, dans certaines régions du pays, les hystérectomies sans conse</w:t>
      </w:r>
      <w:r w:rsidRPr="004B2498">
        <w:rPr>
          <w:lang w:eastAsia="fr-FR" w:bidi="fr-FR"/>
        </w:rPr>
        <w:t>n</w:t>
      </w:r>
      <w:r w:rsidRPr="004B2498">
        <w:rPr>
          <w:lang w:eastAsia="fr-FR" w:bidi="fr-FR"/>
        </w:rPr>
        <w:t>tement informé sont encore choses courantes. Mais G. Rodriguez pr</w:t>
      </w:r>
      <w:r w:rsidRPr="004B2498">
        <w:rPr>
          <w:lang w:eastAsia="fr-FR" w:bidi="fr-FR"/>
        </w:rPr>
        <w:t>é</w:t>
      </w:r>
      <w:r w:rsidRPr="004B2498">
        <w:rPr>
          <w:lang w:eastAsia="fr-FR" w:bidi="fr-FR"/>
        </w:rPr>
        <w:t>sentait la situation de son organisation, comme de l’ensemble des ONG investies dans les problématiques publiques genrées, comme un subtil positionnement au plus près des institutions les plus intéressées par une « perspective de genre », comme on le formule souvent en Amérique latine, et devant se recomposer en fonction de la création de nouvelles institutions ou des changements de ministres. L’exemple de Julio Frenk, ancien secrétaire d’État à la Santé est révélateur. Médecin expert en santé publique, il était très proche des milieux universitaires et a affirmé plusieurs fois un soutien politique indéfectible aux organ</w:t>
      </w:r>
      <w:r w:rsidRPr="004B2498">
        <w:rPr>
          <w:lang w:eastAsia="fr-FR" w:bidi="fr-FR"/>
        </w:rPr>
        <w:t>i</w:t>
      </w:r>
      <w:r w:rsidRPr="004B2498">
        <w:rPr>
          <w:lang w:eastAsia="fr-FR" w:bidi="fr-FR"/>
        </w:rPr>
        <w:t>sations féministes et pro- « perspective de genre ». Cet appui a permis une collaboration avec les activistes et les expert-e-s de la santé r</w:t>
      </w:r>
      <w:r w:rsidRPr="004B2498">
        <w:rPr>
          <w:lang w:eastAsia="fr-FR" w:bidi="fr-FR"/>
        </w:rPr>
        <w:t>e</w:t>
      </w:r>
      <w:r w:rsidRPr="004B2498">
        <w:rPr>
          <w:lang w:eastAsia="fr-FR" w:bidi="fr-FR"/>
        </w:rPr>
        <w:t>productive et sexuelle et une approche plus progressiste de ces pr</w:t>
      </w:r>
      <w:r w:rsidRPr="004B2498">
        <w:rPr>
          <w:lang w:eastAsia="fr-FR" w:bidi="fr-FR"/>
        </w:rPr>
        <w:t>o</w:t>
      </w:r>
      <w:r w:rsidRPr="004B2498">
        <w:rPr>
          <w:lang w:eastAsia="fr-FR" w:bidi="fr-FR"/>
        </w:rPr>
        <w:t>blématiques. Lors du changement de gouvernement, en 2006, le d</w:t>
      </w:r>
      <w:r w:rsidRPr="004B2498">
        <w:rPr>
          <w:lang w:eastAsia="fr-FR" w:bidi="fr-FR"/>
        </w:rPr>
        <w:t>é</w:t>
      </w:r>
      <w:r w:rsidRPr="004B2498">
        <w:rPr>
          <w:lang w:eastAsia="fr-FR" w:bidi="fr-FR"/>
        </w:rPr>
        <w:t xml:space="preserve">part du Julio Frenk à Harvard et à la fondation Gates a signifié un moindre engagement de la </w:t>
      </w:r>
      <w:r w:rsidRPr="007776CD">
        <w:rPr>
          <w:i/>
        </w:rPr>
        <w:t>secretaria de la salud</w:t>
      </w:r>
      <w:r w:rsidRPr="004B2498">
        <w:rPr>
          <w:lang w:eastAsia="fr-FR" w:bidi="fr-FR"/>
        </w:rPr>
        <w:t xml:space="preserve"> auprès des univers</w:t>
      </w:r>
      <w:r w:rsidRPr="004B2498">
        <w:rPr>
          <w:lang w:eastAsia="fr-FR" w:bidi="fr-FR"/>
        </w:rPr>
        <w:t>i</w:t>
      </w:r>
      <w:r w:rsidRPr="004B2498">
        <w:rPr>
          <w:lang w:eastAsia="fr-FR" w:bidi="fr-FR"/>
        </w:rPr>
        <w:t>taires et des ONG. La marge de manœuvre s’est située de plus en plus au sein de la SEP (éducation). Ces changements politiques eurent des répercussions locales et de nombreuses ONG</w:t>
      </w:r>
      <w:r w:rsidRPr="004B2498">
        <w:t xml:space="preserve"> [278]</w:t>
      </w:r>
      <w:r>
        <w:t xml:space="preserve"> </w:t>
      </w:r>
      <w:r w:rsidRPr="004B2498">
        <w:rPr>
          <w:lang w:eastAsia="fr-FR" w:bidi="fr-FR"/>
        </w:rPr>
        <w:t>provinciales d</w:t>
      </w:r>
      <w:r w:rsidRPr="004B2498">
        <w:rPr>
          <w:lang w:eastAsia="fr-FR" w:bidi="fr-FR"/>
        </w:rPr>
        <w:t>u</w:t>
      </w:r>
      <w:r w:rsidRPr="004B2498">
        <w:rPr>
          <w:lang w:eastAsia="fr-FR" w:bidi="fr-FR"/>
        </w:rPr>
        <w:t>rent également chercher de nouveaux liens avec les autorités publ</w:t>
      </w:r>
      <w:r w:rsidRPr="004B2498">
        <w:rPr>
          <w:lang w:eastAsia="fr-FR" w:bidi="fr-FR"/>
        </w:rPr>
        <w:t>i</w:t>
      </w:r>
      <w:r w:rsidRPr="004B2498">
        <w:rPr>
          <w:lang w:eastAsia="fr-FR" w:bidi="fr-FR"/>
        </w:rPr>
        <w:t>ques en matière de politiques éducatives. En effet, la nomination de l’économiste et journaliste Josefina Vasquez Mota en 2006, puis celle du politologue Alonso Lujambio Irazabal en 2009, ont contribué à rapprocher ce ministère des milieux académiques et des ONG de femmes.</w:t>
      </w:r>
    </w:p>
    <w:p w14:paraId="1659F3FB" w14:textId="77777777" w:rsidR="002F4063" w:rsidRPr="004B2498" w:rsidRDefault="002F4063" w:rsidP="002F4063">
      <w:pPr>
        <w:spacing w:before="120" w:after="120"/>
        <w:jc w:val="both"/>
      </w:pPr>
      <w:r w:rsidRPr="004B2498">
        <w:rPr>
          <w:lang w:eastAsia="fr-FR" w:bidi="fr-FR"/>
        </w:rPr>
        <w:t>Au gré des renouvellements politiques, les organisations militantes professionnalisées, comme les centres de recherches, s’adaptent et tentent de pénétrer les espaces publics les plus poreux à leur demande et à la sous-traitance de programmes que ces organisations tenteront de développer depuis une position tendant à faire d’une analyse ge</w:t>
      </w:r>
      <w:r w:rsidRPr="004B2498">
        <w:rPr>
          <w:lang w:eastAsia="fr-FR" w:bidi="fr-FR"/>
        </w:rPr>
        <w:t>n</w:t>
      </w:r>
      <w:r w:rsidRPr="004B2498">
        <w:rPr>
          <w:lang w:eastAsia="fr-FR" w:bidi="fr-FR"/>
        </w:rPr>
        <w:t>rée leur expertise principale. Dès lors l’action publique relève d’un double jeu de « libéralisation partielle » de branches spécifiques de l'État et d’un fort lobbying des organisations privées, des militants et des chercheurs au niveau local qui tentent d’entrer, ou tout au moins d’avoir voix au chapitre, au sein de conseils consultatifs et autres o</w:t>
      </w:r>
      <w:r w:rsidRPr="004B2498">
        <w:rPr>
          <w:lang w:eastAsia="fr-FR" w:bidi="fr-FR"/>
        </w:rPr>
        <w:t>r</w:t>
      </w:r>
      <w:r w:rsidRPr="004B2498">
        <w:rPr>
          <w:lang w:eastAsia="fr-FR" w:bidi="fr-FR"/>
        </w:rPr>
        <w:t>ganes d’intégration de la « société civile ».</w:t>
      </w:r>
    </w:p>
    <w:p w14:paraId="13F1A1B4" w14:textId="77777777" w:rsidR="002F4063" w:rsidRPr="004B2498" w:rsidRDefault="002F4063" w:rsidP="002F4063">
      <w:pPr>
        <w:spacing w:before="120" w:after="120"/>
        <w:jc w:val="both"/>
        <w:rPr>
          <w:szCs w:val="24"/>
          <w:lang w:eastAsia="fr-FR" w:bidi="fr-FR"/>
        </w:rPr>
      </w:pPr>
    </w:p>
    <w:p w14:paraId="37D52EBD" w14:textId="77777777" w:rsidR="002F4063" w:rsidRPr="004B2498" w:rsidRDefault="002F4063" w:rsidP="002F4063">
      <w:pPr>
        <w:pStyle w:val="a"/>
      </w:pPr>
      <w:r w:rsidRPr="004B2498">
        <w:t>Une pratique du genre localement située et aux effets réels</w:t>
      </w:r>
    </w:p>
    <w:p w14:paraId="086ED2EB" w14:textId="77777777" w:rsidR="002F4063" w:rsidRPr="004B2498" w:rsidRDefault="002F4063" w:rsidP="002F4063">
      <w:pPr>
        <w:spacing w:before="120" w:after="120"/>
        <w:jc w:val="both"/>
        <w:rPr>
          <w:lang w:eastAsia="fr-FR" w:bidi="fr-FR"/>
        </w:rPr>
      </w:pPr>
    </w:p>
    <w:p w14:paraId="1E9E3513" w14:textId="77777777" w:rsidR="002F4063" w:rsidRPr="004B2498" w:rsidRDefault="002F4063" w:rsidP="002F4063">
      <w:pPr>
        <w:spacing w:before="120" w:after="120"/>
        <w:jc w:val="both"/>
      </w:pPr>
      <w:r w:rsidRPr="004B2498">
        <w:rPr>
          <w:lang w:eastAsia="fr-FR" w:bidi="fr-FR"/>
        </w:rPr>
        <w:t>Mon expérience du Mexique permet de se pencher sur la mise en pratique, au niveau local, des savoirs de genre. J’ai travaillé un peu moins d’un an dans une ONG locale et dans l’université du même État. Il est nécessaire d’être inclus dans les espaces sociaux qui pr</w:t>
      </w:r>
      <w:r w:rsidRPr="004B2498">
        <w:rPr>
          <w:lang w:eastAsia="fr-FR" w:bidi="fr-FR"/>
        </w:rPr>
        <w:t>o</w:t>
      </w:r>
      <w:r w:rsidRPr="004B2498">
        <w:rPr>
          <w:lang w:eastAsia="fr-FR" w:bidi="fr-FR"/>
        </w:rPr>
        <w:t>duisent et pratiquent « le genre » pour saisir la complexité de ce qui se joue localement au sein des ONG, dans les institutions universitaires, dans les relations avec les ministères, les gouvernements provinciaux et l’Institut des femmes de l’État. Cette expérience m’a permis de pa</w:t>
      </w:r>
      <w:r w:rsidRPr="004B2498">
        <w:rPr>
          <w:lang w:eastAsia="fr-FR" w:bidi="fr-FR"/>
        </w:rPr>
        <w:t>r</w:t>
      </w:r>
      <w:r w:rsidRPr="004B2498">
        <w:rPr>
          <w:lang w:eastAsia="fr-FR" w:bidi="fr-FR"/>
        </w:rPr>
        <w:t>ticiper à des cours et séminaires de recherches. Dans cette institution universitaire de province possédant une certaine renommée, le genre s’est imposé sous la forme de cours, spécialisation et séminaires. J’ai recensé trois espaces où les anthropologues, sociologues et historie</w:t>
      </w:r>
      <w:r w:rsidRPr="004B2498">
        <w:rPr>
          <w:lang w:eastAsia="fr-FR" w:bidi="fr-FR"/>
        </w:rPr>
        <w:t>n</w:t>
      </w:r>
      <w:r w:rsidRPr="004B2498">
        <w:rPr>
          <w:lang w:eastAsia="fr-FR" w:bidi="fr-FR"/>
        </w:rPr>
        <w:t xml:space="preserve">nes mexicaines ont pu développer des ouvertures sur les </w:t>
      </w:r>
      <w:r w:rsidRPr="007776CD">
        <w:rPr>
          <w:i/>
        </w:rPr>
        <w:t>Estudios de género</w:t>
      </w:r>
      <w:r w:rsidRPr="004B2498">
        <w:t>.</w:t>
      </w:r>
      <w:r w:rsidRPr="004B2498">
        <w:rPr>
          <w:lang w:eastAsia="fr-FR" w:bidi="fr-FR"/>
        </w:rPr>
        <w:t xml:space="preserve"> Elles attirent un nombre restreint d’étudiantes et le mépris des collègues, masculins notamment, est assez fréquent quant à la supp</w:t>
      </w:r>
      <w:r w:rsidRPr="004B2498">
        <w:rPr>
          <w:lang w:eastAsia="fr-FR" w:bidi="fr-FR"/>
        </w:rPr>
        <w:t>o</w:t>
      </w:r>
      <w:r w:rsidRPr="004B2498">
        <w:rPr>
          <w:lang w:eastAsia="fr-FR" w:bidi="fr-FR"/>
        </w:rPr>
        <w:t>sée non-scientificité du genre</w:t>
      </w:r>
      <w:r>
        <w:rPr>
          <w:lang w:eastAsia="fr-FR" w:bidi="fr-FR"/>
        </w:rPr>
        <w:t> </w:t>
      </w:r>
      <w:r>
        <w:rPr>
          <w:rStyle w:val="Appelnotedebasdep"/>
          <w:lang w:eastAsia="fr-FR" w:bidi="fr-FR"/>
        </w:rPr>
        <w:footnoteReference w:id="209"/>
      </w:r>
      <w:r w:rsidRPr="004B2498">
        <w:rPr>
          <w:lang w:eastAsia="fr-FR" w:bidi="fr-FR"/>
        </w:rPr>
        <w:t>. Au niveau local, les liens et le fon</w:t>
      </w:r>
      <w:r w:rsidRPr="004B2498">
        <w:rPr>
          <w:lang w:eastAsia="fr-FR" w:bidi="fr-FR"/>
        </w:rPr>
        <w:t>c</w:t>
      </w:r>
      <w:r w:rsidRPr="004B2498">
        <w:rPr>
          <w:lang w:eastAsia="fr-FR" w:bidi="fr-FR"/>
        </w:rPr>
        <w:t>tionnement en réseau permettent un nombre d’actions considérable : des chercheurs-euses de l’institut local de santé publique ont clair</w:t>
      </w:r>
      <w:r w:rsidRPr="004B2498">
        <w:rPr>
          <w:lang w:eastAsia="fr-FR" w:bidi="fr-FR"/>
        </w:rPr>
        <w:t>e</w:t>
      </w:r>
      <w:r w:rsidRPr="004B2498">
        <w:rPr>
          <w:lang w:eastAsia="fr-FR" w:bidi="fr-FR"/>
        </w:rPr>
        <w:t>ment une approche genrée et collaborent avec les chercheurs-euses en anthropologie. L</w:t>
      </w:r>
      <w:r w:rsidRPr="004B2498">
        <w:t>'</w:t>
      </w:r>
      <w:r w:rsidRPr="007776CD">
        <w:rPr>
          <w:i/>
        </w:rPr>
        <w:t>Instituto Veracruzano de las Mujeres</w:t>
      </w:r>
      <w:r w:rsidRPr="004B2498">
        <w:rPr>
          <w:lang w:eastAsia="fr-FR" w:bidi="fr-FR"/>
        </w:rPr>
        <w:t>, entité publique dépendante de l’État, commande également des recherches et contr</w:t>
      </w:r>
      <w:r w:rsidRPr="004B2498">
        <w:rPr>
          <w:lang w:eastAsia="fr-FR" w:bidi="fr-FR"/>
        </w:rPr>
        <w:t>i</w:t>
      </w:r>
      <w:r w:rsidRPr="004B2498">
        <w:rPr>
          <w:lang w:eastAsia="fr-FR" w:bidi="fr-FR"/>
        </w:rPr>
        <w:t>bue parfois à dynamiser</w:t>
      </w:r>
      <w:r>
        <w:t xml:space="preserve"> </w:t>
      </w:r>
      <w:r w:rsidRPr="004B2498">
        <w:t>[279]</w:t>
      </w:r>
      <w:r>
        <w:t xml:space="preserve"> </w:t>
      </w:r>
      <w:r w:rsidRPr="004B2498">
        <w:rPr>
          <w:lang w:eastAsia="fr-FR" w:bidi="fr-FR"/>
        </w:rPr>
        <w:t>les liens entre groupes de recherches. Le CIESAS del Golfo (Ce</w:t>
      </w:r>
      <w:r w:rsidRPr="004B2498">
        <w:rPr>
          <w:lang w:eastAsia="fr-FR" w:bidi="fr-FR"/>
        </w:rPr>
        <w:t>n</w:t>
      </w:r>
      <w:r w:rsidRPr="004B2498">
        <w:rPr>
          <w:lang w:eastAsia="fr-FR" w:bidi="fr-FR"/>
        </w:rPr>
        <w:t>tro de Investigación y Estudios Superiores en Antropologia S</w:t>
      </w:r>
      <w:r w:rsidRPr="004B2498">
        <w:rPr>
          <w:lang w:eastAsia="fr-FR" w:bidi="fr-FR"/>
        </w:rPr>
        <w:t>o</w:t>
      </w:r>
      <w:r w:rsidRPr="004B2498">
        <w:rPr>
          <w:lang w:eastAsia="fr-FR" w:bidi="fr-FR"/>
        </w:rPr>
        <w:t>cial), qui compte peu de chercheurs-euses, a néanmoins un axe de recherche sur le genre et s’ajoute à la comm</w:t>
      </w:r>
      <w:r w:rsidRPr="004B2498">
        <w:rPr>
          <w:lang w:eastAsia="fr-FR" w:bidi="fr-FR"/>
        </w:rPr>
        <w:t>u</w:t>
      </w:r>
      <w:r w:rsidRPr="004B2498">
        <w:rPr>
          <w:lang w:eastAsia="fr-FR" w:bidi="fr-FR"/>
        </w:rPr>
        <w:t xml:space="preserve">nauté locale des chercheurs-euses en </w:t>
      </w:r>
      <w:r w:rsidRPr="004B2498">
        <w:t xml:space="preserve">Estudios de género </w:t>
      </w:r>
      <w:r w:rsidRPr="004B2498">
        <w:rPr>
          <w:lang w:eastAsia="fr-FR" w:bidi="fr-FR"/>
        </w:rPr>
        <w:t>(deux che</w:t>
      </w:r>
      <w:r w:rsidRPr="004B2498">
        <w:rPr>
          <w:lang w:eastAsia="fr-FR" w:bidi="fr-FR"/>
        </w:rPr>
        <w:t>r</w:t>
      </w:r>
      <w:r w:rsidRPr="004B2498">
        <w:rPr>
          <w:lang w:eastAsia="fr-FR" w:bidi="fr-FR"/>
        </w:rPr>
        <w:t>cheuses sur quatorze y développent des recherches genrées). Ainsi, même en l’absence d’institutions au niveau local universitaire, une communauté de che</w:t>
      </w:r>
      <w:r w:rsidRPr="004B2498">
        <w:rPr>
          <w:lang w:eastAsia="fr-FR" w:bidi="fr-FR"/>
        </w:rPr>
        <w:t>r</w:t>
      </w:r>
      <w:r w:rsidRPr="004B2498">
        <w:rPr>
          <w:lang w:eastAsia="fr-FR" w:bidi="fr-FR"/>
        </w:rPr>
        <w:t>cheurs-euses sur le genre existe et partage parfois des espaces unive</w:t>
      </w:r>
      <w:r w:rsidRPr="004B2498">
        <w:rPr>
          <w:lang w:eastAsia="fr-FR" w:bidi="fr-FR"/>
        </w:rPr>
        <w:t>r</w:t>
      </w:r>
      <w:r w:rsidRPr="004B2498">
        <w:rPr>
          <w:lang w:eastAsia="fr-FR" w:bidi="fr-FR"/>
        </w:rPr>
        <w:t>sitaires comme les séminaires, ou se retrouve lors des présentations de livres pour échanger. Cela forme un réseau i</w:t>
      </w:r>
      <w:r w:rsidRPr="004B2498">
        <w:rPr>
          <w:lang w:eastAsia="fr-FR" w:bidi="fr-FR"/>
        </w:rPr>
        <w:t>n</w:t>
      </w:r>
      <w:r w:rsidRPr="004B2498">
        <w:rPr>
          <w:lang w:eastAsia="fr-FR" w:bidi="fr-FR"/>
        </w:rPr>
        <w:t>formel mais sa dépe</w:t>
      </w:r>
      <w:r w:rsidRPr="004B2498">
        <w:rPr>
          <w:lang w:eastAsia="fr-FR" w:bidi="fr-FR"/>
        </w:rPr>
        <w:t>n</w:t>
      </w:r>
      <w:r w:rsidRPr="004B2498">
        <w:rPr>
          <w:lang w:eastAsia="fr-FR" w:bidi="fr-FR"/>
        </w:rPr>
        <w:t>dance élevée aux relations interpersonnelles est ce qui le fragilise sur le long terme, notamment en l’absence de r</w:t>
      </w:r>
      <w:r w:rsidRPr="004B2498">
        <w:rPr>
          <w:lang w:eastAsia="fr-FR" w:bidi="fr-FR"/>
        </w:rPr>
        <w:t>e</w:t>
      </w:r>
      <w:r w:rsidRPr="004B2498">
        <w:rPr>
          <w:lang w:eastAsia="fr-FR" w:bidi="fr-FR"/>
        </w:rPr>
        <w:t>nouvellement des générations universita</w:t>
      </w:r>
      <w:r w:rsidRPr="004B2498">
        <w:rPr>
          <w:lang w:eastAsia="fr-FR" w:bidi="fr-FR"/>
        </w:rPr>
        <w:t>i</w:t>
      </w:r>
      <w:r w:rsidRPr="004B2498">
        <w:rPr>
          <w:lang w:eastAsia="fr-FR" w:bidi="fr-FR"/>
        </w:rPr>
        <w:t>res.</w:t>
      </w:r>
    </w:p>
    <w:p w14:paraId="3666DA1E" w14:textId="77777777" w:rsidR="002F4063" w:rsidRPr="004B2498" w:rsidRDefault="002F4063" w:rsidP="002F4063">
      <w:pPr>
        <w:spacing w:before="120" w:after="120"/>
        <w:jc w:val="both"/>
      </w:pPr>
      <w:r w:rsidRPr="004B2498">
        <w:rPr>
          <w:lang w:eastAsia="fr-FR" w:bidi="fr-FR"/>
        </w:rPr>
        <w:t>Ces réseaux de recherche s’activent parfois plus intensément à tr</w:t>
      </w:r>
      <w:r w:rsidRPr="004B2498">
        <w:rPr>
          <w:lang w:eastAsia="fr-FR" w:bidi="fr-FR"/>
        </w:rPr>
        <w:t>a</w:t>
      </w:r>
      <w:r w:rsidRPr="004B2498">
        <w:rPr>
          <w:lang w:eastAsia="fr-FR" w:bidi="fr-FR"/>
        </w:rPr>
        <w:t>vers les ONG et le travail de sous-traitance, sous la forme d’appels d’offres. Les institutions publiques qui emploient les ONG pour me</w:t>
      </w:r>
      <w:r w:rsidRPr="004B2498">
        <w:rPr>
          <w:lang w:eastAsia="fr-FR" w:bidi="fr-FR"/>
        </w:rPr>
        <w:t>t</w:t>
      </w:r>
      <w:r w:rsidRPr="004B2498">
        <w:rPr>
          <w:lang w:eastAsia="fr-FR" w:bidi="fr-FR"/>
        </w:rPr>
        <w:t>tre en œuvre leurs programmes sociaux sont pléthore. Les principales sont :</w:t>
      </w:r>
      <w:r w:rsidRPr="004B2498">
        <w:rPr>
          <w:lang w:eastAsia="fr-FR" w:bidi="fr-FR"/>
        </w:rPr>
        <w:tab/>
        <w:t>le</w:t>
      </w:r>
    </w:p>
    <w:p w14:paraId="22CA7DED" w14:textId="77777777" w:rsidR="002F4063" w:rsidRPr="004B2498" w:rsidRDefault="002F4063" w:rsidP="002F4063">
      <w:pPr>
        <w:spacing w:before="120" w:after="120"/>
        <w:jc w:val="both"/>
      </w:pPr>
      <w:r w:rsidRPr="004B2498">
        <w:rPr>
          <w:lang w:eastAsia="fr-FR" w:bidi="fr-FR"/>
        </w:rPr>
        <w:t>SEDESOL/INDESOL (développement social), les DIF (Dévelo</w:t>
      </w:r>
      <w:r w:rsidRPr="004B2498">
        <w:rPr>
          <w:lang w:eastAsia="fr-FR" w:bidi="fr-FR"/>
        </w:rPr>
        <w:t>p</w:t>
      </w:r>
      <w:r w:rsidRPr="004B2498">
        <w:rPr>
          <w:lang w:eastAsia="fr-FR" w:bidi="fr-FR"/>
        </w:rPr>
        <w:t>pement intégral de la famille), les délégations de l’éducation (SEP) et tous les organismes de santé ou spécialisés comme le CONASIDA ou la Commission nationale pour le développement des peuples indig</w:t>
      </w:r>
      <w:r w:rsidRPr="004B2498">
        <w:rPr>
          <w:lang w:eastAsia="fr-FR" w:bidi="fr-FR"/>
        </w:rPr>
        <w:t>è</w:t>
      </w:r>
      <w:r w:rsidRPr="004B2498">
        <w:rPr>
          <w:lang w:eastAsia="fr-FR" w:bidi="fr-FR"/>
        </w:rPr>
        <w:t>nes (CDI). Toutes ces institutions développent des programmes nati</w:t>
      </w:r>
      <w:r w:rsidRPr="004B2498">
        <w:rPr>
          <w:lang w:eastAsia="fr-FR" w:bidi="fr-FR"/>
        </w:rPr>
        <w:t>o</w:t>
      </w:r>
      <w:r w:rsidRPr="004B2498">
        <w:rPr>
          <w:lang w:eastAsia="fr-FR" w:bidi="fr-FR"/>
        </w:rPr>
        <w:t>naux thématiques qu’elles sous-traitent très largement aux ONG pr</w:t>
      </w:r>
      <w:r w:rsidRPr="004B2498">
        <w:rPr>
          <w:lang w:eastAsia="fr-FR" w:bidi="fr-FR"/>
        </w:rPr>
        <w:t>o</w:t>
      </w:r>
      <w:r w:rsidRPr="004B2498">
        <w:rPr>
          <w:lang w:eastAsia="fr-FR" w:bidi="fr-FR"/>
        </w:rPr>
        <w:t>vinciales qui ont une bonne connaissance du champ politique local et possèdent, théoriquement, l’expertise nécessaire. Ce sont ces pr</w:t>
      </w:r>
      <w:r w:rsidRPr="004B2498">
        <w:rPr>
          <w:lang w:eastAsia="fr-FR" w:bidi="fr-FR"/>
        </w:rPr>
        <w:t>o</w:t>
      </w:r>
      <w:r w:rsidRPr="004B2498">
        <w:rPr>
          <w:lang w:eastAsia="fr-FR" w:bidi="fr-FR"/>
        </w:rPr>
        <w:t>grammes, ainsi que les activités bénévoles de ces organisations, qui constituent la substance des espaces pratiques du genre. Lorsqu’on est inclus dans les réseaux associatifs militants ou universitaires et que l’on a l’occasion de travailler avec les établissements scolaires ou hospitaliers, on peut observer une multitude d’agents et d’espaces qui forment un réseau local plus ou moins dense. Par le biais de ma pr</w:t>
      </w:r>
      <w:r w:rsidRPr="004B2498">
        <w:rPr>
          <w:lang w:eastAsia="fr-FR" w:bidi="fr-FR"/>
        </w:rPr>
        <w:t>é</w:t>
      </w:r>
      <w:r w:rsidRPr="004B2498">
        <w:rPr>
          <w:lang w:eastAsia="fr-FR" w:bidi="fr-FR"/>
        </w:rPr>
        <w:t>sence dans une ONG et à l’université, j’ai ainsi pu collaborer à des actions menées par d’autres ONG locales ou centres éducatifs qui tr</w:t>
      </w:r>
      <w:r w:rsidRPr="004B2498">
        <w:rPr>
          <w:lang w:eastAsia="fr-FR" w:bidi="fr-FR"/>
        </w:rPr>
        <w:t>a</w:t>
      </w:r>
      <w:r w:rsidRPr="004B2498">
        <w:rPr>
          <w:lang w:eastAsia="fr-FR" w:bidi="fr-FR"/>
        </w:rPr>
        <w:t>vaillent sur des problématiques de violence et de masculinité. Ces mêmes réseaux incluent une participation modeste aux médias locaux (émissions de radio) et une contribution importante de travailleurs-euses sociaux et de certains personnels enseignants intéressés par une approche genrée dans leur profession. Les chercheurs-euses et les m</w:t>
      </w:r>
      <w:r w:rsidRPr="004B2498">
        <w:rPr>
          <w:lang w:eastAsia="fr-FR" w:bidi="fr-FR"/>
        </w:rPr>
        <w:t>i</w:t>
      </w:r>
      <w:r w:rsidRPr="004B2498">
        <w:rPr>
          <w:lang w:eastAsia="fr-FR" w:bidi="fr-FR"/>
        </w:rPr>
        <w:t>litant-e-s qui se sont investis dans une approche genrée, que ce soit pour enseigner ou produire des savoirs nécessaires aux politiques de santé, par exemple, sont singulièrement nombreux au niveau local et tendent à tisser un réseau relationnel plus étendu que ce que l’on o</w:t>
      </w:r>
      <w:r w:rsidRPr="004B2498">
        <w:rPr>
          <w:lang w:eastAsia="fr-FR" w:bidi="fr-FR"/>
        </w:rPr>
        <w:t>b</w:t>
      </w:r>
      <w:r w:rsidRPr="004B2498">
        <w:rPr>
          <w:lang w:eastAsia="fr-FR" w:bidi="fr-FR"/>
        </w:rPr>
        <w:t>serverait si l’on s’en tenait aux mouvements féministes locaux ou aux seuls programmes d’étude des femmes/du genre dans les universités. Il existe également des radios indépendantes qui ouvrent</w:t>
      </w:r>
      <w:r w:rsidRPr="004B2498">
        <w:t xml:space="preserve"> [280]</w:t>
      </w:r>
      <w:r>
        <w:t xml:space="preserve"> </w:t>
      </w:r>
      <w:r w:rsidRPr="004B2498">
        <w:rPr>
          <w:lang w:eastAsia="fr-FR" w:bidi="fr-FR"/>
        </w:rPr>
        <w:t>leurs oncles à des programmes portant sur « le genre » : masculinité, di</w:t>
      </w:r>
      <w:r w:rsidRPr="004B2498">
        <w:rPr>
          <w:lang w:eastAsia="fr-FR" w:bidi="fr-FR"/>
        </w:rPr>
        <w:t>s</w:t>
      </w:r>
      <w:r w:rsidRPr="004B2498">
        <w:rPr>
          <w:lang w:eastAsia="fr-FR" w:bidi="fr-FR"/>
        </w:rPr>
        <w:t>criminations, violences, créations artistiques féminines, etc. Un élan artistique et médiatique modeste s’exprime également chez des a</w:t>
      </w:r>
      <w:r w:rsidRPr="004B2498">
        <w:rPr>
          <w:lang w:eastAsia="fr-FR" w:bidi="fr-FR"/>
        </w:rPr>
        <w:t>c</w:t>
      </w:r>
      <w:r w:rsidRPr="004B2498">
        <w:rPr>
          <w:lang w:eastAsia="fr-FR" w:bidi="fr-FR"/>
        </w:rPr>
        <w:t>teurs ou troupes de théâtre qui adaptent des textes à des situations sp</w:t>
      </w:r>
      <w:r w:rsidRPr="004B2498">
        <w:rPr>
          <w:lang w:eastAsia="fr-FR" w:bidi="fr-FR"/>
        </w:rPr>
        <w:t>é</w:t>
      </w:r>
      <w:r w:rsidRPr="004B2498">
        <w:rPr>
          <w:lang w:eastAsia="fr-FR" w:bidi="fr-FR"/>
        </w:rPr>
        <w:t>cifiques (la thématique de la violence envers les femmes est assez r</w:t>
      </w:r>
      <w:r w:rsidRPr="004B2498">
        <w:rPr>
          <w:lang w:eastAsia="fr-FR" w:bidi="fr-FR"/>
        </w:rPr>
        <w:t>é</w:t>
      </w:r>
      <w:r w:rsidRPr="004B2498">
        <w:rPr>
          <w:lang w:eastAsia="fr-FR" w:bidi="fr-FR"/>
        </w:rPr>
        <w:t>currente) et en font un outil pédagogique dans les écoles ou sur les places des villages. Toutes ces actions se font fréquemment en liaison avec des ONG et des universitaires et contribuent ainsi à un élan plus vaste de réflexivité sociétale dans les grandes villes du pays mais au</w:t>
      </w:r>
      <w:r w:rsidRPr="004B2498">
        <w:rPr>
          <w:lang w:eastAsia="fr-FR" w:bidi="fr-FR"/>
        </w:rPr>
        <w:t>s</w:t>
      </w:r>
      <w:r w:rsidRPr="004B2498">
        <w:rPr>
          <w:lang w:eastAsia="fr-FR" w:bidi="fr-FR"/>
        </w:rPr>
        <w:t>si dans de nombreuses villes moyennes. Il ne s’agit pas non plus de surévaluer l’impact sociétal de ces groupes de militant-e-s et d’acteurs du genre, qui font la « perspective de genre » localement, le pensent, le disent mais surtout le mettent en pratique. Une pratique qui, sans être politique au sens du rapport à l’État, n’en est pas moins importa</w:t>
      </w:r>
      <w:r w:rsidRPr="004B2498">
        <w:rPr>
          <w:lang w:eastAsia="fr-FR" w:bidi="fr-FR"/>
        </w:rPr>
        <w:t>n</w:t>
      </w:r>
      <w:r w:rsidRPr="004B2498">
        <w:rPr>
          <w:lang w:eastAsia="fr-FR" w:bidi="fr-FR"/>
        </w:rPr>
        <w:t>te au sein des contextes locaux.</w:t>
      </w:r>
    </w:p>
    <w:p w14:paraId="4D4DBC72" w14:textId="77777777" w:rsidR="002F4063" w:rsidRPr="004B2498" w:rsidRDefault="002F4063" w:rsidP="002F4063">
      <w:pPr>
        <w:spacing w:before="120" w:after="120"/>
        <w:jc w:val="both"/>
      </w:pPr>
      <w:r w:rsidRPr="004B2498">
        <w:rPr>
          <w:lang w:eastAsia="fr-FR" w:bidi="fr-FR"/>
        </w:rPr>
        <w:t>Ces interactions entre les institutions/administrations publiques et les groupes sociaux qui portent une approche genrée ont permis, ma</w:t>
      </w:r>
      <w:r w:rsidRPr="004B2498">
        <w:rPr>
          <w:lang w:eastAsia="fr-FR" w:bidi="fr-FR"/>
        </w:rPr>
        <w:t>l</w:t>
      </w:r>
      <w:r w:rsidRPr="004B2498">
        <w:rPr>
          <w:lang w:eastAsia="fr-FR" w:bidi="fr-FR"/>
        </w:rPr>
        <w:t>gré un discours souvent très critique dans le continent sur le concept de « genre » (Gargallo, 2005 ; Goldsmith, 1998), permettent de dess</w:t>
      </w:r>
      <w:r w:rsidRPr="004B2498">
        <w:rPr>
          <w:lang w:eastAsia="fr-FR" w:bidi="fr-FR"/>
        </w:rPr>
        <w:t>i</w:t>
      </w:r>
      <w:r w:rsidRPr="004B2498">
        <w:rPr>
          <w:lang w:eastAsia="fr-FR" w:bidi="fr-FR"/>
        </w:rPr>
        <w:t>ner une esquisse du foisonnement pratique paradoxalement créé par des programmes publics développés sans un engagement massif des pouvoirs publics. Il y a eu une automaticité des normes internationales attachées aux conférences mondiales des années 1990 qui a imposé un nouveau cadre normatif à l’ensemble des « démocraties libérales ». Des nations émergentes comme le Mexique, fortement lié aux États-Unis, ont intégré ces normes de démocratisation genrées pour se lover dans une certaine conformité avec le droit international et les sta</w:t>
      </w:r>
      <w:r w:rsidRPr="004B2498">
        <w:rPr>
          <w:lang w:eastAsia="fr-FR" w:bidi="fr-FR"/>
        </w:rPr>
        <w:t>n</w:t>
      </w:r>
      <w:r w:rsidRPr="004B2498">
        <w:rPr>
          <w:lang w:eastAsia="fr-FR" w:bidi="fr-FR"/>
        </w:rPr>
        <w:t xml:space="preserve">dards nord-américains en matière de développement de politiques identitaires. Mais, alors que les politiques publiques sont irriguées de « transversalisation du genre » </w:t>
      </w:r>
      <w:r w:rsidRPr="004B2498">
        <w:t>(</w:t>
      </w:r>
      <w:r w:rsidRPr="008A6B44">
        <w:rPr>
          <w:i/>
        </w:rPr>
        <w:t>mainstreaming</w:t>
      </w:r>
      <w:r w:rsidRPr="004B2498">
        <w:t>)</w:t>
      </w:r>
      <w:r w:rsidRPr="004B2498">
        <w:rPr>
          <w:lang w:eastAsia="fr-FR" w:bidi="fr-FR"/>
        </w:rPr>
        <w:t xml:space="preserve"> et de discours bie</w:t>
      </w:r>
      <w:r w:rsidRPr="004B2498">
        <w:rPr>
          <w:lang w:eastAsia="fr-FR" w:bidi="fr-FR"/>
        </w:rPr>
        <w:t>n</w:t>
      </w:r>
      <w:r w:rsidRPr="004B2498">
        <w:rPr>
          <w:lang w:eastAsia="fr-FR" w:bidi="fr-FR"/>
        </w:rPr>
        <w:t>veillants envers les femmes (confinant parfois à une simple valoris</w:t>
      </w:r>
      <w:r w:rsidRPr="004B2498">
        <w:rPr>
          <w:lang w:eastAsia="fr-FR" w:bidi="fr-FR"/>
        </w:rPr>
        <w:t>a</w:t>
      </w:r>
      <w:r w:rsidRPr="004B2498">
        <w:rPr>
          <w:lang w:eastAsia="fr-FR" w:bidi="fr-FR"/>
        </w:rPr>
        <w:t>tion de la féminité, comme dans le cas de la droite au pouvoir), leurs effets réels sont peu mesurables et la réalité pratique du « genre » r</w:t>
      </w:r>
      <w:r w:rsidRPr="004B2498">
        <w:rPr>
          <w:lang w:eastAsia="fr-FR" w:bidi="fr-FR"/>
        </w:rPr>
        <w:t>e</w:t>
      </w:r>
      <w:r w:rsidRPr="004B2498">
        <w:rPr>
          <w:lang w:eastAsia="fr-FR" w:bidi="fr-FR"/>
        </w:rPr>
        <w:t>pose sur des actions sous-traitées et déléguées à un secteur que l’on subsume entièrement sous la catégorie « société civile » mais qui bri</w:t>
      </w:r>
      <w:r w:rsidRPr="004B2498">
        <w:rPr>
          <w:lang w:eastAsia="fr-FR" w:bidi="fr-FR"/>
        </w:rPr>
        <w:t>l</w:t>
      </w:r>
      <w:r w:rsidRPr="004B2498">
        <w:rPr>
          <w:lang w:eastAsia="fr-FR" w:bidi="fr-FR"/>
        </w:rPr>
        <w:t>le par son caractère imprécis. Cette société civile, allant de l’échelon national à celui du très local, comprend bon nombre de fonctionnaires et d’institutions publiques qui partagent une communauté d’intérêts et fréquentent le même champ social que les militante-s professionnal</w:t>
      </w:r>
      <w:r w:rsidRPr="004B2498">
        <w:rPr>
          <w:lang w:eastAsia="fr-FR" w:bidi="fr-FR"/>
        </w:rPr>
        <w:t>i</w:t>
      </w:r>
      <w:r w:rsidRPr="004B2498">
        <w:rPr>
          <w:lang w:eastAsia="fr-FR" w:bidi="fr-FR"/>
        </w:rPr>
        <w:t>sé-e-s des ONG ou les chercheurs-euses des universités publiques. La capacité de ces groupes à agir, à mobiliser un capital social, à se pa</w:t>
      </w:r>
      <w:r w:rsidRPr="004B2498">
        <w:rPr>
          <w:lang w:eastAsia="fr-FR" w:bidi="fr-FR"/>
        </w:rPr>
        <w:t>r</w:t>
      </w:r>
      <w:r w:rsidRPr="004B2498">
        <w:rPr>
          <w:lang w:eastAsia="fr-FR" w:bidi="fr-FR"/>
        </w:rPr>
        <w:t>tager un travail de construction des politiques publiques représente réellement le moteur des politiques genrées dans le pays.</w:t>
      </w:r>
    </w:p>
    <w:p w14:paraId="3A4348F7" w14:textId="77777777" w:rsidR="002F4063" w:rsidRPr="004B2498" w:rsidRDefault="002F4063" w:rsidP="002F4063">
      <w:pPr>
        <w:spacing w:before="120" w:after="120"/>
        <w:jc w:val="both"/>
      </w:pPr>
      <w:r w:rsidRPr="004B2498">
        <w:t>[281]</w:t>
      </w:r>
    </w:p>
    <w:p w14:paraId="4253069E" w14:textId="77777777" w:rsidR="002F4063" w:rsidRPr="004B2498" w:rsidRDefault="002F4063" w:rsidP="002F4063">
      <w:pPr>
        <w:spacing w:before="120" w:after="120"/>
        <w:jc w:val="both"/>
      </w:pPr>
    </w:p>
    <w:p w14:paraId="0631C1E7" w14:textId="77777777" w:rsidR="002F4063" w:rsidRPr="004B2498" w:rsidRDefault="002F4063" w:rsidP="002F4063">
      <w:pPr>
        <w:pStyle w:val="a"/>
      </w:pPr>
      <w:r w:rsidRPr="004B2498">
        <w:t>Une étude de cas :</w:t>
      </w:r>
      <w:r w:rsidRPr="004B2498">
        <w:br/>
        <w:t>le genre et les savoirs de genre dans l’État de Veracruz</w:t>
      </w:r>
    </w:p>
    <w:p w14:paraId="3DE880FA" w14:textId="77777777" w:rsidR="002F4063" w:rsidRPr="004B2498" w:rsidRDefault="002F4063" w:rsidP="002F4063">
      <w:pPr>
        <w:spacing w:before="120" w:after="120"/>
        <w:jc w:val="both"/>
        <w:rPr>
          <w:lang w:eastAsia="fr-FR" w:bidi="fr-FR"/>
        </w:rPr>
      </w:pPr>
    </w:p>
    <w:p w14:paraId="1BA8CA4B" w14:textId="77777777" w:rsidR="002F4063" w:rsidRPr="004B2498" w:rsidRDefault="002F4063" w:rsidP="002F4063">
      <w:pPr>
        <w:spacing w:before="120" w:after="120"/>
        <w:jc w:val="both"/>
      </w:pPr>
      <w:r w:rsidRPr="004B2498">
        <w:rPr>
          <w:lang w:eastAsia="fr-FR" w:bidi="fr-FR"/>
        </w:rPr>
        <w:t>Si je me réfère à des observations sur divers terrains d’enquête, je peux affirmer que le jeu complexe qui se joue au niveau fédéral, et qui concerne principalement les ONG et militant-e-s/chercheurs-euses de la capitale, se reproduit à l’échelon local à des degrés divers dans l’ensemble du pays. Dans la capitale de l’État, les ONG sont relativ</w:t>
      </w:r>
      <w:r w:rsidRPr="004B2498">
        <w:rPr>
          <w:lang w:eastAsia="fr-FR" w:bidi="fr-FR"/>
        </w:rPr>
        <w:t>e</w:t>
      </w:r>
      <w:r w:rsidRPr="004B2498">
        <w:rPr>
          <w:lang w:eastAsia="fr-FR" w:bidi="fr-FR"/>
        </w:rPr>
        <w:t>ment nombreuses mais celles qui sont investies dans les politiques publiques du genre le sont nettement moins. À ma connaissance, deux ONG locales concentraient l’essentiel des actions et de la sous-traitance en matière de santé reproductive, d'« éducation à la divers</w:t>
      </w:r>
      <w:r w:rsidRPr="004B2498">
        <w:rPr>
          <w:lang w:eastAsia="fr-FR" w:bidi="fr-FR"/>
        </w:rPr>
        <w:t>i</w:t>
      </w:r>
      <w:r w:rsidRPr="004B2498">
        <w:rPr>
          <w:lang w:eastAsia="fr-FR" w:bidi="fr-FR"/>
        </w:rPr>
        <w:t>té » ou de lobbying sur les politiciens locaux en matière de législation touchant aux rapports sociaux de sexe/genre. Le reste du champ des agents locaux du genre était composé principalement d’universitaires et de groupes militants, constitués sous des formes associatives non professionnalisées. Ces divers groupes possèdent des relations sous forme de réseaux plus ou moins lâches. Mais à ce niveau d’action, les relations interpersonnelles et le capital social priment, comme dans le contexte élargi de la capitale mais avec une acuité accrue. Un grand nombre d’actions et de programmes sont ainsi le fait d’un lobbying d’ONG et de personnalités liées par des relations interpersonnelles intenses. Le fondateur de l’ONG dans laquelle j’ai travaillé était un cas archétypal. Médecin et docteur en sociologie de la santé, il était parmi les chercheurs militants qui occupèrent les premiers espaces institutionnels dédiés à la santé reproductive et à la « perspective de genre » dans les politiques publiques, au début des années 1990. C’est lui qui possède localement le capital social le plus imposant : connu des chercheurs-euses des institutions de l’État comme de la capitale, il possède une bonne connaissance des institutions provinciales et des fonctionnaires en poste et, enfin, pratique depuis deux décennies les espaces militants de la région. C’est ce type d’acteur qui contribue à développer localement une pratique du genre connectée à un grand nombre de partenaires et qui parvient à articuler une relation global</w:t>
      </w:r>
      <w:r w:rsidRPr="004B2498">
        <w:rPr>
          <w:lang w:eastAsia="fr-FR" w:bidi="fr-FR"/>
        </w:rPr>
        <w:t>e</w:t>
      </w:r>
      <w:r w:rsidRPr="004B2498">
        <w:rPr>
          <w:lang w:eastAsia="fr-FR" w:bidi="fr-FR"/>
        </w:rPr>
        <w:t>ment positive avec les institutions locales. Les appuis locaux sont constitués des antennes régionales des ministères - où le fait d’être un expert en santé publique est un atout par rapport à des militant-e-s « lambda » - et des institutions propres aux municipalités et à l’État de Veracruz. Concrètement, les appels d’offres des institutions publiques locales constituent un terreau fertile pour les quelques ONG locales mais sont également des mises en concurrence « d’entreprises du ge</w:t>
      </w:r>
      <w:r w:rsidRPr="004B2498">
        <w:rPr>
          <w:lang w:eastAsia="fr-FR" w:bidi="fr-FR"/>
        </w:rPr>
        <w:t>n</w:t>
      </w:r>
      <w:r w:rsidRPr="004B2498">
        <w:rPr>
          <w:lang w:eastAsia="fr-FR" w:bidi="fr-FR"/>
        </w:rPr>
        <w:t>re » qui collaborent par ailleurs dans leurs actions de lobbying. Les appels d’offres d’institutions comme la commission des droits des peuples indigènes sont eux, nettement plus concurrentiels et conso</w:t>
      </w:r>
      <w:r w:rsidRPr="004B2498">
        <w:rPr>
          <w:lang w:eastAsia="fr-FR" w:bidi="fr-FR"/>
        </w:rPr>
        <w:t>m</w:t>
      </w:r>
      <w:r w:rsidRPr="004B2498">
        <w:rPr>
          <w:lang w:eastAsia="fr-FR" w:bidi="fr-FR"/>
        </w:rPr>
        <w:t>ment beaucoup de temps et de ressources car ils permettent d’avoir accès à des projets et des financements</w:t>
      </w:r>
      <w:r w:rsidRPr="004B2498">
        <w:t xml:space="preserve"> [282]</w:t>
      </w:r>
      <w:r>
        <w:t xml:space="preserve"> </w:t>
      </w:r>
      <w:r w:rsidRPr="004B2498">
        <w:rPr>
          <w:lang w:eastAsia="fr-FR" w:bidi="fr-FR"/>
        </w:rPr>
        <w:t>bien supérieurs. Le pri</w:t>
      </w:r>
      <w:r w:rsidRPr="004B2498">
        <w:rPr>
          <w:lang w:eastAsia="fr-FR" w:bidi="fr-FR"/>
        </w:rPr>
        <w:t>n</w:t>
      </w:r>
      <w:r w:rsidRPr="004B2498">
        <w:rPr>
          <w:lang w:eastAsia="fr-FR" w:bidi="fr-FR"/>
        </w:rPr>
        <w:t>cipal bailleur public de la ville où est située l’ONG est l’Institut des femmes de l’État. Tel un symbole des conce</w:t>
      </w:r>
      <w:r w:rsidRPr="004B2498">
        <w:rPr>
          <w:lang w:eastAsia="fr-FR" w:bidi="fr-FR"/>
        </w:rPr>
        <w:t>s</w:t>
      </w:r>
      <w:r w:rsidRPr="004B2498">
        <w:rPr>
          <w:lang w:eastAsia="fr-FR" w:bidi="fr-FR"/>
        </w:rPr>
        <w:t>sions démocratiques des partis de pouvoir aux ONG, l’institut est fr</w:t>
      </w:r>
      <w:r w:rsidRPr="004B2498">
        <w:rPr>
          <w:lang w:eastAsia="fr-FR" w:bidi="fr-FR"/>
        </w:rPr>
        <w:t>é</w:t>
      </w:r>
      <w:r w:rsidRPr="004B2498">
        <w:rPr>
          <w:lang w:eastAsia="fr-FR" w:bidi="fr-FR"/>
        </w:rPr>
        <w:t>quemment placé entre les mains d’une femme proche des milieux f</w:t>
      </w:r>
      <w:r w:rsidRPr="004B2498">
        <w:rPr>
          <w:lang w:eastAsia="fr-FR" w:bidi="fr-FR"/>
        </w:rPr>
        <w:t>é</w:t>
      </w:r>
      <w:r w:rsidRPr="004B2498">
        <w:rPr>
          <w:lang w:eastAsia="fr-FR" w:bidi="fr-FR"/>
        </w:rPr>
        <w:t>ministes et de l’université. Ceci facilite la transmission biaisée des appels d’offres aux organis</w:t>
      </w:r>
      <w:r w:rsidRPr="004B2498">
        <w:rPr>
          <w:lang w:eastAsia="fr-FR" w:bidi="fr-FR"/>
        </w:rPr>
        <w:t>a</w:t>
      </w:r>
      <w:r w:rsidRPr="004B2498">
        <w:rPr>
          <w:lang w:eastAsia="fr-FR" w:bidi="fr-FR"/>
        </w:rPr>
        <w:t>tions locales et permet de préparer des projets par avance. C’est ce qui s’est produit lors d’un projet conce</w:t>
      </w:r>
      <w:r w:rsidRPr="004B2498">
        <w:rPr>
          <w:lang w:eastAsia="fr-FR" w:bidi="fr-FR"/>
        </w:rPr>
        <w:t>r</w:t>
      </w:r>
      <w:r w:rsidRPr="004B2498">
        <w:rPr>
          <w:lang w:eastAsia="fr-FR" w:bidi="fr-FR"/>
        </w:rPr>
        <w:t>nant la mortalité maternelle en zone indigène dans l’État, lorsque le fondateur de l’organisation, pourtant officiellement en retrait par ra</w:t>
      </w:r>
      <w:r w:rsidRPr="004B2498">
        <w:rPr>
          <w:lang w:eastAsia="fr-FR" w:bidi="fr-FR"/>
        </w:rPr>
        <w:t>p</w:t>
      </w:r>
      <w:r w:rsidRPr="004B2498">
        <w:rPr>
          <w:lang w:eastAsia="fr-FR" w:bidi="fr-FR"/>
        </w:rPr>
        <w:t>port à la direction de l'ONG, fut contacté directement par la directrice de l’institut provincial pour s’occuper de la formation et de l’analyse des problématiques nouve</w:t>
      </w:r>
      <w:r w:rsidRPr="004B2498">
        <w:rPr>
          <w:lang w:eastAsia="fr-FR" w:bidi="fr-FR"/>
        </w:rPr>
        <w:t>l</w:t>
      </w:r>
      <w:r w:rsidRPr="004B2498">
        <w:rPr>
          <w:lang w:eastAsia="fr-FR" w:bidi="fr-FR"/>
        </w:rPr>
        <w:t>les relevant de cette thématique sensible. Les ONG locales et les mil</w:t>
      </w:r>
      <w:r w:rsidRPr="004B2498">
        <w:rPr>
          <w:lang w:eastAsia="fr-FR" w:bidi="fr-FR"/>
        </w:rPr>
        <w:t>i</w:t>
      </w:r>
      <w:r w:rsidRPr="004B2498">
        <w:rPr>
          <w:lang w:eastAsia="fr-FR" w:bidi="fr-FR"/>
        </w:rPr>
        <w:t>tants, malgré leurs liens étroits et nécessa</w:t>
      </w:r>
      <w:r w:rsidRPr="004B2498">
        <w:rPr>
          <w:lang w:eastAsia="fr-FR" w:bidi="fr-FR"/>
        </w:rPr>
        <w:t>i</w:t>
      </w:r>
      <w:r w:rsidRPr="004B2498">
        <w:rPr>
          <w:lang w:eastAsia="fr-FR" w:bidi="fr-FR"/>
        </w:rPr>
        <w:t>res avec les femmes et les politiques locaux, parviennent à développer des analyses et imposer une certaine scientificité dans la recherche et l’expertise sur les pr</w:t>
      </w:r>
      <w:r w:rsidRPr="004B2498">
        <w:rPr>
          <w:lang w:eastAsia="fr-FR" w:bidi="fr-FR"/>
        </w:rPr>
        <w:t>o</w:t>
      </w:r>
      <w:r w:rsidRPr="004B2498">
        <w:rPr>
          <w:lang w:eastAsia="fr-FR" w:bidi="fr-FR"/>
        </w:rPr>
        <w:t>blématiques genrées (notamment grâce à la fo</w:t>
      </w:r>
      <w:r w:rsidRPr="004B2498">
        <w:rPr>
          <w:lang w:eastAsia="fr-FR" w:bidi="fr-FR"/>
        </w:rPr>
        <w:t>r</w:t>
      </w:r>
      <w:r w:rsidRPr="004B2498">
        <w:rPr>
          <w:lang w:eastAsia="fr-FR" w:bidi="fr-FR"/>
        </w:rPr>
        <w:t>mation scientifique de qualité des membres des ONG et des che</w:t>
      </w:r>
      <w:r w:rsidRPr="004B2498">
        <w:rPr>
          <w:lang w:eastAsia="fr-FR" w:bidi="fr-FR"/>
        </w:rPr>
        <w:t>r</w:t>
      </w:r>
      <w:r w:rsidRPr="004B2498">
        <w:rPr>
          <w:lang w:eastAsia="fr-FR" w:bidi="fr-FR"/>
        </w:rPr>
        <w:t>cheurs-euses).</w:t>
      </w:r>
    </w:p>
    <w:p w14:paraId="3565600F" w14:textId="77777777" w:rsidR="002F4063" w:rsidRPr="004B2498" w:rsidRDefault="002F4063" w:rsidP="002F4063">
      <w:pPr>
        <w:spacing w:before="120" w:after="120"/>
        <w:jc w:val="both"/>
      </w:pPr>
      <w:r w:rsidRPr="004B2498">
        <w:rPr>
          <w:lang w:eastAsia="fr-FR" w:bidi="fr-FR"/>
        </w:rPr>
        <w:t>Cette relative autonomie de parole et d’action permet de faire exi</w:t>
      </w:r>
      <w:r w:rsidRPr="004B2498">
        <w:rPr>
          <w:lang w:eastAsia="fr-FR" w:bidi="fr-FR"/>
        </w:rPr>
        <w:t>s</w:t>
      </w:r>
      <w:r w:rsidRPr="004B2498">
        <w:rPr>
          <w:lang w:eastAsia="fr-FR" w:bidi="fr-FR"/>
        </w:rPr>
        <w:t>ter le genre au-delà de l’idéologie et de la rhétorique politique en l'in</w:t>
      </w:r>
      <w:r w:rsidRPr="004B2498">
        <w:rPr>
          <w:lang w:eastAsia="fr-FR" w:bidi="fr-FR"/>
        </w:rPr>
        <w:t>s</w:t>
      </w:r>
      <w:r w:rsidRPr="004B2498">
        <w:rPr>
          <w:lang w:eastAsia="fr-FR" w:bidi="fr-FR"/>
        </w:rPr>
        <w:t>crivant dans le champ de l’action modestement transformatrice. Le fait, par exemple, de tenter de mobiliser les enseignants locaux pour améliorer leur attention aux violences sexuées est un effort qui pr</w:t>
      </w:r>
      <w:r w:rsidRPr="004B2498">
        <w:rPr>
          <w:lang w:eastAsia="fr-FR" w:bidi="fr-FR"/>
        </w:rPr>
        <w:t>o</w:t>
      </w:r>
      <w:r w:rsidRPr="004B2498">
        <w:rPr>
          <w:lang w:eastAsia="fr-FR" w:bidi="fr-FR"/>
        </w:rPr>
        <w:t>vient en partie de la volonté du corps professoral militant mais relève également de l’action bénévole de la part de salarié-e-s qui produisent « du genre » sans contrepartie professionnelle directe. Par bien des aspects, si les acceptions scientifiquement construites du genre et les savoirs genrés sont une réalité au Mexique, c’est principalement par le biais de ce militantisme salarié que pratiquent les expert-e-s d’ONG et les chercheurs-euses des institutions publiques dans leur travail de prise en charge des activités sous-traitées. La pratique du genre diffère en cela de ce que j’appelle le « genre technocratique » des discours publics de plusieurs organismes et ministères qui font du « genre » une source de discours et de programmes sociaux sans en maîtriser la construction réelle et en subsumant fréquemment les signifiés les plus conservateurs sous le signifiant « genre ». L’assistancialisme des inst</w:t>
      </w:r>
      <w:r w:rsidRPr="004B2498">
        <w:rPr>
          <w:lang w:eastAsia="fr-FR" w:bidi="fr-FR"/>
        </w:rPr>
        <w:t>i</w:t>
      </w:r>
      <w:r w:rsidRPr="004B2498">
        <w:rPr>
          <w:lang w:eastAsia="fr-FR" w:bidi="fr-FR"/>
        </w:rPr>
        <w:t>tutions publiques, qui inscrit encore largement les femmes dans une posture victimaire et qui confine à l’essence du « sexe faible » n’est modifié que par un travail d’apports d’arguments et de méthodologies des sciences sociales qui constituent bien une expertise et un langage que les gouvernants ne peuvent disqualifier aisément.</w:t>
      </w:r>
      <w:r w:rsidRPr="004B2498">
        <w:t xml:space="preserve"> </w:t>
      </w:r>
    </w:p>
    <w:p w14:paraId="0D22FDDD" w14:textId="77777777" w:rsidR="002F4063" w:rsidRPr="004B2498" w:rsidRDefault="002F4063" w:rsidP="002F4063">
      <w:pPr>
        <w:spacing w:before="120" w:after="120"/>
        <w:jc w:val="both"/>
      </w:pPr>
      <w:r w:rsidRPr="004B2498">
        <w:t>[283]</w:t>
      </w:r>
    </w:p>
    <w:p w14:paraId="1271B5AB" w14:textId="77777777" w:rsidR="002F4063" w:rsidRPr="004B2498" w:rsidRDefault="002F4063" w:rsidP="002F4063">
      <w:pPr>
        <w:spacing w:before="120" w:after="120"/>
        <w:jc w:val="both"/>
      </w:pPr>
    </w:p>
    <w:p w14:paraId="2F53254F" w14:textId="77777777" w:rsidR="002F4063" w:rsidRPr="004B2498" w:rsidRDefault="002F4063" w:rsidP="002F4063">
      <w:pPr>
        <w:pStyle w:val="a"/>
      </w:pPr>
      <w:r w:rsidRPr="004B2498">
        <w:t>La position concrète du genre</w:t>
      </w:r>
      <w:r w:rsidRPr="004B2498">
        <w:br/>
        <w:t>dans les programmes sociaux de développement local</w:t>
      </w:r>
    </w:p>
    <w:p w14:paraId="23CB066B" w14:textId="77777777" w:rsidR="002F4063" w:rsidRPr="004B2498" w:rsidRDefault="002F4063" w:rsidP="002F4063">
      <w:pPr>
        <w:spacing w:before="120" w:after="120"/>
        <w:jc w:val="both"/>
        <w:rPr>
          <w:lang w:eastAsia="fr-FR" w:bidi="fr-FR"/>
        </w:rPr>
      </w:pPr>
    </w:p>
    <w:p w14:paraId="3EC1EB9F" w14:textId="77777777" w:rsidR="002F4063" w:rsidRPr="004B2498" w:rsidRDefault="002F4063" w:rsidP="002F4063">
      <w:pPr>
        <w:spacing w:before="120" w:after="120"/>
        <w:jc w:val="both"/>
      </w:pPr>
      <w:r w:rsidRPr="004B2498">
        <w:rPr>
          <w:lang w:eastAsia="fr-FR" w:bidi="fr-FR"/>
        </w:rPr>
        <w:t>Plus concrètement, comment s’articulent des normes globales au niveau local ? Tout d’abord, l’exemple d’un programme de recherche et de formation sur la santé maternelle dans les zones indigènes de l’État de Veracruz m’a permis de saisir en partie ce qu’impliquaient la commande publique et sa difficile articulation aux situations locales pratiques. Dans la région de Zongolica, majoritairement Nahuatl, la demande est venue de l’Institut des femmes de l’État de Veracruz, d’effectuer un certain nombre d’actions de formation et de sensibilis</w:t>
      </w:r>
      <w:r w:rsidRPr="004B2498">
        <w:rPr>
          <w:lang w:eastAsia="fr-FR" w:bidi="fr-FR"/>
        </w:rPr>
        <w:t>a</w:t>
      </w:r>
      <w:r w:rsidRPr="004B2498">
        <w:rPr>
          <w:lang w:eastAsia="fr-FR" w:bidi="fr-FR"/>
        </w:rPr>
        <w:t>tion des personnels de santé locaux. Plusieurs unités relevant de l’IMSS (sécurité sociale mexicaine) sont implantées dans la région et fournissent des services de santé très inégaux. Ainsi qu’un collègue de l’Institut de recherche et d’enseignement de l’IMSS de Xalapa, qui a fréquemment travaillé dans cette région, me le narrait, le principal problème pour les acteurs scientifiques qui font du genre et des s</w:t>
      </w:r>
      <w:r w:rsidRPr="004B2498">
        <w:rPr>
          <w:lang w:eastAsia="fr-FR" w:bidi="fr-FR"/>
        </w:rPr>
        <w:t>a</w:t>
      </w:r>
      <w:r w:rsidRPr="004B2498">
        <w:rPr>
          <w:lang w:eastAsia="fr-FR" w:bidi="fr-FR"/>
        </w:rPr>
        <w:t>voirs centripètes inhérents leurs principaux objets, consiste en l’extrême fragmentation des institutions publiques au Mexique. Il existe peu de collaborations entre les instituts de santé publique des États, les programmes sociaux de l’État de Veracruz et les progra</w:t>
      </w:r>
      <w:r w:rsidRPr="004B2498">
        <w:rPr>
          <w:lang w:eastAsia="fr-FR" w:bidi="fr-FR"/>
        </w:rPr>
        <w:t>m</w:t>
      </w:r>
      <w:r w:rsidRPr="004B2498">
        <w:rPr>
          <w:lang w:eastAsia="fr-FR" w:bidi="fr-FR"/>
        </w:rPr>
        <w:t>mes fédéraux qui tendent à se chevaucher dans une certaine concu</w:t>
      </w:r>
      <w:r w:rsidRPr="004B2498">
        <w:rPr>
          <w:lang w:eastAsia="fr-FR" w:bidi="fr-FR"/>
        </w:rPr>
        <w:t>r</w:t>
      </w:r>
      <w:r w:rsidRPr="004B2498">
        <w:rPr>
          <w:lang w:eastAsia="fr-FR" w:bidi="fr-FR"/>
        </w:rPr>
        <w:t>rence. On a observé dans de nombreuses régions du pays que le pr</w:t>
      </w:r>
      <w:r w:rsidRPr="004B2498">
        <w:rPr>
          <w:lang w:eastAsia="fr-FR" w:bidi="fr-FR"/>
        </w:rPr>
        <w:t>o</w:t>
      </w:r>
      <w:r w:rsidRPr="004B2498">
        <w:rPr>
          <w:lang w:eastAsia="fr-FR" w:bidi="fr-FR"/>
        </w:rPr>
        <w:t xml:space="preserve">gramme </w:t>
      </w:r>
      <w:r w:rsidRPr="007776CD">
        <w:rPr>
          <w:i/>
        </w:rPr>
        <w:t>Oportunidades</w:t>
      </w:r>
      <w:r w:rsidRPr="004B2498">
        <w:rPr>
          <w:lang w:eastAsia="fr-FR" w:bidi="fr-FR"/>
        </w:rPr>
        <w:t xml:space="preserve"> était détourné à des fins de promotion polit</w:t>
      </w:r>
      <w:r w:rsidRPr="004B2498">
        <w:rPr>
          <w:lang w:eastAsia="fr-FR" w:bidi="fr-FR"/>
        </w:rPr>
        <w:t>i</w:t>
      </w:r>
      <w:r w:rsidRPr="004B2498">
        <w:rPr>
          <w:lang w:eastAsia="fr-FR" w:bidi="fr-FR"/>
        </w:rPr>
        <w:t>que par le parti au pouvoir au niveau fédéral </w:t>
      </w:r>
      <w:r>
        <w:rPr>
          <w:rStyle w:val="Appelnotedebasdep"/>
          <w:lang w:eastAsia="fr-FR" w:bidi="fr-FR"/>
        </w:rPr>
        <w:footnoteReference w:id="210"/>
      </w:r>
      <w:r w:rsidRPr="004B2498">
        <w:rPr>
          <w:lang w:eastAsia="fr-FR" w:bidi="fr-FR"/>
        </w:rPr>
        <w:t>. Les fonds alloués à l’accès aux soins avaient été employés à fournir des matériaux de construction, notamment dans les zones indigènes (comme Zongolica) et le programme utilisé pour « encadrer les populations » et les orie</w:t>
      </w:r>
      <w:r w:rsidRPr="004B2498">
        <w:rPr>
          <w:lang w:eastAsia="fr-FR" w:bidi="fr-FR"/>
        </w:rPr>
        <w:t>n</w:t>
      </w:r>
      <w:r w:rsidRPr="004B2498">
        <w:rPr>
          <w:lang w:eastAsia="fr-FR" w:bidi="fr-FR"/>
        </w:rPr>
        <w:t xml:space="preserve">ter vers un « vote PAN » à la gloire du président. Les programmes fédéraux sont parfois localement instrumentalisés et ceux développés par les différents États ne font pas l’objet de plus de rigueur dans leur exploitation. Les organismes de santé rattachés à la sécurité sociale sont également potentiellement instrumentalisés à des fins électorales par les gouverneurs. Il manque à la fois une cohésion forte entre les services fédéraux et provinciaux et la capacité pour les organismes chargés d’abaisser le nombre des morts maternelles de créer des commissions interinstitutionnelles. Il est notable que le programme </w:t>
      </w:r>
      <w:r w:rsidRPr="007776CD">
        <w:rPr>
          <w:i/>
        </w:rPr>
        <w:t>embarazos saludables</w:t>
      </w:r>
      <w:r w:rsidRPr="004B2498">
        <w:rPr>
          <w:lang w:eastAsia="fr-FR" w:bidi="fr-FR"/>
        </w:rPr>
        <w:t xml:space="preserve"> (grossesses saines) ait très peu de connexions avec </w:t>
      </w:r>
      <w:r w:rsidRPr="007776CD">
        <w:rPr>
          <w:i/>
        </w:rPr>
        <w:t>Oportunidades</w:t>
      </w:r>
      <w:r w:rsidRPr="004B2498">
        <w:t>.</w:t>
      </w:r>
      <w:r w:rsidRPr="004B2498">
        <w:rPr>
          <w:lang w:eastAsia="fr-FR" w:bidi="fr-FR"/>
        </w:rPr>
        <w:t xml:space="preserve"> Mais au-delà de ces considérations, la planific</w:t>
      </w:r>
      <w:r w:rsidRPr="004B2498">
        <w:rPr>
          <w:lang w:eastAsia="fr-FR" w:bidi="fr-FR"/>
        </w:rPr>
        <w:t>a</w:t>
      </w:r>
      <w:r w:rsidRPr="004B2498">
        <w:rPr>
          <w:lang w:eastAsia="fr-FR" w:bidi="fr-FR"/>
        </w:rPr>
        <w:t>tion de programmes sociaux comme Grossesses saines s’avère fr</w:t>
      </w:r>
      <w:r w:rsidRPr="004B2498">
        <w:rPr>
          <w:lang w:eastAsia="fr-FR" w:bidi="fr-FR"/>
        </w:rPr>
        <w:t>é</w:t>
      </w:r>
      <w:r w:rsidRPr="004B2498">
        <w:rPr>
          <w:lang w:eastAsia="fr-FR" w:bidi="fr-FR"/>
        </w:rPr>
        <w:t>quemment utopique : il présuppose en effet que les femmes sont libres de se rendre dans les centres de soins à plusieurs dizaines de kilom</w:t>
      </w:r>
      <w:r w:rsidRPr="004B2498">
        <w:rPr>
          <w:lang w:eastAsia="fr-FR" w:bidi="fr-FR"/>
        </w:rPr>
        <w:t>è</w:t>
      </w:r>
      <w:r w:rsidRPr="004B2498">
        <w:rPr>
          <w:lang w:eastAsia="fr-FR" w:bidi="fr-FR"/>
        </w:rPr>
        <w:t>tres avec le</w:t>
      </w:r>
      <w:r w:rsidRPr="004B2498">
        <w:t xml:space="preserve"> [284]</w:t>
      </w:r>
      <w:r>
        <w:t xml:space="preserve"> </w:t>
      </w:r>
      <w:r w:rsidRPr="004B2498">
        <w:rPr>
          <w:lang w:eastAsia="fr-FR" w:bidi="fr-FR"/>
        </w:rPr>
        <w:t>consentement de leurs maris ou de la famille, alors que de te</w:t>
      </w:r>
      <w:r w:rsidRPr="004B2498">
        <w:rPr>
          <w:lang w:eastAsia="fr-FR" w:bidi="fr-FR"/>
        </w:rPr>
        <w:t>l</w:t>
      </w:r>
      <w:r w:rsidRPr="004B2498">
        <w:rPr>
          <w:lang w:eastAsia="fr-FR" w:bidi="fr-FR"/>
        </w:rPr>
        <w:t>les dépenses sont, bien souvent, interdites aux femmes qui n’ont pas a</w:t>
      </w:r>
      <w:r w:rsidRPr="004B2498">
        <w:rPr>
          <w:lang w:eastAsia="fr-FR" w:bidi="fr-FR"/>
        </w:rPr>
        <w:t>c</w:t>
      </w:r>
      <w:r w:rsidRPr="004B2498">
        <w:rPr>
          <w:lang w:eastAsia="fr-FR" w:bidi="fr-FR"/>
        </w:rPr>
        <w:t xml:space="preserve">cès aux finances du couple. Le programme social portant sur la santé maternelle fait ainsi appel </w:t>
      </w:r>
      <w:r w:rsidRPr="004B2498">
        <w:t xml:space="preserve">à </w:t>
      </w:r>
      <w:r w:rsidRPr="004B2498">
        <w:rPr>
          <w:lang w:eastAsia="fr-FR" w:bidi="fr-FR"/>
        </w:rPr>
        <w:t>« un genre positif » qui post</w:t>
      </w:r>
      <w:r w:rsidRPr="004B2498">
        <w:rPr>
          <w:lang w:eastAsia="fr-FR" w:bidi="fr-FR"/>
        </w:rPr>
        <w:t>u</w:t>
      </w:r>
      <w:r w:rsidRPr="004B2498">
        <w:rPr>
          <w:lang w:eastAsia="fr-FR" w:bidi="fr-FR"/>
        </w:rPr>
        <w:t>le des fe</w:t>
      </w:r>
      <w:r w:rsidRPr="004B2498">
        <w:rPr>
          <w:lang w:eastAsia="fr-FR" w:bidi="fr-FR"/>
        </w:rPr>
        <w:t>m</w:t>
      </w:r>
      <w:r w:rsidRPr="004B2498">
        <w:rPr>
          <w:lang w:eastAsia="fr-FR" w:bidi="fr-FR"/>
        </w:rPr>
        <w:t xml:space="preserve">mes aptes </w:t>
      </w:r>
      <w:r w:rsidRPr="004B2498">
        <w:t xml:space="preserve">à </w:t>
      </w:r>
      <w:r w:rsidRPr="004B2498">
        <w:rPr>
          <w:lang w:eastAsia="fr-FR" w:bidi="fr-FR"/>
        </w:rPr>
        <w:t xml:space="preserve">accéder </w:t>
      </w:r>
      <w:r w:rsidRPr="004B2498">
        <w:t xml:space="preserve">à </w:t>
      </w:r>
      <w:r w:rsidRPr="004B2498">
        <w:rPr>
          <w:lang w:eastAsia="fr-FR" w:bidi="fr-FR"/>
        </w:rPr>
        <w:t>tous les bienfaits sociaux dans une grande autonomie individuelle. On voit, ici, les limites de la discrim</w:t>
      </w:r>
      <w:r w:rsidRPr="004B2498">
        <w:rPr>
          <w:lang w:eastAsia="fr-FR" w:bidi="fr-FR"/>
        </w:rPr>
        <w:t>i</w:t>
      </w:r>
      <w:r w:rsidRPr="004B2498">
        <w:rPr>
          <w:lang w:eastAsia="fr-FR" w:bidi="fr-FR"/>
        </w:rPr>
        <w:t>nation pos</w:t>
      </w:r>
      <w:r w:rsidRPr="004B2498">
        <w:rPr>
          <w:lang w:eastAsia="fr-FR" w:bidi="fr-FR"/>
        </w:rPr>
        <w:t>i</w:t>
      </w:r>
      <w:r w:rsidRPr="004B2498">
        <w:rPr>
          <w:lang w:eastAsia="fr-FR" w:bidi="fr-FR"/>
        </w:rPr>
        <w:t>tive qui entend fournir des services sociaux spécifiques aux fe</w:t>
      </w:r>
      <w:r w:rsidRPr="004B2498">
        <w:rPr>
          <w:lang w:eastAsia="fr-FR" w:bidi="fr-FR"/>
        </w:rPr>
        <w:t>m</w:t>
      </w:r>
      <w:r w:rsidRPr="004B2498">
        <w:rPr>
          <w:lang w:eastAsia="fr-FR" w:bidi="fr-FR"/>
        </w:rPr>
        <w:t>mes sans parvenir à situer la position réelle de ces dernières dans le champ social rural et indigène. De nombreuses études, et les fe</w:t>
      </w:r>
      <w:r w:rsidRPr="004B2498">
        <w:rPr>
          <w:lang w:eastAsia="fr-FR" w:bidi="fr-FR"/>
        </w:rPr>
        <w:t>m</w:t>
      </w:r>
      <w:r w:rsidRPr="004B2498">
        <w:rPr>
          <w:lang w:eastAsia="fr-FR" w:bidi="fr-FR"/>
        </w:rPr>
        <w:t>mes de ces régions elles-mêmes </w:t>
      </w:r>
      <w:r>
        <w:rPr>
          <w:rStyle w:val="Appelnotedebasdep"/>
          <w:lang w:eastAsia="fr-FR" w:bidi="fr-FR"/>
        </w:rPr>
        <w:footnoteReference w:id="211"/>
      </w:r>
      <w:r w:rsidRPr="004B2498">
        <w:rPr>
          <w:lang w:eastAsia="fr-FR" w:bidi="fr-FR"/>
        </w:rPr>
        <w:t>, signalaient également une abse</w:t>
      </w:r>
      <w:r w:rsidRPr="004B2498">
        <w:rPr>
          <w:lang w:eastAsia="fr-FR" w:bidi="fr-FR"/>
        </w:rPr>
        <w:t>n</w:t>
      </w:r>
      <w:r w:rsidRPr="004B2498">
        <w:rPr>
          <w:lang w:eastAsia="fr-FR" w:bidi="fr-FR"/>
        </w:rPr>
        <w:t>ce totale de prise en compte des croyances et « régimes de genre » locaux qui modulent les concepts de grossesse et de maternité très di</w:t>
      </w:r>
      <w:r w:rsidRPr="004B2498">
        <w:rPr>
          <w:lang w:eastAsia="fr-FR" w:bidi="fr-FR"/>
        </w:rPr>
        <w:t>f</w:t>
      </w:r>
      <w:r w:rsidRPr="004B2498">
        <w:rPr>
          <w:lang w:eastAsia="fr-FR" w:bidi="fr-FR"/>
        </w:rPr>
        <w:t>féremment s</w:t>
      </w:r>
      <w:r w:rsidRPr="004B2498">
        <w:rPr>
          <w:lang w:eastAsia="fr-FR" w:bidi="fr-FR"/>
        </w:rPr>
        <w:t>e</w:t>
      </w:r>
      <w:r w:rsidRPr="004B2498">
        <w:rPr>
          <w:lang w:eastAsia="fr-FR" w:bidi="fr-FR"/>
        </w:rPr>
        <w:t>lon les régions et les groupes indigènes. Le genre promu par ces pr</w:t>
      </w:r>
      <w:r w:rsidRPr="004B2498">
        <w:rPr>
          <w:lang w:eastAsia="fr-FR" w:bidi="fr-FR"/>
        </w:rPr>
        <w:t>o</w:t>
      </w:r>
      <w:r w:rsidRPr="004B2498">
        <w:rPr>
          <w:lang w:eastAsia="fr-FR" w:bidi="fr-FR"/>
        </w:rPr>
        <w:t>grammes se déploie alors dans un vide conceptuel prégnant qui pr</w:t>
      </w:r>
      <w:r w:rsidRPr="004B2498">
        <w:rPr>
          <w:lang w:eastAsia="fr-FR" w:bidi="fr-FR"/>
        </w:rPr>
        <w:t>é</w:t>
      </w:r>
      <w:r w:rsidRPr="004B2498">
        <w:rPr>
          <w:lang w:eastAsia="fr-FR" w:bidi="fr-FR"/>
        </w:rPr>
        <w:t>suppose des « femmes » vivant toutes les mêmes conditions soci</w:t>
      </w:r>
      <w:r w:rsidRPr="004B2498">
        <w:rPr>
          <w:lang w:eastAsia="fr-FR" w:bidi="fr-FR"/>
        </w:rPr>
        <w:t>a</w:t>
      </w:r>
      <w:r w:rsidRPr="004B2498">
        <w:rPr>
          <w:lang w:eastAsia="fr-FR" w:bidi="fr-FR"/>
        </w:rPr>
        <w:t>les d’accès aux soins ou les mêmes catégories sociétales « grossesse » et « maternité ». L’illettrisme de nombre de ces femmes ne leur pe</w:t>
      </w:r>
      <w:r w:rsidRPr="004B2498">
        <w:rPr>
          <w:lang w:eastAsia="fr-FR" w:bidi="fr-FR"/>
        </w:rPr>
        <w:t>r</w:t>
      </w:r>
      <w:r w:rsidRPr="004B2498">
        <w:rPr>
          <w:lang w:eastAsia="fr-FR" w:bidi="fr-FR"/>
        </w:rPr>
        <w:t xml:space="preserve">met pas non plus de présenter les documents prouvant leur qualité d’ayants droit </w:t>
      </w:r>
      <w:r w:rsidRPr="004B2498">
        <w:t>(</w:t>
      </w:r>
      <w:r w:rsidRPr="007776CD">
        <w:rPr>
          <w:i/>
        </w:rPr>
        <w:t>derechohabientes</w:t>
      </w:r>
      <w:r w:rsidRPr="004B2498">
        <w:t>)</w:t>
      </w:r>
      <w:r w:rsidRPr="004B2498">
        <w:rPr>
          <w:lang w:eastAsia="fr-FR" w:bidi="fr-FR"/>
        </w:rPr>
        <w:t xml:space="preserve"> ou de donner les preuves de leur situation précaire.</w:t>
      </w:r>
    </w:p>
    <w:p w14:paraId="307907CE" w14:textId="77777777" w:rsidR="002F4063" w:rsidRPr="004B2498" w:rsidRDefault="002F4063" w:rsidP="002F4063">
      <w:pPr>
        <w:spacing w:before="120" w:after="120"/>
        <w:jc w:val="both"/>
      </w:pPr>
      <w:r w:rsidRPr="004B2498">
        <w:rPr>
          <w:lang w:eastAsia="fr-FR" w:bidi="fr-FR"/>
        </w:rPr>
        <w:t>Un autre facteur extrêmement important réside dans l’absence de formation des personnels médicaux qui perçoivent bien souvent leur séjour en zone rurale et indigène comme un déclassement administr</w:t>
      </w:r>
      <w:r w:rsidRPr="004B2498">
        <w:rPr>
          <w:lang w:eastAsia="fr-FR" w:bidi="fr-FR"/>
        </w:rPr>
        <w:t>a</w:t>
      </w:r>
      <w:r w:rsidRPr="004B2498">
        <w:rPr>
          <w:lang w:eastAsia="fr-FR" w:bidi="fr-FR"/>
        </w:rPr>
        <w:t>tif et disciplinaire. Ces mêmes personnels n’ont reçu aucune formation intégrant une « perspective de genre » et n’ont aucune idée des d</w:t>
      </w:r>
      <w:r w:rsidRPr="004B2498">
        <w:rPr>
          <w:lang w:eastAsia="fr-FR" w:bidi="fr-FR"/>
        </w:rPr>
        <w:t>é</w:t>
      </w:r>
      <w:r w:rsidRPr="004B2498">
        <w:rPr>
          <w:lang w:eastAsia="fr-FR" w:bidi="fr-FR"/>
        </w:rPr>
        <w:t xml:space="preserve">marches </w:t>
      </w:r>
      <w:r w:rsidRPr="004B2498">
        <w:t xml:space="preserve">à </w:t>
      </w:r>
      <w:r w:rsidRPr="004B2498">
        <w:rPr>
          <w:lang w:eastAsia="fr-FR" w:bidi="fr-FR"/>
        </w:rPr>
        <w:t>appliquer pour recevoir les patientes dans l’esprit des pr</w:t>
      </w:r>
      <w:r w:rsidRPr="004B2498">
        <w:rPr>
          <w:lang w:eastAsia="fr-FR" w:bidi="fr-FR"/>
        </w:rPr>
        <w:t>o</w:t>
      </w:r>
      <w:r w:rsidRPr="004B2498">
        <w:rPr>
          <w:lang w:eastAsia="fr-FR" w:bidi="fr-FR"/>
        </w:rPr>
        <w:t xml:space="preserve">grammes avec perspective de genre construits au niveau fédéral. Ils mélangent bien souvent mépris de classe, ethnique et sexiste, donnant ainsi raison aux théories faisant appel </w:t>
      </w:r>
      <w:r w:rsidRPr="004B2498">
        <w:t xml:space="preserve">à </w:t>
      </w:r>
      <w:r w:rsidRPr="004B2498">
        <w:rPr>
          <w:lang w:eastAsia="fr-FR" w:bidi="fr-FR"/>
        </w:rPr>
        <w:t>l’intersectionnalité et faisant des oppressions genrées une catégorie relevant d’une imbrication de rapports sociaux de pouvoir. Les gouvernements locaux, face à de tels écarts entre les orientations des programmes et leur mise en pratique locale, en viennent à sous-traiter analyses et formations aux ONG compétentes. Dès lors, les ONG deviennent les garantes des savoirs de genre et font fonction de courtiers et médiatrices entre les milieux scientifiques et les institutions publiques de santé. Les régimes de s</w:t>
      </w:r>
      <w:r w:rsidRPr="004B2498">
        <w:rPr>
          <w:lang w:eastAsia="fr-FR" w:bidi="fr-FR"/>
        </w:rPr>
        <w:t>a</w:t>
      </w:r>
      <w:r w:rsidRPr="004B2498">
        <w:rPr>
          <w:lang w:eastAsia="fr-FR" w:bidi="fr-FR"/>
        </w:rPr>
        <w:t>voirs risquent de s’entrechoquer et de créer des situations d’incompréhension entre chercheurs-euses pro-féministes des ONG et personnels médicaux, notamment gynécologues obstétriciens, qui n’ont aucunement été préparés à se défaire de leurs préjugés de classe, de sexe et de « race ». Tout le travail pédagogique repose ainsi sur des experts provenant des universités d’État ou</w:t>
      </w:r>
      <w:r>
        <w:t xml:space="preserve"> </w:t>
      </w:r>
      <w:r w:rsidRPr="004B2498">
        <w:t>[285]</w:t>
      </w:r>
      <w:r>
        <w:t xml:space="preserve"> </w:t>
      </w:r>
      <w:r w:rsidRPr="004B2498">
        <w:rPr>
          <w:lang w:eastAsia="fr-FR" w:bidi="fr-FR"/>
        </w:rPr>
        <w:t>de la capitale - avec les risques inhérents à leur extériorité par ra</w:t>
      </w:r>
      <w:r w:rsidRPr="004B2498">
        <w:rPr>
          <w:lang w:eastAsia="fr-FR" w:bidi="fr-FR"/>
        </w:rPr>
        <w:t>p</w:t>
      </w:r>
      <w:r w:rsidRPr="004B2498">
        <w:rPr>
          <w:lang w:eastAsia="fr-FR" w:bidi="fr-FR"/>
        </w:rPr>
        <w:t>port aux contextes et jeux de pouvoirs locaux - qui travaillent sous la supervision d’une structure « ONG ».</w:t>
      </w:r>
    </w:p>
    <w:p w14:paraId="2E2D49E5" w14:textId="77777777" w:rsidR="002F4063" w:rsidRPr="004B2498" w:rsidRDefault="002F4063" w:rsidP="002F4063">
      <w:pPr>
        <w:spacing w:before="120" w:after="120"/>
        <w:jc w:val="both"/>
      </w:pPr>
      <w:r w:rsidRPr="004B2498">
        <w:rPr>
          <w:lang w:eastAsia="fr-FR" w:bidi="fr-FR"/>
        </w:rPr>
        <w:t>La mise en pratique effective des savoirs de genre en possession des ONG est également problématique. Certain-e-s « expert-e-s » sont relativement inexpérimenté-e-s sur des thématiques éloignées de leur domaine de compétence. Cela conduit à l’application rapide de m</w:t>
      </w:r>
      <w:r w:rsidRPr="004B2498">
        <w:rPr>
          <w:lang w:eastAsia="fr-FR" w:bidi="fr-FR"/>
        </w:rPr>
        <w:t>é</w:t>
      </w:r>
      <w:r w:rsidRPr="004B2498">
        <w:rPr>
          <w:lang w:eastAsia="fr-FR" w:bidi="fr-FR"/>
        </w:rPr>
        <w:t>thodologies généralistes. L’ONG pour laquelle j’ai travaillé, dans l’État de Veracruz, édite un certain nombre de manuels développant des pratiques pédagogiques et d’intervention auprès de divers publics. Cependant, la plupart des ateliers qui y sont proposés s’adressent à des populations jeunes (publics adolescents et enfants) et correspondent mal aux formations qui doivent être dispensées à des professionnels de santé. L’expertise repose conséquemment sur le plus qualifié des membres de l’organisation, son fondateur. Expert en santé publique et médecin, ce dernier permet d’attirer les fonds publics par le biais de son capital social et politique, localement considérable. Bien que son expertise soit incontestable, celle des autres membres de l’ONG l’est nettement moins. Ne pouvant assurer seul la formation de tous les groupes de fonctionnaires des centres de soins de la région visée par le financement de l’Institut des femmes, il a dû transmettre un maximum de documents aux personnes en charge des formations et s’en remettre à moi pour la compilation de la bibliographie et la rédaction d’un ra</w:t>
      </w:r>
      <w:r w:rsidRPr="004B2498">
        <w:rPr>
          <w:lang w:eastAsia="fr-FR" w:bidi="fr-FR"/>
        </w:rPr>
        <w:t>p</w:t>
      </w:r>
      <w:r w:rsidRPr="004B2498">
        <w:rPr>
          <w:lang w:eastAsia="fr-FR" w:bidi="fr-FR"/>
        </w:rPr>
        <w:t>port de cinquante pages sur la mortalité maternelle en zone indigène en Amérique latine. La mobilisation des savoirs de genre idoines et appropriés dépend grandement de la présence de chercheurs-euses activistes, aptes à répondre aux demandes publiques spécifiques. La réalisation des tâches spécialisées ne peut cependant s’appuyer sur l’unique expertise d’une ou deux personnes et ce sont les conditions même de travail au sein des ONG qui constituent potentiellement de nouvelles problématiques à intégrer et conceptualiser. La précarité du travail au sein de ces organisations de la société civile (en réalité très liées à la recherche universitaire) et la recherche frénétique de fonds et de projets de développement ont conduit la plupart des membres de l’équipe devant participer aux formations en zone indigène à se prép</w:t>
      </w:r>
      <w:r w:rsidRPr="004B2498">
        <w:rPr>
          <w:lang w:eastAsia="fr-FR" w:bidi="fr-FR"/>
        </w:rPr>
        <w:t>a</w:t>
      </w:r>
      <w:r w:rsidRPr="004B2498">
        <w:rPr>
          <w:lang w:eastAsia="fr-FR" w:bidi="fr-FR"/>
        </w:rPr>
        <w:t>rer très succinctement et à se reposer sur des acquis pédagogiques o</w:t>
      </w:r>
      <w:r w:rsidRPr="004B2498">
        <w:rPr>
          <w:lang w:eastAsia="fr-FR" w:bidi="fr-FR"/>
        </w:rPr>
        <w:t>b</w:t>
      </w:r>
      <w:r w:rsidRPr="004B2498">
        <w:rPr>
          <w:lang w:eastAsia="fr-FR" w:bidi="fr-FR"/>
        </w:rPr>
        <w:t>tenus dans des conditions diverses d’enseignement. Les retards su</w:t>
      </w:r>
      <w:r w:rsidRPr="004B2498">
        <w:rPr>
          <w:lang w:eastAsia="fr-FR" w:bidi="fr-FR"/>
        </w:rPr>
        <w:t>c</w:t>
      </w:r>
      <w:r w:rsidRPr="004B2498">
        <w:rPr>
          <w:lang w:eastAsia="fr-FR" w:bidi="fr-FR"/>
        </w:rPr>
        <w:t>cessifs dans l’octroi des financements nécessaires n’ont pas facilité la tâche des membres de l’ONG qui n’ont su qu’à la dernière heure quand ils allaient pouvoir partir dans le Sud de l’État. C’est ainsi que, pris par plusieurs autres projets et la recherche de financements, un certain nombre de « facilitateurs » de formations et ateliers sont partis sans bien maîtriser la complexité spécifique des savoirs de genre à mobiliser. Nous pouvons ainsi ajouter à la fragmentation des instit</w:t>
      </w:r>
      <w:r w:rsidRPr="004B2498">
        <w:rPr>
          <w:lang w:eastAsia="fr-FR" w:bidi="fr-FR"/>
        </w:rPr>
        <w:t>u</w:t>
      </w:r>
      <w:r w:rsidRPr="004B2498">
        <w:rPr>
          <w:lang w:eastAsia="fr-FR" w:bidi="fr-FR"/>
        </w:rPr>
        <w:t>tions publiques, celle des savoirs qui</w:t>
      </w:r>
      <w:r w:rsidRPr="004B2498">
        <w:t xml:space="preserve"> [286]</w:t>
      </w:r>
      <w:r>
        <w:t xml:space="preserve"> </w:t>
      </w:r>
      <w:r w:rsidRPr="004B2498">
        <w:rPr>
          <w:lang w:eastAsia="fr-FR" w:bidi="fr-FR"/>
        </w:rPr>
        <w:t>sont construits autour du genre. Une bonne connaissance des problématiques de la violence e</w:t>
      </w:r>
      <w:r w:rsidRPr="004B2498">
        <w:rPr>
          <w:lang w:eastAsia="fr-FR" w:bidi="fr-FR"/>
        </w:rPr>
        <w:t>n</w:t>
      </w:r>
      <w:r w:rsidRPr="004B2498">
        <w:rPr>
          <w:lang w:eastAsia="fr-FR" w:bidi="fr-FR"/>
        </w:rPr>
        <w:t>vers les femmes n’est pas suffisante pour former les personnels de santé qui doivent se confronter à la mortalité maternelle et infantile des populations indigènes. De plus la spécificité des régimes de genre et « arrangements des sexes » des populations indigènes rend la fo</w:t>
      </w:r>
      <w:r w:rsidRPr="004B2498">
        <w:rPr>
          <w:lang w:eastAsia="fr-FR" w:bidi="fr-FR"/>
        </w:rPr>
        <w:t>r</w:t>
      </w:r>
      <w:r w:rsidRPr="004B2498">
        <w:rPr>
          <w:lang w:eastAsia="fr-FR" w:bidi="fr-FR"/>
        </w:rPr>
        <w:t>mation des formateurs essentielle à la bonne conduite des cycles d’ateliers de sensibilisation des médecins et infi</w:t>
      </w:r>
      <w:r w:rsidRPr="004B2498">
        <w:rPr>
          <w:lang w:eastAsia="fr-FR" w:bidi="fr-FR"/>
        </w:rPr>
        <w:t>r</w:t>
      </w:r>
      <w:r w:rsidRPr="004B2498">
        <w:rPr>
          <w:lang w:eastAsia="fr-FR" w:bidi="fr-FR"/>
        </w:rPr>
        <w:t>mières.</w:t>
      </w:r>
    </w:p>
    <w:p w14:paraId="1A78AACA" w14:textId="77777777" w:rsidR="002F4063" w:rsidRPr="004B2498" w:rsidRDefault="002F4063" w:rsidP="002F4063">
      <w:pPr>
        <w:spacing w:before="120" w:after="120"/>
        <w:jc w:val="both"/>
      </w:pPr>
      <w:r w:rsidRPr="004B2498">
        <w:rPr>
          <w:lang w:eastAsia="fr-FR" w:bidi="fr-FR"/>
        </w:rPr>
        <w:t>La spécialisation croissante des savoirs de genre échappe de plus en plus à des leaders d’ONG obnubilé-e-s par la survie immédiate de l’organisation : la possibilité d’un temps de formation est exclue, en dehors de bourses individuellement obtenues par les travailleurs-euses en ONG. Les rendements différentiels des prestations peuvent égal</w:t>
      </w:r>
      <w:r w:rsidRPr="004B2498">
        <w:rPr>
          <w:lang w:eastAsia="fr-FR" w:bidi="fr-FR"/>
        </w:rPr>
        <w:t>e</w:t>
      </w:r>
      <w:r w:rsidRPr="004B2498">
        <w:rPr>
          <w:lang w:eastAsia="fr-FR" w:bidi="fr-FR"/>
        </w:rPr>
        <w:t>ment constituer un obstacle insurmontable : il est ainsi notoire que les dirigeants de certaines ONG vont maximiser leur investissement dans les grands projets publics et philanthropiques et négliger les initiatives moins importantes qui constituent à la fois des bases mineures de r</w:t>
      </w:r>
      <w:r w:rsidRPr="004B2498">
        <w:rPr>
          <w:lang w:eastAsia="fr-FR" w:bidi="fr-FR"/>
        </w:rPr>
        <w:t>e</w:t>
      </w:r>
      <w:r w:rsidRPr="004B2498">
        <w:rPr>
          <w:lang w:eastAsia="fr-FR" w:bidi="fr-FR"/>
        </w:rPr>
        <w:t>nouvellement de leur capital politique et des sources de revenus dive</w:t>
      </w:r>
      <w:r w:rsidRPr="004B2498">
        <w:rPr>
          <w:lang w:eastAsia="fr-FR" w:bidi="fr-FR"/>
        </w:rPr>
        <w:t>r</w:t>
      </w:r>
      <w:r w:rsidRPr="004B2498">
        <w:rPr>
          <w:lang w:eastAsia="fr-FR" w:bidi="fr-FR"/>
        </w:rPr>
        <w:t xml:space="preserve">sifiées en temps de crise du financement public et international. La mise en pratique du genre dans un projet de quelques semaines ne permet ni une nouvelle formation nécessaire ni la mise </w:t>
      </w:r>
      <w:r w:rsidRPr="004B2498">
        <w:rPr>
          <w:rStyle w:val="Corpsdutexte29ptEspacement0pt"/>
          <w:color w:val="auto"/>
          <w:spacing w:val="0"/>
          <w:sz w:val="28"/>
        </w:rPr>
        <w:t xml:space="preserve">à </w:t>
      </w:r>
      <w:r w:rsidRPr="004B2498">
        <w:rPr>
          <w:lang w:eastAsia="fr-FR" w:bidi="fr-FR"/>
        </w:rPr>
        <w:t xml:space="preserve">niveau des membres qui sont, de surcroît, bien souvent investis dans l’écriture de rapports et de projets en réponse </w:t>
      </w:r>
      <w:r w:rsidRPr="004B2498">
        <w:rPr>
          <w:rStyle w:val="Corpsdutexte29ptEspacement0pt"/>
          <w:color w:val="auto"/>
          <w:spacing w:val="0"/>
          <w:sz w:val="28"/>
        </w:rPr>
        <w:t xml:space="preserve">à </w:t>
      </w:r>
      <w:r w:rsidRPr="004B2498">
        <w:rPr>
          <w:lang w:eastAsia="fr-FR" w:bidi="fr-FR"/>
        </w:rPr>
        <w:t>des appels d’offres publics. Ce ge</w:t>
      </w:r>
      <w:r w:rsidRPr="004B2498">
        <w:rPr>
          <w:lang w:eastAsia="fr-FR" w:bidi="fr-FR"/>
        </w:rPr>
        <w:t>n</w:t>
      </w:r>
      <w:r w:rsidRPr="004B2498">
        <w:rPr>
          <w:lang w:eastAsia="fr-FR" w:bidi="fr-FR"/>
        </w:rPr>
        <w:t>re-pratique en ONG, plus solidement ancré dans l’histoire des organ</w:t>
      </w:r>
      <w:r w:rsidRPr="004B2498">
        <w:rPr>
          <w:lang w:eastAsia="fr-FR" w:bidi="fr-FR"/>
        </w:rPr>
        <w:t>i</w:t>
      </w:r>
      <w:r w:rsidRPr="004B2498">
        <w:rPr>
          <w:lang w:eastAsia="fr-FR" w:bidi="fr-FR"/>
        </w:rPr>
        <w:t xml:space="preserve">sations et plus aisément mobilisé par les militant-e-s/chercheurs-euses des ONG que dans les institutions publiques, n’en est pas pour autant adaptable et modulable </w:t>
      </w:r>
      <w:r w:rsidRPr="004B2498">
        <w:rPr>
          <w:rStyle w:val="Corpsdutexte29ptEspacement0pt"/>
          <w:color w:val="auto"/>
          <w:spacing w:val="0"/>
          <w:sz w:val="28"/>
        </w:rPr>
        <w:t xml:space="preserve">à </w:t>
      </w:r>
      <w:r w:rsidRPr="004B2498">
        <w:rPr>
          <w:lang w:eastAsia="fr-FR" w:bidi="fr-FR"/>
        </w:rPr>
        <w:t>toute situation d’intervention. C’est cepe</w:t>
      </w:r>
      <w:r w:rsidRPr="004B2498">
        <w:rPr>
          <w:lang w:eastAsia="fr-FR" w:bidi="fr-FR"/>
        </w:rPr>
        <w:t>n</w:t>
      </w:r>
      <w:r w:rsidRPr="004B2498">
        <w:rPr>
          <w:lang w:eastAsia="fr-FR" w:bidi="fr-FR"/>
        </w:rPr>
        <w:t>dant une telle situation qui s’est présentée dans ce cas précis. La pl</w:t>
      </w:r>
      <w:r w:rsidRPr="004B2498">
        <w:rPr>
          <w:lang w:eastAsia="fr-FR" w:bidi="fr-FR"/>
        </w:rPr>
        <w:t>u</w:t>
      </w:r>
      <w:r w:rsidRPr="004B2498">
        <w:rPr>
          <w:lang w:eastAsia="fr-FR" w:bidi="fr-FR"/>
        </w:rPr>
        <w:t xml:space="preserve">part des intervenants sélectionnés dans ces formations maîtrisaient mal la complexité du secteur santé et la singularité des problématiques genrées liées à la santé reproductive et </w:t>
      </w:r>
      <w:r w:rsidRPr="004B2498">
        <w:rPr>
          <w:rStyle w:val="Corpsdutexte29ptEspacement0pt"/>
          <w:color w:val="auto"/>
          <w:spacing w:val="0"/>
          <w:sz w:val="28"/>
        </w:rPr>
        <w:t xml:space="preserve">à </w:t>
      </w:r>
      <w:r w:rsidRPr="004B2498">
        <w:rPr>
          <w:lang w:eastAsia="fr-FR" w:bidi="fr-FR"/>
        </w:rPr>
        <w:t xml:space="preserve">la mortalité maternelle. Alors que les grandes ONG de Mexico intègrent directement les spécialistes de renommée continentale </w:t>
      </w:r>
      <w:r w:rsidRPr="004B2498">
        <w:rPr>
          <w:rStyle w:val="Corpsdutexte29ptEspacement0pt"/>
          <w:color w:val="auto"/>
          <w:spacing w:val="0"/>
          <w:sz w:val="28"/>
        </w:rPr>
        <w:t xml:space="preserve">à </w:t>
      </w:r>
      <w:r w:rsidRPr="004B2498">
        <w:rPr>
          <w:lang w:eastAsia="fr-FR" w:bidi="fr-FR"/>
        </w:rPr>
        <w:t>leurs actions, les organisations locales en sont réduites à une course effrénée vers la gestion rapide et la prépar</w:t>
      </w:r>
      <w:r w:rsidRPr="004B2498">
        <w:rPr>
          <w:lang w:eastAsia="fr-FR" w:bidi="fr-FR"/>
        </w:rPr>
        <w:t>a</w:t>
      </w:r>
      <w:r w:rsidRPr="004B2498">
        <w:rPr>
          <w:lang w:eastAsia="fr-FR" w:bidi="fr-FR"/>
        </w:rPr>
        <w:t>tion minimale de leurs interventions sur des problématiques non m</w:t>
      </w:r>
      <w:r w:rsidRPr="004B2498">
        <w:rPr>
          <w:lang w:eastAsia="fr-FR" w:bidi="fr-FR"/>
        </w:rPr>
        <w:t>e</w:t>
      </w:r>
      <w:r w:rsidRPr="004B2498">
        <w:rPr>
          <w:lang w:eastAsia="fr-FR" w:bidi="fr-FR"/>
        </w:rPr>
        <w:t xml:space="preserve">surées. Le différerentiel de préparation tient beaucoup </w:t>
      </w:r>
      <w:r w:rsidRPr="004B2498">
        <w:rPr>
          <w:rStyle w:val="Corpsdutexte29ptEspacement0pt"/>
          <w:color w:val="auto"/>
          <w:spacing w:val="0"/>
          <w:sz w:val="28"/>
        </w:rPr>
        <w:t xml:space="preserve">à </w:t>
      </w:r>
      <w:r w:rsidRPr="004B2498">
        <w:rPr>
          <w:lang w:eastAsia="fr-FR" w:bidi="fr-FR"/>
        </w:rPr>
        <w:t xml:space="preserve">l’ampleur des projets et des fonds alloués. Un </w:t>
      </w:r>
      <w:r w:rsidRPr="005B267B">
        <w:rPr>
          <w:i/>
        </w:rPr>
        <w:t>think tank</w:t>
      </w:r>
      <w:r w:rsidRPr="004B2498">
        <w:rPr>
          <w:lang w:eastAsia="fr-FR" w:bidi="fr-FR"/>
        </w:rPr>
        <w:t xml:space="preserve"> de la capitale, fondé par de grandes figures scientifiques, a pu préparer une approche de la santé maternelle dans un cadre scientifique et administratif bien différent :</w:t>
      </w:r>
    </w:p>
    <w:p w14:paraId="223CBDA2" w14:textId="77777777" w:rsidR="002F4063" w:rsidRDefault="002F4063" w:rsidP="002F4063">
      <w:pPr>
        <w:pStyle w:val="Grillecouleur-Accent1"/>
        <w:rPr>
          <w:lang w:eastAsia="fr-FR" w:bidi="fr-FR"/>
        </w:rPr>
      </w:pPr>
    </w:p>
    <w:p w14:paraId="0F43B6D0" w14:textId="77777777" w:rsidR="002F4063" w:rsidRDefault="002F4063" w:rsidP="002F4063">
      <w:pPr>
        <w:pStyle w:val="Grillecouleur-Accent1"/>
        <w:rPr>
          <w:lang w:eastAsia="fr-FR" w:bidi="fr-FR"/>
        </w:rPr>
      </w:pPr>
      <w:r w:rsidRPr="004B2498">
        <w:rPr>
          <w:lang w:eastAsia="fr-FR" w:bidi="fr-FR"/>
        </w:rPr>
        <w:t>« Nous avons développé le thème de la mortalité maternelle. C’est un projet pilote financé par MacArthur. Dans ce cadre ont travaillé deux chercheuses de Province, une du Chiapas et l’autre de Oaxaca, qui avait travaillé sur le projet commun Fundar-Equidad. Et ce sont deux féministes « historiques » mexicaines et qui sont dans les ONG et les universités. Avec ces personnes, on a présenté ce projet à MacArthur qui</w:t>
      </w:r>
      <w:r w:rsidRPr="004B2498">
        <w:t xml:space="preserve"> [287]</w:t>
      </w:r>
      <w:r>
        <w:t xml:space="preserve"> </w:t>
      </w:r>
      <w:r w:rsidRPr="004B2498">
        <w:rPr>
          <w:lang w:eastAsia="fr-FR" w:bidi="fr-FR"/>
        </w:rPr>
        <w:t>l’a a</w:t>
      </w:r>
      <w:r w:rsidRPr="004B2498">
        <w:rPr>
          <w:lang w:eastAsia="fr-FR" w:bidi="fr-FR"/>
        </w:rPr>
        <w:t>p</w:t>
      </w:r>
      <w:r w:rsidRPr="004B2498">
        <w:rPr>
          <w:lang w:eastAsia="fr-FR" w:bidi="fr-FR"/>
        </w:rPr>
        <w:t>prouvé. Le travail de terrain devait être dirigé par Graciela Freyemunt et Marta Castaneda qui se basaient sur le travail déjà a</w:t>
      </w:r>
      <w:r w:rsidRPr="004B2498">
        <w:rPr>
          <w:lang w:eastAsia="fr-FR" w:bidi="fr-FR"/>
        </w:rPr>
        <w:t>c</w:t>
      </w:r>
      <w:r w:rsidRPr="004B2498">
        <w:rPr>
          <w:lang w:eastAsia="fr-FR" w:bidi="fr-FR"/>
        </w:rPr>
        <w:t>cumulé. Ce qu’elles ont étudié fut un programme du Secretaria de Salud, qui était un pr</w:t>
      </w:r>
      <w:r w:rsidRPr="004B2498">
        <w:rPr>
          <w:lang w:eastAsia="fr-FR" w:bidi="fr-FR"/>
        </w:rPr>
        <w:t>o</w:t>
      </w:r>
      <w:r w:rsidRPr="004B2498">
        <w:rPr>
          <w:lang w:eastAsia="fr-FR" w:bidi="fr-FR"/>
        </w:rPr>
        <w:t>gramme avec des études de terrain très poussées. C’était un des progra</w:t>
      </w:r>
      <w:r w:rsidRPr="004B2498">
        <w:rPr>
          <w:lang w:eastAsia="fr-FR" w:bidi="fr-FR"/>
        </w:rPr>
        <w:t>m</w:t>
      </w:r>
      <w:r w:rsidRPr="004B2498">
        <w:rPr>
          <w:lang w:eastAsia="fr-FR" w:bidi="fr-FR"/>
        </w:rPr>
        <w:t>mes phares de la lutte contre la pauvreté car il avait pour but d’étendre la couverture maladie aux plus pauvres. C’était un très gros pr</w:t>
      </w:r>
      <w:r w:rsidRPr="004B2498">
        <w:rPr>
          <w:lang w:eastAsia="fr-FR" w:bidi="fr-FR"/>
        </w:rPr>
        <w:t>o</w:t>
      </w:r>
      <w:r w:rsidRPr="004B2498">
        <w:rPr>
          <w:lang w:eastAsia="fr-FR" w:bidi="fr-FR"/>
        </w:rPr>
        <w:t>gramme avec beaucoup d’argent de la Banque mondiale et la population visée princip</w:t>
      </w:r>
      <w:r w:rsidRPr="004B2498">
        <w:rPr>
          <w:lang w:eastAsia="fr-FR" w:bidi="fr-FR"/>
        </w:rPr>
        <w:t>a</w:t>
      </w:r>
      <w:r w:rsidRPr="004B2498">
        <w:rPr>
          <w:lang w:eastAsia="fr-FR" w:bidi="fr-FR"/>
        </w:rPr>
        <w:t>lement par le programme était la « femme ». À travers ces premières r</w:t>
      </w:r>
      <w:r w:rsidRPr="004B2498">
        <w:rPr>
          <w:lang w:eastAsia="fr-FR" w:bidi="fr-FR"/>
        </w:rPr>
        <w:t>e</w:t>
      </w:r>
      <w:r w:rsidRPr="004B2498">
        <w:rPr>
          <w:lang w:eastAsia="fr-FR" w:bidi="fr-FR"/>
        </w:rPr>
        <w:t>cherches, s’est créée une force au sein du mouvement fém</w:t>
      </w:r>
      <w:r w:rsidRPr="004B2498">
        <w:rPr>
          <w:lang w:eastAsia="fr-FR" w:bidi="fr-FR"/>
        </w:rPr>
        <w:t>i</w:t>
      </w:r>
      <w:r w:rsidRPr="004B2498">
        <w:rPr>
          <w:lang w:eastAsia="fr-FR" w:bidi="fr-FR"/>
        </w:rPr>
        <w:t>niste et qui était l’analyse budgétaire, disons dans un premier temps en-soi, puis cela a été étendu à de plus grandes revendications qui ont à voir avec la santé repr</w:t>
      </w:r>
      <w:r w:rsidRPr="004B2498">
        <w:rPr>
          <w:lang w:eastAsia="fr-FR" w:bidi="fr-FR"/>
        </w:rPr>
        <w:t>o</w:t>
      </w:r>
      <w:r w:rsidRPr="004B2498">
        <w:rPr>
          <w:lang w:eastAsia="fr-FR" w:bidi="fr-FR"/>
        </w:rPr>
        <w:t>ductive. Après un an de projet, je me suis chargée de réunir toutes ces femmes du mouvement féministe que tu vas, ou as déjà, rencontrer : Ana Langer, Graciela Freyemut, il y en avait beaucoup. C’était un grand no</w:t>
      </w:r>
      <w:r w:rsidRPr="004B2498">
        <w:rPr>
          <w:lang w:eastAsia="fr-FR" w:bidi="fr-FR"/>
        </w:rPr>
        <w:t>m</w:t>
      </w:r>
      <w:r w:rsidRPr="004B2498">
        <w:rPr>
          <w:lang w:eastAsia="fr-FR" w:bidi="fr-FR"/>
        </w:rPr>
        <w:t>bre de femmes du Comité promotor por una matem</w:t>
      </w:r>
      <w:r w:rsidRPr="004B2498">
        <w:rPr>
          <w:lang w:eastAsia="fr-FR" w:bidi="fr-FR"/>
        </w:rPr>
        <w:t>i</w:t>
      </w:r>
      <w:r w:rsidRPr="004B2498">
        <w:rPr>
          <w:lang w:eastAsia="fr-FR" w:bidi="fr-FR"/>
        </w:rPr>
        <w:t>dad sin riesgo [comité pour la maternité sans risque]. L’expérience de tre</w:t>
      </w:r>
      <w:r w:rsidRPr="004B2498">
        <w:rPr>
          <w:lang w:eastAsia="fr-FR" w:bidi="fr-FR"/>
        </w:rPr>
        <w:t>n</w:t>
      </w:r>
      <w:r w:rsidRPr="004B2498">
        <w:rPr>
          <w:lang w:eastAsia="fr-FR" w:bidi="fr-FR"/>
        </w:rPr>
        <w:t>te ans de ces femmes s’imposait face à celle de Fundar et comme Fu</w:t>
      </w:r>
      <w:r w:rsidRPr="004B2498">
        <w:rPr>
          <w:lang w:eastAsia="fr-FR" w:bidi="fr-FR"/>
        </w:rPr>
        <w:t>n</w:t>
      </w:r>
      <w:r w:rsidRPr="004B2498">
        <w:rPr>
          <w:lang w:eastAsia="fr-FR" w:bidi="fr-FR"/>
        </w:rPr>
        <w:t>dar n’était pas une ONG féministe, nous avions besoin d’elles. C’est Equidad qui nous a aidés à r</w:t>
      </w:r>
      <w:r w:rsidRPr="004B2498">
        <w:rPr>
          <w:lang w:eastAsia="fr-FR" w:bidi="fr-FR"/>
        </w:rPr>
        <w:t>é</w:t>
      </w:r>
      <w:r w:rsidRPr="004B2498">
        <w:rPr>
          <w:lang w:eastAsia="fr-FR" w:bidi="fr-FR"/>
        </w:rPr>
        <w:t>unir toutes ces femmes. L’étude menée par les fém</w:t>
      </w:r>
      <w:r w:rsidRPr="004B2498">
        <w:rPr>
          <w:lang w:eastAsia="fr-FR" w:bidi="fr-FR"/>
        </w:rPr>
        <w:t>i</w:t>
      </w:r>
      <w:r w:rsidRPr="004B2498">
        <w:rPr>
          <w:lang w:eastAsia="fr-FR" w:bidi="fr-FR"/>
        </w:rPr>
        <w:t xml:space="preserve">nistes a été un succès. Et de celle-ci est sorti un livre qui est le </w:t>
      </w:r>
      <w:r w:rsidRPr="004B2498">
        <w:t>Livre noir de la mortalité mate</w:t>
      </w:r>
      <w:r w:rsidRPr="004B2498">
        <w:t>r</w:t>
      </w:r>
      <w:r w:rsidRPr="004B2498">
        <w:t>nelle.</w:t>
      </w:r>
      <w:r w:rsidRPr="004B2498">
        <w:rPr>
          <w:lang w:eastAsia="fr-FR" w:bidi="fr-FR"/>
        </w:rPr>
        <w:t xml:space="preserve"> On a invité de nombreuses ONG à la présentation du livre comme GIRE, IPAS ou Afluentes. Alors Fundar, qui n’est pas une ONG féministe s’en est rapprochée par ce thème. C’était [l’analyse budgétaire dans le c</w:t>
      </w:r>
      <w:r w:rsidRPr="004B2498">
        <w:rPr>
          <w:lang w:eastAsia="fr-FR" w:bidi="fr-FR"/>
        </w:rPr>
        <w:t>a</w:t>
      </w:r>
      <w:r w:rsidRPr="004B2498">
        <w:rPr>
          <w:lang w:eastAsia="fr-FR" w:bidi="fr-FR"/>
        </w:rPr>
        <w:t>dre de la mortalité maternelle] un outil dont le mouvement féministe avait un grand besoin et qui est très dema</w:t>
      </w:r>
      <w:r w:rsidRPr="004B2498">
        <w:rPr>
          <w:lang w:eastAsia="fr-FR" w:bidi="fr-FR"/>
        </w:rPr>
        <w:t>n</w:t>
      </w:r>
      <w:r w:rsidRPr="004B2498">
        <w:rPr>
          <w:lang w:eastAsia="fr-FR" w:bidi="fr-FR"/>
        </w:rPr>
        <w:t>dé. » [Daniela Diaz, organisation FUNDAR, octobre 2005.]</w:t>
      </w:r>
    </w:p>
    <w:p w14:paraId="33C8FD90" w14:textId="77777777" w:rsidR="002F4063" w:rsidRPr="004B2498" w:rsidRDefault="002F4063" w:rsidP="002F4063">
      <w:pPr>
        <w:pStyle w:val="Grillecouleur-Accent1"/>
      </w:pPr>
    </w:p>
    <w:p w14:paraId="40B45966" w14:textId="77777777" w:rsidR="002F4063" w:rsidRPr="004B2498" w:rsidRDefault="002F4063" w:rsidP="002F4063">
      <w:pPr>
        <w:spacing w:before="120" w:after="120"/>
        <w:jc w:val="both"/>
      </w:pPr>
      <w:r w:rsidRPr="004B2498">
        <w:rPr>
          <w:lang w:eastAsia="fr-FR" w:bidi="fr-FR"/>
        </w:rPr>
        <w:t>Les financements philanthropiques, toujours importants pour les ONG de la capitale, surtout dans une finalité de lobbying auprès des pouvoirs politiques, se sont largement taris auprès des organisations de province qui n’ont pas les moyens de faire appel aux expert-e-s universitaires de chaque problématique genrée. Un projet fort limité et possédant un financement de quelques milliers de dollars, comme c</w:t>
      </w:r>
      <w:r w:rsidRPr="004B2498">
        <w:rPr>
          <w:lang w:eastAsia="fr-FR" w:bidi="fr-FR"/>
        </w:rPr>
        <w:t>e</w:t>
      </w:r>
      <w:r w:rsidRPr="004B2498">
        <w:rPr>
          <w:lang w:eastAsia="fr-FR" w:bidi="fr-FR"/>
        </w:rPr>
        <w:t>lui décrit précédemment, n’a pas permis une telle débauche de moyens intellectuels et de qualité scientifique. Les régimes de savoirs de genre mobilisés sont inégaux et les corollaires des moyens fina</w:t>
      </w:r>
      <w:r w:rsidRPr="004B2498">
        <w:rPr>
          <w:lang w:eastAsia="fr-FR" w:bidi="fr-FR"/>
        </w:rPr>
        <w:t>n</w:t>
      </w:r>
      <w:r w:rsidRPr="004B2498">
        <w:rPr>
          <w:lang w:eastAsia="fr-FR" w:bidi="fr-FR"/>
        </w:rPr>
        <w:t xml:space="preserve">ciers et humains mis en mouvement par les divers projets des ONG. Dès lors, tout autant que pour les institutions publiques, il faut poser le constat d’une fragmentation des savoirs de genre et une spécialisation croissante qui tend à complexifier une </w:t>
      </w:r>
      <w:r w:rsidRPr="005B267B">
        <w:rPr>
          <w:i/>
        </w:rPr>
        <w:t>praxis</w:t>
      </w:r>
      <w:r w:rsidRPr="004B2498">
        <w:rPr>
          <w:lang w:eastAsia="fr-FR" w:bidi="fr-FR"/>
        </w:rPr>
        <w:t xml:space="preserve"> pensée depuis un concept unique mais dont les manifestations pratiques sont progress</w:t>
      </w:r>
      <w:r w:rsidRPr="004B2498">
        <w:rPr>
          <w:lang w:eastAsia="fr-FR" w:bidi="fr-FR"/>
        </w:rPr>
        <w:t>i</w:t>
      </w:r>
      <w:r w:rsidRPr="004B2498">
        <w:rPr>
          <w:lang w:eastAsia="fr-FR" w:bidi="fr-FR"/>
        </w:rPr>
        <w:t>vement en train de se répandre en rhizomes au sein de l’ensemble des sciences sociales.</w:t>
      </w:r>
    </w:p>
    <w:p w14:paraId="61D680F5" w14:textId="77777777" w:rsidR="002F4063" w:rsidRPr="004B2498" w:rsidRDefault="002F4063" w:rsidP="002F4063">
      <w:pPr>
        <w:spacing w:before="120" w:after="120"/>
        <w:jc w:val="both"/>
        <w:rPr>
          <w:szCs w:val="24"/>
          <w:lang w:eastAsia="fr-FR" w:bidi="fr-FR"/>
        </w:rPr>
      </w:pPr>
      <w:r>
        <w:rPr>
          <w:szCs w:val="24"/>
          <w:lang w:eastAsia="fr-FR" w:bidi="fr-FR"/>
        </w:rPr>
        <w:br w:type="page"/>
      </w:r>
    </w:p>
    <w:p w14:paraId="7D1E2E36" w14:textId="77777777" w:rsidR="002F4063" w:rsidRPr="004B2498" w:rsidRDefault="002F4063" w:rsidP="002F4063">
      <w:pPr>
        <w:pStyle w:val="a"/>
      </w:pPr>
      <w:r w:rsidRPr="004B2498">
        <w:t>Conclusion</w:t>
      </w:r>
    </w:p>
    <w:p w14:paraId="09DFCD73" w14:textId="77777777" w:rsidR="002F4063" w:rsidRPr="004B2498" w:rsidRDefault="002F4063" w:rsidP="002F4063">
      <w:pPr>
        <w:spacing w:before="120" w:after="120"/>
        <w:jc w:val="both"/>
        <w:rPr>
          <w:lang w:eastAsia="fr-FR" w:bidi="fr-FR"/>
        </w:rPr>
      </w:pPr>
    </w:p>
    <w:p w14:paraId="69D963C1" w14:textId="77777777" w:rsidR="002F4063" w:rsidRPr="004B2498" w:rsidRDefault="002F4063" w:rsidP="002F4063">
      <w:pPr>
        <w:spacing w:before="120" w:after="120"/>
        <w:jc w:val="both"/>
      </w:pPr>
      <w:r w:rsidRPr="004B2498">
        <w:rPr>
          <w:lang w:eastAsia="fr-FR" w:bidi="fr-FR"/>
        </w:rPr>
        <w:t>La globalisation du genre, en tant que régime de savoir non spéc</w:t>
      </w:r>
      <w:r w:rsidRPr="004B2498">
        <w:rPr>
          <w:lang w:eastAsia="fr-FR" w:bidi="fr-FR"/>
        </w:rPr>
        <w:t>i</w:t>
      </w:r>
      <w:r w:rsidRPr="004B2498">
        <w:rPr>
          <w:lang w:eastAsia="fr-FR" w:bidi="fr-FR"/>
        </w:rPr>
        <w:t>fique au développement et aux politiques publiques, n’enlève rien à l’importance de ces derniers véhicules sous leur forme internationale. Les politiques</w:t>
      </w:r>
      <w:r>
        <w:t xml:space="preserve"> </w:t>
      </w:r>
      <w:r w:rsidRPr="004B2498">
        <w:t>[288]</w:t>
      </w:r>
      <w:r>
        <w:t xml:space="preserve"> </w:t>
      </w:r>
      <w:r w:rsidRPr="004B2498">
        <w:rPr>
          <w:lang w:eastAsia="fr-FR" w:bidi="fr-FR"/>
        </w:rPr>
        <w:t>internationales ont inséré les savoirs de genre dans le courant légitime des politiques publiques et du développ</w:t>
      </w:r>
      <w:r w:rsidRPr="004B2498">
        <w:rPr>
          <w:lang w:eastAsia="fr-FR" w:bidi="fr-FR"/>
        </w:rPr>
        <w:t>e</w:t>
      </w:r>
      <w:r w:rsidRPr="004B2498">
        <w:rPr>
          <w:lang w:eastAsia="fr-FR" w:bidi="fr-FR"/>
        </w:rPr>
        <w:t>ment. Ces savoirs ont été interprétés fort différemment selon les contextes nationaux. J’ai postulé un développement historiquement nord-américain des savoirs de genre et une réception sud-américaine. Mais cette réception ne s’est pas faite dans un vide intellectuel et conceptuel. Il s’est produit au Mexique à la rencontre de la pensée féministe mexicaine qui avait déjà mûri des savoirs sur le sexe et la position spécifique des femmes dans « l’ordre patriarcal ». Les savoirs et régimes de savoirs sur le genre tendirent ainsi à se nationaliser face aux problématiques auxquelles étaient confrontées les institutions p</w:t>
      </w:r>
      <w:r w:rsidRPr="004B2498">
        <w:rPr>
          <w:lang w:eastAsia="fr-FR" w:bidi="fr-FR"/>
        </w:rPr>
        <w:t>u</w:t>
      </w:r>
      <w:r w:rsidRPr="004B2498">
        <w:rPr>
          <w:lang w:eastAsia="fr-FR" w:bidi="fr-FR"/>
        </w:rPr>
        <w:t>bliques et les chercheurs-euses. Graduellement, les savoirs genrés mexicains se sont officiellement mis au diapason des discours et pr</w:t>
      </w:r>
      <w:r w:rsidRPr="004B2498">
        <w:rPr>
          <w:lang w:eastAsia="fr-FR" w:bidi="fr-FR"/>
        </w:rPr>
        <w:t>o</w:t>
      </w:r>
      <w:r w:rsidRPr="004B2498">
        <w:rPr>
          <w:lang w:eastAsia="fr-FR" w:bidi="fr-FR"/>
        </w:rPr>
        <w:t xml:space="preserve">grammes internationaux et ont emprunté la terminologie globalisée : </w:t>
      </w:r>
      <w:r w:rsidRPr="007776CD">
        <w:rPr>
          <w:i/>
        </w:rPr>
        <w:t>gender mainstreaming</w:t>
      </w:r>
      <w:r w:rsidRPr="007776CD">
        <w:rPr>
          <w:i/>
          <w:lang w:eastAsia="fr-FR" w:bidi="fr-FR"/>
        </w:rPr>
        <w:t xml:space="preserve">, </w:t>
      </w:r>
      <w:r w:rsidRPr="007776CD">
        <w:rPr>
          <w:i/>
        </w:rPr>
        <w:t>ge</w:t>
      </w:r>
      <w:r w:rsidRPr="007776CD">
        <w:rPr>
          <w:i/>
        </w:rPr>
        <w:t>n</w:t>
      </w:r>
      <w:r w:rsidRPr="007776CD">
        <w:rPr>
          <w:i/>
        </w:rPr>
        <w:t>der equity, gender democracy</w:t>
      </w:r>
      <w:r w:rsidRPr="004B2498">
        <w:t>,</w:t>
      </w:r>
      <w:r w:rsidRPr="004B2498">
        <w:rPr>
          <w:lang w:eastAsia="fr-FR" w:bidi="fr-FR"/>
        </w:rPr>
        <w:t xml:space="preserve"> des concepts tous traduits de l’anglais et largement utilisés par les insta</w:t>
      </w:r>
      <w:r w:rsidRPr="004B2498">
        <w:rPr>
          <w:lang w:eastAsia="fr-FR" w:bidi="fr-FR"/>
        </w:rPr>
        <w:t>n</w:t>
      </w:r>
      <w:r w:rsidRPr="004B2498">
        <w:rPr>
          <w:lang w:eastAsia="fr-FR" w:bidi="fr-FR"/>
        </w:rPr>
        <w:t>ces étatiques et les ONG. Les savoirs de genre plus purement univers</w:t>
      </w:r>
      <w:r w:rsidRPr="004B2498">
        <w:rPr>
          <w:lang w:eastAsia="fr-FR" w:bidi="fr-FR"/>
        </w:rPr>
        <w:t>i</w:t>
      </w:r>
      <w:r w:rsidRPr="004B2498">
        <w:rPr>
          <w:lang w:eastAsia="fr-FR" w:bidi="fr-FR"/>
        </w:rPr>
        <w:t>taires ont suivi des voies lég</w:t>
      </w:r>
      <w:r w:rsidRPr="004B2498">
        <w:rPr>
          <w:lang w:eastAsia="fr-FR" w:bidi="fr-FR"/>
        </w:rPr>
        <w:t>è</w:t>
      </w:r>
      <w:r w:rsidRPr="004B2498">
        <w:rPr>
          <w:lang w:eastAsia="fr-FR" w:bidi="fr-FR"/>
        </w:rPr>
        <w:t>rement divergentes, reprenant les savoirs développés par les études féministes et ne négligeant aucun domaine des sciences sociales (histoire, sciences politiques, anthropologie, sa</w:t>
      </w:r>
      <w:r w:rsidRPr="004B2498">
        <w:rPr>
          <w:lang w:eastAsia="fr-FR" w:bidi="fr-FR"/>
        </w:rPr>
        <w:t>n</w:t>
      </w:r>
      <w:r w:rsidRPr="004B2498">
        <w:rPr>
          <w:lang w:eastAsia="fr-FR" w:bidi="fr-FR"/>
        </w:rPr>
        <w:t>té publique).</w:t>
      </w:r>
    </w:p>
    <w:p w14:paraId="53D4DF0B" w14:textId="77777777" w:rsidR="002F4063" w:rsidRPr="004B2498" w:rsidRDefault="002F4063" w:rsidP="002F4063">
      <w:pPr>
        <w:spacing w:before="120" w:after="120"/>
        <w:jc w:val="both"/>
      </w:pPr>
      <w:r w:rsidRPr="004B2498">
        <w:rPr>
          <w:lang w:eastAsia="fr-FR" w:bidi="fr-FR"/>
        </w:rPr>
        <w:t>La convergence entre savoirs technocratiques internationaux, dév</w:t>
      </w:r>
      <w:r w:rsidRPr="004B2498">
        <w:rPr>
          <w:lang w:eastAsia="fr-FR" w:bidi="fr-FR"/>
        </w:rPr>
        <w:t>e</w:t>
      </w:r>
      <w:r w:rsidRPr="004B2498">
        <w:rPr>
          <w:lang w:eastAsia="fr-FR" w:bidi="fr-FR"/>
        </w:rPr>
        <w:t xml:space="preserve">loppés par l’ONU et la Banque mondiale, et savoirs scientifiques s’est opérée au début des années 1990, lorsque la demande publique s’est accrue rapidement avec la ratification des traités internationaux de Vienne, du Caire et de Pékin. Les années 1992-1995 virent ainsi un rapprochement entre des centres de recherches, essentiellement dans la capitale, et certaines institutions publiques (comme le ministère de la Santé ou celui du Développement social) dans le but de développer les premiers programmes publics incluant </w:t>
      </w:r>
      <w:r w:rsidRPr="004B2498">
        <w:t>el género,</w:t>
      </w:r>
      <w:r w:rsidRPr="004B2498">
        <w:rPr>
          <w:lang w:eastAsia="fr-FR" w:bidi="fr-FR"/>
        </w:rPr>
        <w:t xml:space="preserve"> le genre. Les quinze années de politiques publiques nationales qui suivirent ont donné lieu à une légitimation des savoirs de genre par l’État et les pouvoirs publics provinciaux. Le genre est devenu norme de gouve</w:t>
      </w:r>
      <w:r w:rsidRPr="004B2498">
        <w:rPr>
          <w:lang w:eastAsia="fr-FR" w:bidi="fr-FR"/>
        </w:rPr>
        <w:t>r</w:t>
      </w:r>
      <w:r w:rsidRPr="004B2498">
        <w:rPr>
          <w:lang w:eastAsia="fr-FR" w:bidi="fr-FR"/>
        </w:rPr>
        <w:t>nance et une obligation discursive de légitimation des politiques féd</w:t>
      </w:r>
      <w:r w:rsidRPr="004B2498">
        <w:rPr>
          <w:lang w:eastAsia="fr-FR" w:bidi="fr-FR"/>
        </w:rPr>
        <w:t>é</w:t>
      </w:r>
      <w:r w:rsidRPr="004B2498">
        <w:rPr>
          <w:lang w:eastAsia="fr-FR" w:bidi="fr-FR"/>
        </w:rPr>
        <w:t>rales et locales. Il n’en est pas pour autant devenu uniforme et monol</w:t>
      </w:r>
      <w:r w:rsidRPr="004B2498">
        <w:rPr>
          <w:lang w:eastAsia="fr-FR" w:bidi="fr-FR"/>
        </w:rPr>
        <w:t>i</w:t>
      </w:r>
      <w:r w:rsidRPr="004B2498">
        <w:rPr>
          <w:lang w:eastAsia="fr-FR" w:bidi="fr-FR"/>
        </w:rPr>
        <w:t>thique. Bien des discours critiques hypostasient le genre et en font une essence théorique dont l’unité est fantasmée dans une perspective d’opposition idéologique et théorique, selon des lignes simplificatr</w:t>
      </w:r>
      <w:r w:rsidRPr="004B2498">
        <w:rPr>
          <w:lang w:eastAsia="fr-FR" w:bidi="fr-FR"/>
        </w:rPr>
        <w:t>i</w:t>
      </w:r>
      <w:r w:rsidRPr="004B2498">
        <w:rPr>
          <w:lang w:eastAsia="fr-FR" w:bidi="fr-FR"/>
        </w:rPr>
        <w:t>ces. Revenir à la pratique constitue ainsi l’itinéraire nécessaire à la construction d’une analyse des savoirs, pratiques, scientifiques et technocratiques, sur le genre qui ne peuvent être subsumés sous une même étiquette réductrice. Les savoirs et régimes de savoirs qui se rapportent au genre promu à l’échelle des institutions internationales ne peuvent rendre compte de la pluralité de leurs interprétations aux niveaux régionaux (Amérique latine) et nationaux (Mexique) et enc</w:t>
      </w:r>
      <w:r w:rsidRPr="004B2498">
        <w:rPr>
          <w:lang w:eastAsia="fr-FR" w:bidi="fr-FR"/>
        </w:rPr>
        <w:t>o</w:t>
      </w:r>
      <w:r w:rsidRPr="004B2498">
        <w:rPr>
          <w:lang w:eastAsia="fr-FR" w:bidi="fr-FR"/>
        </w:rPr>
        <w:t>re moins aux niveaux pratiqués locaux qui sont des</w:t>
      </w:r>
      <w:r>
        <w:t xml:space="preserve"> </w:t>
      </w:r>
      <w:r w:rsidRPr="004B2498">
        <w:t>[289]</w:t>
      </w:r>
      <w:r>
        <w:t xml:space="preserve"> </w:t>
      </w:r>
      <w:r w:rsidRPr="004B2498">
        <w:rPr>
          <w:lang w:eastAsia="fr-FR" w:bidi="fr-FR"/>
        </w:rPr>
        <w:t>artefacts produits pour des situations uniques et des projets spécif</w:t>
      </w:r>
      <w:r w:rsidRPr="004B2498">
        <w:rPr>
          <w:lang w:eastAsia="fr-FR" w:bidi="fr-FR"/>
        </w:rPr>
        <w:t>i</w:t>
      </w:r>
      <w:r w:rsidRPr="004B2498">
        <w:rPr>
          <w:lang w:eastAsia="fr-FR" w:bidi="fr-FR"/>
        </w:rPr>
        <w:t>ques. On peut ainsi parler d’« arrangements » de genre pour les conf</w:t>
      </w:r>
      <w:r w:rsidRPr="004B2498">
        <w:rPr>
          <w:lang w:eastAsia="fr-FR" w:bidi="fr-FR"/>
        </w:rPr>
        <w:t>i</w:t>
      </w:r>
      <w:r w:rsidRPr="004B2498">
        <w:rPr>
          <w:lang w:eastAsia="fr-FR" w:bidi="fr-FR"/>
        </w:rPr>
        <w:t>gurations méthodologiques et discursives qui sont produites par divers acteurs sociaux dans des contextes de mise en place des politiques p</w:t>
      </w:r>
      <w:r w:rsidRPr="004B2498">
        <w:rPr>
          <w:lang w:eastAsia="fr-FR" w:bidi="fr-FR"/>
        </w:rPr>
        <w:t>u</w:t>
      </w:r>
      <w:r w:rsidRPr="004B2498">
        <w:rPr>
          <w:lang w:eastAsia="fr-FR" w:bidi="fr-FR"/>
        </w:rPr>
        <w:t>bliques. Ces politiques publiques relèvent bien souvent de stratégies de dév</w:t>
      </w:r>
      <w:r w:rsidRPr="004B2498">
        <w:rPr>
          <w:lang w:eastAsia="fr-FR" w:bidi="fr-FR"/>
        </w:rPr>
        <w:t>e</w:t>
      </w:r>
      <w:r w:rsidRPr="004B2498">
        <w:rPr>
          <w:lang w:eastAsia="fr-FR" w:bidi="fr-FR"/>
        </w:rPr>
        <w:t>loppement international et sont très largement privatisées, par le biais d’une sous-traitance croisée aux ONG locales et aux centres de r</w:t>
      </w:r>
      <w:r w:rsidRPr="004B2498">
        <w:rPr>
          <w:lang w:eastAsia="fr-FR" w:bidi="fr-FR"/>
        </w:rPr>
        <w:t>e</w:t>
      </w:r>
      <w:r w:rsidRPr="004B2498">
        <w:rPr>
          <w:lang w:eastAsia="fr-FR" w:bidi="fr-FR"/>
        </w:rPr>
        <w:t>cherches universitaires. La nécessité de produire rapidement une r</w:t>
      </w:r>
      <w:r w:rsidRPr="004B2498">
        <w:rPr>
          <w:lang w:eastAsia="fr-FR" w:bidi="fr-FR"/>
        </w:rPr>
        <w:t>é</w:t>
      </w:r>
      <w:r w:rsidRPr="004B2498">
        <w:rPr>
          <w:lang w:eastAsia="fr-FR" w:bidi="fr-FR"/>
        </w:rPr>
        <w:t>ponse institutionnelle aux appels d’offres internationaux, l’intégration de normes internationales légales touchant aux problém</w:t>
      </w:r>
      <w:r w:rsidRPr="004B2498">
        <w:rPr>
          <w:lang w:eastAsia="fr-FR" w:bidi="fr-FR"/>
        </w:rPr>
        <w:t>a</w:t>
      </w:r>
      <w:r w:rsidRPr="004B2498">
        <w:rPr>
          <w:lang w:eastAsia="fr-FR" w:bidi="fr-FR"/>
        </w:rPr>
        <w:t>tiques de genre au cœur des politiques fédérales mexicaines ou les coûts de formation des personnels, tout cela contribue à maintenir un besoin de l’État en compétences genrées et en savoirs sur le genre qui n’a pas été institutionnalisé au sein même des institutions fédérales mais rel</w:t>
      </w:r>
      <w:r w:rsidRPr="004B2498">
        <w:rPr>
          <w:lang w:eastAsia="fr-FR" w:bidi="fr-FR"/>
        </w:rPr>
        <w:t>è</w:t>
      </w:r>
      <w:r w:rsidRPr="004B2498">
        <w:rPr>
          <w:lang w:eastAsia="fr-FR" w:bidi="fr-FR"/>
        </w:rPr>
        <w:t>ve de l’initiative privée des ONG. L’expertise, les manuels, la méth</w:t>
      </w:r>
      <w:r w:rsidRPr="004B2498">
        <w:rPr>
          <w:lang w:eastAsia="fr-FR" w:bidi="fr-FR"/>
        </w:rPr>
        <w:t>o</w:t>
      </w:r>
      <w:r w:rsidRPr="004B2498">
        <w:rPr>
          <w:lang w:eastAsia="fr-FR" w:bidi="fr-FR"/>
        </w:rPr>
        <w:t>dologie, les « ateliers » de formation des personnels éducatifs ou m</w:t>
      </w:r>
      <w:r w:rsidRPr="004B2498">
        <w:rPr>
          <w:lang w:eastAsia="fr-FR" w:bidi="fr-FR"/>
        </w:rPr>
        <w:t>é</w:t>
      </w:r>
      <w:r w:rsidRPr="004B2498">
        <w:rPr>
          <w:lang w:eastAsia="fr-FR" w:bidi="fr-FR"/>
        </w:rPr>
        <w:t>dicaux constituent un capital de savoirs genrés que les ONG mettent à disposition de pouvoirs publics qui externalisent ainsi tant la produ</w:t>
      </w:r>
      <w:r w:rsidRPr="004B2498">
        <w:rPr>
          <w:lang w:eastAsia="fr-FR" w:bidi="fr-FR"/>
        </w:rPr>
        <w:t>c</w:t>
      </w:r>
      <w:r w:rsidRPr="004B2498">
        <w:rPr>
          <w:lang w:eastAsia="fr-FR" w:bidi="fr-FR"/>
        </w:rPr>
        <w:t>tion et l’entretien de savoirs politiques de genre que l’embauche de personnels hautement qualifiés. La situation politique et économique au sein de chaque organisation, ainsi que son histoire singulière, d</w:t>
      </w:r>
      <w:r w:rsidRPr="004B2498">
        <w:rPr>
          <w:lang w:eastAsia="fr-FR" w:bidi="fr-FR"/>
        </w:rPr>
        <w:t>é</w:t>
      </w:r>
      <w:r w:rsidRPr="004B2498">
        <w:rPr>
          <w:lang w:eastAsia="fr-FR" w:bidi="fr-FR"/>
        </w:rPr>
        <w:t>terminent la géométrie du genre qui sera mis en pratique dans un pr</w:t>
      </w:r>
      <w:r w:rsidRPr="004B2498">
        <w:rPr>
          <w:lang w:eastAsia="fr-FR" w:bidi="fr-FR"/>
        </w:rPr>
        <w:t>o</w:t>
      </w:r>
      <w:r w:rsidRPr="004B2498">
        <w:rPr>
          <w:lang w:eastAsia="fr-FR" w:bidi="fr-FR"/>
        </w:rPr>
        <w:t>jet, puis un autre. Chacune relève d’un dosage pratique de savoirs standardisés (manuels, « ateliers clés en main ») et d’innovations s</w:t>
      </w:r>
      <w:r w:rsidRPr="004B2498">
        <w:rPr>
          <w:lang w:eastAsia="fr-FR" w:bidi="fr-FR"/>
        </w:rPr>
        <w:t>i</w:t>
      </w:r>
      <w:r w:rsidRPr="004B2498">
        <w:rPr>
          <w:lang w:eastAsia="fr-FR" w:bidi="fr-FR"/>
        </w:rPr>
        <w:t>tuées. Le genre reste une abstraction théorique unique dans sa capacité d’interprétation et d’analyse du monde social. Son intégration aux p</w:t>
      </w:r>
      <w:r w:rsidRPr="004B2498">
        <w:rPr>
          <w:lang w:eastAsia="fr-FR" w:bidi="fr-FR"/>
        </w:rPr>
        <w:t>o</w:t>
      </w:r>
      <w:r w:rsidRPr="004B2498">
        <w:rPr>
          <w:lang w:eastAsia="fr-FR" w:bidi="fr-FR"/>
        </w:rPr>
        <w:t>litiques publiques ne l’a néanmoins que superficie</w:t>
      </w:r>
      <w:r w:rsidRPr="004B2498">
        <w:rPr>
          <w:lang w:eastAsia="fr-FR" w:bidi="fr-FR"/>
        </w:rPr>
        <w:t>l</w:t>
      </w:r>
      <w:r w:rsidRPr="004B2498">
        <w:rPr>
          <w:lang w:eastAsia="fr-FR" w:bidi="fr-FR"/>
        </w:rPr>
        <w:t>lement diffusé et standardisé, son aménagement local relevant to</w:t>
      </w:r>
      <w:r w:rsidRPr="004B2498">
        <w:rPr>
          <w:lang w:eastAsia="fr-FR" w:bidi="fr-FR"/>
        </w:rPr>
        <w:t>u</w:t>
      </w:r>
      <w:r w:rsidRPr="004B2498">
        <w:rPr>
          <w:lang w:eastAsia="fr-FR" w:bidi="fr-FR"/>
        </w:rPr>
        <w:t>jours de stratégies situées dans l’espace et le temps mais surtout dans un champ local de rapports de pouvoirs et de savoirs qui déterminent la « modulation » théorie-pratique et sont déterminés par des limit</w:t>
      </w:r>
      <w:r w:rsidRPr="004B2498">
        <w:rPr>
          <w:lang w:eastAsia="fr-FR" w:bidi="fr-FR"/>
        </w:rPr>
        <w:t>a</w:t>
      </w:r>
      <w:r w:rsidRPr="004B2498">
        <w:rPr>
          <w:lang w:eastAsia="fr-FR" w:bidi="fr-FR"/>
        </w:rPr>
        <w:t>tions temporelles et économiques laissant peu d’espace à la réflexivité et à l’analyse. Le genre sous-traité des politiques publiques au Mexique dessine les l</w:t>
      </w:r>
      <w:r w:rsidRPr="004B2498">
        <w:rPr>
          <w:lang w:eastAsia="fr-FR" w:bidi="fr-FR"/>
        </w:rPr>
        <w:t>i</w:t>
      </w:r>
      <w:r w:rsidRPr="004B2498">
        <w:rPr>
          <w:lang w:eastAsia="fr-FR" w:bidi="fr-FR"/>
        </w:rPr>
        <w:t>mites des acceptions purement théoriques du genre et renvoie à la pl</w:t>
      </w:r>
      <w:r w:rsidRPr="004B2498">
        <w:rPr>
          <w:lang w:eastAsia="fr-FR" w:bidi="fr-FR"/>
        </w:rPr>
        <w:t>u</w:t>
      </w:r>
      <w:r w:rsidRPr="004B2498">
        <w:rPr>
          <w:lang w:eastAsia="fr-FR" w:bidi="fr-FR"/>
        </w:rPr>
        <w:t>ralité des productions locales, adaptatives et, parfois, peu orthodoxes. La mobilisation d’agents extérieurs aux ONG ou aux organismes d’État, notamment des chercheurs-euses, permet de recadrer les prat</w:t>
      </w:r>
      <w:r w:rsidRPr="004B2498">
        <w:rPr>
          <w:lang w:eastAsia="fr-FR" w:bidi="fr-FR"/>
        </w:rPr>
        <w:t>i</w:t>
      </w:r>
      <w:r w:rsidRPr="004B2498">
        <w:rPr>
          <w:lang w:eastAsia="fr-FR" w:bidi="fr-FR"/>
        </w:rPr>
        <w:t>ques dans une acception « globale » du genre mais ne l</w:t>
      </w:r>
      <w:r w:rsidRPr="004B2498">
        <w:rPr>
          <w:lang w:eastAsia="fr-FR" w:bidi="fr-FR"/>
        </w:rPr>
        <w:t>i</w:t>
      </w:r>
      <w:r w:rsidRPr="004B2498">
        <w:rPr>
          <w:lang w:eastAsia="fr-FR" w:bidi="fr-FR"/>
        </w:rPr>
        <w:t>mite en rien ses variations pratiques qui sont liées au différentiel de formation et d’expérience des personnels des ONG. Ces derniers ne pouvant ma</w:t>
      </w:r>
      <w:r w:rsidRPr="004B2498">
        <w:rPr>
          <w:lang w:eastAsia="fr-FR" w:bidi="fr-FR"/>
        </w:rPr>
        <w:t>î</w:t>
      </w:r>
      <w:r w:rsidRPr="004B2498">
        <w:rPr>
          <w:lang w:eastAsia="fr-FR" w:bidi="fr-FR"/>
        </w:rPr>
        <w:t>triser la totalité de l’éventail des politiques publiques, doivent se rep</w:t>
      </w:r>
      <w:r w:rsidRPr="004B2498">
        <w:rPr>
          <w:lang w:eastAsia="fr-FR" w:bidi="fr-FR"/>
        </w:rPr>
        <w:t>o</w:t>
      </w:r>
      <w:r w:rsidRPr="004B2498">
        <w:rPr>
          <w:lang w:eastAsia="fr-FR" w:bidi="fr-FR"/>
        </w:rPr>
        <w:t>ser sur une autre dimension de sous-traitance vis-à-vis d’universitaires ou procéder à une adaptation rapide et succincte de savoirs développés dans des contextes autres. Le « genre » reste une catégorie d’entendement nécessaire à l’analyse des politiques et des régimes de savoirs mis en jeu dans celles-ci mais il convient de soul</w:t>
      </w:r>
      <w:r w:rsidRPr="004B2498">
        <w:rPr>
          <w:lang w:eastAsia="fr-FR" w:bidi="fr-FR"/>
        </w:rPr>
        <w:t>i</w:t>
      </w:r>
      <w:r w:rsidRPr="004B2498">
        <w:rPr>
          <w:lang w:eastAsia="fr-FR" w:bidi="fr-FR"/>
        </w:rPr>
        <w:t>gner</w:t>
      </w:r>
      <w:r w:rsidRPr="004B2498">
        <w:t xml:space="preserve"> [290]</w:t>
      </w:r>
      <w:r>
        <w:t xml:space="preserve"> </w:t>
      </w:r>
      <w:r w:rsidRPr="004B2498">
        <w:rPr>
          <w:lang w:eastAsia="fr-FR" w:bidi="fr-FR"/>
        </w:rPr>
        <w:t>l’éclatement de l’objet théorique comme sa modulation quasi inf</w:t>
      </w:r>
      <w:r w:rsidRPr="004B2498">
        <w:rPr>
          <w:lang w:eastAsia="fr-FR" w:bidi="fr-FR"/>
        </w:rPr>
        <w:t>i</w:t>
      </w:r>
      <w:r w:rsidRPr="004B2498">
        <w:rPr>
          <w:lang w:eastAsia="fr-FR" w:bidi="fr-FR"/>
        </w:rPr>
        <w:t>nie aux spécificités locales et opportunités contractuelles. Le genre d</w:t>
      </w:r>
      <w:r w:rsidRPr="004B2498">
        <w:rPr>
          <w:lang w:eastAsia="fr-FR" w:bidi="fr-FR"/>
        </w:rPr>
        <w:t>e</w:t>
      </w:r>
      <w:r w:rsidRPr="004B2498">
        <w:rPr>
          <w:lang w:eastAsia="fr-FR" w:bidi="fr-FR"/>
        </w:rPr>
        <w:t>vient un prisme qui permet d’aborder des problématiques s</w:t>
      </w:r>
      <w:r w:rsidRPr="004B2498">
        <w:rPr>
          <w:lang w:eastAsia="fr-FR" w:bidi="fr-FR"/>
        </w:rPr>
        <w:t>o</w:t>
      </w:r>
      <w:r w:rsidRPr="004B2498">
        <w:rPr>
          <w:lang w:eastAsia="fr-FR" w:bidi="fr-FR"/>
        </w:rPr>
        <w:t xml:space="preserve">ciétales mais qui ne s’actualise réellement que par la </w:t>
      </w:r>
      <w:r w:rsidRPr="004B2498">
        <w:t>praxis</w:t>
      </w:r>
      <w:r w:rsidRPr="004B2498">
        <w:rPr>
          <w:lang w:eastAsia="fr-FR" w:bidi="fr-FR"/>
        </w:rPr>
        <w:t xml:space="preserve"> et avec un certain sens pratique du genre que seule l’expérience autorise.</w:t>
      </w:r>
    </w:p>
    <w:p w14:paraId="287D9379" w14:textId="77777777" w:rsidR="002F4063" w:rsidRPr="004B2498" w:rsidRDefault="002F4063" w:rsidP="002F4063">
      <w:pPr>
        <w:spacing w:before="120" w:after="120"/>
        <w:jc w:val="both"/>
      </w:pPr>
    </w:p>
    <w:p w14:paraId="748F40B3" w14:textId="77777777" w:rsidR="002F4063" w:rsidRPr="004B2498" w:rsidRDefault="002F4063" w:rsidP="002F4063">
      <w:pPr>
        <w:pStyle w:val="a"/>
      </w:pPr>
      <w:r w:rsidRPr="004B2498">
        <w:t>Références bibliographiques</w:t>
      </w:r>
    </w:p>
    <w:p w14:paraId="36B218A0" w14:textId="77777777" w:rsidR="002F4063" w:rsidRPr="007776CD" w:rsidRDefault="002F4063" w:rsidP="002F4063">
      <w:pPr>
        <w:spacing w:before="120" w:after="120"/>
        <w:jc w:val="both"/>
      </w:pPr>
    </w:p>
    <w:p w14:paraId="696786DE" w14:textId="77777777" w:rsidR="002F4063" w:rsidRPr="004B2498" w:rsidRDefault="002F4063" w:rsidP="002F4063">
      <w:pPr>
        <w:spacing w:before="120" w:after="120"/>
        <w:jc w:val="both"/>
      </w:pPr>
      <w:r w:rsidRPr="007776CD">
        <w:t xml:space="preserve">ALVAREZ </w:t>
      </w:r>
      <w:r w:rsidRPr="004B2498">
        <w:t>Sonia, 1998 : “Latin American Feminism “Go Gl</w:t>
      </w:r>
      <w:r w:rsidRPr="004B2498">
        <w:t>o</w:t>
      </w:r>
      <w:r w:rsidRPr="004B2498">
        <w:t xml:space="preserve">bal” ; Trends of the 1990’s and Challenges for the New Millenium”, in </w:t>
      </w:r>
      <w:r w:rsidRPr="007776CD">
        <w:t xml:space="preserve">ALVAREZ </w:t>
      </w:r>
      <w:r w:rsidRPr="004B2498">
        <w:t xml:space="preserve">Sonia E., </w:t>
      </w:r>
      <w:r>
        <w:t>DA</w:t>
      </w:r>
      <w:r w:rsidRPr="007776CD">
        <w:t xml:space="preserve">GNINO </w:t>
      </w:r>
      <w:r w:rsidRPr="004B2498">
        <w:t xml:space="preserve">Evelina, and </w:t>
      </w:r>
      <w:r w:rsidRPr="007776CD">
        <w:t xml:space="preserve">ESCOBAR </w:t>
      </w:r>
      <w:r w:rsidRPr="004B2498">
        <w:t xml:space="preserve">Arturo (eds.) : </w:t>
      </w:r>
      <w:r w:rsidRPr="005B267B">
        <w:rPr>
          <w:i/>
        </w:rPr>
        <w:t>Cultures of Politics, Politics of Culture. Re-visioning Latin American Social Movements</w:t>
      </w:r>
      <w:r w:rsidRPr="004B2498">
        <w:t>, Westview Press, Boulder, p. 293-324.</w:t>
      </w:r>
    </w:p>
    <w:p w14:paraId="43ADDD32" w14:textId="77777777" w:rsidR="002F4063" w:rsidRPr="004B2498" w:rsidRDefault="002F4063" w:rsidP="002F4063">
      <w:pPr>
        <w:spacing w:before="120" w:after="120"/>
        <w:jc w:val="both"/>
      </w:pPr>
      <w:r w:rsidRPr="007776CD">
        <w:t xml:space="preserve">BARTRA </w:t>
      </w:r>
      <w:r w:rsidRPr="004B2498">
        <w:t xml:space="preserve">Eli, 1999 : “El movimiento feminista en México </w:t>
      </w:r>
      <w:r w:rsidRPr="007776CD">
        <w:t xml:space="preserve">y </w:t>
      </w:r>
      <w:r w:rsidRPr="004B2498">
        <w:t>su vinc</w:t>
      </w:r>
      <w:r w:rsidRPr="004B2498">
        <w:t>u</w:t>
      </w:r>
      <w:r w:rsidRPr="004B2498">
        <w:t xml:space="preserve">lo con la academia”, </w:t>
      </w:r>
      <w:r w:rsidRPr="005B267B">
        <w:rPr>
          <w:i/>
        </w:rPr>
        <w:t>La Ventana</w:t>
      </w:r>
      <w:r w:rsidRPr="004B2498">
        <w:t>, n° 10, p. 215-235.</w:t>
      </w:r>
    </w:p>
    <w:p w14:paraId="000BAC3F" w14:textId="77777777" w:rsidR="002F4063" w:rsidRPr="004B2498" w:rsidRDefault="002F4063" w:rsidP="002F4063">
      <w:pPr>
        <w:spacing w:before="120" w:after="120"/>
        <w:jc w:val="both"/>
      </w:pPr>
      <w:r w:rsidRPr="007776CD">
        <w:t xml:space="preserve">BARTRA </w:t>
      </w:r>
      <w:r w:rsidRPr="004B2498">
        <w:t xml:space="preserve">Eli, “Tres décadas de neofeminismo en México”, en </w:t>
      </w:r>
      <w:r w:rsidRPr="005B267B">
        <w:rPr>
          <w:i/>
        </w:rPr>
        <w:t>Feminismo en México ayer y hoy</w:t>
      </w:r>
      <w:r w:rsidRPr="004B2498">
        <w:t>, UAM, Colección “Molinos de vie</w:t>
      </w:r>
      <w:r w:rsidRPr="004B2498">
        <w:t>n</w:t>
      </w:r>
      <w:r w:rsidRPr="004B2498">
        <w:t>to”, México, 2000.</w:t>
      </w:r>
    </w:p>
    <w:p w14:paraId="5ADBA1A3" w14:textId="77777777" w:rsidR="002F4063" w:rsidRPr="004B2498" w:rsidRDefault="002F4063" w:rsidP="002F4063">
      <w:pPr>
        <w:spacing w:before="120" w:after="120"/>
        <w:jc w:val="both"/>
      </w:pPr>
      <w:r w:rsidRPr="007776CD">
        <w:t xml:space="preserve">BONDER </w:t>
      </w:r>
      <w:r w:rsidRPr="004B2498">
        <w:t xml:space="preserve">Gloria, 1998 : “Género </w:t>
      </w:r>
      <w:r w:rsidRPr="007776CD">
        <w:t xml:space="preserve">y </w:t>
      </w:r>
      <w:r w:rsidRPr="004B2498">
        <w:t xml:space="preserve">subjetividad : avatares de una relación no evidente”, in </w:t>
      </w:r>
      <w:r w:rsidRPr="005B267B">
        <w:rPr>
          <w:i/>
        </w:rPr>
        <w:t>Género y Epistemologia : Mujeres y Disc</w:t>
      </w:r>
      <w:r w:rsidRPr="005B267B">
        <w:rPr>
          <w:i/>
        </w:rPr>
        <w:t>i</w:t>
      </w:r>
      <w:r w:rsidRPr="005B267B">
        <w:rPr>
          <w:i/>
        </w:rPr>
        <w:t>plinas</w:t>
      </w:r>
      <w:r w:rsidRPr="004B2498">
        <w:t>, Programa Interdisciplinario de Estudios de Género (PIEG), Un</w:t>
      </w:r>
      <w:r w:rsidRPr="004B2498">
        <w:t>i</w:t>
      </w:r>
      <w:r w:rsidRPr="004B2498">
        <w:t>versidad de Chile.</w:t>
      </w:r>
    </w:p>
    <w:p w14:paraId="36D4BF43" w14:textId="77777777" w:rsidR="002F4063" w:rsidRPr="004B2498" w:rsidRDefault="002F4063" w:rsidP="002F4063">
      <w:pPr>
        <w:spacing w:before="120" w:after="120"/>
        <w:jc w:val="both"/>
      </w:pPr>
      <w:r w:rsidRPr="007776CD">
        <w:t xml:space="preserve">BOURDIEU </w:t>
      </w:r>
      <w:r w:rsidRPr="004B2498">
        <w:t xml:space="preserve">Pierre, 1980 : </w:t>
      </w:r>
      <w:r w:rsidRPr="005B267B">
        <w:rPr>
          <w:i/>
        </w:rPr>
        <w:t>Le sens pratique</w:t>
      </w:r>
      <w:r w:rsidRPr="004B2498">
        <w:t>, Paris, Minuit.</w:t>
      </w:r>
    </w:p>
    <w:p w14:paraId="1ABA34AD" w14:textId="77777777" w:rsidR="002F4063" w:rsidRPr="004B2498" w:rsidRDefault="002F4063" w:rsidP="002F4063">
      <w:pPr>
        <w:spacing w:before="120" w:after="120"/>
        <w:jc w:val="both"/>
      </w:pPr>
      <w:r w:rsidRPr="007776CD">
        <w:t xml:space="preserve">CAULIER </w:t>
      </w:r>
      <w:r w:rsidRPr="004B2498">
        <w:t>Mathieu, 2009a : « </w:t>
      </w:r>
      <w:r w:rsidRPr="005B267B">
        <w:rPr>
          <w:i/>
        </w:rPr>
        <w:t>Faire le genre, défaire le féminisme. Philanthropie, politiques de population et ONG de santé reproductive au Mexique </w:t>
      </w:r>
      <w:r w:rsidRPr="004B2498">
        <w:t>», PhD dissertation, Paris, EHESS.</w:t>
      </w:r>
    </w:p>
    <w:p w14:paraId="74838153" w14:textId="77777777" w:rsidR="002F4063" w:rsidRPr="004B2498" w:rsidRDefault="002F4063" w:rsidP="002F4063">
      <w:pPr>
        <w:spacing w:before="120" w:after="120"/>
        <w:jc w:val="both"/>
      </w:pPr>
      <w:r w:rsidRPr="007776CD">
        <w:t xml:space="preserve">CAULIER </w:t>
      </w:r>
      <w:r w:rsidRPr="004B2498">
        <w:t xml:space="preserve">Mathieu, 2009b : « Le genre des Mexicain-e-s », </w:t>
      </w:r>
      <w:r w:rsidRPr="005B267B">
        <w:rPr>
          <w:i/>
        </w:rPr>
        <w:t>Revue Tiers Monde</w:t>
      </w:r>
      <w:r w:rsidRPr="004B2498">
        <w:t>, n° 200, octobre-décembre, p. 805-820.</w:t>
      </w:r>
    </w:p>
    <w:p w14:paraId="74053AFF" w14:textId="77777777" w:rsidR="002F4063" w:rsidRPr="004B2498" w:rsidRDefault="002F4063" w:rsidP="002F4063">
      <w:pPr>
        <w:spacing w:before="120" w:after="120"/>
        <w:jc w:val="both"/>
      </w:pPr>
      <w:r w:rsidRPr="007776CD">
        <w:t xml:space="preserve">CAULIER </w:t>
      </w:r>
      <w:r w:rsidRPr="004B2498">
        <w:t>Mathieu, July 2010 : “The Population Revolution : from Population Policies to Reproductive Health and Women’s Rights Pol</w:t>
      </w:r>
      <w:r w:rsidRPr="004B2498">
        <w:t>i</w:t>
      </w:r>
      <w:r w:rsidRPr="004B2498">
        <w:t xml:space="preserve">tics”, </w:t>
      </w:r>
      <w:r w:rsidRPr="005B267B">
        <w:rPr>
          <w:i/>
        </w:rPr>
        <w:t>International Review of Sociology</w:t>
      </w:r>
      <w:r w:rsidRPr="004B2498">
        <w:t>, vol. XX, n° 2, p. 321 -346.</w:t>
      </w:r>
    </w:p>
    <w:p w14:paraId="07B52D92" w14:textId="77777777" w:rsidR="002F4063" w:rsidRPr="004B2498" w:rsidRDefault="002F4063" w:rsidP="002F4063">
      <w:pPr>
        <w:spacing w:before="120" w:after="120"/>
        <w:jc w:val="both"/>
      </w:pPr>
      <w:r w:rsidRPr="007776CD">
        <w:t xml:space="preserve">CORRÉA </w:t>
      </w:r>
      <w:r w:rsidRPr="004B2498">
        <w:t xml:space="preserve">Mariza, 2001 : “Do feminismo aos estudos de género no Brasil : um exemplo pessoal”, </w:t>
      </w:r>
      <w:r w:rsidRPr="005B267B">
        <w:rPr>
          <w:i/>
        </w:rPr>
        <w:t>Cadernos pagu</w:t>
      </w:r>
      <w:r w:rsidRPr="004B2498">
        <w:t>, n° 16, p. 13-30.</w:t>
      </w:r>
    </w:p>
    <w:p w14:paraId="4CA1E0ED" w14:textId="77777777" w:rsidR="002F4063" w:rsidRPr="004B2498" w:rsidRDefault="002F4063" w:rsidP="002F4063">
      <w:pPr>
        <w:spacing w:before="120" w:after="120"/>
        <w:jc w:val="both"/>
      </w:pPr>
      <w:r w:rsidRPr="007776CD">
        <w:t xml:space="preserve">FISCHER Pfaeffl </w:t>
      </w:r>
      <w:r w:rsidRPr="004B2498">
        <w:t>Amalia, 2005 : « Les chemins co</w:t>
      </w:r>
      <w:r w:rsidRPr="004B2498">
        <w:t>m</w:t>
      </w:r>
      <w:r w:rsidRPr="004B2498">
        <w:t xml:space="preserve">plexes de l’autonomie », </w:t>
      </w:r>
      <w:r w:rsidRPr="005B267B">
        <w:rPr>
          <w:i/>
        </w:rPr>
        <w:t>Nouvelles Questions Féministes</w:t>
      </w:r>
      <w:r w:rsidRPr="004B2498">
        <w:t>, XXIV, n° 2, p. 65-85.</w:t>
      </w:r>
    </w:p>
    <w:p w14:paraId="793EC859" w14:textId="77777777" w:rsidR="002F4063" w:rsidRPr="004B2498" w:rsidRDefault="002F4063" w:rsidP="002F4063">
      <w:pPr>
        <w:spacing w:before="120" w:after="120"/>
        <w:jc w:val="both"/>
      </w:pPr>
      <w:r w:rsidRPr="007776CD">
        <w:t xml:space="preserve">FOWERAKER </w:t>
      </w:r>
      <w:r w:rsidRPr="004B2498">
        <w:t>Joe, 2001 : “Grassroots Movements and Political Activism in Latin America : A Critical Comparison of Chile and Br</w:t>
      </w:r>
      <w:r w:rsidRPr="004B2498">
        <w:t>a</w:t>
      </w:r>
      <w:r w:rsidRPr="004B2498">
        <w:t xml:space="preserve">zil”, </w:t>
      </w:r>
      <w:r w:rsidRPr="005B267B">
        <w:rPr>
          <w:i/>
        </w:rPr>
        <w:t>Journal of Latin American Studies</w:t>
      </w:r>
      <w:r w:rsidRPr="004B2498">
        <w:t>, XXXIII, n° 4, p. 839-865.</w:t>
      </w:r>
    </w:p>
    <w:p w14:paraId="7898FFE1" w14:textId="77777777" w:rsidR="002F4063" w:rsidRPr="004B2498" w:rsidRDefault="002F4063" w:rsidP="002F4063">
      <w:pPr>
        <w:spacing w:before="120" w:after="120"/>
        <w:jc w:val="both"/>
      </w:pPr>
      <w:r w:rsidRPr="007776CD">
        <w:t xml:space="preserve">GARGALLO </w:t>
      </w:r>
      <w:r w:rsidRPr="004B2498">
        <w:t xml:space="preserve">Francesca, 2005 : </w:t>
      </w:r>
      <w:r w:rsidRPr="005B267B">
        <w:rPr>
          <w:i/>
        </w:rPr>
        <w:t>Las ideas feministas latinoamer</w:t>
      </w:r>
      <w:r w:rsidRPr="005B267B">
        <w:rPr>
          <w:i/>
        </w:rPr>
        <w:t>i</w:t>
      </w:r>
      <w:r w:rsidRPr="005B267B">
        <w:rPr>
          <w:i/>
        </w:rPr>
        <w:t>canas</w:t>
      </w:r>
      <w:r w:rsidRPr="004B2498">
        <w:t>, México, Universidad Autônoma de la Ciudad de México.</w:t>
      </w:r>
    </w:p>
    <w:p w14:paraId="209D5D31" w14:textId="77777777" w:rsidR="002F4063" w:rsidRPr="004B2498" w:rsidRDefault="002F4063" w:rsidP="002F4063">
      <w:pPr>
        <w:spacing w:before="120" w:after="120"/>
        <w:jc w:val="both"/>
      </w:pPr>
      <w:r w:rsidRPr="004B2498">
        <w:t>[291]</w:t>
      </w:r>
    </w:p>
    <w:p w14:paraId="500CDD6B" w14:textId="77777777" w:rsidR="002F4063" w:rsidRDefault="002F4063" w:rsidP="002F4063">
      <w:pPr>
        <w:spacing w:before="120" w:after="120"/>
        <w:jc w:val="both"/>
      </w:pPr>
      <w:r w:rsidRPr="007776CD">
        <w:t xml:space="preserve">Gil Lozano </w:t>
      </w:r>
      <w:r w:rsidRPr="004B2498">
        <w:t xml:space="preserve">Femanda, 2005 : Feminismos en la Argentina de los 70 </w:t>
      </w:r>
      <w:r w:rsidRPr="007776CD">
        <w:t xml:space="preserve">y </w:t>
      </w:r>
      <w:r w:rsidRPr="004B2498">
        <w:t>los 80,</w:t>
      </w:r>
    </w:p>
    <w:p w14:paraId="189729B1" w14:textId="77777777" w:rsidR="002F4063" w:rsidRPr="004B2498" w:rsidRDefault="002F4063" w:rsidP="002F4063">
      <w:pPr>
        <w:spacing w:before="120" w:after="120"/>
        <w:jc w:val="both"/>
      </w:pPr>
      <w:hyperlink r:id="rId36" w:history="1">
        <w:r w:rsidRPr="007776CD">
          <w:t>http://agendadelasmujeres.com.ar/notadesplegada.php ?id=771</w:t>
        </w:r>
      </w:hyperlink>
      <w:r w:rsidRPr="004B2498">
        <w:t>.</w:t>
      </w:r>
    </w:p>
    <w:p w14:paraId="7A271A47" w14:textId="77777777" w:rsidR="002F4063" w:rsidRPr="004B2498" w:rsidRDefault="002F4063" w:rsidP="002F4063">
      <w:pPr>
        <w:spacing w:before="120" w:after="120"/>
        <w:jc w:val="both"/>
      </w:pPr>
      <w:r w:rsidRPr="007776CD">
        <w:t xml:space="preserve">GOLDSMITH </w:t>
      </w:r>
      <w:r w:rsidRPr="004B2498">
        <w:t>Mary, 1998 : “Estudios de la mujer : debates met</w:t>
      </w:r>
      <w:r w:rsidRPr="004B2498">
        <w:t>o</w:t>
      </w:r>
      <w:r w:rsidRPr="004B2498">
        <w:t>dol</w:t>
      </w:r>
      <w:r w:rsidRPr="004B2498">
        <w:t>ó</w:t>
      </w:r>
      <w:r w:rsidRPr="004B2498">
        <w:t xml:space="preserve">gicos y epistemológicos”, </w:t>
      </w:r>
      <w:r w:rsidRPr="005B267B">
        <w:rPr>
          <w:i/>
        </w:rPr>
        <w:t>Sociologico</w:t>
      </w:r>
      <w:r w:rsidRPr="004B2498">
        <w:t>, 12e année, n° 33, janvier-avril, p. 25-43.</w:t>
      </w:r>
    </w:p>
    <w:p w14:paraId="492811B9" w14:textId="77777777" w:rsidR="002F4063" w:rsidRPr="004B2498" w:rsidRDefault="002F4063" w:rsidP="002F4063">
      <w:pPr>
        <w:spacing w:before="120" w:after="120"/>
        <w:jc w:val="both"/>
      </w:pPr>
      <w:r w:rsidRPr="007776CD">
        <w:t xml:space="preserve">HlGER </w:t>
      </w:r>
      <w:r w:rsidRPr="004B2498">
        <w:t xml:space="preserve">Amy, 1999 : « International Women’s Activism and the 1994 Cairo Population Conférence » In </w:t>
      </w:r>
      <w:r w:rsidRPr="007776CD">
        <w:t xml:space="preserve">MEYER &amp; PRÜGL </w:t>
      </w:r>
      <w:r w:rsidRPr="004B2498">
        <w:t xml:space="preserve">(eds.) : </w:t>
      </w:r>
      <w:r w:rsidRPr="005B267B">
        <w:rPr>
          <w:i/>
        </w:rPr>
        <w:t>Gender Pol</w:t>
      </w:r>
      <w:r w:rsidRPr="005B267B">
        <w:rPr>
          <w:i/>
        </w:rPr>
        <w:t>i</w:t>
      </w:r>
      <w:r w:rsidRPr="005B267B">
        <w:rPr>
          <w:i/>
        </w:rPr>
        <w:t>tics in Global Governance</w:t>
      </w:r>
      <w:r w:rsidRPr="004B2498">
        <w:t>, Boulder, New York, Oxford : Rowman &amp; Littlefield.</w:t>
      </w:r>
    </w:p>
    <w:p w14:paraId="213CD0D5" w14:textId="77777777" w:rsidR="002F4063" w:rsidRPr="004B2498" w:rsidRDefault="002F4063" w:rsidP="002F4063">
      <w:pPr>
        <w:spacing w:before="120" w:after="120"/>
        <w:jc w:val="both"/>
      </w:pPr>
      <w:r w:rsidRPr="007776CD">
        <w:t xml:space="preserve">Lamas </w:t>
      </w:r>
      <w:r w:rsidRPr="004B2498">
        <w:t xml:space="preserve">Marta, 2001 : “El feminismo como batalla cultural”, in </w:t>
      </w:r>
      <w:r w:rsidRPr="007776CD">
        <w:t xml:space="preserve">FlGUEROA BLANCO </w:t>
      </w:r>
      <w:r w:rsidRPr="004B2498">
        <w:t xml:space="preserve">Francisco : </w:t>
      </w:r>
      <w:r w:rsidRPr="005B267B">
        <w:rPr>
          <w:i/>
        </w:rPr>
        <w:t>Mujeres mexicanas del siglo XX. La otra revolución</w:t>
      </w:r>
      <w:r w:rsidRPr="004B2498">
        <w:t>, Mexico, Editorial Edicol, IV, p. 365.</w:t>
      </w:r>
    </w:p>
    <w:p w14:paraId="35244110" w14:textId="77777777" w:rsidR="002F4063" w:rsidRPr="004B2498" w:rsidRDefault="002F4063" w:rsidP="002F4063">
      <w:pPr>
        <w:spacing w:before="120" w:after="120"/>
        <w:jc w:val="both"/>
      </w:pPr>
      <w:r w:rsidRPr="007776CD">
        <w:t xml:space="preserve">LAMAS </w:t>
      </w:r>
      <w:r w:rsidRPr="004B2498">
        <w:t xml:space="preserve">Marta, 2006 : </w:t>
      </w:r>
      <w:r w:rsidRPr="005B267B">
        <w:rPr>
          <w:i/>
        </w:rPr>
        <w:t>Feminismo : Transmisiones y retransm</w:t>
      </w:r>
      <w:r w:rsidRPr="005B267B">
        <w:rPr>
          <w:i/>
        </w:rPr>
        <w:t>i</w:t>
      </w:r>
      <w:r w:rsidRPr="005B267B">
        <w:rPr>
          <w:i/>
        </w:rPr>
        <w:t>siones</w:t>
      </w:r>
      <w:r w:rsidRPr="004B2498">
        <w:t>, México, Taurus.</w:t>
      </w:r>
    </w:p>
    <w:p w14:paraId="4AE0D9CE" w14:textId="77777777" w:rsidR="002F4063" w:rsidRPr="004B2498" w:rsidRDefault="002F4063" w:rsidP="002F4063">
      <w:pPr>
        <w:spacing w:before="120" w:after="120"/>
        <w:jc w:val="both"/>
      </w:pPr>
      <w:r w:rsidRPr="007776CD">
        <w:t xml:space="preserve">Lovera </w:t>
      </w:r>
      <w:r w:rsidRPr="004B2498">
        <w:t>Sara, 2000 : “Historias que no aparecen en todos los l</w:t>
      </w:r>
      <w:r w:rsidRPr="004B2498">
        <w:t>i</w:t>
      </w:r>
      <w:r w:rsidRPr="004B2498">
        <w:t xml:space="preserve">bros”, in </w:t>
      </w:r>
      <w:r w:rsidRPr="007776CD">
        <w:t xml:space="preserve">BLANCO FlGUEROA </w:t>
      </w:r>
      <w:r w:rsidRPr="004B2498">
        <w:t xml:space="preserve">Francisco, </w:t>
      </w:r>
      <w:r w:rsidRPr="005B267B">
        <w:rPr>
          <w:i/>
        </w:rPr>
        <w:t>Mujeres Mexicanas La otra rev</w:t>
      </w:r>
      <w:r w:rsidRPr="005B267B">
        <w:rPr>
          <w:i/>
        </w:rPr>
        <w:t>o</w:t>
      </w:r>
      <w:r w:rsidRPr="005B267B">
        <w:rPr>
          <w:i/>
        </w:rPr>
        <w:t>lución</w:t>
      </w:r>
      <w:r w:rsidRPr="004B2498">
        <w:t>, México, Editorial Edicol, IV.</w:t>
      </w:r>
    </w:p>
    <w:p w14:paraId="2F108941" w14:textId="77777777" w:rsidR="002F4063" w:rsidRPr="004B2498" w:rsidRDefault="002F4063" w:rsidP="002F4063">
      <w:pPr>
        <w:spacing w:before="120" w:after="120"/>
        <w:jc w:val="both"/>
      </w:pPr>
      <w:r w:rsidRPr="004B2498">
        <w:t xml:space="preserve">Lau JAIVEN Ana, 1987 : </w:t>
      </w:r>
      <w:r w:rsidRPr="005B267B">
        <w:rPr>
          <w:i/>
          <w:iCs/>
        </w:rPr>
        <w:t>La Nueva ola del feminismo en México</w:t>
      </w:r>
      <w:r w:rsidRPr="007776CD">
        <w:t xml:space="preserve">, </w:t>
      </w:r>
      <w:r w:rsidRPr="004B2498">
        <w:t>México, Planeta.</w:t>
      </w:r>
    </w:p>
    <w:p w14:paraId="286E5F27" w14:textId="77777777" w:rsidR="002F4063" w:rsidRPr="004B2498" w:rsidRDefault="002F4063" w:rsidP="002F4063">
      <w:pPr>
        <w:spacing w:before="120" w:after="120"/>
        <w:jc w:val="both"/>
      </w:pPr>
      <w:r w:rsidRPr="007776CD">
        <w:t xml:space="preserve">MONTECINO </w:t>
      </w:r>
      <w:r w:rsidRPr="004B2498">
        <w:t>Sonia, 1996 : “De la mujer al género : implicancias ac</w:t>
      </w:r>
      <w:r w:rsidRPr="004B2498">
        <w:t>a</w:t>
      </w:r>
      <w:r w:rsidRPr="004B2498">
        <w:t xml:space="preserve">démicas y teóricas”, </w:t>
      </w:r>
      <w:r w:rsidRPr="005B267B">
        <w:rPr>
          <w:i/>
        </w:rPr>
        <w:t>Excerpta</w:t>
      </w:r>
      <w:r w:rsidRPr="004B2498">
        <w:t>, n° 2, avril.</w:t>
      </w:r>
    </w:p>
    <w:p w14:paraId="2D451B28" w14:textId="77777777" w:rsidR="002F4063" w:rsidRPr="004B2498" w:rsidRDefault="002F4063" w:rsidP="002F4063">
      <w:pPr>
        <w:spacing w:before="120" w:after="120"/>
        <w:jc w:val="both"/>
      </w:pPr>
      <w:r w:rsidRPr="007776CD">
        <w:t xml:space="preserve">UNGO </w:t>
      </w:r>
      <w:r w:rsidRPr="004B2498">
        <w:t xml:space="preserve">M. Urania, 1996 : “Del feminismo al Enfoque de Genero”, </w:t>
      </w:r>
      <w:r w:rsidRPr="005B267B">
        <w:rPr>
          <w:i/>
        </w:rPr>
        <w:t>FEM</w:t>
      </w:r>
      <w:r w:rsidRPr="004B2498">
        <w:t>, n° 124, juin 1993, p. 7-12.</w:t>
      </w:r>
    </w:p>
    <w:p w14:paraId="4F2FAC04" w14:textId="77777777" w:rsidR="002F4063" w:rsidRPr="004B2498" w:rsidRDefault="002F4063" w:rsidP="002F4063">
      <w:pPr>
        <w:spacing w:before="120" w:after="120"/>
        <w:jc w:val="both"/>
      </w:pPr>
      <w:r w:rsidRPr="007776CD">
        <w:t xml:space="preserve">ZIRBEL </w:t>
      </w:r>
      <w:r w:rsidRPr="004B2498">
        <w:t xml:space="preserve">Ilze, 2007 : </w:t>
      </w:r>
      <w:r w:rsidRPr="005B267B">
        <w:rPr>
          <w:i/>
        </w:rPr>
        <w:t>Estudos Feministas e Estudos de gênero no Br</w:t>
      </w:r>
      <w:r w:rsidRPr="005B267B">
        <w:rPr>
          <w:i/>
        </w:rPr>
        <w:t>a</w:t>
      </w:r>
      <w:r w:rsidRPr="005B267B">
        <w:rPr>
          <w:i/>
        </w:rPr>
        <w:t>sil. Um debate</w:t>
      </w:r>
      <w:r w:rsidRPr="004B2498">
        <w:t xml:space="preserve">, Dissertação de mestrado do Programa de Pós-Graduação em Sociologia Politica da UFSC, Florianópolis, Capitulo 4, p. 96-128. </w:t>
      </w:r>
    </w:p>
    <w:p w14:paraId="72E6F12A" w14:textId="77777777" w:rsidR="002F4063" w:rsidRPr="004B2498" w:rsidRDefault="002F4063" w:rsidP="002F4063">
      <w:pPr>
        <w:spacing w:before="120" w:after="120"/>
        <w:jc w:val="both"/>
      </w:pPr>
    </w:p>
    <w:p w14:paraId="20BEBEB0" w14:textId="77777777" w:rsidR="002F4063" w:rsidRPr="004B2498" w:rsidRDefault="002F4063" w:rsidP="002F4063">
      <w:pPr>
        <w:pStyle w:val="p"/>
      </w:pPr>
      <w:r w:rsidRPr="004B2498">
        <w:rPr>
          <w:lang w:eastAsia="fr-FR" w:bidi="fr-FR"/>
        </w:rPr>
        <w:t>[292]</w:t>
      </w:r>
    </w:p>
    <w:p w14:paraId="50A6251A" w14:textId="77777777" w:rsidR="002F4063" w:rsidRPr="004B2498" w:rsidRDefault="002F4063" w:rsidP="002F4063">
      <w:pPr>
        <w:pStyle w:val="p"/>
        <w:rPr>
          <w:lang w:eastAsia="fr-FR" w:bidi="fr-FR"/>
        </w:rPr>
      </w:pPr>
      <w:r w:rsidRPr="004B2498">
        <w:br w:type="page"/>
      </w:r>
      <w:r w:rsidRPr="004B2498">
        <w:rPr>
          <w:lang w:eastAsia="fr-FR" w:bidi="fr-FR"/>
        </w:rPr>
        <w:t>[293]</w:t>
      </w:r>
    </w:p>
    <w:p w14:paraId="10EA3502" w14:textId="77777777" w:rsidR="002F4063" w:rsidRDefault="002F4063" w:rsidP="002F4063">
      <w:pPr>
        <w:jc w:val="both"/>
      </w:pPr>
    </w:p>
    <w:p w14:paraId="04004A0C" w14:textId="77777777" w:rsidR="002F4063" w:rsidRPr="004B2498" w:rsidRDefault="002F4063" w:rsidP="002F4063">
      <w:pPr>
        <w:jc w:val="both"/>
      </w:pPr>
    </w:p>
    <w:p w14:paraId="1A256A4E" w14:textId="77777777" w:rsidR="002F4063" w:rsidRPr="004B2498" w:rsidRDefault="002F4063" w:rsidP="002F4063">
      <w:pPr>
        <w:jc w:val="both"/>
      </w:pPr>
    </w:p>
    <w:p w14:paraId="286BF1CD" w14:textId="77777777" w:rsidR="002F4063" w:rsidRPr="002C57DA" w:rsidRDefault="002F4063" w:rsidP="002F4063">
      <w:pPr>
        <w:spacing w:after="120"/>
        <w:ind w:firstLine="0"/>
        <w:jc w:val="center"/>
        <w:rPr>
          <w:b/>
          <w:sz w:val="24"/>
        </w:rPr>
      </w:pPr>
      <w:bookmarkStart w:id="17" w:name="Enjeux_sc_soc_pt_2_texte_7"/>
      <w:r w:rsidRPr="002C57DA">
        <w:rPr>
          <w:b/>
          <w:sz w:val="24"/>
        </w:rPr>
        <w:t>Enjeux épistémologiques et idéologiques</w:t>
      </w:r>
      <w:r w:rsidRPr="002C57DA">
        <w:rPr>
          <w:b/>
          <w:sz w:val="24"/>
        </w:rPr>
        <w:br/>
        <w:t>de la globalisation pour les sciences sociales.</w:t>
      </w:r>
    </w:p>
    <w:p w14:paraId="5028198B" w14:textId="77777777" w:rsidR="002F4063" w:rsidRPr="00386FE1" w:rsidRDefault="002F4063" w:rsidP="002F4063">
      <w:pPr>
        <w:spacing w:after="120"/>
        <w:ind w:firstLine="0"/>
        <w:jc w:val="center"/>
        <w:rPr>
          <w:sz w:val="24"/>
        </w:rPr>
      </w:pPr>
      <w:r>
        <w:rPr>
          <w:sz w:val="24"/>
        </w:rPr>
        <w:t>Deuxième</w:t>
      </w:r>
      <w:r w:rsidRPr="00386FE1">
        <w:rPr>
          <w:sz w:val="24"/>
        </w:rPr>
        <w:t xml:space="preserve"> partie : </w:t>
      </w:r>
      <w:r>
        <w:rPr>
          <w:sz w:val="24"/>
        </w:rPr>
        <w:t>Acteurs et actrices</w:t>
      </w:r>
    </w:p>
    <w:p w14:paraId="2D68BBB2" w14:textId="77777777" w:rsidR="002F4063" w:rsidRPr="00386FE1" w:rsidRDefault="002F4063" w:rsidP="002F4063">
      <w:pPr>
        <w:pStyle w:val="Titreniveau1"/>
      </w:pPr>
      <w:r>
        <w:t>7</w:t>
      </w:r>
    </w:p>
    <w:p w14:paraId="25F5591B" w14:textId="77777777" w:rsidR="002F4063" w:rsidRPr="004B2498" w:rsidRDefault="002F4063" w:rsidP="002F4063">
      <w:pPr>
        <w:pStyle w:val="Titreniveau2"/>
      </w:pPr>
      <w:r w:rsidRPr="004B2498">
        <w:t>“</w:t>
      </w:r>
      <w:r>
        <w:t xml:space="preserve">UNE </w:t>
      </w:r>
      <w:r w:rsidRPr="004B2498">
        <w:t>GLOBALISATION</w:t>
      </w:r>
      <w:r w:rsidRPr="004B2498">
        <w:br/>
      </w:r>
      <w:r>
        <w:t>SEXUÉE.</w:t>
      </w:r>
      <w:r w:rsidRPr="004B2498">
        <w:t>”</w:t>
      </w:r>
    </w:p>
    <w:bookmarkEnd w:id="17"/>
    <w:p w14:paraId="5068388D" w14:textId="77777777" w:rsidR="002F4063" w:rsidRDefault="002F4063" w:rsidP="002F4063">
      <w:pPr>
        <w:jc w:val="both"/>
        <w:rPr>
          <w:szCs w:val="36"/>
        </w:rPr>
      </w:pPr>
    </w:p>
    <w:p w14:paraId="494E4799" w14:textId="77777777" w:rsidR="002F4063" w:rsidRPr="004B2498" w:rsidRDefault="002F4063" w:rsidP="002F4063">
      <w:pPr>
        <w:jc w:val="both"/>
        <w:rPr>
          <w:szCs w:val="36"/>
        </w:rPr>
      </w:pPr>
    </w:p>
    <w:p w14:paraId="5B1D9245" w14:textId="77777777" w:rsidR="002F4063" w:rsidRPr="004B2498" w:rsidRDefault="002F4063" w:rsidP="002F4063">
      <w:pPr>
        <w:pStyle w:val="suite"/>
      </w:pPr>
      <w:r>
        <w:rPr>
          <w:szCs w:val="24"/>
          <w:lang w:eastAsia="fr-FR" w:bidi="fr-FR"/>
        </w:rPr>
        <w:t>Monique SELIM</w:t>
      </w:r>
    </w:p>
    <w:p w14:paraId="18814B2B" w14:textId="77777777" w:rsidR="002F4063" w:rsidRPr="004B2498" w:rsidRDefault="002F4063" w:rsidP="002F4063">
      <w:pPr>
        <w:spacing w:before="120" w:after="120"/>
        <w:jc w:val="both"/>
        <w:rPr>
          <w:lang w:eastAsia="fr-FR" w:bidi="fr-FR"/>
        </w:rPr>
      </w:pPr>
    </w:p>
    <w:p w14:paraId="332D6BE4" w14:textId="77777777" w:rsidR="002F4063" w:rsidRPr="002C57DA" w:rsidRDefault="002F4063" w:rsidP="002F4063">
      <w:pPr>
        <w:ind w:right="90" w:firstLine="0"/>
        <w:jc w:val="both"/>
        <w:rPr>
          <w:sz w:val="24"/>
        </w:rPr>
      </w:pPr>
      <w:hyperlink w:anchor="sommaire" w:history="1">
        <w:r w:rsidRPr="002C57DA">
          <w:rPr>
            <w:rStyle w:val="Hyperlien"/>
            <w:sz w:val="24"/>
          </w:rPr>
          <w:t>Retour au sommaire</w:t>
        </w:r>
      </w:hyperlink>
    </w:p>
    <w:p w14:paraId="7090D74D" w14:textId="77777777" w:rsidR="002F4063" w:rsidRPr="004B2498" w:rsidRDefault="002F4063" w:rsidP="002F4063">
      <w:pPr>
        <w:spacing w:before="120" w:after="120"/>
        <w:jc w:val="both"/>
      </w:pPr>
      <w:r w:rsidRPr="004B2498">
        <w:rPr>
          <w:lang w:eastAsia="fr-FR" w:bidi="fr-FR"/>
        </w:rPr>
        <w:t>Si le genre s’inscrit désormais pleinement dans le registre des no</w:t>
      </w:r>
      <w:r w:rsidRPr="004B2498">
        <w:rPr>
          <w:lang w:eastAsia="fr-FR" w:bidi="fr-FR"/>
        </w:rPr>
        <w:t>r</w:t>
      </w:r>
      <w:r w:rsidRPr="004B2498">
        <w:rPr>
          <w:lang w:eastAsia="fr-FR" w:bidi="fr-FR"/>
        </w:rPr>
        <w:t>mes globales, avec des applications et des orientations précises de gouvernance, ce constat, loin de refermer les débats, ouvre un champ d’investigations et d’interprétations toujours plus complexes et contradictoires. Égalité, équité, parité des genres - toutes ces formules débordantes d’ambiguïtés - qui se chevauchent, s’annulent, se rempl</w:t>
      </w:r>
      <w:r w:rsidRPr="004B2498">
        <w:rPr>
          <w:lang w:eastAsia="fr-FR" w:bidi="fr-FR"/>
        </w:rPr>
        <w:t>a</w:t>
      </w:r>
      <w:r w:rsidRPr="004B2498">
        <w:rPr>
          <w:lang w:eastAsia="fr-FR" w:bidi="fr-FR"/>
        </w:rPr>
        <w:t>cent, se donnent en effet à penser comme des règles éthiques, avant d’être des armes politiques brandies pour de tout autres objectifs et des outils économiques aux facettes multiples et douteuses. L’ambition idéale que voudraient signifier ces expressions visant à une très relative homothétie des positions masculines et féminines - dont les différences postulées devraient être respectées - est sur des modes variables, affichés, voilés, (in) conscients, plantée au cœur du regard des chercheurs, de leur écriture, de leur déchiffrement des r</w:t>
      </w:r>
      <w:r w:rsidRPr="004B2498">
        <w:rPr>
          <w:lang w:eastAsia="fr-FR" w:bidi="fr-FR"/>
        </w:rPr>
        <w:t>é</w:t>
      </w:r>
      <w:r w:rsidRPr="004B2498">
        <w:rPr>
          <w:lang w:eastAsia="fr-FR" w:bidi="fr-FR"/>
        </w:rPr>
        <w:t>cits recueillis et des comportements observés dans leurs enquêtes. L’institutionnalisation et le développement des études dites de genre - qui se sont consolidées en fortifiant des perspectives normatives et consensuelles - ont donc profondément transformé les diverses disc</w:t>
      </w:r>
      <w:r w:rsidRPr="004B2498">
        <w:rPr>
          <w:lang w:eastAsia="fr-FR" w:bidi="fr-FR"/>
        </w:rPr>
        <w:t>i</w:t>
      </w:r>
      <w:r w:rsidRPr="004B2498">
        <w:rPr>
          <w:lang w:eastAsia="fr-FR" w:bidi="fr-FR"/>
        </w:rPr>
        <w:t>plines des sciences sociales sans pour autant explorer l’ensemble des orientations offertes par l’implication des appartenances sexuées r</w:t>
      </w:r>
      <w:r w:rsidRPr="004B2498">
        <w:rPr>
          <w:lang w:eastAsia="fr-FR" w:bidi="fr-FR"/>
        </w:rPr>
        <w:t>e</w:t>
      </w:r>
      <w:r w:rsidRPr="004B2498">
        <w:rPr>
          <w:lang w:eastAsia="fr-FR" w:bidi="fr-FR"/>
        </w:rPr>
        <w:t>vendiquées ou assignées des acteurs et des actrices dans le champ de la connaissance. L’édification du genre en module politico-économique de la globalisation du capitalisme ne fait qu’obscurcir les représentations épistémiques conduisant les uns et les autres à choisir leur voie dans les panoplies qui se déploient en trouvant éventuell</w:t>
      </w:r>
      <w:r w:rsidRPr="004B2498">
        <w:rPr>
          <w:lang w:eastAsia="fr-FR" w:bidi="fr-FR"/>
        </w:rPr>
        <w:t>e</w:t>
      </w:r>
      <w:r w:rsidRPr="004B2498">
        <w:rPr>
          <w:lang w:eastAsia="fr-FR" w:bidi="fr-FR"/>
        </w:rPr>
        <w:t>ment dans des mots fétiches et des chemins bien balayés leur légitim</w:t>
      </w:r>
      <w:r w:rsidRPr="004B2498">
        <w:rPr>
          <w:lang w:eastAsia="fr-FR" w:bidi="fr-FR"/>
        </w:rPr>
        <w:t>a</w:t>
      </w:r>
      <w:r w:rsidRPr="004B2498">
        <w:rPr>
          <w:lang w:eastAsia="fr-FR" w:bidi="fr-FR"/>
        </w:rPr>
        <w:t>tion ; que le chercheur soit un homme, une femme, homosexuel, hét</w:t>
      </w:r>
      <w:r w:rsidRPr="004B2498">
        <w:rPr>
          <w:lang w:eastAsia="fr-FR" w:bidi="fr-FR"/>
        </w:rPr>
        <w:t>é</w:t>
      </w:r>
      <w:r w:rsidRPr="004B2498">
        <w:rPr>
          <w:lang w:eastAsia="fr-FR" w:bidi="fr-FR"/>
        </w:rPr>
        <w:t>rosexuel, etc. peut être érigé en critère de validation sur la base de l’incantation de l’expérience vécue.</w:t>
      </w:r>
      <w:r w:rsidRPr="004B2498">
        <w:t xml:space="preserve"> </w:t>
      </w:r>
    </w:p>
    <w:p w14:paraId="7FA09E21" w14:textId="77777777" w:rsidR="002F4063" w:rsidRPr="004B2498" w:rsidRDefault="002F4063" w:rsidP="002F4063">
      <w:pPr>
        <w:spacing w:before="120" w:after="120"/>
        <w:jc w:val="both"/>
      </w:pPr>
      <w:r w:rsidRPr="004B2498">
        <w:t>[294]</w:t>
      </w:r>
    </w:p>
    <w:p w14:paraId="4FDF4D40" w14:textId="77777777" w:rsidR="002F4063" w:rsidRPr="004B2498" w:rsidRDefault="002F4063" w:rsidP="002F4063">
      <w:pPr>
        <w:spacing w:before="120" w:after="120"/>
        <w:jc w:val="both"/>
      </w:pPr>
      <w:r w:rsidRPr="004B2498">
        <w:rPr>
          <w:lang w:eastAsia="fr-FR" w:bidi="fr-FR"/>
        </w:rPr>
        <w:t>Dans la période contemporaine et c’est sans doute là un de ses principaux attraits - toutes les postures sont donc possibles et rien ne saurait de façon définitive organiser leur hiérarchisation dans l’ordre de la connaissance : il en résulte des productions prenant d’innombrables angles d’attaques rendant d’ailleurs autant difficiles la comparaison que le classement - tant les imprégnations autoscopiques et idéologiques mêlées sont constitutives des « résultats des reche</w:t>
      </w:r>
      <w:r w:rsidRPr="004B2498">
        <w:rPr>
          <w:lang w:eastAsia="fr-FR" w:bidi="fr-FR"/>
        </w:rPr>
        <w:t>r</w:t>
      </w:r>
      <w:r w:rsidRPr="004B2498">
        <w:rPr>
          <w:lang w:eastAsia="fr-FR" w:bidi="fr-FR"/>
        </w:rPr>
        <w:t xml:space="preserve">ches » : un foisonnement ininterrompu de « biais » s’est substitué à l’archaïque biais monolithique et rigide de la domination masculine recouverte sous l’universel. Parmi ces thématiques « biaisées », genre et globalisation est en bonne place, arpenté par de nombreuses « spécialistes » sur les terrains du travail, des interactions sexuelles, de l’éducation, de la famille, de la prostitution, etc. Tantôt négatifs, tantôt positifs, le plus souvent mitigés, les bilans tirés des effets de la globalisation sur le genre renvoient </w:t>
      </w:r>
      <w:r w:rsidRPr="004B2498">
        <w:t>in fine</w:t>
      </w:r>
      <w:r w:rsidRPr="004B2498">
        <w:rPr>
          <w:lang w:eastAsia="fr-FR" w:bidi="fr-FR"/>
        </w:rPr>
        <w:t xml:space="preserve"> aux conceptions politiques au sens large qui habitent les chercheurs, à leur propre définition de leur univers et à la conscience intime de leur existence. Calés dans leur monde et leur être, ou décalés à la manière des anthropologues, obsédés par le spectre de l’ethnocentrisme et les figures de l’altérité, ils insufflent dans cette thématique une part de leurs convictions qui lient le capitalisme d’un côté à la démocratie et aux droits, de l’autre à des ontologies sexuées dont la remise en cause est tout à la fois a</w:t>
      </w:r>
      <w:r w:rsidRPr="004B2498">
        <w:rPr>
          <w:lang w:eastAsia="fr-FR" w:bidi="fr-FR"/>
        </w:rPr>
        <w:t>u</w:t>
      </w:r>
      <w:r w:rsidRPr="004B2498">
        <w:rPr>
          <w:lang w:eastAsia="fr-FR" w:bidi="fr-FR"/>
        </w:rPr>
        <w:t>jourd’hui effective et bloquée.</w:t>
      </w:r>
    </w:p>
    <w:p w14:paraId="44A3746E" w14:textId="77777777" w:rsidR="002F4063" w:rsidRPr="004B2498" w:rsidRDefault="002F4063" w:rsidP="002F4063">
      <w:pPr>
        <w:spacing w:before="120" w:after="120"/>
        <w:jc w:val="both"/>
      </w:pPr>
      <w:r w:rsidRPr="004B2498">
        <w:rPr>
          <w:lang w:eastAsia="fr-FR" w:bidi="fr-FR"/>
        </w:rPr>
        <w:t>Au fil des pages, le lecteur a pu ouvrir de petites lucarnes sur des fragments significatifs du présent - situés au Vietnam, au Mexique, en Chine, en Inde - qui peuvent se découvrir comme des situations artic</w:t>
      </w:r>
      <w:r w:rsidRPr="004B2498">
        <w:rPr>
          <w:lang w:eastAsia="fr-FR" w:bidi="fr-FR"/>
        </w:rPr>
        <w:t>u</w:t>
      </w:r>
      <w:r w:rsidRPr="004B2498">
        <w:rPr>
          <w:lang w:eastAsia="fr-FR" w:bidi="fr-FR"/>
        </w:rPr>
        <w:t>lées entre elles au-delà des frontières, reformant d’une certaine mani</w:t>
      </w:r>
      <w:r w:rsidRPr="004B2498">
        <w:rPr>
          <w:lang w:eastAsia="fr-FR" w:bidi="fr-FR"/>
        </w:rPr>
        <w:t>è</w:t>
      </w:r>
      <w:r w:rsidRPr="004B2498">
        <w:rPr>
          <w:lang w:eastAsia="fr-FR" w:bidi="fr-FR"/>
        </w:rPr>
        <w:t>re un seul texte à plusieurs mains tant les éclairages proposés sur des faits centraux objectivent les processus de globalisation et les déma</w:t>
      </w:r>
      <w:r w:rsidRPr="004B2498">
        <w:rPr>
          <w:lang w:eastAsia="fr-FR" w:bidi="fr-FR"/>
        </w:rPr>
        <w:t>r</w:t>
      </w:r>
      <w:r w:rsidRPr="004B2498">
        <w:rPr>
          <w:lang w:eastAsia="fr-FR" w:bidi="fr-FR"/>
        </w:rPr>
        <w:t>ches dont ils sont l’objet. Balbutiant en Chine, fermement installés au Mexique, les « savoirs de genre » - selon une dénomination qui en elle-même constitue une interpellation autant épistémologique qu’existentielle - consacrent une production globale de connaissance qui se diffuse dans le monde entier, bousculant et refaçonnant les o</w:t>
      </w:r>
      <w:r w:rsidRPr="004B2498">
        <w:rPr>
          <w:lang w:eastAsia="fr-FR" w:bidi="fr-FR"/>
        </w:rPr>
        <w:t>r</w:t>
      </w:r>
      <w:r w:rsidRPr="004B2498">
        <w:rPr>
          <w:lang w:eastAsia="fr-FR" w:bidi="fr-FR"/>
        </w:rPr>
        <w:t>donnancements politiques selon des axiomatiques convoquées pour une gouvernance « universellement » partagée. Leur expansion coexiste avec des logiques sociales strictement opposées, qui elles aussi s’appréhendent dans les différentes régions de la planète et qui se donnent toutes à voir sous l’angle d’une retraditionnalisation des rapports entre hommes et femmes, repensés comme des valences i</w:t>
      </w:r>
      <w:r w:rsidRPr="004B2498">
        <w:rPr>
          <w:lang w:eastAsia="fr-FR" w:bidi="fr-FR"/>
        </w:rPr>
        <w:t>n</w:t>
      </w:r>
      <w:r w:rsidRPr="004B2498">
        <w:rPr>
          <w:lang w:eastAsia="fr-FR" w:bidi="fr-FR"/>
        </w:rPr>
        <w:t>dépassables et des valeurs à préserver. Tout se passe comme si les s</w:t>
      </w:r>
      <w:r w:rsidRPr="004B2498">
        <w:rPr>
          <w:lang w:eastAsia="fr-FR" w:bidi="fr-FR"/>
        </w:rPr>
        <w:t>o</w:t>
      </w:r>
      <w:r w:rsidRPr="004B2498">
        <w:rPr>
          <w:lang w:eastAsia="fr-FR" w:bidi="fr-FR"/>
        </w:rPr>
        <w:t>ciétés résistaient à la globalisation en bra</w:t>
      </w:r>
      <w:r w:rsidRPr="004B2498">
        <w:rPr>
          <w:lang w:eastAsia="fr-FR" w:bidi="fr-FR"/>
        </w:rPr>
        <w:t>n</w:t>
      </w:r>
      <w:r w:rsidRPr="004B2498">
        <w:rPr>
          <w:lang w:eastAsia="fr-FR" w:bidi="fr-FR"/>
        </w:rPr>
        <w:t>dissant le corps de « leurs femmes », étendards de leur cohésion n</w:t>
      </w:r>
      <w:r w:rsidRPr="004B2498">
        <w:rPr>
          <w:lang w:eastAsia="fr-FR" w:bidi="fr-FR"/>
        </w:rPr>
        <w:t>a</w:t>
      </w:r>
      <w:r w:rsidRPr="004B2498">
        <w:rPr>
          <w:lang w:eastAsia="fr-FR" w:bidi="fr-FR"/>
        </w:rPr>
        <w:t>tionale. Mais dans le même moment, au-delà de ce théâtre d’honneur, ces mêmes femmes sont prises dans le cycle des marchandises stat</w:t>
      </w:r>
      <w:r w:rsidRPr="004B2498">
        <w:rPr>
          <w:lang w:eastAsia="fr-FR" w:bidi="fr-FR"/>
        </w:rPr>
        <w:t>u</w:t>
      </w:r>
      <w:r w:rsidRPr="004B2498">
        <w:rPr>
          <w:lang w:eastAsia="fr-FR" w:bidi="fr-FR"/>
        </w:rPr>
        <w:t>taires qui s’achètent, à la hauteur des</w:t>
      </w:r>
      <w:r>
        <w:t xml:space="preserve"> </w:t>
      </w:r>
      <w:r w:rsidRPr="004B2498">
        <w:t>[295]</w:t>
      </w:r>
      <w:r>
        <w:t xml:space="preserve"> </w:t>
      </w:r>
      <w:r w:rsidRPr="004B2498">
        <w:rPr>
          <w:lang w:eastAsia="fr-FR" w:bidi="fr-FR"/>
        </w:rPr>
        <w:t>ressources disponibles, s’éliminent pour éviter la déchéance et la honte, s’exportent, se trafiquent, etc. Il convient a</w:t>
      </w:r>
      <w:r w:rsidRPr="004B2498">
        <w:rPr>
          <w:lang w:eastAsia="fr-FR" w:bidi="fr-FR"/>
        </w:rPr>
        <w:t>u</w:t>
      </w:r>
      <w:r w:rsidRPr="004B2498">
        <w:rPr>
          <w:lang w:eastAsia="fr-FR" w:bidi="fr-FR"/>
        </w:rPr>
        <w:t>jourd’hui de focaliser l’analyse sur la cohérence, dans la période a</w:t>
      </w:r>
      <w:r w:rsidRPr="004B2498">
        <w:rPr>
          <w:lang w:eastAsia="fr-FR" w:bidi="fr-FR"/>
        </w:rPr>
        <w:t>c</w:t>
      </w:r>
      <w:r w:rsidRPr="004B2498">
        <w:rPr>
          <w:lang w:eastAsia="fr-FR" w:bidi="fr-FR"/>
        </w:rPr>
        <w:t>tuelle, de phénom</w:t>
      </w:r>
      <w:r w:rsidRPr="004B2498">
        <w:rPr>
          <w:lang w:eastAsia="fr-FR" w:bidi="fr-FR"/>
        </w:rPr>
        <w:t>è</w:t>
      </w:r>
      <w:r w:rsidRPr="004B2498">
        <w:rPr>
          <w:lang w:eastAsia="fr-FR" w:bidi="fr-FR"/>
        </w:rPr>
        <w:t>nes massifs aussi paradoxaux que sont, parmi d’autres, l’audience globale des connaissances du genre, l’ouverture et la liberté, parfois quasi initiatique comme en Chine, qu’elle concrétise pour les femmes et par ricochet pour les homosexuels, et les trappes multiformes dans lesquelles sont ensevelis les individus de sexe fém</w:t>
      </w:r>
      <w:r w:rsidRPr="004B2498">
        <w:rPr>
          <w:lang w:eastAsia="fr-FR" w:bidi="fr-FR"/>
        </w:rPr>
        <w:t>i</w:t>
      </w:r>
      <w:r w:rsidRPr="004B2498">
        <w:rPr>
          <w:lang w:eastAsia="fr-FR" w:bidi="fr-FR"/>
        </w:rPr>
        <w:t>nin qui gênent à un moment ou un autre les programmes personnels, institutionnels et étatiques. L’extension des normes marchandes pe</w:t>
      </w:r>
      <w:r w:rsidRPr="004B2498">
        <w:rPr>
          <w:lang w:eastAsia="fr-FR" w:bidi="fr-FR"/>
        </w:rPr>
        <w:t>r</w:t>
      </w:r>
      <w:r w:rsidRPr="004B2498">
        <w:rPr>
          <w:lang w:eastAsia="fr-FR" w:bidi="fr-FR"/>
        </w:rPr>
        <w:t>met et de fait autorise, à une échelle croissante, des sociétés - Vie</w:t>
      </w:r>
      <w:r w:rsidRPr="004B2498">
        <w:rPr>
          <w:lang w:eastAsia="fr-FR" w:bidi="fr-FR"/>
        </w:rPr>
        <w:t>t</w:t>
      </w:r>
      <w:r w:rsidRPr="004B2498">
        <w:rPr>
          <w:lang w:eastAsia="fr-FR" w:bidi="fr-FR"/>
        </w:rPr>
        <w:t>nam, Chine, Inde, Corée du Sud, etc. - à s’aventurer dans une voie qui menace déjà leur cohésion interne en les privant de femmes suppr</w:t>
      </w:r>
      <w:r w:rsidRPr="004B2498">
        <w:rPr>
          <w:lang w:eastAsia="fr-FR" w:bidi="fr-FR"/>
        </w:rPr>
        <w:t>i</w:t>
      </w:r>
      <w:r w:rsidRPr="004B2498">
        <w:rPr>
          <w:lang w:eastAsia="fr-FR" w:bidi="fr-FR"/>
        </w:rPr>
        <w:t>mées avant la naissance et en les obligeant à plus ou moins court te</w:t>
      </w:r>
      <w:r w:rsidRPr="004B2498">
        <w:rPr>
          <w:lang w:eastAsia="fr-FR" w:bidi="fr-FR"/>
        </w:rPr>
        <w:t>r</w:t>
      </w:r>
      <w:r w:rsidRPr="004B2498">
        <w:rPr>
          <w:lang w:eastAsia="fr-FR" w:bidi="fr-FR"/>
        </w:rPr>
        <w:t>me à s’en procurer ailleurs. Ainsi par exemple en Corée du Sud on vient acheter par le biais d’agences les « femmes manquantes » au Vietnam - qui en manque pourtant aussi - et en Inde de profonds r</w:t>
      </w:r>
      <w:r w:rsidRPr="004B2498">
        <w:rPr>
          <w:lang w:eastAsia="fr-FR" w:bidi="fr-FR"/>
        </w:rPr>
        <w:t>e</w:t>
      </w:r>
      <w:r w:rsidRPr="004B2498">
        <w:rPr>
          <w:lang w:eastAsia="fr-FR" w:bidi="fr-FR"/>
        </w:rPr>
        <w:t>maniements des prescriptions de caste devront être rapidement mis en œuvre. L’invention du qual</w:t>
      </w:r>
      <w:r w:rsidRPr="004B2498">
        <w:rPr>
          <w:lang w:eastAsia="fr-FR" w:bidi="fr-FR"/>
        </w:rPr>
        <w:t>i</w:t>
      </w:r>
      <w:r w:rsidRPr="004B2498">
        <w:rPr>
          <w:lang w:eastAsia="fr-FR" w:bidi="fr-FR"/>
        </w:rPr>
        <w:t>ficatif de « manquante » ne se comprend pourtant qu’à l’aune de son pendant de « restante » : ces femmes « restantes » - selon le vocable qui a surgi en Chine dans les dernières années - sont celles qui sont éjectées du marché du mariage car elles renversent les schèmes des rapports de prévalence masculine. Trop diplômées, disposant de rev</w:t>
      </w:r>
      <w:r w:rsidRPr="004B2498">
        <w:rPr>
          <w:lang w:eastAsia="fr-FR" w:bidi="fr-FR"/>
        </w:rPr>
        <w:t>e</w:t>
      </w:r>
      <w:r w:rsidRPr="004B2498">
        <w:rPr>
          <w:lang w:eastAsia="fr-FR" w:bidi="fr-FR"/>
        </w:rPr>
        <w:t>nus supérieurs, trop « libres », trop « âgées », elles n’ont plus de v</w:t>
      </w:r>
      <w:r w:rsidRPr="004B2498">
        <w:rPr>
          <w:lang w:eastAsia="fr-FR" w:bidi="fr-FR"/>
        </w:rPr>
        <w:t>a</w:t>
      </w:r>
      <w:r w:rsidRPr="004B2498">
        <w:rPr>
          <w:lang w:eastAsia="fr-FR" w:bidi="fr-FR"/>
        </w:rPr>
        <w:t>leur marchande par excès de valeur égale aux hommes. Leurs comp</w:t>
      </w:r>
      <w:r w:rsidRPr="004B2498">
        <w:rPr>
          <w:lang w:eastAsia="fr-FR" w:bidi="fr-FR"/>
        </w:rPr>
        <w:t>a</w:t>
      </w:r>
      <w:r w:rsidRPr="004B2498">
        <w:rPr>
          <w:lang w:eastAsia="fr-FR" w:bidi="fr-FR"/>
        </w:rPr>
        <w:t>gnons d’infortune, les hommes « restants », sont au contraire ceux qui ne parviennent pas à se hisser dans une position supérieure de déte</w:t>
      </w:r>
      <w:r w:rsidRPr="004B2498">
        <w:rPr>
          <w:lang w:eastAsia="fr-FR" w:bidi="fr-FR"/>
        </w:rPr>
        <w:t>n</w:t>
      </w:r>
      <w:r w:rsidRPr="004B2498">
        <w:rPr>
          <w:lang w:eastAsia="fr-FR" w:bidi="fr-FR"/>
        </w:rPr>
        <w:t>teur de biens : par manque d’argent, ils n’ont ni appartement, ni voiture et ne peuvent donc pr</w:t>
      </w:r>
      <w:r w:rsidRPr="004B2498">
        <w:rPr>
          <w:lang w:eastAsia="fr-FR" w:bidi="fr-FR"/>
        </w:rPr>
        <w:t>é</w:t>
      </w:r>
      <w:r w:rsidRPr="004B2498">
        <w:rPr>
          <w:lang w:eastAsia="fr-FR" w:bidi="fr-FR"/>
        </w:rPr>
        <w:t>tendre acheter une femme qui se positionne dans l’écart d’infériorité prescrit. Hommes et femmes « restants » o</w:t>
      </w:r>
      <w:r w:rsidRPr="004B2498">
        <w:rPr>
          <w:lang w:eastAsia="fr-FR" w:bidi="fr-FR"/>
        </w:rPr>
        <w:t>f</w:t>
      </w:r>
      <w:r w:rsidRPr="004B2498">
        <w:rPr>
          <w:lang w:eastAsia="fr-FR" w:bidi="fr-FR"/>
        </w:rPr>
        <w:t>frent au regard les images antithétiques qui assument la régulation d’un marché qui maintient son archaïsme des hiérarchies de sexe dans une sorte d’opposition frontale aux normes globales de genre mais d’incorporation maximale des normes marchandes. La globalisation confronte ainsi les sciences sociales à des failles en série, brisant les réflexions linéaires et « progressistes », ébréchant les confiances en des avancées timides ou définitives. Matrice fluide où les acteurs in</w:t>
      </w:r>
      <w:r w:rsidRPr="004B2498">
        <w:rPr>
          <w:lang w:eastAsia="fr-FR" w:bidi="fr-FR"/>
        </w:rPr>
        <w:t>s</w:t>
      </w:r>
      <w:r w:rsidRPr="004B2498">
        <w:rPr>
          <w:lang w:eastAsia="fr-FR" w:bidi="fr-FR"/>
        </w:rPr>
        <w:t>tillent leurs constructions personnelles et collectives de sens, le marché se révèle un espace gl</w:t>
      </w:r>
      <w:r w:rsidRPr="004B2498">
        <w:rPr>
          <w:lang w:eastAsia="fr-FR" w:bidi="fr-FR"/>
        </w:rPr>
        <w:t>o</w:t>
      </w:r>
      <w:r w:rsidRPr="004B2498">
        <w:rPr>
          <w:lang w:eastAsia="fr-FR" w:bidi="fr-FR"/>
        </w:rPr>
        <w:t>bal glauque et agonique hanté par des signifiants vides : les popul</w:t>
      </w:r>
      <w:r w:rsidRPr="004B2498">
        <w:rPr>
          <w:lang w:eastAsia="fr-FR" w:bidi="fr-FR"/>
        </w:rPr>
        <w:t>a</w:t>
      </w:r>
      <w:r w:rsidRPr="004B2498">
        <w:rPr>
          <w:lang w:eastAsia="fr-FR" w:bidi="fr-FR"/>
        </w:rPr>
        <w:t>tions sous l’emprise des normes que le marché répand, font rayonner avec leurs propres signifiés ces derni</w:t>
      </w:r>
      <w:r w:rsidRPr="004B2498">
        <w:rPr>
          <w:lang w:eastAsia="fr-FR" w:bidi="fr-FR"/>
        </w:rPr>
        <w:t>è</w:t>
      </w:r>
      <w:r w:rsidRPr="004B2498">
        <w:rPr>
          <w:lang w:eastAsia="fr-FR" w:bidi="fr-FR"/>
        </w:rPr>
        <w:t>res.</w:t>
      </w:r>
    </w:p>
    <w:p w14:paraId="4DB6742E" w14:textId="77777777" w:rsidR="002F4063" w:rsidRPr="004B2498" w:rsidRDefault="002F4063" w:rsidP="002F4063">
      <w:pPr>
        <w:spacing w:before="120" w:after="120"/>
        <w:jc w:val="both"/>
      </w:pPr>
      <w:r w:rsidRPr="004B2498">
        <w:rPr>
          <w:lang w:eastAsia="fr-FR" w:bidi="fr-FR"/>
        </w:rPr>
        <w:t>L’introduction des facteurs de sexe dans la connaissance, qui a d</w:t>
      </w:r>
      <w:r w:rsidRPr="004B2498">
        <w:rPr>
          <w:lang w:eastAsia="fr-FR" w:bidi="fr-FR"/>
        </w:rPr>
        <w:t>é</w:t>
      </w:r>
      <w:r w:rsidRPr="004B2498">
        <w:rPr>
          <w:lang w:eastAsia="fr-FR" w:bidi="fr-FR"/>
        </w:rPr>
        <w:t>bouché sur les « savoirs de genre », a considérablement élargi la r</w:t>
      </w:r>
      <w:r w:rsidRPr="004B2498">
        <w:rPr>
          <w:lang w:eastAsia="fr-FR" w:bidi="fr-FR"/>
        </w:rPr>
        <w:t>é</w:t>
      </w:r>
      <w:r w:rsidRPr="004B2498">
        <w:rPr>
          <w:lang w:eastAsia="fr-FR" w:bidi="fr-FR"/>
        </w:rPr>
        <w:t>flexion mais dans le même moment le code du genre a arraisonné les possibles issus de la fracture du et des sexes. Une nouvelle chape o</w:t>
      </w:r>
      <w:r w:rsidRPr="004B2498">
        <w:rPr>
          <w:lang w:eastAsia="fr-FR" w:bidi="fr-FR"/>
        </w:rPr>
        <w:t>n</w:t>
      </w:r>
      <w:r w:rsidRPr="004B2498">
        <w:rPr>
          <w:lang w:eastAsia="fr-FR" w:bidi="fr-FR"/>
        </w:rPr>
        <w:t>tique s’est abattue sur les</w:t>
      </w:r>
      <w:r w:rsidRPr="004B2498">
        <w:t xml:space="preserve"> [296]</w:t>
      </w:r>
      <w:r>
        <w:t xml:space="preserve"> </w:t>
      </w:r>
      <w:r w:rsidRPr="004B2498">
        <w:rPr>
          <w:lang w:eastAsia="fr-FR" w:bidi="fr-FR"/>
        </w:rPr>
        <w:t>femmes et les hommes, que les pr</w:t>
      </w:r>
      <w:r w:rsidRPr="004B2498">
        <w:rPr>
          <w:lang w:eastAsia="fr-FR" w:bidi="fr-FR"/>
        </w:rPr>
        <w:t>o</w:t>
      </w:r>
      <w:r w:rsidRPr="004B2498">
        <w:rPr>
          <w:lang w:eastAsia="fr-FR" w:bidi="fr-FR"/>
        </w:rPr>
        <w:t>cessus marchands étayent avec vigueur. C’est sans doute dans les i</w:t>
      </w:r>
      <w:r w:rsidRPr="004B2498">
        <w:rPr>
          <w:lang w:eastAsia="fr-FR" w:bidi="fr-FR"/>
        </w:rPr>
        <w:t>n</w:t>
      </w:r>
      <w:r w:rsidRPr="004B2498">
        <w:rPr>
          <w:lang w:eastAsia="fr-FR" w:bidi="fr-FR"/>
        </w:rPr>
        <w:t>terstices de ces collisions, dans le desserrement des coagulations de mécanismes qui s’observent actue</w:t>
      </w:r>
      <w:r w:rsidRPr="004B2498">
        <w:rPr>
          <w:lang w:eastAsia="fr-FR" w:bidi="fr-FR"/>
        </w:rPr>
        <w:t>l</w:t>
      </w:r>
      <w:r w:rsidRPr="004B2498">
        <w:rPr>
          <w:lang w:eastAsia="fr-FR" w:bidi="fr-FR"/>
        </w:rPr>
        <w:t>lement que la connaissance peut se poursuivre et se renouveler.</w:t>
      </w:r>
      <w:r w:rsidRPr="004B2498">
        <w:t xml:space="preserve"> </w:t>
      </w:r>
    </w:p>
    <w:p w14:paraId="6B93E8D7" w14:textId="77777777" w:rsidR="002F4063" w:rsidRPr="004B2498" w:rsidRDefault="002F4063" w:rsidP="002F4063">
      <w:pPr>
        <w:spacing w:before="120" w:after="120"/>
        <w:jc w:val="both"/>
      </w:pPr>
    </w:p>
    <w:p w14:paraId="24588208" w14:textId="77777777" w:rsidR="002F4063" w:rsidRPr="004B2498" w:rsidRDefault="002F4063" w:rsidP="002F4063">
      <w:pPr>
        <w:pStyle w:val="p"/>
      </w:pPr>
      <w:r w:rsidRPr="004B2498">
        <w:br w:type="page"/>
        <w:t>[297]</w:t>
      </w:r>
    </w:p>
    <w:p w14:paraId="7281458B" w14:textId="77777777" w:rsidR="002F4063" w:rsidRDefault="002F4063" w:rsidP="002F4063">
      <w:pPr>
        <w:jc w:val="both"/>
      </w:pPr>
    </w:p>
    <w:p w14:paraId="6455E120" w14:textId="77777777" w:rsidR="002F4063" w:rsidRDefault="002F4063" w:rsidP="002F4063">
      <w:pPr>
        <w:jc w:val="both"/>
      </w:pPr>
    </w:p>
    <w:p w14:paraId="4DAA7DBD" w14:textId="77777777" w:rsidR="002F4063" w:rsidRPr="004B2498" w:rsidRDefault="002F4063" w:rsidP="002F4063">
      <w:pPr>
        <w:jc w:val="both"/>
      </w:pPr>
    </w:p>
    <w:p w14:paraId="20A691D4" w14:textId="77777777" w:rsidR="002F4063" w:rsidRPr="002C57DA" w:rsidRDefault="002F4063" w:rsidP="002F4063">
      <w:pPr>
        <w:spacing w:after="120"/>
        <w:ind w:firstLine="0"/>
        <w:jc w:val="center"/>
        <w:rPr>
          <w:b/>
          <w:sz w:val="24"/>
        </w:rPr>
      </w:pPr>
      <w:bookmarkStart w:id="18" w:name="Enjeux_sc_soc_auteurs"/>
      <w:r w:rsidRPr="002C57DA">
        <w:rPr>
          <w:b/>
          <w:sz w:val="24"/>
        </w:rPr>
        <w:t>Enjeux épistémologiques et idéologiques</w:t>
      </w:r>
      <w:r w:rsidRPr="002C57DA">
        <w:rPr>
          <w:b/>
          <w:sz w:val="24"/>
        </w:rPr>
        <w:br/>
        <w:t>de la globalisation pour les sciences sociales.</w:t>
      </w:r>
    </w:p>
    <w:p w14:paraId="31354783" w14:textId="77777777" w:rsidR="002F4063" w:rsidRPr="002C57DA" w:rsidRDefault="002F4063" w:rsidP="002F4063">
      <w:pPr>
        <w:pStyle w:val="planchest"/>
      </w:pPr>
      <w:r>
        <w:t>LES AUTEURS</w:t>
      </w:r>
    </w:p>
    <w:bookmarkEnd w:id="18"/>
    <w:p w14:paraId="640529BB" w14:textId="77777777" w:rsidR="002F4063" w:rsidRPr="004B2498" w:rsidRDefault="002F4063" w:rsidP="002F4063">
      <w:pPr>
        <w:jc w:val="both"/>
      </w:pPr>
    </w:p>
    <w:p w14:paraId="351ECD2A" w14:textId="77777777" w:rsidR="002F4063" w:rsidRPr="004B2498" w:rsidRDefault="002F4063" w:rsidP="002F4063">
      <w:pPr>
        <w:jc w:val="both"/>
      </w:pPr>
    </w:p>
    <w:p w14:paraId="79B1A31D" w14:textId="77777777" w:rsidR="002F4063" w:rsidRPr="004B2498" w:rsidRDefault="002F4063" w:rsidP="002F4063">
      <w:pPr>
        <w:jc w:val="both"/>
      </w:pPr>
    </w:p>
    <w:p w14:paraId="2ECB8E17" w14:textId="77777777" w:rsidR="002F4063" w:rsidRPr="004B2498" w:rsidRDefault="002F4063" w:rsidP="002F4063">
      <w:pPr>
        <w:jc w:val="both"/>
      </w:pPr>
    </w:p>
    <w:p w14:paraId="5216DA40" w14:textId="77777777" w:rsidR="002F4063" w:rsidRPr="004B2498" w:rsidRDefault="002F4063" w:rsidP="002F4063">
      <w:pPr>
        <w:jc w:val="both"/>
      </w:pPr>
    </w:p>
    <w:p w14:paraId="51BFB78B" w14:textId="77777777" w:rsidR="002F4063" w:rsidRPr="002C57DA" w:rsidRDefault="002F4063" w:rsidP="002F4063">
      <w:pPr>
        <w:ind w:right="90" w:firstLine="0"/>
        <w:jc w:val="both"/>
        <w:rPr>
          <w:sz w:val="24"/>
        </w:rPr>
      </w:pPr>
      <w:hyperlink w:anchor="sommaire" w:history="1">
        <w:r w:rsidRPr="002C57DA">
          <w:rPr>
            <w:rStyle w:val="Hyperlien"/>
            <w:sz w:val="24"/>
          </w:rPr>
          <w:t>Retour au sommaire</w:t>
        </w:r>
      </w:hyperlink>
    </w:p>
    <w:p w14:paraId="42F137B9" w14:textId="77777777" w:rsidR="002F4063" w:rsidRPr="004B2498" w:rsidRDefault="002F4063" w:rsidP="002F4063">
      <w:pPr>
        <w:spacing w:before="120" w:after="120"/>
        <w:jc w:val="both"/>
      </w:pPr>
      <w:r w:rsidRPr="004B2498">
        <w:t xml:space="preserve">Bernard </w:t>
      </w:r>
      <w:r w:rsidRPr="00EC429E">
        <w:t xml:space="preserve">CASTELLI, </w:t>
      </w:r>
      <w:r w:rsidRPr="004B2498">
        <w:t xml:space="preserve">économiste, chargé de recherches </w:t>
      </w:r>
      <w:r w:rsidRPr="00EC429E">
        <w:t xml:space="preserve">à </w:t>
      </w:r>
      <w:r w:rsidRPr="004B2498">
        <w:t xml:space="preserve">l’Institut de recherche pour le développement (IRD), UMR201 Développement et Sociétés (Université Paris 1-IRD), axe Travail et mondialisation. </w:t>
      </w:r>
      <w:hyperlink r:id="rId37" w:history="1">
        <w:r w:rsidRPr="00EC429E">
          <w:t>castelli.bernard@ird.fr</w:t>
        </w:r>
      </w:hyperlink>
    </w:p>
    <w:p w14:paraId="3AF38116" w14:textId="77777777" w:rsidR="002F4063" w:rsidRPr="004B2498" w:rsidRDefault="002F4063" w:rsidP="002F4063">
      <w:pPr>
        <w:spacing w:before="120" w:after="120"/>
        <w:jc w:val="both"/>
      </w:pPr>
      <w:r w:rsidRPr="004B2498">
        <w:t xml:space="preserve">Mathieu </w:t>
      </w:r>
      <w:r w:rsidRPr="00EC429E">
        <w:t xml:space="preserve">CAULIER, </w:t>
      </w:r>
      <w:r w:rsidRPr="004B2498">
        <w:t xml:space="preserve">anthropologue, chercheur associé </w:t>
      </w:r>
      <w:r w:rsidRPr="00EC429E">
        <w:t xml:space="preserve">à </w:t>
      </w:r>
      <w:r w:rsidRPr="004B2498">
        <w:t xml:space="preserve">TUMR201, axe Travail et mondialisation. </w:t>
      </w:r>
      <w:hyperlink r:id="rId38" w:history="1">
        <w:r w:rsidRPr="00EC429E">
          <w:t>matcaulier@gmail.com</w:t>
        </w:r>
      </w:hyperlink>
    </w:p>
    <w:p w14:paraId="2AABEA68" w14:textId="77777777" w:rsidR="002F4063" w:rsidRPr="004B2498" w:rsidRDefault="002F4063" w:rsidP="002F4063">
      <w:pPr>
        <w:spacing w:before="120" w:after="120"/>
        <w:jc w:val="both"/>
      </w:pPr>
      <w:r w:rsidRPr="004B2498">
        <w:t xml:space="preserve">Isabelle </w:t>
      </w:r>
      <w:r w:rsidRPr="00EC429E">
        <w:t xml:space="preserve">GUÉRIN, </w:t>
      </w:r>
      <w:r w:rsidRPr="004B2498">
        <w:t xml:space="preserve">économiste, chargée de recherches </w:t>
      </w:r>
      <w:r w:rsidRPr="00EC429E">
        <w:t xml:space="preserve">à </w:t>
      </w:r>
      <w:r w:rsidRPr="004B2498">
        <w:t xml:space="preserve">l’IRD, UMR 201, axe Travail et mondialisation. </w:t>
      </w:r>
      <w:hyperlink r:id="rId39" w:history="1">
        <w:r w:rsidRPr="00EC429E">
          <w:t>isabelle.guerin@ird.fr</w:t>
        </w:r>
      </w:hyperlink>
    </w:p>
    <w:p w14:paraId="204C6137" w14:textId="77777777" w:rsidR="002F4063" w:rsidRPr="004B2498" w:rsidRDefault="002F4063" w:rsidP="002F4063">
      <w:pPr>
        <w:spacing w:before="120" w:after="120"/>
        <w:jc w:val="both"/>
      </w:pPr>
      <w:r w:rsidRPr="004B2498">
        <w:t xml:space="preserve">Wenjing GUO, doctorante contractuelle en anthropologie, UMR 201, axe Travail et mondialisation. </w:t>
      </w:r>
      <w:hyperlink r:id="rId40" w:history="1">
        <w:r w:rsidRPr="00EC429E">
          <w:t>wenjguo@gmail.com</w:t>
        </w:r>
      </w:hyperlink>
    </w:p>
    <w:p w14:paraId="2D3A2EC2" w14:textId="77777777" w:rsidR="002F4063" w:rsidRPr="004B2498" w:rsidRDefault="002F4063" w:rsidP="002F4063">
      <w:pPr>
        <w:spacing w:before="120" w:after="120"/>
        <w:jc w:val="both"/>
      </w:pPr>
      <w:r w:rsidRPr="004B2498">
        <w:t xml:space="preserve">Bernard HOURS, anthropologue, chercheur associé à l’UMR 201, axe Travail et mondialisation. </w:t>
      </w:r>
      <w:hyperlink r:id="rId41" w:history="1">
        <w:r w:rsidRPr="00EC429E">
          <w:t>bernard.hours@ird.fr</w:t>
        </w:r>
      </w:hyperlink>
    </w:p>
    <w:p w14:paraId="2C208FA9" w14:textId="77777777" w:rsidR="002F4063" w:rsidRPr="004B2498" w:rsidRDefault="002F4063" w:rsidP="002F4063">
      <w:pPr>
        <w:spacing w:before="120" w:after="120"/>
        <w:jc w:val="both"/>
      </w:pPr>
      <w:r w:rsidRPr="004B2498">
        <w:t xml:space="preserve">Rosinha </w:t>
      </w:r>
      <w:r w:rsidRPr="00EC429E">
        <w:t xml:space="preserve">MACHADO CARRION, </w:t>
      </w:r>
      <w:r w:rsidRPr="004B2498">
        <w:t xml:space="preserve">sociologue professeure </w:t>
      </w:r>
      <w:r w:rsidRPr="00EC429E">
        <w:t xml:space="preserve">à </w:t>
      </w:r>
      <w:r w:rsidRPr="004B2498">
        <w:t>l’université f</w:t>
      </w:r>
      <w:r w:rsidRPr="004B2498">
        <w:t>é</w:t>
      </w:r>
      <w:r w:rsidRPr="004B2498">
        <w:t>dérale du Rio Grande do Sul (Brésil)  ; responsable de la chaire sociologie de la mondialisation  ; coordinatrice GIP État, soci</w:t>
      </w:r>
      <w:r w:rsidRPr="004B2498">
        <w:t>é</w:t>
      </w:r>
      <w:r w:rsidRPr="004B2498">
        <w:t>té et troisi</w:t>
      </w:r>
      <w:r w:rsidRPr="004B2498">
        <w:t>è</w:t>
      </w:r>
      <w:r w:rsidRPr="004B2498">
        <w:t xml:space="preserve">me secteur et DESS en gestion sociale et développement, chercheure associée </w:t>
      </w:r>
      <w:r w:rsidRPr="00EC429E">
        <w:t xml:space="preserve">à </w:t>
      </w:r>
      <w:r w:rsidRPr="004B2498">
        <w:t xml:space="preserve">l’UMR 201, axe Travail et mondialisation. </w:t>
      </w:r>
      <w:hyperlink r:id="rId42" w:history="1">
        <w:r w:rsidRPr="00EC429E">
          <w:t>rsmcarrion@ea.ufrgs.br</w:t>
        </w:r>
      </w:hyperlink>
    </w:p>
    <w:p w14:paraId="78340F4C" w14:textId="77777777" w:rsidR="002F4063" w:rsidRPr="004B2498" w:rsidRDefault="002F4063" w:rsidP="002F4063">
      <w:pPr>
        <w:spacing w:before="120" w:after="120"/>
        <w:jc w:val="both"/>
      </w:pPr>
      <w:r w:rsidRPr="004B2498">
        <w:t xml:space="preserve">Pépita </w:t>
      </w:r>
      <w:r w:rsidRPr="00EC429E">
        <w:t xml:space="preserve">OULD AHMED, </w:t>
      </w:r>
      <w:r w:rsidRPr="004B2498">
        <w:t xml:space="preserve">économiste, chargée de recherches </w:t>
      </w:r>
      <w:r w:rsidRPr="00EC429E">
        <w:t xml:space="preserve">à </w:t>
      </w:r>
      <w:r w:rsidRPr="004B2498">
        <w:t xml:space="preserve">l’IRD, UMR 201, axe Travail et mondialisation. </w:t>
      </w:r>
      <w:hyperlink r:id="rId43" w:history="1">
        <w:r w:rsidRPr="00EC429E">
          <w:t>pepita.ould@gmail.com</w:t>
        </w:r>
      </w:hyperlink>
    </w:p>
    <w:p w14:paraId="003BCCB3" w14:textId="77777777" w:rsidR="002F4063" w:rsidRPr="004B2498" w:rsidRDefault="002F4063" w:rsidP="002F4063">
      <w:pPr>
        <w:spacing w:before="120" w:after="120"/>
        <w:jc w:val="both"/>
      </w:pPr>
      <w:r w:rsidRPr="004B2498">
        <w:t xml:space="preserve">Franck </w:t>
      </w:r>
      <w:r w:rsidRPr="00EC429E">
        <w:t xml:space="preserve">POUPEAU, </w:t>
      </w:r>
      <w:r w:rsidRPr="004B2498">
        <w:t xml:space="preserve">sociologue, chargé de recherches au CNRS CSU/CRESPPA, UMR7217, CNRS/Université Paris 8. </w:t>
      </w:r>
      <w:hyperlink r:id="rId44" w:history="1">
        <w:r w:rsidRPr="00EC429E">
          <w:t>franck.poupeau@gmail.com</w:t>
        </w:r>
      </w:hyperlink>
    </w:p>
    <w:p w14:paraId="1128ACB2" w14:textId="77777777" w:rsidR="002F4063" w:rsidRPr="004B2498" w:rsidRDefault="002F4063" w:rsidP="002F4063">
      <w:pPr>
        <w:spacing w:before="120" w:after="120"/>
        <w:jc w:val="both"/>
      </w:pPr>
      <w:r w:rsidRPr="004B2498">
        <w:t xml:space="preserve">Pia V. RIUS, sociologue, chercheure associée CEMS-EHESS/UMR 201, axe Travail et mondialisation. </w:t>
      </w:r>
      <w:hyperlink r:id="rId45" w:history="1">
        <w:r w:rsidRPr="00EC429E">
          <w:t>piavrius@gmail.com</w:t>
        </w:r>
      </w:hyperlink>
    </w:p>
    <w:p w14:paraId="6075EEF2" w14:textId="77777777" w:rsidR="002F4063" w:rsidRPr="004B2498" w:rsidRDefault="002F4063" w:rsidP="002F4063">
      <w:pPr>
        <w:spacing w:before="120" w:after="120"/>
        <w:jc w:val="both"/>
      </w:pPr>
      <w:r w:rsidRPr="004B2498">
        <w:t xml:space="preserve">Monique SELIM, anthropologue, directrice de recherches à l’IRD, UMR 201, responsable de l’axe Travail et mondialisation. </w:t>
      </w:r>
      <w:hyperlink r:id="rId46" w:history="1">
        <w:r w:rsidRPr="00EC429E">
          <w:t>monique.selim@ird.fr</w:t>
        </w:r>
      </w:hyperlink>
      <w:r w:rsidRPr="004B2498">
        <w:t xml:space="preserve"> </w:t>
      </w:r>
    </w:p>
    <w:p w14:paraId="275CB0A9" w14:textId="77777777" w:rsidR="002F4063" w:rsidRPr="004B2498" w:rsidRDefault="002F4063" w:rsidP="002F4063">
      <w:pPr>
        <w:spacing w:before="120" w:after="120"/>
        <w:jc w:val="both"/>
      </w:pPr>
      <w:r w:rsidRPr="004B2498">
        <w:t>[298]</w:t>
      </w:r>
    </w:p>
    <w:p w14:paraId="29F1FAEB" w14:textId="77777777" w:rsidR="002F4063" w:rsidRPr="004B2498" w:rsidRDefault="002F4063" w:rsidP="002F4063">
      <w:pPr>
        <w:spacing w:before="120" w:after="120"/>
        <w:jc w:val="both"/>
      </w:pPr>
      <w:r w:rsidRPr="004B2498">
        <w:t xml:space="preserve">Jean-Michel </w:t>
      </w:r>
      <w:r w:rsidRPr="00EC429E">
        <w:t xml:space="preserve">SERVET, </w:t>
      </w:r>
      <w:r w:rsidRPr="004B2498">
        <w:t xml:space="preserve">socioéconomiste, professeur </w:t>
      </w:r>
      <w:r w:rsidRPr="00EC429E">
        <w:t xml:space="preserve">à </w:t>
      </w:r>
      <w:r w:rsidRPr="004B2498">
        <w:t>l’Institut des hautes études internationales et d’études du développement, G</w:t>
      </w:r>
      <w:r w:rsidRPr="004B2498">
        <w:t>e</w:t>
      </w:r>
      <w:r w:rsidRPr="004B2498">
        <w:t xml:space="preserve">nève, et directeur de recherche associé </w:t>
      </w:r>
      <w:r w:rsidRPr="00EC429E">
        <w:t xml:space="preserve">à </w:t>
      </w:r>
      <w:r w:rsidRPr="004B2498">
        <w:t>l’UMR 201, axe Travail et mondi</w:t>
      </w:r>
      <w:r w:rsidRPr="004B2498">
        <w:t>a</w:t>
      </w:r>
      <w:r w:rsidRPr="004B2498">
        <w:t xml:space="preserve">lisation. </w:t>
      </w:r>
      <w:hyperlink r:id="rId47" w:history="1">
        <w:r w:rsidRPr="00EC429E">
          <w:t>jean-michel.servet@graduateinstitute.ch</w:t>
        </w:r>
      </w:hyperlink>
    </w:p>
    <w:p w14:paraId="4333D3B3" w14:textId="77777777" w:rsidR="002F4063" w:rsidRPr="004B2498" w:rsidRDefault="002F4063" w:rsidP="002F4063">
      <w:pPr>
        <w:spacing w:before="120" w:after="120"/>
        <w:jc w:val="both"/>
      </w:pPr>
      <w:r w:rsidRPr="004B2498">
        <w:t xml:space="preserve">Angelica </w:t>
      </w:r>
      <w:r w:rsidRPr="00EC429E">
        <w:t xml:space="preserve">L. L. WEHRLI, </w:t>
      </w:r>
      <w:r w:rsidRPr="004B2498">
        <w:t xml:space="preserve">anthropologue, chercheure associée </w:t>
      </w:r>
      <w:r w:rsidRPr="00EC429E">
        <w:t xml:space="preserve">à </w:t>
      </w:r>
      <w:r w:rsidRPr="004B2498">
        <w:t xml:space="preserve">l’UMR201, axe Travail et mondialisation et Institut d’anthropologie sociale, Université de Berne, </w:t>
      </w:r>
      <w:hyperlink r:id="rId48" w:history="1">
        <w:r w:rsidRPr="00EC429E">
          <w:t>angelica.wehrli@anthro.unibe.ch</w:t>
        </w:r>
      </w:hyperlink>
      <w:r w:rsidRPr="004B2498">
        <w:t xml:space="preserve"> </w:t>
      </w:r>
    </w:p>
    <w:p w14:paraId="364D5B0F" w14:textId="77777777" w:rsidR="002F4063" w:rsidRPr="004B2498" w:rsidRDefault="002F4063" w:rsidP="002F4063">
      <w:pPr>
        <w:spacing w:before="120" w:after="120"/>
        <w:jc w:val="both"/>
      </w:pPr>
    </w:p>
    <w:p w14:paraId="50AB30E8" w14:textId="77777777" w:rsidR="002F4063" w:rsidRPr="004B2498" w:rsidRDefault="002F4063" w:rsidP="002F4063">
      <w:pPr>
        <w:spacing w:before="120" w:after="120"/>
        <w:jc w:val="both"/>
      </w:pPr>
      <w:r w:rsidRPr="004B2498">
        <w:br w:type="page"/>
      </w:r>
    </w:p>
    <w:p w14:paraId="528001AE" w14:textId="77777777" w:rsidR="002F4063" w:rsidRPr="00A675CE" w:rsidRDefault="002F4063" w:rsidP="002F4063">
      <w:pPr>
        <w:spacing w:before="120" w:after="120"/>
        <w:ind w:firstLine="0"/>
        <w:jc w:val="center"/>
        <w:rPr>
          <w:sz w:val="24"/>
        </w:rPr>
      </w:pPr>
      <w:r w:rsidRPr="00A675CE">
        <w:rPr>
          <w:sz w:val="24"/>
          <w:szCs w:val="24"/>
          <w:lang w:eastAsia="fr-FR" w:bidi="fr-FR"/>
        </w:rPr>
        <w:t>Ouvrages publiés dans le cadre de l’axe</w:t>
      </w:r>
      <w:r w:rsidRPr="00A675CE">
        <w:rPr>
          <w:sz w:val="24"/>
          <w:szCs w:val="24"/>
          <w:lang w:eastAsia="fr-FR" w:bidi="fr-FR"/>
        </w:rPr>
        <w:br/>
        <w:t>Travail et mondialisation - IRD, UMR 201 Développement et</w:t>
      </w:r>
      <w:r w:rsidRPr="00A675CE">
        <w:rPr>
          <w:sz w:val="24"/>
          <w:szCs w:val="24"/>
          <w:lang w:eastAsia="fr-FR" w:bidi="fr-FR"/>
        </w:rPr>
        <w:br/>
        <w:t>sociétés (Université Paris 1-IRD)</w:t>
      </w:r>
    </w:p>
    <w:p w14:paraId="13CD6268" w14:textId="77777777" w:rsidR="002F4063" w:rsidRDefault="002F4063" w:rsidP="002F4063">
      <w:pPr>
        <w:spacing w:before="120" w:after="120"/>
        <w:jc w:val="both"/>
        <w:rPr>
          <w:szCs w:val="24"/>
          <w:lang w:eastAsia="fr-FR" w:bidi="fr-FR"/>
        </w:rPr>
      </w:pPr>
    </w:p>
    <w:p w14:paraId="4944DC5D" w14:textId="77777777" w:rsidR="002F4063" w:rsidRPr="004B2498" w:rsidRDefault="002F4063" w:rsidP="002F4063">
      <w:pPr>
        <w:spacing w:before="120" w:after="120"/>
        <w:jc w:val="both"/>
      </w:pPr>
      <w:r w:rsidRPr="004B2498">
        <w:rPr>
          <w:szCs w:val="24"/>
          <w:lang w:eastAsia="fr-FR" w:bidi="fr-FR"/>
        </w:rPr>
        <w:t>Dans la série « </w:t>
      </w:r>
      <w:r w:rsidRPr="00EF6F02">
        <w:rPr>
          <w:b/>
          <w:i/>
          <w:color w:val="FF0000"/>
          <w:szCs w:val="24"/>
          <w:lang w:eastAsia="fr-FR" w:bidi="fr-FR"/>
        </w:rPr>
        <w:t>Globalisation et sciences sociales </w:t>
      </w:r>
      <w:r w:rsidRPr="004B2498">
        <w:rPr>
          <w:szCs w:val="24"/>
          <w:lang w:eastAsia="fr-FR" w:bidi="fr-FR"/>
        </w:rPr>
        <w:t>» de la collection « Questions contemporaines », à L’Harmattan :</w:t>
      </w:r>
    </w:p>
    <w:p w14:paraId="71C6B88B" w14:textId="77777777" w:rsidR="002F4063" w:rsidRDefault="002F4063" w:rsidP="002F4063">
      <w:pPr>
        <w:spacing w:before="120" w:after="120"/>
        <w:jc w:val="both"/>
        <w:rPr>
          <w:lang w:eastAsia="fr-FR" w:bidi="fr-FR"/>
        </w:rPr>
      </w:pPr>
    </w:p>
    <w:p w14:paraId="6FA2A7C0" w14:textId="77777777" w:rsidR="002F4063" w:rsidRPr="004B2498" w:rsidRDefault="002F4063" w:rsidP="002F4063">
      <w:pPr>
        <w:spacing w:before="120" w:after="120"/>
        <w:jc w:val="both"/>
      </w:pPr>
      <w:r w:rsidRPr="004B2498">
        <w:rPr>
          <w:lang w:eastAsia="fr-FR" w:bidi="fr-FR"/>
        </w:rPr>
        <w:t xml:space="preserve">Monique </w:t>
      </w:r>
      <w:r w:rsidRPr="004B2498">
        <w:rPr>
          <w:rStyle w:val="Corpsdutexte29ptEspacement0pt"/>
          <w:color w:val="auto"/>
          <w:spacing w:val="0"/>
          <w:sz w:val="28"/>
        </w:rPr>
        <w:t xml:space="preserve">SELIM </w:t>
      </w:r>
      <w:r w:rsidRPr="004B2498">
        <w:rPr>
          <w:lang w:eastAsia="fr-FR" w:bidi="fr-FR"/>
        </w:rPr>
        <w:t xml:space="preserve">et Pascale </w:t>
      </w:r>
      <w:r w:rsidRPr="004B2498">
        <w:rPr>
          <w:rStyle w:val="Corpsdutexte29ptPetitesmajusculesEspacement0pt"/>
          <w:smallCaps w:val="0"/>
          <w:color w:val="auto"/>
          <w:spacing w:val="0"/>
          <w:sz w:val="28"/>
        </w:rPr>
        <w:t>PhÉLINAS :</w:t>
      </w:r>
      <w:r w:rsidRPr="004B2498">
        <w:rPr>
          <w:lang w:eastAsia="fr-FR" w:bidi="fr-FR"/>
        </w:rPr>
        <w:t xml:space="preserve"> </w:t>
      </w:r>
      <w:r w:rsidRPr="00EF6F02">
        <w:rPr>
          <w:i/>
        </w:rPr>
        <w:t>La crise vue d’ailleurs</w:t>
      </w:r>
      <w:r w:rsidRPr="004B2498">
        <w:t>,</w:t>
      </w:r>
      <w:r w:rsidRPr="004B2498">
        <w:rPr>
          <w:lang w:eastAsia="fr-FR" w:bidi="fr-FR"/>
        </w:rPr>
        <w:t xml:space="preserve"> 2010, 304 p.</w:t>
      </w:r>
    </w:p>
    <w:p w14:paraId="4E0A694F" w14:textId="77777777" w:rsidR="002F4063" w:rsidRPr="004B2498" w:rsidRDefault="002F4063" w:rsidP="002F4063">
      <w:pPr>
        <w:spacing w:before="120" w:after="120"/>
        <w:jc w:val="both"/>
      </w:pPr>
      <w:r w:rsidRPr="004B2498">
        <w:rPr>
          <w:lang w:eastAsia="fr-FR" w:bidi="fr-FR"/>
        </w:rPr>
        <w:t>Eveline</w:t>
      </w:r>
      <w:r>
        <w:rPr>
          <w:lang w:eastAsia="fr-FR" w:bidi="fr-FR"/>
        </w:rPr>
        <w:t xml:space="preserve"> </w:t>
      </w:r>
      <w:r w:rsidRPr="004B2498">
        <w:rPr>
          <w:rStyle w:val="Corpsdutexte29ptPetitesmajusculesEspacement0pt"/>
          <w:smallCaps w:val="0"/>
          <w:color w:val="auto"/>
          <w:spacing w:val="0"/>
          <w:sz w:val="28"/>
        </w:rPr>
        <w:t xml:space="preserve">Baumann, </w:t>
      </w:r>
      <w:r w:rsidRPr="004B2498">
        <w:rPr>
          <w:lang w:eastAsia="fr-FR" w:bidi="fr-FR"/>
        </w:rPr>
        <w:t>Laurent</w:t>
      </w:r>
      <w:r>
        <w:rPr>
          <w:lang w:eastAsia="fr-FR" w:bidi="fr-FR"/>
        </w:rPr>
        <w:t xml:space="preserve"> </w:t>
      </w:r>
      <w:r w:rsidRPr="004B2498">
        <w:rPr>
          <w:rStyle w:val="Corpsdutexte29ptPetitesmajusculesEspacement0pt"/>
          <w:smallCaps w:val="0"/>
          <w:color w:val="auto"/>
          <w:spacing w:val="0"/>
          <w:sz w:val="28"/>
        </w:rPr>
        <w:t xml:space="preserve">Bazin, </w:t>
      </w:r>
      <w:r w:rsidRPr="004B2498">
        <w:rPr>
          <w:lang w:eastAsia="fr-FR" w:bidi="fr-FR"/>
        </w:rPr>
        <w:t>Pépita</w:t>
      </w:r>
      <w:r>
        <w:rPr>
          <w:lang w:eastAsia="fr-FR" w:bidi="fr-FR"/>
        </w:rPr>
        <w:t xml:space="preserve"> </w:t>
      </w:r>
      <w:r w:rsidRPr="004B2498">
        <w:rPr>
          <w:rStyle w:val="Corpsdutexte29ptPetitesmajusculesEspacement0pt"/>
          <w:smallCaps w:val="0"/>
          <w:color w:val="auto"/>
          <w:spacing w:val="0"/>
          <w:sz w:val="28"/>
        </w:rPr>
        <w:t>Ould</w:t>
      </w:r>
      <w:r>
        <w:rPr>
          <w:rStyle w:val="Corpsdutexte29ptPetitesmajusculesEspacement0pt"/>
          <w:smallCaps w:val="0"/>
          <w:color w:val="auto"/>
          <w:spacing w:val="0"/>
          <w:sz w:val="28"/>
        </w:rPr>
        <w:t xml:space="preserve"> </w:t>
      </w:r>
      <w:r w:rsidRPr="004B2498">
        <w:rPr>
          <w:rStyle w:val="Corpsdutexte29ptPetitesmajusculesEspacement0pt"/>
          <w:smallCaps w:val="0"/>
          <w:color w:val="auto"/>
          <w:spacing w:val="0"/>
          <w:sz w:val="28"/>
        </w:rPr>
        <w:t>A</w:t>
      </w:r>
      <w:r w:rsidRPr="004B2498">
        <w:rPr>
          <w:rStyle w:val="Corpsdutexte29ptPetitesmajusculesEspacement0pt"/>
          <w:smallCaps w:val="0"/>
          <w:color w:val="auto"/>
          <w:spacing w:val="0"/>
          <w:sz w:val="28"/>
        </w:rPr>
        <w:t>h</w:t>
      </w:r>
      <w:r w:rsidRPr="004B2498">
        <w:rPr>
          <w:rStyle w:val="Corpsdutexte29ptPetitesmajusculesEspacement0pt"/>
          <w:smallCaps w:val="0"/>
          <w:color w:val="auto"/>
          <w:spacing w:val="0"/>
          <w:sz w:val="28"/>
        </w:rPr>
        <w:t>med,</w:t>
      </w:r>
      <w:r>
        <w:rPr>
          <w:rStyle w:val="Corpsdutexte29ptPetitesmajusculesEspacement0pt"/>
          <w:smallCaps w:val="0"/>
          <w:color w:val="auto"/>
          <w:spacing w:val="0"/>
          <w:sz w:val="28"/>
        </w:rPr>
        <w:t xml:space="preserve"> </w:t>
      </w:r>
      <w:r w:rsidRPr="004B2498">
        <w:rPr>
          <w:lang w:eastAsia="fr-FR" w:bidi="fr-FR"/>
        </w:rPr>
        <w:t>Pascale</w:t>
      </w:r>
      <w:r>
        <w:rPr>
          <w:lang w:eastAsia="fr-FR" w:bidi="fr-FR"/>
        </w:rPr>
        <w:t xml:space="preserve"> </w:t>
      </w:r>
      <w:r>
        <w:rPr>
          <w:rStyle w:val="Corpsdutexte99ptNonItaliquePetitesmajusculesEspacement0pt"/>
          <w:i w:val="0"/>
          <w:iCs w:val="0"/>
          <w:smallCaps w:val="0"/>
          <w:color w:val="auto"/>
          <w:spacing w:val="0"/>
          <w:sz w:val="28"/>
        </w:rPr>
        <w:t>PH</w:t>
      </w:r>
      <w:r w:rsidRPr="004B2498">
        <w:rPr>
          <w:rStyle w:val="Corpsdutexte99ptNonItaliquePetitesmajusculesEspacement0pt"/>
          <w:i w:val="0"/>
          <w:iCs w:val="0"/>
          <w:smallCaps w:val="0"/>
          <w:color w:val="auto"/>
          <w:spacing w:val="0"/>
          <w:sz w:val="28"/>
        </w:rPr>
        <w:t xml:space="preserve">ÉLINAS, </w:t>
      </w:r>
      <w:r w:rsidRPr="004B2498">
        <w:t xml:space="preserve">Monique </w:t>
      </w:r>
      <w:r w:rsidRPr="004B2498">
        <w:rPr>
          <w:rStyle w:val="Corpsdutexte99ptNonItaliqueEspacement0pt"/>
          <w:i w:val="0"/>
          <w:iCs w:val="0"/>
          <w:color w:val="auto"/>
          <w:spacing w:val="0"/>
          <w:sz w:val="28"/>
        </w:rPr>
        <w:t xml:space="preserve">SELIM, </w:t>
      </w:r>
      <w:r w:rsidRPr="004B2498">
        <w:t xml:space="preserve">Richard </w:t>
      </w:r>
      <w:r w:rsidRPr="004B2498">
        <w:rPr>
          <w:rStyle w:val="Corpsdutexte99ptNonItaliqueEspacement0pt"/>
          <w:i w:val="0"/>
          <w:iCs w:val="0"/>
          <w:color w:val="auto"/>
          <w:spacing w:val="0"/>
          <w:sz w:val="28"/>
        </w:rPr>
        <w:t>SOBEL :</w:t>
      </w:r>
      <w:r w:rsidRPr="004B2498">
        <w:t xml:space="preserve"> </w:t>
      </w:r>
      <w:r w:rsidRPr="00EF6F02">
        <w:rPr>
          <w:i/>
          <w:lang w:eastAsia="fr-FR" w:bidi="fr-FR"/>
        </w:rPr>
        <w:t>Anthropologues et économistes face à la globalisation</w:t>
      </w:r>
      <w:r w:rsidRPr="004B2498">
        <w:rPr>
          <w:lang w:eastAsia="fr-FR" w:bidi="fr-FR"/>
        </w:rPr>
        <w:t>,</w:t>
      </w:r>
      <w:r w:rsidRPr="004B2498">
        <w:t xml:space="preserve"> 2008, 275 p.</w:t>
      </w:r>
    </w:p>
    <w:p w14:paraId="0076DF95" w14:textId="77777777" w:rsidR="002F4063" w:rsidRPr="004B2498" w:rsidRDefault="002F4063" w:rsidP="002F4063">
      <w:pPr>
        <w:spacing w:before="120" w:after="120"/>
        <w:jc w:val="both"/>
      </w:pPr>
      <w:r w:rsidRPr="004B2498">
        <w:rPr>
          <w:lang w:eastAsia="fr-FR" w:bidi="fr-FR"/>
        </w:rPr>
        <w:t>Eveline</w:t>
      </w:r>
      <w:r>
        <w:rPr>
          <w:lang w:eastAsia="fr-FR" w:bidi="fr-FR"/>
        </w:rPr>
        <w:t xml:space="preserve"> </w:t>
      </w:r>
      <w:r w:rsidRPr="004B2498">
        <w:rPr>
          <w:rStyle w:val="Corpsdutexte29ptPetitesmajusculesEspacement0pt"/>
          <w:smallCaps w:val="0"/>
          <w:color w:val="auto"/>
          <w:spacing w:val="0"/>
          <w:sz w:val="28"/>
        </w:rPr>
        <w:t xml:space="preserve">Baumann, </w:t>
      </w:r>
      <w:r w:rsidRPr="004B2498">
        <w:rPr>
          <w:lang w:eastAsia="fr-FR" w:bidi="fr-FR"/>
        </w:rPr>
        <w:t>Laurent</w:t>
      </w:r>
      <w:r w:rsidRPr="004B2498">
        <w:rPr>
          <w:lang w:eastAsia="fr-FR" w:bidi="fr-FR"/>
        </w:rPr>
        <w:tab/>
      </w:r>
      <w:r w:rsidRPr="004B2498">
        <w:rPr>
          <w:rStyle w:val="Corpsdutexte29ptPetitesmajusculesEspacement0pt"/>
          <w:smallCaps w:val="0"/>
          <w:color w:val="auto"/>
          <w:spacing w:val="0"/>
          <w:sz w:val="28"/>
        </w:rPr>
        <w:t xml:space="preserve">Bazin, </w:t>
      </w:r>
      <w:r w:rsidRPr="004B2498">
        <w:rPr>
          <w:lang w:eastAsia="fr-FR" w:bidi="fr-FR"/>
        </w:rPr>
        <w:t>Pépita</w:t>
      </w:r>
      <w:r>
        <w:rPr>
          <w:lang w:eastAsia="fr-FR" w:bidi="fr-FR"/>
        </w:rPr>
        <w:t xml:space="preserve"> </w:t>
      </w:r>
      <w:r w:rsidRPr="004B2498">
        <w:rPr>
          <w:rStyle w:val="Corpsdutexte29ptPetitesmajusculesEspacement0pt"/>
          <w:smallCaps w:val="0"/>
          <w:color w:val="auto"/>
          <w:spacing w:val="0"/>
          <w:sz w:val="28"/>
        </w:rPr>
        <w:t>OULD</w:t>
      </w:r>
      <w:r>
        <w:rPr>
          <w:rStyle w:val="Corpsdutexte29ptPetitesmajusculesEspacement0pt"/>
          <w:smallCaps w:val="0"/>
          <w:color w:val="auto"/>
          <w:spacing w:val="0"/>
          <w:sz w:val="28"/>
        </w:rPr>
        <w:t xml:space="preserve"> </w:t>
      </w:r>
      <w:r w:rsidRPr="004B2498">
        <w:rPr>
          <w:rStyle w:val="Corpsdutexte29ptPetitesmajusculesEspacement0pt"/>
          <w:smallCaps w:val="0"/>
          <w:color w:val="auto"/>
          <w:spacing w:val="0"/>
          <w:sz w:val="28"/>
        </w:rPr>
        <w:t>A</w:t>
      </w:r>
      <w:r w:rsidRPr="004B2498">
        <w:rPr>
          <w:rStyle w:val="Corpsdutexte29ptPetitesmajusculesEspacement0pt"/>
          <w:smallCaps w:val="0"/>
          <w:color w:val="auto"/>
          <w:spacing w:val="0"/>
          <w:sz w:val="28"/>
        </w:rPr>
        <w:t>h</w:t>
      </w:r>
      <w:r w:rsidRPr="004B2498">
        <w:rPr>
          <w:rStyle w:val="Corpsdutexte29ptPetitesmajusculesEspacement0pt"/>
          <w:smallCaps w:val="0"/>
          <w:color w:val="auto"/>
          <w:spacing w:val="0"/>
          <w:sz w:val="28"/>
        </w:rPr>
        <w:t>med,</w:t>
      </w:r>
      <w:r>
        <w:rPr>
          <w:rStyle w:val="Corpsdutexte29ptPetitesmajusculesEspacement0pt"/>
          <w:smallCaps w:val="0"/>
          <w:color w:val="auto"/>
          <w:spacing w:val="0"/>
          <w:sz w:val="28"/>
        </w:rPr>
        <w:t xml:space="preserve"> </w:t>
      </w:r>
      <w:r w:rsidRPr="004B2498">
        <w:rPr>
          <w:lang w:eastAsia="fr-FR" w:bidi="fr-FR"/>
        </w:rPr>
        <w:t>Pascale</w:t>
      </w:r>
      <w:r>
        <w:rPr>
          <w:lang w:eastAsia="fr-FR" w:bidi="fr-FR"/>
        </w:rPr>
        <w:t xml:space="preserve"> </w:t>
      </w:r>
      <w:r w:rsidRPr="004B2498">
        <w:rPr>
          <w:rStyle w:val="Corpsdutexte99ptNonItaliqueEspacement0pt"/>
          <w:i w:val="0"/>
          <w:iCs w:val="0"/>
          <w:color w:val="auto"/>
          <w:spacing w:val="0"/>
          <w:sz w:val="28"/>
        </w:rPr>
        <w:t xml:space="preserve">PHÉLINAS, </w:t>
      </w:r>
      <w:r w:rsidRPr="004B2498">
        <w:t xml:space="preserve">Monique </w:t>
      </w:r>
      <w:r w:rsidRPr="004B2498">
        <w:rPr>
          <w:rStyle w:val="Corpsdutexte99ptNonItaliqueEspacement0pt"/>
          <w:i w:val="0"/>
          <w:iCs w:val="0"/>
          <w:color w:val="auto"/>
          <w:spacing w:val="0"/>
          <w:sz w:val="28"/>
        </w:rPr>
        <w:t xml:space="preserve">SELIM, </w:t>
      </w:r>
      <w:r w:rsidRPr="004B2498">
        <w:t xml:space="preserve">Richard </w:t>
      </w:r>
      <w:r w:rsidRPr="004B2498">
        <w:rPr>
          <w:rStyle w:val="Corpsdutexte99ptNonItaliqueEspacement0pt"/>
          <w:i w:val="0"/>
          <w:iCs w:val="0"/>
          <w:color w:val="auto"/>
          <w:spacing w:val="0"/>
          <w:sz w:val="28"/>
        </w:rPr>
        <w:t>SOBEL :</w:t>
      </w:r>
      <w:r w:rsidRPr="004B2498">
        <w:t xml:space="preserve"> </w:t>
      </w:r>
      <w:r w:rsidRPr="00EF6F02">
        <w:rPr>
          <w:i/>
          <w:lang w:eastAsia="fr-FR" w:bidi="fr-FR"/>
        </w:rPr>
        <w:t>L’argent des a</w:t>
      </w:r>
      <w:r w:rsidRPr="00EF6F02">
        <w:rPr>
          <w:i/>
          <w:lang w:eastAsia="fr-FR" w:bidi="fr-FR"/>
        </w:rPr>
        <w:t>n</w:t>
      </w:r>
      <w:r w:rsidRPr="00EF6F02">
        <w:rPr>
          <w:i/>
          <w:lang w:eastAsia="fr-FR" w:bidi="fr-FR"/>
        </w:rPr>
        <w:t>thropol</w:t>
      </w:r>
      <w:r w:rsidRPr="00EF6F02">
        <w:rPr>
          <w:i/>
          <w:lang w:eastAsia="fr-FR" w:bidi="fr-FR"/>
        </w:rPr>
        <w:t>o</w:t>
      </w:r>
      <w:r w:rsidRPr="00EF6F02">
        <w:rPr>
          <w:i/>
          <w:lang w:eastAsia="fr-FR" w:bidi="fr-FR"/>
        </w:rPr>
        <w:t>gues, La monnaie des économistes</w:t>
      </w:r>
      <w:r w:rsidRPr="004B2498">
        <w:rPr>
          <w:lang w:eastAsia="fr-FR" w:bidi="fr-FR"/>
        </w:rPr>
        <w:t>,</w:t>
      </w:r>
      <w:r w:rsidRPr="004B2498">
        <w:t xml:space="preserve"> 2008, 318p.</w:t>
      </w:r>
    </w:p>
    <w:p w14:paraId="6B6C0F79" w14:textId="77777777" w:rsidR="002F4063" w:rsidRPr="004B2498" w:rsidRDefault="002F4063" w:rsidP="002F4063">
      <w:pPr>
        <w:spacing w:before="120" w:after="120"/>
        <w:jc w:val="both"/>
      </w:pPr>
      <w:r w:rsidRPr="004B2498">
        <w:rPr>
          <w:lang w:eastAsia="fr-FR" w:bidi="fr-FR"/>
        </w:rPr>
        <w:t>Eveline</w:t>
      </w:r>
      <w:r>
        <w:rPr>
          <w:lang w:eastAsia="fr-FR" w:bidi="fr-FR"/>
        </w:rPr>
        <w:t xml:space="preserve"> </w:t>
      </w:r>
      <w:r w:rsidRPr="004B2498">
        <w:rPr>
          <w:rStyle w:val="Corpsdutexte29ptEspacement0pt"/>
          <w:color w:val="auto"/>
          <w:spacing w:val="0"/>
          <w:sz w:val="28"/>
        </w:rPr>
        <w:t xml:space="preserve">BAUMANN, </w:t>
      </w:r>
      <w:r w:rsidRPr="004B2498">
        <w:rPr>
          <w:lang w:eastAsia="fr-FR" w:bidi="fr-FR"/>
        </w:rPr>
        <w:t>Laurent</w:t>
      </w:r>
      <w:r>
        <w:rPr>
          <w:lang w:eastAsia="fr-FR" w:bidi="fr-FR"/>
        </w:rPr>
        <w:t xml:space="preserve"> </w:t>
      </w:r>
      <w:r w:rsidRPr="004B2498">
        <w:rPr>
          <w:rStyle w:val="Corpsdutexte29ptEspacement0pt"/>
          <w:color w:val="auto"/>
          <w:spacing w:val="0"/>
          <w:sz w:val="28"/>
        </w:rPr>
        <w:t xml:space="preserve">BAZIN, </w:t>
      </w:r>
      <w:r w:rsidRPr="004B2498">
        <w:rPr>
          <w:lang w:eastAsia="fr-FR" w:bidi="fr-FR"/>
        </w:rPr>
        <w:t>Pépita</w:t>
      </w:r>
      <w:r>
        <w:rPr>
          <w:lang w:eastAsia="fr-FR" w:bidi="fr-FR"/>
        </w:rPr>
        <w:t xml:space="preserve"> </w:t>
      </w:r>
      <w:r w:rsidRPr="004B2498">
        <w:rPr>
          <w:rStyle w:val="Corpsdutexte29ptEspacement0pt"/>
          <w:color w:val="auto"/>
          <w:spacing w:val="0"/>
          <w:sz w:val="28"/>
        </w:rPr>
        <w:t>OULD</w:t>
      </w:r>
      <w:r>
        <w:rPr>
          <w:rStyle w:val="Corpsdutexte29ptEspacement0pt"/>
          <w:color w:val="auto"/>
          <w:spacing w:val="0"/>
          <w:sz w:val="28"/>
        </w:rPr>
        <w:t xml:space="preserve"> </w:t>
      </w:r>
      <w:r w:rsidRPr="004B2498">
        <w:rPr>
          <w:rStyle w:val="Corpsdutexte29ptEspacement0pt"/>
          <w:color w:val="auto"/>
          <w:spacing w:val="0"/>
          <w:sz w:val="28"/>
        </w:rPr>
        <w:t>A</w:t>
      </w:r>
      <w:r w:rsidRPr="004B2498">
        <w:rPr>
          <w:rStyle w:val="Corpsdutexte29ptEspacement0pt"/>
          <w:color w:val="auto"/>
          <w:spacing w:val="0"/>
          <w:sz w:val="28"/>
        </w:rPr>
        <w:t>H</w:t>
      </w:r>
      <w:r w:rsidRPr="004B2498">
        <w:rPr>
          <w:rStyle w:val="Corpsdutexte29ptEspacement0pt"/>
          <w:color w:val="auto"/>
          <w:spacing w:val="0"/>
          <w:sz w:val="28"/>
        </w:rPr>
        <w:t>MED,</w:t>
      </w:r>
      <w:r>
        <w:rPr>
          <w:rStyle w:val="Corpsdutexte29ptEspacement0pt"/>
          <w:color w:val="auto"/>
          <w:spacing w:val="0"/>
          <w:sz w:val="28"/>
        </w:rPr>
        <w:t xml:space="preserve"> </w:t>
      </w:r>
      <w:r w:rsidRPr="004B2498">
        <w:rPr>
          <w:lang w:eastAsia="fr-FR" w:bidi="fr-FR"/>
        </w:rPr>
        <w:t>Pascale</w:t>
      </w:r>
      <w:r>
        <w:rPr>
          <w:lang w:eastAsia="fr-FR" w:bidi="fr-FR"/>
        </w:rPr>
        <w:t xml:space="preserve"> </w:t>
      </w:r>
      <w:r w:rsidRPr="004B2498">
        <w:rPr>
          <w:rStyle w:val="Corpsdutexte99ptNonItaliqueEspacement0pt"/>
          <w:i w:val="0"/>
          <w:iCs w:val="0"/>
          <w:color w:val="auto"/>
          <w:spacing w:val="0"/>
          <w:sz w:val="28"/>
        </w:rPr>
        <w:t xml:space="preserve">PHÉLINAS, </w:t>
      </w:r>
      <w:r w:rsidRPr="004B2498">
        <w:t xml:space="preserve">Monique </w:t>
      </w:r>
      <w:r w:rsidRPr="004B2498">
        <w:rPr>
          <w:rStyle w:val="Corpsdutexte99ptNonItaliqueEspacement0pt"/>
          <w:i w:val="0"/>
          <w:iCs w:val="0"/>
          <w:color w:val="auto"/>
          <w:spacing w:val="0"/>
          <w:sz w:val="28"/>
        </w:rPr>
        <w:t xml:space="preserve">SELIM, </w:t>
      </w:r>
      <w:r w:rsidRPr="004B2498">
        <w:t xml:space="preserve">Richard </w:t>
      </w:r>
      <w:r w:rsidRPr="004B2498">
        <w:rPr>
          <w:rStyle w:val="Corpsdutexte99ptNonItaliqueEspacement0pt"/>
          <w:i w:val="0"/>
          <w:iCs w:val="0"/>
          <w:color w:val="auto"/>
          <w:spacing w:val="0"/>
          <w:sz w:val="28"/>
        </w:rPr>
        <w:t>SOBEL :</w:t>
      </w:r>
      <w:r w:rsidRPr="004B2498">
        <w:t xml:space="preserve"> </w:t>
      </w:r>
      <w:r w:rsidRPr="00EF6F02">
        <w:rPr>
          <w:i/>
          <w:lang w:eastAsia="fr-FR" w:bidi="fr-FR"/>
        </w:rPr>
        <w:t>La mondi</w:t>
      </w:r>
      <w:r w:rsidRPr="00EF6F02">
        <w:rPr>
          <w:i/>
          <w:lang w:eastAsia="fr-FR" w:bidi="fr-FR"/>
        </w:rPr>
        <w:t>a</w:t>
      </w:r>
      <w:r w:rsidRPr="00EF6F02">
        <w:rPr>
          <w:i/>
          <w:lang w:eastAsia="fr-FR" w:bidi="fr-FR"/>
        </w:rPr>
        <w:t>lisation au ri</w:t>
      </w:r>
      <w:r w:rsidRPr="00EF6F02">
        <w:rPr>
          <w:i/>
          <w:lang w:eastAsia="fr-FR" w:bidi="fr-FR"/>
        </w:rPr>
        <w:t>s</w:t>
      </w:r>
      <w:r w:rsidRPr="00EF6F02">
        <w:rPr>
          <w:i/>
          <w:lang w:eastAsia="fr-FR" w:bidi="fr-FR"/>
        </w:rPr>
        <w:t>que des travailleurs</w:t>
      </w:r>
      <w:r w:rsidRPr="004B2498">
        <w:rPr>
          <w:lang w:eastAsia="fr-FR" w:bidi="fr-FR"/>
        </w:rPr>
        <w:t>,</w:t>
      </w:r>
      <w:r w:rsidRPr="004B2498">
        <w:t xml:space="preserve"> 2007, 290 p.</w:t>
      </w:r>
    </w:p>
    <w:p w14:paraId="2B9A8594" w14:textId="77777777" w:rsidR="002F4063" w:rsidRPr="004B2498" w:rsidRDefault="002F4063" w:rsidP="002F4063">
      <w:pPr>
        <w:spacing w:before="120" w:after="120"/>
        <w:jc w:val="both"/>
      </w:pPr>
      <w:r w:rsidRPr="004B2498">
        <w:rPr>
          <w:rStyle w:val="Corpsdutexte10105ptEspacement0pt"/>
          <w:color w:val="auto"/>
          <w:sz w:val="28"/>
        </w:rPr>
        <w:t>Valeria</w:t>
      </w:r>
      <w:r>
        <w:rPr>
          <w:rStyle w:val="Corpsdutexte10105ptEspacement0pt"/>
          <w:color w:val="auto"/>
          <w:sz w:val="28"/>
        </w:rPr>
        <w:t xml:space="preserve"> </w:t>
      </w:r>
      <w:r w:rsidRPr="004B2498">
        <w:rPr>
          <w:lang w:eastAsia="fr-FR" w:bidi="fr-FR"/>
        </w:rPr>
        <w:t xml:space="preserve">HERNÂNDEZ, </w:t>
      </w:r>
      <w:r w:rsidRPr="004B2498">
        <w:rPr>
          <w:rStyle w:val="Corpsdutexte10105ptEspacement0pt"/>
          <w:color w:val="auto"/>
          <w:sz w:val="28"/>
        </w:rPr>
        <w:t>Pépita</w:t>
      </w:r>
      <w:r>
        <w:rPr>
          <w:rStyle w:val="Corpsdutexte10105ptEspacement0pt"/>
          <w:color w:val="auto"/>
          <w:sz w:val="28"/>
        </w:rPr>
        <w:t xml:space="preserve"> </w:t>
      </w:r>
      <w:r w:rsidRPr="004B2498">
        <w:t>Ould Ahmed,</w:t>
      </w:r>
      <w:r>
        <w:t xml:space="preserve"> </w:t>
      </w:r>
      <w:r w:rsidRPr="004B2498">
        <w:rPr>
          <w:rStyle w:val="Corpsdutexte10105ptEspacement0pt"/>
          <w:color w:val="auto"/>
          <w:sz w:val="28"/>
        </w:rPr>
        <w:t>Jean</w:t>
      </w:r>
      <w:r>
        <w:rPr>
          <w:rStyle w:val="Corpsdutexte10105ptEspacement0pt"/>
          <w:color w:val="auto"/>
          <w:sz w:val="28"/>
        </w:rPr>
        <w:t xml:space="preserve"> </w:t>
      </w:r>
      <w:r w:rsidRPr="004B2498">
        <w:t>Papail,</w:t>
      </w:r>
      <w:r>
        <w:t xml:space="preserve"> </w:t>
      </w:r>
      <w:r w:rsidRPr="004B2498">
        <w:rPr>
          <w:rStyle w:val="Corpsdutexte10105ptEspacement0pt"/>
          <w:color w:val="auto"/>
          <w:sz w:val="28"/>
        </w:rPr>
        <w:t>Pascale</w:t>
      </w:r>
      <w:r>
        <w:rPr>
          <w:rStyle w:val="Corpsdutexte10105ptEspacement0pt"/>
          <w:color w:val="auto"/>
          <w:sz w:val="28"/>
        </w:rPr>
        <w:t xml:space="preserve"> </w:t>
      </w:r>
      <w:r w:rsidRPr="004B2498">
        <w:rPr>
          <w:rStyle w:val="Corpsdutexte99ptNonItaliqueEspacement0pt"/>
          <w:i w:val="0"/>
          <w:iCs w:val="0"/>
          <w:color w:val="auto"/>
          <w:spacing w:val="0"/>
          <w:sz w:val="28"/>
        </w:rPr>
        <w:t>PHÉLINAS :</w:t>
      </w:r>
      <w:r w:rsidRPr="004B2498">
        <w:t xml:space="preserve"> </w:t>
      </w:r>
      <w:r w:rsidRPr="004B2498">
        <w:rPr>
          <w:lang w:eastAsia="fr-FR" w:bidi="fr-FR"/>
        </w:rPr>
        <w:t>Turbulences monétaires et sociales, l’Amérique lat</w:t>
      </w:r>
      <w:r w:rsidRPr="004B2498">
        <w:rPr>
          <w:lang w:eastAsia="fr-FR" w:bidi="fr-FR"/>
        </w:rPr>
        <w:t>i</w:t>
      </w:r>
      <w:r w:rsidRPr="004B2498">
        <w:rPr>
          <w:lang w:eastAsia="fr-FR" w:bidi="fr-FR"/>
        </w:rPr>
        <w:t>ne dans une perspective comparée,</w:t>
      </w:r>
      <w:r w:rsidRPr="004B2498">
        <w:t xml:space="preserve"> L’Harmattan, coll. « Questions contemporaines », 2007,401 p.</w:t>
      </w:r>
    </w:p>
    <w:p w14:paraId="62033E14" w14:textId="77777777" w:rsidR="002F4063" w:rsidRPr="004B2498" w:rsidRDefault="002F4063" w:rsidP="002F4063">
      <w:pPr>
        <w:spacing w:before="120" w:after="120"/>
        <w:jc w:val="both"/>
      </w:pPr>
      <w:r w:rsidRPr="004B2498">
        <w:rPr>
          <w:rStyle w:val="Corpsdutexte10105ptEspacement0pt"/>
          <w:color w:val="auto"/>
          <w:sz w:val="28"/>
        </w:rPr>
        <w:t>Valeria</w:t>
      </w:r>
      <w:r>
        <w:rPr>
          <w:rStyle w:val="Corpsdutexte10105ptEspacement0pt"/>
          <w:color w:val="auto"/>
          <w:sz w:val="28"/>
        </w:rPr>
        <w:t xml:space="preserve"> </w:t>
      </w:r>
      <w:r w:rsidRPr="004B2498">
        <w:rPr>
          <w:lang w:eastAsia="fr-FR" w:bidi="fr-FR"/>
        </w:rPr>
        <w:t xml:space="preserve">HERNANDEZ, </w:t>
      </w:r>
      <w:r w:rsidRPr="004B2498">
        <w:rPr>
          <w:rStyle w:val="Corpsdutexte10105ptEspacement0pt"/>
          <w:color w:val="auto"/>
          <w:sz w:val="28"/>
        </w:rPr>
        <w:t>Pépita</w:t>
      </w:r>
      <w:r>
        <w:rPr>
          <w:rStyle w:val="Corpsdutexte10105ptEspacement0pt"/>
          <w:color w:val="auto"/>
          <w:sz w:val="28"/>
        </w:rPr>
        <w:t xml:space="preserve"> </w:t>
      </w:r>
      <w:r w:rsidRPr="004B2498">
        <w:rPr>
          <w:lang w:eastAsia="fr-FR" w:bidi="fr-FR"/>
        </w:rPr>
        <w:t>OULD AHMED,</w:t>
      </w:r>
      <w:r>
        <w:rPr>
          <w:lang w:eastAsia="fr-FR" w:bidi="fr-FR"/>
        </w:rPr>
        <w:t xml:space="preserve"> </w:t>
      </w:r>
      <w:r w:rsidRPr="004B2498">
        <w:rPr>
          <w:rStyle w:val="Corpsdutexte10105ptEspacement0pt"/>
          <w:color w:val="auto"/>
          <w:sz w:val="28"/>
        </w:rPr>
        <w:t>Jean</w:t>
      </w:r>
      <w:r>
        <w:rPr>
          <w:rStyle w:val="Corpsdutexte10105ptEspacement0pt"/>
          <w:color w:val="auto"/>
          <w:sz w:val="28"/>
        </w:rPr>
        <w:t xml:space="preserve"> </w:t>
      </w:r>
      <w:r w:rsidRPr="004B2498">
        <w:rPr>
          <w:lang w:eastAsia="fr-FR" w:bidi="fr-FR"/>
        </w:rPr>
        <w:t>P</w:t>
      </w:r>
      <w:r w:rsidRPr="004B2498">
        <w:rPr>
          <w:lang w:eastAsia="fr-FR" w:bidi="fr-FR"/>
        </w:rPr>
        <w:t>A</w:t>
      </w:r>
      <w:r w:rsidRPr="004B2498">
        <w:rPr>
          <w:lang w:eastAsia="fr-FR" w:bidi="fr-FR"/>
        </w:rPr>
        <w:t>PAIL,</w:t>
      </w:r>
      <w:r>
        <w:rPr>
          <w:lang w:eastAsia="fr-FR" w:bidi="fr-FR"/>
        </w:rPr>
        <w:t xml:space="preserve"> </w:t>
      </w:r>
      <w:r w:rsidRPr="004B2498">
        <w:rPr>
          <w:rStyle w:val="Corpsdutexte10105ptEspacement0pt"/>
          <w:color w:val="auto"/>
          <w:sz w:val="28"/>
        </w:rPr>
        <w:t>Pascale</w:t>
      </w:r>
      <w:r>
        <w:rPr>
          <w:rStyle w:val="Corpsdutexte10105ptEspacement0pt"/>
          <w:color w:val="auto"/>
          <w:sz w:val="28"/>
        </w:rPr>
        <w:t xml:space="preserve"> </w:t>
      </w:r>
      <w:r w:rsidRPr="004B2498">
        <w:rPr>
          <w:rStyle w:val="Corpsdutexte29ptPetitesmajusculesEspacement0pt"/>
          <w:smallCaps w:val="0"/>
          <w:color w:val="auto"/>
          <w:spacing w:val="0"/>
          <w:sz w:val="28"/>
        </w:rPr>
        <w:t>PhÉLINAS :</w:t>
      </w:r>
      <w:r w:rsidRPr="004B2498">
        <w:rPr>
          <w:lang w:eastAsia="fr-FR" w:bidi="fr-FR"/>
        </w:rPr>
        <w:t xml:space="preserve"> </w:t>
      </w:r>
      <w:r w:rsidRPr="00EF6F02">
        <w:rPr>
          <w:i/>
        </w:rPr>
        <w:t>L’action collective à l’épreuve de la globalis</w:t>
      </w:r>
      <w:r w:rsidRPr="00EF6F02">
        <w:rPr>
          <w:i/>
        </w:rPr>
        <w:t>a</w:t>
      </w:r>
      <w:r w:rsidRPr="00EF6F02">
        <w:rPr>
          <w:i/>
        </w:rPr>
        <w:t>tion</w:t>
      </w:r>
      <w:r>
        <w:rPr>
          <w:i/>
        </w:rPr>
        <w:t>.</w:t>
      </w:r>
      <w:r w:rsidRPr="004B2498">
        <w:rPr>
          <w:lang w:eastAsia="fr-FR" w:bidi="fr-FR"/>
        </w:rPr>
        <w:t xml:space="preserve"> L’Harmattan, coll. « Questions contemporaines », 2007, 254 p.</w:t>
      </w:r>
    </w:p>
    <w:p w14:paraId="317171C3" w14:textId="77777777" w:rsidR="002F4063" w:rsidRPr="004B2498" w:rsidRDefault="002F4063" w:rsidP="002F4063">
      <w:pPr>
        <w:spacing w:before="120" w:after="120"/>
        <w:jc w:val="both"/>
      </w:pPr>
      <w:r w:rsidRPr="004B2498">
        <w:t xml:space="preserve">Niagalé </w:t>
      </w:r>
      <w:r w:rsidRPr="004B2498">
        <w:rPr>
          <w:rStyle w:val="Corpsdutexte99ptNonItaliqueEspacement0pt"/>
          <w:i w:val="0"/>
          <w:iCs w:val="0"/>
          <w:color w:val="auto"/>
          <w:spacing w:val="0"/>
          <w:sz w:val="28"/>
        </w:rPr>
        <w:t xml:space="preserve">BAGAYOKO-PENONE, </w:t>
      </w:r>
      <w:r w:rsidRPr="004B2498">
        <w:t xml:space="preserve">Bernard </w:t>
      </w:r>
      <w:r w:rsidRPr="004B2498">
        <w:rPr>
          <w:rStyle w:val="Corpsdutexte99ptNonItaliqueEspacement0pt"/>
          <w:i w:val="0"/>
          <w:iCs w:val="0"/>
          <w:color w:val="auto"/>
          <w:spacing w:val="0"/>
          <w:sz w:val="28"/>
        </w:rPr>
        <w:t>HOURS :</w:t>
      </w:r>
      <w:r w:rsidRPr="004B2498">
        <w:t xml:space="preserve"> </w:t>
      </w:r>
      <w:r w:rsidRPr="00EF6F02">
        <w:rPr>
          <w:i/>
          <w:lang w:eastAsia="fr-FR" w:bidi="fr-FR"/>
        </w:rPr>
        <w:t>États, ONG et produ</w:t>
      </w:r>
      <w:r w:rsidRPr="00EF6F02">
        <w:rPr>
          <w:i/>
          <w:lang w:eastAsia="fr-FR" w:bidi="fr-FR"/>
        </w:rPr>
        <w:t>c</w:t>
      </w:r>
      <w:r w:rsidRPr="00EF6F02">
        <w:rPr>
          <w:i/>
          <w:lang w:eastAsia="fr-FR" w:bidi="fr-FR"/>
        </w:rPr>
        <w:t>tion des normes sécuritaires dans les pays du Sud</w:t>
      </w:r>
      <w:r w:rsidRPr="004B2498">
        <w:rPr>
          <w:lang w:eastAsia="fr-FR" w:bidi="fr-FR"/>
        </w:rPr>
        <w:t>,</w:t>
      </w:r>
      <w:r w:rsidRPr="004B2498">
        <w:t xml:space="preserve"> 2005, 313 p.</w:t>
      </w:r>
    </w:p>
    <w:p w14:paraId="68262047" w14:textId="77777777" w:rsidR="002F4063" w:rsidRPr="004B2498" w:rsidRDefault="002F4063" w:rsidP="002F4063">
      <w:pPr>
        <w:spacing w:before="120" w:after="120"/>
        <w:jc w:val="both"/>
      </w:pPr>
      <w:r w:rsidRPr="004B2498">
        <w:t xml:space="preserve">Bernard </w:t>
      </w:r>
      <w:r w:rsidRPr="004B2498">
        <w:rPr>
          <w:rStyle w:val="Corpsdutexte99ptNonItaliqueEspacement0pt"/>
          <w:i w:val="0"/>
          <w:iCs w:val="0"/>
          <w:color w:val="auto"/>
          <w:spacing w:val="0"/>
          <w:sz w:val="28"/>
        </w:rPr>
        <w:t xml:space="preserve">HOURS, </w:t>
      </w:r>
      <w:r w:rsidRPr="004B2498">
        <w:t xml:space="preserve">Monique </w:t>
      </w:r>
      <w:r w:rsidRPr="004B2498">
        <w:rPr>
          <w:rStyle w:val="Corpsdutexte99ptNonItaliqueEspacement0pt"/>
          <w:i w:val="0"/>
          <w:iCs w:val="0"/>
          <w:color w:val="auto"/>
          <w:spacing w:val="0"/>
          <w:sz w:val="28"/>
        </w:rPr>
        <w:t>SELIM :</w:t>
      </w:r>
      <w:r w:rsidRPr="004B2498">
        <w:t xml:space="preserve"> </w:t>
      </w:r>
      <w:r w:rsidRPr="00EF6F02">
        <w:rPr>
          <w:i/>
          <w:lang w:eastAsia="fr-FR" w:bidi="fr-FR"/>
        </w:rPr>
        <w:t>Solidarités et compétences, prat</w:t>
      </w:r>
      <w:r w:rsidRPr="00EF6F02">
        <w:rPr>
          <w:i/>
          <w:lang w:eastAsia="fr-FR" w:bidi="fr-FR"/>
        </w:rPr>
        <w:t>i</w:t>
      </w:r>
      <w:r w:rsidRPr="00EF6F02">
        <w:rPr>
          <w:i/>
          <w:lang w:eastAsia="fr-FR" w:bidi="fr-FR"/>
        </w:rPr>
        <w:t>ques et idéologies</w:t>
      </w:r>
      <w:r w:rsidRPr="004B2498">
        <w:rPr>
          <w:lang w:eastAsia="fr-FR" w:bidi="fr-FR"/>
        </w:rPr>
        <w:t>,</w:t>
      </w:r>
      <w:r w:rsidRPr="004B2498">
        <w:t xml:space="preserve"> 2003, 362 p.</w:t>
      </w:r>
    </w:p>
    <w:p w14:paraId="19B126DA" w14:textId="77777777" w:rsidR="002F4063" w:rsidRDefault="002F4063" w:rsidP="002F4063">
      <w:pPr>
        <w:spacing w:before="120" w:after="120"/>
        <w:jc w:val="both"/>
        <w:rPr>
          <w:szCs w:val="24"/>
          <w:lang w:eastAsia="fr-FR" w:bidi="fr-FR"/>
        </w:rPr>
      </w:pPr>
      <w:r>
        <w:rPr>
          <w:szCs w:val="24"/>
          <w:lang w:eastAsia="fr-FR" w:bidi="fr-FR"/>
        </w:rPr>
        <w:br w:type="page"/>
      </w:r>
    </w:p>
    <w:p w14:paraId="3C2C319E" w14:textId="77777777" w:rsidR="002F4063" w:rsidRDefault="002F4063" w:rsidP="002F4063">
      <w:pPr>
        <w:spacing w:before="120" w:after="120"/>
        <w:jc w:val="both"/>
        <w:rPr>
          <w:szCs w:val="24"/>
          <w:lang w:eastAsia="fr-FR" w:bidi="fr-FR"/>
        </w:rPr>
      </w:pPr>
      <w:r w:rsidRPr="004B2498">
        <w:rPr>
          <w:szCs w:val="24"/>
          <w:lang w:eastAsia="fr-FR" w:bidi="fr-FR"/>
        </w:rPr>
        <w:t>Dans la collection « </w:t>
      </w:r>
      <w:r w:rsidRPr="00EF6F02">
        <w:rPr>
          <w:b/>
          <w:i/>
          <w:color w:val="FF0000"/>
          <w:szCs w:val="24"/>
          <w:lang w:eastAsia="fr-FR" w:bidi="fr-FR"/>
        </w:rPr>
        <w:t>Anthropologie critique </w:t>
      </w:r>
      <w:r w:rsidRPr="004B2498">
        <w:rPr>
          <w:szCs w:val="24"/>
          <w:lang w:eastAsia="fr-FR" w:bidi="fr-FR"/>
        </w:rPr>
        <w:t>», à L’Harmattan :</w:t>
      </w:r>
    </w:p>
    <w:p w14:paraId="06784BA0" w14:textId="77777777" w:rsidR="002F4063" w:rsidRPr="004B2498" w:rsidRDefault="002F4063" w:rsidP="002F4063">
      <w:pPr>
        <w:spacing w:before="120" w:after="120"/>
        <w:jc w:val="both"/>
      </w:pPr>
    </w:p>
    <w:p w14:paraId="4FF9E8B4" w14:textId="77777777" w:rsidR="002F4063" w:rsidRPr="004B2498" w:rsidRDefault="002F4063" w:rsidP="002F4063">
      <w:pPr>
        <w:spacing w:before="120" w:after="120"/>
        <w:jc w:val="both"/>
      </w:pPr>
      <w:r w:rsidRPr="004B2498">
        <w:rPr>
          <w:lang w:eastAsia="fr-FR" w:bidi="fr-FR"/>
        </w:rPr>
        <w:t xml:space="preserve">Laurent </w:t>
      </w:r>
      <w:r w:rsidRPr="004B2498">
        <w:rPr>
          <w:rStyle w:val="Corpsdutexte29ptEspacement0pt"/>
          <w:color w:val="auto"/>
          <w:spacing w:val="0"/>
          <w:sz w:val="28"/>
        </w:rPr>
        <w:t xml:space="preserve">BAZIN, </w:t>
      </w:r>
      <w:r w:rsidRPr="004B2498">
        <w:rPr>
          <w:lang w:eastAsia="fr-FR" w:bidi="fr-FR"/>
        </w:rPr>
        <w:t xml:space="preserve">Bernard </w:t>
      </w:r>
      <w:r w:rsidRPr="004B2498">
        <w:rPr>
          <w:rStyle w:val="Corpsdutexte29ptEspacement0pt"/>
          <w:color w:val="auto"/>
          <w:spacing w:val="0"/>
          <w:sz w:val="28"/>
        </w:rPr>
        <w:t xml:space="preserve">HOURS, </w:t>
      </w:r>
      <w:r w:rsidRPr="004B2498">
        <w:rPr>
          <w:lang w:eastAsia="fr-FR" w:bidi="fr-FR"/>
        </w:rPr>
        <w:t xml:space="preserve">Monique </w:t>
      </w:r>
      <w:r w:rsidRPr="004B2498">
        <w:rPr>
          <w:rStyle w:val="Corpsdutexte29ptEspacement0pt"/>
          <w:color w:val="auto"/>
          <w:spacing w:val="0"/>
          <w:sz w:val="28"/>
        </w:rPr>
        <w:t>SELIM :</w:t>
      </w:r>
      <w:r w:rsidRPr="004B2498">
        <w:rPr>
          <w:lang w:eastAsia="fr-FR" w:bidi="fr-FR"/>
        </w:rPr>
        <w:t xml:space="preserve"> </w:t>
      </w:r>
      <w:r w:rsidRPr="004B2498">
        <w:t>L’Ouzbékistan à T ère de l’identité nationale,</w:t>
      </w:r>
      <w:r w:rsidRPr="004B2498">
        <w:rPr>
          <w:lang w:eastAsia="fr-FR" w:bidi="fr-FR"/>
        </w:rPr>
        <w:t xml:space="preserve"> L’Harmattan, 2009, 368 p.</w:t>
      </w:r>
    </w:p>
    <w:p w14:paraId="41612858" w14:textId="77777777" w:rsidR="002F4063" w:rsidRPr="004B2498" w:rsidRDefault="002F4063">
      <w:pPr>
        <w:jc w:val="both"/>
      </w:pPr>
    </w:p>
    <w:p w14:paraId="47558179" w14:textId="77777777" w:rsidR="002F4063" w:rsidRPr="004B2498" w:rsidRDefault="002F4063" w:rsidP="002F4063">
      <w:pPr>
        <w:pStyle w:val="suite"/>
      </w:pPr>
      <w:r w:rsidRPr="004B2498">
        <w:t>Fin du texte</w:t>
      </w:r>
    </w:p>
    <w:p w14:paraId="3654E011" w14:textId="77777777" w:rsidR="002F4063" w:rsidRPr="004B2498" w:rsidRDefault="002F4063">
      <w:pPr>
        <w:jc w:val="both"/>
      </w:pPr>
    </w:p>
    <w:p w14:paraId="7124AF3C" w14:textId="77777777" w:rsidR="002F4063" w:rsidRPr="004B2498" w:rsidRDefault="002F4063">
      <w:pPr>
        <w:jc w:val="both"/>
      </w:pPr>
    </w:p>
    <w:sectPr w:rsidR="002F4063" w:rsidRPr="004B2498" w:rsidSect="002F4063">
      <w:headerReference w:type="default" r:id="rId4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3ED36" w14:textId="77777777" w:rsidR="00926333" w:rsidRDefault="00926333">
      <w:r>
        <w:separator/>
      </w:r>
    </w:p>
  </w:endnote>
  <w:endnote w:type="continuationSeparator" w:id="0">
    <w:p w14:paraId="49280085" w14:textId="77777777" w:rsidR="00926333" w:rsidRDefault="0092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Myungjo">
    <w:panose1 w:val="00000000000000000000"/>
    <w:charset w:val="81"/>
    <w:family w:val="auto"/>
    <w:pitch w:val="variable"/>
    <w:sig w:usb0="00000001" w:usb1="09060000" w:usb2="00000010" w:usb3="00000000" w:csb0="0028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7091" w14:textId="77777777" w:rsidR="00926333" w:rsidRDefault="00926333">
      <w:pPr>
        <w:ind w:firstLine="0"/>
      </w:pPr>
      <w:r>
        <w:separator/>
      </w:r>
    </w:p>
  </w:footnote>
  <w:footnote w:type="continuationSeparator" w:id="0">
    <w:p w14:paraId="2602458A" w14:textId="77777777" w:rsidR="00926333" w:rsidRDefault="00926333">
      <w:pPr>
        <w:ind w:firstLine="0"/>
      </w:pPr>
      <w:r>
        <w:separator/>
      </w:r>
    </w:p>
  </w:footnote>
  <w:footnote w:id="1">
    <w:p w14:paraId="58029943" w14:textId="77777777" w:rsidR="002F4063" w:rsidRDefault="002F4063">
      <w:pPr>
        <w:pStyle w:val="Notedebasdepage"/>
      </w:pPr>
      <w:r>
        <w:rPr>
          <w:rStyle w:val="Appelnotedebasdep"/>
        </w:rPr>
        <w:footnoteRef/>
      </w:r>
      <w:r>
        <w:t xml:space="preserve"> </w:t>
      </w:r>
      <w:r>
        <w:tab/>
      </w:r>
      <w:r w:rsidRPr="004B2498">
        <w:t>D’où l’inanité analytique de vouloir à tout prix isoler la crise de ses circon</w:t>
      </w:r>
      <w:r w:rsidRPr="004B2498">
        <w:t>s</w:t>
      </w:r>
      <w:r w:rsidRPr="004B2498">
        <w:t>tances historiques de formation et de localisation à seule fin d’en découvrir la quintessence originelle</w:t>
      </w:r>
      <w:r>
        <w:t>.</w:t>
      </w:r>
    </w:p>
  </w:footnote>
  <w:footnote w:id="2">
    <w:p w14:paraId="76BE90A1" w14:textId="77777777" w:rsidR="002F4063" w:rsidRDefault="002F4063">
      <w:pPr>
        <w:pStyle w:val="Notedebasdepage"/>
      </w:pPr>
      <w:r>
        <w:rPr>
          <w:rStyle w:val="Appelnotedebasdep"/>
        </w:rPr>
        <w:footnoteRef/>
      </w:r>
      <w:r>
        <w:t xml:space="preserve"> </w:t>
      </w:r>
      <w:r>
        <w:tab/>
      </w:r>
      <w:r w:rsidRPr="004B2498">
        <w:t>Économiques, financières, historiques, géographiques, polit</w:t>
      </w:r>
      <w:r w:rsidRPr="004B2498">
        <w:t>i</w:t>
      </w:r>
      <w:r w:rsidRPr="004B2498">
        <w:t>ques, sociales, etc.</w:t>
      </w:r>
    </w:p>
  </w:footnote>
  <w:footnote w:id="3">
    <w:p w14:paraId="07BF62E8" w14:textId="77777777" w:rsidR="002F4063" w:rsidRDefault="002F4063">
      <w:pPr>
        <w:pStyle w:val="Notedebasdepage"/>
      </w:pPr>
      <w:r>
        <w:rPr>
          <w:rStyle w:val="Appelnotedebasdep"/>
        </w:rPr>
        <w:footnoteRef/>
      </w:r>
      <w:r>
        <w:t xml:space="preserve"> </w:t>
      </w:r>
      <w:r>
        <w:tab/>
      </w:r>
      <w:r w:rsidRPr="004B2498">
        <w:t>À notre sens, et au risque d’ajouter une énième définition au corpus déjà bien étoffé de la littérature économique spécialisée sur le thème, nous cons</w:t>
      </w:r>
      <w:r w:rsidRPr="004B2498">
        <w:t>i</w:t>
      </w:r>
      <w:r w:rsidRPr="004B2498">
        <w:t>dérerons - dans toute la suite de ce chapitre - comme crise financière l’apparition, à un moment historique donné, d’une rupture majeure, pérenne et généralisée dans la régulation d’un syst</w:t>
      </w:r>
      <w:r w:rsidRPr="004B2498">
        <w:t>è</w:t>
      </w:r>
      <w:r w:rsidRPr="004B2498">
        <w:t>me financier particulier soumis aux impératifs opérationnels du cap</w:t>
      </w:r>
      <w:r w:rsidRPr="004B2498">
        <w:t>i</w:t>
      </w:r>
      <w:r w:rsidRPr="004B2498">
        <w:t>talisme globalisé.</w:t>
      </w:r>
    </w:p>
  </w:footnote>
  <w:footnote w:id="4">
    <w:p w14:paraId="54421FD8" w14:textId="77777777" w:rsidR="002F4063" w:rsidRDefault="002F4063">
      <w:pPr>
        <w:pStyle w:val="Notedebasdepage"/>
      </w:pPr>
      <w:r>
        <w:rPr>
          <w:rStyle w:val="Appelnotedebasdep"/>
        </w:rPr>
        <w:footnoteRef/>
      </w:r>
      <w:r>
        <w:t xml:space="preserve"> </w:t>
      </w:r>
      <w:r>
        <w:tab/>
      </w:r>
      <w:r w:rsidRPr="004B2498">
        <w:rPr>
          <w:lang w:val="fr-FR" w:eastAsia="fr-FR" w:bidi="fr-FR"/>
        </w:rPr>
        <w:t>Les autres controverses renvoyant au pouvoir de la finance et à la réforme du système financier.</w:t>
      </w:r>
    </w:p>
  </w:footnote>
  <w:footnote w:id="5">
    <w:p w14:paraId="07CC78D7" w14:textId="77777777" w:rsidR="002F4063" w:rsidRDefault="002F4063">
      <w:pPr>
        <w:pStyle w:val="Notedebasdepage"/>
      </w:pPr>
      <w:r>
        <w:rPr>
          <w:rStyle w:val="Appelnotedebasdep"/>
        </w:rPr>
        <w:footnoteRef/>
      </w:r>
      <w:r>
        <w:t xml:space="preserve"> </w:t>
      </w:r>
      <w:r>
        <w:tab/>
      </w:r>
      <w:r w:rsidRPr="004B2498">
        <w:t>Dans le monde anglo-saxon, il faut bien admettre que plusieurs économistes avaient eu des intuitions prémonitoires concernant l'e</w:t>
      </w:r>
      <w:r w:rsidRPr="004B2498">
        <w:t>f</w:t>
      </w:r>
      <w:r w:rsidRPr="004B2498">
        <w:t>fondrement financier de l'été 2007. Pour découvrir ces remarquables exceptions, Cf. Ben Ha</w:t>
      </w:r>
      <w:r w:rsidRPr="004B2498">
        <w:t>m</w:t>
      </w:r>
      <w:r w:rsidRPr="004B2498">
        <w:t>mouda et al., 2010, p. 25-28.</w:t>
      </w:r>
    </w:p>
  </w:footnote>
  <w:footnote w:id="6">
    <w:p w14:paraId="4A447BA3" w14:textId="77777777" w:rsidR="002F4063" w:rsidRDefault="002F4063">
      <w:pPr>
        <w:pStyle w:val="Notedebasdepage"/>
      </w:pPr>
      <w:r>
        <w:rPr>
          <w:rStyle w:val="Appelnotedebasdep"/>
        </w:rPr>
        <w:footnoteRef/>
      </w:r>
      <w:r>
        <w:t xml:space="preserve"> </w:t>
      </w:r>
      <w:r>
        <w:tab/>
      </w:r>
      <w:r w:rsidRPr="004B2498">
        <w:t>En France, des économistes tels que Michel Aglietta, Robert Boyer, André Orléan... avaient précocement tiré la sonnette d’alarme sur une possible e</w:t>
      </w:r>
      <w:r w:rsidRPr="004B2498">
        <w:t>x</w:t>
      </w:r>
      <w:r w:rsidRPr="004B2498">
        <w:t>tension des risques financiers individuels à l’ensemble de l’économie capit</w:t>
      </w:r>
      <w:r w:rsidRPr="004B2498">
        <w:t>a</w:t>
      </w:r>
      <w:r w:rsidRPr="004B2498">
        <w:t>liste.</w:t>
      </w:r>
    </w:p>
  </w:footnote>
  <w:footnote w:id="7">
    <w:p w14:paraId="40480A82" w14:textId="77777777" w:rsidR="002F4063" w:rsidRDefault="002F4063">
      <w:pPr>
        <w:pStyle w:val="Notedebasdepage"/>
      </w:pPr>
      <w:r>
        <w:rPr>
          <w:rStyle w:val="Appelnotedebasdep"/>
        </w:rPr>
        <w:footnoteRef/>
      </w:r>
      <w:r>
        <w:t xml:space="preserve"> </w:t>
      </w:r>
      <w:r>
        <w:tab/>
      </w:r>
      <w:r w:rsidRPr="004B2498">
        <w:rPr>
          <w:lang w:val="fr-FR" w:eastAsia="fr-FR" w:bidi="fr-FR"/>
        </w:rPr>
        <w:t>Les piliers complémentaires sur lesquels la croissance capitaliste reposait étaient en outre l’appropriation de l’épargne mondiale disp</w:t>
      </w:r>
      <w:r w:rsidRPr="004B2498">
        <w:rPr>
          <w:lang w:val="fr-FR" w:eastAsia="fr-FR" w:bidi="fr-FR"/>
        </w:rPr>
        <w:t>o</w:t>
      </w:r>
      <w:r w:rsidRPr="004B2498">
        <w:rPr>
          <w:lang w:val="fr-FR" w:eastAsia="fr-FR" w:bidi="fr-FR"/>
        </w:rPr>
        <w:t>nible (pays émergents) et l’approfondissement de la globalisation financière, cf. Bre</w:t>
      </w:r>
      <w:r w:rsidRPr="004B2498">
        <w:rPr>
          <w:lang w:val="fr-FR" w:eastAsia="fr-FR" w:bidi="fr-FR"/>
        </w:rPr>
        <w:t>n</w:t>
      </w:r>
      <w:r w:rsidRPr="004B2498">
        <w:rPr>
          <w:lang w:val="fr-FR" w:eastAsia="fr-FR" w:bidi="fr-FR"/>
        </w:rPr>
        <w:t>der, Pisani, 2009, p. 47-98.</w:t>
      </w:r>
    </w:p>
  </w:footnote>
  <w:footnote w:id="8">
    <w:p w14:paraId="26C80574" w14:textId="77777777" w:rsidR="002F4063" w:rsidRDefault="002F4063">
      <w:pPr>
        <w:pStyle w:val="Notedebasdepage"/>
      </w:pPr>
      <w:r>
        <w:rPr>
          <w:rStyle w:val="Appelnotedebasdep"/>
        </w:rPr>
        <w:footnoteRef/>
      </w:r>
      <w:r>
        <w:t xml:space="preserve"> </w:t>
      </w:r>
      <w:r>
        <w:tab/>
      </w:r>
      <w:r w:rsidRPr="004B2498">
        <w:rPr>
          <w:lang w:val="fr-FR" w:eastAsia="fr-FR" w:bidi="fr-FR"/>
        </w:rPr>
        <w:t>Grâce à des mesures ponctuelles telles que le contrôle des agences de not</w:t>
      </w:r>
      <w:r w:rsidRPr="004B2498">
        <w:rPr>
          <w:lang w:val="fr-FR" w:eastAsia="fr-FR" w:bidi="fr-FR"/>
        </w:rPr>
        <w:t>a</w:t>
      </w:r>
      <w:r w:rsidRPr="004B2498">
        <w:rPr>
          <w:lang w:val="fr-FR" w:eastAsia="fr-FR" w:bidi="fr-FR"/>
        </w:rPr>
        <w:t>tion, le renforcement des obligations de transparence des banques, la mod</w:t>
      </w:r>
      <w:r w:rsidRPr="004B2498">
        <w:rPr>
          <w:lang w:val="fr-FR" w:eastAsia="fr-FR" w:bidi="fr-FR"/>
        </w:rPr>
        <w:t>i</w:t>
      </w:r>
      <w:r w:rsidRPr="004B2498">
        <w:rPr>
          <w:lang w:val="fr-FR" w:eastAsia="fr-FR" w:bidi="fr-FR"/>
        </w:rPr>
        <w:t>fication des critères comptables institués en fonction des critères de marché (Bâle III), etc.</w:t>
      </w:r>
    </w:p>
  </w:footnote>
  <w:footnote w:id="9">
    <w:p w14:paraId="62860004" w14:textId="77777777" w:rsidR="002F4063" w:rsidRDefault="002F4063">
      <w:pPr>
        <w:pStyle w:val="Notedebasdepage"/>
      </w:pPr>
      <w:r>
        <w:rPr>
          <w:rStyle w:val="Appelnotedebasdep"/>
        </w:rPr>
        <w:footnoteRef/>
      </w:r>
      <w:r>
        <w:t xml:space="preserve"> </w:t>
      </w:r>
      <w:r>
        <w:tab/>
      </w:r>
      <w:r w:rsidRPr="004B2498">
        <w:t>C’est un cas d’asymétrie d'informations bénéficiant à des initiés.</w:t>
      </w:r>
    </w:p>
  </w:footnote>
  <w:footnote w:id="10">
    <w:p w14:paraId="49BB813B" w14:textId="77777777" w:rsidR="002F4063" w:rsidRDefault="002F4063">
      <w:pPr>
        <w:pStyle w:val="Notedebasdepage"/>
      </w:pPr>
      <w:r>
        <w:rPr>
          <w:rStyle w:val="Appelnotedebasdep"/>
        </w:rPr>
        <w:footnoteRef/>
      </w:r>
      <w:r>
        <w:t xml:space="preserve"> </w:t>
      </w:r>
      <w:r>
        <w:tab/>
      </w:r>
      <w:r w:rsidRPr="004B2498">
        <w:t>Rappelons pour mémoire que ce sont la primauté de la logique financière à court terme, la croissance capitaliste alimentée par l’épargne disponible i</w:t>
      </w:r>
      <w:r w:rsidRPr="004B2498">
        <w:t>n</w:t>
      </w:r>
      <w:r w:rsidRPr="004B2498">
        <w:t>ternationale, l’autorégulation et l’efficience des marchés financiers, le rece</w:t>
      </w:r>
      <w:r w:rsidRPr="004B2498">
        <w:t>n</w:t>
      </w:r>
      <w:r w:rsidRPr="004B2498">
        <w:t>trement marchand de l’intervention de l’État.</w:t>
      </w:r>
    </w:p>
  </w:footnote>
  <w:footnote w:id="11">
    <w:p w14:paraId="39597DDD" w14:textId="77777777" w:rsidR="002F4063" w:rsidRDefault="002F4063">
      <w:pPr>
        <w:pStyle w:val="Notedebasdepage"/>
      </w:pPr>
      <w:r>
        <w:rPr>
          <w:rStyle w:val="Appelnotedebasdep"/>
        </w:rPr>
        <w:footnoteRef/>
      </w:r>
      <w:r>
        <w:t xml:space="preserve"> </w:t>
      </w:r>
      <w:r>
        <w:tab/>
      </w:r>
      <w:r w:rsidRPr="004B2498">
        <w:t>Cf. Entre autres, les articles de Daniel Bougnoux (2008), Jean-Joseph Goux (2008) et Olivier Mongin (2008) ont largement inspiré les réflexions ci-dessous.</w:t>
      </w:r>
    </w:p>
  </w:footnote>
  <w:footnote w:id="12">
    <w:p w14:paraId="393E616D" w14:textId="77777777" w:rsidR="002F4063" w:rsidRDefault="002F4063">
      <w:pPr>
        <w:pStyle w:val="Notedebasdepage"/>
      </w:pPr>
      <w:r>
        <w:rPr>
          <w:rStyle w:val="Appelnotedebasdep"/>
        </w:rPr>
        <w:footnoteRef/>
      </w:r>
      <w:r>
        <w:t xml:space="preserve"> </w:t>
      </w:r>
      <w:r>
        <w:tab/>
      </w:r>
      <w:r w:rsidRPr="004B2498">
        <w:t>Sans évoquer le problème épineux et encore insoluble des marchés de fina</w:t>
      </w:r>
      <w:r w:rsidRPr="004B2498">
        <w:t>n</w:t>
      </w:r>
      <w:r w:rsidRPr="004B2498">
        <w:t>cement non organisés, dits de gré à gré dont l’ampleur estimée dépasserait en importance l’ensemble des places boursières et financières officielles sous contrôle apparent des autorités nation</w:t>
      </w:r>
      <w:r w:rsidRPr="004B2498">
        <w:t>a</w:t>
      </w:r>
      <w:r w:rsidRPr="004B2498">
        <w:t>les de régulation.</w:t>
      </w:r>
    </w:p>
  </w:footnote>
  <w:footnote w:id="13">
    <w:p w14:paraId="292C59C8" w14:textId="77777777" w:rsidR="002F4063" w:rsidRDefault="002F4063">
      <w:pPr>
        <w:pStyle w:val="Notedebasdepage"/>
      </w:pPr>
      <w:r>
        <w:rPr>
          <w:rStyle w:val="Appelnotedebasdep"/>
        </w:rPr>
        <w:footnoteRef/>
      </w:r>
      <w:r>
        <w:t xml:space="preserve"> </w:t>
      </w:r>
      <w:r>
        <w:tab/>
      </w:r>
      <w:r w:rsidRPr="004B2498">
        <w:t>Une conception qui irriguait l’ensemble des œuvres de Smith, Ricardo et Marx autour de la norme commune du travail nécessaire à la production d’une marchandise comme mesure de la valeur. Paradigme historique d</w:t>
      </w:r>
      <w:r w:rsidRPr="004B2498">
        <w:t>é</w:t>
      </w:r>
      <w:r w:rsidRPr="004B2498">
        <w:t>passé aujourd’hui en raison des transformations structurelles du capitalisme financier dont un des nombreux effets a été d’individualiser le prix de la r</w:t>
      </w:r>
      <w:r w:rsidRPr="004B2498">
        <w:t>é</w:t>
      </w:r>
      <w:r w:rsidRPr="004B2498">
        <w:t>munération de la force de travail, comme un quelconque bien, en fonction de sa plus ou moins grande désirabilité.</w:t>
      </w:r>
    </w:p>
  </w:footnote>
  <w:footnote w:id="14">
    <w:p w14:paraId="257D1690" w14:textId="77777777" w:rsidR="002F4063" w:rsidRDefault="002F4063">
      <w:pPr>
        <w:pStyle w:val="Notedebasdepage"/>
      </w:pPr>
      <w:r>
        <w:rPr>
          <w:rStyle w:val="Appelnotedebasdep"/>
        </w:rPr>
        <w:footnoteRef/>
      </w:r>
      <w:r>
        <w:t xml:space="preserve"> </w:t>
      </w:r>
      <w:r>
        <w:tab/>
      </w:r>
      <w:r w:rsidRPr="004B2498">
        <w:rPr>
          <w:lang w:val="fr-FR" w:eastAsia="fr-FR" w:bidi="fr-FR"/>
        </w:rPr>
        <w:t>À l’instar des biens informatiques qui incorporent de plus en plus dans leur prix l’effet d’appel anticipateur des consommateurs sur les innovations a</w:t>
      </w:r>
      <w:r w:rsidRPr="004B2498">
        <w:rPr>
          <w:lang w:val="fr-FR" w:eastAsia="fr-FR" w:bidi="fr-FR"/>
        </w:rPr>
        <w:t>t</w:t>
      </w:r>
      <w:r w:rsidRPr="004B2498">
        <w:rPr>
          <w:lang w:val="fr-FR" w:eastAsia="fr-FR" w:bidi="fr-FR"/>
        </w:rPr>
        <w:t>tendues des constructeurs ou des producteurs.</w:t>
      </w:r>
    </w:p>
  </w:footnote>
  <w:footnote w:id="15">
    <w:p w14:paraId="4AD76209" w14:textId="77777777" w:rsidR="002F4063" w:rsidRDefault="002F4063">
      <w:pPr>
        <w:pStyle w:val="Notedebasdepage"/>
      </w:pPr>
      <w:r>
        <w:rPr>
          <w:rStyle w:val="Appelnotedebasdep"/>
        </w:rPr>
        <w:footnoteRef/>
      </w:r>
      <w:r>
        <w:t xml:space="preserve"> </w:t>
      </w:r>
      <w:r>
        <w:tab/>
      </w:r>
      <w:r w:rsidRPr="004B2498">
        <w:rPr>
          <w:lang w:val="fr-FR" w:eastAsia="fr-FR" w:bidi="fr-FR"/>
        </w:rPr>
        <w:t>Dont une des causes de déclenchement fut le reflux immédiat des capitaux i</w:t>
      </w:r>
      <w:r w:rsidRPr="004B2498">
        <w:rPr>
          <w:lang w:val="fr-FR" w:eastAsia="fr-FR" w:bidi="fr-FR"/>
        </w:rPr>
        <w:t>n</w:t>
      </w:r>
      <w:r w:rsidRPr="004B2498">
        <w:rPr>
          <w:lang w:val="fr-FR" w:eastAsia="fr-FR" w:bidi="fr-FR"/>
        </w:rPr>
        <w:t>ternationaux à court terme vers les pays capitalistes industrialisés.</w:t>
      </w:r>
    </w:p>
  </w:footnote>
  <w:footnote w:id="16">
    <w:p w14:paraId="43D8D74D" w14:textId="77777777" w:rsidR="002F4063" w:rsidRDefault="002F4063">
      <w:pPr>
        <w:pStyle w:val="Notedebasdepage"/>
      </w:pPr>
      <w:r>
        <w:rPr>
          <w:rStyle w:val="Appelnotedebasdep"/>
        </w:rPr>
        <w:footnoteRef/>
      </w:r>
      <w:r>
        <w:t xml:space="preserve"> </w:t>
      </w:r>
      <w:r>
        <w:tab/>
      </w:r>
      <w:r w:rsidRPr="004B2498">
        <w:rPr>
          <w:lang w:eastAsia="fr-FR" w:bidi="fr-FR"/>
        </w:rPr>
        <w:t>C’est le sentiment que l’on éprouve en consultant sur la toile par exemple l’article « Liste des listes » de l’Encyclopédie Wikipedia.</w:t>
      </w:r>
    </w:p>
  </w:footnote>
  <w:footnote w:id="17">
    <w:p w14:paraId="70C86B41" w14:textId="77777777" w:rsidR="002F4063" w:rsidRDefault="002F4063">
      <w:pPr>
        <w:pStyle w:val="Notedebasdepage"/>
      </w:pPr>
      <w:r>
        <w:rPr>
          <w:rStyle w:val="Appelnotedebasdep"/>
        </w:rPr>
        <w:footnoteRef/>
      </w:r>
      <w:r>
        <w:t xml:space="preserve"> </w:t>
      </w:r>
      <w:r>
        <w:tab/>
      </w:r>
      <w:r w:rsidRPr="004B2498">
        <w:rPr>
          <w:lang w:val="fr-FR" w:eastAsia="fr-FR" w:bidi="fr-FR"/>
        </w:rPr>
        <w:t>Doit-on s’étonner que, deux siècles plus tard, lors de la messe célébrée dans la cathédrale Saint-Jean à Lyon en mémoire des victimes de la répression j</w:t>
      </w:r>
      <w:r w:rsidRPr="004B2498">
        <w:rPr>
          <w:lang w:val="fr-FR" w:eastAsia="fr-FR" w:bidi="fr-FR"/>
        </w:rPr>
        <w:t>a</w:t>
      </w:r>
      <w:r w:rsidRPr="004B2498">
        <w:rPr>
          <w:lang w:val="fr-FR" w:eastAsia="fr-FR" w:bidi="fr-FR"/>
        </w:rPr>
        <w:t>cobine de 1793, celles-ci turent énoncées par les organisateurs selon les o</w:t>
      </w:r>
      <w:r w:rsidRPr="004B2498">
        <w:rPr>
          <w:lang w:val="fr-FR" w:eastAsia="fr-FR" w:bidi="fr-FR"/>
        </w:rPr>
        <w:t>r</w:t>
      </w:r>
      <w:r w:rsidRPr="004B2498">
        <w:rPr>
          <w:lang w:val="fr-FR" w:eastAsia="fr-FR" w:bidi="fr-FR"/>
        </w:rPr>
        <w:t>dres d’Ancien Régime. Dans une sorte de compromis historique, l’archevêque de Lyon, Monse</w:t>
      </w:r>
      <w:r w:rsidRPr="004B2498">
        <w:rPr>
          <w:lang w:val="fr-FR" w:eastAsia="fr-FR" w:bidi="fr-FR"/>
        </w:rPr>
        <w:t>i</w:t>
      </w:r>
      <w:r w:rsidRPr="004B2498">
        <w:rPr>
          <w:lang w:val="fr-FR" w:eastAsia="fr-FR" w:bidi="fr-FR"/>
        </w:rPr>
        <w:t>gneur Albert Decourtray, rappela que l’année 1793 avait été une année terrible : celle de l’exécution de Louis XVI, celle de la chute de Lyon et celle... de l’assassinat de Marat.</w:t>
      </w:r>
    </w:p>
  </w:footnote>
  <w:footnote w:id="18">
    <w:p w14:paraId="53C784FD" w14:textId="77777777" w:rsidR="002F4063" w:rsidRDefault="002F4063">
      <w:pPr>
        <w:pStyle w:val="Notedebasdepage"/>
      </w:pPr>
      <w:r>
        <w:rPr>
          <w:rStyle w:val="Appelnotedebasdep"/>
        </w:rPr>
        <w:footnoteRef/>
      </w:r>
      <w:r>
        <w:t xml:space="preserve"> </w:t>
      </w:r>
      <w:r>
        <w:tab/>
      </w:r>
      <w:r w:rsidRPr="004B2498">
        <w:t xml:space="preserve">Le titre en français de </w:t>
      </w:r>
      <w:r w:rsidRPr="00E402D8">
        <w:rPr>
          <w:i/>
        </w:rPr>
        <w:t>An Inquiry into the Nature and causes of the Wealth of Nations</w:t>
      </w:r>
      <w:r w:rsidRPr="004B2498">
        <w:t xml:space="preserve"> d’Adam Smith est souvent abrégé dans les tr</w:t>
      </w:r>
      <w:r w:rsidRPr="004B2498">
        <w:t>a</w:t>
      </w:r>
      <w:r w:rsidRPr="004B2498">
        <w:t xml:space="preserve">ductions françaises sous la forme de </w:t>
      </w:r>
      <w:hyperlink r:id="rId1" w:history="1">
        <w:r w:rsidRPr="00E402D8">
          <w:rPr>
            <w:rStyle w:val="Hyperlien"/>
            <w:i/>
          </w:rPr>
          <w:t>La Richesse des Nations oubliant la référence à une R</w:t>
        </w:r>
        <w:r w:rsidRPr="00E402D8">
          <w:rPr>
            <w:rStyle w:val="Hyperlien"/>
            <w:i/>
          </w:rPr>
          <w:t>e</w:t>
        </w:r>
        <w:r w:rsidRPr="00E402D8">
          <w:rPr>
            <w:rStyle w:val="Hyperlien"/>
            <w:i/>
          </w:rPr>
          <w:t>cherche ou Enquête</w:t>
        </w:r>
      </w:hyperlink>
      <w:r w:rsidRPr="004B2498">
        <w:t>, terme qui figure dans le titre de la traduction de Paule</w:t>
      </w:r>
      <w:r w:rsidRPr="004B2498">
        <w:t>t</w:t>
      </w:r>
      <w:r w:rsidRPr="004B2498">
        <w:t xml:space="preserve">te Taieb aux Presses universitaires de France en 1995. La traduction du mot </w:t>
      </w:r>
      <w:r w:rsidRPr="00E402D8">
        <w:rPr>
          <w:i/>
        </w:rPr>
        <w:t>Inquiry</w:t>
      </w:r>
      <w:r w:rsidRPr="004B2498">
        <w:t xml:space="preserve"> par </w:t>
      </w:r>
      <w:r w:rsidRPr="00E402D8">
        <w:rPr>
          <w:i/>
        </w:rPr>
        <w:t>Recherches</w:t>
      </w:r>
      <w:r w:rsidRPr="004B2498">
        <w:t xml:space="preserve"> dès les premi</w:t>
      </w:r>
      <w:r w:rsidRPr="004B2498">
        <w:t>è</w:t>
      </w:r>
      <w:r w:rsidRPr="004B2498">
        <w:t xml:space="preserve">res éditions en français de </w:t>
      </w:r>
      <w:r w:rsidRPr="00E402D8">
        <w:rPr>
          <w:i/>
        </w:rPr>
        <w:t>La Richesse des nations</w:t>
      </w:r>
      <w:r w:rsidRPr="004B2498">
        <w:t xml:space="preserve"> peut se comprendre par le fait que plusieurs travaux contemp</w:t>
      </w:r>
      <w:r w:rsidRPr="004B2498">
        <w:t>o</w:t>
      </w:r>
      <w:r w:rsidRPr="004B2498">
        <w:t>rains ont un titre intr</w:t>
      </w:r>
      <w:r w:rsidRPr="004B2498">
        <w:t>o</w:t>
      </w:r>
      <w:r w:rsidRPr="004B2498">
        <w:t>duit par cette expression, notamment Forbonnais en 1758, Dupré de Saint-Maur en 1762, Messance en 1766 et Moheau en 1778, de même que de nombreux auteurs britanniques ont fait dans le m</w:t>
      </w:r>
      <w:r w:rsidRPr="004B2498">
        <w:t>ê</w:t>
      </w:r>
      <w:r w:rsidRPr="004B2498">
        <w:t xml:space="preserve">me temps référence à une inquiry. Voir Volume de Notes, Tables et Index de la </w:t>
      </w:r>
      <w:r w:rsidRPr="00E402D8">
        <w:rPr>
          <w:i/>
        </w:rPr>
        <w:t>R</w:t>
      </w:r>
      <w:r w:rsidRPr="00E402D8">
        <w:rPr>
          <w:i/>
        </w:rPr>
        <w:t>i</w:t>
      </w:r>
      <w:r w:rsidRPr="00E402D8">
        <w:rPr>
          <w:i/>
        </w:rPr>
        <w:t>chesse des Nations</w:t>
      </w:r>
      <w:r w:rsidRPr="004B2498">
        <w:t xml:space="preserve"> (volume IV, à paraître : éditions Econom</w:t>
      </w:r>
      <w:r w:rsidRPr="004B2498">
        <w:t>i</w:t>
      </w:r>
      <w:r w:rsidRPr="004B2498">
        <w:t>ca).</w:t>
      </w:r>
    </w:p>
  </w:footnote>
  <w:footnote w:id="19">
    <w:p w14:paraId="2845B8CD" w14:textId="77777777" w:rsidR="002F4063" w:rsidRDefault="002F4063">
      <w:pPr>
        <w:pStyle w:val="Notedebasdepage"/>
      </w:pPr>
      <w:r>
        <w:rPr>
          <w:rStyle w:val="Appelnotedebasdep"/>
        </w:rPr>
        <w:footnoteRef/>
      </w:r>
      <w:r>
        <w:t xml:space="preserve"> </w:t>
      </w:r>
      <w:r>
        <w:tab/>
      </w:r>
      <w:r w:rsidRPr="004B2498">
        <w:t>Notons ici que les œuvres de pensée abordées ici ne sont ni les œuvres d’art, ni la production scientifique hors des sciences de l’homme et de la société. Sur cette distinction des œuvres de pensée d’avec d’une part les œuvres d’art et d’autre part les productions des sciences hors sciences sociales on l</w:t>
      </w:r>
      <w:r w:rsidRPr="004B2498">
        <w:t>i</w:t>
      </w:r>
      <w:r w:rsidRPr="004B2498">
        <w:t>ra avec intérêt : Claude LEFORT [1970], « L’œuvre de pensée et l’histoire » [</w:t>
      </w:r>
      <w:r w:rsidRPr="00E402D8">
        <w:rPr>
          <w:i/>
        </w:rPr>
        <w:t>Nouvelle Revue de Ps</w:t>
      </w:r>
      <w:r w:rsidRPr="00E402D8">
        <w:rPr>
          <w:i/>
        </w:rPr>
        <w:t>y</w:t>
      </w:r>
      <w:r w:rsidRPr="00E402D8">
        <w:rPr>
          <w:i/>
        </w:rPr>
        <w:t>chanalyse</w:t>
      </w:r>
      <w:r w:rsidRPr="004B2498">
        <w:t xml:space="preserve">, t. I], in : </w:t>
      </w:r>
      <w:r w:rsidRPr="00E402D8">
        <w:rPr>
          <w:i/>
        </w:rPr>
        <w:t>Les formes de l'Histoire</w:t>
      </w:r>
      <w:r w:rsidRPr="004B2498">
        <w:t>, Paris, Gallimard, 1978, p. 141.</w:t>
      </w:r>
    </w:p>
  </w:footnote>
  <w:footnote w:id="20">
    <w:p w14:paraId="15CF509D" w14:textId="77777777" w:rsidR="002F4063" w:rsidRDefault="002F4063">
      <w:pPr>
        <w:pStyle w:val="Notedebasdepage"/>
      </w:pPr>
      <w:r>
        <w:rPr>
          <w:rStyle w:val="Appelnotedebasdep"/>
        </w:rPr>
        <w:footnoteRef/>
      </w:r>
      <w:r>
        <w:t xml:space="preserve"> </w:t>
      </w:r>
      <w:r>
        <w:tab/>
      </w:r>
      <w:r w:rsidRPr="004B2498">
        <w:t xml:space="preserve">Vladimir PROPP [1928, traduction en anglais 1950], </w:t>
      </w:r>
      <w:r w:rsidRPr="00812B28">
        <w:rPr>
          <w:i/>
        </w:rPr>
        <w:t>Morphol</w:t>
      </w:r>
      <w:r w:rsidRPr="00812B28">
        <w:rPr>
          <w:i/>
        </w:rPr>
        <w:t>o</w:t>
      </w:r>
      <w:r w:rsidRPr="00812B28">
        <w:rPr>
          <w:i/>
        </w:rPr>
        <w:t>gie du conte</w:t>
      </w:r>
      <w:r w:rsidRPr="004B2498">
        <w:t>, Paris, Seuil, 1970</w:t>
      </w:r>
      <w:r>
        <w:t> </w:t>
      </w:r>
      <w:r w:rsidRPr="004B2498">
        <w:t xml:space="preserve">; Bruno BETTELHEIM, </w:t>
      </w:r>
      <w:r w:rsidRPr="00812B28">
        <w:rPr>
          <w:i/>
        </w:rPr>
        <w:t>Psychanalyse des contes de fées</w:t>
      </w:r>
      <w:r w:rsidRPr="004B2498">
        <w:t>, Paris, Laffont, 1976.</w:t>
      </w:r>
    </w:p>
  </w:footnote>
  <w:footnote w:id="21">
    <w:p w14:paraId="4D545D18" w14:textId="77777777" w:rsidR="002F4063" w:rsidRDefault="002F4063">
      <w:pPr>
        <w:pStyle w:val="Notedebasdepage"/>
      </w:pPr>
      <w:r>
        <w:rPr>
          <w:rStyle w:val="Appelnotedebasdep"/>
        </w:rPr>
        <w:footnoteRef/>
      </w:r>
      <w:r>
        <w:t xml:space="preserve"> </w:t>
      </w:r>
      <w:r>
        <w:tab/>
      </w:r>
      <w:r w:rsidRPr="004B2498">
        <w:t xml:space="preserve">Sur la justification de l’expression, voir Jean-Michel SERVET, </w:t>
      </w:r>
      <w:r w:rsidRPr="00812B28">
        <w:rPr>
          <w:i/>
        </w:rPr>
        <w:t>Le Grand Renversement</w:t>
      </w:r>
      <w:r w:rsidRPr="004B2498">
        <w:t>, Paris, Desclée de Brouwer, 2010.</w:t>
      </w:r>
    </w:p>
  </w:footnote>
  <w:footnote w:id="22">
    <w:p w14:paraId="38843531" w14:textId="77777777" w:rsidR="002F4063" w:rsidRDefault="002F4063">
      <w:pPr>
        <w:pStyle w:val="Notedebasdepage"/>
      </w:pPr>
      <w:r>
        <w:rPr>
          <w:rStyle w:val="Appelnotedebasdep"/>
        </w:rPr>
        <w:footnoteRef/>
      </w:r>
      <w:r>
        <w:t xml:space="preserve"> </w:t>
      </w:r>
      <w:r>
        <w:tab/>
      </w:r>
      <w:r w:rsidRPr="004B2498">
        <w:t xml:space="preserve">Jacques GENEREUX, </w:t>
      </w:r>
      <w:r w:rsidRPr="00812B28">
        <w:rPr>
          <w:i/>
        </w:rPr>
        <w:t>La dissociété</w:t>
      </w:r>
      <w:r w:rsidRPr="004B2498">
        <w:t>, Paris, Le Seuil, 2006.</w:t>
      </w:r>
    </w:p>
  </w:footnote>
  <w:footnote w:id="23">
    <w:p w14:paraId="42F9599D" w14:textId="77777777" w:rsidR="002F4063" w:rsidRDefault="002F4063">
      <w:pPr>
        <w:pStyle w:val="Notedebasdepage"/>
      </w:pPr>
      <w:r>
        <w:rPr>
          <w:rStyle w:val="Appelnotedebasdep"/>
        </w:rPr>
        <w:footnoteRef/>
      </w:r>
      <w:r>
        <w:t xml:space="preserve"> </w:t>
      </w:r>
      <w:r>
        <w:tab/>
      </w:r>
      <w:r w:rsidRPr="004B2498">
        <w:rPr>
          <w:lang w:val="fr-FR" w:eastAsia="fr-FR" w:bidi="fr-FR"/>
        </w:rPr>
        <w:t xml:space="preserve">Cet exemple est développé par Gaston </w:t>
      </w:r>
      <w:r w:rsidRPr="00812B28">
        <w:t xml:space="preserve">Bachelard </w:t>
      </w:r>
      <w:r w:rsidRPr="004B2498">
        <w:rPr>
          <w:lang w:val="fr-FR" w:eastAsia="fr-FR" w:bidi="fr-FR"/>
        </w:rPr>
        <w:t xml:space="preserve">et repris dans </w:t>
      </w:r>
      <w:hyperlink r:id="rId2" w:history="1">
        <w:r w:rsidRPr="00812B28">
          <w:rPr>
            <w:rStyle w:val="Hyperlien"/>
            <w:i/>
            <w:iCs/>
          </w:rPr>
          <w:t>Épistémologie</w:t>
        </w:r>
      </w:hyperlink>
      <w:r w:rsidRPr="004B2498">
        <w:rPr>
          <w:lang w:val="fr-FR" w:eastAsia="fr-FR" w:bidi="fr-FR"/>
        </w:rPr>
        <w:t>, Textes choisis par Dominique Lecourt, Paris, PUF, 1971.</w:t>
      </w:r>
    </w:p>
  </w:footnote>
  <w:footnote w:id="24">
    <w:p w14:paraId="72EFBA71" w14:textId="77777777" w:rsidR="002F4063" w:rsidRDefault="002F4063">
      <w:pPr>
        <w:pStyle w:val="Notedebasdepage"/>
      </w:pPr>
      <w:r>
        <w:rPr>
          <w:rStyle w:val="Appelnotedebasdep"/>
        </w:rPr>
        <w:footnoteRef/>
      </w:r>
      <w:r>
        <w:t xml:space="preserve"> </w:t>
      </w:r>
      <w:r>
        <w:tab/>
      </w:r>
      <w:r w:rsidRPr="004B2498">
        <w:t>Voir le colloque « Les mots du développement. Genèse, usages et trajecto</w:t>
      </w:r>
      <w:r w:rsidRPr="004B2498">
        <w:t>i</w:t>
      </w:r>
      <w:r w:rsidRPr="004B2498">
        <w:t>res », Université Paris Dauphine, 13-14 novembre 2008.</w:t>
      </w:r>
    </w:p>
  </w:footnote>
  <w:footnote w:id="25">
    <w:p w14:paraId="71D07C28" w14:textId="77777777" w:rsidR="002F4063" w:rsidRDefault="002F4063">
      <w:pPr>
        <w:pStyle w:val="Notedebasdepage"/>
      </w:pPr>
      <w:r>
        <w:rPr>
          <w:rStyle w:val="Appelnotedebasdep"/>
        </w:rPr>
        <w:footnoteRef/>
      </w:r>
      <w:r>
        <w:t xml:space="preserve"> </w:t>
      </w:r>
      <w:r>
        <w:tab/>
      </w:r>
      <w:r w:rsidRPr="004B2498">
        <w:t>On lira avec grand intérêt sur cette question les contrib</w:t>
      </w:r>
      <w:r w:rsidRPr="004B2498">
        <w:t>u</w:t>
      </w:r>
      <w:r w:rsidRPr="004B2498">
        <w:t>tions de Philippe HUGON, voir en particulier « Peut-on parler d’une crise ou d’un renouveau de l’analyse économique du développ</w:t>
      </w:r>
      <w:r w:rsidRPr="004B2498">
        <w:t>e</w:t>
      </w:r>
      <w:r w:rsidRPr="004B2498">
        <w:t>ment ? » (Revue Tiers Monde, 2006, p. 591-620) ; « Le renouveau de l’économie du d</w:t>
      </w:r>
      <w:r w:rsidRPr="004B2498">
        <w:t>é</w:t>
      </w:r>
      <w:r w:rsidRPr="004B2498">
        <w:t xml:space="preserve">veloppement dans un contexte de mondialisation » (in : Géraldine FROGER (éd.), </w:t>
      </w:r>
      <w:r w:rsidRPr="00812B28">
        <w:rPr>
          <w:i/>
        </w:rPr>
        <w:t>La mondialis</w:t>
      </w:r>
      <w:r w:rsidRPr="00812B28">
        <w:rPr>
          <w:i/>
        </w:rPr>
        <w:t>a</w:t>
      </w:r>
      <w:r w:rsidRPr="00812B28">
        <w:rPr>
          <w:i/>
        </w:rPr>
        <w:t>tion contre le dévelo</w:t>
      </w:r>
      <w:r w:rsidRPr="00812B28">
        <w:rPr>
          <w:i/>
        </w:rPr>
        <w:t>p</w:t>
      </w:r>
      <w:r w:rsidRPr="00812B28">
        <w:rPr>
          <w:i/>
        </w:rPr>
        <w:t>pement durable</w:t>
      </w:r>
      <w:r w:rsidRPr="004B2498">
        <w:t>, Bruxelles, Peter Lang, 2006, p. 29-52 ; « Sens et contre sens du développement. Les mots du et de développ</w:t>
      </w:r>
      <w:r w:rsidRPr="004B2498">
        <w:t>e</w:t>
      </w:r>
      <w:r w:rsidRPr="004B2498">
        <w:t>ment » (Contribution au co</w:t>
      </w:r>
      <w:r w:rsidRPr="004B2498">
        <w:t>l</w:t>
      </w:r>
      <w:r w:rsidRPr="004B2498">
        <w:t>loque « Les mots du développement. Genèse, usages et trajectoires », Université Paris Dauphine, 13-14 novembre 2008).</w:t>
      </w:r>
    </w:p>
  </w:footnote>
  <w:footnote w:id="26">
    <w:p w14:paraId="6637F527" w14:textId="77777777" w:rsidR="002F4063" w:rsidRDefault="002F4063">
      <w:pPr>
        <w:pStyle w:val="Notedebasdepage"/>
      </w:pPr>
      <w:r>
        <w:rPr>
          <w:rStyle w:val="Appelnotedebasdep"/>
        </w:rPr>
        <w:footnoteRef/>
      </w:r>
      <w:r>
        <w:t xml:space="preserve"> </w:t>
      </w:r>
      <w:r>
        <w:tab/>
      </w:r>
      <w:r w:rsidRPr="00232444">
        <w:t xml:space="preserve">Spinoza, </w:t>
      </w:r>
      <w:hyperlink r:id="rId3" w:history="1">
        <w:r w:rsidRPr="00D23CB8">
          <w:rPr>
            <w:rStyle w:val="Hyperlien"/>
            <w:i/>
            <w:iCs/>
          </w:rPr>
          <w:t>Éthique</w:t>
        </w:r>
      </w:hyperlink>
      <w:r w:rsidRPr="004B2498">
        <w:rPr>
          <w:lang w:val="fr-FR" w:eastAsia="fr-FR" w:bidi="fr-FR"/>
        </w:rPr>
        <w:t xml:space="preserve"> [1677], trad. Raoul Lantzenberg, Paris, Flammarion [s. d. 1905/1920], p. 302.</w:t>
      </w:r>
    </w:p>
  </w:footnote>
  <w:footnote w:id="27">
    <w:p w14:paraId="0BC4C54B" w14:textId="77777777" w:rsidR="002F4063" w:rsidRDefault="002F4063">
      <w:pPr>
        <w:pStyle w:val="Notedebasdepage"/>
      </w:pPr>
      <w:r>
        <w:rPr>
          <w:rStyle w:val="Appelnotedebasdep"/>
        </w:rPr>
        <w:footnoteRef/>
      </w:r>
      <w:r>
        <w:t xml:space="preserve"> </w:t>
      </w:r>
      <w:r>
        <w:tab/>
      </w:r>
      <w:r w:rsidRPr="00D23CB8">
        <w:rPr>
          <w:lang w:eastAsia="fr-FR" w:bidi="fr-FR"/>
        </w:rPr>
        <w:t xml:space="preserve">J.-M. </w:t>
      </w:r>
      <w:r w:rsidRPr="00D23CB8">
        <w:t xml:space="preserve">Servet, </w:t>
      </w:r>
      <w:r w:rsidRPr="00D23CB8">
        <w:rPr>
          <w:i/>
          <w:iCs/>
        </w:rPr>
        <w:t>Le Grand Renversement</w:t>
      </w:r>
      <w:r w:rsidRPr="00D23CB8">
        <w:rPr>
          <w:lang w:eastAsia="fr-FR" w:bidi="fr-FR"/>
        </w:rPr>
        <w:t>, Paris, DDB, 2010, p. 39.</w:t>
      </w:r>
    </w:p>
  </w:footnote>
  <w:footnote w:id="28">
    <w:p w14:paraId="16D185D9" w14:textId="77777777" w:rsidR="002F4063" w:rsidRDefault="002F4063">
      <w:pPr>
        <w:pStyle w:val="Notedebasdepage"/>
      </w:pPr>
      <w:r>
        <w:rPr>
          <w:rStyle w:val="Appelnotedebasdep"/>
        </w:rPr>
        <w:footnoteRef/>
      </w:r>
      <w:r>
        <w:t xml:space="preserve"> </w:t>
      </w:r>
      <w:r>
        <w:tab/>
      </w:r>
      <w:r w:rsidRPr="004B2498">
        <w:rPr>
          <w:lang w:val="fr-FR" w:eastAsia="fr-FR" w:bidi="fr-FR"/>
        </w:rPr>
        <w:t xml:space="preserve">Le livre le plus étonnant de Jean </w:t>
      </w:r>
      <w:r w:rsidRPr="00812B28">
        <w:t xml:space="preserve">Bodin </w:t>
      </w:r>
      <w:r w:rsidRPr="004B2498">
        <w:rPr>
          <w:lang w:val="fr-FR" w:eastAsia="fr-FR" w:bidi="fr-FR"/>
        </w:rPr>
        <w:t xml:space="preserve">est de ce point de vue </w:t>
      </w:r>
      <w:r w:rsidRPr="00812B28">
        <w:rPr>
          <w:iCs/>
        </w:rPr>
        <w:t>De la dém</w:t>
      </w:r>
      <w:r w:rsidRPr="00812B28">
        <w:rPr>
          <w:iCs/>
        </w:rPr>
        <w:t>o</w:t>
      </w:r>
      <w:r w:rsidRPr="00812B28">
        <w:rPr>
          <w:iCs/>
        </w:rPr>
        <w:t>nomanie des sorciers</w:t>
      </w:r>
      <w:r w:rsidRPr="004B2498">
        <w:rPr>
          <w:lang w:val="fr-FR" w:eastAsia="fr-FR" w:bidi="fr-FR"/>
        </w:rPr>
        <w:t xml:space="preserve"> publié en 1587.</w:t>
      </w:r>
    </w:p>
  </w:footnote>
  <w:footnote w:id="29">
    <w:p w14:paraId="7F0880C3" w14:textId="77777777" w:rsidR="002F4063" w:rsidRDefault="002F4063">
      <w:pPr>
        <w:pStyle w:val="Notedebasdepage"/>
      </w:pPr>
      <w:r>
        <w:rPr>
          <w:rStyle w:val="Appelnotedebasdep"/>
        </w:rPr>
        <w:footnoteRef/>
      </w:r>
      <w:r>
        <w:t xml:space="preserve"> </w:t>
      </w:r>
      <w:r>
        <w:tab/>
      </w:r>
      <w:r w:rsidRPr="004B2498">
        <w:t xml:space="preserve">Voir en ce sens en France par exemple le manifeste </w:t>
      </w:r>
      <w:r w:rsidRPr="00812B28">
        <w:rPr>
          <w:i/>
        </w:rPr>
        <w:t>Vers une économie pol</w:t>
      </w:r>
      <w:r w:rsidRPr="00812B28">
        <w:rPr>
          <w:i/>
        </w:rPr>
        <w:t>i</w:t>
      </w:r>
      <w:r w:rsidRPr="00812B28">
        <w:rPr>
          <w:i/>
        </w:rPr>
        <w:t>tique institutionnaliste</w:t>
      </w:r>
      <w:r w:rsidRPr="004B2498">
        <w:t xml:space="preserve"> lancé en 2008 par Alain CAILL</w:t>
      </w:r>
      <w:r>
        <w:t>É</w:t>
      </w:r>
      <w:r w:rsidRPr="004B2498">
        <w:t xml:space="preserve"> dans le but de ra</w:t>
      </w:r>
      <w:r w:rsidRPr="004B2498">
        <w:t>p</w:t>
      </w:r>
      <w:r w:rsidRPr="004B2498">
        <w:t>procher les différents courants hétérodoxes (</w:t>
      </w:r>
      <w:hyperlink r:id="rId4" w:history="1">
        <w:r w:rsidRPr="004B2498">
          <w:rPr>
            <w:rStyle w:val="Hyperlien"/>
            <w:color w:val="auto"/>
            <w:u w:val="none"/>
          </w:rPr>
          <w:t>http://www.leconomiepolitique.fr/petition/petition_mauss.html</w:t>
        </w:r>
      </w:hyperlink>
      <w:r w:rsidRPr="004B2498">
        <w:t>) et l’appel constitutif de l’Association française d’économie politique en décembre 2009 sous la présidence d’André Orléan (</w:t>
      </w:r>
      <w:hyperlink r:id="rId5" w:history="1">
        <w:r w:rsidRPr="004B2498">
          <w:rPr>
            <w:rStyle w:val="Hyperlien"/>
            <w:color w:val="auto"/>
            <w:u w:val="none"/>
          </w:rPr>
          <w:t>http://www.assoeconomiepolitique.org/spip.php7article35</w:t>
        </w:r>
      </w:hyperlink>
      <w:r w:rsidRPr="004B2498">
        <w:t>). La diff</w:t>
      </w:r>
      <w:r w:rsidRPr="004B2498">
        <w:t>i</w:t>
      </w:r>
      <w:r w:rsidRPr="004B2498">
        <w:t>culté pour ce type de mouvements est d’aller au-delà d’une critique de la domin</w:t>
      </w:r>
      <w:r w:rsidRPr="004B2498">
        <w:t>a</w:t>
      </w:r>
      <w:r w:rsidRPr="004B2498">
        <w:t>tion du main stream et d’une revendication à la tolérance vis-à-vis des hét</w:t>
      </w:r>
      <w:r w:rsidRPr="004B2498">
        <w:t>é</w:t>
      </w:r>
      <w:r w:rsidRPr="004B2498">
        <w:t>rodoxes. Cela tient en large partie au fait que ces mouvements intellectuels sont largement détachés d’engagements dans des mouvements sociaux, au-delà des podiums de conférences ; d’où leurs oppositions avec les pratiques des chercheurs de l’économie solidaire.</w:t>
      </w:r>
    </w:p>
  </w:footnote>
  <w:footnote w:id="30">
    <w:p w14:paraId="0440BC1E" w14:textId="77777777" w:rsidR="002F4063" w:rsidRDefault="002F4063">
      <w:pPr>
        <w:pStyle w:val="Notedebasdepage"/>
      </w:pPr>
      <w:r>
        <w:rPr>
          <w:rStyle w:val="Appelnotedebasdep"/>
        </w:rPr>
        <w:footnoteRef/>
      </w:r>
      <w:r>
        <w:t xml:space="preserve"> </w:t>
      </w:r>
      <w:r>
        <w:tab/>
      </w:r>
      <w:r w:rsidRPr="004B2498">
        <w:t>Voir la relation construite entre anthropologues, historiens et économistes dans Michel AGLIETTA, André ORLEAN (éd.), 1998</w:t>
      </w:r>
      <w:r>
        <w:t> </w:t>
      </w:r>
      <w:r w:rsidRPr="004B2498">
        <w:t xml:space="preserve">: </w:t>
      </w:r>
      <w:r w:rsidRPr="00812B28">
        <w:rPr>
          <w:i/>
        </w:rPr>
        <w:t>La monnaie souv</w:t>
      </w:r>
      <w:r w:rsidRPr="00812B28">
        <w:rPr>
          <w:i/>
        </w:rPr>
        <w:t>e</w:t>
      </w:r>
      <w:r w:rsidRPr="00812B28">
        <w:rPr>
          <w:i/>
        </w:rPr>
        <w:t>raine</w:t>
      </w:r>
      <w:r w:rsidRPr="004B2498">
        <w:t xml:space="preserve">, Paris, Odile Jacob, et Bruno THÉRET (éd.), </w:t>
      </w:r>
      <w:r w:rsidRPr="00812B28">
        <w:rPr>
          <w:i/>
        </w:rPr>
        <w:t>La monnaie révélée par ses crises</w:t>
      </w:r>
      <w:r w:rsidRPr="004B2498">
        <w:t>, Paris, Éditions EHESS, 2007 et lors du colloque « Anthropologues et économistes face à la globalis</w:t>
      </w:r>
      <w:r w:rsidRPr="004B2498">
        <w:t>a</w:t>
      </w:r>
      <w:r w:rsidRPr="004B2498">
        <w:t>tion », organisé par le Centre lillois d’études et de recherches sociol</w:t>
      </w:r>
      <w:r w:rsidRPr="004B2498">
        <w:t>o</w:t>
      </w:r>
      <w:r w:rsidRPr="004B2498">
        <w:t>giques et économiques à l’université de Lille 1 les 16 et 17 mars 2006 (trois volumes parus).</w:t>
      </w:r>
    </w:p>
  </w:footnote>
  <w:footnote w:id="31">
    <w:p w14:paraId="427D875E" w14:textId="77777777" w:rsidR="002F4063" w:rsidRDefault="002F4063">
      <w:pPr>
        <w:pStyle w:val="Notedebasdepage"/>
      </w:pPr>
      <w:r>
        <w:rPr>
          <w:rStyle w:val="Appelnotedebasdep"/>
        </w:rPr>
        <w:footnoteRef/>
      </w:r>
      <w:r>
        <w:t xml:space="preserve"> </w:t>
      </w:r>
      <w:r>
        <w:tab/>
      </w:r>
      <w:r w:rsidRPr="004B2498">
        <w:t>Parmi les multiples contributions dans ce champ voir par exemple les no</w:t>
      </w:r>
      <w:r w:rsidRPr="004B2498">
        <w:t>m</w:t>
      </w:r>
      <w:r w:rsidRPr="004B2498">
        <w:t>breux travaux dans la collection « Genre et Dévelo</w:t>
      </w:r>
      <w:r w:rsidRPr="004B2498">
        <w:t>p</w:t>
      </w:r>
      <w:r w:rsidRPr="004B2498">
        <w:t>pement » publiée chez L’Harmattan depuis 2000.</w:t>
      </w:r>
    </w:p>
  </w:footnote>
  <w:footnote w:id="32">
    <w:p w14:paraId="64BEEB07" w14:textId="77777777" w:rsidR="002F4063" w:rsidRDefault="002F4063">
      <w:pPr>
        <w:pStyle w:val="Notedebasdepage"/>
      </w:pPr>
      <w:r>
        <w:rPr>
          <w:rStyle w:val="Appelnotedebasdep"/>
        </w:rPr>
        <w:footnoteRef/>
      </w:r>
      <w:r>
        <w:t xml:space="preserve"> </w:t>
      </w:r>
      <w:r>
        <w:tab/>
      </w:r>
      <w:r w:rsidRPr="004B2498">
        <w:t>Sur ces différentes phases, voir notamment Christine VER</w:t>
      </w:r>
      <w:r w:rsidRPr="004B2498">
        <w:t>S</w:t>
      </w:r>
      <w:r w:rsidRPr="004B2498">
        <w:t>CHUUR : « Quel genre ? Résistances et mésententes autour du mot genre dans le dév</w:t>
      </w:r>
      <w:r w:rsidRPr="004B2498">
        <w:t>e</w:t>
      </w:r>
      <w:r w:rsidRPr="004B2498">
        <w:t xml:space="preserve">loppement », </w:t>
      </w:r>
      <w:r w:rsidRPr="00812B28">
        <w:rPr>
          <w:i/>
        </w:rPr>
        <w:t>Revue Tiers Monde</w:t>
      </w:r>
      <w:r w:rsidRPr="004B2498">
        <w:t>, n° 200, oct.-déc. 2009.</w:t>
      </w:r>
    </w:p>
  </w:footnote>
  <w:footnote w:id="33">
    <w:p w14:paraId="0B4B4922" w14:textId="77777777" w:rsidR="002F4063" w:rsidRDefault="002F4063">
      <w:pPr>
        <w:pStyle w:val="Notedebasdepage"/>
      </w:pPr>
      <w:r>
        <w:rPr>
          <w:rStyle w:val="Appelnotedebasdep"/>
        </w:rPr>
        <w:footnoteRef/>
      </w:r>
      <w:r>
        <w:t xml:space="preserve"> </w:t>
      </w:r>
      <w:r>
        <w:tab/>
      </w:r>
      <w:r w:rsidRPr="004B2498">
        <w:t>Certains courants mettent en avant les risques environnementaux du produ</w:t>
      </w:r>
      <w:r w:rsidRPr="004B2498">
        <w:t>c</w:t>
      </w:r>
      <w:r w:rsidRPr="004B2498">
        <w:t>tivisme compte tenu d’un épuisement des ressources non renouvelables et des changements négatifs de l’environnement. D’autres considèrent l’économie comme un sous-système de la bio</w:t>
      </w:r>
      <w:r w:rsidRPr="004B2498">
        <w:t>s</w:t>
      </w:r>
      <w:r w:rsidRPr="004B2498">
        <w:t>phère où les humains ne sont qu’une espèce vivante parmi l’ensemble des espèces qui font partie du p</w:t>
      </w:r>
      <w:r w:rsidRPr="004B2498">
        <w:t>a</w:t>
      </w:r>
      <w:r w:rsidRPr="004B2498">
        <w:t>trimoine global indépendamment des humains. On peut rapprocher cette a</w:t>
      </w:r>
      <w:r w:rsidRPr="004B2498">
        <w:t>p</w:t>
      </w:r>
      <w:r w:rsidRPr="004B2498">
        <w:t>proche antidéveloppement de celle de Gilbert Rist ou de Serge Latouche qui critiquent l’occidentalisation du monde comme destruction de la diversité socioculturelle. Les deux positions ne s’opposent pas. Elles sont compl</w:t>
      </w:r>
      <w:r w:rsidRPr="004B2498">
        <w:t>é</w:t>
      </w:r>
      <w:r w:rsidRPr="004B2498">
        <w:t>mentaires en partant d’une constitution disciplinaire différente : ass</w:t>
      </w:r>
      <w:r w:rsidRPr="004B2498">
        <w:t>o</w:t>
      </w:r>
      <w:r w:rsidRPr="004B2498">
        <w:t>ciation de sciences sociales aux sciences dites « de la nature », de la physique - en particulier la thermodynamique - pour le premier co</w:t>
      </w:r>
      <w:r w:rsidRPr="004B2498">
        <w:t>u</w:t>
      </w:r>
      <w:r w:rsidRPr="004B2498">
        <w:t>rant</w:t>
      </w:r>
      <w:r>
        <w:t> </w:t>
      </w:r>
      <w:r w:rsidRPr="004B2498">
        <w:t>; critique de l’économisme par l’anthropologie pour le second courant.</w:t>
      </w:r>
    </w:p>
  </w:footnote>
  <w:footnote w:id="34">
    <w:p w14:paraId="62414BCE" w14:textId="77777777" w:rsidR="002F4063" w:rsidRDefault="002F4063">
      <w:pPr>
        <w:pStyle w:val="Notedebasdepage"/>
      </w:pPr>
      <w:r>
        <w:rPr>
          <w:rStyle w:val="Appelnotedebasdep"/>
        </w:rPr>
        <w:footnoteRef/>
      </w:r>
      <w:r>
        <w:t xml:space="preserve"> </w:t>
      </w:r>
      <w:r>
        <w:tab/>
      </w:r>
      <w:r w:rsidRPr="004B2498">
        <w:t xml:space="preserve">À la suite de Nicholas GEORGESCU-ROEGEN : </w:t>
      </w:r>
      <w:hyperlink r:id="rId6" w:history="1">
        <w:r w:rsidRPr="00812B28">
          <w:rPr>
            <w:rStyle w:val="Hyperlien"/>
            <w:i/>
          </w:rPr>
          <w:t>Demain la décroissance. Entropie-écologie-économie</w:t>
        </w:r>
      </w:hyperlink>
      <w:r w:rsidRPr="004B2498">
        <w:t>, Paris/Lausanne, Favre, 1979, voir Jacques GRINEVALD</w:t>
      </w:r>
      <w:r>
        <w:t> </w:t>
      </w:r>
      <w:r w:rsidRPr="004B2498">
        <w:t xml:space="preserve">: </w:t>
      </w:r>
      <w:r w:rsidRPr="00812B28">
        <w:rPr>
          <w:i/>
        </w:rPr>
        <w:t>La Biosphère de l'anthropocène</w:t>
      </w:r>
      <w:r w:rsidRPr="004B2498">
        <w:t>, Genève, Georg, 2007.</w:t>
      </w:r>
    </w:p>
  </w:footnote>
  <w:footnote w:id="35">
    <w:p w14:paraId="7E060F59" w14:textId="77777777" w:rsidR="002F4063" w:rsidRDefault="002F4063">
      <w:pPr>
        <w:pStyle w:val="Notedebasdepage"/>
      </w:pPr>
      <w:r>
        <w:rPr>
          <w:rStyle w:val="Appelnotedebasdep"/>
        </w:rPr>
        <w:footnoteRef/>
      </w:r>
      <w:r>
        <w:t xml:space="preserve"> </w:t>
      </w:r>
      <w:r>
        <w:tab/>
      </w:r>
      <w:r w:rsidRPr="004B2498">
        <w:t>Parmi ces auteurs on peut citer Jean-Baptiste Say, etc. ; voir les travaux m</w:t>
      </w:r>
      <w:r w:rsidRPr="004B2498">
        <w:t>e</w:t>
      </w:r>
      <w:r w:rsidRPr="004B2498">
        <w:t>nés autour de cet auteur par André TIRAN (université Lumière Lyon 2, n</w:t>
      </w:r>
      <w:r w:rsidRPr="004B2498">
        <w:t>o</w:t>
      </w:r>
      <w:r w:rsidRPr="004B2498">
        <w:t xml:space="preserve">tamment </w:t>
      </w:r>
      <w:r w:rsidRPr="00812B28">
        <w:rPr>
          <w:i/>
        </w:rPr>
        <w:t>Jean-Baptiste Say : Influences, critiques et postérité</w:t>
      </w:r>
      <w:r w:rsidRPr="004B2498">
        <w:t>, Paris, Ga</w:t>
      </w:r>
      <w:r w:rsidRPr="004B2498">
        <w:t>r</w:t>
      </w:r>
      <w:r w:rsidRPr="004B2498">
        <w:t xml:space="preserve">nier, 2010 ; et parmi les quatorze volumes de Georges GUSDORF, </w:t>
      </w:r>
      <w:hyperlink r:id="rId7" w:history="1">
        <w:r w:rsidRPr="00812B28">
          <w:rPr>
            <w:rStyle w:val="Hyperlien"/>
            <w:i/>
          </w:rPr>
          <w:t>Les Sciences humaines et la pensée occidentale</w:t>
        </w:r>
      </w:hyperlink>
      <w:r w:rsidRPr="004B2498">
        <w:t>, Genève, Payot, 1966-1988, c</w:t>
      </w:r>
      <w:r w:rsidRPr="004B2498">
        <w:t>e</w:t>
      </w:r>
      <w:r w:rsidRPr="004B2498">
        <w:t>lui consacré aux idéologues (tome VIII, 1978).</w:t>
      </w:r>
    </w:p>
  </w:footnote>
  <w:footnote w:id="36">
    <w:p w14:paraId="4987D0A7" w14:textId="77777777" w:rsidR="002F4063" w:rsidRDefault="002F4063">
      <w:pPr>
        <w:pStyle w:val="Notedebasdepage"/>
      </w:pPr>
      <w:r>
        <w:rPr>
          <w:rStyle w:val="Appelnotedebasdep"/>
        </w:rPr>
        <w:footnoteRef/>
      </w:r>
      <w:r>
        <w:t xml:space="preserve"> </w:t>
      </w:r>
      <w:r>
        <w:tab/>
      </w:r>
      <w:r w:rsidRPr="004B2498">
        <w:t>Voir par exemple la réflexion menée autour de Jean PIAGET dans le projet UNESCO édité par Mouton (les contributions de Jean Piaget ont été reprises dans la collection « Idées » Gallimard).</w:t>
      </w:r>
    </w:p>
  </w:footnote>
  <w:footnote w:id="37">
    <w:p w14:paraId="7A5C724D" w14:textId="77777777" w:rsidR="002F4063" w:rsidRDefault="002F4063">
      <w:pPr>
        <w:pStyle w:val="Notedebasdepage"/>
      </w:pPr>
      <w:r>
        <w:rPr>
          <w:rStyle w:val="Appelnotedebasdep"/>
        </w:rPr>
        <w:footnoteRef/>
      </w:r>
      <w:r>
        <w:t xml:space="preserve"> </w:t>
      </w:r>
      <w:r>
        <w:tab/>
      </w:r>
      <w:r w:rsidRPr="004B2498">
        <w:rPr>
          <w:lang w:val="fr-FR" w:eastAsia="fr-FR" w:bidi="fr-FR"/>
        </w:rPr>
        <w:t xml:space="preserve">José </w:t>
      </w:r>
      <w:r w:rsidRPr="00D23CB8">
        <w:t xml:space="preserve">Ortega </w:t>
      </w:r>
      <w:r w:rsidRPr="004B2498">
        <w:rPr>
          <w:lang w:val="fr-FR" w:eastAsia="fr-FR" w:bidi="fr-FR"/>
        </w:rPr>
        <w:t xml:space="preserve">y </w:t>
      </w:r>
      <w:r w:rsidRPr="00D23CB8">
        <w:t xml:space="preserve">Gasset </w:t>
      </w:r>
      <w:r w:rsidRPr="004B2498">
        <w:rPr>
          <w:lang w:val="fr-FR" w:eastAsia="fr-FR" w:bidi="fr-FR"/>
        </w:rPr>
        <w:t xml:space="preserve">: </w:t>
      </w:r>
      <w:r w:rsidRPr="00D23CB8">
        <w:rPr>
          <w:i/>
          <w:iCs/>
        </w:rPr>
        <w:t>La Révolte des masses</w:t>
      </w:r>
      <w:r w:rsidRPr="004B2498">
        <w:rPr>
          <w:lang w:val="fr-FR" w:eastAsia="fr-FR" w:bidi="fr-FR"/>
        </w:rPr>
        <w:t xml:space="preserve"> [1930], Gallimard, co</w:t>
      </w:r>
      <w:r w:rsidRPr="004B2498">
        <w:rPr>
          <w:lang w:val="fr-FR" w:eastAsia="fr-FR" w:bidi="fr-FR"/>
        </w:rPr>
        <w:t>l</w:t>
      </w:r>
      <w:r w:rsidRPr="004B2498">
        <w:rPr>
          <w:lang w:val="fr-FR" w:eastAsia="fr-FR" w:bidi="fr-FR"/>
        </w:rPr>
        <w:t>lection « Idées », 1967, p. 162.</w:t>
      </w:r>
    </w:p>
  </w:footnote>
  <w:footnote w:id="38">
    <w:p w14:paraId="4799F9CB" w14:textId="77777777" w:rsidR="002F4063" w:rsidRDefault="002F4063">
      <w:pPr>
        <w:pStyle w:val="Notedebasdepage"/>
      </w:pPr>
      <w:r>
        <w:rPr>
          <w:rStyle w:val="Appelnotedebasdep"/>
        </w:rPr>
        <w:footnoteRef/>
      </w:r>
      <w:r>
        <w:t xml:space="preserve"> </w:t>
      </w:r>
      <w:r>
        <w:tab/>
      </w:r>
      <w:r w:rsidRPr="004B2498">
        <w:t xml:space="preserve">La fondation Charles Léopold Mayer pour le Progrès de l’Homme soutient depuis 1982 de nombreux éclaireurs en ce domaine. Voir Pierre CALAME : </w:t>
      </w:r>
      <w:r w:rsidRPr="00812B28">
        <w:rPr>
          <w:i/>
        </w:rPr>
        <w:t>Essai sur l’Économie</w:t>
      </w:r>
      <w:r w:rsidRPr="004B2498">
        <w:t>, Paris, Éd. Charles Lé</w:t>
      </w:r>
      <w:r w:rsidRPr="004B2498">
        <w:t>o</w:t>
      </w:r>
      <w:r w:rsidRPr="004B2498">
        <w:t>pold Mayer, 2009, 608 p.</w:t>
      </w:r>
    </w:p>
  </w:footnote>
  <w:footnote w:id="39">
    <w:p w14:paraId="7910CA77" w14:textId="77777777" w:rsidR="002F4063" w:rsidRDefault="002F4063">
      <w:pPr>
        <w:pStyle w:val="Notedebasdepage"/>
      </w:pPr>
      <w:r>
        <w:rPr>
          <w:rStyle w:val="Appelnotedebasdep"/>
        </w:rPr>
        <w:footnoteRef/>
      </w:r>
      <w:r>
        <w:t xml:space="preserve"> </w:t>
      </w:r>
      <w:r>
        <w:tab/>
      </w:r>
      <w:r w:rsidRPr="004B2498">
        <w:t>Le terme « évolutionnisme » ne renvoie pas ici au courant de pensée actuel particulier de certains économistes, mais au sens hab</w:t>
      </w:r>
      <w:r w:rsidRPr="004B2498">
        <w:t>i</w:t>
      </w:r>
      <w:r w:rsidRPr="004B2498">
        <w:t>tuel qu’on lui donne.</w:t>
      </w:r>
    </w:p>
  </w:footnote>
  <w:footnote w:id="40">
    <w:p w14:paraId="143442C0" w14:textId="77777777" w:rsidR="002F4063" w:rsidRDefault="002F4063">
      <w:pPr>
        <w:pStyle w:val="Notedebasdepage"/>
      </w:pPr>
      <w:r>
        <w:rPr>
          <w:rStyle w:val="Appelnotedebasdep"/>
        </w:rPr>
        <w:footnoteRef/>
      </w:r>
      <w:r>
        <w:t xml:space="preserve"> </w:t>
      </w:r>
      <w:r>
        <w:tab/>
      </w:r>
      <w:r w:rsidRPr="004B2498">
        <w:t>Ayant pour chef de file Alain Caillé.</w:t>
      </w:r>
    </w:p>
  </w:footnote>
  <w:footnote w:id="41">
    <w:p w14:paraId="33F17B9E" w14:textId="77777777" w:rsidR="002F4063" w:rsidRDefault="002F4063">
      <w:pPr>
        <w:pStyle w:val="Notedebasdepage"/>
      </w:pPr>
      <w:r>
        <w:rPr>
          <w:rStyle w:val="Appelnotedebasdep"/>
        </w:rPr>
        <w:footnoteRef/>
      </w:r>
      <w:r>
        <w:t xml:space="preserve"> </w:t>
      </w:r>
      <w:r>
        <w:tab/>
      </w:r>
      <w:r w:rsidRPr="004B2498">
        <w:t>Un certain nombre de chercheurs et d’universitaires proches de l’ESS pe</w:t>
      </w:r>
      <w:r w:rsidRPr="004B2498">
        <w:t>u</w:t>
      </w:r>
      <w:r w:rsidRPr="004B2498">
        <w:t>vent être mentionnés, même s’ils se placent sur un registre sémantique diff</w:t>
      </w:r>
      <w:r w:rsidRPr="004B2498">
        <w:t>é</w:t>
      </w:r>
      <w:r w:rsidRPr="004B2498">
        <w:t xml:space="preserve">rent (Darbus, 2009). On pense par exemple à des chercheurs de </w:t>
      </w:r>
      <w:r w:rsidRPr="001F4428">
        <w:rPr>
          <w:i/>
        </w:rPr>
        <w:t>La Revue du MAUSS</w:t>
      </w:r>
      <w:r w:rsidRPr="004B2498">
        <w:t xml:space="preserve"> et d’</w:t>
      </w:r>
      <w:r w:rsidRPr="001F4428">
        <w:rPr>
          <w:i/>
        </w:rPr>
        <w:t>Esprit</w:t>
      </w:r>
      <w:r w:rsidRPr="004B2498">
        <w:t xml:space="preserve"> tels que Philippe Ch</w:t>
      </w:r>
      <w:r w:rsidRPr="004B2498">
        <w:t>a</w:t>
      </w:r>
      <w:r w:rsidRPr="004B2498">
        <w:t>nial (2008), et à Sylvain Dzimira (Chanial et Dzimira, 2008 ; Ca</w:t>
      </w:r>
      <w:r w:rsidRPr="004B2498">
        <w:t>r</w:t>
      </w:r>
      <w:r w:rsidRPr="004B2498">
        <w:t>vaho et Dzimira, 2000), Alain Caillé, Guy Roustang, Danièle D</w:t>
      </w:r>
      <w:r w:rsidRPr="004B2498">
        <w:t>e</w:t>
      </w:r>
      <w:r w:rsidRPr="004B2498">
        <w:t>moustier, Jean François Draperi, ou encore Jean-Michel Servet.</w:t>
      </w:r>
    </w:p>
  </w:footnote>
  <w:footnote w:id="42">
    <w:p w14:paraId="52203B42" w14:textId="77777777" w:rsidR="002F4063" w:rsidRDefault="002F4063">
      <w:pPr>
        <w:pStyle w:val="Notedebasdepage"/>
      </w:pPr>
      <w:r>
        <w:rPr>
          <w:rStyle w:val="Appelnotedebasdep"/>
        </w:rPr>
        <w:footnoteRef/>
      </w:r>
      <w:r>
        <w:t xml:space="preserve"> </w:t>
      </w:r>
      <w:r>
        <w:tab/>
      </w:r>
      <w:hyperlink r:id="rId8" w:history="1">
        <w:r w:rsidRPr="004B2498">
          <w:rPr>
            <w:rStyle w:val="Hyperlien"/>
            <w:color w:val="auto"/>
            <w:u w:val="none"/>
          </w:rPr>
          <w:t>www.riless.ungs.edu.ar</w:t>
        </w:r>
      </w:hyperlink>
    </w:p>
  </w:footnote>
  <w:footnote w:id="43">
    <w:p w14:paraId="398E2B2B" w14:textId="77777777" w:rsidR="002F4063" w:rsidRDefault="002F4063">
      <w:pPr>
        <w:pStyle w:val="Notedebasdepage"/>
      </w:pPr>
      <w:r>
        <w:rPr>
          <w:rStyle w:val="Appelnotedebasdep"/>
        </w:rPr>
        <w:footnoteRef/>
      </w:r>
      <w:r>
        <w:t xml:space="preserve"> </w:t>
      </w:r>
      <w:r>
        <w:tab/>
      </w:r>
      <w:hyperlink r:id="rId9" w:history="1">
        <w:r w:rsidRPr="004B2498">
          <w:rPr>
            <w:rStyle w:val="Hyperlien"/>
            <w:color w:val="auto"/>
            <w:u w:val="none"/>
          </w:rPr>
          <w:t>http://www.socioeco.org</w:t>
        </w:r>
      </w:hyperlink>
      <w:r w:rsidRPr="004B2498">
        <w:t xml:space="preserve"> </w:t>
      </w:r>
    </w:p>
  </w:footnote>
  <w:footnote w:id="44">
    <w:p w14:paraId="1E1AE272" w14:textId="77777777" w:rsidR="002F4063" w:rsidRDefault="002F4063">
      <w:pPr>
        <w:pStyle w:val="Notedebasdepage"/>
      </w:pPr>
      <w:r>
        <w:rPr>
          <w:rStyle w:val="Appelnotedebasdep"/>
        </w:rPr>
        <w:footnoteRef/>
      </w:r>
      <w:r>
        <w:t xml:space="preserve"> </w:t>
      </w:r>
      <w:r>
        <w:tab/>
      </w:r>
      <w:hyperlink r:id="rId10" w:history="1">
        <w:r w:rsidRPr="004B2498">
          <w:rPr>
            <w:rStyle w:val="Hyperlien"/>
            <w:color w:val="auto"/>
            <w:u w:val="none"/>
          </w:rPr>
          <w:t>http://www.ripess.net</w:t>
        </w:r>
      </w:hyperlink>
      <w:r w:rsidRPr="004B2498">
        <w:t>.</w:t>
      </w:r>
    </w:p>
  </w:footnote>
  <w:footnote w:id="45">
    <w:p w14:paraId="086DF061" w14:textId="77777777" w:rsidR="002F4063" w:rsidRDefault="002F4063">
      <w:pPr>
        <w:pStyle w:val="Notedebasdepage"/>
      </w:pPr>
      <w:r>
        <w:rPr>
          <w:rStyle w:val="Appelnotedebasdep"/>
        </w:rPr>
        <w:footnoteRef/>
      </w:r>
      <w:r>
        <w:t xml:space="preserve"> </w:t>
      </w:r>
      <w:r>
        <w:tab/>
      </w:r>
      <w:r w:rsidRPr="004B2498">
        <w:rPr>
          <w:lang w:val="fr-FR" w:eastAsia="fr-FR" w:bidi="fr-FR"/>
        </w:rPr>
        <w:t>Même si l’ouvrage est dirigé par les partisans de l’économie sociale et sol</w:t>
      </w:r>
      <w:r w:rsidRPr="004B2498">
        <w:rPr>
          <w:lang w:val="fr-FR" w:eastAsia="fr-FR" w:bidi="fr-FR"/>
        </w:rPr>
        <w:t>i</w:t>
      </w:r>
      <w:r w:rsidRPr="004B2498">
        <w:rPr>
          <w:lang w:val="fr-FR" w:eastAsia="fr-FR" w:bidi="fr-FR"/>
        </w:rPr>
        <w:t>daire, il ne se limite pas à présenter l’approche théorique de l’économie s</w:t>
      </w:r>
      <w:r w:rsidRPr="004B2498">
        <w:rPr>
          <w:lang w:val="fr-FR" w:eastAsia="fr-FR" w:bidi="fr-FR"/>
        </w:rPr>
        <w:t>o</w:t>
      </w:r>
      <w:r w:rsidRPr="004B2498">
        <w:rPr>
          <w:lang w:val="fr-FR" w:eastAsia="fr-FR" w:bidi="fr-FR"/>
        </w:rPr>
        <w:t>ciale et solidaire. Il intègre également l’ensemble des conceptions théoriques et pratiques alternatives au modèle économ</w:t>
      </w:r>
      <w:r w:rsidRPr="004B2498">
        <w:rPr>
          <w:lang w:val="fr-FR" w:eastAsia="fr-FR" w:bidi="fr-FR"/>
        </w:rPr>
        <w:t>i</w:t>
      </w:r>
      <w:r w:rsidRPr="004B2498">
        <w:rPr>
          <w:lang w:val="fr-FR" w:eastAsia="fr-FR" w:bidi="fr-FR"/>
        </w:rPr>
        <w:t>que néolibéral (d’où le nom «l’autre écon</w:t>
      </w:r>
      <w:r w:rsidRPr="004B2498">
        <w:rPr>
          <w:lang w:val="fr-FR" w:eastAsia="fr-FR" w:bidi="fr-FR"/>
        </w:rPr>
        <w:t>o</w:t>
      </w:r>
      <w:r w:rsidRPr="004B2498">
        <w:rPr>
          <w:lang w:val="fr-FR" w:eastAsia="fr-FR" w:bidi="fr-FR"/>
        </w:rPr>
        <w:t>mie») telles que l’économie des conventions, ou encore l’école de la régulation. Dans ce qui suit, seules les rubriques faisant réf</w:t>
      </w:r>
      <w:r w:rsidRPr="004B2498">
        <w:rPr>
          <w:lang w:val="fr-FR" w:eastAsia="fr-FR" w:bidi="fr-FR"/>
        </w:rPr>
        <w:t>é</w:t>
      </w:r>
      <w:r w:rsidRPr="004B2498">
        <w:rPr>
          <w:lang w:val="fr-FR" w:eastAsia="fr-FR" w:bidi="fr-FR"/>
        </w:rPr>
        <w:t>rence au registre de l’économie sol</w:t>
      </w:r>
      <w:r w:rsidRPr="004B2498">
        <w:rPr>
          <w:lang w:val="fr-FR" w:eastAsia="fr-FR" w:bidi="fr-FR"/>
        </w:rPr>
        <w:t>i</w:t>
      </w:r>
      <w:r w:rsidRPr="004B2498">
        <w:rPr>
          <w:lang w:val="fr-FR" w:eastAsia="fr-FR" w:bidi="fr-FR"/>
        </w:rPr>
        <w:t>daire sont prises en compte.</w:t>
      </w:r>
    </w:p>
  </w:footnote>
  <w:footnote w:id="46">
    <w:p w14:paraId="7CAB7F38" w14:textId="77777777" w:rsidR="002F4063" w:rsidRDefault="002F4063">
      <w:pPr>
        <w:pStyle w:val="Notedebasdepage"/>
      </w:pPr>
      <w:r>
        <w:rPr>
          <w:rStyle w:val="Appelnotedebasdep"/>
        </w:rPr>
        <w:footnoteRef/>
      </w:r>
      <w:r>
        <w:t xml:space="preserve"> </w:t>
      </w:r>
      <w:r>
        <w:tab/>
      </w:r>
      <w:r w:rsidRPr="001F4428">
        <w:rPr>
          <w:i/>
          <w:iCs/>
        </w:rPr>
        <w:t>Ibidem</w:t>
      </w:r>
      <w:r w:rsidRPr="004B2498">
        <w:rPr>
          <w:lang w:val="fr-FR" w:eastAsia="fr-FR" w:bidi="fr-FR"/>
        </w:rPr>
        <w:t>, p. 303.</w:t>
      </w:r>
    </w:p>
  </w:footnote>
  <w:footnote w:id="47">
    <w:p w14:paraId="5A3C7A35" w14:textId="77777777" w:rsidR="002F4063" w:rsidRDefault="002F4063">
      <w:pPr>
        <w:pStyle w:val="Notedebasdepage"/>
      </w:pPr>
      <w:r>
        <w:rPr>
          <w:rStyle w:val="Appelnotedebasdep"/>
        </w:rPr>
        <w:footnoteRef/>
      </w:r>
      <w:r>
        <w:t xml:space="preserve"> </w:t>
      </w:r>
      <w:r>
        <w:tab/>
      </w:r>
      <w:r w:rsidRPr="004B2498">
        <w:rPr>
          <w:lang w:val="fr-FR" w:eastAsia="fr-FR" w:bidi="fr-FR"/>
        </w:rPr>
        <w:t>Pour une mise en perspective de ces divergences, lire en particulier F</w:t>
      </w:r>
      <w:r w:rsidRPr="004B2498">
        <w:rPr>
          <w:lang w:val="fr-FR" w:eastAsia="fr-FR" w:bidi="fr-FR"/>
        </w:rPr>
        <w:t>a</w:t>
      </w:r>
      <w:r w:rsidRPr="004B2498">
        <w:rPr>
          <w:lang w:val="fr-FR" w:eastAsia="fr-FR" w:bidi="fr-FR"/>
        </w:rPr>
        <w:t xml:space="preserve">vreau </w:t>
      </w:r>
      <w:r w:rsidRPr="001F4428">
        <w:rPr>
          <w:iCs/>
        </w:rPr>
        <w:t>et al.,</w:t>
      </w:r>
      <w:r w:rsidRPr="004B2498">
        <w:rPr>
          <w:lang w:val="fr-FR" w:eastAsia="fr-FR" w:bidi="fr-FR"/>
        </w:rPr>
        <w:t xml:space="preserve"> 2003.</w:t>
      </w:r>
    </w:p>
  </w:footnote>
  <w:footnote w:id="48">
    <w:p w14:paraId="5D292EA0" w14:textId="77777777" w:rsidR="002F4063" w:rsidRDefault="002F4063">
      <w:pPr>
        <w:pStyle w:val="Notedebasdepage"/>
      </w:pPr>
      <w:r>
        <w:rPr>
          <w:rStyle w:val="Appelnotedebasdep"/>
        </w:rPr>
        <w:footnoteRef/>
      </w:r>
      <w:r>
        <w:t xml:space="preserve"> </w:t>
      </w:r>
      <w:r>
        <w:tab/>
      </w:r>
      <w:r w:rsidRPr="001F4428">
        <w:rPr>
          <w:i/>
          <w:iCs/>
        </w:rPr>
        <w:t>Ibidem</w:t>
      </w:r>
      <w:r w:rsidRPr="001F4428">
        <w:rPr>
          <w:iCs/>
        </w:rPr>
        <w:t>,</w:t>
      </w:r>
      <w:r w:rsidRPr="004B2498">
        <w:rPr>
          <w:lang w:val="fr-FR" w:eastAsia="fr-FR" w:bidi="fr-FR"/>
        </w:rPr>
        <w:t xml:space="preserve"> p. 291.</w:t>
      </w:r>
    </w:p>
  </w:footnote>
  <w:footnote w:id="49">
    <w:p w14:paraId="0FEE9522" w14:textId="77777777" w:rsidR="002F4063" w:rsidRDefault="002F4063">
      <w:pPr>
        <w:pStyle w:val="Notedebasdepage"/>
      </w:pPr>
      <w:r>
        <w:rPr>
          <w:rStyle w:val="Appelnotedebasdep"/>
        </w:rPr>
        <w:footnoteRef/>
      </w:r>
      <w:r>
        <w:t xml:space="preserve"> </w:t>
      </w:r>
      <w:r>
        <w:tab/>
      </w:r>
      <w:r w:rsidRPr="00D23CB8">
        <w:rPr>
          <w:i/>
        </w:rPr>
        <w:t>Ibidem</w:t>
      </w:r>
      <w:r w:rsidRPr="004B2498">
        <w:t>, p. 290.</w:t>
      </w:r>
    </w:p>
  </w:footnote>
  <w:footnote w:id="50">
    <w:p w14:paraId="4EDBE722" w14:textId="77777777" w:rsidR="002F4063" w:rsidRDefault="002F4063">
      <w:pPr>
        <w:pStyle w:val="Notedebasdepage"/>
      </w:pPr>
      <w:r>
        <w:rPr>
          <w:rStyle w:val="Appelnotedebasdep"/>
        </w:rPr>
        <w:footnoteRef/>
      </w:r>
      <w:r>
        <w:t xml:space="preserve"> </w:t>
      </w:r>
      <w:r>
        <w:tab/>
      </w:r>
      <w:r w:rsidRPr="00D23CB8">
        <w:rPr>
          <w:i/>
        </w:rPr>
        <w:t>Ibidem</w:t>
      </w:r>
      <w:r w:rsidRPr="004B2498">
        <w:t>, p. 300.</w:t>
      </w:r>
    </w:p>
  </w:footnote>
  <w:footnote w:id="51">
    <w:p w14:paraId="653EDC84" w14:textId="77777777" w:rsidR="002F4063" w:rsidRDefault="002F4063">
      <w:pPr>
        <w:pStyle w:val="Notedebasdepage"/>
      </w:pPr>
      <w:r>
        <w:rPr>
          <w:rStyle w:val="Appelnotedebasdep"/>
        </w:rPr>
        <w:footnoteRef/>
      </w:r>
      <w:r>
        <w:t xml:space="preserve"> </w:t>
      </w:r>
      <w:r>
        <w:tab/>
      </w:r>
      <w:r w:rsidRPr="004B2498">
        <w:t>Chanial et Laville, 2002, p. 20.</w:t>
      </w:r>
    </w:p>
  </w:footnote>
  <w:footnote w:id="52">
    <w:p w14:paraId="379E93A3" w14:textId="77777777" w:rsidR="002F4063" w:rsidRDefault="002F4063">
      <w:pPr>
        <w:pStyle w:val="Notedebasdepage"/>
      </w:pPr>
      <w:r>
        <w:rPr>
          <w:rStyle w:val="Appelnotedebasdep"/>
        </w:rPr>
        <w:footnoteRef/>
      </w:r>
      <w:r>
        <w:t xml:space="preserve"> </w:t>
      </w:r>
      <w:r>
        <w:tab/>
      </w:r>
      <w:r w:rsidRPr="004B2498">
        <w:t>Le caractère volontaire de la solidarité est revendiqué dans bon nombre de définitions. On peut citer par exemple celle de la finance solidaire : « Finance de proximité, microcrédit ou microfinance, notions utilisées fr</w:t>
      </w:r>
      <w:r w:rsidRPr="004B2498">
        <w:t>é</w:t>
      </w:r>
      <w:r w:rsidRPr="004B2498">
        <w:t>quemment, ont des définitions voisines de la finance solidaire. [...] Cepe</w:t>
      </w:r>
      <w:r w:rsidRPr="004B2498">
        <w:t>n</w:t>
      </w:r>
      <w:r w:rsidRPr="004B2498">
        <w:t>dant, le terme de finance solidaire est ici préféré parce qu’il met bien en v</w:t>
      </w:r>
      <w:r w:rsidRPr="004B2498">
        <w:t>a</w:t>
      </w:r>
      <w:r w:rsidRPr="004B2498">
        <w:t>leur la solidarité volontaire » (Ferraton, 2006, p. 420).</w:t>
      </w:r>
    </w:p>
  </w:footnote>
  <w:footnote w:id="53">
    <w:p w14:paraId="5992AC54" w14:textId="77777777" w:rsidR="002F4063" w:rsidRDefault="002F4063">
      <w:pPr>
        <w:pStyle w:val="Notedebasdepage"/>
      </w:pPr>
      <w:r>
        <w:rPr>
          <w:rStyle w:val="Appelnotedebasdep"/>
        </w:rPr>
        <w:footnoteRef/>
      </w:r>
      <w:r>
        <w:t xml:space="preserve"> </w:t>
      </w:r>
      <w:r>
        <w:tab/>
      </w:r>
      <w:r w:rsidRPr="004B2498">
        <w:t>L’économie solidaire se démarque ainsi de la conception de la solidarité telle qu’elle est pensée par le solidarisme.</w:t>
      </w:r>
    </w:p>
  </w:footnote>
  <w:footnote w:id="54">
    <w:p w14:paraId="6AEA03BB" w14:textId="77777777" w:rsidR="002F4063" w:rsidRDefault="002F4063">
      <w:pPr>
        <w:pStyle w:val="Notedebasdepage"/>
      </w:pPr>
      <w:r>
        <w:rPr>
          <w:rStyle w:val="Appelnotedebasdep"/>
        </w:rPr>
        <w:footnoteRef/>
      </w:r>
      <w:r>
        <w:t xml:space="preserve"> </w:t>
      </w:r>
      <w:r>
        <w:tab/>
      </w:r>
      <w:r w:rsidRPr="004B2498">
        <w:t>Chanial et Laville, 2002; Laville, 2006, p. 609.</w:t>
      </w:r>
    </w:p>
  </w:footnote>
  <w:footnote w:id="55">
    <w:p w14:paraId="2E9E0862" w14:textId="77777777" w:rsidR="002F4063" w:rsidRDefault="002F4063">
      <w:pPr>
        <w:pStyle w:val="Notedebasdepage"/>
      </w:pPr>
      <w:r>
        <w:rPr>
          <w:rStyle w:val="Appelnotedebasdep"/>
        </w:rPr>
        <w:footnoteRef/>
      </w:r>
      <w:r>
        <w:t xml:space="preserve"> </w:t>
      </w:r>
      <w:r>
        <w:tab/>
      </w:r>
      <w:r w:rsidRPr="004B2498">
        <w:t>Fraisse et al., 2007, p. 250.</w:t>
      </w:r>
    </w:p>
  </w:footnote>
  <w:footnote w:id="56">
    <w:p w14:paraId="7FB45D5B" w14:textId="77777777" w:rsidR="002F4063" w:rsidRDefault="002F4063">
      <w:pPr>
        <w:pStyle w:val="Notedebasdepage"/>
      </w:pPr>
      <w:r>
        <w:rPr>
          <w:rStyle w:val="Appelnotedebasdep"/>
        </w:rPr>
        <w:footnoteRef/>
      </w:r>
      <w:r>
        <w:t xml:space="preserve"> </w:t>
      </w:r>
      <w:r>
        <w:tab/>
      </w:r>
      <w:r w:rsidRPr="004B2498">
        <w:t>Selon Laville en effet, la solidarité, qu’il qualifie de « phila</w:t>
      </w:r>
      <w:r w:rsidRPr="004B2498">
        <w:t>n</w:t>
      </w:r>
      <w:r w:rsidRPr="004B2498">
        <w:t>thropique», « renvoie à la vision d’une société éthique dans laquelle des citoyens motivés par l’altruisme remplissent leurs devoirs les uns envers les autres sur une b</w:t>
      </w:r>
      <w:r w:rsidRPr="004B2498">
        <w:t>a</w:t>
      </w:r>
      <w:r w:rsidRPr="004B2498">
        <w:t>se volontaire. Focalisée sur la « question de l’urgence » et la préservation de la paix sociale, cette conception se donne pour objet le soulagement des pauvres et leur moralisation par la mise en œuvre d’actions palliatives » (2006, p. 610-611).</w:t>
      </w:r>
    </w:p>
  </w:footnote>
  <w:footnote w:id="57">
    <w:p w14:paraId="456E7062" w14:textId="77777777" w:rsidR="002F4063" w:rsidRDefault="002F4063">
      <w:pPr>
        <w:pStyle w:val="Notedebasdepage"/>
      </w:pPr>
      <w:r>
        <w:rPr>
          <w:rStyle w:val="Appelnotedebasdep"/>
        </w:rPr>
        <w:footnoteRef/>
      </w:r>
      <w:r>
        <w:t xml:space="preserve"> </w:t>
      </w:r>
      <w:r>
        <w:tab/>
      </w:r>
      <w:r w:rsidRPr="004B2498">
        <w:t>Laville (2006, p. 610).</w:t>
      </w:r>
    </w:p>
  </w:footnote>
  <w:footnote w:id="58">
    <w:p w14:paraId="38DA310D" w14:textId="77777777" w:rsidR="002F4063" w:rsidRDefault="002F4063">
      <w:pPr>
        <w:pStyle w:val="Notedebasdepage"/>
      </w:pPr>
      <w:r>
        <w:rPr>
          <w:rStyle w:val="Appelnotedebasdep"/>
        </w:rPr>
        <w:footnoteRef/>
      </w:r>
      <w:r>
        <w:t xml:space="preserve"> </w:t>
      </w:r>
      <w:r>
        <w:tab/>
      </w:r>
      <w:r w:rsidRPr="004B2498">
        <w:t>Lire en particulier Servet (2007) qui nous éclaire sur la définition de la réc</w:t>
      </w:r>
      <w:r w:rsidRPr="004B2498">
        <w:t>i</w:t>
      </w:r>
      <w:r w:rsidRPr="004B2498">
        <w:t>procité de Polanyi et sur l’influence de ce dernier sur les partisans de l’économie solidaire. Pour une définition exhau</w:t>
      </w:r>
      <w:r w:rsidRPr="004B2498">
        <w:t>s</w:t>
      </w:r>
      <w:r w:rsidRPr="004B2498">
        <w:t>tive de la réciprocité selon Polanyi, voir également Gardin (2006), et P</w:t>
      </w:r>
      <w:r w:rsidRPr="004B2498">
        <w:t>o</w:t>
      </w:r>
      <w:r w:rsidRPr="004B2498">
        <w:t>lanyi et Arensberg (1975).</w:t>
      </w:r>
    </w:p>
  </w:footnote>
  <w:footnote w:id="59">
    <w:p w14:paraId="25988436" w14:textId="77777777" w:rsidR="002F4063" w:rsidRDefault="002F4063">
      <w:pPr>
        <w:pStyle w:val="Notedebasdepage"/>
      </w:pPr>
      <w:r>
        <w:rPr>
          <w:rStyle w:val="Appelnotedebasdep"/>
        </w:rPr>
        <w:footnoteRef/>
      </w:r>
      <w:r>
        <w:t xml:space="preserve"> </w:t>
      </w:r>
      <w:r>
        <w:tab/>
      </w:r>
      <w:r w:rsidRPr="004B2498">
        <w:t>Fraisse et al., 2007, p. 245.</w:t>
      </w:r>
    </w:p>
  </w:footnote>
  <w:footnote w:id="60">
    <w:p w14:paraId="6714BFD7" w14:textId="77777777" w:rsidR="002F4063" w:rsidRDefault="002F4063">
      <w:pPr>
        <w:pStyle w:val="Notedebasdepage"/>
      </w:pPr>
      <w:r>
        <w:rPr>
          <w:rStyle w:val="Appelnotedebasdep"/>
        </w:rPr>
        <w:footnoteRef/>
      </w:r>
      <w:r>
        <w:t xml:space="preserve"> </w:t>
      </w:r>
      <w:r>
        <w:tab/>
      </w:r>
      <w:r w:rsidRPr="004B2498">
        <w:t>Il importe de signaler que Jean-Louis Laville, qui est le chef de file de l’économie sociale et solidaire en France, est président de l’Institut Karl P</w:t>
      </w:r>
      <w:r w:rsidRPr="004B2498">
        <w:t>o</w:t>
      </w:r>
      <w:r w:rsidRPr="004B2498">
        <w:t>lanyi France et coordinateur européen du Karl Pol</w:t>
      </w:r>
      <w:r w:rsidRPr="004B2498">
        <w:t>a</w:t>
      </w:r>
      <w:r w:rsidRPr="004B2498">
        <w:t>nyi Institute of Political Economy.</w:t>
      </w:r>
    </w:p>
  </w:footnote>
  <w:footnote w:id="61">
    <w:p w14:paraId="22108C19" w14:textId="77777777" w:rsidR="002F4063" w:rsidRDefault="002F4063">
      <w:pPr>
        <w:pStyle w:val="Notedebasdepage"/>
      </w:pPr>
      <w:r>
        <w:rPr>
          <w:rStyle w:val="Appelnotedebasdep"/>
        </w:rPr>
        <w:footnoteRef/>
      </w:r>
      <w:r>
        <w:t xml:space="preserve"> </w:t>
      </w:r>
      <w:r>
        <w:tab/>
      </w:r>
      <w:r w:rsidRPr="004B2498">
        <w:t>Comme le souligne Servet (2007, p. 270) : « la définition de la réciprocité par K. Polanyi rejoint par conséquent très largement ses convictions chr</w:t>
      </w:r>
      <w:r w:rsidRPr="004B2498">
        <w:t>é</w:t>
      </w:r>
      <w:r w:rsidRPr="004B2498">
        <w:t>tiennes (son « amour du prochain ») et les concl</w:t>
      </w:r>
      <w:r w:rsidRPr="004B2498">
        <w:t>u</w:t>
      </w:r>
      <w:r w:rsidRPr="004B2498">
        <w:t>sions de morale de l’</w:t>
      </w:r>
      <w:hyperlink r:id="rId11" w:history="1">
        <w:r w:rsidRPr="001B7840">
          <w:rPr>
            <w:rStyle w:val="Hyperlien"/>
            <w:i/>
          </w:rPr>
          <w:t>Essai sur le don</w:t>
        </w:r>
      </w:hyperlink>
      <w:r w:rsidRPr="001B7840">
        <w:rPr>
          <w:i/>
        </w:rPr>
        <w:t xml:space="preserve"> </w:t>
      </w:r>
      <w:r w:rsidRPr="004B2498">
        <w:t>de Marcel Mauss. »</w:t>
      </w:r>
    </w:p>
  </w:footnote>
  <w:footnote w:id="62">
    <w:p w14:paraId="6FDB719F" w14:textId="77777777" w:rsidR="002F4063" w:rsidRDefault="002F4063">
      <w:pPr>
        <w:pStyle w:val="Notedebasdepage"/>
      </w:pPr>
      <w:r>
        <w:rPr>
          <w:rStyle w:val="Appelnotedebasdep"/>
        </w:rPr>
        <w:footnoteRef/>
      </w:r>
      <w:r>
        <w:t xml:space="preserve"> </w:t>
      </w:r>
      <w:r>
        <w:tab/>
      </w:r>
      <w:r w:rsidRPr="004B2498">
        <w:t>Eme et Laville (2006, p. 304).</w:t>
      </w:r>
    </w:p>
  </w:footnote>
  <w:footnote w:id="63">
    <w:p w14:paraId="50A2D919" w14:textId="77777777" w:rsidR="002F4063" w:rsidRDefault="002F4063">
      <w:pPr>
        <w:pStyle w:val="Notedebasdepage"/>
      </w:pPr>
      <w:r>
        <w:rPr>
          <w:rStyle w:val="Appelnotedebasdep"/>
        </w:rPr>
        <w:footnoteRef/>
      </w:r>
      <w:r>
        <w:t xml:space="preserve"> </w:t>
      </w:r>
      <w:r>
        <w:tab/>
      </w:r>
      <w:r w:rsidRPr="004B2498">
        <w:t>Eme et Laville (2006, p. 305).</w:t>
      </w:r>
    </w:p>
  </w:footnote>
  <w:footnote w:id="64">
    <w:p w14:paraId="126F6322" w14:textId="77777777" w:rsidR="002F4063" w:rsidRDefault="002F4063">
      <w:pPr>
        <w:pStyle w:val="Notedebasdepage"/>
      </w:pPr>
      <w:r>
        <w:rPr>
          <w:rStyle w:val="Appelnotedebasdep"/>
        </w:rPr>
        <w:footnoteRef/>
      </w:r>
      <w:r>
        <w:t xml:space="preserve"> </w:t>
      </w:r>
      <w:r>
        <w:tab/>
      </w:r>
      <w:r w:rsidRPr="004B2498">
        <w:t>Covas et al., 1998.</w:t>
      </w:r>
    </w:p>
  </w:footnote>
  <w:footnote w:id="65">
    <w:p w14:paraId="563ADB07" w14:textId="77777777" w:rsidR="002F4063" w:rsidRDefault="002F4063">
      <w:pPr>
        <w:pStyle w:val="Notedebasdepage"/>
      </w:pPr>
      <w:r>
        <w:rPr>
          <w:rStyle w:val="Appelnotedebasdep"/>
        </w:rPr>
        <w:footnoteRef/>
      </w:r>
      <w:r>
        <w:t xml:space="preserve"> </w:t>
      </w:r>
      <w:r>
        <w:tab/>
      </w:r>
      <w:r w:rsidRPr="004B2498">
        <w:t>Ould Ahmed, 2009.</w:t>
      </w:r>
    </w:p>
  </w:footnote>
  <w:footnote w:id="66">
    <w:p w14:paraId="2AF186EB" w14:textId="77777777" w:rsidR="002F4063" w:rsidRDefault="002F4063">
      <w:pPr>
        <w:pStyle w:val="Notedebasdepage"/>
      </w:pPr>
      <w:r>
        <w:rPr>
          <w:rStyle w:val="Appelnotedebasdep"/>
        </w:rPr>
        <w:footnoteRef/>
      </w:r>
      <w:r>
        <w:t xml:space="preserve"> </w:t>
      </w:r>
      <w:r>
        <w:tab/>
      </w:r>
      <w:r w:rsidRPr="004B2498">
        <w:t>Plasencia and Onri, 2007.</w:t>
      </w:r>
    </w:p>
  </w:footnote>
  <w:footnote w:id="67">
    <w:p w14:paraId="0ED1A404" w14:textId="77777777" w:rsidR="002F4063" w:rsidRDefault="002F4063">
      <w:pPr>
        <w:pStyle w:val="Notedebasdepage"/>
      </w:pPr>
      <w:r>
        <w:rPr>
          <w:rStyle w:val="Appelnotedebasdep"/>
        </w:rPr>
        <w:footnoteRef/>
      </w:r>
      <w:r>
        <w:t xml:space="preserve"> </w:t>
      </w:r>
      <w:r>
        <w:tab/>
      </w:r>
      <w:r w:rsidRPr="004B2498">
        <w:t>Ould Ahmed, 2010.</w:t>
      </w:r>
    </w:p>
  </w:footnote>
  <w:footnote w:id="68">
    <w:p w14:paraId="1B8DDB3D" w14:textId="77777777" w:rsidR="002F4063" w:rsidRDefault="002F4063">
      <w:pPr>
        <w:pStyle w:val="Notedebasdepage"/>
      </w:pPr>
      <w:r>
        <w:rPr>
          <w:rStyle w:val="Appelnotedebasdep"/>
        </w:rPr>
        <w:footnoteRef/>
      </w:r>
      <w:r>
        <w:t xml:space="preserve"> </w:t>
      </w:r>
      <w:r>
        <w:tab/>
      </w:r>
      <w:r w:rsidRPr="004B2498">
        <w:rPr>
          <w:lang w:eastAsia="fr-FR" w:bidi="fr-FR"/>
        </w:rPr>
        <w:t>Hintze, 2003 ; Powell, 2002.</w:t>
      </w:r>
      <w:r w:rsidRPr="004B2498">
        <w:t xml:space="preserve"> </w:t>
      </w:r>
    </w:p>
  </w:footnote>
  <w:footnote w:id="69">
    <w:p w14:paraId="2C2065F7" w14:textId="77777777" w:rsidR="002F4063" w:rsidRDefault="002F4063">
      <w:pPr>
        <w:pStyle w:val="Notedebasdepage"/>
      </w:pPr>
      <w:r>
        <w:rPr>
          <w:rStyle w:val="Appelnotedebasdep"/>
        </w:rPr>
        <w:footnoteRef/>
      </w:r>
      <w:r>
        <w:t xml:space="preserve"> </w:t>
      </w:r>
      <w:r>
        <w:tab/>
      </w:r>
      <w:r w:rsidRPr="004B2498">
        <w:rPr>
          <w:lang w:val="fr-FR" w:eastAsia="fr-FR" w:bidi="fr-FR"/>
        </w:rPr>
        <w:t>Gaiger, 2007, p. 319, souligné par moi.</w:t>
      </w:r>
    </w:p>
  </w:footnote>
  <w:footnote w:id="70">
    <w:p w14:paraId="71F46E0C" w14:textId="77777777" w:rsidR="002F4063" w:rsidRDefault="002F4063">
      <w:pPr>
        <w:pStyle w:val="Notedebasdepage"/>
      </w:pPr>
      <w:r>
        <w:rPr>
          <w:rStyle w:val="Appelnotedebasdep"/>
        </w:rPr>
        <w:footnoteRef/>
      </w:r>
      <w:r>
        <w:t xml:space="preserve"> </w:t>
      </w:r>
      <w:r>
        <w:tab/>
      </w:r>
      <w:r w:rsidRPr="004B2498">
        <w:rPr>
          <w:lang w:val="fr-FR" w:eastAsia="fr-FR" w:bidi="fr-FR"/>
        </w:rPr>
        <w:t>Voir les remarques faites par Lordon (2009, p. 284-286) à pr</w:t>
      </w:r>
      <w:r w:rsidRPr="004B2498">
        <w:rPr>
          <w:lang w:val="fr-FR" w:eastAsia="fr-FR" w:bidi="fr-FR"/>
        </w:rPr>
        <w:t>o</w:t>
      </w:r>
      <w:r w:rsidRPr="004B2498">
        <w:rPr>
          <w:lang w:val="fr-FR" w:eastAsia="fr-FR" w:bidi="fr-FR"/>
        </w:rPr>
        <w:t>pos de ce qu’il nomme les « récommunes ».</w:t>
      </w:r>
    </w:p>
  </w:footnote>
  <w:footnote w:id="71">
    <w:p w14:paraId="492EC0D7" w14:textId="77777777" w:rsidR="002F4063" w:rsidRDefault="002F4063">
      <w:pPr>
        <w:pStyle w:val="Notedebasdepage"/>
      </w:pPr>
      <w:r>
        <w:rPr>
          <w:rStyle w:val="Appelnotedebasdep"/>
        </w:rPr>
        <w:footnoteRef/>
      </w:r>
      <w:r>
        <w:t xml:space="preserve"> </w:t>
      </w:r>
      <w:r>
        <w:tab/>
      </w:r>
      <w:r w:rsidRPr="00B55B8C">
        <w:rPr>
          <w:i/>
        </w:rPr>
        <w:t>Ibidem</w:t>
      </w:r>
      <w:r w:rsidRPr="004B2498">
        <w:t>, 2007, p. 312.</w:t>
      </w:r>
    </w:p>
  </w:footnote>
  <w:footnote w:id="72">
    <w:p w14:paraId="21A8C2F6" w14:textId="77777777" w:rsidR="002F4063" w:rsidRDefault="002F4063">
      <w:pPr>
        <w:pStyle w:val="Notedebasdepage"/>
      </w:pPr>
      <w:r>
        <w:rPr>
          <w:rStyle w:val="Appelnotedebasdep"/>
        </w:rPr>
        <w:footnoteRef/>
      </w:r>
      <w:r>
        <w:t xml:space="preserve"> </w:t>
      </w:r>
      <w:r>
        <w:tab/>
      </w:r>
      <w:r w:rsidRPr="004B2498">
        <w:t>Si les promoteurs du microcrédit présentent cette pratique comme solidaire, un certain nombre de travaux critiques montrent à juste titre qu’il s’agit avant tout d’une pratique financière dont la fin</w:t>
      </w:r>
      <w:r w:rsidRPr="004B2498">
        <w:t>a</w:t>
      </w:r>
      <w:r w:rsidRPr="004B2498">
        <w:t>lité économique revêt une réalité beaucoup complexe.</w:t>
      </w:r>
    </w:p>
  </w:footnote>
  <w:footnote w:id="73">
    <w:p w14:paraId="624C1C73" w14:textId="77777777" w:rsidR="002F4063" w:rsidRDefault="002F4063">
      <w:pPr>
        <w:pStyle w:val="Notedebasdepage"/>
      </w:pPr>
      <w:r>
        <w:rPr>
          <w:rStyle w:val="Appelnotedebasdep"/>
        </w:rPr>
        <w:footnoteRef/>
      </w:r>
      <w:r>
        <w:t xml:space="preserve"> </w:t>
      </w:r>
      <w:r>
        <w:tab/>
      </w:r>
      <w:r w:rsidRPr="004B2498">
        <w:rPr>
          <w:lang w:val="fr-FR" w:eastAsia="fr-FR" w:bidi="fr-FR"/>
        </w:rPr>
        <w:t>Prévost, 2009 ; Calvès, 2009.</w:t>
      </w:r>
    </w:p>
  </w:footnote>
  <w:footnote w:id="74">
    <w:p w14:paraId="1CEC53C0" w14:textId="77777777" w:rsidR="002F4063" w:rsidRDefault="002F4063">
      <w:pPr>
        <w:pStyle w:val="Notedebasdepage"/>
      </w:pPr>
      <w:r>
        <w:rPr>
          <w:rStyle w:val="Appelnotedebasdep"/>
        </w:rPr>
        <w:footnoteRef/>
      </w:r>
      <w:r>
        <w:t xml:space="preserve"> </w:t>
      </w:r>
      <w:r>
        <w:tab/>
      </w:r>
      <w:r w:rsidRPr="00E33F26">
        <w:rPr>
          <w:lang w:eastAsia="fr-FR" w:bidi="fr-FR"/>
        </w:rPr>
        <w:t>Sur la nature du projet de l’ESS, se reporter notamment à Gaudillière et L</w:t>
      </w:r>
      <w:r w:rsidRPr="00E33F26">
        <w:rPr>
          <w:lang w:eastAsia="fr-FR" w:bidi="fr-FR"/>
        </w:rPr>
        <w:t>e</w:t>
      </w:r>
      <w:r w:rsidRPr="00E33F26">
        <w:rPr>
          <w:lang w:eastAsia="fr-FR" w:bidi="fr-FR"/>
        </w:rPr>
        <w:t xml:space="preserve">chevallier, </w:t>
      </w:r>
      <w:r w:rsidRPr="00E33F26">
        <w:t xml:space="preserve">2002. </w:t>
      </w:r>
    </w:p>
  </w:footnote>
  <w:footnote w:id="75">
    <w:p w14:paraId="3155BCC6" w14:textId="77777777" w:rsidR="002F4063" w:rsidRDefault="002F4063">
      <w:pPr>
        <w:pStyle w:val="Notedebasdepage"/>
      </w:pPr>
      <w:r>
        <w:rPr>
          <w:rStyle w:val="Appelnotedebasdep"/>
        </w:rPr>
        <w:footnoteRef/>
      </w:r>
      <w:r>
        <w:t xml:space="preserve"> </w:t>
      </w:r>
      <w:r>
        <w:tab/>
      </w:r>
      <w:r w:rsidRPr="004B2498">
        <w:rPr>
          <w:lang w:eastAsia="fr-FR" w:bidi="fr-FR"/>
        </w:rPr>
        <w:t>Freitag (2004), p. 22.</w:t>
      </w:r>
    </w:p>
  </w:footnote>
  <w:footnote w:id="76">
    <w:p w14:paraId="4137D178" w14:textId="77777777" w:rsidR="002F4063" w:rsidRDefault="002F4063">
      <w:pPr>
        <w:pStyle w:val="Notedebasdepage"/>
      </w:pPr>
      <w:r>
        <w:rPr>
          <w:rStyle w:val="Appelnotedebasdep"/>
        </w:rPr>
        <w:footnoteRef/>
      </w:r>
      <w:r>
        <w:t xml:space="preserve"> </w:t>
      </w:r>
      <w:r>
        <w:tab/>
      </w:r>
      <w:r w:rsidRPr="004B2498">
        <w:t>Au total 5 enquêtes ont été menées en combinant observation et quantific</w:t>
      </w:r>
      <w:r w:rsidRPr="004B2498">
        <w:t>a</w:t>
      </w:r>
      <w:r w:rsidRPr="004B2498">
        <w:t>tion aux différentes étapes : enquêtes par échantillonnage, suivi longitudinal et analyse statistique (principalement statistique descriptive mais aussi que</w:t>
      </w:r>
      <w:r w:rsidRPr="004B2498">
        <w:t>l</w:t>
      </w:r>
      <w:r w:rsidRPr="004B2498">
        <w:t>ques analyses multivariées de type régre</w:t>
      </w:r>
      <w:r w:rsidRPr="004B2498">
        <w:t>s</w:t>
      </w:r>
      <w:r w:rsidRPr="004B2498">
        <w:t>sion et des analyses factorielles), monographies sectorielles, territoriales, récits de vie et de pratiques en situ</w:t>
      </w:r>
      <w:r w:rsidRPr="004B2498">
        <w:t>a</w:t>
      </w:r>
      <w:r w:rsidRPr="004B2498">
        <w:t>tion, groupes de discussion, observation.</w:t>
      </w:r>
    </w:p>
  </w:footnote>
  <w:footnote w:id="77">
    <w:p w14:paraId="156BC4C2" w14:textId="77777777" w:rsidR="002F4063" w:rsidRDefault="002F4063">
      <w:pPr>
        <w:pStyle w:val="Notedebasdepage"/>
      </w:pPr>
      <w:r>
        <w:rPr>
          <w:rStyle w:val="Appelnotedebasdep"/>
        </w:rPr>
        <w:footnoteRef/>
      </w:r>
      <w:r>
        <w:t xml:space="preserve"> </w:t>
      </w:r>
      <w:r>
        <w:tab/>
      </w:r>
      <w:r w:rsidRPr="004B2498">
        <w:t>Ces données ont été collectées dans le cadre d’un programme de recherche de l’Institut français de Pondichéry, crée par Jean-Michel Servet et dont j’ai pris la relève en 2003.</w:t>
      </w:r>
    </w:p>
  </w:footnote>
  <w:footnote w:id="78">
    <w:p w14:paraId="626809FC" w14:textId="77777777" w:rsidR="002F4063" w:rsidRDefault="002F4063">
      <w:pPr>
        <w:pStyle w:val="Notedebasdepage"/>
      </w:pPr>
      <w:r>
        <w:rPr>
          <w:rStyle w:val="Appelnotedebasdep"/>
        </w:rPr>
        <w:footnoteRef/>
      </w:r>
      <w:r>
        <w:t xml:space="preserve"> </w:t>
      </w:r>
      <w:r>
        <w:tab/>
      </w:r>
      <w:r w:rsidRPr="004B2498">
        <w:t>La rigueur et la fiabilité des études publiées dans les années qu</w:t>
      </w:r>
      <w:r w:rsidRPr="004B2498">
        <w:t>a</w:t>
      </w:r>
      <w:r w:rsidRPr="004B2498">
        <w:t>tre-vingt-dix et avançant des résultats positifs en matière de lutte contre la pauvreté sont aujourd’hui très contestées (Roodman &amp; Mo</w:t>
      </w:r>
      <w:r w:rsidRPr="004B2498">
        <w:t>r</w:t>
      </w:r>
      <w:r w:rsidRPr="004B2498">
        <w:t>duch 2009).</w:t>
      </w:r>
    </w:p>
  </w:footnote>
  <w:footnote w:id="79">
    <w:p w14:paraId="4C53FBA3" w14:textId="77777777" w:rsidR="002F4063" w:rsidRDefault="002F4063">
      <w:pPr>
        <w:pStyle w:val="Notedebasdepage"/>
      </w:pPr>
      <w:r>
        <w:rPr>
          <w:rStyle w:val="Appelnotedebasdep"/>
        </w:rPr>
        <w:footnoteRef/>
      </w:r>
      <w:r>
        <w:t xml:space="preserve"> </w:t>
      </w:r>
      <w:r>
        <w:tab/>
      </w:r>
      <w:r w:rsidRPr="004B2498">
        <w:t>Voir par exemple Bateman (2010), Karnani (2009), Fernando (2006), Foui</w:t>
      </w:r>
      <w:r w:rsidRPr="004B2498">
        <w:t>l</w:t>
      </w:r>
      <w:r w:rsidRPr="004B2498">
        <w:t>let et al. (2007), Servet (2006).</w:t>
      </w:r>
    </w:p>
  </w:footnote>
  <w:footnote w:id="80">
    <w:p w14:paraId="4CE9760E" w14:textId="77777777" w:rsidR="002F4063" w:rsidRDefault="002F4063">
      <w:pPr>
        <w:pStyle w:val="Notedebasdepage"/>
      </w:pPr>
      <w:r>
        <w:rPr>
          <w:rStyle w:val="Appelnotedebasdep"/>
        </w:rPr>
        <w:footnoteRef/>
      </w:r>
      <w:r>
        <w:t xml:space="preserve"> </w:t>
      </w:r>
      <w:r>
        <w:tab/>
      </w:r>
      <w:r w:rsidRPr="004B2498">
        <w:t>Voir par exemple Falquet (2008), Molyneux, (2002), Rankin (2002), Rao (2008).</w:t>
      </w:r>
    </w:p>
  </w:footnote>
  <w:footnote w:id="81">
    <w:p w14:paraId="3362C8C2" w14:textId="77777777" w:rsidR="002F4063" w:rsidRDefault="002F4063">
      <w:pPr>
        <w:pStyle w:val="Notedebasdepage"/>
      </w:pPr>
      <w:r>
        <w:rPr>
          <w:rStyle w:val="Appelnotedebasdep"/>
        </w:rPr>
        <w:footnoteRef/>
      </w:r>
      <w:r>
        <w:t xml:space="preserve"> </w:t>
      </w:r>
      <w:r>
        <w:tab/>
      </w:r>
      <w:r w:rsidRPr="004B2498">
        <w:rPr>
          <w:lang w:eastAsia="fr-FR" w:bidi="fr-FR"/>
        </w:rPr>
        <w:t>Voir par exemple Bauman et al. (2008); Blanc (2000); Bloch &amp; Parry (1989); Guyer (1995); Guérin (2002, 2006), Morvant-Roux (2006), Servet (1984, 2006); Zelizer (1994, 2005); Weber (2000, 2007).</w:t>
      </w:r>
    </w:p>
  </w:footnote>
  <w:footnote w:id="82">
    <w:p w14:paraId="6FBC93DD" w14:textId="77777777" w:rsidR="002F4063" w:rsidRDefault="002F4063">
      <w:pPr>
        <w:pStyle w:val="Notedebasdepage"/>
      </w:pPr>
      <w:r>
        <w:rPr>
          <w:rStyle w:val="Appelnotedebasdep"/>
        </w:rPr>
        <w:footnoteRef/>
      </w:r>
      <w:r>
        <w:t xml:space="preserve"> </w:t>
      </w:r>
      <w:r>
        <w:tab/>
      </w:r>
      <w:r w:rsidRPr="004B2498">
        <w:rPr>
          <w:lang w:eastAsia="fr-FR" w:bidi="fr-FR"/>
        </w:rPr>
        <w:t>C’est ce que révèle une enquête ménage réalisée en Inde du Sud, au Mex</w:t>
      </w:r>
      <w:r w:rsidRPr="004B2498">
        <w:rPr>
          <w:lang w:eastAsia="fr-FR" w:bidi="fr-FR"/>
        </w:rPr>
        <w:t>i</w:t>
      </w:r>
      <w:r w:rsidRPr="004B2498">
        <w:rPr>
          <w:lang w:eastAsia="fr-FR" w:bidi="fr-FR"/>
        </w:rPr>
        <w:t>que et à Madagascar dans le cadre du projet ANR RUME.</w:t>
      </w:r>
    </w:p>
  </w:footnote>
  <w:footnote w:id="83">
    <w:p w14:paraId="308179E0" w14:textId="77777777" w:rsidR="002F4063" w:rsidRDefault="002F4063">
      <w:pPr>
        <w:pStyle w:val="Notedebasdepage"/>
      </w:pPr>
      <w:r>
        <w:rPr>
          <w:rStyle w:val="Appelnotedebasdep"/>
        </w:rPr>
        <w:footnoteRef/>
      </w:r>
      <w:r>
        <w:t xml:space="preserve"> </w:t>
      </w:r>
      <w:r>
        <w:tab/>
      </w:r>
      <w:r w:rsidRPr="004B2498">
        <w:t>Voir par exemple Béteille (2000) ; Harriss (2006) ; Harriss-White (2003 ; 2010).</w:t>
      </w:r>
    </w:p>
  </w:footnote>
  <w:footnote w:id="84">
    <w:p w14:paraId="722D5220" w14:textId="77777777" w:rsidR="002F4063" w:rsidRDefault="002F4063">
      <w:pPr>
        <w:pStyle w:val="Notedebasdepage"/>
      </w:pPr>
      <w:r>
        <w:rPr>
          <w:rStyle w:val="Appelnotedebasdep"/>
        </w:rPr>
        <w:footnoteRef/>
      </w:r>
      <w:r>
        <w:t xml:space="preserve"> </w:t>
      </w:r>
      <w:r>
        <w:tab/>
      </w:r>
      <w:r w:rsidRPr="004B2498">
        <w:t>Ceci est dév</w:t>
      </w:r>
      <w:r>
        <w:t>eloppé dans Guérin et al. (2011</w:t>
      </w:r>
      <w:r w:rsidRPr="004B2498">
        <w:t>b, 201</w:t>
      </w:r>
      <w:r>
        <w:t>1</w:t>
      </w:r>
      <w:r w:rsidRPr="004B2498">
        <w:t>e, 2011d).</w:t>
      </w:r>
    </w:p>
  </w:footnote>
  <w:footnote w:id="85">
    <w:p w14:paraId="4FB487F7" w14:textId="77777777" w:rsidR="002F4063" w:rsidRDefault="002F4063">
      <w:pPr>
        <w:pStyle w:val="Notedebasdepage"/>
      </w:pPr>
      <w:r>
        <w:rPr>
          <w:rStyle w:val="Appelnotedebasdep"/>
        </w:rPr>
        <w:footnoteRef/>
      </w:r>
      <w:r>
        <w:t xml:space="preserve"> </w:t>
      </w:r>
      <w:r>
        <w:tab/>
      </w:r>
      <w:r w:rsidRPr="004B2498">
        <w:rPr>
          <w:lang w:eastAsia="fr-FR" w:bidi="fr-FR"/>
        </w:rPr>
        <w:t>Ceci est développé dans Breman, Guérin et Prakash (2009) et dans Guérin (2011a).</w:t>
      </w:r>
    </w:p>
  </w:footnote>
  <w:footnote w:id="86">
    <w:p w14:paraId="5BD0EFC3" w14:textId="77777777" w:rsidR="002F4063" w:rsidRDefault="002F4063">
      <w:pPr>
        <w:pStyle w:val="Notedebasdepage"/>
      </w:pPr>
      <w:r>
        <w:rPr>
          <w:rStyle w:val="Appelnotedebasdep"/>
        </w:rPr>
        <w:footnoteRef/>
      </w:r>
      <w:r>
        <w:t xml:space="preserve"> </w:t>
      </w:r>
      <w:r>
        <w:tab/>
      </w:r>
      <w:r w:rsidRPr="004B2498">
        <w:rPr>
          <w:lang w:eastAsia="fr-FR" w:bidi="fr-FR"/>
        </w:rPr>
        <w:t xml:space="preserve">Ceci est développé dans Guérin </w:t>
      </w:r>
      <w:r w:rsidRPr="00C72EFE">
        <w:rPr>
          <w:iCs/>
        </w:rPr>
        <w:t>et al.</w:t>
      </w:r>
      <w:r w:rsidRPr="004B2498">
        <w:rPr>
          <w:lang w:eastAsia="fr-FR" w:bidi="fr-FR"/>
        </w:rPr>
        <w:t xml:space="preserve"> (2010a, 2010b).</w:t>
      </w:r>
    </w:p>
  </w:footnote>
  <w:footnote w:id="87">
    <w:p w14:paraId="798AEE4B" w14:textId="77777777" w:rsidR="002F4063" w:rsidRDefault="002F4063">
      <w:pPr>
        <w:pStyle w:val="Notedebasdepage"/>
      </w:pPr>
      <w:r>
        <w:rPr>
          <w:rStyle w:val="Appelnotedebasdep"/>
        </w:rPr>
        <w:footnoteRef/>
      </w:r>
      <w:r>
        <w:t xml:space="preserve"> </w:t>
      </w:r>
      <w:r>
        <w:tab/>
      </w:r>
      <w:r w:rsidRPr="004B2498">
        <w:t>Ce point est développé dans Guérin et al. (2010a ; 2010c).</w:t>
      </w:r>
    </w:p>
  </w:footnote>
  <w:footnote w:id="88">
    <w:p w14:paraId="61E4A702" w14:textId="77777777" w:rsidR="002F4063" w:rsidRDefault="002F4063">
      <w:pPr>
        <w:pStyle w:val="Notedebasdepage"/>
      </w:pPr>
      <w:r>
        <w:rPr>
          <w:rStyle w:val="Appelnotedebasdep"/>
        </w:rPr>
        <w:footnoteRef/>
      </w:r>
      <w:r>
        <w:t xml:space="preserve"> </w:t>
      </w:r>
      <w:r>
        <w:tab/>
      </w:r>
      <w:r w:rsidRPr="004B2498">
        <w:rPr>
          <w:lang w:eastAsia="fr-FR" w:bidi="fr-FR"/>
        </w:rPr>
        <w:t xml:space="preserve">Voir Guérin </w:t>
      </w:r>
      <w:r w:rsidRPr="00C72EFE">
        <w:rPr>
          <w:iCs/>
        </w:rPr>
        <w:t>et al.</w:t>
      </w:r>
      <w:r w:rsidRPr="004B2498">
        <w:rPr>
          <w:lang w:eastAsia="fr-FR" w:bidi="fr-FR"/>
        </w:rPr>
        <w:t xml:space="preserve"> (2011a).</w:t>
      </w:r>
    </w:p>
  </w:footnote>
  <w:footnote w:id="89">
    <w:p w14:paraId="1BE7E9FF" w14:textId="77777777" w:rsidR="002F4063" w:rsidRDefault="002F4063">
      <w:pPr>
        <w:pStyle w:val="Notedebasdepage"/>
      </w:pPr>
      <w:r>
        <w:rPr>
          <w:rStyle w:val="Appelnotedebasdep"/>
        </w:rPr>
        <w:footnoteRef/>
      </w:r>
      <w:r>
        <w:t xml:space="preserve"> </w:t>
      </w:r>
      <w:r>
        <w:tab/>
      </w:r>
      <w:r w:rsidRPr="004B2498">
        <w:rPr>
          <w:lang w:eastAsia="fr-FR" w:bidi="fr-FR"/>
        </w:rPr>
        <w:t xml:space="preserve">Ce point a été développé dans Guérin </w:t>
      </w:r>
      <w:r w:rsidRPr="00C72EFE">
        <w:rPr>
          <w:iCs/>
        </w:rPr>
        <w:t>et al.</w:t>
      </w:r>
      <w:r w:rsidRPr="004B2498">
        <w:rPr>
          <w:lang w:eastAsia="fr-FR" w:bidi="fr-FR"/>
        </w:rPr>
        <w:t xml:space="preserve"> (2009, 2010a).</w:t>
      </w:r>
    </w:p>
  </w:footnote>
  <w:footnote w:id="90">
    <w:p w14:paraId="2B088F30" w14:textId="77777777" w:rsidR="002F4063" w:rsidRDefault="002F4063">
      <w:pPr>
        <w:pStyle w:val="Notedebasdepage"/>
      </w:pPr>
      <w:r>
        <w:rPr>
          <w:rStyle w:val="Appelnotedebasdep"/>
        </w:rPr>
        <w:footnoteRef/>
      </w:r>
      <w:r>
        <w:t xml:space="preserve"> </w:t>
      </w:r>
      <w:r>
        <w:tab/>
      </w:r>
      <w:r w:rsidRPr="004B2498">
        <w:t>Ce point a été dans développé dans Guérin et Kumar (2007).</w:t>
      </w:r>
    </w:p>
  </w:footnote>
  <w:footnote w:id="91">
    <w:p w14:paraId="0269FD15" w14:textId="77777777" w:rsidR="002F4063" w:rsidRDefault="002F4063">
      <w:pPr>
        <w:pStyle w:val="Notedebasdepage"/>
      </w:pPr>
      <w:r>
        <w:rPr>
          <w:rStyle w:val="Appelnotedebasdep"/>
        </w:rPr>
        <w:footnoteRef/>
      </w:r>
      <w:r>
        <w:t xml:space="preserve"> </w:t>
      </w:r>
      <w:r>
        <w:tab/>
      </w:r>
      <w:r w:rsidRPr="004B2498">
        <w:t>Je reprends ici le terme proposé par Bierschenk et al. (2000) et Mosse et Lewis (2006).</w:t>
      </w:r>
    </w:p>
  </w:footnote>
  <w:footnote w:id="92">
    <w:p w14:paraId="371EBD89" w14:textId="77777777" w:rsidR="002F4063" w:rsidRDefault="002F4063">
      <w:pPr>
        <w:pStyle w:val="Notedebasdepage"/>
      </w:pPr>
      <w:r>
        <w:rPr>
          <w:rStyle w:val="Appelnotedebasdep"/>
        </w:rPr>
        <w:footnoteRef/>
      </w:r>
      <w:r>
        <w:t xml:space="preserve"> </w:t>
      </w:r>
      <w:r>
        <w:tab/>
      </w:r>
      <w:r w:rsidRPr="004B2498">
        <w:t>Voir Guérin (2000).</w:t>
      </w:r>
    </w:p>
  </w:footnote>
  <w:footnote w:id="93">
    <w:p w14:paraId="3159FF5F" w14:textId="77777777" w:rsidR="002F4063" w:rsidRDefault="002F4063">
      <w:pPr>
        <w:pStyle w:val="Notedebasdepage"/>
      </w:pPr>
      <w:r>
        <w:rPr>
          <w:rStyle w:val="Appelnotedebasdep"/>
        </w:rPr>
        <w:footnoteRef/>
      </w:r>
      <w:r>
        <w:t xml:space="preserve"> </w:t>
      </w:r>
      <w:r>
        <w:tab/>
      </w:r>
      <w:r w:rsidRPr="004B2498">
        <w:rPr>
          <w:lang w:eastAsia="fr-FR" w:bidi="fr-FR"/>
        </w:rPr>
        <w:t>Contrairement à l’Andhra Pradesh par exemple, qui a connu une forte croi</w:t>
      </w:r>
      <w:r w:rsidRPr="004B2498">
        <w:rPr>
          <w:lang w:eastAsia="fr-FR" w:bidi="fr-FR"/>
        </w:rPr>
        <w:t>s</w:t>
      </w:r>
      <w:r w:rsidRPr="004B2498">
        <w:rPr>
          <w:lang w:eastAsia="fr-FR" w:bidi="fr-FR"/>
        </w:rPr>
        <w:t>sa</w:t>
      </w:r>
      <w:r w:rsidRPr="004B2498">
        <w:rPr>
          <w:lang w:eastAsia="fr-FR" w:bidi="fr-FR"/>
        </w:rPr>
        <w:t>n</w:t>
      </w:r>
      <w:r w:rsidRPr="004B2498">
        <w:rPr>
          <w:lang w:eastAsia="fr-FR" w:bidi="fr-FR"/>
        </w:rPr>
        <w:t>ce d’institutions autonomes de microfinance à statut et à financement privé.</w:t>
      </w:r>
    </w:p>
  </w:footnote>
  <w:footnote w:id="94">
    <w:p w14:paraId="64A6BEBE" w14:textId="77777777" w:rsidR="002F4063" w:rsidRDefault="002F4063">
      <w:pPr>
        <w:pStyle w:val="Notedebasdepage"/>
      </w:pPr>
      <w:r>
        <w:rPr>
          <w:rStyle w:val="Appelnotedebasdep"/>
        </w:rPr>
        <w:footnoteRef/>
      </w:r>
      <w:r>
        <w:t xml:space="preserve"> </w:t>
      </w:r>
      <w:r>
        <w:tab/>
      </w:r>
      <w:r w:rsidRPr="004B2498">
        <w:t>Ce point est développé dans Guérin (2011b).</w:t>
      </w:r>
    </w:p>
  </w:footnote>
  <w:footnote w:id="95">
    <w:p w14:paraId="6BF07A0E" w14:textId="77777777" w:rsidR="002F4063" w:rsidRDefault="002F4063">
      <w:pPr>
        <w:pStyle w:val="Notedebasdepage"/>
      </w:pPr>
      <w:r>
        <w:rPr>
          <w:rStyle w:val="Appelnotedebasdep"/>
        </w:rPr>
        <w:footnoteRef/>
      </w:r>
      <w:r>
        <w:t xml:space="preserve"> </w:t>
      </w:r>
      <w:r>
        <w:tab/>
      </w:r>
      <w:r w:rsidRPr="004B2498">
        <w:t>Ce point est développé dans Guérin et al. (2010b).</w:t>
      </w:r>
    </w:p>
  </w:footnote>
  <w:footnote w:id="96">
    <w:p w14:paraId="03874EAB" w14:textId="77777777" w:rsidR="002F4063" w:rsidRDefault="002F4063">
      <w:pPr>
        <w:pStyle w:val="Notedebasdepage"/>
      </w:pPr>
      <w:r>
        <w:rPr>
          <w:rStyle w:val="Appelnotedebasdep"/>
        </w:rPr>
        <w:footnoteRef/>
      </w:r>
      <w:r>
        <w:t xml:space="preserve"> </w:t>
      </w:r>
      <w:r>
        <w:tab/>
      </w:r>
      <w:r w:rsidRPr="004B2498">
        <w:rPr>
          <w:lang w:val="fr-FR" w:eastAsia="fr-FR" w:bidi="fr-FR"/>
        </w:rPr>
        <w:t>Voir Guérin (2009).</w:t>
      </w:r>
    </w:p>
  </w:footnote>
  <w:footnote w:id="97">
    <w:p w14:paraId="78E1B907" w14:textId="77777777" w:rsidR="002F4063" w:rsidRDefault="002F4063">
      <w:pPr>
        <w:pStyle w:val="Notedebasdepage"/>
      </w:pPr>
      <w:r>
        <w:rPr>
          <w:rStyle w:val="Appelnotedebasdep"/>
        </w:rPr>
        <w:t>*</w:t>
      </w:r>
      <w:r>
        <w:t xml:space="preserve"> </w:t>
      </w:r>
      <w:r>
        <w:tab/>
      </w:r>
      <w:r w:rsidRPr="004B2498">
        <w:rPr>
          <w:lang w:val="fr-FR" w:eastAsia="fr-FR" w:bidi="fr-FR"/>
        </w:rPr>
        <w:t>Je tiens à remercier ici le Conseil brésilien de perfectionnement du perso</w:t>
      </w:r>
      <w:r w:rsidRPr="004B2498">
        <w:rPr>
          <w:lang w:val="fr-FR" w:eastAsia="fr-FR" w:bidi="fr-FR"/>
        </w:rPr>
        <w:t>n</w:t>
      </w:r>
      <w:r w:rsidRPr="004B2498">
        <w:rPr>
          <w:lang w:val="fr-FR" w:eastAsia="fr-FR" w:bidi="fr-FR"/>
        </w:rPr>
        <w:t>nel de niveau supérieur (C</w:t>
      </w:r>
      <w:r w:rsidRPr="004B2498">
        <w:rPr>
          <w:lang w:val="fr-FR" w:eastAsia="fr-FR" w:bidi="fr-FR"/>
        </w:rPr>
        <w:t>A</w:t>
      </w:r>
      <w:r w:rsidRPr="004B2498">
        <w:rPr>
          <w:lang w:val="fr-FR" w:eastAsia="fr-FR" w:bidi="fr-FR"/>
        </w:rPr>
        <w:t>PES) pour son soutien à mon stage sabbatique en France, dont cet article est l’un des produits. Ainsi que l'Institut de r</w:t>
      </w:r>
      <w:r w:rsidRPr="004B2498">
        <w:rPr>
          <w:lang w:val="fr-FR" w:eastAsia="fr-FR" w:bidi="fr-FR"/>
        </w:rPr>
        <w:t>e</w:t>
      </w:r>
      <w:r w:rsidRPr="004B2498">
        <w:rPr>
          <w:lang w:val="fr-FR" w:eastAsia="fr-FR" w:bidi="fr-FR"/>
        </w:rPr>
        <w:t>cherche pour le développement (IRD) pour les échanges intellectuels part</w:t>
      </w:r>
      <w:r w:rsidRPr="004B2498">
        <w:rPr>
          <w:lang w:val="fr-FR" w:eastAsia="fr-FR" w:bidi="fr-FR"/>
        </w:rPr>
        <w:t>a</w:t>
      </w:r>
      <w:r w:rsidRPr="004B2498">
        <w:rPr>
          <w:lang w:val="fr-FR" w:eastAsia="fr-FR" w:bidi="fr-FR"/>
        </w:rPr>
        <w:t>gés avec des collègues, eux aussi concernés par les effets de la mondialis</w:t>
      </w:r>
      <w:r w:rsidRPr="004B2498">
        <w:rPr>
          <w:lang w:val="fr-FR" w:eastAsia="fr-FR" w:bidi="fr-FR"/>
        </w:rPr>
        <w:t>a</w:t>
      </w:r>
      <w:r w:rsidRPr="004B2498">
        <w:rPr>
          <w:lang w:val="fr-FR" w:eastAsia="fr-FR" w:bidi="fr-FR"/>
        </w:rPr>
        <w:t>tion dans les pays du Sud, aussi que tous ceux, et en particulier les collègues de l'Université publique du Cap-Vert (Uni-CV), et du milieu associatif local, qui ont accepté de partager leur expérience sur la réalité concernée dans ce</w:t>
      </w:r>
      <w:r w:rsidRPr="004B2498">
        <w:rPr>
          <w:lang w:val="fr-FR" w:eastAsia="fr-FR" w:bidi="fr-FR"/>
        </w:rPr>
        <w:t>t</w:t>
      </w:r>
      <w:r w:rsidRPr="004B2498">
        <w:rPr>
          <w:lang w:val="fr-FR" w:eastAsia="fr-FR" w:bidi="fr-FR"/>
        </w:rPr>
        <w:t>te étude.</w:t>
      </w:r>
    </w:p>
  </w:footnote>
  <w:footnote w:id="98">
    <w:p w14:paraId="0684499E" w14:textId="77777777" w:rsidR="002F4063" w:rsidRDefault="002F4063">
      <w:pPr>
        <w:pStyle w:val="Notedebasdepage"/>
      </w:pPr>
      <w:r>
        <w:rPr>
          <w:rStyle w:val="Appelnotedebasdep"/>
        </w:rPr>
        <w:footnoteRef/>
      </w:r>
      <w:r>
        <w:t xml:space="preserve"> </w:t>
      </w:r>
      <w:r>
        <w:tab/>
      </w:r>
      <w:r w:rsidRPr="004B2498">
        <w:t>Ces principes sont : focalisation, flexibilité, intégration et exte</w:t>
      </w:r>
      <w:r w:rsidRPr="004B2498">
        <w:t>r</w:t>
      </w:r>
      <w:r w:rsidRPr="004B2498">
        <w:t xml:space="preserve">nalisation. Rosinha MACHADO CARRION: </w:t>
      </w:r>
      <w:r w:rsidRPr="00907C3D">
        <w:rPr>
          <w:i/>
        </w:rPr>
        <w:t>Reestnituração Produt</w:t>
      </w:r>
      <w:r w:rsidRPr="00907C3D">
        <w:rPr>
          <w:i/>
        </w:rPr>
        <w:t>i</w:t>
      </w:r>
      <w:r w:rsidRPr="00907C3D">
        <w:rPr>
          <w:i/>
        </w:rPr>
        <w:t>va, Processo de Trabalho e Qualifîcação na Industriel Petroquim</w:t>
      </w:r>
      <w:r w:rsidRPr="00907C3D">
        <w:rPr>
          <w:i/>
        </w:rPr>
        <w:t>i</w:t>
      </w:r>
      <w:r w:rsidRPr="00907C3D">
        <w:rPr>
          <w:i/>
        </w:rPr>
        <w:t>ca Brasileira</w:t>
      </w:r>
      <w:r w:rsidRPr="004B2498">
        <w:t>. Thèse de doctorat, PPGA/EA/UFRGS, Porto Al</w:t>
      </w:r>
      <w:r w:rsidRPr="004B2498">
        <w:t>e</w:t>
      </w:r>
      <w:r w:rsidRPr="004B2498">
        <w:t>gre, 1998, p. 297.</w:t>
      </w:r>
    </w:p>
  </w:footnote>
  <w:footnote w:id="99">
    <w:p w14:paraId="1C08E07B" w14:textId="77777777" w:rsidR="002F4063" w:rsidRDefault="002F4063">
      <w:pPr>
        <w:pStyle w:val="Notedebasdepage"/>
      </w:pPr>
      <w:r>
        <w:rPr>
          <w:rStyle w:val="Appelnotedebasdep"/>
        </w:rPr>
        <w:footnoteRef/>
      </w:r>
      <w:r>
        <w:t xml:space="preserve"> </w:t>
      </w:r>
      <w:r>
        <w:tab/>
      </w:r>
      <w:r w:rsidRPr="004B2498">
        <w:rPr>
          <w:lang w:val="fr-FR" w:eastAsia="fr-FR" w:bidi="fr-FR"/>
        </w:rPr>
        <w:t>D’après l’Institut national de statistiques (INE). Cap-Vert, 2010.</w:t>
      </w:r>
    </w:p>
  </w:footnote>
  <w:footnote w:id="100">
    <w:p w14:paraId="1B989D5C" w14:textId="77777777" w:rsidR="002F4063" w:rsidRDefault="002F4063">
      <w:pPr>
        <w:pStyle w:val="Notedebasdepage"/>
      </w:pPr>
      <w:r>
        <w:rPr>
          <w:rStyle w:val="Appelnotedebasdep"/>
        </w:rPr>
        <w:footnoteRef/>
      </w:r>
      <w:r>
        <w:t xml:space="preserve"> </w:t>
      </w:r>
      <w:r>
        <w:tab/>
      </w:r>
      <w:r w:rsidRPr="004B2498">
        <w:t>Quand le programme a été présenté en 2007 par l’ONU, 8 pays ont posé leur candidature pour participer à l’expérience pilote : Alb</w:t>
      </w:r>
      <w:r w:rsidRPr="004B2498">
        <w:t>a</w:t>
      </w:r>
      <w:r w:rsidRPr="004B2498">
        <w:t>nie, Mozambique, Cap-Vert, Pakistan, Rwanda, Tanzanie, Uruguay et Vietnam.</w:t>
      </w:r>
    </w:p>
  </w:footnote>
  <w:footnote w:id="101">
    <w:p w14:paraId="48D9A19F" w14:textId="77777777" w:rsidR="002F4063" w:rsidRDefault="002F4063">
      <w:pPr>
        <w:pStyle w:val="Notedebasdepage"/>
      </w:pPr>
      <w:r>
        <w:rPr>
          <w:rStyle w:val="Appelnotedebasdep"/>
        </w:rPr>
        <w:footnoteRef/>
      </w:r>
      <w:r>
        <w:t xml:space="preserve"> </w:t>
      </w:r>
      <w:r>
        <w:tab/>
      </w:r>
      <w:r w:rsidRPr="004B2498">
        <w:t>À partir des années 1980, le Cap-Vert a occupé une nouvelle place dans le cadre des migrations internationales ; face au grand flux d’immigration, il est devenu un pays émetteur et récepteur de migrants. Plusieurs sources po</w:t>
      </w:r>
      <w:r w:rsidRPr="004B2498">
        <w:t>s</w:t>
      </w:r>
      <w:r w:rsidRPr="004B2498">
        <w:t>sèdent des informations sur les imm</w:t>
      </w:r>
      <w:r w:rsidRPr="004B2498">
        <w:t>i</w:t>
      </w:r>
      <w:r w:rsidRPr="004B2498">
        <w:t>grants installés dans le pays. D’après les données de l’Institut national de statistiques, le recensement général de la population et de l’habitat de 1990 a dénombré 20 134 sujets qui résidaient à l’étranger avant de se fixer au Cap-Vert, la majorité de sexe masculin (56%, contre 44% pour le sexe féminin). Ce qui représenterait autour de 5% de la pop</w:t>
      </w:r>
      <w:r w:rsidRPr="004B2498">
        <w:t>u</w:t>
      </w:r>
      <w:r w:rsidRPr="004B2498">
        <w:t>lation totale du pays (INE, 2008).</w:t>
      </w:r>
    </w:p>
  </w:footnote>
  <w:footnote w:id="102">
    <w:p w14:paraId="601A2A60" w14:textId="77777777" w:rsidR="002F4063" w:rsidRDefault="002F4063">
      <w:pPr>
        <w:pStyle w:val="Notedebasdepage"/>
      </w:pPr>
      <w:r>
        <w:rPr>
          <w:rStyle w:val="Appelnotedebasdep"/>
        </w:rPr>
        <w:footnoteRef/>
      </w:r>
      <w:r>
        <w:t xml:space="preserve"> </w:t>
      </w:r>
      <w:r>
        <w:tab/>
      </w:r>
      <w:r w:rsidRPr="004B2498">
        <w:t>Le Movimento dos Trabalhadores Rurais Sem Terra (MST) ou Mouvement des sans terre est une organisation populaire brésilienne qui milite pour l’attribution de terrains à cultiver pour les paysans br</w:t>
      </w:r>
      <w:r w:rsidRPr="004B2498">
        <w:t>é</w:t>
      </w:r>
      <w:r w:rsidRPr="004B2498">
        <w:t>siliens ne possédant pas de terre.</w:t>
      </w:r>
    </w:p>
  </w:footnote>
  <w:footnote w:id="103">
    <w:p w14:paraId="66D88801" w14:textId="77777777" w:rsidR="002F4063" w:rsidRDefault="002F4063">
      <w:pPr>
        <w:pStyle w:val="Notedebasdepage"/>
      </w:pPr>
      <w:r>
        <w:rPr>
          <w:rStyle w:val="Appelnotedebasdep"/>
        </w:rPr>
        <w:footnoteRef/>
      </w:r>
      <w:r>
        <w:t xml:space="preserve"> </w:t>
      </w:r>
      <w:r>
        <w:tab/>
      </w:r>
      <w:r w:rsidRPr="004B2498">
        <w:t>Entretien réalisé le 2 mars 2009 au siège de la plate-forme d’ONG à Praia, Cap-Vert.</w:t>
      </w:r>
    </w:p>
  </w:footnote>
  <w:footnote w:id="104">
    <w:p w14:paraId="1BE6741E" w14:textId="77777777" w:rsidR="002F4063" w:rsidRDefault="002F4063">
      <w:pPr>
        <w:pStyle w:val="Notedebasdepage"/>
      </w:pPr>
      <w:r>
        <w:rPr>
          <w:rStyle w:val="Appelnotedebasdep"/>
        </w:rPr>
        <w:footnoteRef/>
      </w:r>
      <w:r>
        <w:t xml:space="preserve"> </w:t>
      </w:r>
      <w:r>
        <w:tab/>
      </w:r>
      <w:r w:rsidRPr="004C0845">
        <w:rPr>
          <w:i/>
          <w:lang w:val="fr-FR" w:eastAsia="fr-FR" w:bidi="fr-FR"/>
        </w:rPr>
        <w:t>Delivering As One</w:t>
      </w:r>
      <w:r w:rsidRPr="004B2498">
        <w:rPr>
          <w:lang w:val="fr-FR" w:eastAsia="fr-FR" w:bidi="fr-FR"/>
        </w:rPr>
        <w:t>, connu au Cap-Vert sous l’expression Ju</w:t>
      </w:r>
      <w:r w:rsidRPr="004B2498">
        <w:rPr>
          <w:lang w:val="fr-FR" w:eastAsia="fr-FR" w:bidi="fr-FR"/>
        </w:rPr>
        <w:t>n</w:t>
      </w:r>
      <w:r w:rsidRPr="004B2498">
        <w:rPr>
          <w:lang w:val="fr-FR" w:eastAsia="fr-FR" w:bidi="fr-FR"/>
        </w:rPr>
        <w:t>tando as Mãos et généralement traduit dans les textes en français par Unis dans l’action.</w:t>
      </w:r>
    </w:p>
  </w:footnote>
  <w:footnote w:id="105">
    <w:p w14:paraId="73016FFF" w14:textId="77777777" w:rsidR="002F4063" w:rsidRDefault="002F4063">
      <w:pPr>
        <w:pStyle w:val="Notedebasdepage"/>
      </w:pPr>
      <w:r>
        <w:rPr>
          <w:rStyle w:val="Appelnotedebasdep"/>
        </w:rPr>
        <w:footnoteRef/>
      </w:r>
      <w:r>
        <w:t xml:space="preserve"> </w:t>
      </w:r>
      <w:r>
        <w:tab/>
      </w:r>
      <w:r w:rsidRPr="004B2498">
        <w:t xml:space="preserve">Si l’on compare les données obtenues à travers le contact direct avec les ONG local au Cap-Vert et celles présentes dans le </w:t>
      </w:r>
      <w:r w:rsidRPr="00841759">
        <w:rPr>
          <w:i/>
        </w:rPr>
        <w:t>Guide des ONG du Cap-Vert</w:t>
      </w:r>
      <w:r w:rsidRPr="004B2498">
        <w:t xml:space="preserve"> - le document officiel de présentation du secteur associatif du pays - on s’aperçoit que les informations du guide concernant la description des act</w:t>
      </w:r>
      <w:r w:rsidRPr="004B2498">
        <w:t>i</w:t>
      </w:r>
      <w:r w:rsidRPr="004B2498">
        <w:t>vités réalisées par ces organisations sont très génériques et ne traduisent pas la réalité.</w:t>
      </w:r>
    </w:p>
  </w:footnote>
  <w:footnote w:id="106">
    <w:p w14:paraId="19328652" w14:textId="77777777" w:rsidR="002F4063" w:rsidRDefault="002F4063">
      <w:pPr>
        <w:pStyle w:val="Notedebasdepage"/>
      </w:pPr>
      <w:r>
        <w:rPr>
          <w:rStyle w:val="Appelnotedebasdep"/>
        </w:rPr>
        <w:footnoteRef/>
      </w:r>
      <w:r>
        <w:t xml:space="preserve"> </w:t>
      </w:r>
      <w:r>
        <w:tab/>
      </w:r>
      <w:r w:rsidRPr="004B2498">
        <w:t>Parmi les dix îles qui forment l’archipel du Cap-Vert, São V</w:t>
      </w:r>
      <w:r w:rsidRPr="004B2498">
        <w:t>i</w:t>
      </w:r>
      <w:r w:rsidRPr="004B2498">
        <w:t>cente est la plus proche du continent européen et celle où la tradition culturelle est la plus forte.</w:t>
      </w:r>
    </w:p>
  </w:footnote>
  <w:footnote w:id="107">
    <w:p w14:paraId="4257B4DB" w14:textId="77777777" w:rsidR="002F4063" w:rsidRDefault="002F4063">
      <w:pPr>
        <w:pStyle w:val="Notedebasdepage"/>
      </w:pPr>
      <w:r>
        <w:rPr>
          <w:rStyle w:val="Appelnotedebasdep"/>
        </w:rPr>
        <w:footnoteRef/>
      </w:r>
      <w:r>
        <w:t xml:space="preserve"> </w:t>
      </w:r>
      <w:r>
        <w:tab/>
      </w:r>
      <w:r w:rsidRPr="004B2498">
        <w:t>En langue portugaise, Frentes de Alta Intensidade de Mão de Obra (littér</w:t>
      </w:r>
      <w:r w:rsidRPr="004B2498">
        <w:t>a</w:t>
      </w:r>
      <w:r w:rsidRPr="004B2498">
        <w:t>lement : « Fronts à haute intensité de main-d’œuvre »).</w:t>
      </w:r>
    </w:p>
  </w:footnote>
  <w:footnote w:id="108">
    <w:p w14:paraId="39C210D2" w14:textId="77777777" w:rsidR="002F4063" w:rsidRDefault="002F4063">
      <w:pPr>
        <w:pStyle w:val="Notedebasdepage"/>
      </w:pPr>
      <w:r>
        <w:rPr>
          <w:rStyle w:val="Appelnotedebasdep"/>
        </w:rPr>
        <w:footnoteRef/>
      </w:r>
      <w:r>
        <w:t xml:space="preserve"> </w:t>
      </w:r>
      <w:r>
        <w:tab/>
      </w:r>
      <w:r w:rsidRPr="004B2498">
        <w:t>Entraide entre les membres de la communauté qui travaillent ensemble, sans rémunération et dans des conditions d’égalité pour construire une maison, préparer la fête du mariage d’une famille, etc. Cette pratique existe encore aujourd’hui dans le milieu rural. Dans certaines communautés comme dans la province d’Assomada (île de Santiago) par exemple, la plantation et la cueillette des cultures s</w:t>
      </w:r>
      <w:r w:rsidRPr="004B2498">
        <w:t>i</w:t>
      </w:r>
      <w:r w:rsidRPr="004B2498">
        <w:t>tuées au bord des chemins - ce qui correspondrait communément aux territoires et donc de la propriété de l’État - sont réal</w:t>
      </w:r>
      <w:r w:rsidRPr="004B2498">
        <w:t>i</w:t>
      </w:r>
      <w:r w:rsidRPr="004B2498">
        <w:t>sées collectivement par les femmes. Le résultat final est ensuite partagé e</w:t>
      </w:r>
      <w:r w:rsidRPr="004B2498">
        <w:t>n</w:t>
      </w:r>
      <w:r w:rsidRPr="004B2498">
        <w:t>tre toutes les personnes qui ont participé.</w:t>
      </w:r>
    </w:p>
  </w:footnote>
  <w:footnote w:id="109">
    <w:p w14:paraId="650C2B44" w14:textId="77777777" w:rsidR="002F4063" w:rsidRDefault="002F4063">
      <w:pPr>
        <w:pStyle w:val="Notedebasdepage"/>
      </w:pPr>
      <w:r>
        <w:rPr>
          <w:rStyle w:val="Appelnotedebasdep"/>
        </w:rPr>
        <w:footnoteRef/>
      </w:r>
      <w:r>
        <w:t xml:space="preserve"> </w:t>
      </w:r>
      <w:r>
        <w:tab/>
      </w:r>
      <w:r w:rsidRPr="004B2498">
        <w:t>Entretien réalisé en mars 2009.</w:t>
      </w:r>
    </w:p>
  </w:footnote>
  <w:footnote w:id="110">
    <w:p w14:paraId="1EE4CDE2" w14:textId="77777777" w:rsidR="002F4063" w:rsidRDefault="002F4063">
      <w:pPr>
        <w:pStyle w:val="Notedebasdepage"/>
      </w:pPr>
      <w:r>
        <w:rPr>
          <w:rStyle w:val="Appelnotedebasdep"/>
        </w:rPr>
        <w:footnoteRef/>
      </w:r>
      <w:r>
        <w:t xml:space="preserve"> </w:t>
      </w:r>
      <w:r>
        <w:tab/>
      </w:r>
      <w:r w:rsidRPr="004B2498">
        <w:t>La France est une habituée de cette pratique de jumelage qui lui permet de se faire représenter à un coût relativement faible dans diff</w:t>
      </w:r>
      <w:r w:rsidRPr="004B2498">
        <w:t>é</w:t>
      </w:r>
      <w:r w:rsidRPr="004B2498">
        <w:t>rents endroits du pays. Cependant, il s’agit encore d’actions ponctuelles, sans coordination entre elles ; au même titre que les a</w:t>
      </w:r>
      <w:r w:rsidRPr="004B2498">
        <w:t>u</w:t>
      </w:r>
      <w:r w:rsidRPr="004B2498">
        <w:t>tres actions développementalistes du gouvernement, par-rainées par l’ONU et su</w:t>
      </w:r>
      <w:r w:rsidRPr="004B2498">
        <w:t>r</w:t>
      </w:r>
      <w:r w:rsidRPr="004B2498">
        <w:t>tout via les décisions d’association outremer (DAO).</w:t>
      </w:r>
    </w:p>
  </w:footnote>
  <w:footnote w:id="111">
    <w:p w14:paraId="4ABB2C72" w14:textId="77777777" w:rsidR="002F4063" w:rsidRDefault="002F4063">
      <w:pPr>
        <w:pStyle w:val="Notedebasdepage"/>
      </w:pPr>
      <w:r>
        <w:rPr>
          <w:rStyle w:val="Appelnotedebasdep"/>
        </w:rPr>
        <w:footnoteRef/>
      </w:r>
      <w:r>
        <w:t xml:space="preserve"> </w:t>
      </w:r>
      <w:r>
        <w:tab/>
      </w:r>
      <w:r w:rsidRPr="004B2498">
        <w:t>Entretien réalisé avec Mario Muniz, secrétaire général de la plate-forme d’ONG du Cap-Vert le 17 juin 2010.</w:t>
      </w:r>
    </w:p>
  </w:footnote>
  <w:footnote w:id="112">
    <w:p w14:paraId="09A4E6FC" w14:textId="77777777" w:rsidR="002F4063" w:rsidRDefault="002F4063">
      <w:pPr>
        <w:pStyle w:val="Notedebasdepage"/>
      </w:pPr>
      <w:r>
        <w:rPr>
          <w:rStyle w:val="Appelnotedebasdep"/>
        </w:rPr>
        <w:footnoteRef/>
      </w:r>
      <w:r>
        <w:t xml:space="preserve"> </w:t>
      </w:r>
      <w:r>
        <w:tab/>
      </w:r>
      <w:r w:rsidRPr="004B2498">
        <w:t>Entretien réalisé le 15 juin 2010.</w:t>
      </w:r>
    </w:p>
  </w:footnote>
  <w:footnote w:id="113">
    <w:p w14:paraId="163E15A9" w14:textId="77777777" w:rsidR="002F4063" w:rsidRDefault="002F4063">
      <w:pPr>
        <w:pStyle w:val="Notedebasdepage"/>
      </w:pPr>
      <w:r>
        <w:rPr>
          <w:rStyle w:val="Appelnotedebasdep"/>
        </w:rPr>
        <w:footnoteRef/>
      </w:r>
      <w:r>
        <w:t xml:space="preserve"> </w:t>
      </w:r>
      <w:r>
        <w:tab/>
      </w:r>
      <w:r w:rsidRPr="004B2498">
        <w:t>Entretien réalisé dans la ville de Mindelo (île São Vicente) en juin 2010.</w:t>
      </w:r>
    </w:p>
  </w:footnote>
  <w:footnote w:id="114">
    <w:p w14:paraId="66D1AC24" w14:textId="77777777" w:rsidR="002F4063" w:rsidRDefault="002F4063" w:rsidP="002F4063">
      <w:pPr>
        <w:pStyle w:val="Notedebasdepage"/>
      </w:pPr>
      <w:r>
        <w:rPr>
          <w:rStyle w:val="Appelnotedebasdep"/>
        </w:rPr>
        <w:t>*</w:t>
      </w:r>
      <w:r>
        <w:t xml:space="preserve"> </w:t>
      </w:r>
      <w:r>
        <w:tab/>
      </w:r>
      <w:r w:rsidRPr="004B2498">
        <w:t>Je remercie les collègues qui ont lu et commenté des versions préliminaires de ce papier, en particulier : Bernard Castelli, Be</w:t>
      </w:r>
      <w:r w:rsidRPr="004B2498">
        <w:t>r</w:t>
      </w:r>
      <w:r w:rsidRPr="004B2498">
        <w:t>nard Hours, Adrian Ponze, Graciela Schwartz et Monique Selim.</w:t>
      </w:r>
    </w:p>
  </w:footnote>
  <w:footnote w:id="115">
    <w:p w14:paraId="14C5C051" w14:textId="77777777" w:rsidR="002F4063" w:rsidRDefault="002F4063">
      <w:pPr>
        <w:pStyle w:val="Notedebasdepage"/>
      </w:pPr>
      <w:r>
        <w:rPr>
          <w:rStyle w:val="Appelnotedebasdep"/>
        </w:rPr>
        <w:footnoteRef/>
      </w:r>
      <w:r>
        <w:t xml:space="preserve"> </w:t>
      </w:r>
      <w:r>
        <w:tab/>
      </w:r>
      <w:r w:rsidRPr="004B2498">
        <w:t>Les collectifs de mobilisation étudiés sont multiples: occup</w:t>
      </w:r>
      <w:r w:rsidRPr="004B2498">
        <w:t>a</w:t>
      </w:r>
      <w:r w:rsidRPr="004B2498">
        <w:t>tions des usines par les ouvriers, trocs, assemblées, épargnants ou d</w:t>
      </w:r>
      <w:r w:rsidRPr="004B2498">
        <w:t>e</w:t>
      </w:r>
      <w:r w:rsidRPr="004B2498">
        <w:t>socupados. Voir par exemple Manero, 2003 ; Luzzi, 2007 ; Di Marco, 2007. La notion de ch</w:t>
      </w:r>
      <w:r w:rsidRPr="004B2498">
        <w:t>ô</w:t>
      </w:r>
      <w:r w:rsidRPr="004B2498">
        <w:t>meur en France ne correspond pas exact</w:t>
      </w:r>
      <w:r w:rsidRPr="004B2498">
        <w:t>e</w:t>
      </w:r>
      <w:r w:rsidRPr="004B2498">
        <w:t xml:space="preserve">ment à la notion et à la situation de desocupado en Argentine : être un </w:t>
      </w:r>
      <w:r w:rsidRPr="00C221C6">
        <w:rPr>
          <w:i/>
        </w:rPr>
        <w:t>desocupado</w:t>
      </w:r>
      <w:r w:rsidRPr="004B2498">
        <w:t xml:space="preserve"> n’est pas, au début des a</w:t>
      </w:r>
      <w:r w:rsidRPr="004B2498">
        <w:t>n</w:t>
      </w:r>
      <w:r w:rsidRPr="004B2498">
        <w:t>nées 1990, une condition d’accès aux droits sociaux.</w:t>
      </w:r>
    </w:p>
  </w:footnote>
  <w:footnote w:id="116">
    <w:p w14:paraId="016F91BC" w14:textId="77777777" w:rsidR="002F4063" w:rsidRDefault="002F4063">
      <w:pPr>
        <w:pStyle w:val="Notedebasdepage"/>
      </w:pPr>
      <w:r>
        <w:rPr>
          <w:rStyle w:val="Appelnotedebasdep"/>
        </w:rPr>
        <w:footnoteRef/>
      </w:r>
      <w:r>
        <w:t xml:space="preserve"> </w:t>
      </w:r>
      <w:r>
        <w:tab/>
      </w:r>
      <w:r w:rsidRPr="004B2498">
        <w:t>Des études sur le processus de globalisation confronté à l’action collective semblent aussi chercher les indices d’une société civile gl</w:t>
      </w:r>
      <w:r w:rsidRPr="004B2498">
        <w:t>o</w:t>
      </w:r>
      <w:r w:rsidRPr="004B2498">
        <w:t>bale, à l’appui des phénomènes interconnectés, mais signifiés de m</w:t>
      </w:r>
      <w:r w:rsidRPr="004B2498">
        <w:t>a</w:t>
      </w:r>
      <w:r w:rsidRPr="004B2498">
        <w:t>nière assez diverse par les protagonistes : Anheier, Glasius, Ka</w:t>
      </w:r>
      <w:r w:rsidRPr="004B2498">
        <w:t>l</w:t>
      </w:r>
      <w:r w:rsidRPr="004B2498">
        <w:t>dor (eds.), 2006.</w:t>
      </w:r>
    </w:p>
  </w:footnote>
  <w:footnote w:id="117">
    <w:p w14:paraId="30369684" w14:textId="77777777" w:rsidR="002F4063" w:rsidRDefault="002F4063">
      <w:pPr>
        <w:pStyle w:val="Notedebasdepage"/>
      </w:pPr>
      <w:r>
        <w:rPr>
          <w:rStyle w:val="Appelnotedebasdep"/>
        </w:rPr>
        <w:footnoteRef/>
      </w:r>
      <w:r>
        <w:t xml:space="preserve"> </w:t>
      </w:r>
      <w:r>
        <w:tab/>
      </w:r>
      <w:r w:rsidRPr="004B2498">
        <w:t>Les réflexions proposées ici, font partie d’une recherche auprès des organ</w:t>
      </w:r>
      <w:r w:rsidRPr="004B2498">
        <w:t>i</w:t>
      </w:r>
      <w:r w:rsidRPr="004B2498">
        <w:t xml:space="preserve">sations de travailleurs </w:t>
      </w:r>
      <w:r w:rsidRPr="00C221C6">
        <w:rPr>
          <w:i/>
        </w:rPr>
        <w:t>desocupados</w:t>
      </w:r>
      <w:r w:rsidRPr="004B2498">
        <w:t xml:space="preserve"> (MTD : Mov</w:t>
      </w:r>
      <w:r w:rsidRPr="004B2498">
        <w:t>i</w:t>
      </w:r>
      <w:r w:rsidRPr="004B2498">
        <w:t>miento de Trabajadores Desocupados) dans la région sud du Grand Buenos A</w:t>
      </w:r>
      <w:r w:rsidRPr="004B2498">
        <w:t>i</w:t>
      </w:r>
      <w:r w:rsidRPr="004B2498">
        <w:t>res réalisée pour ma thèse. Je tiens à remercier les membres de ces organisations qui m’ont pe</w:t>
      </w:r>
      <w:r w:rsidRPr="004B2498">
        <w:t>r</w:t>
      </w:r>
      <w:r w:rsidRPr="004B2498">
        <w:t>mis de partager leur expérience avec eux. Les noms ont été modifiés pour prése</w:t>
      </w:r>
      <w:r w:rsidRPr="004B2498">
        <w:t>r</w:t>
      </w:r>
      <w:r w:rsidRPr="004B2498">
        <w:t>ver leur anonymat.</w:t>
      </w:r>
    </w:p>
  </w:footnote>
  <w:footnote w:id="118">
    <w:p w14:paraId="393908CB" w14:textId="77777777" w:rsidR="002F4063" w:rsidRDefault="002F4063">
      <w:pPr>
        <w:pStyle w:val="Notedebasdepage"/>
      </w:pPr>
      <w:r>
        <w:rPr>
          <w:rStyle w:val="Appelnotedebasdep"/>
        </w:rPr>
        <w:footnoteRef/>
      </w:r>
      <w:r>
        <w:t xml:space="preserve"> </w:t>
      </w:r>
      <w:r>
        <w:tab/>
      </w:r>
      <w:r w:rsidRPr="004B2498">
        <w:t>Alfred Schütz (1987 : 12) précise que les «connaissances disponibles» fon</w:t>
      </w:r>
      <w:r w:rsidRPr="004B2498">
        <w:t>c</w:t>
      </w:r>
      <w:r w:rsidRPr="004B2498">
        <w:t>tionnent comme un schème de référence à l’intérieur d</w:t>
      </w:r>
      <w:r w:rsidRPr="004B2498">
        <w:t>u</w:t>
      </w:r>
      <w:r w:rsidRPr="004B2498">
        <w:t>quel se constitue un monde d’objets relationnels.</w:t>
      </w:r>
    </w:p>
  </w:footnote>
  <w:footnote w:id="119">
    <w:p w14:paraId="5C13139F" w14:textId="77777777" w:rsidR="002F4063" w:rsidRDefault="002F4063">
      <w:pPr>
        <w:pStyle w:val="Notedebasdepage"/>
      </w:pPr>
      <w:r>
        <w:rPr>
          <w:rStyle w:val="Appelnotedebasdep"/>
        </w:rPr>
        <w:footnoteRef/>
      </w:r>
      <w:r>
        <w:t xml:space="preserve"> </w:t>
      </w:r>
      <w:r>
        <w:tab/>
      </w:r>
      <w:r w:rsidRPr="004B2498">
        <w:t>Plusieurs ouvrages rassemblent les approches les plus util</w:t>
      </w:r>
      <w:r w:rsidRPr="004B2498">
        <w:t>i</w:t>
      </w:r>
      <w:r w:rsidRPr="004B2498">
        <w:t>sées dans les théories de l’action collective pour l’étude des ph</w:t>
      </w:r>
      <w:r w:rsidRPr="004B2498">
        <w:t>é</w:t>
      </w:r>
      <w:r w:rsidRPr="004B2498">
        <w:t>nomènes considérés : très divers, ils concernent les mouvements sociaux, les mobilisations des foules où des modélisations empruntées à la théorie des jeux : Fillieule (1993), N</w:t>
      </w:r>
      <w:r w:rsidRPr="004B2498">
        <w:t>e</w:t>
      </w:r>
      <w:r w:rsidRPr="004B2498">
        <w:t>veu (2002), Cefaï (2007). Les analyses évoquent la nécessité de trouver des méthodes pertinentes pour l’étude des phénomènes d’action collective, voir par exemple Grimson et Pereyra (2010) ; Hernandez, Ould A</w:t>
      </w:r>
      <w:r w:rsidRPr="004B2498">
        <w:t>h</w:t>
      </w:r>
      <w:r w:rsidRPr="004B2498">
        <w:t>med, Papail, Phelinas (éd.), 2007 ; Jelin (2007) ; Cefaï (2007).</w:t>
      </w:r>
    </w:p>
  </w:footnote>
  <w:footnote w:id="120">
    <w:p w14:paraId="62E4A203" w14:textId="77777777" w:rsidR="002F4063" w:rsidRDefault="002F4063">
      <w:pPr>
        <w:pStyle w:val="Notedebasdepage"/>
      </w:pPr>
      <w:r>
        <w:rPr>
          <w:rStyle w:val="Appelnotedebasdep"/>
        </w:rPr>
        <w:footnoteRef/>
      </w:r>
      <w:r>
        <w:t xml:space="preserve"> </w:t>
      </w:r>
      <w:r>
        <w:tab/>
      </w:r>
      <w:r w:rsidRPr="004B2498">
        <w:t>Le terme d’infrapolitique a été utilisé en France, notamment dans certains comptes rendus des émeutes de 2005 (Hériard, D</w:t>
      </w:r>
      <w:r w:rsidRPr="004B2498">
        <w:t>u</w:t>
      </w:r>
      <w:r w:rsidRPr="004B2498">
        <w:t>breuil, 2007).</w:t>
      </w:r>
    </w:p>
  </w:footnote>
  <w:footnote w:id="121">
    <w:p w14:paraId="78283277" w14:textId="77777777" w:rsidR="002F4063" w:rsidRDefault="002F4063">
      <w:pPr>
        <w:pStyle w:val="Notedebasdepage"/>
      </w:pPr>
      <w:r>
        <w:rPr>
          <w:rStyle w:val="Appelnotedebasdep"/>
        </w:rPr>
        <w:footnoteRef/>
      </w:r>
      <w:r>
        <w:t xml:space="preserve"> </w:t>
      </w:r>
      <w:r>
        <w:tab/>
      </w:r>
      <w:r w:rsidRPr="004B2498">
        <w:rPr>
          <w:lang w:eastAsia="fr-FR" w:bidi="fr-FR"/>
        </w:rPr>
        <w:t>Il y a dans ce domaine des exceptions et des changements de r</w:t>
      </w:r>
      <w:r w:rsidRPr="004B2498">
        <w:rPr>
          <w:lang w:eastAsia="fr-FR" w:bidi="fr-FR"/>
        </w:rPr>
        <w:t>e</w:t>
      </w:r>
      <w:r w:rsidRPr="004B2498">
        <w:rPr>
          <w:lang w:eastAsia="fr-FR" w:bidi="fr-FR"/>
        </w:rPr>
        <w:t>gistre au cours du temps. Les journaux sont tout de même une source d’informations qui peut être utilisée de manière critique.</w:t>
      </w:r>
    </w:p>
  </w:footnote>
  <w:footnote w:id="122">
    <w:p w14:paraId="3924F638" w14:textId="77777777" w:rsidR="002F4063" w:rsidRDefault="002F4063">
      <w:pPr>
        <w:pStyle w:val="Notedebasdepage"/>
      </w:pPr>
      <w:r>
        <w:rPr>
          <w:rStyle w:val="Appelnotedebasdep"/>
        </w:rPr>
        <w:footnoteRef/>
      </w:r>
      <w:r>
        <w:t xml:space="preserve"> </w:t>
      </w:r>
      <w:r>
        <w:tab/>
      </w:r>
      <w:r w:rsidRPr="004B2498">
        <w:rPr>
          <w:lang w:eastAsia="fr-FR" w:bidi="fr-FR"/>
        </w:rPr>
        <w:t>Le district de Berazategui, localisé dans le Sud du Grand Bu</w:t>
      </w:r>
      <w:r w:rsidRPr="004B2498">
        <w:rPr>
          <w:lang w:eastAsia="fr-FR" w:bidi="fr-FR"/>
        </w:rPr>
        <w:t>e</w:t>
      </w:r>
      <w:r w:rsidRPr="004B2498">
        <w:rPr>
          <w:lang w:eastAsia="fr-FR" w:bidi="fr-FR"/>
        </w:rPr>
        <w:t>nos Aires, compte 287 000 habitants (INDEC, 2001). En 2002, le taux de chômage de cette zone industrielle était de 30%.</w:t>
      </w:r>
    </w:p>
  </w:footnote>
  <w:footnote w:id="123">
    <w:p w14:paraId="5A0686E7" w14:textId="77777777" w:rsidR="002F4063" w:rsidRDefault="002F4063">
      <w:pPr>
        <w:pStyle w:val="Notedebasdepage"/>
      </w:pPr>
      <w:r>
        <w:rPr>
          <w:rStyle w:val="Appelnotedebasdep"/>
        </w:rPr>
        <w:footnoteRef/>
      </w:r>
      <w:r>
        <w:t xml:space="preserve"> </w:t>
      </w:r>
      <w:r>
        <w:tab/>
      </w:r>
      <w:r w:rsidRPr="004B2498">
        <w:rPr>
          <w:lang w:eastAsia="fr-FR" w:bidi="fr-FR"/>
        </w:rPr>
        <w:t>Marina, déléguée du MTD, Berazategui, juin 2005. Nous soul</w:t>
      </w:r>
      <w:r w:rsidRPr="004B2498">
        <w:rPr>
          <w:lang w:eastAsia="fr-FR" w:bidi="fr-FR"/>
        </w:rPr>
        <w:t>i</w:t>
      </w:r>
      <w:r w:rsidRPr="004B2498">
        <w:rPr>
          <w:lang w:eastAsia="fr-FR" w:bidi="fr-FR"/>
        </w:rPr>
        <w:t>gnons ici le rapprochement du regard extérieur comme étant de la f</w:t>
      </w:r>
      <w:r w:rsidRPr="004B2498">
        <w:rPr>
          <w:lang w:eastAsia="fr-FR" w:bidi="fr-FR"/>
        </w:rPr>
        <w:t>o</w:t>
      </w:r>
      <w:r w:rsidRPr="004B2498">
        <w:rPr>
          <w:lang w:eastAsia="fr-FR" w:bidi="fr-FR"/>
        </w:rPr>
        <w:t>lie. Pour le lecteur familiarisé avec la langue espagnole voici les te</w:t>
      </w:r>
      <w:r w:rsidRPr="004B2498">
        <w:rPr>
          <w:lang w:eastAsia="fr-FR" w:bidi="fr-FR"/>
        </w:rPr>
        <w:t>r</w:t>
      </w:r>
      <w:r w:rsidRPr="004B2498">
        <w:rPr>
          <w:lang w:eastAsia="fr-FR" w:bidi="fr-FR"/>
        </w:rPr>
        <w:t>mes employés par Marina : Yo, digamos que a esto lo veia mal. que corten y todo eso, porque mi mar</w:t>
      </w:r>
      <w:r w:rsidRPr="004B2498">
        <w:rPr>
          <w:lang w:eastAsia="fr-FR" w:bidi="fr-FR"/>
        </w:rPr>
        <w:t>i</w:t>
      </w:r>
      <w:r w:rsidRPr="004B2498">
        <w:rPr>
          <w:lang w:eastAsia="fr-FR" w:bidi="fr-FR"/>
        </w:rPr>
        <w:t>do ténia un buen trabajo. Yo de afuera lo veia como una locura, como que nada que ver, no les dan bola [pensabaj. Verlo de adentro cambia, porque uno sale a luchar por si mismo, por lo que quiere, por su Jamilia, para tener algo de por si. Verlo de adentro es una cosa y verlo de afuera es otra cosa. [...] Y la misma gente que ahora ve en la tele y dice "que esto que lo otro", se acerca y te pregunta : "che, ¿puedo eslar con ustedes</w:t>
      </w:r>
      <w:r>
        <w:rPr>
          <w:lang w:eastAsia="fr-FR" w:bidi="fr-FR"/>
        </w:rPr>
        <w:t> </w:t>
      </w:r>
      <w:r w:rsidRPr="004B2498">
        <w:rPr>
          <w:lang w:eastAsia="fr-FR" w:bidi="fr-FR"/>
        </w:rPr>
        <w:t>?" "Quiero ser p</w:t>
      </w:r>
      <w:r w:rsidRPr="004B2498">
        <w:rPr>
          <w:lang w:eastAsia="fr-FR" w:bidi="fr-FR"/>
        </w:rPr>
        <w:t>i</w:t>
      </w:r>
      <w:r w:rsidRPr="004B2498">
        <w:rPr>
          <w:lang w:eastAsia="fr-FR" w:bidi="fr-FR"/>
        </w:rPr>
        <w:t>quetero" te dicen ellos. Y digamos que bueno, piquetero es un no</w:t>
      </w:r>
      <w:r w:rsidRPr="004B2498">
        <w:rPr>
          <w:lang w:eastAsia="fr-FR" w:bidi="fr-FR"/>
        </w:rPr>
        <w:t>m</w:t>
      </w:r>
      <w:r w:rsidRPr="004B2498">
        <w:rPr>
          <w:lang w:eastAsia="fr-FR" w:bidi="fr-FR"/>
        </w:rPr>
        <w:t>bre que nos puso el gobierno a nosotros pero digamos, nosotros somos personas c</w:t>
      </w:r>
      <w:r w:rsidRPr="004B2498">
        <w:rPr>
          <w:lang w:eastAsia="fr-FR" w:bidi="fr-FR"/>
        </w:rPr>
        <w:t>o</w:t>
      </w:r>
      <w:r w:rsidRPr="004B2498">
        <w:rPr>
          <w:lang w:eastAsia="fr-FR" w:bidi="fr-FR"/>
        </w:rPr>
        <w:t>munes y corrientes que salimos a reclamar lo nuestro. Y hay gente que se te arrima y te pr</w:t>
      </w:r>
      <w:r w:rsidRPr="004B2498">
        <w:rPr>
          <w:lang w:eastAsia="fr-FR" w:bidi="fr-FR"/>
        </w:rPr>
        <w:t>e</w:t>
      </w:r>
      <w:r w:rsidRPr="004B2498">
        <w:rPr>
          <w:lang w:eastAsia="fr-FR" w:bidi="fr-FR"/>
        </w:rPr>
        <w:t>gunta y vos le explicás y le decis y después las vemos al lado nuestro en las marchas y los piquetes.</w:t>
      </w:r>
    </w:p>
  </w:footnote>
  <w:footnote w:id="124">
    <w:p w14:paraId="47722D79" w14:textId="77777777" w:rsidR="002F4063" w:rsidRDefault="002F4063">
      <w:pPr>
        <w:pStyle w:val="Notedebasdepage"/>
      </w:pPr>
      <w:r>
        <w:rPr>
          <w:rStyle w:val="Appelnotedebasdep"/>
        </w:rPr>
        <w:footnoteRef/>
      </w:r>
      <w:r>
        <w:t xml:space="preserve"> </w:t>
      </w:r>
      <w:r>
        <w:tab/>
      </w:r>
      <w:r w:rsidRPr="004B2498">
        <w:rPr>
          <w:lang w:eastAsia="fr-FR" w:bidi="fr-FR"/>
        </w:rPr>
        <w:t>Par ailleurs, il faut se garder de généraliser l’étroit rapport entre la Centr</w:t>
      </w:r>
      <w:r w:rsidRPr="004B2498">
        <w:rPr>
          <w:lang w:eastAsia="fr-FR" w:bidi="fr-FR"/>
        </w:rPr>
        <w:t>a</w:t>
      </w:r>
      <w:r w:rsidRPr="004B2498">
        <w:rPr>
          <w:lang w:eastAsia="fr-FR" w:bidi="fr-FR"/>
        </w:rPr>
        <w:t>le des travailleurs argentins (CTA) et la FTV, étudiées par Rauber (2002), à l’ensemble des organisations piqueteras.</w:t>
      </w:r>
    </w:p>
  </w:footnote>
  <w:footnote w:id="125">
    <w:p w14:paraId="024767D5" w14:textId="77777777" w:rsidR="002F4063" w:rsidRDefault="002F4063">
      <w:pPr>
        <w:pStyle w:val="Notedebasdepage"/>
      </w:pPr>
      <w:r>
        <w:rPr>
          <w:rStyle w:val="Appelnotedebasdep"/>
        </w:rPr>
        <w:footnoteRef/>
      </w:r>
      <w:r>
        <w:t xml:space="preserve"> </w:t>
      </w:r>
      <w:r>
        <w:tab/>
      </w:r>
      <w:r w:rsidRPr="004B2498">
        <w:t>Vecinos, terme espagnol sans équivalent français : à la fois proches (gé</w:t>
      </w:r>
      <w:r w:rsidRPr="004B2498">
        <w:t>o</w:t>
      </w:r>
      <w:r w:rsidRPr="004B2498">
        <w:t>graphiquement et/ou socialement), voisins, habitants, c</w:t>
      </w:r>
      <w:r w:rsidRPr="004B2498">
        <w:t>i</w:t>
      </w:r>
      <w:r w:rsidRPr="004B2498">
        <w:t>toyens... en fonction du contexte.</w:t>
      </w:r>
    </w:p>
  </w:footnote>
  <w:footnote w:id="126">
    <w:p w14:paraId="086706F0" w14:textId="77777777" w:rsidR="002F4063" w:rsidRDefault="002F4063">
      <w:pPr>
        <w:pStyle w:val="Notedebasdepage"/>
      </w:pPr>
      <w:r>
        <w:rPr>
          <w:rStyle w:val="Appelnotedebasdep"/>
        </w:rPr>
        <w:footnoteRef/>
      </w:r>
      <w:r>
        <w:t xml:space="preserve"> </w:t>
      </w:r>
      <w:r>
        <w:tab/>
      </w:r>
      <w:r w:rsidRPr="004B2498">
        <w:t>De ce fait la difficulté n’est pas particulière à l’analyse des o</w:t>
      </w:r>
      <w:r w:rsidRPr="004B2498">
        <w:t>r</w:t>
      </w:r>
      <w:r w:rsidRPr="004B2498">
        <w:t>ganisations de desocupados mais reprend des limites déjà présentes lors des études des m</w:t>
      </w:r>
      <w:r w:rsidRPr="004B2498">
        <w:t>o</w:t>
      </w:r>
      <w:r w:rsidRPr="004B2498">
        <w:t>bilisations sociales pendant les a</w:t>
      </w:r>
      <w:r w:rsidRPr="004B2498">
        <w:t>n</w:t>
      </w:r>
      <w:r w:rsidRPr="004B2498">
        <w:t>nées 1980. Voir par exemple Jelin, 1986 ; Di Marco, 2007.</w:t>
      </w:r>
    </w:p>
  </w:footnote>
  <w:footnote w:id="127">
    <w:p w14:paraId="7381CD46" w14:textId="77777777" w:rsidR="002F4063" w:rsidRDefault="002F4063">
      <w:pPr>
        <w:pStyle w:val="Notedebasdepage"/>
      </w:pPr>
      <w:r>
        <w:rPr>
          <w:rStyle w:val="Appelnotedebasdep"/>
        </w:rPr>
        <w:footnoteRef/>
      </w:r>
      <w:r>
        <w:t xml:space="preserve"> </w:t>
      </w:r>
      <w:r>
        <w:tab/>
      </w:r>
      <w:r w:rsidRPr="004B2498">
        <w:t>Dans le même sens, cf. Laufer et Spiguel, 1999 ; Lenguita, 2002 ; Klachko, 2002 ; Sigal, 2003. Des recherches plus récentes tâchent d’inclure les témo</w:t>
      </w:r>
      <w:r w:rsidRPr="004B2498">
        <w:t>i</w:t>
      </w:r>
      <w:r w:rsidRPr="004B2498">
        <w:t>gnages de membres non dirigeants, par ex. Couso, 2006 ; ainsi que Quiros, 2009.</w:t>
      </w:r>
    </w:p>
  </w:footnote>
  <w:footnote w:id="128">
    <w:p w14:paraId="55ACEE14" w14:textId="77777777" w:rsidR="002F4063" w:rsidRDefault="002F4063">
      <w:pPr>
        <w:pStyle w:val="Notedebasdepage"/>
      </w:pPr>
      <w:r>
        <w:rPr>
          <w:rStyle w:val="Appelnotedebasdep"/>
        </w:rPr>
        <w:footnoteRef/>
      </w:r>
      <w:r>
        <w:t xml:space="preserve"> </w:t>
      </w:r>
      <w:r>
        <w:tab/>
      </w:r>
      <w:r w:rsidRPr="004B2498">
        <w:t>Nous reviendrons sur cette enquête.</w:t>
      </w:r>
    </w:p>
  </w:footnote>
  <w:footnote w:id="129">
    <w:p w14:paraId="66366954" w14:textId="77777777" w:rsidR="002F4063" w:rsidRDefault="002F4063">
      <w:pPr>
        <w:pStyle w:val="Notedebasdepage"/>
      </w:pPr>
      <w:r>
        <w:rPr>
          <w:rStyle w:val="Appelnotedebasdep"/>
        </w:rPr>
        <w:footnoteRef/>
      </w:r>
      <w:r>
        <w:t xml:space="preserve"> </w:t>
      </w:r>
      <w:r>
        <w:tab/>
      </w:r>
      <w:r w:rsidRPr="004B2498">
        <w:t>Les figures stigmatisées varient au cours du temps. Pendant la dernière di</w:t>
      </w:r>
      <w:r w:rsidRPr="004B2498">
        <w:t>c</w:t>
      </w:r>
      <w:r w:rsidRPr="004B2498">
        <w:t>tature (1976-1983) notamment, les mères de la place de Mai, qui récl</w:t>
      </w:r>
      <w:r w:rsidRPr="004B2498">
        <w:t>a</w:t>
      </w:r>
      <w:r w:rsidRPr="004B2498">
        <w:t>maient leurs enfants disparus étaient appelées les folles de la place de Mai.</w:t>
      </w:r>
    </w:p>
  </w:footnote>
  <w:footnote w:id="130">
    <w:p w14:paraId="5073A337" w14:textId="77777777" w:rsidR="002F4063" w:rsidRDefault="002F4063">
      <w:pPr>
        <w:pStyle w:val="Notedebasdepage"/>
      </w:pPr>
      <w:r>
        <w:rPr>
          <w:rStyle w:val="Appelnotedebasdep"/>
        </w:rPr>
        <w:footnoteRef/>
      </w:r>
      <w:r>
        <w:t xml:space="preserve"> </w:t>
      </w:r>
      <w:r>
        <w:tab/>
      </w:r>
      <w:r w:rsidRPr="004B2498">
        <w:t>Les commentaires des médias sont souvent discutés dans les assemblées. Lors des campements, il est ainsi habituel de voir ci</w:t>
      </w:r>
      <w:r w:rsidRPr="004B2498">
        <w:t>r</w:t>
      </w:r>
      <w:r w:rsidRPr="004B2498">
        <w:t>culer la presse nationale ou locale parmi ceux qui ont passé la nuit dans la rue. Cette mise à distance dans le récit côtoie l’appropriation du nom de piqueteros dans les chants scandés pendant les manifestations. C’est pourquoi, l’enquête sur les man</w:t>
      </w:r>
      <w:r w:rsidRPr="004B2498">
        <w:t>i</w:t>
      </w:r>
      <w:r w:rsidRPr="004B2498">
        <w:t>festations de protestation d</w:t>
      </w:r>
      <w:r w:rsidRPr="004B2498">
        <w:t>e</w:t>
      </w:r>
      <w:r w:rsidRPr="004B2498">
        <w:t>vrait s’insérer dans une enquête plus large concernant les lieux de vie et de travail des membres.</w:t>
      </w:r>
    </w:p>
  </w:footnote>
  <w:footnote w:id="131">
    <w:p w14:paraId="7F495DCD" w14:textId="77777777" w:rsidR="002F4063" w:rsidRDefault="002F4063">
      <w:pPr>
        <w:pStyle w:val="Notedebasdepage"/>
      </w:pPr>
      <w:r>
        <w:rPr>
          <w:rStyle w:val="Appelnotedebasdep"/>
        </w:rPr>
        <w:footnoteRef/>
      </w:r>
      <w:r>
        <w:t xml:space="preserve"> </w:t>
      </w:r>
      <w:r>
        <w:tab/>
      </w:r>
      <w:r w:rsidRPr="004B2498">
        <w:t xml:space="preserve">Nous reprenons ici une partie des résultats de cette enquête comparant les journaux </w:t>
      </w:r>
      <w:r w:rsidRPr="000D52EC">
        <w:rPr>
          <w:i/>
        </w:rPr>
        <w:t>La Nación</w:t>
      </w:r>
      <w:r w:rsidRPr="004B2498">
        <w:t xml:space="preserve"> et </w:t>
      </w:r>
      <w:r w:rsidRPr="000D52EC">
        <w:rPr>
          <w:i/>
        </w:rPr>
        <w:t>Pagina/12</w:t>
      </w:r>
      <w:r w:rsidRPr="004B2498">
        <w:t>.</w:t>
      </w:r>
    </w:p>
  </w:footnote>
  <w:footnote w:id="132">
    <w:p w14:paraId="3CA08619" w14:textId="77777777" w:rsidR="002F4063" w:rsidRDefault="002F4063">
      <w:pPr>
        <w:pStyle w:val="Notedebasdepage"/>
      </w:pPr>
      <w:r>
        <w:rPr>
          <w:rStyle w:val="Appelnotedebasdep"/>
        </w:rPr>
        <w:footnoteRef/>
      </w:r>
      <w:r>
        <w:t xml:space="preserve"> </w:t>
      </w:r>
      <w:r>
        <w:tab/>
      </w:r>
      <w:r w:rsidRPr="004B2498">
        <w:t>Une autre prétention de ce quotidien est de se situer sur la scène internati</w:t>
      </w:r>
      <w:r w:rsidRPr="004B2498">
        <w:t>o</w:t>
      </w:r>
      <w:r w:rsidRPr="004B2498">
        <w:t>nale. Dans sa présentation digitale, on souligne la reco</w:t>
      </w:r>
      <w:r w:rsidRPr="004B2498">
        <w:t>n</w:t>
      </w:r>
      <w:r w:rsidRPr="004B2498">
        <w:t>naissance du journal à l’étranger. C’est le seul journal a</w:t>
      </w:r>
      <w:r w:rsidRPr="004B2498">
        <w:t>r</w:t>
      </w:r>
      <w:r w:rsidRPr="004B2498">
        <w:t>gentin qui ait une version internationale en papier, distribuée chaque semaine dans les bibliothèques et universités du monde occidental. Autre caractéristique à ce sujet : la mention dans le qu</w:t>
      </w:r>
      <w:r w:rsidRPr="004B2498">
        <w:t>o</w:t>
      </w:r>
      <w:r w:rsidRPr="004B2498">
        <w:t>tidien du 11 février 2002 de la réception par la presse étrangère des inform</w:t>
      </w:r>
      <w:r w:rsidRPr="004B2498">
        <w:t>a</w:t>
      </w:r>
      <w:r w:rsidRPr="004B2498">
        <w:t>tions concernant les pr</w:t>
      </w:r>
      <w:r w:rsidRPr="004B2498">
        <w:t>o</w:t>
      </w:r>
      <w:r w:rsidRPr="004B2498">
        <w:t>testations ayant lieu en Argentine : une manière de se pl</w:t>
      </w:r>
      <w:r w:rsidRPr="004B2498">
        <w:t>a</w:t>
      </w:r>
      <w:r w:rsidRPr="004B2498">
        <w:t xml:space="preserve">cer à côté du </w:t>
      </w:r>
      <w:r w:rsidRPr="000D52EC">
        <w:rPr>
          <w:i/>
        </w:rPr>
        <w:t>Washingont Post</w:t>
      </w:r>
      <w:r w:rsidRPr="004B2498">
        <w:t xml:space="preserve">, et du </w:t>
      </w:r>
      <w:r w:rsidRPr="000D52EC">
        <w:rPr>
          <w:i/>
        </w:rPr>
        <w:t>Financial Times</w:t>
      </w:r>
      <w:r w:rsidRPr="004B2498">
        <w:t xml:space="preserve">. Alejandra Rey, “La prensa internacional frente al nuevo léxico del cacerolazo”, </w:t>
      </w:r>
      <w:r w:rsidRPr="000D52EC">
        <w:rPr>
          <w:i/>
        </w:rPr>
        <w:t>La N</w:t>
      </w:r>
      <w:r w:rsidRPr="000D52EC">
        <w:rPr>
          <w:i/>
        </w:rPr>
        <w:t>a</w:t>
      </w:r>
      <w:r w:rsidRPr="000D52EC">
        <w:rPr>
          <w:i/>
        </w:rPr>
        <w:t>ción </w:t>
      </w:r>
      <w:r w:rsidRPr="004B2498">
        <w:t>, 11-02-02, p. 6.</w:t>
      </w:r>
    </w:p>
  </w:footnote>
  <w:footnote w:id="133">
    <w:p w14:paraId="75453409" w14:textId="77777777" w:rsidR="002F4063" w:rsidRDefault="002F4063">
      <w:pPr>
        <w:pStyle w:val="Notedebasdepage"/>
      </w:pPr>
      <w:r>
        <w:rPr>
          <w:rStyle w:val="Appelnotedebasdep"/>
        </w:rPr>
        <w:footnoteRef/>
      </w:r>
      <w:r>
        <w:t xml:space="preserve"> </w:t>
      </w:r>
      <w:r>
        <w:tab/>
      </w:r>
      <w:r w:rsidRPr="004B2498">
        <w:t>“</w:t>
      </w:r>
      <w:r w:rsidRPr="000D52EC">
        <w:rPr>
          <w:i/>
        </w:rPr>
        <w:t>Los piqueteros de ta CCC se endurecen</w:t>
      </w:r>
      <w:r w:rsidRPr="004B2498">
        <w:t xml:space="preserve">”, </w:t>
      </w:r>
      <w:r w:rsidRPr="000D52EC">
        <w:rPr>
          <w:i/>
        </w:rPr>
        <w:t>La Nación</w:t>
      </w:r>
      <w:r w:rsidRPr="004B2498">
        <w:t>, “Polit</w:t>
      </w:r>
      <w:r w:rsidRPr="004B2498">
        <w:t>i</w:t>
      </w:r>
      <w:r w:rsidRPr="004B2498">
        <w:t>ca”, 4-02-02, p. 10.</w:t>
      </w:r>
    </w:p>
  </w:footnote>
  <w:footnote w:id="134">
    <w:p w14:paraId="7AEA3DFE" w14:textId="77777777" w:rsidR="002F4063" w:rsidRDefault="002F4063">
      <w:pPr>
        <w:pStyle w:val="Notedebasdepage"/>
      </w:pPr>
      <w:r>
        <w:rPr>
          <w:rStyle w:val="Appelnotedebasdep"/>
        </w:rPr>
        <w:footnoteRef/>
      </w:r>
      <w:r>
        <w:t xml:space="preserve"> </w:t>
      </w:r>
      <w:r>
        <w:tab/>
      </w:r>
      <w:r w:rsidRPr="004B2498">
        <w:t>“</w:t>
      </w:r>
      <w:r w:rsidRPr="000D52EC">
        <w:rPr>
          <w:i/>
        </w:rPr>
        <w:t>De las protestas a los logros concretos</w:t>
      </w:r>
      <w:r w:rsidRPr="004B2498">
        <w:t xml:space="preserve">", </w:t>
      </w:r>
      <w:r w:rsidRPr="000D52EC">
        <w:rPr>
          <w:i/>
        </w:rPr>
        <w:t>idem</w:t>
      </w:r>
      <w:r w:rsidRPr="004B2498">
        <w:t>. Étant donné que l’article souligne les propositions de reformes politiques présentées par des associ</w:t>
      </w:r>
      <w:r w:rsidRPr="004B2498">
        <w:t>a</w:t>
      </w:r>
      <w:r w:rsidRPr="004B2498">
        <w:t>tions, le piquete apparaît comme un élément de stagnation et les autres fo</w:t>
      </w:r>
      <w:r w:rsidRPr="004B2498">
        <w:t>r</w:t>
      </w:r>
      <w:r w:rsidRPr="004B2498">
        <w:t>mes d’organisation comme des éléments de transformation nécessaires (puisque le journal so</w:t>
      </w:r>
      <w:r w:rsidRPr="004B2498">
        <w:t>u</w:t>
      </w:r>
      <w:r w:rsidRPr="004B2498">
        <w:t>tient la nécessité d’une réforme politique en tenues de réduction du déficit fiscal) : “Nada más que otra exhibición de fuerza."</w:t>
      </w:r>
    </w:p>
  </w:footnote>
  <w:footnote w:id="135">
    <w:p w14:paraId="07593BE1" w14:textId="77777777" w:rsidR="002F4063" w:rsidRDefault="002F4063">
      <w:pPr>
        <w:pStyle w:val="Notedebasdepage"/>
      </w:pPr>
      <w:r>
        <w:rPr>
          <w:rStyle w:val="Appelnotedebasdep"/>
        </w:rPr>
        <w:footnoteRef/>
      </w:r>
      <w:r>
        <w:t xml:space="preserve"> </w:t>
      </w:r>
      <w:r>
        <w:tab/>
      </w:r>
      <w:r w:rsidRPr="000D52EC">
        <w:rPr>
          <w:i/>
        </w:rPr>
        <w:t>La Nación</w:t>
      </w:r>
      <w:r w:rsidRPr="004B2498">
        <w:t>, 12-02-03, p. 1,</w:t>
      </w:r>
      <w:r>
        <w:t xml:space="preserve"> </w:t>
      </w:r>
      <w:r w:rsidRPr="004B2498">
        <w:t>7 et 13.</w:t>
      </w:r>
    </w:p>
  </w:footnote>
  <w:footnote w:id="136">
    <w:p w14:paraId="055ACAEF" w14:textId="77777777" w:rsidR="002F4063" w:rsidRDefault="002F4063">
      <w:pPr>
        <w:pStyle w:val="Notedebasdepage"/>
      </w:pPr>
      <w:r>
        <w:rPr>
          <w:rStyle w:val="Appelnotedebasdep"/>
        </w:rPr>
        <w:footnoteRef/>
      </w:r>
      <w:r>
        <w:t xml:space="preserve"> </w:t>
      </w:r>
      <w:r>
        <w:tab/>
      </w:r>
      <w:r w:rsidRPr="004B2498">
        <w:t>“</w:t>
      </w:r>
      <w:r w:rsidRPr="000D52EC">
        <w:rPr>
          <w:i/>
        </w:rPr>
        <w:t>Nada más que otra exhibition de fuerza</w:t>
      </w:r>
      <w:r w:rsidRPr="004B2498">
        <w:t xml:space="preserve">,” </w:t>
      </w:r>
      <w:r w:rsidRPr="000D52EC">
        <w:rPr>
          <w:i/>
        </w:rPr>
        <w:t>La N</w:t>
      </w:r>
      <w:r w:rsidRPr="000D52EC">
        <w:rPr>
          <w:i/>
        </w:rPr>
        <w:t>a</w:t>
      </w:r>
      <w:r w:rsidRPr="000D52EC">
        <w:rPr>
          <w:i/>
        </w:rPr>
        <w:t>ción</w:t>
      </w:r>
      <w:r w:rsidRPr="004B2498">
        <w:t>, 12-02-02, p. 7. La distribution globale des articles montre que l'information sur les piqueteros apparaît dans la section «</w:t>
      </w:r>
      <w:r>
        <w:t> </w:t>
      </w:r>
      <w:r w:rsidRPr="004B2498">
        <w:t>Politique économique</w:t>
      </w:r>
      <w:r>
        <w:t> </w:t>
      </w:r>
      <w:r w:rsidRPr="004B2498">
        <w:t>», où nous trouvons six t</w:t>
      </w:r>
      <w:r w:rsidRPr="004B2498">
        <w:t>i</w:t>
      </w:r>
      <w:r w:rsidRPr="004B2498">
        <w:t>tres. Dans la section «</w:t>
      </w:r>
      <w:r>
        <w:t> </w:t>
      </w:r>
      <w:r w:rsidRPr="004B2498">
        <w:t>Pol</w:t>
      </w:r>
      <w:r w:rsidRPr="004B2498">
        <w:t>i</w:t>
      </w:r>
      <w:r w:rsidRPr="004B2498">
        <w:t>tique et Opinion</w:t>
      </w:r>
      <w:r>
        <w:t> </w:t>
      </w:r>
      <w:r w:rsidRPr="004B2498">
        <w:t>» nous trouvons quatre articles. Finalement, il y a aussi un article dans la section «</w:t>
      </w:r>
      <w:r>
        <w:t> </w:t>
      </w:r>
      <w:r w:rsidRPr="004B2498">
        <w:t>Notes</w:t>
      </w:r>
      <w:r>
        <w:t> </w:t>
      </w:r>
      <w:r w:rsidRPr="004B2498">
        <w:t>» et un parmi l’«</w:t>
      </w:r>
      <w:r>
        <w:t> </w:t>
      </w:r>
      <w:r w:rsidRPr="004B2498">
        <w:t>Info</w:t>
      </w:r>
      <w:r w:rsidRPr="004B2498">
        <w:t>r</w:t>
      </w:r>
      <w:r w:rsidRPr="004B2498">
        <w:t>mation générale</w:t>
      </w:r>
      <w:r>
        <w:t> </w:t>
      </w:r>
      <w:r w:rsidRPr="004B2498">
        <w:t>».</w:t>
      </w:r>
    </w:p>
  </w:footnote>
  <w:footnote w:id="137">
    <w:p w14:paraId="0727DC0A" w14:textId="77777777" w:rsidR="002F4063" w:rsidRDefault="002F4063">
      <w:pPr>
        <w:pStyle w:val="Notedebasdepage"/>
      </w:pPr>
      <w:r>
        <w:rPr>
          <w:rStyle w:val="Appelnotedebasdep"/>
        </w:rPr>
        <w:footnoteRef/>
      </w:r>
      <w:r>
        <w:t xml:space="preserve"> </w:t>
      </w:r>
      <w:r>
        <w:tab/>
      </w:r>
      <w:r w:rsidRPr="004B2498">
        <w:t>L’analyse politique de ce dirigeant de La Verón, a été fo</w:t>
      </w:r>
      <w:r w:rsidRPr="004B2498">
        <w:t>r</w:t>
      </w:r>
      <w:r w:rsidRPr="004B2498">
        <w:t>mulée en avril 2003, à la veille des élections présidentielles. Il év</w:t>
      </w:r>
      <w:r w:rsidRPr="004B2498">
        <w:t>o</w:t>
      </w:r>
      <w:r w:rsidRPr="004B2498">
        <w:t>que l’emprisonnement d’un dirigeant piquetcro du Nord du pays, P. Fe</w:t>
      </w:r>
      <w:r w:rsidRPr="004B2498">
        <w:t>r</w:t>
      </w:r>
      <w:r w:rsidRPr="004B2498">
        <w:t>nández : Lo único que tiene preparado [el estahlishementj para nos</w:t>
      </w:r>
      <w:r w:rsidRPr="004B2498">
        <w:t>o</w:t>
      </w:r>
      <w:r w:rsidRPr="004B2498">
        <w:t>lros es el garrote. Eso lo sabemos, algunos lo van a hacer mas rápido y otros lo harán mas lento pero eso se viene. Por eso mismo nos eslamos movilizando. En principio por solidaridad con los companeros y ta</w:t>
      </w:r>
      <w:r w:rsidRPr="004B2498">
        <w:t>m</w:t>
      </w:r>
      <w:r w:rsidRPr="004B2498">
        <w:t>bién porque entendemos que donde tocan a uno, tocan a todos. Entendemos que estas cosas no hay que deja</w:t>
      </w:r>
      <w:r w:rsidRPr="004B2498">
        <w:t>r</w:t>
      </w:r>
      <w:r w:rsidRPr="004B2498">
        <w:t>las pasar porque si las dejas pasar se generalizan.</w:t>
      </w:r>
    </w:p>
  </w:footnote>
  <w:footnote w:id="138">
    <w:p w14:paraId="1F311B5D" w14:textId="77777777" w:rsidR="002F4063" w:rsidRDefault="002F4063">
      <w:pPr>
        <w:pStyle w:val="Notedebasdepage"/>
      </w:pPr>
      <w:r>
        <w:rPr>
          <w:rStyle w:val="Appelnotedebasdep"/>
        </w:rPr>
        <w:footnoteRef/>
      </w:r>
      <w:r>
        <w:t xml:space="preserve"> </w:t>
      </w:r>
      <w:r>
        <w:tab/>
      </w:r>
      <w:r w:rsidRPr="004B2498">
        <w:t>Le slogan même (cuando tocan a uno, nos tocan a todos) y puise son orig</w:t>
      </w:r>
      <w:r w:rsidRPr="004B2498">
        <w:t>i</w:t>
      </w:r>
      <w:r w:rsidRPr="004B2498">
        <w:t>ne.</w:t>
      </w:r>
    </w:p>
  </w:footnote>
  <w:footnote w:id="139">
    <w:p w14:paraId="39F38D50" w14:textId="77777777" w:rsidR="002F4063" w:rsidRDefault="002F4063">
      <w:pPr>
        <w:pStyle w:val="Notedebasdepage"/>
      </w:pPr>
      <w:r>
        <w:rPr>
          <w:rStyle w:val="Appelnotedebasdep"/>
        </w:rPr>
        <w:footnoteRef/>
      </w:r>
      <w:r>
        <w:t xml:space="preserve"> </w:t>
      </w:r>
      <w:r>
        <w:tab/>
      </w:r>
      <w:r w:rsidRPr="004B2498">
        <w:t>L’ouvrage de Svampa et Pereyra (2003 et 2004) contribue à distinguer les particularités des premiers blocages de routes issus des enclaves pétrolières, non seulement à Neuquén mais aussi au Nord du Pays, à Général Mosconi. Ce travail permet ainsi de relier ces bloc</w:t>
      </w:r>
      <w:r w:rsidRPr="004B2498">
        <w:t>a</w:t>
      </w:r>
      <w:r w:rsidRPr="004B2498">
        <w:t>ges de routes avec ceux du GBA.</w:t>
      </w:r>
    </w:p>
  </w:footnote>
  <w:footnote w:id="140">
    <w:p w14:paraId="4F80F753" w14:textId="77777777" w:rsidR="002F4063" w:rsidRDefault="002F4063">
      <w:pPr>
        <w:pStyle w:val="Notedebasdepage"/>
      </w:pPr>
      <w:r>
        <w:rPr>
          <w:rStyle w:val="Appelnotedebasdep"/>
        </w:rPr>
        <w:footnoteRef/>
      </w:r>
      <w:r>
        <w:t xml:space="preserve"> </w:t>
      </w:r>
      <w:r>
        <w:tab/>
      </w:r>
      <w:r w:rsidRPr="004B2498">
        <w:t>Les conférences de J. L. Austin (1970), réunies dans le v</w:t>
      </w:r>
      <w:r w:rsidRPr="004B2498">
        <w:t>o</w:t>
      </w:r>
      <w:r w:rsidRPr="004B2498">
        <w:t xml:space="preserve">lume </w:t>
      </w:r>
      <w:r w:rsidRPr="00CB5F62">
        <w:rPr>
          <w:i/>
        </w:rPr>
        <w:t>Quand dire, c’est faire</w:t>
      </w:r>
      <w:r w:rsidRPr="004B2498">
        <w:t>, proposent une étude analytique du discours et soulignent l’importance des « énoncés performatifs ». Cette perspect</w:t>
      </w:r>
      <w:r w:rsidRPr="004B2498">
        <w:t>i</w:t>
      </w:r>
      <w:r w:rsidRPr="004B2498">
        <w:t>ve situe l’action du discours dans le cadre d’une théorie générale de l’action. Pour Austin, les circonstances dans lesquelles les mots sont prononcés sont fondamentales pour valider leur performativité. À la lumière de plusieurs objections - ce</w:t>
      </w:r>
      <w:r w:rsidRPr="004B2498">
        <w:t>r</w:t>
      </w:r>
      <w:r w:rsidRPr="004B2498">
        <w:t>taines d’entre elles sont les m</w:t>
      </w:r>
      <w:r w:rsidRPr="004B2498">
        <w:t>ê</w:t>
      </w:r>
      <w:r w:rsidRPr="004B2498">
        <w:t>mes qu’on pourrait opposer à tout type d’action -, l’auteur signifie que pour reconnaître les performatifs, il faut pl</w:t>
      </w:r>
      <w:r w:rsidRPr="004B2498">
        <w:t>u</w:t>
      </w:r>
      <w:r w:rsidRPr="004B2498">
        <w:t>tôt examiner les usages de la langue ordinaire dans l’action que les critères grammaticaux. S’agissant de l’invocation d’une formule, la validité, la fél</w:t>
      </w:r>
      <w:r w:rsidRPr="004B2498">
        <w:t>i</w:t>
      </w:r>
      <w:r w:rsidRPr="004B2498">
        <w:t>cité de l’acte peut se rapporter aux procédures qui la constituent mais la fo</w:t>
      </w:r>
      <w:r w:rsidRPr="004B2498">
        <w:t>r</w:t>
      </w:r>
      <w:r w:rsidRPr="004B2498">
        <w:t>ce performative se décline en fonction des usages possibles socialement s</w:t>
      </w:r>
      <w:r w:rsidRPr="004B2498">
        <w:t>i</w:t>
      </w:r>
      <w:r w:rsidRPr="004B2498">
        <w:t>tués.</w:t>
      </w:r>
    </w:p>
  </w:footnote>
  <w:footnote w:id="141">
    <w:p w14:paraId="219D0D03" w14:textId="77777777" w:rsidR="002F4063" w:rsidRDefault="002F4063">
      <w:pPr>
        <w:pStyle w:val="Notedebasdepage"/>
      </w:pPr>
      <w:r>
        <w:rPr>
          <w:rStyle w:val="Appelnotedebasdep"/>
        </w:rPr>
        <w:footnoteRef/>
      </w:r>
      <w:r>
        <w:t xml:space="preserve"> </w:t>
      </w:r>
      <w:r>
        <w:tab/>
      </w:r>
      <w:r w:rsidRPr="004B2498">
        <w:t>Par ailleurs, les mouvements sociaux sont reconnus pour leur capacité à mettre en question les divisions binaires privé/public ou domest</w:t>
      </w:r>
      <w:r w:rsidRPr="004B2498">
        <w:t>i</w:t>
      </w:r>
      <w:r w:rsidRPr="004B2498">
        <w:t>que/politique : ce qui est considéré comme un effet de la m</w:t>
      </w:r>
      <w:r w:rsidRPr="004B2498">
        <w:t>o</w:t>
      </w:r>
      <w:r w:rsidRPr="004B2498">
        <w:t>bilisation. Voir à ce propos Feijoo (1994), et Jelin (1986).</w:t>
      </w:r>
    </w:p>
  </w:footnote>
  <w:footnote w:id="142">
    <w:p w14:paraId="2108E81C" w14:textId="77777777" w:rsidR="002F4063" w:rsidRDefault="002F4063">
      <w:pPr>
        <w:pStyle w:val="Notedebasdepage"/>
      </w:pPr>
      <w:r>
        <w:rPr>
          <w:rStyle w:val="Appelnotedebasdep"/>
        </w:rPr>
        <w:footnoteRef/>
      </w:r>
      <w:r>
        <w:t xml:space="preserve"> </w:t>
      </w:r>
      <w:r>
        <w:tab/>
      </w:r>
      <w:r w:rsidRPr="004B2498">
        <w:t>C’est ainsi que certains groupes désignent leurs délégués.</w:t>
      </w:r>
    </w:p>
  </w:footnote>
  <w:footnote w:id="143">
    <w:p w14:paraId="6DBD409A" w14:textId="77777777" w:rsidR="002F4063" w:rsidRDefault="002F4063">
      <w:pPr>
        <w:pStyle w:val="Notedebasdepage"/>
      </w:pPr>
      <w:r>
        <w:rPr>
          <w:rStyle w:val="Appelnotedebasdep"/>
        </w:rPr>
        <w:footnoteRef/>
      </w:r>
      <w:r>
        <w:t xml:space="preserve"> </w:t>
      </w:r>
      <w:r>
        <w:tab/>
      </w:r>
      <w:r w:rsidRPr="004B2498">
        <w:rPr>
          <w:lang w:eastAsia="fr-FR" w:bidi="fr-FR"/>
        </w:rPr>
        <w:t>Ce type d’interrogation est corrélé à plusieurs autres dime</w:t>
      </w:r>
      <w:r w:rsidRPr="004B2498">
        <w:rPr>
          <w:lang w:eastAsia="fr-FR" w:bidi="fr-FR"/>
        </w:rPr>
        <w:t>n</w:t>
      </w:r>
      <w:r w:rsidRPr="004B2498">
        <w:rPr>
          <w:lang w:eastAsia="fr-FR" w:bidi="fr-FR"/>
        </w:rPr>
        <w:t>sions notamment les parcours, perméables sur le long terme, entre militantisme et non milita</w:t>
      </w:r>
      <w:r w:rsidRPr="004B2498">
        <w:rPr>
          <w:lang w:eastAsia="fr-FR" w:bidi="fr-FR"/>
        </w:rPr>
        <w:t>n</w:t>
      </w:r>
      <w:r w:rsidRPr="004B2498">
        <w:rPr>
          <w:lang w:eastAsia="fr-FR" w:bidi="fr-FR"/>
        </w:rPr>
        <w:t>tisme, engagement et retrait, division du tr</w:t>
      </w:r>
      <w:r w:rsidRPr="004B2498">
        <w:rPr>
          <w:lang w:eastAsia="fr-FR" w:bidi="fr-FR"/>
        </w:rPr>
        <w:t>a</w:t>
      </w:r>
      <w:r w:rsidRPr="004B2498">
        <w:rPr>
          <w:lang w:eastAsia="fr-FR" w:bidi="fr-FR"/>
        </w:rPr>
        <w:t>vail entre familiers pour répartir les responsabilités privées, économ</w:t>
      </w:r>
      <w:r w:rsidRPr="004B2498">
        <w:rPr>
          <w:lang w:eastAsia="fr-FR" w:bidi="fr-FR"/>
        </w:rPr>
        <w:t>i</w:t>
      </w:r>
      <w:r w:rsidRPr="004B2498">
        <w:rPr>
          <w:lang w:eastAsia="fr-FR" w:bidi="fr-FR"/>
        </w:rPr>
        <w:t>ques et publiques, variables elles aussi dans la durée.</w:t>
      </w:r>
    </w:p>
  </w:footnote>
  <w:footnote w:id="144">
    <w:p w14:paraId="10644A43" w14:textId="77777777" w:rsidR="002F4063" w:rsidRDefault="002F4063">
      <w:pPr>
        <w:pStyle w:val="Notedebasdepage"/>
      </w:pPr>
      <w:r>
        <w:rPr>
          <w:rStyle w:val="Appelnotedebasdep"/>
        </w:rPr>
        <w:footnoteRef/>
      </w:r>
      <w:r>
        <w:t xml:space="preserve"> </w:t>
      </w:r>
      <w:r>
        <w:tab/>
      </w:r>
      <w:r w:rsidRPr="004B2498">
        <w:rPr>
          <w:lang w:eastAsia="fr-FR" w:bidi="fr-FR"/>
        </w:rPr>
        <w:t>En Argentine, le tutoiement est généralisé. Surtout dans la région li</w:t>
      </w:r>
      <w:r w:rsidRPr="004B2498">
        <w:rPr>
          <w:lang w:eastAsia="fr-FR" w:bidi="fr-FR"/>
        </w:rPr>
        <w:t>t</w:t>
      </w:r>
      <w:r w:rsidRPr="004B2498">
        <w:rPr>
          <w:lang w:eastAsia="fr-FR" w:bidi="fr-FR"/>
        </w:rPr>
        <w:t xml:space="preserve">torale et davantage entre personnes d’une même génération. Nous nous sommes donc pliée à cette pratique. Nous avons réservé le vouvoiement aux personnes âgées. Ce faisant, nous avons souvent été invitée </w:t>
      </w:r>
      <w:r w:rsidRPr="005B1E9C">
        <w:rPr>
          <w:iCs/>
        </w:rPr>
        <w:t>à l’abandonner par nos i</w:t>
      </w:r>
      <w:r w:rsidRPr="005B1E9C">
        <w:rPr>
          <w:iCs/>
        </w:rPr>
        <w:t>n</w:t>
      </w:r>
      <w:r w:rsidRPr="005B1E9C">
        <w:rPr>
          <w:iCs/>
        </w:rPr>
        <w:t xml:space="preserve">terlocuteurs. Entretien chez Carmen, juillet 2005 : </w:t>
      </w:r>
      <w:r w:rsidRPr="004B2498">
        <w:rPr>
          <w:lang w:eastAsia="fr-FR" w:bidi="fr-FR"/>
        </w:rPr>
        <w:t>En diciembre yo cerré el comedory se abrió comedor en ta casa de Marina. Y bueno cerré acá y...</w:t>
      </w:r>
      <w:r w:rsidRPr="005B1E9C">
        <w:rPr>
          <w:iCs/>
        </w:rPr>
        <w:t xml:space="preserve"> — </w:t>
      </w:r>
      <w:r w:rsidRPr="004B2498">
        <w:rPr>
          <w:lang w:eastAsia="fr-FR" w:bidi="fr-FR"/>
        </w:rPr>
        <w:t>Cuando hablaste con Julia iquê le dijiste ?</w:t>
      </w:r>
      <w:r w:rsidRPr="005B1E9C">
        <w:rPr>
          <w:iCs/>
        </w:rPr>
        <w:t xml:space="preserve"> — </w:t>
      </w:r>
      <w:r w:rsidRPr="004B2498">
        <w:rPr>
          <w:lang w:eastAsia="fr-FR" w:bidi="fr-FR"/>
        </w:rPr>
        <w:t>Que no podia s</w:t>
      </w:r>
      <w:r w:rsidRPr="004B2498">
        <w:rPr>
          <w:lang w:eastAsia="fr-FR" w:bidi="fr-FR"/>
        </w:rPr>
        <w:t>e</w:t>
      </w:r>
      <w:r w:rsidRPr="004B2498">
        <w:rPr>
          <w:lang w:eastAsia="fr-FR" w:bidi="fr-FR"/>
        </w:rPr>
        <w:t>guir porque no daba los gaslos y bueno Jidia sabia mis problemas porque yo ya habia h</w:t>
      </w:r>
      <w:r w:rsidRPr="004B2498">
        <w:rPr>
          <w:lang w:eastAsia="fr-FR" w:bidi="fr-FR"/>
        </w:rPr>
        <w:t>a</w:t>
      </w:r>
      <w:r w:rsidRPr="004B2498">
        <w:rPr>
          <w:lang w:eastAsia="fr-FR" w:bidi="fr-FR"/>
        </w:rPr>
        <w:t>blado con ella antes eh... las cosas que pasaban con mi rnarido y eso. Y bu</w:t>
      </w:r>
      <w:r w:rsidRPr="004B2498">
        <w:rPr>
          <w:lang w:eastAsia="fr-FR" w:bidi="fr-FR"/>
        </w:rPr>
        <w:t>e</w:t>
      </w:r>
      <w:r w:rsidRPr="004B2498">
        <w:rPr>
          <w:lang w:eastAsia="fr-FR" w:bidi="fr-FR"/>
        </w:rPr>
        <w:t>no, Julia algo sabia y seguimos estuvimos un tiempo. Hasta que llego un momento que yo le dije : "no puedo seguir.” Y se termino. Porque era m</w:t>
      </w:r>
      <w:r w:rsidRPr="004B2498">
        <w:rPr>
          <w:lang w:eastAsia="fr-FR" w:bidi="fr-FR"/>
        </w:rPr>
        <w:t>u</w:t>
      </w:r>
      <w:r w:rsidRPr="004B2498">
        <w:rPr>
          <w:lang w:eastAsia="fr-FR" w:bidi="fr-FR"/>
        </w:rPr>
        <w:t>cho y se iban haciendo cada vez más grandes los problemas inte</w:t>
      </w:r>
      <w:r w:rsidRPr="004B2498">
        <w:rPr>
          <w:lang w:eastAsia="fr-FR" w:bidi="fr-FR"/>
        </w:rPr>
        <w:t>r</w:t>
      </w:r>
      <w:r w:rsidRPr="004B2498">
        <w:rPr>
          <w:lang w:eastAsia="fr-FR" w:bidi="fr-FR"/>
        </w:rPr>
        <w:t>nos. [...J porque acá se hacian las reuniones de encargados, se bajaba la me</w:t>
      </w:r>
      <w:r w:rsidRPr="004B2498">
        <w:rPr>
          <w:lang w:eastAsia="fr-FR" w:bidi="fr-FR"/>
        </w:rPr>
        <w:t>r</w:t>
      </w:r>
      <w:r w:rsidRPr="004B2498">
        <w:rPr>
          <w:lang w:eastAsia="fr-FR" w:bidi="fr-FR"/>
        </w:rPr>
        <w:t>caderia [...] Yo decia que ¿como siendo la cabezu principal no me podian ay</w:t>
      </w:r>
      <w:r w:rsidRPr="004B2498">
        <w:rPr>
          <w:lang w:eastAsia="fr-FR" w:bidi="fr-FR"/>
        </w:rPr>
        <w:t>u</w:t>
      </w:r>
      <w:r w:rsidRPr="004B2498">
        <w:rPr>
          <w:lang w:eastAsia="fr-FR" w:bidi="fr-FR"/>
        </w:rPr>
        <w:t>dar por los gastos [del local] ? porque vos ponete a pensar que si La Veron dec</w:t>
      </w:r>
      <w:r w:rsidRPr="004B2498">
        <w:rPr>
          <w:lang w:eastAsia="fr-FR" w:bidi="fr-FR"/>
        </w:rPr>
        <w:t>i</w:t>
      </w:r>
      <w:r w:rsidRPr="004B2498">
        <w:rPr>
          <w:lang w:eastAsia="fr-FR" w:bidi="fr-FR"/>
        </w:rPr>
        <w:t>de alquilar un local, nadie les va a prestar un local como se los prestaba yo [...] Yo siempre traté de atenderlos lo mejor posibles y la gente no se daba cuenta de eso en una palabra [...] a mi me ha tocado muchas veces ir a otros lugares a reuniones y jamàs me convidaron un mate.</w:t>
      </w:r>
      <w:r w:rsidRPr="005B1E9C">
        <w:rPr>
          <w:iCs/>
        </w:rPr>
        <w:t xml:space="preserve"> — </w:t>
      </w:r>
      <w:r w:rsidRPr="004B2498">
        <w:rPr>
          <w:lang w:eastAsia="fr-FR" w:bidi="fr-FR"/>
        </w:rPr>
        <w:t>Bueno, el otro dia cuando en el reparto de mercaderia, [...] a mi me dio la impresiôn de que la gente entraba y se iba, no se</w:t>
      </w:r>
      <w:r w:rsidRPr="004B2498">
        <w:rPr>
          <w:lang w:eastAsia="fr-FR" w:bidi="fr-FR"/>
        </w:rPr>
        <w:t>n</w:t>
      </w:r>
      <w:r w:rsidRPr="004B2498">
        <w:rPr>
          <w:lang w:eastAsia="fr-FR" w:bidi="fr-FR"/>
        </w:rPr>
        <w:t>tia en un lugar de ellos...</w:t>
      </w:r>
      <w:r w:rsidRPr="005B1E9C">
        <w:rPr>
          <w:iCs/>
        </w:rPr>
        <w:t xml:space="preserve"> — </w:t>
      </w:r>
      <w:r w:rsidRPr="004B2498">
        <w:rPr>
          <w:lang w:eastAsia="fr-FR" w:bidi="fr-FR"/>
        </w:rPr>
        <w:t>Lo que pcisa que eso es una casa de familia, no se hacen reuniones ahi, solamente se entrega la mercaderia, es la casa de una de las comporteras, ahi no se hacen las re</w:t>
      </w:r>
      <w:r w:rsidRPr="004B2498">
        <w:rPr>
          <w:lang w:eastAsia="fr-FR" w:bidi="fr-FR"/>
        </w:rPr>
        <w:t>u</w:t>
      </w:r>
      <w:r w:rsidRPr="004B2498">
        <w:rPr>
          <w:lang w:eastAsia="fr-FR" w:bidi="fr-FR"/>
        </w:rPr>
        <w:t>niones.</w:t>
      </w:r>
    </w:p>
  </w:footnote>
  <w:footnote w:id="145">
    <w:p w14:paraId="7281989F" w14:textId="77777777" w:rsidR="002F4063" w:rsidRDefault="002F4063">
      <w:pPr>
        <w:pStyle w:val="Notedebasdepage"/>
      </w:pPr>
      <w:r>
        <w:rPr>
          <w:rStyle w:val="Appelnotedebasdep"/>
        </w:rPr>
        <w:footnoteRef/>
      </w:r>
      <w:r>
        <w:t xml:space="preserve"> </w:t>
      </w:r>
      <w:r>
        <w:tab/>
      </w:r>
      <w:r w:rsidRPr="004B2498">
        <w:rPr>
          <w:lang w:eastAsia="fr-FR" w:bidi="fr-FR"/>
        </w:rPr>
        <w:t>Le terme suggère la solidarité et la camaraderie de rapports égalitaires. Pol</w:t>
      </w:r>
      <w:r w:rsidRPr="004B2498">
        <w:rPr>
          <w:lang w:eastAsia="fr-FR" w:bidi="fr-FR"/>
        </w:rPr>
        <w:t>i</w:t>
      </w:r>
      <w:r w:rsidRPr="004B2498">
        <w:rPr>
          <w:lang w:eastAsia="fr-FR" w:bidi="fr-FR"/>
        </w:rPr>
        <w:t>tiquement il peut renvoyer au péronisme et au mo</w:t>
      </w:r>
      <w:r w:rsidRPr="004B2498">
        <w:rPr>
          <w:lang w:eastAsia="fr-FR" w:bidi="fr-FR"/>
        </w:rPr>
        <w:t>u</w:t>
      </w:r>
      <w:r w:rsidRPr="004B2498">
        <w:rPr>
          <w:lang w:eastAsia="fr-FR" w:bidi="fr-FR"/>
        </w:rPr>
        <w:t>vement ouvrier.</w:t>
      </w:r>
    </w:p>
  </w:footnote>
  <w:footnote w:id="146">
    <w:p w14:paraId="70C8F303" w14:textId="77777777" w:rsidR="002F4063" w:rsidRDefault="002F4063">
      <w:pPr>
        <w:pStyle w:val="Notedebasdepage"/>
      </w:pPr>
      <w:r>
        <w:rPr>
          <w:rStyle w:val="Appelnotedebasdep"/>
        </w:rPr>
        <w:footnoteRef/>
      </w:r>
      <w:r>
        <w:t xml:space="preserve"> </w:t>
      </w:r>
      <w:r>
        <w:tab/>
      </w:r>
      <w:r w:rsidRPr="004B2498">
        <w:t>Schütz (1987) considère « le mode de vie de l’</w:t>
      </w:r>
      <w:r w:rsidRPr="00966437">
        <w:rPr>
          <w:i/>
        </w:rPr>
        <w:t>in-group </w:t>
      </w:r>
      <w:r w:rsidRPr="004B2498">
        <w:t>» comme un monde de situations communes dans lequel les probl</w:t>
      </w:r>
      <w:r w:rsidRPr="004B2498">
        <w:t>è</w:t>
      </w:r>
      <w:r w:rsidRPr="004B2498">
        <w:t>mes communs émergent au sein d’un horizon commun, des pr</w:t>
      </w:r>
      <w:r w:rsidRPr="004B2498">
        <w:t>o</w:t>
      </w:r>
      <w:r w:rsidRPr="004B2498">
        <w:t>blèmes qui appellent la mise en œuvre de solutions typiques à l’aide de moyens qui le sont autant afin de réaliser des fins typ</w:t>
      </w:r>
      <w:r w:rsidRPr="004B2498">
        <w:t>i</w:t>
      </w:r>
      <w:r w:rsidRPr="004B2498">
        <w:t>ques.</w:t>
      </w:r>
    </w:p>
  </w:footnote>
  <w:footnote w:id="147">
    <w:p w14:paraId="681F9F9E" w14:textId="77777777" w:rsidR="002F4063" w:rsidRDefault="002F4063">
      <w:pPr>
        <w:pStyle w:val="Notedebasdepage"/>
      </w:pPr>
      <w:r>
        <w:rPr>
          <w:rStyle w:val="Appelnotedebasdep"/>
        </w:rPr>
        <w:footnoteRef/>
      </w:r>
      <w:r>
        <w:t xml:space="preserve"> </w:t>
      </w:r>
      <w:r>
        <w:tab/>
      </w:r>
      <w:r w:rsidRPr="004B2498">
        <w:t>Désigne ici l’espace de réunion d’un groupe de délégués avec le dirigeant.</w:t>
      </w:r>
    </w:p>
  </w:footnote>
  <w:footnote w:id="148">
    <w:p w14:paraId="203B4F09" w14:textId="77777777" w:rsidR="002F4063" w:rsidRDefault="002F4063">
      <w:pPr>
        <w:pStyle w:val="Notedebasdepage"/>
      </w:pPr>
      <w:r>
        <w:rPr>
          <w:rStyle w:val="Appelnotedebasdep"/>
        </w:rPr>
        <w:footnoteRef/>
      </w:r>
      <w:r>
        <w:t xml:space="preserve"> </w:t>
      </w:r>
      <w:r>
        <w:tab/>
      </w:r>
      <w:r w:rsidRPr="004B2498">
        <w:rPr>
          <w:lang w:eastAsia="fr-FR" w:bidi="fr-FR"/>
        </w:rPr>
        <w:t>Il ne s’agit pas là d’une exception; pour Claude Lefort (1983 : 82-84), le « contrat » démocratique est fondamentalement établi par des croyances proviso</w:t>
      </w:r>
      <w:r w:rsidRPr="004B2498">
        <w:rPr>
          <w:lang w:eastAsia="fr-FR" w:bidi="fr-FR"/>
        </w:rPr>
        <w:t>i</w:t>
      </w:r>
      <w:r w:rsidRPr="004B2498">
        <w:rPr>
          <w:lang w:eastAsia="fr-FR" w:bidi="fr-FR"/>
        </w:rPr>
        <w:t>res.</w:t>
      </w:r>
    </w:p>
  </w:footnote>
  <w:footnote w:id="149">
    <w:p w14:paraId="1E53CF8F" w14:textId="77777777" w:rsidR="002F4063" w:rsidRDefault="002F4063">
      <w:pPr>
        <w:pStyle w:val="Notedebasdepage"/>
      </w:pPr>
      <w:r>
        <w:rPr>
          <w:rStyle w:val="Appelnotedebasdep"/>
        </w:rPr>
        <w:footnoteRef/>
      </w:r>
      <w:r>
        <w:t xml:space="preserve"> </w:t>
      </w:r>
      <w:r>
        <w:tab/>
      </w:r>
      <w:r w:rsidRPr="004B2498">
        <w:rPr>
          <w:lang w:eastAsia="fr-FR" w:bidi="fr-FR"/>
        </w:rPr>
        <w:t>Il s’agit des journées locales, foires ou tombolas, organisées dans les qua</w:t>
      </w:r>
      <w:r w:rsidRPr="004B2498">
        <w:rPr>
          <w:lang w:eastAsia="fr-FR" w:bidi="fr-FR"/>
        </w:rPr>
        <w:t>r</w:t>
      </w:r>
      <w:r w:rsidRPr="004B2498">
        <w:rPr>
          <w:lang w:eastAsia="fr-FR" w:bidi="fr-FR"/>
        </w:rPr>
        <w:t>tiers et avec la présence des vecinos pour obtenir des ressou</w:t>
      </w:r>
      <w:r w:rsidRPr="004B2498">
        <w:rPr>
          <w:lang w:eastAsia="fr-FR" w:bidi="fr-FR"/>
        </w:rPr>
        <w:t>r</w:t>
      </w:r>
      <w:r w:rsidRPr="004B2498">
        <w:rPr>
          <w:lang w:eastAsia="fr-FR" w:bidi="fr-FR"/>
        </w:rPr>
        <w:t>ces à des tins ponctuelles, notamment l’achat de matériaux pour la réparation des toitures, l’installation d'une cuisine, etc.</w:t>
      </w:r>
    </w:p>
  </w:footnote>
  <w:footnote w:id="150">
    <w:p w14:paraId="104E58C6" w14:textId="77777777" w:rsidR="002F4063" w:rsidRDefault="002F4063">
      <w:pPr>
        <w:pStyle w:val="Notedebasdepage"/>
      </w:pPr>
      <w:r>
        <w:rPr>
          <w:rStyle w:val="Appelnotedebasdep"/>
        </w:rPr>
        <w:footnoteRef/>
      </w:r>
      <w:r>
        <w:t xml:space="preserve"> </w:t>
      </w:r>
      <w:r>
        <w:tab/>
      </w:r>
      <w:r w:rsidRPr="004B2498">
        <w:rPr>
          <w:lang w:eastAsia="fr-FR" w:bidi="fr-FR"/>
        </w:rPr>
        <w:t>En dehors des cantines, le groupe distribue des colis alimenta</w:t>
      </w:r>
      <w:r w:rsidRPr="004B2498">
        <w:rPr>
          <w:lang w:eastAsia="fr-FR" w:bidi="fr-FR"/>
        </w:rPr>
        <w:t>i</w:t>
      </w:r>
      <w:r w:rsidRPr="004B2498">
        <w:rPr>
          <w:lang w:eastAsia="fr-FR" w:bidi="fr-FR"/>
        </w:rPr>
        <w:t>res obtenus auprès de la mairie.</w:t>
      </w:r>
      <w:r w:rsidRPr="004B2498">
        <w:t xml:space="preserve"> </w:t>
      </w:r>
    </w:p>
  </w:footnote>
  <w:footnote w:id="151">
    <w:p w14:paraId="28B063C5" w14:textId="77777777" w:rsidR="002F4063" w:rsidRDefault="002F4063">
      <w:pPr>
        <w:pStyle w:val="Notedebasdepage"/>
      </w:pPr>
      <w:r>
        <w:rPr>
          <w:rStyle w:val="Appelnotedebasdep"/>
        </w:rPr>
        <w:footnoteRef/>
      </w:r>
      <w:r>
        <w:t xml:space="preserve"> </w:t>
      </w:r>
      <w:r>
        <w:tab/>
      </w:r>
      <w:r w:rsidRPr="004B2498">
        <w:t>Par exemple, on nous a interrogée sur les autres mouvements de desocup</w:t>
      </w:r>
      <w:r w:rsidRPr="004B2498">
        <w:t>a</w:t>
      </w:r>
      <w:r w:rsidRPr="004B2498">
        <w:t>dos ainsi que sur l’existence et les caractérist</w:t>
      </w:r>
      <w:r w:rsidRPr="004B2498">
        <w:t>i</w:t>
      </w:r>
      <w:r w:rsidRPr="004B2498">
        <w:t>ques des organisations de chômeurs en France.</w:t>
      </w:r>
    </w:p>
  </w:footnote>
  <w:footnote w:id="152">
    <w:p w14:paraId="11F04D1E" w14:textId="77777777" w:rsidR="002F4063" w:rsidRDefault="002F4063">
      <w:pPr>
        <w:pStyle w:val="Notedebasdepage"/>
      </w:pPr>
      <w:r>
        <w:rPr>
          <w:rStyle w:val="Appelnotedebasdep"/>
        </w:rPr>
        <w:footnoteRef/>
      </w:r>
      <w:r>
        <w:t xml:space="preserve"> </w:t>
      </w:r>
      <w:r>
        <w:tab/>
      </w:r>
      <w:r w:rsidRPr="004B2498">
        <w:t>Dans cet article, elle s’oppose à Max Weber qui considère que les affects sont à l’origine des perturbations et de la « déviance », mais aussi toute pe</w:t>
      </w:r>
      <w:r w:rsidRPr="004B2498">
        <w:t>n</w:t>
      </w:r>
      <w:r w:rsidRPr="004B2498">
        <w:t>sée dichotomique qui contraindrait les sociol</w:t>
      </w:r>
      <w:r w:rsidRPr="004B2498">
        <w:t>o</w:t>
      </w:r>
      <w:r w:rsidRPr="004B2498">
        <w:t>gues à « faire tomber l’affect du côté de l’impensable » (1994 : 23).</w:t>
      </w:r>
    </w:p>
  </w:footnote>
  <w:footnote w:id="153">
    <w:p w14:paraId="4ACB357D" w14:textId="77777777" w:rsidR="002F4063" w:rsidRDefault="002F4063">
      <w:pPr>
        <w:pStyle w:val="Notedebasdepage"/>
      </w:pPr>
      <w:r>
        <w:rPr>
          <w:rStyle w:val="Appelnotedebasdep"/>
        </w:rPr>
        <w:footnoteRef/>
      </w:r>
      <w:r>
        <w:t xml:space="preserve"> </w:t>
      </w:r>
      <w:r>
        <w:tab/>
      </w:r>
      <w:r w:rsidRPr="004B2498">
        <w:t xml:space="preserve">Équivalent du terme anglais donné par Charles R. Smith dans son article “The Great Firewall of China” du 17 mai 2002 : </w:t>
      </w:r>
      <w:r w:rsidRPr="006C76D9">
        <w:rPr>
          <w:i/>
        </w:rPr>
        <w:t>For nearly a thousand years the Great Wall of China protected the Asian empire from foreign i</w:t>
      </w:r>
      <w:r w:rsidRPr="006C76D9">
        <w:rPr>
          <w:i/>
        </w:rPr>
        <w:t>n</w:t>
      </w:r>
      <w:r w:rsidRPr="006C76D9">
        <w:rPr>
          <w:i/>
        </w:rPr>
        <w:t>vasion. Today, red China is installing a great firewall hoping to stem the t</w:t>
      </w:r>
      <w:r w:rsidRPr="006C76D9">
        <w:rPr>
          <w:i/>
        </w:rPr>
        <w:t>i</w:t>
      </w:r>
      <w:r w:rsidRPr="006C76D9">
        <w:rPr>
          <w:i/>
        </w:rPr>
        <w:t>de of foreign ideas front invading the authorit</w:t>
      </w:r>
      <w:r w:rsidRPr="006C76D9">
        <w:rPr>
          <w:i/>
        </w:rPr>
        <w:t>a</w:t>
      </w:r>
      <w:r w:rsidRPr="006C76D9">
        <w:rPr>
          <w:i/>
        </w:rPr>
        <w:t>rian one-party State</w:t>
      </w:r>
      <w:r w:rsidRPr="004B2498">
        <w:t>.</w:t>
      </w:r>
    </w:p>
    <w:p w14:paraId="70CFE216" w14:textId="77777777" w:rsidR="002F4063" w:rsidRDefault="002F4063">
      <w:pPr>
        <w:pStyle w:val="Notedebasdepage"/>
      </w:pPr>
      <w:r>
        <w:tab/>
      </w:r>
      <w:r w:rsidRPr="004B2498">
        <w:t>Voir : http://archive.ncwsmax.eom/archives/artieles/2002/5/l7/25858.shtml</w:t>
      </w:r>
    </w:p>
  </w:footnote>
  <w:footnote w:id="154">
    <w:p w14:paraId="7221527C" w14:textId="77777777" w:rsidR="002F4063" w:rsidRDefault="002F4063">
      <w:pPr>
        <w:pStyle w:val="Notedebasdepage"/>
      </w:pPr>
      <w:r>
        <w:rPr>
          <w:rStyle w:val="Appelnotedebasdep"/>
        </w:rPr>
        <w:footnoteRef/>
      </w:r>
      <w:r>
        <w:t xml:space="preserve"> </w:t>
      </w:r>
      <w:r>
        <w:tab/>
      </w:r>
      <w:r w:rsidRPr="004B2498">
        <w:t>Terme et notion utilisés et développés par Monique Selim dans son sémina</w:t>
      </w:r>
      <w:r w:rsidRPr="004B2498">
        <w:t>i</w:t>
      </w:r>
      <w:r w:rsidRPr="004B2498">
        <w:t>re « Anthropologie politique de la globalisation » à l’EHESS en 2010.</w:t>
      </w:r>
    </w:p>
  </w:footnote>
  <w:footnote w:id="155">
    <w:p w14:paraId="03665FDA" w14:textId="77777777" w:rsidR="002F4063" w:rsidRDefault="002F4063">
      <w:pPr>
        <w:pStyle w:val="Notedebasdepage"/>
      </w:pPr>
      <w:r>
        <w:rPr>
          <w:rStyle w:val="Appelnotedebasdep"/>
        </w:rPr>
        <w:footnoteRef/>
      </w:r>
      <w:r>
        <w:t xml:space="preserve"> </w:t>
      </w:r>
      <w:r>
        <w:tab/>
      </w:r>
      <w:r w:rsidRPr="004B2498">
        <w:t>La « sortie du placard » est traduite directement de l’expression chinoise « chu gui [caractères chinois] ».</w:t>
      </w:r>
    </w:p>
  </w:footnote>
  <w:footnote w:id="156">
    <w:p w14:paraId="0977EAF7" w14:textId="77777777" w:rsidR="002F4063" w:rsidRDefault="002F4063">
      <w:pPr>
        <w:pStyle w:val="Notedebasdepage"/>
      </w:pPr>
      <w:r>
        <w:rPr>
          <w:rStyle w:val="Appelnotedebasdep"/>
        </w:rPr>
        <w:footnoteRef/>
      </w:r>
      <w:r>
        <w:t xml:space="preserve"> </w:t>
      </w:r>
      <w:r>
        <w:tab/>
      </w:r>
      <w:r w:rsidRPr="004B2498">
        <w:t>Il s’agit d’un mouvement de masse comprenant en grande partie des ét</w:t>
      </w:r>
      <w:r w:rsidRPr="004B2498">
        <w:t>u</w:t>
      </w:r>
      <w:r w:rsidRPr="004B2498">
        <w:t>diants et des lycéens pendant la révolution culturelle.</w:t>
      </w:r>
    </w:p>
  </w:footnote>
  <w:footnote w:id="157">
    <w:p w14:paraId="587DC51E" w14:textId="77777777" w:rsidR="002F4063" w:rsidRDefault="002F4063">
      <w:pPr>
        <w:pStyle w:val="Notedebasdepage"/>
      </w:pPr>
      <w:r>
        <w:rPr>
          <w:rStyle w:val="Appelnotedebasdep"/>
        </w:rPr>
        <w:footnoteRef/>
      </w:r>
      <w:r>
        <w:t xml:space="preserve"> </w:t>
      </w:r>
      <w:r>
        <w:tab/>
      </w:r>
      <w:r w:rsidRPr="004B2498">
        <w:t>Les termes utilisés par elle en chinois sont « tongzhi mama [</w:t>
      </w:r>
      <w:r>
        <w:t>caractères ch</w:t>
      </w:r>
      <w:r>
        <w:t>i</w:t>
      </w:r>
      <w:r>
        <w:t>nois</w:t>
      </w:r>
      <w:r w:rsidRPr="004B2498">
        <w:t>] » et/ou « tongxinglian mama [</w:t>
      </w:r>
      <w:r>
        <w:t>caractères chinois</w:t>
      </w:r>
      <w:r w:rsidRPr="004B2498">
        <w:t>] ». Tongzhi [</w:t>
      </w:r>
      <w:r>
        <w:t>caract</w:t>
      </w:r>
      <w:r>
        <w:t>è</w:t>
      </w:r>
      <w:r>
        <w:t>res chinois</w:t>
      </w:r>
      <w:r w:rsidRPr="004B2498">
        <w:t>] désigne au début les cam</w:t>
      </w:r>
      <w:r w:rsidRPr="004B2498">
        <w:t>a</w:t>
      </w:r>
      <w:r w:rsidRPr="004B2498">
        <w:t>rades dans un révolutionnaire. Depuis une vingtaine d’années ce mot est devenu un mot familier pour dire « les hom</w:t>
      </w:r>
      <w:r w:rsidRPr="004B2498">
        <w:t>o</w:t>
      </w:r>
      <w:r w:rsidRPr="004B2498">
        <w:t>sexuels ».</w:t>
      </w:r>
    </w:p>
  </w:footnote>
  <w:footnote w:id="158">
    <w:p w14:paraId="6C00035C" w14:textId="77777777" w:rsidR="002F4063" w:rsidRDefault="002F4063">
      <w:pPr>
        <w:pStyle w:val="Notedebasdepage"/>
      </w:pPr>
      <w:r>
        <w:rPr>
          <w:rStyle w:val="Appelnotedebasdep"/>
        </w:rPr>
        <w:footnoteRef/>
      </w:r>
      <w:r>
        <w:t xml:space="preserve"> </w:t>
      </w:r>
      <w:r>
        <w:tab/>
      </w:r>
      <w:r w:rsidRPr="004B2498">
        <w:t>Ce détail donné par Junwei n’a pas été mentionné par Madame Shang.</w:t>
      </w:r>
    </w:p>
  </w:footnote>
  <w:footnote w:id="159">
    <w:p w14:paraId="578DDD1A" w14:textId="77777777" w:rsidR="002F4063" w:rsidRDefault="002F4063">
      <w:pPr>
        <w:pStyle w:val="Notedebasdepage"/>
      </w:pPr>
      <w:r>
        <w:rPr>
          <w:rStyle w:val="Appelnotedebasdep"/>
        </w:rPr>
        <w:footnoteRef/>
      </w:r>
      <w:r>
        <w:t xml:space="preserve"> </w:t>
      </w:r>
      <w:r>
        <w:tab/>
      </w:r>
      <w:r w:rsidRPr="004B2498">
        <w:t xml:space="preserve">Les émeutes de Stonewall, série de conflits violents entre les homosexuels et les forces de police de New York, se sont déclenchées lors de la nuit du 28 juin 1969, à la suite d’une rafle menée par huit policiers dans le </w:t>
      </w:r>
      <w:r w:rsidRPr="006C76D9">
        <w:rPr>
          <w:i/>
        </w:rPr>
        <w:t>Stonewall Inn</w:t>
      </w:r>
      <w:r w:rsidRPr="004B2498">
        <w:t>, un bar gay situé dans Greenwich Village. Stonewall est souvent cons</w:t>
      </w:r>
      <w:r w:rsidRPr="004B2498">
        <w:t>i</w:t>
      </w:r>
      <w:r w:rsidRPr="004B2498">
        <w:t>déré comme le tournant du mouvement de demande d’égalité des droits h</w:t>
      </w:r>
      <w:r w:rsidRPr="004B2498">
        <w:t>o</w:t>
      </w:r>
      <w:r w:rsidRPr="004B2498">
        <w:t>mosexuels.</w:t>
      </w:r>
    </w:p>
  </w:footnote>
  <w:footnote w:id="160">
    <w:p w14:paraId="786811DF" w14:textId="77777777" w:rsidR="002F4063" w:rsidRDefault="002F4063">
      <w:pPr>
        <w:pStyle w:val="Notedebasdepage"/>
      </w:pPr>
      <w:r>
        <w:rPr>
          <w:rStyle w:val="Appelnotedebasdep"/>
        </w:rPr>
        <w:footnoteRef/>
      </w:r>
      <w:r>
        <w:t xml:space="preserve"> </w:t>
      </w:r>
      <w:r>
        <w:tab/>
      </w:r>
      <w:r w:rsidRPr="004B2498">
        <w:t>Il s’agit des organisations fondées par des gens issus du « peuple » ou de « la masse ».</w:t>
      </w:r>
    </w:p>
  </w:footnote>
  <w:footnote w:id="161">
    <w:p w14:paraId="4B8299A3" w14:textId="77777777" w:rsidR="002F4063" w:rsidRDefault="002F4063">
      <w:pPr>
        <w:pStyle w:val="Notedebasdepage"/>
      </w:pPr>
      <w:r>
        <w:rPr>
          <w:rStyle w:val="Appelnotedebasdep"/>
        </w:rPr>
        <w:footnoteRef/>
      </w:r>
      <w:r>
        <w:t xml:space="preserve"> </w:t>
      </w:r>
      <w:r>
        <w:tab/>
      </w:r>
      <w:r w:rsidRPr="004B2498">
        <w:rPr>
          <w:lang w:eastAsia="fr-FR" w:bidi="fr-FR"/>
        </w:rPr>
        <w:t>Il s’agit d’une expression utilisée par une personne rencontrée dans une a</w:t>
      </w:r>
      <w:r w:rsidRPr="004B2498">
        <w:rPr>
          <w:lang w:eastAsia="fr-FR" w:bidi="fr-FR"/>
        </w:rPr>
        <w:t>u</w:t>
      </w:r>
      <w:r w:rsidRPr="004B2498">
        <w:rPr>
          <w:lang w:eastAsia="fr-FR" w:bidi="fr-FR"/>
        </w:rPr>
        <w:t>tre association d’homosexuels. Ce terme montre l’articulation entre la co</w:t>
      </w:r>
      <w:r w:rsidRPr="004B2498">
        <w:rPr>
          <w:lang w:eastAsia="fr-FR" w:bidi="fr-FR"/>
        </w:rPr>
        <w:t>m</w:t>
      </w:r>
      <w:r w:rsidRPr="004B2498">
        <w:rPr>
          <w:lang w:eastAsia="fr-FR" w:bidi="fr-FR"/>
        </w:rPr>
        <w:t>muna</w:t>
      </w:r>
      <w:r w:rsidRPr="004B2498">
        <w:rPr>
          <w:lang w:eastAsia="fr-FR" w:bidi="fr-FR"/>
        </w:rPr>
        <w:t>u</w:t>
      </w:r>
      <w:r w:rsidRPr="004B2498">
        <w:rPr>
          <w:lang w:eastAsia="fr-FR" w:bidi="fr-FR"/>
        </w:rPr>
        <w:t>té homosexuelle sur Internet et celle dans la vie sociopolitique réelle. Ainsi, en pa</w:t>
      </w:r>
      <w:r w:rsidRPr="004B2498">
        <w:rPr>
          <w:lang w:eastAsia="fr-FR" w:bidi="fr-FR"/>
        </w:rPr>
        <w:t>s</w:t>
      </w:r>
      <w:r w:rsidRPr="004B2498">
        <w:rPr>
          <w:lang w:eastAsia="fr-FR" w:bidi="fr-FR"/>
        </w:rPr>
        <w:t xml:space="preserve">sant de </w:t>
      </w:r>
      <w:r w:rsidRPr="006C76D9">
        <w:rPr>
          <w:i/>
          <w:iCs/>
        </w:rPr>
        <w:t>online</w:t>
      </w:r>
      <w:r w:rsidRPr="004B2498">
        <w:rPr>
          <w:lang w:eastAsia="fr-FR" w:bidi="fr-FR"/>
        </w:rPr>
        <w:t xml:space="preserve"> à </w:t>
      </w:r>
      <w:r w:rsidRPr="006C76D9">
        <w:rPr>
          <w:i/>
          <w:iCs/>
        </w:rPr>
        <w:t>offline</w:t>
      </w:r>
      <w:r w:rsidRPr="006C76D9">
        <w:rPr>
          <w:iCs/>
        </w:rPr>
        <w:t>,</w:t>
      </w:r>
      <w:r w:rsidRPr="004B2498">
        <w:rPr>
          <w:lang w:eastAsia="fr-FR" w:bidi="fr-FR"/>
        </w:rPr>
        <w:t xml:space="preserve"> leur vie sur Internet et les rencontres réelles s’entrecroisent.</w:t>
      </w:r>
    </w:p>
  </w:footnote>
  <w:footnote w:id="162">
    <w:p w14:paraId="6C4CE558" w14:textId="77777777" w:rsidR="002F4063" w:rsidRDefault="002F4063">
      <w:pPr>
        <w:pStyle w:val="Notedebasdepage"/>
      </w:pPr>
      <w:r>
        <w:rPr>
          <w:rStyle w:val="Appelnotedebasdep"/>
        </w:rPr>
        <w:footnoteRef/>
      </w:r>
      <w:r>
        <w:t xml:space="preserve"> </w:t>
      </w:r>
      <w:r>
        <w:tab/>
      </w:r>
      <w:r w:rsidRPr="004B2498">
        <w:rPr>
          <w:lang w:eastAsia="fr-FR" w:bidi="fr-FR"/>
        </w:rPr>
        <w:t>Le nom d’un programme équivalent à MSN qui permet aux internautes de cha</w:t>
      </w:r>
      <w:r w:rsidRPr="004B2498">
        <w:rPr>
          <w:lang w:eastAsia="fr-FR" w:bidi="fr-FR"/>
        </w:rPr>
        <w:t>t</w:t>
      </w:r>
      <w:r w:rsidRPr="004B2498">
        <w:rPr>
          <w:lang w:eastAsia="fr-FR" w:bidi="fr-FR"/>
        </w:rPr>
        <w:t>ter avec leurs amis, en privé ou au sein d’un groupe dont les membres sont choisis par thème. Par exemple, un groupe de QQ de la classe au lycée, d’une association, etc.</w:t>
      </w:r>
    </w:p>
  </w:footnote>
  <w:footnote w:id="163">
    <w:p w14:paraId="5D0746B8" w14:textId="77777777" w:rsidR="002F4063" w:rsidRDefault="002F4063">
      <w:pPr>
        <w:pStyle w:val="Notedebasdepage"/>
      </w:pPr>
      <w:r>
        <w:rPr>
          <w:rStyle w:val="Appelnotedebasdep"/>
        </w:rPr>
        <w:footnoteRef/>
      </w:r>
      <w:r>
        <w:t xml:space="preserve"> </w:t>
      </w:r>
      <w:r>
        <w:tab/>
      </w:r>
      <w:r w:rsidRPr="004B2498">
        <w:rPr>
          <w:lang w:eastAsia="fr-FR" w:bidi="fr-FR"/>
        </w:rPr>
        <w:t>Quartier de la banlieue nord de la ville de Canton.</w:t>
      </w:r>
    </w:p>
  </w:footnote>
  <w:footnote w:id="164">
    <w:p w14:paraId="7B30F474" w14:textId="77777777" w:rsidR="002F4063" w:rsidRDefault="002F4063">
      <w:pPr>
        <w:pStyle w:val="Notedebasdepage"/>
      </w:pPr>
      <w:r>
        <w:rPr>
          <w:rStyle w:val="Appelnotedebasdep"/>
        </w:rPr>
        <w:footnoteRef/>
      </w:r>
      <w:r>
        <w:t xml:space="preserve"> </w:t>
      </w:r>
      <w:r>
        <w:tab/>
      </w:r>
      <w:r w:rsidRPr="004B2498">
        <w:t>Junwei a utilisé le terme chinois si ren cai chan [</w:t>
      </w:r>
      <w:r>
        <w:t>caractères ch</w:t>
      </w:r>
      <w:r>
        <w:t>i</w:t>
      </w:r>
      <w:r>
        <w:t>nois</w:t>
      </w:r>
      <w:r w:rsidRPr="004B2498">
        <w:t>], « propriété privée», qui signifie que les parents ainsi que les enfants sont considérés co</w:t>
      </w:r>
      <w:r w:rsidRPr="004B2498">
        <w:t>m</w:t>
      </w:r>
      <w:r w:rsidRPr="004B2498">
        <w:t>me un « objet » appartenant à l’autre.</w:t>
      </w:r>
    </w:p>
  </w:footnote>
  <w:footnote w:id="165">
    <w:p w14:paraId="201F10C3" w14:textId="77777777" w:rsidR="002F4063" w:rsidRDefault="002F4063">
      <w:pPr>
        <w:pStyle w:val="Notedebasdepage"/>
      </w:pPr>
      <w:r>
        <w:rPr>
          <w:rStyle w:val="Appelnotedebasdep"/>
        </w:rPr>
        <w:footnoteRef/>
      </w:r>
      <w:r>
        <w:t xml:space="preserve"> </w:t>
      </w:r>
      <w:r>
        <w:tab/>
      </w:r>
      <w:r w:rsidRPr="004B2498">
        <w:t>Miniblog est traduit directement du tenue chinois Weibo [</w:t>
      </w:r>
      <w:r>
        <w:t>c</w:t>
      </w:r>
      <w:r>
        <w:t>a</w:t>
      </w:r>
      <w:r>
        <w:t>ractères chinois</w:t>
      </w:r>
      <w:r w:rsidRPr="004B2498">
        <w:t>] qui désigne les sites interactifs tels que Twitter, dont l’accès est prat</w:t>
      </w:r>
      <w:r w:rsidRPr="004B2498">
        <w:t>i</w:t>
      </w:r>
      <w:r w:rsidRPr="004B2498">
        <w:t>que et efficace via les téléphones portables, d’où vient l’idée que c’est un outil de communication parfait pour le témoignage simu</w:t>
      </w:r>
      <w:r w:rsidRPr="004B2498">
        <w:t>l</w:t>
      </w:r>
      <w:r w:rsidRPr="004B2498">
        <w:t>tané.</w:t>
      </w:r>
    </w:p>
  </w:footnote>
  <w:footnote w:id="166">
    <w:p w14:paraId="62D2BDD0" w14:textId="77777777" w:rsidR="002F4063" w:rsidRDefault="002F4063">
      <w:pPr>
        <w:pStyle w:val="Notedebasdepage"/>
      </w:pPr>
      <w:r>
        <w:rPr>
          <w:rStyle w:val="Appelnotedebasdep"/>
        </w:rPr>
        <w:footnoteRef/>
      </w:r>
      <w:r>
        <w:t xml:space="preserve"> </w:t>
      </w:r>
      <w:r>
        <w:tab/>
      </w:r>
      <w:r w:rsidRPr="004B2498">
        <w:t>Terme chinois: quan gui zi ben [</w:t>
      </w:r>
      <w:r>
        <w:t>caractères chinois</w:t>
      </w:r>
      <w:r w:rsidRPr="004B2498">
        <w:t>] dont quan [</w:t>
      </w:r>
      <w:r>
        <w:t>caractères chinois</w:t>
      </w:r>
      <w:r w:rsidRPr="004B2498">
        <w:t>] signifie le po</w:t>
      </w:r>
      <w:r w:rsidRPr="004B2498">
        <w:t>u</w:t>
      </w:r>
      <w:r w:rsidRPr="004B2498">
        <w:t>voir, gui [</w:t>
      </w:r>
      <w:r>
        <w:t>caractères chinois</w:t>
      </w:r>
      <w:r w:rsidRPr="004B2498">
        <w:t>] la puissance et zi ben [</w:t>
      </w:r>
      <w:r>
        <w:t>caractères chinois</w:t>
      </w:r>
      <w:r w:rsidRPr="004B2498">
        <w:t>] les capitaux.</w:t>
      </w:r>
    </w:p>
  </w:footnote>
  <w:footnote w:id="167">
    <w:p w14:paraId="49C8BE83" w14:textId="77777777" w:rsidR="002F4063" w:rsidRDefault="002F4063">
      <w:pPr>
        <w:pStyle w:val="Notedebasdepage"/>
      </w:pPr>
      <w:r>
        <w:rPr>
          <w:rStyle w:val="Appelnotedebasdep"/>
        </w:rPr>
        <w:footnoteRef/>
      </w:r>
      <w:r>
        <w:t xml:space="preserve"> </w:t>
      </w:r>
      <w:r>
        <w:tab/>
      </w:r>
      <w:r w:rsidRPr="004B2498">
        <w:rPr>
          <w:lang w:eastAsia="fr-FR" w:bidi="fr-FR"/>
        </w:rPr>
        <w:t>Par exemple, l’entreprise de QQ-Tencent</w:t>
      </w:r>
      <w:r>
        <w:rPr>
          <w:lang w:eastAsia="fr-FR" w:bidi="fr-FR"/>
        </w:rPr>
        <w:t> </w:t>
      </w:r>
      <w:r w:rsidRPr="004B2498">
        <w:rPr>
          <w:lang w:eastAsia="fr-FR" w:bidi="fr-FR"/>
        </w:rPr>
        <w:t>: son chiffre d’affaires pour le 2</w:t>
      </w:r>
      <w:r w:rsidRPr="001125D4">
        <w:rPr>
          <w:vertAlign w:val="superscript"/>
          <w:lang w:eastAsia="fr-FR" w:bidi="fr-FR"/>
        </w:rPr>
        <w:t>nd</w:t>
      </w:r>
      <w:r w:rsidRPr="004B2498">
        <w:rPr>
          <w:lang w:eastAsia="fr-FR" w:bidi="fr-FR"/>
        </w:rPr>
        <w:t xml:space="preserve"> semestre 2010 atteint 687 600 000 US dollars, et la valeur d’un titre d’action de cette société sur la bourse a varié de 3.7 HK dollars en 2004 à 171 HK dollars en 2010. Voir </w:t>
      </w:r>
      <w:hyperlink r:id="rId12" w:history="1">
        <w:r w:rsidRPr="004B2498">
          <w:rPr>
            <w:rStyle w:val="Hyperlien"/>
            <w:color w:val="auto"/>
            <w:u w:val="none"/>
            <w:lang w:bidi="en-US"/>
          </w:rPr>
          <w:t>http://it.people.com.en/GB/42891/42894/l</w:t>
        </w:r>
      </w:hyperlink>
      <w:r w:rsidRPr="004B2498">
        <w:rPr>
          <w:lang w:bidi="en-US"/>
        </w:rPr>
        <w:t xml:space="preserve"> 1859755.html.</w:t>
      </w:r>
    </w:p>
  </w:footnote>
  <w:footnote w:id="168">
    <w:p w14:paraId="35417B49" w14:textId="77777777" w:rsidR="002F4063" w:rsidRDefault="002F4063">
      <w:pPr>
        <w:pStyle w:val="Notedebasdepage"/>
      </w:pPr>
      <w:r>
        <w:rPr>
          <w:rStyle w:val="Appelnotedebasdep"/>
        </w:rPr>
        <w:footnoteRef/>
      </w:r>
      <w:r>
        <w:t xml:space="preserve"> </w:t>
      </w:r>
      <w:r>
        <w:tab/>
      </w:r>
      <w:r w:rsidRPr="004B2498">
        <w:t xml:space="preserve">Terme chinois : </w:t>
      </w:r>
      <w:r w:rsidRPr="006C76D9">
        <w:rPr>
          <w:i/>
        </w:rPr>
        <w:t>kou bei ying xiao</w:t>
      </w:r>
      <w:r w:rsidRPr="004B2498">
        <w:t xml:space="preserve"> [</w:t>
      </w:r>
      <w:r>
        <w:t>caractères chinois</w:t>
      </w:r>
      <w:r w:rsidRPr="004B2498">
        <w:t>].</w:t>
      </w:r>
    </w:p>
  </w:footnote>
  <w:footnote w:id="169">
    <w:p w14:paraId="2C23753D" w14:textId="77777777" w:rsidR="002F4063" w:rsidRDefault="002F4063">
      <w:pPr>
        <w:pStyle w:val="Notedebasdepage"/>
      </w:pPr>
      <w:r>
        <w:rPr>
          <w:rStyle w:val="Appelnotedebasdep"/>
        </w:rPr>
        <w:footnoteRef/>
      </w:r>
      <w:r>
        <w:t xml:space="preserve"> </w:t>
      </w:r>
      <w:r>
        <w:tab/>
      </w:r>
      <w:r w:rsidRPr="004B2498">
        <w:t>En chinois, ils sont « [</w:t>
      </w:r>
      <w:r>
        <w:t>caractères chinois</w:t>
      </w:r>
      <w:r w:rsidRPr="004B2498">
        <w:t xml:space="preserve">] </w:t>
      </w:r>
      <w:r w:rsidRPr="003C1FB0">
        <w:rPr>
          <w:i/>
        </w:rPr>
        <w:t>Wumao dang </w:t>
      </w:r>
      <w:r w:rsidRPr="004B2498">
        <w:t>», Wumao c’est 50 centimes, ainsi « 50 cent party » ou « 50 cent army » en anglais sign</w:t>
      </w:r>
      <w:r w:rsidRPr="004B2498">
        <w:t>i</w:t>
      </w:r>
      <w:r w:rsidRPr="004B2498">
        <w:t>fie « parti des 50 centimes » en français. Ce mot désigne les gens recrutés pour donner des commentaires favorables sur Inte</w:t>
      </w:r>
      <w:r w:rsidRPr="004B2498">
        <w:t>r</w:t>
      </w:r>
      <w:r w:rsidRPr="004B2498">
        <w:t>net dans l’intérêt de certains groupes ou des personnes qui les engagent. Leurs e</w:t>
      </w:r>
      <w:r w:rsidRPr="004B2498">
        <w:t>m</w:t>
      </w:r>
      <w:r w:rsidRPr="004B2498">
        <w:t>ployeurs peuvent être des entreprises, les autorités à différents niveaux ou des individus. Ce nom a été créé par les internautes à partir d’un document gouvernemental de la vi</w:t>
      </w:r>
      <w:r w:rsidRPr="004B2498">
        <w:t>l</w:t>
      </w:r>
      <w:r w:rsidRPr="004B2498">
        <w:t>le de Changsha où il est i</w:t>
      </w:r>
      <w:r w:rsidRPr="004B2498">
        <w:t>n</w:t>
      </w:r>
      <w:r w:rsidRPr="004B2498">
        <w:t>diqué que le salaire mensuel de ces « commentateurs-internautes » ([</w:t>
      </w:r>
      <w:r>
        <w:t>caractères chinois</w:t>
      </w:r>
      <w:r w:rsidRPr="004B2498">
        <w:t xml:space="preserve">] </w:t>
      </w:r>
      <w:r w:rsidRPr="003C1FB0">
        <w:rPr>
          <w:i/>
        </w:rPr>
        <w:t>wa</w:t>
      </w:r>
      <w:r w:rsidRPr="003C1FB0">
        <w:rPr>
          <w:i/>
        </w:rPr>
        <w:t>n</w:t>
      </w:r>
      <w:r w:rsidRPr="003C1FB0">
        <w:rPr>
          <w:i/>
        </w:rPr>
        <w:t>gluo pinglunyuan</w:t>
      </w:r>
      <w:r w:rsidRPr="004B2498">
        <w:t>) était de 600 yuans et 50 centimes de plus pour ch</w:t>
      </w:r>
      <w:r w:rsidRPr="004B2498">
        <w:t>a</w:t>
      </w:r>
      <w:r w:rsidRPr="004B2498">
        <w:t>que poste « favorable » sur la Toile.</w:t>
      </w:r>
    </w:p>
  </w:footnote>
  <w:footnote w:id="170">
    <w:p w14:paraId="67557734" w14:textId="77777777" w:rsidR="002F4063" w:rsidRDefault="002F4063">
      <w:pPr>
        <w:pStyle w:val="Notedebasdepage"/>
      </w:pPr>
      <w:r>
        <w:rPr>
          <w:rStyle w:val="Appelnotedebasdep"/>
        </w:rPr>
        <w:footnoteRef/>
      </w:r>
      <w:r>
        <w:t xml:space="preserve"> </w:t>
      </w:r>
      <w:r>
        <w:tab/>
      </w:r>
      <w:r w:rsidRPr="004B2498">
        <w:t xml:space="preserve">Terme chinois : </w:t>
      </w:r>
      <w:r w:rsidRPr="003C1FB0">
        <w:rPr>
          <w:i/>
        </w:rPr>
        <w:t>sao huang da fei</w:t>
      </w:r>
      <w:r w:rsidRPr="004B2498">
        <w:t xml:space="preserve"> [</w:t>
      </w:r>
      <w:r>
        <w:t>caractères chinois</w:t>
      </w:r>
      <w:r w:rsidRPr="004B2498">
        <w:t>].</w:t>
      </w:r>
    </w:p>
  </w:footnote>
  <w:footnote w:id="171">
    <w:p w14:paraId="54CB021F" w14:textId="77777777" w:rsidR="002F4063" w:rsidRDefault="002F4063">
      <w:pPr>
        <w:pStyle w:val="Notedebasdepage"/>
      </w:pPr>
      <w:r>
        <w:rPr>
          <w:rStyle w:val="Appelnotedebasdep"/>
        </w:rPr>
        <w:footnoteRef/>
      </w:r>
      <w:r>
        <w:t xml:space="preserve"> </w:t>
      </w:r>
      <w:r>
        <w:tab/>
      </w:r>
      <w:r w:rsidRPr="004B2498">
        <w:rPr>
          <w:lang w:eastAsia="fr-FR" w:bidi="fr-FR"/>
        </w:rPr>
        <w:t>Junwei a un frère aîné, trois sœurs aînées et une sœur cadette qui est la pr</w:t>
      </w:r>
      <w:r w:rsidRPr="004B2498">
        <w:rPr>
          <w:lang w:eastAsia="fr-FR" w:bidi="fr-FR"/>
        </w:rPr>
        <w:t>e</w:t>
      </w:r>
      <w:r w:rsidRPr="004B2498">
        <w:rPr>
          <w:lang w:eastAsia="fr-FR" w:bidi="fr-FR"/>
        </w:rPr>
        <w:t>mi</w:t>
      </w:r>
      <w:r w:rsidRPr="004B2498">
        <w:rPr>
          <w:lang w:eastAsia="fr-FR" w:bidi="fr-FR"/>
        </w:rPr>
        <w:t>è</w:t>
      </w:r>
      <w:r w:rsidRPr="004B2498">
        <w:rPr>
          <w:lang w:eastAsia="fr-FR" w:bidi="fr-FR"/>
        </w:rPr>
        <w:t>re personne de la famille à laquelle Junwei s’est confié et a raconté son histoire par rapport à sa sexualité.</w:t>
      </w:r>
    </w:p>
  </w:footnote>
  <w:footnote w:id="172">
    <w:p w14:paraId="0B1D3F40" w14:textId="77777777" w:rsidR="002F4063" w:rsidRDefault="002F4063">
      <w:pPr>
        <w:pStyle w:val="Notedebasdepage"/>
      </w:pPr>
      <w:r>
        <w:rPr>
          <w:rStyle w:val="Appelnotedebasdep"/>
        </w:rPr>
        <w:footnoteRef/>
      </w:r>
      <w:r>
        <w:t xml:space="preserve"> </w:t>
      </w:r>
      <w:r>
        <w:tab/>
      </w:r>
      <w:r w:rsidRPr="004B2498">
        <w:rPr>
          <w:lang w:eastAsia="fr-FR" w:bidi="fr-FR"/>
        </w:rPr>
        <w:t>Il a défini cette période comme l’ère Web 1.0.</w:t>
      </w:r>
    </w:p>
  </w:footnote>
  <w:footnote w:id="173">
    <w:p w14:paraId="7C102182" w14:textId="77777777" w:rsidR="002F4063" w:rsidRDefault="002F4063">
      <w:pPr>
        <w:pStyle w:val="Notedebasdepage"/>
      </w:pPr>
      <w:r>
        <w:rPr>
          <w:rStyle w:val="Appelnotedebasdep"/>
        </w:rPr>
        <w:footnoteRef/>
      </w:r>
      <w:r>
        <w:t xml:space="preserve"> </w:t>
      </w:r>
      <w:r>
        <w:tab/>
      </w:r>
      <w:r w:rsidRPr="004B2498">
        <w:rPr>
          <w:lang w:eastAsia="fr-FR" w:bidi="fr-FR"/>
        </w:rPr>
        <w:t>Cette ère Web 3.0. est définie par Junwei comme l’ère où les internautes peuvent devenir une source d’informations grâce à la technologie du min</w:t>
      </w:r>
      <w:r w:rsidRPr="004B2498">
        <w:rPr>
          <w:lang w:eastAsia="fr-FR" w:bidi="fr-FR"/>
        </w:rPr>
        <w:t>i</w:t>
      </w:r>
      <w:r w:rsidRPr="004B2498">
        <w:rPr>
          <w:lang w:eastAsia="fr-FR" w:bidi="fr-FR"/>
        </w:rPr>
        <w:t>blog qui permet une circulation d’informations sur plusieurs sites ou des l</w:t>
      </w:r>
      <w:r w:rsidRPr="004B2498">
        <w:rPr>
          <w:lang w:eastAsia="fr-FR" w:bidi="fr-FR"/>
        </w:rPr>
        <w:t>o</w:t>
      </w:r>
      <w:r w:rsidRPr="004B2498">
        <w:rPr>
          <w:lang w:eastAsia="fr-FR" w:bidi="fr-FR"/>
        </w:rPr>
        <w:t>giciels de chat à travers un simple SMS ou e-mail. Il l’appelle aussi « l’ère du miniblog ».</w:t>
      </w:r>
    </w:p>
  </w:footnote>
  <w:footnote w:id="174">
    <w:p w14:paraId="11E27F53" w14:textId="77777777" w:rsidR="002F4063" w:rsidRDefault="002F4063">
      <w:pPr>
        <w:pStyle w:val="Notedebasdepage"/>
      </w:pPr>
      <w:r>
        <w:rPr>
          <w:rStyle w:val="Appelnotedebasdep"/>
        </w:rPr>
        <w:footnoteRef/>
      </w:r>
      <w:r>
        <w:t xml:space="preserve"> </w:t>
      </w:r>
      <w:r>
        <w:tab/>
      </w:r>
      <w:r w:rsidRPr="004B2498">
        <w:rPr>
          <w:lang w:val="fr-FR" w:eastAsia="fr-FR" w:bidi="fr-FR"/>
        </w:rPr>
        <w:t>Pékin, Shangaï et Canton.</w:t>
      </w:r>
    </w:p>
  </w:footnote>
  <w:footnote w:id="175">
    <w:p w14:paraId="393B59CF" w14:textId="77777777" w:rsidR="002F4063" w:rsidRDefault="002F4063">
      <w:pPr>
        <w:pStyle w:val="Notedebasdepage"/>
      </w:pPr>
      <w:r>
        <w:rPr>
          <w:rStyle w:val="Appelnotedebasdep"/>
        </w:rPr>
        <w:footnoteRef/>
      </w:r>
      <w:r>
        <w:t xml:space="preserve"> </w:t>
      </w:r>
      <w:r>
        <w:tab/>
      </w:r>
      <w:r w:rsidRPr="004B2498">
        <w:rPr>
          <w:lang w:val="fr-FR" w:eastAsia="fr-FR" w:bidi="fr-FR"/>
        </w:rPr>
        <w:t>Ces deux notions sont utilisées et développées par Monique S</w:t>
      </w:r>
      <w:r w:rsidRPr="004B2498">
        <w:rPr>
          <w:lang w:val="fr-FR" w:eastAsia="fr-FR" w:bidi="fr-FR"/>
        </w:rPr>
        <w:t>e</w:t>
      </w:r>
      <w:r w:rsidRPr="004B2498">
        <w:rPr>
          <w:lang w:val="fr-FR" w:eastAsia="fr-FR" w:bidi="fr-FR"/>
        </w:rPr>
        <w:t>lim dans son séminaire «</w:t>
      </w:r>
      <w:r>
        <w:rPr>
          <w:lang w:val="fr-FR" w:eastAsia="fr-FR" w:bidi="fr-FR"/>
        </w:rPr>
        <w:t> </w:t>
      </w:r>
      <w:r w:rsidRPr="004B2498">
        <w:rPr>
          <w:lang w:val="fr-FR" w:eastAsia="fr-FR" w:bidi="fr-FR"/>
        </w:rPr>
        <w:t>anthropologie politique de la globalisation</w:t>
      </w:r>
      <w:r>
        <w:rPr>
          <w:lang w:val="fr-FR" w:eastAsia="fr-FR" w:bidi="fr-FR"/>
        </w:rPr>
        <w:t> </w:t>
      </w:r>
      <w:r w:rsidRPr="004B2498">
        <w:rPr>
          <w:lang w:val="fr-FR" w:eastAsia="fr-FR" w:bidi="fr-FR"/>
        </w:rPr>
        <w:t>» à l’EHESS en 2010.</w:t>
      </w:r>
    </w:p>
  </w:footnote>
  <w:footnote w:id="176">
    <w:p w14:paraId="34F13F0E" w14:textId="77777777" w:rsidR="002F4063" w:rsidRDefault="002F4063">
      <w:pPr>
        <w:pStyle w:val="Notedebasdepage"/>
      </w:pPr>
      <w:r>
        <w:rPr>
          <w:rStyle w:val="Appelnotedebasdep"/>
        </w:rPr>
        <w:footnoteRef/>
      </w:r>
      <w:r>
        <w:t xml:space="preserve"> </w:t>
      </w:r>
      <w:r>
        <w:tab/>
      </w:r>
      <w:r w:rsidRPr="004B2498">
        <w:rPr>
          <w:lang w:val="fr-FR" w:eastAsia="fr-FR" w:bidi="fr-FR"/>
        </w:rPr>
        <w:t>Il s’agit d’une catégorisation politique de l’époque de Mao d</w:t>
      </w:r>
      <w:r w:rsidRPr="004B2498">
        <w:rPr>
          <w:lang w:val="fr-FR" w:eastAsia="fr-FR" w:bidi="fr-FR"/>
        </w:rPr>
        <w:t>é</w:t>
      </w:r>
      <w:r w:rsidRPr="004B2498">
        <w:rPr>
          <w:lang w:val="fr-FR" w:eastAsia="fr-FR" w:bidi="fr-FR"/>
        </w:rPr>
        <w:t>signant ceux dont la famille ou les ancêtres étaient propriétaires fonciers, grands co</w:t>
      </w:r>
      <w:r w:rsidRPr="004B2498">
        <w:rPr>
          <w:lang w:val="fr-FR" w:eastAsia="fr-FR" w:bidi="fr-FR"/>
        </w:rPr>
        <w:t>m</w:t>
      </w:r>
      <w:r w:rsidRPr="004B2498">
        <w:rPr>
          <w:lang w:val="fr-FR" w:eastAsia="fr-FR" w:bidi="fr-FR"/>
        </w:rPr>
        <w:t>merçants, collaborateurs pendant les guerres avec le Kuomingtang, etc., to</w:t>
      </w:r>
      <w:r w:rsidRPr="004B2498">
        <w:rPr>
          <w:lang w:val="fr-FR" w:eastAsia="fr-FR" w:bidi="fr-FR"/>
        </w:rPr>
        <w:t>u</w:t>
      </w:r>
      <w:r w:rsidRPr="004B2498">
        <w:rPr>
          <w:lang w:val="fr-FR" w:eastAsia="fr-FR" w:bidi="fr-FR"/>
        </w:rPr>
        <w:t>tes les catégories considérées comme capitali</w:t>
      </w:r>
      <w:r w:rsidRPr="004B2498">
        <w:rPr>
          <w:lang w:val="fr-FR" w:eastAsia="fr-FR" w:bidi="fr-FR"/>
        </w:rPr>
        <w:t>s</w:t>
      </w:r>
      <w:r w:rsidRPr="004B2498">
        <w:rPr>
          <w:lang w:val="fr-FR" w:eastAsia="fr-FR" w:bidi="fr-FR"/>
        </w:rPr>
        <w:t>tes, féodales, impérialistes, superstitieuses (les religions), antirévolutionnaires, anticommunistes, ant</w:t>
      </w:r>
      <w:r w:rsidRPr="004B2498">
        <w:rPr>
          <w:lang w:val="fr-FR" w:eastAsia="fr-FR" w:bidi="fr-FR"/>
        </w:rPr>
        <w:t>i</w:t>
      </w:r>
      <w:r w:rsidRPr="004B2498">
        <w:rPr>
          <w:lang w:val="fr-FR" w:eastAsia="fr-FR" w:bidi="fr-FR"/>
        </w:rPr>
        <w:t>peuple, etc.</w:t>
      </w:r>
    </w:p>
  </w:footnote>
  <w:footnote w:id="177">
    <w:p w14:paraId="260CC24C" w14:textId="77777777" w:rsidR="002F4063" w:rsidRDefault="002F4063">
      <w:pPr>
        <w:pStyle w:val="Notedebasdepage"/>
      </w:pPr>
      <w:r>
        <w:rPr>
          <w:rStyle w:val="Appelnotedebasdep"/>
        </w:rPr>
        <w:footnoteRef/>
      </w:r>
      <w:r>
        <w:t xml:space="preserve"> </w:t>
      </w:r>
      <w:r>
        <w:tab/>
      </w:r>
      <w:r w:rsidRPr="004B2498">
        <w:rPr>
          <w:lang w:eastAsia="fr-FR" w:bidi="fr-FR"/>
        </w:rPr>
        <w:t xml:space="preserve">« Jeune en colère » est une tenue chinois - </w:t>
      </w:r>
      <w:r w:rsidRPr="004B2498">
        <w:t>Fen Qing [</w:t>
      </w:r>
      <w:r>
        <w:t>caractères chinois</w:t>
      </w:r>
      <w:r w:rsidRPr="004B2498">
        <w:t>]</w:t>
      </w:r>
      <w:r w:rsidRPr="004B2498">
        <w:rPr>
          <w:lang w:eastAsia="fr-FR" w:bidi="fr-FR"/>
        </w:rPr>
        <w:t xml:space="preserve"> - qui apparaît d’abord à Hongkong dans les années 1970 pour désigner les jeunes qui n’étaient pas satisfaits de la société. Ce tenue, maintenant très ut</w:t>
      </w:r>
      <w:r w:rsidRPr="004B2498">
        <w:rPr>
          <w:lang w:eastAsia="fr-FR" w:bidi="fr-FR"/>
        </w:rPr>
        <w:t>i</w:t>
      </w:r>
      <w:r w:rsidRPr="004B2498">
        <w:rPr>
          <w:lang w:eastAsia="fr-FR" w:bidi="fr-FR"/>
        </w:rPr>
        <w:t>lisé sur Internet, renvoie souvent aux individus nationalistes et p</w:t>
      </w:r>
      <w:r w:rsidRPr="004B2498">
        <w:rPr>
          <w:lang w:eastAsia="fr-FR" w:bidi="fr-FR"/>
        </w:rPr>
        <w:t>a</w:t>
      </w:r>
      <w:r w:rsidRPr="004B2498">
        <w:rPr>
          <w:lang w:eastAsia="fr-FR" w:bidi="fr-FR"/>
        </w:rPr>
        <w:t>triotes, en particulier à propos des débats sur le Japon, Taiwan et le Tibet, etc. qu’ils soient politiques ou non.</w:t>
      </w:r>
    </w:p>
  </w:footnote>
  <w:footnote w:id="178">
    <w:p w14:paraId="528698A7" w14:textId="77777777" w:rsidR="002F4063" w:rsidRDefault="002F4063">
      <w:pPr>
        <w:pStyle w:val="Notedebasdepage"/>
      </w:pPr>
      <w:r>
        <w:rPr>
          <w:rStyle w:val="Appelnotedebasdep"/>
        </w:rPr>
        <w:footnoteRef/>
      </w:r>
      <w:r>
        <w:t xml:space="preserve"> </w:t>
      </w:r>
      <w:r>
        <w:tab/>
      </w:r>
      <w:r w:rsidRPr="004B2498">
        <w:rPr>
          <w:lang w:val="fr-FR" w:eastAsia="fr-FR" w:bidi="fr-FR"/>
        </w:rPr>
        <w:t>L’observateur est d’origine chinoise.</w:t>
      </w:r>
    </w:p>
  </w:footnote>
  <w:footnote w:id="179">
    <w:p w14:paraId="109B1D9B" w14:textId="77777777" w:rsidR="002F4063" w:rsidRDefault="002F4063">
      <w:pPr>
        <w:pStyle w:val="Notedebasdepage"/>
      </w:pPr>
      <w:r>
        <w:rPr>
          <w:rStyle w:val="Appelnotedebasdep"/>
        </w:rPr>
        <w:footnoteRef/>
      </w:r>
      <w:r>
        <w:t xml:space="preserve"> </w:t>
      </w:r>
      <w:r>
        <w:tab/>
      </w:r>
      <w:r w:rsidRPr="004B2498">
        <w:rPr>
          <w:lang w:eastAsia="fr-FR" w:bidi="fr-FR"/>
        </w:rPr>
        <w:t>Notion développée par Monique Selim.</w:t>
      </w:r>
      <w:r w:rsidRPr="004B2498">
        <w:t xml:space="preserve"> </w:t>
      </w:r>
    </w:p>
  </w:footnote>
  <w:footnote w:id="180">
    <w:p w14:paraId="29CB7C1B" w14:textId="77777777" w:rsidR="002F4063" w:rsidRDefault="002F4063">
      <w:pPr>
        <w:pStyle w:val="Notedebasdepage"/>
      </w:pPr>
      <w:r>
        <w:rPr>
          <w:rStyle w:val="Appelnotedebasdep"/>
        </w:rPr>
        <w:footnoteRef/>
      </w:r>
      <w:r>
        <w:t xml:space="preserve"> </w:t>
      </w:r>
      <w:r>
        <w:tab/>
      </w:r>
      <w:r w:rsidRPr="004B2498">
        <w:rPr>
          <w:lang w:eastAsia="fr-FR" w:bidi="fr-FR"/>
        </w:rPr>
        <w:t>L’absence de précisions vise à préserver moins son anonymat que surtout celui des femmes qui l’entourent.</w:t>
      </w:r>
    </w:p>
  </w:footnote>
  <w:footnote w:id="181">
    <w:p w14:paraId="7E64E581" w14:textId="77777777" w:rsidR="002F4063" w:rsidRDefault="002F4063">
      <w:pPr>
        <w:pStyle w:val="Notedebasdepage"/>
      </w:pPr>
      <w:r>
        <w:rPr>
          <w:rStyle w:val="Appelnotedebasdep"/>
        </w:rPr>
        <w:footnoteRef/>
      </w:r>
      <w:r>
        <w:t xml:space="preserve"> </w:t>
      </w:r>
      <w:r>
        <w:tab/>
      </w:r>
      <w:r w:rsidRPr="004B2498">
        <w:t xml:space="preserve">Alain EHRENBERG, 2010 : </w:t>
      </w:r>
      <w:r w:rsidRPr="003674B1">
        <w:rPr>
          <w:i/>
        </w:rPr>
        <w:t>La société du malaise</w:t>
      </w:r>
      <w:r w:rsidRPr="004B2498">
        <w:t>, Odile Jacob.</w:t>
      </w:r>
    </w:p>
  </w:footnote>
  <w:footnote w:id="182">
    <w:p w14:paraId="7FC593EC" w14:textId="77777777" w:rsidR="002F4063" w:rsidRDefault="002F4063">
      <w:pPr>
        <w:pStyle w:val="Notedebasdepage"/>
      </w:pPr>
      <w:r>
        <w:rPr>
          <w:rStyle w:val="Appelnotedebasdep"/>
        </w:rPr>
        <w:footnoteRef/>
      </w:r>
      <w:r>
        <w:t xml:space="preserve"> </w:t>
      </w:r>
      <w:r>
        <w:tab/>
      </w:r>
      <w:r w:rsidRPr="004B2498">
        <w:rPr>
          <w:lang w:val="fr-FR" w:eastAsia="fr-FR" w:bidi="fr-FR"/>
        </w:rPr>
        <w:t xml:space="preserve">Par </w:t>
      </w:r>
      <w:r w:rsidRPr="00767F5A">
        <w:rPr>
          <w:i/>
          <w:lang w:val="fr-FR" w:eastAsia="fr-FR" w:bidi="fr-FR"/>
        </w:rPr>
        <w:t>Gongo</w:t>
      </w:r>
      <w:r w:rsidRPr="004B2498">
        <w:rPr>
          <w:lang w:val="fr-FR" w:eastAsia="fr-FR" w:bidi="fr-FR"/>
        </w:rPr>
        <w:t>, on entend les ONG dans la main du gouvernement, en partic</w:t>
      </w:r>
      <w:r w:rsidRPr="004B2498">
        <w:rPr>
          <w:lang w:val="fr-FR" w:eastAsia="fr-FR" w:bidi="fr-FR"/>
        </w:rPr>
        <w:t>u</w:t>
      </w:r>
      <w:r w:rsidRPr="004B2498">
        <w:rPr>
          <w:lang w:val="fr-FR" w:eastAsia="fr-FR" w:bidi="fr-FR"/>
        </w:rPr>
        <w:t>lier dans les régimes autoritaires.</w:t>
      </w:r>
    </w:p>
  </w:footnote>
  <w:footnote w:id="183">
    <w:p w14:paraId="59C8D3EC" w14:textId="77777777" w:rsidR="002F4063" w:rsidRDefault="002F4063" w:rsidP="002F4063">
      <w:pPr>
        <w:pStyle w:val="Notedebasdepage"/>
      </w:pPr>
      <w:r>
        <w:rPr>
          <w:rStyle w:val="Appelnotedebasdep"/>
        </w:rPr>
        <w:t>*</w:t>
      </w:r>
      <w:r>
        <w:t xml:space="preserve"> </w:t>
      </w:r>
      <w:r>
        <w:tab/>
      </w:r>
      <w:r w:rsidRPr="004B2498">
        <w:t>Je voudrais remercier ici Bernard Castelli, Bernard Hours et M</w:t>
      </w:r>
      <w:r w:rsidRPr="004B2498">
        <w:t>o</w:t>
      </w:r>
      <w:r w:rsidRPr="004B2498">
        <w:t>nique Selim pour leur vigilante lecture et leurs conseils dans la rédaction de ce texte, ai</w:t>
      </w:r>
      <w:r w:rsidRPr="004B2498">
        <w:t>n</w:t>
      </w:r>
      <w:r w:rsidRPr="004B2498">
        <w:t xml:space="preserve">si que les </w:t>
      </w:r>
      <w:r w:rsidRPr="006B78AD">
        <w:rPr>
          <w:i/>
        </w:rPr>
        <w:t>peer reviewers</w:t>
      </w:r>
      <w:r w:rsidRPr="004B2498">
        <w:t xml:space="preserve"> anonymes.</w:t>
      </w:r>
    </w:p>
  </w:footnote>
  <w:footnote w:id="184">
    <w:p w14:paraId="0876E313" w14:textId="77777777" w:rsidR="002F4063" w:rsidRDefault="002F4063">
      <w:pPr>
        <w:pStyle w:val="Notedebasdepage"/>
      </w:pPr>
      <w:r>
        <w:rPr>
          <w:rStyle w:val="Appelnotedebasdep"/>
        </w:rPr>
        <w:footnoteRef/>
      </w:r>
      <w:r>
        <w:t xml:space="preserve"> </w:t>
      </w:r>
      <w:r>
        <w:tab/>
      </w:r>
      <w:r w:rsidRPr="004B2498">
        <w:t>Butler critique la distinction féministe bien connue entre « sexe » biologique et « genre », sexe construit culturellement</w:t>
      </w:r>
      <w:r>
        <w:t> </w:t>
      </w:r>
      <w:r w:rsidRPr="004B2498">
        <w:t>: elle remarque qu’il reste à savoir si le sexe biologique n’est pas culturel, car la bi</w:t>
      </w:r>
      <w:r w:rsidRPr="004B2498">
        <w:t>o</w:t>
      </w:r>
      <w:r w:rsidRPr="004B2498">
        <w:t>logie, elle, est toujours culturalisée (cf. Butler, 1999 [1990], 1997, 1993 ; ou Querrien et Selim, 2010). Dans ce chapitre j’utiliserai « sexe » au sens biologique.</w:t>
      </w:r>
    </w:p>
  </w:footnote>
  <w:footnote w:id="185">
    <w:p w14:paraId="53F1F750" w14:textId="77777777" w:rsidR="002F4063" w:rsidRDefault="002F4063">
      <w:pPr>
        <w:pStyle w:val="Notedebasdepage"/>
      </w:pPr>
      <w:r>
        <w:rPr>
          <w:rStyle w:val="Appelnotedebasdep"/>
        </w:rPr>
        <w:footnoteRef/>
      </w:r>
      <w:r>
        <w:t xml:space="preserve"> </w:t>
      </w:r>
      <w:r>
        <w:tab/>
      </w:r>
      <w:r w:rsidRPr="004B2498">
        <w:t>Il convient de noter que le terme confucianisme recouvre un e</w:t>
      </w:r>
      <w:r w:rsidRPr="004B2498">
        <w:t>n</w:t>
      </w:r>
      <w:r w:rsidRPr="004B2498">
        <w:t>semble de convictions idéologiques et religieuses, qui - résultat hist</w:t>
      </w:r>
      <w:r w:rsidRPr="004B2498">
        <w:t>o</w:t>
      </w:r>
      <w:r w:rsidRPr="004B2498">
        <w:t>rique - varient au cours du temps et selon les régions. Néanmoins, nous examinerons leur pe</w:t>
      </w:r>
      <w:r w:rsidRPr="004B2498">
        <w:t>r</w:t>
      </w:r>
      <w:r w:rsidRPr="004B2498">
        <w:t>tinence à l’égard des relations de genre.</w:t>
      </w:r>
    </w:p>
  </w:footnote>
  <w:footnote w:id="186">
    <w:p w14:paraId="04A9A6BC" w14:textId="77777777" w:rsidR="002F4063" w:rsidRDefault="002F4063">
      <w:pPr>
        <w:pStyle w:val="Notedebasdepage"/>
      </w:pPr>
      <w:r>
        <w:rPr>
          <w:rStyle w:val="Appelnotedebasdep"/>
        </w:rPr>
        <w:footnoteRef/>
      </w:r>
      <w:r>
        <w:t xml:space="preserve"> </w:t>
      </w:r>
      <w:r>
        <w:tab/>
      </w:r>
      <w:r w:rsidRPr="004B2498">
        <w:t>Le sexe ratio correspond au nombre de garçons par rapport à cent filles.</w:t>
      </w:r>
    </w:p>
  </w:footnote>
  <w:footnote w:id="187">
    <w:p w14:paraId="7B6E38A2" w14:textId="77777777" w:rsidR="002F4063" w:rsidRDefault="002F4063">
      <w:pPr>
        <w:pStyle w:val="Notedebasdepage"/>
      </w:pPr>
      <w:r>
        <w:rPr>
          <w:rStyle w:val="Appelnotedebasdep"/>
        </w:rPr>
        <w:footnoteRef/>
      </w:r>
      <w:r>
        <w:t xml:space="preserve"> </w:t>
      </w:r>
      <w:r>
        <w:tab/>
      </w:r>
      <w:r w:rsidRPr="004B2498">
        <w:rPr>
          <w:lang w:val="fr-FR" w:eastAsia="fr-FR" w:bidi="fr-FR"/>
        </w:rPr>
        <w:t>Ces recherches, effectuées de 2005 à 2006 et en 2010, ont été possibles gr</w:t>
      </w:r>
      <w:r w:rsidRPr="004B2498">
        <w:rPr>
          <w:lang w:val="fr-FR" w:eastAsia="fr-FR" w:bidi="fr-FR"/>
        </w:rPr>
        <w:t>â</w:t>
      </w:r>
      <w:r w:rsidRPr="004B2498">
        <w:rPr>
          <w:lang w:val="fr-FR" w:eastAsia="fr-FR" w:bidi="fr-FR"/>
        </w:rPr>
        <w:t>ce au soutien économique du Fonds national suisse de la recherche scientif</w:t>
      </w:r>
      <w:r w:rsidRPr="004B2498">
        <w:rPr>
          <w:lang w:val="fr-FR" w:eastAsia="fr-FR" w:bidi="fr-FR"/>
        </w:rPr>
        <w:t>i</w:t>
      </w:r>
      <w:r w:rsidRPr="004B2498">
        <w:rPr>
          <w:lang w:val="fr-FR" w:eastAsia="fr-FR" w:bidi="fr-FR"/>
        </w:rPr>
        <w:t>que (FNS) que je voudrais remercier ici pour son soutien. Et ont été cof</w:t>
      </w:r>
      <w:r w:rsidRPr="004B2498">
        <w:rPr>
          <w:lang w:val="fr-FR" w:eastAsia="fr-FR" w:bidi="fr-FR"/>
        </w:rPr>
        <w:t>i</w:t>
      </w:r>
      <w:r w:rsidRPr="004B2498">
        <w:rPr>
          <w:lang w:val="fr-FR" w:eastAsia="fr-FR" w:bidi="fr-FR"/>
        </w:rPr>
        <w:t>nancées par les pr</w:t>
      </w:r>
      <w:r w:rsidRPr="004B2498">
        <w:rPr>
          <w:lang w:val="fr-FR" w:eastAsia="fr-FR" w:bidi="fr-FR"/>
        </w:rPr>
        <w:t>o</w:t>
      </w:r>
      <w:r w:rsidRPr="004B2498">
        <w:rPr>
          <w:lang w:val="fr-FR" w:eastAsia="fr-FR" w:bidi="fr-FR"/>
        </w:rPr>
        <w:t>grammes Jeunes chercheurs (2005-2006) et Échanges universitaires (2010) de la commission pour la recherche et le développ</w:t>
      </w:r>
      <w:r w:rsidRPr="004B2498">
        <w:rPr>
          <w:lang w:val="fr-FR" w:eastAsia="fr-FR" w:bidi="fr-FR"/>
        </w:rPr>
        <w:t>e</w:t>
      </w:r>
      <w:r w:rsidRPr="004B2498">
        <w:rPr>
          <w:lang w:val="fr-FR" w:eastAsia="fr-FR" w:bidi="fr-FR"/>
        </w:rPr>
        <w:t>ment (KFPE) qui dépend de l’agence suisse de la direction du développ</w:t>
      </w:r>
      <w:r w:rsidRPr="004B2498">
        <w:rPr>
          <w:lang w:val="fr-FR" w:eastAsia="fr-FR" w:bidi="fr-FR"/>
        </w:rPr>
        <w:t>e</w:t>
      </w:r>
      <w:r w:rsidRPr="004B2498">
        <w:rPr>
          <w:lang w:val="fr-FR" w:eastAsia="fr-FR" w:bidi="fr-FR"/>
        </w:rPr>
        <w:t>ment et de la coopération (DDC) que je voudrais remercier ici pour son so</w:t>
      </w:r>
      <w:r w:rsidRPr="004B2498">
        <w:rPr>
          <w:lang w:val="fr-FR" w:eastAsia="fr-FR" w:bidi="fr-FR"/>
        </w:rPr>
        <w:t>u</w:t>
      </w:r>
      <w:r w:rsidRPr="004B2498">
        <w:rPr>
          <w:lang w:val="fr-FR" w:eastAsia="fr-FR" w:bidi="fr-FR"/>
        </w:rPr>
        <w:t>tien.</w:t>
      </w:r>
    </w:p>
  </w:footnote>
  <w:footnote w:id="188">
    <w:p w14:paraId="4E7FA3D9" w14:textId="77777777" w:rsidR="002F4063" w:rsidRDefault="002F4063">
      <w:pPr>
        <w:pStyle w:val="Notedebasdepage"/>
      </w:pPr>
      <w:r>
        <w:rPr>
          <w:rStyle w:val="Appelnotedebasdep"/>
        </w:rPr>
        <w:footnoteRef/>
      </w:r>
      <w:r>
        <w:t xml:space="preserve"> </w:t>
      </w:r>
      <w:r>
        <w:tab/>
      </w:r>
      <w:r w:rsidRPr="004B2498">
        <w:rPr>
          <w:lang w:val="fr-FR" w:eastAsia="fr-FR" w:bidi="fr-FR"/>
        </w:rPr>
        <w:t>Les sœurs Trung étaient les commandantes en chef des généraux féminins, qui luttaient contre l’invasion chinoise dans les années 40-43 de notre ère. À tr</w:t>
      </w:r>
      <w:r w:rsidRPr="004B2498">
        <w:rPr>
          <w:lang w:val="fr-FR" w:eastAsia="fr-FR" w:bidi="fr-FR"/>
        </w:rPr>
        <w:t>a</w:t>
      </w:r>
      <w:r w:rsidRPr="004B2498">
        <w:rPr>
          <w:lang w:val="fr-FR" w:eastAsia="fr-FR" w:bidi="fr-FR"/>
        </w:rPr>
        <w:t>vers les siècles, un nouvel élément s’est ajouté, selon lequel leur combat était m</w:t>
      </w:r>
      <w:r w:rsidRPr="004B2498">
        <w:rPr>
          <w:lang w:val="fr-FR" w:eastAsia="fr-FR" w:bidi="fr-FR"/>
        </w:rPr>
        <w:t>o</w:t>
      </w:r>
      <w:r w:rsidRPr="004B2498">
        <w:rPr>
          <w:lang w:val="fr-FR" w:eastAsia="fr-FR" w:bidi="fr-FR"/>
        </w:rPr>
        <w:t>tivé par l’absence de leurs maris, capturés par les Chinois. L’ajout de cet élément affaiblit et réinterprète le sens originel des actions combat</w:t>
      </w:r>
      <w:r w:rsidRPr="004B2498">
        <w:rPr>
          <w:lang w:val="fr-FR" w:eastAsia="fr-FR" w:bidi="fr-FR"/>
        </w:rPr>
        <w:t>i</w:t>
      </w:r>
      <w:r w:rsidRPr="004B2498">
        <w:rPr>
          <w:lang w:val="fr-FR" w:eastAsia="fr-FR" w:bidi="fr-FR"/>
        </w:rPr>
        <w:t>ves et fières des femmes vie</w:t>
      </w:r>
      <w:r w:rsidRPr="004B2498">
        <w:rPr>
          <w:lang w:val="fr-FR" w:eastAsia="fr-FR" w:bidi="fr-FR"/>
        </w:rPr>
        <w:t>t</w:t>
      </w:r>
      <w:r w:rsidRPr="004B2498">
        <w:rPr>
          <w:lang w:val="fr-FR" w:eastAsia="fr-FR" w:bidi="fr-FR"/>
        </w:rPr>
        <w:t>namiennes contre une invasion étrangère. Ce nouveau sens, qui reste répandu de nos jours, où la lutte des femmes aurait été motivée un</w:t>
      </w:r>
      <w:r w:rsidRPr="004B2498">
        <w:rPr>
          <w:lang w:val="fr-FR" w:eastAsia="fr-FR" w:bidi="fr-FR"/>
        </w:rPr>
        <w:t>i</w:t>
      </w:r>
      <w:r w:rsidRPr="004B2498">
        <w:rPr>
          <w:lang w:val="fr-FR" w:eastAsia="fr-FR" w:bidi="fr-FR"/>
        </w:rPr>
        <w:t>quement par la défense de leurs maris, restaure les valeurs et nonnes correspondant aux genres dans le confucianisme.</w:t>
      </w:r>
    </w:p>
  </w:footnote>
  <w:footnote w:id="189">
    <w:p w14:paraId="11BDA58F" w14:textId="77777777" w:rsidR="002F4063" w:rsidRDefault="002F4063">
      <w:pPr>
        <w:pStyle w:val="Notedebasdepage"/>
      </w:pPr>
      <w:r>
        <w:rPr>
          <w:rStyle w:val="Appelnotedebasdep"/>
        </w:rPr>
        <w:footnoteRef/>
      </w:r>
      <w:r>
        <w:t xml:space="preserve"> </w:t>
      </w:r>
      <w:r>
        <w:tab/>
      </w:r>
      <w:r w:rsidRPr="004B2498">
        <w:rPr>
          <w:lang w:val="fr-FR" w:eastAsia="fr-FR" w:bidi="fr-FR"/>
        </w:rPr>
        <w:t>Les personnes interviewées se demandaient même si je récitais un discours officiel pour évaluer si elles (ou eux) avaient bien mémorisé la leçon off</w:t>
      </w:r>
      <w:r w:rsidRPr="004B2498">
        <w:rPr>
          <w:lang w:val="fr-FR" w:eastAsia="fr-FR" w:bidi="fr-FR"/>
        </w:rPr>
        <w:t>i</w:t>
      </w:r>
      <w:r w:rsidRPr="004B2498">
        <w:rPr>
          <w:lang w:val="fr-FR" w:eastAsia="fr-FR" w:bidi="fr-FR"/>
        </w:rPr>
        <w:t>cielle ou bien si je me moquais de leurs histoires.</w:t>
      </w:r>
    </w:p>
  </w:footnote>
  <w:footnote w:id="190">
    <w:p w14:paraId="33851DBD" w14:textId="77777777" w:rsidR="002F4063" w:rsidRDefault="002F4063">
      <w:pPr>
        <w:pStyle w:val="Notedebasdepage"/>
      </w:pPr>
      <w:r>
        <w:rPr>
          <w:rStyle w:val="Appelnotedebasdep"/>
        </w:rPr>
        <w:footnoteRef/>
      </w:r>
      <w:r>
        <w:t xml:space="preserve"> </w:t>
      </w:r>
      <w:r>
        <w:tab/>
      </w:r>
      <w:r w:rsidRPr="004B2498">
        <w:t xml:space="preserve">Foucault (1976-2003) démontrait dans </w:t>
      </w:r>
      <w:hyperlink r:id="rId13" w:history="1">
        <w:r w:rsidRPr="00A306D0">
          <w:rPr>
            <w:rStyle w:val="Hyperlien"/>
            <w:i/>
          </w:rPr>
          <w:t>Histoire de la sexualité</w:t>
        </w:r>
      </w:hyperlink>
      <w:r w:rsidRPr="004B2498">
        <w:t xml:space="preserve"> que dès l’antiquité les hommes ont cherché à identifier les causes et les mécanismes qui peuvent relier nourriture et reproduction. Le phénomène décrit au Vie</w:t>
      </w:r>
      <w:r w:rsidRPr="004B2498">
        <w:t>t</w:t>
      </w:r>
      <w:r w:rsidRPr="004B2498">
        <w:t>nam n’est donc pas singulier - comme cela est parfois suggéré par les di</w:t>
      </w:r>
      <w:r w:rsidRPr="004B2498">
        <w:t>s</w:t>
      </w:r>
      <w:r w:rsidRPr="004B2498">
        <w:t>cours locaux.</w:t>
      </w:r>
    </w:p>
  </w:footnote>
  <w:footnote w:id="191">
    <w:p w14:paraId="14D2BDBF" w14:textId="77777777" w:rsidR="002F4063" w:rsidRDefault="002F4063">
      <w:pPr>
        <w:pStyle w:val="Notedebasdepage"/>
      </w:pPr>
      <w:r>
        <w:rPr>
          <w:rStyle w:val="Appelnotedebasdep"/>
        </w:rPr>
        <w:footnoteRef/>
      </w:r>
      <w:r>
        <w:t xml:space="preserve"> </w:t>
      </w:r>
      <w:r>
        <w:tab/>
      </w:r>
      <w:r w:rsidRPr="004B2498">
        <w:t>En 1999 la différence entre les zones urbaines et rurales était plus grande et correspondait à 1,67 enfants pour les zones urbaines et 2,57 dans les zones rurales, soit une moyenne de 2,33 enfants (GOS, 2010: 64).</w:t>
      </w:r>
    </w:p>
  </w:footnote>
  <w:footnote w:id="192">
    <w:p w14:paraId="73C5F2F1" w14:textId="77777777" w:rsidR="002F4063" w:rsidRDefault="002F4063">
      <w:pPr>
        <w:pStyle w:val="Notedebasdepage"/>
      </w:pPr>
      <w:r>
        <w:rPr>
          <w:rStyle w:val="Appelnotedebasdep"/>
        </w:rPr>
        <w:footnoteRef/>
      </w:r>
      <w:r>
        <w:t xml:space="preserve"> </w:t>
      </w:r>
      <w:r>
        <w:tab/>
      </w:r>
      <w:r w:rsidRPr="004B2498">
        <w:t>Le débat universitaire porte sur la question de savoir s’il s’agit d’un culte des ancêtres, qui ferait partie des croyances confucianistes ou bien s’il s’agit d’une religion, d’une superstition, d’une tradition, ou même de l’une des v</w:t>
      </w:r>
      <w:r w:rsidRPr="004B2498">
        <w:t>a</w:t>
      </w:r>
      <w:r w:rsidRPr="004B2498">
        <w:t>leurs plus fondamentales de la société vie</w:t>
      </w:r>
      <w:r w:rsidRPr="004B2498">
        <w:t>t</w:t>
      </w:r>
      <w:r w:rsidRPr="004B2498">
        <w:t>namienne (Nguyen Khac Vien, 1994a ; 1994b ; Nguyen Thanh Huyen, 1994 : 27-53). Nous utiliserons ici le terme culte des ancêtres.</w:t>
      </w:r>
    </w:p>
  </w:footnote>
  <w:footnote w:id="193">
    <w:p w14:paraId="0C060E5A" w14:textId="77777777" w:rsidR="002F4063" w:rsidRDefault="002F4063">
      <w:pPr>
        <w:pStyle w:val="Notedebasdepage"/>
      </w:pPr>
      <w:r>
        <w:rPr>
          <w:rStyle w:val="Appelnotedebasdep"/>
        </w:rPr>
        <w:footnoteRef/>
      </w:r>
      <w:r>
        <w:t xml:space="preserve"> </w:t>
      </w:r>
      <w:r>
        <w:tab/>
      </w:r>
      <w:r w:rsidRPr="004B2498">
        <w:t>C’est ainsi que, craignant de se marier publiquement dans une église, ce</w:t>
      </w:r>
      <w:r w:rsidRPr="004B2498">
        <w:t>r</w:t>
      </w:r>
      <w:r w:rsidRPr="004B2498">
        <w:t>tains d’entre eux font venir un prêtre à domicile afin de se marier secrèt</w:t>
      </w:r>
      <w:r w:rsidRPr="004B2498">
        <w:t>e</w:t>
      </w:r>
      <w:r w:rsidRPr="004B2498">
        <w:t>ment. On ne trouve d’ailleurs pas de symboles catholiques dans leurs ma</w:t>
      </w:r>
      <w:r w:rsidRPr="004B2498">
        <w:t>i</w:t>
      </w:r>
      <w:r w:rsidRPr="004B2498">
        <w:t>sons et ce n’est qu’après avoir établi une relation de confiance qu’ils r</w:t>
      </w:r>
      <w:r w:rsidRPr="004B2498">
        <w:t>a</w:t>
      </w:r>
      <w:r w:rsidRPr="004B2498">
        <w:t>content leurs expériences.</w:t>
      </w:r>
    </w:p>
  </w:footnote>
  <w:footnote w:id="194">
    <w:p w14:paraId="5F613D7A" w14:textId="77777777" w:rsidR="002F4063" w:rsidRDefault="002F4063">
      <w:pPr>
        <w:pStyle w:val="Notedebasdepage"/>
      </w:pPr>
      <w:r>
        <w:rPr>
          <w:rStyle w:val="Appelnotedebasdep"/>
        </w:rPr>
        <w:footnoteRef/>
      </w:r>
      <w:r>
        <w:t xml:space="preserve"> </w:t>
      </w:r>
      <w:r>
        <w:tab/>
      </w:r>
      <w:r w:rsidRPr="004B2498">
        <w:t>À ma connaissance, il n’y a pas de statistiques indiquant combien de cath</w:t>
      </w:r>
      <w:r w:rsidRPr="004B2498">
        <w:t>o</w:t>
      </w:r>
      <w:r w:rsidRPr="004B2498">
        <w:t>liques pratiquent le culte des ancêtres : mes observ</w:t>
      </w:r>
      <w:r w:rsidRPr="004B2498">
        <w:t>a</w:t>
      </w:r>
      <w:r w:rsidRPr="004B2498">
        <w:t>tions au Delta du Fleuve Rouge indiquent plus de 90%.</w:t>
      </w:r>
    </w:p>
  </w:footnote>
  <w:footnote w:id="195">
    <w:p w14:paraId="308066A9" w14:textId="77777777" w:rsidR="002F4063" w:rsidRDefault="002F4063">
      <w:pPr>
        <w:pStyle w:val="Notedebasdepage"/>
      </w:pPr>
      <w:r>
        <w:rPr>
          <w:rStyle w:val="Appelnotedebasdep"/>
        </w:rPr>
        <w:footnoteRef/>
      </w:r>
      <w:r>
        <w:t xml:space="preserve"> </w:t>
      </w:r>
      <w:r>
        <w:tab/>
      </w:r>
      <w:r w:rsidRPr="004B2498">
        <w:rPr>
          <w:lang w:val="fr-FR" w:eastAsia="fr-FR" w:bidi="fr-FR"/>
        </w:rPr>
        <w:t>Malgré les auteurs qui critiquent l'usage de ses catégories b</w:t>
      </w:r>
      <w:r w:rsidRPr="004B2498">
        <w:rPr>
          <w:lang w:val="fr-FR" w:eastAsia="fr-FR" w:bidi="fr-FR"/>
        </w:rPr>
        <w:t>i</w:t>
      </w:r>
      <w:r w:rsidRPr="004B2498">
        <w:rPr>
          <w:lang w:val="fr-FR" w:eastAsia="fr-FR" w:bidi="fr-FR"/>
        </w:rPr>
        <w:t>naires, il est important de noter que Bourdieu analysait aussi le statut des personnes dites intermédiaires, qui se caractérisaient par des co</w:t>
      </w:r>
      <w:r w:rsidRPr="004B2498">
        <w:rPr>
          <w:lang w:val="fr-FR" w:eastAsia="fr-FR" w:bidi="fr-FR"/>
        </w:rPr>
        <w:t>m</w:t>
      </w:r>
      <w:r w:rsidRPr="004B2498">
        <w:rPr>
          <w:lang w:val="fr-FR" w:eastAsia="fr-FR" w:bidi="fr-FR"/>
        </w:rPr>
        <w:t>portements féminins et masculins et ne se laissaient pas exclusivement embrigader dans la société kabyle : les forg</w:t>
      </w:r>
      <w:r w:rsidRPr="004B2498">
        <w:rPr>
          <w:lang w:val="fr-FR" w:eastAsia="fr-FR" w:bidi="fr-FR"/>
        </w:rPr>
        <w:t>e</w:t>
      </w:r>
      <w:r w:rsidRPr="004B2498">
        <w:rPr>
          <w:lang w:val="fr-FR" w:eastAsia="fr-FR" w:bidi="fr-FR"/>
        </w:rPr>
        <w:t>rons par exemple.</w:t>
      </w:r>
    </w:p>
  </w:footnote>
  <w:footnote w:id="196">
    <w:p w14:paraId="48EF261B" w14:textId="77777777" w:rsidR="002F4063" w:rsidRDefault="002F4063">
      <w:pPr>
        <w:pStyle w:val="Notedebasdepage"/>
      </w:pPr>
      <w:r>
        <w:rPr>
          <w:rStyle w:val="Appelnotedebasdep"/>
        </w:rPr>
        <w:footnoteRef/>
      </w:r>
      <w:r>
        <w:t xml:space="preserve"> </w:t>
      </w:r>
      <w:r>
        <w:tab/>
      </w:r>
      <w:r w:rsidRPr="004B2498">
        <w:t>Il semble qu’au Sud du Vietnam les règles soient moins rig</w:t>
      </w:r>
      <w:r w:rsidRPr="004B2498">
        <w:t>i</w:t>
      </w:r>
      <w:r w:rsidRPr="004B2498">
        <w:t>des, et que les femmes puissent elles aussi entretenir le culte et accomplir les rites funéra</w:t>
      </w:r>
      <w:r w:rsidRPr="004B2498">
        <w:t>i</w:t>
      </w:r>
      <w:r w:rsidRPr="004B2498">
        <w:t>res.</w:t>
      </w:r>
    </w:p>
  </w:footnote>
  <w:footnote w:id="197">
    <w:p w14:paraId="1995A2F1" w14:textId="77777777" w:rsidR="002F4063" w:rsidRDefault="002F4063">
      <w:pPr>
        <w:pStyle w:val="Notedebasdepage"/>
      </w:pPr>
      <w:r>
        <w:rPr>
          <w:rStyle w:val="Appelnotedebasdep"/>
        </w:rPr>
        <w:footnoteRef/>
      </w:r>
      <w:r>
        <w:t xml:space="preserve"> </w:t>
      </w:r>
      <w:r>
        <w:tab/>
      </w:r>
      <w:r w:rsidRPr="004B2498">
        <w:t>Plusieurs magasins se sont spécialisés dans la vente de ces o</w:t>
      </w:r>
      <w:r w:rsidRPr="004B2498">
        <w:t>b</w:t>
      </w:r>
      <w:r w:rsidRPr="004B2498">
        <w:t>jets, qui, selon les convictions, bénéficieront aux défunts : faux dollars US, voitures ou m</w:t>
      </w:r>
      <w:r w:rsidRPr="004B2498">
        <w:t>o</w:t>
      </w:r>
      <w:r w:rsidRPr="004B2498">
        <w:t>tos modernes, valises, téléviseurs, jusqu’à des po</w:t>
      </w:r>
      <w:r w:rsidRPr="004B2498">
        <w:t>r</w:t>
      </w:r>
      <w:r w:rsidRPr="004B2498">
        <w:t>tables ! Dans les années 2004-2010 le nombre et la variété de ces o</w:t>
      </w:r>
      <w:r w:rsidRPr="004B2498">
        <w:t>b</w:t>
      </w:r>
      <w:r w:rsidRPr="004B2498">
        <w:t>jets ont augmenté, ce qui s’explique par une amélioration considér</w:t>
      </w:r>
      <w:r w:rsidRPr="004B2498">
        <w:t>a</w:t>
      </w:r>
      <w:r w:rsidRPr="004B2498">
        <w:t>ble des conditions économiques pour la plupart des Vietnamiens (Wehrli, 2011; informations collectées entre 2004 et 2010).</w:t>
      </w:r>
    </w:p>
  </w:footnote>
  <w:footnote w:id="198">
    <w:p w14:paraId="1C98B5D2" w14:textId="77777777" w:rsidR="002F4063" w:rsidRDefault="002F4063">
      <w:pPr>
        <w:pStyle w:val="Notedebasdepage"/>
      </w:pPr>
      <w:r>
        <w:rPr>
          <w:rStyle w:val="Appelnotedebasdep"/>
        </w:rPr>
        <w:footnoteRef/>
      </w:r>
      <w:r>
        <w:t xml:space="preserve"> </w:t>
      </w:r>
      <w:r>
        <w:tab/>
      </w:r>
      <w:r w:rsidRPr="004B2498">
        <w:rPr>
          <w:lang w:val="fr-FR" w:eastAsia="fr-FR" w:bidi="fr-FR"/>
        </w:rPr>
        <w:t>La recherche n’indique pas une stratégie qui soit commune et les motiv</w:t>
      </w:r>
      <w:r w:rsidRPr="004B2498">
        <w:rPr>
          <w:lang w:val="fr-FR" w:eastAsia="fr-FR" w:bidi="fr-FR"/>
        </w:rPr>
        <w:t>a</w:t>
      </w:r>
      <w:r w:rsidRPr="004B2498">
        <w:rPr>
          <w:lang w:val="fr-FR" w:eastAsia="fr-FR" w:bidi="fr-FR"/>
        </w:rPr>
        <w:t>tions correspondantes seront présentées lors d’une autre o</w:t>
      </w:r>
      <w:r w:rsidRPr="004B2498">
        <w:rPr>
          <w:lang w:val="fr-FR" w:eastAsia="fr-FR" w:bidi="fr-FR"/>
        </w:rPr>
        <w:t>c</w:t>
      </w:r>
      <w:r w:rsidRPr="004B2498">
        <w:rPr>
          <w:lang w:val="fr-FR" w:eastAsia="fr-FR" w:bidi="fr-FR"/>
        </w:rPr>
        <w:t>casion.</w:t>
      </w:r>
    </w:p>
  </w:footnote>
  <w:footnote w:id="199">
    <w:p w14:paraId="2983EA98" w14:textId="77777777" w:rsidR="002F4063" w:rsidRDefault="002F4063">
      <w:pPr>
        <w:pStyle w:val="Notedebasdepage"/>
      </w:pPr>
      <w:r>
        <w:rPr>
          <w:rStyle w:val="Appelnotedebasdep"/>
        </w:rPr>
        <w:footnoteRef/>
      </w:r>
      <w:r>
        <w:t xml:space="preserve"> </w:t>
      </w:r>
      <w:r>
        <w:tab/>
      </w:r>
      <w:r w:rsidRPr="004B2498">
        <w:t>J’ai observé que dans d’autres pays connaissant un fort dés</w:t>
      </w:r>
      <w:r w:rsidRPr="004B2498">
        <w:t>é</w:t>
      </w:r>
      <w:r w:rsidRPr="004B2498">
        <w:t>quilibre des sexes - comme en Chine ou en Corée du Sud - on expl</w:t>
      </w:r>
      <w:r w:rsidRPr="004B2498">
        <w:t>i</w:t>
      </w:r>
      <w:r w:rsidRPr="004B2498">
        <w:t>quait ce fait par des arguments identiques.</w:t>
      </w:r>
    </w:p>
  </w:footnote>
  <w:footnote w:id="200">
    <w:p w14:paraId="44CB90A0" w14:textId="77777777" w:rsidR="002F4063" w:rsidRDefault="002F4063">
      <w:pPr>
        <w:pStyle w:val="Notedebasdepage"/>
      </w:pPr>
      <w:r>
        <w:rPr>
          <w:rStyle w:val="Appelnotedebasdep"/>
        </w:rPr>
        <w:footnoteRef/>
      </w:r>
      <w:r>
        <w:t xml:space="preserve"> </w:t>
      </w:r>
      <w:r>
        <w:tab/>
      </w:r>
      <w:r w:rsidRPr="004B2498">
        <w:t>Il est intéressant de noter qu’il y a aussi des avortements de garçons, bien que la motivation soit différente (par exemple quand la femme ne veut pas d’enfant). Il semble quand même que le sexe ne soit pas la seule cause des avortements, puisque les statistiques ind</w:t>
      </w:r>
      <w:r w:rsidRPr="004B2498">
        <w:t>i</w:t>
      </w:r>
      <w:r w:rsidRPr="004B2498">
        <w:t>quent que même les familles qui comptent déjà deux garçons augme</w:t>
      </w:r>
      <w:r w:rsidRPr="004B2498">
        <w:t>n</w:t>
      </w:r>
      <w:r w:rsidRPr="004B2498">
        <w:t>tent. Il est possible que des parents avec un premier enfant garçon avortent des suivants jusqu’à avoir une fille. Pou</w:t>
      </w:r>
      <w:r w:rsidRPr="004B2498">
        <w:t>r</w:t>
      </w:r>
      <w:r w:rsidRPr="004B2498">
        <w:t>tant dans mes r</w:t>
      </w:r>
      <w:r w:rsidRPr="004B2498">
        <w:t>e</w:t>
      </w:r>
      <w:r w:rsidRPr="004B2498">
        <w:t>cherches je n’ai pas rencontré ce cas, ni entendu de propos qui pou</w:t>
      </w:r>
      <w:r w:rsidRPr="004B2498">
        <w:t>r</w:t>
      </w:r>
      <w:r w:rsidRPr="004B2498">
        <w:t>raient étayer cette thèse.</w:t>
      </w:r>
    </w:p>
  </w:footnote>
  <w:footnote w:id="201">
    <w:p w14:paraId="507827EF" w14:textId="77777777" w:rsidR="002F4063" w:rsidRDefault="002F4063">
      <w:pPr>
        <w:pStyle w:val="Notedebasdepage"/>
      </w:pPr>
      <w:r>
        <w:rPr>
          <w:rStyle w:val="Appelnotedebasdep"/>
        </w:rPr>
        <w:footnoteRef/>
      </w:r>
      <w:r>
        <w:t xml:space="preserve"> </w:t>
      </w:r>
      <w:r>
        <w:tab/>
      </w:r>
      <w:r w:rsidRPr="004B2498">
        <w:t>Les enfants adoptés vivent avec leurs nouveaux parents mais restent officie</w:t>
      </w:r>
      <w:r w:rsidRPr="004B2498">
        <w:t>l</w:t>
      </w:r>
      <w:r w:rsidRPr="004B2498">
        <w:t>lement enregistrés avec leurs parents d’origine jusqu’à l’âge de 18 ans. Par conséquent, les cadres continuent officiellement à observer la règle étatique.</w:t>
      </w:r>
    </w:p>
  </w:footnote>
  <w:footnote w:id="202">
    <w:p w14:paraId="2CA0E58D" w14:textId="77777777" w:rsidR="002F4063" w:rsidRDefault="002F4063">
      <w:pPr>
        <w:pStyle w:val="Notedebasdepage"/>
      </w:pPr>
      <w:r>
        <w:rPr>
          <w:rStyle w:val="Appelnotedebasdep"/>
        </w:rPr>
        <w:footnoteRef/>
      </w:r>
      <w:r>
        <w:t xml:space="preserve"> </w:t>
      </w:r>
      <w:r>
        <w:tab/>
      </w:r>
      <w:r w:rsidRPr="004B2498">
        <w:t>Un consensus ne semble pas établi vis-à-vis des personnes qui ont plus de deux enfants, parce qu’elles ne gagnent pas toujours la même somme de points. Cette attribution dépend du contexte, qui sera discuté ensuite.</w:t>
      </w:r>
    </w:p>
  </w:footnote>
  <w:footnote w:id="203">
    <w:p w14:paraId="33931103" w14:textId="77777777" w:rsidR="002F4063" w:rsidRDefault="002F4063">
      <w:pPr>
        <w:pStyle w:val="Notedebasdepage"/>
      </w:pPr>
      <w:r>
        <w:rPr>
          <w:rStyle w:val="Appelnotedebasdep"/>
        </w:rPr>
        <w:footnoteRef/>
      </w:r>
      <w:r>
        <w:t xml:space="preserve"> </w:t>
      </w:r>
      <w:r>
        <w:tab/>
      </w:r>
      <w:r w:rsidRPr="004B2498">
        <w:rPr>
          <w:lang w:val="fr-FR" w:eastAsia="fr-FR" w:bidi="fr-FR"/>
        </w:rPr>
        <w:t>L’élément perçu comme comique s’explique peut-être par le fait que dans les groupes, certains connaissent déjà la situation des parents présents.</w:t>
      </w:r>
    </w:p>
  </w:footnote>
  <w:footnote w:id="204">
    <w:p w14:paraId="2C00822C" w14:textId="77777777" w:rsidR="002F4063" w:rsidRDefault="002F4063">
      <w:pPr>
        <w:pStyle w:val="Notedebasdepage"/>
      </w:pPr>
      <w:r>
        <w:rPr>
          <w:rStyle w:val="Appelnotedebasdep"/>
        </w:rPr>
        <w:footnoteRef/>
      </w:r>
      <w:r>
        <w:t xml:space="preserve"> </w:t>
      </w:r>
      <w:r>
        <w:tab/>
      </w:r>
      <w:r w:rsidRPr="004B2498">
        <w:rPr>
          <w:lang w:val="fr-FR" w:eastAsia="fr-FR" w:bidi="fr-FR"/>
        </w:rPr>
        <w:t>Avant les réformes, un certain nombre de croyances étaient o</w:t>
      </w:r>
      <w:r w:rsidRPr="004B2498">
        <w:rPr>
          <w:lang w:val="fr-FR" w:eastAsia="fr-FR" w:bidi="fr-FR"/>
        </w:rPr>
        <w:t>f</w:t>
      </w:r>
      <w:r w:rsidRPr="004B2498">
        <w:rPr>
          <w:lang w:val="fr-FR" w:eastAsia="fr-FR" w:bidi="fr-FR"/>
        </w:rPr>
        <w:t>ficiellement identifiées à des superstitions (Selim, 2003b) et leur pr</w:t>
      </w:r>
      <w:r w:rsidRPr="004B2498">
        <w:rPr>
          <w:lang w:val="fr-FR" w:eastAsia="fr-FR" w:bidi="fr-FR"/>
        </w:rPr>
        <w:t>a</w:t>
      </w:r>
      <w:r w:rsidRPr="004B2498">
        <w:rPr>
          <w:lang w:val="fr-FR" w:eastAsia="fr-FR" w:bidi="fr-FR"/>
        </w:rPr>
        <w:t>tique interdite. Bien que par conséquent moins pratiquées, elles n’ont jamais cessé d’être tran</w:t>
      </w:r>
      <w:r w:rsidRPr="004B2498">
        <w:rPr>
          <w:lang w:val="fr-FR" w:eastAsia="fr-FR" w:bidi="fr-FR"/>
        </w:rPr>
        <w:t>s</w:t>
      </w:r>
      <w:r w:rsidRPr="004B2498">
        <w:rPr>
          <w:lang w:val="fr-FR" w:eastAsia="fr-FR" w:bidi="fr-FR"/>
        </w:rPr>
        <w:t>mises de génér</w:t>
      </w:r>
      <w:r w:rsidRPr="004B2498">
        <w:rPr>
          <w:lang w:val="fr-FR" w:eastAsia="fr-FR" w:bidi="fr-FR"/>
        </w:rPr>
        <w:t>a</w:t>
      </w:r>
      <w:r w:rsidRPr="004B2498">
        <w:rPr>
          <w:lang w:val="fr-FR" w:eastAsia="fr-FR" w:bidi="fr-FR"/>
        </w:rPr>
        <w:t>tion en génération.</w:t>
      </w:r>
    </w:p>
  </w:footnote>
  <w:footnote w:id="205">
    <w:p w14:paraId="2A8EA2E9" w14:textId="77777777" w:rsidR="002F4063" w:rsidRDefault="002F4063">
      <w:pPr>
        <w:pStyle w:val="Notedebasdepage"/>
      </w:pPr>
      <w:r>
        <w:rPr>
          <w:rStyle w:val="Appelnotedebasdep"/>
        </w:rPr>
        <w:footnoteRef/>
      </w:r>
      <w:r>
        <w:t xml:space="preserve"> </w:t>
      </w:r>
      <w:r>
        <w:tab/>
      </w:r>
      <w:r w:rsidRPr="004B2498">
        <w:rPr>
          <w:lang w:eastAsia="fr-FR" w:bidi="fr-FR"/>
        </w:rPr>
        <w:t xml:space="preserve">Mariza </w:t>
      </w:r>
      <w:r w:rsidRPr="004B2498">
        <w:rPr>
          <w:rStyle w:val="Corpsdutexte67ptPetitesmajusculesEspacement0pt"/>
          <w:smallCaps w:val="0"/>
          <w:color w:val="auto"/>
          <w:spacing w:val="0"/>
          <w:sz w:val="28"/>
        </w:rPr>
        <w:t xml:space="preserve">Corrêa, </w:t>
      </w:r>
      <w:r w:rsidRPr="004B2498">
        <w:rPr>
          <w:lang w:eastAsia="fr-FR" w:bidi="fr-FR"/>
        </w:rPr>
        <w:t>art. cit, p. 18, n° </w:t>
      </w:r>
      <w:r w:rsidRPr="004B2498">
        <w:rPr>
          <w:rStyle w:val="Corpsdutexte67ptEspacement0pt"/>
          <w:color w:val="auto"/>
          <w:spacing w:val="0"/>
          <w:sz w:val="28"/>
        </w:rPr>
        <w:t xml:space="preserve">8. </w:t>
      </w:r>
      <w:r w:rsidRPr="004B2498">
        <w:rPr>
          <w:lang w:eastAsia="fr-FR" w:bidi="fr-FR"/>
        </w:rPr>
        <w:t xml:space="preserve">Elle cite notamment Sergio </w:t>
      </w:r>
      <w:r w:rsidRPr="004B2498">
        <w:rPr>
          <w:rStyle w:val="Corpsdutexte67ptPetitesmajusculesEspacement0pt"/>
          <w:smallCaps w:val="0"/>
          <w:color w:val="auto"/>
          <w:spacing w:val="0"/>
          <w:sz w:val="28"/>
        </w:rPr>
        <w:t xml:space="preserve">Miceli </w:t>
      </w:r>
      <w:r w:rsidRPr="004B2498">
        <w:rPr>
          <w:lang w:eastAsia="fr-FR" w:bidi="fr-FR"/>
        </w:rPr>
        <w:t xml:space="preserve">(org.) : </w:t>
      </w:r>
      <w:r w:rsidRPr="00A04D21">
        <w:rPr>
          <w:i/>
        </w:rPr>
        <w:t>A Fundação Ford no Brasil</w:t>
      </w:r>
      <w:r w:rsidRPr="004B2498">
        <w:t>,</w:t>
      </w:r>
      <w:r w:rsidRPr="004B2498">
        <w:rPr>
          <w:lang w:eastAsia="fr-FR" w:bidi="fr-FR"/>
        </w:rPr>
        <w:t xml:space="preserve"> S</w:t>
      </w:r>
      <w:r w:rsidRPr="004B2498">
        <w:t>ã</w:t>
      </w:r>
      <w:r w:rsidRPr="004B2498">
        <w:rPr>
          <w:lang w:eastAsia="fr-FR" w:bidi="fr-FR"/>
        </w:rPr>
        <w:t>o Paulo, Editora Sum</w:t>
      </w:r>
      <w:r w:rsidRPr="004B2498">
        <w:rPr>
          <w:lang w:eastAsia="fr-FR" w:bidi="fr-FR"/>
        </w:rPr>
        <w:t>a</w:t>
      </w:r>
      <w:r w:rsidRPr="004B2498">
        <w:rPr>
          <w:lang w:eastAsia="fr-FR" w:bidi="fr-FR"/>
        </w:rPr>
        <w:t xml:space="preserve">ré/Fapesp, 1993, qui présentait le poste des </w:t>
      </w:r>
      <w:r w:rsidRPr="004B2498">
        <w:t>Women’s Studies</w:t>
      </w:r>
      <w:r w:rsidRPr="004B2498">
        <w:rPr>
          <w:lang w:eastAsia="fr-FR" w:bidi="fr-FR"/>
        </w:rPr>
        <w:t xml:space="preserve"> comme le second des d</w:t>
      </w:r>
      <w:r w:rsidRPr="004B2498">
        <w:rPr>
          <w:lang w:eastAsia="fr-FR" w:bidi="fr-FR"/>
        </w:rPr>
        <w:t>é</w:t>
      </w:r>
      <w:r w:rsidRPr="004B2498">
        <w:rPr>
          <w:lang w:eastAsia="fr-FR" w:bidi="fr-FR"/>
        </w:rPr>
        <w:t>penses de la fondation en matière d’éducation au Br</w:t>
      </w:r>
      <w:r w:rsidRPr="004B2498">
        <w:rPr>
          <w:lang w:eastAsia="fr-FR" w:bidi="fr-FR"/>
        </w:rPr>
        <w:t>é</w:t>
      </w:r>
      <w:r w:rsidRPr="004B2498">
        <w:rPr>
          <w:lang w:eastAsia="fr-FR" w:bidi="fr-FR"/>
        </w:rPr>
        <w:t>sil.</w:t>
      </w:r>
    </w:p>
  </w:footnote>
  <w:footnote w:id="206">
    <w:p w14:paraId="3D0C7EB7" w14:textId="77777777" w:rsidR="002F4063" w:rsidRDefault="002F4063">
      <w:pPr>
        <w:pStyle w:val="Notedebasdepage"/>
      </w:pPr>
      <w:r>
        <w:rPr>
          <w:rStyle w:val="Appelnotedebasdep"/>
        </w:rPr>
        <w:footnoteRef/>
      </w:r>
      <w:r>
        <w:t xml:space="preserve"> </w:t>
      </w:r>
      <w:r>
        <w:tab/>
      </w:r>
      <w:r w:rsidRPr="004B2498">
        <w:rPr>
          <w:lang w:val="fr-FR" w:eastAsia="fr-FR" w:bidi="fr-FR"/>
        </w:rPr>
        <w:t>Entretien personnel avec Eli Bartra, février 2007.</w:t>
      </w:r>
    </w:p>
  </w:footnote>
  <w:footnote w:id="207">
    <w:p w14:paraId="2366038E" w14:textId="77777777" w:rsidR="002F4063" w:rsidRDefault="002F4063">
      <w:pPr>
        <w:pStyle w:val="Notedebasdepage"/>
      </w:pPr>
      <w:r>
        <w:rPr>
          <w:rStyle w:val="Appelnotedebasdep"/>
        </w:rPr>
        <w:footnoteRef/>
      </w:r>
      <w:r>
        <w:t xml:space="preserve"> </w:t>
      </w:r>
      <w:r>
        <w:tab/>
      </w:r>
      <w:r w:rsidRPr="00A04D21">
        <w:rPr>
          <w:i/>
          <w:lang w:val="fr-FR" w:eastAsia="fr-FR" w:bidi="fr-FR"/>
        </w:rPr>
        <w:t>Programa Interdisplinario de Estudios de la Mujer</w:t>
      </w:r>
      <w:r w:rsidRPr="004B2498">
        <w:rPr>
          <w:lang w:val="fr-FR" w:eastAsia="fr-FR" w:bidi="fr-FR"/>
        </w:rPr>
        <w:t>.</w:t>
      </w:r>
    </w:p>
  </w:footnote>
  <w:footnote w:id="208">
    <w:p w14:paraId="1BA32698" w14:textId="77777777" w:rsidR="002F4063" w:rsidRDefault="002F4063">
      <w:pPr>
        <w:pStyle w:val="Notedebasdepage"/>
      </w:pPr>
      <w:r>
        <w:rPr>
          <w:rStyle w:val="Appelnotedebasdep"/>
        </w:rPr>
        <w:footnoteRef/>
      </w:r>
      <w:r>
        <w:t xml:space="preserve"> </w:t>
      </w:r>
      <w:r>
        <w:tab/>
      </w:r>
      <w:r w:rsidRPr="004B2498">
        <w:rPr>
          <w:lang w:val="fr-FR" w:eastAsia="fr-FR" w:bidi="fr-FR"/>
        </w:rPr>
        <w:t xml:space="preserve">Des </w:t>
      </w:r>
      <w:r w:rsidRPr="008A6B44">
        <w:rPr>
          <w:i/>
          <w:iCs/>
        </w:rPr>
        <w:t>Colegios</w:t>
      </w:r>
      <w:r w:rsidRPr="004B2498">
        <w:rPr>
          <w:lang w:val="fr-FR" w:eastAsia="fr-FR" w:bidi="fr-FR"/>
        </w:rPr>
        <w:t xml:space="preserve"> sont à la pointe des recherches en matière de genre : le Col</w:t>
      </w:r>
      <w:r w:rsidRPr="004B2498">
        <w:rPr>
          <w:lang w:val="fr-FR" w:eastAsia="fr-FR" w:bidi="fr-FR"/>
        </w:rPr>
        <w:t>e</w:t>
      </w:r>
      <w:r w:rsidRPr="004B2498">
        <w:rPr>
          <w:lang w:val="fr-FR" w:eastAsia="fr-FR" w:bidi="fr-FR"/>
        </w:rPr>
        <w:t>gio de la Frontera Norte et celui de la Fro</w:t>
      </w:r>
      <w:r w:rsidRPr="004B2498">
        <w:rPr>
          <w:lang w:val="fr-FR" w:eastAsia="fr-FR" w:bidi="fr-FR"/>
        </w:rPr>
        <w:t>n</w:t>
      </w:r>
      <w:r w:rsidRPr="004B2498">
        <w:rPr>
          <w:lang w:val="fr-FR" w:eastAsia="fr-FR" w:bidi="fr-FR"/>
        </w:rPr>
        <w:t>tera Sur (Chiapas).</w:t>
      </w:r>
    </w:p>
  </w:footnote>
  <w:footnote w:id="209">
    <w:p w14:paraId="5D0C5E0C" w14:textId="77777777" w:rsidR="002F4063" w:rsidRDefault="002F4063">
      <w:pPr>
        <w:pStyle w:val="Notedebasdepage"/>
      </w:pPr>
      <w:r>
        <w:rPr>
          <w:rStyle w:val="Appelnotedebasdep"/>
        </w:rPr>
        <w:footnoteRef/>
      </w:r>
      <w:r>
        <w:t xml:space="preserve"> </w:t>
      </w:r>
      <w:r>
        <w:tab/>
      </w:r>
      <w:r w:rsidRPr="004B2498">
        <w:rPr>
          <w:lang w:val="fr-FR" w:eastAsia="fr-FR" w:bidi="fr-FR"/>
        </w:rPr>
        <w:t>Discussions privées avec Estela Casados et Cristina Millán de l’université de l’État de Veracruz.</w:t>
      </w:r>
    </w:p>
  </w:footnote>
  <w:footnote w:id="210">
    <w:p w14:paraId="3E80E17A" w14:textId="77777777" w:rsidR="002F4063" w:rsidRDefault="002F4063">
      <w:pPr>
        <w:pStyle w:val="Notedebasdepage"/>
      </w:pPr>
      <w:r>
        <w:rPr>
          <w:rStyle w:val="Appelnotedebasdep"/>
        </w:rPr>
        <w:footnoteRef/>
      </w:r>
      <w:r>
        <w:t xml:space="preserve"> </w:t>
      </w:r>
      <w:r>
        <w:tab/>
        <w:t xml:space="preserve">URL </w:t>
      </w:r>
      <w:hyperlink r:id="rId14" w:history="1">
        <w:r w:rsidRPr="008A6B44">
          <w:rPr>
            <w:rStyle w:val="Hyperlien"/>
          </w:rPr>
          <w:t>jornada.unam.mx</w:t>
        </w:r>
      </w:hyperlink>
      <w:r w:rsidRPr="004B2498">
        <w:t>, accédé le 15/03/11.</w:t>
      </w:r>
    </w:p>
  </w:footnote>
  <w:footnote w:id="211">
    <w:p w14:paraId="7156ED78" w14:textId="77777777" w:rsidR="002F4063" w:rsidRDefault="002F4063">
      <w:pPr>
        <w:pStyle w:val="Notedebasdepage"/>
      </w:pPr>
      <w:r>
        <w:rPr>
          <w:rStyle w:val="Appelnotedebasdep"/>
        </w:rPr>
        <w:footnoteRef/>
      </w:r>
      <w:r>
        <w:t xml:space="preserve"> </w:t>
      </w:r>
      <w:r>
        <w:tab/>
      </w:r>
      <w:r w:rsidRPr="004B2498">
        <w:rPr>
          <w:lang w:val="fr-FR" w:eastAsia="fr-FR" w:bidi="fr-FR"/>
        </w:rPr>
        <w:t>Entretiens personnels et rapport de l'Institut des femmes de l’État de Ver</w:t>
      </w:r>
      <w:r w:rsidRPr="004B2498">
        <w:rPr>
          <w:lang w:val="fr-FR" w:eastAsia="fr-FR" w:bidi="fr-FR"/>
        </w:rPr>
        <w:t>a</w:t>
      </w:r>
      <w:r w:rsidRPr="004B2498">
        <w:rPr>
          <w:lang w:val="fr-FR" w:eastAsia="fr-FR" w:bidi="fr-FR"/>
        </w:rPr>
        <w:t>cruz : “Diagnóstico sobre la situación de las mujeres con enfoque de género en la Sierra de Zongolica y Santa Martha del Estado de Veracruz”,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0F88" w14:textId="77777777" w:rsidR="002F4063" w:rsidRDefault="002F4063" w:rsidP="002F4063">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Enjeux épistémologiques et idéologiques de la globalisation pour les sciences soc..</w:t>
    </w:r>
    <w:r w:rsidRPr="00567B6C">
      <w:rPr>
        <w:rFonts w:ascii="Times New Roman" w:hAnsi="Times New Roman"/>
      </w:rPr>
      <w:t>.</w:t>
    </w:r>
    <w:r w:rsidRPr="00C90835">
      <w:rPr>
        <w:rFonts w:ascii="Times New Roman" w:hAnsi="Times New Roman"/>
      </w:rPr>
      <w:t xml:space="preserve"> </w:t>
    </w:r>
    <w:r>
      <w:rPr>
        <w:rFonts w:ascii="Times New Roman" w:hAnsi="Times New Roman"/>
      </w:rPr>
      <w:t>(2011)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926333">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14</w:t>
    </w:r>
    <w:r>
      <w:rPr>
        <w:rStyle w:val="Numrodepage"/>
        <w:rFonts w:ascii="Times New Roman" w:hAnsi="Times New Roman"/>
      </w:rPr>
      <w:fldChar w:fldCharType="end"/>
    </w:r>
  </w:p>
  <w:p w14:paraId="4A80BF67" w14:textId="77777777" w:rsidR="002F4063" w:rsidRDefault="002F406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652A"/>
    <w:multiLevelType w:val="multilevel"/>
    <w:tmpl w:val="B31CDBA6"/>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92887"/>
    <w:multiLevelType w:val="multilevel"/>
    <w:tmpl w:val="EFC02B72"/>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BA1A72"/>
    <w:multiLevelType w:val="multilevel"/>
    <w:tmpl w:val="684A6D7E"/>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AF4C29"/>
    <w:multiLevelType w:val="multilevel"/>
    <w:tmpl w:val="10B4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E418B6"/>
    <w:multiLevelType w:val="multilevel"/>
    <w:tmpl w:val="610EB6C0"/>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00390E"/>
    <w:multiLevelType w:val="multilevel"/>
    <w:tmpl w:val="1FC0869E"/>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306A65"/>
    <w:multiLevelType w:val="multilevel"/>
    <w:tmpl w:val="F04648B4"/>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DF1ABE"/>
    <w:multiLevelType w:val="multilevel"/>
    <w:tmpl w:val="6032CB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791FF1"/>
    <w:multiLevelType w:val="multilevel"/>
    <w:tmpl w:val="448403F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5C53C9"/>
    <w:multiLevelType w:val="multilevel"/>
    <w:tmpl w:val="2D3EF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567E23"/>
    <w:multiLevelType w:val="multilevel"/>
    <w:tmpl w:val="954E5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DB1850"/>
    <w:multiLevelType w:val="multilevel"/>
    <w:tmpl w:val="EAB2699E"/>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5930003">
    <w:abstractNumId w:val="8"/>
  </w:num>
  <w:num w:numId="2" w16cid:durableId="775060129">
    <w:abstractNumId w:val="7"/>
  </w:num>
  <w:num w:numId="3" w16cid:durableId="1283070464">
    <w:abstractNumId w:val="3"/>
  </w:num>
  <w:num w:numId="4" w16cid:durableId="816460016">
    <w:abstractNumId w:val="10"/>
  </w:num>
  <w:num w:numId="5" w16cid:durableId="425661193">
    <w:abstractNumId w:val="4"/>
  </w:num>
  <w:num w:numId="6" w16cid:durableId="1636721390">
    <w:abstractNumId w:val="5"/>
  </w:num>
  <w:num w:numId="7" w16cid:durableId="273362904">
    <w:abstractNumId w:val="11"/>
  </w:num>
  <w:num w:numId="8" w16cid:durableId="962155851">
    <w:abstractNumId w:val="0"/>
  </w:num>
  <w:num w:numId="9" w16cid:durableId="1511489296">
    <w:abstractNumId w:val="1"/>
  </w:num>
  <w:num w:numId="10" w16cid:durableId="1659075331">
    <w:abstractNumId w:val="2"/>
  </w:num>
  <w:num w:numId="11" w16cid:durableId="57672166">
    <w:abstractNumId w:val="12"/>
  </w:num>
  <w:num w:numId="12" w16cid:durableId="2132742147">
    <w:abstractNumId w:val="6"/>
  </w:num>
  <w:num w:numId="13" w16cid:durableId="19483509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F4063"/>
    <w:rsid w:val="003D1285"/>
    <w:rsid w:val="00926333"/>
    <w:rsid w:val="00AA2C2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BF55600"/>
  <w15:chartTrackingRefBased/>
  <w15:docId w15:val="{E8CC7850-A512-454A-8F55-CDBE5634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864DD2"/>
    <w:rPr>
      <w:rFonts w:eastAsia="Times New Roman"/>
      <w:noProof/>
      <w:lang w:val="fr-CA" w:eastAsia="en-US" w:bidi="ar-SA"/>
    </w:rPr>
  </w:style>
  <w:style w:type="character" w:customStyle="1" w:styleId="Titre2Car">
    <w:name w:val="Titre 2 Car"/>
    <w:basedOn w:val="Policepardfaut"/>
    <w:link w:val="Titre2"/>
    <w:rsid w:val="00864DD2"/>
    <w:rPr>
      <w:rFonts w:eastAsia="Times New Roman"/>
      <w:noProof/>
      <w:lang w:val="fr-CA" w:eastAsia="en-US" w:bidi="ar-SA"/>
    </w:rPr>
  </w:style>
  <w:style w:type="character" w:customStyle="1" w:styleId="Titre3Car">
    <w:name w:val="Titre 3 Car"/>
    <w:basedOn w:val="Policepardfaut"/>
    <w:link w:val="Titre3"/>
    <w:rsid w:val="00864DD2"/>
    <w:rPr>
      <w:rFonts w:eastAsia="Times New Roman"/>
      <w:noProof/>
      <w:lang w:val="fr-CA" w:eastAsia="en-US" w:bidi="ar-SA"/>
    </w:rPr>
  </w:style>
  <w:style w:type="character" w:customStyle="1" w:styleId="Titre4Car">
    <w:name w:val="Titre 4 Car"/>
    <w:basedOn w:val="Policepardfaut"/>
    <w:link w:val="Titre4"/>
    <w:rsid w:val="00864DD2"/>
    <w:rPr>
      <w:rFonts w:eastAsia="Times New Roman"/>
      <w:noProof/>
      <w:lang w:val="fr-CA" w:eastAsia="en-US" w:bidi="ar-SA"/>
    </w:rPr>
  </w:style>
  <w:style w:type="character" w:customStyle="1" w:styleId="Titre5Car">
    <w:name w:val="Titre 5 Car"/>
    <w:basedOn w:val="Policepardfaut"/>
    <w:link w:val="Titre5"/>
    <w:rsid w:val="00864DD2"/>
    <w:rPr>
      <w:rFonts w:eastAsia="Times New Roman"/>
      <w:noProof/>
      <w:lang w:val="fr-CA" w:eastAsia="en-US" w:bidi="ar-SA"/>
    </w:rPr>
  </w:style>
  <w:style w:type="character" w:customStyle="1" w:styleId="Titre6Car">
    <w:name w:val="Titre 6 Car"/>
    <w:basedOn w:val="Policepardfaut"/>
    <w:link w:val="Titre6"/>
    <w:rsid w:val="00864DD2"/>
    <w:rPr>
      <w:rFonts w:eastAsia="Times New Roman"/>
      <w:noProof/>
      <w:lang w:val="fr-CA" w:eastAsia="en-US" w:bidi="ar-SA"/>
    </w:rPr>
  </w:style>
  <w:style w:type="character" w:customStyle="1" w:styleId="Titre7Car">
    <w:name w:val="Titre 7 Car"/>
    <w:basedOn w:val="Policepardfaut"/>
    <w:link w:val="Titre7"/>
    <w:rsid w:val="00864DD2"/>
    <w:rPr>
      <w:rFonts w:eastAsia="Times New Roman"/>
      <w:noProof/>
      <w:lang w:val="fr-CA" w:eastAsia="en-US" w:bidi="ar-SA"/>
    </w:rPr>
  </w:style>
  <w:style w:type="character" w:customStyle="1" w:styleId="Titre8Car">
    <w:name w:val="Titre 8 Car"/>
    <w:basedOn w:val="Policepardfaut"/>
    <w:link w:val="Titre8"/>
    <w:rsid w:val="00864DD2"/>
    <w:rPr>
      <w:rFonts w:eastAsia="Times New Roman"/>
      <w:noProof/>
      <w:lang w:val="fr-CA" w:eastAsia="en-US" w:bidi="ar-SA"/>
    </w:rPr>
  </w:style>
  <w:style w:type="character" w:customStyle="1" w:styleId="Titre9Car">
    <w:name w:val="Titre 9 Car"/>
    <w:basedOn w:val="Policepardfaut"/>
    <w:link w:val="Titre9"/>
    <w:rsid w:val="00864DD2"/>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232444"/>
    <w:pPr>
      <w:spacing w:before="120" w:after="120"/>
      <w:ind w:left="720"/>
      <w:jc w:val="both"/>
    </w:pPr>
    <w:rPr>
      <w:color w:val="000080"/>
      <w:sz w:val="24"/>
    </w:rPr>
  </w:style>
  <w:style w:type="character" w:customStyle="1" w:styleId="Grillecouleur-Accent1Car">
    <w:name w:val="Grille couleur - Accent 1 Car"/>
    <w:basedOn w:val="Policepardfaut"/>
    <w:link w:val="Grillecouleur-Accent1"/>
    <w:rsid w:val="00232444"/>
    <w:rPr>
      <w:rFonts w:ascii="Times New Roman" w:eastAsia="Times New Roman" w:hAnsi="Times New Roman"/>
      <w:color w:val="000080"/>
      <w:sz w:val="24"/>
      <w:lang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6FE1"/>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C57DA"/>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864DD2"/>
    <w:rPr>
      <w:rFonts w:ascii="Times New Roman" w:eastAsia="Times New Roman" w:hAnsi="Times New Roman"/>
      <w:sz w:val="72"/>
      <w:lang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864DD2"/>
    <w:rPr>
      <w:rFonts w:ascii="GillSans" w:eastAsia="Times New Roman" w:hAnsi="GillSans"/>
      <w:lang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rsid w:val="00864DD2"/>
    <w:rPr>
      <w:rFonts w:ascii="Times New Roman" w:eastAsia="Times New Roman" w:hAnsi="Times New Roman"/>
      <w:color w:val="000000"/>
      <w:sz w:val="24"/>
      <w:lang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864DD2"/>
    <w:rPr>
      <w:rFonts w:ascii="GillSans" w:eastAsia="Times New Roman" w:hAnsi="GillSans"/>
      <w:lang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864DD2"/>
    <w:rPr>
      <w:rFonts w:ascii="Arial" w:eastAsia="Times New Roman" w:hAnsi="Arial"/>
      <w:sz w:val="28"/>
      <w:lang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864DD2"/>
    <w:rPr>
      <w:rFonts w:ascii="Arial" w:eastAsia="Times New Roman" w:hAnsi="Arial"/>
      <w:sz w:val="28"/>
      <w:lang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864DD2"/>
    <w:rPr>
      <w:rFonts w:ascii="Arial" w:eastAsia="Times New Roman" w:hAnsi="Arial"/>
      <w:sz w:val="28"/>
      <w:lang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864DD2"/>
    <w:rPr>
      <w:rFonts w:ascii="Times New Roman" w:eastAsia="Times New Roman" w:hAnsi="Times New Roman"/>
      <w:b/>
      <w:sz w:val="48"/>
      <w:lang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2C57DA"/>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2C57DA"/>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autoRedefine/>
    <w:rsid w:val="002C57DA"/>
    <w:pPr>
      <w:ind w:firstLine="0"/>
      <w:jc w:val="center"/>
    </w:pPr>
    <w:rPr>
      <w:sz w:val="72"/>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2C57DA"/>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864DD2"/>
    <w:rPr>
      <w:rFonts w:ascii="Times New Roman" w:eastAsia="Times New Roman" w:hAnsi="Times New Roman"/>
      <w:lang w:val="fr-FR"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190A53"/>
    <w:pPr>
      <w:ind w:firstLine="0"/>
      <w:jc w:val="left"/>
    </w:pPr>
    <w:rPr>
      <w:b/>
      <w:i/>
      <w:iCs/>
      <w:color w:val="FF0000"/>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14Arial10pt">
    <w:name w:val="Corps du texte (14) + Arial;10 pt"/>
    <w:basedOn w:val="Policepardfaut"/>
    <w:rsid w:val="00512D9E"/>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character" w:customStyle="1" w:styleId="Corpsdutexte13GrasNonItalique">
    <w:name w:val="Corps du texte (13) + Gras;Non Italique"/>
    <w:basedOn w:val="Policepardfaut"/>
    <w:rsid w:val="00512D9E"/>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Notedebasdepage0">
    <w:name w:val="Note de bas de page_"/>
    <w:basedOn w:val="Policepardfaut"/>
    <w:link w:val="Notedebasdepage1"/>
    <w:rsid w:val="00864DD2"/>
    <w:rPr>
      <w:rFonts w:ascii="Times New Roman" w:eastAsia="Times New Roman" w:hAnsi="Times New Roman"/>
      <w:sz w:val="18"/>
      <w:szCs w:val="18"/>
      <w:shd w:val="clear" w:color="auto" w:fill="FFFFFF"/>
    </w:rPr>
  </w:style>
  <w:style w:type="paragraph" w:customStyle="1" w:styleId="Notedebasdepage1">
    <w:name w:val="Note de bas de page1"/>
    <w:basedOn w:val="Normal"/>
    <w:link w:val="Notedebasdepage0"/>
    <w:rsid w:val="00864DD2"/>
    <w:pPr>
      <w:widowControl w:val="0"/>
      <w:shd w:val="clear" w:color="auto" w:fill="FFFFFF"/>
      <w:spacing w:line="205" w:lineRule="exact"/>
      <w:ind w:firstLine="32"/>
      <w:jc w:val="both"/>
    </w:pPr>
    <w:rPr>
      <w:sz w:val="18"/>
      <w:szCs w:val="18"/>
      <w:lang w:eastAsia="fr-FR"/>
    </w:rPr>
  </w:style>
  <w:style w:type="character" w:customStyle="1" w:styleId="Notedebasdepage85ptItalique">
    <w:name w:val="Note de bas de page + 8.5 pt;Italique"/>
    <w:basedOn w:val="Notedebasdepage0"/>
    <w:rsid w:val="00864DD2"/>
    <w:rPr>
      <w:rFonts w:ascii="Times New Roman" w:eastAsia="Times New Roman" w:hAnsi="Times New Roman"/>
      <w:i/>
      <w:iCs/>
      <w:color w:val="000000"/>
      <w:spacing w:val="0"/>
      <w:w w:val="100"/>
      <w:position w:val="0"/>
      <w:sz w:val="17"/>
      <w:szCs w:val="17"/>
      <w:shd w:val="clear" w:color="auto" w:fill="FFFFFF"/>
      <w:lang w:val="fr-FR" w:eastAsia="fr-FR" w:bidi="fr-FR"/>
    </w:rPr>
  </w:style>
  <w:style w:type="character" w:customStyle="1" w:styleId="Notedebasdepage85ptPetitesmajuscules">
    <w:name w:val="Note de bas de page + 8.5 pt;Petites majuscules"/>
    <w:basedOn w:val="Notedebasdepage0"/>
    <w:rsid w:val="00864DD2"/>
    <w:rPr>
      <w:rFonts w:ascii="Times New Roman" w:eastAsia="Times New Roman" w:hAnsi="Times New Roman"/>
      <w:smallCaps/>
      <w:color w:val="000000"/>
      <w:spacing w:val="0"/>
      <w:w w:val="100"/>
      <w:position w:val="0"/>
      <w:sz w:val="17"/>
      <w:szCs w:val="17"/>
      <w:shd w:val="clear" w:color="auto" w:fill="FFFFFF"/>
      <w:lang w:val="fr-FR" w:eastAsia="fr-FR" w:bidi="fr-FR"/>
    </w:rPr>
  </w:style>
  <w:style w:type="character" w:customStyle="1" w:styleId="Notedebasdepage85pt">
    <w:name w:val="Note de bas de page + 8.5 pt"/>
    <w:basedOn w:val="Notedebasdepage0"/>
    <w:rsid w:val="00864DD2"/>
    <w:rPr>
      <w:rFonts w:ascii="Times New Roman" w:eastAsia="Times New Roman" w:hAnsi="Times New Roman"/>
      <w:color w:val="000000"/>
      <w:spacing w:val="0"/>
      <w:w w:val="100"/>
      <w:position w:val="0"/>
      <w:sz w:val="17"/>
      <w:szCs w:val="17"/>
      <w:shd w:val="clear" w:color="auto" w:fill="FFFFFF"/>
      <w:lang w:val="fr-FR" w:eastAsia="fr-FR" w:bidi="fr-FR"/>
    </w:rPr>
  </w:style>
  <w:style w:type="character" w:customStyle="1" w:styleId="Notedebasdepage2">
    <w:name w:val="Note de bas de page (2)_"/>
    <w:basedOn w:val="Policepardfaut"/>
    <w:link w:val="Notedebasdepage20"/>
    <w:rsid w:val="00864DD2"/>
    <w:rPr>
      <w:rFonts w:ascii="Times New Roman" w:eastAsia="Times New Roman" w:hAnsi="Times New Roman"/>
      <w:i/>
      <w:iCs/>
      <w:sz w:val="17"/>
      <w:szCs w:val="17"/>
      <w:shd w:val="clear" w:color="auto" w:fill="FFFFFF"/>
    </w:rPr>
  </w:style>
  <w:style w:type="paragraph" w:customStyle="1" w:styleId="Notedebasdepage20">
    <w:name w:val="Note de bas de page (2)"/>
    <w:basedOn w:val="Normal"/>
    <w:link w:val="Notedebasdepage2"/>
    <w:rsid w:val="00864DD2"/>
    <w:pPr>
      <w:widowControl w:val="0"/>
      <w:shd w:val="clear" w:color="auto" w:fill="FFFFFF"/>
      <w:spacing w:line="205" w:lineRule="exact"/>
      <w:ind w:firstLine="37"/>
      <w:jc w:val="both"/>
    </w:pPr>
    <w:rPr>
      <w:i/>
      <w:iCs/>
      <w:sz w:val="17"/>
      <w:szCs w:val="17"/>
      <w:lang w:eastAsia="fr-FR"/>
    </w:rPr>
  </w:style>
  <w:style w:type="character" w:customStyle="1" w:styleId="Notedebasdepage2NonItalique">
    <w:name w:val="Note de bas de page (2) + Non Italique"/>
    <w:basedOn w:val="Notedebasdepage2"/>
    <w:rsid w:val="00864DD2"/>
    <w:rPr>
      <w:rFonts w:ascii="Times New Roman" w:eastAsia="Times New Roman" w:hAnsi="Times New Roman"/>
      <w:i/>
      <w:iCs/>
      <w:color w:val="000000"/>
      <w:spacing w:val="0"/>
      <w:w w:val="100"/>
      <w:position w:val="0"/>
      <w:sz w:val="17"/>
      <w:szCs w:val="17"/>
      <w:shd w:val="clear" w:color="auto" w:fill="FFFFFF"/>
      <w:lang w:val="fr-FR" w:eastAsia="fr-FR" w:bidi="fr-FR"/>
    </w:rPr>
  </w:style>
  <w:style w:type="character" w:customStyle="1" w:styleId="Notedebasdepage29ptNonItalique">
    <w:name w:val="Note de bas de page (2) + 9 pt;Non Italique"/>
    <w:basedOn w:val="Notedebasdepage2"/>
    <w:rsid w:val="00864DD2"/>
    <w:rPr>
      <w:rFonts w:ascii="Times New Roman" w:eastAsia="Times New Roman" w:hAnsi="Times New Roman"/>
      <w:i/>
      <w:iCs/>
      <w:color w:val="000000"/>
      <w:spacing w:val="0"/>
      <w:w w:val="100"/>
      <w:position w:val="0"/>
      <w:sz w:val="18"/>
      <w:szCs w:val="18"/>
      <w:shd w:val="clear" w:color="auto" w:fill="FFFFFF"/>
      <w:lang w:val="fr-FR" w:eastAsia="fr-FR" w:bidi="fr-FR"/>
    </w:rPr>
  </w:style>
  <w:style w:type="character" w:customStyle="1" w:styleId="Notedebasdepage2NonItaliquePetitesmajuscules">
    <w:name w:val="Note de bas de page (2) + Non Italique;Petites majuscules"/>
    <w:basedOn w:val="Notedebasdepage2"/>
    <w:rsid w:val="00864DD2"/>
    <w:rPr>
      <w:rFonts w:ascii="Times New Roman" w:eastAsia="Times New Roman" w:hAnsi="Times New Roman"/>
      <w:i/>
      <w:iCs/>
      <w:smallCaps/>
      <w:color w:val="000000"/>
      <w:spacing w:val="0"/>
      <w:w w:val="100"/>
      <w:position w:val="0"/>
      <w:sz w:val="17"/>
      <w:szCs w:val="17"/>
      <w:shd w:val="clear" w:color="auto" w:fill="FFFFFF"/>
      <w:lang w:val="fr-FR" w:eastAsia="fr-FR" w:bidi="fr-FR"/>
    </w:rPr>
  </w:style>
  <w:style w:type="paragraph" w:customStyle="1" w:styleId="aa">
    <w:name w:val="aa"/>
    <w:basedOn w:val="Normal"/>
    <w:autoRedefine/>
    <w:rsid w:val="00864DD2"/>
    <w:pPr>
      <w:spacing w:before="120" w:after="120"/>
      <w:jc w:val="both"/>
    </w:pPr>
    <w:rPr>
      <w:b/>
      <w:i/>
      <w:color w:val="FF0000"/>
      <w:sz w:val="32"/>
    </w:rPr>
  </w:style>
  <w:style w:type="paragraph" w:customStyle="1" w:styleId="b">
    <w:name w:val="b"/>
    <w:basedOn w:val="Normal"/>
    <w:autoRedefine/>
    <w:rsid w:val="00864DD2"/>
    <w:pPr>
      <w:spacing w:before="120" w:after="120"/>
      <w:ind w:left="720"/>
    </w:pPr>
    <w:rPr>
      <w:i/>
      <w:color w:val="0000FF"/>
    </w:rPr>
  </w:style>
  <w:style w:type="character" w:customStyle="1" w:styleId="Corpsdutexte414ptGras">
    <w:name w:val="Corps du texte (4) + 14 pt;Gras"/>
    <w:basedOn w:val="Policepardfaut"/>
    <w:rsid w:val="00864DD2"/>
    <w:rPr>
      <w:rFonts w:ascii="Times New Roman" w:eastAsia="Times New Roman" w:hAnsi="Times New Roman" w:cs="Times New Roman"/>
      <w:b/>
      <w:bCs/>
      <w:i w:val="0"/>
      <w:iCs w:val="0"/>
      <w:smallCaps w:val="0"/>
      <w:strike w:val="0"/>
      <w:color w:val="FFFFFF"/>
      <w:spacing w:val="0"/>
      <w:w w:val="100"/>
      <w:position w:val="0"/>
      <w:sz w:val="28"/>
      <w:szCs w:val="28"/>
      <w:u w:val="none"/>
      <w:lang w:val="fr-FR" w:eastAsia="fr-FR" w:bidi="fr-FR"/>
    </w:rPr>
  </w:style>
  <w:style w:type="paragraph" w:customStyle="1" w:styleId="bb">
    <w:name w:val="bb"/>
    <w:basedOn w:val="Normal"/>
    <w:rsid w:val="00864DD2"/>
    <w:pPr>
      <w:spacing w:before="120" w:after="120"/>
      <w:ind w:left="540"/>
    </w:pPr>
    <w:rPr>
      <w:i/>
      <w:color w:val="0000FF"/>
    </w:rPr>
  </w:style>
  <w:style w:type="character" w:customStyle="1" w:styleId="En-tte2">
    <w:name w:val="En-tête #2_"/>
    <w:basedOn w:val="Policepardfaut"/>
    <w:rsid w:val="00864DD2"/>
    <w:rPr>
      <w:rFonts w:ascii="Times New Roman" w:eastAsia="Times New Roman" w:hAnsi="Times New Roman" w:cs="Times New Roman"/>
      <w:b/>
      <w:bCs/>
      <w:i w:val="0"/>
      <w:iCs w:val="0"/>
      <w:smallCaps w:val="0"/>
      <w:strike w:val="0"/>
      <w:u w:val="none"/>
    </w:rPr>
  </w:style>
  <w:style w:type="character" w:customStyle="1" w:styleId="En-tte20">
    <w:name w:val="En-tête #2"/>
    <w:basedOn w:val="En-tte2"/>
    <w:rsid w:val="00864DD2"/>
    <w:rPr>
      <w:rFonts w:ascii="Times New Roman" w:eastAsia="Times New Roman" w:hAnsi="Times New Roman" w:cs="Times New Roman"/>
      <w:b/>
      <w:bCs/>
      <w:i w:val="0"/>
      <w:iCs w:val="0"/>
      <w:smallCaps w:val="0"/>
      <w:strike w:val="0"/>
      <w:color w:val="FFFFFF"/>
      <w:spacing w:val="0"/>
      <w:w w:val="100"/>
      <w:position w:val="0"/>
      <w:sz w:val="24"/>
      <w:szCs w:val="24"/>
      <w:u w:val="none"/>
      <w:lang w:val="fr-FR" w:eastAsia="fr-FR" w:bidi="fr-FR"/>
    </w:rPr>
  </w:style>
  <w:style w:type="character" w:customStyle="1" w:styleId="Codebarre">
    <w:name w:val="Code barre_"/>
    <w:basedOn w:val="Policepardfaut"/>
    <w:link w:val="Codebarre0"/>
    <w:rsid w:val="00864DD2"/>
    <w:rPr>
      <w:rFonts w:ascii="Times New Roman" w:eastAsia="Times New Roman" w:hAnsi="Times New Roman"/>
      <w:shd w:val="clear" w:color="auto" w:fill="FFFFFF"/>
      <w:lang w:val="uz-Cyrl-UZ"/>
    </w:rPr>
  </w:style>
  <w:style w:type="paragraph" w:customStyle="1" w:styleId="Codebarre0">
    <w:name w:val="Code barre"/>
    <w:basedOn w:val="Normal"/>
    <w:link w:val="Codebarre"/>
    <w:rsid w:val="00864DD2"/>
    <w:pPr>
      <w:widowControl w:val="0"/>
      <w:shd w:val="clear" w:color="auto" w:fill="FFFFFF"/>
    </w:pPr>
    <w:rPr>
      <w:sz w:val="20"/>
      <w:lang w:val="uz-Cyrl-UZ" w:eastAsia="fr-FR"/>
    </w:rPr>
  </w:style>
  <w:style w:type="character" w:customStyle="1" w:styleId="En-tte3">
    <w:name w:val="En-tête #3_"/>
    <w:basedOn w:val="Policepardfaut"/>
    <w:rsid w:val="00864DD2"/>
    <w:rPr>
      <w:rFonts w:ascii="Times New Roman" w:eastAsia="Times New Roman" w:hAnsi="Times New Roman" w:cs="Times New Roman"/>
      <w:b/>
      <w:bCs/>
      <w:i w:val="0"/>
      <w:iCs w:val="0"/>
      <w:smallCaps w:val="0"/>
      <w:strike w:val="0"/>
      <w:u w:val="none"/>
    </w:rPr>
  </w:style>
  <w:style w:type="character" w:customStyle="1" w:styleId="En-tte30">
    <w:name w:val="En-tête #3"/>
    <w:basedOn w:val="En-tte3"/>
    <w:rsid w:val="00864DD2"/>
    <w:rPr>
      <w:rFonts w:ascii="Times New Roman" w:eastAsia="Times New Roman" w:hAnsi="Times New Roman" w:cs="Times New Roman"/>
      <w:b/>
      <w:bCs/>
      <w:i w:val="0"/>
      <w:iCs w:val="0"/>
      <w:smallCaps w:val="0"/>
      <w:strike w:val="0"/>
      <w:color w:val="FFFFFF"/>
      <w:spacing w:val="0"/>
      <w:w w:val="100"/>
      <w:position w:val="0"/>
      <w:sz w:val="24"/>
      <w:szCs w:val="24"/>
      <w:u w:val="none"/>
      <w:lang w:val="fr-FR" w:eastAsia="fr-FR" w:bidi="fr-FR"/>
    </w:rPr>
  </w:style>
  <w:style w:type="paragraph" w:styleId="Corpsdetexte2">
    <w:name w:val="Body Text 2"/>
    <w:basedOn w:val="Normal"/>
    <w:link w:val="Corpsdetexte2Car"/>
    <w:rsid w:val="00864DD2"/>
    <w:pPr>
      <w:jc w:val="both"/>
    </w:pPr>
    <w:rPr>
      <w:rFonts w:ascii="Arial" w:hAnsi="Arial"/>
    </w:rPr>
  </w:style>
  <w:style w:type="character" w:customStyle="1" w:styleId="Corpsdetexte2Car">
    <w:name w:val="Corps de texte 2 Car"/>
    <w:basedOn w:val="Policepardfaut"/>
    <w:link w:val="Corpsdetexte2"/>
    <w:rsid w:val="00864DD2"/>
    <w:rPr>
      <w:rFonts w:ascii="Arial" w:eastAsia="Times New Roman" w:hAnsi="Arial"/>
      <w:sz w:val="28"/>
      <w:lang w:eastAsia="en-US"/>
    </w:rPr>
  </w:style>
  <w:style w:type="paragraph" w:styleId="Corpsdetexte3">
    <w:name w:val="Body Text 3"/>
    <w:basedOn w:val="Normal"/>
    <w:link w:val="Corpsdetexte3Car"/>
    <w:rsid w:val="00864DD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864DD2"/>
    <w:rPr>
      <w:rFonts w:ascii="Arial" w:eastAsia="Times New Roman" w:hAnsi="Arial"/>
      <w:lang w:eastAsia="en-US"/>
    </w:rPr>
  </w:style>
  <w:style w:type="paragraph" w:customStyle="1" w:styleId="dd">
    <w:name w:val="dd"/>
    <w:basedOn w:val="Normal"/>
    <w:autoRedefine/>
    <w:rsid w:val="00864DD2"/>
    <w:pPr>
      <w:spacing w:before="120" w:after="120"/>
      <w:ind w:left="1080"/>
    </w:pPr>
    <w:rPr>
      <w:i/>
      <w:color w:val="008000"/>
    </w:rPr>
  </w:style>
  <w:style w:type="character" w:customStyle="1" w:styleId="En-tteoupieddepage">
    <w:name w:val="En-tête ou pied de page_"/>
    <w:basedOn w:val="Policepardfaut"/>
    <w:rsid w:val="00864DD2"/>
    <w:rPr>
      <w:rFonts w:ascii="Times New Roman" w:eastAsia="Times New Roman" w:hAnsi="Times New Roman" w:cs="Times New Roman"/>
      <w:b w:val="0"/>
      <w:bCs w:val="0"/>
      <w:i w:val="0"/>
      <w:iCs w:val="0"/>
      <w:smallCaps w:val="0"/>
      <w:strike w:val="0"/>
      <w:sz w:val="19"/>
      <w:szCs w:val="19"/>
      <w:u w:val="none"/>
    </w:rPr>
  </w:style>
  <w:style w:type="character" w:customStyle="1" w:styleId="En-tteoupieddepageAppleMyungjo18pt">
    <w:name w:val="En-tête ou pied de page + AppleMyungjo;18 pt"/>
    <w:basedOn w:val="En-tteoupieddepage"/>
    <w:rsid w:val="00864DD2"/>
    <w:rPr>
      <w:rFonts w:ascii="AppleMyungjo" w:eastAsia="AppleMyungjo" w:hAnsi="AppleMyungjo" w:cs="AppleMyungjo"/>
      <w:b w:val="0"/>
      <w:bCs w:val="0"/>
      <w:i w:val="0"/>
      <w:iCs w:val="0"/>
      <w:smallCaps w:val="0"/>
      <w:strike w:val="0"/>
      <w:color w:val="000000"/>
      <w:spacing w:val="0"/>
      <w:w w:val="100"/>
      <w:position w:val="0"/>
      <w:sz w:val="36"/>
      <w:szCs w:val="36"/>
      <w:u w:val="none"/>
      <w:lang w:val="fr-FR" w:eastAsia="fr-FR" w:bidi="fr-FR"/>
    </w:rPr>
  </w:style>
  <w:style w:type="paragraph" w:customStyle="1" w:styleId="figlgende">
    <w:name w:val="fig légende"/>
    <w:basedOn w:val="Normal0"/>
    <w:rsid w:val="00864DD2"/>
    <w:rPr>
      <w:color w:val="000090"/>
      <w:sz w:val="24"/>
      <w:szCs w:val="16"/>
      <w:lang w:eastAsia="fr-FR"/>
    </w:rPr>
  </w:style>
  <w:style w:type="paragraph" w:customStyle="1" w:styleId="figst">
    <w:name w:val="fig st"/>
    <w:basedOn w:val="Normal"/>
    <w:autoRedefine/>
    <w:rsid w:val="00A306D0"/>
    <w:pPr>
      <w:spacing w:before="120" w:after="120"/>
      <w:jc w:val="both"/>
    </w:pPr>
    <w:rPr>
      <w:rFonts w:cs="Arial"/>
      <w:color w:val="000090"/>
      <w:sz w:val="24"/>
      <w:szCs w:val="16"/>
      <w:lang w:eastAsia="fr-FR" w:bidi="fr-FR"/>
    </w:rPr>
  </w:style>
  <w:style w:type="paragraph" w:customStyle="1" w:styleId="figtitre">
    <w:name w:val="fig titre"/>
    <w:basedOn w:val="Normal"/>
    <w:autoRedefine/>
    <w:rsid w:val="006B78AD"/>
    <w:pPr>
      <w:spacing w:before="120" w:after="120"/>
      <w:jc w:val="center"/>
    </w:pPr>
    <w:rPr>
      <w:rFonts w:cs="Arial"/>
      <w:b/>
      <w:bCs/>
      <w:sz w:val="24"/>
      <w:szCs w:val="12"/>
    </w:rPr>
  </w:style>
  <w:style w:type="character" w:customStyle="1" w:styleId="En-tteoupieddepage2">
    <w:name w:val="En-tête ou pied de page (2)"/>
    <w:basedOn w:val="Policepardfaut"/>
    <w:rsid w:val="00864DD2"/>
    <w:rPr>
      <w:rFonts w:ascii="AppleMyungjo" w:eastAsia="AppleMyungjo" w:hAnsi="AppleMyungjo" w:cs="AppleMyungjo"/>
      <w:b w:val="0"/>
      <w:bCs w:val="0"/>
      <w:i w:val="0"/>
      <w:iCs w:val="0"/>
      <w:smallCaps w:val="0"/>
      <w:strike w:val="0"/>
      <w:sz w:val="36"/>
      <w:szCs w:val="36"/>
      <w:u w:val="none"/>
    </w:rPr>
  </w:style>
  <w:style w:type="character" w:customStyle="1" w:styleId="En-tteoupieddepage3Exact">
    <w:name w:val="En-tête ou pied de page (3) Exact"/>
    <w:basedOn w:val="Policepardfaut"/>
    <w:link w:val="En-tteoupieddepage3"/>
    <w:rsid w:val="00864DD2"/>
    <w:rPr>
      <w:rFonts w:ascii="Arial" w:eastAsia="Arial" w:hAnsi="Arial" w:cs="Arial"/>
      <w:sz w:val="32"/>
      <w:szCs w:val="32"/>
      <w:shd w:val="clear" w:color="auto" w:fill="FFFFFF"/>
    </w:rPr>
  </w:style>
  <w:style w:type="paragraph" w:customStyle="1" w:styleId="En-tteoupieddepage3">
    <w:name w:val="En-tête ou pied de page (3)"/>
    <w:basedOn w:val="Normal"/>
    <w:link w:val="En-tteoupieddepage3Exact"/>
    <w:rsid w:val="00864DD2"/>
    <w:pPr>
      <w:widowControl w:val="0"/>
      <w:shd w:val="clear" w:color="auto" w:fill="FFFFFF"/>
      <w:spacing w:line="0" w:lineRule="atLeast"/>
      <w:ind w:firstLine="29"/>
    </w:pPr>
    <w:rPr>
      <w:rFonts w:ascii="Arial" w:eastAsia="Arial" w:hAnsi="Arial" w:cs="Arial"/>
      <w:sz w:val="32"/>
      <w:szCs w:val="32"/>
      <w:lang w:eastAsia="fr-FR"/>
    </w:rPr>
  </w:style>
  <w:style w:type="character" w:customStyle="1" w:styleId="En-tte1">
    <w:name w:val="En-tête #1_"/>
    <w:basedOn w:val="Policepardfaut"/>
    <w:link w:val="En-tte10"/>
    <w:rsid w:val="00864DD2"/>
    <w:rPr>
      <w:rFonts w:ascii="Times New Roman" w:eastAsia="Times New Roman" w:hAnsi="Times New Roman"/>
      <w:sz w:val="36"/>
      <w:szCs w:val="36"/>
      <w:shd w:val="clear" w:color="auto" w:fill="FFFFFF"/>
    </w:rPr>
  </w:style>
  <w:style w:type="paragraph" w:customStyle="1" w:styleId="En-tte10">
    <w:name w:val="En-tête #1"/>
    <w:basedOn w:val="Normal"/>
    <w:link w:val="En-tte1"/>
    <w:rsid w:val="00864DD2"/>
    <w:pPr>
      <w:widowControl w:val="0"/>
      <w:shd w:val="clear" w:color="auto" w:fill="FFFFFF"/>
      <w:spacing w:after="180" w:line="418" w:lineRule="exact"/>
      <w:jc w:val="center"/>
      <w:outlineLvl w:val="0"/>
    </w:pPr>
    <w:rPr>
      <w:sz w:val="36"/>
      <w:szCs w:val="36"/>
      <w:lang w:eastAsia="fr-FR"/>
    </w:rPr>
  </w:style>
  <w:style w:type="character" w:customStyle="1" w:styleId="En-tteoupieddepage10pt">
    <w:name w:val="En-tête ou pied de page + 10 pt"/>
    <w:basedOn w:val="En-tteoupieddepage"/>
    <w:rsid w:val="00864DD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0">
    <w:name w:val="En-tête ou pied de page"/>
    <w:basedOn w:val="En-tteoupieddepage"/>
    <w:rsid w:val="00864DD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En-tteoupieddepagePetitesmajuscules">
    <w:name w:val="En-tête ou pied de page + Petites majuscules"/>
    <w:basedOn w:val="En-tteoupieddepage"/>
    <w:rsid w:val="00864DD2"/>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En-tteoupieddepageGras">
    <w:name w:val="En-tête ou pied de page + Gras"/>
    <w:basedOn w:val="En-tteoupieddepage"/>
    <w:rsid w:val="00864DD2"/>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En-tteoupieddepage17ptGrasItalique">
    <w:name w:val="En-tête ou pied de page + 17 pt;Gras;Italique"/>
    <w:basedOn w:val="En-tteoupieddepage"/>
    <w:rsid w:val="00864DD2"/>
    <w:rPr>
      <w:rFonts w:ascii="Times New Roman" w:eastAsia="Times New Roman" w:hAnsi="Times New Roman" w:cs="Times New Roman"/>
      <w:b/>
      <w:bCs/>
      <w:i/>
      <w:iCs/>
      <w:smallCaps w:val="0"/>
      <w:strike w:val="0"/>
      <w:color w:val="000000"/>
      <w:spacing w:val="0"/>
      <w:w w:val="100"/>
      <w:position w:val="0"/>
      <w:sz w:val="34"/>
      <w:szCs w:val="34"/>
      <w:u w:val="none"/>
      <w:lang w:val="fr-FR" w:eastAsia="fr-FR" w:bidi="fr-FR"/>
    </w:rPr>
  </w:style>
  <w:style w:type="character" w:customStyle="1" w:styleId="En-tte22">
    <w:name w:val="En-tête #2 (2)_"/>
    <w:basedOn w:val="Policepardfaut"/>
    <w:link w:val="En-tte220"/>
    <w:rsid w:val="00864DD2"/>
    <w:rPr>
      <w:rFonts w:ascii="Times New Roman" w:eastAsia="Times New Roman" w:hAnsi="Times New Roman"/>
      <w:b/>
      <w:bCs/>
      <w:shd w:val="clear" w:color="auto" w:fill="FFFFFF"/>
    </w:rPr>
  </w:style>
  <w:style w:type="paragraph" w:customStyle="1" w:styleId="En-tte220">
    <w:name w:val="En-tête #2 (2)"/>
    <w:basedOn w:val="Normal"/>
    <w:link w:val="En-tte22"/>
    <w:rsid w:val="00864DD2"/>
    <w:pPr>
      <w:widowControl w:val="0"/>
      <w:shd w:val="clear" w:color="auto" w:fill="FFFFFF"/>
      <w:spacing w:before="180" w:after="180" w:line="0" w:lineRule="atLeast"/>
      <w:ind w:firstLine="34"/>
      <w:jc w:val="both"/>
      <w:outlineLvl w:val="1"/>
    </w:pPr>
    <w:rPr>
      <w:b/>
      <w:bCs/>
      <w:sz w:val="20"/>
      <w:lang w:eastAsia="fr-FR"/>
    </w:rPr>
  </w:style>
  <w:style w:type="character" w:customStyle="1" w:styleId="En-tte32">
    <w:name w:val="En-tête #3 (2)_"/>
    <w:basedOn w:val="Policepardfaut"/>
    <w:link w:val="En-tte320"/>
    <w:rsid w:val="00864DD2"/>
    <w:rPr>
      <w:rFonts w:ascii="Times New Roman" w:eastAsia="Times New Roman" w:hAnsi="Times New Roman"/>
      <w:b/>
      <w:bCs/>
      <w:shd w:val="clear" w:color="auto" w:fill="FFFFFF"/>
    </w:rPr>
  </w:style>
  <w:style w:type="paragraph" w:customStyle="1" w:styleId="En-tte320">
    <w:name w:val="En-tête #3 (2)"/>
    <w:basedOn w:val="Normal"/>
    <w:link w:val="En-tte32"/>
    <w:rsid w:val="00864DD2"/>
    <w:pPr>
      <w:widowControl w:val="0"/>
      <w:shd w:val="clear" w:color="auto" w:fill="FFFFFF"/>
      <w:spacing w:after="180" w:line="0" w:lineRule="atLeast"/>
      <w:ind w:firstLine="33"/>
      <w:outlineLvl w:val="2"/>
    </w:pPr>
    <w:rPr>
      <w:b/>
      <w:bCs/>
      <w:sz w:val="20"/>
      <w:lang w:eastAsia="fr-FR"/>
    </w:rPr>
  </w:style>
  <w:style w:type="character" w:customStyle="1" w:styleId="En-tteoupieddepage4">
    <w:name w:val="En-tête ou pied de page (4)"/>
    <w:basedOn w:val="Policepardfaut"/>
    <w:rsid w:val="00864DD2"/>
    <w:rPr>
      <w:rFonts w:ascii="Times New Roman" w:eastAsia="Times New Roman" w:hAnsi="Times New Roman" w:cs="Times New Roman"/>
      <w:b w:val="0"/>
      <w:bCs w:val="0"/>
      <w:i w:val="0"/>
      <w:iCs w:val="0"/>
      <w:smallCaps w:val="0"/>
      <w:strike w:val="0"/>
      <w:sz w:val="20"/>
      <w:szCs w:val="20"/>
      <w:u w:val="none"/>
    </w:rPr>
  </w:style>
  <w:style w:type="character" w:customStyle="1" w:styleId="Corpsdutexte211ptItalique">
    <w:name w:val="Corps du texte (2) + 11 pt;Italique"/>
    <w:basedOn w:val="Policepardfaut"/>
    <w:rsid w:val="00864DD2"/>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211ptGras">
    <w:name w:val="Corps du texte (2) + 11 pt;Gras"/>
    <w:basedOn w:val="Policepardfaut"/>
    <w:rsid w:val="00864DD2"/>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7PetitesmajusculesEspacement0pt">
    <w:name w:val="Corps du texte (7) + Petites majuscules;Espacement 0 pt"/>
    <w:basedOn w:val="Policepardfaut"/>
    <w:rsid w:val="00864DD2"/>
    <w:rPr>
      <w:rFonts w:ascii="Times New Roman" w:eastAsia="Times New Roman" w:hAnsi="Times New Roman" w:cs="Times New Roman"/>
      <w:b w:val="0"/>
      <w:bCs w:val="0"/>
      <w:i w:val="0"/>
      <w:iCs w:val="0"/>
      <w:smallCaps/>
      <w:strike w:val="0"/>
      <w:color w:val="000000"/>
      <w:spacing w:val="10"/>
      <w:w w:val="100"/>
      <w:position w:val="0"/>
      <w:sz w:val="22"/>
      <w:szCs w:val="22"/>
      <w:u w:val="none"/>
      <w:lang w:val="fr-FR" w:eastAsia="fr-FR" w:bidi="fr-FR"/>
    </w:rPr>
  </w:style>
  <w:style w:type="character" w:customStyle="1" w:styleId="Corpsdutexte1910ptNonItalique">
    <w:name w:val="Corps du texte (19) + 10 pt;Non Italique"/>
    <w:basedOn w:val="Policepardfaut"/>
    <w:rsid w:val="00864DD2"/>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199ptNonItalique">
    <w:name w:val="Corps du texte (19) + 9 pt;Non Italique"/>
    <w:basedOn w:val="Policepardfaut"/>
    <w:rsid w:val="00864DD2"/>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3Petitesmajuscules">
    <w:name w:val="En-tête #3 + Petites majuscules"/>
    <w:basedOn w:val="En-tte3"/>
    <w:rsid w:val="00864DD2"/>
    <w:rPr>
      <w:rFonts w:ascii="Times New Roman" w:eastAsia="Times New Roman" w:hAnsi="Times New Roman" w:cs="Times New Roman"/>
      <w:b/>
      <w:bCs/>
      <w:i w:val="0"/>
      <w:iCs w:val="0"/>
      <w:smallCaps/>
      <w:strike w:val="0"/>
      <w:color w:val="000000"/>
      <w:spacing w:val="0"/>
      <w:w w:val="100"/>
      <w:position w:val="0"/>
      <w:sz w:val="24"/>
      <w:szCs w:val="24"/>
      <w:u w:val="none"/>
      <w:lang w:val="fr-FR" w:eastAsia="fr-FR" w:bidi="fr-FR"/>
    </w:rPr>
  </w:style>
  <w:style w:type="character" w:customStyle="1" w:styleId="Corpsdutexte229ptNonItalique">
    <w:name w:val="Corps du texte (22) + 9 pt;Non Italique"/>
    <w:basedOn w:val="Policepardfaut"/>
    <w:rsid w:val="00864DD2"/>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22NonItaliquePetitesmajuscules">
    <w:name w:val="Corps du texte (22) + Non Italique;Petites majuscules"/>
    <w:basedOn w:val="Policepardfaut"/>
    <w:rsid w:val="00864DD2"/>
    <w:rPr>
      <w:rFonts w:ascii="Times New Roman" w:eastAsia="Times New Roman" w:hAnsi="Times New Roman" w:cs="Times New Roman"/>
      <w:b w:val="0"/>
      <w:bCs w:val="0"/>
      <w:i/>
      <w:iCs/>
      <w:smallCaps/>
      <w:strike w:val="0"/>
      <w:color w:val="000000"/>
      <w:spacing w:val="0"/>
      <w:w w:val="100"/>
      <w:position w:val="0"/>
      <w:sz w:val="17"/>
      <w:szCs w:val="17"/>
      <w:u w:val="none"/>
      <w:lang w:val="fr-FR" w:eastAsia="fr-FR" w:bidi="fr-FR"/>
    </w:rPr>
  </w:style>
  <w:style w:type="character" w:customStyle="1" w:styleId="Corpsdutexte2185ptItalique">
    <w:name w:val="Corps du texte (21) + 8.5 pt;Italique"/>
    <w:basedOn w:val="Policepardfaut"/>
    <w:rsid w:val="00864DD2"/>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En-tteoupieddepage85pt">
    <w:name w:val="En-tête ou pied de page + 8.5 pt"/>
    <w:basedOn w:val="En-tteoupieddepage"/>
    <w:rsid w:val="00864DD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En-tteoupieddepage85ptPetitesmajuscules">
    <w:name w:val="En-tête ou pied de page + 8.5 pt;Petites majuscules"/>
    <w:basedOn w:val="En-tteoupieddepage"/>
    <w:rsid w:val="00864DD2"/>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character" w:customStyle="1" w:styleId="Corpsdutexte295ptGras">
    <w:name w:val="Corps du texte (2) + 9.5 pt;Gras"/>
    <w:basedOn w:val="Policepardfaut"/>
    <w:rsid w:val="00864DD2"/>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275ptEspacement1ptchelle80">
    <w:name w:val="Corps du texte (2) + 7.5 pt;Espacement 1 pt;Échelle 80%"/>
    <w:basedOn w:val="Policepardfaut"/>
    <w:rsid w:val="00864DD2"/>
    <w:rPr>
      <w:rFonts w:ascii="Times New Roman" w:eastAsia="Times New Roman" w:hAnsi="Times New Roman" w:cs="Times New Roman"/>
      <w:b w:val="0"/>
      <w:bCs w:val="0"/>
      <w:i w:val="0"/>
      <w:iCs w:val="0"/>
      <w:smallCaps w:val="0"/>
      <w:strike w:val="0"/>
      <w:color w:val="000000"/>
      <w:spacing w:val="20"/>
      <w:w w:val="80"/>
      <w:position w:val="0"/>
      <w:sz w:val="15"/>
      <w:szCs w:val="15"/>
      <w:u w:val="none"/>
      <w:lang w:val="fr-FR" w:eastAsia="fr-FR" w:bidi="fr-FR"/>
    </w:rPr>
  </w:style>
  <w:style w:type="character" w:customStyle="1" w:styleId="Corpsdutexte24ptItalique">
    <w:name w:val="Corps du texte (2) + 4 pt;Italique"/>
    <w:basedOn w:val="Policepardfaut"/>
    <w:rsid w:val="00864DD2"/>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Corpsdutexte7PetitesmajusculesEspacement1pt">
    <w:name w:val="Corps du texte (7) + Petites majuscules;Espacement 1 pt"/>
    <w:basedOn w:val="Policepardfaut"/>
    <w:rsid w:val="00864DD2"/>
    <w:rPr>
      <w:rFonts w:ascii="Times New Roman" w:eastAsia="Times New Roman" w:hAnsi="Times New Roman" w:cs="Times New Roman"/>
      <w:b w:val="0"/>
      <w:bCs w:val="0"/>
      <w:i w:val="0"/>
      <w:iCs w:val="0"/>
      <w:smallCaps/>
      <w:strike w:val="0"/>
      <w:color w:val="000000"/>
      <w:spacing w:val="20"/>
      <w:w w:val="100"/>
      <w:position w:val="0"/>
      <w:sz w:val="22"/>
      <w:szCs w:val="22"/>
      <w:u w:val="none"/>
      <w:lang w:val="fr-FR" w:eastAsia="fr-FR" w:bidi="fr-FR"/>
    </w:rPr>
  </w:style>
  <w:style w:type="character" w:customStyle="1" w:styleId="Corpsdutexte211ptPetitesmajuscules">
    <w:name w:val="Corps du texte (2) + 11 pt;Petites majuscules"/>
    <w:basedOn w:val="Policepardfaut"/>
    <w:rsid w:val="00864DD2"/>
    <w:rPr>
      <w:rFonts w:ascii="Times New Roman" w:eastAsia="Times New Roman" w:hAnsi="Times New Roman" w:cs="Times New Roman"/>
      <w:b w:val="0"/>
      <w:bCs w:val="0"/>
      <w:i w:val="0"/>
      <w:iCs w:val="0"/>
      <w:smallCaps/>
      <w:strike w:val="0"/>
      <w:color w:val="000000"/>
      <w:spacing w:val="0"/>
      <w:w w:val="100"/>
      <w:position w:val="0"/>
      <w:sz w:val="22"/>
      <w:szCs w:val="22"/>
      <w:u w:val="none"/>
      <w:lang w:val="fr-FR" w:eastAsia="fr-FR" w:bidi="fr-FR"/>
    </w:rPr>
  </w:style>
  <w:style w:type="character" w:customStyle="1" w:styleId="Corpsdutexte210ptPetitesmajuscules">
    <w:name w:val="Corps du texte (2) + 10 pt;Petites majuscules"/>
    <w:basedOn w:val="Policepardfaut"/>
    <w:rsid w:val="00864DD2"/>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Corpsdutexte30105ptItalique">
    <w:name w:val="Corps du texte (30) + 10.5 pt;Italique"/>
    <w:basedOn w:val="Policepardfaut"/>
    <w:rsid w:val="00864DD2"/>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911ptNonItalique">
    <w:name w:val="Corps du texte (19) + 11 pt;Non Italique"/>
    <w:basedOn w:val="Policepardfaut"/>
    <w:rsid w:val="00864DD2"/>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Notedebasdepage95ptItalique">
    <w:name w:val="Note de bas de page + 9.5 pt;Italique"/>
    <w:basedOn w:val="Notedebasdepage0"/>
    <w:rsid w:val="00DB547C"/>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AppleGothic15ptItalique">
    <w:name w:val="En-tête ou pied de page + AppleGothic;15 pt;Italique"/>
    <w:basedOn w:val="En-tteoupieddepage"/>
    <w:rsid w:val="00DB547C"/>
    <w:rPr>
      <w:rFonts w:ascii="AppleGothic" w:eastAsia="AppleGothic" w:hAnsi="AppleGothic" w:cs="AppleGothic"/>
      <w:b w:val="0"/>
      <w:bCs w:val="0"/>
      <w:i/>
      <w:iCs/>
      <w:smallCaps w:val="0"/>
      <w:strike w:val="0"/>
      <w:color w:val="000000"/>
      <w:spacing w:val="0"/>
      <w:w w:val="100"/>
      <w:position w:val="0"/>
      <w:sz w:val="30"/>
      <w:szCs w:val="30"/>
      <w:u w:val="none"/>
      <w:lang w:val="fr-FR" w:eastAsia="fr-FR" w:bidi="fr-FR"/>
    </w:rPr>
  </w:style>
  <w:style w:type="character" w:customStyle="1" w:styleId="Corpsdutexte595ptItalique">
    <w:name w:val="Corps du texte (5) + 9.5 pt;Italique"/>
    <w:basedOn w:val="Policepardfaut"/>
    <w:rsid w:val="00DB547C"/>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En-tte2Petitesmajuscules">
    <w:name w:val="En-tête #2 + Petites majuscules"/>
    <w:basedOn w:val="En-tte2"/>
    <w:rsid w:val="00DB547C"/>
    <w:rPr>
      <w:rFonts w:ascii="Times New Roman" w:eastAsia="Times New Roman" w:hAnsi="Times New Roman" w:cs="Times New Roman"/>
      <w:b/>
      <w:bCs/>
      <w:i w:val="0"/>
      <w:iCs w:val="0"/>
      <w:smallCaps/>
      <w:strike w:val="0"/>
      <w:color w:val="000000"/>
      <w:spacing w:val="0"/>
      <w:w w:val="100"/>
      <w:position w:val="0"/>
      <w:sz w:val="28"/>
      <w:szCs w:val="28"/>
      <w:u w:val="none"/>
      <w:lang w:val="fr-FR" w:eastAsia="fr-FR" w:bidi="fr-FR"/>
    </w:rPr>
  </w:style>
  <w:style w:type="character" w:customStyle="1" w:styleId="Corpsdutexte69ptNonItalique">
    <w:name w:val="Corps du texte (6) + 9 pt;Non Italique"/>
    <w:basedOn w:val="Policepardfaut"/>
    <w:rsid w:val="00DB547C"/>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29ptPetitesmajuscules">
    <w:name w:val="Corps du texte (2) + 9 pt;Petites majuscules"/>
    <w:basedOn w:val="Policepardfaut"/>
    <w:rsid w:val="00DB547C"/>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Corpsdutexte285ptEspacement0pt">
    <w:name w:val="Corps du texte (2) + 8.5 pt;Espacement 0 pt"/>
    <w:basedOn w:val="Policepardfaut"/>
    <w:rsid w:val="00DB547C"/>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Corpsdutexte695ptNonItalique">
    <w:name w:val="Corps du texte (6) + 9.5 pt;Non Italique"/>
    <w:basedOn w:val="Policepardfaut"/>
    <w:rsid w:val="00DB547C"/>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09ptNonItalique">
    <w:name w:val="Corps du texte (10) + 9 pt;Non Italique"/>
    <w:basedOn w:val="Policepardfaut"/>
    <w:rsid w:val="00DB547C"/>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95ptEspacement1pt">
    <w:name w:val="En-tête ou pied de page + 9.5 pt;Espacement 1 pt"/>
    <w:basedOn w:val="En-tteoupieddepage"/>
    <w:rsid w:val="00DB547C"/>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fr-FR" w:eastAsia="fr-FR" w:bidi="fr-FR"/>
    </w:rPr>
  </w:style>
  <w:style w:type="character" w:customStyle="1" w:styleId="En-tteoupieddepage95pt">
    <w:name w:val="En-tête ou pied de page + 9.5 pt"/>
    <w:basedOn w:val="En-tteoupieddepage"/>
    <w:rsid w:val="00DB547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En-tteoupieddepage95ptPetitesmajuscules">
    <w:name w:val="En-tête ou pied de page + 9.5 pt;Petites majuscules"/>
    <w:basedOn w:val="En-tteoupieddepage"/>
    <w:rsid w:val="00DB547C"/>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En-tteoupieddepage95ptItalique">
    <w:name w:val="En-tête ou pied de page + 9.5 pt;Italique"/>
    <w:basedOn w:val="En-tteoupieddepage"/>
    <w:rsid w:val="00DB547C"/>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410ptItalique">
    <w:name w:val="Corps du texte (4) + 10 pt;Italique"/>
    <w:basedOn w:val="Policepardfaut"/>
    <w:rsid w:val="00DB547C"/>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3NonGrasItalique">
    <w:name w:val="En-tête #3 + Non Gras;Italique"/>
    <w:basedOn w:val="En-tte3"/>
    <w:rsid w:val="00DB547C"/>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295ptEspacement0pt">
    <w:name w:val="Corps du texte (2) + 9.5 pt;Espacement 0 pt"/>
    <w:basedOn w:val="Policepardfaut"/>
    <w:rsid w:val="00DB547C"/>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fr-FR" w:eastAsia="fr-FR" w:bidi="fr-FR"/>
    </w:rPr>
  </w:style>
  <w:style w:type="character" w:customStyle="1" w:styleId="Corpsdutexte4105ptItalique">
    <w:name w:val="Corps du texte (4) + 10.5 pt;Italique"/>
    <w:basedOn w:val="Policepardfaut"/>
    <w:rsid w:val="00DB547C"/>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695ptNonItaliqueEspacement0pt">
    <w:name w:val="Corps du texte (6) + 9.5 pt;Non Italique;Espacement 0 pt"/>
    <w:basedOn w:val="Policepardfaut"/>
    <w:rsid w:val="00DB547C"/>
    <w:rPr>
      <w:rFonts w:ascii="Times New Roman" w:eastAsia="Times New Roman" w:hAnsi="Times New Roman" w:cs="Times New Roman"/>
      <w:b w:val="0"/>
      <w:bCs w:val="0"/>
      <w:i/>
      <w:iCs/>
      <w:smallCaps w:val="0"/>
      <w:strike w:val="0"/>
      <w:color w:val="000000"/>
      <w:spacing w:val="10"/>
      <w:w w:val="100"/>
      <w:position w:val="0"/>
      <w:sz w:val="19"/>
      <w:szCs w:val="19"/>
      <w:u w:val="none"/>
      <w:lang w:val="fr-FR" w:eastAsia="fr-FR" w:bidi="fr-FR"/>
    </w:rPr>
  </w:style>
  <w:style w:type="character" w:customStyle="1" w:styleId="Corpsdutexte4PetitesmajusculesEspacement0pt">
    <w:name w:val="Corps du texte (4) + Petites majuscules;Espacement 0 pt"/>
    <w:basedOn w:val="Policepardfaut"/>
    <w:rsid w:val="00DB547C"/>
    <w:rPr>
      <w:rFonts w:ascii="Times New Roman" w:eastAsia="Times New Roman" w:hAnsi="Times New Roman" w:cs="Times New Roman"/>
      <w:b w:val="0"/>
      <w:bCs w:val="0"/>
      <w:i w:val="0"/>
      <w:iCs w:val="0"/>
      <w:smallCaps/>
      <w:strike w:val="0"/>
      <w:color w:val="000000"/>
      <w:spacing w:val="10"/>
      <w:w w:val="100"/>
      <w:position w:val="0"/>
      <w:sz w:val="19"/>
      <w:szCs w:val="19"/>
      <w:u w:val="none"/>
      <w:lang w:val="fr-FR" w:eastAsia="fr-FR" w:bidi="fr-FR"/>
    </w:rPr>
  </w:style>
  <w:style w:type="character" w:customStyle="1" w:styleId="Corpsdutexte295ptPetitesmajusculesEspacement0pt">
    <w:name w:val="Corps du texte (2) + 9.5 pt;Petites majuscules;Espacement 0 pt"/>
    <w:basedOn w:val="Policepardfaut"/>
    <w:rsid w:val="00DB547C"/>
    <w:rPr>
      <w:rFonts w:ascii="Times New Roman" w:eastAsia="Times New Roman" w:hAnsi="Times New Roman" w:cs="Times New Roman"/>
      <w:b w:val="0"/>
      <w:bCs w:val="0"/>
      <w:i w:val="0"/>
      <w:iCs w:val="0"/>
      <w:smallCaps/>
      <w:strike w:val="0"/>
      <w:color w:val="000000"/>
      <w:spacing w:val="10"/>
      <w:w w:val="100"/>
      <w:position w:val="0"/>
      <w:sz w:val="19"/>
      <w:szCs w:val="19"/>
      <w:u w:val="none"/>
      <w:lang w:val="fr-FR" w:eastAsia="fr-FR" w:bidi="fr-FR"/>
    </w:rPr>
  </w:style>
  <w:style w:type="character" w:customStyle="1" w:styleId="Corpsdutexte695ptNonItaliquePetitesmajusculesEspacement0pt">
    <w:name w:val="Corps du texte (6) + 9.5 pt;Non Italique;Petites majuscules;Espacement 0 pt"/>
    <w:basedOn w:val="Policepardfaut"/>
    <w:rsid w:val="00DB547C"/>
    <w:rPr>
      <w:rFonts w:ascii="Times New Roman" w:eastAsia="Times New Roman" w:hAnsi="Times New Roman" w:cs="Times New Roman"/>
      <w:b w:val="0"/>
      <w:bCs w:val="0"/>
      <w:i/>
      <w:iCs/>
      <w:smallCaps/>
      <w:strike w:val="0"/>
      <w:color w:val="000000"/>
      <w:spacing w:val="10"/>
      <w:w w:val="100"/>
      <w:position w:val="0"/>
      <w:sz w:val="19"/>
      <w:szCs w:val="19"/>
      <w:u w:val="none"/>
      <w:lang w:val="fr-FR" w:eastAsia="fr-FR" w:bidi="fr-FR"/>
    </w:rPr>
  </w:style>
  <w:style w:type="character" w:customStyle="1" w:styleId="Corpsdutexte210ptItalique">
    <w:name w:val="Corps du texte (2) + 10 pt;Italique"/>
    <w:basedOn w:val="Policepardfaut"/>
    <w:rsid w:val="00DB547C"/>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1295ptNonItaliqueEspacement0pt">
    <w:name w:val="Corps du texte (12) + 9.5 pt;Non Italique;Espacement 0 pt"/>
    <w:basedOn w:val="Policepardfaut"/>
    <w:rsid w:val="00DB547C"/>
    <w:rPr>
      <w:rFonts w:ascii="Times New Roman" w:eastAsia="Times New Roman" w:hAnsi="Times New Roman" w:cs="Times New Roman"/>
      <w:b w:val="0"/>
      <w:bCs w:val="0"/>
      <w:i/>
      <w:iCs/>
      <w:smallCaps w:val="0"/>
      <w:strike w:val="0"/>
      <w:color w:val="000000"/>
      <w:spacing w:val="10"/>
      <w:w w:val="100"/>
      <w:position w:val="0"/>
      <w:sz w:val="19"/>
      <w:szCs w:val="19"/>
      <w:u w:val="none"/>
      <w:lang w:val="fr-FR" w:eastAsia="fr-FR" w:bidi="fr-FR"/>
    </w:rPr>
  </w:style>
  <w:style w:type="character" w:customStyle="1" w:styleId="Corpsdutexte12105ptNonItalique">
    <w:name w:val="Corps du texte (12) + 10.5 pt;Non Italique"/>
    <w:basedOn w:val="Policepardfaut"/>
    <w:rsid w:val="00DB547C"/>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29ptNonItalique">
    <w:name w:val="Corps du texte (12) + 9 pt;Non Italique"/>
    <w:basedOn w:val="Policepardfaut"/>
    <w:rsid w:val="00DB547C"/>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69ptNonItaliquePetitesmajuscules">
    <w:name w:val="Corps du texte (6) + 9 pt;Non Italique;Petites majuscules"/>
    <w:basedOn w:val="Policepardfaut"/>
    <w:rsid w:val="00DB547C"/>
    <w:rPr>
      <w:rFonts w:ascii="Times New Roman" w:eastAsia="Times New Roman" w:hAnsi="Times New Roman" w:cs="Times New Roman"/>
      <w:b w:val="0"/>
      <w:bCs w:val="0"/>
      <w:i/>
      <w:iCs/>
      <w:smallCaps/>
      <w:strike w:val="0"/>
      <w:color w:val="000000"/>
      <w:spacing w:val="0"/>
      <w:w w:val="100"/>
      <w:position w:val="0"/>
      <w:sz w:val="18"/>
      <w:szCs w:val="18"/>
      <w:u w:val="none"/>
      <w:lang w:val="fr-FR" w:eastAsia="fr-FR" w:bidi="fr-FR"/>
    </w:rPr>
  </w:style>
  <w:style w:type="character" w:customStyle="1" w:styleId="En-tteoupieddepage40">
    <w:name w:val="En-tête ou pied de page (4)_"/>
    <w:basedOn w:val="Policepardfaut"/>
    <w:rsid w:val="00DB547C"/>
    <w:rPr>
      <w:rFonts w:ascii="Times New Roman" w:eastAsia="Times New Roman" w:hAnsi="Times New Roman" w:cs="Times New Roman"/>
      <w:b w:val="0"/>
      <w:bCs w:val="0"/>
      <w:i w:val="0"/>
      <w:iCs w:val="0"/>
      <w:smallCaps w:val="0"/>
      <w:strike w:val="0"/>
      <w:sz w:val="19"/>
      <w:szCs w:val="19"/>
      <w:u w:val="none"/>
    </w:rPr>
  </w:style>
  <w:style w:type="character" w:customStyle="1" w:styleId="En-tteoupieddepage410pt">
    <w:name w:val="En-tête ou pied de page (4) + 10 pt"/>
    <w:basedOn w:val="En-tteoupieddepage40"/>
    <w:rsid w:val="00DB547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4Petitesmajuscules">
    <w:name w:val="En-tête ou pied de page (4) + Petites majuscules"/>
    <w:basedOn w:val="En-tteoupieddepage40"/>
    <w:rsid w:val="00DB547C"/>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2AppleGothic9pt">
    <w:name w:val="Corps du texte (2) + AppleGothic;9 pt"/>
    <w:basedOn w:val="Policepardfaut"/>
    <w:rsid w:val="00DB547C"/>
    <w:rPr>
      <w:rFonts w:ascii="AppleGothic" w:eastAsia="AppleGothic" w:hAnsi="AppleGothic" w:cs="AppleGothic"/>
      <w:b/>
      <w:bCs/>
      <w:i w:val="0"/>
      <w:iCs w:val="0"/>
      <w:smallCaps w:val="0"/>
      <w:strike w:val="0"/>
      <w:color w:val="000000"/>
      <w:spacing w:val="0"/>
      <w:w w:val="100"/>
      <w:position w:val="0"/>
      <w:sz w:val="18"/>
      <w:szCs w:val="18"/>
      <w:u w:val="none"/>
      <w:lang w:val="fr-FR" w:eastAsia="fr-FR" w:bidi="fr-FR"/>
    </w:rPr>
  </w:style>
  <w:style w:type="character" w:customStyle="1" w:styleId="Corpsdutexte295ptPetitesmajuscules">
    <w:name w:val="Corps du texte (2) + 9.5 pt;Petites majuscules"/>
    <w:basedOn w:val="Policepardfaut"/>
    <w:rsid w:val="00DB547C"/>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485ptPetitesmajuscules">
    <w:name w:val="Corps du texte (4) + 8.5 pt;Petites majuscules"/>
    <w:basedOn w:val="Policepardfaut"/>
    <w:rsid w:val="00DB547C"/>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character" w:customStyle="1" w:styleId="Corpsdutexte295ptItaliquePetitesmajuscules">
    <w:name w:val="Corps du texte (2) + 9.5 pt;Italique;Petites majuscules"/>
    <w:basedOn w:val="Policepardfaut"/>
    <w:rsid w:val="00DB547C"/>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utexte695ptNonItaliquePetitesmajuscules">
    <w:name w:val="Corps du texte (6) + 9.5 pt;Non Italique;Petites majuscules"/>
    <w:basedOn w:val="Policepardfaut"/>
    <w:rsid w:val="00DB547C"/>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NotedebasdepageItalique">
    <w:name w:val="Note de bas de page + Italique"/>
    <w:basedOn w:val="Notedebasdepage0"/>
    <w:rsid w:val="00E47422"/>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NotedebasdepageItaliqueEspacement1pt">
    <w:name w:val="Note de bas de page + Italique;Espacement 1 pt"/>
    <w:basedOn w:val="Notedebasdepage0"/>
    <w:rsid w:val="00E47422"/>
    <w:rPr>
      <w:rFonts w:ascii="Times New Roman" w:eastAsia="Times New Roman" w:hAnsi="Times New Roman" w:cs="Times New Roman"/>
      <w:b w:val="0"/>
      <w:bCs w:val="0"/>
      <w:i/>
      <w:iCs/>
      <w:smallCaps w:val="0"/>
      <w:strike w:val="0"/>
      <w:color w:val="000000"/>
      <w:spacing w:val="30"/>
      <w:w w:val="100"/>
      <w:position w:val="0"/>
      <w:sz w:val="18"/>
      <w:szCs w:val="18"/>
      <w:u w:val="none"/>
      <w:shd w:val="clear" w:color="auto" w:fill="FFFFFF"/>
      <w:lang w:val="fr-FR" w:eastAsia="fr-FR" w:bidi="fr-FR"/>
    </w:rPr>
  </w:style>
  <w:style w:type="character" w:customStyle="1" w:styleId="Notedebasdepage85ptPetitesmajusculesEspacement0pt">
    <w:name w:val="Note de bas de page + 8.5 pt;Petites majuscules;Espacement 0 pt"/>
    <w:basedOn w:val="Notedebasdepage0"/>
    <w:rsid w:val="00E47422"/>
    <w:rPr>
      <w:rFonts w:ascii="Times New Roman" w:eastAsia="Times New Roman" w:hAnsi="Times New Roman" w:cs="Times New Roman"/>
      <w:b w:val="0"/>
      <w:bCs w:val="0"/>
      <w:i w:val="0"/>
      <w:iCs w:val="0"/>
      <w:smallCaps/>
      <w:strike w:val="0"/>
      <w:color w:val="000000"/>
      <w:spacing w:val="10"/>
      <w:w w:val="100"/>
      <w:position w:val="0"/>
      <w:sz w:val="17"/>
      <w:szCs w:val="17"/>
      <w:u w:val="none"/>
      <w:shd w:val="clear" w:color="auto" w:fill="FFFFFF"/>
      <w:lang w:val="fr-FR" w:eastAsia="fr-FR" w:bidi="fr-FR"/>
    </w:rPr>
  </w:style>
  <w:style w:type="character" w:customStyle="1" w:styleId="En-tteoupieddepageItaliqueEspacement2pt">
    <w:name w:val="En-tête ou pied de page + Italique;Espacement 2 pt"/>
    <w:basedOn w:val="En-tteoupieddepage"/>
    <w:rsid w:val="00E47422"/>
    <w:rPr>
      <w:rFonts w:ascii="Times New Roman" w:eastAsia="Times New Roman" w:hAnsi="Times New Roman" w:cs="Times New Roman"/>
      <w:b w:val="0"/>
      <w:bCs w:val="0"/>
      <w:i/>
      <w:iCs/>
      <w:smallCaps w:val="0"/>
      <w:strike w:val="0"/>
      <w:color w:val="000000"/>
      <w:spacing w:val="40"/>
      <w:w w:val="100"/>
      <w:position w:val="0"/>
      <w:sz w:val="20"/>
      <w:szCs w:val="20"/>
      <w:u w:val="none"/>
      <w:lang w:val="fr-FR" w:eastAsia="fr-FR" w:bidi="fr-FR"/>
    </w:rPr>
  </w:style>
  <w:style w:type="character" w:customStyle="1" w:styleId="En-tte4">
    <w:name w:val="En-tête #4_"/>
    <w:basedOn w:val="Policepardfaut"/>
    <w:link w:val="En-tte40"/>
    <w:rsid w:val="00E47422"/>
    <w:rPr>
      <w:rFonts w:ascii="Times New Roman" w:eastAsia="Times New Roman" w:hAnsi="Times New Roman"/>
      <w:b/>
      <w:bCs/>
      <w:shd w:val="clear" w:color="auto" w:fill="FFFFFF"/>
    </w:rPr>
  </w:style>
  <w:style w:type="paragraph" w:customStyle="1" w:styleId="En-tte40">
    <w:name w:val="En-tête #4"/>
    <w:basedOn w:val="Normal"/>
    <w:link w:val="En-tte4"/>
    <w:rsid w:val="00E47422"/>
    <w:pPr>
      <w:widowControl w:val="0"/>
      <w:shd w:val="clear" w:color="auto" w:fill="FFFFFF"/>
      <w:spacing w:before="180" w:after="180" w:line="0" w:lineRule="atLeast"/>
      <w:ind w:firstLine="3"/>
      <w:outlineLvl w:val="3"/>
    </w:pPr>
    <w:rPr>
      <w:b/>
      <w:bCs/>
      <w:sz w:val="20"/>
      <w:lang w:eastAsia="fr-FR"/>
    </w:rPr>
  </w:style>
  <w:style w:type="character" w:customStyle="1" w:styleId="Corpsdutexte485ptPetitesmajusculesEspacement0pt">
    <w:name w:val="Corps du texte (4) + 8.5 pt;Petites majuscules;Espacement 0 pt"/>
    <w:basedOn w:val="Policepardfaut"/>
    <w:rsid w:val="00E47422"/>
    <w:rPr>
      <w:rFonts w:ascii="Times New Roman" w:eastAsia="Times New Roman" w:hAnsi="Times New Roman" w:cs="Times New Roman"/>
      <w:b w:val="0"/>
      <w:bCs w:val="0"/>
      <w:i w:val="0"/>
      <w:iCs w:val="0"/>
      <w:smallCaps/>
      <w:strike w:val="0"/>
      <w:color w:val="000000"/>
      <w:spacing w:val="10"/>
      <w:w w:val="100"/>
      <w:position w:val="0"/>
      <w:sz w:val="17"/>
      <w:szCs w:val="17"/>
      <w:u w:val="none"/>
      <w:lang w:val="fr-FR" w:eastAsia="fr-FR" w:bidi="fr-FR"/>
    </w:rPr>
  </w:style>
  <w:style w:type="character" w:customStyle="1" w:styleId="En-tteoupieddepage7">
    <w:name w:val="En-tête ou pied de page (7)_"/>
    <w:basedOn w:val="Policepardfaut"/>
    <w:link w:val="En-tteoupieddepage70"/>
    <w:rsid w:val="00E47422"/>
    <w:rPr>
      <w:rFonts w:ascii="Times New Roman" w:eastAsia="Times New Roman" w:hAnsi="Times New Roman"/>
      <w:i/>
      <w:iCs/>
      <w:shd w:val="clear" w:color="auto" w:fill="FFFFFF"/>
    </w:rPr>
  </w:style>
  <w:style w:type="paragraph" w:customStyle="1" w:styleId="En-tteoupieddepage70">
    <w:name w:val="En-tête ou pied de page (7)"/>
    <w:basedOn w:val="Normal"/>
    <w:link w:val="En-tteoupieddepage7"/>
    <w:rsid w:val="00E47422"/>
    <w:pPr>
      <w:widowControl w:val="0"/>
      <w:shd w:val="clear" w:color="auto" w:fill="FFFFFF"/>
      <w:spacing w:line="0" w:lineRule="atLeast"/>
      <w:ind w:firstLine="7"/>
    </w:pPr>
    <w:rPr>
      <w:i/>
      <w:iCs/>
      <w:sz w:val="20"/>
      <w:lang w:eastAsia="fr-FR"/>
    </w:rPr>
  </w:style>
  <w:style w:type="character" w:customStyle="1" w:styleId="En-tte150ptGrasEspacement-1pt">
    <w:name w:val="En-tête #1 + 50 pt;Gras;Espacement -1 pt"/>
    <w:basedOn w:val="En-tte1"/>
    <w:rsid w:val="00E47422"/>
    <w:rPr>
      <w:rFonts w:ascii="Times New Roman" w:eastAsia="Times New Roman" w:hAnsi="Times New Roman" w:cs="Times New Roman"/>
      <w:b/>
      <w:bCs/>
      <w:i w:val="0"/>
      <w:iCs w:val="0"/>
      <w:smallCaps w:val="0"/>
      <w:strike w:val="0"/>
      <w:color w:val="000000"/>
      <w:spacing w:val="-20"/>
      <w:w w:val="100"/>
      <w:position w:val="0"/>
      <w:sz w:val="100"/>
      <w:szCs w:val="100"/>
      <w:u w:val="none"/>
      <w:shd w:val="clear" w:color="auto" w:fill="FFFFFF"/>
      <w:lang w:val="fr-FR" w:eastAsia="fr-FR" w:bidi="fr-FR"/>
    </w:rPr>
  </w:style>
  <w:style w:type="character" w:customStyle="1" w:styleId="Corpsdutexte79ptNonItalique">
    <w:name w:val="Corps du texte (7) + 9 pt;Non Italique"/>
    <w:basedOn w:val="Policepardfaut"/>
    <w:rsid w:val="00E47422"/>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79ptNonItaliquePetitesmajuscules">
    <w:name w:val="Corps du texte (7) + 9 pt;Non Italique;Petites majuscules"/>
    <w:basedOn w:val="Policepardfaut"/>
    <w:rsid w:val="00E47422"/>
    <w:rPr>
      <w:rFonts w:ascii="Times New Roman" w:eastAsia="Times New Roman" w:hAnsi="Times New Roman" w:cs="Times New Roman"/>
      <w:b w:val="0"/>
      <w:bCs w:val="0"/>
      <w:i/>
      <w:iCs/>
      <w:smallCaps/>
      <w:strike w:val="0"/>
      <w:color w:val="000000"/>
      <w:spacing w:val="0"/>
      <w:w w:val="100"/>
      <w:position w:val="0"/>
      <w:sz w:val="18"/>
      <w:szCs w:val="18"/>
      <w:u w:val="none"/>
      <w:lang w:val="fr-FR" w:eastAsia="fr-FR" w:bidi="fr-FR"/>
    </w:rPr>
  </w:style>
  <w:style w:type="character" w:customStyle="1" w:styleId="Corpsdutexte914ptGrasItalique">
    <w:name w:val="Corps du texte (9) + 14 pt;Gras;Italique"/>
    <w:basedOn w:val="Policepardfaut"/>
    <w:rsid w:val="00E47422"/>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En-tteoupieddepage65ptItaliqueEspacement1pt">
    <w:name w:val="En-tête ou pied de page + 6.5 pt;Italique;Espacement 1 pt"/>
    <w:basedOn w:val="En-tteoupieddepage"/>
    <w:rsid w:val="00E47422"/>
    <w:rPr>
      <w:rFonts w:ascii="Times New Roman" w:eastAsia="Times New Roman" w:hAnsi="Times New Roman" w:cs="Times New Roman"/>
      <w:b w:val="0"/>
      <w:bCs w:val="0"/>
      <w:i/>
      <w:iCs/>
      <w:smallCaps w:val="0"/>
      <w:strike w:val="0"/>
      <w:color w:val="000000"/>
      <w:spacing w:val="20"/>
      <w:w w:val="100"/>
      <w:position w:val="0"/>
      <w:sz w:val="13"/>
      <w:szCs w:val="13"/>
      <w:u w:val="none"/>
      <w:lang w:val="fr-FR" w:eastAsia="fr-FR" w:bidi="fr-FR"/>
    </w:rPr>
  </w:style>
  <w:style w:type="character" w:customStyle="1" w:styleId="En-tteoupieddepageItalique">
    <w:name w:val="En-tête ou pied de page + Italique"/>
    <w:basedOn w:val="En-tteoupieddepage"/>
    <w:rsid w:val="00E47422"/>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Lgendedelimage2">
    <w:name w:val="Légende de l'image (2)_"/>
    <w:basedOn w:val="Policepardfaut"/>
    <w:link w:val="Lgendedelimage20"/>
    <w:rsid w:val="00A36151"/>
    <w:rPr>
      <w:rFonts w:ascii="Times New Roman" w:eastAsia="Times New Roman" w:hAnsi="Times New Roman"/>
      <w:sz w:val="15"/>
      <w:szCs w:val="15"/>
      <w:shd w:val="clear" w:color="auto" w:fill="FFFFFF"/>
    </w:rPr>
  </w:style>
  <w:style w:type="paragraph" w:customStyle="1" w:styleId="Lgendedelimage20">
    <w:name w:val="Légende de l'image (2)"/>
    <w:basedOn w:val="Normal"/>
    <w:link w:val="Lgendedelimage2"/>
    <w:rsid w:val="00A36151"/>
    <w:pPr>
      <w:widowControl w:val="0"/>
      <w:shd w:val="clear" w:color="auto" w:fill="FFFFFF"/>
      <w:spacing w:line="0" w:lineRule="atLeast"/>
      <w:ind w:firstLine="32"/>
    </w:pPr>
    <w:rPr>
      <w:sz w:val="15"/>
      <w:szCs w:val="15"/>
      <w:lang w:eastAsia="fr-FR"/>
    </w:rPr>
  </w:style>
  <w:style w:type="character" w:customStyle="1" w:styleId="Lgendedelimage">
    <w:name w:val="Légende de l'image_"/>
    <w:basedOn w:val="Policepardfaut"/>
    <w:link w:val="Lgendedelimage0"/>
    <w:rsid w:val="00A36151"/>
    <w:rPr>
      <w:rFonts w:ascii="Times New Roman" w:eastAsia="Times New Roman" w:hAnsi="Times New Roman"/>
      <w:sz w:val="12"/>
      <w:szCs w:val="12"/>
      <w:shd w:val="clear" w:color="auto" w:fill="FFFFFF"/>
    </w:rPr>
  </w:style>
  <w:style w:type="paragraph" w:customStyle="1" w:styleId="Lgendedelimage0">
    <w:name w:val="Légende de l'image"/>
    <w:basedOn w:val="Normal"/>
    <w:link w:val="Lgendedelimage"/>
    <w:rsid w:val="00A36151"/>
    <w:pPr>
      <w:widowControl w:val="0"/>
      <w:shd w:val="clear" w:color="auto" w:fill="FFFFFF"/>
      <w:spacing w:line="162" w:lineRule="exact"/>
      <w:ind w:hanging="9"/>
    </w:pPr>
    <w:rPr>
      <w:sz w:val="12"/>
      <w:szCs w:val="12"/>
      <w:lang w:eastAsia="fr-FR"/>
    </w:rPr>
  </w:style>
  <w:style w:type="character" w:customStyle="1" w:styleId="Lgendedelimage7pt">
    <w:name w:val="Légende de l'image + 7 pt"/>
    <w:basedOn w:val="Lgendedelimage"/>
    <w:rsid w:val="00A36151"/>
    <w:rPr>
      <w:rFonts w:ascii="Times New Roman" w:eastAsia="Times New Roman" w:hAnsi="Times New Roman"/>
      <w:color w:val="000000"/>
      <w:spacing w:val="0"/>
      <w:w w:val="100"/>
      <w:position w:val="0"/>
      <w:sz w:val="14"/>
      <w:szCs w:val="14"/>
      <w:shd w:val="clear" w:color="auto" w:fill="FFFFFF"/>
      <w:lang w:val="fr-FR" w:eastAsia="fr-FR" w:bidi="fr-FR"/>
    </w:rPr>
  </w:style>
  <w:style w:type="character" w:customStyle="1" w:styleId="Corpsdutexte99ptNonItalique">
    <w:name w:val="Corps du texte (9) + 9 pt;Non Italique"/>
    <w:basedOn w:val="Policepardfaut"/>
    <w:rsid w:val="00A3615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911ptNonItalique">
    <w:name w:val="Corps du texte (9) + 11 pt;Non Italique"/>
    <w:basedOn w:val="Policepardfaut"/>
    <w:rsid w:val="00A36151"/>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29ptEspacement0pt">
    <w:name w:val="Corps du texte (2) + 9 pt;Espacement 0 pt"/>
    <w:basedOn w:val="Policepardfaut"/>
    <w:rsid w:val="00A36151"/>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Corpsdutexte99ptNonItaliqueEspacement0pt">
    <w:name w:val="Corps du texte (9) + 9 pt;Non Italique;Espacement 0 pt"/>
    <w:basedOn w:val="Policepardfaut"/>
    <w:rsid w:val="00A36151"/>
    <w:rPr>
      <w:rFonts w:ascii="Times New Roman" w:eastAsia="Times New Roman" w:hAnsi="Times New Roman" w:cs="Times New Roman"/>
      <w:b w:val="0"/>
      <w:bCs w:val="0"/>
      <w:i/>
      <w:iCs/>
      <w:smallCaps w:val="0"/>
      <w:strike w:val="0"/>
      <w:color w:val="000000"/>
      <w:spacing w:val="10"/>
      <w:w w:val="100"/>
      <w:position w:val="0"/>
      <w:sz w:val="18"/>
      <w:szCs w:val="18"/>
      <w:u w:val="none"/>
      <w:lang w:val="fr-FR" w:eastAsia="fr-FR" w:bidi="fr-FR"/>
    </w:rPr>
  </w:style>
  <w:style w:type="character" w:customStyle="1" w:styleId="Corpsdutexte99ptNonItaliquePetitesmajuscules">
    <w:name w:val="Corps du texte (9) + 9 pt;Non Italique;Petites majuscules"/>
    <w:basedOn w:val="Policepardfaut"/>
    <w:rsid w:val="00A36151"/>
    <w:rPr>
      <w:rFonts w:ascii="Times New Roman" w:eastAsia="Times New Roman" w:hAnsi="Times New Roman" w:cs="Times New Roman"/>
      <w:b w:val="0"/>
      <w:bCs w:val="0"/>
      <w:i/>
      <w:iCs/>
      <w:smallCaps/>
      <w:strike w:val="0"/>
      <w:color w:val="000000"/>
      <w:spacing w:val="0"/>
      <w:w w:val="100"/>
      <w:position w:val="0"/>
      <w:sz w:val="18"/>
      <w:szCs w:val="18"/>
      <w:u w:val="none"/>
      <w:lang w:val="fr-FR" w:eastAsia="fr-FR" w:bidi="fr-FR"/>
    </w:rPr>
  </w:style>
  <w:style w:type="character" w:customStyle="1" w:styleId="Corpsdutexte29ptPetitesmajusculesEspacement0pt">
    <w:name w:val="Corps du texte (2) + 9 pt;Petites majuscules;Espacement 0 pt"/>
    <w:basedOn w:val="Policepardfaut"/>
    <w:rsid w:val="00A36151"/>
    <w:rPr>
      <w:rFonts w:ascii="Times New Roman" w:eastAsia="Times New Roman" w:hAnsi="Times New Roman" w:cs="Times New Roman"/>
      <w:b w:val="0"/>
      <w:bCs w:val="0"/>
      <w:i w:val="0"/>
      <w:iCs w:val="0"/>
      <w:smallCaps/>
      <w:strike w:val="0"/>
      <w:color w:val="000000"/>
      <w:spacing w:val="10"/>
      <w:w w:val="100"/>
      <w:position w:val="0"/>
      <w:sz w:val="18"/>
      <w:szCs w:val="18"/>
      <w:u w:val="none"/>
      <w:lang w:val="fr-FR" w:eastAsia="fr-FR" w:bidi="fr-FR"/>
    </w:rPr>
  </w:style>
  <w:style w:type="character" w:customStyle="1" w:styleId="Corpsdutexte67ptPetitesmajusculesEspacement0pt">
    <w:name w:val="Corps du texte (6) + 7 pt;Petites majuscules;Espacement 0 pt"/>
    <w:basedOn w:val="Policepardfaut"/>
    <w:rsid w:val="00A36151"/>
    <w:rPr>
      <w:rFonts w:ascii="Times New Roman" w:eastAsia="Times New Roman" w:hAnsi="Times New Roman" w:cs="Times New Roman"/>
      <w:b w:val="0"/>
      <w:bCs w:val="0"/>
      <w:i w:val="0"/>
      <w:iCs w:val="0"/>
      <w:smallCaps/>
      <w:strike w:val="0"/>
      <w:color w:val="000000"/>
      <w:spacing w:val="10"/>
      <w:w w:val="100"/>
      <w:position w:val="0"/>
      <w:sz w:val="14"/>
      <w:szCs w:val="14"/>
      <w:u w:val="none"/>
      <w:lang w:val="fr-FR" w:eastAsia="fr-FR" w:bidi="fr-FR"/>
    </w:rPr>
  </w:style>
  <w:style w:type="character" w:customStyle="1" w:styleId="Corpsdutexte67ptEspacement0pt">
    <w:name w:val="Corps du texte (6) + 7 pt;Espacement 0 pt"/>
    <w:basedOn w:val="Policepardfaut"/>
    <w:rsid w:val="00A36151"/>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Corpsdutexte10105ptItaliqueEspacement0pt">
    <w:name w:val="Corps du texte (10) + 10.5 pt;Italique;Espacement 0 pt"/>
    <w:basedOn w:val="Policepardfaut"/>
    <w:rsid w:val="00A36151"/>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0105ptEspacement0pt">
    <w:name w:val="Corps du texte (10) + 10.5 pt;Espacement 0 pt"/>
    <w:basedOn w:val="Policepardfaut"/>
    <w:rsid w:val="00A3615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En-tte2105ptNonGras">
    <w:name w:val="En-tête #2 + 10.5 pt;Non Gras"/>
    <w:basedOn w:val="En-tte2"/>
    <w:rsid w:val="00A36151"/>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99ptNonItaliquePetitesmajusculesEspacement0pt">
    <w:name w:val="Corps du texte (9) + 9 pt;Non Italique;Petites majuscules;Espacement 0 pt"/>
    <w:basedOn w:val="Policepardfaut"/>
    <w:rsid w:val="00A36151"/>
    <w:rPr>
      <w:rFonts w:ascii="Times New Roman" w:eastAsia="Times New Roman" w:hAnsi="Times New Roman" w:cs="Times New Roman"/>
      <w:b w:val="0"/>
      <w:bCs w:val="0"/>
      <w:i/>
      <w:iCs/>
      <w:smallCaps/>
      <w:strike w:val="0"/>
      <w:color w:val="000000"/>
      <w:spacing w:val="10"/>
      <w:w w:val="100"/>
      <w:position w:val="0"/>
      <w:sz w:val="18"/>
      <w:szCs w:val="18"/>
      <w:u w:val="none"/>
      <w:lang w:val="fr-FR" w:eastAsia="fr-FR" w:bidi="fr-FR"/>
    </w:rPr>
  </w:style>
  <w:style w:type="paragraph" w:customStyle="1" w:styleId="figtitrest">
    <w:name w:val="fig titre st"/>
    <w:basedOn w:val="figtitre"/>
    <w:autoRedefine/>
    <w:rsid w:val="00A36151"/>
    <w:rPr>
      <w:b w:val="0"/>
      <w:color w:val="000090"/>
      <w:lang w:eastAsia="fr-FR" w:bidi="fr-FR"/>
    </w:rPr>
  </w:style>
  <w:style w:type="paragraph" w:customStyle="1" w:styleId="Titreniveau2i">
    <w:name w:val="Titre niveau 2 i"/>
    <w:basedOn w:val="Titreniveau2"/>
    <w:autoRedefine/>
    <w:rsid w:val="00755EFE"/>
    <w:rPr>
      <w:i/>
      <w:sz w:val="36"/>
    </w:rPr>
  </w:style>
  <w:style w:type="paragraph" w:customStyle="1" w:styleId="titretexte">
    <w:name w:val="titre texte"/>
    <w:basedOn w:val="Titreniveau2"/>
    <w:autoRedefine/>
    <w:rsid w:val="002C57DA"/>
  </w:style>
  <w:style w:type="paragraph" w:customStyle="1" w:styleId="partiest">
    <w:name w:val="partie st"/>
    <w:basedOn w:val="Titreniveau2"/>
    <w:autoRedefine/>
    <w:rsid w:val="00C20224"/>
    <w:rPr>
      <w:color w:val="FF0000"/>
      <w:sz w:val="72"/>
    </w:rPr>
  </w:style>
  <w:style w:type="paragraph" w:customStyle="1" w:styleId="introchap">
    <w:name w:val="intro chap"/>
    <w:basedOn w:val="Normal"/>
    <w:autoRedefine/>
    <w:rsid w:val="00A515A9"/>
    <w:pPr>
      <w:spacing w:before="120" w:after="120"/>
      <w:ind w:left="2160"/>
      <w:jc w:val="both"/>
    </w:pPr>
    <w:rPr>
      <w:color w:val="000090"/>
      <w:sz w:val="24"/>
      <w:lang w:eastAsia="fr-FR" w:bidi="fr-FR"/>
    </w:rPr>
  </w:style>
  <w:style w:type="paragraph" w:customStyle="1" w:styleId="introchapauteur">
    <w:name w:val="intro chap auteur"/>
    <w:basedOn w:val="introchap"/>
    <w:rsid w:val="00A51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jmt-sociologue.uqac.ca/" TargetMode="External"/><Relationship Id="rId18" Type="http://schemas.openxmlformats.org/officeDocument/2006/relationships/hyperlink" Target="http://www.librairieharmattan.com" TargetMode="External"/><Relationship Id="rId26" Type="http://schemas.openxmlformats.org/officeDocument/2006/relationships/hyperlink" Target="http://www.kerbabel.c3ed.uvsq.fr/Documents/REVC-FIC-DEGR" TargetMode="External"/><Relationship Id="rId39" Type="http://schemas.openxmlformats.org/officeDocument/2006/relationships/hyperlink" Target="mailto:isabelle.guerin@ird.fr" TargetMode="External"/><Relationship Id="rId21" Type="http://schemas.openxmlformats.org/officeDocument/2006/relationships/hyperlink" Target="http://dx.doi.org/doi:10.1522/030331702" TargetMode="External"/><Relationship Id="rId34" Type="http://schemas.openxmlformats.org/officeDocument/2006/relationships/hyperlink" Target="https://monoskop.org/File:Foucault_Michel_Histoire_de_la_sexualite_1_La_volonte_de_savoir.pdf" TargetMode="External"/><Relationship Id="rId42" Type="http://schemas.openxmlformats.org/officeDocument/2006/relationships/hyperlink" Target="mailto:rsmcarrion@ea.ufrgs.br" TargetMode="External"/><Relationship Id="rId47" Type="http://schemas.openxmlformats.org/officeDocument/2006/relationships/hyperlink" Target="mailto:jean-michel.servet@graduateinstitute.ch" TargetMode="External"/><Relationship Id="rId50" Type="http://schemas.openxmlformats.org/officeDocument/2006/relationships/fontTable" Target="fontTable.xml"/><Relationship Id="rId7" Type="http://schemas.openxmlformats.org/officeDocument/2006/relationships/hyperlink" Target="http://classiques.uqac.ca"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www.clacso.Org/trabajo2/3.pdf" TargetMode="External"/><Relationship Id="rId11" Type="http://schemas.openxmlformats.org/officeDocument/2006/relationships/hyperlink" Target="http://bibliotheque.uqac.ca/" TargetMode="External"/><Relationship Id="rId24" Type="http://schemas.openxmlformats.org/officeDocument/2006/relationships/hyperlink" Target="http://www.govemo.cv" TargetMode="External"/><Relationship Id="rId32" Type="http://schemas.openxmlformats.org/officeDocument/2006/relationships/image" Target="media/image6.jpeg"/><Relationship Id="rId37" Type="http://schemas.openxmlformats.org/officeDocument/2006/relationships/hyperlink" Target="mailto:castelli.bernard@ird.fr" TargetMode="External"/><Relationship Id="rId40" Type="http://schemas.openxmlformats.org/officeDocument/2006/relationships/hyperlink" Target="mailto:wenjguo@gmail.com" TargetMode="External"/><Relationship Id="rId45" Type="http://schemas.openxmlformats.org/officeDocument/2006/relationships/hyperlink" Target="mailto:piavrius@gmail.com" TargetMode="External"/><Relationship Id="rId5" Type="http://schemas.openxmlformats.org/officeDocument/2006/relationships/footnotes" Target="footnotes.xml"/><Relationship Id="rId15" Type="http://schemas.openxmlformats.org/officeDocument/2006/relationships/hyperlink" Target="mailto:bernard.hours@ird.fr" TargetMode="External"/><Relationship Id="rId23" Type="http://schemas.openxmlformats.org/officeDocument/2006/relationships/hyperlink" Target="http://www.scielo.br/pdf/es/v25n89/22613.pdf" TargetMode="External"/><Relationship Id="rId28" Type="http://schemas.openxmlformats.org/officeDocument/2006/relationships/hyperlink" Target="http://www.un.cv" TargetMode="External"/><Relationship Id="rId36" Type="http://schemas.openxmlformats.org/officeDocument/2006/relationships/hyperlink" Target="http://agendadelasmujeres.com.ar/notadesplegada.php&#160;?id=771" TargetMode="External"/><Relationship Id="rId49"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mailto:diffusion.hannattan@wanadoo.fr" TargetMode="External"/><Relationship Id="rId31" Type="http://schemas.openxmlformats.org/officeDocument/2006/relationships/hyperlink" Target="http://www.rebelion.org/docs/4859.pdf" TargetMode="External"/><Relationship Id="rId44" Type="http://schemas.openxmlformats.org/officeDocument/2006/relationships/hyperlink" Target="mailto:franck.poupeau@gmail.com"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dx.doi.org/doi:10.1522/cla.mam.ess3" TargetMode="External"/><Relationship Id="rId27" Type="http://schemas.openxmlformats.org/officeDocument/2006/relationships/hyperlink" Target="http://www.oecd.org/dataoecd/56/41/38604403.pdf" TargetMode="External"/><Relationship Id="rId30" Type="http://schemas.openxmlformats.org/officeDocument/2006/relationships/hyperlink" Target="http://www.argentinaobs.org" TargetMode="External"/><Relationship Id="rId35" Type="http://schemas.openxmlformats.org/officeDocument/2006/relationships/hyperlink" Target="http://esa.un.org/" TargetMode="External"/><Relationship Id="rId43" Type="http://schemas.openxmlformats.org/officeDocument/2006/relationships/hyperlink" Target="mailto:pepita.ould@gmail.com" TargetMode="External"/><Relationship Id="rId48" Type="http://schemas.openxmlformats.org/officeDocument/2006/relationships/hyperlink" Target="mailto:angelica.wehrli@anthro.unibe.ch"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yperlink" Target="http://www.cbape.fgv.br/cadernosebape/asp/dsp_lst_artigos_edicao.asp?codcd=76" TargetMode="External"/><Relationship Id="rId33" Type="http://schemas.openxmlformats.org/officeDocument/2006/relationships/hyperlink" Target="http://sites.google.com/site/olivierdouvilleofficiel/articles/objets-methodes-et-terrains-de-l-anthropologie-et-de-la-clinique" TargetMode="External"/><Relationship Id="rId38" Type="http://schemas.openxmlformats.org/officeDocument/2006/relationships/hyperlink" Target="mailto:matcaulier@gmail.com" TargetMode="External"/><Relationship Id="rId46" Type="http://schemas.openxmlformats.org/officeDocument/2006/relationships/hyperlink" Target="mailto:monique.selim@ird.fr" TargetMode="External"/><Relationship Id="rId20" Type="http://schemas.openxmlformats.org/officeDocument/2006/relationships/hyperlink" Target="http://www.joumaldumauss.net/spip.php7article335" TargetMode="External"/><Relationship Id="rId41" Type="http://schemas.openxmlformats.org/officeDocument/2006/relationships/hyperlink" Target="mailto:bemard.hours@ird.fr"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www.riless.ungs.edu.ar" TargetMode="External"/><Relationship Id="rId13" Type="http://schemas.openxmlformats.org/officeDocument/2006/relationships/hyperlink" Target="https://monoskop.org/File:Foucault_Michel_Histoire_de_la_sexualite_1_La_volonte_de_savoir.pdf" TargetMode="External"/><Relationship Id="rId3" Type="http://schemas.openxmlformats.org/officeDocument/2006/relationships/hyperlink" Target="http://dx.doi.org/doi:10.1522/030824591" TargetMode="External"/><Relationship Id="rId7" Type="http://schemas.openxmlformats.org/officeDocument/2006/relationships/hyperlink" Target="http://classiques.uqac.ca/contemporains/gusdorf_georges/sc_hum_pensee_occ_t_I/sc_hum_pensee_occ_t_I.html" TargetMode="External"/><Relationship Id="rId12" Type="http://schemas.openxmlformats.org/officeDocument/2006/relationships/hyperlink" Target="http://it.people.com.en/GB/42891/42894/l" TargetMode="External"/><Relationship Id="rId2" Type="http://schemas.openxmlformats.org/officeDocument/2006/relationships/hyperlink" Target="http://classiques.uqac.ca/classiques/bachelard_gaston/epistemologie/epistemologie.html" TargetMode="External"/><Relationship Id="rId1" Type="http://schemas.openxmlformats.org/officeDocument/2006/relationships/hyperlink" Target="http://dx.doi.org/doi:10.1522/cla.sif.sma.rec1" TargetMode="External"/><Relationship Id="rId6" Type="http://schemas.openxmlformats.org/officeDocument/2006/relationships/hyperlink" Target="http://dx.doi.org/doi:10.1522/cla.gen.dec" TargetMode="External"/><Relationship Id="rId11" Type="http://schemas.openxmlformats.org/officeDocument/2006/relationships/hyperlink" Target="http://dx.doi.org/doi:10.1522/cla.mam.ess3" TargetMode="External"/><Relationship Id="rId5" Type="http://schemas.openxmlformats.org/officeDocument/2006/relationships/hyperlink" Target="http://www.assoeconomiepolitique.org/spip.php7article35" TargetMode="External"/><Relationship Id="rId10" Type="http://schemas.openxmlformats.org/officeDocument/2006/relationships/hyperlink" Target="http://www.ripess.net" TargetMode="External"/><Relationship Id="rId4" Type="http://schemas.openxmlformats.org/officeDocument/2006/relationships/hyperlink" Target="http://www.leconomiepolitique.fr/petition/petition_mauss.html" TargetMode="External"/><Relationship Id="rId9" Type="http://schemas.openxmlformats.org/officeDocument/2006/relationships/hyperlink" Target="http://www.socioeco.org" TargetMode="External"/><Relationship Id="rId14" Type="http://schemas.openxmlformats.org/officeDocument/2006/relationships/hyperlink" Target="http://www.jomada.unam.mx/2010/06/06/index.php?section=politica&amp;article=011n1po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114536</Words>
  <Characters>629954</Characters>
  <Application>Microsoft Office Word</Application>
  <DocSecurity>0</DocSecurity>
  <Lines>5249</Lines>
  <Paragraphs>1486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Enjeux épistémologiques et idéologiques de la globalisation pour les sciences sociales</vt:lpstr>
      <vt:lpstr>Enjeux épistémologiques et idéologiques de la globalisation pour les sciences sociales</vt:lpstr>
    </vt:vector>
  </TitlesOfParts>
  <Manager>Jean marie Tremblay, sociologue, bénévole, 2022</Manager>
  <Company>Les Classiques des sciences sociales</Company>
  <LinksUpToDate>false</LinksUpToDate>
  <CharactersWithSpaces>743004</CharactersWithSpaces>
  <SharedDoc>false</SharedDoc>
  <HyperlinkBase/>
  <HLinks>
    <vt:vector size="522" baseType="variant">
      <vt:variant>
        <vt:i4>3670025</vt:i4>
      </vt:variant>
      <vt:variant>
        <vt:i4>216</vt:i4>
      </vt:variant>
      <vt:variant>
        <vt:i4>0</vt:i4>
      </vt:variant>
      <vt:variant>
        <vt:i4>5</vt:i4>
      </vt:variant>
      <vt:variant>
        <vt:lpwstr>mailto:angelica.wehrli@anthro.unibe.ch</vt:lpwstr>
      </vt:variant>
      <vt:variant>
        <vt:lpwstr/>
      </vt:variant>
      <vt:variant>
        <vt:i4>4391012</vt:i4>
      </vt:variant>
      <vt:variant>
        <vt:i4>213</vt:i4>
      </vt:variant>
      <vt:variant>
        <vt:i4>0</vt:i4>
      </vt:variant>
      <vt:variant>
        <vt:i4>5</vt:i4>
      </vt:variant>
      <vt:variant>
        <vt:lpwstr>mailto:jean-michel.servet@graduateinstitute.ch</vt:lpwstr>
      </vt:variant>
      <vt:variant>
        <vt:lpwstr/>
      </vt:variant>
      <vt:variant>
        <vt:i4>7077895</vt:i4>
      </vt:variant>
      <vt:variant>
        <vt:i4>210</vt:i4>
      </vt:variant>
      <vt:variant>
        <vt:i4>0</vt:i4>
      </vt:variant>
      <vt:variant>
        <vt:i4>5</vt:i4>
      </vt:variant>
      <vt:variant>
        <vt:lpwstr>mailto:monique.selim@ird.fr</vt:lpwstr>
      </vt:variant>
      <vt:variant>
        <vt:lpwstr/>
      </vt:variant>
      <vt:variant>
        <vt:i4>7405638</vt:i4>
      </vt:variant>
      <vt:variant>
        <vt:i4>207</vt:i4>
      </vt:variant>
      <vt:variant>
        <vt:i4>0</vt:i4>
      </vt:variant>
      <vt:variant>
        <vt:i4>5</vt:i4>
      </vt:variant>
      <vt:variant>
        <vt:lpwstr>mailto:piavrius@gmail.com</vt:lpwstr>
      </vt:variant>
      <vt:variant>
        <vt:lpwstr/>
      </vt:variant>
      <vt:variant>
        <vt:i4>5439521</vt:i4>
      </vt:variant>
      <vt:variant>
        <vt:i4>204</vt:i4>
      </vt:variant>
      <vt:variant>
        <vt:i4>0</vt:i4>
      </vt:variant>
      <vt:variant>
        <vt:i4>5</vt:i4>
      </vt:variant>
      <vt:variant>
        <vt:lpwstr>mailto:franck.poupeau@gmail.com</vt:lpwstr>
      </vt:variant>
      <vt:variant>
        <vt:lpwstr/>
      </vt:variant>
      <vt:variant>
        <vt:i4>5046305</vt:i4>
      </vt:variant>
      <vt:variant>
        <vt:i4>201</vt:i4>
      </vt:variant>
      <vt:variant>
        <vt:i4>0</vt:i4>
      </vt:variant>
      <vt:variant>
        <vt:i4>5</vt:i4>
      </vt:variant>
      <vt:variant>
        <vt:lpwstr>mailto:pepita.ould@gmail.com</vt:lpwstr>
      </vt:variant>
      <vt:variant>
        <vt:lpwstr/>
      </vt:variant>
      <vt:variant>
        <vt:i4>3539019</vt:i4>
      </vt:variant>
      <vt:variant>
        <vt:i4>198</vt:i4>
      </vt:variant>
      <vt:variant>
        <vt:i4>0</vt:i4>
      </vt:variant>
      <vt:variant>
        <vt:i4>5</vt:i4>
      </vt:variant>
      <vt:variant>
        <vt:lpwstr>mailto:rsmcarrion@ea.ufrgs.br</vt:lpwstr>
      </vt:variant>
      <vt:variant>
        <vt:lpwstr/>
      </vt:variant>
      <vt:variant>
        <vt:i4>4325423</vt:i4>
      </vt:variant>
      <vt:variant>
        <vt:i4>195</vt:i4>
      </vt:variant>
      <vt:variant>
        <vt:i4>0</vt:i4>
      </vt:variant>
      <vt:variant>
        <vt:i4>5</vt:i4>
      </vt:variant>
      <vt:variant>
        <vt:lpwstr>mailto:bemard.hours@ird.fr</vt:lpwstr>
      </vt:variant>
      <vt:variant>
        <vt:lpwstr/>
      </vt:variant>
      <vt:variant>
        <vt:i4>1507381</vt:i4>
      </vt:variant>
      <vt:variant>
        <vt:i4>192</vt:i4>
      </vt:variant>
      <vt:variant>
        <vt:i4>0</vt:i4>
      </vt:variant>
      <vt:variant>
        <vt:i4>5</vt:i4>
      </vt:variant>
      <vt:variant>
        <vt:lpwstr>mailto:wenjguo@gmail.com</vt:lpwstr>
      </vt:variant>
      <vt:variant>
        <vt:lpwstr/>
      </vt:variant>
      <vt:variant>
        <vt:i4>5177381</vt:i4>
      </vt:variant>
      <vt:variant>
        <vt:i4>189</vt:i4>
      </vt:variant>
      <vt:variant>
        <vt:i4>0</vt:i4>
      </vt:variant>
      <vt:variant>
        <vt:i4>5</vt:i4>
      </vt:variant>
      <vt:variant>
        <vt:lpwstr>mailto:isabelle.guerin@ird.fr</vt:lpwstr>
      </vt:variant>
      <vt:variant>
        <vt:lpwstr/>
      </vt:variant>
      <vt:variant>
        <vt:i4>1441839</vt:i4>
      </vt:variant>
      <vt:variant>
        <vt:i4>186</vt:i4>
      </vt:variant>
      <vt:variant>
        <vt:i4>0</vt:i4>
      </vt:variant>
      <vt:variant>
        <vt:i4>5</vt:i4>
      </vt:variant>
      <vt:variant>
        <vt:lpwstr>mailto:matcaulier@gmail.com</vt:lpwstr>
      </vt:variant>
      <vt:variant>
        <vt:lpwstr/>
      </vt:variant>
      <vt:variant>
        <vt:i4>4325412</vt:i4>
      </vt:variant>
      <vt:variant>
        <vt:i4>183</vt:i4>
      </vt:variant>
      <vt:variant>
        <vt:i4>0</vt:i4>
      </vt:variant>
      <vt:variant>
        <vt:i4>5</vt:i4>
      </vt:variant>
      <vt:variant>
        <vt:lpwstr>mailto:castelli.bernard@ird.fr</vt:lpwstr>
      </vt:variant>
      <vt:variant>
        <vt:lpwstr/>
      </vt:variant>
      <vt:variant>
        <vt:i4>917517</vt:i4>
      </vt:variant>
      <vt:variant>
        <vt:i4>180</vt:i4>
      </vt:variant>
      <vt:variant>
        <vt:i4>0</vt:i4>
      </vt:variant>
      <vt:variant>
        <vt:i4>5</vt:i4>
      </vt:variant>
      <vt:variant>
        <vt:lpwstr/>
      </vt:variant>
      <vt:variant>
        <vt:lpwstr>sommaire</vt:lpwstr>
      </vt:variant>
      <vt:variant>
        <vt:i4>917517</vt:i4>
      </vt:variant>
      <vt:variant>
        <vt:i4>177</vt:i4>
      </vt:variant>
      <vt:variant>
        <vt:i4>0</vt:i4>
      </vt:variant>
      <vt:variant>
        <vt:i4>5</vt:i4>
      </vt:variant>
      <vt:variant>
        <vt:lpwstr/>
      </vt:variant>
      <vt:variant>
        <vt:lpwstr>sommaire</vt:lpwstr>
      </vt:variant>
      <vt:variant>
        <vt:i4>5701704</vt:i4>
      </vt:variant>
      <vt:variant>
        <vt:i4>174</vt:i4>
      </vt:variant>
      <vt:variant>
        <vt:i4>0</vt:i4>
      </vt:variant>
      <vt:variant>
        <vt:i4>5</vt:i4>
      </vt:variant>
      <vt:variant>
        <vt:lpwstr>http://agendadelasmujeres.com.ar/notadesplegada.php%C2%A0?id=771</vt:lpwstr>
      </vt:variant>
      <vt:variant>
        <vt:lpwstr/>
      </vt:variant>
      <vt:variant>
        <vt:i4>917517</vt:i4>
      </vt:variant>
      <vt:variant>
        <vt:i4>171</vt:i4>
      </vt:variant>
      <vt:variant>
        <vt:i4>0</vt:i4>
      </vt:variant>
      <vt:variant>
        <vt:i4>5</vt:i4>
      </vt:variant>
      <vt:variant>
        <vt:lpwstr/>
      </vt:variant>
      <vt:variant>
        <vt:lpwstr>sommaire</vt:lpwstr>
      </vt:variant>
      <vt:variant>
        <vt:i4>2687026</vt:i4>
      </vt:variant>
      <vt:variant>
        <vt:i4>168</vt:i4>
      </vt:variant>
      <vt:variant>
        <vt:i4>0</vt:i4>
      </vt:variant>
      <vt:variant>
        <vt:i4>5</vt:i4>
      </vt:variant>
      <vt:variant>
        <vt:lpwstr>http://esa.un.org/</vt:lpwstr>
      </vt:variant>
      <vt:variant>
        <vt:lpwstr/>
      </vt:variant>
      <vt:variant>
        <vt:i4>4980812</vt:i4>
      </vt:variant>
      <vt:variant>
        <vt:i4>165</vt:i4>
      </vt:variant>
      <vt:variant>
        <vt:i4>0</vt:i4>
      </vt:variant>
      <vt:variant>
        <vt:i4>5</vt:i4>
      </vt:variant>
      <vt:variant>
        <vt:lpwstr>https://monoskop.org/File:Foucault_Michel_Histoire_de_la_sexualite_1_La_volonte_de_savoir.pdf</vt:lpwstr>
      </vt:variant>
      <vt:variant>
        <vt:lpwstr/>
      </vt:variant>
      <vt:variant>
        <vt:i4>7471151</vt:i4>
      </vt:variant>
      <vt:variant>
        <vt:i4>162</vt:i4>
      </vt:variant>
      <vt:variant>
        <vt:i4>0</vt:i4>
      </vt:variant>
      <vt:variant>
        <vt:i4>5</vt:i4>
      </vt:variant>
      <vt:variant>
        <vt:lpwstr>http://sites.google.com/site/olivierdouvilleofficiel/articles/objets-methodes-et-terrains-de-l-anthropologie-et-de-la-clinique</vt:lpwstr>
      </vt:variant>
      <vt:variant>
        <vt:lpwstr/>
      </vt:variant>
      <vt:variant>
        <vt:i4>917517</vt:i4>
      </vt:variant>
      <vt:variant>
        <vt:i4>159</vt:i4>
      </vt:variant>
      <vt:variant>
        <vt:i4>0</vt:i4>
      </vt:variant>
      <vt:variant>
        <vt:i4>5</vt:i4>
      </vt:variant>
      <vt:variant>
        <vt:lpwstr/>
      </vt:variant>
      <vt:variant>
        <vt:lpwstr>sommaire</vt:lpwstr>
      </vt:variant>
      <vt:variant>
        <vt:i4>917517</vt:i4>
      </vt:variant>
      <vt:variant>
        <vt:i4>156</vt:i4>
      </vt:variant>
      <vt:variant>
        <vt:i4>0</vt:i4>
      </vt:variant>
      <vt:variant>
        <vt:i4>5</vt:i4>
      </vt:variant>
      <vt:variant>
        <vt:lpwstr/>
      </vt:variant>
      <vt:variant>
        <vt:lpwstr>sommaire</vt:lpwstr>
      </vt:variant>
      <vt:variant>
        <vt:i4>917517</vt:i4>
      </vt:variant>
      <vt:variant>
        <vt:i4>153</vt:i4>
      </vt:variant>
      <vt:variant>
        <vt:i4>0</vt:i4>
      </vt:variant>
      <vt:variant>
        <vt:i4>5</vt:i4>
      </vt:variant>
      <vt:variant>
        <vt:lpwstr/>
      </vt:variant>
      <vt:variant>
        <vt:lpwstr>sommaire</vt:lpwstr>
      </vt:variant>
      <vt:variant>
        <vt:i4>1835014</vt:i4>
      </vt:variant>
      <vt:variant>
        <vt:i4>150</vt:i4>
      </vt:variant>
      <vt:variant>
        <vt:i4>0</vt:i4>
      </vt:variant>
      <vt:variant>
        <vt:i4>5</vt:i4>
      </vt:variant>
      <vt:variant>
        <vt:lpwstr>http://www.rebelion.org/docs/4859.pdf</vt:lpwstr>
      </vt:variant>
      <vt:variant>
        <vt:lpwstr/>
      </vt:variant>
      <vt:variant>
        <vt:i4>5898313</vt:i4>
      </vt:variant>
      <vt:variant>
        <vt:i4>147</vt:i4>
      </vt:variant>
      <vt:variant>
        <vt:i4>0</vt:i4>
      </vt:variant>
      <vt:variant>
        <vt:i4>5</vt:i4>
      </vt:variant>
      <vt:variant>
        <vt:lpwstr>http://www.argentinaobs.org/</vt:lpwstr>
      </vt:variant>
      <vt:variant>
        <vt:lpwstr/>
      </vt:variant>
      <vt:variant>
        <vt:i4>6881330</vt:i4>
      </vt:variant>
      <vt:variant>
        <vt:i4>144</vt:i4>
      </vt:variant>
      <vt:variant>
        <vt:i4>0</vt:i4>
      </vt:variant>
      <vt:variant>
        <vt:i4>5</vt:i4>
      </vt:variant>
      <vt:variant>
        <vt:lpwstr>http://www.ceras-%20projet.com/index.php%25C2%25A0?id=2384</vt:lpwstr>
      </vt:variant>
      <vt:variant>
        <vt:lpwstr/>
      </vt:variant>
      <vt:variant>
        <vt:i4>4456518</vt:i4>
      </vt:variant>
      <vt:variant>
        <vt:i4>141</vt:i4>
      </vt:variant>
      <vt:variant>
        <vt:i4>0</vt:i4>
      </vt:variant>
      <vt:variant>
        <vt:i4>5</vt:i4>
      </vt:variant>
      <vt:variant>
        <vt:lpwstr>http://www.clacso.org/trabajo2/3.pdf</vt:lpwstr>
      </vt:variant>
      <vt:variant>
        <vt:lpwstr/>
      </vt:variant>
      <vt:variant>
        <vt:i4>917517</vt:i4>
      </vt:variant>
      <vt:variant>
        <vt:i4>138</vt:i4>
      </vt:variant>
      <vt:variant>
        <vt:i4>0</vt:i4>
      </vt:variant>
      <vt:variant>
        <vt:i4>5</vt:i4>
      </vt:variant>
      <vt:variant>
        <vt:lpwstr/>
      </vt:variant>
      <vt:variant>
        <vt:lpwstr>sommaire</vt:lpwstr>
      </vt:variant>
      <vt:variant>
        <vt:i4>393309</vt:i4>
      </vt:variant>
      <vt:variant>
        <vt:i4>135</vt:i4>
      </vt:variant>
      <vt:variant>
        <vt:i4>0</vt:i4>
      </vt:variant>
      <vt:variant>
        <vt:i4>5</vt:i4>
      </vt:variant>
      <vt:variant>
        <vt:lpwstr>http://www.un.cv/</vt:lpwstr>
      </vt:variant>
      <vt:variant>
        <vt:lpwstr/>
      </vt:variant>
      <vt:variant>
        <vt:i4>3473464</vt:i4>
      </vt:variant>
      <vt:variant>
        <vt:i4>132</vt:i4>
      </vt:variant>
      <vt:variant>
        <vt:i4>0</vt:i4>
      </vt:variant>
      <vt:variant>
        <vt:i4>5</vt:i4>
      </vt:variant>
      <vt:variant>
        <vt:lpwstr>http://www.oecd.org/dataoecd/56/41/38604403.pdf</vt:lpwstr>
      </vt:variant>
      <vt:variant>
        <vt:lpwstr/>
      </vt:variant>
      <vt:variant>
        <vt:i4>1572891</vt:i4>
      </vt:variant>
      <vt:variant>
        <vt:i4>129</vt:i4>
      </vt:variant>
      <vt:variant>
        <vt:i4>0</vt:i4>
      </vt:variant>
      <vt:variant>
        <vt:i4>5</vt:i4>
      </vt:variant>
      <vt:variant>
        <vt:lpwstr>http://www.kerbabel.c3ed.uvsq.fr/Documents/REVC-FIC-DEGR</vt:lpwstr>
      </vt:variant>
      <vt:variant>
        <vt:lpwstr/>
      </vt:variant>
      <vt:variant>
        <vt:i4>7274510</vt:i4>
      </vt:variant>
      <vt:variant>
        <vt:i4>126</vt:i4>
      </vt:variant>
      <vt:variant>
        <vt:i4>0</vt:i4>
      </vt:variant>
      <vt:variant>
        <vt:i4>5</vt:i4>
      </vt:variant>
      <vt:variant>
        <vt:lpwstr>http://www.cbape.fgv.br/cadernosebape/asp/dsp_lst_artigos_edicao.asp?codcd=76</vt:lpwstr>
      </vt:variant>
      <vt:variant>
        <vt:lpwstr/>
      </vt:variant>
      <vt:variant>
        <vt:i4>983126</vt:i4>
      </vt:variant>
      <vt:variant>
        <vt:i4>123</vt:i4>
      </vt:variant>
      <vt:variant>
        <vt:i4>0</vt:i4>
      </vt:variant>
      <vt:variant>
        <vt:i4>5</vt:i4>
      </vt:variant>
      <vt:variant>
        <vt:lpwstr>http://www.govemo.cv/</vt:lpwstr>
      </vt:variant>
      <vt:variant>
        <vt:lpwstr/>
      </vt:variant>
      <vt:variant>
        <vt:i4>1638481</vt:i4>
      </vt:variant>
      <vt:variant>
        <vt:i4>120</vt:i4>
      </vt:variant>
      <vt:variant>
        <vt:i4>0</vt:i4>
      </vt:variant>
      <vt:variant>
        <vt:i4>5</vt:i4>
      </vt:variant>
      <vt:variant>
        <vt:lpwstr>http://www.scielo.br/pdf/es/v25n89/22613.pdf</vt:lpwstr>
      </vt:variant>
      <vt:variant>
        <vt:lpwstr/>
      </vt:variant>
      <vt:variant>
        <vt:i4>917517</vt:i4>
      </vt:variant>
      <vt:variant>
        <vt:i4>117</vt:i4>
      </vt:variant>
      <vt:variant>
        <vt:i4>0</vt:i4>
      </vt:variant>
      <vt:variant>
        <vt:i4>5</vt:i4>
      </vt:variant>
      <vt:variant>
        <vt:lpwstr/>
      </vt:variant>
      <vt:variant>
        <vt:lpwstr>sommaire</vt:lpwstr>
      </vt:variant>
      <vt:variant>
        <vt:i4>917517</vt:i4>
      </vt:variant>
      <vt:variant>
        <vt:i4>114</vt:i4>
      </vt:variant>
      <vt:variant>
        <vt:i4>0</vt:i4>
      </vt:variant>
      <vt:variant>
        <vt:i4>5</vt:i4>
      </vt:variant>
      <vt:variant>
        <vt:lpwstr/>
      </vt:variant>
      <vt:variant>
        <vt:lpwstr>sommaire</vt:lpwstr>
      </vt:variant>
      <vt:variant>
        <vt:i4>7929973</vt:i4>
      </vt:variant>
      <vt:variant>
        <vt:i4>111</vt:i4>
      </vt:variant>
      <vt:variant>
        <vt:i4>0</vt:i4>
      </vt:variant>
      <vt:variant>
        <vt:i4>5</vt:i4>
      </vt:variant>
      <vt:variant>
        <vt:lpwstr>http://dx.doi.org/doi:10.1522/cla.mam.ess3</vt:lpwstr>
      </vt:variant>
      <vt:variant>
        <vt:lpwstr/>
      </vt:variant>
      <vt:variant>
        <vt:i4>3473509</vt:i4>
      </vt:variant>
      <vt:variant>
        <vt:i4>108</vt:i4>
      </vt:variant>
      <vt:variant>
        <vt:i4>0</vt:i4>
      </vt:variant>
      <vt:variant>
        <vt:i4>5</vt:i4>
      </vt:variant>
      <vt:variant>
        <vt:lpwstr>http://dx.doi.org/doi:10.1522/030331702</vt:lpwstr>
      </vt:variant>
      <vt:variant>
        <vt:lpwstr/>
      </vt:variant>
      <vt:variant>
        <vt:i4>917517</vt:i4>
      </vt:variant>
      <vt:variant>
        <vt:i4>105</vt:i4>
      </vt:variant>
      <vt:variant>
        <vt:i4>0</vt:i4>
      </vt:variant>
      <vt:variant>
        <vt:i4>5</vt:i4>
      </vt:variant>
      <vt:variant>
        <vt:lpwstr/>
      </vt:variant>
      <vt:variant>
        <vt:lpwstr>sommaire</vt:lpwstr>
      </vt:variant>
      <vt:variant>
        <vt:i4>917517</vt:i4>
      </vt:variant>
      <vt:variant>
        <vt:i4>102</vt:i4>
      </vt:variant>
      <vt:variant>
        <vt:i4>0</vt:i4>
      </vt:variant>
      <vt:variant>
        <vt:i4>5</vt:i4>
      </vt:variant>
      <vt:variant>
        <vt:lpwstr/>
      </vt:variant>
      <vt:variant>
        <vt:lpwstr>sommaire</vt:lpwstr>
      </vt:variant>
      <vt:variant>
        <vt:i4>917517</vt:i4>
      </vt:variant>
      <vt:variant>
        <vt:i4>99</vt:i4>
      </vt:variant>
      <vt:variant>
        <vt:i4>0</vt:i4>
      </vt:variant>
      <vt:variant>
        <vt:i4>5</vt:i4>
      </vt:variant>
      <vt:variant>
        <vt:lpwstr/>
      </vt:variant>
      <vt:variant>
        <vt:lpwstr>sommaire</vt:lpwstr>
      </vt:variant>
      <vt:variant>
        <vt:i4>5898269</vt:i4>
      </vt:variant>
      <vt:variant>
        <vt:i4>96</vt:i4>
      </vt:variant>
      <vt:variant>
        <vt:i4>0</vt:i4>
      </vt:variant>
      <vt:variant>
        <vt:i4>5</vt:i4>
      </vt:variant>
      <vt:variant>
        <vt:lpwstr>http://www.joumaldumauss.net/spip.php7article335</vt:lpwstr>
      </vt:variant>
      <vt:variant>
        <vt:lpwstr/>
      </vt:variant>
      <vt:variant>
        <vt:i4>917517</vt:i4>
      </vt:variant>
      <vt:variant>
        <vt:i4>93</vt:i4>
      </vt:variant>
      <vt:variant>
        <vt:i4>0</vt:i4>
      </vt:variant>
      <vt:variant>
        <vt:i4>5</vt:i4>
      </vt:variant>
      <vt:variant>
        <vt:lpwstr/>
      </vt:variant>
      <vt:variant>
        <vt:lpwstr>sommaire</vt:lpwstr>
      </vt:variant>
      <vt:variant>
        <vt:i4>917517</vt:i4>
      </vt:variant>
      <vt:variant>
        <vt:i4>90</vt:i4>
      </vt:variant>
      <vt:variant>
        <vt:i4>0</vt:i4>
      </vt:variant>
      <vt:variant>
        <vt:i4>5</vt:i4>
      </vt:variant>
      <vt:variant>
        <vt:lpwstr/>
      </vt:variant>
      <vt:variant>
        <vt:lpwstr>sommaire</vt:lpwstr>
      </vt:variant>
      <vt:variant>
        <vt:i4>917517</vt:i4>
      </vt:variant>
      <vt:variant>
        <vt:i4>87</vt:i4>
      </vt:variant>
      <vt:variant>
        <vt:i4>0</vt:i4>
      </vt:variant>
      <vt:variant>
        <vt:i4>5</vt:i4>
      </vt:variant>
      <vt:variant>
        <vt:lpwstr/>
      </vt:variant>
      <vt:variant>
        <vt:lpwstr>sommaire</vt:lpwstr>
      </vt:variant>
      <vt:variant>
        <vt:i4>917517</vt:i4>
      </vt:variant>
      <vt:variant>
        <vt:i4>84</vt:i4>
      </vt:variant>
      <vt:variant>
        <vt:i4>0</vt:i4>
      </vt:variant>
      <vt:variant>
        <vt:i4>5</vt:i4>
      </vt:variant>
      <vt:variant>
        <vt:lpwstr/>
      </vt:variant>
      <vt:variant>
        <vt:lpwstr>sommaire</vt:lpwstr>
      </vt:variant>
      <vt:variant>
        <vt:i4>917517</vt:i4>
      </vt:variant>
      <vt:variant>
        <vt:i4>81</vt:i4>
      </vt:variant>
      <vt:variant>
        <vt:i4>0</vt:i4>
      </vt:variant>
      <vt:variant>
        <vt:i4>5</vt:i4>
      </vt:variant>
      <vt:variant>
        <vt:lpwstr/>
      </vt:variant>
      <vt:variant>
        <vt:lpwstr>sommaire</vt:lpwstr>
      </vt:variant>
      <vt:variant>
        <vt:i4>852022</vt:i4>
      </vt:variant>
      <vt:variant>
        <vt:i4>78</vt:i4>
      </vt:variant>
      <vt:variant>
        <vt:i4>0</vt:i4>
      </vt:variant>
      <vt:variant>
        <vt:i4>5</vt:i4>
      </vt:variant>
      <vt:variant>
        <vt:lpwstr/>
      </vt:variant>
      <vt:variant>
        <vt:lpwstr>Enjeux_sc_soc_auteurs</vt:lpwstr>
      </vt:variant>
      <vt:variant>
        <vt:i4>7798888</vt:i4>
      </vt:variant>
      <vt:variant>
        <vt:i4>75</vt:i4>
      </vt:variant>
      <vt:variant>
        <vt:i4>0</vt:i4>
      </vt:variant>
      <vt:variant>
        <vt:i4>5</vt:i4>
      </vt:variant>
      <vt:variant>
        <vt:lpwstr/>
      </vt:variant>
      <vt:variant>
        <vt:lpwstr>Enjeux_sc_soc_pt_2_texte_7</vt:lpwstr>
      </vt:variant>
      <vt:variant>
        <vt:i4>7733352</vt:i4>
      </vt:variant>
      <vt:variant>
        <vt:i4>72</vt:i4>
      </vt:variant>
      <vt:variant>
        <vt:i4>0</vt:i4>
      </vt:variant>
      <vt:variant>
        <vt:i4>5</vt:i4>
      </vt:variant>
      <vt:variant>
        <vt:lpwstr/>
      </vt:variant>
      <vt:variant>
        <vt:lpwstr>Enjeux_sc_soc_pt_2_texte_6</vt:lpwstr>
      </vt:variant>
      <vt:variant>
        <vt:i4>7667816</vt:i4>
      </vt:variant>
      <vt:variant>
        <vt:i4>69</vt:i4>
      </vt:variant>
      <vt:variant>
        <vt:i4>0</vt:i4>
      </vt:variant>
      <vt:variant>
        <vt:i4>5</vt:i4>
      </vt:variant>
      <vt:variant>
        <vt:lpwstr/>
      </vt:variant>
      <vt:variant>
        <vt:lpwstr>Enjeux_sc_soc_pt_2_texte_5</vt:lpwstr>
      </vt:variant>
      <vt:variant>
        <vt:i4>7602280</vt:i4>
      </vt:variant>
      <vt:variant>
        <vt:i4>66</vt:i4>
      </vt:variant>
      <vt:variant>
        <vt:i4>0</vt:i4>
      </vt:variant>
      <vt:variant>
        <vt:i4>5</vt:i4>
      </vt:variant>
      <vt:variant>
        <vt:lpwstr/>
      </vt:variant>
      <vt:variant>
        <vt:lpwstr>Enjeux_sc_soc_pt_2_texte_4</vt:lpwstr>
      </vt:variant>
      <vt:variant>
        <vt:i4>7536744</vt:i4>
      </vt:variant>
      <vt:variant>
        <vt:i4>63</vt:i4>
      </vt:variant>
      <vt:variant>
        <vt:i4>0</vt:i4>
      </vt:variant>
      <vt:variant>
        <vt:i4>5</vt:i4>
      </vt:variant>
      <vt:variant>
        <vt:lpwstr/>
      </vt:variant>
      <vt:variant>
        <vt:lpwstr>Enjeux_sc_soc_pt_2_texte_3</vt:lpwstr>
      </vt:variant>
      <vt:variant>
        <vt:i4>7471208</vt:i4>
      </vt:variant>
      <vt:variant>
        <vt:i4>60</vt:i4>
      </vt:variant>
      <vt:variant>
        <vt:i4>0</vt:i4>
      </vt:variant>
      <vt:variant>
        <vt:i4>5</vt:i4>
      </vt:variant>
      <vt:variant>
        <vt:lpwstr/>
      </vt:variant>
      <vt:variant>
        <vt:lpwstr>Enjeux_sc_soc_pt_2_texte_2</vt:lpwstr>
      </vt:variant>
      <vt:variant>
        <vt:i4>7405672</vt:i4>
      </vt:variant>
      <vt:variant>
        <vt:i4>57</vt:i4>
      </vt:variant>
      <vt:variant>
        <vt:i4>0</vt:i4>
      </vt:variant>
      <vt:variant>
        <vt:i4>5</vt:i4>
      </vt:variant>
      <vt:variant>
        <vt:lpwstr/>
      </vt:variant>
      <vt:variant>
        <vt:lpwstr>Enjeux_sc_soc_pt_2_texte_1</vt:lpwstr>
      </vt:variant>
      <vt:variant>
        <vt:i4>2687097</vt:i4>
      </vt:variant>
      <vt:variant>
        <vt:i4>54</vt:i4>
      </vt:variant>
      <vt:variant>
        <vt:i4>0</vt:i4>
      </vt:variant>
      <vt:variant>
        <vt:i4>5</vt:i4>
      </vt:variant>
      <vt:variant>
        <vt:lpwstr/>
      </vt:variant>
      <vt:variant>
        <vt:lpwstr>Enjeux_sc_soc_pt_2</vt:lpwstr>
      </vt:variant>
      <vt:variant>
        <vt:i4>7667816</vt:i4>
      </vt:variant>
      <vt:variant>
        <vt:i4>51</vt:i4>
      </vt:variant>
      <vt:variant>
        <vt:i4>0</vt:i4>
      </vt:variant>
      <vt:variant>
        <vt:i4>5</vt:i4>
      </vt:variant>
      <vt:variant>
        <vt:lpwstr/>
      </vt:variant>
      <vt:variant>
        <vt:lpwstr>Enjeux_sc_soc_pt_1_texte_6</vt:lpwstr>
      </vt:variant>
      <vt:variant>
        <vt:i4>7667816</vt:i4>
      </vt:variant>
      <vt:variant>
        <vt:i4>48</vt:i4>
      </vt:variant>
      <vt:variant>
        <vt:i4>0</vt:i4>
      </vt:variant>
      <vt:variant>
        <vt:i4>5</vt:i4>
      </vt:variant>
      <vt:variant>
        <vt:lpwstr/>
      </vt:variant>
      <vt:variant>
        <vt:lpwstr>Enjeux_sc_soc_pt_1_texte_6</vt:lpwstr>
      </vt:variant>
      <vt:variant>
        <vt:i4>7798888</vt:i4>
      </vt:variant>
      <vt:variant>
        <vt:i4>45</vt:i4>
      </vt:variant>
      <vt:variant>
        <vt:i4>0</vt:i4>
      </vt:variant>
      <vt:variant>
        <vt:i4>5</vt:i4>
      </vt:variant>
      <vt:variant>
        <vt:lpwstr/>
      </vt:variant>
      <vt:variant>
        <vt:lpwstr>Enjeux_sc_soc_pt_1_texte_4</vt:lpwstr>
      </vt:variant>
      <vt:variant>
        <vt:i4>7340136</vt:i4>
      </vt:variant>
      <vt:variant>
        <vt:i4>42</vt:i4>
      </vt:variant>
      <vt:variant>
        <vt:i4>0</vt:i4>
      </vt:variant>
      <vt:variant>
        <vt:i4>5</vt:i4>
      </vt:variant>
      <vt:variant>
        <vt:lpwstr/>
      </vt:variant>
      <vt:variant>
        <vt:lpwstr>Enjeux_sc_soc_pt_1_texte_3</vt:lpwstr>
      </vt:variant>
      <vt:variant>
        <vt:i4>7405672</vt:i4>
      </vt:variant>
      <vt:variant>
        <vt:i4>39</vt:i4>
      </vt:variant>
      <vt:variant>
        <vt:i4>0</vt:i4>
      </vt:variant>
      <vt:variant>
        <vt:i4>5</vt:i4>
      </vt:variant>
      <vt:variant>
        <vt:lpwstr/>
      </vt:variant>
      <vt:variant>
        <vt:lpwstr>Enjeux_sc_soc_pt_1_texte_2</vt:lpwstr>
      </vt:variant>
      <vt:variant>
        <vt:i4>7471208</vt:i4>
      </vt:variant>
      <vt:variant>
        <vt:i4>36</vt:i4>
      </vt:variant>
      <vt:variant>
        <vt:i4>0</vt:i4>
      </vt:variant>
      <vt:variant>
        <vt:i4>5</vt:i4>
      </vt:variant>
      <vt:variant>
        <vt:lpwstr/>
      </vt:variant>
      <vt:variant>
        <vt:lpwstr>Enjeux_sc_soc_pt_1_texte_1</vt:lpwstr>
      </vt:variant>
      <vt:variant>
        <vt:i4>2752633</vt:i4>
      </vt:variant>
      <vt:variant>
        <vt:i4>33</vt:i4>
      </vt:variant>
      <vt:variant>
        <vt:i4>0</vt:i4>
      </vt:variant>
      <vt:variant>
        <vt:i4>5</vt:i4>
      </vt:variant>
      <vt:variant>
        <vt:lpwstr/>
      </vt:variant>
      <vt:variant>
        <vt:lpwstr>Enjeux_sc_soc_pt_1</vt:lpwstr>
      </vt:variant>
      <vt:variant>
        <vt:i4>7536715</vt:i4>
      </vt:variant>
      <vt:variant>
        <vt:i4>30</vt:i4>
      </vt:variant>
      <vt:variant>
        <vt:i4>0</vt:i4>
      </vt:variant>
      <vt:variant>
        <vt:i4>5</vt:i4>
      </vt:variant>
      <vt:variant>
        <vt:lpwstr/>
      </vt:variant>
      <vt:variant>
        <vt:lpwstr>Enjeux_sc_soc_intro</vt:lpwstr>
      </vt:variant>
      <vt:variant>
        <vt:i4>1310755</vt:i4>
      </vt:variant>
      <vt:variant>
        <vt:i4>27</vt:i4>
      </vt:variant>
      <vt:variant>
        <vt:i4>0</vt:i4>
      </vt:variant>
      <vt:variant>
        <vt:i4>5</vt:i4>
      </vt:variant>
      <vt:variant>
        <vt:lpwstr/>
      </vt:variant>
      <vt:variant>
        <vt:lpwstr>Enjeux_sc_soc_couverture</vt:lpwstr>
      </vt:variant>
      <vt:variant>
        <vt:i4>1769580</vt:i4>
      </vt:variant>
      <vt:variant>
        <vt:i4>24</vt:i4>
      </vt:variant>
      <vt:variant>
        <vt:i4>0</vt:i4>
      </vt:variant>
      <vt:variant>
        <vt:i4>5</vt:i4>
      </vt:variant>
      <vt:variant>
        <vt:lpwstr>mailto:diffusion.hannattan@wanadoo.fr</vt:lpwstr>
      </vt:variant>
      <vt:variant>
        <vt:lpwstr/>
      </vt:variant>
      <vt:variant>
        <vt:i4>2359332</vt:i4>
      </vt:variant>
      <vt:variant>
        <vt:i4>21</vt:i4>
      </vt:variant>
      <vt:variant>
        <vt:i4>0</vt:i4>
      </vt:variant>
      <vt:variant>
        <vt:i4>5</vt:i4>
      </vt:variant>
      <vt:variant>
        <vt:lpwstr>http://www.librairieharmattan.com/</vt:lpwstr>
      </vt:variant>
      <vt:variant>
        <vt:lpwstr/>
      </vt:variant>
      <vt:variant>
        <vt:i4>917517</vt:i4>
      </vt:variant>
      <vt:variant>
        <vt:i4>18</vt:i4>
      </vt:variant>
      <vt:variant>
        <vt:i4>0</vt:i4>
      </vt:variant>
      <vt:variant>
        <vt:i4>5</vt:i4>
      </vt:variant>
      <vt:variant>
        <vt:lpwstr/>
      </vt:variant>
      <vt:variant>
        <vt:lpwstr>sommaire</vt:lpwstr>
      </vt:variant>
      <vt:variant>
        <vt:i4>7471132</vt:i4>
      </vt:variant>
      <vt:variant>
        <vt:i4>15</vt:i4>
      </vt:variant>
      <vt:variant>
        <vt:i4>0</vt:i4>
      </vt:variant>
      <vt:variant>
        <vt:i4>5</vt:i4>
      </vt:variant>
      <vt:variant>
        <vt:lpwstr>mailto:bernard.hours@ird.fr</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4718603</vt:i4>
      </vt:variant>
      <vt:variant>
        <vt:i4>39</vt:i4>
      </vt:variant>
      <vt:variant>
        <vt:i4>0</vt:i4>
      </vt:variant>
      <vt:variant>
        <vt:i4>5</vt:i4>
      </vt:variant>
      <vt:variant>
        <vt:lpwstr>http://www.jomada.unam.mx/2010/06/06/index.php?section=politica&amp;article=011n1pol</vt:lpwstr>
      </vt:variant>
      <vt:variant>
        <vt:lpwstr/>
      </vt:variant>
      <vt:variant>
        <vt:i4>4980812</vt:i4>
      </vt:variant>
      <vt:variant>
        <vt:i4>36</vt:i4>
      </vt:variant>
      <vt:variant>
        <vt:i4>0</vt:i4>
      </vt:variant>
      <vt:variant>
        <vt:i4>5</vt:i4>
      </vt:variant>
      <vt:variant>
        <vt:lpwstr>https://monoskop.org/File:Foucault_Michel_Histoire_de_la_sexualite_1_La_volonte_de_savoir.pdf</vt:lpwstr>
      </vt:variant>
      <vt:variant>
        <vt:lpwstr/>
      </vt:variant>
      <vt:variant>
        <vt:i4>5439559</vt:i4>
      </vt:variant>
      <vt:variant>
        <vt:i4>33</vt:i4>
      </vt:variant>
      <vt:variant>
        <vt:i4>0</vt:i4>
      </vt:variant>
      <vt:variant>
        <vt:i4>5</vt:i4>
      </vt:variant>
      <vt:variant>
        <vt:lpwstr>http://it.people.com.en/GB/42891/42894/l</vt:lpwstr>
      </vt:variant>
      <vt:variant>
        <vt:lpwstr/>
      </vt:variant>
      <vt:variant>
        <vt:i4>7929973</vt:i4>
      </vt:variant>
      <vt:variant>
        <vt:i4>30</vt:i4>
      </vt:variant>
      <vt:variant>
        <vt:i4>0</vt:i4>
      </vt:variant>
      <vt:variant>
        <vt:i4>5</vt:i4>
      </vt:variant>
      <vt:variant>
        <vt:lpwstr>http://dx.doi.org/doi:10.1522/cla.mam.ess3</vt:lpwstr>
      </vt:variant>
      <vt:variant>
        <vt:lpwstr/>
      </vt:variant>
      <vt:variant>
        <vt:i4>4063285</vt:i4>
      </vt:variant>
      <vt:variant>
        <vt:i4>27</vt:i4>
      </vt:variant>
      <vt:variant>
        <vt:i4>0</vt:i4>
      </vt:variant>
      <vt:variant>
        <vt:i4>5</vt:i4>
      </vt:variant>
      <vt:variant>
        <vt:lpwstr>http://www.ripess.net/</vt:lpwstr>
      </vt:variant>
      <vt:variant>
        <vt:lpwstr/>
      </vt:variant>
      <vt:variant>
        <vt:i4>4456532</vt:i4>
      </vt:variant>
      <vt:variant>
        <vt:i4>24</vt:i4>
      </vt:variant>
      <vt:variant>
        <vt:i4>0</vt:i4>
      </vt:variant>
      <vt:variant>
        <vt:i4>5</vt:i4>
      </vt:variant>
      <vt:variant>
        <vt:lpwstr>http://www.socioeco.org/</vt:lpwstr>
      </vt:variant>
      <vt:variant>
        <vt:lpwstr/>
      </vt:variant>
      <vt:variant>
        <vt:i4>2818091</vt:i4>
      </vt:variant>
      <vt:variant>
        <vt:i4>21</vt:i4>
      </vt:variant>
      <vt:variant>
        <vt:i4>0</vt:i4>
      </vt:variant>
      <vt:variant>
        <vt:i4>5</vt:i4>
      </vt:variant>
      <vt:variant>
        <vt:lpwstr>http://www.riless.ungs.edu.ar/</vt:lpwstr>
      </vt:variant>
      <vt:variant>
        <vt:lpwstr/>
      </vt:variant>
      <vt:variant>
        <vt:i4>8323158</vt:i4>
      </vt:variant>
      <vt:variant>
        <vt:i4>18</vt:i4>
      </vt:variant>
      <vt:variant>
        <vt:i4>0</vt:i4>
      </vt:variant>
      <vt:variant>
        <vt:i4>5</vt:i4>
      </vt:variant>
      <vt:variant>
        <vt:lpwstr>http://classiques.uqac.ca/contemporains/gusdorf_georges/sc_hum_pensee_occ_t_I/sc_hum_pensee_occ_t_I.html</vt:lpwstr>
      </vt:variant>
      <vt:variant>
        <vt:lpwstr/>
      </vt:variant>
      <vt:variant>
        <vt:i4>5767182</vt:i4>
      </vt:variant>
      <vt:variant>
        <vt:i4>15</vt:i4>
      </vt:variant>
      <vt:variant>
        <vt:i4>0</vt:i4>
      </vt:variant>
      <vt:variant>
        <vt:i4>5</vt:i4>
      </vt:variant>
      <vt:variant>
        <vt:lpwstr>http://dx.doi.org/doi:10.1522/cla.gen.dec</vt:lpwstr>
      </vt:variant>
      <vt:variant>
        <vt:lpwstr/>
      </vt:variant>
      <vt:variant>
        <vt:i4>7209011</vt:i4>
      </vt:variant>
      <vt:variant>
        <vt:i4>12</vt:i4>
      </vt:variant>
      <vt:variant>
        <vt:i4>0</vt:i4>
      </vt:variant>
      <vt:variant>
        <vt:i4>5</vt:i4>
      </vt:variant>
      <vt:variant>
        <vt:lpwstr>http://www.assoeconomiepolitique.org/spip.php7article35</vt:lpwstr>
      </vt:variant>
      <vt:variant>
        <vt:lpwstr/>
      </vt:variant>
      <vt:variant>
        <vt:i4>5308522</vt:i4>
      </vt:variant>
      <vt:variant>
        <vt:i4>9</vt:i4>
      </vt:variant>
      <vt:variant>
        <vt:i4>0</vt:i4>
      </vt:variant>
      <vt:variant>
        <vt:i4>5</vt:i4>
      </vt:variant>
      <vt:variant>
        <vt:lpwstr>http://www.leconomiepolitique.fr/petition/petition_mauss.html</vt:lpwstr>
      </vt:variant>
      <vt:variant>
        <vt:lpwstr/>
      </vt:variant>
      <vt:variant>
        <vt:i4>3276902</vt:i4>
      </vt:variant>
      <vt:variant>
        <vt:i4>6</vt:i4>
      </vt:variant>
      <vt:variant>
        <vt:i4>0</vt:i4>
      </vt:variant>
      <vt:variant>
        <vt:i4>5</vt:i4>
      </vt:variant>
      <vt:variant>
        <vt:lpwstr>http://dx.doi.org/doi:10.1522/030824591</vt:lpwstr>
      </vt:variant>
      <vt:variant>
        <vt:lpwstr/>
      </vt:variant>
      <vt:variant>
        <vt:i4>6422622</vt:i4>
      </vt:variant>
      <vt:variant>
        <vt:i4>3</vt:i4>
      </vt:variant>
      <vt:variant>
        <vt:i4>0</vt:i4>
      </vt:variant>
      <vt:variant>
        <vt:i4>5</vt:i4>
      </vt:variant>
      <vt:variant>
        <vt:lpwstr>http://classiques.uqac.ca/classiques/bachelard_gaston/epistemologie/epistemologie.html</vt:lpwstr>
      </vt:variant>
      <vt:variant>
        <vt:lpwstr/>
      </vt:variant>
      <vt:variant>
        <vt:i4>2490485</vt:i4>
      </vt:variant>
      <vt:variant>
        <vt:i4>0</vt:i4>
      </vt:variant>
      <vt:variant>
        <vt:i4>0</vt:i4>
      </vt:variant>
      <vt:variant>
        <vt:i4>5</vt:i4>
      </vt:variant>
      <vt:variant>
        <vt:lpwstr>http://dx.doi.org/doi:10.1522/cla.sif.sma.rec1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Enjeux épistémologiques et idéologiques de la globalisation pour les sciences sociales</dc:title>
  <dc:subject/>
  <dc:creator>Sous la dir. de Bernard Castelli et Bernard Hours, 2011.</dc:creator>
  <cp:keywords>classiques.sc.soc@gmail.com</cp:keywords>
  <cp:lastModifiedBy>Jean-Marie Tremblay</cp:lastModifiedBy>
  <cp:revision>2</cp:revision>
  <cp:lastPrinted>2001-08-26T19:33:00Z</cp:lastPrinted>
  <dcterms:created xsi:type="dcterms:W3CDTF">2022-05-11T14:33:00Z</dcterms:created>
  <dcterms:modified xsi:type="dcterms:W3CDTF">2022-05-11T14:33:00Z</dcterms:modified>
  <cp:category>jean-marie tremblay, sociologue, fondateur, 1993.</cp:category>
</cp:coreProperties>
</file>